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9.xml" ContentType="application/vnd.openxmlformats-officedocument.wordprocessingml.head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FFFFFF" w:themeColor="background1"/>
  <w:body>
    <w:p w14:paraId="03F8E41B" w14:textId="64A10639" w:rsidR="00C7175E" w:rsidRPr="00221992" w:rsidRDefault="00C7175E" w:rsidP="00124CCA">
      <w:pPr>
        <w:rPr>
          <w:lang w:val="en-GB"/>
        </w:rPr>
      </w:pPr>
      <w:bookmarkStart w:id="1" w:name="_Hlk483397678"/>
      <w:r w:rsidRPr="00221992">
        <w:rPr>
          <w:noProof/>
          <w:lang w:val="en-GB"/>
        </w:rPr>
        <mc:AlternateContent>
          <mc:Choice Requires="wps">
            <w:drawing>
              <wp:anchor distT="0" distB="0" distL="114300" distR="114300" simplePos="0" relativeHeight="251658240" behindDoc="1" locked="0" layoutInCell="1" allowOverlap="1" wp14:anchorId="35FBE492" wp14:editId="10AA1EE4">
                <wp:simplePos x="777922" y="996287"/>
                <wp:positionH relativeFrom="page">
                  <wp:align>center</wp:align>
                </wp:positionH>
                <wp:positionV relativeFrom="page">
                  <wp:align>top</wp:align>
                </wp:positionV>
                <wp:extent cx="7559675" cy="10688400"/>
                <wp:effectExtent l="0" t="0" r="0" b="5080"/>
                <wp:wrapNone/>
                <wp:docPr id="63" name="Rectangle 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59675" cy="10688400"/>
                        </a:xfrm>
                        <a:prstGeom prst="rect">
                          <a:avLst/>
                        </a:prstGeom>
                        <a:blipFill dpi="0" rotWithShape="1">
                          <a:blip r:embed="rId12"/>
                          <a:srcRect/>
                          <a:stretch>
                            <a:fillRect t="-8" b="-8"/>
                          </a:stretch>
                        </a:blip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A71C982" id="Rectangle 63" o:spid="_x0000_s1026" style="position:absolute;margin-left:0;margin-top:0;width:595.25pt;height:841.6pt;z-index:-251658240;visibility:visible;mso-wrap-style:square;mso-width-percent:0;mso-height-percent:0;mso-wrap-distance-left:9pt;mso-wrap-distance-top:0;mso-wrap-distance-right:9pt;mso-wrap-distance-bottom:0;mso-position-horizontal:center;mso-position-horizontal-relative:page;mso-position-vertical:top;mso-position-vertical-relative:page;mso-width-percent:0;mso-height-percent:0;mso-width-relative:margin;mso-height-relative:margin;v-text-anchor:middl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13/AOdT/P16w/lfrheoOqsJtjvD5aZuehzGV68yVVMuJ2xgnkjm&#10;lqtxz0MiVMWSytHqTG0KMsoWRcjUgUq08Nf7r3Vl/wDLu/mI/Hz+ZX8fML3x0PmvHNH4sT2V1rlp&#10;Yjm9pZsxa5sVlYUtqRrM9HWIogroAJYiGEsUXuvdHx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SB7S6t67&#10;7t673j1L21s7BdgdbdgYKfbW8tm7lgWooq+iqF0yQzRtYgggPHIhWWGVUlidJUR1917r5dv88X+R&#10;12J/LC7En7Q6vgzvYHws7AzrQbI3vOrVFbtStqGZ49r7okRbCQC4x+QIWLIRLpbRVpJGfde619/f&#10;uvdc445JpI4oo3lllcRxRRgszMxsqqouSxJsAOSffuvdfQQ/4T2f8J7I+nY9l/Oz52bLSXt2VINz&#10;9A9A7ngDLtRWCzUm5tzUkykHc5BWSgoJFtiBpqalf4r448X7r3W6L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QPaXVvXfdvXe8epe2tnYLsDrbsDBT7a3ls3csC&#10;1FFX0VQumSGaNrEEEB45EKywyqksTpKiOvuvdaYPyX/4Rs7Oz++MnuH4m/Lir682RlchLV03W3cm&#10;BkzcmKSRzItPR7hx2Qop6ylh1eOFKqhNQsSJ562qlLyt7r3VgX8r3/hMR8aPgn2Rt3v/ALy7Cqfl&#10;X3hs3ILmNgRZDDxYfaW361OYMjBhZavK1OVzFG/rpauqqVhp5NE8NDHVQw1Ke691s9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ptjzOImy1TgYspj5M3R0ceQq8Ok0Zqo6eVmSKd4A3lWGR0ZVcrpLKQDcEe9ahWnW6GlenL3v&#10;rX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qZvnRnM5&#10;tv5F4TO7by+QwWZxmyMfPT5TEyvDURj7muvaRCuhD9GDErICVIte5VeNpcEeg6MLYakofXoSulPn&#10;7NTx0eB7topKhLiFN94WAKwW4VWyFBHYOzD1GSmVSRytMQC3tyK9ph/2jqklrXK/s6sz25ubb278&#10;RSZ/a+axufw1cuqmyOLlSaJiP1IWQnRIh4dGs6NdXVWBHswVgwqM9IypXB6fPe+t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&#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&#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&#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WuB/NF2RuTsb5hYTZ+zduZvc25Mj1Vhfs8Xt+nlmqJr5DLgD9lHdY4ipdyQY1TUz8&#10;AkBfdkMk4CgklRgfaehBtsgii1E4qeP5dDd8Xv5S81OaLd3yYzAU+b7um6s2lMqWB0EJl8tTNwbq&#10;waDHsotoYVly8XtRa7N+KU/7Uf5T/m/b0nutz1EiP/ej/k/2errdpbP2rsLAY/a2y9vYfa23cXF4&#10;qDDYOCOnp4x+WEcaqGkc+p3a7uxLOzMSSfIgjFFAAHkOilmLmpNT0pPduq9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pphwOEp8zW7igxGNiz+R&#10;oocbX5uOCMVc1NTtI8FPLUBfK8ELyuyIWKqzsQAWJNQoBrTPr1uppTp29261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" stroked="f" strokeweight="2pt">
                <v:fill r:id="rId13" o:title="" recolor="t" rotate="t" type="frame"/>
                <w10:wrap anchorx="page" anchory="page"/>
              </v:rect>
            </w:pict>
          </mc:Fallback>
        </mc:AlternateContent>
      </w:r>
    </w:p>
    <w:p w14:paraId="7E538232" w14:textId="13EA19A5" w:rsidR="00C7175E" w:rsidRPr="00221992" w:rsidRDefault="00C7175E" w:rsidP="00EF5B9A">
      <w:pPr>
        <w:pStyle w:val="BodyText"/>
        <w:rPr>
          <w:lang w:val="en-GB"/>
        </w:rPr>
      </w:pPr>
    </w:p>
    <w:p w14:paraId="20501144" w14:textId="06B25172" w:rsidR="003C1363" w:rsidRPr="00221992" w:rsidRDefault="00A434BA" w:rsidP="00702551">
      <w:pPr>
        <w:rPr>
          <w:lang w:val="en-GB"/>
        </w:rPr>
      </w:pPr>
      <w:bookmarkStart w:id="2" w:name="_Toc142742683"/>
      <w:bookmarkEnd w:id="1"/>
      <w:r w:rsidRPr="00221992">
        <w:rPr>
          <w:noProof/>
          <w:lang w:val="en-GB"/>
        </w:rPr>
        <mc:AlternateContent>
          <mc:Choice Requires="wps">
            <w:drawing>
              <wp:anchor distT="0" distB="0" distL="114300" distR="114300" simplePos="0" relativeHeight="251658241" behindDoc="0" locked="0" layoutInCell="1" allowOverlap="1" wp14:anchorId="3B641593" wp14:editId="37797DC2">
                <wp:simplePos x="0" y="0"/>
                <wp:positionH relativeFrom="page">
                  <wp:posOffset>900332</wp:posOffset>
                </wp:positionH>
                <wp:positionV relativeFrom="page">
                  <wp:posOffset>4529797</wp:posOffset>
                </wp:positionV>
                <wp:extent cx="5067935" cy="1800665"/>
                <wp:effectExtent l="0" t="0" r="12065" b="0"/>
                <wp:wrapSquare wrapText="bothSides"/>
                <wp:docPr id="64" name="Text Box 64"/>
                <wp:cNvGraphicFramePr/>
                <a:graphic xmlns:a="http://schemas.openxmlformats.org/drawingml/2006/main">
                  <a:graphicData uri="http://schemas.microsoft.com/office/word/2010/wordprocessingShape">
                    <wps:wsp>
                      <wps:cNvSpPr txBox="1"/>
                      <wps:spPr>
                        <a:xfrm>
                          <a:off x="0" y="0"/>
                          <a:ext cx="5067935" cy="1800665"/>
                        </a:xfrm>
                        <a:prstGeom prst="rect">
                          <a:avLst/>
                        </a:prstGeom>
                        <a:noFill/>
                        <a:ln>
                          <a:noFill/>
                        </a:ln>
                        <a:effectLst/>
                      </wps:spPr>
                      <wps:txbx>
                        <w:txbxContent>
                          <w:p w14:paraId="17DC02D0" w14:textId="1B98AA07" w:rsidR="00146878" w:rsidRPr="00154053" w:rsidRDefault="00146878" w:rsidP="00154053">
                            <w:pPr>
                              <w:pStyle w:val="Title2"/>
                              <w:rPr>
                                <w:sz w:val="36"/>
                                <w:szCs w:val="36"/>
                              </w:rPr>
                            </w:pPr>
                            <w:r w:rsidRPr="00154053">
                              <w:rPr>
                                <w:sz w:val="36"/>
                                <w:szCs w:val="36"/>
                              </w:rPr>
                              <w:t xml:space="preserve">Paper </w:t>
                            </w:r>
                            <w:r w:rsidR="007213EF">
                              <w:rPr>
                                <w:sz w:val="36"/>
                                <w:szCs w:val="36"/>
                              </w:rPr>
                              <w:t>6</w:t>
                            </w:r>
                            <w:r w:rsidRPr="00154053">
                              <w:rPr>
                                <w:sz w:val="36"/>
                                <w:szCs w:val="36"/>
                              </w:rPr>
                              <w:t xml:space="preserve">—Funding and </w:t>
                            </w:r>
                            <w:r w:rsidR="000C66C0">
                              <w:rPr>
                                <w:sz w:val="36"/>
                                <w:szCs w:val="36"/>
                              </w:rPr>
                              <w:t>P</w:t>
                            </w:r>
                            <w:r w:rsidRPr="00154053">
                              <w:rPr>
                                <w:sz w:val="36"/>
                                <w:szCs w:val="36"/>
                              </w:rPr>
                              <w:t xml:space="preserve">urchasing </w:t>
                            </w:r>
                            <w:r w:rsidR="000C66C0">
                              <w:rPr>
                                <w:sz w:val="36"/>
                                <w:szCs w:val="36"/>
                              </w:rPr>
                              <w:t>D</w:t>
                            </w:r>
                            <w:r w:rsidRPr="00154053">
                              <w:rPr>
                                <w:sz w:val="36"/>
                                <w:szCs w:val="36"/>
                              </w:rPr>
                              <w:t>ecisions and Managing Uncertainty</w:t>
                            </w:r>
                          </w:p>
                          <w:p w14:paraId="621A0F82" w14:textId="18DD609E" w:rsidR="00146878" w:rsidRPr="000D275F" w:rsidRDefault="00146878" w:rsidP="00A909E2">
                            <w:pPr>
                              <w:pStyle w:val="Title2"/>
                              <w:rPr>
                                <w:rStyle w:val="TitleChar"/>
                                <w:rFonts w:ascii="Calibri Light" w:eastAsiaTheme="minorHAnsi" w:hAnsi="Calibri Light" w:cstheme="minorBidi"/>
                                <w:color w:val="auto"/>
                                <w:sz w:val="28"/>
                                <w:szCs w:val="22"/>
                              </w:rPr>
                            </w:pPr>
                            <w:r w:rsidRPr="009D7D21">
                              <w:t>University of Technology Sydney</w:t>
                            </w:r>
                            <w:r w:rsidR="000D275F">
                              <w:br/>
                            </w:r>
                            <w:r w:rsidR="00146C04">
                              <w:t>April</w:t>
                            </w:r>
                            <w:r w:rsidR="00FC0FFC" w:rsidRPr="009D7D21">
                              <w:t xml:space="preserve"> </w:t>
                            </w:r>
                            <w:r w:rsidRPr="009D7D21">
                              <w:t>202</w:t>
                            </w:r>
                            <w:r w:rsidR="001547FC">
                              <w:t>4</w:t>
                            </w:r>
                          </w:p>
                        </w:txbxContent>
                      </wps:txbx>
                      <wps:bodyPr rot="0" spcFirstLastPara="0" vertOverflow="overflow" horzOverflow="overflow" vert="horz" wrap="square" lIns="0" tIns="0" rIns="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B641593" id="_x0000_t202" coordsize="21600,21600" o:spt="202" path="m,l,21600r21600,l21600,xe">
                <v:stroke joinstyle="miter"/>
                <v:path gradientshapeok="t" o:connecttype="rect"/>
              </v:shapetype>
              <v:shape id="Text Box 64" o:spid="_x0000_s1026" type="#_x0000_t202" style="position:absolute;margin-left:70.9pt;margin-top:356.7pt;width:399.05pt;height:141.8pt;z-index:25165824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" filled="f" stroked="f">
                <v:textbox inset="0,0,0">
                  <w:txbxContent>
                    <w:p w14:paraId="17DC02D0" w14:textId="1B98AA07" w:rsidR="00146878" w:rsidRPr="00154053" w:rsidRDefault="00146878" w:rsidP="00154053">
                      <w:pPr>
                        <w:pStyle w:val="Title2"/>
                        <w:rPr>
                          <w:sz w:val="36"/>
                          <w:szCs w:val="36"/>
                        </w:rPr>
                      </w:pPr>
                      <w:r w:rsidRPr="00154053">
                        <w:rPr>
                          <w:sz w:val="36"/>
                          <w:szCs w:val="36"/>
                        </w:rPr>
                        <w:t xml:space="preserve">Paper </w:t>
                      </w:r>
                      <w:r w:rsidR="007213EF">
                        <w:rPr>
                          <w:sz w:val="36"/>
                          <w:szCs w:val="36"/>
                        </w:rPr>
                        <w:t>6</w:t>
                      </w:r>
                      <w:r w:rsidRPr="00154053">
                        <w:rPr>
                          <w:sz w:val="36"/>
                          <w:szCs w:val="36"/>
                        </w:rPr>
                        <w:t xml:space="preserve">—Funding and </w:t>
                      </w:r>
                      <w:r w:rsidR="000C66C0">
                        <w:rPr>
                          <w:sz w:val="36"/>
                          <w:szCs w:val="36"/>
                        </w:rPr>
                        <w:t>P</w:t>
                      </w:r>
                      <w:r w:rsidRPr="00154053">
                        <w:rPr>
                          <w:sz w:val="36"/>
                          <w:szCs w:val="36"/>
                        </w:rPr>
                        <w:t xml:space="preserve">urchasing </w:t>
                      </w:r>
                      <w:r w:rsidR="000C66C0">
                        <w:rPr>
                          <w:sz w:val="36"/>
                          <w:szCs w:val="36"/>
                        </w:rPr>
                        <w:t>D</w:t>
                      </w:r>
                      <w:r w:rsidRPr="00154053">
                        <w:rPr>
                          <w:sz w:val="36"/>
                          <w:szCs w:val="36"/>
                        </w:rPr>
                        <w:t>ecisions and Managing Uncertainty</w:t>
                      </w:r>
                    </w:p>
                    <w:p w14:paraId="621A0F82" w14:textId="18DD609E" w:rsidR="00146878" w:rsidRPr="000D275F" w:rsidRDefault="00146878" w:rsidP="00A909E2">
                      <w:pPr>
                        <w:pStyle w:val="Title2"/>
                        <w:rPr>
                          <w:rStyle w:val="TitleChar"/>
                          <w:rFonts w:ascii="Calibri Light" w:eastAsiaTheme="minorHAnsi" w:hAnsi="Calibri Light" w:cstheme="minorBidi"/>
                          <w:color w:val="auto"/>
                          <w:sz w:val="28"/>
                          <w:szCs w:val="22"/>
                        </w:rPr>
                      </w:pPr>
                      <w:r w:rsidRPr="009D7D21">
                        <w:t>University of Technology Sydney</w:t>
                      </w:r>
                      <w:r w:rsidR="000D275F">
                        <w:br/>
                      </w:r>
                      <w:r w:rsidR="00146C04">
                        <w:t>April</w:t>
                      </w:r>
                      <w:r w:rsidR="00FC0FFC" w:rsidRPr="009D7D21">
                        <w:t xml:space="preserve"> </w:t>
                      </w:r>
                      <w:r w:rsidRPr="009D7D21">
                        <w:t>202</w:t>
                      </w:r>
                      <w:r w:rsidR="001547FC">
                        <w:t>4</w:t>
                      </w:r>
                    </w:p>
                  </w:txbxContent>
                </v:textbox>
                <w10:wrap type="square" anchorx="page" anchory="page"/>
              </v:shape>
            </w:pict>
          </mc:Fallback>
        </mc:AlternateContent>
      </w:r>
      <w:bookmarkStart w:id="3" w:name="_Toc350163128"/>
      <w:bookmarkStart w:id="4" w:name="_Toc408497680"/>
      <w:bookmarkStart w:id="5" w:name="_Toc142742664"/>
    </w:p>
    <w:p w14:paraId="03507BC2" w14:textId="16E69899" w:rsidR="003C1363" w:rsidRPr="00221992" w:rsidRDefault="00C1471C">
      <w:pPr>
        <w:spacing w:before="80" w:after="80"/>
        <w:rPr>
          <w:lang w:val="en-GB"/>
        </w:rPr>
      </w:pPr>
      <w:r w:rsidRPr="00221992">
        <w:rPr>
          <w:noProof/>
          <w:lang w:val="en-GB"/>
        </w:rPr>
        <mc:AlternateContent>
          <mc:Choice Requires="wps">
            <w:drawing>
              <wp:anchor distT="0" distB="0" distL="114300" distR="114300" simplePos="0" relativeHeight="251658242" behindDoc="0" locked="0" layoutInCell="1" allowOverlap="1" wp14:anchorId="521E0EA3" wp14:editId="117F2F09">
                <wp:simplePos x="0" y="0"/>
                <wp:positionH relativeFrom="margin">
                  <wp:posOffset>-177977</wp:posOffset>
                </wp:positionH>
                <wp:positionV relativeFrom="page">
                  <wp:posOffset>2338705</wp:posOffset>
                </wp:positionV>
                <wp:extent cx="5668010" cy="1901288"/>
                <wp:effectExtent l="0" t="0" r="8890" b="0"/>
                <wp:wrapNone/>
                <wp:docPr id="30" name="Text Box 30"/>
                <wp:cNvGraphicFramePr/>
                <a:graphic xmlns:a="http://schemas.openxmlformats.org/drawingml/2006/main">
                  <a:graphicData uri="http://schemas.microsoft.com/office/word/2010/wordprocessingShape">
                    <wps:wsp>
                      <wps:cNvSpPr txBox="1"/>
                      <wps:spPr>
                        <a:xfrm>
                          <a:off x="0" y="0"/>
                          <a:ext cx="5668010" cy="1901288"/>
                        </a:xfrm>
                        <a:prstGeom prst="rect">
                          <a:avLst/>
                        </a:prstGeom>
                        <a:noFill/>
                        <a:ln>
                          <a:noFill/>
                        </a:ln>
                        <a:effectLst/>
                      </wps:spPr>
                      <wps:txbx>
                        <w:txbxContent>
                          <w:p w14:paraId="1CD1D6E7" w14:textId="3F1E69DF" w:rsidR="00146878" w:rsidRPr="009D7D21" w:rsidRDefault="00146878" w:rsidP="00C1471C">
                            <w:pPr>
                              <w:spacing w:after="0" w:line="240" w:lineRule="auto"/>
                              <w:rPr>
                                <w:rStyle w:val="SubtitleChar"/>
                                <w:rFonts w:eastAsiaTheme="majorEastAsia" w:cs="Calibri Light"/>
                                <w:color w:val="000000" w:themeColor="text1"/>
                                <w:sz w:val="80"/>
                                <w:szCs w:val="80"/>
                              </w:rPr>
                            </w:pPr>
                            <w:r w:rsidRPr="009D7D21">
                              <w:rPr>
                                <w:rStyle w:val="SubtitleChar"/>
                                <w:rFonts w:eastAsiaTheme="majorEastAsia" w:cs="Calibri Light"/>
                                <w:color w:val="000000" w:themeColor="text1"/>
                                <w:sz w:val="80"/>
                                <w:szCs w:val="80"/>
                              </w:rPr>
                              <w:t>Health</w:t>
                            </w:r>
                            <w:r w:rsidR="00EC31C3">
                              <w:rPr>
                                <w:rStyle w:val="SubtitleChar"/>
                                <w:rFonts w:eastAsiaTheme="majorEastAsia" w:cs="Calibri Light"/>
                                <w:color w:val="000000" w:themeColor="text1"/>
                                <w:sz w:val="80"/>
                                <w:szCs w:val="80"/>
                              </w:rPr>
                              <w:t xml:space="preserve"> </w:t>
                            </w:r>
                            <w:r w:rsidRPr="009D7D21">
                              <w:rPr>
                                <w:rStyle w:val="SubtitleChar"/>
                                <w:rFonts w:eastAsiaTheme="majorEastAsia" w:cs="Calibri Light"/>
                                <w:color w:val="000000" w:themeColor="text1"/>
                                <w:sz w:val="80"/>
                                <w:szCs w:val="80"/>
                              </w:rPr>
                              <w:t xml:space="preserve">Technology Assessment </w:t>
                            </w:r>
                            <w:r w:rsidR="00AF2795">
                              <w:rPr>
                                <w:rStyle w:val="SubtitleChar"/>
                                <w:rFonts w:eastAsiaTheme="majorEastAsia" w:cs="Calibri Light"/>
                                <w:color w:val="000000" w:themeColor="text1"/>
                                <w:sz w:val="80"/>
                                <w:szCs w:val="80"/>
                              </w:rPr>
                              <w:t xml:space="preserve">Methods and Policy </w:t>
                            </w:r>
                            <w:r w:rsidRPr="009D7D21">
                              <w:rPr>
                                <w:rStyle w:val="SubtitleChar"/>
                                <w:rFonts w:eastAsiaTheme="majorEastAsia" w:cs="Calibri Light"/>
                                <w:color w:val="000000" w:themeColor="text1"/>
                                <w:sz w:val="80"/>
                                <w:szCs w:val="80"/>
                              </w:rPr>
                              <w:t>Review</w:t>
                            </w:r>
                          </w:p>
                        </w:txbxContent>
                      </wps:txbx>
                      <wps:bodyPr rot="0" spcFirstLastPara="0" vertOverflow="overflow" horzOverflow="overflow" vert="horz" wrap="square" lIns="0" tIns="0" rIns="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1E0EA3" id="Text Box 30" o:spid="_x0000_s1027" type="#_x0000_t202" style="position:absolute;margin-left:-14pt;margin-top:184.15pt;width:446.3pt;height:149.7pt;z-index:25165824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" filled="f" stroked="f">
                <v:textbox inset="0,0,0">
                  <w:txbxContent>
                    <w:p w14:paraId="1CD1D6E7" w14:textId="3F1E69DF" w:rsidR="00146878" w:rsidRPr="009D7D21" w:rsidRDefault="00146878" w:rsidP="00C1471C">
                      <w:pPr>
                        <w:spacing w:after="0" w:line="240" w:lineRule="auto"/>
                        <w:rPr>
                          <w:rStyle w:val="SubtitleChar"/>
                          <w:rFonts w:eastAsiaTheme="majorEastAsia" w:cs="Calibri Light"/>
                          <w:color w:val="000000" w:themeColor="text1"/>
                          <w:sz w:val="80"/>
                          <w:szCs w:val="80"/>
                        </w:rPr>
                      </w:pPr>
                      <w:r w:rsidRPr="009D7D21">
                        <w:rPr>
                          <w:rStyle w:val="SubtitleChar"/>
                          <w:rFonts w:eastAsiaTheme="majorEastAsia" w:cs="Calibri Light"/>
                          <w:color w:val="000000" w:themeColor="text1"/>
                          <w:sz w:val="80"/>
                          <w:szCs w:val="80"/>
                        </w:rPr>
                        <w:t>Health</w:t>
                      </w:r>
                      <w:r w:rsidR="00EC31C3">
                        <w:rPr>
                          <w:rStyle w:val="SubtitleChar"/>
                          <w:rFonts w:eastAsiaTheme="majorEastAsia" w:cs="Calibri Light"/>
                          <w:color w:val="000000" w:themeColor="text1"/>
                          <w:sz w:val="80"/>
                          <w:szCs w:val="80"/>
                        </w:rPr>
                        <w:t xml:space="preserve"> </w:t>
                      </w:r>
                      <w:r w:rsidRPr="009D7D21">
                        <w:rPr>
                          <w:rStyle w:val="SubtitleChar"/>
                          <w:rFonts w:eastAsiaTheme="majorEastAsia" w:cs="Calibri Light"/>
                          <w:color w:val="000000" w:themeColor="text1"/>
                          <w:sz w:val="80"/>
                          <w:szCs w:val="80"/>
                        </w:rPr>
                        <w:t xml:space="preserve">Technology Assessment </w:t>
                      </w:r>
                      <w:r w:rsidR="00AF2795">
                        <w:rPr>
                          <w:rStyle w:val="SubtitleChar"/>
                          <w:rFonts w:eastAsiaTheme="majorEastAsia" w:cs="Calibri Light"/>
                          <w:color w:val="000000" w:themeColor="text1"/>
                          <w:sz w:val="80"/>
                          <w:szCs w:val="80"/>
                        </w:rPr>
                        <w:t xml:space="preserve">Methods and Policy </w:t>
                      </w:r>
                      <w:r w:rsidRPr="009D7D21">
                        <w:rPr>
                          <w:rStyle w:val="SubtitleChar"/>
                          <w:rFonts w:eastAsiaTheme="majorEastAsia" w:cs="Calibri Light"/>
                          <w:color w:val="000000" w:themeColor="text1"/>
                          <w:sz w:val="80"/>
                          <w:szCs w:val="80"/>
                        </w:rPr>
                        <w:t>Review</w:t>
                      </w:r>
                    </w:p>
                  </w:txbxContent>
                </v:textbox>
                <w10:wrap anchorx="margin" anchory="page"/>
              </v:shape>
            </w:pict>
          </mc:Fallback>
        </mc:AlternateContent>
      </w:r>
      <w:r w:rsidR="003C1363" w:rsidRPr="00221992">
        <w:rPr>
          <w:lang w:val="en-GB"/>
        </w:rPr>
        <w:br w:type="page"/>
      </w:r>
    </w:p>
    <w:p w14:paraId="10F6934B" w14:textId="77777777" w:rsidR="00957584" w:rsidRPr="00957584" w:rsidRDefault="00957584" w:rsidP="00957584">
      <w:pPr>
        <w:rPr>
          <w:rFonts w:cs="Arial"/>
          <w:sz w:val="21"/>
          <w:szCs w:val="21"/>
        </w:rPr>
      </w:pPr>
      <w:r w:rsidRPr="00957584">
        <w:rPr>
          <w:rFonts w:cs="Arial"/>
          <w:sz w:val="21"/>
          <w:szCs w:val="21"/>
        </w:rPr>
        <w:lastRenderedPageBreak/>
        <w:t>© Commonwealth of Australia as represented by the Department of Health and Aged Care 2024</w:t>
      </w:r>
    </w:p>
    <w:p w14:paraId="5E7D6B34" w14:textId="77777777" w:rsidR="00957584" w:rsidRPr="006D55B2" w:rsidRDefault="00957584" w:rsidP="00957584">
      <w:pPr>
        <w:pBdr>
          <w:top w:val="single" w:sz="4" w:space="1" w:color="auto"/>
          <w:bottom w:val="single" w:sz="4" w:space="1" w:color="auto"/>
        </w:pBdr>
        <w:rPr>
          <w:rFonts w:cs="Arial"/>
        </w:rPr>
      </w:pPr>
      <w:r w:rsidRPr="006D55B2">
        <w:rPr>
          <w:rFonts w:cs="Arial"/>
        </w:rPr>
        <w:t xml:space="preserve">Title: </w:t>
      </w:r>
      <w:r w:rsidRPr="003A5802">
        <w:rPr>
          <w:rFonts w:cs="Arial"/>
        </w:rPr>
        <w:t>Health Technology Assessment Policy and Methods Review</w:t>
      </w:r>
      <w:r>
        <w:rPr>
          <w:rFonts w:cs="Arial"/>
        </w:rPr>
        <w:t xml:space="preserve">: </w:t>
      </w:r>
      <w:r w:rsidRPr="002661E3">
        <w:rPr>
          <w:rFonts w:cs="Arial"/>
        </w:rPr>
        <w:t>Funding and Purchasing Decisions and Managing Uncertainty</w:t>
      </w:r>
    </w:p>
    <w:p w14:paraId="1F8C8DB4" w14:textId="77777777" w:rsidR="00957584" w:rsidRPr="006D55B2" w:rsidRDefault="00957584" w:rsidP="00957584">
      <w:pPr>
        <w:rPr>
          <w:rFonts w:cs="Arial"/>
          <w:b/>
          <w:lang w:eastAsia="en-US"/>
        </w:rPr>
      </w:pPr>
      <w:r w:rsidRPr="006D55B2">
        <w:rPr>
          <w:rFonts w:cs="Arial"/>
          <w:b/>
        </w:rPr>
        <w:t>Creative Commons Licence</w:t>
      </w:r>
    </w:p>
    <w:p w14:paraId="6E24EEEE" w14:textId="77777777" w:rsidR="00957584" w:rsidRPr="006D55B2" w:rsidRDefault="00957584" w:rsidP="00957584">
      <w:pPr>
        <w:rPr>
          <w:rFonts w:cs="Arial"/>
        </w:rPr>
      </w:pPr>
      <w:r w:rsidRPr="006D55B2">
        <w:rPr>
          <w:rFonts w:cs="Arial"/>
          <w:noProof/>
        </w:rPr>
        <w:drawing>
          <wp:inline distT="0" distB="0" distL="0" distR="0" wp14:anchorId="31D90739" wp14:editId="6CA94057">
            <wp:extent cx="1026160" cy="356870"/>
            <wp:effectExtent l="0" t="0" r="2540" b="5080"/>
            <wp:docPr id="5" name="Picture 5" descr="cid:image001.png@01D10CD1.33FE7F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1.png@01D10CD1.33FE7F70"/>
                    <pic:cNvPicPr>
                      <a:picLocks noChangeAspect="1" noChangeArrowheads="1"/>
                    </pic:cNvPicPr>
                  </pic:nvPicPr>
                  <pic:blipFill>
                    <a:blip r:embed="rId14" r:link="rId15">
                      <a:extLst>
                        <a:ext uri="{28A0092B-C50C-407E-A947-70E740481C1C}">
                          <a14:useLocalDpi xmlns:a14="http://schemas.microsoft.com/office/drawing/2010/main" val="0"/>
                        </a:ext>
                      </a:extLst>
                    </a:blip>
                    <a:srcRect/>
                    <a:stretch>
                      <a:fillRect/>
                    </a:stretch>
                  </pic:blipFill>
                  <pic:spPr bwMode="auto">
                    <a:xfrm>
                      <a:off x="0" y="0"/>
                      <a:ext cx="1026160" cy="356870"/>
                    </a:xfrm>
                    <a:prstGeom prst="rect">
                      <a:avLst/>
                    </a:prstGeom>
                    <a:noFill/>
                    <a:ln>
                      <a:noFill/>
                    </a:ln>
                  </pic:spPr>
                </pic:pic>
              </a:graphicData>
            </a:graphic>
          </wp:inline>
        </w:drawing>
      </w:r>
    </w:p>
    <w:p w14:paraId="19EF17AD" w14:textId="77777777" w:rsidR="00957584" w:rsidRPr="006D55B2" w:rsidRDefault="00957584" w:rsidP="00957584">
      <w:pPr>
        <w:autoSpaceDE w:val="0"/>
        <w:autoSpaceDN w:val="0"/>
        <w:spacing w:before="240" w:line="181" w:lineRule="atLeast"/>
        <w:rPr>
          <w:rFonts w:cs="Arial"/>
        </w:rPr>
      </w:pPr>
      <w:r w:rsidRPr="006D55B2">
        <w:rPr>
          <w:rFonts w:cs="Arial"/>
        </w:rPr>
        <w:t xml:space="preserve">This publication is licensed under the Creative Commons Attribution 4.0 International Public License available from </w:t>
      </w:r>
      <w:hyperlink r:id="rId16" w:history="1">
        <w:r w:rsidRPr="006D55B2">
          <w:rPr>
            <w:rStyle w:val="Hyperlink"/>
            <w:rFonts w:cs="Arial"/>
          </w:rPr>
          <w:t>https://creativecommons.org/licenses/by/4.0/legalcode</w:t>
        </w:r>
      </w:hyperlink>
      <w:r w:rsidRPr="006D55B2">
        <w:rPr>
          <w:rStyle w:val="Hyperlink"/>
          <w:rFonts w:cs="Arial"/>
        </w:rPr>
        <w:t xml:space="preserve"> </w:t>
      </w:r>
      <w:r w:rsidRPr="006D55B2">
        <w:rPr>
          <w:rFonts w:cs="Arial"/>
        </w:rPr>
        <w:t xml:space="preserve">(“Licence”). You must read and understand the Licence before using any material from this publication. </w:t>
      </w:r>
    </w:p>
    <w:p w14:paraId="046BFB07" w14:textId="77777777" w:rsidR="00957584" w:rsidRPr="006D55B2" w:rsidRDefault="00957584" w:rsidP="00957584">
      <w:pPr>
        <w:autoSpaceDE w:val="0"/>
        <w:autoSpaceDN w:val="0"/>
        <w:spacing w:before="100" w:line="181" w:lineRule="atLeast"/>
        <w:rPr>
          <w:rFonts w:cs="Arial"/>
        </w:rPr>
      </w:pPr>
      <w:r w:rsidRPr="006D55B2">
        <w:rPr>
          <w:rFonts w:cs="Arial"/>
        </w:rPr>
        <w:t>Restrictions</w:t>
      </w:r>
    </w:p>
    <w:p w14:paraId="3D89F158" w14:textId="77777777" w:rsidR="00957584" w:rsidRPr="006D55B2" w:rsidRDefault="00957584" w:rsidP="00957584">
      <w:pPr>
        <w:autoSpaceDE w:val="0"/>
        <w:autoSpaceDN w:val="0"/>
        <w:spacing w:before="100" w:line="181" w:lineRule="atLeast"/>
        <w:rPr>
          <w:rFonts w:cs="Arial"/>
        </w:rPr>
      </w:pPr>
      <w:r w:rsidRPr="006D55B2">
        <w:rPr>
          <w:rFonts w:cs="Arial"/>
        </w:rPr>
        <w:t xml:space="preserve">The Licence may not give you all the permissions necessary for your intended use. For example, other rights (such as publicity, privacy and moral rights) may limit how you use the material found in this publication.  </w:t>
      </w:r>
    </w:p>
    <w:p w14:paraId="6FFC807A" w14:textId="77777777" w:rsidR="00957584" w:rsidRPr="00957584" w:rsidRDefault="00957584" w:rsidP="00957584">
      <w:pPr>
        <w:autoSpaceDE w:val="0"/>
        <w:autoSpaceDN w:val="0"/>
        <w:spacing w:before="100" w:after="0" w:line="181" w:lineRule="atLeast"/>
        <w:rPr>
          <w:rFonts w:cs="Calibri Light"/>
        </w:rPr>
      </w:pPr>
      <w:r w:rsidRPr="006D55B2">
        <w:rPr>
          <w:rFonts w:cs="Arial"/>
        </w:rPr>
        <w:t xml:space="preserve">The Licence does not cover, and there is no permission given for, use of any of the following material </w:t>
      </w:r>
      <w:r w:rsidRPr="00957584">
        <w:rPr>
          <w:rFonts w:cs="Calibri Light"/>
        </w:rPr>
        <w:t xml:space="preserve">found in this publication: </w:t>
      </w:r>
    </w:p>
    <w:p w14:paraId="44D9BB69" w14:textId="77777777" w:rsidR="00957584" w:rsidRPr="00957584" w:rsidRDefault="00957584" w:rsidP="00957584">
      <w:pPr>
        <w:pStyle w:val="ListParagraph"/>
        <w:numPr>
          <w:ilvl w:val="0"/>
          <w:numId w:val="82"/>
        </w:numPr>
        <w:spacing w:before="0" w:after="0" w:line="240" w:lineRule="auto"/>
        <w:ind w:right="0"/>
        <w:rPr>
          <w:rFonts w:cs="Calibri Light"/>
          <w:sz w:val="20"/>
          <w:szCs w:val="20"/>
        </w:rPr>
      </w:pPr>
      <w:r w:rsidRPr="00957584">
        <w:rPr>
          <w:rFonts w:cs="Calibri Light"/>
          <w:sz w:val="20"/>
          <w:szCs w:val="20"/>
        </w:rPr>
        <w:t xml:space="preserve">the Commonwealth Coat of Arms. (by way of information, the terms under which the Coat of Arms may be used can be found on the Department of Prime Minister and Cabinet website </w:t>
      </w:r>
      <w:r w:rsidRPr="00957584">
        <w:rPr>
          <w:rStyle w:val="Hyperlink"/>
          <w:rFonts w:cs="Calibri Light"/>
          <w:sz w:val="20"/>
          <w:szCs w:val="20"/>
        </w:rPr>
        <w:t>http://www.dpmc.gov.au/government/commonwealth-coat-arms</w:t>
      </w:r>
      <w:r w:rsidRPr="00957584">
        <w:rPr>
          <w:rFonts w:cs="Calibri Light"/>
          <w:sz w:val="20"/>
          <w:szCs w:val="20"/>
        </w:rPr>
        <w:t>);</w:t>
      </w:r>
    </w:p>
    <w:p w14:paraId="6FF784FB" w14:textId="77777777" w:rsidR="00957584" w:rsidRPr="00957584" w:rsidRDefault="00957584" w:rsidP="00957584">
      <w:pPr>
        <w:pStyle w:val="ListParagraph"/>
        <w:numPr>
          <w:ilvl w:val="0"/>
          <w:numId w:val="82"/>
        </w:numPr>
        <w:spacing w:before="0" w:after="0" w:line="240" w:lineRule="auto"/>
        <w:ind w:right="0"/>
        <w:rPr>
          <w:rFonts w:cs="Calibri Light"/>
          <w:sz w:val="20"/>
          <w:szCs w:val="20"/>
        </w:rPr>
      </w:pPr>
      <w:r w:rsidRPr="00957584">
        <w:rPr>
          <w:rFonts w:cs="Calibri Light"/>
          <w:sz w:val="20"/>
          <w:szCs w:val="20"/>
        </w:rPr>
        <w:t>any logos and trademarks;</w:t>
      </w:r>
    </w:p>
    <w:p w14:paraId="05B58939" w14:textId="77777777" w:rsidR="00957584" w:rsidRPr="00957584" w:rsidRDefault="00957584" w:rsidP="00957584">
      <w:pPr>
        <w:pStyle w:val="ListParagraph"/>
        <w:numPr>
          <w:ilvl w:val="0"/>
          <w:numId w:val="82"/>
        </w:numPr>
        <w:spacing w:before="0" w:after="0" w:line="240" w:lineRule="auto"/>
        <w:ind w:right="0"/>
        <w:rPr>
          <w:rFonts w:cs="Calibri Light"/>
          <w:sz w:val="20"/>
          <w:szCs w:val="20"/>
        </w:rPr>
      </w:pPr>
      <w:r w:rsidRPr="00957584">
        <w:rPr>
          <w:rFonts w:cs="Calibri Light"/>
          <w:sz w:val="20"/>
          <w:szCs w:val="20"/>
        </w:rPr>
        <w:t xml:space="preserve">any photographs and images; </w:t>
      </w:r>
    </w:p>
    <w:p w14:paraId="205E02E3" w14:textId="77777777" w:rsidR="00957584" w:rsidRPr="00957584" w:rsidRDefault="00957584" w:rsidP="00957584">
      <w:pPr>
        <w:pStyle w:val="ListParagraph"/>
        <w:numPr>
          <w:ilvl w:val="0"/>
          <w:numId w:val="82"/>
        </w:numPr>
        <w:spacing w:before="0" w:after="0" w:line="240" w:lineRule="auto"/>
        <w:ind w:right="0"/>
        <w:rPr>
          <w:rFonts w:cs="Calibri Light"/>
          <w:sz w:val="20"/>
          <w:szCs w:val="20"/>
        </w:rPr>
      </w:pPr>
      <w:r w:rsidRPr="00957584">
        <w:rPr>
          <w:rFonts w:cs="Calibri Light"/>
          <w:sz w:val="20"/>
          <w:szCs w:val="20"/>
        </w:rPr>
        <w:t>any signatures; and</w:t>
      </w:r>
    </w:p>
    <w:p w14:paraId="51A17443" w14:textId="77777777" w:rsidR="00957584" w:rsidRPr="00957584" w:rsidRDefault="00957584" w:rsidP="00957584">
      <w:pPr>
        <w:pStyle w:val="ListParagraph"/>
        <w:numPr>
          <w:ilvl w:val="0"/>
          <w:numId w:val="82"/>
        </w:numPr>
        <w:spacing w:before="0" w:after="0" w:line="240" w:lineRule="auto"/>
        <w:ind w:right="0"/>
        <w:rPr>
          <w:rFonts w:cs="Calibri Light"/>
          <w:sz w:val="20"/>
          <w:szCs w:val="20"/>
        </w:rPr>
      </w:pPr>
      <w:r w:rsidRPr="00957584">
        <w:rPr>
          <w:rFonts w:cs="Calibri Light"/>
          <w:sz w:val="20"/>
          <w:szCs w:val="20"/>
        </w:rPr>
        <w:t xml:space="preserve">any material belonging to third parties.  </w:t>
      </w:r>
    </w:p>
    <w:p w14:paraId="39F61837" w14:textId="77777777" w:rsidR="00957584" w:rsidRPr="006D55B2" w:rsidRDefault="00957584" w:rsidP="00957584">
      <w:pPr>
        <w:autoSpaceDE w:val="0"/>
        <w:autoSpaceDN w:val="0"/>
        <w:spacing w:before="240" w:after="0" w:line="181" w:lineRule="atLeast"/>
        <w:ind w:right="-766"/>
        <w:rPr>
          <w:rFonts w:cs="Arial"/>
        </w:rPr>
      </w:pPr>
      <w:r w:rsidRPr="006D55B2">
        <w:rPr>
          <w:rFonts w:cs="Arial"/>
        </w:rPr>
        <w:t>Attribution</w:t>
      </w:r>
    </w:p>
    <w:p w14:paraId="310BC2B5" w14:textId="77777777" w:rsidR="00957584" w:rsidRPr="006D55B2" w:rsidRDefault="00957584" w:rsidP="00957584">
      <w:pPr>
        <w:autoSpaceDE w:val="0"/>
        <w:autoSpaceDN w:val="0"/>
        <w:spacing w:before="240" w:after="0" w:line="181" w:lineRule="atLeast"/>
        <w:rPr>
          <w:rFonts w:cs="Arial"/>
        </w:rPr>
      </w:pPr>
      <w:r w:rsidRPr="52A0037B">
        <w:rPr>
          <w:rFonts w:cs="Arial"/>
        </w:rPr>
        <w:t>Without limiting your obligations under the Licence, the Department of Health and Aged Care requests that you attribute this publication in your work. Any reasonable form of words may be used provided that you:</w:t>
      </w:r>
    </w:p>
    <w:p w14:paraId="2B397398" w14:textId="77777777" w:rsidR="00957584" w:rsidRPr="00957584" w:rsidRDefault="00957584" w:rsidP="00957584">
      <w:pPr>
        <w:pStyle w:val="ListParagraph"/>
        <w:numPr>
          <w:ilvl w:val="0"/>
          <w:numId w:val="83"/>
        </w:numPr>
        <w:autoSpaceDE w:val="0"/>
        <w:autoSpaceDN w:val="0"/>
        <w:spacing w:before="0" w:after="0" w:line="181" w:lineRule="atLeast"/>
        <w:ind w:right="0"/>
        <w:jc w:val="both"/>
        <w:rPr>
          <w:rFonts w:cs="Calibri Light"/>
          <w:sz w:val="20"/>
          <w:szCs w:val="20"/>
        </w:rPr>
      </w:pPr>
      <w:r w:rsidRPr="00957584">
        <w:rPr>
          <w:rFonts w:cs="Calibri Light"/>
          <w:sz w:val="20"/>
          <w:szCs w:val="20"/>
        </w:rPr>
        <w:t xml:space="preserve">include a reference to this publication and where, practicable, the relevant page numbers; </w:t>
      </w:r>
    </w:p>
    <w:p w14:paraId="56145FE4" w14:textId="77777777" w:rsidR="00957584" w:rsidRPr="00957584" w:rsidRDefault="00957584" w:rsidP="00957584">
      <w:pPr>
        <w:pStyle w:val="ListParagraph"/>
        <w:numPr>
          <w:ilvl w:val="0"/>
          <w:numId w:val="83"/>
        </w:numPr>
        <w:autoSpaceDE w:val="0"/>
        <w:autoSpaceDN w:val="0"/>
        <w:spacing w:before="0" w:after="0" w:line="181" w:lineRule="atLeast"/>
        <w:ind w:right="0"/>
        <w:jc w:val="both"/>
        <w:rPr>
          <w:rFonts w:cs="Calibri Light"/>
          <w:sz w:val="20"/>
          <w:szCs w:val="20"/>
        </w:rPr>
      </w:pPr>
      <w:r w:rsidRPr="00957584">
        <w:rPr>
          <w:rFonts w:cs="Calibri Light"/>
          <w:sz w:val="20"/>
          <w:szCs w:val="20"/>
        </w:rPr>
        <w:t>make it clear that you have permission to use the material under the Creative Commons Attribution 4.0 International Public License;</w:t>
      </w:r>
    </w:p>
    <w:p w14:paraId="66AF8737" w14:textId="77777777" w:rsidR="00957584" w:rsidRPr="00957584" w:rsidRDefault="00957584" w:rsidP="00957584">
      <w:pPr>
        <w:pStyle w:val="ListParagraph"/>
        <w:numPr>
          <w:ilvl w:val="0"/>
          <w:numId w:val="83"/>
        </w:numPr>
        <w:autoSpaceDE w:val="0"/>
        <w:autoSpaceDN w:val="0"/>
        <w:spacing w:before="0" w:after="0" w:line="181" w:lineRule="atLeast"/>
        <w:ind w:right="0"/>
        <w:jc w:val="both"/>
        <w:rPr>
          <w:rFonts w:cs="Calibri Light"/>
          <w:sz w:val="20"/>
          <w:szCs w:val="20"/>
        </w:rPr>
      </w:pPr>
      <w:r w:rsidRPr="00957584">
        <w:rPr>
          <w:rFonts w:cs="Calibri Light"/>
          <w:sz w:val="20"/>
          <w:szCs w:val="20"/>
        </w:rPr>
        <w:t xml:space="preserve">make it clear whether or not you have changed the material used from this publication; </w:t>
      </w:r>
    </w:p>
    <w:p w14:paraId="76E33D91" w14:textId="77777777" w:rsidR="00957584" w:rsidRPr="00957584" w:rsidRDefault="00957584" w:rsidP="00957584">
      <w:pPr>
        <w:pStyle w:val="ListParagraph"/>
        <w:numPr>
          <w:ilvl w:val="0"/>
          <w:numId w:val="83"/>
        </w:numPr>
        <w:autoSpaceDE w:val="0"/>
        <w:autoSpaceDN w:val="0"/>
        <w:spacing w:before="0" w:after="0" w:line="181" w:lineRule="atLeast"/>
        <w:ind w:right="0"/>
        <w:jc w:val="both"/>
        <w:rPr>
          <w:rFonts w:cs="Calibri Light"/>
          <w:sz w:val="20"/>
          <w:szCs w:val="20"/>
        </w:rPr>
      </w:pPr>
      <w:r w:rsidRPr="00957584">
        <w:rPr>
          <w:rFonts w:cs="Calibri Light"/>
          <w:sz w:val="20"/>
          <w:szCs w:val="20"/>
        </w:rPr>
        <w:t>include a copyright notice in relation to the material used. In the case of no change to the material, the words “© Commonwealth of Australia (Department of Health and Aged Care) 2024” may be used. In the case where the material has been changed or adapted, the words: “Based on Commonwealth of Australia (Department of Health and Aged Care) material” may be used; and</w:t>
      </w:r>
    </w:p>
    <w:p w14:paraId="3BBF98CD" w14:textId="1F799A80" w:rsidR="00957584" w:rsidRPr="00957584" w:rsidRDefault="00957584" w:rsidP="00957584">
      <w:pPr>
        <w:pStyle w:val="ListParagraph"/>
        <w:numPr>
          <w:ilvl w:val="0"/>
          <w:numId w:val="83"/>
        </w:numPr>
        <w:autoSpaceDE w:val="0"/>
        <w:autoSpaceDN w:val="0"/>
        <w:spacing w:before="0" w:line="181" w:lineRule="atLeast"/>
        <w:ind w:right="0"/>
        <w:jc w:val="both"/>
        <w:rPr>
          <w:rFonts w:cs="Calibri Light"/>
          <w:sz w:val="20"/>
          <w:szCs w:val="20"/>
        </w:rPr>
      </w:pPr>
      <w:r w:rsidRPr="00957584">
        <w:rPr>
          <w:rFonts w:cs="Calibri Light"/>
          <w:sz w:val="20"/>
          <w:szCs w:val="20"/>
        </w:rPr>
        <w:t>do not suggest that the Department of Health and Aged Care endorses you or your use of the material.</w:t>
      </w:r>
    </w:p>
    <w:p w14:paraId="4055B1F6" w14:textId="77777777" w:rsidR="00957584" w:rsidRPr="00957584" w:rsidRDefault="00957584" w:rsidP="00957584">
      <w:pPr>
        <w:autoSpaceDE w:val="0"/>
        <w:autoSpaceDN w:val="0"/>
        <w:spacing w:after="0"/>
        <w:rPr>
          <w:rFonts w:cs="Calibri Light"/>
        </w:rPr>
      </w:pPr>
      <w:r w:rsidRPr="00957584">
        <w:rPr>
          <w:rFonts w:cs="Calibri Light"/>
        </w:rPr>
        <w:t>Enquiries</w:t>
      </w:r>
    </w:p>
    <w:p w14:paraId="2E922426" w14:textId="2C5C96F3" w:rsidR="00957584" w:rsidRDefault="00957584" w:rsidP="001439D8">
      <w:pPr>
        <w:spacing w:line="240" w:lineRule="auto"/>
        <w:rPr>
          <w:rFonts w:ascii="Calibri" w:hAnsi="Calibri" w:cs="Calibri"/>
          <w:b/>
          <w:lang w:val="en-GB"/>
        </w:rPr>
      </w:pPr>
      <w:r w:rsidRPr="00957584">
        <w:rPr>
          <w:rFonts w:cs="Calibri Light"/>
        </w:rPr>
        <w:t xml:space="preserve">Enquiries regarding any other use of this publication should be addressed to the Branch Manager, Communication Branch, Department of Health and Aged Care, GPO Box 9848, Canberra ACT 2601, or via e-mail to </w:t>
      </w:r>
      <w:hyperlink r:id="rId17" w:history="1">
        <w:r w:rsidRPr="00957584">
          <w:rPr>
            <w:rStyle w:val="Hyperlink"/>
            <w:rFonts w:cs="Calibri Light"/>
          </w:rPr>
          <w:t>copyright@health.gov.au</w:t>
        </w:r>
      </w:hyperlink>
      <w:r>
        <w:rPr>
          <w:rFonts w:ascii="Calibri" w:hAnsi="Calibri" w:cs="Calibri"/>
          <w:b/>
          <w:lang w:val="en-GB"/>
        </w:rPr>
        <w:br w:type="page"/>
      </w:r>
    </w:p>
    <w:p w14:paraId="50E28046" w14:textId="3D0CC945" w:rsidR="0036488E" w:rsidRPr="00221992" w:rsidRDefault="0036488E" w:rsidP="001439D8">
      <w:pPr>
        <w:spacing w:line="240" w:lineRule="auto"/>
        <w:rPr>
          <w:rFonts w:eastAsia="Times New Roman" w:cs="Arial"/>
          <w:color w:val="0F4BEB" w:themeColor="accent1"/>
          <w:sz w:val="48"/>
          <w:szCs w:val="32"/>
          <w:lang w:val="en-GB"/>
        </w:rPr>
      </w:pPr>
      <w:r w:rsidRPr="00221992">
        <w:rPr>
          <w:rFonts w:ascii="Calibri" w:hAnsi="Calibri" w:cs="Calibri"/>
          <w:b/>
          <w:lang w:val="en-GB"/>
        </w:rPr>
        <w:lastRenderedPageBreak/>
        <w:t>Provider</w:t>
      </w:r>
      <w:bookmarkEnd w:id="3"/>
      <w:bookmarkEnd w:id="4"/>
    </w:p>
    <w:p w14:paraId="518EBC22" w14:textId="380A6F01" w:rsidR="00676F39" w:rsidRPr="00221992" w:rsidRDefault="0036488E" w:rsidP="001439D8">
      <w:pPr>
        <w:spacing w:line="240" w:lineRule="auto"/>
        <w:rPr>
          <w:lang w:val="en-GB"/>
        </w:rPr>
      </w:pPr>
      <w:r w:rsidRPr="00221992">
        <w:rPr>
          <w:lang w:val="en-GB"/>
        </w:rPr>
        <w:t>Centre for Health Economics Research and Evaluation (CHERE)</w:t>
      </w:r>
      <w:r w:rsidRPr="00221992">
        <w:rPr>
          <w:lang w:val="en-GB"/>
        </w:rPr>
        <w:br/>
        <w:t>University of Technology Sydney (UTS) (ABN 77257686961)</w:t>
      </w:r>
      <w:r w:rsidRPr="00221992">
        <w:rPr>
          <w:lang w:val="en-GB"/>
        </w:rPr>
        <w:br/>
      </w:r>
      <w:r w:rsidR="0020580C" w:rsidRPr="009A7645">
        <w:t xml:space="preserve">O. Level </w:t>
      </w:r>
      <w:r w:rsidR="0020580C">
        <w:t>5</w:t>
      </w:r>
      <w:r w:rsidR="0020580C" w:rsidRPr="009A7645">
        <w:t xml:space="preserve">, Building </w:t>
      </w:r>
      <w:r w:rsidR="0020580C">
        <w:t>20</w:t>
      </w:r>
      <w:r w:rsidR="0020580C" w:rsidRPr="009A7645">
        <w:t xml:space="preserve">, </w:t>
      </w:r>
      <w:r w:rsidR="0020580C">
        <w:t>100 Broadway, Chippendale</w:t>
      </w:r>
      <w:r w:rsidR="0020580C" w:rsidRPr="009A7645">
        <w:t xml:space="preserve"> NSW 2007</w:t>
      </w:r>
      <w:r w:rsidR="0020580C">
        <w:br/>
      </w:r>
      <w:r w:rsidRPr="00221992">
        <w:rPr>
          <w:lang w:val="en-GB"/>
        </w:rPr>
        <w:t>P. CHERE, University of Technology Sydney, P.O. Box 123, Broadway NSW 2007</w:t>
      </w:r>
      <w:r w:rsidRPr="00221992">
        <w:rPr>
          <w:lang w:val="en-GB"/>
        </w:rPr>
        <w:br/>
        <w:t>W. http://www.chere.uts.edu.au</w:t>
      </w:r>
    </w:p>
    <w:p w14:paraId="25CF3893" w14:textId="77777777" w:rsidR="00676F39" w:rsidRPr="00221992" w:rsidRDefault="00676F39" w:rsidP="001439D8">
      <w:pPr>
        <w:spacing w:after="0" w:line="240" w:lineRule="auto"/>
        <w:rPr>
          <w:b/>
          <w:lang w:val="en-GB"/>
        </w:rPr>
      </w:pPr>
    </w:p>
    <w:p w14:paraId="13E302DC" w14:textId="77777777" w:rsidR="00676F39" w:rsidRPr="00221992" w:rsidRDefault="00676F39" w:rsidP="001439D8">
      <w:pPr>
        <w:spacing w:after="0" w:line="240" w:lineRule="auto"/>
        <w:rPr>
          <w:b/>
          <w:lang w:val="en-GB"/>
        </w:rPr>
      </w:pPr>
    </w:p>
    <w:p w14:paraId="772A7BF2" w14:textId="77777777" w:rsidR="00676F39" w:rsidRPr="00221992" w:rsidRDefault="00676F39" w:rsidP="001439D8">
      <w:pPr>
        <w:spacing w:after="0" w:line="240" w:lineRule="auto"/>
        <w:rPr>
          <w:b/>
          <w:lang w:val="en-GB"/>
        </w:rPr>
      </w:pPr>
    </w:p>
    <w:p w14:paraId="7D8C1F67" w14:textId="77777777" w:rsidR="00676F39" w:rsidRPr="00221992" w:rsidRDefault="00676F39" w:rsidP="001439D8">
      <w:pPr>
        <w:spacing w:after="0" w:line="240" w:lineRule="auto"/>
        <w:rPr>
          <w:b/>
          <w:lang w:val="en-GB"/>
        </w:rPr>
      </w:pPr>
    </w:p>
    <w:p w14:paraId="51A408E9" w14:textId="77777777" w:rsidR="00676F39" w:rsidRPr="00221992" w:rsidRDefault="00676F39" w:rsidP="001439D8">
      <w:pPr>
        <w:spacing w:after="0" w:line="240" w:lineRule="auto"/>
        <w:rPr>
          <w:b/>
          <w:lang w:val="en-GB"/>
        </w:rPr>
      </w:pPr>
    </w:p>
    <w:p w14:paraId="3F2138C3" w14:textId="77777777" w:rsidR="00676F39" w:rsidRPr="00221992" w:rsidRDefault="00676F39" w:rsidP="001439D8">
      <w:pPr>
        <w:spacing w:after="0" w:line="240" w:lineRule="auto"/>
        <w:rPr>
          <w:b/>
          <w:lang w:val="en-GB"/>
        </w:rPr>
      </w:pPr>
    </w:p>
    <w:p w14:paraId="15E799A3" w14:textId="77777777" w:rsidR="00676F39" w:rsidRPr="00221992" w:rsidRDefault="00676F39" w:rsidP="001439D8">
      <w:pPr>
        <w:spacing w:after="0" w:line="240" w:lineRule="auto"/>
        <w:rPr>
          <w:b/>
          <w:lang w:val="en-GB"/>
        </w:rPr>
      </w:pPr>
    </w:p>
    <w:p w14:paraId="5371B378" w14:textId="77777777" w:rsidR="00676F39" w:rsidRPr="00221992" w:rsidRDefault="00676F39" w:rsidP="001439D8">
      <w:pPr>
        <w:spacing w:after="0" w:line="240" w:lineRule="auto"/>
        <w:rPr>
          <w:b/>
          <w:lang w:val="en-GB"/>
        </w:rPr>
      </w:pPr>
    </w:p>
    <w:p w14:paraId="1939C5F9" w14:textId="77777777" w:rsidR="00676F39" w:rsidRPr="00221992" w:rsidRDefault="00676F39" w:rsidP="001439D8">
      <w:pPr>
        <w:spacing w:after="0" w:line="240" w:lineRule="auto"/>
        <w:rPr>
          <w:b/>
          <w:lang w:val="en-GB"/>
        </w:rPr>
      </w:pPr>
    </w:p>
    <w:p w14:paraId="5B57C6F0" w14:textId="77777777" w:rsidR="00676F39" w:rsidRPr="00221992" w:rsidRDefault="00676F39" w:rsidP="001439D8">
      <w:pPr>
        <w:spacing w:after="0" w:line="240" w:lineRule="auto"/>
        <w:rPr>
          <w:b/>
          <w:lang w:val="en-GB"/>
        </w:rPr>
      </w:pPr>
    </w:p>
    <w:p w14:paraId="7E604DBD" w14:textId="77777777" w:rsidR="00676F39" w:rsidRPr="00221992" w:rsidRDefault="00676F39" w:rsidP="001439D8">
      <w:pPr>
        <w:spacing w:after="0" w:line="240" w:lineRule="auto"/>
        <w:rPr>
          <w:b/>
          <w:lang w:val="en-GB"/>
        </w:rPr>
      </w:pPr>
    </w:p>
    <w:p w14:paraId="622B1F83" w14:textId="77777777" w:rsidR="00676F39" w:rsidRPr="00221992" w:rsidRDefault="00676F39" w:rsidP="001439D8">
      <w:pPr>
        <w:spacing w:after="0" w:line="240" w:lineRule="auto"/>
        <w:rPr>
          <w:b/>
          <w:lang w:val="en-GB"/>
        </w:rPr>
      </w:pPr>
    </w:p>
    <w:p w14:paraId="54856123" w14:textId="77777777" w:rsidR="00676F39" w:rsidRPr="00221992" w:rsidRDefault="00676F39" w:rsidP="001439D8">
      <w:pPr>
        <w:spacing w:after="0" w:line="240" w:lineRule="auto"/>
        <w:rPr>
          <w:b/>
          <w:lang w:val="en-GB"/>
        </w:rPr>
      </w:pPr>
    </w:p>
    <w:p w14:paraId="5835B0BE" w14:textId="77777777" w:rsidR="00676F39" w:rsidRPr="00221992" w:rsidRDefault="00676F39" w:rsidP="001439D8">
      <w:pPr>
        <w:spacing w:after="0" w:line="240" w:lineRule="auto"/>
        <w:rPr>
          <w:b/>
          <w:lang w:val="en-GB"/>
        </w:rPr>
      </w:pPr>
    </w:p>
    <w:p w14:paraId="535C6876" w14:textId="77777777" w:rsidR="00676F39" w:rsidRPr="00221992" w:rsidRDefault="00676F39" w:rsidP="001439D8">
      <w:pPr>
        <w:spacing w:after="0" w:line="240" w:lineRule="auto"/>
        <w:rPr>
          <w:b/>
          <w:lang w:val="en-GB"/>
        </w:rPr>
      </w:pPr>
    </w:p>
    <w:p w14:paraId="42B9566F" w14:textId="77777777" w:rsidR="00676F39" w:rsidRPr="00221992" w:rsidRDefault="00676F39" w:rsidP="001439D8">
      <w:pPr>
        <w:spacing w:after="0" w:line="240" w:lineRule="auto"/>
        <w:rPr>
          <w:b/>
          <w:lang w:val="en-GB"/>
        </w:rPr>
      </w:pPr>
    </w:p>
    <w:p w14:paraId="3661D85F" w14:textId="77777777" w:rsidR="00676F39" w:rsidRPr="00221992" w:rsidRDefault="00676F39" w:rsidP="001439D8">
      <w:pPr>
        <w:spacing w:after="0" w:line="240" w:lineRule="auto"/>
        <w:rPr>
          <w:b/>
          <w:lang w:val="en-GB"/>
        </w:rPr>
      </w:pPr>
    </w:p>
    <w:p w14:paraId="0F85CF9F" w14:textId="77777777" w:rsidR="00676F39" w:rsidRPr="00221992" w:rsidRDefault="00676F39" w:rsidP="001439D8">
      <w:pPr>
        <w:spacing w:after="0" w:line="240" w:lineRule="auto"/>
        <w:rPr>
          <w:b/>
          <w:lang w:val="en-GB"/>
        </w:rPr>
      </w:pPr>
    </w:p>
    <w:p w14:paraId="503311B7" w14:textId="77777777" w:rsidR="00676F39" w:rsidRPr="00221992" w:rsidRDefault="00676F39" w:rsidP="001439D8">
      <w:pPr>
        <w:spacing w:after="0" w:line="240" w:lineRule="auto"/>
        <w:rPr>
          <w:b/>
          <w:lang w:val="en-GB"/>
        </w:rPr>
      </w:pPr>
    </w:p>
    <w:p w14:paraId="51531977" w14:textId="77777777" w:rsidR="00676F39" w:rsidRPr="00221992" w:rsidRDefault="00676F39" w:rsidP="001439D8">
      <w:pPr>
        <w:spacing w:after="0" w:line="240" w:lineRule="auto"/>
        <w:rPr>
          <w:b/>
          <w:lang w:val="en-GB"/>
        </w:rPr>
      </w:pPr>
    </w:p>
    <w:p w14:paraId="5D83DC7A" w14:textId="77777777" w:rsidR="00676F39" w:rsidRPr="00221992" w:rsidRDefault="00676F39" w:rsidP="001439D8">
      <w:pPr>
        <w:spacing w:after="0" w:line="240" w:lineRule="auto"/>
        <w:rPr>
          <w:b/>
          <w:lang w:val="en-GB"/>
        </w:rPr>
      </w:pPr>
    </w:p>
    <w:p w14:paraId="447BA7EB" w14:textId="77777777" w:rsidR="00005279" w:rsidRDefault="00005279" w:rsidP="001439D8">
      <w:pPr>
        <w:spacing w:after="0" w:line="240" w:lineRule="auto"/>
        <w:rPr>
          <w:rFonts w:ascii="Calibri" w:hAnsi="Calibri" w:cs="Calibri"/>
          <w:b/>
          <w:lang w:val="en-GB"/>
        </w:rPr>
      </w:pPr>
    </w:p>
    <w:p w14:paraId="479698A8" w14:textId="772E40DF" w:rsidR="00676F39" w:rsidRPr="00221992" w:rsidRDefault="00676F39" w:rsidP="001439D8">
      <w:pPr>
        <w:spacing w:after="0" w:line="240" w:lineRule="auto"/>
        <w:rPr>
          <w:rFonts w:ascii="Calibri" w:hAnsi="Calibri" w:cs="Calibri"/>
          <w:b/>
          <w:lang w:val="en-GB"/>
        </w:rPr>
      </w:pPr>
      <w:r w:rsidRPr="00221992">
        <w:rPr>
          <w:rFonts w:ascii="Calibri" w:hAnsi="Calibri" w:cs="Calibri"/>
          <w:b/>
          <w:lang w:val="en-GB"/>
        </w:rPr>
        <w:t>Project Team</w:t>
      </w:r>
    </w:p>
    <w:p w14:paraId="5E402828" w14:textId="77777777" w:rsidR="00676F39" w:rsidRPr="00221992" w:rsidRDefault="00676F39" w:rsidP="001439D8">
      <w:pPr>
        <w:spacing w:after="0" w:line="240" w:lineRule="auto"/>
        <w:rPr>
          <w:lang w:val="en-GB"/>
        </w:rPr>
      </w:pPr>
    </w:p>
    <w:p w14:paraId="58DD4DE9" w14:textId="77777777" w:rsidR="007103AA" w:rsidRPr="00221992" w:rsidRDefault="007103AA" w:rsidP="007103AA">
      <w:pPr>
        <w:spacing w:after="0" w:line="240" w:lineRule="auto"/>
        <w:rPr>
          <w:lang w:val="en-GB"/>
        </w:rPr>
      </w:pPr>
      <w:r w:rsidRPr="03C5811C">
        <w:rPr>
          <w:lang w:val="en-GB"/>
        </w:rPr>
        <w:t>Project Lead: Professor Stephen Goodall</w:t>
      </w:r>
    </w:p>
    <w:p w14:paraId="3D02C5BA" w14:textId="77777777" w:rsidR="007103AA" w:rsidRPr="00221992" w:rsidRDefault="007103AA" w:rsidP="007103AA">
      <w:pPr>
        <w:spacing w:after="0" w:line="240" w:lineRule="auto"/>
        <w:rPr>
          <w:lang w:val="en-GB"/>
        </w:rPr>
      </w:pPr>
      <w:r w:rsidRPr="03C5811C">
        <w:rPr>
          <w:lang w:val="en-GB"/>
        </w:rPr>
        <w:t>Report Lead: Dr Joseph (Mark) Thomas</w:t>
      </w:r>
    </w:p>
    <w:p w14:paraId="2E68417F" w14:textId="77777777" w:rsidR="007103AA" w:rsidRPr="00364394" w:rsidRDefault="007103AA" w:rsidP="007103AA">
      <w:pPr>
        <w:spacing w:after="0" w:line="240" w:lineRule="auto"/>
        <w:rPr>
          <w:lang w:val="es-CL"/>
        </w:rPr>
      </w:pPr>
      <w:r w:rsidRPr="00364394">
        <w:rPr>
          <w:lang w:val="es-CL"/>
        </w:rPr>
        <w:t>Dr Paula Cronin</w:t>
      </w:r>
    </w:p>
    <w:p w14:paraId="70A55F34" w14:textId="77777777" w:rsidR="007103AA" w:rsidRPr="00364394" w:rsidRDefault="007103AA" w:rsidP="007103AA">
      <w:pPr>
        <w:spacing w:after="0" w:line="240" w:lineRule="auto"/>
        <w:rPr>
          <w:lang w:val="es-CL"/>
        </w:rPr>
      </w:pPr>
      <w:r w:rsidRPr="00364394">
        <w:rPr>
          <w:lang w:val="es-CL"/>
        </w:rPr>
        <w:t>Constanza Vargas Parada</w:t>
      </w:r>
    </w:p>
    <w:p w14:paraId="13424554" w14:textId="76E2E6B5" w:rsidR="007103AA" w:rsidRPr="00364394" w:rsidRDefault="007103AA" w:rsidP="007103AA">
      <w:pPr>
        <w:spacing w:after="0" w:line="240" w:lineRule="auto"/>
        <w:rPr>
          <w:lang w:val="es-CL"/>
        </w:rPr>
      </w:pPr>
      <w:r w:rsidRPr="00364394">
        <w:rPr>
          <w:lang w:val="es-CL"/>
        </w:rPr>
        <w:t xml:space="preserve">Dr Sam Vigours </w:t>
      </w:r>
      <w:r w:rsidRPr="00364394">
        <w:rPr>
          <w:lang w:val="es-CL"/>
        </w:rPr>
        <w:br/>
        <w:t xml:space="preserve">Dr Rebecca Addo </w:t>
      </w:r>
      <w:r w:rsidRPr="00364394">
        <w:rPr>
          <w:lang w:val="es-CL"/>
        </w:rPr>
        <w:br/>
        <w:t xml:space="preserve">Akanksha Akanksha </w:t>
      </w:r>
      <w:r w:rsidRPr="00364394">
        <w:rPr>
          <w:lang w:val="es-CL"/>
        </w:rPr>
        <w:br/>
        <w:t>Dr Sheena Arora</w:t>
      </w:r>
      <w:r w:rsidRPr="00364394">
        <w:rPr>
          <w:lang w:val="es-CL"/>
        </w:rPr>
        <w:br/>
        <w:t>Rafael De Feria Cardet</w:t>
      </w:r>
      <w:r w:rsidRPr="00364394">
        <w:rPr>
          <w:lang w:val="es-CL"/>
        </w:rPr>
        <w:br/>
        <w:t xml:space="preserve">Joseph Carrello </w:t>
      </w:r>
      <w:r w:rsidRPr="00364394">
        <w:rPr>
          <w:lang w:val="es-CL"/>
        </w:rPr>
        <w:br/>
        <w:t xml:space="preserve">Associate Professor Richard De Abreu Lourenço </w:t>
      </w:r>
      <w:r w:rsidRPr="00364394">
        <w:rPr>
          <w:lang w:val="es-CL"/>
        </w:rPr>
        <w:br/>
        <w:t>Dr Hansoo Kim</w:t>
      </w:r>
    </w:p>
    <w:p w14:paraId="3A76BA40" w14:textId="706A6F85" w:rsidR="000C6E31" w:rsidRPr="00221992" w:rsidRDefault="007103AA" w:rsidP="007103AA">
      <w:pPr>
        <w:spacing w:line="240" w:lineRule="auto"/>
        <w:rPr>
          <w:rStyle w:val="Hyperlink"/>
          <w:color w:val="auto"/>
          <w:u w:val="none"/>
          <w:lang w:val="en-GB"/>
        </w:rPr>
      </w:pPr>
      <w:r>
        <w:rPr>
          <w:lang w:val="en-GB"/>
        </w:rPr>
        <w:t>Dr Kathleen Manapis</w:t>
      </w:r>
      <w:r w:rsidRPr="00221992">
        <w:rPr>
          <w:lang w:val="en-GB"/>
        </w:rPr>
        <w:t xml:space="preserve"> </w:t>
      </w:r>
      <w:r>
        <w:rPr>
          <w:lang w:val="en-GB"/>
        </w:rPr>
        <w:br/>
      </w:r>
      <w:r w:rsidRPr="00005279">
        <w:rPr>
          <w:lang w:val="en-GB"/>
        </w:rPr>
        <w:t>Dr Elena Meshcheriakova</w:t>
      </w:r>
      <w:r>
        <w:rPr>
          <w:lang w:val="en-GB"/>
        </w:rPr>
        <w:br/>
      </w:r>
      <w:r w:rsidRPr="00005279">
        <w:rPr>
          <w:lang w:val="en-GB"/>
        </w:rPr>
        <w:t>Dr C</w:t>
      </w:r>
      <w:r>
        <w:rPr>
          <w:lang w:val="en-GB"/>
        </w:rPr>
        <w:t>arrie-Anne</w:t>
      </w:r>
      <w:r w:rsidRPr="00005279">
        <w:rPr>
          <w:lang w:val="en-GB"/>
        </w:rPr>
        <w:t xml:space="preserve"> N</w:t>
      </w:r>
      <w:r>
        <w:rPr>
          <w:lang w:val="en-GB"/>
        </w:rPr>
        <w:t>g</w:t>
      </w:r>
      <w:r w:rsidRPr="00221992">
        <w:rPr>
          <w:lang w:val="en-GB"/>
        </w:rPr>
        <w:t xml:space="preserve"> </w:t>
      </w:r>
      <w:r>
        <w:rPr>
          <w:lang w:val="en-GB"/>
        </w:rPr>
        <w:br/>
      </w:r>
      <w:r w:rsidRPr="00221992">
        <w:rPr>
          <w:lang w:val="en-GB"/>
        </w:rPr>
        <w:t xml:space="preserve">Associate Professor Sarah Norris </w:t>
      </w:r>
      <w:r>
        <w:rPr>
          <w:lang w:val="en-GB"/>
        </w:rPr>
        <w:br/>
      </w:r>
      <w:r w:rsidRPr="00221992">
        <w:rPr>
          <w:lang w:val="en-GB"/>
        </w:rPr>
        <w:t>Professor Rosalie Viney</w:t>
      </w:r>
      <w:r>
        <w:rPr>
          <w:lang w:val="en-GB"/>
        </w:rPr>
        <w:br/>
      </w:r>
      <w:r w:rsidRPr="00005279">
        <w:rPr>
          <w:lang w:val="en-GB"/>
        </w:rPr>
        <w:t>Dr Alice Yu</w:t>
      </w:r>
      <w:r w:rsidR="007E2E6E">
        <w:rPr>
          <w:lang w:val="en-GB"/>
        </w:rPr>
        <w:br/>
      </w:r>
      <w:r w:rsidR="00676F39" w:rsidRPr="00221992">
        <w:rPr>
          <w:rStyle w:val="Hyperlink"/>
          <w:rFonts w:asciiTheme="minorHAnsi" w:hAnsiTheme="minorHAnsi"/>
          <w:noProof/>
          <w:sz w:val="20"/>
          <w:szCs w:val="20"/>
          <w:lang w:val="en-GB"/>
        </w:rPr>
        <w:br w:type="page"/>
      </w:r>
      <w:r w:rsidR="23BBCA3B" w:rsidRPr="00221992">
        <w:rPr>
          <w:rStyle w:val="Hyperlink"/>
          <w:rFonts w:eastAsia="Calibri Light" w:cs="Calibri Light"/>
          <w:noProof/>
          <w:color w:val="000000" w:themeColor="text1"/>
          <w:u w:val="none"/>
          <w:lang w:val="en-GB"/>
        </w:rPr>
        <w:lastRenderedPageBreak/>
        <w:t>This work was commissioned by the Australian Government Department of Health and Aged Care to inform the Health Technology Assessment Policy and Methods Review.</w:t>
      </w:r>
      <w:r w:rsidR="23BBCA3B" w:rsidRPr="00221992">
        <w:rPr>
          <w:rStyle w:val="Hyperlink"/>
          <w:rFonts w:asciiTheme="minorHAnsi" w:hAnsiTheme="minorHAnsi"/>
          <w:noProof/>
          <w:color w:val="000000" w:themeColor="text1"/>
          <w:sz w:val="20"/>
          <w:szCs w:val="20"/>
          <w:u w:val="none"/>
          <w:lang w:val="en-GB"/>
        </w:rPr>
        <w:t xml:space="preserve"> </w:t>
      </w:r>
    </w:p>
    <w:p w14:paraId="1121AE75" w14:textId="14165851" w:rsidR="000C6E31" w:rsidRPr="00221992" w:rsidRDefault="23BBCA3B" w:rsidP="001439D8">
      <w:pPr>
        <w:spacing w:line="240" w:lineRule="auto"/>
        <w:rPr>
          <w:rStyle w:val="Hyperlink"/>
          <w:rFonts w:asciiTheme="minorHAnsi" w:hAnsiTheme="minorHAnsi"/>
          <w:b/>
          <w:color w:val="000000" w:themeColor="text1"/>
          <w:u w:val="none"/>
          <w:lang w:val="en-GB"/>
        </w:rPr>
      </w:pPr>
      <w:r w:rsidRPr="00221992">
        <w:rPr>
          <w:rStyle w:val="Hyperlink"/>
          <w:rFonts w:ascii="Calibri" w:eastAsia="Calibri" w:hAnsi="Calibri" w:cs="Calibri"/>
          <w:b/>
          <w:color w:val="000000" w:themeColor="text1"/>
          <w:u w:val="none"/>
          <w:lang w:val="en-GB"/>
        </w:rPr>
        <w:t xml:space="preserve">Acknowledgements </w:t>
      </w:r>
    </w:p>
    <w:p w14:paraId="2419B461" w14:textId="40B904F1" w:rsidR="000C6E31" w:rsidRPr="00221992" w:rsidRDefault="23BBCA3B" w:rsidP="008967DE">
      <w:pPr>
        <w:spacing w:line="240" w:lineRule="auto"/>
        <w:rPr>
          <w:rStyle w:val="Hyperlink"/>
          <w:rFonts w:eastAsia="Calibri Light" w:cs="Calibri Light"/>
          <w:noProof/>
          <w:color w:val="000000" w:themeColor="text1"/>
          <w:u w:val="none"/>
          <w:lang w:val="en-GB"/>
        </w:rPr>
      </w:pPr>
      <w:r w:rsidRPr="00221992">
        <w:rPr>
          <w:rStyle w:val="Hyperlink"/>
          <w:rFonts w:eastAsia="Calibri Light" w:cs="Calibri Light"/>
          <w:noProof/>
          <w:color w:val="000000" w:themeColor="text1"/>
          <w:u w:val="none"/>
          <w:lang w:val="en-GB"/>
        </w:rPr>
        <w:t xml:space="preserve">CHERE would like to thank the Australian Government Department of Health and Aged Care for </w:t>
      </w:r>
      <w:r w:rsidR="00370915" w:rsidRPr="00221992">
        <w:rPr>
          <w:rStyle w:val="Hyperlink"/>
          <w:rFonts w:eastAsia="Calibri Light" w:cs="Calibri Light"/>
          <w:noProof/>
          <w:color w:val="000000" w:themeColor="text1"/>
          <w:u w:val="none"/>
          <w:lang w:val="en-GB"/>
        </w:rPr>
        <w:t xml:space="preserve">its </w:t>
      </w:r>
      <w:r w:rsidRPr="00221992">
        <w:rPr>
          <w:rStyle w:val="Hyperlink"/>
          <w:rFonts w:eastAsia="Calibri Light" w:cs="Calibri Light"/>
          <w:noProof/>
          <w:color w:val="000000" w:themeColor="text1"/>
          <w:u w:val="none"/>
          <w:lang w:val="en-GB"/>
        </w:rPr>
        <w:t>support throughout the project.</w:t>
      </w:r>
    </w:p>
    <w:p w14:paraId="65EF508E" w14:textId="27D1B59C" w:rsidR="009108F0" w:rsidRPr="00221992" w:rsidRDefault="00F64CAA" w:rsidP="009108F0">
      <w:pPr>
        <w:spacing w:line="240" w:lineRule="auto"/>
        <w:rPr>
          <w:rStyle w:val="Hyperlink"/>
          <w:rFonts w:ascii="Calibri" w:eastAsia="Calibri" w:hAnsi="Calibri" w:cs="Calibri"/>
          <w:b/>
          <w:color w:val="000000" w:themeColor="text1"/>
          <w:u w:val="none"/>
          <w:lang w:val="en-GB"/>
        </w:rPr>
      </w:pPr>
      <w:r w:rsidRPr="00221992">
        <w:rPr>
          <w:rStyle w:val="Hyperlink"/>
          <w:rFonts w:ascii="Calibri" w:eastAsia="Calibri" w:hAnsi="Calibri" w:cs="Calibri"/>
          <w:b/>
          <w:color w:val="000000" w:themeColor="text1"/>
          <w:u w:val="none"/>
          <w:lang w:val="en-GB"/>
        </w:rPr>
        <w:t>Suggested citation</w:t>
      </w:r>
    </w:p>
    <w:p w14:paraId="08E79003" w14:textId="430C84F1" w:rsidR="00F64CAA" w:rsidRPr="00221992" w:rsidRDefault="0062227A" w:rsidP="00AF2795">
      <w:pPr>
        <w:spacing w:after="0" w:line="240" w:lineRule="auto"/>
        <w:rPr>
          <w:rStyle w:val="Hyperlink"/>
          <w:color w:val="auto"/>
          <w:u w:val="none"/>
          <w:lang w:val="en-GB"/>
        </w:rPr>
      </w:pPr>
      <w:r w:rsidRPr="03C5811C">
        <w:rPr>
          <w:lang w:val="en-GB"/>
        </w:rPr>
        <w:t xml:space="preserve">Thomas, J., </w:t>
      </w:r>
      <w:r w:rsidR="00201E32" w:rsidRPr="03C5811C">
        <w:rPr>
          <w:lang w:val="en-GB"/>
        </w:rPr>
        <w:t>Cronin, P.</w:t>
      </w:r>
      <w:r w:rsidRPr="03C5811C">
        <w:rPr>
          <w:lang w:val="en-GB"/>
        </w:rPr>
        <w:t xml:space="preserve">, </w:t>
      </w:r>
      <w:r w:rsidR="007E2E6E" w:rsidRPr="03C5811C">
        <w:rPr>
          <w:lang w:val="en-GB"/>
        </w:rPr>
        <w:t xml:space="preserve">Vargas Parada, C., Vigours, </w:t>
      </w:r>
      <w:r w:rsidR="007E2E6E">
        <w:rPr>
          <w:lang w:val="en-GB"/>
        </w:rPr>
        <w:t xml:space="preserve">S., </w:t>
      </w:r>
      <w:r w:rsidR="001F5C48">
        <w:rPr>
          <w:lang w:val="en-GB"/>
        </w:rPr>
        <w:t>Addo, R.</w:t>
      </w:r>
      <w:r w:rsidR="007E2E6E">
        <w:rPr>
          <w:lang w:val="en-GB"/>
        </w:rPr>
        <w:t xml:space="preserve">, </w:t>
      </w:r>
      <w:r w:rsidR="00BA7B4A" w:rsidRPr="00005279">
        <w:rPr>
          <w:lang w:val="en-GB"/>
        </w:rPr>
        <w:t>Akanksha</w:t>
      </w:r>
      <w:r w:rsidR="00BA7B4A">
        <w:rPr>
          <w:lang w:val="en-GB"/>
        </w:rPr>
        <w:t xml:space="preserve">, A., </w:t>
      </w:r>
      <w:r w:rsidR="007E2E6E" w:rsidRPr="00005279">
        <w:rPr>
          <w:lang w:val="en-GB"/>
        </w:rPr>
        <w:t>Arora</w:t>
      </w:r>
      <w:r w:rsidR="007E2E6E">
        <w:rPr>
          <w:lang w:val="en-GB"/>
        </w:rPr>
        <w:t xml:space="preserve">, S., </w:t>
      </w:r>
      <w:r w:rsidR="00BA7B4A">
        <w:rPr>
          <w:lang w:val="en-GB"/>
        </w:rPr>
        <w:t xml:space="preserve">Carrello, J., </w:t>
      </w:r>
      <w:r w:rsidR="007E2E6E">
        <w:rPr>
          <w:lang w:val="en-GB"/>
        </w:rPr>
        <w:t>D</w:t>
      </w:r>
      <w:r w:rsidR="007E2E6E" w:rsidRPr="03C5811C">
        <w:rPr>
          <w:lang w:val="en-GB"/>
        </w:rPr>
        <w:t>e Abreu Lourenço, R.,</w:t>
      </w:r>
      <w:r w:rsidR="007E2E6E">
        <w:rPr>
          <w:lang w:val="en-GB"/>
        </w:rPr>
        <w:t xml:space="preserve"> </w:t>
      </w:r>
      <w:r w:rsidR="007E2E6E" w:rsidRPr="00005279">
        <w:rPr>
          <w:lang w:val="en-GB"/>
        </w:rPr>
        <w:t>De Feria Cardet</w:t>
      </w:r>
      <w:r w:rsidR="007E2E6E">
        <w:rPr>
          <w:lang w:val="en-GB"/>
        </w:rPr>
        <w:t xml:space="preserve">, R., </w:t>
      </w:r>
      <w:r w:rsidR="007E2E6E" w:rsidRPr="03C5811C">
        <w:rPr>
          <w:lang w:val="en-GB"/>
        </w:rPr>
        <w:t>Kim, H.,</w:t>
      </w:r>
      <w:r w:rsidR="007E2E6E">
        <w:rPr>
          <w:lang w:val="en-GB"/>
        </w:rPr>
        <w:t xml:space="preserve"> Manapis, K., </w:t>
      </w:r>
      <w:r w:rsidR="007E2E6E" w:rsidRPr="00005279">
        <w:rPr>
          <w:lang w:val="en-GB"/>
        </w:rPr>
        <w:t>Meshcheriakova</w:t>
      </w:r>
      <w:r w:rsidR="007E2E6E">
        <w:rPr>
          <w:lang w:val="en-GB"/>
        </w:rPr>
        <w:t xml:space="preserve">, E., Ng, C.-A., </w:t>
      </w:r>
      <w:r w:rsidR="007E2E6E" w:rsidRPr="03C5811C">
        <w:rPr>
          <w:lang w:val="en-GB"/>
        </w:rPr>
        <w:t>Norris, S., Viney, R</w:t>
      </w:r>
      <w:r w:rsidR="007E2E6E">
        <w:rPr>
          <w:lang w:val="en-GB"/>
        </w:rPr>
        <w:t>., Yu, A.</w:t>
      </w:r>
      <w:r w:rsidR="144B5925" w:rsidRPr="03C5811C">
        <w:rPr>
          <w:lang w:val="en-GB"/>
        </w:rPr>
        <w:t xml:space="preserve"> &amp; Goodall, S.</w:t>
      </w:r>
      <w:r w:rsidR="00201E32" w:rsidRPr="03C5811C">
        <w:rPr>
          <w:lang w:val="en-GB"/>
        </w:rPr>
        <w:t xml:space="preserve"> </w:t>
      </w:r>
      <w:r w:rsidR="00370AA5" w:rsidRPr="03C5811C">
        <w:rPr>
          <w:lang w:val="en-GB"/>
        </w:rPr>
        <w:t xml:space="preserve">(2023). </w:t>
      </w:r>
      <w:r w:rsidR="002661F6" w:rsidRPr="03C5811C">
        <w:rPr>
          <w:lang w:val="en-GB"/>
        </w:rPr>
        <w:t xml:space="preserve">Funding and purchasing decisions and </w:t>
      </w:r>
      <w:r w:rsidR="00CA4E78" w:rsidRPr="03C5811C">
        <w:rPr>
          <w:lang w:val="en-GB"/>
        </w:rPr>
        <w:t>m</w:t>
      </w:r>
      <w:r w:rsidR="002661F6" w:rsidRPr="03C5811C">
        <w:rPr>
          <w:lang w:val="en-GB"/>
        </w:rPr>
        <w:t xml:space="preserve">anaging </w:t>
      </w:r>
      <w:r w:rsidR="00CA4E78" w:rsidRPr="03C5811C">
        <w:rPr>
          <w:lang w:val="en-GB"/>
        </w:rPr>
        <w:t>u</w:t>
      </w:r>
      <w:r w:rsidR="002661F6" w:rsidRPr="03C5811C">
        <w:rPr>
          <w:lang w:val="en-GB"/>
        </w:rPr>
        <w:t xml:space="preserve">ncertainty </w:t>
      </w:r>
      <w:r w:rsidR="00CA4E78" w:rsidRPr="03C5811C">
        <w:rPr>
          <w:lang w:val="en-GB"/>
        </w:rPr>
        <w:t>(B)</w:t>
      </w:r>
      <w:r w:rsidR="002661F6" w:rsidRPr="03C5811C">
        <w:rPr>
          <w:lang w:val="en-GB"/>
        </w:rPr>
        <w:t>. Australian Health Technology Assessment Methods and Policy Review. Canberra: Australian Government, Department of Health and Aged Care</w:t>
      </w:r>
      <w:r w:rsidR="00CA4E78" w:rsidRPr="03C5811C">
        <w:rPr>
          <w:lang w:val="en-GB"/>
        </w:rPr>
        <w:t>.</w:t>
      </w:r>
    </w:p>
    <w:p w14:paraId="456B4D52" w14:textId="77777777" w:rsidR="00F64CAA" w:rsidRPr="00221992" w:rsidRDefault="00F64CAA" w:rsidP="009108F0">
      <w:pPr>
        <w:spacing w:line="240" w:lineRule="auto"/>
        <w:rPr>
          <w:rStyle w:val="Hyperlink"/>
          <w:rFonts w:asciiTheme="minorHAnsi" w:hAnsiTheme="minorHAnsi"/>
          <w:b/>
          <w:color w:val="000000" w:themeColor="text1"/>
          <w:u w:val="none"/>
          <w:lang w:val="en-GB"/>
        </w:rPr>
      </w:pPr>
    </w:p>
    <w:tbl>
      <w:tblPr>
        <w:tblStyle w:val="TableGrid"/>
        <w:tblW w:w="0" w:type="auto"/>
        <w:tblLayout w:type="fixed"/>
        <w:tblLook w:val="06A0" w:firstRow="1" w:lastRow="0" w:firstColumn="1" w:lastColumn="0" w:noHBand="1" w:noVBand="1"/>
      </w:tblPr>
      <w:tblGrid>
        <w:gridCol w:w="9210"/>
      </w:tblGrid>
      <w:tr w:rsidR="00D572D3" w:rsidRPr="00221992" w14:paraId="0FB5BEB3" w14:textId="77777777" w:rsidTr="758AAF83">
        <w:trPr>
          <w:trHeight w:val="300"/>
        </w:trPr>
        <w:tc>
          <w:tcPr>
            <w:tcW w:w="9210" w:type="dxa"/>
          </w:tcPr>
          <w:p w14:paraId="08105120" w14:textId="627E333E" w:rsidR="23BBCA3B" w:rsidRPr="00221992" w:rsidRDefault="23BBCA3B" w:rsidP="001439D8">
            <w:pPr>
              <w:spacing w:line="240" w:lineRule="auto"/>
              <w:rPr>
                <w:rStyle w:val="Hyperlink"/>
                <w:rFonts w:asciiTheme="minorHAnsi" w:hAnsiTheme="minorHAnsi"/>
                <w:noProof/>
                <w:color w:val="000000" w:themeColor="text1"/>
                <w:u w:val="none"/>
                <w:lang w:val="en-GB"/>
              </w:rPr>
            </w:pPr>
            <w:r w:rsidRPr="00221992">
              <w:rPr>
                <w:rStyle w:val="Hyperlink"/>
                <w:rFonts w:ascii="Calibri" w:eastAsia="Calibri" w:hAnsi="Calibri" w:cs="Calibri"/>
                <w:b/>
                <w:color w:val="000000" w:themeColor="text1"/>
                <w:u w:val="none"/>
                <w:lang w:val="en-GB"/>
              </w:rPr>
              <w:t xml:space="preserve">Disclaimer </w:t>
            </w:r>
          </w:p>
          <w:p w14:paraId="0903066F" w14:textId="7387D5AE" w:rsidR="23BBCA3B" w:rsidRPr="00221992" w:rsidRDefault="00E3445F" w:rsidP="00E70CD9">
            <w:pPr>
              <w:spacing w:after="0" w:line="240" w:lineRule="auto"/>
              <w:rPr>
                <w:rStyle w:val="Hyperlink"/>
                <w:rFonts w:eastAsia="Calibri Light" w:cs="Calibri Light"/>
                <w:noProof/>
                <w:color w:val="000000" w:themeColor="text1"/>
                <w:u w:val="none"/>
                <w:lang w:val="en-GB"/>
              </w:rPr>
            </w:pPr>
            <w:r>
              <w:rPr>
                <w:rStyle w:val="Hyperlink"/>
                <w:rFonts w:eastAsia="Calibri Light" w:cs="Calibri Light"/>
                <w:noProof/>
                <w:color w:val="000000" w:themeColor="text1"/>
                <w:u w:val="none"/>
                <w:lang w:val="en-GB"/>
              </w:rPr>
              <w:t>Principal research for t</w:t>
            </w:r>
            <w:r w:rsidR="23BBCA3B" w:rsidRPr="00221992">
              <w:rPr>
                <w:rStyle w:val="Hyperlink"/>
                <w:rFonts w:eastAsia="Calibri Light" w:cs="Calibri Light"/>
                <w:noProof/>
                <w:color w:val="000000" w:themeColor="text1"/>
                <w:u w:val="none"/>
                <w:lang w:val="en-GB"/>
              </w:rPr>
              <w:t xml:space="preserve">his work was </w:t>
            </w:r>
            <w:r>
              <w:rPr>
                <w:rStyle w:val="Hyperlink"/>
                <w:rFonts w:eastAsia="Calibri Light" w:cs="Calibri Light"/>
                <w:noProof/>
                <w:color w:val="000000" w:themeColor="text1"/>
                <w:u w:val="none"/>
                <w:lang w:val="en-GB"/>
              </w:rPr>
              <w:t>conducted</w:t>
            </w:r>
            <w:r w:rsidRPr="00221992">
              <w:rPr>
                <w:rStyle w:val="Hyperlink"/>
                <w:rFonts w:eastAsia="Calibri Light" w:cs="Calibri Light"/>
                <w:noProof/>
                <w:color w:val="000000" w:themeColor="text1"/>
                <w:u w:val="none"/>
                <w:lang w:val="en-GB"/>
              </w:rPr>
              <w:t xml:space="preserve"> </w:t>
            </w:r>
            <w:r w:rsidR="23BBCA3B" w:rsidRPr="00221992">
              <w:rPr>
                <w:rStyle w:val="Hyperlink"/>
                <w:rFonts w:eastAsia="Calibri Light" w:cs="Calibri Light"/>
                <w:noProof/>
                <w:color w:val="000000" w:themeColor="text1"/>
                <w:u w:val="none"/>
                <w:lang w:val="en-GB"/>
              </w:rPr>
              <w:t xml:space="preserve">by CHERE from May to </w:t>
            </w:r>
            <w:r w:rsidR="00101E88" w:rsidRPr="00221992">
              <w:rPr>
                <w:rStyle w:val="Hyperlink"/>
                <w:rFonts w:eastAsia="Calibri Light" w:cs="Calibri Light"/>
                <w:noProof/>
                <w:color w:val="000000" w:themeColor="text1"/>
                <w:u w:val="none"/>
                <w:lang w:val="en-GB"/>
              </w:rPr>
              <w:t>September</w:t>
            </w:r>
            <w:r w:rsidR="23BBCA3B" w:rsidRPr="00221992">
              <w:rPr>
                <w:rStyle w:val="Hyperlink"/>
                <w:rFonts w:eastAsia="Calibri Light" w:cs="Calibri Light"/>
                <w:noProof/>
                <w:color w:val="000000" w:themeColor="text1"/>
                <w:u w:val="none"/>
                <w:lang w:val="en-GB"/>
              </w:rPr>
              <w:t xml:space="preserve"> 2023. </w:t>
            </w:r>
          </w:p>
          <w:p w14:paraId="404720C3" w14:textId="77777777" w:rsidR="00E70CD9" w:rsidRPr="00221992" w:rsidRDefault="00E70CD9" w:rsidP="00E70CD9">
            <w:pPr>
              <w:spacing w:after="0" w:line="240" w:lineRule="auto"/>
              <w:rPr>
                <w:rStyle w:val="Hyperlink"/>
                <w:rFonts w:eastAsia="Calibri Light" w:cs="Calibri Light"/>
                <w:noProof/>
                <w:color w:val="000000" w:themeColor="text1"/>
                <w:u w:val="none"/>
                <w:lang w:val="en-GB"/>
              </w:rPr>
            </w:pPr>
          </w:p>
          <w:p w14:paraId="04D2410B" w14:textId="60D9509B" w:rsidR="23BBCA3B" w:rsidRPr="00221992" w:rsidRDefault="00101E88" w:rsidP="00E70CD9">
            <w:pPr>
              <w:spacing w:after="0" w:line="240" w:lineRule="auto"/>
              <w:rPr>
                <w:rStyle w:val="Hyperlink"/>
                <w:rFonts w:eastAsia="Calibri Light" w:cs="Calibri Light"/>
                <w:noProof/>
                <w:color w:val="000000" w:themeColor="text1"/>
                <w:u w:val="none"/>
                <w:lang w:val="en-GB"/>
              </w:rPr>
            </w:pPr>
            <w:r w:rsidRPr="00221992">
              <w:rPr>
                <w:rStyle w:val="Hyperlink"/>
                <w:rFonts w:eastAsia="Calibri Light" w:cs="Calibri Light"/>
                <w:noProof/>
                <w:color w:val="000000" w:themeColor="text1"/>
                <w:u w:val="none"/>
                <w:lang w:val="en-GB"/>
              </w:rPr>
              <w:t>Data</w:t>
            </w:r>
            <w:r w:rsidR="23BBCA3B" w:rsidRPr="00221992">
              <w:rPr>
                <w:rStyle w:val="Hyperlink"/>
                <w:rFonts w:eastAsia="Calibri Light" w:cs="Calibri Light"/>
                <w:noProof/>
                <w:color w:val="000000" w:themeColor="text1"/>
                <w:u w:val="none"/>
                <w:lang w:val="en-GB"/>
              </w:rPr>
              <w:t xml:space="preserve"> used to inform this work </w:t>
            </w:r>
            <w:r w:rsidRPr="00221992">
              <w:rPr>
                <w:rStyle w:val="Hyperlink"/>
                <w:rFonts w:eastAsia="Calibri Light" w:cs="Calibri Light"/>
                <w:noProof/>
                <w:color w:val="000000" w:themeColor="text1"/>
                <w:u w:val="none"/>
                <w:lang w:val="en-GB"/>
              </w:rPr>
              <w:t>were sourced from</w:t>
            </w:r>
            <w:r w:rsidR="23BBCA3B" w:rsidRPr="00221992">
              <w:rPr>
                <w:rStyle w:val="Hyperlink"/>
                <w:rFonts w:eastAsia="Calibri Light" w:cs="Calibri Light"/>
                <w:noProof/>
                <w:color w:val="000000" w:themeColor="text1"/>
                <w:u w:val="none"/>
                <w:lang w:val="en-GB"/>
              </w:rPr>
              <w:t xml:space="preserve"> </w:t>
            </w:r>
            <w:r w:rsidR="00527317" w:rsidRPr="00221992">
              <w:rPr>
                <w:rStyle w:val="Hyperlink"/>
                <w:rFonts w:eastAsia="Calibri Light" w:cs="Calibri Light"/>
                <w:noProof/>
                <w:color w:val="000000" w:themeColor="text1"/>
                <w:u w:val="none"/>
                <w:lang w:val="en-GB"/>
              </w:rPr>
              <w:t xml:space="preserve">governmental and agency </w:t>
            </w:r>
            <w:r w:rsidR="23BBCA3B" w:rsidRPr="00221992">
              <w:rPr>
                <w:rStyle w:val="Hyperlink"/>
                <w:rFonts w:eastAsia="Calibri Light" w:cs="Calibri Light"/>
                <w:noProof/>
                <w:color w:val="000000" w:themeColor="text1"/>
                <w:u w:val="none"/>
                <w:lang w:val="en-GB"/>
              </w:rPr>
              <w:t xml:space="preserve">websites, </w:t>
            </w:r>
            <w:r w:rsidR="00527317" w:rsidRPr="00221992">
              <w:rPr>
                <w:rStyle w:val="Hyperlink"/>
                <w:rFonts w:eastAsia="Calibri Light" w:cs="Calibri Light"/>
                <w:noProof/>
                <w:color w:val="000000" w:themeColor="text1"/>
                <w:u w:val="none"/>
                <w:lang w:val="en-GB"/>
              </w:rPr>
              <w:t>peer-reviewed and grey</w:t>
            </w:r>
            <w:r w:rsidR="23BBCA3B" w:rsidRPr="00221992">
              <w:rPr>
                <w:rStyle w:val="Hyperlink"/>
                <w:rFonts w:eastAsia="Calibri Light" w:cs="Calibri Light"/>
                <w:noProof/>
                <w:color w:val="000000" w:themeColor="text1"/>
                <w:u w:val="none"/>
                <w:lang w:val="en-GB"/>
              </w:rPr>
              <w:t xml:space="preserve"> literature, and expert opinion. The approach </w:t>
            </w:r>
            <w:r w:rsidR="00527317" w:rsidRPr="00221992">
              <w:rPr>
                <w:rStyle w:val="Hyperlink"/>
                <w:rFonts w:eastAsia="Calibri Light" w:cs="Calibri Light"/>
                <w:noProof/>
                <w:color w:val="000000" w:themeColor="text1"/>
                <w:u w:val="none"/>
                <w:lang w:val="en-GB"/>
              </w:rPr>
              <w:t>to data collection</w:t>
            </w:r>
            <w:r w:rsidR="23BBCA3B" w:rsidRPr="00221992">
              <w:rPr>
                <w:rStyle w:val="Hyperlink"/>
                <w:rFonts w:eastAsia="Calibri Light" w:cs="Calibri Light"/>
                <w:noProof/>
                <w:color w:val="000000" w:themeColor="text1"/>
                <w:u w:val="none"/>
                <w:lang w:val="en-GB"/>
              </w:rPr>
              <w:t xml:space="preserve"> was wide-ranging </w:t>
            </w:r>
            <w:r w:rsidR="00A74576" w:rsidRPr="00221992">
              <w:rPr>
                <w:rStyle w:val="Hyperlink"/>
                <w:rFonts w:eastAsia="Calibri Light" w:cs="Calibri Light"/>
                <w:noProof/>
                <w:color w:val="000000" w:themeColor="text1"/>
                <w:u w:val="none"/>
                <w:lang w:val="en-GB"/>
              </w:rPr>
              <w:t>and subject to</w:t>
            </w:r>
            <w:r w:rsidR="23BBCA3B" w:rsidRPr="00221992">
              <w:rPr>
                <w:rStyle w:val="Hyperlink"/>
                <w:rFonts w:eastAsia="Calibri Light" w:cs="Calibri Light"/>
                <w:noProof/>
                <w:color w:val="000000" w:themeColor="text1"/>
                <w:u w:val="none"/>
                <w:lang w:val="en-GB"/>
              </w:rPr>
              <w:t xml:space="preserve"> time constraints. It is possible that there is inconsistency between the sources that were used, and some information may have been overlooked or misrepresented.</w:t>
            </w:r>
          </w:p>
        </w:tc>
      </w:tr>
    </w:tbl>
    <w:p w14:paraId="6D970A5E" w14:textId="36A2FBF0" w:rsidR="758AAF83" w:rsidRPr="00221992" w:rsidRDefault="758AAF83">
      <w:pPr>
        <w:rPr>
          <w:lang w:val="en-GB"/>
        </w:rPr>
      </w:pPr>
      <w:r w:rsidRPr="00221992">
        <w:rPr>
          <w:lang w:val="en-GB"/>
        </w:rPr>
        <w:br w:type="page"/>
      </w:r>
    </w:p>
    <w:p w14:paraId="0D80DB6B" w14:textId="77777777" w:rsidR="000C6E31" w:rsidRPr="00221992" w:rsidRDefault="000C6E31" w:rsidP="002B2CF5">
      <w:pPr>
        <w:pStyle w:val="UTSTitles"/>
        <w:tabs>
          <w:tab w:val="clear" w:pos="1134"/>
        </w:tabs>
        <w:outlineLvl w:val="9"/>
        <w:rPr>
          <w:lang w:val="en-GB"/>
        </w:rPr>
      </w:pPr>
      <w:r w:rsidRPr="00221992">
        <w:rPr>
          <w:lang w:val="en-GB"/>
        </w:rPr>
        <w:lastRenderedPageBreak/>
        <w:t>Table of Contents</w:t>
      </w:r>
    </w:p>
    <w:p w14:paraId="737FD04A" w14:textId="3E84AC35" w:rsidR="00BD46E9" w:rsidRDefault="005226AD">
      <w:pPr>
        <w:pStyle w:val="TOC1"/>
        <w:tabs>
          <w:tab w:val="right" w:leader="dot" w:pos="8494"/>
        </w:tabs>
        <w:rPr>
          <w:rFonts w:asciiTheme="minorHAnsi" w:eastAsiaTheme="minorEastAsia" w:hAnsiTheme="minorHAnsi" w:cstheme="minorBidi"/>
          <w:b w:val="0"/>
          <w:bCs w:val="0"/>
          <w:noProof/>
          <w:kern w:val="2"/>
          <w:sz w:val="24"/>
          <w:lang w:eastAsia="en-GB"/>
          <w14:ligatures w14:val="standardContextual"/>
        </w:rPr>
      </w:pPr>
      <w:r w:rsidRPr="00221992">
        <w:rPr>
          <w:lang w:val="en-GB"/>
        </w:rPr>
        <w:fldChar w:fldCharType="begin"/>
      </w:r>
      <w:r w:rsidRPr="00221992">
        <w:rPr>
          <w:lang w:val="en-GB"/>
        </w:rPr>
        <w:instrText xml:space="preserve"> TOC \o "1-3" \h \z \u </w:instrText>
      </w:r>
      <w:r w:rsidRPr="00221992">
        <w:rPr>
          <w:lang w:val="en-GB"/>
        </w:rPr>
        <w:fldChar w:fldCharType="separate"/>
      </w:r>
      <w:hyperlink w:anchor="_Toc162950845" w:history="1">
        <w:r w:rsidR="00BD46E9" w:rsidRPr="00F93DBE">
          <w:rPr>
            <w:rStyle w:val="Hyperlink"/>
            <w:noProof/>
            <w:lang w:val="en-GB"/>
          </w:rPr>
          <w:t>Table of Figures</w:t>
        </w:r>
        <w:r w:rsidR="00BD46E9">
          <w:rPr>
            <w:noProof/>
            <w:webHidden/>
          </w:rPr>
          <w:tab/>
        </w:r>
        <w:r w:rsidR="00BD46E9">
          <w:rPr>
            <w:noProof/>
            <w:webHidden/>
          </w:rPr>
          <w:fldChar w:fldCharType="begin"/>
        </w:r>
        <w:r w:rsidR="00BD46E9">
          <w:rPr>
            <w:noProof/>
            <w:webHidden/>
          </w:rPr>
          <w:instrText xml:space="preserve"> PAGEREF _Toc162950845 \h </w:instrText>
        </w:r>
        <w:r w:rsidR="00BD46E9">
          <w:rPr>
            <w:noProof/>
            <w:webHidden/>
          </w:rPr>
        </w:r>
        <w:r w:rsidR="00BD46E9">
          <w:rPr>
            <w:noProof/>
            <w:webHidden/>
          </w:rPr>
          <w:fldChar w:fldCharType="separate"/>
        </w:r>
        <w:r w:rsidR="000E11E7">
          <w:rPr>
            <w:noProof/>
            <w:webHidden/>
          </w:rPr>
          <w:t>7</w:t>
        </w:r>
        <w:r w:rsidR="00BD46E9">
          <w:rPr>
            <w:noProof/>
            <w:webHidden/>
          </w:rPr>
          <w:fldChar w:fldCharType="end"/>
        </w:r>
      </w:hyperlink>
    </w:p>
    <w:p w14:paraId="0966A6A4" w14:textId="0BC10581" w:rsidR="00BD46E9" w:rsidRDefault="00BB7E33">
      <w:pPr>
        <w:pStyle w:val="TOC1"/>
        <w:tabs>
          <w:tab w:val="right" w:leader="dot" w:pos="8494"/>
        </w:tabs>
        <w:rPr>
          <w:rFonts w:asciiTheme="minorHAnsi" w:eastAsiaTheme="minorEastAsia" w:hAnsiTheme="minorHAnsi" w:cstheme="minorBidi"/>
          <w:b w:val="0"/>
          <w:bCs w:val="0"/>
          <w:noProof/>
          <w:kern w:val="2"/>
          <w:sz w:val="24"/>
          <w:lang w:eastAsia="en-GB"/>
          <w14:ligatures w14:val="standardContextual"/>
        </w:rPr>
      </w:pPr>
      <w:hyperlink w:anchor="_Toc162950846" w:history="1">
        <w:r w:rsidR="00BD46E9" w:rsidRPr="00F93DBE">
          <w:rPr>
            <w:rStyle w:val="Hyperlink"/>
            <w:noProof/>
            <w:lang w:val="en-GB"/>
          </w:rPr>
          <w:t>Table of Tables</w:t>
        </w:r>
        <w:r w:rsidR="00BD46E9">
          <w:rPr>
            <w:noProof/>
            <w:webHidden/>
          </w:rPr>
          <w:tab/>
        </w:r>
        <w:r w:rsidR="00BD46E9">
          <w:rPr>
            <w:noProof/>
            <w:webHidden/>
          </w:rPr>
          <w:fldChar w:fldCharType="begin"/>
        </w:r>
        <w:r w:rsidR="00BD46E9">
          <w:rPr>
            <w:noProof/>
            <w:webHidden/>
          </w:rPr>
          <w:instrText xml:space="preserve"> PAGEREF _Toc162950846 \h </w:instrText>
        </w:r>
        <w:r w:rsidR="00BD46E9">
          <w:rPr>
            <w:noProof/>
            <w:webHidden/>
          </w:rPr>
        </w:r>
        <w:r w:rsidR="00BD46E9">
          <w:rPr>
            <w:noProof/>
            <w:webHidden/>
          </w:rPr>
          <w:fldChar w:fldCharType="separate"/>
        </w:r>
        <w:r w:rsidR="000E11E7">
          <w:rPr>
            <w:noProof/>
            <w:webHidden/>
          </w:rPr>
          <w:t>8</w:t>
        </w:r>
        <w:r w:rsidR="00BD46E9">
          <w:rPr>
            <w:noProof/>
            <w:webHidden/>
          </w:rPr>
          <w:fldChar w:fldCharType="end"/>
        </w:r>
      </w:hyperlink>
    </w:p>
    <w:p w14:paraId="42138984" w14:textId="2E21E528" w:rsidR="00BD46E9" w:rsidRDefault="00BB7E33">
      <w:pPr>
        <w:pStyle w:val="TOC1"/>
        <w:tabs>
          <w:tab w:val="right" w:leader="dot" w:pos="8494"/>
        </w:tabs>
        <w:rPr>
          <w:rFonts w:asciiTheme="minorHAnsi" w:eastAsiaTheme="minorEastAsia" w:hAnsiTheme="minorHAnsi" w:cstheme="minorBidi"/>
          <w:b w:val="0"/>
          <w:bCs w:val="0"/>
          <w:noProof/>
          <w:kern w:val="2"/>
          <w:sz w:val="24"/>
          <w:lang w:eastAsia="en-GB"/>
          <w14:ligatures w14:val="standardContextual"/>
        </w:rPr>
      </w:pPr>
      <w:hyperlink w:anchor="_Toc162950847" w:history="1">
        <w:r w:rsidR="00BD46E9" w:rsidRPr="00F93DBE">
          <w:rPr>
            <w:rStyle w:val="Hyperlink"/>
            <w:noProof/>
          </w:rPr>
          <w:t>Glossary and Abbreviations</w:t>
        </w:r>
        <w:r w:rsidR="00BD46E9">
          <w:rPr>
            <w:noProof/>
            <w:webHidden/>
          </w:rPr>
          <w:tab/>
        </w:r>
        <w:r w:rsidR="00BD46E9">
          <w:rPr>
            <w:noProof/>
            <w:webHidden/>
          </w:rPr>
          <w:fldChar w:fldCharType="begin"/>
        </w:r>
        <w:r w:rsidR="00BD46E9">
          <w:rPr>
            <w:noProof/>
            <w:webHidden/>
          </w:rPr>
          <w:instrText xml:space="preserve"> PAGEREF _Toc162950847 \h </w:instrText>
        </w:r>
        <w:r w:rsidR="00BD46E9">
          <w:rPr>
            <w:noProof/>
            <w:webHidden/>
          </w:rPr>
        </w:r>
        <w:r w:rsidR="00BD46E9">
          <w:rPr>
            <w:noProof/>
            <w:webHidden/>
          </w:rPr>
          <w:fldChar w:fldCharType="separate"/>
        </w:r>
        <w:r w:rsidR="000E11E7">
          <w:rPr>
            <w:noProof/>
            <w:webHidden/>
          </w:rPr>
          <w:t>9</w:t>
        </w:r>
        <w:r w:rsidR="00BD46E9">
          <w:rPr>
            <w:noProof/>
            <w:webHidden/>
          </w:rPr>
          <w:fldChar w:fldCharType="end"/>
        </w:r>
      </w:hyperlink>
    </w:p>
    <w:p w14:paraId="028F5FAE" w14:textId="554163BC" w:rsidR="00BD46E9" w:rsidRDefault="00BB7E33">
      <w:pPr>
        <w:pStyle w:val="TOC1"/>
        <w:tabs>
          <w:tab w:val="left" w:pos="440"/>
          <w:tab w:val="right" w:leader="dot" w:pos="8494"/>
        </w:tabs>
        <w:rPr>
          <w:rFonts w:asciiTheme="minorHAnsi" w:eastAsiaTheme="minorEastAsia" w:hAnsiTheme="minorHAnsi" w:cstheme="minorBidi"/>
          <w:b w:val="0"/>
          <w:bCs w:val="0"/>
          <w:noProof/>
          <w:kern w:val="2"/>
          <w:sz w:val="24"/>
          <w:lang w:eastAsia="en-GB"/>
          <w14:ligatures w14:val="standardContextual"/>
        </w:rPr>
      </w:pPr>
      <w:hyperlink w:anchor="_Toc162950848" w:history="1">
        <w:r w:rsidR="00BD46E9" w:rsidRPr="00F93DBE">
          <w:rPr>
            <w:rStyle w:val="Hyperlink"/>
            <w:rFonts w:cs="Calibri"/>
            <w:noProof/>
            <w:lang w:val="en-GB"/>
          </w:rPr>
          <w:t>1</w:t>
        </w:r>
        <w:r w:rsidR="00BD46E9">
          <w:rPr>
            <w:rFonts w:asciiTheme="minorHAnsi" w:eastAsiaTheme="minorEastAsia" w:hAnsiTheme="minorHAnsi" w:cstheme="minorBidi"/>
            <w:b w:val="0"/>
            <w:bCs w:val="0"/>
            <w:noProof/>
            <w:kern w:val="2"/>
            <w:sz w:val="24"/>
            <w:lang w:eastAsia="en-GB"/>
            <w14:ligatures w14:val="standardContextual"/>
          </w:rPr>
          <w:tab/>
        </w:r>
        <w:r w:rsidR="00BD46E9" w:rsidRPr="00F93DBE">
          <w:rPr>
            <w:rStyle w:val="Hyperlink"/>
            <w:noProof/>
            <w:lang w:val="en-GB"/>
          </w:rPr>
          <w:t>Executive Summary</w:t>
        </w:r>
        <w:r w:rsidR="00BD46E9">
          <w:rPr>
            <w:noProof/>
            <w:webHidden/>
          </w:rPr>
          <w:tab/>
        </w:r>
        <w:r w:rsidR="00BD46E9">
          <w:rPr>
            <w:noProof/>
            <w:webHidden/>
          </w:rPr>
          <w:fldChar w:fldCharType="begin"/>
        </w:r>
        <w:r w:rsidR="00BD46E9">
          <w:rPr>
            <w:noProof/>
            <w:webHidden/>
          </w:rPr>
          <w:instrText xml:space="preserve"> PAGEREF _Toc162950848 \h </w:instrText>
        </w:r>
        <w:r w:rsidR="00BD46E9">
          <w:rPr>
            <w:noProof/>
            <w:webHidden/>
          </w:rPr>
        </w:r>
        <w:r w:rsidR="00BD46E9">
          <w:rPr>
            <w:noProof/>
            <w:webHidden/>
          </w:rPr>
          <w:fldChar w:fldCharType="separate"/>
        </w:r>
        <w:r w:rsidR="000E11E7">
          <w:rPr>
            <w:noProof/>
            <w:webHidden/>
          </w:rPr>
          <w:t>12</w:t>
        </w:r>
        <w:r w:rsidR="00BD46E9">
          <w:rPr>
            <w:noProof/>
            <w:webHidden/>
          </w:rPr>
          <w:fldChar w:fldCharType="end"/>
        </w:r>
      </w:hyperlink>
    </w:p>
    <w:p w14:paraId="515637B4" w14:textId="27898881" w:rsidR="00BD46E9" w:rsidRDefault="00BB7E33">
      <w:pPr>
        <w:pStyle w:val="TOC2"/>
        <w:tabs>
          <w:tab w:val="left" w:pos="880"/>
          <w:tab w:val="right" w:leader="dot" w:pos="8494"/>
        </w:tabs>
        <w:rPr>
          <w:rFonts w:asciiTheme="minorHAnsi" w:eastAsiaTheme="minorEastAsia" w:hAnsiTheme="minorHAnsi" w:cstheme="minorBidi"/>
          <w:iCs w:val="0"/>
          <w:noProof/>
          <w:kern w:val="2"/>
          <w:sz w:val="24"/>
          <w:lang w:eastAsia="en-GB"/>
          <w14:ligatures w14:val="standardContextual"/>
        </w:rPr>
      </w:pPr>
      <w:hyperlink w:anchor="_Toc162950849" w:history="1">
        <w:r w:rsidR="00BD46E9" w:rsidRPr="00F93DBE">
          <w:rPr>
            <w:rStyle w:val="Hyperlink"/>
            <w:noProof/>
            <w:lang w:val="en-GB"/>
          </w:rPr>
          <w:t>1.1</w:t>
        </w:r>
        <w:r w:rsidR="00BD46E9">
          <w:rPr>
            <w:rFonts w:asciiTheme="minorHAnsi" w:eastAsiaTheme="minorEastAsia" w:hAnsiTheme="minorHAnsi" w:cstheme="minorBidi"/>
            <w:iCs w:val="0"/>
            <w:noProof/>
            <w:kern w:val="2"/>
            <w:sz w:val="24"/>
            <w:lang w:eastAsia="en-GB"/>
            <w14:ligatures w14:val="standardContextual"/>
          </w:rPr>
          <w:tab/>
        </w:r>
        <w:r w:rsidR="00BD46E9" w:rsidRPr="00F93DBE">
          <w:rPr>
            <w:rStyle w:val="Hyperlink"/>
            <w:noProof/>
            <w:lang w:val="en-GB"/>
          </w:rPr>
          <w:t>Background</w:t>
        </w:r>
        <w:r w:rsidR="00BD46E9">
          <w:rPr>
            <w:noProof/>
            <w:webHidden/>
          </w:rPr>
          <w:tab/>
        </w:r>
        <w:r w:rsidR="00BD46E9">
          <w:rPr>
            <w:noProof/>
            <w:webHidden/>
          </w:rPr>
          <w:fldChar w:fldCharType="begin"/>
        </w:r>
        <w:r w:rsidR="00BD46E9">
          <w:rPr>
            <w:noProof/>
            <w:webHidden/>
          </w:rPr>
          <w:instrText xml:space="preserve"> PAGEREF _Toc162950849 \h </w:instrText>
        </w:r>
        <w:r w:rsidR="00BD46E9">
          <w:rPr>
            <w:noProof/>
            <w:webHidden/>
          </w:rPr>
        </w:r>
        <w:r w:rsidR="00BD46E9">
          <w:rPr>
            <w:noProof/>
            <w:webHidden/>
          </w:rPr>
          <w:fldChar w:fldCharType="separate"/>
        </w:r>
        <w:r w:rsidR="000E11E7">
          <w:rPr>
            <w:noProof/>
            <w:webHidden/>
          </w:rPr>
          <w:t>12</w:t>
        </w:r>
        <w:r w:rsidR="00BD46E9">
          <w:rPr>
            <w:noProof/>
            <w:webHidden/>
          </w:rPr>
          <w:fldChar w:fldCharType="end"/>
        </w:r>
      </w:hyperlink>
    </w:p>
    <w:p w14:paraId="73A3D5A6" w14:textId="4583F1EE" w:rsidR="00BD46E9" w:rsidRDefault="00BB7E33">
      <w:pPr>
        <w:pStyle w:val="TOC2"/>
        <w:tabs>
          <w:tab w:val="left" w:pos="880"/>
          <w:tab w:val="right" w:leader="dot" w:pos="8494"/>
        </w:tabs>
        <w:rPr>
          <w:rFonts w:asciiTheme="minorHAnsi" w:eastAsiaTheme="minorEastAsia" w:hAnsiTheme="minorHAnsi" w:cstheme="minorBidi"/>
          <w:iCs w:val="0"/>
          <w:noProof/>
          <w:kern w:val="2"/>
          <w:sz w:val="24"/>
          <w:lang w:eastAsia="en-GB"/>
          <w14:ligatures w14:val="standardContextual"/>
        </w:rPr>
      </w:pPr>
      <w:hyperlink w:anchor="_Toc162950850" w:history="1">
        <w:r w:rsidR="00BD46E9" w:rsidRPr="00F93DBE">
          <w:rPr>
            <w:rStyle w:val="Hyperlink"/>
            <w:noProof/>
            <w:lang w:val="en-GB"/>
          </w:rPr>
          <w:t>1.2</w:t>
        </w:r>
        <w:r w:rsidR="00BD46E9">
          <w:rPr>
            <w:rFonts w:asciiTheme="minorHAnsi" w:eastAsiaTheme="minorEastAsia" w:hAnsiTheme="minorHAnsi" w:cstheme="minorBidi"/>
            <w:iCs w:val="0"/>
            <w:noProof/>
            <w:kern w:val="2"/>
            <w:sz w:val="24"/>
            <w:lang w:eastAsia="en-GB"/>
            <w14:ligatures w14:val="standardContextual"/>
          </w:rPr>
          <w:tab/>
        </w:r>
        <w:r w:rsidR="00BD46E9" w:rsidRPr="00F93DBE">
          <w:rPr>
            <w:rStyle w:val="Hyperlink"/>
            <w:noProof/>
            <w:lang w:val="en-GB"/>
          </w:rPr>
          <w:t>Methods</w:t>
        </w:r>
        <w:r w:rsidR="00BD46E9">
          <w:rPr>
            <w:noProof/>
            <w:webHidden/>
          </w:rPr>
          <w:tab/>
        </w:r>
        <w:r w:rsidR="00BD46E9">
          <w:rPr>
            <w:noProof/>
            <w:webHidden/>
          </w:rPr>
          <w:fldChar w:fldCharType="begin"/>
        </w:r>
        <w:r w:rsidR="00BD46E9">
          <w:rPr>
            <w:noProof/>
            <w:webHidden/>
          </w:rPr>
          <w:instrText xml:space="preserve"> PAGEREF _Toc162950850 \h </w:instrText>
        </w:r>
        <w:r w:rsidR="00BD46E9">
          <w:rPr>
            <w:noProof/>
            <w:webHidden/>
          </w:rPr>
        </w:r>
        <w:r w:rsidR="00BD46E9">
          <w:rPr>
            <w:noProof/>
            <w:webHidden/>
          </w:rPr>
          <w:fldChar w:fldCharType="separate"/>
        </w:r>
        <w:r w:rsidR="000E11E7">
          <w:rPr>
            <w:noProof/>
            <w:webHidden/>
          </w:rPr>
          <w:t>13</w:t>
        </w:r>
        <w:r w:rsidR="00BD46E9">
          <w:rPr>
            <w:noProof/>
            <w:webHidden/>
          </w:rPr>
          <w:fldChar w:fldCharType="end"/>
        </w:r>
      </w:hyperlink>
    </w:p>
    <w:p w14:paraId="6F48294D" w14:textId="7B73CD0A" w:rsidR="00BD46E9" w:rsidRDefault="00BB7E33">
      <w:pPr>
        <w:pStyle w:val="TOC2"/>
        <w:tabs>
          <w:tab w:val="left" w:pos="880"/>
          <w:tab w:val="right" w:leader="dot" w:pos="8494"/>
        </w:tabs>
        <w:rPr>
          <w:rFonts w:asciiTheme="minorHAnsi" w:eastAsiaTheme="minorEastAsia" w:hAnsiTheme="minorHAnsi" w:cstheme="minorBidi"/>
          <w:iCs w:val="0"/>
          <w:noProof/>
          <w:kern w:val="2"/>
          <w:sz w:val="24"/>
          <w:lang w:eastAsia="en-GB"/>
          <w14:ligatures w14:val="standardContextual"/>
        </w:rPr>
      </w:pPr>
      <w:hyperlink w:anchor="_Toc162950851" w:history="1">
        <w:r w:rsidR="00BD46E9" w:rsidRPr="00F93DBE">
          <w:rPr>
            <w:rStyle w:val="Hyperlink"/>
            <w:noProof/>
            <w:lang w:val="en-GB"/>
          </w:rPr>
          <w:t>1.3</w:t>
        </w:r>
        <w:r w:rsidR="00BD46E9">
          <w:rPr>
            <w:rFonts w:asciiTheme="minorHAnsi" w:eastAsiaTheme="minorEastAsia" w:hAnsiTheme="minorHAnsi" w:cstheme="minorBidi"/>
            <w:iCs w:val="0"/>
            <w:noProof/>
            <w:kern w:val="2"/>
            <w:sz w:val="24"/>
            <w:lang w:eastAsia="en-GB"/>
            <w14:ligatures w14:val="standardContextual"/>
          </w:rPr>
          <w:tab/>
        </w:r>
        <w:r w:rsidR="00BD46E9" w:rsidRPr="00F93DBE">
          <w:rPr>
            <w:rStyle w:val="Hyperlink"/>
            <w:noProof/>
            <w:lang w:val="en-GB"/>
          </w:rPr>
          <w:t>Key Findings</w:t>
        </w:r>
        <w:r w:rsidR="00BD46E9">
          <w:rPr>
            <w:noProof/>
            <w:webHidden/>
          </w:rPr>
          <w:tab/>
        </w:r>
        <w:r w:rsidR="00BD46E9">
          <w:rPr>
            <w:noProof/>
            <w:webHidden/>
          </w:rPr>
          <w:fldChar w:fldCharType="begin"/>
        </w:r>
        <w:r w:rsidR="00BD46E9">
          <w:rPr>
            <w:noProof/>
            <w:webHidden/>
          </w:rPr>
          <w:instrText xml:space="preserve"> PAGEREF _Toc162950851 \h </w:instrText>
        </w:r>
        <w:r w:rsidR="00BD46E9">
          <w:rPr>
            <w:noProof/>
            <w:webHidden/>
          </w:rPr>
        </w:r>
        <w:r w:rsidR="00BD46E9">
          <w:rPr>
            <w:noProof/>
            <w:webHidden/>
          </w:rPr>
          <w:fldChar w:fldCharType="separate"/>
        </w:r>
        <w:r w:rsidR="000E11E7">
          <w:rPr>
            <w:noProof/>
            <w:webHidden/>
          </w:rPr>
          <w:t>14</w:t>
        </w:r>
        <w:r w:rsidR="00BD46E9">
          <w:rPr>
            <w:noProof/>
            <w:webHidden/>
          </w:rPr>
          <w:fldChar w:fldCharType="end"/>
        </w:r>
      </w:hyperlink>
    </w:p>
    <w:p w14:paraId="3E6573AC" w14:textId="737F1348" w:rsidR="00BD46E9" w:rsidRDefault="00BB7E33">
      <w:pPr>
        <w:pStyle w:val="TOC3"/>
        <w:tabs>
          <w:tab w:val="right" w:leader="dot" w:pos="8494"/>
        </w:tabs>
        <w:rPr>
          <w:rFonts w:asciiTheme="minorHAnsi" w:eastAsiaTheme="minorEastAsia" w:hAnsiTheme="minorHAnsi" w:cstheme="minorBidi"/>
          <w:i w:val="0"/>
          <w:noProof/>
          <w:kern w:val="2"/>
          <w:sz w:val="24"/>
          <w:lang w:eastAsia="en-GB"/>
          <w14:ligatures w14:val="standardContextual"/>
        </w:rPr>
      </w:pPr>
      <w:hyperlink w:anchor="_Toc162950852" w:history="1">
        <w:r w:rsidR="00BD46E9" w:rsidRPr="00F93DBE">
          <w:rPr>
            <w:rStyle w:val="Hyperlink"/>
            <w:noProof/>
            <w:lang w:val="en-GB"/>
          </w:rPr>
          <w:t>Funding and purchasing approaches for new health technologies</w:t>
        </w:r>
        <w:r w:rsidR="00BD46E9">
          <w:rPr>
            <w:noProof/>
            <w:webHidden/>
          </w:rPr>
          <w:tab/>
        </w:r>
        <w:r w:rsidR="00BD46E9">
          <w:rPr>
            <w:noProof/>
            <w:webHidden/>
          </w:rPr>
          <w:fldChar w:fldCharType="begin"/>
        </w:r>
        <w:r w:rsidR="00BD46E9">
          <w:rPr>
            <w:noProof/>
            <w:webHidden/>
          </w:rPr>
          <w:instrText xml:space="preserve"> PAGEREF _Toc162950852 \h </w:instrText>
        </w:r>
        <w:r w:rsidR="00BD46E9">
          <w:rPr>
            <w:noProof/>
            <w:webHidden/>
          </w:rPr>
        </w:r>
        <w:r w:rsidR="00BD46E9">
          <w:rPr>
            <w:noProof/>
            <w:webHidden/>
          </w:rPr>
          <w:fldChar w:fldCharType="separate"/>
        </w:r>
        <w:r w:rsidR="000E11E7">
          <w:rPr>
            <w:noProof/>
            <w:webHidden/>
          </w:rPr>
          <w:t>14</w:t>
        </w:r>
        <w:r w:rsidR="00BD46E9">
          <w:rPr>
            <w:noProof/>
            <w:webHidden/>
          </w:rPr>
          <w:fldChar w:fldCharType="end"/>
        </w:r>
      </w:hyperlink>
    </w:p>
    <w:p w14:paraId="55135B55" w14:textId="27290C83" w:rsidR="00BD46E9" w:rsidRDefault="00BB7E33">
      <w:pPr>
        <w:pStyle w:val="TOC3"/>
        <w:tabs>
          <w:tab w:val="right" w:leader="dot" w:pos="8494"/>
        </w:tabs>
        <w:rPr>
          <w:rFonts w:asciiTheme="minorHAnsi" w:eastAsiaTheme="minorEastAsia" w:hAnsiTheme="minorHAnsi" w:cstheme="minorBidi"/>
          <w:i w:val="0"/>
          <w:noProof/>
          <w:kern w:val="2"/>
          <w:sz w:val="24"/>
          <w:lang w:eastAsia="en-GB"/>
          <w14:ligatures w14:val="standardContextual"/>
        </w:rPr>
      </w:pPr>
      <w:hyperlink w:anchor="_Toc162950853" w:history="1">
        <w:r w:rsidR="00BD46E9" w:rsidRPr="00F93DBE">
          <w:rPr>
            <w:rStyle w:val="Hyperlink"/>
            <w:noProof/>
            <w:lang w:val="en-GB"/>
          </w:rPr>
          <w:t>Co-dependent technologies</w:t>
        </w:r>
        <w:r w:rsidR="00BD46E9">
          <w:rPr>
            <w:noProof/>
            <w:webHidden/>
          </w:rPr>
          <w:tab/>
        </w:r>
        <w:r w:rsidR="00BD46E9">
          <w:rPr>
            <w:noProof/>
            <w:webHidden/>
          </w:rPr>
          <w:fldChar w:fldCharType="begin"/>
        </w:r>
        <w:r w:rsidR="00BD46E9">
          <w:rPr>
            <w:noProof/>
            <w:webHidden/>
          </w:rPr>
          <w:instrText xml:space="preserve"> PAGEREF _Toc162950853 \h </w:instrText>
        </w:r>
        <w:r w:rsidR="00BD46E9">
          <w:rPr>
            <w:noProof/>
            <w:webHidden/>
          </w:rPr>
        </w:r>
        <w:r w:rsidR="00BD46E9">
          <w:rPr>
            <w:noProof/>
            <w:webHidden/>
          </w:rPr>
          <w:fldChar w:fldCharType="separate"/>
        </w:r>
        <w:r w:rsidR="000E11E7">
          <w:rPr>
            <w:noProof/>
            <w:webHidden/>
          </w:rPr>
          <w:t>15</w:t>
        </w:r>
        <w:r w:rsidR="00BD46E9">
          <w:rPr>
            <w:noProof/>
            <w:webHidden/>
          </w:rPr>
          <w:fldChar w:fldCharType="end"/>
        </w:r>
      </w:hyperlink>
    </w:p>
    <w:p w14:paraId="62A3C184" w14:textId="48ACEF5C" w:rsidR="00BD46E9" w:rsidRDefault="00BB7E33">
      <w:pPr>
        <w:pStyle w:val="TOC3"/>
        <w:tabs>
          <w:tab w:val="right" w:leader="dot" w:pos="8494"/>
        </w:tabs>
        <w:rPr>
          <w:rFonts w:asciiTheme="minorHAnsi" w:eastAsiaTheme="minorEastAsia" w:hAnsiTheme="minorHAnsi" w:cstheme="minorBidi"/>
          <w:i w:val="0"/>
          <w:noProof/>
          <w:kern w:val="2"/>
          <w:sz w:val="24"/>
          <w:lang w:eastAsia="en-GB"/>
          <w14:ligatures w14:val="standardContextual"/>
        </w:rPr>
      </w:pPr>
      <w:hyperlink w:anchor="_Toc162950854" w:history="1">
        <w:r w:rsidR="00BD46E9" w:rsidRPr="00F93DBE">
          <w:rPr>
            <w:rStyle w:val="Hyperlink"/>
            <w:noProof/>
            <w:lang w:val="en-GB"/>
          </w:rPr>
          <w:t>Equity considerations in HTA</w:t>
        </w:r>
        <w:r w:rsidR="00BD46E9">
          <w:rPr>
            <w:noProof/>
            <w:webHidden/>
          </w:rPr>
          <w:tab/>
        </w:r>
        <w:r w:rsidR="00BD46E9">
          <w:rPr>
            <w:noProof/>
            <w:webHidden/>
          </w:rPr>
          <w:fldChar w:fldCharType="begin"/>
        </w:r>
        <w:r w:rsidR="00BD46E9">
          <w:rPr>
            <w:noProof/>
            <w:webHidden/>
          </w:rPr>
          <w:instrText xml:space="preserve"> PAGEREF _Toc162950854 \h </w:instrText>
        </w:r>
        <w:r w:rsidR="00BD46E9">
          <w:rPr>
            <w:noProof/>
            <w:webHidden/>
          </w:rPr>
        </w:r>
        <w:r w:rsidR="00BD46E9">
          <w:rPr>
            <w:noProof/>
            <w:webHidden/>
          </w:rPr>
          <w:fldChar w:fldCharType="separate"/>
        </w:r>
        <w:r w:rsidR="000E11E7">
          <w:rPr>
            <w:noProof/>
            <w:webHidden/>
          </w:rPr>
          <w:t>17</w:t>
        </w:r>
        <w:r w:rsidR="00BD46E9">
          <w:rPr>
            <w:noProof/>
            <w:webHidden/>
          </w:rPr>
          <w:fldChar w:fldCharType="end"/>
        </w:r>
      </w:hyperlink>
    </w:p>
    <w:p w14:paraId="3F43C589" w14:textId="72C3D5F1" w:rsidR="00BD46E9" w:rsidRDefault="00BB7E33">
      <w:pPr>
        <w:pStyle w:val="TOC3"/>
        <w:tabs>
          <w:tab w:val="right" w:leader="dot" w:pos="8494"/>
        </w:tabs>
        <w:rPr>
          <w:rFonts w:asciiTheme="minorHAnsi" w:eastAsiaTheme="minorEastAsia" w:hAnsiTheme="minorHAnsi" w:cstheme="minorBidi"/>
          <w:i w:val="0"/>
          <w:noProof/>
          <w:kern w:val="2"/>
          <w:sz w:val="24"/>
          <w:lang w:eastAsia="en-GB"/>
          <w14:ligatures w14:val="standardContextual"/>
        </w:rPr>
      </w:pPr>
      <w:hyperlink w:anchor="_Toc162950855" w:history="1">
        <w:r w:rsidR="00BD46E9" w:rsidRPr="00F93DBE">
          <w:rPr>
            <w:rStyle w:val="Hyperlink"/>
            <w:noProof/>
            <w:lang w:val="en-GB"/>
          </w:rPr>
          <w:t>International approaches to rare disease in HTA</w:t>
        </w:r>
        <w:r w:rsidR="00BD46E9">
          <w:rPr>
            <w:noProof/>
            <w:webHidden/>
          </w:rPr>
          <w:tab/>
        </w:r>
        <w:r w:rsidR="00BD46E9">
          <w:rPr>
            <w:noProof/>
            <w:webHidden/>
          </w:rPr>
          <w:fldChar w:fldCharType="begin"/>
        </w:r>
        <w:r w:rsidR="00BD46E9">
          <w:rPr>
            <w:noProof/>
            <w:webHidden/>
          </w:rPr>
          <w:instrText xml:space="preserve"> PAGEREF _Toc162950855 \h </w:instrText>
        </w:r>
        <w:r w:rsidR="00BD46E9">
          <w:rPr>
            <w:noProof/>
            <w:webHidden/>
          </w:rPr>
        </w:r>
        <w:r w:rsidR="00BD46E9">
          <w:rPr>
            <w:noProof/>
            <w:webHidden/>
          </w:rPr>
          <w:fldChar w:fldCharType="separate"/>
        </w:r>
        <w:r w:rsidR="000E11E7">
          <w:rPr>
            <w:noProof/>
            <w:webHidden/>
          </w:rPr>
          <w:t>19</w:t>
        </w:r>
        <w:r w:rsidR="00BD46E9">
          <w:rPr>
            <w:noProof/>
            <w:webHidden/>
          </w:rPr>
          <w:fldChar w:fldCharType="end"/>
        </w:r>
      </w:hyperlink>
    </w:p>
    <w:p w14:paraId="25FDF7C8" w14:textId="626C372F" w:rsidR="00BD46E9" w:rsidRDefault="00BB7E33">
      <w:pPr>
        <w:pStyle w:val="TOC3"/>
        <w:tabs>
          <w:tab w:val="right" w:leader="dot" w:pos="8494"/>
        </w:tabs>
        <w:rPr>
          <w:rFonts w:asciiTheme="minorHAnsi" w:eastAsiaTheme="minorEastAsia" w:hAnsiTheme="minorHAnsi" w:cstheme="minorBidi"/>
          <w:i w:val="0"/>
          <w:noProof/>
          <w:kern w:val="2"/>
          <w:sz w:val="24"/>
          <w:lang w:eastAsia="en-GB"/>
          <w14:ligatures w14:val="standardContextual"/>
        </w:rPr>
      </w:pPr>
      <w:hyperlink w:anchor="_Toc162950856" w:history="1">
        <w:r w:rsidR="00BD46E9" w:rsidRPr="00F93DBE">
          <w:rPr>
            <w:rStyle w:val="Hyperlink"/>
            <w:noProof/>
            <w:lang w:val="en-GB"/>
          </w:rPr>
          <w:t>Managing uncertainty</w:t>
        </w:r>
        <w:r w:rsidR="00BD46E9">
          <w:rPr>
            <w:noProof/>
            <w:webHidden/>
          </w:rPr>
          <w:tab/>
        </w:r>
        <w:r w:rsidR="00BD46E9">
          <w:rPr>
            <w:noProof/>
            <w:webHidden/>
          </w:rPr>
          <w:fldChar w:fldCharType="begin"/>
        </w:r>
        <w:r w:rsidR="00BD46E9">
          <w:rPr>
            <w:noProof/>
            <w:webHidden/>
          </w:rPr>
          <w:instrText xml:space="preserve"> PAGEREF _Toc162950856 \h </w:instrText>
        </w:r>
        <w:r w:rsidR="00BD46E9">
          <w:rPr>
            <w:noProof/>
            <w:webHidden/>
          </w:rPr>
        </w:r>
        <w:r w:rsidR="00BD46E9">
          <w:rPr>
            <w:noProof/>
            <w:webHidden/>
          </w:rPr>
          <w:fldChar w:fldCharType="separate"/>
        </w:r>
        <w:r w:rsidR="000E11E7">
          <w:rPr>
            <w:noProof/>
            <w:webHidden/>
          </w:rPr>
          <w:t>22</w:t>
        </w:r>
        <w:r w:rsidR="00BD46E9">
          <w:rPr>
            <w:noProof/>
            <w:webHidden/>
          </w:rPr>
          <w:fldChar w:fldCharType="end"/>
        </w:r>
      </w:hyperlink>
    </w:p>
    <w:p w14:paraId="1B17736C" w14:textId="1D859B22" w:rsidR="00BD46E9" w:rsidRDefault="00BB7E33">
      <w:pPr>
        <w:pStyle w:val="TOC1"/>
        <w:tabs>
          <w:tab w:val="left" w:pos="440"/>
          <w:tab w:val="right" w:leader="dot" w:pos="8494"/>
        </w:tabs>
        <w:rPr>
          <w:rFonts w:asciiTheme="minorHAnsi" w:eastAsiaTheme="minorEastAsia" w:hAnsiTheme="minorHAnsi" w:cstheme="minorBidi"/>
          <w:b w:val="0"/>
          <w:bCs w:val="0"/>
          <w:noProof/>
          <w:kern w:val="2"/>
          <w:sz w:val="24"/>
          <w:lang w:eastAsia="en-GB"/>
          <w14:ligatures w14:val="standardContextual"/>
        </w:rPr>
      </w:pPr>
      <w:hyperlink w:anchor="_Toc162950857" w:history="1">
        <w:r w:rsidR="00BD46E9" w:rsidRPr="00F93DBE">
          <w:rPr>
            <w:rStyle w:val="Hyperlink"/>
            <w:rFonts w:cs="Calibri"/>
            <w:noProof/>
            <w:lang w:val="en-GB"/>
          </w:rPr>
          <w:t>2</w:t>
        </w:r>
        <w:r w:rsidR="00BD46E9">
          <w:rPr>
            <w:rFonts w:asciiTheme="minorHAnsi" w:eastAsiaTheme="minorEastAsia" w:hAnsiTheme="minorHAnsi" w:cstheme="minorBidi"/>
            <w:b w:val="0"/>
            <w:bCs w:val="0"/>
            <w:noProof/>
            <w:kern w:val="2"/>
            <w:sz w:val="24"/>
            <w:lang w:eastAsia="en-GB"/>
            <w14:ligatures w14:val="standardContextual"/>
          </w:rPr>
          <w:tab/>
        </w:r>
        <w:r w:rsidR="00BD46E9" w:rsidRPr="00F93DBE">
          <w:rPr>
            <w:rStyle w:val="Hyperlink"/>
            <w:noProof/>
            <w:lang w:val="en-GB"/>
          </w:rPr>
          <w:t>Background</w:t>
        </w:r>
        <w:r w:rsidR="00BD46E9">
          <w:rPr>
            <w:noProof/>
            <w:webHidden/>
          </w:rPr>
          <w:tab/>
        </w:r>
        <w:r w:rsidR="00BD46E9">
          <w:rPr>
            <w:noProof/>
            <w:webHidden/>
          </w:rPr>
          <w:fldChar w:fldCharType="begin"/>
        </w:r>
        <w:r w:rsidR="00BD46E9">
          <w:rPr>
            <w:noProof/>
            <w:webHidden/>
          </w:rPr>
          <w:instrText xml:space="preserve"> PAGEREF _Toc162950857 \h </w:instrText>
        </w:r>
        <w:r w:rsidR="00BD46E9">
          <w:rPr>
            <w:noProof/>
            <w:webHidden/>
          </w:rPr>
        </w:r>
        <w:r w:rsidR="00BD46E9">
          <w:rPr>
            <w:noProof/>
            <w:webHidden/>
          </w:rPr>
          <w:fldChar w:fldCharType="separate"/>
        </w:r>
        <w:r w:rsidR="000E11E7">
          <w:rPr>
            <w:noProof/>
            <w:webHidden/>
          </w:rPr>
          <w:t>28</w:t>
        </w:r>
        <w:r w:rsidR="00BD46E9">
          <w:rPr>
            <w:noProof/>
            <w:webHidden/>
          </w:rPr>
          <w:fldChar w:fldCharType="end"/>
        </w:r>
      </w:hyperlink>
    </w:p>
    <w:p w14:paraId="6DB3BFD0" w14:textId="0ED55DC1" w:rsidR="00BD46E9" w:rsidRDefault="00BB7E33">
      <w:pPr>
        <w:pStyle w:val="TOC1"/>
        <w:tabs>
          <w:tab w:val="left" w:pos="440"/>
          <w:tab w:val="right" w:leader="dot" w:pos="8494"/>
        </w:tabs>
        <w:rPr>
          <w:rFonts w:asciiTheme="minorHAnsi" w:eastAsiaTheme="minorEastAsia" w:hAnsiTheme="minorHAnsi" w:cstheme="minorBidi"/>
          <w:b w:val="0"/>
          <w:bCs w:val="0"/>
          <w:noProof/>
          <w:kern w:val="2"/>
          <w:sz w:val="24"/>
          <w:lang w:eastAsia="en-GB"/>
          <w14:ligatures w14:val="standardContextual"/>
        </w:rPr>
      </w:pPr>
      <w:hyperlink w:anchor="_Toc162950858" w:history="1">
        <w:r w:rsidR="00BD46E9" w:rsidRPr="00F93DBE">
          <w:rPr>
            <w:rStyle w:val="Hyperlink"/>
            <w:rFonts w:cs="Calibri"/>
            <w:noProof/>
            <w:lang w:val="en-GB"/>
          </w:rPr>
          <w:t>3</w:t>
        </w:r>
        <w:r w:rsidR="00BD46E9">
          <w:rPr>
            <w:rFonts w:asciiTheme="minorHAnsi" w:eastAsiaTheme="minorEastAsia" w:hAnsiTheme="minorHAnsi" w:cstheme="minorBidi"/>
            <w:b w:val="0"/>
            <w:bCs w:val="0"/>
            <w:noProof/>
            <w:kern w:val="2"/>
            <w:sz w:val="24"/>
            <w:lang w:eastAsia="en-GB"/>
            <w14:ligatures w14:val="standardContextual"/>
          </w:rPr>
          <w:tab/>
        </w:r>
        <w:r w:rsidR="00BD46E9" w:rsidRPr="00F93DBE">
          <w:rPr>
            <w:rStyle w:val="Hyperlink"/>
            <w:noProof/>
            <w:lang w:val="en-GB"/>
          </w:rPr>
          <w:t>Methods</w:t>
        </w:r>
        <w:r w:rsidR="00BD46E9">
          <w:rPr>
            <w:noProof/>
            <w:webHidden/>
          </w:rPr>
          <w:tab/>
        </w:r>
        <w:r w:rsidR="00BD46E9">
          <w:rPr>
            <w:noProof/>
            <w:webHidden/>
          </w:rPr>
          <w:fldChar w:fldCharType="begin"/>
        </w:r>
        <w:r w:rsidR="00BD46E9">
          <w:rPr>
            <w:noProof/>
            <w:webHidden/>
          </w:rPr>
          <w:instrText xml:space="preserve"> PAGEREF _Toc162950858 \h </w:instrText>
        </w:r>
        <w:r w:rsidR="00BD46E9">
          <w:rPr>
            <w:noProof/>
            <w:webHidden/>
          </w:rPr>
        </w:r>
        <w:r w:rsidR="00BD46E9">
          <w:rPr>
            <w:noProof/>
            <w:webHidden/>
          </w:rPr>
          <w:fldChar w:fldCharType="separate"/>
        </w:r>
        <w:r w:rsidR="000E11E7">
          <w:rPr>
            <w:noProof/>
            <w:webHidden/>
          </w:rPr>
          <w:t>29</w:t>
        </w:r>
        <w:r w:rsidR="00BD46E9">
          <w:rPr>
            <w:noProof/>
            <w:webHidden/>
          </w:rPr>
          <w:fldChar w:fldCharType="end"/>
        </w:r>
      </w:hyperlink>
    </w:p>
    <w:p w14:paraId="23D276A4" w14:textId="36E8650F" w:rsidR="00BD46E9" w:rsidRDefault="00BB7E33">
      <w:pPr>
        <w:pStyle w:val="TOC2"/>
        <w:tabs>
          <w:tab w:val="left" w:pos="880"/>
          <w:tab w:val="right" w:leader="dot" w:pos="8494"/>
        </w:tabs>
        <w:rPr>
          <w:rFonts w:asciiTheme="minorHAnsi" w:eastAsiaTheme="minorEastAsia" w:hAnsiTheme="minorHAnsi" w:cstheme="minorBidi"/>
          <w:iCs w:val="0"/>
          <w:noProof/>
          <w:kern w:val="2"/>
          <w:sz w:val="24"/>
          <w:lang w:eastAsia="en-GB"/>
          <w14:ligatures w14:val="standardContextual"/>
        </w:rPr>
      </w:pPr>
      <w:hyperlink w:anchor="_Toc162950859" w:history="1">
        <w:r w:rsidR="00BD46E9" w:rsidRPr="00F93DBE">
          <w:rPr>
            <w:rStyle w:val="Hyperlink"/>
            <w:noProof/>
            <w:lang w:val="en-GB"/>
          </w:rPr>
          <w:t>3.1</w:t>
        </w:r>
        <w:r w:rsidR="00BD46E9">
          <w:rPr>
            <w:rFonts w:asciiTheme="minorHAnsi" w:eastAsiaTheme="minorEastAsia" w:hAnsiTheme="minorHAnsi" w:cstheme="minorBidi"/>
            <w:iCs w:val="0"/>
            <w:noProof/>
            <w:kern w:val="2"/>
            <w:sz w:val="24"/>
            <w:lang w:eastAsia="en-GB"/>
            <w14:ligatures w14:val="standardContextual"/>
          </w:rPr>
          <w:tab/>
        </w:r>
        <w:r w:rsidR="00BD46E9" w:rsidRPr="00F93DBE">
          <w:rPr>
            <w:rStyle w:val="Hyperlink"/>
            <w:noProof/>
            <w:lang w:val="en-GB"/>
          </w:rPr>
          <w:t>Literature review</w:t>
        </w:r>
        <w:r w:rsidR="00BD46E9">
          <w:rPr>
            <w:noProof/>
            <w:webHidden/>
          </w:rPr>
          <w:tab/>
        </w:r>
        <w:r w:rsidR="00BD46E9">
          <w:rPr>
            <w:noProof/>
            <w:webHidden/>
          </w:rPr>
          <w:fldChar w:fldCharType="begin"/>
        </w:r>
        <w:r w:rsidR="00BD46E9">
          <w:rPr>
            <w:noProof/>
            <w:webHidden/>
          </w:rPr>
          <w:instrText xml:space="preserve"> PAGEREF _Toc162950859 \h </w:instrText>
        </w:r>
        <w:r w:rsidR="00BD46E9">
          <w:rPr>
            <w:noProof/>
            <w:webHidden/>
          </w:rPr>
        </w:r>
        <w:r w:rsidR="00BD46E9">
          <w:rPr>
            <w:noProof/>
            <w:webHidden/>
          </w:rPr>
          <w:fldChar w:fldCharType="separate"/>
        </w:r>
        <w:r w:rsidR="000E11E7">
          <w:rPr>
            <w:noProof/>
            <w:webHidden/>
          </w:rPr>
          <w:t>29</w:t>
        </w:r>
        <w:r w:rsidR="00BD46E9">
          <w:rPr>
            <w:noProof/>
            <w:webHidden/>
          </w:rPr>
          <w:fldChar w:fldCharType="end"/>
        </w:r>
      </w:hyperlink>
    </w:p>
    <w:p w14:paraId="5C1E3097" w14:textId="38384036" w:rsidR="00BD46E9" w:rsidRDefault="00BB7E33">
      <w:pPr>
        <w:pStyle w:val="TOC3"/>
        <w:tabs>
          <w:tab w:val="right" w:leader="dot" w:pos="8494"/>
        </w:tabs>
        <w:rPr>
          <w:rFonts w:asciiTheme="minorHAnsi" w:eastAsiaTheme="minorEastAsia" w:hAnsiTheme="minorHAnsi" w:cstheme="minorBidi"/>
          <w:i w:val="0"/>
          <w:noProof/>
          <w:kern w:val="2"/>
          <w:sz w:val="24"/>
          <w:lang w:eastAsia="en-GB"/>
          <w14:ligatures w14:val="standardContextual"/>
        </w:rPr>
      </w:pPr>
      <w:hyperlink w:anchor="_Toc162950860" w:history="1">
        <w:r w:rsidR="00BD46E9" w:rsidRPr="00F93DBE">
          <w:rPr>
            <w:rStyle w:val="Hyperlink"/>
            <w:noProof/>
            <w:lang w:val="en-GB"/>
          </w:rPr>
          <w:t>Scoping review</w:t>
        </w:r>
        <w:r w:rsidR="00BD46E9">
          <w:rPr>
            <w:noProof/>
            <w:webHidden/>
          </w:rPr>
          <w:tab/>
        </w:r>
        <w:r w:rsidR="00BD46E9">
          <w:rPr>
            <w:noProof/>
            <w:webHidden/>
          </w:rPr>
          <w:fldChar w:fldCharType="begin"/>
        </w:r>
        <w:r w:rsidR="00BD46E9">
          <w:rPr>
            <w:noProof/>
            <w:webHidden/>
          </w:rPr>
          <w:instrText xml:space="preserve"> PAGEREF _Toc162950860 \h </w:instrText>
        </w:r>
        <w:r w:rsidR="00BD46E9">
          <w:rPr>
            <w:noProof/>
            <w:webHidden/>
          </w:rPr>
        </w:r>
        <w:r w:rsidR="00BD46E9">
          <w:rPr>
            <w:noProof/>
            <w:webHidden/>
          </w:rPr>
          <w:fldChar w:fldCharType="separate"/>
        </w:r>
        <w:r w:rsidR="000E11E7">
          <w:rPr>
            <w:noProof/>
            <w:webHidden/>
          </w:rPr>
          <w:t>29</w:t>
        </w:r>
        <w:r w:rsidR="00BD46E9">
          <w:rPr>
            <w:noProof/>
            <w:webHidden/>
          </w:rPr>
          <w:fldChar w:fldCharType="end"/>
        </w:r>
      </w:hyperlink>
    </w:p>
    <w:p w14:paraId="0D3B07D8" w14:textId="756F0F44" w:rsidR="00BD46E9" w:rsidRDefault="00BB7E33">
      <w:pPr>
        <w:pStyle w:val="TOC3"/>
        <w:tabs>
          <w:tab w:val="right" w:leader="dot" w:pos="8494"/>
        </w:tabs>
        <w:rPr>
          <w:rFonts w:asciiTheme="minorHAnsi" w:eastAsiaTheme="minorEastAsia" w:hAnsiTheme="minorHAnsi" w:cstheme="minorBidi"/>
          <w:i w:val="0"/>
          <w:noProof/>
          <w:kern w:val="2"/>
          <w:sz w:val="24"/>
          <w:lang w:eastAsia="en-GB"/>
          <w14:ligatures w14:val="standardContextual"/>
        </w:rPr>
      </w:pPr>
      <w:hyperlink w:anchor="_Toc162950861" w:history="1">
        <w:r w:rsidR="00BD46E9" w:rsidRPr="00F93DBE">
          <w:rPr>
            <w:rStyle w:val="Hyperlink"/>
            <w:noProof/>
            <w:lang w:val="en-GB"/>
          </w:rPr>
          <w:t>Direct search</w:t>
        </w:r>
        <w:r w:rsidR="00BD46E9">
          <w:rPr>
            <w:noProof/>
            <w:webHidden/>
          </w:rPr>
          <w:tab/>
        </w:r>
        <w:r w:rsidR="00BD46E9">
          <w:rPr>
            <w:noProof/>
            <w:webHidden/>
          </w:rPr>
          <w:fldChar w:fldCharType="begin"/>
        </w:r>
        <w:r w:rsidR="00BD46E9">
          <w:rPr>
            <w:noProof/>
            <w:webHidden/>
          </w:rPr>
          <w:instrText xml:space="preserve"> PAGEREF _Toc162950861 \h </w:instrText>
        </w:r>
        <w:r w:rsidR="00BD46E9">
          <w:rPr>
            <w:noProof/>
            <w:webHidden/>
          </w:rPr>
        </w:r>
        <w:r w:rsidR="00BD46E9">
          <w:rPr>
            <w:noProof/>
            <w:webHidden/>
          </w:rPr>
          <w:fldChar w:fldCharType="separate"/>
        </w:r>
        <w:r w:rsidR="000E11E7">
          <w:rPr>
            <w:noProof/>
            <w:webHidden/>
          </w:rPr>
          <w:t>29</w:t>
        </w:r>
        <w:r w:rsidR="00BD46E9">
          <w:rPr>
            <w:noProof/>
            <w:webHidden/>
          </w:rPr>
          <w:fldChar w:fldCharType="end"/>
        </w:r>
      </w:hyperlink>
    </w:p>
    <w:p w14:paraId="2CA8AE08" w14:textId="42EB7C1A" w:rsidR="00BD46E9" w:rsidRDefault="00BB7E33">
      <w:pPr>
        <w:pStyle w:val="TOC2"/>
        <w:tabs>
          <w:tab w:val="left" w:pos="880"/>
          <w:tab w:val="right" w:leader="dot" w:pos="8494"/>
        </w:tabs>
        <w:rPr>
          <w:rFonts w:asciiTheme="minorHAnsi" w:eastAsiaTheme="minorEastAsia" w:hAnsiTheme="minorHAnsi" w:cstheme="minorBidi"/>
          <w:iCs w:val="0"/>
          <w:noProof/>
          <w:kern w:val="2"/>
          <w:sz w:val="24"/>
          <w:lang w:eastAsia="en-GB"/>
          <w14:ligatures w14:val="standardContextual"/>
        </w:rPr>
      </w:pPr>
      <w:hyperlink w:anchor="_Toc162950862" w:history="1">
        <w:r w:rsidR="00BD46E9" w:rsidRPr="00F93DBE">
          <w:rPr>
            <w:rStyle w:val="Hyperlink"/>
            <w:noProof/>
            <w:lang w:val="en-GB"/>
          </w:rPr>
          <w:t>3.2</w:t>
        </w:r>
        <w:r w:rsidR="00BD46E9">
          <w:rPr>
            <w:rFonts w:asciiTheme="minorHAnsi" w:eastAsiaTheme="minorEastAsia" w:hAnsiTheme="minorHAnsi" w:cstheme="minorBidi"/>
            <w:iCs w:val="0"/>
            <w:noProof/>
            <w:kern w:val="2"/>
            <w:sz w:val="24"/>
            <w:lang w:eastAsia="en-GB"/>
            <w14:ligatures w14:val="standardContextual"/>
          </w:rPr>
          <w:tab/>
        </w:r>
        <w:r w:rsidR="00BD46E9" w:rsidRPr="00F93DBE">
          <w:rPr>
            <w:rStyle w:val="Hyperlink"/>
            <w:noProof/>
            <w:lang w:val="en-GB"/>
          </w:rPr>
          <w:t>Stakeholder consultation</w:t>
        </w:r>
        <w:r w:rsidR="00BD46E9">
          <w:rPr>
            <w:noProof/>
            <w:webHidden/>
          </w:rPr>
          <w:tab/>
        </w:r>
        <w:r w:rsidR="00BD46E9">
          <w:rPr>
            <w:noProof/>
            <w:webHidden/>
          </w:rPr>
          <w:fldChar w:fldCharType="begin"/>
        </w:r>
        <w:r w:rsidR="00BD46E9">
          <w:rPr>
            <w:noProof/>
            <w:webHidden/>
          </w:rPr>
          <w:instrText xml:space="preserve"> PAGEREF _Toc162950862 \h </w:instrText>
        </w:r>
        <w:r w:rsidR="00BD46E9">
          <w:rPr>
            <w:noProof/>
            <w:webHidden/>
          </w:rPr>
        </w:r>
        <w:r w:rsidR="00BD46E9">
          <w:rPr>
            <w:noProof/>
            <w:webHidden/>
          </w:rPr>
          <w:fldChar w:fldCharType="separate"/>
        </w:r>
        <w:r w:rsidR="000E11E7">
          <w:rPr>
            <w:noProof/>
            <w:webHidden/>
          </w:rPr>
          <w:t>30</w:t>
        </w:r>
        <w:r w:rsidR="00BD46E9">
          <w:rPr>
            <w:noProof/>
            <w:webHidden/>
          </w:rPr>
          <w:fldChar w:fldCharType="end"/>
        </w:r>
      </w:hyperlink>
    </w:p>
    <w:p w14:paraId="5E292419" w14:textId="57870F37" w:rsidR="00BD46E9" w:rsidRDefault="00BB7E33">
      <w:pPr>
        <w:pStyle w:val="TOC2"/>
        <w:tabs>
          <w:tab w:val="left" w:pos="880"/>
          <w:tab w:val="right" w:leader="dot" w:pos="8494"/>
        </w:tabs>
        <w:rPr>
          <w:rFonts w:asciiTheme="minorHAnsi" w:eastAsiaTheme="minorEastAsia" w:hAnsiTheme="minorHAnsi" w:cstheme="minorBidi"/>
          <w:iCs w:val="0"/>
          <w:noProof/>
          <w:kern w:val="2"/>
          <w:sz w:val="24"/>
          <w:lang w:eastAsia="en-GB"/>
          <w14:ligatures w14:val="standardContextual"/>
        </w:rPr>
      </w:pPr>
      <w:hyperlink w:anchor="_Toc162950863" w:history="1">
        <w:r w:rsidR="00BD46E9" w:rsidRPr="00F93DBE">
          <w:rPr>
            <w:rStyle w:val="Hyperlink"/>
            <w:noProof/>
            <w:lang w:val="en-GB"/>
          </w:rPr>
          <w:t>3.3</w:t>
        </w:r>
        <w:r w:rsidR="00BD46E9">
          <w:rPr>
            <w:rFonts w:asciiTheme="minorHAnsi" w:eastAsiaTheme="minorEastAsia" w:hAnsiTheme="minorHAnsi" w:cstheme="minorBidi"/>
            <w:iCs w:val="0"/>
            <w:noProof/>
            <w:kern w:val="2"/>
            <w:sz w:val="24"/>
            <w:lang w:eastAsia="en-GB"/>
            <w14:ligatures w14:val="standardContextual"/>
          </w:rPr>
          <w:tab/>
        </w:r>
        <w:r w:rsidR="00BD46E9" w:rsidRPr="00F93DBE">
          <w:rPr>
            <w:rStyle w:val="Hyperlink"/>
            <w:noProof/>
            <w:lang w:val="en-GB"/>
          </w:rPr>
          <w:t>Analytical framework</w:t>
        </w:r>
        <w:r w:rsidR="00BD46E9">
          <w:rPr>
            <w:noProof/>
            <w:webHidden/>
          </w:rPr>
          <w:tab/>
        </w:r>
        <w:r w:rsidR="00BD46E9">
          <w:rPr>
            <w:noProof/>
            <w:webHidden/>
          </w:rPr>
          <w:fldChar w:fldCharType="begin"/>
        </w:r>
        <w:r w:rsidR="00BD46E9">
          <w:rPr>
            <w:noProof/>
            <w:webHidden/>
          </w:rPr>
          <w:instrText xml:space="preserve"> PAGEREF _Toc162950863 \h </w:instrText>
        </w:r>
        <w:r w:rsidR="00BD46E9">
          <w:rPr>
            <w:noProof/>
            <w:webHidden/>
          </w:rPr>
        </w:r>
        <w:r w:rsidR="00BD46E9">
          <w:rPr>
            <w:noProof/>
            <w:webHidden/>
          </w:rPr>
          <w:fldChar w:fldCharType="separate"/>
        </w:r>
        <w:r w:rsidR="000E11E7">
          <w:rPr>
            <w:noProof/>
            <w:webHidden/>
          </w:rPr>
          <w:t>30</w:t>
        </w:r>
        <w:r w:rsidR="00BD46E9">
          <w:rPr>
            <w:noProof/>
            <w:webHidden/>
          </w:rPr>
          <w:fldChar w:fldCharType="end"/>
        </w:r>
      </w:hyperlink>
    </w:p>
    <w:p w14:paraId="6B5ABFF3" w14:textId="33B0C836" w:rsidR="00BD46E9" w:rsidRDefault="00BB7E33">
      <w:pPr>
        <w:pStyle w:val="TOC1"/>
        <w:tabs>
          <w:tab w:val="left" w:pos="440"/>
          <w:tab w:val="right" w:leader="dot" w:pos="8494"/>
        </w:tabs>
        <w:rPr>
          <w:rFonts w:asciiTheme="minorHAnsi" w:eastAsiaTheme="minorEastAsia" w:hAnsiTheme="minorHAnsi" w:cstheme="minorBidi"/>
          <w:b w:val="0"/>
          <w:bCs w:val="0"/>
          <w:noProof/>
          <w:kern w:val="2"/>
          <w:sz w:val="24"/>
          <w:lang w:eastAsia="en-GB"/>
          <w14:ligatures w14:val="standardContextual"/>
        </w:rPr>
      </w:pPr>
      <w:hyperlink w:anchor="_Toc162950864" w:history="1">
        <w:r w:rsidR="00BD46E9" w:rsidRPr="00F93DBE">
          <w:rPr>
            <w:rStyle w:val="Hyperlink"/>
            <w:rFonts w:cs="Calibri"/>
            <w:noProof/>
            <w:lang w:val="en-GB"/>
          </w:rPr>
          <w:t>4</w:t>
        </w:r>
        <w:r w:rsidR="00BD46E9">
          <w:rPr>
            <w:rFonts w:asciiTheme="minorHAnsi" w:eastAsiaTheme="minorEastAsia" w:hAnsiTheme="minorHAnsi" w:cstheme="minorBidi"/>
            <w:b w:val="0"/>
            <w:bCs w:val="0"/>
            <w:noProof/>
            <w:kern w:val="2"/>
            <w:sz w:val="24"/>
            <w:lang w:eastAsia="en-GB"/>
            <w14:ligatures w14:val="standardContextual"/>
          </w:rPr>
          <w:tab/>
        </w:r>
        <w:r w:rsidR="00BD46E9" w:rsidRPr="00F93DBE">
          <w:rPr>
            <w:rStyle w:val="Hyperlink"/>
            <w:noProof/>
            <w:lang w:val="en-GB"/>
          </w:rPr>
          <w:t>Findings</w:t>
        </w:r>
        <w:r w:rsidR="00BD46E9">
          <w:rPr>
            <w:noProof/>
            <w:webHidden/>
          </w:rPr>
          <w:tab/>
        </w:r>
        <w:r w:rsidR="00BD46E9">
          <w:rPr>
            <w:noProof/>
            <w:webHidden/>
          </w:rPr>
          <w:fldChar w:fldCharType="begin"/>
        </w:r>
        <w:r w:rsidR="00BD46E9">
          <w:rPr>
            <w:noProof/>
            <w:webHidden/>
          </w:rPr>
          <w:instrText xml:space="preserve"> PAGEREF _Toc162950864 \h </w:instrText>
        </w:r>
        <w:r w:rsidR="00BD46E9">
          <w:rPr>
            <w:noProof/>
            <w:webHidden/>
          </w:rPr>
        </w:r>
        <w:r w:rsidR="00BD46E9">
          <w:rPr>
            <w:noProof/>
            <w:webHidden/>
          </w:rPr>
          <w:fldChar w:fldCharType="separate"/>
        </w:r>
        <w:r w:rsidR="000E11E7">
          <w:rPr>
            <w:noProof/>
            <w:webHidden/>
          </w:rPr>
          <w:t>32</w:t>
        </w:r>
        <w:r w:rsidR="00BD46E9">
          <w:rPr>
            <w:noProof/>
            <w:webHidden/>
          </w:rPr>
          <w:fldChar w:fldCharType="end"/>
        </w:r>
      </w:hyperlink>
    </w:p>
    <w:p w14:paraId="1382CA8F" w14:textId="5E3CF773" w:rsidR="00BD46E9" w:rsidRDefault="00BB7E33">
      <w:pPr>
        <w:pStyle w:val="TOC2"/>
        <w:tabs>
          <w:tab w:val="left" w:pos="880"/>
          <w:tab w:val="right" w:leader="dot" w:pos="8494"/>
        </w:tabs>
        <w:rPr>
          <w:rFonts w:asciiTheme="minorHAnsi" w:eastAsiaTheme="minorEastAsia" w:hAnsiTheme="minorHAnsi" w:cstheme="minorBidi"/>
          <w:iCs w:val="0"/>
          <w:noProof/>
          <w:kern w:val="2"/>
          <w:sz w:val="24"/>
          <w:lang w:eastAsia="en-GB"/>
          <w14:ligatures w14:val="standardContextual"/>
        </w:rPr>
      </w:pPr>
      <w:hyperlink w:anchor="_Toc162950865" w:history="1">
        <w:r w:rsidR="00BD46E9" w:rsidRPr="00F93DBE">
          <w:rPr>
            <w:rStyle w:val="Hyperlink"/>
            <w:noProof/>
            <w:lang w:val="en-GB"/>
          </w:rPr>
          <w:t>4.1</w:t>
        </w:r>
        <w:r w:rsidR="00BD46E9">
          <w:rPr>
            <w:rFonts w:asciiTheme="minorHAnsi" w:eastAsiaTheme="minorEastAsia" w:hAnsiTheme="minorHAnsi" w:cstheme="minorBidi"/>
            <w:iCs w:val="0"/>
            <w:noProof/>
            <w:kern w:val="2"/>
            <w:sz w:val="24"/>
            <w:lang w:eastAsia="en-GB"/>
            <w14:ligatures w14:val="standardContextual"/>
          </w:rPr>
          <w:tab/>
        </w:r>
        <w:r w:rsidR="00BD46E9" w:rsidRPr="00F93DBE">
          <w:rPr>
            <w:rStyle w:val="Hyperlink"/>
            <w:noProof/>
            <w:lang w:val="en-GB"/>
          </w:rPr>
          <w:t>Funding and purchasing approaches for new health technologies</w:t>
        </w:r>
        <w:r w:rsidR="00BD46E9">
          <w:rPr>
            <w:noProof/>
            <w:webHidden/>
          </w:rPr>
          <w:tab/>
        </w:r>
        <w:r w:rsidR="00BD46E9">
          <w:rPr>
            <w:noProof/>
            <w:webHidden/>
          </w:rPr>
          <w:fldChar w:fldCharType="begin"/>
        </w:r>
        <w:r w:rsidR="00BD46E9">
          <w:rPr>
            <w:noProof/>
            <w:webHidden/>
          </w:rPr>
          <w:instrText xml:space="preserve"> PAGEREF _Toc162950865 \h </w:instrText>
        </w:r>
        <w:r w:rsidR="00BD46E9">
          <w:rPr>
            <w:noProof/>
            <w:webHidden/>
          </w:rPr>
        </w:r>
        <w:r w:rsidR="00BD46E9">
          <w:rPr>
            <w:noProof/>
            <w:webHidden/>
          </w:rPr>
          <w:fldChar w:fldCharType="separate"/>
        </w:r>
        <w:r w:rsidR="000E11E7">
          <w:rPr>
            <w:noProof/>
            <w:webHidden/>
          </w:rPr>
          <w:t>32</w:t>
        </w:r>
        <w:r w:rsidR="00BD46E9">
          <w:rPr>
            <w:noProof/>
            <w:webHidden/>
          </w:rPr>
          <w:fldChar w:fldCharType="end"/>
        </w:r>
      </w:hyperlink>
    </w:p>
    <w:p w14:paraId="1BA19E67" w14:textId="3A5F95E9" w:rsidR="00BD46E9" w:rsidRDefault="00BB7E33">
      <w:pPr>
        <w:pStyle w:val="TOC3"/>
        <w:tabs>
          <w:tab w:val="right" w:leader="dot" w:pos="8494"/>
        </w:tabs>
        <w:rPr>
          <w:rFonts w:asciiTheme="minorHAnsi" w:eastAsiaTheme="minorEastAsia" w:hAnsiTheme="minorHAnsi" w:cstheme="minorBidi"/>
          <w:i w:val="0"/>
          <w:noProof/>
          <w:kern w:val="2"/>
          <w:sz w:val="24"/>
          <w:lang w:eastAsia="en-GB"/>
          <w14:ligatures w14:val="standardContextual"/>
        </w:rPr>
      </w:pPr>
      <w:hyperlink w:anchor="_Toc162950866" w:history="1">
        <w:r w:rsidR="00BD46E9" w:rsidRPr="00F93DBE">
          <w:rPr>
            <w:rStyle w:val="Hyperlink"/>
            <w:noProof/>
            <w:lang w:val="en-GB"/>
          </w:rPr>
          <w:t>Overview</w:t>
        </w:r>
        <w:r w:rsidR="00BD46E9">
          <w:rPr>
            <w:noProof/>
            <w:webHidden/>
          </w:rPr>
          <w:tab/>
        </w:r>
        <w:r w:rsidR="00BD46E9">
          <w:rPr>
            <w:noProof/>
            <w:webHidden/>
          </w:rPr>
          <w:fldChar w:fldCharType="begin"/>
        </w:r>
        <w:r w:rsidR="00BD46E9">
          <w:rPr>
            <w:noProof/>
            <w:webHidden/>
          </w:rPr>
          <w:instrText xml:space="preserve"> PAGEREF _Toc162950866 \h </w:instrText>
        </w:r>
        <w:r w:rsidR="00BD46E9">
          <w:rPr>
            <w:noProof/>
            <w:webHidden/>
          </w:rPr>
        </w:r>
        <w:r w:rsidR="00BD46E9">
          <w:rPr>
            <w:noProof/>
            <w:webHidden/>
          </w:rPr>
          <w:fldChar w:fldCharType="separate"/>
        </w:r>
        <w:r w:rsidR="000E11E7">
          <w:rPr>
            <w:noProof/>
            <w:webHidden/>
          </w:rPr>
          <w:t>32</w:t>
        </w:r>
        <w:r w:rsidR="00BD46E9">
          <w:rPr>
            <w:noProof/>
            <w:webHidden/>
          </w:rPr>
          <w:fldChar w:fldCharType="end"/>
        </w:r>
      </w:hyperlink>
    </w:p>
    <w:p w14:paraId="22468FB7" w14:textId="20CA3850" w:rsidR="00BD46E9" w:rsidRDefault="00BB7E33">
      <w:pPr>
        <w:pStyle w:val="TOC3"/>
        <w:tabs>
          <w:tab w:val="right" w:leader="dot" w:pos="8494"/>
        </w:tabs>
        <w:rPr>
          <w:rFonts w:asciiTheme="minorHAnsi" w:eastAsiaTheme="minorEastAsia" w:hAnsiTheme="minorHAnsi" w:cstheme="minorBidi"/>
          <w:i w:val="0"/>
          <w:noProof/>
          <w:kern w:val="2"/>
          <w:sz w:val="24"/>
          <w:lang w:eastAsia="en-GB"/>
          <w14:ligatures w14:val="standardContextual"/>
        </w:rPr>
      </w:pPr>
      <w:hyperlink w:anchor="_Toc162950867" w:history="1">
        <w:r w:rsidR="00BD46E9" w:rsidRPr="00F93DBE">
          <w:rPr>
            <w:rStyle w:val="Hyperlink"/>
            <w:noProof/>
            <w:lang w:val="en-GB"/>
          </w:rPr>
          <w:t>Key processes in the evaluation and funding of new technologies</w:t>
        </w:r>
        <w:r w:rsidR="00BD46E9">
          <w:rPr>
            <w:noProof/>
            <w:webHidden/>
          </w:rPr>
          <w:tab/>
        </w:r>
        <w:r w:rsidR="00BD46E9">
          <w:rPr>
            <w:noProof/>
            <w:webHidden/>
          </w:rPr>
          <w:fldChar w:fldCharType="begin"/>
        </w:r>
        <w:r w:rsidR="00BD46E9">
          <w:rPr>
            <w:noProof/>
            <w:webHidden/>
          </w:rPr>
          <w:instrText xml:space="preserve"> PAGEREF _Toc162950867 \h </w:instrText>
        </w:r>
        <w:r w:rsidR="00BD46E9">
          <w:rPr>
            <w:noProof/>
            <w:webHidden/>
          </w:rPr>
        </w:r>
        <w:r w:rsidR="00BD46E9">
          <w:rPr>
            <w:noProof/>
            <w:webHidden/>
          </w:rPr>
          <w:fldChar w:fldCharType="separate"/>
        </w:r>
        <w:r w:rsidR="000E11E7">
          <w:rPr>
            <w:noProof/>
            <w:webHidden/>
          </w:rPr>
          <w:t>32</w:t>
        </w:r>
        <w:r w:rsidR="00BD46E9">
          <w:rPr>
            <w:noProof/>
            <w:webHidden/>
          </w:rPr>
          <w:fldChar w:fldCharType="end"/>
        </w:r>
      </w:hyperlink>
    </w:p>
    <w:p w14:paraId="08041F19" w14:textId="6FADB18F" w:rsidR="00BD46E9" w:rsidRDefault="00BB7E33">
      <w:pPr>
        <w:pStyle w:val="TOC3"/>
        <w:tabs>
          <w:tab w:val="right" w:leader="dot" w:pos="8494"/>
        </w:tabs>
        <w:rPr>
          <w:rFonts w:asciiTheme="minorHAnsi" w:eastAsiaTheme="minorEastAsia" w:hAnsiTheme="minorHAnsi" w:cstheme="minorBidi"/>
          <w:i w:val="0"/>
          <w:noProof/>
          <w:kern w:val="2"/>
          <w:sz w:val="24"/>
          <w:lang w:eastAsia="en-GB"/>
          <w14:ligatures w14:val="standardContextual"/>
        </w:rPr>
      </w:pPr>
      <w:hyperlink w:anchor="_Toc162950868" w:history="1">
        <w:r w:rsidR="00BD46E9" w:rsidRPr="00F93DBE">
          <w:rPr>
            <w:rStyle w:val="Hyperlink"/>
            <w:noProof/>
            <w:lang w:val="en-GB"/>
          </w:rPr>
          <w:t>Product benefit assessment</w:t>
        </w:r>
        <w:r w:rsidR="00BD46E9">
          <w:rPr>
            <w:noProof/>
            <w:webHidden/>
          </w:rPr>
          <w:tab/>
        </w:r>
        <w:r w:rsidR="00BD46E9">
          <w:rPr>
            <w:noProof/>
            <w:webHidden/>
          </w:rPr>
          <w:fldChar w:fldCharType="begin"/>
        </w:r>
        <w:r w:rsidR="00BD46E9">
          <w:rPr>
            <w:noProof/>
            <w:webHidden/>
          </w:rPr>
          <w:instrText xml:space="preserve"> PAGEREF _Toc162950868 \h </w:instrText>
        </w:r>
        <w:r w:rsidR="00BD46E9">
          <w:rPr>
            <w:noProof/>
            <w:webHidden/>
          </w:rPr>
        </w:r>
        <w:r w:rsidR="00BD46E9">
          <w:rPr>
            <w:noProof/>
            <w:webHidden/>
          </w:rPr>
          <w:fldChar w:fldCharType="separate"/>
        </w:r>
        <w:r w:rsidR="000E11E7">
          <w:rPr>
            <w:noProof/>
            <w:webHidden/>
          </w:rPr>
          <w:t>33</w:t>
        </w:r>
        <w:r w:rsidR="00BD46E9">
          <w:rPr>
            <w:noProof/>
            <w:webHidden/>
          </w:rPr>
          <w:fldChar w:fldCharType="end"/>
        </w:r>
      </w:hyperlink>
    </w:p>
    <w:p w14:paraId="2129BDBA" w14:textId="0BF2E48F" w:rsidR="00BD46E9" w:rsidRDefault="00BB7E33">
      <w:pPr>
        <w:pStyle w:val="TOC3"/>
        <w:tabs>
          <w:tab w:val="right" w:leader="dot" w:pos="8494"/>
        </w:tabs>
        <w:rPr>
          <w:rFonts w:asciiTheme="minorHAnsi" w:eastAsiaTheme="minorEastAsia" w:hAnsiTheme="minorHAnsi" w:cstheme="minorBidi"/>
          <w:i w:val="0"/>
          <w:noProof/>
          <w:kern w:val="2"/>
          <w:sz w:val="24"/>
          <w:lang w:eastAsia="en-GB"/>
          <w14:ligatures w14:val="standardContextual"/>
        </w:rPr>
      </w:pPr>
      <w:hyperlink w:anchor="_Toc162950869" w:history="1">
        <w:r w:rsidR="00BD46E9" w:rsidRPr="00F93DBE">
          <w:rPr>
            <w:rStyle w:val="Hyperlink"/>
            <w:noProof/>
            <w:lang w:val="en-GB"/>
          </w:rPr>
          <w:t>Price negotiation</w:t>
        </w:r>
        <w:r w:rsidR="00BD46E9">
          <w:rPr>
            <w:noProof/>
            <w:webHidden/>
          </w:rPr>
          <w:tab/>
        </w:r>
        <w:r w:rsidR="00BD46E9">
          <w:rPr>
            <w:noProof/>
            <w:webHidden/>
          </w:rPr>
          <w:fldChar w:fldCharType="begin"/>
        </w:r>
        <w:r w:rsidR="00BD46E9">
          <w:rPr>
            <w:noProof/>
            <w:webHidden/>
          </w:rPr>
          <w:instrText xml:space="preserve"> PAGEREF _Toc162950869 \h </w:instrText>
        </w:r>
        <w:r w:rsidR="00BD46E9">
          <w:rPr>
            <w:noProof/>
            <w:webHidden/>
          </w:rPr>
        </w:r>
        <w:r w:rsidR="00BD46E9">
          <w:rPr>
            <w:noProof/>
            <w:webHidden/>
          </w:rPr>
          <w:fldChar w:fldCharType="separate"/>
        </w:r>
        <w:r w:rsidR="000E11E7">
          <w:rPr>
            <w:noProof/>
            <w:webHidden/>
          </w:rPr>
          <w:t>43</w:t>
        </w:r>
        <w:r w:rsidR="00BD46E9">
          <w:rPr>
            <w:noProof/>
            <w:webHidden/>
          </w:rPr>
          <w:fldChar w:fldCharType="end"/>
        </w:r>
      </w:hyperlink>
    </w:p>
    <w:p w14:paraId="59605286" w14:textId="568672E0" w:rsidR="00BD46E9" w:rsidRDefault="00BB7E33">
      <w:pPr>
        <w:pStyle w:val="TOC3"/>
        <w:tabs>
          <w:tab w:val="right" w:leader="dot" w:pos="8494"/>
        </w:tabs>
        <w:rPr>
          <w:rFonts w:asciiTheme="minorHAnsi" w:eastAsiaTheme="minorEastAsia" w:hAnsiTheme="minorHAnsi" w:cstheme="minorBidi"/>
          <w:i w:val="0"/>
          <w:noProof/>
          <w:kern w:val="2"/>
          <w:sz w:val="24"/>
          <w:lang w:eastAsia="en-GB"/>
          <w14:ligatures w14:val="standardContextual"/>
        </w:rPr>
      </w:pPr>
      <w:hyperlink w:anchor="_Toc162950870" w:history="1">
        <w:r w:rsidR="00BD46E9" w:rsidRPr="00F93DBE">
          <w:rPr>
            <w:rStyle w:val="Hyperlink"/>
            <w:noProof/>
            <w:lang w:val="en-GB"/>
          </w:rPr>
          <w:t>Timeliness of access</w:t>
        </w:r>
        <w:r w:rsidR="00BD46E9">
          <w:rPr>
            <w:noProof/>
            <w:webHidden/>
          </w:rPr>
          <w:tab/>
        </w:r>
        <w:r w:rsidR="00BD46E9">
          <w:rPr>
            <w:noProof/>
            <w:webHidden/>
          </w:rPr>
          <w:fldChar w:fldCharType="begin"/>
        </w:r>
        <w:r w:rsidR="00BD46E9">
          <w:rPr>
            <w:noProof/>
            <w:webHidden/>
          </w:rPr>
          <w:instrText xml:space="preserve"> PAGEREF _Toc162950870 \h </w:instrText>
        </w:r>
        <w:r w:rsidR="00BD46E9">
          <w:rPr>
            <w:noProof/>
            <w:webHidden/>
          </w:rPr>
        </w:r>
        <w:r w:rsidR="00BD46E9">
          <w:rPr>
            <w:noProof/>
            <w:webHidden/>
          </w:rPr>
          <w:fldChar w:fldCharType="separate"/>
        </w:r>
        <w:r w:rsidR="000E11E7">
          <w:rPr>
            <w:noProof/>
            <w:webHidden/>
          </w:rPr>
          <w:t>57</w:t>
        </w:r>
        <w:r w:rsidR="00BD46E9">
          <w:rPr>
            <w:noProof/>
            <w:webHidden/>
          </w:rPr>
          <w:fldChar w:fldCharType="end"/>
        </w:r>
      </w:hyperlink>
    </w:p>
    <w:p w14:paraId="5F4AC33B" w14:textId="1D628C7E" w:rsidR="00BD46E9" w:rsidRDefault="00BB7E33">
      <w:pPr>
        <w:pStyle w:val="TOC3"/>
        <w:tabs>
          <w:tab w:val="right" w:leader="dot" w:pos="8494"/>
        </w:tabs>
        <w:rPr>
          <w:rFonts w:asciiTheme="minorHAnsi" w:eastAsiaTheme="minorEastAsia" w:hAnsiTheme="minorHAnsi" w:cstheme="minorBidi"/>
          <w:i w:val="0"/>
          <w:noProof/>
          <w:kern w:val="2"/>
          <w:sz w:val="24"/>
          <w:lang w:eastAsia="en-GB"/>
          <w14:ligatures w14:val="standardContextual"/>
        </w:rPr>
      </w:pPr>
      <w:hyperlink w:anchor="_Toc162950871" w:history="1">
        <w:r w:rsidR="00BD46E9" w:rsidRPr="00F93DBE">
          <w:rPr>
            <w:rStyle w:val="Hyperlink"/>
            <w:noProof/>
            <w:lang w:val="en-GB"/>
          </w:rPr>
          <w:t>Prescription drug spending in Australia and internationally</w:t>
        </w:r>
        <w:r w:rsidR="00BD46E9">
          <w:rPr>
            <w:noProof/>
            <w:webHidden/>
          </w:rPr>
          <w:tab/>
        </w:r>
        <w:r w:rsidR="00BD46E9">
          <w:rPr>
            <w:noProof/>
            <w:webHidden/>
          </w:rPr>
          <w:fldChar w:fldCharType="begin"/>
        </w:r>
        <w:r w:rsidR="00BD46E9">
          <w:rPr>
            <w:noProof/>
            <w:webHidden/>
          </w:rPr>
          <w:instrText xml:space="preserve"> PAGEREF _Toc162950871 \h </w:instrText>
        </w:r>
        <w:r w:rsidR="00BD46E9">
          <w:rPr>
            <w:noProof/>
            <w:webHidden/>
          </w:rPr>
        </w:r>
        <w:r w:rsidR="00BD46E9">
          <w:rPr>
            <w:noProof/>
            <w:webHidden/>
          </w:rPr>
          <w:fldChar w:fldCharType="separate"/>
        </w:r>
        <w:r w:rsidR="000E11E7">
          <w:rPr>
            <w:noProof/>
            <w:webHidden/>
          </w:rPr>
          <w:t>64</w:t>
        </w:r>
        <w:r w:rsidR="00BD46E9">
          <w:rPr>
            <w:noProof/>
            <w:webHidden/>
          </w:rPr>
          <w:fldChar w:fldCharType="end"/>
        </w:r>
      </w:hyperlink>
    </w:p>
    <w:p w14:paraId="5230A57E" w14:textId="6DA2F355" w:rsidR="00BD46E9" w:rsidRDefault="00BB7E33">
      <w:pPr>
        <w:pStyle w:val="TOC2"/>
        <w:tabs>
          <w:tab w:val="left" w:pos="880"/>
          <w:tab w:val="right" w:leader="dot" w:pos="8494"/>
        </w:tabs>
        <w:rPr>
          <w:rFonts w:asciiTheme="minorHAnsi" w:eastAsiaTheme="minorEastAsia" w:hAnsiTheme="minorHAnsi" w:cstheme="minorBidi"/>
          <w:iCs w:val="0"/>
          <w:noProof/>
          <w:kern w:val="2"/>
          <w:sz w:val="24"/>
          <w:lang w:eastAsia="en-GB"/>
          <w14:ligatures w14:val="standardContextual"/>
        </w:rPr>
      </w:pPr>
      <w:hyperlink w:anchor="_Toc162950872" w:history="1">
        <w:r w:rsidR="00BD46E9" w:rsidRPr="00F93DBE">
          <w:rPr>
            <w:rStyle w:val="Hyperlink"/>
            <w:noProof/>
            <w:lang w:val="en-GB"/>
          </w:rPr>
          <w:t>4.2</w:t>
        </w:r>
        <w:r w:rsidR="00BD46E9">
          <w:rPr>
            <w:rFonts w:asciiTheme="minorHAnsi" w:eastAsiaTheme="minorEastAsia" w:hAnsiTheme="minorHAnsi" w:cstheme="minorBidi"/>
            <w:iCs w:val="0"/>
            <w:noProof/>
            <w:kern w:val="2"/>
            <w:sz w:val="24"/>
            <w:lang w:eastAsia="en-GB"/>
            <w14:ligatures w14:val="standardContextual"/>
          </w:rPr>
          <w:tab/>
        </w:r>
        <w:r w:rsidR="00BD46E9" w:rsidRPr="00F93DBE">
          <w:rPr>
            <w:rStyle w:val="Hyperlink"/>
            <w:noProof/>
            <w:lang w:val="en-GB"/>
          </w:rPr>
          <w:t>Co-dependent technologies</w:t>
        </w:r>
        <w:r w:rsidR="00BD46E9">
          <w:rPr>
            <w:noProof/>
            <w:webHidden/>
          </w:rPr>
          <w:tab/>
        </w:r>
        <w:r w:rsidR="00BD46E9">
          <w:rPr>
            <w:noProof/>
            <w:webHidden/>
          </w:rPr>
          <w:fldChar w:fldCharType="begin"/>
        </w:r>
        <w:r w:rsidR="00BD46E9">
          <w:rPr>
            <w:noProof/>
            <w:webHidden/>
          </w:rPr>
          <w:instrText xml:space="preserve"> PAGEREF _Toc162950872 \h </w:instrText>
        </w:r>
        <w:r w:rsidR="00BD46E9">
          <w:rPr>
            <w:noProof/>
            <w:webHidden/>
          </w:rPr>
        </w:r>
        <w:r w:rsidR="00BD46E9">
          <w:rPr>
            <w:noProof/>
            <w:webHidden/>
          </w:rPr>
          <w:fldChar w:fldCharType="separate"/>
        </w:r>
        <w:r w:rsidR="000E11E7">
          <w:rPr>
            <w:noProof/>
            <w:webHidden/>
          </w:rPr>
          <w:t>66</w:t>
        </w:r>
        <w:r w:rsidR="00BD46E9">
          <w:rPr>
            <w:noProof/>
            <w:webHidden/>
          </w:rPr>
          <w:fldChar w:fldCharType="end"/>
        </w:r>
      </w:hyperlink>
    </w:p>
    <w:p w14:paraId="2F49C4AA" w14:textId="73E3B5FA" w:rsidR="00BD46E9" w:rsidRDefault="00BB7E33">
      <w:pPr>
        <w:pStyle w:val="TOC3"/>
        <w:tabs>
          <w:tab w:val="right" w:leader="dot" w:pos="8494"/>
        </w:tabs>
        <w:rPr>
          <w:rFonts w:asciiTheme="minorHAnsi" w:eastAsiaTheme="minorEastAsia" w:hAnsiTheme="minorHAnsi" w:cstheme="minorBidi"/>
          <w:i w:val="0"/>
          <w:noProof/>
          <w:kern w:val="2"/>
          <w:sz w:val="24"/>
          <w:lang w:eastAsia="en-GB"/>
          <w14:ligatures w14:val="standardContextual"/>
        </w:rPr>
      </w:pPr>
      <w:hyperlink w:anchor="_Toc162950873" w:history="1">
        <w:r w:rsidR="00BD46E9" w:rsidRPr="00F93DBE">
          <w:rPr>
            <w:rStyle w:val="Hyperlink"/>
            <w:noProof/>
            <w:lang w:val="en-GB"/>
          </w:rPr>
          <w:t>Reimbursement decision-making for medicines and co-dependent tests</w:t>
        </w:r>
        <w:r w:rsidR="00BD46E9">
          <w:rPr>
            <w:noProof/>
            <w:webHidden/>
          </w:rPr>
          <w:tab/>
        </w:r>
        <w:r w:rsidR="00BD46E9">
          <w:rPr>
            <w:noProof/>
            <w:webHidden/>
          </w:rPr>
          <w:fldChar w:fldCharType="begin"/>
        </w:r>
        <w:r w:rsidR="00BD46E9">
          <w:rPr>
            <w:noProof/>
            <w:webHidden/>
          </w:rPr>
          <w:instrText xml:space="preserve"> PAGEREF _Toc162950873 \h </w:instrText>
        </w:r>
        <w:r w:rsidR="00BD46E9">
          <w:rPr>
            <w:noProof/>
            <w:webHidden/>
          </w:rPr>
        </w:r>
        <w:r w:rsidR="00BD46E9">
          <w:rPr>
            <w:noProof/>
            <w:webHidden/>
          </w:rPr>
          <w:fldChar w:fldCharType="separate"/>
        </w:r>
        <w:r w:rsidR="000E11E7">
          <w:rPr>
            <w:noProof/>
            <w:webHidden/>
          </w:rPr>
          <w:t>68</w:t>
        </w:r>
        <w:r w:rsidR="00BD46E9">
          <w:rPr>
            <w:noProof/>
            <w:webHidden/>
          </w:rPr>
          <w:fldChar w:fldCharType="end"/>
        </w:r>
      </w:hyperlink>
    </w:p>
    <w:p w14:paraId="3C0A8B32" w14:textId="1F577147" w:rsidR="00BD46E9" w:rsidRDefault="00BB7E33">
      <w:pPr>
        <w:pStyle w:val="TOC3"/>
        <w:tabs>
          <w:tab w:val="right" w:leader="dot" w:pos="8494"/>
        </w:tabs>
        <w:rPr>
          <w:rFonts w:asciiTheme="minorHAnsi" w:eastAsiaTheme="minorEastAsia" w:hAnsiTheme="minorHAnsi" w:cstheme="minorBidi"/>
          <w:i w:val="0"/>
          <w:noProof/>
          <w:kern w:val="2"/>
          <w:sz w:val="24"/>
          <w:lang w:eastAsia="en-GB"/>
          <w14:ligatures w14:val="standardContextual"/>
        </w:rPr>
      </w:pPr>
      <w:hyperlink w:anchor="_Toc162950874" w:history="1">
        <w:r w:rsidR="00BD46E9" w:rsidRPr="00F93DBE">
          <w:rPr>
            <w:rStyle w:val="Hyperlink"/>
            <w:noProof/>
            <w:lang w:val="en-GB"/>
          </w:rPr>
          <w:t>Co-dependent evaluation recommendations—peer country comparison</w:t>
        </w:r>
        <w:r w:rsidR="00BD46E9">
          <w:rPr>
            <w:noProof/>
            <w:webHidden/>
          </w:rPr>
          <w:tab/>
        </w:r>
        <w:r w:rsidR="00BD46E9">
          <w:rPr>
            <w:noProof/>
            <w:webHidden/>
          </w:rPr>
          <w:fldChar w:fldCharType="begin"/>
        </w:r>
        <w:r w:rsidR="00BD46E9">
          <w:rPr>
            <w:noProof/>
            <w:webHidden/>
          </w:rPr>
          <w:instrText xml:space="preserve"> PAGEREF _Toc162950874 \h </w:instrText>
        </w:r>
        <w:r w:rsidR="00BD46E9">
          <w:rPr>
            <w:noProof/>
            <w:webHidden/>
          </w:rPr>
        </w:r>
        <w:r w:rsidR="00BD46E9">
          <w:rPr>
            <w:noProof/>
            <w:webHidden/>
          </w:rPr>
          <w:fldChar w:fldCharType="separate"/>
        </w:r>
        <w:r w:rsidR="000E11E7">
          <w:rPr>
            <w:noProof/>
            <w:webHidden/>
          </w:rPr>
          <w:t>76</w:t>
        </w:r>
        <w:r w:rsidR="00BD46E9">
          <w:rPr>
            <w:noProof/>
            <w:webHidden/>
          </w:rPr>
          <w:fldChar w:fldCharType="end"/>
        </w:r>
      </w:hyperlink>
    </w:p>
    <w:p w14:paraId="7B8AC40B" w14:textId="638AA87D" w:rsidR="00BD46E9" w:rsidRDefault="00BB7E33">
      <w:pPr>
        <w:pStyle w:val="TOC2"/>
        <w:tabs>
          <w:tab w:val="left" w:pos="880"/>
          <w:tab w:val="right" w:leader="dot" w:pos="8494"/>
        </w:tabs>
        <w:rPr>
          <w:rFonts w:asciiTheme="minorHAnsi" w:eastAsiaTheme="minorEastAsia" w:hAnsiTheme="minorHAnsi" w:cstheme="minorBidi"/>
          <w:iCs w:val="0"/>
          <w:noProof/>
          <w:kern w:val="2"/>
          <w:sz w:val="24"/>
          <w:lang w:eastAsia="en-GB"/>
          <w14:ligatures w14:val="standardContextual"/>
        </w:rPr>
      </w:pPr>
      <w:hyperlink w:anchor="_Toc162950875" w:history="1">
        <w:r w:rsidR="00BD46E9" w:rsidRPr="00F93DBE">
          <w:rPr>
            <w:rStyle w:val="Hyperlink"/>
            <w:noProof/>
            <w:lang w:val="en-GB"/>
          </w:rPr>
          <w:t>4.3</w:t>
        </w:r>
        <w:r w:rsidR="00BD46E9">
          <w:rPr>
            <w:rFonts w:asciiTheme="minorHAnsi" w:eastAsiaTheme="minorEastAsia" w:hAnsiTheme="minorHAnsi" w:cstheme="minorBidi"/>
            <w:iCs w:val="0"/>
            <w:noProof/>
            <w:kern w:val="2"/>
            <w:sz w:val="24"/>
            <w:lang w:eastAsia="en-GB"/>
            <w14:ligatures w14:val="standardContextual"/>
          </w:rPr>
          <w:tab/>
        </w:r>
        <w:r w:rsidR="00BD46E9" w:rsidRPr="00F93DBE">
          <w:rPr>
            <w:rStyle w:val="Hyperlink"/>
            <w:noProof/>
            <w:lang w:val="en-GB"/>
          </w:rPr>
          <w:t>The National Health Reform Agreement</w:t>
        </w:r>
        <w:r w:rsidR="00BD46E9">
          <w:rPr>
            <w:noProof/>
            <w:webHidden/>
          </w:rPr>
          <w:tab/>
        </w:r>
        <w:r w:rsidR="00BD46E9">
          <w:rPr>
            <w:noProof/>
            <w:webHidden/>
          </w:rPr>
          <w:fldChar w:fldCharType="begin"/>
        </w:r>
        <w:r w:rsidR="00BD46E9">
          <w:rPr>
            <w:noProof/>
            <w:webHidden/>
          </w:rPr>
          <w:instrText xml:space="preserve"> PAGEREF _Toc162950875 \h </w:instrText>
        </w:r>
        <w:r w:rsidR="00BD46E9">
          <w:rPr>
            <w:noProof/>
            <w:webHidden/>
          </w:rPr>
        </w:r>
        <w:r w:rsidR="00BD46E9">
          <w:rPr>
            <w:noProof/>
            <w:webHidden/>
          </w:rPr>
          <w:fldChar w:fldCharType="separate"/>
        </w:r>
        <w:r w:rsidR="000E11E7">
          <w:rPr>
            <w:noProof/>
            <w:webHidden/>
          </w:rPr>
          <w:t>79</w:t>
        </w:r>
        <w:r w:rsidR="00BD46E9">
          <w:rPr>
            <w:noProof/>
            <w:webHidden/>
          </w:rPr>
          <w:fldChar w:fldCharType="end"/>
        </w:r>
      </w:hyperlink>
    </w:p>
    <w:p w14:paraId="158FD3C2" w14:textId="05E95707" w:rsidR="00BD46E9" w:rsidRDefault="00BB7E33">
      <w:pPr>
        <w:pStyle w:val="TOC2"/>
        <w:tabs>
          <w:tab w:val="left" w:pos="880"/>
          <w:tab w:val="right" w:leader="dot" w:pos="8494"/>
        </w:tabs>
        <w:rPr>
          <w:rFonts w:asciiTheme="minorHAnsi" w:eastAsiaTheme="minorEastAsia" w:hAnsiTheme="minorHAnsi" w:cstheme="minorBidi"/>
          <w:iCs w:val="0"/>
          <w:noProof/>
          <w:kern w:val="2"/>
          <w:sz w:val="24"/>
          <w:lang w:eastAsia="en-GB"/>
          <w14:ligatures w14:val="standardContextual"/>
        </w:rPr>
      </w:pPr>
      <w:hyperlink w:anchor="_Toc162950876" w:history="1">
        <w:r w:rsidR="00BD46E9" w:rsidRPr="00F93DBE">
          <w:rPr>
            <w:rStyle w:val="Hyperlink"/>
            <w:noProof/>
            <w:lang w:val="en-GB"/>
          </w:rPr>
          <w:t>4.4</w:t>
        </w:r>
        <w:r w:rsidR="00BD46E9">
          <w:rPr>
            <w:rFonts w:asciiTheme="minorHAnsi" w:eastAsiaTheme="minorEastAsia" w:hAnsiTheme="minorHAnsi" w:cstheme="minorBidi"/>
            <w:iCs w:val="0"/>
            <w:noProof/>
            <w:kern w:val="2"/>
            <w:sz w:val="24"/>
            <w:lang w:eastAsia="en-GB"/>
            <w14:ligatures w14:val="standardContextual"/>
          </w:rPr>
          <w:tab/>
        </w:r>
        <w:r w:rsidR="00BD46E9" w:rsidRPr="00F93DBE">
          <w:rPr>
            <w:rStyle w:val="Hyperlink"/>
            <w:noProof/>
            <w:lang w:val="en-GB"/>
          </w:rPr>
          <w:t>Equity considerations in HTA</w:t>
        </w:r>
        <w:r w:rsidR="00BD46E9">
          <w:rPr>
            <w:noProof/>
            <w:webHidden/>
          </w:rPr>
          <w:tab/>
        </w:r>
        <w:r w:rsidR="00BD46E9">
          <w:rPr>
            <w:noProof/>
            <w:webHidden/>
          </w:rPr>
          <w:fldChar w:fldCharType="begin"/>
        </w:r>
        <w:r w:rsidR="00BD46E9">
          <w:rPr>
            <w:noProof/>
            <w:webHidden/>
          </w:rPr>
          <w:instrText xml:space="preserve"> PAGEREF _Toc162950876 \h </w:instrText>
        </w:r>
        <w:r w:rsidR="00BD46E9">
          <w:rPr>
            <w:noProof/>
            <w:webHidden/>
          </w:rPr>
        </w:r>
        <w:r w:rsidR="00BD46E9">
          <w:rPr>
            <w:noProof/>
            <w:webHidden/>
          </w:rPr>
          <w:fldChar w:fldCharType="separate"/>
        </w:r>
        <w:r w:rsidR="000E11E7">
          <w:rPr>
            <w:noProof/>
            <w:webHidden/>
          </w:rPr>
          <w:t>81</w:t>
        </w:r>
        <w:r w:rsidR="00BD46E9">
          <w:rPr>
            <w:noProof/>
            <w:webHidden/>
          </w:rPr>
          <w:fldChar w:fldCharType="end"/>
        </w:r>
      </w:hyperlink>
    </w:p>
    <w:p w14:paraId="49BB7365" w14:textId="49F17806" w:rsidR="00BD46E9" w:rsidRDefault="00BB7E33">
      <w:pPr>
        <w:pStyle w:val="TOC3"/>
        <w:tabs>
          <w:tab w:val="right" w:leader="dot" w:pos="8494"/>
        </w:tabs>
        <w:rPr>
          <w:rFonts w:asciiTheme="minorHAnsi" w:eastAsiaTheme="minorEastAsia" w:hAnsiTheme="minorHAnsi" w:cstheme="minorBidi"/>
          <w:i w:val="0"/>
          <w:noProof/>
          <w:kern w:val="2"/>
          <w:sz w:val="24"/>
          <w:lang w:eastAsia="en-GB"/>
          <w14:ligatures w14:val="standardContextual"/>
        </w:rPr>
      </w:pPr>
      <w:hyperlink w:anchor="_Toc162950877" w:history="1">
        <w:r w:rsidR="00BD46E9" w:rsidRPr="00F93DBE">
          <w:rPr>
            <w:rStyle w:val="Hyperlink"/>
            <w:noProof/>
            <w:lang w:val="en-GB"/>
          </w:rPr>
          <w:t>International approaches to equity in HTA</w:t>
        </w:r>
        <w:r w:rsidR="00BD46E9">
          <w:rPr>
            <w:noProof/>
            <w:webHidden/>
          </w:rPr>
          <w:tab/>
        </w:r>
        <w:r w:rsidR="00BD46E9">
          <w:rPr>
            <w:noProof/>
            <w:webHidden/>
          </w:rPr>
          <w:fldChar w:fldCharType="begin"/>
        </w:r>
        <w:r w:rsidR="00BD46E9">
          <w:rPr>
            <w:noProof/>
            <w:webHidden/>
          </w:rPr>
          <w:instrText xml:space="preserve"> PAGEREF _Toc162950877 \h </w:instrText>
        </w:r>
        <w:r w:rsidR="00BD46E9">
          <w:rPr>
            <w:noProof/>
            <w:webHidden/>
          </w:rPr>
        </w:r>
        <w:r w:rsidR="00BD46E9">
          <w:rPr>
            <w:noProof/>
            <w:webHidden/>
          </w:rPr>
          <w:fldChar w:fldCharType="separate"/>
        </w:r>
        <w:r w:rsidR="000E11E7">
          <w:rPr>
            <w:noProof/>
            <w:webHidden/>
          </w:rPr>
          <w:t>83</w:t>
        </w:r>
        <w:r w:rsidR="00BD46E9">
          <w:rPr>
            <w:noProof/>
            <w:webHidden/>
          </w:rPr>
          <w:fldChar w:fldCharType="end"/>
        </w:r>
      </w:hyperlink>
    </w:p>
    <w:p w14:paraId="3746D331" w14:textId="58D4E5CB" w:rsidR="00BD46E9" w:rsidRDefault="00BB7E33">
      <w:pPr>
        <w:pStyle w:val="TOC3"/>
        <w:tabs>
          <w:tab w:val="right" w:leader="dot" w:pos="8494"/>
        </w:tabs>
        <w:rPr>
          <w:rFonts w:asciiTheme="minorHAnsi" w:eastAsiaTheme="minorEastAsia" w:hAnsiTheme="minorHAnsi" w:cstheme="minorBidi"/>
          <w:i w:val="0"/>
          <w:noProof/>
          <w:kern w:val="2"/>
          <w:sz w:val="24"/>
          <w:lang w:eastAsia="en-GB"/>
          <w14:ligatures w14:val="standardContextual"/>
        </w:rPr>
      </w:pPr>
      <w:hyperlink w:anchor="_Toc162950878" w:history="1">
        <w:r w:rsidR="00BD46E9" w:rsidRPr="00F93DBE">
          <w:rPr>
            <w:rStyle w:val="Hyperlink"/>
            <w:noProof/>
            <w:lang w:val="en-GB"/>
          </w:rPr>
          <w:t>First Nations health</w:t>
        </w:r>
        <w:r w:rsidR="00BD46E9">
          <w:rPr>
            <w:noProof/>
            <w:webHidden/>
          </w:rPr>
          <w:tab/>
        </w:r>
        <w:r w:rsidR="00BD46E9">
          <w:rPr>
            <w:noProof/>
            <w:webHidden/>
          </w:rPr>
          <w:fldChar w:fldCharType="begin"/>
        </w:r>
        <w:r w:rsidR="00BD46E9">
          <w:rPr>
            <w:noProof/>
            <w:webHidden/>
          </w:rPr>
          <w:instrText xml:space="preserve"> PAGEREF _Toc162950878 \h </w:instrText>
        </w:r>
        <w:r w:rsidR="00BD46E9">
          <w:rPr>
            <w:noProof/>
            <w:webHidden/>
          </w:rPr>
        </w:r>
        <w:r w:rsidR="00BD46E9">
          <w:rPr>
            <w:noProof/>
            <w:webHidden/>
          </w:rPr>
          <w:fldChar w:fldCharType="separate"/>
        </w:r>
        <w:r w:rsidR="000E11E7">
          <w:rPr>
            <w:noProof/>
            <w:webHidden/>
          </w:rPr>
          <w:t>87</w:t>
        </w:r>
        <w:r w:rsidR="00BD46E9">
          <w:rPr>
            <w:noProof/>
            <w:webHidden/>
          </w:rPr>
          <w:fldChar w:fldCharType="end"/>
        </w:r>
      </w:hyperlink>
    </w:p>
    <w:p w14:paraId="3320CF0D" w14:textId="2F4653AA" w:rsidR="00BD46E9" w:rsidRDefault="00BB7E33">
      <w:pPr>
        <w:pStyle w:val="TOC3"/>
        <w:tabs>
          <w:tab w:val="right" w:leader="dot" w:pos="8494"/>
        </w:tabs>
        <w:rPr>
          <w:rFonts w:asciiTheme="minorHAnsi" w:eastAsiaTheme="minorEastAsia" w:hAnsiTheme="minorHAnsi" w:cstheme="minorBidi"/>
          <w:i w:val="0"/>
          <w:noProof/>
          <w:kern w:val="2"/>
          <w:sz w:val="24"/>
          <w:lang w:eastAsia="en-GB"/>
          <w14:ligatures w14:val="standardContextual"/>
        </w:rPr>
      </w:pPr>
      <w:hyperlink w:anchor="_Toc162950879" w:history="1">
        <w:r w:rsidR="00BD46E9" w:rsidRPr="00F93DBE">
          <w:rPr>
            <w:rStyle w:val="Hyperlink"/>
            <w:noProof/>
            <w:lang w:val="en-GB"/>
          </w:rPr>
          <w:t>Severity</w:t>
        </w:r>
        <w:r w:rsidR="00BD46E9">
          <w:rPr>
            <w:noProof/>
            <w:webHidden/>
          </w:rPr>
          <w:tab/>
        </w:r>
        <w:r w:rsidR="00BD46E9">
          <w:rPr>
            <w:noProof/>
            <w:webHidden/>
          </w:rPr>
          <w:fldChar w:fldCharType="begin"/>
        </w:r>
        <w:r w:rsidR="00BD46E9">
          <w:rPr>
            <w:noProof/>
            <w:webHidden/>
          </w:rPr>
          <w:instrText xml:space="preserve"> PAGEREF _Toc162950879 \h </w:instrText>
        </w:r>
        <w:r w:rsidR="00BD46E9">
          <w:rPr>
            <w:noProof/>
            <w:webHidden/>
          </w:rPr>
        </w:r>
        <w:r w:rsidR="00BD46E9">
          <w:rPr>
            <w:noProof/>
            <w:webHidden/>
          </w:rPr>
          <w:fldChar w:fldCharType="separate"/>
        </w:r>
        <w:r w:rsidR="000E11E7">
          <w:rPr>
            <w:noProof/>
            <w:webHidden/>
          </w:rPr>
          <w:t>92</w:t>
        </w:r>
        <w:r w:rsidR="00BD46E9">
          <w:rPr>
            <w:noProof/>
            <w:webHidden/>
          </w:rPr>
          <w:fldChar w:fldCharType="end"/>
        </w:r>
      </w:hyperlink>
    </w:p>
    <w:p w14:paraId="0CB3EDCF" w14:textId="1AD53FD0" w:rsidR="00BD46E9" w:rsidRDefault="00BB7E33">
      <w:pPr>
        <w:pStyle w:val="TOC3"/>
        <w:tabs>
          <w:tab w:val="right" w:leader="dot" w:pos="8494"/>
        </w:tabs>
        <w:rPr>
          <w:rFonts w:asciiTheme="minorHAnsi" w:eastAsiaTheme="minorEastAsia" w:hAnsiTheme="minorHAnsi" w:cstheme="minorBidi"/>
          <w:i w:val="0"/>
          <w:noProof/>
          <w:kern w:val="2"/>
          <w:sz w:val="24"/>
          <w:lang w:eastAsia="en-GB"/>
          <w14:ligatures w14:val="standardContextual"/>
        </w:rPr>
      </w:pPr>
      <w:hyperlink w:anchor="_Toc162950880" w:history="1">
        <w:r w:rsidR="00BD46E9" w:rsidRPr="00F93DBE">
          <w:rPr>
            <w:rStyle w:val="Hyperlink"/>
            <w:noProof/>
            <w:lang w:val="en-GB"/>
          </w:rPr>
          <w:t>Children</w:t>
        </w:r>
        <w:r w:rsidR="00BD46E9">
          <w:rPr>
            <w:noProof/>
            <w:webHidden/>
          </w:rPr>
          <w:tab/>
        </w:r>
        <w:r w:rsidR="00BD46E9">
          <w:rPr>
            <w:noProof/>
            <w:webHidden/>
          </w:rPr>
          <w:fldChar w:fldCharType="begin"/>
        </w:r>
        <w:r w:rsidR="00BD46E9">
          <w:rPr>
            <w:noProof/>
            <w:webHidden/>
          </w:rPr>
          <w:instrText xml:space="preserve"> PAGEREF _Toc162950880 \h </w:instrText>
        </w:r>
        <w:r w:rsidR="00BD46E9">
          <w:rPr>
            <w:noProof/>
            <w:webHidden/>
          </w:rPr>
        </w:r>
        <w:r w:rsidR="00BD46E9">
          <w:rPr>
            <w:noProof/>
            <w:webHidden/>
          </w:rPr>
          <w:fldChar w:fldCharType="separate"/>
        </w:r>
        <w:r w:rsidR="000E11E7">
          <w:rPr>
            <w:noProof/>
            <w:webHidden/>
          </w:rPr>
          <w:t>92</w:t>
        </w:r>
        <w:r w:rsidR="00BD46E9">
          <w:rPr>
            <w:noProof/>
            <w:webHidden/>
          </w:rPr>
          <w:fldChar w:fldCharType="end"/>
        </w:r>
      </w:hyperlink>
    </w:p>
    <w:p w14:paraId="6DB6C7A2" w14:textId="02D55F99" w:rsidR="00BD46E9" w:rsidRDefault="00BB7E33">
      <w:pPr>
        <w:pStyle w:val="TOC3"/>
        <w:tabs>
          <w:tab w:val="right" w:leader="dot" w:pos="8494"/>
        </w:tabs>
        <w:rPr>
          <w:rFonts w:asciiTheme="minorHAnsi" w:eastAsiaTheme="minorEastAsia" w:hAnsiTheme="minorHAnsi" w:cstheme="minorBidi"/>
          <w:i w:val="0"/>
          <w:noProof/>
          <w:kern w:val="2"/>
          <w:sz w:val="24"/>
          <w:lang w:eastAsia="en-GB"/>
          <w14:ligatures w14:val="standardContextual"/>
        </w:rPr>
      </w:pPr>
      <w:hyperlink w:anchor="_Toc162950881" w:history="1">
        <w:r w:rsidR="00BD46E9" w:rsidRPr="00F93DBE">
          <w:rPr>
            <w:rStyle w:val="Hyperlink"/>
            <w:noProof/>
            <w:lang w:val="en-GB"/>
          </w:rPr>
          <w:t>Rare disease</w:t>
        </w:r>
        <w:r w:rsidR="00BD46E9">
          <w:rPr>
            <w:noProof/>
            <w:webHidden/>
          </w:rPr>
          <w:tab/>
        </w:r>
        <w:r w:rsidR="00BD46E9">
          <w:rPr>
            <w:noProof/>
            <w:webHidden/>
          </w:rPr>
          <w:fldChar w:fldCharType="begin"/>
        </w:r>
        <w:r w:rsidR="00BD46E9">
          <w:rPr>
            <w:noProof/>
            <w:webHidden/>
          </w:rPr>
          <w:instrText xml:space="preserve"> PAGEREF _Toc162950881 \h </w:instrText>
        </w:r>
        <w:r w:rsidR="00BD46E9">
          <w:rPr>
            <w:noProof/>
            <w:webHidden/>
          </w:rPr>
        </w:r>
        <w:r w:rsidR="00BD46E9">
          <w:rPr>
            <w:noProof/>
            <w:webHidden/>
          </w:rPr>
          <w:fldChar w:fldCharType="separate"/>
        </w:r>
        <w:r w:rsidR="000E11E7">
          <w:rPr>
            <w:noProof/>
            <w:webHidden/>
          </w:rPr>
          <w:t>93</w:t>
        </w:r>
        <w:r w:rsidR="00BD46E9">
          <w:rPr>
            <w:noProof/>
            <w:webHidden/>
          </w:rPr>
          <w:fldChar w:fldCharType="end"/>
        </w:r>
      </w:hyperlink>
    </w:p>
    <w:p w14:paraId="18157CDA" w14:textId="60B9D154" w:rsidR="00BD46E9" w:rsidRDefault="00BB7E33">
      <w:pPr>
        <w:pStyle w:val="TOC3"/>
        <w:tabs>
          <w:tab w:val="right" w:leader="dot" w:pos="8494"/>
        </w:tabs>
        <w:rPr>
          <w:rFonts w:asciiTheme="minorHAnsi" w:eastAsiaTheme="minorEastAsia" w:hAnsiTheme="minorHAnsi" w:cstheme="minorBidi"/>
          <w:i w:val="0"/>
          <w:noProof/>
          <w:kern w:val="2"/>
          <w:sz w:val="24"/>
          <w:lang w:eastAsia="en-GB"/>
          <w14:ligatures w14:val="standardContextual"/>
        </w:rPr>
      </w:pPr>
      <w:hyperlink w:anchor="_Toc162950882" w:history="1">
        <w:r w:rsidR="00BD46E9" w:rsidRPr="00F93DBE">
          <w:rPr>
            <w:rStyle w:val="Hyperlink"/>
            <w:noProof/>
            <w:lang w:val="en-GB"/>
          </w:rPr>
          <w:t>Consumer engagement</w:t>
        </w:r>
        <w:r w:rsidR="00BD46E9">
          <w:rPr>
            <w:noProof/>
            <w:webHidden/>
          </w:rPr>
          <w:tab/>
        </w:r>
        <w:r w:rsidR="00BD46E9">
          <w:rPr>
            <w:noProof/>
            <w:webHidden/>
          </w:rPr>
          <w:fldChar w:fldCharType="begin"/>
        </w:r>
        <w:r w:rsidR="00BD46E9">
          <w:rPr>
            <w:noProof/>
            <w:webHidden/>
          </w:rPr>
          <w:instrText xml:space="preserve"> PAGEREF _Toc162950882 \h </w:instrText>
        </w:r>
        <w:r w:rsidR="00BD46E9">
          <w:rPr>
            <w:noProof/>
            <w:webHidden/>
          </w:rPr>
        </w:r>
        <w:r w:rsidR="00BD46E9">
          <w:rPr>
            <w:noProof/>
            <w:webHidden/>
          </w:rPr>
          <w:fldChar w:fldCharType="separate"/>
        </w:r>
        <w:r w:rsidR="000E11E7">
          <w:rPr>
            <w:noProof/>
            <w:webHidden/>
          </w:rPr>
          <w:t>93</w:t>
        </w:r>
        <w:r w:rsidR="00BD46E9">
          <w:rPr>
            <w:noProof/>
            <w:webHidden/>
          </w:rPr>
          <w:fldChar w:fldCharType="end"/>
        </w:r>
      </w:hyperlink>
    </w:p>
    <w:p w14:paraId="0B63795C" w14:textId="4B24527B" w:rsidR="00BD46E9" w:rsidRDefault="00BB7E33">
      <w:pPr>
        <w:pStyle w:val="TOC2"/>
        <w:tabs>
          <w:tab w:val="left" w:pos="880"/>
          <w:tab w:val="right" w:leader="dot" w:pos="8494"/>
        </w:tabs>
        <w:rPr>
          <w:rFonts w:asciiTheme="minorHAnsi" w:eastAsiaTheme="minorEastAsia" w:hAnsiTheme="minorHAnsi" w:cstheme="minorBidi"/>
          <w:iCs w:val="0"/>
          <w:noProof/>
          <w:kern w:val="2"/>
          <w:sz w:val="24"/>
          <w:lang w:eastAsia="en-GB"/>
          <w14:ligatures w14:val="standardContextual"/>
        </w:rPr>
      </w:pPr>
      <w:hyperlink w:anchor="_Toc162950883" w:history="1">
        <w:r w:rsidR="00BD46E9" w:rsidRPr="00F93DBE">
          <w:rPr>
            <w:rStyle w:val="Hyperlink"/>
            <w:noProof/>
            <w:lang w:val="en-GB"/>
          </w:rPr>
          <w:t>4.5</w:t>
        </w:r>
        <w:r w:rsidR="00BD46E9">
          <w:rPr>
            <w:rFonts w:asciiTheme="minorHAnsi" w:eastAsiaTheme="minorEastAsia" w:hAnsiTheme="minorHAnsi" w:cstheme="minorBidi"/>
            <w:iCs w:val="0"/>
            <w:noProof/>
            <w:kern w:val="2"/>
            <w:sz w:val="24"/>
            <w:lang w:eastAsia="en-GB"/>
            <w14:ligatures w14:val="standardContextual"/>
          </w:rPr>
          <w:tab/>
        </w:r>
        <w:r w:rsidR="00BD46E9" w:rsidRPr="00F93DBE">
          <w:rPr>
            <w:rStyle w:val="Hyperlink"/>
            <w:noProof/>
            <w:lang w:val="en-GB"/>
          </w:rPr>
          <w:t>International approaches to rare disease in HTA</w:t>
        </w:r>
        <w:r w:rsidR="00BD46E9">
          <w:rPr>
            <w:noProof/>
            <w:webHidden/>
          </w:rPr>
          <w:tab/>
        </w:r>
        <w:r w:rsidR="00BD46E9">
          <w:rPr>
            <w:noProof/>
            <w:webHidden/>
          </w:rPr>
          <w:fldChar w:fldCharType="begin"/>
        </w:r>
        <w:r w:rsidR="00BD46E9">
          <w:rPr>
            <w:noProof/>
            <w:webHidden/>
          </w:rPr>
          <w:instrText xml:space="preserve"> PAGEREF _Toc162950883 \h </w:instrText>
        </w:r>
        <w:r w:rsidR="00BD46E9">
          <w:rPr>
            <w:noProof/>
            <w:webHidden/>
          </w:rPr>
        </w:r>
        <w:r w:rsidR="00BD46E9">
          <w:rPr>
            <w:noProof/>
            <w:webHidden/>
          </w:rPr>
          <w:fldChar w:fldCharType="separate"/>
        </w:r>
        <w:r w:rsidR="000E11E7">
          <w:rPr>
            <w:noProof/>
            <w:webHidden/>
          </w:rPr>
          <w:t>96</w:t>
        </w:r>
        <w:r w:rsidR="00BD46E9">
          <w:rPr>
            <w:noProof/>
            <w:webHidden/>
          </w:rPr>
          <w:fldChar w:fldCharType="end"/>
        </w:r>
      </w:hyperlink>
    </w:p>
    <w:p w14:paraId="023380D0" w14:textId="162E6805" w:rsidR="00BD46E9" w:rsidRDefault="00BB7E33">
      <w:pPr>
        <w:pStyle w:val="TOC3"/>
        <w:tabs>
          <w:tab w:val="right" w:leader="dot" w:pos="8494"/>
        </w:tabs>
        <w:rPr>
          <w:rFonts w:asciiTheme="minorHAnsi" w:eastAsiaTheme="minorEastAsia" w:hAnsiTheme="minorHAnsi" w:cstheme="minorBidi"/>
          <w:i w:val="0"/>
          <w:noProof/>
          <w:kern w:val="2"/>
          <w:sz w:val="24"/>
          <w:lang w:eastAsia="en-GB"/>
          <w14:ligatures w14:val="standardContextual"/>
        </w:rPr>
      </w:pPr>
      <w:hyperlink w:anchor="_Toc162950884" w:history="1">
        <w:r w:rsidR="00BD46E9" w:rsidRPr="00F93DBE">
          <w:rPr>
            <w:rStyle w:val="Hyperlink"/>
            <w:noProof/>
            <w:lang w:val="en-GB"/>
          </w:rPr>
          <w:t>Definition of rare and target population</w:t>
        </w:r>
        <w:r w:rsidR="00BD46E9">
          <w:rPr>
            <w:noProof/>
            <w:webHidden/>
          </w:rPr>
          <w:tab/>
        </w:r>
        <w:r w:rsidR="00BD46E9">
          <w:rPr>
            <w:noProof/>
            <w:webHidden/>
          </w:rPr>
          <w:fldChar w:fldCharType="begin"/>
        </w:r>
        <w:r w:rsidR="00BD46E9">
          <w:rPr>
            <w:noProof/>
            <w:webHidden/>
          </w:rPr>
          <w:instrText xml:space="preserve"> PAGEREF _Toc162950884 \h </w:instrText>
        </w:r>
        <w:r w:rsidR="00BD46E9">
          <w:rPr>
            <w:noProof/>
            <w:webHidden/>
          </w:rPr>
        </w:r>
        <w:r w:rsidR="00BD46E9">
          <w:rPr>
            <w:noProof/>
            <w:webHidden/>
          </w:rPr>
          <w:fldChar w:fldCharType="separate"/>
        </w:r>
        <w:r w:rsidR="000E11E7">
          <w:rPr>
            <w:noProof/>
            <w:webHidden/>
          </w:rPr>
          <w:t>96</w:t>
        </w:r>
        <w:r w:rsidR="00BD46E9">
          <w:rPr>
            <w:noProof/>
            <w:webHidden/>
          </w:rPr>
          <w:fldChar w:fldCharType="end"/>
        </w:r>
      </w:hyperlink>
    </w:p>
    <w:p w14:paraId="0CE15C7E" w14:textId="36FBF31D" w:rsidR="00BD46E9" w:rsidRDefault="00BB7E33">
      <w:pPr>
        <w:pStyle w:val="TOC3"/>
        <w:tabs>
          <w:tab w:val="right" w:leader="dot" w:pos="8494"/>
        </w:tabs>
        <w:rPr>
          <w:rFonts w:asciiTheme="minorHAnsi" w:eastAsiaTheme="minorEastAsia" w:hAnsiTheme="minorHAnsi" w:cstheme="minorBidi"/>
          <w:i w:val="0"/>
          <w:noProof/>
          <w:kern w:val="2"/>
          <w:sz w:val="24"/>
          <w:lang w:eastAsia="en-GB"/>
          <w14:ligatures w14:val="standardContextual"/>
        </w:rPr>
      </w:pPr>
      <w:hyperlink w:anchor="_Toc162950885" w:history="1">
        <w:r w:rsidR="00BD46E9" w:rsidRPr="00F93DBE">
          <w:rPr>
            <w:rStyle w:val="Hyperlink"/>
            <w:noProof/>
            <w:lang w:val="en-GB"/>
          </w:rPr>
          <w:t>Access pathways for orphan drugs</w:t>
        </w:r>
        <w:r w:rsidR="00BD46E9">
          <w:rPr>
            <w:noProof/>
            <w:webHidden/>
          </w:rPr>
          <w:tab/>
        </w:r>
        <w:r w:rsidR="00BD46E9">
          <w:rPr>
            <w:noProof/>
            <w:webHidden/>
          </w:rPr>
          <w:fldChar w:fldCharType="begin"/>
        </w:r>
        <w:r w:rsidR="00BD46E9">
          <w:rPr>
            <w:noProof/>
            <w:webHidden/>
          </w:rPr>
          <w:instrText xml:space="preserve"> PAGEREF _Toc162950885 \h </w:instrText>
        </w:r>
        <w:r w:rsidR="00BD46E9">
          <w:rPr>
            <w:noProof/>
            <w:webHidden/>
          </w:rPr>
        </w:r>
        <w:r w:rsidR="00BD46E9">
          <w:rPr>
            <w:noProof/>
            <w:webHidden/>
          </w:rPr>
          <w:fldChar w:fldCharType="separate"/>
        </w:r>
        <w:r w:rsidR="000E11E7">
          <w:rPr>
            <w:noProof/>
            <w:webHidden/>
          </w:rPr>
          <w:t>100</w:t>
        </w:r>
        <w:r w:rsidR="00BD46E9">
          <w:rPr>
            <w:noProof/>
            <w:webHidden/>
          </w:rPr>
          <w:fldChar w:fldCharType="end"/>
        </w:r>
      </w:hyperlink>
    </w:p>
    <w:p w14:paraId="3CA618B4" w14:textId="75BAAF2D" w:rsidR="00BD46E9" w:rsidRDefault="00BB7E33">
      <w:pPr>
        <w:pStyle w:val="TOC3"/>
        <w:tabs>
          <w:tab w:val="right" w:leader="dot" w:pos="8494"/>
        </w:tabs>
        <w:rPr>
          <w:rFonts w:asciiTheme="minorHAnsi" w:eastAsiaTheme="minorEastAsia" w:hAnsiTheme="minorHAnsi" w:cstheme="minorBidi"/>
          <w:i w:val="0"/>
          <w:noProof/>
          <w:kern w:val="2"/>
          <w:sz w:val="24"/>
          <w:lang w:eastAsia="en-GB"/>
          <w14:ligatures w14:val="standardContextual"/>
        </w:rPr>
      </w:pPr>
      <w:hyperlink w:anchor="_Toc162950886" w:history="1">
        <w:r w:rsidR="00BD46E9" w:rsidRPr="00F93DBE">
          <w:rPr>
            <w:rStyle w:val="Hyperlink"/>
            <w:noProof/>
            <w:lang w:val="en-GB"/>
          </w:rPr>
          <w:t>Special considerations for rare diseases</w:t>
        </w:r>
        <w:r w:rsidR="00BD46E9">
          <w:rPr>
            <w:noProof/>
            <w:webHidden/>
          </w:rPr>
          <w:tab/>
        </w:r>
        <w:r w:rsidR="00BD46E9">
          <w:rPr>
            <w:noProof/>
            <w:webHidden/>
          </w:rPr>
          <w:fldChar w:fldCharType="begin"/>
        </w:r>
        <w:r w:rsidR="00BD46E9">
          <w:rPr>
            <w:noProof/>
            <w:webHidden/>
          </w:rPr>
          <w:instrText xml:space="preserve"> PAGEREF _Toc162950886 \h </w:instrText>
        </w:r>
        <w:r w:rsidR="00BD46E9">
          <w:rPr>
            <w:noProof/>
            <w:webHidden/>
          </w:rPr>
        </w:r>
        <w:r w:rsidR="00BD46E9">
          <w:rPr>
            <w:noProof/>
            <w:webHidden/>
          </w:rPr>
          <w:fldChar w:fldCharType="separate"/>
        </w:r>
        <w:r w:rsidR="000E11E7">
          <w:rPr>
            <w:noProof/>
            <w:webHidden/>
          </w:rPr>
          <w:t>102</w:t>
        </w:r>
        <w:r w:rsidR="00BD46E9">
          <w:rPr>
            <w:noProof/>
            <w:webHidden/>
          </w:rPr>
          <w:fldChar w:fldCharType="end"/>
        </w:r>
      </w:hyperlink>
    </w:p>
    <w:p w14:paraId="4B0E9470" w14:textId="34B84F6B" w:rsidR="00BD46E9" w:rsidRDefault="00BB7E33">
      <w:pPr>
        <w:pStyle w:val="TOC3"/>
        <w:tabs>
          <w:tab w:val="right" w:leader="dot" w:pos="8494"/>
        </w:tabs>
        <w:rPr>
          <w:rFonts w:asciiTheme="minorHAnsi" w:eastAsiaTheme="minorEastAsia" w:hAnsiTheme="minorHAnsi" w:cstheme="minorBidi"/>
          <w:i w:val="0"/>
          <w:noProof/>
          <w:kern w:val="2"/>
          <w:sz w:val="24"/>
          <w:lang w:eastAsia="en-GB"/>
          <w14:ligatures w14:val="standardContextual"/>
        </w:rPr>
      </w:pPr>
      <w:hyperlink w:anchor="_Toc162950887" w:history="1">
        <w:r w:rsidR="00BD46E9" w:rsidRPr="00F93DBE">
          <w:rPr>
            <w:rStyle w:val="Hyperlink"/>
            <w:noProof/>
            <w:lang w:val="en-GB"/>
          </w:rPr>
          <w:t>Assessment of orphan drugs within standard processes</w:t>
        </w:r>
        <w:r w:rsidR="00BD46E9">
          <w:rPr>
            <w:noProof/>
            <w:webHidden/>
          </w:rPr>
          <w:tab/>
        </w:r>
        <w:r w:rsidR="00BD46E9">
          <w:rPr>
            <w:noProof/>
            <w:webHidden/>
          </w:rPr>
          <w:fldChar w:fldCharType="begin"/>
        </w:r>
        <w:r w:rsidR="00BD46E9">
          <w:rPr>
            <w:noProof/>
            <w:webHidden/>
          </w:rPr>
          <w:instrText xml:space="preserve"> PAGEREF _Toc162950887 \h </w:instrText>
        </w:r>
        <w:r w:rsidR="00BD46E9">
          <w:rPr>
            <w:noProof/>
            <w:webHidden/>
          </w:rPr>
        </w:r>
        <w:r w:rsidR="00BD46E9">
          <w:rPr>
            <w:noProof/>
            <w:webHidden/>
          </w:rPr>
          <w:fldChar w:fldCharType="separate"/>
        </w:r>
        <w:r w:rsidR="000E11E7">
          <w:rPr>
            <w:noProof/>
            <w:webHidden/>
          </w:rPr>
          <w:t>122</w:t>
        </w:r>
        <w:r w:rsidR="00BD46E9">
          <w:rPr>
            <w:noProof/>
            <w:webHidden/>
          </w:rPr>
          <w:fldChar w:fldCharType="end"/>
        </w:r>
      </w:hyperlink>
    </w:p>
    <w:p w14:paraId="09615C31" w14:textId="22E57F33" w:rsidR="00BD46E9" w:rsidRDefault="00BB7E33">
      <w:pPr>
        <w:pStyle w:val="TOC3"/>
        <w:tabs>
          <w:tab w:val="right" w:leader="dot" w:pos="8494"/>
        </w:tabs>
        <w:rPr>
          <w:rFonts w:asciiTheme="minorHAnsi" w:eastAsiaTheme="minorEastAsia" w:hAnsiTheme="minorHAnsi" w:cstheme="minorBidi"/>
          <w:i w:val="0"/>
          <w:noProof/>
          <w:kern w:val="2"/>
          <w:sz w:val="24"/>
          <w:lang w:eastAsia="en-GB"/>
          <w14:ligatures w14:val="standardContextual"/>
        </w:rPr>
      </w:pPr>
      <w:hyperlink w:anchor="_Toc162950888" w:history="1">
        <w:r w:rsidR="00BD46E9" w:rsidRPr="00F93DBE">
          <w:rPr>
            <w:rStyle w:val="Hyperlink"/>
            <w:noProof/>
            <w:lang w:val="en-GB"/>
          </w:rPr>
          <w:t>Alternative processes</w:t>
        </w:r>
        <w:r w:rsidR="00BD46E9">
          <w:rPr>
            <w:noProof/>
            <w:webHidden/>
          </w:rPr>
          <w:tab/>
        </w:r>
        <w:r w:rsidR="00BD46E9">
          <w:rPr>
            <w:noProof/>
            <w:webHidden/>
          </w:rPr>
          <w:fldChar w:fldCharType="begin"/>
        </w:r>
        <w:r w:rsidR="00BD46E9">
          <w:rPr>
            <w:noProof/>
            <w:webHidden/>
          </w:rPr>
          <w:instrText xml:space="preserve"> PAGEREF _Toc162950888 \h </w:instrText>
        </w:r>
        <w:r w:rsidR="00BD46E9">
          <w:rPr>
            <w:noProof/>
            <w:webHidden/>
          </w:rPr>
        </w:r>
        <w:r w:rsidR="00BD46E9">
          <w:rPr>
            <w:noProof/>
            <w:webHidden/>
          </w:rPr>
          <w:fldChar w:fldCharType="separate"/>
        </w:r>
        <w:r w:rsidR="000E11E7">
          <w:rPr>
            <w:noProof/>
            <w:webHidden/>
          </w:rPr>
          <w:t>124</w:t>
        </w:r>
        <w:r w:rsidR="00BD46E9">
          <w:rPr>
            <w:noProof/>
            <w:webHidden/>
          </w:rPr>
          <w:fldChar w:fldCharType="end"/>
        </w:r>
      </w:hyperlink>
    </w:p>
    <w:p w14:paraId="771A6C8F" w14:textId="11964BF0" w:rsidR="00BD46E9" w:rsidRDefault="00BB7E33">
      <w:pPr>
        <w:pStyle w:val="TOC3"/>
        <w:tabs>
          <w:tab w:val="right" w:leader="dot" w:pos="8494"/>
        </w:tabs>
        <w:rPr>
          <w:rFonts w:asciiTheme="minorHAnsi" w:eastAsiaTheme="minorEastAsia" w:hAnsiTheme="minorHAnsi" w:cstheme="minorBidi"/>
          <w:i w:val="0"/>
          <w:noProof/>
          <w:kern w:val="2"/>
          <w:sz w:val="24"/>
          <w:lang w:eastAsia="en-GB"/>
          <w14:ligatures w14:val="standardContextual"/>
        </w:rPr>
      </w:pPr>
      <w:hyperlink w:anchor="_Toc162950889" w:history="1">
        <w:r w:rsidR="00BD46E9" w:rsidRPr="00F93DBE">
          <w:rPr>
            <w:rStyle w:val="Hyperlink"/>
            <w:noProof/>
            <w:lang w:val="en-GB"/>
          </w:rPr>
          <w:t>Recent reforms</w:t>
        </w:r>
        <w:r w:rsidR="00BD46E9">
          <w:rPr>
            <w:noProof/>
            <w:webHidden/>
          </w:rPr>
          <w:tab/>
        </w:r>
        <w:r w:rsidR="00BD46E9">
          <w:rPr>
            <w:noProof/>
            <w:webHidden/>
          </w:rPr>
          <w:fldChar w:fldCharType="begin"/>
        </w:r>
        <w:r w:rsidR="00BD46E9">
          <w:rPr>
            <w:noProof/>
            <w:webHidden/>
          </w:rPr>
          <w:instrText xml:space="preserve"> PAGEREF _Toc162950889 \h </w:instrText>
        </w:r>
        <w:r w:rsidR="00BD46E9">
          <w:rPr>
            <w:noProof/>
            <w:webHidden/>
          </w:rPr>
        </w:r>
        <w:r w:rsidR="00BD46E9">
          <w:rPr>
            <w:noProof/>
            <w:webHidden/>
          </w:rPr>
          <w:fldChar w:fldCharType="separate"/>
        </w:r>
        <w:r w:rsidR="000E11E7">
          <w:rPr>
            <w:noProof/>
            <w:webHidden/>
          </w:rPr>
          <w:t>126</w:t>
        </w:r>
        <w:r w:rsidR="00BD46E9">
          <w:rPr>
            <w:noProof/>
            <w:webHidden/>
          </w:rPr>
          <w:fldChar w:fldCharType="end"/>
        </w:r>
      </w:hyperlink>
    </w:p>
    <w:p w14:paraId="4BC3A2F5" w14:textId="6DD79748" w:rsidR="00BD46E9" w:rsidRDefault="00BB7E33">
      <w:pPr>
        <w:pStyle w:val="TOC2"/>
        <w:tabs>
          <w:tab w:val="left" w:pos="880"/>
          <w:tab w:val="right" w:leader="dot" w:pos="8494"/>
        </w:tabs>
        <w:rPr>
          <w:rFonts w:asciiTheme="minorHAnsi" w:eastAsiaTheme="minorEastAsia" w:hAnsiTheme="minorHAnsi" w:cstheme="minorBidi"/>
          <w:iCs w:val="0"/>
          <w:noProof/>
          <w:kern w:val="2"/>
          <w:sz w:val="24"/>
          <w:lang w:eastAsia="en-GB"/>
          <w14:ligatures w14:val="standardContextual"/>
        </w:rPr>
      </w:pPr>
      <w:hyperlink w:anchor="_Toc162950890" w:history="1">
        <w:r w:rsidR="00BD46E9" w:rsidRPr="00F93DBE">
          <w:rPr>
            <w:rStyle w:val="Hyperlink"/>
            <w:noProof/>
            <w:lang w:val="en-GB"/>
          </w:rPr>
          <w:t>4.6</w:t>
        </w:r>
        <w:r w:rsidR="00BD46E9">
          <w:rPr>
            <w:rFonts w:asciiTheme="minorHAnsi" w:eastAsiaTheme="minorEastAsia" w:hAnsiTheme="minorHAnsi" w:cstheme="minorBidi"/>
            <w:iCs w:val="0"/>
            <w:noProof/>
            <w:kern w:val="2"/>
            <w:sz w:val="24"/>
            <w:lang w:eastAsia="en-GB"/>
            <w14:ligatures w14:val="standardContextual"/>
          </w:rPr>
          <w:tab/>
        </w:r>
        <w:r w:rsidR="00BD46E9" w:rsidRPr="00F93DBE">
          <w:rPr>
            <w:rStyle w:val="Hyperlink"/>
            <w:noProof/>
            <w:lang w:val="en-GB"/>
          </w:rPr>
          <w:t>Managing uncertainty</w:t>
        </w:r>
        <w:r w:rsidR="00BD46E9">
          <w:rPr>
            <w:noProof/>
            <w:webHidden/>
          </w:rPr>
          <w:tab/>
        </w:r>
        <w:r w:rsidR="00BD46E9">
          <w:rPr>
            <w:noProof/>
            <w:webHidden/>
          </w:rPr>
          <w:fldChar w:fldCharType="begin"/>
        </w:r>
        <w:r w:rsidR="00BD46E9">
          <w:rPr>
            <w:noProof/>
            <w:webHidden/>
          </w:rPr>
          <w:instrText xml:space="preserve"> PAGEREF _Toc162950890 \h </w:instrText>
        </w:r>
        <w:r w:rsidR="00BD46E9">
          <w:rPr>
            <w:noProof/>
            <w:webHidden/>
          </w:rPr>
        </w:r>
        <w:r w:rsidR="00BD46E9">
          <w:rPr>
            <w:noProof/>
            <w:webHidden/>
          </w:rPr>
          <w:fldChar w:fldCharType="separate"/>
        </w:r>
        <w:r w:rsidR="000E11E7">
          <w:rPr>
            <w:noProof/>
            <w:webHidden/>
          </w:rPr>
          <w:t>129</w:t>
        </w:r>
        <w:r w:rsidR="00BD46E9">
          <w:rPr>
            <w:noProof/>
            <w:webHidden/>
          </w:rPr>
          <w:fldChar w:fldCharType="end"/>
        </w:r>
      </w:hyperlink>
    </w:p>
    <w:p w14:paraId="2B4F7855" w14:textId="0AA7012D" w:rsidR="00BD46E9" w:rsidRDefault="00BB7E33">
      <w:pPr>
        <w:pStyle w:val="TOC3"/>
        <w:tabs>
          <w:tab w:val="right" w:leader="dot" w:pos="8494"/>
        </w:tabs>
        <w:rPr>
          <w:rFonts w:asciiTheme="minorHAnsi" w:eastAsiaTheme="minorEastAsia" w:hAnsiTheme="minorHAnsi" w:cstheme="minorBidi"/>
          <w:i w:val="0"/>
          <w:noProof/>
          <w:kern w:val="2"/>
          <w:sz w:val="24"/>
          <w:lang w:eastAsia="en-GB"/>
          <w14:ligatures w14:val="standardContextual"/>
        </w:rPr>
      </w:pPr>
      <w:hyperlink w:anchor="_Toc162950891" w:history="1">
        <w:r w:rsidR="00BD46E9" w:rsidRPr="00F93DBE">
          <w:rPr>
            <w:rStyle w:val="Hyperlink"/>
            <w:noProof/>
            <w:lang w:val="en-GB"/>
          </w:rPr>
          <w:t>Managed entry agreements</w:t>
        </w:r>
        <w:r w:rsidR="00BD46E9">
          <w:rPr>
            <w:noProof/>
            <w:webHidden/>
          </w:rPr>
          <w:tab/>
        </w:r>
        <w:r w:rsidR="00BD46E9">
          <w:rPr>
            <w:noProof/>
            <w:webHidden/>
          </w:rPr>
          <w:fldChar w:fldCharType="begin"/>
        </w:r>
        <w:r w:rsidR="00BD46E9">
          <w:rPr>
            <w:noProof/>
            <w:webHidden/>
          </w:rPr>
          <w:instrText xml:space="preserve"> PAGEREF _Toc162950891 \h </w:instrText>
        </w:r>
        <w:r w:rsidR="00BD46E9">
          <w:rPr>
            <w:noProof/>
            <w:webHidden/>
          </w:rPr>
        </w:r>
        <w:r w:rsidR="00BD46E9">
          <w:rPr>
            <w:noProof/>
            <w:webHidden/>
          </w:rPr>
          <w:fldChar w:fldCharType="separate"/>
        </w:r>
        <w:r w:rsidR="000E11E7">
          <w:rPr>
            <w:noProof/>
            <w:webHidden/>
          </w:rPr>
          <w:t>129</w:t>
        </w:r>
        <w:r w:rsidR="00BD46E9">
          <w:rPr>
            <w:noProof/>
            <w:webHidden/>
          </w:rPr>
          <w:fldChar w:fldCharType="end"/>
        </w:r>
      </w:hyperlink>
    </w:p>
    <w:p w14:paraId="22C81ADD" w14:textId="3EBC5C57" w:rsidR="00BD46E9" w:rsidRDefault="00BB7E33">
      <w:pPr>
        <w:pStyle w:val="TOC3"/>
        <w:tabs>
          <w:tab w:val="right" w:leader="dot" w:pos="8494"/>
        </w:tabs>
        <w:rPr>
          <w:rFonts w:asciiTheme="minorHAnsi" w:eastAsiaTheme="minorEastAsia" w:hAnsiTheme="minorHAnsi" w:cstheme="minorBidi"/>
          <w:i w:val="0"/>
          <w:noProof/>
          <w:kern w:val="2"/>
          <w:sz w:val="24"/>
          <w:lang w:eastAsia="en-GB"/>
          <w14:ligatures w14:val="standardContextual"/>
        </w:rPr>
      </w:pPr>
      <w:hyperlink w:anchor="_Toc162950892" w:history="1">
        <w:r w:rsidR="00BD46E9" w:rsidRPr="00F93DBE">
          <w:rPr>
            <w:rStyle w:val="Hyperlink"/>
            <w:noProof/>
            <w:lang w:val="en-GB"/>
          </w:rPr>
          <w:t>Key features of MEAs</w:t>
        </w:r>
        <w:r w:rsidR="00BD46E9">
          <w:rPr>
            <w:noProof/>
            <w:webHidden/>
          </w:rPr>
          <w:tab/>
        </w:r>
        <w:r w:rsidR="00BD46E9">
          <w:rPr>
            <w:noProof/>
            <w:webHidden/>
          </w:rPr>
          <w:fldChar w:fldCharType="begin"/>
        </w:r>
        <w:r w:rsidR="00BD46E9">
          <w:rPr>
            <w:noProof/>
            <w:webHidden/>
          </w:rPr>
          <w:instrText xml:space="preserve"> PAGEREF _Toc162950892 \h </w:instrText>
        </w:r>
        <w:r w:rsidR="00BD46E9">
          <w:rPr>
            <w:noProof/>
            <w:webHidden/>
          </w:rPr>
        </w:r>
        <w:r w:rsidR="00BD46E9">
          <w:rPr>
            <w:noProof/>
            <w:webHidden/>
          </w:rPr>
          <w:fldChar w:fldCharType="separate"/>
        </w:r>
        <w:r w:rsidR="000E11E7">
          <w:rPr>
            <w:noProof/>
            <w:webHidden/>
          </w:rPr>
          <w:t>133</w:t>
        </w:r>
        <w:r w:rsidR="00BD46E9">
          <w:rPr>
            <w:noProof/>
            <w:webHidden/>
          </w:rPr>
          <w:fldChar w:fldCharType="end"/>
        </w:r>
      </w:hyperlink>
    </w:p>
    <w:p w14:paraId="71BB5CC9" w14:textId="40CE1CAC" w:rsidR="00BD46E9" w:rsidRDefault="00BB7E33">
      <w:pPr>
        <w:pStyle w:val="TOC3"/>
        <w:tabs>
          <w:tab w:val="right" w:leader="dot" w:pos="8494"/>
        </w:tabs>
        <w:rPr>
          <w:rFonts w:asciiTheme="minorHAnsi" w:eastAsiaTheme="minorEastAsia" w:hAnsiTheme="minorHAnsi" w:cstheme="minorBidi"/>
          <w:i w:val="0"/>
          <w:noProof/>
          <w:kern w:val="2"/>
          <w:sz w:val="24"/>
          <w:lang w:eastAsia="en-GB"/>
          <w14:ligatures w14:val="standardContextual"/>
        </w:rPr>
      </w:pPr>
      <w:hyperlink w:anchor="_Toc162950893" w:history="1">
        <w:r w:rsidR="00BD46E9" w:rsidRPr="00F93DBE">
          <w:rPr>
            <w:rStyle w:val="Hyperlink"/>
            <w:noProof/>
            <w:lang w:val="en-GB"/>
          </w:rPr>
          <w:t>Objectives of performance-based MEAs</w:t>
        </w:r>
        <w:r w:rsidR="00BD46E9">
          <w:rPr>
            <w:noProof/>
            <w:webHidden/>
          </w:rPr>
          <w:tab/>
        </w:r>
        <w:r w:rsidR="00BD46E9">
          <w:rPr>
            <w:noProof/>
            <w:webHidden/>
          </w:rPr>
          <w:fldChar w:fldCharType="begin"/>
        </w:r>
        <w:r w:rsidR="00BD46E9">
          <w:rPr>
            <w:noProof/>
            <w:webHidden/>
          </w:rPr>
          <w:instrText xml:space="preserve"> PAGEREF _Toc162950893 \h </w:instrText>
        </w:r>
        <w:r w:rsidR="00BD46E9">
          <w:rPr>
            <w:noProof/>
            <w:webHidden/>
          </w:rPr>
        </w:r>
        <w:r w:rsidR="00BD46E9">
          <w:rPr>
            <w:noProof/>
            <w:webHidden/>
          </w:rPr>
          <w:fldChar w:fldCharType="separate"/>
        </w:r>
        <w:r w:rsidR="000E11E7">
          <w:rPr>
            <w:noProof/>
            <w:webHidden/>
          </w:rPr>
          <w:t>136</w:t>
        </w:r>
        <w:r w:rsidR="00BD46E9">
          <w:rPr>
            <w:noProof/>
            <w:webHidden/>
          </w:rPr>
          <w:fldChar w:fldCharType="end"/>
        </w:r>
      </w:hyperlink>
    </w:p>
    <w:p w14:paraId="3BE37651" w14:textId="252A94C6" w:rsidR="00BD46E9" w:rsidRDefault="00BB7E33">
      <w:pPr>
        <w:pStyle w:val="TOC3"/>
        <w:tabs>
          <w:tab w:val="right" w:leader="dot" w:pos="8494"/>
        </w:tabs>
        <w:rPr>
          <w:rFonts w:asciiTheme="minorHAnsi" w:eastAsiaTheme="minorEastAsia" w:hAnsiTheme="minorHAnsi" w:cstheme="minorBidi"/>
          <w:i w:val="0"/>
          <w:noProof/>
          <w:kern w:val="2"/>
          <w:sz w:val="24"/>
          <w:lang w:eastAsia="en-GB"/>
          <w14:ligatures w14:val="standardContextual"/>
        </w:rPr>
      </w:pPr>
      <w:hyperlink w:anchor="_Toc162950894" w:history="1">
        <w:r w:rsidR="00BD46E9" w:rsidRPr="00F93DBE">
          <w:rPr>
            <w:rStyle w:val="Hyperlink"/>
            <w:noProof/>
            <w:lang w:val="en-GB"/>
          </w:rPr>
          <w:t>Data to inform performance-based MEAs</w:t>
        </w:r>
        <w:r w:rsidR="00BD46E9">
          <w:rPr>
            <w:noProof/>
            <w:webHidden/>
          </w:rPr>
          <w:tab/>
        </w:r>
        <w:r w:rsidR="00BD46E9">
          <w:rPr>
            <w:noProof/>
            <w:webHidden/>
          </w:rPr>
          <w:fldChar w:fldCharType="begin"/>
        </w:r>
        <w:r w:rsidR="00BD46E9">
          <w:rPr>
            <w:noProof/>
            <w:webHidden/>
          </w:rPr>
          <w:instrText xml:space="preserve"> PAGEREF _Toc162950894 \h </w:instrText>
        </w:r>
        <w:r w:rsidR="00BD46E9">
          <w:rPr>
            <w:noProof/>
            <w:webHidden/>
          </w:rPr>
        </w:r>
        <w:r w:rsidR="00BD46E9">
          <w:rPr>
            <w:noProof/>
            <w:webHidden/>
          </w:rPr>
          <w:fldChar w:fldCharType="separate"/>
        </w:r>
        <w:r w:rsidR="000E11E7">
          <w:rPr>
            <w:noProof/>
            <w:webHidden/>
          </w:rPr>
          <w:t>139</w:t>
        </w:r>
        <w:r w:rsidR="00BD46E9">
          <w:rPr>
            <w:noProof/>
            <w:webHidden/>
          </w:rPr>
          <w:fldChar w:fldCharType="end"/>
        </w:r>
      </w:hyperlink>
    </w:p>
    <w:p w14:paraId="203EDF77" w14:textId="4FFEFF6A" w:rsidR="00BD46E9" w:rsidRDefault="00BB7E33">
      <w:pPr>
        <w:pStyle w:val="TOC3"/>
        <w:tabs>
          <w:tab w:val="right" w:leader="dot" w:pos="8494"/>
        </w:tabs>
        <w:rPr>
          <w:rFonts w:asciiTheme="minorHAnsi" w:eastAsiaTheme="minorEastAsia" w:hAnsiTheme="minorHAnsi" w:cstheme="minorBidi"/>
          <w:i w:val="0"/>
          <w:noProof/>
          <w:kern w:val="2"/>
          <w:sz w:val="24"/>
          <w:lang w:eastAsia="en-GB"/>
          <w14:ligatures w14:val="standardContextual"/>
        </w:rPr>
      </w:pPr>
      <w:hyperlink w:anchor="_Toc162950895" w:history="1">
        <w:r w:rsidR="00BD46E9" w:rsidRPr="00F93DBE">
          <w:rPr>
            <w:rStyle w:val="Hyperlink"/>
            <w:noProof/>
            <w:lang w:val="en-GB"/>
          </w:rPr>
          <w:t>Health Technology Reassessment (HTR) and disinvestment</w:t>
        </w:r>
        <w:r w:rsidR="00BD46E9">
          <w:rPr>
            <w:noProof/>
            <w:webHidden/>
          </w:rPr>
          <w:tab/>
        </w:r>
        <w:r w:rsidR="00BD46E9">
          <w:rPr>
            <w:noProof/>
            <w:webHidden/>
          </w:rPr>
          <w:fldChar w:fldCharType="begin"/>
        </w:r>
        <w:r w:rsidR="00BD46E9">
          <w:rPr>
            <w:noProof/>
            <w:webHidden/>
          </w:rPr>
          <w:instrText xml:space="preserve"> PAGEREF _Toc162950895 \h </w:instrText>
        </w:r>
        <w:r w:rsidR="00BD46E9">
          <w:rPr>
            <w:noProof/>
            <w:webHidden/>
          </w:rPr>
        </w:r>
        <w:r w:rsidR="00BD46E9">
          <w:rPr>
            <w:noProof/>
            <w:webHidden/>
          </w:rPr>
          <w:fldChar w:fldCharType="separate"/>
        </w:r>
        <w:r w:rsidR="000E11E7">
          <w:rPr>
            <w:noProof/>
            <w:webHidden/>
          </w:rPr>
          <w:t>143</w:t>
        </w:r>
        <w:r w:rsidR="00BD46E9">
          <w:rPr>
            <w:noProof/>
            <w:webHidden/>
          </w:rPr>
          <w:fldChar w:fldCharType="end"/>
        </w:r>
      </w:hyperlink>
    </w:p>
    <w:p w14:paraId="270F8A22" w14:textId="0C221D0A" w:rsidR="00BD46E9" w:rsidRDefault="00BB7E33">
      <w:pPr>
        <w:pStyle w:val="TOC3"/>
        <w:tabs>
          <w:tab w:val="right" w:leader="dot" w:pos="8494"/>
        </w:tabs>
        <w:rPr>
          <w:rFonts w:asciiTheme="minorHAnsi" w:eastAsiaTheme="minorEastAsia" w:hAnsiTheme="minorHAnsi" w:cstheme="minorBidi"/>
          <w:i w:val="0"/>
          <w:noProof/>
          <w:kern w:val="2"/>
          <w:sz w:val="24"/>
          <w:lang w:eastAsia="en-GB"/>
          <w14:ligatures w14:val="standardContextual"/>
        </w:rPr>
      </w:pPr>
      <w:hyperlink w:anchor="_Toc162950896" w:history="1">
        <w:r w:rsidR="00BD46E9" w:rsidRPr="00F93DBE">
          <w:rPr>
            <w:rStyle w:val="Hyperlink"/>
            <w:noProof/>
            <w:lang w:val="en-GB"/>
          </w:rPr>
          <w:t>The role of MEAs in oncology and rare diseases</w:t>
        </w:r>
        <w:r w:rsidR="00BD46E9">
          <w:rPr>
            <w:noProof/>
            <w:webHidden/>
          </w:rPr>
          <w:tab/>
        </w:r>
        <w:r w:rsidR="00BD46E9">
          <w:rPr>
            <w:noProof/>
            <w:webHidden/>
          </w:rPr>
          <w:fldChar w:fldCharType="begin"/>
        </w:r>
        <w:r w:rsidR="00BD46E9">
          <w:rPr>
            <w:noProof/>
            <w:webHidden/>
          </w:rPr>
          <w:instrText xml:space="preserve"> PAGEREF _Toc162950896 \h </w:instrText>
        </w:r>
        <w:r w:rsidR="00BD46E9">
          <w:rPr>
            <w:noProof/>
            <w:webHidden/>
          </w:rPr>
        </w:r>
        <w:r w:rsidR="00BD46E9">
          <w:rPr>
            <w:noProof/>
            <w:webHidden/>
          </w:rPr>
          <w:fldChar w:fldCharType="separate"/>
        </w:r>
        <w:r w:rsidR="000E11E7">
          <w:rPr>
            <w:noProof/>
            <w:webHidden/>
          </w:rPr>
          <w:t>148</w:t>
        </w:r>
        <w:r w:rsidR="00BD46E9">
          <w:rPr>
            <w:noProof/>
            <w:webHidden/>
          </w:rPr>
          <w:fldChar w:fldCharType="end"/>
        </w:r>
      </w:hyperlink>
    </w:p>
    <w:p w14:paraId="1A331325" w14:textId="6636763C" w:rsidR="00BD46E9" w:rsidRDefault="00BB7E33">
      <w:pPr>
        <w:pStyle w:val="TOC3"/>
        <w:tabs>
          <w:tab w:val="right" w:leader="dot" w:pos="8494"/>
        </w:tabs>
        <w:rPr>
          <w:rFonts w:asciiTheme="minorHAnsi" w:eastAsiaTheme="minorEastAsia" w:hAnsiTheme="minorHAnsi" w:cstheme="minorBidi"/>
          <w:i w:val="0"/>
          <w:noProof/>
          <w:kern w:val="2"/>
          <w:sz w:val="24"/>
          <w:lang w:eastAsia="en-GB"/>
          <w14:ligatures w14:val="standardContextual"/>
        </w:rPr>
      </w:pPr>
      <w:hyperlink w:anchor="_Toc162950897" w:history="1">
        <w:r w:rsidR="00BD46E9" w:rsidRPr="00F93DBE">
          <w:rPr>
            <w:rStyle w:val="Hyperlink"/>
            <w:noProof/>
            <w:lang w:val="en-GB"/>
          </w:rPr>
          <w:t>MEAs for medical devices</w:t>
        </w:r>
        <w:r w:rsidR="00BD46E9">
          <w:rPr>
            <w:noProof/>
            <w:webHidden/>
          </w:rPr>
          <w:tab/>
        </w:r>
        <w:r w:rsidR="00BD46E9">
          <w:rPr>
            <w:noProof/>
            <w:webHidden/>
          </w:rPr>
          <w:fldChar w:fldCharType="begin"/>
        </w:r>
        <w:r w:rsidR="00BD46E9">
          <w:rPr>
            <w:noProof/>
            <w:webHidden/>
          </w:rPr>
          <w:instrText xml:space="preserve"> PAGEREF _Toc162950897 \h </w:instrText>
        </w:r>
        <w:r w:rsidR="00BD46E9">
          <w:rPr>
            <w:noProof/>
            <w:webHidden/>
          </w:rPr>
        </w:r>
        <w:r w:rsidR="00BD46E9">
          <w:rPr>
            <w:noProof/>
            <w:webHidden/>
          </w:rPr>
          <w:fldChar w:fldCharType="separate"/>
        </w:r>
        <w:r w:rsidR="000E11E7">
          <w:rPr>
            <w:noProof/>
            <w:webHidden/>
          </w:rPr>
          <w:t>148</w:t>
        </w:r>
        <w:r w:rsidR="00BD46E9">
          <w:rPr>
            <w:noProof/>
            <w:webHidden/>
          </w:rPr>
          <w:fldChar w:fldCharType="end"/>
        </w:r>
      </w:hyperlink>
    </w:p>
    <w:p w14:paraId="34722F49" w14:textId="3400D04C" w:rsidR="00BD46E9" w:rsidRDefault="00BB7E33">
      <w:pPr>
        <w:pStyle w:val="TOC3"/>
        <w:tabs>
          <w:tab w:val="right" w:leader="dot" w:pos="8494"/>
        </w:tabs>
        <w:rPr>
          <w:rFonts w:asciiTheme="minorHAnsi" w:eastAsiaTheme="minorEastAsia" w:hAnsiTheme="minorHAnsi" w:cstheme="minorBidi"/>
          <w:i w:val="0"/>
          <w:noProof/>
          <w:kern w:val="2"/>
          <w:sz w:val="24"/>
          <w:lang w:eastAsia="en-GB"/>
          <w14:ligatures w14:val="standardContextual"/>
        </w:rPr>
      </w:pPr>
      <w:hyperlink w:anchor="_Toc162950898" w:history="1">
        <w:r w:rsidR="00BD46E9" w:rsidRPr="00F93DBE">
          <w:rPr>
            <w:rStyle w:val="Hyperlink"/>
            <w:noProof/>
            <w:lang w:val="en-GB"/>
          </w:rPr>
          <w:t>Emerging policy and practice</w:t>
        </w:r>
        <w:r w:rsidR="00BD46E9">
          <w:rPr>
            <w:noProof/>
            <w:webHidden/>
          </w:rPr>
          <w:tab/>
        </w:r>
        <w:r w:rsidR="00BD46E9">
          <w:rPr>
            <w:noProof/>
            <w:webHidden/>
          </w:rPr>
          <w:fldChar w:fldCharType="begin"/>
        </w:r>
        <w:r w:rsidR="00BD46E9">
          <w:rPr>
            <w:noProof/>
            <w:webHidden/>
          </w:rPr>
          <w:instrText xml:space="preserve"> PAGEREF _Toc162950898 \h </w:instrText>
        </w:r>
        <w:r w:rsidR="00BD46E9">
          <w:rPr>
            <w:noProof/>
            <w:webHidden/>
          </w:rPr>
        </w:r>
        <w:r w:rsidR="00BD46E9">
          <w:rPr>
            <w:noProof/>
            <w:webHidden/>
          </w:rPr>
          <w:fldChar w:fldCharType="separate"/>
        </w:r>
        <w:r w:rsidR="000E11E7">
          <w:rPr>
            <w:noProof/>
            <w:webHidden/>
          </w:rPr>
          <w:t>150</w:t>
        </w:r>
        <w:r w:rsidR="00BD46E9">
          <w:rPr>
            <w:noProof/>
            <w:webHidden/>
          </w:rPr>
          <w:fldChar w:fldCharType="end"/>
        </w:r>
      </w:hyperlink>
    </w:p>
    <w:p w14:paraId="1B8CC9E1" w14:textId="270E6A67" w:rsidR="00BD46E9" w:rsidRDefault="00BB7E33">
      <w:pPr>
        <w:pStyle w:val="TOC3"/>
        <w:tabs>
          <w:tab w:val="right" w:leader="dot" w:pos="8494"/>
        </w:tabs>
        <w:rPr>
          <w:rFonts w:asciiTheme="minorHAnsi" w:eastAsiaTheme="minorEastAsia" w:hAnsiTheme="minorHAnsi" w:cstheme="minorBidi"/>
          <w:i w:val="0"/>
          <w:noProof/>
          <w:kern w:val="2"/>
          <w:sz w:val="24"/>
          <w:lang w:eastAsia="en-GB"/>
          <w14:ligatures w14:val="standardContextual"/>
        </w:rPr>
      </w:pPr>
      <w:hyperlink w:anchor="_Toc162950899" w:history="1">
        <w:r w:rsidR="00BD46E9" w:rsidRPr="00F93DBE">
          <w:rPr>
            <w:rStyle w:val="Hyperlink"/>
            <w:noProof/>
            <w:lang w:val="en-GB"/>
          </w:rPr>
          <w:t>Evolution of MEAs</w:t>
        </w:r>
        <w:r w:rsidR="00BD46E9">
          <w:rPr>
            <w:noProof/>
            <w:webHidden/>
          </w:rPr>
          <w:tab/>
        </w:r>
        <w:r w:rsidR="00BD46E9">
          <w:rPr>
            <w:noProof/>
            <w:webHidden/>
          </w:rPr>
          <w:fldChar w:fldCharType="begin"/>
        </w:r>
        <w:r w:rsidR="00BD46E9">
          <w:rPr>
            <w:noProof/>
            <w:webHidden/>
          </w:rPr>
          <w:instrText xml:space="preserve"> PAGEREF _Toc162950899 \h </w:instrText>
        </w:r>
        <w:r w:rsidR="00BD46E9">
          <w:rPr>
            <w:noProof/>
            <w:webHidden/>
          </w:rPr>
        </w:r>
        <w:r w:rsidR="00BD46E9">
          <w:rPr>
            <w:noProof/>
            <w:webHidden/>
          </w:rPr>
          <w:fldChar w:fldCharType="separate"/>
        </w:r>
        <w:r w:rsidR="000E11E7">
          <w:rPr>
            <w:noProof/>
            <w:webHidden/>
          </w:rPr>
          <w:t>150</w:t>
        </w:r>
        <w:r w:rsidR="00BD46E9">
          <w:rPr>
            <w:noProof/>
            <w:webHidden/>
          </w:rPr>
          <w:fldChar w:fldCharType="end"/>
        </w:r>
      </w:hyperlink>
    </w:p>
    <w:p w14:paraId="032985B9" w14:textId="0AEBFE7B" w:rsidR="00BD46E9" w:rsidRDefault="00BB7E33">
      <w:pPr>
        <w:pStyle w:val="TOC3"/>
        <w:tabs>
          <w:tab w:val="right" w:leader="dot" w:pos="8494"/>
        </w:tabs>
        <w:rPr>
          <w:rFonts w:asciiTheme="minorHAnsi" w:eastAsiaTheme="minorEastAsia" w:hAnsiTheme="minorHAnsi" w:cstheme="minorBidi"/>
          <w:i w:val="0"/>
          <w:noProof/>
          <w:kern w:val="2"/>
          <w:sz w:val="24"/>
          <w:lang w:eastAsia="en-GB"/>
          <w14:ligatures w14:val="standardContextual"/>
        </w:rPr>
      </w:pPr>
      <w:hyperlink w:anchor="_Toc162950900" w:history="1">
        <w:r w:rsidR="00BD46E9" w:rsidRPr="00F93DBE">
          <w:rPr>
            <w:rStyle w:val="Hyperlink"/>
            <w:noProof/>
            <w:lang w:val="en-GB"/>
          </w:rPr>
          <w:t>MEAs—Challenges and barriers to implementation</w:t>
        </w:r>
        <w:r w:rsidR="00BD46E9">
          <w:rPr>
            <w:noProof/>
            <w:webHidden/>
          </w:rPr>
          <w:tab/>
        </w:r>
        <w:r w:rsidR="00BD46E9">
          <w:rPr>
            <w:noProof/>
            <w:webHidden/>
          </w:rPr>
          <w:fldChar w:fldCharType="begin"/>
        </w:r>
        <w:r w:rsidR="00BD46E9">
          <w:rPr>
            <w:noProof/>
            <w:webHidden/>
          </w:rPr>
          <w:instrText xml:space="preserve"> PAGEREF _Toc162950900 \h </w:instrText>
        </w:r>
        <w:r w:rsidR="00BD46E9">
          <w:rPr>
            <w:noProof/>
            <w:webHidden/>
          </w:rPr>
        </w:r>
        <w:r w:rsidR="00BD46E9">
          <w:rPr>
            <w:noProof/>
            <w:webHidden/>
          </w:rPr>
          <w:fldChar w:fldCharType="separate"/>
        </w:r>
        <w:r w:rsidR="000E11E7">
          <w:rPr>
            <w:noProof/>
            <w:webHidden/>
          </w:rPr>
          <w:t>154</w:t>
        </w:r>
        <w:r w:rsidR="00BD46E9">
          <w:rPr>
            <w:noProof/>
            <w:webHidden/>
          </w:rPr>
          <w:fldChar w:fldCharType="end"/>
        </w:r>
      </w:hyperlink>
    </w:p>
    <w:p w14:paraId="6AFBBA89" w14:textId="6524B438" w:rsidR="00BD46E9" w:rsidRDefault="00BB7E33">
      <w:pPr>
        <w:pStyle w:val="TOC3"/>
        <w:tabs>
          <w:tab w:val="right" w:leader="dot" w:pos="8494"/>
        </w:tabs>
        <w:rPr>
          <w:rFonts w:asciiTheme="minorHAnsi" w:eastAsiaTheme="minorEastAsia" w:hAnsiTheme="minorHAnsi" w:cstheme="minorBidi"/>
          <w:i w:val="0"/>
          <w:noProof/>
          <w:kern w:val="2"/>
          <w:sz w:val="24"/>
          <w:lang w:eastAsia="en-GB"/>
          <w14:ligatures w14:val="standardContextual"/>
        </w:rPr>
      </w:pPr>
      <w:hyperlink w:anchor="_Toc162950901" w:history="1">
        <w:r w:rsidR="00BD46E9" w:rsidRPr="00F93DBE">
          <w:rPr>
            <w:rStyle w:val="Hyperlink"/>
            <w:rFonts w:cs="Calibri Light"/>
            <w:iCs/>
            <w:noProof/>
            <w:lang w:val="en-GB"/>
          </w:rPr>
          <w:t>Innovative therapies</w:t>
        </w:r>
        <w:r w:rsidR="00BD46E9">
          <w:rPr>
            <w:noProof/>
            <w:webHidden/>
          </w:rPr>
          <w:tab/>
        </w:r>
        <w:r w:rsidR="00BD46E9">
          <w:rPr>
            <w:noProof/>
            <w:webHidden/>
          </w:rPr>
          <w:fldChar w:fldCharType="begin"/>
        </w:r>
        <w:r w:rsidR="00BD46E9">
          <w:rPr>
            <w:noProof/>
            <w:webHidden/>
          </w:rPr>
          <w:instrText xml:space="preserve"> PAGEREF _Toc162950901 \h </w:instrText>
        </w:r>
        <w:r w:rsidR="00BD46E9">
          <w:rPr>
            <w:noProof/>
            <w:webHidden/>
          </w:rPr>
        </w:r>
        <w:r w:rsidR="00BD46E9">
          <w:rPr>
            <w:noProof/>
            <w:webHidden/>
          </w:rPr>
          <w:fldChar w:fldCharType="separate"/>
        </w:r>
        <w:r w:rsidR="000E11E7">
          <w:rPr>
            <w:noProof/>
            <w:webHidden/>
          </w:rPr>
          <w:t>156</w:t>
        </w:r>
        <w:r w:rsidR="00BD46E9">
          <w:rPr>
            <w:noProof/>
            <w:webHidden/>
          </w:rPr>
          <w:fldChar w:fldCharType="end"/>
        </w:r>
      </w:hyperlink>
    </w:p>
    <w:p w14:paraId="562FF9AE" w14:textId="69F95C9F" w:rsidR="00BD46E9" w:rsidRDefault="00BB7E33">
      <w:pPr>
        <w:pStyle w:val="TOC3"/>
        <w:tabs>
          <w:tab w:val="right" w:leader="dot" w:pos="8494"/>
        </w:tabs>
        <w:rPr>
          <w:rFonts w:asciiTheme="minorHAnsi" w:eastAsiaTheme="minorEastAsia" w:hAnsiTheme="minorHAnsi" w:cstheme="minorBidi"/>
          <w:i w:val="0"/>
          <w:noProof/>
          <w:kern w:val="2"/>
          <w:sz w:val="24"/>
          <w:lang w:eastAsia="en-GB"/>
          <w14:ligatures w14:val="standardContextual"/>
        </w:rPr>
      </w:pPr>
      <w:hyperlink w:anchor="_Toc162950902" w:history="1">
        <w:r w:rsidR="00BD46E9" w:rsidRPr="00F93DBE">
          <w:rPr>
            <w:rStyle w:val="Hyperlink"/>
            <w:noProof/>
            <w:lang w:val="en-GB"/>
          </w:rPr>
          <w:t>Real-world evidence</w:t>
        </w:r>
        <w:r w:rsidR="00BD46E9">
          <w:rPr>
            <w:noProof/>
            <w:webHidden/>
          </w:rPr>
          <w:tab/>
        </w:r>
        <w:r w:rsidR="00BD46E9">
          <w:rPr>
            <w:noProof/>
            <w:webHidden/>
          </w:rPr>
          <w:fldChar w:fldCharType="begin"/>
        </w:r>
        <w:r w:rsidR="00BD46E9">
          <w:rPr>
            <w:noProof/>
            <w:webHidden/>
          </w:rPr>
          <w:instrText xml:space="preserve"> PAGEREF _Toc162950902 \h </w:instrText>
        </w:r>
        <w:r w:rsidR="00BD46E9">
          <w:rPr>
            <w:noProof/>
            <w:webHidden/>
          </w:rPr>
        </w:r>
        <w:r w:rsidR="00BD46E9">
          <w:rPr>
            <w:noProof/>
            <w:webHidden/>
          </w:rPr>
          <w:fldChar w:fldCharType="separate"/>
        </w:r>
        <w:r w:rsidR="000E11E7">
          <w:rPr>
            <w:noProof/>
            <w:webHidden/>
          </w:rPr>
          <w:t>164</w:t>
        </w:r>
        <w:r w:rsidR="00BD46E9">
          <w:rPr>
            <w:noProof/>
            <w:webHidden/>
          </w:rPr>
          <w:fldChar w:fldCharType="end"/>
        </w:r>
      </w:hyperlink>
    </w:p>
    <w:p w14:paraId="098A65CD" w14:textId="5C83677A" w:rsidR="00BD46E9" w:rsidRDefault="00BB7E33">
      <w:pPr>
        <w:pStyle w:val="TOC3"/>
        <w:tabs>
          <w:tab w:val="right" w:leader="dot" w:pos="8494"/>
        </w:tabs>
        <w:rPr>
          <w:rFonts w:asciiTheme="minorHAnsi" w:eastAsiaTheme="minorEastAsia" w:hAnsiTheme="minorHAnsi" w:cstheme="minorBidi"/>
          <w:i w:val="0"/>
          <w:noProof/>
          <w:kern w:val="2"/>
          <w:sz w:val="24"/>
          <w:lang w:eastAsia="en-GB"/>
          <w14:ligatures w14:val="standardContextual"/>
        </w:rPr>
      </w:pPr>
      <w:hyperlink w:anchor="_Toc162950903" w:history="1">
        <w:r w:rsidR="00BD46E9" w:rsidRPr="00F93DBE">
          <w:rPr>
            <w:rStyle w:val="Hyperlink"/>
            <w:noProof/>
            <w:lang w:val="en-GB"/>
          </w:rPr>
          <w:t>Future initiatives</w:t>
        </w:r>
        <w:r w:rsidR="00BD46E9">
          <w:rPr>
            <w:noProof/>
            <w:webHidden/>
          </w:rPr>
          <w:tab/>
        </w:r>
        <w:r w:rsidR="00BD46E9">
          <w:rPr>
            <w:noProof/>
            <w:webHidden/>
          </w:rPr>
          <w:fldChar w:fldCharType="begin"/>
        </w:r>
        <w:r w:rsidR="00BD46E9">
          <w:rPr>
            <w:noProof/>
            <w:webHidden/>
          </w:rPr>
          <w:instrText xml:space="preserve"> PAGEREF _Toc162950903 \h </w:instrText>
        </w:r>
        <w:r w:rsidR="00BD46E9">
          <w:rPr>
            <w:noProof/>
            <w:webHidden/>
          </w:rPr>
        </w:r>
        <w:r w:rsidR="00BD46E9">
          <w:rPr>
            <w:noProof/>
            <w:webHidden/>
          </w:rPr>
          <w:fldChar w:fldCharType="separate"/>
        </w:r>
        <w:r w:rsidR="000E11E7">
          <w:rPr>
            <w:noProof/>
            <w:webHidden/>
          </w:rPr>
          <w:t>166</w:t>
        </w:r>
        <w:r w:rsidR="00BD46E9">
          <w:rPr>
            <w:noProof/>
            <w:webHidden/>
          </w:rPr>
          <w:fldChar w:fldCharType="end"/>
        </w:r>
      </w:hyperlink>
    </w:p>
    <w:p w14:paraId="1D7017EE" w14:textId="1429699F" w:rsidR="00BD46E9" w:rsidRDefault="00BB7E33">
      <w:pPr>
        <w:pStyle w:val="TOC1"/>
        <w:tabs>
          <w:tab w:val="right" w:leader="dot" w:pos="8494"/>
        </w:tabs>
        <w:rPr>
          <w:rFonts w:asciiTheme="minorHAnsi" w:eastAsiaTheme="minorEastAsia" w:hAnsiTheme="minorHAnsi" w:cstheme="minorBidi"/>
          <w:b w:val="0"/>
          <w:bCs w:val="0"/>
          <w:noProof/>
          <w:kern w:val="2"/>
          <w:sz w:val="24"/>
          <w:lang w:eastAsia="en-GB"/>
          <w14:ligatures w14:val="standardContextual"/>
        </w:rPr>
      </w:pPr>
      <w:hyperlink w:anchor="_Toc162950904" w:history="1">
        <w:r w:rsidR="00BD46E9" w:rsidRPr="00F93DBE">
          <w:rPr>
            <w:rStyle w:val="Hyperlink"/>
            <w:noProof/>
            <w:lang w:val="en-GB"/>
          </w:rPr>
          <w:t>References</w:t>
        </w:r>
        <w:r w:rsidR="00BD46E9">
          <w:rPr>
            <w:noProof/>
            <w:webHidden/>
          </w:rPr>
          <w:tab/>
        </w:r>
        <w:r w:rsidR="00BD46E9">
          <w:rPr>
            <w:noProof/>
            <w:webHidden/>
          </w:rPr>
          <w:fldChar w:fldCharType="begin"/>
        </w:r>
        <w:r w:rsidR="00BD46E9">
          <w:rPr>
            <w:noProof/>
            <w:webHidden/>
          </w:rPr>
          <w:instrText xml:space="preserve"> PAGEREF _Toc162950904 \h </w:instrText>
        </w:r>
        <w:r w:rsidR="00BD46E9">
          <w:rPr>
            <w:noProof/>
            <w:webHidden/>
          </w:rPr>
        </w:r>
        <w:r w:rsidR="00BD46E9">
          <w:rPr>
            <w:noProof/>
            <w:webHidden/>
          </w:rPr>
          <w:fldChar w:fldCharType="separate"/>
        </w:r>
        <w:r w:rsidR="000E11E7">
          <w:rPr>
            <w:noProof/>
            <w:webHidden/>
          </w:rPr>
          <w:t>172</w:t>
        </w:r>
        <w:r w:rsidR="00BD46E9">
          <w:rPr>
            <w:noProof/>
            <w:webHidden/>
          </w:rPr>
          <w:fldChar w:fldCharType="end"/>
        </w:r>
      </w:hyperlink>
    </w:p>
    <w:p w14:paraId="7052D09D" w14:textId="21B26EBB" w:rsidR="00BD46E9" w:rsidRDefault="00BB7E33">
      <w:pPr>
        <w:pStyle w:val="TOC1"/>
        <w:tabs>
          <w:tab w:val="right" w:leader="dot" w:pos="8494"/>
        </w:tabs>
        <w:rPr>
          <w:rFonts w:asciiTheme="minorHAnsi" w:eastAsiaTheme="minorEastAsia" w:hAnsiTheme="minorHAnsi" w:cstheme="minorBidi"/>
          <w:b w:val="0"/>
          <w:bCs w:val="0"/>
          <w:noProof/>
          <w:kern w:val="2"/>
          <w:sz w:val="24"/>
          <w:lang w:eastAsia="en-GB"/>
          <w14:ligatures w14:val="standardContextual"/>
        </w:rPr>
      </w:pPr>
      <w:hyperlink w:anchor="_Toc162950905" w:history="1">
        <w:r w:rsidR="00BD46E9" w:rsidRPr="00F93DBE">
          <w:rPr>
            <w:rStyle w:val="Hyperlink"/>
            <w:noProof/>
            <w:lang w:val="en-GB"/>
          </w:rPr>
          <w:t>Appendix 1. Consolidated interview protocol</w:t>
        </w:r>
        <w:r w:rsidR="00BD46E9">
          <w:rPr>
            <w:noProof/>
            <w:webHidden/>
          </w:rPr>
          <w:tab/>
        </w:r>
        <w:r w:rsidR="00BD46E9">
          <w:rPr>
            <w:noProof/>
            <w:webHidden/>
          </w:rPr>
          <w:fldChar w:fldCharType="begin"/>
        </w:r>
        <w:r w:rsidR="00BD46E9">
          <w:rPr>
            <w:noProof/>
            <w:webHidden/>
          </w:rPr>
          <w:instrText xml:space="preserve"> PAGEREF _Toc162950905 \h </w:instrText>
        </w:r>
        <w:r w:rsidR="00BD46E9">
          <w:rPr>
            <w:noProof/>
            <w:webHidden/>
          </w:rPr>
        </w:r>
        <w:r w:rsidR="00BD46E9">
          <w:rPr>
            <w:noProof/>
            <w:webHidden/>
          </w:rPr>
          <w:fldChar w:fldCharType="separate"/>
        </w:r>
        <w:r w:rsidR="000E11E7">
          <w:rPr>
            <w:noProof/>
            <w:webHidden/>
          </w:rPr>
          <w:t>190</w:t>
        </w:r>
        <w:r w:rsidR="00BD46E9">
          <w:rPr>
            <w:noProof/>
            <w:webHidden/>
          </w:rPr>
          <w:fldChar w:fldCharType="end"/>
        </w:r>
      </w:hyperlink>
    </w:p>
    <w:p w14:paraId="3419F7FE" w14:textId="4907C5A8" w:rsidR="00BD46E9" w:rsidRDefault="00BB7E33">
      <w:pPr>
        <w:pStyle w:val="TOC1"/>
        <w:tabs>
          <w:tab w:val="right" w:leader="dot" w:pos="8494"/>
        </w:tabs>
        <w:rPr>
          <w:rFonts w:asciiTheme="minorHAnsi" w:eastAsiaTheme="minorEastAsia" w:hAnsiTheme="minorHAnsi" w:cstheme="minorBidi"/>
          <w:b w:val="0"/>
          <w:bCs w:val="0"/>
          <w:noProof/>
          <w:kern w:val="2"/>
          <w:sz w:val="24"/>
          <w:lang w:eastAsia="en-GB"/>
          <w14:ligatures w14:val="standardContextual"/>
        </w:rPr>
      </w:pPr>
      <w:hyperlink w:anchor="_Toc162950906" w:history="1">
        <w:r w:rsidR="00BD46E9" w:rsidRPr="00F93DBE">
          <w:rPr>
            <w:rStyle w:val="Hyperlink"/>
            <w:noProof/>
            <w:lang w:val="en-GB"/>
          </w:rPr>
          <w:t>Appendix 2. Literature review</w:t>
        </w:r>
        <w:r w:rsidR="00BD46E9">
          <w:rPr>
            <w:noProof/>
            <w:webHidden/>
          </w:rPr>
          <w:tab/>
        </w:r>
        <w:r w:rsidR="00BD46E9">
          <w:rPr>
            <w:noProof/>
            <w:webHidden/>
          </w:rPr>
          <w:fldChar w:fldCharType="begin"/>
        </w:r>
        <w:r w:rsidR="00BD46E9">
          <w:rPr>
            <w:noProof/>
            <w:webHidden/>
          </w:rPr>
          <w:instrText xml:space="preserve"> PAGEREF _Toc162950906 \h </w:instrText>
        </w:r>
        <w:r w:rsidR="00BD46E9">
          <w:rPr>
            <w:noProof/>
            <w:webHidden/>
          </w:rPr>
        </w:r>
        <w:r w:rsidR="00BD46E9">
          <w:rPr>
            <w:noProof/>
            <w:webHidden/>
          </w:rPr>
          <w:fldChar w:fldCharType="separate"/>
        </w:r>
        <w:r w:rsidR="000E11E7">
          <w:rPr>
            <w:noProof/>
            <w:webHidden/>
          </w:rPr>
          <w:t>195</w:t>
        </w:r>
        <w:r w:rsidR="00BD46E9">
          <w:rPr>
            <w:noProof/>
            <w:webHidden/>
          </w:rPr>
          <w:fldChar w:fldCharType="end"/>
        </w:r>
      </w:hyperlink>
    </w:p>
    <w:p w14:paraId="634BA6C2" w14:textId="2DE57B3C" w:rsidR="00BD46E9" w:rsidRDefault="00BB7E33">
      <w:pPr>
        <w:pStyle w:val="TOC1"/>
        <w:tabs>
          <w:tab w:val="right" w:leader="dot" w:pos="8494"/>
        </w:tabs>
        <w:rPr>
          <w:rFonts w:asciiTheme="minorHAnsi" w:eastAsiaTheme="minorEastAsia" w:hAnsiTheme="minorHAnsi" w:cstheme="minorBidi"/>
          <w:b w:val="0"/>
          <w:bCs w:val="0"/>
          <w:noProof/>
          <w:kern w:val="2"/>
          <w:sz w:val="24"/>
          <w:lang w:eastAsia="en-GB"/>
          <w14:ligatures w14:val="standardContextual"/>
        </w:rPr>
      </w:pPr>
      <w:hyperlink w:anchor="_Toc162950907" w:history="1">
        <w:r w:rsidR="00BD46E9" w:rsidRPr="00F93DBE">
          <w:rPr>
            <w:rStyle w:val="Hyperlink"/>
            <w:noProof/>
            <w:lang w:val="en-GB"/>
          </w:rPr>
          <w:t>Appendix 3. Additional figures</w:t>
        </w:r>
        <w:r w:rsidR="00BD46E9">
          <w:rPr>
            <w:noProof/>
            <w:webHidden/>
          </w:rPr>
          <w:tab/>
        </w:r>
        <w:r w:rsidR="00BD46E9">
          <w:rPr>
            <w:noProof/>
            <w:webHidden/>
          </w:rPr>
          <w:fldChar w:fldCharType="begin"/>
        </w:r>
        <w:r w:rsidR="00BD46E9">
          <w:rPr>
            <w:noProof/>
            <w:webHidden/>
          </w:rPr>
          <w:instrText xml:space="preserve"> PAGEREF _Toc162950907 \h </w:instrText>
        </w:r>
        <w:r w:rsidR="00BD46E9">
          <w:rPr>
            <w:noProof/>
            <w:webHidden/>
          </w:rPr>
        </w:r>
        <w:r w:rsidR="00BD46E9">
          <w:rPr>
            <w:noProof/>
            <w:webHidden/>
          </w:rPr>
          <w:fldChar w:fldCharType="separate"/>
        </w:r>
        <w:r w:rsidR="000E11E7">
          <w:rPr>
            <w:noProof/>
            <w:webHidden/>
          </w:rPr>
          <w:t>197</w:t>
        </w:r>
        <w:r w:rsidR="00BD46E9">
          <w:rPr>
            <w:noProof/>
            <w:webHidden/>
          </w:rPr>
          <w:fldChar w:fldCharType="end"/>
        </w:r>
      </w:hyperlink>
    </w:p>
    <w:p w14:paraId="5E2A49D9" w14:textId="77777777" w:rsidR="008346B6" w:rsidRDefault="005226AD" w:rsidP="00364394">
      <w:pPr>
        <w:pStyle w:val="UTSTitles"/>
        <w:tabs>
          <w:tab w:val="clear" w:pos="1134"/>
        </w:tabs>
        <w:rPr>
          <w:noProof/>
        </w:rPr>
      </w:pPr>
      <w:r w:rsidRPr="00221992">
        <w:rPr>
          <w:lang w:val="en-GB"/>
        </w:rPr>
        <w:fldChar w:fldCharType="end"/>
      </w:r>
      <w:bookmarkStart w:id="6" w:name="_Toc162950845"/>
      <w:r w:rsidR="00A549F1" w:rsidRPr="00221992">
        <w:rPr>
          <w:lang w:val="en-GB"/>
        </w:rPr>
        <w:t>Table of Figures</w:t>
      </w:r>
      <w:bookmarkEnd w:id="6"/>
      <w:r w:rsidR="00242567" w:rsidRPr="00221992">
        <w:rPr>
          <w:lang w:val="en-GB"/>
        </w:rPr>
        <w:fldChar w:fldCharType="begin"/>
      </w:r>
      <w:r w:rsidR="00242567" w:rsidRPr="00221992">
        <w:rPr>
          <w:lang w:val="en-GB"/>
        </w:rPr>
        <w:instrText xml:space="preserve"> TOC \h \z \c "Figure" </w:instrText>
      </w:r>
      <w:r w:rsidR="00242567" w:rsidRPr="00221992">
        <w:rPr>
          <w:lang w:val="en-GB"/>
        </w:rPr>
        <w:fldChar w:fldCharType="separate"/>
      </w:r>
    </w:p>
    <w:p w14:paraId="1760023F" w14:textId="368DB8A3" w:rsidR="008346B6" w:rsidRDefault="00BB7E33">
      <w:pPr>
        <w:pStyle w:val="TableofFigures"/>
        <w:tabs>
          <w:tab w:val="right" w:leader="dot" w:pos="8494"/>
        </w:tabs>
        <w:rPr>
          <w:rFonts w:asciiTheme="minorHAnsi" w:eastAsiaTheme="minorEastAsia" w:hAnsiTheme="minorHAnsi" w:cstheme="minorBidi"/>
          <w:i w:val="0"/>
          <w:noProof/>
          <w:kern w:val="2"/>
          <w:sz w:val="24"/>
          <w:lang w:eastAsia="en-GB"/>
          <w14:ligatures w14:val="standardContextual"/>
        </w:rPr>
      </w:pPr>
      <w:hyperlink w:anchor="_Toc162950908" w:history="1">
        <w:r w:rsidR="008346B6" w:rsidRPr="0052599D">
          <w:rPr>
            <w:rStyle w:val="Hyperlink"/>
            <w:noProof/>
            <w:lang w:val="en-GB"/>
          </w:rPr>
          <w:t>Figure 1. Positive HTA recommendations and links to final funding decisions</w:t>
        </w:r>
        <w:r w:rsidR="008346B6">
          <w:rPr>
            <w:noProof/>
            <w:webHidden/>
          </w:rPr>
          <w:tab/>
        </w:r>
        <w:r w:rsidR="008346B6">
          <w:rPr>
            <w:noProof/>
            <w:webHidden/>
          </w:rPr>
          <w:fldChar w:fldCharType="begin"/>
        </w:r>
        <w:r w:rsidR="008346B6">
          <w:rPr>
            <w:noProof/>
            <w:webHidden/>
          </w:rPr>
          <w:instrText xml:space="preserve"> PAGEREF _Toc162950908 \h </w:instrText>
        </w:r>
        <w:r w:rsidR="008346B6">
          <w:rPr>
            <w:noProof/>
            <w:webHidden/>
          </w:rPr>
        </w:r>
        <w:r w:rsidR="008346B6">
          <w:rPr>
            <w:noProof/>
            <w:webHidden/>
          </w:rPr>
          <w:fldChar w:fldCharType="separate"/>
        </w:r>
        <w:r w:rsidR="000E11E7">
          <w:rPr>
            <w:noProof/>
            <w:webHidden/>
          </w:rPr>
          <w:t>37</w:t>
        </w:r>
        <w:r w:rsidR="008346B6">
          <w:rPr>
            <w:noProof/>
            <w:webHidden/>
          </w:rPr>
          <w:fldChar w:fldCharType="end"/>
        </w:r>
      </w:hyperlink>
    </w:p>
    <w:p w14:paraId="5942DA64" w14:textId="3F2FC306" w:rsidR="008346B6" w:rsidRDefault="00BB7E33">
      <w:pPr>
        <w:pStyle w:val="TableofFigures"/>
        <w:tabs>
          <w:tab w:val="right" w:leader="dot" w:pos="8494"/>
        </w:tabs>
        <w:rPr>
          <w:rFonts w:asciiTheme="minorHAnsi" w:eastAsiaTheme="minorEastAsia" w:hAnsiTheme="minorHAnsi" w:cstheme="minorBidi"/>
          <w:i w:val="0"/>
          <w:noProof/>
          <w:kern w:val="2"/>
          <w:sz w:val="24"/>
          <w:lang w:eastAsia="en-GB"/>
          <w14:ligatures w14:val="standardContextual"/>
        </w:rPr>
      </w:pPr>
      <w:hyperlink w:anchor="_Toc162950909" w:history="1">
        <w:r w:rsidR="008346B6" w:rsidRPr="0052599D">
          <w:rPr>
            <w:rStyle w:val="Hyperlink"/>
            <w:noProof/>
            <w:lang w:val="en-GB"/>
          </w:rPr>
          <w:t>Figure 2. Pricing methodology for new pharmaceuticals in Japan</w:t>
        </w:r>
        <w:r w:rsidR="008346B6">
          <w:rPr>
            <w:noProof/>
            <w:webHidden/>
          </w:rPr>
          <w:tab/>
        </w:r>
        <w:r w:rsidR="008346B6">
          <w:rPr>
            <w:noProof/>
            <w:webHidden/>
          </w:rPr>
          <w:fldChar w:fldCharType="begin"/>
        </w:r>
        <w:r w:rsidR="008346B6">
          <w:rPr>
            <w:noProof/>
            <w:webHidden/>
          </w:rPr>
          <w:instrText xml:space="preserve"> PAGEREF _Toc162950909 \h </w:instrText>
        </w:r>
        <w:r w:rsidR="008346B6">
          <w:rPr>
            <w:noProof/>
            <w:webHidden/>
          </w:rPr>
        </w:r>
        <w:r w:rsidR="008346B6">
          <w:rPr>
            <w:noProof/>
            <w:webHidden/>
          </w:rPr>
          <w:fldChar w:fldCharType="separate"/>
        </w:r>
        <w:r w:rsidR="000E11E7">
          <w:rPr>
            <w:noProof/>
            <w:webHidden/>
          </w:rPr>
          <w:t>53</w:t>
        </w:r>
        <w:r w:rsidR="008346B6">
          <w:rPr>
            <w:noProof/>
            <w:webHidden/>
          </w:rPr>
          <w:fldChar w:fldCharType="end"/>
        </w:r>
      </w:hyperlink>
    </w:p>
    <w:p w14:paraId="74C10E4F" w14:textId="5670A793" w:rsidR="008346B6" w:rsidRDefault="00BB7E33">
      <w:pPr>
        <w:pStyle w:val="TableofFigures"/>
        <w:tabs>
          <w:tab w:val="right" w:leader="dot" w:pos="8494"/>
        </w:tabs>
        <w:rPr>
          <w:rFonts w:asciiTheme="minorHAnsi" w:eastAsiaTheme="minorEastAsia" w:hAnsiTheme="minorHAnsi" w:cstheme="minorBidi"/>
          <w:i w:val="0"/>
          <w:noProof/>
          <w:kern w:val="2"/>
          <w:sz w:val="24"/>
          <w:lang w:eastAsia="en-GB"/>
          <w14:ligatures w14:val="standardContextual"/>
        </w:rPr>
      </w:pPr>
      <w:hyperlink w:anchor="_Toc162950910" w:history="1">
        <w:r w:rsidR="008346B6" w:rsidRPr="0052599D">
          <w:rPr>
            <w:rStyle w:val="Hyperlink"/>
            <w:noProof/>
            <w:lang w:val="en-GB"/>
          </w:rPr>
          <w:t>Figure 3. Corrective premiums for new pharmaceuticals</w:t>
        </w:r>
        <w:r w:rsidR="008346B6">
          <w:rPr>
            <w:noProof/>
            <w:webHidden/>
          </w:rPr>
          <w:tab/>
        </w:r>
        <w:r w:rsidR="008346B6">
          <w:rPr>
            <w:noProof/>
            <w:webHidden/>
          </w:rPr>
          <w:fldChar w:fldCharType="begin"/>
        </w:r>
        <w:r w:rsidR="008346B6">
          <w:rPr>
            <w:noProof/>
            <w:webHidden/>
          </w:rPr>
          <w:instrText xml:space="preserve"> PAGEREF _Toc162950910 \h </w:instrText>
        </w:r>
        <w:r w:rsidR="008346B6">
          <w:rPr>
            <w:noProof/>
            <w:webHidden/>
          </w:rPr>
        </w:r>
        <w:r w:rsidR="008346B6">
          <w:rPr>
            <w:noProof/>
            <w:webHidden/>
          </w:rPr>
          <w:fldChar w:fldCharType="separate"/>
        </w:r>
        <w:r w:rsidR="000E11E7">
          <w:rPr>
            <w:noProof/>
            <w:webHidden/>
          </w:rPr>
          <w:t>54</w:t>
        </w:r>
        <w:r w:rsidR="008346B6">
          <w:rPr>
            <w:noProof/>
            <w:webHidden/>
          </w:rPr>
          <w:fldChar w:fldCharType="end"/>
        </w:r>
      </w:hyperlink>
    </w:p>
    <w:p w14:paraId="2D4EE0B1" w14:textId="465BFE67" w:rsidR="008346B6" w:rsidRDefault="00BB7E33">
      <w:pPr>
        <w:pStyle w:val="TableofFigures"/>
        <w:tabs>
          <w:tab w:val="right" w:leader="dot" w:pos="8494"/>
        </w:tabs>
        <w:rPr>
          <w:rFonts w:asciiTheme="minorHAnsi" w:eastAsiaTheme="minorEastAsia" w:hAnsiTheme="minorHAnsi" w:cstheme="minorBidi"/>
          <w:i w:val="0"/>
          <w:noProof/>
          <w:kern w:val="2"/>
          <w:sz w:val="24"/>
          <w:lang w:eastAsia="en-GB"/>
          <w14:ligatures w14:val="standardContextual"/>
        </w:rPr>
      </w:pPr>
      <w:hyperlink w:anchor="_Toc162950911" w:history="1">
        <w:r w:rsidR="008346B6" w:rsidRPr="0052599D">
          <w:rPr>
            <w:rStyle w:val="Hyperlink"/>
            <w:noProof/>
            <w:lang w:val="en-GB"/>
          </w:rPr>
          <w:t>Figure 4. Price adjustment targets—similar efficacy comparison and cost calculation methods</w:t>
        </w:r>
        <w:r w:rsidR="008346B6">
          <w:rPr>
            <w:noProof/>
            <w:webHidden/>
          </w:rPr>
          <w:tab/>
        </w:r>
        <w:r w:rsidR="008346B6">
          <w:rPr>
            <w:noProof/>
            <w:webHidden/>
          </w:rPr>
          <w:fldChar w:fldCharType="begin"/>
        </w:r>
        <w:r w:rsidR="008346B6">
          <w:rPr>
            <w:noProof/>
            <w:webHidden/>
          </w:rPr>
          <w:instrText xml:space="preserve"> PAGEREF _Toc162950911 \h </w:instrText>
        </w:r>
        <w:r w:rsidR="008346B6">
          <w:rPr>
            <w:noProof/>
            <w:webHidden/>
          </w:rPr>
        </w:r>
        <w:r w:rsidR="008346B6">
          <w:rPr>
            <w:noProof/>
            <w:webHidden/>
          </w:rPr>
          <w:fldChar w:fldCharType="separate"/>
        </w:r>
        <w:r w:rsidR="000E11E7">
          <w:rPr>
            <w:noProof/>
            <w:webHidden/>
          </w:rPr>
          <w:t>56</w:t>
        </w:r>
        <w:r w:rsidR="008346B6">
          <w:rPr>
            <w:noProof/>
            <w:webHidden/>
          </w:rPr>
          <w:fldChar w:fldCharType="end"/>
        </w:r>
      </w:hyperlink>
    </w:p>
    <w:p w14:paraId="460EA0AB" w14:textId="52C85F14" w:rsidR="008346B6" w:rsidRDefault="00BB7E33">
      <w:pPr>
        <w:pStyle w:val="TableofFigures"/>
        <w:tabs>
          <w:tab w:val="right" w:leader="dot" w:pos="8494"/>
        </w:tabs>
        <w:rPr>
          <w:rFonts w:asciiTheme="minorHAnsi" w:eastAsiaTheme="minorEastAsia" w:hAnsiTheme="minorHAnsi" w:cstheme="minorBidi"/>
          <w:i w:val="0"/>
          <w:noProof/>
          <w:kern w:val="2"/>
          <w:sz w:val="24"/>
          <w:lang w:eastAsia="en-GB"/>
          <w14:ligatures w14:val="standardContextual"/>
        </w:rPr>
      </w:pPr>
      <w:hyperlink w:anchor="_Toc162950912" w:history="1">
        <w:r w:rsidR="008346B6" w:rsidRPr="0052599D">
          <w:rPr>
            <w:rStyle w:val="Hyperlink"/>
            <w:noProof/>
            <w:lang w:val="en-GB"/>
          </w:rPr>
          <w:t>Figure 5. Rate of price adjustments for premiums and operating profits</w:t>
        </w:r>
        <w:r w:rsidR="008346B6">
          <w:rPr>
            <w:noProof/>
            <w:webHidden/>
          </w:rPr>
          <w:tab/>
        </w:r>
        <w:r w:rsidR="008346B6">
          <w:rPr>
            <w:noProof/>
            <w:webHidden/>
          </w:rPr>
          <w:fldChar w:fldCharType="begin"/>
        </w:r>
        <w:r w:rsidR="008346B6">
          <w:rPr>
            <w:noProof/>
            <w:webHidden/>
          </w:rPr>
          <w:instrText xml:space="preserve"> PAGEREF _Toc162950912 \h </w:instrText>
        </w:r>
        <w:r w:rsidR="008346B6">
          <w:rPr>
            <w:noProof/>
            <w:webHidden/>
          </w:rPr>
        </w:r>
        <w:r w:rsidR="008346B6">
          <w:rPr>
            <w:noProof/>
            <w:webHidden/>
          </w:rPr>
          <w:fldChar w:fldCharType="separate"/>
        </w:r>
        <w:r w:rsidR="000E11E7">
          <w:rPr>
            <w:noProof/>
            <w:webHidden/>
          </w:rPr>
          <w:t>57</w:t>
        </w:r>
        <w:r w:rsidR="008346B6">
          <w:rPr>
            <w:noProof/>
            <w:webHidden/>
          </w:rPr>
          <w:fldChar w:fldCharType="end"/>
        </w:r>
      </w:hyperlink>
    </w:p>
    <w:p w14:paraId="3A36AD11" w14:textId="18B7C6E6" w:rsidR="008346B6" w:rsidRDefault="00BB7E33">
      <w:pPr>
        <w:pStyle w:val="TableofFigures"/>
        <w:tabs>
          <w:tab w:val="right" w:leader="dot" w:pos="8494"/>
        </w:tabs>
        <w:rPr>
          <w:rFonts w:asciiTheme="minorHAnsi" w:eastAsiaTheme="minorEastAsia" w:hAnsiTheme="minorHAnsi" w:cstheme="minorBidi"/>
          <w:i w:val="0"/>
          <w:noProof/>
          <w:kern w:val="2"/>
          <w:sz w:val="24"/>
          <w:lang w:eastAsia="en-GB"/>
          <w14:ligatures w14:val="standardContextual"/>
        </w:rPr>
      </w:pPr>
      <w:hyperlink w:anchor="_Toc162950913" w:history="1">
        <w:r w:rsidR="008346B6" w:rsidRPr="0052599D">
          <w:rPr>
            <w:rStyle w:val="Hyperlink"/>
            <w:noProof/>
            <w:lang w:val="en-GB"/>
          </w:rPr>
          <w:t>Figure 6. NMEs reimbursed per country as a proportion of NMEs (2012-2017)</w:t>
        </w:r>
        <w:r w:rsidR="008346B6">
          <w:rPr>
            <w:noProof/>
            <w:webHidden/>
          </w:rPr>
          <w:tab/>
        </w:r>
        <w:r w:rsidR="008346B6">
          <w:rPr>
            <w:noProof/>
            <w:webHidden/>
          </w:rPr>
          <w:fldChar w:fldCharType="begin"/>
        </w:r>
        <w:r w:rsidR="008346B6">
          <w:rPr>
            <w:noProof/>
            <w:webHidden/>
          </w:rPr>
          <w:instrText xml:space="preserve"> PAGEREF _Toc162950913 \h </w:instrText>
        </w:r>
        <w:r w:rsidR="008346B6">
          <w:rPr>
            <w:noProof/>
            <w:webHidden/>
          </w:rPr>
        </w:r>
        <w:r w:rsidR="008346B6">
          <w:rPr>
            <w:noProof/>
            <w:webHidden/>
          </w:rPr>
          <w:fldChar w:fldCharType="separate"/>
        </w:r>
        <w:r w:rsidR="000E11E7">
          <w:rPr>
            <w:noProof/>
            <w:webHidden/>
          </w:rPr>
          <w:t>58</w:t>
        </w:r>
        <w:r w:rsidR="008346B6">
          <w:rPr>
            <w:noProof/>
            <w:webHidden/>
          </w:rPr>
          <w:fldChar w:fldCharType="end"/>
        </w:r>
      </w:hyperlink>
    </w:p>
    <w:p w14:paraId="5E9A430F" w14:textId="4A2523ED" w:rsidR="008346B6" w:rsidRDefault="00BB7E33">
      <w:pPr>
        <w:pStyle w:val="TableofFigures"/>
        <w:tabs>
          <w:tab w:val="right" w:leader="dot" w:pos="8494"/>
        </w:tabs>
        <w:rPr>
          <w:rFonts w:asciiTheme="minorHAnsi" w:eastAsiaTheme="minorEastAsia" w:hAnsiTheme="minorHAnsi" w:cstheme="minorBidi"/>
          <w:i w:val="0"/>
          <w:noProof/>
          <w:kern w:val="2"/>
          <w:sz w:val="24"/>
          <w:lang w:eastAsia="en-GB"/>
          <w14:ligatures w14:val="standardContextual"/>
        </w:rPr>
      </w:pPr>
      <w:hyperlink w:anchor="_Toc162950914" w:history="1">
        <w:r w:rsidR="008346B6" w:rsidRPr="0052599D">
          <w:rPr>
            <w:rStyle w:val="Hyperlink"/>
            <w:noProof/>
            <w:lang w:val="en-GB"/>
          </w:rPr>
          <w:t>Figure 7. Average time to reimbursement for new molecular entities in OECD nations (2012-2017)</w:t>
        </w:r>
        <w:r w:rsidR="008346B6">
          <w:rPr>
            <w:noProof/>
            <w:webHidden/>
          </w:rPr>
          <w:tab/>
        </w:r>
        <w:r w:rsidR="008346B6">
          <w:rPr>
            <w:noProof/>
            <w:webHidden/>
          </w:rPr>
          <w:fldChar w:fldCharType="begin"/>
        </w:r>
        <w:r w:rsidR="008346B6">
          <w:rPr>
            <w:noProof/>
            <w:webHidden/>
          </w:rPr>
          <w:instrText xml:space="preserve"> PAGEREF _Toc162950914 \h </w:instrText>
        </w:r>
        <w:r w:rsidR="008346B6">
          <w:rPr>
            <w:noProof/>
            <w:webHidden/>
          </w:rPr>
        </w:r>
        <w:r w:rsidR="008346B6">
          <w:rPr>
            <w:noProof/>
            <w:webHidden/>
          </w:rPr>
          <w:fldChar w:fldCharType="separate"/>
        </w:r>
        <w:r w:rsidR="000E11E7">
          <w:rPr>
            <w:noProof/>
            <w:webHidden/>
          </w:rPr>
          <w:t>59</w:t>
        </w:r>
        <w:r w:rsidR="008346B6">
          <w:rPr>
            <w:noProof/>
            <w:webHidden/>
          </w:rPr>
          <w:fldChar w:fldCharType="end"/>
        </w:r>
      </w:hyperlink>
    </w:p>
    <w:p w14:paraId="5F0B8724" w14:textId="6628E888" w:rsidR="008346B6" w:rsidRDefault="00BB7E33">
      <w:pPr>
        <w:pStyle w:val="TableofFigures"/>
        <w:tabs>
          <w:tab w:val="right" w:leader="dot" w:pos="8494"/>
        </w:tabs>
        <w:rPr>
          <w:rFonts w:asciiTheme="minorHAnsi" w:eastAsiaTheme="minorEastAsia" w:hAnsiTheme="minorHAnsi" w:cstheme="minorBidi"/>
          <w:i w:val="0"/>
          <w:noProof/>
          <w:kern w:val="2"/>
          <w:sz w:val="24"/>
          <w:lang w:eastAsia="en-GB"/>
          <w14:ligatures w14:val="standardContextual"/>
        </w:rPr>
      </w:pPr>
      <w:hyperlink w:anchor="_Toc162950915" w:history="1">
        <w:r w:rsidR="008346B6" w:rsidRPr="0052599D">
          <w:rPr>
            <w:rStyle w:val="Hyperlink"/>
            <w:noProof/>
            <w:lang w:val="en-GB"/>
          </w:rPr>
          <w:t>Figure 8. Mean time (days) between marketing authorisation and listing for reimbursement</w:t>
        </w:r>
        <w:r w:rsidR="008346B6">
          <w:rPr>
            <w:noProof/>
            <w:webHidden/>
          </w:rPr>
          <w:tab/>
        </w:r>
        <w:r w:rsidR="008346B6">
          <w:rPr>
            <w:noProof/>
            <w:webHidden/>
          </w:rPr>
          <w:fldChar w:fldCharType="begin"/>
        </w:r>
        <w:r w:rsidR="008346B6">
          <w:rPr>
            <w:noProof/>
            <w:webHidden/>
          </w:rPr>
          <w:instrText xml:space="preserve"> PAGEREF _Toc162950915 \h </w:instrText>
        </w:r>
        <w:r w:rsidR="008346B6">
          <w:rPr>
            <w:noProof/>
            <w:webHidden/>
          </w:rPr>
        </w:r>
        <w:r w:rsidR="008346B6">
          <w:rPr>
            <w:noProof/>
            <w:webHidden/>
          </w:rPr>
          <w:fldChar w:fldCharType="separate"/>
        </w:r>
        <w:r w:rsidR="000E11E7">
          <w:rPr>
            <w:noProof/>
            <w:webHidden/>
          </w:rPr>
          <w:t>60</w:t>
        </w:r>
        <w:r w:rsidR="008346B6">
          <w:rPr>
            <w:noProof/>
            <w:webHidden/>
          </w:rPr>
          <w:fldChar w:fldCharType="end"/>
        </w:r>
      </w:hyperlink>
    </w:p>
    <w:p w14:paraId="584C511C" w14:textId="6BEE18E5" w:rsidR="008346B6" w:rsidRDefault="00BB7E33">
      <w:pPr>
        <w:pStyle w:val="TableofFigures"/>
        <w:tabs>
          <w:tab w:val="right" w:leader="dot" w:pos="8494"/>
        </w:tabs>
        <w:rPr>
          <w:rFonts w:asciiTheme="minorHAnsi" w:eastAsiaTheme="minorEastAsia" w:hAnsiTheme="minorHAnsi" w:cstheme="minorBidi"/>
          <w:i w:val="0"/>
          <w:noProof/>
          <w:kern w:val="2"/>
          <w:sz w:val="24"/>
          <w:lang w:eastAsia="en-GB"/>
          <w14:ligatures w14:val="standardContextual"/>
        </w:rPr>
      </w:pPr>
      <w:hyperlink w:anchor="_Toc162950916" w:history="1">
        <w:r w:rsidR="008346B6" w:rsidRPr="0052599D">
          <w:rPr>
            <w:rStyle w:val="Hyperlink"/>
            <w:noProof/>
            <w:lang w:val="en-GB"/>
          </w:rPr>
          <w:t>Figure 9. Time from regulatory submission to recommendation by year of recommendation</w:t>
        </w:r>
        <w:r w:rsidR="008346B6">
          <w:rPr>
            <w:noProof/>
            <w:webHidden/>
          </w:rPr>
          <w:tab/>
        </w:r>
        <w:r w:rsidR="008346B6">
          <w:rPr>
            <w:noProof/>
            <w:webHidden/>
          </w:rPr>
          <w:fldChar w:fldCharType="begin"/>
        </w:r>
        <w:r w:rsidR="008346B6">
          <w:rPr>
            <w:noProof/>
            <w:webHidden/>
          </w:rPr>
          <w:instrText xml:space="preserve"> PAGEREF _Toc162950916 \h </w:instrText>
        </w:r>
        <w:r w:rsidR="008346B6">
          <w:rPr>
            <w:noProof/>
            <w:webHidden/>
          </w:rPr>
        </w:r>
        <w:r w:rsidR="008346B6">
          <w:rPr>
            <w:noProof/>
            <w:webHidden/>
          </w:rPr>
          <w:fldChar w:fldCharType="separate"/>
        </w:r>
        <w:r w:rsidR="000E11E7">
          <w:rPr>
            <w:noProof/>
            <w:webHidden/>
          </w:rPr>
          <w:t>62</w:t>
        </w:r>
        <w:r w:rsidR="008346B6">
          <w:rPr>
            <w:noProof/>
            <w:webHidden/>
          </w:rPr>
          <w:fldChar w:fldCharType="end"/>
        </w:r>
      </w:hyperlink>
    </w:p>
    <w:p w14:paraId="02D081A2" w14:textId="6AD3A949" w:rsidR="008346B6" w:rsidRDefault="00BB7E33">
      <w:pPr>
        <w:pStyle w:val="TableofFigures"/>
        <w:tabs>
          <w:tab w:val="right" w:leader="dot" w:pos="8494"/>
        </w:tabs>
        <w:rPr>
          <w:rFonts w:asciiTheme="minorHAnsi" w:eastAsiaTheme="minorEastAsia" w:hAnsiTheme="minorHAnsi" w:cstheme="minorBidi"/>
          <w:i w:val="0"/>
          <w:noProof/>
          <w:kern w:val="2"/>
          <w:sz w:val="24"/>
          <w:lang w:eastAsia="en-GB"/>
          <w14:ligatures w14:val="standardContextual"/>
        </w:rPr>
      </w:pPr>
      <w:hyperlink w:anchor="_Toc162950917" w:history="1">
        <w:r w:rsidR="008346B6" w:rsidRPr="0052599D">
          <w:rPr>
            <w:rStyle w:val="Hyperlink"/>
            <w:noProof/>
            <w:lang w:val="en-GB"/>
          </w:rPr>
          <w:t>Figure 10. Proportion of first HTA recommendation NASs made within one year of regulatory approval</w:t>
        </w:r>
        <w:r w:rsidR="008346B6">
          <w:rPr>
            <w:noProof/>
            <w:webHidden/>
          </w:rPr>
          <w:tab/>
        </w:r>
        <w:r w:rsidR="008346B6">
          <w:rPr>
            <w:noProof/>
            <w:webHidden/>
          </w:rPr>
          <w:fldChar w:fldCharType="begin"/>
        </w:r>
        <w:r w:rsidR="008346B6">
          <w:rPr>
            <w:noProof/>
            <w:webHidden/>
          </w:rPr>
          <w:instrText xml:space="preserve"> PAGEREF _Toc162950917 \h </w:instrText>
        </w:r>
        <w:r w:rsidR="008346B6">
          <w:rPr>
            <w:noProof/>
            <w:webHidden/>
          </w:rPr>
        </w:r>
        <w:r w:rsidR="008346B6">
          <w:rPr>
            <w:noProof/>
            <w:webHidden/>
          </w:rPr>
          <w:fldChar w:fldCharType="separate"/>
        </w:r>
        <w:r w:rsidR="000E11E7">
          <w:rPr>
            <w:noProof/>
            <w:webHidden/>
          </w:rPr>
          <w:t>62</w:t>
        </w:r>
        <w:r w:rsidR="008346B6">
          <w:rPr>
            <w:noProof/>
            <w:webHidden/>
          </w:rPr>
          <w:fldChar w:fldCharType="end"/>
        </w:r>
      </w:hyperlink>
    </w:p>
    <w:p w14:paraId="1409CAE4" w14:textId="3AF3D171" w:rsidR="008346B6" w:rsidRDefault="00BB7E33">
      <w:pPr>
        <w:pStyle w:val="TableofFigures"/>
        <w:tabs>
          <w:tab w:val="right" w:leader="dot" w:pos="8494"/>
        </w:tabs>
        <w:rPr>
          <w:rFonts w:asciiTheme="minorHAnsi" w:eastAsiaTheme="minorEastAsia" w:hAnsiTheme="minorHAnsi" w:cstheme="minorBidi"/>
          <w:i w:val="0"/>
          <w:noProof/>
          <w:kern w:val="2"/>
          <w:sz w:val="24"/>
          <w:lang w:eastAsia="en-GB"/>
          <w14:ligatures w14:val="standardContextual"/>
        </w:rPr>
      </w:pPr>
      <w:hyperlink w:anchor="_Toc162950918" w:history="1">
        <w:r w:rsidR="008346B6" w:rsidRPr="0052599D">
          <w:rPr>
            <w:rStyle w:val="Hyperlink"/>
            <w:noProof/>
            <w:lang w:val="en-GB"/>
          </w:rPr>
          <w:t>Figure 11. Rollout time by jurisdiction (2014-2018)</w:t>
        </w:r>
        <w:r w:rsidR="008346B6">
          <w:rPr>
            <w:noProof/>
            <w:webHidden/>
          </w:rPr>
          <w:tab/>
        </w:r>
        <w:r w:rsidR="008346B6">
          <w:rPr>
            <w:noProof/>
            <w:webHidden/>
          </w:rPr>
          <w:fldChar w:fldCharType="begin"/>
        </w:r>
        <w:r w:rsidR="008346B6">
          <w:rPr>
            <w:noProof/>
            <w:webHidden/>
          </w:rPr>
          <w:instrText xml:space="preserve"> PAGEREF _Toc162950918 \h </w:instrText>
        </w:r>
        <w:r w:rsidR="008346B6">
          <w:rPr>
            <w:noProof/>
            <w:webHidden/>
          </w:rPr>
        </w:r>
        <w:r w:rsidR="008346B6">
          <w:rPr>
            <w:noProof/>
            <w:webHidden/>
          </w:rPr>
          <w:fldChar w:fldCharType="separate"/>
        </w:r>
        <w:r w:rsidR="000E11E7">
          <w:rPr>
            <w:noProof/>
            <w:webHidden/>
          </w:rPr>
          <w:t>63</w:t>
        </w:r>
        <w:r w:rsidR="008346B6">
          <w:rPr>
            <w:noProof/>
            <w:webHidden/>
          </w:rPr>
          <w:fldChar w:fldCharType="end"/>
        </w:r>
      </w:hyperlink>
    </w:p>
    <w:p w14:paraId="56B958A8" w14:textId="182AF77F" w:rsidR="008346B6" w:rsidRDefault="00BB7E33">
      <w:pPr>
        <w:pStyle w:val="TableofFigures"/>
        <w:tabs>
          <w:tab w:val="right" w:leader="dot" w:pos="8494"/>
        </w:tabs>
        <w:rPr>
          <w:rFonts w:asciiTheme="minorHAnsi" w:eastAsiaTheme="minorEastAsia" w:hAnsiTheme="minorHAnsi" w:cstheme="minorBidi"/>
          <w:i w:val="0"/>
          <w:noProof/>
          <w:kern w:val="2"/>
          <w:sz w:val="24"/>
          <w:lang w:eastAsia="en-GB"/>
          <w14:ligatures w14:val="standardContextual"/>
        </w:rPr>
      </w:pPr>
      <w:hyperlink w:anchor="_Toc162950919" w:history="1">
        <w:r w:rsidR="008346B6" w:rsidRPr="0052599D">
          <w:rPr>
            <w:rStyle w:val="Hyperlink"/>
            <w:noProof/>
            <w:lang w:val="en-GB"/>
          </w:rPr>
          <w:t>Figure 12. Rollout time (days) by jurisdiction for 38 common NASs</w:t>
        </w:r>
        <w:r w:rsidR="008346B6">
          <w:rPr>
            <w:noProof/>
            <w:webHidden/>
          </w:rPr>
          <w:tab/>
        </w:r>
        <w:r w:rsidR="008346B6">
          <w:rPr>
            <w:noProof/>
            <w:webHidden/>
          </w:rPr>
          <w:fldChar w:fldCharType="begin"/>
        </w:r>
        <w:r w:rsidR="008346B6">
          <w:rPr>
            <w:noProof/>
            <w:webHidden/>
          </w:rPr>
          <w:instrText xml:space="preserve"> PAGEREF _Toc162950919 \h </w:instrText>
        </w:r>
        <w:r w:rsidR="008346B6">
          <w:rPr>
            <w:noProof/>
            <w:webHidden/>
          </w:rPr>
        </w:r>
        <w:r w:rsidR="008346B6">
          <w:rPr>
            <w:noProof/>
            <w:webHidden/>
          </w:rPr>
          <w:fldChar w:fldCharType="separate"/>
        </w:r>
        <w:r w:rsidR="000E11E7">
          <w:rPr>
            <w:noProof/>
            <w:webHidden/>
          </w:rPr>
          <w:t>63</w:t>
        </w:r>
        <w:r w:rsidR="008346B6">
          <w:rPr>
            <w:noProof/>
            <w:webHidden/>
          </w:rPr>
          <w:fldChar w:fldCharType="end"/>
        </w:r>
      </w:hyperlink>
    </w:p>
    <w:p w14:paraId="1F8B0EFB" w14:textId="29D9F04D" w:rsidR="008346B6" w:rsidRDefault="00BB7E33">
      <w:pPr>
        <w:pStyle w:val="TableofFigures"/>
        <w:tabs>
          <w:tab w:val="right" w:leader="dot" w:pos="8494"/>
        </w:tabs>
        <w:rPr>
          <w:rFonts w:asciiTheme="minorHAnsi" w:eastAsiaTheme="minorEastAsia" w:hAnsiTheme="minorHAnsi" w:cstheme="minorBidi"/>
          <w:i w:val="0"/>
          <w:noProof/>
          <w:kern w:val="2"/>
          <w:sz w:val="24"/>
          <w:lang w:eastAsia="en-GB"/>
          <w14:ligatures w14:val="standardContextual"/>
        </w:rPr>
      </w:pPr>
      <w:hyperlink w:anchor="_Toc162950920" w:history="1">
        <w:r w:rsidR="008346B6" w:rsidRPr="0052599D">
          <w:rPr>
            <w:rStyle w:val="Hyperlink"/>
            <w:noProof/>
            <w:lang w:val="en-GB"/>
          </w:rPr>
          <w:t>Figure 13. Time from regulatory approval to HTA recommendation by US Breakthrough Designation</w:t>
        </w:r>
        <w:r w:rsidR="008346B6">
          <w:rPr>
            <w:noProof/>
            <w:webHidden/>
          </w:rPr>
          <w:tab/>
        </w:r>
        <w:r w:rsidR="008346B6">
          <w:rPr>
            <w:noProof/>
            <w:webHidden/>
          </w:rPr>
          <w:fldChar w:fldCharType="begin"/>
        </w:r>
        <w:r w:rsidR="008346B6">
          <w:rPr>
            <w:noProof/>
            <w:webHidden/>
          </w:rPr>
          <w:instrText xml:space="preserve"> PAGEREF _Toc162950920 \h </w:instrText>
        </w:r>
        <w:r w:rsidR="008346B6">
          <w:rPr>
            <w:noProof/>
            <w:webHidden/>
          </w:rPr>
        </w:r>
        <w:r w:rsidR="008346B6">
          <w:rPr>
            <w:noProof/>
            <w:webHidden/>
          </w:rPr>
          <w:fldChar w:fldCharType="separate"/>
        </w:r>
        <w:r w:rsidR="000E11E7">
          <w:rPr>
            <w:noProof/>
            <w:webHidden/>
          </w:rPr>
          <w:t>64</w:t>
        </w:r>
        <w:r w:rsidR="008346B6">
          <w:rPr>
            <w:noProof/>
            <w:webHidden/>
          </w:rPr>
          <w:fldChar w:fldCharType="end"/>
        </w:r>
      </w:hyperlink>
    </w:p>
    <w:p w14:paraId="34CA86E1" w14:textId="5EC340E3" w:rsidR="008346B6" w:rsidRDefault="00BB7E33">
      <w:pPr>
        <w:pStyle w:val="TableofFigures"/>
        <w:tabs>
          <w:tab w:val="right" w:leader="dot" w:pos="8494"/>
        </w:tabs>
        <w:rPr>
          <w:rFonts w:asciiTheme="minorHAnsi" w:eastAsiaTheme="minorEastAsia" w:hAnsiTheme="minorHAnsi" w:cstheme="minorBidi"/>
          <w:i w:val="0"/>
          <w:noProof/>
          <w:kern w:val="2"/>
          <w:sz w:val="24"/>
          <w:lang w:eastAsia="en-GB"/>
          <w14:ligatures w14:val="standardContextual"/>
        </w:rPr>
      </w:pPr>
      <w:hyperlink w:anchor="_Toc162950921" w:history="1">
        <w:r w:rsidR="008346B6" w:rsidRPr="0052599D">
          <w:rPr>
            <w:rStyle w:val="Hyperlink"/>
            <w:noProof/>
            <w:lang w:val="en-GB"/>
          </w:rPr>
          <w:t>Figure 14. International trends in per-capita pharmaceutical spending (1980-2015)</w:t>
        </w:r>
        <w:r w:rsidR="008346B6">
          <w:rPr>
            <w:noProof/>
            <w:webHidden/>
          </w:rPr>
          <w:tab/>
        </w:r>
        <w:r w:rsidR="008346B6">
          <w:rPr>
            <w:noProof/>
            <w:webHidden/>
          </w:rPr>
          <w:fldChar w:fldCharType="begin"/>
        </w:r>
        <w:r w:rsidR="008346B6">
          <w:rPr>
            <w:noProof/>
            <w:webHidden/>
          </w:rPr>
          <w:instrText xml:space="preserve"> PAGEREF _Toc162950921 \h </w:instrText>
        </w:r>
        <w:r w:rsidR="008346B6">
          <w:rPr>
            <w:noProof/>
            <w:webHidden/>
          </w:rPr>
        </w:r>
        <w:r w:rsidR="008346B6">
          <w:rPr>
            <w:noProof/>
            <w:webHidden/>
          </w:rPr>
          <w:fldChar w:fldCharType="separate"/>
        </w:r>
        <w:r w:rsidR="000E11E7">
          <w:rPr>
            <w:noProof/>
            <w:webHidden/>
          </w:rPr>
          <w:t>65</w:t>
        </w:r>
        <w:r w:rsidR="008346B6">
          <w:rPr>
            <w:noProof/>
            <w:webHidden/>
          </w:rPr>
          <w:fldChar w:fldCharType="end"/>
        </w:r>
      </w:hyperlink>
    </w:p>
    <w:p w14:paraId="58A53B74" w14:textId="3FBFAF91" w:rsidR="008346B6" w:rsidRDefault="00BB7E33">
      <w:pPr>
        <w:pStyle w:val="TableofFigures"/>
        <w:tabs>
          <w:tab w:val="right" w:leader="dot" w:pos="8494"/>
        </w:tabs>
        <w:rPr>
          <w:rFonts w:asciiTheme="minorHAnsi" w:eastAsiaTheme="minorEastAsia" w:hAnsiTheme="minorHAnsi" w:cstheme="minorBidi"/>
          <w:i w:val="0"/>
          <w:noProof/>
          <w:kern w:val="2"/>
          <w:sz w:val="24"/>
          <w:lang w:eastAsia="en-GB"/>
          <w14:ligatures w14:val="standardContextual"/>
        </w:rPr>
      </w:pPr>
      <w:hyperlink w:anchor="_Toc162950922" w:history="1">
        <w:r w:rsidR="008346B6" w:rsidRPr="0052599D">
          <w:rPr>
            <w:rStyle w:val="Hyperlink"/>
            <w:noProof/>
            <w:lang w:val="en-GB"/>
          </w:rPr>
          <w:t>Figure 15. Retail pharmaceutical spending (2015)</w:t>
        </w:r>
        <w:r w:rsidR="008346B6">
          <w:rPr>
            <w:noProof/>
            <w:webHidden/>
          </w:rPr>
          <w:tab/>
        </w:r>
        <w:r w:rsidR="008346B6">
          <w:rPr>
            <w:noProof/>
            <w:webHidden/>
          </w:rPr>
          <w:fldChar w:fldCharType="begin"/>
        </w:r>
        <w:r w:rsidR="008346B6">
          <w:rPr>
            <w:noProof/>
            <w:webHidden/>
          </w:rPr>
          <w:instrText xml:space="preserve"> PAGEREF _Toc162950922 \h </w:instrText>
        </w:r>
        <w:r w:rsidR="008346B6">
          <w:rPr>
            <w:noProof/>
            <w:webHidden/>
          </w:rPr>
        </w:r>
        <w:r w:rsidR="008346B6">
          <w:rPr>
            <w:noProof/>
            <w:webHidden/>
          </w:rPr>
          <w:fldChar w:fldCharType="separate"/>
        </w:r>
        <w:r w:rsidR="000E11E7">
          <w:rPr>
            <w:noProof/>
            <w:webHidden/>
          </w:rPr>
          <w:t>65</w:t>
        </w:r>
        <w:r w:rsidR="008346B6">
          <w:rPr>
            <w:noProof/>
            <w:webHidden/>
          </w:rPr>
          <w:fldChar w:fldCharType="end"/>
        </w:r>
      </w:hyperlink>
    </w:p>
    <w:p w14:paraId="55E6C98D" w14:textId="398CF972" w:rsidR="008346B6" w:rsidRDefault="00BB7E33">
      <w:pPr>
        <w:pStyle w:val="TableofFigures"/>
        <w:tabs>
          <w:tab w:val="right" w:leader="dot" w:pos="8494"/>
        </w:tabs>
        <w:rPr>
          <w:rFonts w:asciiTheme="minorHAnsi" w:eastAsiaTheme="minorEastAsia" w:hAnsiTheme="minorHAnsi" w:cstheme="minorBidi"/>
          <w:i w:val="0"/>
          <w:noProof/>
          <w:kern w:val="2"/>
          <w:sz w:val="24"/>
          <w:lang w:eastAsia="en-GB"/>
          <w14:ligatures w14:val="standardContextual"/>
        </w:rPr>
      </w:pPr>
      <w:hyperlink w:anchor="_Toc162950923" w:history="1">
        <w:r w:rsidR="008346B6" w:rsidRPr="0052599D">
          <w:rPr>
            <w:rStyle w:val="Hyperlink"/>
            <w:noProof/>
            <w:lang w:val="en-GB"/>
          </w:rPr>
          <w:t>Figure 16. Per-capita spending on prescribed medicines by financing scheme (2019 or latest)</w:t>
        </w:r>
        <w:r w:rsidR="008346B6">
          <w:rPr>
            <w:noProof/>
            <w:webHidden/>
          </w:rPr>
          <w:tab/>
        </w:r>
        <w:r w:rsidR="008346B6">
          <w:rPr>
            <w:noProof/>
            <w:webHidden/>
          </w:rPr>
          <w:fldChar w:fldCharType="begin"/>
        </w:r>
        <w:r w:rsidR="008346B6">
          <w:rPr>
            <w:noProof/>
            <w:webHidden/>
          </w:rPr>
          <w:instrText xml:space="preserve"> PAGEREF _Toc162950923 \h </w:instrText>
        </w:r>
        <w:r w:rsidR="008346B6">
          <w:rPr>
            <w:noProof/>
            <w:webHidden/>
          </w:rPr>
        </w:r>
        <w:r w:rsidR="008346B6">
          <w:rPr>
            <w:noProof/>
            <w:webHidden/>
          </w:rPr>
          <w:fldChar w:fldCharType="separate"/>
        </w:r>
        <w:r w:rsidR="000E11E7">
          <w:rPr>
            <w:noProof/>
            <w:webHidden/>
          </w:rPr>
          <w:t>66</w:t>
        </w:r>
        <w:r w:rsidR="008346B6">
          <w:rPr>
            <w:noProof/>
            <w:webHidden/>
          </w:rPr>
          <w:fldChar w:fldCharType="end"/>
        </w:r>
      </w:hyperlink>
    </w:p>
    <w:p w14:paraId="11CEFC18" w14:textId="7295B088" w:rsidR="008346B6" w:rsidRDefault="00BB7E33">
      <w:pPr>
        <w:pStyle w:val="TableofFigures"/>
        <w:tabs>
          <w:tab w:val="right" w:leader="dot" w:pos="8494"/>
        </w:tabs>
        <w:rPr>
          <w:rFonts w:asciiTheme="minorHAnsi" w:eastAsiaTheme="minorEastAsia" w:hAnsiTheme="minorHAnsi" w:cstheme="minorBidi"/>
          <w:i w:val="0"/>
          <w:noProof/>
          <w:kern w:val="2"/>
          <w:sz w:val="24"/>
          <w:lang w:eastAsia="en-GB"/>
          <w14:ligatures w14:val="standardContextual"/>
        </w:rPr>
      </w:pPr>
      <w:hyperlink w:anchor="_Toc162950924" w:history="1">
        <w:r w:rsidR="008346B6" w:rsidRPr="0052599D">
          <w:rPr>
            <w:rStyle w:val="Hyperlink"/>
            <w:noProof/>
            <w:lang w:val="en-GB"/>
          </w:rPr>
          <w:t>Figure 17 Classification of integrated and streamlined co-dependent submissions</w:t>
        </w:r>
        <w:r w:rsidR="008346B6">
          <w:rPr>
            <w:noProof/>
            <w:webHidden/>
          </w:rPr>
          <w:tab/>
        </w:r>
        <w:r w:rsidR="008346B6">
          <w:rPr>
            <w:noProof/>
            <w:webHidden/>
          </w:rPr>
          <w:fldChar w:fldCharType="begin"/>
        </w:r>
        <w:r w:rsidR="008346B6">
          <w:rPr>
            <w:noProof/>
            <w:webHidden/>
          </w:rPr>
          <w:instrText xml:space="preserve"> PAGEREF _Toc162950924 \h </w:instrText>
        </w:r>
        <w:r w:rsidR="008346B6">
          <w:rPr>
            <w:noProof/>
            <w:webHidden/>
          </w:rPr>
        </w:r>
        <w:r w:rsidR="008346B6">
          <w:rPr>
            <w:noProof/>
            <w:webHidden/>
          </w:rPr>
          <w:fldChar w:fldCharType="separate"/>
        </w:r>
        <w:r w:rsidR="000E11E7">
          <w:rPr>
            <w:noProof/>
            <w:webHidden/>
          </w:rPr>
          <w:t>69</w:t>
        </w:r>
        <w:r w:rsidR="008346B6">
          <w:rPr>
            <w:noProof/>
            <w:webHidden/>
          </w:rPr>
          <w:fldChar w:fldCharType="end"/>
        </w:r>
      </w:hyperlink>
    </w:p>
    <w:p w14:paraId="4CA9DE57" w14:textId="31C34638" w:rsidR="008346B6" w:rsidRDefault="00BB7E33">
      <w:pPr>
        <w:pStyle w:val="TableofFigures"/>
        <w:tabs>
          <w:tab w:val="right" w:leader="dot" w:pos="8494"/>
        </w:tabs>
        <w:rPr>
          <w:rFonts w:asciiTheme="minorHAnsi" w:eastAsiaTheme="minorEastAsia" w:hAnsiTheme="minorHAnsi" w:cstheme="minorBidi"/>
          <w:i w:val="0"/>
          <w:noProof/>
          <w:kern w:val="2"/>
          <w:sz w:val="24"/>
          <w:lang w:eastAsia="en-GB"/>
          <w14:ligatures w14:val="standardContextual"/>
        </w:rPr>
      </w:pPr>
      <w:hyperlink w:anchor="_Toc162950925" w:history="1">
        <w:r w:rsidR="008346B6" w:rsidRPr="0052599D">
          <w:rPr>
            <w:rStyle w:val="Hyperlink"/>
            <w:noProof/>
            <w:lang w:val="en-GB"/>
          </w:rPr>
          <w:t>Figure 18 Companion diagnostic reimbursement procedure in Belgium</w:t>
        </w:r>
        <w:r w:rsidR="008346B6">
          <w:rPr>
            <w:noProof/>
            <w:webHidden/>
          </w:rPr>
          <w:tab/>
        </w:r>
        <w:r w:rsidR="008346B6">
          <w:rPr>
            <w:noProof/>
            <w:webHidden/>
          </w:rPr>
          <w:fldChar w:fldCharType="begin"/>
        </w:r>
        <w:r w:rsidR="008346B6">
          <w:rPr>
            <w:noProof/>
            <w:webHidden/>
          </w:rPr>
          <w:instrText xml:space="preserve"> PAGEREF _Toc162950925 \h </w:instrText>
        </w:r>
        <w:r w:rsidR="008346B6">
          <w:rPr>
            <w:noProof/>
            <w:webHidden/>
          </w:rPr>
        </w:r>
        <w:r w:rsidR="008346B6">
          <w:rPr>
            <w:noProof/>
            <w:webHidden/>
          </w:rPr>
          <w:fldChar w:fldCharType="separate"/>
        </w:r>
        <w:r w:rsidR="000E11E7">
          <w:rPr>
            <w:noProof/>
            <w:webHidden/>
          </w:rPr>
          <w:t>71</w:t>
        </w:r>
        <w:r w:rsidR="008346B6">
          <w:rPr>
            <w:noProof/>
            <w:webHidden/>
          </w:rPr>
          <w:fldChar w:fldCharType="end"/>
        </w:r>
      </w:hyperlink>
    </w:p>
    <w:p w14:paraId="2BC37D3C" w14:textId="0C8A0095" w:rsidR="008346B6" w:rsidRDefault="00BB7E33">
      <w:pPr>
        <w:pStyle w:val="TableofFigures"/>
        <w:tabs>
          <w:tab w:val="right" w:leader="dot" w:pos="8494"/>
        </w:tabs>
        <w:rPr>
          <w:rFonts w:asciiTheme="minorHAnsi" w:eastAsiaTheme="minorEastAsia" w:hAnsiTheme="minorHAnsi" w:cstheme="minorBidi"/>
          <w:i w:val="0"/>
          <w:noProof/>
          <w:kern w:val="2"/>
          <w:sz w:val="24"/>
          <w:lang w:eastAsia="en-GB"/>
          <w14:ligatures w14:val="standardContextual"/>
        </w:rPr>
      </w:pPr>
      <w:hyperlink w:anchor="_Toc162950926" w:history="1">
        <w:r w:rsidR="008346B6" w:rsidRPr="0052599D">
          <w:rPr>
            <w:rStyle w:val="Hyperlink"/>
            <w:noProof/>
            <w:lang w:val="en-GB"/>
          </w:rPr>
          <w:t>Figure 19 Companion diagnostic reimbursement procedure in England &amp; Wales</w:t>
        </w:r>
        <w:r w:rsidR="008346B6">
          <w:rPr>
            <w:noProof/>
            <w:webHidden/>
          </w:rPr>
          <w:tab/>
        </w:r>
        <w:r w:rsidR="008346B6">
          <w:rPr>
            <w:noProof/>
            <w:webHidden/>
          </w:rPr>
          <w:fldChar w:fldCharType="begin"/>
        </w:r>
        <w:r w:rsidR="008346B6">
          <w:rPr>
            <w:noProof/>
            <w:webHidden/>
          </w:rPr>
          <w:instrText xml:space="preserve"> PAGEREF _Toc162950926 \h </w:instrText>
        </w:r>
        <w:r w:rsidR="008346B6">
          <w:rPr>
            <w:noProof/>
            <w:webHidden/>
          </w:rPr>
        </w:r>
        <w:r w:rsidR="008346B6">
          <w:rPr>
            <w:noProof/>
            <w:webHidden/>
          </w:rPr>
          <w:fldChar w:fldCharType="separate"/>
        </w:r>
        <w:r w:rsidR="000E11E7">
          <w:rPr>
            <w:noProof/>
            <w:webHidden/>
          </w:rPr>
          <w:t>72</w:t>
        </w:r>
        <w:r w:rsidR="008346B6">
          <w:rPr>
            <w:noProof/>
            <w:webHidden/>
          </w:rPr>
          <w:fldChar w:fldCharType="end"/>
        </w:r>
      </w:hyperlink>
    </w:p>
    <w:p w14:paraId="05A8212B" w14:textId="64AED210" w:rsidR="008346B6" w:rsidRDefault="00BB7E33">
      <w:pPr>
        <w:pStyle w:val="TableofFigures"/>
        <w:tabs>
          <w:tab w:val="right" w:leader="dot" w:pos="8494"/>
        </w:tabs>
        <w:rPr>
          <w:rFonts w:asciiTheme="minorHAnsi" w:eastAsiaTheme="minorEastAsia" w:hAnsiTheme="minorHAnsi" w:cstheme="minorBidi"/>
          <w:i w:val="0"/>
          <w:noProof/>
          <w:kern w:val="2"/>
          <w:sz w:val="24"/>
          <w:lang w:eastAsia="en-GB"/>
          <w14:ligatures w14:val="standardContextual"/>
        </w:rPr>
      </w:pPr>
      <w:hyperlink w:anchor="_Toc162950927" w:history="1">
        <w:r w:rsidR="008346B6" w:rsidRPr="0052599D">
          <w:rPr>
            <w:rStyle w:val="Hyperlink"/>
            <w:noProof/>
            <w:lang w:val="en-GB"/>
          </w:rPr>
          <w:t>Figure 20 Companion diagnostic reimbursement procedure in France</w:t>
        </w:r>
        <w:r w:rsidR="008346B6">
          <w:rPr>
            <w:noProof/>
            <w:webHidden/>
          </w:rPr>
          <w:tab/>
        </w:r>
        <w:r w:rsidR="008346B6">
          <w:rPr>
            <w:noProof/>
            <w:webHidden/>
          </w:rPr>
          <w:fldChar w:fldCharType="begin"/>
        </w:r>
        <w:r w:rsidR="008346B6">
          <w:rPr>
            <w:noProof/>
            <w:webHidden/>
          </w:rPr>
          <w:instrText xml:space="preserve"> PAGEREF _Toc162950927 \h </w:instrText>
        </w:r>
        <w:r w:rsidR="008346B6">
          <w:rPr>
            <w:noProof/>
            <w:webHidden/>
          </w:rPr>
        </w:r>
        <w:r w:rsidR="008346B6">
          <w:rPr>
            <w:noProof/>
            <w:webHidden/>
          </w:rPr>
          <w:fldChar w:fldCharType="separate"/>
        </w:r>
        <w:r w:rsidR="000E11E7">
          <w:rPr>
            <w:noProof/>
            <w:webHidden/>
          </w:rPr>
          <w:t>73</w:t>
        </w:r>
        <w:r w:rsidR="008346B6">
          <w:rPr>
            <w:noProof/>
            <w:webHidden/>
          </w:rPr>
          <w:fldChar w:fldCharType="end"/>
        </w:r>
      </w:hyperlink>
    </w:p>
    <w:p w14:paraId="1E0D3535" w14:textId="048C6156" w:rsidR="008346B6" w:rsidRDefault="00BB7E33">
      <w:pPr>
        <w:pStyle w:val="TableofFigures"/>
        <w:tabs>
          <w:tab w:val="right" w:leader="dot" w:pos="8494"/>
        </w:tabs>
        <w:rPr>
          <w:rFonts w:asciiTheme="minorHAnsi" w:eastAsiaTheme="minorEastAsia" w:hAnsiTheme="minorHAnsi" w:cstheme="minorBidi"/>
          <w:i w:val="0"/>
          <w:noProof/>
          <w:kern w:val="2"/>
          <w:sz w:val="24"/>
          <w:lang w:eastAsia="en-GB"/>
          <w14:ligatures w14:val="standardContextual"/>
        </w:rPr>
      </w:pPr>
      <w:hyperlink w:anchor="_Toc162950928" w:history="1">
        <w:r w:rsidR="008346B6" w:rsidRPr="0052599D">
          <w:rPr>
            <w:rStyle w:val="Hyperlink"/>
            <w:noProof/>
            <w:lang w:val="en-GB"/>
          </w:rPr>
          <w:t>Figure 21 Companion diagnostic reimbursement procedure in Germany</w:t>
        </w:r>
        <w:r w:rsidR="008346B6">
          <w:rPr>
            <w:noProof/>
            <w:webHidden/>
          </w:rPr>
          <w:tab/>
        </w:r>
        <w:r w:rsidR="008346B6">
          <w:rPr>
            <w:noProof/>
            <w:webHidden/>
          </w:rPr>
          <w:fldChar w:fldCharType="begin"/>
        </w:r>
        <w:r w:rsidR="008346B6">
          <w:rPr>
            <w:noProof/>
            <w:webHidden/>
          </w:rPr>
          <w:instrText xml:space="preserve"> PAGEREF _Toc162950928 \h </w:instrText>
        </w:r>
        <w:r w:rsidR="008346B6">
          <w:rPr>
            <w:noProof/>
            <w:webHidden/>
          </w:rPr>
        </w:r>
        <w:r w:rsidR="008346B6">
          <w:rPr>
            <w:noProof/>
            <w:webHidden/>
          </w:rPr>
          <w:fldChar w:fldCharType="separate"/>
        </w:r>
        <w:r w:rsidR="000E11E7">
          <w:rPr>
            <w:noProof/>
            <w:webHidden/>
          </w:rPr>
          <w:t>74</w:t>
        </w:r>
        <w:r w:rsidR="008346B6">
          <w:rPr>
            <w:noProof/>
            <w:webHidden/>
          </w:rPr>
          <w:fldChar w:fldCharType="end"/>
        </w:r>
      </w:hyperlink>
    </w:p>
    <w:p w14:paraId="7BBEE9C6" w14:textId="5561C1F2" w:rsidR="008346B6" w:rsidRDefault="00BB7E33">
      <w:pPr>
        <w:pStyle w:val="TableofFigures"/>
        <w:tabs>
          <w:tab w:val="right" w:leader="dot" w:pos="8494"/>
        </w:tabs>
        <w:rPr>
          <w:rFonts w:asciiTheme="minorHAnsi" w:eastAsiaTheme="minorEastAsia" w:hAnsiTheme="minorHAnsi" w:cstheme="minorBidi"/>
          <w:i w:val="0"/>
          <w:noProof/>
          <w:kern w:val="2"/>
          <w:sz w:val="24"/>
          <w:lang w:eastAsia="en-GB"/>
          <w14:ligatures w14:val="standardContextual"/>
        </w:rPr>
      </w:pPr>
      <w:hyperlink w:anchor="_Toc162950929" w:history="1">
        <w:r w:rsidR="008346B6" w:rsidRPr="0052599D">
          <w:rPr>
            <w:rStyle w:val="Hyperlink"/>
            <w:noProof/>
            <w:lang w:val="en-GB"/>
          </w:rPr>
          <w:t>Figure 22 Companion diagnostic reimbursement procedure in Italy</w:t>
        </w:r>
        <w:r w:rsidR="008346B6">
          <w:rPr>
            <w:noProof/>
            <w:webHidden/>
          </w:rPr>
          <w:tab/>
        </w:r>
        <w:r w:rsidR="008346B6">
          <w:rPr>
            <w:noProof/>
            <w:webHidden/>
          </w:rPr>
          <w:fldChar w:fldCharType="begin"/>
        </w:r>
        <w:r w:rsidR="008346B6">
          <w:rPr>
            <w:noProof/>
            <w:webHidden/>
          </w:rPr>
          <w:instrText xml:space="preserve"> PAGEREF _Toc162950929 \h </w:instrText>
        </w:r>
        <w:r w:rsidR="008346B6">
          <w:rPr>
            <w:noProof/>
            <w:webHidden/>
          </w:rPr>
        </w:r>
        <w:r w:rsidR="008346B6">
          <w:rPr>
            <w:noProof/>
            <w:webHidden/>
          </w:rPr>
          <w:fldChar w:fldCharType="separate"/>
        </w:r>
        <w:r w:rsidR="000E11E7">
          <w:rPr>
            <w:noProof/>
            <w:webHidden/>
          </w:rPr>
          <w:t>74</w:t>
        </w:r>
        <w:r w:rsidR="008346B6">
          <w:rPr>
            <w:noProof/>
            <w:webHidden/>
          </w:rPr>
          <w:fldChar w:fldCharType="end"/>
        </w:r>
      </w:hyperlink>
    </w:p>
    <w:p w14:paraId="661B419F" w14:textId="7AC64D32" w:rsidR="008346B6" w:rsidRDefault="00BB7E33">
      <w:pPr>
        <w:pStyle w:val="TableofFigures"/>
        <w:tabs>
          <w:tab w:val="right" w:leader="dot" w:pos="8494"/>
        </w:tabs>
        <w:rPr>
          <w:rFonts w:asciiTheme="minorHAnsi" w:eastAsiaTheme="minorEastAsia" w:hAnsiTheme="minorHAnsi" w:cstheme="minorBidi"/>
          <w:i w:val="0"/>
          <w:noProof/>
          <w:kern w:val="2"/>
          <w:sz w:val="24"/>
          <w:lang w:eastAsia="en-GB"/>
          <w14:ligatures w14:val="standardContextual"/>
        </w:rPr>
      </w:pPr>
      <w:hyperlink w:anchor="_Toc162950930" w:history="1">
        <w:r w:rsidR="008346B6" w:rsidRPr="0052599D">
          <w:rPr>
            <w:rStyle w:val="Hyperlink"/>
            <w:noProof/>
            <w:lang w:val="en-GB"/>
          </w:rPr>
          <w:t>Figure 23 Companion diagnostic reimbursement procedure in the Netherlands</w:t>
        </w:r>
        <w:r w:rsidR="008346B6">
          <w:rPr>
            <w:noProof/>
            <w:webHidden/>
          </w:rPr>
          <w:tab/>
        </w:r>
        <w:r w:rsidR="008346B6">
          <w:rPr>
            <w:noProof/>
            <w:webHidden/>
          </w:rPr>
          <w:fldChar w:fldCharType="begin"/>
        </w:r>
        <w:r w:rsidR="008346B6">
          <w:rPr>
            <w:noProof/>
            <w:webHidden/>
          </w:rPr>
          <w:instrText xml:space="preserve"> PAGEREF _Toc162950930 \h </w:instrText>
        </w:r>
        <w:r w:rsidR="008346B6">
          <w:rPr>
            <w:noProof/>
            <w:webHidden/>
          </w:rPr>
        </w:r>
        <w:r w:rsidR="008346B6">
          <w:rPr>
            <w:noProof/>
            <w:webHidden/>
          </w:rPr>
          <w:fldChar w:fldCharType="separate"/>
        </w:r>
        <w:r w:rsidR="000E11E7">
          <w:rPr>
            <w:noProof/>
            <w:webHidden/>
          </w:rPr>
          <w:t>75</w:t>
        </w:r>
        <w:r w:rsidR="008346B6">
          <w:rPr>
            <w:noProof/>
            <w:webHidden/>
          </w:rPr>
          <w:fldChar w:fldCharType="end"/>
        </w:r>
      </w:hyperlink>
    </w:p>
    <w:p w14:paraId="3EB151CB" w14:textId="3AE06D80" w:rsidR="008346B6" w:rsidRDefault="00BB7E33">
      <w:pPr>
        <w:pStyle w:val="TableofFigures"/>
        <w:tabs>
          <w:tab w:val="right" w:leader="dot" w:pos="8494"/>
        </w:tabs>
        <w:rPr>
          <w:rFonts w:asciiTheme="minorHAnsi" w:eastAsiaTheme="minorEastAsia" w:hAnsiTheme="minorHAnsi" w:cstheme="minorBidi"/>
          <w:i w:val="0"/>
          <w:noProof/>
          <w:kern w:val="2"/>
          <w:sz w:val="24"/>
          <w:lang w:eastAsia="en-GB"/>
          <w14:ligatures w14:val="standardContextual"/>
        </w:rPr>
      </w:pPr>
      <w:hyperlink w:anchor="_Toc162950931" w:history="1">
        <w:r w:rsidR="008346B6" w:rsidRPr="0052599D">
          <w:rPr>
            <w:rStyle w:val="Hyperlink"/>
            <w:noProof/>
            <w:lang w:val="en-GB"/>
          </w:rPr>
          <w:t>Figure 24 Companion diagnostic reimbursement procedure in Spain</w:t>
        </w:r>
        <w:r w:rsidR="008346B6">
          <w:rPr>
            <w:noProof/>
            <w:webHidden/>
          </w:rPr>
          <w:tab/>
        </w:r>
        <w:r w:rsidR="008346B6">
          <w:rPr>
            <w:noProof/>
            <w:webHidden/>
          </w:rPr>
          <w:fldChar w:fldCharType="begin"/>
        </w:r>
        <w:r w:rsidR="008346B6">
          <w:rPr>
            <w:noProof/>
            <w:webHidden/>
          </w:rPr>
          <w:instrText xml:space="preserve"> PAGEREF _Toc162950931 \h </w:instrText>
        </w:r>
        <w:r w:rsidR="008346B6">
          <w:rPr>
            <w:noProof/>
            <w:webHidden/>
          </w:rPr>
        </w:r>
        <w:r w:rsidR="008346B6">
          <w:rPr>
            <w:noProof/>
            <w:webHidden/>
          </w:rPr>
          <w:fldChar w:fldCharType="separate"/>
        </w:r>
        <w:r w:rsidR="000E11E7">
          <w:rPr>
            <w:noProof/>
            <w:webHidden/>
          </w:rPr>
          <w:t>76</w:t>
        </w:r>
        <w:r w:rsidR="008346B6">
          <w:rPr>
            <w:noProof/>
            <w:webHidden/>
          </w:rPr>
          <w:fldChar w:fldCharType="end"/>
        </w:r>
      </w:hyperlink>
    </w:p>
    <w:p w14:paraId="339BBB34" w14:textId="747BB9B2" w:rsidR="008346B6" w:rsidRDefault="00BB7E33">
      <w:pPr>
        <w:pStyle w:val="TableofFigures"/>
        <w:tabs>
          <w:tab w:val="right" w:leader="dot" w:pos="8494"/>
        </w:tabs>
        <w:rPr>
          <w:rFonts w:asciiTheme="minorHAnsi" w:eastAsiaTheme="minorEastAsia" w:hAnsiTheme="minorHAnsi" w:cstheme="minorBidi"/>
          <w:i w:val="0"/>
          <w:noProof/>
          <w:kern w:val="2"/>
          <w:sz w:val="24"/>
          <w:lang w:eastAsia="en-GB"/>
          <w14:ligatures w14:val="standardContextual"/>
        </w:rPr>
      </w:pPr>
      <w:hyperlink w:anchor="_Toc162950932" w:history="1">
        <w:r w:rsidR="008346B6" w:rsidRPr="0052599D">
          <w:rPr>
            <w:rStyle w:val="Hyperlink"/>
            <w:noProof/>
            <w:lang w:val="en-GB"/>
          </w:rPr>
          <w:t>Figure 25 Number of assessments identified per cancer group</w:t>
        </w:r>
        <w:r w:rsidR="008346B6">
          <w:rPr>
            <w:noProof/>
            <w:webHidden/>
          </w:rPr>
          <w:tab/>
        </w:r>
        <w:r w:rsidR="008346B6">
          <w:rPr>
            <w:noProof/>
            <w:webHidden/>
          </w:rPr>
          <w:fldChar w:fldCharType="begin"/>
        </w:r>
        <w:r w:rsidR="008346B6">
          <w:rPr>
            <w:noProof/>
            <w:webHidden/>
          </w:rPr>
          <w:instrText xml:space="preserve"> PAGEREF _Toc162950932 \h </w:instrText>
        </w:r>
        <w:r w:rsidR="008346B6">
          <w:rPr>
            <w:noProof/>
            <w:webHidden/>
          </w:rPr>
        </w:r>
        <w:r w:rsidR="008346B6">
          <w:rPr>
            <w:noProof/>
            <w:webHidden/>
          </w:rPr>
          <w:fldChar w:fldCharType="separate"/>
        </w:r>
        <w:r w:rsidR="000E11E7">
          <w:rPr>
            <w:noProof/>
            <w:webHidden/>
          </w:rPr>
          <w:t>77</w:t>
        </w:r>
        <w:r w:rsidR="008346B6">
          <w:rPr>
            <w:noProof/>
            <w:webHidden/>
          </w:rPr>
          <w:fldChar w:fldCharType="end"/>
        </w:r>
      </w:hyperlink>
    </w:p>
    <w:p w14:paraId="7869874A" w14:textId="30D2E838" w:rsidR="008346B6" w:rsidRDefault="00BB7E33">
      <w:pPr>
        <w:pStyle w:val="TableofFigures"/>
        <w:tabs>
          <w:tab w:val="right" w:leader="dot" w:pos="8494"/>
        </w:tabs>
        <w:rPr>
          <w:rFonts w:asciiTheme="minorHAnsi" w:eastAsiaTheme="minorEastAsia" w:hAnsiTheme="minorHAnsi" w:cstheme="minorBidi"/>
          <w:i w:val="0"/>
          <w:noProof/>
          <w:kern w:val="2"/>
          <w:sz w:val="24"/>
          <w:lang w:eastAsia="en-GB"/>
          <w14:ligatures w14:val="standardContextual"/>
        </w:rPr>
      </w:pPr>
      <w:hyperlink w:anchor="_Toc162950933" w:history="1">
        <w:r w:rsidR="008346B6" w:rsidRPr="0052599D">
          <w:rPr>
            <w:rStyle w:val="Hyperlink"/>
            <w:noProof/>
            <w:lang w:val="en-GB"/>
          </w:rPr>
          <w:t>Figure 26. Companion diagnostic testing in cost-effectiveness models and final recommendations</w:t>
        </w:r>
        <w:r w:rsidR="008346B6">
          <w:rPr>
            <w:noProof/>
            <w:webHidden/>
          </w:rPr>
          <w:tab/>
        </w:r>
        <w:r w:rsidR="008346B6">
          <w:rPr>
            <w:noProof/>
            <w:webHidden/>
          </w:rPr>
          <w:fldChar w:fldCharType="begin"/>
        </w:r>
        <w:r w:rsidR="008346B6">
          <w:rPr>
            <w:noProof/>
            <w:webHidden/>
          </w:rPr>
          <w:instrText xml:space="preserve"> PAGEREF _Toc162950933 \h </w:instrText>
        </w:r>
        <w:r w:rsidR="008346B6">
          <w:rPr>
            <w:noProof/>
            <w:webHidden/>
          </w:rPr>
        </w:r>
        <w:r w:rsidR="008346B6">
          <w:rPr>
            <w:noProof/>
            <w:webHidden/>
          </w:rPr>
          <w:fldChar w:fldCharType="separate"/>
        </w:r>
        <w:r w:rsidR="000E11E7">
          <w:rPr>
            <w:noProof/>
            <w:webHidden/>
          </w:rPr>
          <w:t>78</w:t>
        </w:r>
        <w:r w:rsidR="008346B6">
          <w:rPr>
            <w:noProof/>
            <w:webHidden/>
          </w:rPr>
          <w:fldChar w:fldCharType="end"/>
        </w:r>
      </w:hyperlink>
    </w:p>
    <w:p w14:paraId="03781414" w14:textId="3BE82A5C" w:rsidR="008346B6" w:rsidRDefault="00BB7E33">
      <w:pPr>
        <w:pStyle w:val="TableofFigures"/>
        <w:tabs>
          <w:tab w:val="right" w:leader="dot" w:pos="8494"/>
        </w:tabs>
        <w:rPr>
          <w:rFonts w:asciiTheme="minorHAnsi" w:eastAsiaTheme="minorEastAsia" w:hAnsiTheme="minorHAnsi" w:cstheme="minorBidi"/>
          <w:i w:val="0"/>
          <w:noProof/>
          <w:kern w:val="2"/>
          <w:sz w:val="24"/>
          <w:lang w:eastAsia="en-GB"/>
          <w14:ligatures w14:val="standardContextual"/>
        </w:rPr>
      </w:pPr>
      <w:hyperlink w:anchor="_Toc162950934" w:history="1">
        <w:r w:rsidR="008346B6" w:rsidRPr="0052599D">
          <w:rPr>
            <w:rStyle w:val="Hyperlink"/>
            <w:noProof/>
            <w:lang w:val="en-GB"/>
          </w:rPr>
          <w:t>Figure 27. Agreement of results: limited and regular-benefit assessment by orphan drug</w:t>
        </w:r>
        <w:r w:rsidR="008346B6">
          <w:rPr>
            <w:noProof/>
            <w:webHidden/>
          </w:rPr>
          <w:tab/>
        </w:r>
        <w:r w:rsidR="008346B6">
          <w:rPr>
            <w:noProof/>
            <w:webHidden/>
          </w:rPr>
          <w:fldChar w:fldCharType="begin"/>
        </w:r>
        <w:r w:rsidR="008346B6">
          <w:rPr>
            <w:noProof/>
            <w:webHidden/>
          </w:rPr>
          <w:instrText xml:space="preserve"> PAGEREF _Toc162950934 \h </w:instrText>
        </w:r>
        <w:r w:rsidR="008346B6">
          <w:rPr>
            <w:noProof/>
            <w:webHidden/>
          </w:rPr>
        </w:r>
        <w:r w:rsidR="008346B6">
          <w:rPr>
            <w:noProof/>
            <w:webHidden/>
          </w:rPr>
          <w:fldChar w:fldCharType="separate"/>
        </w:r>
        <w:r w:rsidR="000E11E7">
          <w:rPr>
            <w:noProof/>
            <w:webHidden/>
          </w:rPr>
          <w:t>115</w:t>
        </w:r>
        <w:r w:rsidR="008346B6">
          <w:rPr>
            <w:noProof/>
            <w:webHidden/>
          </w:rPr>
          <w:fldChar w:fldCharType="end"/>
        </w:r>
      </w:hyperlink>
    </w:p>
    <w:p w14:paraId="30A6EFD9" w14:textId="2C558321" w:rsidR="008346B6" w:rsidRDefault="00BB7E33">
      <w:pPr>
        <w:pStyle w:val="TableofFigures"/>
        <w:tabs>
          <w:tab w:val="right" w:leader="dot" w:pos="8494"/>
        </w:tabs>
        <w:rPr>
          <w:rFonts w:asciiTheme="minorHAnsi" w:eastAsiaTheme="minorEastAsia" w:hAnsiTheme="minorHAnsi" w:cstheme="minorBidi"/>
          <w:i w:val="0"/>
          <w:noProof/>
          <w:kern w:val="2"/>
          <w:sz w:val="24"/>
          <w:lang w:eastAsia="en-GB"/>
          <w14:ligatures w14:val="standardContextual"/>
        </w:rPr>
      </w:pPr>
      <w:hyperlink w:anchor="_Toc162950935" w:history="1">
        <w:r w:rsidR="008346B6" w:rsidRPr="0052599D">
          <w:rPr>
            <w:rStyle w:val="Hyperlink"/>
            <w:noProof/>
            <w:lang w:val="en-GB"/>
          </w:rPr>
          <w:t>Figure 28. Possible reimbursement pathways for drugs for rare diseases in Korea</w:t>
        </w:r>
        <w:r w:rsidR="008346B6">
          <w:rPr>
            <w:noProof/>
            <w:webHidden/>
          </w:rPr>
          <w:tab/>
        </w:r>
        <w:r w:rsidR="008346B6">
          <w:rPr>
            <w:noProof/>
            <w:webHidden/>
          </w:rPr>
          <w:fldChar w:fldCharType="begin"/>
        </w:r>
        <w:r w:rsidR="008346B6">
          <w:rPr>
            <w:noProof/>
            <w:webHidden/>
          </w:rPr>
          <w:instrText xml:space="preserve"> PAGEREF _Toc162950935 \h </w:instrText>
        </w:r>
        <w:r w:rsidR="008346B6">
          <w:rPr>
            <w:noProof/>
            <w:webHidden/>
          </w:rPr>
        </w:r>
        <w:r w:rsidR="008346B6">
          <w:rPr>
            <w:noProof/>
            <w:webHidden/>
          </w:rPr>
          <w:fldChar w:fldCharType="separate"/>
        </w:r>
        <w:r w:rsidR="000E11E7">
          <w:rPr>
            <w:noProof/>
            <w:webHidden/>
          </w:rPr>
          <w:t>118</w:t>
        </w:r>
        <w:r w:rsidR="008346B6">
          <w:rPr>
            <w:noProof/>
            <w:webHidden/>
          </w:rPr>
          <w:fldChar w:fldCharType="end"/>
        </w:r>
      </w:hyperlink>
    </w:p>
    <w:p w14:paraId="0F4C3499" w14:textId="3EEE7B3C" w:rsidR="008346B6" w:rsidRDefault="00BB7E33">
      <w:pPr>
        <w:pStyle w:val="TableofFigures"/>
        <w:tabs>
          <w:tab w:val="right" w:leader="dot" w:pos="8494"/>
        </w:tabs>
        <w:rPr>
          <w:rFonts w:asciiTheme="minorHAnsi" w:eastAsiaTheme="minorEastAsia" w:hAnsiTheme="minorHAnsi" w:cstheme="minorBidi"/>
          <w:i w:val="0"/>
          <w:noProof/>
          <w:kern w:val="2"/>
          <w:sz w:val="24"/>
          <w:lang w:eastAsia="en-GB"/>
          <w14:ligatures w14:val="standardContextual"/>
        </w:rPr>
      </w:pPr>
      <w:hyperlink w:anchor="_Toc162950936" w:history="1">
        <w:r w:rsidR="008346B6" w:rsidRPr="0052599D">
          <w:rPr>
            <w:rStyle w:val="Hyperlink"/>
            <w:noProof/>
            <w:lang w:val="en-GB"/>
          </w:rPr>
          <w:t>Figure 29. A taxonomy of Managed Entry Agreements</w:t>
        </w:r>
        <w:r w:rsidR="008346B6">
          <w:rPr>
            <w:noProof/>
            <w:webHidden/>
          </w:rPr>
          <w:tab/>
        </w:r>
        <w:r w:rsidR="008346B6">
          <w:rPr>
            <w:noProof/>
            <w:webHidden/>
          </w:rPr>
          <w:fldChar w:fldCharType="begin"/>
        </w:r>
        <w:r w:rsidR="008346B6">
          <w:rPr>
            <w:noProof/>
            <w:webHidden/>
          </w:rPr>
          <w:instrText xml:space="preserve"> PAGEREF _Toc162950936 \h </w:instrText>
        </w:r>
        <w:r w:rsidR="008346B6">
          <w:rPr>
            <w:noProof/>
            <w:webHidden/>
          </w:rPr>
        </w:r>
        <w:r w:rsidR="008346B6">
          <w:rPr>
            <w:noProof/>
            <w:webHidden/>
          </w:rPr>
          <w:fldChar w:fldCharType="separate"/>
        </w:r>
        <w:r w:rsidR="000E11E7">
          <w:rPr>
            <w:noProof/>
            <w:webHidden/>
          </w:rPr>
          <w:t>130</w:t>
        </w:r>
        <w:r w:rsidR="008346B6">
          <w:rPr>
            <w:noProof/>
            <w:webHidden/>
          </w:rPr>
          <w:fldChar w:fldCharType="end"/>
        </w:r>
      </w:hyperlink>
    </w:p>
    <w:p w14:paraId="798A801C" w14:textId="70F1B707" w:rsidR="008346B6" w:rsidRDefault="00BB7E33">
      <w:pPr>
        <w:pStyle w:val="TableofFigures"/>
        <w:tabs>
          <w:tab w:val="right" w:leader="dot" w:pos="8494"/>
        </w:tabs>
        <w:rPr>
          <w:rFonts w:asciiTheme="minorHAnsi" w:eastAsiaTheme="minorEastAsia" w:hAnsiTheme="minorHAnsi" w:cstheme="minorBidi"/>
          <w:i w:val="0"/>
          <w:noProof/>
          <w:kern w:val="2"/>
          <w:sz w:val="24"/>
          <w:lang w:eastAsia="en-GB"/>
          <w14:ligatures w14:val="standardContextual"/>
        </w:rPr>
      </w:pPr>
      <w:hyperlink w:anchor="_Toc162950937" w:history="1">
        <w:r w:rsidR="008346B6" w:rsidRPr="0052599D">
          <w:rPr>
            <w:rStyle w:val="Hyperlink"/>
            <w:noProof/>
            <w:lang w:val="en-GB"/>
          </w:rPr>
          <w:t>Figure 30. MEA designs</w:t>
        </w:r>
        <w:r w:rsidR="008346B6">
          <w:rPr>
            <w:noProof/>
            <w:webHidden/>
          </w:rPr>
          <w:tab/>
        </w:r>
        <w:r w:rsidR="008346B6">
          <w:rPr>
            <w:noProof/>
            <w:webHidden/>
          </w:rPr>
          <w:fldChar w:fldCharType="begin"/>
        </w:r>
        <w:r w:rsidR="008346B6">
          <w:rPr>
            <w:noProof/>
            <w:webHidden/>
          </w:rPr>
          <w:instrText xml:space="preserve"> PAGEREF _Toc162950937 \h </w:instrText>
        </w:r>
        <w:r w:rsidR="008346B6">
          <w:rPr>
            <w:noProof/>
            <w:webHidden/>
          </w:rPr>
        </w:r>
        <w:r w:rsidR="008346B6">
          <w:rPr>
            <w:noProof/>
            <w:webHidden/>
          </w:rPr>
          <w:fldChar w:fldCharType="separate"/>
        </w:r>
        <w:r w:rsidR="000E11E7">
          <w:rPr>
            <w:noProof/>
            <w:webHidden/>
          </w:rPr>
          <w:t>132</w:t>
        </w:r>
        <w:r w:rsidR="008346B6">
          <w:rPr>
            <w:noProof/>
            <w:webHidden/>
          </w:rPr>
          <w:fldChar w:fldCharType="end"/>
        </w:r>
      </w:hyperlink>
    </w:p>
    <w:p w14:paraId="5161AAA8" w14:textId="2EFB2734" w:rsidR="008346B6" w:rsidRDefault="00BB7E33">
      <w:pPr>
        <w:pStyle w:val="TableofFigures"/>
        <w:tabs>
          <w:tab w:val="right" w:leader="dot" w:pos="8494"/>
        </w:tabs>
        <w:rPr>
          <w:rFonts w:asciiTheme="minorHAnsi" w:eastAsiaTheme="minorEastAsia" w:hAnsiTheme="minorHAnsi" w:cstheme="minorBidi"/>
          <w:i w:val="0"/>
          <w:noProof/>
          <w:kern w:val="2"/>
          <w:sz w:val="24"/>
          <w:lang w:eastAsia="en-GB"/>
          <w14:ligatures w14:val="standardContextual"/>
        </w:rPr>
      </w:pPr>
      <w:hyperlink w:anchor="_Toc162950938" w:history="1">
        <w:r w:rsidR="008346B6" w:rsidRPr="0052599D">
          <w:rPr>
            <w:rStyle w:val="Hyperlink"/>
            <w:noProof/>
            <w:lang w:val="en-GB"/>
          </w:rPr>
          <w:t>Figure 31. Data sources used to inform performance-based MEAs</w:t>
        </w:r>
        <w:r w:rsidR="008346B6">
          <w:rPr>
            <w:noProof/>
            <w:webHidden/>
          </w:rPr>
          <w:tab/>
        </w:r>
        <w:r w:rsidR="008346B6">
          <w:rPr>
            <w:noProof/>
            <w:webHidden/>
          </w:rPr>
          <w:fldChar w:fldCharType="begin"/>
        </w:r>
        <w:r w:rsidR="008346B6">
          <w:rPr>
            <w:noProof/>
            <w:webHidden/>
          </w:rPr>
          <w:instrText xml:space="preserve"> PAGEREF _Toc162950938 \h </w:instrText>
        </w:r>
        <w:r w:rsidR="008346B6">
          <w:rPr>
            <w:noProof/>
            <w:webHidden/>
          </w:rPr>
        </w:r>
        <w:r w:rsidR="008346B6">
          <w:rPr>
            <w:noProof/>
            <w:webHidden/>
          </w:rPr>
          <w:fldChar w:fldCharType="separate"/>
        </w:r>
        <w:r w:rsidR="000E11E7">
          <w:rPr>
            <w:noProof/>
            <w:webHidden/>
          </w:rPr>
          <w:t>140</w:t>
        </w:r>
        <w:r w:rsidR="008346B6">
          <w:rPr>
            <w:noProof/>
            <w:webHidden/>
          </w:rPr>
          <w:fldChar w:fldCharType="end"/>
        </w:r>
      </w:hyperlink>
    </w:p>
    <w:p w14:paraId="2ADCCBDE" w14:textId="67034CE0" w:rsidR="008346B6" w:rsidRDefault="00BB7E33">
      <w:pPr>
        <w:pStyle w:val="TableofFigures"/>
        <w:tabs>
          <w:tab w:val="right" w:leader="dot" w:pos="8494"/>
        </w:tabs>
        <w:rPr>
          <w:rFonts w:asciiTheme="minorHAnsi" w:eastAsiaTheme="minorEastAsia" w:hAnsiTheme="minorHAnsi" w:cstheme="minorBidi"/>
          <w:i w:val="0"/>
          <w:noProof/>
          <w:kern w:val="2"/>
          <w:sz w:val="24"/>
          <w:lang w:eastAsia="en-GB"/>
          <w14:ligatures w14:val="standardContextual"/>
        </w:rPr>
      </w:pPr>
      <w:hyperlink w:anchor="_Toc162950939" w:history="1">
        <w:r w:rsidR="008346B6" w:rsidRPr="0052599D">
          <w:rPr>
            <w:rStyle w:val="Hyperlink"/>
            <w:noProof/>
            <w:lang w:val="en-GB"/>
          </w:rPr>
          <w:t>Figure 32. Italy’s value based pricing model – (VBMEA)</w:t>
        </w:r>
        <w:r w:rsidR="008346B6">
          <w:rPr>
            <w:noProof/>
            <w:webHidden/>
          </w:rPr>
          <w:tab/>
        </w:r>
        <w:r w:rsidR="008346B6">
          <w:rPr>
            <w:noProof/>
            <w:webHidden/>
          </w:rPr>
          <w:fldChar w:fldCharType="begin"/>
        </w:r>
        <w:r w:rsidR="008346B6">
          <w:rPr>
            <w:noProof/>
            <w:webHidden/>
          </w:rPr>
          <w:instrText xml:space="preserve"> PAGEREF _Toc162950939 \h </w:instrText>
        </w:r>
        <w:r w:rsidR="008346B6">
          <w:rPr>
            <w:noProof/>
            <w:webHidden/>
          </w:rPr>
        </w:r>
        <w:r w:rsidR="008346B6">
          <w:rPr>
            <w:noProof/>
            <w:webHidden/>
          </w:rPr>
          <w:fldChar w:fldCharType="separate"/>
        </w:r>
        <w:r w:rsidR="000E11E7">
          <w:rPr>
            <w:noProof/>
            <w:webHidden/>
          </w:rPr>
          <w:t>160</w:t>
        </w:r>
        <w:r w:rsidR="008346B6">
          <w:rPr>
            <w:noProof/>
            <w:webHidden/>
          </w:rPr>
          <w:fldChar w:fldCharType="end"/>
        </w:r>
      </w:hyperlink>
    </w:p>
    <w:p w14:paraId="7385DF82" w14:textId="66273C63" w:rsidR="008346B6" w:rsidRDefault="00BB7E33">
      <w:pPr>
        <w:pStyle w:val="TableofFigures"/>
        <w:tabs>
          <w:tab w:val="right" w:leader="dot" w:pos="8494"/>
        </w:tabs>
        <w:rPr>
          <w:rFonts w:asciiTheme="minorHAnsi" w:eastAsiaTheme="minorEastAsia" w:hAnsiTheme="minorHAnsi" w:cstheme="minorBidi"/>
          <w:i w:val="0"/>
          <w:noProof/>
          <w:kern w:val="2"/>
          <w:sz w:val="24"/>
          <w:lang w:eastAsia="en-GB"/>
          <w14:ligatures w14:val="standardContextual"/>
        </w:rPr>
      </w:pPr>
      <w:hyperlink w:anchor="_Toc162950940" w:history="1">
        <w:r w:rsidR="008346B6" w:rsidRPr="0052599D">
          <w:rPr>
            <w:rStyle w:val="Hyperlink"/>
            <w:noProof/>
          </w:rPr>
          <w:t>Figure 33. Managed access arrangements in Australia</w:t>
        </w:r>
        <w:r w:rsidR="008346B6">
          <w:rPr>
            <w:noProof/>
            <w:webHidden/>
          </w:rPr>
          <w:tab/>
        </w:r>
        <w:r w:rsidR="008346B6">
          <w:rPr>
            <w:noProof/>
            <w:webHidden/>
          </w:rPr>
          <w:fldChar w:fldCharType="begin"/>
        </w:r>
        <w:r w:rsidR="008346B6">
          <w:rPr>
            <w:noProof/>
            <w:webHidden/>
          </w:rPr>
          <w:instrText xml:space="preserve"> PAGEREF _Toc162950940 \h </w:instrText>
        </w:r>
        <w:r w:rsidR="008346B6">
          <w:rPr>
            <w:noProof/>
            <w:webHidden/>
          </w:rPr>
        </w:r>
        <w:r w:rsidR="008346B6">
          <w:rPr>
            <w:noProof/>
            <w:webHidden/>
          </w:rPr>
          <w:fldChar w:fldCharType="separate"/>
        </w:r>
        <w:r w:rsidR="000E11E7">
          <w:rPr>
            <w:noProof/>
            <w:webHidden/>
          </w:rPr>
          <w:t>168</w:t>
        </w:r>
        <w:r w:rsidR="008346B6">
          <w:rPr>
            <w:noProof/>
            <w:webHidden/>
          </w:rPr>
          <w:fldChar w:fldCharType="end"/>
        </w:r>
      </w:hyperlink>
    </w:p>
    <w:p w14:paraId="71DC7296" w14:textId="0533A720" w:rsidR="008346B6" w:rsidRDefault="00BB7E33">
      <w:pPr>
        <w:pStyle w:val="TableofFigures"/>
        <w:tabs>
          <w:tab w:val="right" w:leader="dot" w:pos="8494"/>
        </w:tabs>
        <w:rPr>
          <w:rFonts w:asciiTheme="minorHAnsi" w:eastAsiaTheme="minorEastAsia" w:hAnsiTheme="minorHAnsi" w:cstheme="minorBidi"/>
          <w:i w:val="0"/>
          <w:noProof/>
          <w:kern w:val="2"/>
          <w:sz w:val="24"/>
          <w:lang w:eastAsia="en-GB"/>
          <w14:ligatures w14:val="standardContextual"/>
        </w:rPr>
      </w:pPr>
      <w:hyperlink w:anchor="_Toc162950941" w:history="1">
        <w:r w:rsidR="008346B6" w:rsidRPr="0052599D">
          <w:rPr>
            <w:rStyle w:val="Hyperlink"/>
            <w:noProof/>
            <w:lang w:val="en-GB"/>
          </w:rPr>
          <w:t>Figure 34. Transparency of MEA measures</w:t>
        </w:r>
        <w:r w:rsidR="008346B6">
          <w:rPr>
            <w:noProof/>
            <w:webHidden/>
          </w:rPr>
          <w:tab/>
        </w:r>
        <w:r w:rsidR="008346B6">
          <w:rPr>
            <w:noProof/>
            <w:webHidden/>
          </w:rPr>
          <w:fldChar w:fldCharType="begin"/>
        </w:r>
        <w:r w:rsidR="008346B6">
          <w:rPr>
            <w:noProof/>
            <w:webHidden/>
          </w:rPr>
          <w:instrText xml:space="preserve"> PAGEREF _Toc162950941 \h </w:instrText>
        </w:r>
        <w:r w:rsidR="008346B6">
          <w:rPr>
            <w:noProof/>
            <w:webHidden/>
          </w:rPr>
        </w:r>
        <w:r w:rsidR="008346B6">
          <w:rPr>
            <w:noProof/>
            <w:webHidden/>
          </w:rPr>
          <w:fldChar w:fldCharType="separate"/>
        </w:r>
        <w:r w:rsidR="000E11E7">
          <w:rPr>
            <w:noProof/>
            <w:webHidden/>
          </w:rPr>
          <w:t>171</w:t>
        </w:r>
        <w:r w:rsidR="008346B6">
          <w:rPr>
            <w:noProof/>
            <w:webHidden/>
          </w:rPr>
          <w:fldChar w:fldCharType="end"/>
        </w:r>
      </w:hyperlink>
    </w:p>
    <w:p w14:paraId="3124E824" w14:textId="5AFF2F07" w:rsidR="008346B6" w:rsidRDefault="00BB7E33">
      <w:pPr>
        <w:pStyle w:val="TableofFigures"/>
        <w:tabs>
          <w:tab w:val="right" w:leader="dot" w:pos="8494"/>
        </w:tabs>
        <w:rPr>
          <w:rFonts w:asciiTheme="minorHAnsi" w:eastAsiaTheme="minorEastAsia" w:hAnsiTheme="minorHAnsi" w:cstheme="minorBidi"/>
          <w:i w:val="0"/>
          <w:noProof/>
          <w:kern w:val="2"/>
          <w:sz w:val="24"/>
          <w:lang w:eastAsia="en-GB"/>
          <w14:ligatures w14:val="standardContextual"/>
        </w:rPr>
      </w:pPr>
      <w:hyperlink w:anchor="_Toc162950942" w:history="1">
        <w:r w:rsidR="008346B6" w:rsidRPr="0052599D">
          <w:rPr>
            <w:rStyle w:val="Hyperlink"/>
            <w:noProof/>
            <w:lang w:val="en-GB"/>
          </w:rPr>
          <w:t xml:space="preserve">Figure </w:t>
        </w:r>
        <w:r w:rsidR="008346B6" w:rsidRPr="0052599D">
          <w:rPr>
            <w:rStyle w:val="Hyperlink"/>
            <w:noProof/>
          </w:rPr>
          <w:t>35</w:t>
        </w:r>
        <w:r w:rsidR="008346B6" w:rsidRPr="0052599D">
          <w:rPr>
            <w:rStyle w:val="Hyperlink"/>
            <w:noProof/>
            <w:lang w:val="en-GB"/>
          </w:rPr>
          <w:t>. Prisma - Equity and rare disease</w:t>
        </w:r>
        <w:r w:rsidR="008346B6">
          <w:rPr>
            <w:noProof/>
            <w:webHidden/>
          </w:rPr>
          <w:tab/>
        </w:r>
        <w:r w:rsidR="008346B6">
          <w:rPr>
            <w:noProof/>
            <w:webHidden/>
          </w:rPr>
          <w:fldChar w:fldCharType="begin"/>
        </w:r>
        <w:r w:rsidR="008346B6">
          <w:rPr>
            <w:noProof/>
            <w:webHidden/>
          </w:rPr>
          <w:instrText xml:space="preserve"> PAGEREF _Toc162950942 \h </w:instrText>
        </w:r>
        <w:r w:rsidR="008346B6">
          <w:rPr>
            <w:noProof/>
            <w:webHidden/>
          </w:rPr>
        </w:r>
        <w:r w:rsidR="008346B6">
          <w:rPr>
            <w:noProof/>
            <w:webHidden/>
          </w:rPr>
          <w:fldChar w:fldCharType="separate"/>
        </w:r>
        <w:r w:rsidR="000E11E7">
          <w:rPr>
            <w:noProof/>
            <w:webHidden/>
          </w:rPr>
          <w:t>195</w:t>
        </w:r>
        <w:r w:rsidR="008346B6">
          <w:rPr>
            <w:noProof/>
            <w:webHidden/>
          </w:rPr>
          <w:fldChar w:fldCharType="end"/>
        </w:r>
      </w:hyperlink>
    </w:p>
    <w:p w14:paraId="6FEA8C76" w14:textId="6BDBCDEC" w:rsidR="008346B6" w:rsidRDefault="00BB7E33">
      <w:pPr>
        <w:pStyle w:val="TableofFigures"/>
        <w:tabs>
          <w:tab w:val="right" w:leader="dot" w:pos="8494"/>
        </w:tabs>
        <w:rPr>
          <w:rFonts w:asciiTheme="minorHAnsi" w:eastAsiaTheme="minorEastAsia" w:hAnsiTheme="minorHAnsi" w:cstheme="minorBidi"/>
          <w:i w:val="0"/>
          <w:noProof/>
          <w:kern w:val="2"/>
          <w:sz w:val="24"/>
          <w:lang w:eastAsia="en-GB"/>
          <w14:ligatures w14:val="standardContextual"/>
        </w:rPr>
      </w:pPr>
      <w:hyperlink w:anchor="_Toc162950943" w:history="1">
        <w:r w:rsidR="008346B6" w:rsidRPr="0052599D">
          <w:rPr>
            <w:rStyle w:val="Hyperlink"/>
            <w:noProof/>
            <w:lang w:val="en-GB"/>
          </w:rPr>
          <w:t xml:space="preserve">Figure </w:t>
        </w:r>
        <w:r w:rsidR="008346B6" w:rsidRPr="0052599D">
          <w:rPr>
            <w:rStyle w:val="Hyperlink"/>
            <w:noProof/>
          </w:rPr>
          <w:t>36</w:t>
        </w:r>
        <w:r w:rsidR="008346B6" w:rsidRPr="0052599D">
          <w:rPr>
            <w:rStyle w:val="Hyperlink"/>
            <w:noProof/>
            <w:lang w:val="en-GB"/>
          </w:rPr>
          <w:t>. Prisma - Managing uncertainty</w:t>
        </w:r>
        <w:r w:rsidR="008346B6">
          <w:rPr>
            <w:noProof/>
            <w:webHidden/>
          </w:rPr>
          <w:tab/>
        </w:r>
        <w:r w:rsidR="008346B6">
          <w:rPr>
            <w:noProof/>
            <w:webHidden/>
          </w:rPr>
          <w:fldChar w:fldCharType="begin"/>
        </w:r>
        <w:r w:rsidR="008346B6">
          <w:rPr>
            <w:noProof/>
            <w:webHidden/>
          </w:rPr>
          <w:instrText xml:space="preserve"> PAGEREF _Toc162950943 \h </w:instrText>
        </w:r>
        <w:r w:rsidR="008346B6">
          <w:rPr>
            <w:noProof/>
            <w:webHidden/>
          </w:rPr>
        </w:r>
        <w:r w:rsidR="008346B6">
          <w:rPr>
            <w:noProof/>
            <w:webHidden/>
          </w:rPr>
          <w:fldChar w:fldCharType="separate"/>
        </w:r>
        <w:r w:rsidR="000E11E7">
          <w:rPr>
            <w:noProof/>
            <w:webHidden/>
          </w:rPr>
          <w:t>196</w:t>
        </w:r>
        <w:r w:rsidR="008346B6">
          <w:rPr>
            <w:noProof/>
            <w:webHidden/>
          </w:rPr>
          <w:fldChar w:fldCharType="end"/>
        </w:r>
      </w:hyperlink>
    </w:p>
    <w:p w14:paraId="141B6D7A" w14:textId="0F7569DB" w:rsidR="008346B6" w:rsidRDefault="00BB7E33">
      <w:pPr>
        <w:pStyle w:val="TableofFigures"/>
        <w:tabs>
          <w:tab w:val="right" w:leader="dot" w:pos="8494"/>
        </w:tabs>
        <w:rPr>
          <w:rFonts w:asciiTheme="minorHAnsi" w:eastAsiaTheme="minorEastAsia" w:hAnsiTheme="minorHAnsi" w:cstheme="minorBidi"/>
          <w:i w:val="0"/>
          <w:noProof/>
          <w:kern w:val="2"/>
          <w:sz w:val="24"/>
          <w:lang w:eastAsia="en-GB"/>
          <w14:ligatures w14:val="standardContextual"/>
        </w:rPr>
      </w:pPr>
      <w:hyperlink w:anchor="_Toc162950944" w:history="1">
        <w:r w:rsidR="008346B6" w:rsidRPr="0052599D">
          <w:rPr>
            <w:rStyle w:val="Hyperlink"/>
            <w:noProof/>
            <w:lang w:val="en-GB"/>
          </w:rPr>
          <w:t xml:space="preserve">Figure </w:t>
        </w:r>
        <w:r w:rsidR="008346B6" w:rsidRPr="0052599D">
          <w:rPr>
            <w:rStyle w:val="Hyperlink"/>
            <w:noProof/>
          </w:rPr>
          <w:t>37</w:t>
        </w:r>
        <w:r w:rsidR="008346B6" w:rsidRPr="0052599D">
          <w:rPr>
            <w:rStyle w:val="Hyperlink"/>
            <w:noProof/>
            <w:lang w:val="en-GB"/>
          </w:rPr>
          <w:t>. Conceptual framework outlining type, scope and nature of HTA activities.</w:t>
        </w:r>
        <w:r w:rsidR="008346B6">
          <w:rPr>
            <w:noProof/>
            <w:webHidden/>
          </w:rPr>
          <w:tab/>
        </w:r>
        <w:r w:rsidR="008346B6">
          <w:rPr>
            <w:noProof/>
            <w:webHidden/>
          </w:rPr>
          <w:fldChar w:fldCharType="begin"/>
        </w:r>
        <w:r w:rsidR="008346B6">
          <w:rPr>
            <w:noProof/>
            <w:webHidden/>
          </w:rPr>
          <w:instrText xml:space="preserve"> PAGEREF _Toc162950944 \h </w:instrText>
        </w:r>
        <w:r w:rsidR="008346B6">
          <w:rPr>
            <w:noProof/>
            <w:webHidden/>
          </w:rPr>
        </w:r>
        <w:r w:rsidR="008346B6">
          <w:rPr>
            <w:noProof/>
            <w:webHidden/>
          </w:rPr>
          <w:fldChar w:fldCharType="separate"/>
        </w:r>
        <w:r w:rsidR="000E11E7">
          <w:rPr>
            <w:noProof/>
            <w:webHidden/>
          </w:rPr>
          <w:t>197</w:t>
        </w:r>
        <w:r w:rsidR="008346B6">
          <w:rPr>
            <w:noProof/>
            <w:webHidden/>
          </w:rPr>
          <w:fldChar w:fldCharType="end"/>
        </w:r>
      </w:hyperlink>
    </w:p>
    <w:p w14:paraId="7B43964B" w14:textId="6609C16E" w:rsidR="008346B6" w:rsidRDefault="00BB7E33">
      <w:pPr>
        <w:pStyle w:val="TableofFigures"/>
        <w:tabs>
          <w:tab w:val="right" w:leader="dot" w:pos="8494"/>
        </w:tabs>
        <w:rPr>
          <w:rFonts w:asciiTheme="minorHAnsi" w:eastAsiaTheme="minorEastAsia" w:hAnsiTheme="minorHAnsi" w:cstheme="minorBidi"/>
          <w:i w:val="0"/>
          <w:noProof/>
          <w:kern w:val="2"/>
          <w:sz w:val="24"/>
          <w:lang w:eastAsia="en-GB"/>
          <w14:ligatures w14:val="standardContextual"/>
        </w:rPr>
      </w:pPr>
      <w:hyperlink w:anchor="_Toc162950945" w:history="1">
        <w:r w:rsidR="008346B6" w:rsidRPr="0052599D">
          <w:rPr>
            <w:rStyle w:val="Hyperlink"/>
            <w:noProof/>
            <w:lang w:val="en-GB"/>
          </w:rPr>
          <w:t xml:space="preserve">Figure </w:t>
        </w:r>
        <w:r w:rsidR="008346B6" w:rsidRPr="0052599D">
          <w:rPr>
            <w:rStyle w:val="Hyperlink"/>
            <w:noProof/>
          </w:rPr>
          <w:t>38</w:t>
        </w:r>
        <w:r w:rsidR="008346B6" w:rsidRPr="0052599D">
          <w:rPr>
            <w:rStyle w:val="Hyperlink"/>
            <w:noProof/>
            <w:lang w:val="en-GB"/>
          </w:rPr>
          <w:t>. The two main components of HTA: Assessment and appraisal</w:t>
        </w:r>
        <w:r w:rsidR="008346B6">
          <w:rPr>
            <w:noProof/>
            <w:webHidden/>
          </w:rPr>
          <w:tab/>
        </w:r>
        <w:r w:rsidR="008346B6">
          <w:rPr>
            <w:noProof/>
            <w:webHidden/>
          </w:rPr>
          <w:fldChar w:fldCharType="begin"/>
        </w:r>
        <w:r w:rsidR="008346B6">
          <w:rPr>
            <w:noProof/>
            <w:webHidden/>
          </w:rPr>
          <w:instrText xml:space="preserve"> PAGEREF _Toc162950945 \h </w:instrText>
        </w:r>
        <w:r w:rsidR="008346B6">
          <w:rPr>
            <w:noProof/>
            <w:webHidden/>
          </w:rPr>
        </w:r>
        <w:r w:rsidR="008346B6">
          <w:rPr>
            <w:noProof/>
            <w:webHidden/>
          </w:rPr>
          <w:fldChar w:fldCharType="separate"/>
        </w:r>
        <w:r w:rsidR="000E11E7">
          <w:rPr>
            <w:noProof/>
            <w:webHidden/>
          </w:rPr>
          <w:t>197</w:t>
        </w:r>
        <w:r w:rsidR="008346B6">
          <w:rPr>
            <w:noProof/>
            <w:webHidden/>
          </w:rPr>
          <w:fldChar w:fldCharType="end"/>
        </w:r>
      </w:hyperlink>
    </w:p>
    <w:p w14:paraId="6AE9A531" w14:textId="220C77D3" w:rsidR="008346B6" w:rsidRDefault="00BB7E33">
      <w:pPr>
        <w:pStyle w:val="TableofFigures"/>
        <w:tabs>
          <w:tab w:val="right" w:leader="dot" w:pos="8494"/>
        </w:tabs>
        <w:rPr>
          <w:rFonts w:asciiTheme="minorHAnsi" w:eastAsiaTheme="minorEastAsia" w:hAnsiTheme="minorHAnsi" w:cstheme="minorBidi"/>
          <w:i w:val="0"/>
          <w:noProof/>
          <w:kern w:val="2"/>
          <w:sz w:val="24"/>
          <w:lang w:eastAsia="en-GB"/>
          <w14:ligatures w14:val="standardContextual"/>
        </w:rPr>
      </w:pPr>
      <w:hyperlink w:anchor="_Toc162950946" w:history="1">
        <w:r w:rsidR="008346B6" w:rsidRPr="0052599D">
          <w:rPr>
            <w:rStyle w:val="Hyperlink"/>
            <w:noProof/>
            <w:lang w:val="en-GB"/>
          </w:rPr>
          <w:t xml:space="preserve">Figure </w:t>
        </w:r>
        <w:r w:rsidR="008346B6" w:rsidRPr="0052599D">
          <w:rPr>
            <w:rStyle w:val="Hyperlink"/>
            <w:noProof/>
          </w:rPr>
          <w:t>39</w:t>
        </w:r>
        <w:r w:rsidR="008346B6" w:rsidRPr="0052599D">
          <w:rPr>
            <w:rStyle w:val="Hyperlink"/>
            <w:noProof/>
            <w:lang w:val="en-GB"/>
          </w:rPr>
          <w:t>. Flow chart for Japan’s cost-effectiveness evaluation process.</w:t>
        </w:r>
        <w:r w:rsidR="008346B6">
          <w:rPr>
            <w:noProof/>
            <w:webHidden/>
          </w:rPr>
          <w:tab/>
        </w:r>
        <w:r w:rsidR="008346B6">
          <w:rPr>
            <w:noProof/>
            <w:webHidden/>
          </w:rPr>
          <w:fldChar w:fldCharType="begin"/>
        </w:r>
        <w:r w:rsidR="008346B6">
          <w:rPr>
            <w:noProof/>
            <w:webHidden/>
          </w:rPr>
          <w:instrText xml:space="preserve"> PAGEREF _Toc162950946 \h </w:instrText>
        </w:r>
        <w:r w:rsidR="008346B6">
          <w:rPr>
            <w:noProof/>
            <w:webHidden/>
          </w:rPr>
        </w:r>
        <w:r w:rsidR="008346B6">
          <w:rPr>
            <w:noProof/>
            <w:webHidden/>
          </w:rPr>
          <w:fldChar w:fldCharType="separate"/>
        </w:r>
        <w:r w:rsidR="000E11E7">
          <w:rPr>
            <w:noProof/>
            <w:webHidden/>
          </w:rPr>
          <w:t>198</w:t>
        </w:r>
        <w:r w:rsidR="008346B6">
          <w:rPr>
            <w:noProof/>
            <w:webHidden/>
          </w:rPr>
          <w:fldChar w:fldCharType="end"/>
        </w:r>
      </w:hyperlink>
    </w:p>
    <w:p w14:paraId="207342DC" w14:textId="49A53E02" w:rsidR="008346B6" w:rsidRDefault="00BB7E33">
      <w:pPr>
        <w:pStyle w:val="TableofFigures"/>
        <w:tabs>
          <w:tab w:val="right" w:leader="dot" w:pos="8494"/>
        </w:tabs>
        <w:rPr>
          <w:rFonts w:asciiTheme="minorHAnsi" w:eastAsiaTheme="minorEastAsia" w:hAnsiTheme="minorHAnsi" w:cstheme="minorBidi"/>
          <w:i w:val="0"/>
          <w:noProof/>
          <w:kern w:val="2"/>
          <w:sz w:val="24"/>
          <w:lang w:eastAsia="en-GB"/>
          <w14:ligatures w14:val="standardContextual"/>
        </w:rPr>
      </w:pPr>
      <w:hyperlink w:anchor="_Toc162950947" w:history="1">
        <w:r w:rsidR="008346B6" w:rsidRPr="0052599D">
          <w:rPr>
            <w:rStyle w:val="Hyperlink"/>
            <w:noProof/>
            <w:lang w:val="en-GB"/>
          </w:rPr>
          <w:t xml:space="preserve">Figure </w:t>
        </w:r>
        <w:r w:rsidR="008346B6" w:rsidRPr="0052599D">
          <w:rPr>
            <w:rStyle w:val="Hyperlink"/>
            <w:noProof/>
          </w:rPr>
          <w:t>40</w:t>
        </w:r>
        <w:r w:rsidR="008346B6" w:rsidRPr="0052599D">
          <w:rPr>
            <w:rStyle w:val="Hyperlink"/>
            <w:noProof/>
            <w:lang w:val="en-GB"/>
          </w:rPr>
          <w:t>. Taxonomy of HTA bodies throughout Europe, the UK, Canada and Australia</w:t>
        </w:r>
        <w:r w:rsidR="008346B6">
          <w:rPr>
            <w:noProof/>
            <w:webHidden/>
          </w:rPr>
          <w:tab/>
        </w:r>
        <w:r w:rsidR="008346B6">
          <w:rPr>
            <w:noProof/>
            <w:webHidden/>
          </w:rPr>
          <w:fldChar w:fldCharType="begin"/>
        </w:r>
        <w:r w:rsidR="008346B6">
          <w:rPr>
            <w:noProof/>
            <w:webHidden/>
          </w:rPr>
          <w:instrText xml:space="preserve"> PAGEREF _Toc162950947 \h </w:instrText>
        </w:r>
        <w:r w:rsidR="008346B6">
          <w:rPr>
            <w:noProof/>
            <w:webHidden/>
          </w:rPr>
        </w:r>
        <w:r w:rsidR="008346B6">
          <w:rPr>
            <w:noProof/>
            <w:webHidden/>
          </w:rPr>
          <w:fldChar w:fldCharType="separate"/>
        </w:r>
        <w:r w:rsidR="000E11E7">
          <w:rPr>
            <w:noProof/>
            <w:webHidden/>
          </w:rPr>
          <w:t>199</w:t>
        </w:r>
        <w:r w:rsidR="008346B6">
          <w:rPr>
            <w:noProof/>
            <w:webHidden/>
          </w:rPr>
          <w:fldChar w:fldCharType="end"/>
        </w:r>
      </w:hyperlink>
    </w:p>
    <w:p w14:paraId="0DDBC7F7" w14:textId="03CD13F6" w:rsidR="007A4EA8" w:rsidRPr="00221992" w:rsidRDefault="00242567" w:rsidP="00364394">
      <w:pPr>
        <w:pStyle w:val="UTSTitles"/>
        <w:tabs>
          <w:tab w:val="clear" w:pos="1134"/>
        </w:tabs>
        <w:rPr>
          <w:lang w:val="en-GB"/>
        </w:rPr>
      </w:pPr>
      <w:r w:rsidRPr="00221992">
        <w:rPr>
          <w:lang w:val="en-GB"/>
        </w:rPr>
        <w:fldChar w:fldCharType="end"/>
      </w:r>
      <w:bookmarkStart w:id="7" w:name="_Toc162950846"/>
      <w:r w:rsidR="007A4EA8" w:rsidRPr="00221992">
        <w:rPr>
          <w:lang w:val="en-GB"/>
        </w:rPr>
        <w:t xml:space="preserve">Table of </w:t>
      </w:r>
      <w:r w:rsidR="005A423C" w:rsidRPr="00221992">
        <w:rPr>
          <w:lang w:val="en-GB"/>
        </w:rPr>
        <w:t>T</w:t>
      </w:r>
      <w:r w:rsidR="007A4EA8" w:rsidRPr="00221992">
        <w:rPr>
          <w:lang w:val="en-GB"/>
        </w:rPr>
        <w:t>ables</w:t>
      </w:r>
      <w:bookmarkEnd w:id="7"/>
    </w:p>
    <w:p w14:paraId="4AD48080" w14:textId="791C054C" w:rsidR="008346B6" w:rsidRDefault="007A4EA8">
      <w:pPr>
        <w:pStyle w:val="TableofFigures"/>
        <w:tabs>
          <w:tab w:val="right" w:leader="dot" w:pos="8494"/>
        </w:tabs>
        <w:rPr>
          <w:rFonts w:asciiTheme="minorHAnsi" w:eastAsiaTheme="minorEastAsia" w:hAnsiTheme="minorHAnsi" w:cstheme="minorBidi"/>
          <w:i w:val="0"/>
          <w:noProof/>
          <w:kern w:val="2"/>
          <w:sz w:val="24"/>
          <w:lang w:eastAsia="en-GB"/>
          <w14:ligatures w14:val="standardContextual"/>
        </w:rPr>
      </w:pPr>
      <w:r w:rsidRPr="00221992">
        <w:rPr>
          <w:lang w:val="en-GB"/>
        </w:rPr>
        <w:fldChar w:fldCharType="begin"/>
      </w:r>
      <w:r w:rsidRPr="00221992">
        <w:rPr>
          <w:lang w:val="en-GB"/>
        </w:rPr>
        <w:instrText xml:space="preserve"> TOC \h \z \c "Table" </w:instrText>
      </w:r>
      <w:r w:rsidRPr="00221992">
        <w:rPr>
          <w:lang w:val="en-GB"/>
        </w:rPr>
        <w:fldChar w:fldCharType="separate"/>
      </w:r>
      <w:hyperlink w:anchor="_Toc162950948" w:history="1">
        <w:r w:rsidR="008346B6" w:rsidRPr="00A42A9D">
          <w:rPr>
            <w:rStyle w:val="Hyperlink"/>
            <w:noProof/>
            <w:lang w:val="en-GB"/>
          </w:rPr>
          <w:t>Table 1. Rare disease funding model by country</w:t>
        </w:r>
        <w:r w:rsidR="008346B6">
          <w:rPr>
            <w:noProof/>
            <w:webHidden/>
          </w:rPr>
          <w:tab/>
        </w:r>
        <w:r w:rsidR="008346B6">
          <w:rPr>
            <w:noProof/>
            <w:webHidden/>
          </w:rPr>
          <w:fldChar w:fldCharType="begin"/>
        </w:r>
        <w:r w:rsidR="008346B6">
          <w:rPr>
            <w:noProof/>
            <w:webHidden/>
          </w:rPr>
          <w:instrText xml:space="preserve"> PAGEREF _Toc162950948 \h </w:instrText>
        </w:r>
        <w:r w:rsidR="008346B6">
          <w:rPr>
            <w:noProof/>
            <w:webHidden/>
          </w:rPr>
        </w:r>
        <w:r w:rsidR="008346B6">
          <w:rPr>
            <w:noProof/>
            <w:webHidden/>
          </w:rPr>
          <w:fldChar w:fldCharType="separate"/>
        </w:r>
        <w:r w:rsidR="000E11E7">
          <w:rPr>
            <w:noProof/>
            <w:webHidden/>
          </w:rPr>
          <w:t>20</w:t>
        </w:r>
        <w:r w:rsidR="008346B6">
          <w:rPr>
            <w:noProof/>
            <w:webHidden/>
          </w:rPr>
          <w:fldChar w:fldCharType="end"/>
        </w:r>
      </w:hyperlink>
    </w:p>
    <w:p w14:paraId="55529C1E" w14:textId="12B5C963" w:rsidR="008346B6" w:rsidRDefault="00BB7E33">
      <w:pPr>
        <w:pStyle w:val="TableofFigures"/>
        <w:tabs>
          <w:tab w:val="right" w:leader="dot" w:pos="8494"/>
        </w:tabs>
        <w:rPr>
          <w:rFonts w:asciiTheme="minorHAnsi" w:eastAsiaTheme="minorEastAsia" w:hAnsiTheme="minorHAnsi" w:cstheme="minorBidi"/>
          <w:i w:val="0"/>
          <w:noProof/>
          <w:kern w:val="2"/>
          <w:sz w:val="24"/>
          <w:lang w:eastAsia="en-GB"/>
          <w14:ligatures w14:val="standardContextual"/>
        </w:rPr>
      </w:pPr>
      <w:hyperlink w:anchor="_Toc162950949" w:history="1">
        <w:r w:rsidR="008346B6" w:rsidRPr="00A42A9D">
          <w:rPr>
            <w:rStyle w:val="Hyperlink"/>
            <w:noProof/>
            <w:lang w:val="en-GB"/>
          </w:rPr>
          <w:t>Table 2. Countries with designated funds for therapies for rare/ultra-rare disease</w:t>
        </w:r>
        <w:r w:rsidR="008346B6">
          <w:rPr>
            <w:noProof/>
            <w:webHidden/>
          </w:rPr>
          <w:tab/>
        </w:r>
        <w:r w:rsidR="008346B6">
          <w:rPr>
            <w:noProof/>
            <w:webHidden/>
          </w:rPr>
          <w:fldChar w:fldCharType="begin"/>
        </w:r>
        <w:r w:rsidR="008346B6">
          <w:rPr>
            <w:noProof/>
            <w:webHidden/>
          </w:rPr>
          <w:instrText xml:space="preserve"> PAGEREF _Toc162950949 \h </w:instrText>
        </w:r>
        <w:r w:rsidR="008346B6">
          <w:rPr>
            <w:noProof/>
            <w:webHidden/>
          </w:rPr>
        </w:r>
        <w:r w:rsidR="008346B6">
          <w:rPr>
            <w:noProof/>
            <w:webHidden/>
          </w:rPr>
          <w:fldChar w:fldCharType="separate"/>
        </w:r>
        <w:r w:rsidR="000E11E7">
          <w:rPr>
            <w:noProof/>
            <w:webHidden/>
          </w:rPr>
          <w:t>21</w:t>
        </w:r>
        <w:r w:rsidR="008346B6">
          <w:rPr>
            <w:noProof/>
            <w:webHidden/>
          </w:rPr>
          <w:fldChar w:fldCharType="end"/>
        </w:r>
      </w:hyperlink>
    </w:p>
    <w:p w14:paraId="5D3C2122" w14:textId="662D06E3" w:rsidR="008346B6" w:rsidRDefault="00BB7E33">
      <w:pPr>
        <w:pStyle w:val="TableofFigures"/>
        <w:tabs>
          <w:tab w:val="right" w:leader="dot" w:pos="8494"/>
        </w:tabs>
        <w:rPr>
          <w:rFonts w:asciiTheme="minorHAnsi" w:eastAsiaTheme="minorEastAsia" w:hAnsiTheme="minorHAnsi" w:cstheme="minorBidi"/>
          <w:i w:val="0"/>
          <w:noProof/>
          <w:kern w:val="2"/>
          <w:sz w:val="24"/>
          <w:lang w:eastAsia="en-GB"/>
          <w14:ligatures w14:val="standardContextual"/>
        </w:rPr>
      </w:pPr>
      <w:hyperlink w:anchor="_Toc162950950" w:history="1">
        <w:r w:rsidR="008346B6" w:rsidRPr="00A42A9D">
          <w:rPr>
            <w:rStyle w:val="Hyperlink"/>
            <w:noProof/>
            <w:lang w:val="en-GB"/>
          </w:rPr>
          <w:t>Table 3: Use of financial MEAs by type and country</w:t>
        </w:r>
        <w:r w:rsidR="008346B6">
          <w:rPr>
            <w:noProof/>
            <w:webHidden/>
          </w:rPr>
          <w:tab/>
        </w:r>
        <w:r w:rsidR="008346B6">
          <w:rPr>
            <w:noProof/>
            <w:webHidden/>
          </w:rPr>
          <w:fldChar w:fldCharType="begin"/>
        </w:r>
        <w:r w:rsidR="008346B6">
          <w:rPr>
            <w:noProof/>
            <w:webHidden/>
          </w:rPr>
          <w:instrText xml:space="preserve"> PAGEREF _Toc162950950 \h </w:instrText>
        </w:r>
        <w:r w:rsidR="008346B6">
          <w:rPr>
            <w:noProof/>
            <w:webHidden/>
          </w:rPr>
        </w:r>
        <w:r w:rsidR="008346B6">
          <w:rPr>
            <w:noProof/>
            <w:webHidden/>
          </w:rPr>
          <w:fldChar w:fldCharType="separate"/>
        </w:r>
        <w:r w:rsidR="000E11E7">
          <w:rPr>
            <w:noProof/>
            <w:webHidden/>
          </w:rPr>
          <w:t>23</w:t>
        </w:r>
        <w:r w:rsidR="008346B6">
          <w:rPr>
            <w:noProof/>
            <w:webHidden/>
          </w:rPr>
          <w:fldChar w:fldCharType="end"/>
        </w:r>
      </w:hyperlink>
    </w:p>
    <w:p w14:paraId="66D00751" w14:textId="633F2276" w:rsidR="008346B6" w:rsidRDefault="00BB7E33">
      <w:pPr>
        <w:pStyle w:val="TableofFigures"/>
        <w:tabs>
          <w:tab w:val="right" w:leader="dot" w:pos="8494"/>
        </w:tabs>
        <w:rPr>
          <w:rFonts w:asciiTheme="minorHAnsi" w:eastAsiaTheme="minorEastAsia" w:hAnsiTheme="minorHAnsi" w:cstheme="minorBidi"/>
          <w:i w:val="0"/>
          <w:noProof/>
          <w:kern w:val="2"/>
          <w:sz w:val="24"/>
          <w:lang w:eastAsia="en-GB"/>
          <w14:ligatures w14:val="standardContextual"/>
        </w:rPr>
      </w:pPr>
      <w:hyperlink w:anchor="_Toc162950951" w:history="1">
        <w:r w:rsidR="008346B6" w:rsidRPr="00A42A9D">
          <w:rPr>
            <w:rStyle w:val="Hyperlink"/>
            <w:noProof/>
            <w:lang w:val="en-GB"/>
          </w:rPr>
          <w:t>Table 4: Use of performance-based MEAs by type and country.</w:t>
        </w:r>
        <w:r w:rsidR="008346B6">
          <w:rPr>
            <w:noProof/>
            <w:webHidden/>
          </w:rPr>
          <w:tab/>
        </w:r>
        <w:r w:rsidR="008346B6">
          <w:rPr>
            <w:noProof/>
            <w:webHidden/>
          </w:rPr>
          <w:fldChar w:fldCharType="begin"/>
        </w:r>
        <w:r w:rsidR="008346B6">
          <w:rPr>
            <w:noProof/>
            <w:webHidden/>
          </w:rPr>
          <w:instrText xml:space="preserve"> PAGEREF _Toc162950951 \h </w:instrText>
        </w:r>
        <w:r w:rsidR="008346B6">
          <w:rPr>
            <w:noProof/>
            <w:webHidden/>
          </w:rPr>
        </w:r>
        <w:r w:rsidR="008346B6">
          <w:rPr>
            <w:noProof/>
            <w:webHidden/>
          </w:rPr>
          <w:fldChar w:fldCharType="separate"/>
        </w:r>
        <w:r w:rsidR="000E11E7">
          <w:rPr>
            <w:noProof/>
            <w:webHidden/>
          </w:rPr>
          <w:t>25</w:t>
        </w:r>
        <w:r w:rsidR="008346B6">
          <w:rPr>
            <w:noProof/>
            <w:webHidden/>
          </w:rPr>
          <w:fldChar w:fldCharType="end"/>
        </w:r>
      </w:hyperlink>
    </w:p>
    <w:p w14:paraId="55B592D4" w14:textId="64B92450" w:rsidR="008346B6" w:rsidRDefault="00BB7E33">
      <w:pPr>
        <w:pStyle w:val="TableofFigures"/>
        <w:tabs>
          <w:tab w:val="right" w:leader="dot" w:pos="8494"/>
        </w:tabs>
        <w:rPr>
          <w:rFonts w:asciiTheme="minorHAnsi" w:eastAsiaTheme="minorEastAsia" w:hAnsiTheme="minorHAnsi" w:cstheme="minorBidi"/>
          <w:i w:val="0"/>
          <w:noProof/>
          <w:kern w:val="2"/>
          <w:sz w:val="24"/>
          <w:lang w:eastAsia="en-GB"/>
          <w14:ligatures w14:val="standardContextual"/>
        </w:rPr>
      </w:pPr>
      <w:hyperlink w:anchor="_Toc162950952" w:history="1">
        <w:r w:rsidR="008346B6" w:rsidRPr="00A42A9D">
          <w:rPr>
            <w:rStyle w:val="Hyperlink"/>
            <w:noProof/>
            <w:lang w:val="en-GB"/>
          </w:rPr>
          <w:t>Table 5. HTA system characteristics by country</w:t>
        </w:r>
        <w:r w:rsidR="008346B6">
          <w:rPr>
            <w:noProof/>
            <w:webHidden/>
          </w:rPr>
          <w:tab/>
        </w:r>
        <w:r w:rsidR="008346B6">
          <w:rPr>
            <w:noProof/>
            <w:webHidden/>
          </w:rPr>
          <w:fldChar w:fldCharType="begin"/>
        </w:r>
        <w:r w:rsidR="008346B6">
          <w:rPr>
            <w:noProof/>
            <w:webHidden/>
          </w:rPr>
          <w:instrText xml:space="preserve"> PAGEREF _Toc162950952 \h </w:instrText>
        </w:r>
        <w:r w:rsidR="008346B6">
          <w:rPr>
            <w:noProof/>
            <w:webHidden/>
          </w:rPr>
        </w:r>
        <w:r w:rsidR="008346B6">
          <w:rPr>
            <w:noProof/>
            <w:webHidden/>
          </w:rPr>
          <w:fldChar w:fldCharType="separate"/>
        </w:r>
        <w:r w:rsidR="000E11E7">
          <w:rPr>
            <w:noProof/>
            <w:webHidden/>
          </w:rPr>
          <w:t>34</w:t>
        </w:r>
        <w:r w:rsidR="008346B6">
          <w:rPr>
            <w:noProof/>
            <w:webHidden/>
          </w:rPr>
          <w:fldChar w:fldCharType="end"/>
        </w:r>
      </w:hyperlink>
    </w:p>
    <w:p w14:paraId="31CEB824" w14:textId="44604C4A" w:rsidR="008346B6" w:rsidRDefault="00BB7E33">
      <w:pPr>
        <w:pStyle w:val="TableofFigures"/>
        <w:tabs>
          <w:tab w:val="right" w:leader="dot" w:pos="8494"/>
        </w:tabs>
        <w:rPr>
          <w:rFonts w:asciiTheme="minorHAnsi" w:eastAsiaTheme="minorEastAsia" w:hAnsiTheme="minorHAnsi" w:cstheme="minorBidi"/>
          <w:i w:val="0"/>
          <w:noProof/>
          <w:kern w:val="2"/>
          <w:sz w:val="24"/>
          <w:lang w:eastAsia="en-GB"/>
          <w14:ligatures w14:val="standardContextual"/>
        </w:rPr>
      </w:pPr>
      <w:hyperlink w:anchor="_Toc162950953" w:history="1">
        <w:r w:rsidR="008346B6" w:rsidRPr="00A42A9D">
          <w:rPr>
            <w:rStyle w:val="Hyperlink"/>
            <w:noProof/>
            <w:lang w:val="en-GB"/>
          </w:rPr>
          <w:t>Table 6. Oncology drug recommendation outcomes in select EU countries (2011-2013)</w:t>
        </w:r>
        <w:r w:rsidR="008346B6">
          <w:rPr>
            <w:noProof/>
            <w:webHidden/>
          </w:rPr>
          <w:tab/>
        </w:r>
        <w:r w:rsidR="008346B6">
          <w:rPr>
            <w:noProof/>
            <w:webHidden/>
          </w:rPr>
          <w:fldChar w:fldCharType="begin"/>
        </w:r>
        <w:r w:rsidR="008346B6">
          <w:rPr>
            <w:noProof/>
            <w:webHidden/>
          </w:rPr>
          <w:instrText xml:space="preserve"> PAGEREF _Toc162950953 \h </w:instrText>
        </w:r>
        <w:r w:rsidR="008346B6">
          <w:rPr>
            <w:noProof/>
            <w:webHidden/>
          </w:rPr>
        </w:r>
        <w:r w:rsidR="008346B6">
          <w:rPr>
            <w:noProof/>
            <w:webHidden/>
          </w:rPr>
          <w:fldChar w:fldCharType="separate"/>
        </w:r>
        <w:r w:rsidR="000E11E7">
          <w:rPr>
            <w:noProof/>
            <w:webHidden/>
          </w:rPr>
          <w:t>36</w:t>
        </w:r>
        <w:r w:rsidR="008346B6">
          <w:rPr>
            <w:noProof/>
            <w:webHidden/>
          </w:rPr>
          <w:fldChar w:fldCharType="end"/>
        </w:r>
      </w:hyperlink>
    </w:p>
    <w:p w14:paraId="627B10D9" w14:textId="79CE226C" w:rsidR="008346B6" w:rsidRDefault="00BB7E33">
      <w:pPr>
        <w:pStyle w:val="TableofFigures"/>
        <w:tabs>
          <w:tab w:val="right" w:leader="dot" w:pos="8494"/>
        </w:tabs>
        <w:rPr>
          <w:rFonts w:asciiTheme="minorHAnsi" w:eastAsiaTheme="minorEastAsia" w:hAnsiTheme="minorHAnsi" w:cstheme="minorBidi"/>
          <w:i w:val="0"/>
          <w:noProof/>
          <w:kern w:val="2"/>
          <w:sz w:val="24"/>
          <w:lang w:eastAsia="en-GB"/>
          <w14:ligatures w14:val="standardContextual"/>
        </w:rPr>
      </w:pPr>
      <w:hyperlink w:anchor="_Toc162950954" w:history="1">
        <w:r w:rsidR="008346B6" w:rsidRPr="00A42A9D">
          <w:rPr>
            <w:rStyle w:val="Hyperlink"/>
            <w:noProof/>
            <w:lang w:val="en-GB"/>
          </w:rPr>
          <w:t>Table 7. Reimbursement rate according to the Actual Benefit</w:t>
        </w:r>
        <w:r w:rsidR="008346B6">
          <w:rPr>
            <w:noProof/>
            <w:webHidden/>
          </w:rPr>
          <w:tab/>
        </w:r>
        <w:r w:rsidR="008346B6">
          <w:rPr>
            <w:noProof/>
            <w:webHidden/>
          </w:rPr>
          <w:fldChar w:fldCharType="begin"/>
        </w:r>
        <w:r w:rsidR="008346B6">
          <w:rPr>
            <w:noProof/>
            <w:webHidden/>
          </w:rPr>
          <w:instrText xml:space="preserve"> PAGEREF _Toc162950954 \h </w:instrText>
        </w:r>
        <w:r w:rsidR="008346B6">
          <w:rPr>
            <w:noProof/>
            <w:webHidden/>
          </w:rPr>
        </w:r>
        <w:r w:rsidR="008346B6">
          <w:rPr>
            <w:noProof/>
            <w:webHidden/>
          </w:rPr>
          <w:fldChar w:fldCharType="separate"/>
        </w:r>
        <w:r w:rsidR="000E11E7">
          <w:rPr>
            <w:noProof/>
            <w:webHidden/>
          </w:rPr>
          <w:t>39</w:t>
        </w:r>
        <w:r w:rsidR="008346B6">
          <w:rPr>
            <w:noProof/>
            <w:webHidden/>
          </w:rPr>
          <w:fldChar w:fldCharType="end"/>
        </w:r>
      </w:hyperlink>
    </w:p>
    <w:p w14:paraId="26423185" w14:textId="78E3C805" w:rsidR="008346B6" w:rsidRDefault="00BB7E33">
      <w:pPr>
        <w:pStyle w:val="TableofFigures"/>
        <w:tabs>
          <w:tab w:val="right" w:leader="dot" w:pos="8494"/>
        </w:tabs>
        <w:rPr>
          <w:rFonts w:asciiTheme="minorHAnsi" w:eastAsiaTheme="minorEastAsia" w:hAnsiTheme="minorHAnsi" w:cstheme="minorBidi"/>
          <w:i w:val="0"/>
          <w:noProof/>
          <w:kern w:val="2"/>
          <w:sz w:val="24"/>
          <w:lang w:eastAsia="en-GB"/>
          <w14:ligatures w14:val="standardContextual"/>
        </w:rPr>
      </w:pPr>
      <w:hyperlink w:anchor="_Toc162950955" w:history="1">
        <w:r w:rsidR="008346B6" w:rsidRPr="00A42A9D">
          <w:rPr>
            <w:rStyle w:val="Hyperlink"/>
            <w:noProof/>
            <w:lang w:val="en-GB"/>
          </w:rPr>
          <w:t>Table 8. Type and timing of new pharmaceutical price negotiation by country</w:t>
        </w:r>
        <w:r w:rsidR="008346B6">
          <w:rPr>
            <w:noProof/>
            <w:webHidden/>
          </w:rPr>
          <w:tab/>
        </w:r>
        <w:r w:rsidR="008346B6">
          <w:rPr>
            <w:noProof/>
            <w:webHidden/>
          </w:rPr>
          <w:fldChar w:fldCharType="begin"/>
        </w:r>
        <w:r w:rsidR="008346B6">
          <w:rPr>
            <w:noProof/>
            <w:webHidden/>
          </w:rPr>
          <w:instrText xml:space="preserve"> PAGEREF _Toc162950955 \h </w:instrText>
        </w:r>
        <w:r w:rsidR="008346B6">
          <w:rPr>
            <w:noProof/>
            <w:webHidden/>
          </w:rPr>
        </w:r>
        <w:r w:rsidR="008346B6">
          <w:rPr>
            <w:noProof/>
            <w:webHidden/>
          </w:rPr>
          <w:fldChar w:fldCharType="separate"/>
        </w:r>
        <w:r w:rsidR="000E11E7">
          <w:rPr>
            <w:noProof/>
            <w:webHidden/>
          </w:rPr>
          <w:t>43</w:t>
        </w:r>
        <w:r w:rsidR="008346B6">
          <w:rPr>
            <w:noProof/>
            <w:webHidden/>
          </w:rPr>
          <w:fldChar w:fldCharType="end"/>
        </w:r>
      </w:hyperlink>
    </w:p>
    <w:p w14:paraId="5472893E" w14:textId="48204D26" w:rsidR="008346B6" w:rsidRDefault="00BB7E33">
      <w:pPr>
        <w:pStyle w:val="TableofFigures"/>
        <w:tabs>
          <w:tab w:val="right" w:leader="dot" w:pos="8494"/>
        </w:tabs>
        <w:rPr>
          <w:rFonts w:asciiTheme="minorHAnsi" w:eastAsiaTheme="minorEastAsia" w:hAnsiTheme="minorHAnsi" w:cstheme="minorBidi"/>
          <w:i w:val="0"/>
          <w:noProof/>
          <w:kern w:val="2"/>
          <w:sz w:val="24"/>
          <w:lang w:eastAsia="en-GB"/>
          <w14:ligatures w14:val="standardContextual"/>
        </w:rPr>
      </w:pPr>
      <w:hyperlink w:anchor="_Toc162950956" w:history="1">
        <w:r w:rsidR="008346B6" w:rsidRPr="00A42A9D">
          <w:rPr>
            <w:rStyle w:val="Hyperlink"/>
            <w:noProof/>
            <w:lang w:val="en-GB"/>
          </w:rPr>
          <w:t>Table 9. Impact of additional benefit level on price in Germany</w:t>
        </w:r>
        <w:r w:rsidR="008346B6">
          <w:rPr>
            <w:noProof/>
            <w:webHidden/>
          </w:rPr>
          <w:tab/>
        </w:r>
        <w:r w:rsidR="008346B6">
          <w:rPr>
            <w:noProof/>
            <w:webHidden/>
          </w:rPr>
          <w:fldChar w:fldCharType="begin"/>
        </w:r>
        <w:r w:rsidR="008346B6">
          <w:rPr>
            <w:noProof/>
            <w:webHidden/>
          </w:rPr>
          <w:instrText xml:space="preserve"> PAGEREF _Toc162950956 \h </w:instrText>
        </w:r>
        <w:r w:rsidR="008346B6">
          <w:rPr>
            <w:noProof/>
            <w:webHidden/>
          </w:rPr>
        </w:r>
        <w:r w:rsidR="008346B6">
          <w:rPr>
            <w:noProof/>
            <w:webHidden/>
          </w:rPr>
          <w:fldChar w:fldCharType="separate"/>
        </w:r>
        <w:r w:rsidR="000E11E7">
          <w:rPr>
            <w:noProof/>
            <w:webHidden/>
          </w:rPr>
          <w:t>50</w:t>
        </w:r>
        <w:r w:rsidR="008346B6">
          <w:rPr>
            <w:noProof/>
            <w:webHidden/>
          </w:rPr>
          <w:fldChar w:fldCharType="end"/>
        </w:r>
      </w:hyperlink>
    </w:p>
    <w:p w14:paraId="4907E5C4" w14:textId="1DE7A90E" w:rsidR="008346B6" w:rsidRDefault="00BB7E33">
      <w:pPr>
        <w:pStyle w:val="TableofFigures"/>
        <w:tabs>
          <w:tab w:val="right" w:leader="dot" w:pos="8494"/>
        </w:tabs>
        <w:rPr>
          <w:rFonts w:asciiTheme="minorHAnsi" w:eastAsiaTheme="minorEastAsia" w:hAnsiTheme="minorHAnsi" w:cstheme="minorBidi"/>
          <w:i w:val="0"/>
          <w:noProof/>
          <w:kern w:val="2"/>
          <w:sz w:val="24"/>
          <w:lang w:eastAsia="en-GB"/>
          <w14:ligatures w14:val="standardContextual"/>
        </w:rPr>
      </w:pPr>
      <w:hyperlink w:anchor="_Toc162950957" w:history="1">
        <w:r w:rsidR="008346B6" w:rsidRPr="00A42A9D">
          <w:rPr>
            <w:rStyle w:val="Hyperlink"/>
            <w:noProof/>
            <w:lang w:val="en-GB"/>
          </w:rPr>
          <w:t>Table 10. Five categories for cost-effectiveness assessment selection</w:t>
        </w:r>
        <w:r w:rsidR="008346B6">
          <w:rPr>
            <w:noProof/>
            <w:webHidden/>
          </w:rPr>
          <w:tab/>
        </w:r>
        <w:r w:rsidR="008346B6">
          <w:rPr>
            <w:noProof/>
            <w:webHidden/>
          </w:rPr>
          <w:fldChar w:fldCharType="begin"/>
        </w:r>
        <w:r w:rsidR="008346B6">
          <w:rPr>
            <w:noProof/>
            <w:webHidden/>
          </w:rPr>
          <w:instrText xml:space="preserve"> PAGEREF _Toc162950957 \h </w:instrText>
        </w:r>
        <w:r w:rsidR="008346B6">
          <w:rPr>
            <w:noProof/>
            <w:webHidden/>
          </w:rPr>
        </w:r>
        <w:r w:rsidR="008346B6">
          <w:rPr>
            <w:noProof/>
            <w:webHidden/>
          </w:rPr>
          <w:fldChar w:fldCharType="separate"/>
        </w:r>
        <w:r w:rsidR="000E11E7">
          <w:rPr>
            <w:noProof/>
            <w:webHidden/>
          </w:rPr>
          <w:t>55</w:t>
        </w:r>
        <w:r w:rsidR="008346B6">
          <w:rPr>
            <w:noProof/>
            <w:webHidden/>
          </w:rPr>
          <w:fldChar w:fldCharType="end"/>
        </w:r>
      </w:hyperlink>
    </w:p>
    <w:p w14:paraId="4F066CAA" w14:textId="4038DC05" w:rsidR="008346B6" w:rsidRDefault="00BB7E33">
      <w:pPr>
        <w:pStyle w:val="TableofFigures"/>
        <w:tabs>
          <w:tab w:val="right" w:leader="dot" w:pos="8494"/>
        </w:tabs>
        <w:rPr>
          <w:rFonts w:asciiTheme="minorHAnsi" w:eastAsiaTheme="minorEastAsia" w:hAnsiTheme="minorHAnsi" w:cstheme="minorBidi"/>
          <w:i w:val="0"/>
          <w:noProof/>
          <w:kern w:val="2"/>
          <w:sz w:val="24"/>
          <w:lang w:eastAsia="en-GB"/>
          <w14:ligatures w14:val="standardContextual"/>
        </w:rPr>
      </w:pPr>
      <w:hyperlink w:anchor="_Toc162950958" w:history="1">
        <w:r w:rsidR="008346B6" w:rsidRPr="00A42A9D">
          <w:rPr>
            <w:rStyle w:val="Hyperlink"/>
            <w:noProof/>
            <w:lang w:val="en-GB"/>
          </w:rPr>
          <w:t>Table 11. Earliest possible recommendation from commencement of HTA</w:t>
        </w:r>
        <w:r w:rsidR="008346B6">
          <w:rPr>
            <w:noProof/>
            <w:webHidden/>
          </w:rPr>
          <w:tab/>
        </w:r>
        <w:r w:rsidR="008346B6">
          <w:rPr>
            <w:noProof/>
            <w:webHidden/>
          </w:rPr>
          <w:fldChar w:fldCharType="begin"/>
        </w:r>
        <w:r w:rsidR="008346B6">
          <w:rPr>
            <w:noProof/>
            <w:webHidden/>
          </w:rPr>
          <w:instrText xml:space="preserve"> PAGEREF _Toc162950958 \h </w:instrText>
        </w:r>
        <w:r w:rsidR="008346B6">
          <w:rPr>
            <w:noProof/>
            <w:webHidden/>
          </w:rPr>
        </w:r>
        <w:r w:rsidR="008346B6">
          <w:rPr>
            <w:noProof/>
            <w:webHidden/>
          </w:rPr>
          <w:fldChar w:fldCharType="separate"/>
        </w:r>
        <w:r w:rsidR="000E11E7">
          <w:rPr>
            <w:noProof/>
            <w:webHidden/>
          </w:rPr>
          <w:t>60</w:t>
        </w:r>
        <w:r w:rsidR="008346B6">
          <w:rPr>
            <w:noProof/>
            <w:webHidden/>
          </w:rPr>
          <w:fldChar w:fldCharType="end"/>
        </w:r>
      </w:hyperlink>
    </w:p>
    <w:p w14:paraId="44839524" w14:textId="00C8D998" w:rsidR="008346B6" w:rsidRDefault="00BB7E33">
      <w:pPr>
        <w:pStyle w:val="TableofFigures"/>
        <w:tabs>
          <w:tab w:val="right" w:leader="dot" w:pos="8494"/>
        </w:tabs>
        <w:rPr>
          <w:rFonts w:asciiTheme="minorHAnsi" w:eastAsiaTheme="minorEastAsia" w:hAnsiTheme="minorHAnsi" w:cstheme="minorBidi"/>
          <w:i w:val="0"/>
          <w:noProof/>
          <w:kern w:val="2"/>
          <w:sz w:val="24"/>
          <w:lang w:eastAsia="en-GB"/>
          <w14:ligatures w14:val="standardContextual"/>
        </w:rPr>
      </w:pPr>
      <w:hyperlink w:anchor="_Toc162950959" w:history="1">
        <w:r w:rsidR="008346B6" w:rsidRPr="00A42A9D">
          <w:rPr>
            <w:rStyle w:val="Hyperlink"/>
            <w:noProof/>
            <w:lang w:val="en-GB"/>
          </w:rPr>
          <w:t>Table 12. Rare disease definitions by regulatory authority/HTA agency (pricing and reimbursement)</w:t>
        </w:r>
        <w:r w:rsidR="008346B6">
          <w:rPr>
            <w:noProof/>
            <w:webHidden/>
          </w:rPr>
          <w:tab/>
        </w:r>
        <w:r w:rsidR="008346B6">
          <w:rPr>
            <w:noProof/>
            <w:webHidden/>
          </w:rPr>
          <w:fldChar w:fldCharType="begin"/>
        </w:r>
        <w:r w:rsidR="008346B6">
          <w:rPr>
            <w:noProof/>
            <w:webHidden/>
          </w:rPr>
          <w:instrText xml:space="preserve"> PAGEREF _Toc162950959 \h </w:instrText>
        </w:r>
        <w:r w:rsidR="008346B6">
          <w:rPr>
            <w:noProof/>
            <w:webHidden/>
          </w:rPr>
        </w:r>
        <w:r w:rsidR="008346B6">
          <w:rPr>
            <w:noProof/>
            <w:webHidden/>
          </w:rPr>
          <w:fldChar w:fldCharType="separate"/>
        </w:r>
        <w:r w:rsidR="000E11E7">
          <w:rPr>
            <w:noProof/>
            <w:webHidden/>
          </w:rPr>
          <w:t>98</w:t>
        </w:r>
        <w:r w:rsidR="008346B6">
          <w:rPr>
            <w:noProof/>
            <w:webHidden/>
          </w:rPr>
          <w:fldChar w:fldCharType="end"/>
        </w:r>
      </w:hyperlink>
    </w:p>
    <w:p w14:paraId="06FD68B0" w14:textId="05DDAA8F" w:rsidR="008346B6" w:rsidRDefault="00BB7E33">
      <w:pPr>
        <w:pStyle w:val="TableofFigures"/>
        <w:tabs>
          <w:tab w:val="right" w:leader="dot" w:pos="8494"/>
        </w:tabs>
        <w:rPr>
          <w:rFonts w:asciiTheme="minorHAnsi" w:eastAsiaTheme="minorEastAsia" w:hAnsiTheme="minorHAnsi" w:cstheme="minorBidi"/>
          <w:i w:val="0"/>
          <w:noProof/>
          <w:kern w:val="2"/>
          <w:sz w:val="24"/>
          <w:lang w:eastAsia="en-GB"/>
          <w14:ligatures w14:val="standardContextual"/>
        </w:rPr>
      </w:pPr>
      <w:hyperlink w:anchor="_Toc162950960" w:history="1">
        <w:r w:rsidR="008346B6" w:rsidRPr="00A42A9D">
          <w:rPr>
            <w:rStyle w:val="Hyperlink"/>
            <w:noProof/>
            <w:lang w:val="en-GB"/>
          </w:rPr>
          <w:t>Table 13. Rare disease funding models by country</w:t>
        </w:r>
        <w:r w:rsidR="008346B6">
          <w:rPr>
            <w:noProof/>
            <w:webHidden/>
          </w:rPr>
          <w:tab/>
        </w:r>
        <w:r w:rsidR="008346B6">
          <w:rPr>
            <w:noProof/>
            <w:webHidden/>
          </w:rPr>
          <w:fldChar w:fldCharType="begin"/>
        </w:r>
        <w:r w:rsidR="008346B6">
          <w:rPr>
            <w:noProof/>
            <w:webHidden/>
          </w:rPr>
          <w:instrText xml:space="preserve"> PAGEREF _Toc162950960 \h </w:instrText>
        </w:r>
        <w:r w:rsidR="008346B6">
          <w:rPr>
            <w:noProof/>
            <w:webHidden/>
          </w:rPr>
        </w:r>
        <w:r w:rsidR="008346B6">
          <w:rPr>
            <w:noProof/>
            <w:webHidden/>
          </w:rPr>
          <w:fldChar w:fldCharType="separate"/>
        </w:r>
        <w:r w:rsidR="000E11E7">
          <w:rPr>
            <w:noProof/>
            <w:webHidden/>
          </w:rPr>
          <w:t>101</w:t>
        </w:r>
        <w:r w:rsidR="008346B6">
          <w:rPr>
            <w:noProof/>
            <w:webHidden/>
          </w:rPr>
          <w:fldChar w:fldCharType="end"/>
        </w:r>
      </w:hyperlink>
    </w:p>
    <w:p w14:paraId="42A5DCE9" w14:textId="204FFEB0" w:rsidR="008346B6" w:rsidRDefault="00BB7E33">
      <w:pPr>
        <w:pStyle w:val="TableofFigures"/>
        <w:tabs>
          <w:tab w:val="right" w:leader="dot" w:pos="8494"/>
        </w:tabs>
        <w:rPr>
          <w:rFonts w:asciiTheme="minorHAnsi" w:eastAsiaTheme="minorEastAsia" w:hAnsiTheme="minorHAnsi" w:cstheme="minorBidi"/>
          <w:i w:val="0"/>
          <w:noProof/>
          <w:kern w:val="2"/>
          <w:sz w:val="24"/>
          <w:lang w:eastAsia="en-GB"/>
          <w14:ligatures w14:val="standardContextual"/>
        </w:rPr>
      </w:pPr>
      <w:hyperlink w:anchor="_Toc162950961" w:history="1">
        <w:r w:rsidR="008346B6" w:rsidRPr="00A42A9D">
          <w:rPr>
            <w:rStyle w:val="Hyperlink"/>
            <w:noProof/>
            <w:lang w:val="en-GB"/>
          </w:rPr>
          <w:t>Table 14. Countries with a separate pool of funds</w:t>
        </w:r>
        <w:r w:rsidR="008346B6">
          <w:rPr>
            <w:noProof/>
            <w:webHidden/>
          </w:rPr>
          <w:tab/>
        </w:r>
        <w:r w:rsidR="008346B6">
          <w:rPr>
            <w:noProof/>
            <w:webHidden/>
          </w:rPr>
          <w:fldChar w:fldCharType="begin"/>
        </w:r>
        <w:r w:rsidR="008346B6">
          <w:rPr>
            <w:noProof/>
            <w:webHidden/>
          </w:rPr>
          <w:instrText xml:space="preserve"> PAGEREF _Toc162950961 \h </w:instrText>
        </w:r>
        <w:r w:rsidR="008346B6">
          <w:rPr>
            <w:noProof/>
            <w:webHidden/>
          </w:rPr>
        </w:r>
        <w:r w:rsidR="008346B6">
          <w:rPr>
            <w:noProof/>
            <w:webHidden/>
          </w:rPr>
          <w:fldChar w:fldCharType="separate"/>
        </w:r>
        <w:r w:rsidR="000E11E7">
          <w:rPr>
            <w:noProof/>
            <w:webHidden/>
          </w:rPr>
          <w:t>105</w:t>
        </w:r>
        <w:r w:rsidR="008346B6">
          <w:rPr>
            <w:noProof/>
            <w:webHidden/>
          </w:rPr>
          <w:fldChar w:fldCharType="end"/>
        </w:r>
      </w:hyperlink>
    </w:p>
    <w:p w14:paraId="7018C097" w14:textId="3795952A" w:rsidR="008346B6" w:rsidRDefault="00BB7E33">
      <w:pPr>
        <w:pStyle w:val="TableofFigures"/>
        <w:tabs>
          <w:tab w:val="right" w:leader="dot" w:pos="8494"/>
        </w:tabs>
        <w:rPr>
          <w:rFonts w:asciiTheme="minorHAnsi" w:eastAsiaTheme="minorEastAsia" w:hAnsiTheme="minorHAnsi" w:cstheme="minorBidi"/>
          <w:i w:val="0"/>
          <w:noProof/>
          <w:kern w:val="2"/>
          <w:sz w:val="24"/>
          <w:lang w:eastAsia="en-GB"/>
          <w14:ligatures w14:val="standardContextual"/>
        </w:rPr>
      </w:pPr>
      <w:hyperlink w:anchor="_Toc162950962" w:history="1">
        <w:r w:rsidR="008346B6" w:rsidRPr="00A42A9D">
          <w:rPr>
            <w:rStyle w:val="Hyperlink"/>
            <w:noProof/>
            <w:lang w:val="en-GB"/>
          </w:rPr>
          <w:t>Table 15. Rare diseases special committees by jurisdiction</w:t>
        </w:r>
        <w:r w:rsidR="008346B6">
          <w:rPr>
            <w:noProof/>
            <w:webHidden/>
          </w:rPr>
          <w:tab/>
        </w:r>
        <w:r w:rsidR="008346B6">
          <w:rPr>
            <w:noProof/>
            <w:webHidden/>
          </w:rPr>
          <w:fldChar w:fldCharType="begin"/>
        </w:r>
        <w:r w:rsidR="008346B6">
          <w:rPr>
            <w:noProof/>
            <w:webHidden/>
          </w:rPr>
          <w:instrText xml:space="preserve"> PAGEREF _Toc162950962 \h </w:instrText>
        </w:r>
        <w:r w:rsidR="008346B6">
          <w:rPr>
            <w:noProof/>
            <w:webHidden/>
          </w:rPr>
        </w:r>
        <w:r w:rsidR="008346B6">
          <w:rPr>
            <w:noProof/>
            <w:webHidden/>
          </w:rPr>
          <w:fldChar w:fldCharType="separate"/>
        </w:r>
        <w:r w:rsidR="000E11E7">
          <w:rPr>
            <w:noProof/>
            <w:webHidden/>
          </w:rPr>
          <w:t>111</w:t>
        </w:r>
        <w:r w:rsidR="008346B6">
          <w:rPr>
            <w:noProof/>
            <w:webHidden/>
          </w:rPr>
          <w:fldChar w:fldCharType="end"/>
        </w:r>
      </w:hyperlink>
    </w:p>
    <w:p w14:paraId="00A15AEB" w14:textId="04807B15" w:rsidR="008346B6" w:rsidRDefault="00BB7E33">
      <w:pPr>
        <w:pStyle w:val="TableofFigures"/>
        <w:tabs>
          <w:tab w:val="right" w:leader="dot" w:pos="8494"/>
        </w:tabs>
        <w:rPr>
          <w:rFonts w:asciiTheme="minorHAnsi" w:eastAsiaTheme="minorEastAsia" w:hAnsiTheme="minorHAnsi" w:cstheme="minorBidi"/>
          <w:i w:val="0"/>
          <w:noProof/>
          <w:kern w:val="2"/>
          <w:sz w:val="24"/>
          <w:lang w:eastAsia="en-GB"/>
          <w14:ligatures w14:val="standardContextual"/>
        </w:rPr>
      </w:pPr>
      <w:hyperlink w:anchor="_Toc162950963" w:history="1">
        <w:r w:rsidR="008346B6" w:rsidRPr="00A42A9D">
          <w:rPr>
            <w:rStyle w:val="Hyperlink"/>
            <w:noProof/>
            <w:lang w:val="en-GB"/>
          </w:rPr>
          <w:t>Table 16. Access pathways for ultra-rare diseases in England/Wales and Scotland</w:t>
        </w:r>
        <w:r w:rsidR="008346B6">
          <w:rPr>
            <w:noProof/>
            <w:webHidden/>
          </w:rPr>
          <w:tab/>
        </w:r>
        <w:r w:rsidR="008346B6">
          <w:rPr>
            <w:noProof/>
            <w:webHidden/>
          </w:rPr>
          <w:fldChar w:fldCharType="begin"/>
        </w:r>
        <w:r w:rsidR="008346B6">
          <w:rPr>
            <w:noProof/>
            <w:webHidden/>
          </w:rPr>
          <w:instrText xml:space="preserve"> PAGEREF _Toc162950963 \h </w:instrText>
        </w:r>
        <w:r w:rsidR="008346B6">
          <w:rPr>
            <w:noProof/>
            <w:webHidden/>
          </w:rPr>
        </w:r>
        <w:r w:rsidR="008346B6">
          <w:rPr>
            <w:noProof/>
            <w:webHidden/>
          </w:rPr>
          <w:fldChar w:fldCharType="separate"/>
        </w:r>
        <w:r w:rsidR="000E11E7">
          <w:rPr>
            <w:noProof/>
            <w:webHidden/>
          </w:rPr>
          <w:t>120</w:t>
        </w:r>
        <w:r w:rsidR="008346B6">
          <w:rPr>
            <w:noProof/>
            <w:webHidden/>
          </w:rPr>
          <w:fldChar w:fldCharType="end"/>
        </w:r>
      </w:hyperlink>
    </w:p>
    <w:p w14:paraId="492998CD" w14:textId="6FEC912D" w:rsidR="008346B6" w:rsidRDefault="00BB7E33">
      <w:pPr>
        <w:pStyle w:val="TableofFigures"/>
        <w:tabs>
          <w:tab w:val="right" w:leader="dot" w:pos="8494"/>
        </w:tabs>
        <w:rPr>
          <w:rFonts w:asciiTheme="minorHAnsi" w:eastAsiaTheme="minorEastAsia" w:hAnsiTheme="minorHAnsi" w:cstheme="minorBidi"/>
          <w:i w:val="0"/>
          <w:noProof/>
          <w:kern w:val="2"/>
          <w:sz w:val="24"/>
          <w:lang w:eastAsia="en-GB"/>
          <w14:ligatures w14:val="standardContextual"/>
        </w:rPr>
      </w:pPr>
      <w:hyperlink w:anchor="_Toc162950964" w:history="1">
        <w:r w:rsidR="008346B6" w:rsidRPr="00A42A9D">
          <w:rPr>
            <w:rStyle w:val="Hyperlink"/>
            <w:noProof/>
            <w:lang w:val="en-GB"/>
          </w:rPr>
          <w:t>Table 17. Access programs for rare disease therapies in Canada by province</w:t>
        </w:r>
        <w:r w:rsidR="008346B6">
          <w:rPr>
            <w:noProof/>
            <w:webHidden/>
          </w:rPr>
          <w:tab/>
        </w:r>
        <w:r w:rsidR="008346B6">
          <w:rPr>
            <w:noProof/>
            <w:webHidden/>
          </w:rPr>
          <w:fldChar w:fldCharType="begin"/>
        </w:r>
        <w:r w:rsidR="008346B6">
          <w:rPr>
            <w:noProof/>
            <w:webHidden/>
          </w:rPr>
          <w:instrText xml:space="preserve"> PAGEREF _Toc162950964 \h </w:instrText>
        </w:r>
        <w:r w:rsidR="008346B6">
          <w:rPr>
            <w:noProof/>
            <w:webHidden/>
          </w:rPr>
        </w:r>
        <w:r w:rsidR="008346B6">
          <w:rPr>
            <w:noProof/>
            <w:webHidden/>
          </w:rPr>
          <w:fldChar w:fldCharType="separate"/>
        </w:r>
        <w:r w:rsidR="000E11E7">
          <w:rPr>
            <w:noProof/>
            <w:webHidden/>
          </w:rPr>
          <w:t>123</w:t>
        </w:r>
        <w:r w:rsidR="008346B6">
          <w:rPr>
            <w:noProof/>
            <w:webHidden/>
          </w:rPr>
          <w:fldChar w:fldCharType="end"/>
        </w:r>
      </w:hyperlink>
    </w:p>
    <w:p w14:paraId="5BD7C97D" w14:textId="15D6F75A" w:rsidR="008346B6" w:rsidRDefault="00BB7E33">
      <w:pPr>
        <w:pStyle w:val="TableofFigures"/>
        <w:tabs>
          <w:tab w:val="right" w:leader="dot" w:pos="8494"/>
        </w:tabs>
        <w:rPr>
          <w:rFonts w:asciiTheme="minorHAnsi" w:eastAsiaTheme="minorEastAsia" w:hAnsiTheme="minorHAnsi" w:cstheme="minorBidi"/>
          <w:i w:val="0"/>
          <w:noProof/>
          <w:kern w:val="2"/>
          <w:sz w:val="24"/>
          <w:lang w:eastAsia="en-GB"/>
          <w14:ligatures w14:val="standardContextual"/>
        </w:rPr>
      </w:pPr>
      <w:hyperlink w:anchor="_Toc162950965" w:history="1">
        <w:r w:rsidR="008346B6" w:rsidRPr="00A42A9D">
          <w:rPr>
            <w:rStyle w:val="Hyperlink"/>
            <w:noProof/>
            <w:lang w:val="en-GB"/>
          </w:rPr>
          <w:t>Table 18. Exceptional circumstances and individual patient access programs by country</w:t>
        </w:r>
        <w:r w:rsidR="008346B6">
          <w:rPr>
            <w:noProof/>
            <w:webHidden/>
          </w:rPr>
          <w:tab/>
        </w:r>
        <w:r w:rsidR="008346B6">
          <w:rPr>
            <w:noProof/>
            <w:webHidden/>
          </w:rPr>
          <w:fldChar w:fldCharType="begin"/>
        </w:r>
        <w:r w:rsidR="008346B6">
          <w:rPr>
            <w:noProof/>
            <w:webHidden/>
          </w:rPr>
          <w:instrText xml:space="preserve"> PAGEREF _Toc162950965 \h </w:instrText>
        </w:r>
        <w:r w:rsidR="008346B6">
          <w:rPr>
            <w:noProof/>
            <w:webHidden/>
          </w:rPr>
        </w:r>
        <w:r w:rsidR="008346B6">
          <w:rPr>
            <w:noProof/>
            <w:webHidden/>
          </w:rPr>
          <w:fldChar w:fldCharType="separate"/>
        </w:r>
        <w:r w:rsidR="000E11E7">
          <w:rPr>
            <w:noProof/>
            <w:webHidden/>
          </w:rPr>
          <w:t>128</w:t>
        </w:r>
        <w:r w:rsidR="008346B6">
          <w:rPr>
            <w:noProof/>
            <w:webHidden/>
          </w:rPr>
          <w:fldChar w:fldCharType="end"/>
        </w:r>
      </w:hyperlink>
    </w:p>
    <w:p w14:paraId="00599DA0" w14:textId="787278D2" w:rsidR="008346B6" w:rsidRDefault="00BB7E33">
      <w:pPr>
        <w:pStyle w:val="TableofFigures"/>
        <w:tabs>
          <w:tab w:val="right" w:leader="dot" w:pos="8494"/>
        </w:tabs>
        <w:rPr>
          <w:rFonts w:asciiTheme="minorHAnsi" w:eastAsiaTheme="minorEastAsia" w:hAnsiTheme="minorHAnsi" w:cstheme="minorBidi"/>
          <w:i w:val="0"/>
          <w:noProof/>
          <w:kern w:val="2"/>
          <w:sz w:val="24"/>
          <w:lang w:eastAsia="en-GB"/>
          <w14:ligatures w14:val="standardContextual"/>
        </w:rPr>
      </w:pPr>
      <w:hyperlink w:anchor="_Toc162950966" w:history="1">
        <w:r w:rsidR="008346B6" w:rsidRPr="00A42A9D">
          <w:rPr>
            <w:rStyle w:val="Hyperlink"/>
            <w:noProof/>
            <w:lang w:val="en-GB"/>
          </w:rPr>
          <w:t>Table 19: Use of financial MEAs by type and country</w:t>
        </w:r>
        <w:r w:rsidR="008346B6">
          <w:rPr>
            <w:noProof/>
            <w:webHidden/>
          </w:rPr>
          <w:tab/>
        </w:r>
        <w:r w:rsidR="008346B6">
          <w:rPr>
            <w:noProof/>
            <w:webHidden/>
          </w:rPr>
          <w:fldChar w:fldCharType="begin"/>
        </w:r>
        <w:r w:rsidR="008346B6">
          <w:rPr>
            <w:noProof/>
            <w:webHidden/>
          </w:rPr>
          <w:instrText xml:space="preserve"> PAGEREF _Toc162950966 \h </w:instrText>
        </w:r>
        <w:r w:rsidR="008346B6">
          <w:rPr>
            <w:noProof/>
            <w:webHidden/>
          </w:rPr>
        </w:r>
        <w:r w:rsidR="008346B6">
          <w:rPr>
            <w:noProof/>
            <w:webHidden/>
          </w:rPr>
          <w:fldChar w:fldCharType="separate"/>
        </w:r>
        <w:r w:rsidR="000E11E7">
          <w:rPr>
            <w:noProof/>
            <w:webHidden/>
          </w:rPr>
          <w:t>135</w:t>
        </w:r>
        <w:r w:rsidR="008346B6">
          <w:rPr>
            <w:noProof/>
            <w:webHidden/>
          </w:rPr>
          <w:fldChar w:fldCharType="end"/>
        </w:r>
      </w:hyperlink>
    </w:p>
    <w:p w14:paraId="0900B51B" w14:textId="2D36EA10" w:rsidR="008346B6" w:rsidRDefault="00BB7E33">
      <w:pPr>
        <w:pStyle w:val="TableofFigures"/>
        <w:tabs>
          <w:tab w:val="right" w:leader="dot" w:pos="8494"/>
        </w:tabs>
        <w:rPr>
          <w:rFonts w:asciiTheme="minorHAnsi" w:eastAsiaTheme="minorEastAsia" w:hAnsiTheme="minorHAnsi" w:cstheme="minorBidi"/>
          <w:i w:val="0"/>
          <w:noProof/>
          <w:kern w:val="2"/>
          <w:sz w:val="24"/>
          <w:lang w:eastAsia="en-GB"/>
          <w14:ligatures w14:val="standardContextual"/>
        </w:rPr>
      </w:pPr>
      <w:hyperlink w:anchor="_Toc162950967" w:history="1">
        <w:r w:rsidR="008346B6" w:rsidRPr="00A42A9D">
          <w:rPr>
            <w:rStyle w:val="Hyperlink"/>
            <w:noProof/>
            <w:lang w:val="en-GB"/>
          </w:rPr>
          <w:t>Table 20. Types of performance-based MEAs</w:t>
        </w:r>
        <w:r w:rsidR="008346B6">
          <w:rPr>
            <w:noProof/>
            <w:webHidden/>
          </w:rPr>
          <w:tab/>
        </w:r>
        <w:r w:rsidR="008346B6">
          <w:rPr>
            <w:noProof/>
            <w:webHidden/>
          </w:rPr>
          <w:fldChar w:fldCharType="begin"/>
        </w:r>
        <w:r w:rsidR="008346B6">
          <w:rPr>
            <w:noProof/>
            <w:webHidden/>
          </w:rPr>
          <w:instrText xml:space="preserve"> PAGEREF _Toc162950967 \h </w:instrText>
        </w:r>
        <w:r w:rsidR="008346B6">
          <w:rPr>
            <w:noProof/>
            <w:webHidden/>
          </w:rPr>
        </w:r>
        <w:r w:rsidR="008346B6">
          <w:rPr>
            <w:noProof/>
            <w:webHidden/>
          </w:rPr>
          <w:fldChar w:fldCharType="separate"/>
        </w:r>
        <w:r w:rsidR="000E11E7">
          <w:rPr>
            <w:noProof/>
            <w:webHidden/>
          </w:rPr>
          <w:t>138</w:t>
        </w:r>
        <w:r w:rsidR="008346B6">
          <w:rPr>
            <w:noProof/>
            <w:webHidden/>
          </w:rPr>
          <w:fldChar w:fldCharType="end"/>
        </w:r>
      </w:hyperlink>
    </w:p>
    <w:p w14:paraId="7B308634" w14:textId="4F350B87" w:rsidR="008346B6" w:rsidRDefault="00BB7E33">
      <w:pPr>
        <w:pStyle w:val="TableofFigures"/>
        <w:tabs>
          <w:tab w:val="right" w:leader="dot" w:pos="8494"/>
        </w:tabs>
        <w:rPr>
          <w:rFonts w:asciiTheme="minorHAnsi" w:eastAsiaTheme="minorEastAsia" w:hAnsiTheme="minorHAnsi" w:cstheme="minorBidi"/>
          <w:i w:val="0"/>
          <w:noProof/>
          <w:kern w:val="2"/>
          <w:sz w:val="24"/>
          <w:lang w:eastAsia="en-GB"/>
          <w14:ligatures w14:val="standardContextual"/>
        </w:rPr>
      </w:pPr>
      <w:hyperlink w:anchor="_Toc162950968" w:history="1">
        <w:r w:rsidR="008346B6" w:rsidRPr="00A42A9D">
          <w:rPr>
            <w:rStyle w:val="Hyperlink"/>
            <w:noProof/>
            <w:lang w:val="en-GB"/>
          </w:rPr>
          <w:t xml:space="preserve">Table </w:t>
        </w:r>
        <w:r w:rsidR="008346B6" w:rsidRPr="00A42A9D">
          <w:rPr>
            <w:rStyle w:val="Hyperlink"/>
            <w:noProof/>
          </w:rPr>
          <w:t>21</w:t>
        </w:r>
        <w:r w:rsidR="008346B6" w:rsidRPr="00A42A9D">
          <w:rPr>
            <w:rStyle w:val="Hyperlink"/>
            <w:noProof/>
            <w:lang w:val="en-GB"/>
          </w:rPr>
          <w:t>. Key features of Italy’s registry system</w:t>
        </w:r>
        <w:r w:rsidR="008346B6">
          <w:rPr>
            <w:noProof/>
            <w:webHidden/>
          </w:rPr>
          <w:tab/>
        </w:r>
        <w:r w:rsidR="008346B6">
          <w:rPr>
            <w:noProof/>
            <w:webHidden/>
          </w:rPr>
          <w:fldChar w:fldCharType="begin"/>
        </w:r>
        <w:r w:rsidR="008346B6">
          <w:rPr>
            <w:noProof/>
            <w:webHidden/>
          </w:rPr>
          <w:instrText xml:space="preserve"> PAGEREF _Toc162950968 \h </w:instrText>
        </w:r>
        <w:r w:rsidR="008346B6">
          <w:rPr>
            <w:noProof/>
            <w:webHidden/>
          </w:rPr>
        </w:r>
        <w:r w:rsidR="008346B6">
          <w:rPr>
            <w:noProof/>
            <w:webHidden/>
          </w:rPr>
          <w:fldChar w:fldCharType="separate"/>
        </w:r>
        <w:r w:rsidR="000E11E7">
          <w:rPr>
            <w:noProof/>
            <w:webHidden/>
          </w:rPr>
          <w:t>141</w:t>
        </w:r>
        <w:r w:rsidR="008346B6">
          <w:rPr>
            <w:noProof/>
            <w:webHidden/>
          </w:rPr>
          <w:fldChar w:fldCharType="end"/>
        </w:r>
      </w:hyperlink>
    </w:p>
    <w:p w14:paraId="0F99665B" w14:textId="6DECB6E6" w:rsidR="008346B6" w:rsidRDefault="00BB7E33">
      <w:pPr>
        <w:pStyle w:val="TableofFigures"/>
        <w:tabs>
          <w:tab w:val="right" w:leader="dot" w:pos="8494"/>
        </w:tabs>
        <w:rPr>
          <w:rFonts w:asciiTheme="minorHAnsi" w:eastAsiaTheme="minorEastAsia" w:hAnsiTheme="minorHAnsi" w:cstheme="minorBidi"/>
          <w:i w:val="0"/>
          <w:noProof/>
          <w:kern w:val="2"/>
          <w:sz w:val="24"/>
          <w:lang w:eastAsia="en-GB"/>
          <w14:ligatures w14:val="standardContextual"/>
        </w:rPr>
      </w:pPr>
      <w:hyperlink w:anchor="_Toc162950969" w:history="1">
        <w:r w:rsidR="008346B6" w:rsidRPr="00A42A9D">
          <w:rPr>
            <w:rStyle w:val="Hyperlink"/>
            <w:noProof/>
            <w:lang w:val="en-GB"/>
          </w:rPr>
          <w:t>Table 22. Cost-effectiveness of test alternatives for treatment with trastuzumab, breast cancer</w:t>
        </w:r>
        <w:r w:rsidR="008346B6">
          <w:rPr>
            <w:noProof/>
            <w:webHidden/>
          </w:rPr>
          <w:tab/>
        </w:r>
        <w:r w:rsidR="008346B6">
          <w:rPr>
            <w:noProof/>
            <w:webHidden/>
          </w:rPr>
          <w:fldChar w:fldCharType="begin"/>
        </w:r>
        <w:r w:rsidR="008346B6">
          <w:rPr>
            <w:noProof/>
            <w:webHidden/>
          </w:rPr>
          <w:instrText xml:space="preserve"> PAGEREF _Toc162950969 \h </w:instrText>
        </w:r>
        <w:r w:rsidR="008346B6">
          <w:rPr>
            <w:noProof/>
            <w:webHidden/>
          </w:rPr>
        </w:r>
        <w:r w:rsidR="008346B6">
          <w:rPr>
            <w:noProof/>
            <w:webHidden/>
          </w:rPr>
          <w:fldChar w:fldCharType="separate"/>
        </w:r>
        <w:r w:rsidR="000E11E7">
          <w:rPr>
            <w:noProof/>
            <w:webHidden/>
          </w:rPr>
          <w:t>200</w:t>
        </w:r>
        <w:r w:rsidR="008346B6">
          <w:rPr>
            <w:noProof/>
            <w:webHidden/>
          </w:rPr>
          <w:fldChar w:fldCharType="end"/>
        </w:r>
      </w:hyperlink>
    </w:p>
    <w:p w14:paraId="1072AB9E" w14:textId="0AF863CA" w:rsidR="00291249" w:rsidRPr="00224D6E" w:rsidRDefault="007A4EA8" w:rsidP="00224D6E">
      <w:pPr>
        <w:pStyle w:val="UTSTitles"/>
      </w:pPr>
      <w:r w:rsidRPr="00221992">
        <w:rPr>
          <w:lang w:val="en-GB"/>
        </w:rPr>
        <w:fldChar w:fldCharType="end"/>
      </w:r>
      <w:bookmarkStart w:id="8" w:name="_Toc162950847"/>
      <w:r w:rsidR="00CB39F3" w:rsidRPr="00224D6E">
        <w:t xml:space="preserve">Glossary and </w:t>
      </w:r>
      <w:r w:rsidR="00D14451">
        <w:t>A</w:t>
      </w:r>
      <w:r w:rsidR="00CB39F3" w:rsidRPr="00224D6E">
        <w:t>bbreviations</w:t>
      </w:r>
      <w:bookmarkEnd w:id="8"/>
    </w:p>
    <w:tbl>
      <w:tblPr>
        <w:tblStyle w:val="TableGrid"/>
        <w:tblW w:w="0" w:type="auto"/>
        <w:tblLook w:val="04A0" w:firstRow="1" w:lastRow="0" w:firstColumn="1" w:lastColumn="0" w:noHBand="0" w:noVBand="1"/>
      </w:tblPr>
      <w:tblGrid>
        <w:gridCol w:w="1271"/>
        <w:gridCol w:w="7223"/>
      </w:tblGrid>
      <w:tr w:rsidR="00291249" w:rsidRPr="00221992" w14:paraId="1F76E234" w14:textId="77777777" w:rsidTr="001F5A33">
        <w:tc>
          <w:tcPr>
            <w:tcW w:w="1271" w:type="dxa"/>
            <w:tcMar>
              <w:left w:w="57" w:type="dxa"/>
              <w:right w:w="0" w:type="dxa"/>
            </w:tcMar>
          </w:tcPr>
          <w:p w14:paraId="15CF3DA3" w14:textId="77777777"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AAP</w:t>
            </w:r>
          </w:p>
        </w:tc>
        <w:tc>
          <w:tcPr>
            <w:tcW w:w="7223" w:type="dxa"/>
            <w:tcMar>
              <w:left w:w="57" w:type="dxa"/>
              <w:right w:w="0" w:type="dxa"/>
            </w:tcMar>
          </w:tcPr>
          <w:p w14:paraId="4A7C5933" w14:textId="61FE4E03" w:rsidR="00291249" w:rsidRPr="00221992" w:rsidRDefault="00F574B9" w:rsidP="00291249">
            <w:pPr>
              <w:spacing w:after="0" w:line="240" w:lineRule="auto"/>
              <w:rPr>
                <w:rFonts w:cs="Calibri Light"/>
                <w:sz w:val="20"/>
                <w:szCs w:val="20"/>
                <w:lang w:val="en-GB"/>
              </w:rPr>
            </w:pPr>
            <w:r>
              <w:rPr>
                <w:rFonts w:cs="Calibri Light"/>
                <w:sz w:val="20"/>
                <w:szCs w:val="20"/>
                <w:lang w:val="en-GB"/>
              </w:rPr>
              <w:t>A</w:t>
            </w:r>
            <w:r w:rsidR="00CB39F3">
              <w:rPr>
                <w:rFonts w:cs="Calibri Light"/>
                <w:sz w:val="20"/>
                <w:szCs w:val="20"/>
                <w:lang w:val="en-GB"/>
              </w:rPr>
              <w:t>utorisation</w:t>
            </w:r>
            <w:r w:rsidR="00291249" w:rsidRPr="00221992">
              <w:rPr>
                <w:rFonts w:cs="Calibri Light"/>
                <w:sz w:val="20"/>
                <w:szCs w:val="20"/>
                <w:lang w:val="en-GB"/>
              </w:rPr>
              <w:t xml:space="preserve"> d</w:t>
            </w:r>
            <w:r w:rsidR="00551786">
              <w:rPr>
                <w:rFonts w:cs="Calibri Light"/>
                <w:sz w:val="20"/>
                <w:szCs w:val="20"/>
                <w:lang w:val="en-GB"/>
              </w:rPr>
              <w:t>’</w:t>
            </w:r>
            <w:r w:rsidR="00291249" w:rsidRPr="00221992">
              <w:rPr>
                <w:rFonts w:cs="Calibri Light"/>
                <w:sz w:val="20"/>
                <w:szCs w:val="20"/>
                <w:lang w:val="en-GB"/>
              </w:rPr>
              <w:t>accès précoce</w:t>
            </w:r>
          </w:p>
        </w:tc>
      </w:tr>
      <w:tr w:rsidR="00291249" w:rsidRPr="00221992" w14:paraId="7420D495" w14:textId="77777777" w:rsidTr="001F5A33">
        <w:tc>
          <w:tcPr>
            <w:tcW w:w="1271" w:type="dxa"/>
            <w:tcMar>
              <w:left w:w="57" w:type="dxa"/>
              <w:right w:w="0" w:type="dxa"/>
            </w:tcMar>
          </w:tcPr>
          <w:p w14:paraId="2ED0B537" w14:textId="77777777"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ACE</w:t>
            </w:r>
          </w:p>
        </w:tc>
        <w:tc>
          <w:tcPr>
            <w:tcW w:w="7223" w:type="dxa"/>
            <w:tcMar>
              <w:left w:w="57" w:type="dxa"/>
              <w:right w:w="0" w:type="dxa"/>
            </w:tcMar>
          </w:tcPr>
          <w:p w14:paraId="17C4CE08" w14:textId="77777777"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The Agency for Care Effectiveness</w:t>
            </w:r>
          </w:p>
        </w:tc>
      </w:tr>
      <w:tr w:rsidR="00291249" w:rsidRPr="00221992" w14:paraId="340F8AE1" w14:textId="77777777" w:rsidTr="001F5A33">
        <w:tc>
          <w:tcPr>
            <w:tcW w:w="1271" w:type="dxa"/>
            <w:tcMar>
              <w:left w:w="57" w:type="dxa"/>
              <w:right w:w="0" w:type="dxa"/>
            </w:tcMar>
          </w:tcPr>
          <w:p w14:paraId="2A884381" w14:textId="77777777"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ACT</w:t>
            </w:r>
          </w:p>
        </w:tc>
        <w:tc>
          <w:tcPr>
            <w:tcW w:w="7223" w:type="dxa"/>
            <w:tcMar>
              <w:left w:w="57" w:type="dxa"/>
              <w:right w:w="0" w:type="dxa"/>
            </w:tcMar>
          </w:tcPr>
          <w:p w14:paraId="48926A94" w14:textId="77777777"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Appropriate comparator therapy</w:t>
            </w:r>
          </w:p>
        </w:tc>
      </w:tr>
      <w:tr w:rsidR="00291249" w:rsidRPr="00845AFF" w14:paraId="64CE5713" w14:textId="77777777" w:rsidTr="001F5A33">
        <w:tc>
          <w:tcPr>
            <w:tcW w:w="1271" w:type="dxa"/>
            <w:tcMar>
              <w:left w:w="57" w:type="dxa"/>
              <w:right w:w="0" w:type="dxa"/>
            </w:tcMar>
          </w:tcPr>
          <w:p w14:paraId="534FAEC8" w14:textId="77777777"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AEMPS</w:t>
            </w:r>
          </w:p>
        </w:tc>
        <w:tc>
          <w:tcPr>
            <w:tcW w:w="7223" w:type="dxa"/>
            <w:tcMar>
              <w:left w:w="57" w:type="dxa"/>
              <w:right w:w="0" w:type="dxa"/>
            </w:tcMar>
          </w:tcPr>
          <w:p w14:paraId="32F10EB7" w14:textId="77777777" w:rsidR="00291249" w:rsidRPr="00EE1B6B" w:rsidRDefault="00291249" w:rsidP="00291249">
            <w:pPr>
              <w:spacing w:after="0" w:line="240" w:lineRule="auto"/>
              <w:rPr>
                <w:rFonts w:cs="Calibri Light"/>
                <w:sz w:val="20"/>
                <w:szCs w:val="20"/>
                <w:lang w:val="es-CL"/>
              </w:rPr>
            </w:pPr>
            <w:r w:rsidRPr="00EE1B6B">
              <w:rPr>
                <w:rFonts w:cs="Calibri Light"/>
                <w:sz w:val="20"/>
                <w:szCs w:val="20"/>
                <w:lang w:val="es-CL"/>
              </w:rPr>
              <w:t>Agencia Española de Medicamentos y Productos Sanitarios</w:t>
            </w:r>
          </w:p>
        </w:tc>
      </w:tr>
      <w:tr w:rsidR="00291249" w:rsidRPr="00221992" w14:paraId="0F0D2B03" w14:textId="77777777" w:rsidTr="001F5A33">
        <w:tc>
          <w:tcPr>
            <w:tcW w:w="1271" w:type="dxa"/>
            <w:tcMar>
              <w:left w:w="57" w:type="dxa"/>
              <w:right w:w="0" w:type="dxa"/>
            </w:tcMar>
          </w:tcPr>
          <w:p w14:paraId="5AEF5083" w14:textId="77777777"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AF</w:t>
            </w:r>
          </w:p>
        </w:tc>
        <w:tc>
          <w:tcPr>
            <w:tcW w:w="7223" w:type="dxa"/>
            <w:tcMar>
              <w:left w:w="57" w:type="dxa"/>
              <w:right w:w="0" w:type="dxa"/>
            </w:tcMar>
          </w:tcPr>
          <w:p w14:paraId="29F09EE9" w14:textId="77777777"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atrial fibrillation</w:t>
            </w:r>
          </w:p>
        </w:tc>
      </w:tr>
      <w:tr w:rsidR="00291249" w:rsidRPr="00845AFF" w14:paraId="55EA2171" w14:textId="77777777" w:rsidTr="001F5A33">
        <w:tc>
          <w:tcPr>
            <w:tcW w:w="1271" w:type="dxa"/>
            <w:tcMar>
              <w:left w:w="57" w:type="dxa"/>
              <w:right w:w="0" w:type="dxa"/>
            </w:tcMar>
          </w:tcPr>
          <w:p w14:paraId="0737C7D1" w14:textId="77777777"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AFIA</w:t>
            </w:r>
          </w:p>
        </w:tc>
        <w:tc>
          <w:tcPr>
            <w:tcW w:w="7223" w:type="dxa"/>
            <w:tcMar>
              <w:left w:w="57" w:type="dxa"/>
              <w:right w:w="0" w:type="dxa"/>
            </w:tcMar>
          </w:tcPr>
          <w:p w14:paraId="01F95979" w14:textId="1A6037FA" w:rsidR="00291249" w:rsidRPr="000C66C0" w:rsidRDefault="00291249" w:rsidP="00291249">
            <w:pPr>
              <w:spacing w:after="0" w:line="240" w:lineRule="auto"/>
              <w:rPr>
                <w:rFonts w:cs="Calibri Light"/>
                <w:sz w:val="20"/>
                <w:szCs w:val="20"/>
                <w:lang w:val="es-CL"/>
              </w:rPr>
            </w:pPr>
            <w:r w:rsidRPr="000C66C0">
              <w:rPr>
                <w:rFonts w:cs="Calibri Light"/>
                <w:sz w:val="20"/>
                <w:szCs w:val="20"/>
                <w:lang w:val="es-CL"/>
              </w:rPr>
              <w:t>Agenzia Italiana del Farmaco</w:t>
            </w:r>
            <w:r w:rsidR="003B40A3" w:rsidRPr="000C66C0">
              <w:rPr>
                <w:rFonts w:cs="Calibri Light"/>
                <w:sz w:val="20"/>
                <w:szCs w:val="20"/>
                <w:lang w:val="es-CL"/>
              </w:rPr>
              <w:t xml:space="preserve"> (Italy)</w:t>
            </w:r>
          </w:p>
        </w:tc>
      </w:tr>
      <w:tr w:rsidR="00291249" w:rsidRPr="00221992" w14:paraId="1A10A7BC" w14:textId="77777777" w:rsidTr="001F5A33">
        <w:tc>
          <w:tcPr>
            <w:tcW w:w="1271" w:type="dxa"/>
            <w:tcMar>
              <w:left w:w="57" w:type="dxa"/>
              <w:right w:w="0" w:type="dxa"/>
            </w:tcMar>
          </w:tcPr>
          <w:p w14:paraId="1211C585" w14:textId="77777777"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AMNOG</w:t>
            </w:r>
          </w:p>
        </w:tc>
        <w:tc>
          <w:tcPr>
            <w:tcW w:w="7223" w:type="dxa"/>
            <w:tcMar>
              <w:left w:w="57" w:type="dxa"/>
              <w:right w:w="0" w:type="dxa"/>
            </w:tcMar>
          </w:tcPr>
          <w:p w14:paraId="4ED34526" w14:textId="77777777"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Arzneimittelmarkt Neuordnungsgesetz (Pharmaceuticals Market Reorganisation Act)</w:t>
            </w:r>
          </w:p>
        </w:tc>
      </w:tr>
      <w:tr w:rsidR="00291249" w:rsidRPr="00221992" w14:paraId="12FE90D6" w14:textId="77777777" w:rsidTr="001F5A33">
        <w:tc>
          <w:tcPr>
            <w:tcW w:w="1271" w:type="dxa"/>
            <w:tcMar>
              <w:left w:w="57" w:type="dxa"/>
              <w:right w:w="0" w:type="dxa"/>
            </w:tcMar>
          </w:tcPr>
          <w:p w14:paraId="0BFFA47A" w14:textId="77777777"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AMVSG</w:t>
            </w:r>
          </w:p>
        </w:tc>
        <w:tc>
          <w:tcPr>
            <w:tcW w:w="7223" w:type="dxa"/>
            <w:tcMar>
              <w:left w:w="57" w:type="dxa"/>
              <w:right w:w="0" w:type="dxa"/>
            </w:tcMar>
          </w:tcPr>
          <w:p w14:paraId="6955933E" w14:textId="77777777"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Entwurf eines Gesetzes zur Stärkung der Arzneimittelversorgung in der GKV</w:t>
            </w:r>
          </w:p>
        </w:tc>
      </w:tr>
      <w:tr w:rsidR="00291249" w:rsidRPr="00221992" w14:paraId="3C707B38" w14:textId="77777777" w:rsidTr="001F5A33">
        <w:tc>
          <w:tcPr>
            <w:tcW w:w="1271" w:type="dxa"/>
            <w:tcMar>
              <w:left w:w="57" w:type="dxa"/>
              <w:right w:w="0" w:type="dxa"/>
            </w:tcMar>
          </w:tcPr>
          <w:p w14:paraId="4B071704" w14:textId="77777777"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ARCS</w:t>
            </w:r>
          </w:p>
        </w:tc>
        <w:tc>
          <w:tcPr>
            <w:tcW w:w="7223" w:type="dxa"/>
            <w:tcMar>
              <w:left w:w="57" w:type="dxa"/>
              <w:right w:w="0" w:type="dxa"/>
            </w:tcMar>
          </w:tcPr>
          <w:p w14:paraId="6A0AD3E9" w14:textId="393777AA"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 xml:space="preserve">Association </w:t>
            </w:r>
            <w:r w:rsidR="00221992" w:rsidRPr="00221992">
              <w:rPr>
                <w:rFonts w:cs="Calibri Light"/>
                <w:sz w:val="20"/>
                <w:szCs w:val="20"/>
                <w:lang w:val="en-GB"/>
              </w:rPr>
              <w:t>of</w:t>
            </w:r>
            <w:r w:rsidRPr="00221992">
              <w:rPr>
                <w:rFonts w:cs="Calibri Light"/>
                <w:sz w:val="20"/>
                <w:szCs w:val="20"/>
                <w:lang w:val="en-GB"/>
              </w:rPr>
              <w:t xml:space="preserve"> Regulatory and Clinical Scientists</w:t>
            </w:r>
          </w:p>
        </w:tc>
      </w:tr>
      <w:tr w:rsidR="00291249" w:rsidRPr="00221992" w14:paraId="7425FF9A" w14:textId="77777777" w:rsidTr="001F5A33">
        <w:tc>
          <w:tcPr>
            <w:tcW w:w="1271" w:type="dxa"/>
            <w:tcMar>
              <w:left w:w="57" w:type="dxa"/>
              <w:right w:w="0" w:type="dxa"/>
            </w:tcMar>
          </w:tcPr>
          <w:p w14:paraId="4233EA8F" w14:textId="77777777"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ASMR</w:t>
            </w:r>
          </w:p>
        </w:tc>
        <w:tc>
          <w:tcPr>
            <w:tcW w:w="7223" w:type="dxa"/>
            <w:tcMar>
              <w:left w:w="57" w:type="dxa"/>
              <w:right w:w="0" w:type="dxa"/>
            </w:tcMar>
          </w:tcPr>
          <w:p w14:paraId="5CBA5A45" w14:textId="77777777"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Improvement in therapeutic benefit (Authority of Health Scale, France)</w:t>
            </w:r>
          </w:p>
        </w:tc>
      </w:tr>
      <w:tr w:rsidR="00291249" w:rsidRPr="00221992" w14:paraId="0896C7BE" w14:textId="77777777" w:rsidTr="001F5A33">
        <w:tc>
          <w:tcPr>
            <w:tcW w:w="1271" w:type="dxa"/>
            <w:tcMar>
              <w:left w:w="57" w:type="dxa"/>
              <w:right w:w="0" w:type="dxa"/>
            </w:tcMar>
          </w:tcPr>
          <w:p w14:paraId="70CB9E6B" w14:textId="77777777"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ATMP</w:t>
            </w:r>
          </w:p>
        </w:tc>
        <w:tc>
          <w:tcPr>
            <w:tcW w:w="7223" w:type="dxa"/>
            <w:tcMar>
              <w:left w:w="57" w:type="dxa"/>
              <w:right w:w="0" w:type="dxa"/>
            </w:tcMar>
          </w:tcPr>
          <w:p w14:paraId="4E89693A" w14:textId="77777777"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advanced therapy medicinal product</w:t>
            </w:r>
          </w:p>
        </w:tc>
      </w:tr>
      <w:tr w:rsidR="00291249" w:rsidRPr="00221992" w14:paraId="3C6353A2" w14:textId="77777777" w:rsidTr="001F5A33">
        <w:tc>
          <w:tcPr>
            <w:tcW w:w="1271" w:type="dxa"/>
            <w:tcMar>
              <w:left w:w="57" w:type="dxa"/>
              <w:right w:w="0" w:type="dxa"/>
            </w:tcMar>
          </w:tcPr>
          <w:p w14:paraId="1B796631" w14:textId="77777777"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ATU</w:t>
            </w:r>
          </w:p>
        </w:tc>
        <w:tc>
          <w:tcPr>
            <w:tcW w:w="7223" w:type="dxa"/>
            <w:tcMar>
              <w:left w:w="57" w:type="dxa"/>
              <w:right w:w="0" w:type="dxa"/>
            </w:tcMar>
          </w:tcPr>
          <w:p w14:paraId="1B52390C" w14:textId="583CDA62"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Autorisation Temporaire d</w:t>
            </w:r>
            <w:r w:rsidR="00551786">
              <w:rPr>
                <w:rFonts w:cs="Calibri Light"/>
                <w:sz w:val="20"/>
                <w:szCs w:val="20"/>
                <w:lang w:val="en-GB"/>
              </w:rPr>
              <w:t>’</w:t>
            </w:r>
            <w:r w:rsidRPr="00221992">
              <w:rPr>
                <w:rFonts w:cs="Calibri Light"/>
                <w:sz w:val="20"/>
                <w:szCs w:val="20"/>
                <w:lang w:val="en-GB"/>
              </w:rPr>
              <w:t>Utilisation</w:t>
            </w:r>
            <w:r w:rsidR="003B40A3">
              <w:rPr>
                <w:rFonts w:cs="Calibri Light"/>
                <w:sz w:val="20"/>
                <w:szCs w:val="20"/>
                <w:lang w:val="en-GB"/>
              </w:rPr>
              <w:t xml:space="preserve"> (France)</w:t>
            </w:r>
          </w:p>
        </w:tc>
      </w:tr>
      <w:tr w:rsidR="007A3CF4" w:rsidRPr="00221992" w14:paraId="13277C1F" w14:textId="77777777" w:rsidTr="001F5A33">
        <w:tc>
          <w:tcPr>
            <w:tcW w:w="1271" w:type="dxa"/>
            <w:tcMar>
              <w:left w:w="57" w:type="dxa"/>
              <w:right w:w="0" w:type="dxa"/>
            </w:tcMar>
          </w:tcPr>
          <w:p w14:paraId="3352E2E5" w14:textId="072F348D" w:rsidR="007A3CF4" w:rsidRPr="00221992" w:rsidRDefault="007A3CF4" w:rsidP="007A3CF4">
            <w:pPr>
              <w:spacing w:after="0" w:line="240" w:lineRule="auto"/>
              <w:rPr>
                <w:rFonts w:cs="Calibri Light"/>
                <w:sz w:val="20"/>
                <w:szCs w:val="20"/>
                <w:lang w:val="en-GB"/>
              </w:rPr>
            </w:pPr>
            <w:r>
              <w:rPr>
                <w:rFonts w:cs="Calibri Light"/>
                <w:sz w:val="20"/>
                <w:szCs w:val="20"/>
                <w:lang w:val="en-GB" w:eastAsia="en-US"/>
              </w:rPr>
              <w:t>Binding/non-binding decision</w:t>
            </w:r>
          </w:p>
        </w:tc>
        <w:tc>
          <w:tcPr>
            <w:tcW w:w="7223" w:type="dxa"/>
            <w:tcMar>
              <w:left w:w="57" w:type="dxa"/>
              <w:right w:w="0" w:type="dxa"/>
            </w:tcMar>
          </w:tcPr>
          <w:p w14:paraId="0DD72EB5" w14:textId="6126F109" w:rsidR="007A3CF4" w:rsidRPr="00221992" w:rsidRDefault="008460F2" w:rsidP="007A3CF4">
            <w:pPr>
              <w:spacing w:after="0" w:line="240" w:lineRule="auto"/>
              <w:rPr>
                <w:rFonts w:cs="Calibri Light"/>
                <w:sz w:val="20"/>
                <w:szCs w:val="20"/>
                <w:lang w:val="en-GB"/>
              </w:rPr>
            </w:pPr>
            <w:r>
              <w:rPr>
                <w:rFonts w:cs="Calibri Light"/>
                <w:sz w:val="20"/>
                <w:szCs w:val="20"/>
                <w:lang w:val="en-GB" w:eastAsia="en-US"/>
              </w:rPr>
              <w:t>A</w:t>
            </w:r>
            <w:r w:rsidR="007A3CF4">
              <w:rPr>
                <w:rFonts w:cs="Calibri Light"/>
                <w:sz w:val="20"/>
                <w:szCs w:val="20"/>
                <w:lang w:val="en-GB" w:eastAsia="en-US"/>
              </w:rPr>
              <w:t xml:space="preserve"> </w:t>
            </w:r>
            <w:r>
              <w:rPr>
                <w:rFonts w:cs="Calibri Light"/>
                <w:sz w:val="20"/>
                <w:szCs w:val="20"/>
                <w:lang w:val="en-GB" w:eastAsia="en-US"/>
              </w:rPr>
              <w:t xml:space="preserve">positive </w:t>
            </w:r>
            <w:r w:rsidR="007A3CF4">
              <w:rPr>
                <w:rFonts w:cs="Calibri Light"/>
                <w:sz w:val="20"/>
                <w:szCs w:val="20"/>
                <w:lang w:val="en-GB" w:eastAsia="en-US"/>
              </w:rPr>
              <w:t>HTA recommendation</w:t>
            </w:r>
            <w:r w:rsidR="002A1281">
              <w:rPr>
                <w:rFonts w:cs="Calibri Light"/>
                <w:sz w:val="20"/>
                <w:szCs w:val="20"/>
                <w:lang w:val="en-GB" w:eastAsia="en-US"/>
              </w:rPr>
              <w:t xml:space="preserve"> </w:t>
            </w:r>
            <w:r>
              <w:rPr>
                <w:rFonts w:cs="Calibri Light"/>
                <w:sz w:val="20"/>
                <w:szCs w:val="20"/>
                <w:lang w:val="en-GB" w:eastAsia="en-US"/>
              </w:rPr>
              <w:t xml:space="preserve">is binding if it </w:t>
            </w:r>
            <w:r w:rsidR="002A1281">
              <w:rPr>
                <w:rFonts w:cs="Calibri Light"/>
                <w:sz w:val="20"/>
                <w:szCs w:val="20"/>
                <w:lang w:val="en-GB" w:eastAsia="en-US"/>
              </w:rPr>
              <w:t>mandates listing/funding</w:t>
            </w:r>
            <w:r w:rsidR="007A3CF4">
              <w:rPr>
                <w:rFonts w:cs="Calibri Light"/>
                <w:sz w:val="20"/>
                <w:szCs w:val="20"/>
                <w:lang w:val="en-GB" w:eastAsia="en-US"/>
              </w:rPr>
              <w:t xml:space="preserve">. </w:t>
            </w:r>
            <w:r>
              <w:rPr>
                <w:rFonts w:cs="Calibri Light"/>
                <w:sz w:val="20"/>
                <w:szCs w:val="20"/>
                <w:lang w:val="en-GB" w:eastAsia="en-US"/>
              </w:rPr>
              <w:t>A</w:t>
            </w:r>
            <w:r w:rsidR="007A3CF4">
              <w:rPr>
                <w:rFonts w:cs="Calibri Light"/>
                <w:sz w:val="20"/>
                <w:szCs w:val="20"/>
                <w:lang w:val="en-GB" w:eastAsia="en-US"/>
              </w:rPr>
              <w:t xml:space="preserve"> non-binding HTA recommendation </w:t>
            </w:r>
            <w:r>
              <w:rPr>
                <w:rFonts w:cs="Calibri Light"/>
                <w:sz w:val="20"/>
                <w:szCs w:val="20"/>
                <w:lang w:val="en-GB" w:eastAsia="en-US"/>
              </w:rPr>
              <w:t xml:space="preserve">implies </w:t>
            </w:r>
            <w:r w:rsidR="007A3CF4">
              <w:rPr>
                <w:rFonts w:cs="Calibri Light"/>
                <w:sz w:val="20"/>
                <w:szCs w:val="20"/>
                <w:lang w:val="en-GB" w:eastAsia="en-US"/>
              </w:rPr>
              <w:t xml:space="preserve">the final </w:t>
            </w:r>
            <w:r>
              <w:rPr>
                <w:rFonts w:cs="Calibri Light"/>
                <w:sz w:val="20"/>
                <w:szCs w:val="20"/>
                <w:lang w:val="en-GB" w:eastAsia="en-US"/>
              </w:rPr>
              <w:t xml:space="preserve">listing/funding </w:t>
            </w:r>
            <w:r w:rsidR="007A3CF4">
              <w:rPr>
                <w:rFonts w:cs="Calibri Light"/>
                <w:sz w:val="20"/>
                <w:szCs w:val="20"/>
                <w:lang w:val="en-GB" w:eastAsia="en-US"/>
              </w:rPr>
              <w:t xml:space="preserve">decision sits </w:t>
            </w:r>
            <w:r>
              <w:rPr>
                <w:rFonts w:cs="Calibri Light"/>
                <w:sz w:val="20"/>
                <w:szCs w:val="20"/>
                <w:lang w:val="en-GB" w:eastAsia="en-US"/>
              </w:rPr>
              <w:t>with</w:t>
            </w:r>
            <w:r w:rsidR="007A3CF4">
              <w:rPr>
                <w:rFonts w:cs="Calibri Light"/>
                <w:sz w:val="20"/>
                <w:szCs w:val="20"/>
                <w:lang w:val="en-GB" w:eastAsia="en-US"/>
              </w:rPr>
              <w:t xml:space="preserve"> a different authority. </w:t>
            </w:r>
          </w:p>
        </w:tc>
      </w:tr>
      <w:tr w:rsidR="00291249" w:rsidRPr="00221992" w14:paraId="654B371D" w14:textId="77777777" w:rsidTr="001F5A33">
        <w:tc>
          <w:tcPr>
            <w:tcW w:w="1271" w:type="dxa"/>
            <w:tcMar>
              <w:left w:w="57" w:type="dxa"/>
              <w:right w:w="0" w:type="dxa"/>
            </w:tcMar>
          </w:tcPr>
          <w:p w14:paraId="498C3243" w14:textId="77777777"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BTD</w:t>
            </w:r>
          </w:p>
        </w:tc>
        <w:tc>
          <w:tcPr>
            <w:tcW w:w="7223" w:type="dxa"/>
            <w:tcMar>
              <w:left w:w="57" w:type="dxa"/>
              <w:right w:w="0" w:type="dxa"/>
            </w:tcMar>
          </w:tcPr>
          <w:p w14:paraId="227107F6" w14:textId="77777777"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breakthrough designation</w:t>
            </w:r>
          </w:p>
        </w:tc>
      </w:tr>
      <w:tr w:rsidR="00291249" w:rsidRPr="00221992" w14:paraId="41EF90A0" w14:textId="77777777" w:rsidTr="001F5A33">
        <w:tc>
          <w:tcPr>
            <w:tcW w:w="1271" w:type="dxa"/>
            <w:tcMar>
              <w:left w:w="57" w:type="dxa"/>
              <w:right w:w="0" w:type="dxa"/>
            </w:tcMar>
          </w:tcPr>
          <w:p w14:paraId="118E5012" w14:textId="77777777"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CA</w:t>
            </w:r>
          </w:p>
        </w:tc>
        <w:tc>
          <w:tcPr>
            <w:tcW w:w="7223" w:type="dxa"/>
            <w:tcMar>
              <w:left w:w="57" w:type="dxa"/>
              <w:right w:w="0" w:type="dxa"/>
            </w:tcMar>
          </w:tcPr>
          <w:p w14:paraId="1BA271AC" w14:textId="77777777"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Conditional approval</w:t>
            </w:r>
          </w:p>
        </w:tc>
      </w:tr>
      <w:tr w:rsidR="00291249" w:rsidRPr="00221992" w14:paraId="2F817890" w14:textId="77777777" w:rsidTr="001F5A33">
        <w:tc>
          <w:tcPr>
            <w:tcW w:w="1271" w:type="dxa"/>
            <w:tcMar>
              <w:left w:w="57" w:type="dxa"/>
              <w:right w:w="0" w:type="dxa"/>
            </w:tcMar>
          </w:tcPr>
          <w:p w14:paraId="1E8C2C5C" w14:textId="77777777"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CAC</w:t>
            </w:r>
          </w:p>
        </w:tc>
        <w:tc>
          <w:tcPr>
            <w:tcW w:w="7223" w:type="dxa"/>
            <w:tcMar>
              <w:left w:w="57" w:type="dxa"/>
              <w:right w:w="0" w:type="dxa"/>
            </w:tcMar>
          </w:tcPr>
          <w:p w14:paraId="028E7DEC" w14:textId="77777777"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Conditional Approval of Coverage</w:t>
            </w:r>
          </w:p>
        </w:tc>
      </w:tr>
      <w:tr w:rsidR="00291249" w:rsidRPr="00221992" w14:paraId="6894627D" w14:textId="77777777" w:rsidTr="001F5A33">
        <w:tc>
          <w:tcPr>
            <w:tcW w:w="1271" w:type="dxa"/>
            <w:tcMar>
              <w:left w:w="57" w:type="dxa"/>
              <w:right w:w="0" w:type="dxa"/>
            </w:tcMar>
          </w:tcPr>
          <w:p w14:paraId="14FAFE24" w14:textId="77777777"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CADTH</w:t>
            </w:r>
          </w:p>
        </w:tc>
        <w:tc>
          <w:tcPr>
            <w:tcW w:w="7223" w:type="dxa"/>
            <w:tcMar>
              <w:left w:w="57" w:type="dxa"/>
              <w:right w:w="0" w:type="dxa"/>
            </w:tcMar>
          </w:tcPr>
          <w:p w14:paraId="7BF45CAD" w14:textId="3B90852E"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 xml:space="preserve">Canadian Agency for Drugs and Technologies in Health </w:t>
            </w:r>
            <w:r w:rsidR="003B40A3">
              <w:rPr>
                <w:rFonts w:cs="Calibri Light"/>
                <w:sz w:val="20"/>
                <w:szCs w:val="20"/>
                <w:lang w:val="en-GB"/>
              </w:rPr>
              <w:t>(Canada)</w:t>
            </w:r>
          </w:p>
        </w:tc>
      </w:tr>
      <w:tr w:rsidR="00291249" w:rsidRPr="00221992" w14:paraId="5632044B" w14:textId="77777777" w:rsidTr="001F5A33">
        <w:tc>
          <w:tcPr>
            <w:tcW w:w="1271" w:type="dxa"/>
            <w:tcMar>
              <w:left w:w="57" w:type="dxa"/>
              <w:right w:w="0" w:type="dxa"/>
            </w:tcMar>
          </w:tcPr>
          <w:p w14:paraId="1F93492D" w14:textId="77777777"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CAS</w:t>
            </w:r>
          </w:p>
        </w:tc>
        <w:tc>
          <w:tcPr>
            <w:tcW w:w="7223" w:type="dxa"/>
            <w:tcMar>
              <w:left w:w="57" w:type="dxa"/>
              <w:right w:w="0" w:type="dxa"/>
            </w:tcMar>
          </w:tcPr>
          <w:p w14:paraId="706B0F2C" w14:textId="77777777"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 xml:space="preserve">conditional access scheme </w:t>
            </w:r>
          </w:p>
        </w:tc>
      </w:tr>
      <w:tr w:rsidR="00291249" w:rsidRPr="00221992" w14:paraId="554E8AC6" w14:textId="77777777" w:rsidTr="001F5A33">
        <w:tc>
          <w:tcPr>
            <w:tcW w:w="1271" w:type="dxa"/>
            <w:tcMar>
              <w:left w:w="57" w:type="dxa"/>
              <w:right w:w="0" w:type="dxa"/>
            </w:tcMar>
          </w:tcPr>
          <w:p w14:paraId="57DB8E15" w14:textId="77777777"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CCA</w:t>
            </w:r>
          </w:p>
        </w:tc>
        <w:tc>
          <w:tcPr>
            <w:tcW w:w="7223" w:type="dxa"/>
            <w:tcMar>
              <w:left w:w="57" w:type="dxa"/>
              <w:right w:w="0" w:type="dxa"/>
            </w:tcMar>
          </w:tcPr>
          <w:p w14:paraId="1CE6977E" w14:textId="77777777"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competitive commercial access agreement</w:t>
            </w:r>
          </w:p>
        </w:tc>
      </w:tr>
      <w:tr w:rsidR="00291249" w:rsidRPr="00221992" w14:paraId="5CAE54A1" w14:textId="77777777" w:rsidTr="001F5A33">
        <w:tc>
          <w:tcPr>
            <w:tcW w:w="1271" w:type="dxa"/>
            <w:tcMar>
              <w:left w:w="57" w:type="dxa"/>
              <w:right w:w="0" w:type="dxa"/>
            </w:tcMar>
          </w:tcPr>
          <w:p w14:paraId="412EAB24" w14:textId="77777777"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CDF</w:t>
            </w:r>
          </w:p>
        </w:tc>
        <w:tc>
          <w:tcPr>
            <w:tcW w:w="7223" w:type="dxa"/>
            <w:tcMar>
              <w:left w:w="57" w:type="dxa"/>
              <w:right w:w="0" w:type="dxa"/>
            </w:tcMar>
          </w:tcPr>
          <w:p w14:paraId="36685C6B" w14:textId="22EE8F0B"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Cancer Drug Fund</w:t>
            </w:r>
            <w:r w:rsidR="003B40A3">
              <w:rPr>
                <w:rFonts w:cs="Calibri Light"/>
                <w:sz w:val="20"/>
                <w:szCs w:val="20"/>
                <w:lang w:val="en-GB"/>
              </w:rPr>
              <w:t xml:space="preserve"> (England)</w:t>
            </w:r>
          </w:p>
        </w:tc>
      </w:tr>
      <w:tr w:rsidR="00291249" w:rsidRPr="00221992" w14:paraId="3FA1B52C" w14:textId="77777777" w:rsidTr="001F5A33">
        <w:tc>
          <w:tcPr>
            <w:tcW w:w="1271" w:type="dxa"/>
            <w:tcMar>
              <w:left w:w="57" w:type="dxa"/>
              <w:right w:w="0" w:type="dxa"/>
            </w:tcMar>
          </w:tcPr>
          <w:p w14:paraId="26F18393" w14:textId="77777777"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CDR</w:t>
            </w:r>
          </w:p>
        </w:tc>
        <w:tc>
          <w:tcPr>
            <w:tcW w:w="7223" w:type="dxa"/>
            <w:tcMar>
              <w:left w:w="57" w:type="dxa"/>
              <w:right w:w="0" w:type="dxa"/>
            </w:tcMar>
          </w:tcPr>
          <w:p w14:paraId="1A516523" w14:textId="5EFC0AFA"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Common drug review</w:t>
            </w:r>
            <w:r w:rsidR="003B40A3">
              <w:rPr>
                <w:rFonts w:cs="Calibri Light"/>
                <w:sz w:val="20"/>
                <w:szCs w:val="20"/>
                <w:lang w:val="en-GB"/>
              </w:rPr>
              <w:t xml:space="preserve"> (Canada)</w:t>
            </w:r>
          </w:p>
        </w:tc>
      </w:tr>
      <w:tr w:rsidR="00291249" w:rsidRPr="00221992" w14:paraId="40C1E439" w14:textId="77777777" w:rsidTr="001F5A33">
        <w:tc>
          <w:tcPr>
            <w:tcW w:w="1271" w:type="dxa"/>
            <w:tcMar>
              <w:left w:w="57" w:type="dxa"/>
              <w:right w:w="0" w:type="dxa"/>
            </w:tcMar>
          </w:tcPr>
          <w:p w14:paraId="39B0416F" w14:textId="77777777"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CED</w:t>
            </w:r>
          </w:p>
        </w:tc>
        <w:tc>
          <w:tcPr>
            <w:tcW w:w="7223" w:type="dxa"/>
            <w:tcMar>
              <w:left w:w="57" w:type="dxa"/>
              <w:right w:w="0" w:type="dxa"/>
            </w:tcMar>
          </w:tcPr>
          <w:p w14:paraId="39CB211B" w14:textId="57B4FB5F" w:rsidR="00291249" w:rsidRPr="00221992" w:rsidRDefault="00B80CB8" w:rsidP="00D82A66">
            <w:pPr>
              <w:spacing w:after="0" w:line="240" w:lineRule="auto"/>
              <w:rPr>
                <w:rFonts w:cs="Calibri Light"/>
                <w:sz w:val="20"/>
                <w:szCs w:val="20"/>
                <w:lang w:val="en-GB"/>
              </w:rPr>
            </w:pPr>
            <w:r>
              <w:rPr>
                <w:rFonts w:cs="Calibri Light"/>
                <w:sz w:val="20"/>
                <w:szCs w:val="20"/>
                <w:lang w:val="en-GB"/>
              </w:rPr>
              <w:t>C</w:t>
            </w:r>
            <w:r w:rsidR="00291249" w:rsidRPr="00221992">
              <w:rPr>
                <w:rFonts w:cs="Calibri Light"/>
                <w:sz w:val="20"/>
                <w:szCs w:val="20"/>
                <w:lang w:val="en-GB"/>
              </w:rPr>
              <w:t>overage with evidence development</w:t>
            </w:r>
            <w:r w:rsidR="00D82A66">
              <w:rPr>
                <w:rFonts w:cs="Calibri Light"/>
                <w:sz w:val="20"/>
                <w:szCs w:val="20"/>
                <w:lang w:val="en-GB"/>
              </w:rPr>
              <w:t>—</w:t>
            </w:r>
            <w:r w:rsidR="007A3CF4" w:rsidRPr="007A3CF4">
              <w:rPr>
                <w:rFonts w:cs="Calibri Light"/>
                <w:sz w:val="20"/>
                <w:szCs w:val="20"/>
                <w:lang w:val="en-GB"/>
              </w:rPr>
              <w:t>Early funding of a health technology conditional on gathering additional evidence to address the sources of uncertainty. (Also called access with evidence development.) (HTA Glossary)</w:t>
            </w:r>
          </w:p>
        </w:tc>
      </w:tr>
      <w:tr w:rsidR="00291249" w:rsidRPr="00221992" w14:paraId="6F1CED19" w14:textId="77777777" w:rsidTr="001F5A33">
        <w:tc>
          <w:tcPr>
            <w:tcW w:w="1271" w:type="dxa"/>
            <w:tcMar>
              <w:left w:w="57" w:type="dxa"/>
              <w:right w:w="0" w:type="dxa"/>
            </w:tcMar>
          </w:tcPr>
          <w:p w14:paraId="695D2942" w14:textId="77777777"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CEPS</w:t>
            </w:r>
          </w:p>
        </w:tc>
        <w:tc>
          <w:tcPr>
            <w:tcW w:w="7223" w:type="dxa"/>
            <w:tcMar>
              <w:left w:w="57" w:type="dxa"/>
              <w:right w:w="0" w:type="dxa"/>
            </w:tcMar>
          </w:tcPr>
          <w:p w14:paraId="3604BEEA" w14:textId="55205828"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Economic Committee of Health Products</w:t>
            </w:r>
            <w:r w:rsidR="003B40A3">
              <w:rPr>
                <w:rFonts w:cs="Calibri Light"/>
                <w:sz w:val="20"/>
                <w:szCs w:val="20"/>
                <w:lang w:val="en-GB"/>
              </w:rPr>
              <w:t xml:space="preserve"> (France)</w:t>
            </w:r>
          </w:p>
        </w:tc>
      </w:tr>
      <w:tr w:rsidR="00291249" w:rsidRPr="00221992" w14:paraId="27DACDB4" w14:textId="77777777" w:rsidTr="001F5A33">
        <w:tc>
          <w:tcPr>
            <w:tcW w:w="1271" w:type="dxa"/>
            <w:tcMar>
              <w:left w:w="57" w:type="dxa"/>
              <w:right w:w="0" w:type="dxa"/>
            </w:tcMar>
          </w:tcPr>
          <w:p w14:paraId="43C0CCF8" w14:textId="77777777"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CHERE</w:t>
            </w:r>
          </w:p>
        </w:tc>
        <w:tc>
          <w:tcPr>
            <w:tcW w:w="7223" w:type="dxa"/>
            <w:tcMar>
              <w:left w:w="57" w:type="dxa"/>
              <w:right w:w="0" w:type="dxa"/>
            </w:tcMar>
          </w:tcPr>
          <w:p w14:paraId="56842DB8" w14:textId="77777777"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Centre for Health Economics Research and Evaluation</w:t>
            </w:r>
          </w:p>
        </w:tc>
      </w:tr>
      <w:tr w:rsidR="00291249" w:rsidRPr="00221992" w14:paraId="0C0655B8" w14:textId="77777777" w:rsidTr="001F5A33">
        <w:tc>
          <w:tcPr>
            <w:tcW w:w="1271" w:type="dxa"/>
            <w:tcMar>
              <w:left w:w="57" w:type="dxa"/>
              <w:right w:w="0" w:type="dxa"/>
            </w:tcMar>
          </w:tcPr>
          <w:p w14:paraId="10122E69" w14:textId="77777777"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CHMP</w:t>
            </w:r>
          </w:p>
        </w:tc>
        <w:tc>
          <w:tcPr>
            <w:tcW w:w="7223" w:type="dxa"/>
            <w:tcMar>
              <w:left w:w="57" w:type="dxa"/>
              <w:right w:w="0" w:type="dxa"/>
            </w:tcMar>
          </w:tcPr>
          <w:p w14:paraId="248B3894" w14:textId="77777777"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Committee for Medicinal Products for Human Use (EMA)</w:t>
            </w:r>
          </w:p>
        </w:tc>
      </w:tr>
      <w:tr w:rsidR="00291249" w:rsidRPr="00221992" w14:paraId="6A65D6DC" w14:textId="77777777" w:rsidTr="001F5A33">
        <w:tc>
          <w:tcPr>
            <w:tcW w:w="1271" w:type="dxa"/>
            <w:tcMar>
              <w:left w:w="57" w:type="dxa"/>
              <w:right w:w="0" w:type="dxa"/>
            </w:tcMar>
          </w:tcPr>
          <w:p w14:paraId="6A13200D" w14:textId="77777777"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Chuikyo</w:t>
            </w:r>
          </w:p>
        </w:tc>
        <w:tc>
          <w:tcPr>
            <w:tcW w:w="7223" w:type="dxa"/>
            <w:tcMar>
              <w:left w:w="57" w:type="dxa"/>
              <w:right w:w="0" w:type="dxa"/>
            </w:tcMar>
          </w:tcPr>
          <w:p w14:paraId="7AC17301" w14:textId="6822B15B" w:rsidR="00291249" w:rsidRPr="00221992" w:rsidRDefault="00291249" w:rsidP="00D82A66">
            <w:pPr>
              <w:tabs>
                <w:tab w:val="left" w:pos="3718"/>
              </w:tabs>
              <w:spacing w:after="0" w:line="240" w:lineRule="auto"/>
              <w:rPr>
                <w:rFonts w:cs="Calibri Light"/>
                <w:sz w:val="20"/>
                <w:szCs w:val="20"/>
                <w:lang w:val="en-GB"/>
              </w:rPr>
            </w:pPr>
            <w:r w:rsidRPr="00221992">
              <w:rPr>
                <w:rFonts w:cs="Calibri Light"/>
                <w:sz w:val="20"/>
                <w:szCs w:val="20"/>
                <w:lang w:val="en-GB"/>
              </w:rPr>
              <w:t>Central Social Insurance Medical Council</w:t>
            </w:r>
            <w:r w:rsidR="003B40A3">
              <w:rPr>
                <w:rFonts w:cs="Calibri Light"/>
                <w:sz w:val="20"/>
                <w:szCs w:val="20"/>
                <w:lang w:val="en-GB"/>
              </w:rPr>
              <w:t xml:space="preserve"> (Japan)</w:t>
            </w:r>
          </w:p>
        </w:tc>
      </w:tr>
      <w:tr w:rsidR="00291249" w:rsidRPr="00221992" w14:paraId="3EF439FF" w14:textId="77777777" w:rsidTr="001F5A33">
        <w:tc>
          <w:tcPr>
            <w:tcW w:w="1271" w:type="dxa"/>
            <w:tcMar>
              <w:left w:w="57" w:type="dxa"/>
              <w:right w:w="0" w:type="dxa"/>
            </w:tcMar>
          </w:tcPr>
          <w:p w14:paraId="5FF0AC88" w14:textId="77777777"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CIRS</w:t>
            </w:r>
          </w:p>
        </w:tc>
        <w:tc>
          <w:tcPr>
            <w:tcW w:w="7223" w:type="dxa"/>
            <w:tcMar>
              <w:left w:w="57" w:type="dxa"/>
              <w:right w:w="0" w:type="dxa"/>
            </w:tcMar>
          </w:tcPr>
          <w:p w14:paraId="2F17CBDA" w14:textId="77777777"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Centre for Innovation in Regulatory Science</w:t>
            </w:r>
          </w:p>
        </w:tc>
      </w:tr>
      <w:tr w:rsidR="00291249" w:rsidRPr="00845AFF" w14:paraId="2B929C9B" w14:textId="77777777" w:rsidTr="001F5A33">
        <w:tc>
          <w:tcPr>
            <w:tcW w:w="1271" w:type="dxa"/>
            <w:tcMar>
              <w:left w:w="57" w:type="dxa"/>
              <w:right w:w="0" w:type="dxa"/>
            </w:tcMar>
          </w:tcPr>
          <w:p w14:paraId="3A61B046" w14:textId="77777777"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CISNS</w:t>
            </w:r>
          </w:p>
        </w:tc>
        <w:tc>
          <w:tcPr>
            <w:tcW w:w="7223" w:type="dxa"/>
            <w:tcMar>
              <w:left w:w="57" w:type="dxa"/>
              <w:right w:w="0" w:type="dxa"/>
            </w:tcMar>
          </w:tcPr>
          <w:p w14:paraId="50B42F97" w14:textId="77777777" w:rsidR="00291249" w:rsidRPr="00EE1B6B" w:rsidRDefault="00291249" w:rsidP="00291249">
            <w:pPr>
              <w:spacing w:after="0" w:line="240" w:lineRule="auto"/>
              <w:rPr>
                <w:rFonts w:cs="Calibri Light"/>
                <w:sz w:val="20"/>
                <w:szCs w:val="20"/>
                <w:lang w:val="es-CL"/>
              </w:rPr>
            </w:pPr>
            <w:r w:rsidRPr="00EE1B6B">
              <w:rPr>
                <w:rFonts w:cs="Calibri Light"/>
                <w:sz w:val="20"/>
                <w:szCs w:val="20"/>
                <w:lang w:val="es-CL"/>
              </w:rPr>
              <w:t>Consejo Interterritorial del Servicio Nacional de Salud de España</w:t>
            </w:r>
          </w:p>
        </w:tc>
      </w:tr>
      <w:tr w:rsidR="00291249" w:rsidRPr="00221992" w14:paraId="60C5686D" w14:textId="77777777" w:rsidTr="001F5A33">
        <w:tc>
          <w:tcPr>
            <w:tcW w:w="1271" w:type="dxa"/>
            <w:tcMar>
              <w:left w:w="57" w:type="dxa"/>
              <w:right w:w="0" w:type="dxa"/>
            </w:tcMar>
          </w:tcPr>
          <w:p w14:paraId="328EBD9A" w14:textId="77777777"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CNALEA</w:t>
            </w:r>
          </w:p>
        </w:tc>
        <w:tc>
          <w:tcPr>
            <w:tcW w:w="7223" w:type="dxa"/>
            <w:tcMar>
              <w:left w:w="57" w:type="dxa"/>
              <w:right w:w="0" w:type="dxa"/>
            </w:tcMar>
          </w:tcPr>
          <w:p w14:paraId="290C87E0" w14:textId="4BD47032"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Commissione Nazionale per l</w:t>
            </w:r>
            <w:r w:rsidR="00551786">
              <w:rPr>
                <w:rFonts w:cs="Calibri Light"/>
                <w:sz w:val="20"/>
                <w:szCs w:val="20"/>
                <w:lang w:val="en-GB"/>
              </w:rPr>
              <w:t>’</w:t>
            </w:r>
            <w:r w:rsidRPr="00221992">
              <w:rPr>
                <w:rFonts w:cs="Calibri Light"/>
                <w:sz w:val="20"/>
                <w:szCs w:val="20"/>
                <w:lang w:val="en-GB"/>
              </w:rPr>
              <w:t>aggiornamento dei Livelli Essenziali di Assistenza</w:t>
            </w:r>
          </w:p>
        </w:tc>
      </w:tr>
      <w:tr w:rsidR="00291249" w:rsidRPr="00221992" w14:paraId="22DEDD5E" w14:textId="77777777" w:rsidTr="001F5A33">
        <w:tc>
          <w:tcPr>
            <w:tcW w:w="1271" w:type="dxa"/>
            <w:tcMar>
              <w:left w:w="57" w:type="dxa"/>
              <w:right w:w="0" w:type="dxa"/>
            </w:tcMar>
          </w:tcPr>
          <w:p w14:paraId="10440574" w14:textId="737E482B"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CORE-Healt</w:t>
            </w:r>
            <w:r w:rsidR="001F5A33" w:rsidRPr="00221992">
              <w:rPr>
                <w:rFonts w:cs="Calibri Light"/>
                <w:sz w:val="20"/>
                <w:szCs w:val="20"/>
                <w:lang w:val="en-GB"/>
              </w:rPr>
              <w:t>h</w:t>
            </w:r>
          </w:p>
        </w:tc>
        <w:tc>
          <w:tcPr>
            <w:tcW w:w="7223" w:type="dxa"/>
            <w:tcMar>
              <w:left w:w="57" w:type="dxa"/>
              <w:right w:w="0" w:type="dxa"/>
            </w:tcMar>
          </w:tcPr>
          <w:p w14:paraId="1C91DD2E" w14:textId="77777777"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Center for Outcomes Research and Economic Evaluation for Health</w:t>
            </w:r>
          </w:p>
        </w:tc>
      </w:tr>
      <w:tr w:rsidR="007A3CF4" w:rsidRPr="00221992" w14:paraId="278E2098" w14:textId="77777777" w:rsidTr="001F5A33">
        <w:tc>
          <w:tcPr>
            <w:tcW w:w="1271" w:type="dxa"/>
            <w:tcMar>
              <w:left w:w="57" w:type="dxa"/>
              <w:right w:w="0" w:type="dxa"/>
            </w:tcMar>
          </w:tcPr>
          <w:p w14:paraId="7E5C67DF" w14:textId="6FC76F1E" w:rsidR="007A3CF4" w:rsidRPr="00221992" w:rsidRDefault="007A3CF4" w:rsidP="007A3CF4">
            <w:pPr>
              <w:spacing w:after="0" w:line="240" w:lineRule="auto"/>
              <w:rPr>
                <w:rFonts w:cs="Calibri Light"/>
                <w:sz w:val="20"/>
                <w:szCs w:val="20"/>
                <w:lang w:val="en-GB"/>
              </w:rPr>
            </w:pPr>
            <w:r>
              <w:rPr>
                <w:rFonts w:cs="Calibri Light"/>
                <w:sz w:val="20"/>
                <w:szCs w:val="20"/>
                <w:lang w:val="en-GB" w:eastAsia="en-US"/>
              </w:rPr>
              <w:t>Co-dependant technology</w:t>
            </w:r>
          </w:p>
        </w:tc>
        <w:tc>
          <w:tcPr>
            <w:tcW w:w="7223" w:type="dxa"/>
            <w:tcMar>
              <w:left w:w="57" w:type="dxa"/>
              <w:right w:w="0" w:type="dxa"/>
            </w:tcMar>
          </w:tcPr>
          <w:p w14:paraId="3A09DDC8" w14:textId="239C7CF8" w:rsidR="007A3CF4" w:rsidRPr="00221992" w:rsidRDefault="007A3CF4" w:rsidP="007A3CF4">
            <w:pPr>
              <w:spacing w:after="0" w:line="240" w:lineRule="auto"/>
              <w:rPr>
                <w:rFonts w:cs="Calibri Light"/>
                <w:sz w:val="20"/>
                <w:szCs w:val="20"/>
                <w:lang w:val="en-GB"/>
              </w:rPr>
            </w:pPr>
            <w:r>
              <w:rPr>
                <w:rFonts w:cs="Calibri Light"/>
                <w:sz w:val="20"/>
                <w:szCs w:val="20"/>
                <w:lang w:val="en-GB" w:eastAsia="en-US"/>
              </w:rPr>
              <w:t>Form of precision medicine that involves matching patients, primarily through genetic profiling and the detection of predictive biomarkers, with treatments likely to produce the greatest clinical benefit</w:t>
            </w:r>
            <w:r w:rsidR="00B80CB8">
              <w:rPr>
                <w:rFonts w:cs="Calibri Light"/>
                <w:sz w:val="20"/>
                <w:szCs w:val="20"/>
                <w:lang w:val="en-GB" w:eastAsia="en-US"/>
              </w:rPr>
              <w:t>.</w:t>
            </w:r>
          </w:p>
        </w:tc>
      </w:tr>
      <w:tr w:rsidR="00291249" w:rsidRPr="00221992" w14:paraId="56D12732" w14:textId="77777777" w:rsidTr="001F5A33">
        <w:tc>
          <w:tcPr>
            <w:tcW w:w="1271" w:type="dxa"/>
            <w:tcMar>
              <w:left w:w="57" w:type="dxa"/>
              <w:right w:w="0" w:type="dxa"/>
            </w:tcMar>
          </w:tcPr>
          <w:p w14:paraId="5ADF26B4" w14:textId="77777777"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CPR</w:t>
            </w:r>
          </w:p>
        </w:tc>
        <w:tc>
          <w:tcPr>
            <w:tcW w:w="7223" w:type="dxa"/>
            <w:tcMar>
              <w:left w:w="57" w:type="dxa"/>
              <w:right w:w="0" w:type="dxa"/>
            </w:tcMar>
          </w:tcPr>
          <w:p w14:paraId="3DDCB323" w14:textId="77777777"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Pricing &amp; Reimbursement Committee</w:t>
            </w:r>
          </w:p>
        </w:tc>
      </w:tr>
      <w:tr w:rsidR="00291249" w:rsidRPr="00221992" w14:paraId="635BBE0E" w14:textId="77777777" w:rsidTr="001F5A33">
        <w:tc>
          <w:tcPr>
            <w:tcW w:w="1271" w:type="dxa"/>
            <w:tcMar>
              <w:left w:w="57" w:type="dxa"/>
              <w:right w:w="0" w:type="dxa"/>
            </w:tcMar>
          </w:tcPr>
          <w:p w14:paraId="30D98F11" w14:textId="77777777"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CT</w:t>
            </w:r>
          </w:p>
        </w:tc>
        <w:tc>
          <w:tcPr>
            <w:tcW w:w="7223" w:type="dxa"/>
            <w:tcMar>
              <w:left w:w="57" w:type="dxa"/>
              <w:right w:w="0" w:type="dxa"/>
            </w:tcMar>
          </w:tcPr>
          <w:p w14:paraId="25525A37" w14:textId="77777777"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Clinical trial</w:t>
            </w:r>
          </w:p>
        </w:tc>
      </w:tr>
      <w:tr w:rsidR="00291249" w:rsidRPr="00221992" w14:paraId="26ED0CDF" w14:textId="77777777" w:rsidTr="001F5A33">
        <w:tc>
          <w:tcPr>
            <w:tcW w:w="1271" w:type="dxa"/>
            <w:tcMar>
              <w:left w:w="57" w:type="dxa"/>
              <w:right w:w="0" w:type="dxa"/>
            </w:tcMar>
          </w:tcPr>
          <w:p w14:paraId="51970344" w14:textId="77777777"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CTC</w:t>
            </w:r>
          </w:p>
        </w:tc>
        <w:tc>
          <w:tcPr>
            <w:tcW w:w="7223" w:type="dxa"/>
            <w:tcMar>
              <w:left w:w="57" w:type="dxa"/>
              <w:right w:w="0" w:type="dxa"/>
            </w:tcMar>
          </w:tcPr>
          <w:p w14:paraId="29651BED" w14:textId="77777777"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Conditional treatment continuation</w:t>
            </w:r>
          </w:p>
        </w:tc>
      </w:tr>
      <w:tr w:rsidR="00291249" w:rsidRPr="00221992" w14:paraId="2A248595" w14:textId="77777777" w:rsidTr="001F5A33">
        <w:tc>
          <w:tcPr>
            <w:tcW w:w="1271" w:type="dxa"/>
            <w:tcMar>
              <w:left w:w="57" w:type="dxa"/>
              <w:right w:w="0" w:type="dxa"/>
            </w:tcMar>
          </w:tcPr>
          <w:p w14:paraId="6F137C35" w14:textId="77777777"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CTG</w:t>
            </w:r>
          </w:p>
        </w:tc>
        <w:tc>
          <w:tcPr>
            <w:tcW w:w="7223" w:type="dxa"/>
            <w:tcMar>
              <w:left w:w="57" w:type="dxa"/>
              <w:right w:w="0" w:type="dxa"/>
            </w:tcMar>
          </w:tcPr>
          <w:p w14:paraId="5990FC1B" w14:textId="77777777"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Closing the Gap</w:t>
            </w:r>
          </w:p>
        </w:tc>
      </w:tr>
      <w:tr w:rsidR="00291249" w:rsidRPr="00221992" w14:paraId="02CA79C8" w14:textId="77777777" w:rsidTr="001F5A33">
        <w:tc>
          <w:tcPr>
            <w:tcW w:w="1271" w:type="dxa"/>
            <w:tcMar>
              <w:left w:w="57" w:type="dxa"/>
              <w:right w:w="0" w:type="dxa"/>
            </w:tcMar>
          </w:tcPr>
          <w:p w14:paraId="56255C93" w14:textId="77777777"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CTS</w:t>
            </w:r>
          </w:p>
        </w:tc>
        <w:tc>
          <w:tcPr>
            <w:tcW w:w="7223" w:type="dxa"/>
            <w:tcMar>
              <w:left w:w="57" w:type="dxa"/>
              <w:right w:w="0" w:type="dxa"/>
            </w:tcMar>
          </w:tcPr>
          <w:p w14:paraId="725D5D20" w14:textId="77777777"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Technical-Scientific Commission</w:t>
            </w:r>
          </w:p>
        </w:tc>
      </w:tr>
      <w:tr w:rsidR="00291249" w:rsidRPr="00221992" w14:paraId="1C86C18C" w14:textId="77777777" w:rsidTr="001F5A33">
        <w:tc>
          <w:tcPr>
            <w:tcW w:w="1271" w:type="dxa"/>
            <w:tcMar>
              <w:left w:w="57" w:type="dxa"/>
              <w:right w:w="0" w:type="dxa"/>
            </w:tcMar>
          </w:tcPr>
          <w:p w14:paraId="2CAEA960" w14:textId="77777777"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CUP</w:t>
            </w:r>
          </w:p>
        </w:tc>
        <w:tc>
          <w:tcPr>
            <w:tcW w:w="7223" w:type="dxa"/>
            <w:tcMar>
              <w:left w:w="57" w:type="dxa"/>
              <w:right w:w="0" w:type="dxa"/>
            </w:tcMar>
          </w:tcPr>
          <w:p w14:paraId="43A498CD" w14:textId="77777777"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 xml:space="preserve">Compassionate use program </w:t>
            </w:r>
          </w:p>
        </w:tc>
      </w:tr>
      <w:tr w:rsidR="00291249" w:rsidRPr="00221992" w14:paraId="30ED0771" w14:textId="77777777" w:rsidTr="001F5A33">
        <w:tc>
          <w:tcPr>
            <w:tcW w:w="1271" w:type="dxa"/>
            <w:tcMar>
              <w:left w:w="57" w:type="dxa"/>
              <w:right w:w="0" w:type="dxa"/>
            </w:tcMar>
          </w:tcPr>
          <w:p w14:paraId="78BBDFDD" w14:textId="77777777"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DAC</w:t>
            </w:r>
          </w:p>
        </w:tc>
        <w:tc>
          <w:tcPr>
            <w:tcW w:w="7223" w:type="dxa"/>
            <w:tcMar>
              <w:left w:w="57" w:type="dxa"/>
              <w:right w:w="0" w:type="dxa"/>
            </w:tcMar>
          </w:tcPr>
          <w:p w14:paraId="5A88107A" w14:textId="77777777"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Drug advisory committee</w:t>
            </w:r>
          </w:p>
        </w:tc>
      </w:tr>
      <w:tr w:rsidR="00291249" w:rsidRPr="00221992" w14:paraId="1471F7FD" w14:textId="77777777" w:rsidTr="001F5A33">
        <w:tc>
          <w:tcPr>
            <w:tcW w:w="1271" w:type="dxa"/>
            <w:tcMar>
              <w:left w:w="57" w:type="dxa"/>
              <w:right w:w="0" w:type="dxa"/>
            </w:tcMar>
          </w:tcPr>
          <w:p w14:paraId="10433BD7" w14:textId="77777777"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DAP</w:t>
            </w:r>
          </w:p>
        </w:tc>
        <w:tc>
          <w:tcPr>
            <w:tcW w:w="7223" w:type="dxa"/>
            <w:tcMar>
              <w:left w:w="57" w:type="dxa"/>
              <w:right w:w="0" w:type="dxa"/>
            </w:tcMar>
          </w:tcPr>
          <w:p w14:paraId="7E5B6D03" w14:textId="77777777"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Diagnostic assessment program</w:t>
            </w:r>
          </w:p>
        </w:tc>
      </w:tr>
      <w:tr w:rsidR="00291249" w:rsidRPr="00221992" w14:paraId="7E0A2A1D" w14:textId="77777777" w:rsidTr="001F5A33">
        <w:tc>
          <w:tcPr>
            <w:tcW w:w="1271" w:type="dxa"/>
            <w:tcMar>
              <w:left w:w="57" w:type="dxa"/>
              <w:right w:w="0" w:type="dxa"/>
            </w:tcMar>
          </w:tcPr>
          <w:p w14:paraId="73436DF6" w14:textId="77777777"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DHB</w:t>
            </w:r>
          </w:p>
        </w:tc>
        <w:tc>
          <w:tcPr>
            <w:tcW w:w="7223" w:type="dxa"/>
            <w:tcMar>
              <w:left w:w="57" w:type="dxa"/>
              <w:right w:w="0" w:type="dxa"/>
            </w:tcMar>
          </w:tcPr>
          <w:p w14:paraId="7CDE7A63" w14:textId="77777777"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District Health Board</w:t>
            </w:r>
          </w:p>
        </w:tc>
      </w:tr>
      <w:tr w:rsidR="00291249" w:rsidRPr="00221992" w14:paraId="1F3C0B7A" w14:textId="77777777" w:rsidTr="001F5A33">
        <w:tc>
          <w:tcPr>
            <w:tcW w:w="1271" w:type="dxa"/>
            <w:tcMar>
              <w:left w:w="57" w:type="dxa"/>
              <w:right w:w="0" w:type="dxa"/>
            </w:tcMar>
          </w:tcPr>
          <w:p w14:paraId="66FE8801" w14:textId="77777777"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DRC</w:t>
            </w:r>
          </w:p>
        </w:tc>
        <w:tc>
          <w:tcPr>
            <w:tcW w:w="7223" w:type="dxa"/>
            <w:tcMar>
              <w:left w:w="57" w:type="dxa"/>
              <w:right w:w="0" w:type="dxa"/>
            </w:tcMar>
          </w:tcPr>
          <w:p w14:paraId="4DB476BD" w14:textId="77777777"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Drug Reimbursement Committee (Belgium)</w:t>
            </w:r>
          </w:p>
        </w:tc>
      </w:tr>
      <w:tr w:rsidR="00291249" w:rsidRPr="00221992" w14:paraId="2CED82BD" w14:textId="77777777" w:rsidTr="001F5A33">
        <w:tc>
          <w:tcPr>
            <w:tcW w:w="1271" w:type="dxa"/>
            <w:tcMar>
              <w:left w:w="57" w:type="dxa"/>
              <w:right w:w="0" w:type="dxa"/>
            </w:tcMar>
          </w:tcPr>
          <w:p w14:paraId="5D91007D" w14:textId="77777777"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EAA</w:t>
            </w:r>
          </w:p>
        </w:tc>
        <w:tc>
          <w:tcPr>
            <w:tcW w:w="7223" w:type="dxa"/>
            <w:tcMar>
              <w:left w:w="57" w:type="dxa"/>
              <w:right w:w="0" w:type="dxa"/>
            </w:tcMar>
          </w:tcPr>
          <w:p w14:paraId="1ECCABF4" w14:textId="77777777"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Early access authorisation</w:t>
            </w:r>
          </w:p>
        </w:tc>
      </w:tr>
      <w:tr w:rsidR="00291249" w:rsidRPr="00221992" w14:paraId="35C5D0C1" w14:textId="77777777" w:rsidTr="001F5A33">
        <w:tc>
          <w:tcPr>
            <w:tcW w:w="1271" w:type="dxa"/>
            <w:tcMar>
              <w:left w:w="57" w:type="dxa"/>
              <w:right w:w="0" w:type="dxa"/>
            </w:tcMar>
          </w:tcPr>
          <w:p w14:paraId="2EBD50FF" w14:textId="77777777"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EBM</w:t>
            </w:r>
          </w:p>
        </w:tc>
        <w:tc>
          <w:tcPr>
            <w:tcW w:w="7223" w:type="dxa"/>
            <w:tcMar>
              <w:left w:w="57" w:type="dxa"/>
              <w:right w:w="0" w:type="dxa"/>
            </w:tcMar>
          </w:tcPr>
          <w:p w14:paraId="2FD9134A" w14:textId="77777777"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Einheitlicher Bewertungsmassstab</w:t>
            </w:r>
          </w:p>
        </w:tc>
      </w:tr>
      <w:tr w:rsidR="00291249" w:rsidRPr="00221992" w14:paraId="3A54D75C" w14:textId="77777777" w:rsidTr="001F5A33">
        <w:tc>
          <w:tcPr>
            <w:tcW w:w="1271" w:type="dxa"/>
            <w:tcMar>
              <w:left w:w="57" w:type="dxa"/>
              <w:right w:w="0" w:type="dxa"/>
            </w:tcMar>
          </w:tcPr>
          <w:p w14:paraId="00E651E9" w14:textId="77777777"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ECM</w:t>
            </w:r>
          </w:p>
        </w:tc>
        <w:tc>
          <w:tcPr>
            <w:tcW w:w="7223" w:type="dxa"/>
            <w:tcMar>
              <w:left w:w="57" w:type="dxa"/>
              <w:right w:w="0" w:type="dxa"/>
            </w:tcMar>
          </w:tcPr>
          <w:p w14:paraId="1EE10A4C" w14:textId="77777777"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Expenditure Control Mechanism</w:t>
            </w:r>
          </w:p>
        </w:tc>
      </w:tr>
      <w:tr w:rsidR="00291249" w:rsidRPr="00221992" w14:paraId="1338891A" w14:textId="77777777" w:rsidTr="001F5A33">
        <w:tc>
          <w:tcPr>
            <w:tcW w:w="1271" w:type="dxa"/>
            <w:tcMar>
              <w:left w:w="57" w:type="dxa"/>
              <w:right w:w="0" w:type="dxa"/>
            </w:tcMar>
          </w:tcPr>
          <w:p w14:paraId="63D6A9EA" w14:textId="77777777"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ED</w:t>
            </w:r>
          </w:p>
        </w:tc>
        <w:tc>
          <w:tcPr>
            <w:tcW w:w="7223" w:type="dxa"/>
            <w:tcMar>
              <w:left w:w="57" w:type="dxa"/>
              <w:right w:w="0" w:type="dxa"/>
            </w:tcMar>
          </w:tcPr>
          <w:p w14:paraId="3D417529" w14:textId="77777777"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Essential drug</w:t>
            </w:r>
          </w:p>
        </w:tc>
      </w:tr>
      <w:tr w:rsidR="00291249" w:rsidRPr="00221992" w14:paraId="0E49C39F" w14:textId="77777777" w:rsidTr="001F5A33">
        <w:tc>
          <w:tcPr>
            <w:tcW w:w="1271" w:type="dxa"/>
            <w:tcMar>
              <w:left w:w="57" w:type="dxa"/>
              <w:right w:w="0" w:type="dxa"/>
            </w:tcMar>
          </w:tcPr>
          <w:p w14:paraId="7AF070CD" w14:textId="77777777"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EFPIA</w:t>
            </w:r>
          </w:p>
        </w:tc>
        <w:tc>
          <w:tcPr>
            <w:tcW w:w="7223" w:type="dxa"/>
            <w:tcMar>
              <w:left w:w="57" w:type="dxa"/>
              <w:right w:w="0" w:type="dxa"/>
            </w:tcMar>
          </w:tcPr>
          <w:p w14:paraId="752457D0" w14:textId="77777777"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European Federation of Pharmaceutical Industries and Associations</w:t>
            </w:r>
          </w:p>
        </w:tc>
      </w:tr>
      <w:tr w:rsidR="00291249" w:rsidRPr="00221992" w14:paraId="28347ECE" w14:textId="77777777" w:rsidTr="001F5A33">
        <w:tc>
          <w:tcPr>
            <w:tcW w:w="1271" w:type="dxa"/>
            <w:tcMar>
              <w:left w:w="57" w:type="dxa"/>
              <w:right w:w="0" w:type="dxa"/>
            </w:tcMar>
          </w:tcPr>
          <w:p w14:paraId="3EE26462" w14:textId="77777777"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EHDEN</w:t>
            </w:r>
          </w:p>
        </w:tc>
        <w:tc>
          <w:tcPr>
            <w:tcW w:w="7223" w:type="dxa"/>
            <w:tcMar>
              <w:left w:w="57" w:type="dxa"/>
              <w:right w:w="0" w:type="dxa"/>
            </w:tcMar>
          </w:tcPr>
          <w:p w14:paraId="0E31D13B" w14:textId="77777777"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European Health Data &amp; Evidence Network</w:t>
            </w:r>
          </w:p>
        </w:tc>
      </w:tr>
      <w:tr w:rsidR="00291249" w:rsidRPr="00221992" w14:paraId="0D596DCF" w14:textId="77777777" w:rsidTr="001F5A33">
        <w:tc>
          <w:tcPr>
            <w:tcW w:w="1271" w:type="dxa"/>
            <w:tcMar>
              <w:left w:w="57" w:type="dxa"/>
              <w:right w:w="0" w:type="dxa"/>
            </w:tcMar>
          </w:tcPr>
          <w:p w14:paraId="00F16B6C" w14:textId="77777777"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EMA</w:t>
            </w:r>
          </w:p>
        </w:tc>
        <w:tc>
          <w:tcPr>
            <w:tcW w:w="7223" w:type="dxa"/>
            <w:tcMar>
              <w:left w:w="57" w:type="dxa"/>
              <w:right w:w="0" w:type="dxa"/>
            </w:tcMar>
          </w:tcPr>
          <w:p w14:paraId="48B2C5C2" w14:textId="77777777"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European Medicines Agency</w:t>
            </w:r>
          </w:p>
        </w:tc>
      </w:tr>
      <w:tr w:rsidR="00CB39F3" w:rsidRPr="00221992" w14:paraId="789043BC" w14:textId="77777777" w:rsidTr="001F5A33">
        <w:tc>
          <w:tcPr>
            <w:tcW w:w="1271" w:type="dxa"/>
            <w:tcMar>
              <w:left w:w="57" w:type="dxa"/>
              <w:right w:w="0" w:type="dxa"/>
            </w:tcMar>
          </w:tcPr>
          <w:p w14:paraId="3CB0D265" w14:textId="40CBA4C2" w:rsidR="00CB39F3" w:rsidRPr="00221992" w:rsidRDefault="00CB39F3" w:rsidP="00291249">
            <w:pPr>
              <w:spacing w:after="0" w:line="240" w:lineRule="auto"/>
              <w:rPr>
                <w:rFonts w:cs="Calibri Light"/>
                <w:sz w:val="20"/>
                <w:szCs w:val="20"/>
                <w:lang w:val="en-GB"/>
              </w:rPr>
            </w:pPr>
            <w:r>
              <w:rPr>
                <w:rFonts w:cs="Calibri Light"/>
                <w:sz w:val="20"/>
                <w:szCs w:val="20"/>
                <w:lang w:val="en-GB"/>
              </w:rPr>
              <w:t>Equity</w:t>
            </w:r>
          </w:p>
        </w:tc>
        <w:tc>
          <w:tcPr>
            <w:tcW w:w="7223" w:type="dxa"/>
            <w:tcMar>
              <w:left w:w="57" w:type="dxa"/>
              <w:right w:w="0" w:type="dxa"/>
            </w:tcMar>
          </w:tcPr>
          <w:p w14:paraId="66843273" w14:textId="7C96E8CF" w:rsidR="00CB39F3" w:rsidRPr="00221992" w:rsidRDefault="00CB39F3" w:rsidP="00291249">
            <w:pPr>
              <w:spacing w:after="0" w:line="240" w:lineRule="auto"/>
              <w:rPr>
                <w:rFonts w:cs="Calibri Light"/>
                <w:sz w:val="20"/>
                <w:szCs w:val="20"/>
                <w:lang w:val="en-GB"/>
              </w:rPr>
            </w:pPr>
            <w:r>
              <w:rPr>
                <w:rFonts w:cs="Calibri Light"/>
                <w:sz w:val="20"/>
                <w:szCs w:val="20"/>
                <w:lang w:val="en-GB"/>
              </w:rPr>
              <w:t>A</w:t>
            </w:r>
            <w:r w:rsidRPr="00CB39F3">
              <w:rPr>
                <w:rFonts w:cs="Calibri Light"/>
                <w:sz w:val="20"/>
                <w:szCs w:val="20"/>
                <w:lang w:val="en-GB"/>
              </w:rPr>
              <w:t>ccess to safe, effective and high-quality medicines, culturally appropriate medicines-related services and medicines-related information irrespective of diversity, background, age, disability, location or personal circumstance</w:t>
            </w:r>
            <w:r>
              <w:rPr>
                <w:rFonts w:cs="Calibri Light"/>
                <w:sz w:val="20"/>
                <w:szCs w:val="20"/>
                <w:lang w:val="en-GB"/>
              </w:rPr>
              <w:t>.</w:t>
            </w:r>
          </w:p>
        </w:tc>
      </w:tr>
      <w:tr w:rsidR="00291249" w:rsidRPr="00221992" w14:paraId="55F7657B" w14:textId="77777777" w:rsidTr="001F5A33">
        <w:tc>
          <w:tcPr>
            <w:tcW w:w="1271" w:type="dxa"/>
            <w:tcMar>
              <w:left w:w="57" w:type="dxa"/>
              <w:right w:w="0" w:type="dxa"/>
            </w:tcMar>
          </w:tcPr>
          <w:p w14:paraId="3AD66455" w14:textId="77777777"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ESC</w:t>
            </w:r>
          </w:p>
        </w:tc>
        <w:tc>
          <w:tcPr>
            <w:tcW w:w="7223" w:type="dxa"/>
            <w:tcMar>
              <w:left w:w="57" w:type="dxa"/>
              <w:right w:w="0" w:type="dxa"/>
            </w:tcMar>
          </w:tcPr>
          <w:p w14:paraId="4DD3EB51" w14:textId="77777777"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Economics Sub Committee</w:t>
            </w:r>
          </w:p>
        </w:tc>
      </w:tr>
      <w:tr w:rsidR="00291249" w:rsidRPr="00221992" w14:paraId="15CDB1DF" w14:textId="77777777" w:rsidTr="001F5A33">
        <w:tc>
          <w:tcPr>
            <w:tcW w:w="1271" w:type="dxa"/>
            <w:tcMar>
              <w:left w:w="57" w:type="dxa"/>
              <w:right w:w="0" w:type="dxa"/>
            </w:tcMar>
          </w:tcPr>
          <w:p w14:paraId="0EFCFE79" w14:textId="77777777"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ETA</w:t>
            </w:r>
          </w:p>
        </w:tc>
        <w:tc>
          <w:tcPr>
            <w:tcW w:w="7223" w:type="dxa"/>
            <w:tcMar>
              <w:left w:w="57" w:type="dxa"/>
              <w:right w:w="0" w:type="dxa"/>
            </w:tcMar>
          </w:tcPr>
          <w:p w14:paraId="1ABB12D2" w14:textId="77777777"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Early temporary authorization</w:t>
            </w:r>
          </w:p>
        </w:tc>
      </w:tr>
      <w:tr w:rsidR="00291249" w:rsidRPr="00221992" w14:paraId="4E3E9DE2" w14:textId="77777777" w:rsidTr="001F5A33">
        <w:tc>
          <w:tcPr>
            <w:tcW w:w="1271" w:type="dxa"/>
            <w:tcMar>
              <w:left w:w="57" w:type="dxa"/>
              <w:right w:w="0" w:type="dxa"/>
            </w:tcMar>
          </w:tcPr>
          <w:p w14:paraId="0F2D789A" w14:textId="77777777"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ETR</w:t>
            </w:r>
          </w:p>
        </w:tc>
        <w:tc>
          <w:tcPr>
            <w:tcW w:w="7223" w:type="dxa"/>
            <w:tcMar>
              <w:left w:w="57" w:type="dxa"/>
              <w:right w:w="0" w:type="dxa"/>
            </w:tcMar>
          </w:tcPr>
          <w:p w14:paraId="5E787573" w14:textId="77777777"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 xml:space="preserve">Early temporary reimbursement </w:t>
            </w:r>
          </w:p>
        </w:tc>
      </w:tr>
      <w:tr w:rsidR="00291249" w:rsidRPr="00221992" w14:paraId="0F36005C" w14:textId="77777777" w:rsidTr="001F5A33">
        <w:tc>
          <w:tcPr>
            <w:tcW w:w="1271" w:type="dxa"/>
            <w:tcMar>
              <w:left w:w="57" w:type="dxa"/>
              <w:right w:w="0" w:type="dxa"/>
            </w:tcMar>
          </w:tcPr>
          <w:p w14:paraId="533BD086" w14:textId="77777777"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EU</w:t>
            </w:r>
          </w:p>
        </w:tc>
        <w:tc>
          <w:tcPr>
            <w:tcW w:w="7223" w:type="dxa"/>
            <w:tcMar>
              <w:left w:w="57" w:type="dxa"/>
              <w:right w:w="0" w:type="dxa"/>
            </w:tcMar>
          </w:tcPr>
          <w:p w14:paraId="38BB9453" w14:textId="77777777"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European Union</w:t>
            </w:r>
          </w:p>
        </w:tc>
      </w:tr>
      <w:tr w:rsidR="00291249" w:rsidRPr="00221992" w14:paraId="7542ECA8" w14:textId="77777777" w:rsidTr="001F5A33">
        <w:tc>
          <w:tcPr>
            <w:tcW w:w="1271" w:type="dxa"/>
            <w:tcMar>
              <w:left w:w="57" w:type="dxa"/>
              <w:right w:w="0" w:type="dxa"/>
            </w:tcMar>
          </w:tcPr>
          <w:p w14:paraId="25B8727C" w14:textId="77777777"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EUnetHTA</w:t>
            </w:r>
          </w:p>
        </w:tc>
        <w:tc>
          <w:tcPr>
            <w:tcW w:w="7223" w:type="dxa"/>
            <w:tcMar>
              <w:left w:w="57" w:type="dxa"/>
              <w:right w:w="0" w:type="dxa"/>
            </w:tcMar>
          </w:tcPr>
          <w:p w14:paraId="300CC734" w14:textId="77777777"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European Network for Health Technology Assessment</w:t>
            </w:r>
          </w:p>
        </w:tc>
      </w:tr>
      <w:tr w:rsidR="00291249" w:rsidRPr="00221992" w14:paraId="3FB109CF" w14:textId="77777777" w:rsidTr="001F5A33">
        <w:tc>
          <w:tcPr>
            <w:tcW w:w="1271" w:type="dxa"/>
            <w:tcMar>
              <w:left w:w="57" w:type="dxa"/>
              <w:right w:w="0" w:type="dxa"/>
            </w:tcMar>
          </w:tcPr>
          <w:p w14:paraId="237DCFE9" w14:textId="77777777"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FDA</w:t>
            </w:r>
          </w:p>
        </w:tc>
        <w:tc>
          <w:tcPr>
            <w:tcW w:w="7223" w:type="dxa"/>
            <w:tcMar>
              <w:left w:w="57" w:type="dxa"/>
              <w:right w:w="0" w:type="dxa"/>
            </w:tcMar>
          </w:tcPr>
          <w:p w14:paraId="2C9DE042" w14:textId="77777777"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Food and Drug Administration (US)</w:t>
            </w:r>
          </w:p>
        </w:tc>
      </w:tr>
      <w:tr w:rsidR="00291249" w:rsidRPr="00221992" w14:paraId="6299728B" w14:textId="77777777" w:rsidTr="001F5A33">
        <w:tc>
          <w:tcPr>
            <w:tcW w:w="1271" w:type="dxa"/>
            <w:tcMar>
              <w:left w:w="57" w:type="dxa"/>
              <w:right w:w="0" w:type="dxa"/>
            </w:tcMar>
          </w:tcPr>
          <w:p w14:paraId="05D22F22" w14:textId="77777777"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FIMEA</w:t>
            </w:r>
          </w:p>
        </w:tc>
        <w:tc>
          <w:tcPr>
            <w:tcW w:w="7223" w:type="dxa"/>
            <w:tcMar>
              <w:left w:w="57" w:type="dxa"/>
              <w:right w:w="0" w:type="dxa"/>
            </w:tcMar>
          </w:tcPr>
          <w:p w14:paraId="6B66D229" w14:textId="77777777"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Finish Medicines Agency</w:t>
            </w:r>
          </w:p>
        </w:tc>
      </w:tr>
      <w:tr w:rsidR="00291249" w:rsidRPr="00221992" w14:paraId="658FC24E" w14:textId="77777777" w:rsidTr="001F5A33">
        <w:tc>
          <w:tcPr>
            <w:tcW w:w="1271" w:type="dxa"/>
            <w:tcMar>
              <w:left w:w="57" w:type="dxa"/>
              <w:right w:w="0" w:type="dxa"/>
            </w:tcMar>
          </w:tcPr>
          <w:p w14:paraId="33CC1DE2" w14:textId="77777777"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FISH</w:t>
            </w:r>
          </w:p>
        </w:tc>
        <w:tc>
          <w:tcPr>
            <w:tcW w:w="7223" w:type="dxa"/>
            <w:tcMar>
              <w:left w:w="57" w:type="dxa"/>
              <w:right w:w="0" w:type="dxa"/>
            </w:tcMar>
          </w:tcPr>
          <w:p w14:paraId="38A32358" w14:textId="77777777"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fluorescence in situ hybridisation</w:t>
            </w:r>
          </w:p>
        </w:tc>
      </w:tr>
      <w:tr w:rsidR="00291249" w:rsidRPr="00221992" w14:paraId="0130FBB4" w14:textId="77777777" w:rsidTr="001F5A33">
        <w:tc>
          <w:tcPr>
            <w:tcW w:w="1271" w:type="dxa"/>
            <w:tcMar>
              <w:left w:w="57" w:type="dxa"/>
              <w:right w:w="0" w:type="dxa"/>
            </w:tcMar>
          </w:tcPr>
          <w:p w14:paraId="571E1449" w14:textId="77777777"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G-BA</w:t>
            </w:r>
          </w:p>
        </w:tc>
        <w:tc>
          <w:tcPr>
            <w:tcW w:w="7223" w:type="dxa"/>
            <w:tcMar>
              <w:left w:w="57" w:type="dxa"/>
              <w:right w:w="0" w:type="dxa"/>
            </w:tcMar>
          </w:tcPr>
          <w:p w14:paraId="37FD0837" w14:textId="77777777"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Gemeinsamer Bundesausschuss</w:t>
            </w:r>
          </w:p>
        </w:tc>
      </w:tr>
      <w:tr w:rsidR="00291249" w:rsidRPr="00221992" w14:paraId="20AF1B04" w14:textId="77777777" w:rsidTr="001F5A33">
        <w:tc>
          <w:tcPr>
            <w:tcW w:w="1271" w:type="dxa"/>
            <w:tcMar>
              <w:left w:w="57" w:type="dxa"/>
              <w:right w:w="0" w:type="dxa"/>
            </w:tcMar>
          </w:tcPr>
          <w:p w14:paraId="4F34D413" w14:textId="77777777"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GBMA</w:t>
            </w:r>
          </w:p>
        </w:tc>
        <w:tc>
          <w:tcPr>
            <w:tcW w:w="7223" w:type="dxa"/>
            <w:tcMar>
              <w:left w:w="57" w:type="dxa"/>
              <w:right w:w="0" w:type="dxa"/>
            </w:tcMar>
          </w:tcPr>
          <w:p w14:paraId="38B8B2C6" w14:textId="77777777"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Generic and Biosimilar Medicines Association</w:t>
            </w:r>
          </w:p>
        </w:tc>
      </w:tr>
      <w:tr w:rsidR="00291249" w:rsidRPr="00221992" w14:paraId="60B74A48" w14:textId="77777777" w:rsidTr="001F5A33">
        <w:tc>
          <w:tcPr>
            <w:tcW w:w="1271" w:type="dxa"/>
            <w:tcMar>
              <w:left w:w="57" w:type="dxa"/>
              <w:right w:w="0" w:type="dxa"/>
            </w:tcMar>
          </w:tcPr>
          <w:p w14:paraId="78AC2E0F" w14:textId="77777777"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GDP</w:t>
            </w:r>
          </w:p>
        </w:tc>
        <w:tc>
          <w:tcPr>
            <w:tcW w:w="7223" w:type="dxa"/>
            <w:tcMar>
              <w:left w:w="57" w:type="dxa"/>
              <w:right w:w="0" w:type="dxa"/>
            </w:tcMar>
          </w:tcPr>
          <w:p w14:paraId="006FEBD7" w14:textId="77777777"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Gross domestic product</w:t>
            </w:r>
          </w:p>
        </w:tc>
      </w:tr>
      <w:tr w:rsidR="00291249" w:rsidRPr="00221992" w14:paraId="555BA3E9" w14:textId="77777777" w:rsidTr="001F5A33">
        <w:tc>
          <w:tcPr>
            <w:tcW w:w="1271" w:type="dxa"/>
            <w:tcMar>
              <w:left w:w="57" w:type="dxa"/>
              <w:right w:w="0" w:type="dxa"/>
            </w:tcMar>
          </w:tcPr>
          <w:p w14:paraId="72A98851" w14:textId="77777777"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GKV-SV</w:t>
            </w:r>
          </w:p>
        </w:tc>
        <w:tc>
          <w:tcPr>
            <w:tcW w:w="7223" w:type="dxa"/>
            <w:tcMar>
              <w:left w:w="57" w:type="dxa"/>
              <w:right w:w="0" w:type="dxa"/>
            </w:tcMar>
          </w:tcPr>
          <w:p w14:paraId="6CDF80C3" w14:textId="77777777"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National Association of Statutory Health Insurance Funds</w:t>
            </w:r>
          </w:p>
        </w:tc>
      </w:tr>
      <w:tr w:rsidR="00291249" w:rsidRPr="00221992" w14:paraId="7DCF8186" w14:textId="77777777" w:rsidTr="001F5A33">
        <w:tc>
          <w:tcPr>
            <w:tcW w:w="1271" w:type="dxa"/>
            <w:tcMar>
              <w:left w:w="57" w:type="dxa"/>
              <w:right w:w="0" w:type="dxa"/>
            </w:tcMar>
          </w:tcPr>
          <w:p w14:paraId="37AC1137" w14:textId="77777777"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GRI</w:t>
            </w:r>
          </w:p>
        </w:tc>
        <w:tc>
          <w:tcPr>
            <w:tcW w:w="7223" w:type="dxa"/>
            <w:tcMar>
              <w:left w:w="57" w:type="dxa"/>
              <w:right w:w="0" w:type="dxa"/>
            </w:tcMar>
          </w:tcPr>
          <w:p w14:paraId="5F1D3036" w14:textId="77777777"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GetReal Institute</w:t>
            </w:r>
          </w:p>
        </w:tc>
      </w:tr>
      <w:tr w:rsidR="00291249" w:rsidRPr="00221992" w14:paraId="2262A1AC" w14:textId="77777777" w:rsidTr="001F5A33">
        <w:tc>
          <w:tcPr>
            <w:tcW w:w="1271" w:type="dxa"/>
            <w:tcMar>
              <w:left w:w="57" w:type="dxa"/>
              <w:right w:w="0" w:type="dxa"/>
            </w:tcMar>
          </w:tcPr>
          <w:p w14:paraId="1CA8DFD4" w14:textId="77777777"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HATV</w:t>
            </w:r>
          </w:p>
        </w:tc>
        <w:tc>
          <w:tcPr>
            <w:tcW w:w="7223" w:type="dxa"/>
            <w:tcMar>
              <w:left w:w="57" w:type="dxa"/>
              <w:right w:w="0" w:type="dxa"/>
            </w:tcMar>
          </w:tcPr>
          <w:p w14:paraId="159F7BF2" w14:textId="77777777"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High Added Therapeutic Value</w:t>
            </w:r>
          </w:p>
        </w:tc>
      </w:tr>
      <w:tr w:rsidR="00291249" w:rsidRPr="00221992" w14:paraId="18BCDEC8" w14:textId="77777777" w:rsidTr="001F5A33">
        <w:tc>
          <w:tcPr>
            <w:tcW w:w="1271" w:type="dxa"/>
            <w:tcMar>
              <w:left w:w="57" w:type="dxa"/>
              <w:right w:w="0" w:type="dxa"/>
            </w:tcMar>
          </w:tcPr>
          <w:p w14:paraId="3CE10426" w14:textId="77777777"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HIRA</w:t>
            </w:r>
          </w:p>
        </w:tc>
        <w:tc>
          <w:tcPr>
            <w:tcW w:w="7223" w:type="dxa"/>
            <w:tcMar>
              <w:left w:w="57" w:type="dxa"/>
              <w:right w:w="0" w:type="dxa"/>
            </w:tcMar>
          </w:tcPr>
          <w:p w14:paraId="1F68F648" w14:textId="77777777"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Health Insurance Review and Assessment Service</w:t>
            </w:r>
          </w:p>
        </w:tc>
      </w:tr>
      <w:tr w:rsidR="00CB39F3" w:rsidRPr="00221992" w14:paraId="7B76FD8C" w14:textId="77777777" w:rsidTr="001F5A33">
        <w:tc>
          <w:tcPr>
            <w:tcW w:w="1271" w:type="dxa"/>
            <w:tcMar>
              <w:left w:w="57" w:type="dxa"/>
              <w:right w:w="0" w:type="dxa"/>
            </w:tcMar>
          </w:tcPr>
          <w:p w14:paraId="74AB5296" w14:textId="0FEFB1C7" w:rsidR="00CB39F3" w:rsidRPr="00221992" w:rsidRDefault="00CB39F3" w:rsidP="00291249">
            <w:pPr>
              <w:spacing w:after="0" w:line="240" w:lineRule="auto"/>
              <w:rPr>
                <w:rFonts w:cs="Calibri Light"/>
                <w:sz w:val="20"/>
                <w:szCs w:val="20"/>
                <w:lang w:val="en-GB"/>
              </w:rPr>
            </w:pPr>
            <w:r>
              <w:rPr>
                <w:rFonts w:cs="Calibri Light"/>
                <w:sz w:val="20"/>
                <w:szCs w:val="20"/>
                <w:lang w:val="en-GB"/>
              </w:rPr>
              <w:t>Horizon scanning</w:t>
            </w:r>
          </w:p>
        </w:tc>
        <w:tc>
          <w:tcPr>
            <w:tcW w:w="7223" w:type="dxa"/>
            <w:tcMar>
              <w:left w:w="57" w:type="dxa"/>
              <w:right w:w="0" w:type="dxa"/>
            </w:tcMar>
          </w:tcPr>
          <w:p w14:paraId="6B8C2BBE" w14:textId="5313109E" w:rsidR="00CB39F3" w:rsidRPr="00221992" w:rsidRDefault="00CB39F3" w:rsidP="00291249">
            <w:pPr>
              <w:spacing w:after="0" w:line="240" w:lineRule="auto"/>
              <w:rPr>
                <w:rFonts w:cs="Calibri Light"/>
                <w:sz w:val="20"/>
                <w:szCs w:val="20"/>
                <w:lang w:val="en-GB"/>
              </w:rPr>
            </w:pPr>
            <w:r w:rsidRPr="00CB39F3">
              <w:rPr>
                <w:rFonts w:cs="Calibri Light"/>
                <w:sz w:val="20"/>
                <w:szCs w:val="20"/>
                <w:lang w:val="en-GB"/>
              </w:rPr>
              <w:t>The systematic identification of health technologies that are new, emerging or becoming obsolete and that have the potential to effect health, health services and/or society. (HTA Glossary)</w:t>
            </w:r>
          </w:p>
        </w:tc>
      </w:tr>
      <w:tr w:rsidR="00291249" w:rsidRPr="00221992" w14:paraId="067F3E49" w14:textId="77777777" w:rsidTr="001F5A33">
        <w:tc>
          <w:tcPr>
            <w:tcW w:w="1271" w:type="dxa"/>
            <w:tcMar>
              <w:left w:w="57" w:type="dxa"/>
              <w:right w:w="0" w:type="dxa"/>
            </w:tcMar>
          </w:tcPr>
          <w:p w14:paraId="20BB6218" w14:textId="77777777"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HSA</w:t>
            </w:r>
          </w:p>
        </w:tc>
        <w:tc>
          <w:tcPr>
            <w:tcW w:w="7223" w:type="dxa"/>
            <w:tcMar>
              <w:left w:w="57" w:type="dxa"/>
              <w:right w:w="0" w:type="dxa"/>
            </w:tcMar>
          </w:tcPr>
          <w:p w14:paraId="4FAEF87A" w14:textId="77777777"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Health Sciences Authority</w:t>
            </w:r>
          </w:p>
        </w:tc>
      </w:tr>
      <w:tr w:rsidR="00291249" w:rsidRPr="00221992" w14:paraId="6D49A18D" w14:textId="77777777" w:rsidTr="001F5A33">
        <w:tc>
          <w:tcPr>
            <w:tcW w:w="1271" w:type="dxa"/>
            <w:tcMar>
              <w:left w:w="57" w:type="dxa"/>
              <w:right w:w="0" w:type="dxa"/>
            </w:tcMar>
          </w:tcPr>
          <w:p w14:paraId="5A852174" w14:textId="77777777"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HST</w:t>
            </w:r>
          </w:p>
        </w:tc>
        <w:tc>
          <w:tcPr>
            <w:tcW w:w="7223" w:type="dxa"/>
            <w:tcMar>
              <w:left w:w="57" w:type="dxa"/>
              <w:right w:w="0" w:type="dxa"/>
            </w:tcMar>
          </w:tcPr>
          <w:p w14:paraId="40613C0D" w14:textId="77777777"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Highly Specialised Technologies</w:t>
            </w:r>
          </w:p>
        </w:tc>
      </w:tr>
      <w:tr w:rsidR="00291249" w:rsidRPr="00221992" w14:paraId="02434EC0" w14:textId="77777777" w:rsidTr="001F5A33">
        <w:tc>
          <w:tcPr>
            <w:tcW w:w="1271" w:type="dxa"/>
            <w:tcMar>
              <w:left w:w="57" w:type="dxa"/>
              <w:right w:w="0" w:type="dxa"/>
            </w:tcMar>
          </w:tcPr>
          <w:p w14:paraId="3CC78E77" w14:textId="77777777"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HTA</w:t>
            </w:r>
          </w:p>
        </w:tc>
        <w:tc>
          <w:tcPr>
            <w:tcW w:w="7223" w:type="dxa"/>
            <w:tcMar>
              <w:left w:w="57" w:type="dxa"/>
              <w:right w:w="0" w:type="dxa"/>
            </w:tcMar>
          </w:tcPr>
          <w:p w14:paraId="4EB148D1" w14:textId="77777777"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Health Technology Assessment</w:t>
            </w:r>
          </w:p>
        </w:tc>
      </w:tr>
      <w:tr w:rsidR="00291249" w:rsidRPr="00221992" w14:paraId="588217C5" w14:textId="77777777" w:rsidTr="001F5A33">
        <w:tc>
          <w:tcPr>
            <w:tcW w:w="1271" w:type="dxa"/>
            <w:tcMar>
              <w:left w:w="57" w:type="dxa"/>
              <w:right w:w="0" w:type="dxa"/>
            </w:tcMar>
          </w:tcPr>
          <w:p w14:paraId="6B30C08A" w14:textId="77777777"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ICER</w:t>
            </w:r>
          </w:p>
        </w:tc>
        <w:tc>
          <w:tcPr>
            <w:tcW w:w="7223" w:type="dxa"/>
            <w:tcMar>
              <w:left w:w="57" w:type="dxa"/>
              <w:right w:w="0" w:type="dxa"/>
            </w:tcMar>
          </w:tcPr>
          <w:p w14:paraId="48574F18" w14:textId="77777777"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Institute for Clinical and Economic Review (US)</w:t>
            </w:r>
          </w:p>
        </w:tc>
      </w:tr>
      <w:tr w:rsidR="00291249" w:rsidRPr="00221992" w14:paraId="08130A16" w14:textId="77777777" w:rsidTr="001F5A33">
        <w:tc>
          <w:tcPr>
            <w:tcW w:w="1271" w:type="dxa"/>
            <w:tcMar>
              <w:left w:w="57" w:type="dxa"/>
              <w:right w:w="0" w:type="dxa"/>
            </w:tcMar>
          </w:tcPr>
          <w:p w14:paraId="11D6C86C" w14:textId="77777777"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ICER</w:t>
            </w:r>
          </w:p>
        </w:tc>
        <w:tc>
          <w:tcPr>
            <w:tcW w:w="7223" w:type="dxa"/>
            <w:tcMar>
              <w:left w:w="57" w:type="dxa"/>
              <w:right w:w="0" w:type="dxa"/>
            </w:tcMar>
          </w:tcPr>
          <w:p w14:paraId="77D38144" w14:textId="77777777"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incremental cost-effectiveness ratio</w:t>
            </w:r>
          </w:p>
        </w:tc>
      </w:tr>
      <w:tr w:rsidR="00291249" w:rsidRPr="00221992" w14:paraId="0F6DC6CB" w14:textId="77777777" w:rsidTr="001F5A33">
        <w:tc>
          <w:tcPr>
            <w:tcW w:w="1271" w:type="dxa"/>
            <w:tcMar>
              <w:left w:w="57" w:type="dxa"/>
              <w:right w:w="0" w:type="dxa"/>
            </w:tcMar>
          </w:tcPr>
          <w:p w14:paraId="5D76B58C" w14:textId="77777777"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ICMRA</w:t>
            </w:r>
          </w:p>
        </w:tc>
        <w:tc>
          <w:tcPr>
            <w:tcW w:w="7223" w:type="dxa"/>
            <w:tcMar>
              <w:left w:w="57" w:type="dxa"/>
              <w:right w:w="0" w:type="dxa"/>
            </w:tcMar>
          </w:tcPr>
          <w:p w14:paraId="2E1FA79C" w14:textId="77777777"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International Coalition of Medicines Regulatory Authorities</w:t>
            </w:r>
          </w:p>
        </w:tc>
      </w:tr>
      <w:tr w:rsidR="002767E9" w:rsidRPr="00221992" w14:paraId="307DFA3B" w14:textId="77777777" w:rsidTr="001F5A33">
        <w:tc>
          <w:tcPr>
            <w:tcW w:w="1271" w:type="dxa"/>
            <w:tcMar>
              <w:left w:w="57" w:type="dxa"/>
              <w:right w:w="0" w:type="dxa"/>
            </w:tcMar>
          </w:tcPr>
          <w:p w14:paraId="7114F366" w14:textId="23EB70E7" w:rsidR="002767E9" w:rsidRPr="00221992" w:rsidRDefault="002767E9" w:rsidP="002767E9">
            <w:pPr>
              <w:spacing w:after="0" w:line="240" w:lineRule="auto"/>
              <w:rPr>
                <w:rFonts w:cs="Calibri Light"/>
                <w:sz w:val="20"/>
                <w:szCs w:val="20"/>
                <w:lang w:val="en-GB"/>
              </w:rPr>
            </w:pPr>
            <w:r>
              <w:rPr>
                <w:rFonts w:cs="Calibri Light"/>
                <w:sz w:val="20"/>
                <w:szCs w:val="20"/>
                <w:lang w:val="en-GB"/>
              </w:rPr>
              <w:t>IHACPA</w:t>
            </w:r>
          </w:p>
        </w:tc>
        <w:tc>
          <w:tcPr>
            <w:tcW w:w="7223" w:type="dxa"/>
            <w:tcMar>
              <w:left w:w="57" w:type="dxa"/>
              <w:right w:w="0" w:type="dxa"/>
            </w:tcMar>
          </w:tcPr>
          <w:p w14:paraId="4BCA71D6" w14:textId="49000BCA" w:rsidR="002767E9" w:rsidRPr="00221992" w:rsidRDefault="002767E9" w:rsidP="002767E9">
            <w:pPr>
              <w:spacing w:after="0" w:line="240" w:lineRule="auto"/>
              <w:rPr>
                <w:rFonts w:cs="Calibri Light"/>
                <w:sz w:val="20"/>
                <w:szCs w:val="20"/>
                <w:lang w:val="en-GB"/>
              </w:rPr>
            </w:pPr>
            <w:r w:rsidRPr="00FB31A9">
              <w:rPr>
                <w:rFonts w:cs="Calibri Light"/>
                <w:sz w:val="20"/>
                <w:szCs w:val="20"/>
                <w:lang w:val="en-GB"/>
              </w:rPr>
              <w:t>Independent Health and Aged Care Pricing Authority</w:t>
            </w:r>
          </w:p>
        </w:tc>
      </w:tr>
      <w:tr w:rsidR="00291249" w:rsidRPr="00221992" w14:paraId="05619C08" w14:textId="77777777" w:rsidTr="001F5A33">
        <w:tc>
          <w:tcPr>
            <w:tcW w:w="1271" w:type="dxa"/>
            <w:tcMar>
              <w:left w:w="57" w:type="dxa"/>
              <w:right w:w="0" w:type="dxa"/>
            </w:tcMar>
          </w:tcPr>
          <w:p w14:paraId="0170194A" w14:textId="77777777"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ILAP</w:t>
            </w:r>
          </w:p>
        </w:tc>
        <w:tc>
          <w:tcPr>
            <w:tcW w:w="7223" w:type="dxa"/>
            <w:tcMar>
              <w:left w:w="57" w:type="dxa"/>
              <w:right w:w="0" w:type="dxa"/>
            </w:tcMar>
          </w:tcPr>
          <w:p w14:paraId="4486E08F" w14:textId="77777777"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Innovative Licensing and Access Pathway</w:t>
            </w:r>
          </w:p>
        </w:tc>
      </w:tr>
      <w:tr w:rsidR="00291249" w:rsidRPr="00221992" w14:paraId="61F16BFB" w14:textId="77777777" w:rsidTr="001F5A33">
        <w:tc>
          <w:tcPr>
            <w:tcW w:w="1271" w:type="dxa"/>
            <w:tcMar>
              <w:left w:w="57" w:type="dxa"/>
              <w:right w:w="0" w:type="dxa"/>
            </w:tcMar>
          </w:tcPr>
          <w:p w14:paraId="0CAB81D4" w14:textId="77777777"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IMF</w:t>
            </w:r>
          </w:p>
        </w:tc>
        <w:tc>
          <w:tcPr>
            <w:tcW w:w="7223" w:type="dxa"/>
            <w:tcMar>
              <w:left w:w="57" w:type="dxa"/>
              <w:right w:w="0" w:type="dxa"/>
            </w:tcMar>
          </w:tcPr>
          <w:p w14:paraId="2AA047DB" w14:textId="77777777"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Innovative Medicine Fund</w:t>
            </w:r>
          </w:p>
        </w:tc>
      </w:tr>
      <w:tr w:rsidR="00291249" w:rsidRPr="00221992" w14:paraId="7806AF68" w14:textId="77777777" w:rsidTr="001F5A33">
        <w:tc>
          <w:tcPr>
            <w:tcW w:w="1271" w:type="dxa"/>
            <w:tcMar>
              <w:left w:w="57" w:type="dxa"/>
              <w:right w:w="0" w:type="dxa"/>
            </w:tcMar>
          </w:tcPr>
          <w:p w14:paraId="05C86AB5" w14:textId="77777777"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iMLP</w:t>
            </w:r>
          </w:p>
        </w:tc>
        <w:tc>
          <w:tcPr>
            <w:tcW w:w="7223" w:type="dxa"/>
            <w:tcMar>
              <w:left w:w="57" w:type="dxa"/>
              <w:right w:w="0" w:type="dxa"/>
            </w:tcMar>
          </w:tcPr>
          <w:p w14:paraId="74B25228" w14:textId="77777777"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interim Maximum List Price</w:t>
            </w:r>
          </w:p>
        </w:tc>
      </w:tr>
      <w:tr w:rsidR="00291249" w:rsidRPr="00221992" w14:paraId="519D6C7F" w14:textId="77777777" w:rsidTr="001F5A33">
        <w:tc>
          <w:tcPr>
            <w:tcW w:w="1271" w:type="dxa"/>
            <w:tcMar>
              <w:left w:w="57" w:type="dxa"/>
              <w:right w:w="0" w:type="dxa"/>
            </w:tcMar>
          </w:tcPr>
          <w:p w14:paraId="338411C2" w14:textId="77777777"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INESSS</w:t>
            </w:r>
          </w:p>
        </w:tc>
        <w:tc>
          <w:tcPr>
            <w:tcW w:w="7223" w:type="dxa"/>
            <w:tcMar>
              <w:left w:w="57" w:type="dxa"/>
              <w:right w:w="0" w:type="dxa"/>
            </w:tcMar>
          </w:tcPr>
          <w:p w14:paraId="6CAA0562" w14:textId="6508B689"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Institut national d</w:t>
            </w:r>
            <w:r w:rsidR="00551786">
              <w:rPr>
                <w:rFonts w:cs="Calibri Light"/>
                <w:sz w:val="20"/>
                <w:szCs w:val="20"/>
                <w:lang w:val="en-GB"/>
              </w:rPr>
              <w:t>’</w:t>
            </w:r>
            <w:r w:rsidRPr="00221992">
              <w:rPr>
                <w:rFonts w:cs="Calibri Light"/>
                <w:sz w:val="20"/>
                <w:szCs w:val="20"/>
                <w:lang w:val="en-GB"/>
              </w:rPr>
              <w:t>excellence en santé et en services sociaux</w:t>
            </w:r>
          </w:p>
        </w:tc>
      </w:tr>
      <w:tr w:rsidR="00291249" w:rsidRPr="00221992" w14:paraId="4EE2C8AC" w14:textId="77777777" w:rsidTr="001F5A33">
        <w:tc>
          <w:tcPr>
            <w:tcW w:w="1271" w:type="dxa"/>
            <w:tcMar>
              <w:left w:w="57" w:type="dxa"/>
              <w:right w:w="0" w:type="dxa"/>
            </w:tcMar>
          </w:tcPr>
          <w:p w14:paraId="1F58338F" w14:textId="77777777"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IPTR</w:t>
            </w:r>
          </w:p>
        </w:tc>
        <w:tc>
          <w:tcPr>
            <w:tcW w:w="7223" w:type="dxa"/>
            <w:tcMar>
              <w:left w:w="57" w:type="dxa"/>
              <w:right w:w="0" w:type="dxa"/>
            </w:tcMar>
          </w:tcPr>
          <w:p w14:paraId="15BEAC40" w14:textId="77777777"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Individual Patient Treatment Request</w:t>
            </w:r>
          </w:p>
        </w:tc>
      </w:tr>
      <w:tr w:rsidR="00291249" w:rsidRPr="00221992" w14:paraId="64EA9294" w14:textId="77777777" w:rsidTr="001F5A33">
        <w:tc>
          <w:tcPr>
            <w:tcW w:w="1271" w:type="dxa"/>
            <w:tcMar>
              <w:left w:w="57" w:type="dxa"/>
              <w:right w:w="0" w:type="dxa"/>
            </w:tcMar>
          </w:tcPr>
          <w:p w14:paraId="6D395BE1" w14:textId="77777777"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IQWiG</w:t>
            </w:r>
          </w:p>
        </w:tc>
        <w:tc>
          <w:tcPr>
            <w:tcW w:w="7223" w:type="dxa"/>
            <w:tcMar>
              <w:left w:w="57" w:type="dxa"/>
              <w:right w:w="0" w:type="dxa"/>
            </w:tcMar>
          </w:tcPr>
          <w:p w14:paraId="4C86A812" w14:textId="77777777"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Institut für Qualität und Wirtschaftlichkeit im Gesundheitswesen</w:t>
            </w:r>
          </w:p>
        </w:tc>
      </w:tr>
      <w:tr w:rsidR="00291249" w:rsidRPr="00221992" w14:paraId="1B7964A1" w14:textId="77777777" w:rsidTr="001F5A33">
        <w:tc>
          <w:tcPr>
            <w:tcW w:w="1271" w:type="dxa"/>
            <w:tcMar>
              <w:left w:w="57" w:type="dxa"/>
              <w:right w:w="0" w:type="dxa"/>
            </w:tcMar>
          </w:tcPr>
          <w:p w14:paraId="16062204" w14:textId="77777777"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ISPOR</w:t>
            </w:r>
          </w:p>
        </w:tc>
        <w:tc>
          <w:tcPr>
            <w:tcW w:w="7223" w:type="dxa"/>
            <w:tcMar>
              <w:left w:w="57" w:type="dxa"/>
              <w:right w:w="0" w:type="dxa"/>
            </w:tcMar>
          </w:tcPr>
          <w:p w14:paraId="0453BCA9" w14:textId="77777777"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The Professional Society for Health Economics and Outcomes Research</w:t>
            </w:r>
          </w:p>
        </w:tc>
      </w:tr>
      <w:tr w:rsidR="00291249" w:rsidRPr="00221992" w14:paraId="77BD5202" w14:textId="77777777" w:rsidTr="001F5A33">
        <w:tc>
          <w:tcPr>
            <w:tcW w:w="1271" w:type="dxa"/>
            <w:tcMar>
              <w:left w:w="57" w:type="dxa"/>
              <w:right w:w="0" w:type="dxa"/>
            </w:tcMar>
          </w:tcPr>
          <w:p w14:paraId="1B164809" w14:textId="77777777"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JCA</w:t>
            </w:r>
          </w:p>
        </w:tc>
        <w:tc>
          <w:tcPr>
            <w:tcW w:w="7223" w:type="dxa"/>
            <w:tcMar>
              <w:left w:w="57" w:type="dxa"/>
              <w:right w:w="0" w:type="dxa"/>
            </w:tcMar>
          </w:tcPr>
          <w:p w14:paraId="40D6490D" w14:textId="77777777"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Joint Clinical Assessment</w:t>
            </w:r>
          </w:p>
        </w:tc>
      </w:tr>
      <w:tr w:rsidR="00291249" w:rsidRPr="00221992" w14:paraId="221234A2" w14:textId="77777777" w:rsidTr="001F5A33">
        <w:tc>
          <w:tcPr>
            <w:tcW w:w="1271" w:type="dxa"/>
            <w:tcMar>
              <w:left w:w="57" w:type="dxa"/>
              <w:right w:w="0" w:type="dxa"/>
            </w:tcMar>
          </w:tcPr>
          <w:p w14:paraId="35001236" w14:textId="77777777"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KCE</w:t>
            </w:r>
          </w:p>
        </w:tc>
        <w:tc>
          <w:tcPr>
            <w:tcW w:w="7223" w:type="dxa"/>
            <w:tcMar>
              <w:left w:w="57" w:type="dxa"/>
              <w:right w:w="0" w:type="dxa"/>
            </w:tcMar>
          </w:tcPr>
          <w:p w14:paraId="5EC76247" w14:textId="77777777"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Belgian Health Care Knowledge Centre</w:t>
            </w:r>
          </w:p>
        </w:tc>
      </w:tr>
      <w:tr w:rsidR="00291249" w:rsidRPr="00221992" w14:paraId="31E1803C" w14:textId="77777777" w:rsidTr="001F5A33">
        <w:tc>
          <w:tcPr>
            <w:tcW w:w="1271" w:type="dxa"/>
            <w:tcMar>
              <w:left w:w="57" w:type="dxa"/>
              <w:right w:w="0" w:type="dxa"/>
            </w:tcMar>
          </w:tcPr>
          <w:p w14:paraId="2F79E17A" w14:textId="77777777"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LOI</w:t>
            </w:r>
          </w:p>
        </w:tc>
        <w:tc>
          <w:tcPr>
            <w:tcW w:w="7223" w:type="dxa"/>
            <w:tcMar>
              <w:left w:w="57" w:type="dxa"/>
              <w:right w:w="0" w:type="dxa"/>
            </w:tcMar>
          </w:tcPr>
          <w:p w14:paraId="71CBC8C1" w14:textId="77777777"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Letter of intent</w:t>
            </w:r>
          </w:p>
        </w:tc>
      </w:tr>
      <w:tr w:rsidR="00291249" w:rsidRPr="00221992" w14:paraId="1099DCBC" w14:textId="77777777" w:rsidTr="001F5A33">
        <w:tc>
          <w:tcPr>
            <w:tcW w:w="1271" w:type="dxa"/>
            <w:tcMar>
              <w:left w:w="57" w:type="dxa"/>
              <w:right w:w="0" w:type="dxa"/>
            </w:tcMar>
          </w:tcPr>
          <w:p w14:paraId="33015BD5" w14:textId="77777777"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LSDP</w:t>
            </w:r>
          </w:p>
        </w:tc>
        <w:tc>
          <w:tcPr>
            <w:tcW w:w="7223" w:type="dxa"/>
            <w:tcMar>
              <w:left w:w="57" w:type="dxa"/>
              <w:right w:w="0" w:type="dxa"/>
            </w:tcMar>
          </w:tcPr>
          <w:p w14:paraId="562CD2A5" w14:textId="77777777"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Life Saving Drugs Programme</w:t>
            </w:r>
          </w:p>
        </w:tc>
      </w:tr>
      <w:tr w:rsidR="00291249" w:rsidRPr="00221992" w14:paraId="5C1E6DBE" w14:textId="77777777" w:rsidTr="001F5A33">
        <w:tc>
          <w:tcPr>
            <w:tcW w:w="1271" w:type="dxa"/>
            <w:tcMar>
              <w:left w:w="57" w:type="dxa"/>
              <w:right w:w="0" w:type="dxa"/>
            </w:tcMar>
          </w:tcPr>
          <w:p w14:paraId="79B5D523" w14:textId="77777777"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MA</w:t>
            </w:r>
          </w:p>
        </w:tc>
        <w:tc>
          <w:tcPr>
            <w:tcW w:w="7223" w:type="dxa"/>
            <w:tcMar>
              <w:left w:w="57" w:type="dxa"/>
              <w:right w:w="0" w:type="dxa"/>
            </w:tcMar>
          </w:tcPr>
          <w:p w14:paraId="4FBE8C6F" w14:textId="77777777"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Medicines Australia</w:t>
            </w:r>
          </w:p>
        </w:tc>
      </w:tr>
      <w:tr w:rsidR="007A3CF4" w:rsidRPr="00221992" w14:paraId="2027112C" w14:textId="77777777" w:rsidTr="001F5A33">
        <w:tc>
          <w:tcPr>
            <w:tcW w:w="1271" w:type="dxa"/>
            <w:tcMar>
              <w:left w:w="57" w:type="dxa"/>
              <w:right w:w="0" w:type="dxa"/>
            </w:tcMar>
          </w:tcPr>
          <w:p w14:paraId="1892032B" w14:textId="25629687" w:rsidR="007A3CF4" w:rsidRPr="00221992" w:rsidRDefault="007A3CF4" w:rsidP="007A3CF4">
            <w:pPr>
              <w:spacing w:after="0" w:line="240" w:lineRule="auto"/>
              <w:rPr>
                <w:rFonts w:cs="Calibri Light"/>
                <w:sz w:val="20"/>
                <w:szCs w:val="20"/>
                <w:lang w:val="en-GB"/>
              </w:rPr>
            </w:pPr>
            <w:r>
              <w:rPr>
                <w:rFonts w:cs="Calibri Light"/>
                <w:sz w:val="20"/>
                <w:szCs w:val="20"/>
                <w:lang w:val="en-GB" w:eastAsia="en-US"/>
              </w:rPr>
              <w:t>Market authorisation</w:t>
            </w:r>
          </w:p>
        </w:tc>
        <w:tc>
          <w:tcPr>
            <w:tcW w:w="7223" w:type="dxa"/>
            <w:tcMar>
              <w:left w:w="57" w:type="dxa"/>
              <w:right w:w="0" w:type="dxa"/>
            </w:tcMar>
          </w:tcPr>
          <w:p w14:paraId="34905559" w14:textId="52356F84" w:rsidR="007A3CF4" w:rsidRPr="00221992" w:rsidRDefault="007A3CF4" w:rsidP="007A3CF4">
            <w:pPr>
              <w:spacing w:after="0" w:line="240" w:lineRule="auto"/>
              <w:rPr>
                <w:rFonts w:cs="Calibri Light"/>
                <w:sz w:val="20"/>
                <w:szCs w:val="20"/>
                <w:lang w:val="en-GB"/>
              </w:rPr>
            </w:pPr>
            <w:r>
              <w:rPr>
                <w:rFonts w:cs="Calibri Light"/>
                <w:sz w:val="20"/>
                <w:szCs w:val="20"/>
                <w:lang w:val="en-GB" w:eastAsia="en-US"/>
              </w:rPr>
              <w:t>The registration of a new technology by a formal regulatory body, which legally authorises sponsors to sell their product.</w:t>
            </w:r>
          </w:p>
        </w:tc>
      </w:tr>
      <w:tr w:rsidR="00291249" w:rsidRPr="00221992" w14:paraId="301DFED2" w14:textId="77777777" w:rsidTr="001F5A33">
        <w:tc>
          <w:tcPr>
            <w:tcW w:w="1271" w:type="dxa"/>
            <w:tcMar>
              <w:left w:w="57" w:type="dxa"/>
              <w:right w:w="0" w:type="dxa"/>
            </w:tcMar>
          </w:tcPr>
          <w:p w14:paraId="1664EFB0" w14:textId="77777777"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MAA</w:t>
            </w:r>
          </w:p>
        </w:tc>
        <w:tc>
          <w:tcPr>
            <w:tcW w:w="7223" w:type="dxa"/>
            <w:tcMar>
              <w:left w:w="57" w:type="dxa"/>
              <w:right w:w="0" w:type="dxa"/>
            </w:tcMar>
          </w:tcPr>
          <w:p w14:paraId="394BE85D" w14:textId="77777777"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managed access agreement</w:t>
            </w:r>
          </w:p>
        </w:tc>
      </w:tr>
      <w:tr w:rsidR="00291249" w:rsidRPr="00221992" w14:paraId="0F95F0D6" w14:textId="77777777" w:rsidTr="001F5A33">
        <w:tc>
          <w:tcPr>
            <w:tcW w:w="1271" w:type="dxa"/>
            <w:tcMar>
              <w:left w:w="57" w:type="dxa"/>
              <w:right w:w="0" w:type="dxa"/>
            </w:tcMar>
          </w:tcPr>
          <w:p w14:paraId="09C57943" w14:textId="77777777"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MAPP</w:t>
            </w:r>
          </w:p>
        </w:tc>
        <w:tc>
          <w:tcPr>
            <w:tcW w:w="7223" w:type="dxa"/>
            <w:tcMar>
              <w:left w:w="57" w:type="dxa"/>
              <w:right w:w="0" w:type="dxa"/>
            </w:tcMar>
          </w:tcPr>
          <w:p w14:paraId="77C9B0F0" w14:textId="77777777"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Medicines Adaptive Pathways to Patients</w:t>
            </w:r>
          </w:p>
        </w:tc>
      </w:tr>
      <w:tr w:rsidR="00291249" w:rsidRPr="00221992" w14:paraId="3622C3FE" w14:textId="77777777" w:rsidTr="001F5A33">
        <w:tc>
          <w:tcPr>
            <w:tcW w:w="1271" w:type="dxa"/>
            <w:tcMar>
              <w:left w:w="57" w:type="dxa"/>
              <w:right w:w="0" w:type="dxa"/>
            </w:tcMar>
          </w:tcPr>
          <w:p w14:paraId="0644E8C9" w14:textId="77777777"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MBE</w:t>
            </w:r>
          </w:p>
        </w:tc>
        <w:tc>
          <w:tcPr>
            <w:tcW w:w="7223" w:type="dxa"/>
            <w:tcMar>
              <w:left w:w="57" w:type="dxa"/>
              <w:right w:w="0" w:type="dxa"/>
            </w:tcMar>
          </w:tcPr>
          <w:p w14:paraId="1CA30C7C" w14:textId="77777777"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Medical benefit evaluation</w:t>
            </w:r>
          </w:p>
        </w:tc>
      </w:tr>
      <w:tr w:rsidR="00291249" w:rsidRPr="00221992" w14:paraId="4108B774" w14:textId="77777777" w:rsidTr="001F5A33">
        <w:tc>
          <w:tcPr>
            <w:tcW w:w="1271" w:type="dxa"/>
            <w:tcMar>
              <w:left w:w="57" w:type="dxa"/>
              <w:right w:w="0" w:type="dxa"/>
            </w:tcMar>
          </w:tcPr>
          <w:p w14:paraId="6EC5C408" w14:textId="77777777"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MEA</w:t>
            </w:r>
          </w:p>
        </w:tc>
        <w:tc>
          <w:tcPr>
            <w:tcW w:w="7223" w:type="dxa"/>
            <w:tcMar>
              <w:left w:w="57" w:type="dxa"/>
              <w:right w:w="0" w:type="dxa"/>
            </w:tcMar>
          </w:tcPr>
          <w:p w14:paraId="33FE622A" w14:textId="08B5E2E3" w:rsidR="00291249" w:rsidRPr="00221992" w:rsidRDefault="00291249" w:rsidP="00D82A66">
            <w:pPr>
              <w:spacing w:after="0" w:line="240" w:lineRule="auto"/>
              <w:rPr>
                <w:rFonts w:cs="Calibri Light"/>
                <w:sz w:val="20"/>
                <w:szCs w:val="20"/>
                <w:lang w:val="en-GB"/>
              </w:rPr>
            </w:pPr>
            <w:r w:rsidRPr="00221992">
              <w:rPr>
                <w:rFonts w:cs="Calibri Light"/>
                <w:sz w:val="20"/>
                <w:szCs w:val="20"/>
                <w:lang w:val="en-GB"/>
              </w:rPr>
              <w:t xml:space="preserve">Managed entry </w:t>
            </w:r>
            <w:r w:rsidR="00923654">
              <w:rPr>
                <w:rFonts w:cs="Calibri Light"/>
                <w:sz w:val="20"/>
                <w:szCs w:val="20"/>
                <w:lang w:val="en-GB"/>
              </w:rPr>
              <w:t>agreement</w:t>
            </w:r>
            <w:r w:rsidR="00D82A66">
              <w:rPr>
                <w:rFonts w:cs="Calibri Light"/>
                <w:sz w:val="20"/>
                <w:szCs w:val="20"/>
                <w:lang w:val="en-GB"/>
              </w:rPr>
              <w:t>—</w:t>
            </w:r>
            <w:r w:rsidR="00CB39F3">
              <w:rPr>
                <w:rFonts w:cs="Calibri Light"/>
                <w:sz w:val="20"/>
                <w:szCs w:val="20"/>
                <w:lang w:val="en-GB"/>
              </w:rPr>
              <w:t>S</w:t>
            </w:r>
            <w:r w:rsidR="00CB39F3" w:rsidRPr="00CB39F3">
              <w:rPr>
                <w:rFonts w:cs="Calibri Light"/>
                <w:sz w:val="20"/>
                <w:szCs w:val="20"/>
                <w:lang w:val="en-GB"/>
              </w:rPr>
              <w:t>trategic arrangements between payers and sponsors, employed to ensure timely patient access to advanced healthcare treatments, particularly when there is uncertainty about their clinical or cost-effectiveness</w:t>
            </w:r>
            <w:r w:rsidR="00CB39F3">
              <w:rPr>
                <w:rFonts w:cs="Calibri Light"/>
                <w:sz w:val="20"/>
                <w:szCs w:val="20"/>
                <w:lang w:val="en-GB"/>
              </w:rPr>
              <w:t>.</w:t>
            </w:r>
          </w:p>
        </w:tc>
      </w:tr>
      <w:tr w:rsidR="00291249" w:rsidRPr="00221992" w14:paraId="4DD78A68" w14:textId="77777777" w:rsidTr="001F5A33">
        <w:tc>
          <w:tcPr>
            <w:tcW w:w="1271" w:type="dxa"/>
            <w:tcMar>
              <w:left w:w="57" w:type="dxa"/>
              <w:right w:w="0" w:type="dxa"/>
            </w:tcMar>
          </w:tcPr>
          <w:p w14:paraId="0672C0F3" w14:textId="77777777"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MHLW</w:t>
            </w:r>
          </w:p>
        </w:tc>
        <w:tc>
          <w:tcPr>
            <w:tcW w:w="7223" w:type="dxa"/>
            <w:tcMar>
              <w:left w:w="57" w:type="dxa"/>
              <w:right w:w="0" w:type="dxa"/>
            </w:tcMar>
          </w:tcPr>
          <w:p w14:paraId="7B60DBA7" w14:textId="1BB07A31"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Ministry of Health, Labour and Welfare</w:t>
            </w:r>
            <w:r w:rsidR="00F574B9">
              <w:rPr>
                <w:rFonts w:cs="Calibri Light"/>
                <w:sz w:val="20"/>
                <w:szCs w:val="20"/>
                <w:lang w:val="en-GB"/>
              </w:rPr>
              <w:t xml:space="preserve"> (Japan)</w:t>
            </w:r>
          </w:p>
        </w:tc>
      </w:tr>
      <w:tr w:rsidR="00291249" w:rsidRPr="00221992" w14:paraId="4AAA71EF" w14:textId="77777777" w:rsidTr="001F5A33">
        <w:tc>
          <w:tcPr>
            <w:tcW w:w="1271" w:type="dxa"/>
            <w:tcMar>
              <w:left w:w="57" w:type="dxa"/>
              <w:right w:w="0" w:type="dxa"/>
            </w:tcMar>
          </w:tcPr>
          <w:p w14:paraId="60E59178" w14:textId="77777777"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MLP</w:t>
            </w:r>
          </w:p>
        </w:tc>
        <w:tc>
          <w:tcPr>
            <w:tcW w:w="7223" w:type="dxa"/>
            <w:tcMar>
              <w:left w:w="57" w:type="dxa"/>
              <w:right w:w="0" w:type="dxa"/>
            </w:tcMar>
          </w:tcPr>
          <w:p w14:paraId="620A92B1" w14:textId="77777777"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 xml:space="preserve">Maximum list price </w:t>
            </w:r>
          </w:p>
        </w:tc>
      </w:tr>
      <w:tr w:rsidR="00291249" w:rsidRPr="00221992" w14:paraId="711A0363" w14:textId="77777777" w:rsidTr="001F5A33">
        <w:tc>
          <w:tcPr>
            <w:tcW w:w="1271" w:type="dxa"/>
            <w:tcMar>
              <w:left w:w="57" w:type="dxa"/>
              <w:right w:w="0" w:type="dxa"/>
            </w:tcMar>
          </w:tcPr>
          <w:p w14:paraId="07E1AB4E" w14:textId="77777777"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MNP</w:t>
            </w:r>
          </w:p>
        </w:tc>
        <w:tc>
          <w:tcPr>
            <w:tcW w:w="7223" w:type="dxa"/>
            <w:tcMar>
              <w:left w:w="57" w:type="dxa"/>
              <w:right w:w="0" w:type="dxa"/>
            </w:tcMar>
          </w:tcPr>
          <w:p w14:paraId="77757BC4" w14:textId="6CED718E"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Medical need program</w:t>
            </w:r>
            <w:r w:rsidR="00F574B9">
              <w:rPr>
                <w:rFonts w:cs="Calibri Light"/>
                <w:sz w:val="20"/>
                <w:szCs w:val="20"/>
                <w:lang w:val="en-GB"/>
              </w:rPr>
              <w:t xml:space="preserve"> (Belgium)</w:t>
            </w:r>
          </w:p>
        </w:tc>
      </w:tr>
      <w:tr w:rsidR="00291249" w:rsidRPr="00221992" w14:paraId="41D995B2" w14:textId="77777777" w:rsidTr="001F5A33">
        <w:tc>
          <w:tcPr>
            <w:tcW w:w="1271" w:type="dxa"/>
            <w:tcMar>
              <w:left w:w="57" w:type="dxa"/>
              <w:right w:w="0" w:type="dxa"/>
            </w:tcMar>
          </w:tcPr>
          <w:p w14:paraId="0E00F078" w14:textId="77777777"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MOH</w:t>
            </w:r>
          </w:p>
        </w:tc>
        <w:tc>
          <w:tcPr>
            <w:tcW w:w="7223" w:type="dxa"/>
            <w:tcMar>
              <w:left w:w="57" w:type="dxa"/>
              <w:right w:w="0" w:type="dxa"/>
            </w:tcMar>
          </w:tcPr>
          <w:p w14:paraId="5515D6AD" w14:textId="77777777"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Ministry of Health (Spain)</w:t>
            </w:r>
          </w:p>
        </w:tc>
      </w:tr>
      <w:tr w:rsidR="00291249" w:rsidRPr="00221992" w14:paraId="18D17111" w14:textId="77777777" w:rsidTr="001F5A33">
        <w:tc>
          <w:tcPr>
            <w:tcW w:w="1271" w:type="dxa"/>
            <w:tcMar>
              <w:left w:w="57" w:type="dxa"/>
              <w:right w:w="0" w:type="dxa"/>
            </w:tcMar>
          </w:tcPr>
          <w:p w14:paraId="5350A840" w14:textId="77777777"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MRI</w:t>
            </w:r>
          </w:p>
        </w:tc>
        <w:tc>
          <w:tcPr>
            <w:tcW w:w="7223" w:type="dxa"/>
            <w:tcMar>
              <w:left w:w="57" w:type="dxa"/>
              <w:right w:w="0" w:type="dxa"/>
            </w:tcMar>
          </w:tcPr>
          <w:p w14:paraId="5853903E" w14:textId="77777777"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Magnetic resonance imaging</w:t>
            </w:r>
          </w:p>
        </w:tc>
      </w:tr>
      <w:tr w:rsidR="00291249" w:rsidRPr="00221992" w14:paraId="28B6607F" w14:textId="77777777" w:rsidTr="001F5A33">
        <w:tc>
          <w:tcPr>
            <w:tcW w:w="1271" w:type="dxa"/>
            <w:tcMar>
              <w:left w:w="57" w:type="dxa"/>
              <w:right w:w="0" w:type="dxa"/>
            </w:tcMar>
          </w:tcPr>
          <w:p w14:paraId="35EB6B26" w14:textId="77777777"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MRP</w:t>
            </w:r>
          </w:p>
        </w:tc>
        <w:tc>
          <w:tcPr>
            <w:tcW w:w="7223" w:type="dxa"/>
            <w:tcMar>
              <w:left w:w="57" w:type="dxa"/>
              <w:right w:w="0" w:type="dxa"/>
            </w:tcMar>
          </w:tcPr>
          <w:p w14:paraId="237A5FB5" w14:textId="0AFE293D"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Maximum reimbursement price (</w:t>
            </w:r>
            <w:r w:rsidR="00357EF9">
              <w:rPr>
                <w:rFonts w:cs="Calibri Light"/>
                <w:sz w:val="20"/>
                <w:szCs w:val="20"/>
                <w:lang w:val="en-GB"/>
              </w:rPr>
              <w:t xml:space="preserve">South </w:t>
            </w:r>
            <w:r w:rsidRPr="00221992">
              <w:rPr>
                <w:rFonts w:cs="Calibri Light"/>
                <w:sz w:val="20"/>
                <w:szCs w:val="20"/>
                <w:lang w:val="en-GB"/>
              </w:rPr>
              <w:t>Korea)</w:t>
            </w:r>
          </w:p>
        </w:tc>
      </w:tr>
      <w:tr w:rsidR="00291249" w:rsidRPr="00221992" w14:paraId="2F92EE88" w14:textId="77777777" w:rsidTr="001F5A33">
        <w:tc>
          <w:tcPr>
            <w:tcW w:w="1271" w:type="dxa"/>
            <w:tcMar>
              <w:left w:w="57" w:type="dxa"/>
              <w:right w:w="0" w:type="dxa"/>
            </w:tcMar>
          </w:tcPr>
          <w:p w14:paraId="77A0B562" w14:textId="77777777"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MRP</w:t>
            </w:r>
          </w:p>
        </w:tc>
        <w:tc>
          <w:tcPr>
            <w:tcW w:w="7223" w:type="dxa"/>
            <w:tcMar>
              <w:left w:w="57" w:type="dxa"/>
              <w:right w:w="0" w:type="dxa"/>
            </w:tcMar>
          </w:tcPr>
          <w:p w14:paraId="6B5B7B37" w14:textId="77777777"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Maximum rebated price (Canada)</w:t>
            </w:r>
          </w:p>
        </w:tc>
      </w:tr>
      <w:tr w:rsidR="00291249" w:rsidRPr="00221992" w14:paraId="68B9A30E" w14:textId="77777777" w:rsidTr="001F5A33">
        <w:tc>
          <w:tcPr>
            <w:tcW w:w="1271" w:type="dxa"/>
            <w:tcMar>
              <w:left w:w="57" w:type="dxa"/>
              <w:right w:w="0" w:type="dxa"/>
            </w:tcMar>
          </w:tcPr>
          <w:p w14:paraId="32D5B37F" w14:textId="77777777"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MSAC</w:t>
            </w:r>
          </w:p>
        </w:tc>
        <w:tc>
          <w:tcPr>
            <w:tcW w:w="7223" w:type="dxa"/>
            <w:tcMar>
              <w:left w:w="57" w:type="dxa"/>
              <w:right w:w="0" w:type="dxa"/>
            </w:tcMar>
          </w:tcPr>
          <w:p w14:paraId="4B53CBAE" w14:textId="7DC20A3F"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Medical Services Advisory Committee</w:t>
            </w:r>
            <w:r w:rsidR="00F574B9">
              <w:rPr>
                <w:rFonts w:cs="Calibri Light"/>
                <w:sz w:val="20"/>
                <w:szCs w:val="20"/>
                <w:lang w:val="en-GB"/>
              </w:rPr>
              <w:t xml:space="preserve"> (Australia)</w:t>
            </w:r>
          </w:p>
        </w:tc>
      </w:tr>
      <w:tr w:rsidR="00291249" w:rsidRPr="00221992" w14:paraId="4F292785" w14:textId="77777777" w:rsidTr="001F5A33">
        <w:tc>
          <w:tcPr>
            <w:tcW w:w="1271" w:type="dxa"/>
            <w:tcMar>
              <w:left w:w="57" w:type="dxa"/>
              <w:right w:w="0" w:type="dxa"/>
            </w:tcMar>
          </w:tcPr>
          <w:p w14:paraId="34B14FEA" w14:textId="77777777"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MSS</w:t>
            </w:r>
          </w:p>
        </w:tc>
        <w:tc>
          <w:tcPr>
            <w:tcW w:w="7223" w:type="dxa"/>
            <w:tcMar>
              <w:left w:w="57" w:type="dxa"/>
              <w:right w:w="0" w:type="dxa"/>
            </w:tcMar>
          </w:tcPr>
          <w:p w14:paraId="11539934" w14:textId="3A6D3265" w:rsidR="00291249" w:rsidRPr="00EE1B6B" w:rsidRDefault="00291249" w:rsidP="00291249">
            <w:pPr>
              <w:spacing w:after="0" w:line="240" w:lineRule="auto"/>
              <w:rPr>
                <w:rFonts w:cs="Calibri Light"/>
                <w:sz w:val="20"/>
                <w:szCs w:val="20"/>
                <w:lang w:val="es-CL"/>
              </w:rPr>
            </w:pPr>
            <w:r w:rsidRPr="00EE1B6B">
              <w:rPr>
                <w:rFonts w:cs="Calibri Light"/>
                <w:sz w:val="20"/>
                <w:szCs w:val="20"/>
                <w:lang w:val="es-CL"/>
              </w:rPr>
              <w:t>Ministre santé et sécurité sociale</w:t>
            </w:r>
            <w:r w:rsidR="00357EF9">
              <w:rPr>
                <w:rFonts w:cs="Calibri Light"/>
                <w:sz w:val="20"/>
                <w:szCs w:val="20"/>
                <w:lang w:val="es-CL"/>
              </w:rPr>
              <w:t xml:space="preserve"> (France)</w:t>
            </w:r>
          </w:p>
        </w:tc>
      </w:tr>
      <w:tr w:rsidR="00291249" w:rsidRPr="00221992" w14:paraId="4EC652FB" w14:textId="77777777" w:rsidTr="001F5A33">
        <w:tc>
          <w:tcPr>
            <w:tcW w:w="1271" w:type="dxa"/>
            <w:tcMar>
              <w:left w:w="57" w:type="dxa"/>
              <w:right w:w="0" w:type="dxa"/>
            </w:tcMar>
          </w:tcPr>
          <w:p w14:paraId="78DE0C07" w14:textId="77777777"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MTAA</w:t>
            </w:r>
          </w:p>
        </w:tc>
        <w:tc>
          <w:tcPr>
            <w:tcW w:w="7223" w:type="dxa"/>
            <w:tcMar>
              <w:left w:w="57" w:type="dxa"/>
              <w:right w:w="0" w:type="dxa"/>
            </w:tcMar>
          </w:tcPr>
          <w:p w14:paraId="79806C44" w14:textId="77777777"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Medical Technology Association of Australia</w:t>
            </w:r>
          </w:p>
        </w:tc>
      </w:tr>
      <w:tr w:rsidR="00291249" w:rsidRPr="00221992" w14:paraId="017C9FDE" w14:textId="77777777" w:rsidTr="001F5A33">
        <w:tc>
          <w:tcPr>
            <w:tcW w:w="1271" w:type="dxa"/>
            <w:tcMar>
              <w:left w:w="57" w:type="dxa"/>
              <w:right w:w="0" w:type="dxa"/>
            </w:tcMar>
          </w:tcPr>
          <w:p w14:paraId="296A3EC7" w14:textId="77777777"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MTEG</w:t>
            </w:r>
          </w:p>
        </w:tc>
        <w:tc>
          <w:tcPr>
            <w:tcW w:w="7223" w:type="dxa"/>
            <w:tcMar>
              <w:left w:w="57" w:type="dxa"/>
              <w:right w:w="0" w:type="dxa"/>
            </w:tcMar>
          </w:tcPr>
          <w:p w14:paraId="6BF718BB" w14:textId="604A93B6"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The Medical Technology Evaluation programme</w:t>
            </w:r>
            <w:r w:rsidR="00357EF9">
              <w:rPr>
                <w:rFonts w:cs="Calibri Light"/>
                <w:sz w:val="20"/>
                <w:szCs w:val="20"/>
                <w:lang w:val="en-GB"/>
              </w:rPr>
              <w:t xml:space="preserve"> (England and Wales)</w:t>
            </w:r>
          </w:p>
        </w:tc>
      </w:tr>
      <w:tr w:rsidR="00291249" w:rsidRPr="00221992" w14:paraId="66D92DC2" w14:textId="77777777" w:rsidTr="001F5A33">
        <w:tc>
          <w:tcPr>
            <w:tcW w:w="1271" w:type="dxa"/>
            <w:tcMar>
              <w:left w:w="57" w:type="dxa"/>
              <w:right w:w="0" w:type="dxa"/>
            </w:tcMar>
          </w:tcPr>
          <w:p w14:paraId="250DCAB6" w14:textId="77777777"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NACCHO</w:t>
            </w:r>
          </w:p>
        </w:tc>
        <w:tc>
          <w:tcPr>
            <w:tcW w:w="7223" w:type="dxa"/>
            <w:tcMar>
              <w:left w:w="57" w:type="dxa"/>
              <w:right w:w="0" w:type="dxa"/>
            </w:tcMar>
          </w:tcPr>
          <w:p w14:paraId="1D267167" w14:textId="366DB802"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National Aboriginal Community Controlled Health Organisation</w:t>
            </w:r>
            <w:r w:rsidR="00357EF9">
              <w:rPr>
                <w:rFonts w:cs="Calibri Light"/>
                <w:sz w:val="20"/>
                <w:szCs w:val="20"/>
                <w:lang w:val="en-GB"/>
              </w:rPr>
              <w:t xml:space="preserve"> (Australia)</w:t>
            </w:r>
          </w:p>
        </w:tc>
      </w:tr>
      <w:tr w:rsidR="00291249" w:rsidRPr="00221992" w14:paraId="1D97953B" w14:textId="77777777" w:rsidTr="001F5A33">
        <w:tc>
          <w:tcPr>
            <w:tcW w:w="1271" w:type="dxa"/>
            <w:tcMar>
              <w:left w:w="57" w:type="dxa"/>
              <w:right w:w="0" w:type="dxa"/>
            </w:tcMar>
          </w:tcPr>
          <w:p w14:paraId="34BD498D" w14:textId="77777777"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NDC</w:t>
            </w:r>
          </w:p>
        </w:tc>
        <w:tc>
          <w:tcPr>
            <w:tcW w:w="7223" w:type="dxa"/>
            <w:tcMar>
              <w:left w:w="57" w:type="dxa"/>
              <w:right w:w="0" w:type="dxa"/>
            </w:tcMar>
          </w:tcPr>
          <w:p w14:paraId="5CBB6ED4" w14:textId="32626D9B"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New Drugs Committee</w:t>
            </w:r>
            <w:r w:rsidR="00357EF9">
              <w:rPr>
                <w:rFonts w:cs="Calibri Light"/>
                <w:sz w:val="20"/>
                <w:szCs w:val="20"/>
                <w:lang w:val="en-GB"/>
              </w:rPr>
              <w:t xml:space="preserve"> (Scotland)</w:t>
            </w:r>
          </w:p>
        </w:tc>
      </w:tr>
      <w:tr w:rsidR="00CB39F3" w:rsidRPr="00221992" w14:paraId="01C93C1F" w14:textId="77777777" w:rsidTr="001F5A33">
        <w:tc>
          <w:tcPr>
            <w:tcW w:w="1271" w:type="dxa"/>
            <w:tcMar>
              <w:left w:w="57" w:type="dxa"/>
              <w:right w:w="0" w:type="dxa"/>
            </w:tcMar>
          </w:tcPr>
          <w:p w14:paraId="07C6E754" w14:textId="79D7E02F" w:rsidR="00CB39F3" w:rsidRPr="00221992" w:rsidRDefault="00CB39F3" w:rsidP="00291249">
            <w:pPr>
              <w:spacing w:after="0" w:line="240" w:lineRule="auto"/>
              <w:rPr>
                <w:rFonts w:cs="Calibri Light"/>
                <w:sz w:val="20"/>
                <w:szCs w:val="20"/>
                <w:lang w:val="en-GB"/>
              </w:rPr>
            </w:pPr>
            <w:r>
              <w:rPr>
                <w:rFonts w:cs="Calibri Light"/>
                <w:sz w:val="20"/>
                <w:szCs w:val="20"/>
                <w:lang w:val="en-GB"/>
              </w:rPr>
              <w:t>New health technology</w:t>
            </w:r>
          </w:p>
        </w:tc>
        <w:tc>
          <w:tcPr>
            <w:tcW w:w="7223" w:type="dxa"/>
            <w:tcMar>
              <w:left w:w="57" w:type="dxa"/>
              <w:right w:w="0" w:type="dxa"/>
            </w:tcMar>
          </w:tcPr>
          <w:p w14:paraId="74A53AAF" w14:textId="1A7D390F" w:rsidR="00CB39F3" w:rsidRPr="00221992" w:rsidRDefault="00CB39F3" w:rsidP="00291249">
            <w:pPr>
              <w:spacing w:after="0" w:line="240" w:lineRule="auto"/>
              <w:rPr>
                <w:rFonts w:cs="Calibri Light"/>
                <w:sz w:val="20"/>
                <w:szCs w:val="20"/>
                <w:lang w:val="en-GB"/>
              </w:rPr>
            </w:pPr>
            <w:r w:rsidRPr="00CB39F3">
              <w:rPr>
                <w:rFonts w:cs="Calibri Light"/>
                <w:sz w:val="20"/>
                <w:szCs w:val="20"/>
                <w:lang w:val="en-GB"/>
              </w:rPr>
              <w:t>A health technology that is in the launch, early post-marketing or early diffusion stages. (HTA Glossary)</w:t>
            </w:r>
          </w:p>
        </w:tc>
      </w:tr>
      <w:tr w:rsidR="00291249" w:rsidRPr="00221992" w14:paraId="5B6CCCE4" w14:textId="77777777" w:rsidTr="001F5A33">
        <w:tc>
          <w:tcPr>
            <w:tcW w:w="1271" w:type="dxa"/>
            <w:tcMar>
              <w:left w:w="57" w:type="dxa"/>
              <w:right w:w="0" w:type="dxa"/>
            </w:tcMar>
          </w:tcPr>
          <w:p w14:paraId="5B44C695" w14:textId="77777777"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NHI</w:t>
            </w:r>
          </w:p>
        </w:tc>
        <w:tc>
          <w:tcPr>
            <w:tcW w:w="7223" w:type="dxa"/>
            <w:tcMar>
              <w:left w:w="57" w:type="dxa"/>
              <w:right w:w="0" w:type="dxa"/>
            </w:tcMar>
          </w:tcPr>
          <w:p w14:paraId="78832D46" w14:textId="77777777"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National Health Insurance (France)</w:t>
            </w:r>
          </w:p>
        </w:tc>
      </w:tr>
      <w:tr w:rsidR="00291249" w:rsidRPr="00221992" w14:paraId="6807AC4B" w14:textId="77777777" w:rsidTr="001F5A33">
        <w:tc>
          <w:tcPr>
            <w:tcW w:w="1271" w:type="dxa"/>
            <w:tcMar>
              <w:left w:w="57" w:type="dxa"/>
              <w:right w:w="0" w:type="dxa"/>
            </w:tcMar>
          </w:tcPr>
          <w:p w14:paraId="77FD2768" w14:textId="77777777"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NHIA</w:t>
            </w:r>
          </w:p>
        </w:tc>
        <w:tc>
          <w:tcPr>
            <w:tcW w:w="7223" w:type="dxa"/>
            <w:tcMar>
              <w:left w:w="57" w:type="dxa"/>
              <w:right w:w="0" w:type="dxa"/>
            </w:tcMar>
          </w:tcPr>
          <w:p w14:paraId="45DDC627" w14:textId="5A46E099"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 xml:space="preserve">National Health Insurance Administration </w:t>
            </w:r>
            <w:r w:rsidR="00357EF9">
              <w:rPr>
                <w:rFonts w:cs="Calibri Light"/>
                <w:sz w:val="20"/>
                <w:szCs w:val="20"/>
                <w:lang w:val="en-GB"/>
              </w:rPr>
              <w:t>(South Korea)</w:t>
            </w:r>
          </w:p>
        </w:tc>
      </w:tr>
      <w:tr w:rsidR="00291249" w:rsidRPr="00221992" w14:paraId="69DE4CE4" w14:textId="77777777" w:rsidTr="001F5A33">
        <w:tc>
          <w:tcPr>
            <w:tcW w:w="1271" w:type="dxa"/>
            <w:tcMar>
              <w:left w:w="57" w:type="dxa"/>
              <w:right w:w="0" w:type="dxa"/>
            </w:tcMar>
          </w:tcPr>
          <w:p w14:paraId="0969A931" w14:textId="77777777"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NHIS</w:t>
            </w:r>
          </w:p>
        </w:tc>
        <w:tc>
          <w:tcPr>
            <w:tcW w:w="7223" w:type="dxa"/>
            <w:tcMar>
              <w:left w:w="57" w:type="dxa"/>
              <w:right w:w="0" w:type="dxa"/>
            </w:tcMar>
          </w:tcPr>
          <w:p w14:paraId="358C7E84" w14:textId="1D92A51A"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 xml:space="preserve">National Health Insurance Service </w:t>
            </w:r>
            <w:r w:rsidR="00357EF9">
              <w:rPr>
                <w:rFonts w:cs="Calibri Light"/>
                <w:sz w:val="20"/>
                <w:szCs w:val="20"/>
                <w:lang w:val="en-GB"/>
              </w:rPr>
              <w:t>(South Korea)</w:t>
            </w:r>
          </w:p>
        </w:tc>
      </w:tr>
      <w:tr w:rsidR="00291249" w:rsidRPr="00221992" w14:paraId="18E861C6" w14:textId="77777777" w:rsidTr="001F5A33">
        <w:tc>
          <w:tcPr>
            <w:tcW w:w="1271" w:type="dxa"/>
            <w:tcMar>
              <w:left w:w="57" w:type="dxa"/>
              <w:right w:w="0" w:type="dxa"/>
            </w:tcMar>
          </w:tcPr>
          <w:p w14:paraId="1038B6D9" w14:textId="77777777"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NHS</w:t>
            </w:r>
          </w:p>
        </w:tc>
        <w:tc>
          <w:tcPr>
            <w:tcW w:w="7223" w:type="dxa"/>
            <w:tcMar>
              <w:left w:w="57" w:type="dxa"/>
              <w:right w:w="0" w:type="dxa"/>
            </w:tcMar>
          </w:tcPr>
          <w:p w14:paraId="6ACB6B83" w14:textId="29B65A6A"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National Health Service</w:t>
            </w:r>
            <w:r w:rsidR="00357EF9">
              <w:rPr>
                <w:rFonts w:cs="Calibri Light"/>
                <w:sz w:val="20"/>
                <w:szCs w:val="20"/>
                <w:lang w:val="en-GB"/>
              </w:rPr>
              <w:t xml:space="preserve"> (UK)</w:t>
            </w:r>
          </w:p>
        </w:tc>
      </w:tr>
      <w:tr w:rsidR="00291249" w:rsidRPr="00221992" w14:paraId="3B840D83" w14:textId="77777777" w:rsidTr="001F5A33">
        <w:tc>
          <w:tcPr>
            <w:tcW w:w="1271" w:type="dxa"/>
            <w:tcMar>
              <w:left w:w="57" w:type="dxa"/>
              <w:right w:w="0" w:type="dxa"/>
            </w:tcMar>
          </w:tcPr>
          <w:p w14:paraId="25FBB309" w14:textId="77777777"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NICE</w:t>
            </w:r>
          </w:p>
        </w:tc>
        <w:tc>
          <w:tcPr>
            <w:tcW w:w="7223" w:type="dxa"/>
            <w:tcMar>
              <w:left w:w="57" w:type="dxa"/>
              <w:right w:w="0" w:type="dxa"/>
            </w:tcMar>
          </w:tcPr>
          <w:p w14:paraId="44102C66" w14:textId="6BCD7530"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National Institute for Health and Care Excellence</w:t>
            </w:r>
            <w:r w:rsidR="00357EF9">
              <w:rPr>
                <w:rFonts w:cs="Calibri Light"/>
                <w:sz w:val="20"/>
                <w:szCs w:val="20"/>
                <w:lang w:val="en-GB"/>
              </w:rPr>
              <w:t xml:space="preserve"> (UK)</w:t>
            </w:r>
          </w:p>
        </w:tc>
      </w:tr>
      <w:tr w:rsidR="00291249" w:rsidRPr="00221992" w14:paraId="6D7B0F07" w14:textId="77777777" w:rsidTr="001F5A33">
        <w:tc>
          <w:tcPr>
            <w:tcW w:w="1271" w:type="dxa"/>
            <w:tcMar>
              <w:left w:w="57" w:type="dxa"/>
              <w:right w:w="0" w:type="dxa"/>
            </w:tcMar>
          </w:tcPr>
          <w:p w14:paraId="540726DE" w14:textId="77777777"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NICE DSU</w:t>
            </w:r>
          </w:p>
        </w:tc>
        <w:tc>
          <w:tcPr>
            <w:tcW w:w="7223" w:type="dxa"/>
            <w:tcMar>
              <w:left w:w="57" w:type="dxa"/>
              <w:right w:w="0" w:type="dxa"/>
            </w:tcMar>
          </w:tcPr>
          <w:p w14:paraId="316AE90B" w14:textId="5567DCEE"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NICE Decision Support Unit</w:t>
            </w:r>
            <w:r w:rsidR="00F574B9">
              <w:rPr>
                <w:rFonts w:cs="Calibri Light"/>
                <w:sz w:val="20"/>
                <w:szCs w:val="20"/>
                <w:lang w:val="en-GB"/>
              </w:rPr>
              <w:t xml:space="preserve"> (UK)</w:t>
            </w:r>
          </w:p>
        </w:tc>
      </w:tr>
      <w:tr w:rsidR="00291249" w:rsidRPr="00221992" w14:paraId="33FFEB91" w14:textId="77777777" w:rsidTr="001F5A33">
        <w:tc>
          <w:tcPr>
            <w:tcW w:w="1271" w:type="dxa"/>
            <w:tcMar>
              <w:left w:w="57" w:type="dxa"/>
              <w:right w:w="0" w:type="dxa"/>
            </w:tcMar>
          </w:tcPr>
          <w:p w14:paraId="08E114ED" w14:textId="77777777"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NME</w:t>
            </w:r>
          </w:p>
        </w:tc>
        <w:tc>
          <w:tcPr>
            <w:tcW w:w="7223" w:type="dxa"/>
            <w:tcMar>
              <w:left w:w="57" w:type="dxa"/>
              <w:right w:w="0" w:type="dxa"/>
            </w:tcMar>
          </w:tcPr>
          <w:p w14:paraId="3DEC798D" w14:textId="77777777"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New molecular entry</w:t>
            </w:r>
          </w:p>
        </w:tc>
      </w:tr>
      <w:tr w:rsidR="00291249" w:rsidRPr="00221992" w14:paraId="25069FD3" w14:textId="77777777" w:rsidTr="001F5A33">
        <w:tc>
          <w:tcPr>
            <w:tcW w:w="1271" w:type="dxa"/>
            <w:tcMar>
              <w:left w:w="57" w:type="dxa"/>
              <w:right w:w="0" w:type="dxa"/>
            </w:tcMar>
          </w:tcPr>
          <w:p w14:paraId="7BFCEF3E" w14:textId="77777777"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NMF</w:t>
            </w:r>
          </w:p>
        </w:tc>
        <w:tc>
          <w:tcPr>
            <w:tcW w:w="7223" w:type="dxa"/>
            <w:tcMar>
              <w:left w:w="57" w:type="dxa"/>
              <w:right w:w="0" w:type="dxa"/>
            </w:tcMar>
          </w:tcPr>
          <w:p w14:paraId="317307FF" w14:textId="7606C129"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New Medicine Fund</w:t>
            </w:r>
            <w:r w:rsidR="00F574B9">
              <w:rPr>
                <w:rFonts w:cs="Calibri Light"/>
                <w:sz w:val="20"/>
                <w:szCs w:val="20"/>
                <w:lang w:val="en-GB"/>
              </w:rPr>
              <w:t xml:space="preserve"> (Scotland)</w:t>
            </w:r>
          </w:p>
        </w:tc>
      </w:tr>
      <w:tr w:rsidR="00291249" w:rsidRPr="00221992" w14:paraId="559DC0BE" w14:textId="77777777" w:rsidTr="001F5A33">
        <w:tc>
          <w:tcPr>
            <w:tcW w:w="1271" w:type="dxa"/>
            <w:tcMar>
              <w:left w:w="57" w:type="dxa"/>
              <w:right w:w="0" w:type="dxa"/>
            </w:tcMar>
          </w:tcPr>
          <w:p w14:paraId="0A2E217F" w14:textId="77777777"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NoMA</w:t>
            </w:r>
          </w:p>
        </w:tc>
        <w:tc>
          <w:tcPr>
            <w:tcW w:w="7223" w:type="dxa"/>
            <w:tcMar>
              <w:left w:w="57" w:type="dxa"/>
              <w:right w:w="0" w:type="dxa"/>
            </w:tcMar>
          </w:tcPr>
          <w:p w14:paraId="26C7AF53" w14:textId="77777777"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Norwegian Medicines Agency</w:t>
            </w:r>
          </w:p>
        </w:tc>
      </w:tr>
      <w:tr w:rsidR="00291249" w:rsidRPr="00221992" w14:paraId="08E0E01F" w14:textId="77777777" w:rsidTr="001F5A33">
        <w:tc>
          <w:tcPr>
            <w:tcW w:w="1271" w:type="dxa"/>
            <w:tcMar>
              <w:left w:w="57" w:type="dxa"/>
              <w:right w:w="0" w:type="dxa"/>
            </w:tcMar>
          </w:tcPr>
          <w:p w14:paraId="1FF81EB4" w14:textId="77777777"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NPPA</w:t>
            </w:r>
          </w:p>
        </w:tc>
        <w:tc>
          <w:tcPr>
            <w:tcW w:w="7223" w:type="dxa"/>
            <w:tcMar>
              <w:left w:w="57" w:type="dxa"/>
              <w:right w:w="0" w:type="dxa"/>
            </w:tcMar>
          </w:tcPr>
          <w:p w14:paraId="0CBEA587" w14:textId="21C0F109"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Named Patient Pharmaceutical Assessment</w:t>
            </w:r>
            <w:r w:rsidR="00F574B9">
              <w:rPr>
                <w:rFonts w:cs="Calibri Light"/>
                <w:sz w:val="20"/>
                <w:szCs w:val="20"/>
                <w:lang w:val="en-GB"/>
              </w:rPr>
              <w:t xml:space="preserve"> (New Zealand)</w:t>
            </w:r>
          </w:p>
        </w:tc>
      </w:tr>
      <w:tr w:rsidR="00291249" w:rsidRPr="00221992" w14:paraId="423302D2" w14:textId="77777777" w:rsidTr="001F5A33">
        <w:tc>
          <w:tcPr>
            <w:tcW w:w="1271" w:type="dxa"/>
            <w:tcMar>
              <w:left w:w="57" w:type="dxa"/>
              <w:right w:w="0" w:type="dxa"/>
            </w:tcMar>
          </w:tcPr>
          <w:p w14:paraId="3602C1F4" w14:textId="77777777"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NSCLC</w:t>
            </w:r>
          </w:p>
        </w:tc>
        <w:tc>
          <w:tcPr>
            <w:tcW w:w="7223" w:type="dxa"/>
            <w:tcMar>
              <w:left w:w="57" w:type="dxa"/>
              <w:right w:w="0" w:type="dxa"/>
            </w:tcMar>
          </w:tcPr>
          <w:p w14:paraId="22D78C6D" w14:textId="77777777"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non-small cell lung cancer</w:t>
            </w:r>
          </w:p>
        </w:tc>
      </w:tr>
      <w:tr w:rsidR="00291249" w:rsidRPr="00221992" w14:paraId="3423ED78" w14:textId="77777777" w:rsidTr="001F5A33">
        <w:tc>
          <w:tcPr>
            <w:tcW w:w="1271" w:type="dxa"/>
            <w:tcMar>
              <w:left w:w="57" w:type="dxa"/>
              <w:right w:w="0" w:type="dxa"/>
            </w:tcMar>
          </w:tcPr>
          <w:p w14:paraId="3A00083C" w14:textId="77777777"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NZA</w:t>
            </w:r>
          </w:p>
        </w:tc>
        <w:tc>
          <w:tcPr>
            <w:tcW w:w="7223" w:type="dxa"/>
            <w:tcMar>
              <w:left w:w="57" w:type="dxa"/>
              <w:right w:w="0" w:type="dxa"/>
            </w:tcMar>
          </w:tcPr>
          <w:p w14:paraId="2E48A663" w14:textId="24D0A3C2"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Nederlandse Zorgautoriteit</w:t>
            </w:r>
            <w:r w:rsidR="00F574B9">
              <w:rPr>
                <w:rFonts w:cs="Calibri Light"/>
                <w:sz w:val="20"/>
                <w:szCs w:val="20"/>
                <w:lang w:val="en-GB"/>
              </w:rPr>
              <w:t xml:space="preserve"> (Netherlands)</w:t>
            </w:r>
          </w:p>
        </w:tc>
      </w:tr>
      <w:tr w:rsidR="00291249" w:rsidRPr="00221992" w14:paraId="02F7D46D" w14:textId="77777777" w:rsidTr="001F5A33">
        <w:tc>
          <w:tcPr>
            <w:tcW w:w="1271" w:type="dxa"/>
            <w:tcMar>
              <w:left w:w="57" w:type="dxa"/>
              <w:right w:w="0" w:type="dxa"/>
            </w:tcMar>
          </w:tcPr>
          <w:p w14:paraId="6159F5B3" w14:textId="77777777"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OHE</w:t>
            </w:r>
          </w:p>
        </w:tc>
        <w:tc>
          <w:tcPr>
            <w:tcW w:w="7223" w:type="dxa"/>
            <w:tcMar>
              <w:left w:w="57" w:type="dxa"/>
              <w:right w:w="0" w:type="dxa"/>
            </w:tcMar>
          </w:tcPr>
          <w:p w14:paraId="5333BD73" w14:textId="77777777"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Office of Health Economics</w:t>
            </w:r>
          </w:p>
        </w:tc>
      </w:tr>
      <w:tr w:rsidR="00291249" w:rsidRPr="00221992" w14:paraId="35E8A69F" w14:textId="77777777" w:rsidTr="001F5A33">
        <w:tc>
          <w:tcPr>
            <w:tcW w:w="1271" w:type="dxa"/>
            <w:tcMar>
              <w:left w:w="57" w:type="dxa"/>
              <w:right w:w="0" w:type="dxa"/>
            </w:tcMar>
          </w:tcPr>
          <w:p w14:paraId="789CFF6F" w14:textId="77777777"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ORPH-VAL</w:t>
            </w:r>
          </w:p>
        </w:tc>
        <w:tc>
          <w:tcPr>
            <w:tcW w:w="7223" w:type="dxa"/>
            <w:tcMar>
              <w:left w:w="57" w:type="dxa"/>
              <w:right w:w="0" w:type="dxa"/>
            </w:tcMar>
          </w:tcPr>
          <w:p w14:paraId="3A003B1D" w14:textId="77777777"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European Working Group for Value Assessment and Funding Processes in Rare Diseases</w:t>
            </w:r>
          </w:p>
        </w:tc>
      </w:tr>
      <w:tr w:rsidR="00291249" w:rsidRPr="00221992" w14:paraId="0AC950AC" w14:textId="77777777" w:rsidTr="001F5A33">
        <w:tc>
          <w:tcPr>
            <w:tcW w:w="1271" w:type="dxa"/>
            <w:tcMar>
              <w:left w:w="57" w:type="dxa"/>
              <w:right w:w="0" w:type="dxa"/>
            </w:tcMar>
          </w:tcPr>
          <w:p w14:paraId="394CE87F" w14:textId="77777777"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PACE</w:t>
            </w:r>
          </w:p>
        </w:tc>
        <w:tc>
          <w:tcPr>
            <w:tcW w:w="7223" w:type="dxa"/>
            <w:tcMar>
              <w:left w:w="57" w:type="dxa"/>
              <w:right w:w="0" w:type="dxa"/>
            </w:tcMar>
          </w:tcPr>
          <w:p w14:paraId="56801598" w14:textId="034538D7"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Patient and Clinician Engagement</w:t>
            </w:r>
            <w:r w:rsidR="00357EF9">
              <w:rPr>
                <w:rFonts w:cs="Calibri Light"/>
                <w:sz w:val="20"/>
                <w:szCs w:val="20"/>
                <w:lang w:val="en-GB"/>
              </w:rPr>
              <w:t xml:space="preserve"> (Scotland)</w:t>
            </w:r>
          </w:p>
        </w:tc>
      </w:tr>
      <w:tr w:rsidR="00291249" w:rsidRPr="00221992" w14:paraId="7135556E" w14:textId="77777777" w:rsidTr="001F5A33">
        <w:tc>
          <w:tcPr>
            <w:tcW w:w="1271" w:type="dxa"/>
            <w:tcMar>
              <w:left w:w="57" w:type="dxa"/>
              <w:right w:w="0" w:type="dxa"/>
            </w:tcMar>
          </w:tcPr>
          <w:p w14:paraId="682891E6" w14:textId="77777777"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PACS</w:t>
            </w:r>
          </w:p>
        </w:tc>
        <w:tc>
          <w:tcPr>
            <w:tcW w:w="7223" w:type="dxa"/>
            <w:tcMar>
              <w:left w:w="57" w:type="dxa"/>
              <w:right w:w="0" w:type="dxa"/>
            </w:tcMar>
          </w:tcPr>
          <w:p w14:paraId="77722654" w14:textId="7F5BF922"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Peer Approved Clinical System</w:t>
            </w:r>
            <w:r w:rsidR="00357EF9">
              <w:rPr>
                <w:rFonts w:cs="Calibri Light"/>
                <w:sz w:val="20"/>
                <w:szCs w:val="20"/>
                <w:lang w:val="en-GB"/>
              </w:rPr>
              <w:t xml:space="preserve"> (Scotland)</w:t>
            </w:r>
          </w:p>
        </w:tc>
      </w:tr>
      <w:tr w:rsidR="00291249" w:rsidRPr="00221992" w14:paraId="34095398" w14:textId="77777777" w:rsidTr="001F5A33">
        <w:tc>
          <w:tcPr>
            <w:tcW w:w="1271" w:type="dxa"/>
            <w:tcMar>
              <w:left w:w="57" w:type="dxa"/>
              <w:right w:w="0" w:type="dxa"/>
            </w:tcMar>
          </w:tcPr>
          <w:p w14:paraId="261B52FA" w14:textId="77777777"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PAS</w:t>
            </w:r>
          </w:p>
        </w:tc>
        <w:tc>
          <w:tcPr>
            <w:tcW w:w="7223" w:type="dxa"/>
            <w:tcMar>
              <w:left w:w="57" w:type="dxa"/>
              <w:right w:w="0" w:type="dxa"/>
            </w:tcMar>
          </w:tcPr>
          <w:p w14:paraId="014AF799" w14:textId="1072B3F5"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Patient Access Scheme</w:t>
            </w:r>
            <w:r w:rsidR="00357EF9">
              <w:rPr>
                <w:rFonts w:cs="Calibri Light"/>
                <w:sz w:val="20"/>
                <w:szCs w:val="20"/>
                <w:lang w:val="en-GB"/>
              </w:rPr>
              <w:t xml:space="preserve"> (Scotland)</w:t>
            </w:r>
          </w:p>
        </w:tc>
      </w:tr>
      <w:tr w:rsidR="00A27EDE" w:rsidRPr="00221992" w14:paraId="1EA501FE" w14:textId="77777777" w:rsidTr="001F5A33">
        <w:tc>
          <w:tcPr>
            <w:tcW w:w="1271" w:type="dxa"/>
            <w:tcMar>
              <w:left w:w="57" w:type="dxa"/>
              <w:right w:w="0" w:type="dxa"/>
            </w:tcMar>
          </w:tcPr>
          <w:p w14:paraId="10279EC8" w14:textId="4E32A406" w:rsidR="00A27EDE" w:rsidRPr="00221992" w:rsidRDefault="00A27EDE" w:rsidP="00291249">
            <w:pPr>
              <w:spacing w:after="0" w:line="240" w:lineRule="auto"/>
              <w:rPr>
                <w:rFonts w:cs="Calibri Light"/>
                <w:sz w:val="20"/>
                <w:szCs w:val="20"/>
                <w:lang w:val="en-GB"/>
              </w:rPr>
            </w:pPr>
            <w:r>
              <w:rPr>
                <w:rFonts w:cs="Calibri Light"/>
                <w:sz w:val="20"/>
                <w:szCs w:val="20"/>
                <w:lang w:val="en-GB"/>
              </w:rPr>
              <w:t>PASAG</w:t>
            </w:r>
          </w:p>
        </w:tc>
        <w:tc>
          <w:tcPr>
            <w:tcW w:w="7223" w:type="dxa"/>
            <w:tcMar>
              <w:left w:w="57" w:type="dxa"/>
              <w:right w:w="0" w:type="dxa"/>
            </w:tcMar>
          </w:tcPr>
          <w:p w14:paraId="5B030A0A" w14:textId="7A8B5723" w:rsidR="00A27EDE" w:rsidRPr="00221992" w:rsidRDefault="00A27EDE" w:rsidP="00291249">
            <w:pPr>
              <w:spacing w:after="0" w:line="240" w:lineRule="auto"/>
              <w:rPr>
                <w:rFonts w:cs="Calibri Light"/>
                <w:sz w:val="20"/>
                <w:szCs w:val="20"/>
                <w:lang w:val="en-GB"/>
              </w:rPr>
            </w:pPr>
            <w:r w:rsidRPr="00A27EDE">
              <w:rPr>
                <w:rFonts w:cs="Calibri Light"/>
                <w:sz w:val="20"/>
                <w:szCs w:val="20"/>
                <w:lang w:val="en-GB"/>
              </w:rPr>
              <w:t>Patient Access Scheme Assessment Group</w:t>
            </w:r>
            <w:r w:rsidR="00357EF9">
              <w:rPr>
                <w:rFonts w:cs="Calibri Light"/>
                <w:sz w:val="20"/>
                <w:szCs w:val="20"/>
                <w:lang w:val="en-GB"/>
              </w:rPr>
              <w:t xml:space="preserve"> (Scotland)</w:t>
            </w:r>
          </w:p>
        </w:tc>
      </w:tr>
      <w:tr w:rsidR="00291249" w:rsidRPr="00221992" w14:paraId="4BAE952B" w14:textId="77777777" w:rsidTr="001F5A33">
        <w:tc>
          <w:tcPr>
            <w:tcW w:w="1271" w:type="dxa"/>
            <w:tcMar>
              <w:left w:w="57" w:type="dxa"/>
              <w:right w:w="0" w:type="dxa"/>
            </w:tcMar>
          </w:tcPr>
          <w:p w14:paraId="64D8ABBC" w14:textId="77777777"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PASFTAC</w:t>
            </w:r>
          </w:p>
        </w:tc>
        <w:tc>
          <w:tcPr>
            <w:tcW w:w="7223" w:type="dxa"/>
            <w:tcMar>
              <w:left w:w="57" w:type="dxa"/>
              <w:right w:w="0" w:type="dxa"/>
            </w:tcMar>
          </w:tcPr>
          <w:p w14:paraId="67413581" w14:textId="77777777"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Program for high complexity drugs (Spain)</w:t>
            </w:r>
          </w:p>
        </w:tc>
      </w:tr>
      <w:tr w:rsidR="00291249" w:rsidRPr="00221992" w14:paraId="0A42AF81" w14:textId="77777777" w:rsidTr="001F5A33">
        <w:tc>
          <w:tcPr>
            <w:tcW w:w="1271" w:type="dxa"/>
            <w:tcMar>
              <w:left w:w="57" w:type="dxa"/>
              <w:right w:w="0" w:type="dxa"/>
            </w:tcMar>
          </w:tcPr>
          <w:p w14:paraId="039D5D67" w14:textId="77777777"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PBAC</w:t>
            </w:r>
          </w:p>
        </w:tc>
        <w:tc>
          <w:tcPr>
            <w:tcW w:w="7223" w:type="dxa"/>
            <w:tcMar>
              <w:left w:w="57" w:type="dxa"/>
              <w:right w:w="0" w:type="dxa"/>
            </w:tcMar>
          </w:tcPr>
          <w:p w14:paraId="4714F689" w14:textId="4D2B5B96"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Pharmaceutical Benefits Advisory Committee</w:t>
            </w:r>
            <w:r w:rsidR="00357EF9">
              <w:rPr>
                <w:rFonts w:cs="Calibri Light"/>
                <w:sz w:val="20"/>
                <w:szCs w:val="20"/>
                <w:lang w:val="en-GB"/>
              </w:rPr>
              <w:t xml:space="preserve"> (Australia)</w:t>
            </w:r>
          </w:p>
        </w:tc>
      </w:tr>
      <w:tr w:rsidR="00291249" w:rsidRPr="00221992" w14:paraId="27A97E0E" w14:textId="77777777" w:rsidTr="001F5A33">
        <w:tc>
          <w:tcPr>
            <w:tcW w:w="1271" w:type="dxa"/>
            <w:tcMar>
              <w:left w:w="57" w:type="dxa"/>
              <w:right w:w="0" w:type="dxa"/>
            </w:tcMar>
          </w:tcPr>
          <w:p w14:paraId="3B539126" w14:textId="77777777"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PBCAC</w:t>
            </w:r>
          </w:p>
        </w:tc>
        <w:tc>
          <w:tcPr>
            <w:tcW w:w="7223" w:type="dxa"/>
            <w:tcMar>
              <w:left w:w="57" w:type="dxa"/>
              <w:right w:w="0" w:type="dxa"/>
            </w:tcMar>
          </w:tcPr>
          <w:p w14:paraId="0FF43BDE" w14:textId="77777777"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Pharmaceutical Benefit Coverage Assessment Committee</w:t>
            </w:r>
          </w:p>
        </w:tc>
      </w:tr>
      <w:tr w:rsidR="00291249" w:rsidRPr="00221992" w14:paraId="65A51D45" w14:textId="77777777" w:rsidTr="001F5A33">
        <w:tc>
          <w:tcPr>
            <w:tcW w:w="1271" w:type="dxa"/>
            <w:tcMar>
              <w:left w:w="57" w:type="dxa"/>
              <w:right w:w="0" w:type="dxa"/>
            </w:tcMar>
          </w:tcPr>
          <w:p w14:paraId="2C55A0BA" w14:textId="77777777"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PbR</w:t>
            </w:r>
          </w:p>
        </w:tc>
        <w:tc>
          <w:tcPr>
            <w:tcW w:w="7223" w:type="dxa"/>
            <w:tcMar>
              <w:left w:w="57" w:type="dxa"/>
              <w:right w:w="0" w:type="dxa"/>
            </w:tcMar>
          </w:tcPr>
          <w:p w14:paraId="6C03B78A" w14:textId="25E20EBE"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Payment-by-result</w:t>
            </w:r>
          </w:p>
        </w:tc>
      </w:tr>
      <w:tr w:rsidR="00291249" w:rsidRPr="00221992" w14:paraId="6195C9A2" w14:textId="77777777" w:rsidTr="001F5A33">
        <w:tc>
          <w:tcPr>
            <w:tcW w:w="1271" w:type="dxa"/>
            <w:tcMar>
              <w:left w:w="57" w:type="dxa"/>
              <w:right w:w="0" w:type="dxa"/>
            </w:tcMar>
          </w:tcPr>
          <w:p w14:paraId="0A60CEBD" w14:textId="77777777"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PBRS</w:t>
            </w:r>
          </w:p>
        </w:tc>
        <w:tc>
          <w:tcPr>
            <w:tcW w:w="7223" w:type="dxa"/>
            <w:tcMar>
              <w:left w:w="57" w:type="dxa"/>
              <w:right w:w="0" w:type="dxa"/>
            </w:tcMar>
          </w:tcPr>
          <w:p w14:paraId="3EE7E700" w14:textId="799FAA15"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Pharmaceutical Benefit and Reimbursement Scheme</w:t>
            </w:r>
            <w:r w:rsidR="00357EF9">
              <w:rPr>
                <w:rFonts w:cs="Calibri Light"/>
                <w:sz w:val="20"/>
                <w:szCs w:val="20"/>
                <w:lang w:val="en-GB"/>
              </w:rPr>
              <w:t xml:space="preserve"> (Taiwan)</w:t>
            </w:r>
          </w:p>
        </w:tc>
      </w:tr>
      <w:tr w:rsidR="00291249" w:rsidRPr="00221992" w14:paraId="642B18C6" w14:textId="77777777" w:rsidTr="001F5A33">
        <w:tc>
          <w:tcPr>
            <w:tcW w:w="1271" w:type="dxa"/>
            <w:tcMar>
              <w:left w:w="57" w:type="dxa"/>
              <w:right w:w="0" w:type="dxa"/>
            </w:tcMar>
          </w:tcPr>
          <w:p w14:paraId="4A653580" w14:textId="77777777"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PBS</w:t>
            </w:r>
          </w:p>
        </w:tc>
        <w:tc>
          <w:tcPr>
            <w:tcW w:w="7223" w:type="dxa"/>
            <w:tcMar>
              <w:left w:w="57" w:type="dxa"/>
              <w:right w:w="0" w:type="dxa"/>
            </w:tcMar>
          </w:tcPr>
          <w:p w14:paraId="27C24DB0" w14:textId="29535DC1"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Pharmaceutical Benefits Scheme</w:t>
            </w:r>
            <w:r w:rsidR="00357EF9">
              <w:rPr>
                <w:rFonts w:cs="Calibri Light"/>
                <w:sz w:val="20"/>
                <w:szCs w:val="20"/>
                <w:lang w:val="en-GB"/>
              </w:rPr>
              <w:t xml:space="preserve"> (Australia)</w:t>
            </w:r>
          </w:p>
        </w:tc>
      </w:tr>
      <w:tr w:rsidR="00291249" w:rsidRPr="00221992" w14:paraId="4044FB21" w14:textId="77777777" w:rsidTr="001F5A33">
        <w:tc>
          <w:tcPr>
            <w:tcW w:w="1271" w:type="dxa"/>
            <w:tcMar>
              <w:left w:w="57" w:type="dxa"/>
              <w:right w:w="0" w:type="dxa"/>
            </w:tcMar>
          </w:tcPr>
          <w:p w14:paraId="64625AD7" w14:textId="77777777"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pCODR</w:t>
            </w:r>
          </w:p>
        </w:tc>
        <w:tc>
          <w:tcPr>
            <w:tcW w:w="7223" w:type="dxa"/>
            <w:tcMar>
              <w:left w:w="57" w:type="dxa"/>
              <w:right w:w="0" w:type="dxa"/>
            </w:tcMar>
          </w:tcPr>
          <w:p w14:paraId="2C43CE10" w14:textId="1AC2E0CA"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pan-Canadian Oncology Drug Review</w:t>
            </w:r>
            <w:r w:rsidR="00357EF9">
              <w:rPr>
                <w:rFonts w:cs="Calibri Light"/>
                <w:sz w:val="20"/>
                <w:szCs w:val="20"/>
                <w:lang w:val="en-GB"/>
              </w:rPr>
              <w:t xml:space="preserve"> (Canada)</w:t>
            </w:r>
          </w:p>
        </w:tc>
      </w:tr>
      <w:tr w:rsidR="00291249" w:rsidRPr="00221992" w14:paraId="2D8F3816" w14:textId="77777777" w:rsidTr="001F5A33">
        <w:tc>
          <w:tcPr>
            <w:tcW w:w="1271" w:type="dxa"/>
            <w:tcMar>
              <w:left w:w="57" w:type="dxa"/>
              <w:right w:w="0" w:type="dxa"/>
            </w:tcMar>
          </w:tcPr>
          <w:p w14:paraId="3162E71F" w14:textId="77777777"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PHARMAC</w:t>
            </w:r>
          </w:p>
        </w:tc>
        <w:tc>
          <w:tcPr>
            <w:tcW w:w="7223" w:type="dxa"/>
            <w:tcMar>
              <w:left w:w="57" w:type="dxa"/>
              <w:right w:w="0" w:type="dxa"/>
            </w:tcMar>
          </w:tcPr>
          <w:p w14:paraId="3A496AB3" w14:textId="77777777"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Pharmaceutical Management Agency of New Zealand</w:t>
            </w:r>
          </w:p>
        </w:tc>
      </w:tr>
      <w:tr w:rsidR="00291249" w:rsidRPr="00221992" w14:paraId="353B1EE1" w14:textId="77777777" w:rsidTr="001F5A33">
        <w:tc>
          <w:tcPr>
            <w:tcW w:w="1271" w:type="dxa"/>
            <w:tcMar>
              <w:left w:w="57" w:type="dxa"/>
              <w:right w:w="0" w:type="dxa"/>
            </w:tcMar>
          </w:tcPr>
          <w:p w14:paraId="6A675C69" w14:textId="77777777"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PMDA</w:t>
            </w:r>
          </w:p>
        </w:tc>
        <w:tc>
          <w:tcPr>
            <w:tcW w:w="7223" w:type="dxa"/>
            <w:tcMar>
              <w:left w:w="57" w:type="dxa"/>
              <w:right w:w="0" w:type="dxa"/>
            </w:tcMar>
          </w:tcPr>
          <w:p w14:paraId="1A511FBC" w14:textId="723B09DC"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Pharmaceuticals and Medicinal Devices Agency</w:t>
            </w:r>
            <w:r w:rsidR="00357EF9">
              <w:rPr>
                <w:rFonts w:cs="Calibri Light"/>
                <w:sz w:val="20"/>
                <w:szCs w:val="20"/>
                <w:lang w:val="en-GB"/>
              </w:rPr>
              <w:t xml:space="preserve"> (Japan)</w:t>
            </w:r>
          </w:p>
        </w:tc>
      </w:tr>
      <w:tr w:rsidR="00291249" w:rsidRPr="00221992" w14:paraId="59314EEC" w14:textId="77777777" w:rsidTr="001F5A33">
        <w:tc>
          <w:tcPr>
            <w:tcW w:w="1271" w:type="dxa"/>
            <w:tcMar>
              <w:left w:w="57" w:type="dxa"/>
              <w:right w:w="0" w:type="dxa"/>
            </w:tcMar>
          </w:tcPr>
          <w:p w14:paraId="381C5E54" w14:textId="77777777"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PMPRB</w:t>
            </w:r>
          </w:p>
        </w:tc>
        <w:tc>
          <w:tcPr>
            <w:tcW w:w="7223" w:type="dxa"/>
            <w:tcMar>
              <w:left w:w="57" w:type="dxa"/>
              <w:right w:w="0" w:type="dxa"/>
            </w:tcMar>
          </w:tcPr>
          <w:p w14:paraId="335B8605" w14:textId="77777777"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Canadian Patented Medicine Review Board</w:t>
            </w:r>
          </w:p>
        </w:tc>
      </w:tr>
      <w:tr w:rsidR="00291249" w:rsidRPr="00221992" w14:paraId="4381458D" w14:textId="77777777" w:rsidTr="001F5A33">
        <w:tc>
          <w:tcPr>
            <w:tcW w:w="1271" w:type="dxa"/>
            <w:tcMar>
              <w:left w:w="57" w:type="dxa"/>
              <w:right w:w="0" w:type="dxa"/>
            </w:tcMar>
          </w:tcPr>
          <w:p w14:paraId="53AD9D28" w14:textId="77777777"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PPP</w:t>
            </w:r>
          </w:p>
        </w:tc>
        <w:tc>
          <w:tcPr>
            <w:tcW w:w="7223" w:type="dxa"/>
            <w:tcMar>
              <w:left w:w="57" w:type="dxa"/>
              <w:right w:w="0" w:type="dxa"/>
            </w:tcMar>
          </w:tcPr>
          <w:p w14:paraId="4672F72D" w14:textId="77777777"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Pharmacy purchase price</w:t>
            </w:r>
          </w:p>
        </w:tc>
      </w:tr>
      <w:tr w:rsidR="00291249" w:rsidRPr="00221992" w14:paraId="290056A3" w14:textId="77777777" w:rsidTr="001F5A33">
        <w:tc>
          <w:tcPr>
            <w:tcW w:w="1271" w:type="dxa"/>
            <w:tcMar>
              <w:left w:w="57" w:type="dxa"/>
              <w:right w:w="0" w:type="dxa"/>
            </w:tcMar>
          </w:tcPr>
          <w:p w14:paraId="515601A5" w14:textId="77777777"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PR</w:t>
            </w:r>
          </w:p>
        </w:tc>
        <w:tc>
          <w:tcPr>
            <w:tcW w:w="7223" w:type="dxa"/>
            <w:tcMar>
              <w:left w:w="57" w:type="dxa"/>
              <w:right w:w="0" w:type="dxa"/>
            </w:tcMar>
          </w:tcPr>
          <w:p w14:paraId="6B8A0575" w14:textId="77777777"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 xml:space="preserve">Pricing reimbursement </w:t>
            </w:r>
          </w:p>
        </w:tc>
      </w:tr>
      <w:tr w:rsidR="00291249" w:rsidRPr="00221992" w14:paraId="4E3A8BD2" w14:textId="77777777" w:rsidTr="001F5A33">
        <w:tc>
          <w:tcPr>
            <w:tcW w:w="1271" w:type="dxa"/>
            <w:tcMar>
              <w:left w:w="57" w:type="dxa"/>
              <w:right w:w="0" w:type="dxa"/>
            </w:tcMar>
          </w:tcPr>
          <w:p w14:paraId="0D086BBB" w14:textId="77777777"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PRC</w:t>
            </w:r>
          </w:p>
        </w:tc>
        <w:tc>
          <w:tcPr>
            <w:tcW w:w="7223" w:type="dxa"/>
            <w:tcMar>
              <w:left w:w="57" w:type="dxa"/>
              <w:right w:w="0" w:type="dxa"/>
            </w:tcMar>
          </w:tcPr>
          <w:p w14:paraId="1719A779" w14:textId="77777777"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Pricing and Reimbursement Committee</w:t>
            </w:r>
          </w:p>
        </w:tc>
      </w:tr>
      <w:tr w:rsidR="007A3CF4" w:rsidRPr="00221992" w14:paraId="48E969A6" w14:textId="77777777" w:rsidTr="001F5A33">
        <w:tc>
          <w:tcPr>
            <w:tcW w:w="1271" w:type="dxa"/>
            <w:tcMar>
              <w:left w:w="57" w:type="dxa"/>
              <w:right w:w="0" w:type="dxa"/>
            </w:tcMar>
          </w:tcPr>
          <w:p w14:paraId="0B28A826" w14:textId="187F71BD" w:rsidR="007A3CF4" w:rsidRPr="00221992" w:rsidRDefault="007A3CF4" w:rsidP="007A3CF4">
            <w:pPr>
              <w:spacing w:after="0" w:line="240" w:lineRule="auto"/>
              <w:rPr>
                <w:rFonts w:cs="Calibri Light"/>
                <w:sz w:val="20"/>
                <w:szCs w:val="20"/>
                <w:lang w:val="en-GB"/>
              </w:rPr>
            </w:pPr>
            <w:r>
              <w:rPr>
                <w:rFonts w:cs="Calibri Light"/>
                <w:sz w:val="20"/>
                <w:szCs w:val="20"/>
                <w:lang w:val="en-GB" w:eastAsia="en-US"/>
              </w:rPr>
              <w:t>Product benefit assessment</w:t>
            </w:r>
          </w:p>
        </w:tc>
        <w:tc>
          <w:tcPr>
            <w:tcW w:w="7223" w:type="dxa"/>
            <w:tcMar>
              <w:left w:w="57" w:type="dxa"/>
              <w:right w:w="0" w:type="dxa"/>
            </w:tcMar>
          </w:tcPr>
          <w:p w14:paraId="31C76138" w14:textId="12047B0D" w:rsidR="007A3CF4" w:rsidRPr="00221992" w:rsidRDefault="007A3CF4" w:rsidP="007A3CF4">
            <w:pPr>
              <w:spacing w:after="0" w:line="240" w:lineRule="auto"/>
              <w:rPr>
                <w:rFonts w:cs="Calibri Light"/>
                <w:sz w:val="20"/>
                <w:szCs w:val="20"/>
                <w:lang w:val="en-GB"/>
              </w:rPr>
            </w:pPr>
            <w:r>
              <w:rPr>
                <w:rFonts w:cs="Calibri Light"/>
                <w:sz w:val="20"/>
                <w:szCs w:val="20"/>
                <w:lang w:val="en-GB" w:eastAsia="en-US"/>
              </w:rPr>
              <w:t>The formal evaluation of a new product</w:t>
            </w:r>
            <w:r w:rsidR="003C0980">
              <w:rPr>
                <w:rFonts w:cs="Calibri Light"/>
                <w:sz w:val="20"/>
                <w:szCs w:val="20"/>
                <w:lang w:val="en-GB" w:eastAsia="en-US"/>
              </w:rPr>
              <w:t xml:space="preserve"> that </w:t>
            </w:r>
            <w:r>
              <w:rPr>
                <w:rFonts w:cs="Calibri Light"/>
                <w:sz w:val="20"/>
                <w:szCs w:val="20"/>
                <w:lang w:val="en-GB" w:eastAsia="en-US"/>
              </w:rPr>
              <w:t>investigates the magnitude of clinical improvement/reduction in toxicity and robustness of available evidence. This may include an assessment of a product’s cost-effectiveness.</w:t>
            </w:r>
          </w:p>
        </w:tc>
      </w:tr>
      <w:tr w:rsidR="00291249" w:rsidRPr="00221992" w14:paraId="16751497" w14:textId="77777777" w:rsidTr="001F5A33">
        <w:tc>
          <w:tcPr>
            <w:tcW w:w="1271" w:type="dxa"/>
            <w:tcMar>
              <w:left w:w="57" w:type="dxa"/>
              <w:right w:w="0" w:type="dxa"/>
            </w:tcMar>
          </w:tcPr>
          <w:p w14:paraId="3712E057" w14:textId="77777777"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PRP</w:t>
            </w:r>
          </w:p>
        </w:tc>
        <w:tc>
          <w:tcPr>
            <w:tcW w:w="7223" w:type="dxa"/>
            <w:tcMar>
              <w:left w:w="57" w:type="dxa"/>
              <w:right w:w="0" w:type="dxa"/>
            </w:tcMar>
          </w:tcPr>
          <w:p w14:paraId="6A353668" w14:textId="77777777"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Pharmacy retail price</w:t>
            </w:r>
          </w:p>
        </w:tc>
      </w:tr>
      <w:tr w:rsidR="00291249" w:rsidRPr="00221992" w14:paraId="19E0DA91" w14:textId="77777777" w:rsidTr="001F5A33">
        <w:tc>
          <w:tcPr>
            <w:tcW w:w="1271" w:type="dxa"/>
            <w:tcMar>
              <w:left w:w="57" w:type="dxa"/>
              <w:right w:w="0" w:type="dxa"/>
            </w:tcMar>
          </w:tcPr>
          <w:p w14:paraId="24A3B269" w14:textId="77777777"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PTAC</w:t>
            </w:r>
          </w:p>
        </w:tc>
        <w:tc>
          <w:tcPr>
            <w:tcW w:w="7223" w:type="dxa"/>
            <w:tcMar>
              <w:left w:w="57" w:type="dxa"/>
              <w:right w:w="0" w:type="dxa"/>
            </w:tcMar>
          </w:tcPr>
          <w:p w14:paraId="3700198C" w14:textId="7EF7080A"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Pharmacology and Therapeutics Advisory Committee</w:t>
            </w:r>
            <w:r w:rsidR="00357EF9">
              <w:rPr>
                <w:rFonts w:cs="Calibri Light"/>
                <w:sz w:val="20"/>
                <w:szCs w:val="20"/>
                <w:lang w:val="en-GB"/>
              </w:rPr>
              <w:t xml:space="preserve"> (New Zealand)</w:t>
            </w:r>
          </w:p>
        </w:tc>
      </w:tr>
      <w:tr w:rsidR="00291249" w:rsidRPr="00221992" w14:paraId="76775B22" w14:textId="77777777" w:rsidTr="001F5A33">
        <w:tc>
          <w:tcPr>
            <w:tcW w:w="1271" w:type="dxa"/>
            <w:tcMar>
              <w:left w:w="57" w:type="dxa"/>
              <w:right w:w="0" w:type="dxa"/>
            </w:tcMar>
          </w:tcPr>
          <w:p w14:paraId="622DA3D2" w14:textId="77777777"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PVA</w:t>
            </w:r>
          </w:p>
        </w:tc>
        <w:tc>
          <w:tcPr>
            <w:tcW w:w="7223" w:type="dxa"/>
            <w:tcMar>
              <w:left w:w="57" w:type="dxa"/>
              <w:right w:w="0" w:type="dxa"/>
            </w:tcMar>
          </w:tcPr>
          <w:p w14:paraId="0BF2A382" w14:textId="77777777"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Price volume agreement</w:t>
            </w:r>
          </w:p>
        </w:tc>
      </w:tr>
      <w:tr w:rsidR="00291249" w:rsidRPr="00221992" w14:paraId="604D8B65" w14:textId="77777777" w:rsidTr="001F5A33">
        <w:tc>
          <w:tcPr>
            <w:tcW w:w="1271" w:type="dxa"/>
            <w:tcMar>
              <w:left w:w="57" w:type="dxa"/>
              <w:right w:w="0" w:type="dxa"/>
            </w:tcMar>
          </w:tcPr>
          <w:p w14:paraId="5BF02E4C" w14:textId="77777777"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PVT</w:t>
            </w:r>
          </w:p>
        </w:tc>
        <w:tc>
          <w:tcPr>
            <w:tcW w:w="7223" w:type="dxa"/>
            <w:tcMar>
              <w:left w:w="57" w:type="dxa"/>
              <w:right w:w="0" w:type="dxa"/>
            </w:tcMar>
          </w:tcPr>
          <w:p w14:paraId="282CF8B2" w14:textId="77777777"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Pharmacoeconomic value threshold</w:t>
            </w:r>
          </w:p>
        </w:tc>
      </w:tr>
      <w:tr w:rsidR="007A3CF4" w:rsidRPr="00221992" w14:paraId="3E7549A1" w14:textId="77777777" w:rsidTr="001F5A33">
        <w:tc>
          <w:tcPr>
            <w:tcW w:w="1271" w:type="dxa"/>
            <w:tcMar>
              <w:left w:w="57" w:type="dxa"/>
              <w:right w:w="0" w:type="dxa"/>
            </w:tcMar>
          </w:tcPr>
          <w:p w14:paraId="07064924" w14:textId="0843A543" w:rsidR="007A3CF4" w:rsidRPr="00221992" w:rsidRDefault="007A3CF4" w:rsidP="00291249">
            <w:pPr>
              <w:spacing w:after="0" w:line="240" w:lineRule="auto"/>
              <w:rPr>
                <w:rFonts w:cs="Calibri Light"/>
                <w:sz w:val="20"/>
                <w:szCs w:val="20"/>
                <w:lang w:val="en-GB"/>
              </w:rPr>
            </w:pPr>
            <w:r>
              <w:rPr>
                <w:rFonts w:cs="Calibri Light"/>
                <w:sz w:val="20"/>
                <w:szCs w:val="20"/>
                <w:lang w:val="en-GB"/>
              </w:rPr>
              <w:t>Rare disease</w:t>
            </w:r>
          </w:p>
        </w:tc>
        <w:tc>
          <w:tcPr>
            <w:tcW w:w="7223" w:type="dxa"/>
            <w:tcMar>
              <w:left w:w="57" w:type="dxa"/>
              <w:right w:w="0" w:type="dxa"/>
            </w:tcMar>
          </w:tcPr>
          <w:p w14:paraId="17309949" w14:textId="20133AEB" w:rsidR="007A3CF4" w:rsidRPr="00221992" w:rsidRDefault="007A3CF4" w:rsidP="00291249">
            <w:pPr>
              <w:spacing w:after="0" w:line="240" w:lineRule="auto"/>
              <w:rPr>
                <w:rFonts w:cs="Calibri Light"/>
                <w:sz w:val="20"/>
                <w:szCs w:val="20"/>
                <w:lang w:val="en-GB"/>
              </w:rPr>
            </w:pPr>
            <w:r w:rsidRPr="007A3CF4">
              <w:rPr>
                <w:rFonts w:cs="Calibri Light"/>
                <w:sz w:val="20"/>
                <w:szCs w:val="20"/>
                <w:lang w:val="en-GB"/>
              </w:rPr>
              <w:t xml:space="preserve">Rare diseases are commonly characterized by their low prevalence, </w:t>
            </w:r>
            <w:r>
              <w:rPr>
                <w:rFonts w:cs="Calibri Light"/>
                <w:sz w:val="20"/>
                <w:szCs w:val="20"/>
                <w:lang w:val="en-GB"/>
              </w:rPr>
              <w:t>generally</w:t>
            </w:r>
            <w:r w:rsidRPr="007A3CF4">
              <w:rPr>
                <w:rFonts w:cs="Calibri Light"/>
                <w:sz w:val="20"/>
                <w:szCs w:val="20"/>
                <w:lang w:val="en-GB"/>
              </w:rPr>
              <w:t xml:space="preserve"> affecting fewer than five cases per 10,000 individuals.</w:t>
            </w:r>
          </w:p>
        </w:tc>
      </w:tr>
      <w:tr w:rsidR="00291249" w:rsidRPr="00221992" w14:paraId="42D5386A" w14:textId="77777777" w:rsidTr="001F5A33">
        <w:tc>
          <w:tcPr>
            <w:tcW w:w="1271" w:type="dxa"/>
            <w:tcMar>
              <w:left w:w="57" w:type="dxa"/>
              <w:right w:w="0" w:type="dxa"/>
            </w:tcMar>
          </w:tcPr>
          <w:p w14:paraId="19E98D84" w14:textId="77777777"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Ratp</w:t>
            </w:r>
          </w:p>
        </w:tc>
        <w:tc>
          <w:tcPr>
            <w:tcW w:w="7223" w:type="dxa"/>
            <w:tcMar>
              <w:left w:w="57" w:type="dxa"/>
              <w:right w:w="0" w:type="dxa"/>
            </w:tcMar>
          </w:tcPr>
          <w:p w14:paraId="2FE6C30B" w14:textId="77777777"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Reactive anti-tachycardia pacing</w:t>
            </w:r>
          </w:p>
        </w:tc>
      </w:tr>
      <w:tr w:rsidR="00291249" w:rsidRPr="00221992" w14:paraId="2F89EB75" w14:textId="77777777" w:rsidTr="001F5A33">
        <w:tc>
          <w:tcPr>
            <w:tcW w:w="1271" w:type="dxa"/>
            <w:tcMar>
              <w:left w:w="57" w:type="dxa"/>
              <w:right w:w="0" w:type="dxa"/>
            </w:tcMar>
          </w:tcPr>
          <w:p w14:paraId="08E215ED" w14:textId="77777777"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RDF</w:t>
            </w:r>
          </w:p>
        </w:tc>
        <w:tc>
          <w:tcPr>
            <w:tcW w:w="7223" w:type="dxa"/>
            <w:tcMar>
              <w:left w:w="57" w:type="dxa"/>
              <w:right w:w="0" w:type="dxa"/>
            </w:tcMar>
          </w:tcPr>
          <w:p w14:paraId="646FC949" w14:textId="2ABD0958"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Rare Disease Fund</w:t>
            </w:r>
            <w:r w:rsidR="00F574B9">
              <w:rPr>
                <w:rFonts w:cs="Calibri Light"/>
                <w:sz w:val="20"/>
                <w:szCs w:val="20"/>
                <w:lang w:val="en-GB"/>
              </w:rPr>
              <w:t xml:space="preserve"> (Singapore)</w:t>
            </w:r>
          </w:p>
        </w:tc>
      </w:tr>
      <w:tr w:rsidR="00291249" w:rsidRPr="00221992" w14:paraId="7B7BA46E" w14:textId="77777777" w:rsidTr="001F5A33">
        <w:tc>
          <w:tcPr>
            <w:tcW w:w="1271" w:type="dxa"/>
            <w:tcMar>
              <w:left w:w="57" w:type="dxa"/>
              <w:right w:w="0" w:type="dxa"/>
            </w:tcMar>
          </w:tcPr>
          <w:p w14:paraId="591ABD98" w14:textId="70128917"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RIZIV</w:t>
            </w:r>
          </w:p>
        </w:tc>
        <w:tc>
          <w:tcPr>
            <w:tcW w:w="7223" w:type="dxa"/>
            <w:tcMar>
              <w:left w:w="57" w:type="dxa"/>
              <w:right w:w="0" w:type="dxa"/>
            </w:tcMar>
          </w:tcPr>
          <w:p w14:paraId="71E8651B" w14:textId="17E76030"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National Institute for Health and Disability Insurance</w:t>
            </w:r>
            <w:r w:rsidR="00180444">
              <w:rPr>
                <w:rFonts w:cs="Calibri Light"/>
                <w:sz w:val="20"/>
                <w:szCs w:val="20"/>
                <w:lang w:val="en-GB"/>
              </w:rPr>
              <w:t xml:space="preserve"> (Belgium)</w:t>
            </w:r>
          </w:p>
        </w:tc>
      </w:tr>
      <w:tr w:rsidR="003E4E8E" w:rsidRPr="00221992" w14:paraId="6E3D92AC" w14:textId="77777777" w:rsidTr="001F5A33">
        <w:tc>
          <w:tcPr>
            <w:tcW w:w="1271" w:type="dxa"/>
            <w:tcMar>
              <w:left w:w="57" w:type="dxa"/>
              <w:right w:w="0" w:type="dxa"/>
            </w:tcMar>
          </w:tcPr>
          <w:p w14:paraId="0A5CB900" w14:textId="04CFA9B4" w:rsidR="003E4E8E" w:rsidRPr="00221992" w:rsidRDefault="003E4E8E" w:rsidP="00291249">
            <w:pPr>
              <w:spacing w:after="0" w:line="240" w:lineRule="auto"/>
              <w:rPr>
                <w:rFonts w:cs="Calibri Light"/>
                <w:sz w:val="20"/>
                <w:szCs w:val="20"/>
                <w:lang w:val="en-GB"/>
              </w:rPr>
            </w:pPr>
            <w:r w:rsidRPr="00221992">
              <w:rPr>
                <w:rFonts w:cs="Calibri Light"/>
                <w:sz w:val="20"/>
                <w:szCs w:val="20"/>
                <w:lang w:val="en-GB"/>
              </w:rPr>
              <w:t>ROI</w:t>
            </w:r>
          </w:p>
        </w:tc>
        <w:tc>
          <w:tcPr>
            <w:tcW w:w="7223" w:type="dxa"/>
            <w:tcMar>
              <w:left w:w="57" w:type="dxa"/>
              <w:right w:w="0" w:type="dxa"/>
            </w:tcMar>
          </w:tcPr>
          <w:p w14:paraId="2231DED0" w14:textId="160B7990" w:rsidR="003E4E8E" w:rsidRPr="00221992" w:rsidRDefault="003E4E8E" w:rsidP="00291249">
            <w:pPr>
              <w:spacing w:after="0" w:line="240" w:lineRule="auto"/>
              <w:rPr>
                <w:rFonts w:cs="Calibri Light"/>
                <w:sz w:val="20"/>
                <w:szCs w:val="20"/>
                <w:lang w:val="en-GB"/>
              </w:rPr>
            </w:pPr>
            <w:r w:rsidRPr="00221992">
              <w:rPr>
                <w:rFonts w:cs="Calibri Light"/>
                <w:sz w:val="20"/>
                <w:szCs w:val="20"/>
                <w:lang w:val="en-GB"/>
              </w:rPr>
              <w:t>Return on investment</w:t>
            </w:r>
          </w:p>
        </w:tc>
      </w:tr>
      <w:tr w:rsidR="00291249" w:rsidRPr="00221992" w14:paraId="0D3DCBEB" w14:textId="77777777" w:rsidTr="001F5A33">
        <w:tc>
          <w:tcPr>
            <w:tcW w:w="1271" w:type="dxa"/>
            <w:tcMar>
              <w:left w:w="57" w:type="dxa"/>
              <w:right w:w="0" w:type="dxa"/>
            </w:tcMar>
          </w:tcPr>
          <w:p w14:paraId="51601841" w14:textId="77777777"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RPBS</w:t>
            </w:r>
          </w:p>
        </w:tc>
        <w:tc>
          <w:tcPr>
            <w:tcW w:w="7223" w:type="dxa"/>
            <w:tcMar>
              <w:left w:w="57" w:type="dxa"/>
              <w:right w:w="0" w:type="dxa"/>
            </w:tcMar>
          </w:tcPr>
          <w:p w14:paraId="6E8F5F09" w14:textId="36612D03"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Repatriation Pharmaceutical Benefits Scheme</w:t>
            </w:r>
            <w:r w:rsidR="00F574B9">
              <w:rPr>
                <w:rFonts w:cs="Calibri Light"/>
                <w:sz w:val="20"/>
                <w:szCs w:val="20"/>
                <w:lang w:val="en-GB"/>
              </w:rPr>
              <w:t xml:space="preserve"> (Australia)</w:t>
            </w:r>
          </w:p>
        </w:tc>
      </w:tr>
      <w:tr w:rsidR="00291249" w:rsidRPr="00221992" w14:paraId="777AD526" w14:textId="77777777" w:rsidTr="001F5A33">
        <w:tc>
          <w:tcPr>
            <w:tcW w:w="1271" w:type="dxa"/>
            <w:tcMar>
              <w:left w:w="57" w:type="dxa"/>
              <w:right w:w="0" w:type="dxa"/>
            </w:tcMar>
          </w:tcPr>
          <w:p w14:paraId="16C49C36" w14:textId="77777777"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RRMM</w:t>
            </w:r>
          </w:p>
        </w:tc>
        <w:tc>
          <w:tcPr>
            <w:tcW w:w="7223" w:type="dxa"/>
            <w:tcMar>
              <w:left w:w="57" w:type="dxa"/>
              <w:right w:w="0" w:type="dxa"/>
            </w:tcMar>
          </w:tcPr>
          <w:p w14:paraId="0FA9930B" w14:textId="77777777"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Relapsed/refractory multiple myeloma</w:t>
            </w:r>
          </w:p>
        </w:tc>
      </w:tr>
      <w:tr w:rsidR="00291249" w:rsidRPr="00221992" w14:paraId="6FF2FDED" w14:textId="77777777" w:rsidTr="001F5A33">
        <w:tc>
          <w:tcPr>
            <w:tcW w:w="1271" w:type="dxa"/>
            <w:tcMar>
              <w:left w:w="57" w:type="dxa"/>
              <w:right w:w="0" w:type="dxa"/>
            </w:tcMar>
          </w:tcPr>
          <w:p w14:paraId="3E500FEF" w14:textId="77777777"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RSA</w:t>
            </w:r>
          </w:p>
        </w:tc>
        <w:tc>
          <w:tcPr>
            <w:tcW w:w="7223" w:type="dxa"/>
            <w:tcMar>
              <w:left w:w="57" w:type="dxa"/>
              <w:right w:w="0" w:type="dxa"/>
            </w:tcMar>
          </w:tcPr>
          <w:p w14:paraId="20802AB4" w14:textId="77777777"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Risk sharing agreement</w:t>
            </w:r>
          </w:p>
        </w:tc>
      </w:tr>
      <w:tr w:rsidR="00291249" w:rsidRPr="00221992" w14:paraId="30712E90" w14:textId="77777777" w:rsidTr="001F5A33">
        <w:tc>
          <w:tcPr>
            <w:tcW w:w="1271" w:type="dxa"/>
            <w:tcMar>
              <w:left w:w="57" w:type="dxa"/>
              <w:right w:w="0" w:type="dxa"/>
            </w:tcMar>
          </w:tcPr>
          <w:p w14:paraId="58045253" w14:textId="77777777"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RWE</w:t>
            </w:r>
          </w:p>
        </w:tc>
        <w:tc>
          <w:tcPr>
            <w:tcW w:w="7223" w:type="dxa"/>
            <w:tcMar>
              <w:left w:w="57" w:type="dxa"/>
              <w:right w:w="0" w:type="dxa"/>
            </w:tcMar>
          </w:tcPr>
          <w:p w14:paraId="38D72347" w14:textId="77777777"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Real-world evidence</w:t>
            </w:r>
          </w:p>
        </w:tc>
      </w:tr>
      <w:tr w:rsidR="00291249" w:rsidRPr="00221992" w14:paraId="27E27258" w14:textId="77777777" w:rsidTr="001F5A33">
        <w:tc>
          <w:tcPr>
            <w:tcW w:w="1271" w:type="dxa"/>
            <w:tcMar>
              <w:left w:w="57" w:type="dxa"/>
              <w:right w:w="0" w:type="dxa"/>
            </w:tcMar>
          </w:tcPr>
          <w:p w14:paraId="01142701" w14:textId="77777777"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SMC</w:t>
            </w:r>
          </w:p>
        </w:tc>
        <w:tc>
          <w:tcPr>
            <w:tcW w:w="7223" w:type="dxa"/>
            <w:tcMar>
              <w:left w:w="57" w:type="dxa"/>
              <w:right w:w="0" w:type="dxa"/>
            </w:tcMar>
          </w:tcPr>
          <w:p w14:paraId="7D28F8EC" w14:textId="77777777"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Scottish Medicines Consortium</w:t>
            </w:r>
          </w:p>
        </w:tc>
      </w:tr>
      <w:tr w:rsidR="00291249" w:rsidRPr="00221992" w14:paraId="485348D3" w14:textId="77777777" w:rsidTr="001F5A33">
        <w:tc>
          <w:tcPr>
            <w:tcW w:w="1271" w:type="dxa"/>
            <w:tcMar>
              <w:left w:w="57" w:type="dxa"/>
              <w:right w:w="0" w:type="dxa"/>
            </w:tcMar>
          </w:tcPr>
          <w:p w14:paraId="35495B88" w14:textId="77777777"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SMR</w:t>
            </w:r>
          </w:p>
        </w:tc>
        <w:tc>
          <w:tcPr>
            <w:tcW w:w="7223" w:type="dxa"/>
            <w:tcMar>
              <w:left w:w="57" w:type="dxa"/>
              <w:right w:w="0" w:type="dxa"/>
            </w:tcMar>
          </w:tcPr>
          <w:p w14:paraId="5A4947C5" w14:textId="77777777"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Total therapeutic benefit (Authority of Health Scale, France)</w:t>
            </w:r>
          </w:p>
        </w:tc>
      </w:tr>
      <w:tr w:rsidR="00291249" w:rsidRPr="00221992" w14:paraId="47AD81F4" w14:textId="77777777" w:rsidTr="001F5A33">
        <w:tc>
          <w:tcPr>
            <w:tcW w:w="1271" w:type="dxa"/>
            <w:tcMar>
              <w:left w:w="57" w:type="dxa"/>
              <w:right w:w="0" w:type="dxa"/>
            </w:tcMar>
          </w:tcPr>
          <w:p w14:paraId="3E1DB4F2" w14:textId="77777777"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SSF</w:t>
            </w:r>
          </w:p>
        </w:tc>
        <w:tc>
          <w:tcPr>
            <w:tcW w:w="7223" w:type="dxa"/>
            <w:tcMar>
              <w:left w:w="57" w:type="dxa"/>
              <w:right w:w="0" w:type="dxa"/>
            </w:tcMar>
          </w:tcPr>
          <w:p w14:paraId="14B39024" w14:textId="60D50ECB"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Special solidarity fund</w:t>
            </w:r>
            <w:r w:rsidR="00357EF9">
              <w:rPr>
                <w:rFonts w:cs="Calibri Light"/>
                <w:sz w:val="20"/>
                <w:szCs w:val="20"/>
                <w:lang w:val="en-GB"/>
              </w:rPr>
              <w:t xml:space="preserve"> (Belgium)</w:t>
            </w:r>
          </w:p>
        </w:tc>
      </w:tr>
      <w:tr w:rsidR="00291249" w:rsidRPr="00221992" w14:paraId="69576B1C" w14:textId="77777777" w:rsidTr="001F5A33">
        <w:tc>
          <w:tcPr>
            <w:tcW w:w="1271" w:type="dxa"/>
            <w:tcMar>
              <w:left w:w="57" w:type="dxa"/>
              <w:right w:w="0" w:type="dxa"/>
            </w:tcMar>
          </w:tcPr>
          <w:p w14:paraId="665F556A" w14:textId="77777777"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TAP</w:t>
            </w:r>
          </w:p>
        </w:tc>
        <w:tc>
          <w:tcPr>
            <w:tcW w:w="7223" w:type="dxa"/>
            <w:tcMar>
              <w:left w:w="57" w:type="dxa"/>
              <w:right w:w="0" w:type="dxa"/>
            </w:tcMar>
          </w:tcPr>
          <w:p w14:paraId="725CB34C" w14:textId="77777777"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Technology Appraisal Programme</w:t>
            </w:r>
          </w:p>
        </w:tc>
      </w:tr>
      <w:tr w:rsidR="00291249" w:rsidRPr="00221992" w14:paraId="753C7C5D" w14:textId="77777777" w:rsidTr="001F5A33">
        <w:tc>
          <w:tcPr>
            <w:tcW w:w="1271" w:type="dxa"/>
            <w:tcMar>
              <w:left w:w="57" w:type="dxa"/>
              <w:right w:w="0" w:type="dxa"/>
            </w:tcMar>
          </w:tcPr>
          <w:p w14:paraId="59B4FECA" w14:textId="0D07E635"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 xml:space="preserve">TC </w:t>
            </w:r>
          </w:p>
        </w:tc>
        <w:tc>
          <w:tcPr>
            <w:tcW w:w="7223" w:type="dxa"/>
            <w:tcMar>
              <w:left w:w="57" w:type="dxa"/>
              <w:right w:w="0" w:type="dxa"/>
            </w:tcMar>
          </w:tcPr>
          <w:p w14:paraId="0F9F819F" w14:textId="081544E3"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 xml:space="preserve">Therapeutic Criteria </w:t>
            </w:r>
          </w:p>
        </w:tc>
      </w:tr>
      <w:tr w:rsidR="00291249" w:rsidRPr="00221992" w14:paraId="6EEEBA14" w14:textId="77777777" w:rsidTr="001F5A33">
        <w:tc>
          <w:tcPr>
            <w:tcW w:w="1271" w:type="dxa"/>
            <w:tcMar>
              <w:left w:w="57" w:type="dxa"/>
              <w:right w:w="0" w:type="dxa"/>
            </w:tcMar>
          </w:tcPr>
          <w:p w14:paraId="2C7BE031" w14:textId="77777777"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TCE</w:t>
            </w:r>
          </w:p>
        </w:tc>
        <w:tc>
          <w:tcPr>
            <w:tcW w:w="7223" w:type="dxa"/>
            <w:tcMar>
              <w:left w:w="57" w:type="dxa"/>
              <w:right w:w="0" w:type="dxa"/>
            </w:tcMar>
          </w:tcPr>
          <w:p w14:paraId="27547A90" w14:textId="77777777"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Temporary Coverage with Continued Evaluation</w:t>
            </w:r>
          </w:p>
        </w:tc>
      </w:tr>
      <w:tr w:rsidR="00291249" w:rsidRPr="00221992" w14:paraId="2FF7F3CF" w14:textId="77777777" w:rsidTr="001F5A33">
        <w:tc>
          <w:tcPr>
            <w:tcW w:w="1271" w:type="dxa"/>
            <w:tcMar>
              <w:left w:w="57" w:type="dxa"/>
              <w:right w:w="0" w:type="dxa"/>
            </w:tcMar>
          </w:tcPr>
          <w:p w14:paraId="57659450" w14:textId="77777777"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TGA</w:t>
            </w:r>
          </w:p>
        </w:tc>
        <w:tc>
          <w:tcPr>
            <w:tcW w:w="7223" w:type="dxa"/>
            <w:tcMar>
              <w:left w:w="57" w:type="dxa"/>
              <w:right w:w="0" w:type="dxa"/>
            </w:tcMar>
          </w:tcPr>
          <w:p w14:paraId="6EF7B56C" w14:textId="75F60955" w:rsidR="00291249" w:rsidRPr="00221992" w:rsidRDefault="00A77E1E" w:rsidP="00291249">
            <w:pPr>
              <w:spacing w:after="0" w:line="240" w:lineRule="auto"/>
              <w:rPr>
                <w:rFonts w:cs="Calibri Light"/>
                <w:sz w:val="20"/>
                <w:szCs w:val="20"/>
                <w:lang w:val="en-GB"/>
              </w:rPr>
            </w:pPr>
            <w:r w:rsidRPr="00221992">
              <w:rPr>
                <w:rFonts w:cs="Calibri Light"/>
                <w:sz w:val="20"/>
                <w:szCs w:val="20"/>
                <w:lang w:val="en-GB"/>
              </w:rPr>
              <w:t>Therapeutic</w:t>
            </w:r>
            <w:r w:rsidR="00291249" w:rsidRPr="00221992">
              <w:rPr>
                <w:rFonts w:cs="Calibri Light"/>
                <w:sz w:val="20"/>
                <w:szCs w:val="20"/>
                <w:lang w:val="en-GB"/>
              </w:rPr>
              <w:t xml:space="preserve"> Goods Administration</w:t>
            </w:r>
            <w:r w:rsidR="00357EF9">
              <w:rPr>
                <w:rFonts w:cs="Calibri Light"/>
                <w:sz w:val="20"/>
                <w:szCs w:val="20"/>
                <w:lang w:val="en-GB"/>
              </w:rPr>
              <w:t xml:space="preserve"> (Australia)</w:t>
            </w:r>
          </w:p>
        </w:tc>
      </w:tr>
      <w:tr w:rsidR="00291249" w:rsidRPr="00221992" w14:paraId="7A9686E9" w14:textId="77777777" w:rsidTr="001F5A33">
        <w:tc>
          <w:tcPr>
            <w:tcW w:w="1271" w:type="dxa"/>
            <w:tcMar>
              <w:left w:w="57" w:type="dxa"/>
              <w:right w:w="0" w:type="dxa"/>
            </w:tcMar>
          </w:tcPr>
          <w:p w14:paraId="5651248A" w14:textId="77777777"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TLV</w:t>
            </w:r>
          </w:p>
        </w:tc>
        <w:tc>
          <w:tcPr>
            <w:tcW w:w="7223" w:type="dxa"/>
            <w:tcMar>
              <w:left w:w="57" w:type="dxa"/>
              <w:right w:w="0" w:type="dxa"/>
            </w:tcMar>
          </w:tcPr>
          <w:p w14:paraId="01F3A1E5" w14:textId="6290D32C"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Tandvårds-</w:t>
            </w:r>
            <w:r w:rsidR="00614F4C" w:rsidRPr="00221992">
              <w:rPr>
                <w:rFonts w:cs="Calibri Light"/>
                <w:sz w:val="20"/>
                <w:szCs w:val="20"/>
                <w:lang w:val="en-GB"/>
              </w:rPr>
              <w:t xml:space="preserve"> </w:t>
            </w:r>
            <w:r w:rsidRPr="00221992">
              <w:rPr>
                <w:rFonts w:cs="Calibri Light"/>
                <w:sz w:val="20"/>
                <w:szCs w:val="20"/>
                <w:lang w:val="en-GB"/>
              </w:rPr>
              <w:t>och läkemedelsförmånsverket (Dental and Pharmaceutical Benefits Agency)</w:t>
            </w:r>
            <w:r w:rsidR="00357EF9">
              <w:rPr>
                <w:rFonts w:cs="Calibri Light"/>
                <w:sz w:val="20"/>
                <w:szCs w:val="20"/>
                <w:lang w:val="en-GB"/>
              </w:rPr>
              <w:t xml:space="preserve"> (Sweden)</w:t>
            </w:r>
          </w:p>
        </w:tc>
      </w:tr>
      <w:tr w:rsidR="00291249" w:rsidRPr="00221992" w14:paraId="1EA9E2A3" w14:textId="77777777" w:rsidTr="001F5A33">
        <w:tc>
          <w:tcPr>
            <w:tcW w:w="1271" w:type="dxa"/>
            <w:tcMar>
              <w:left w:w="57" w:type="dxa"/>
              <w:right w:w="0" w:type="dxa"/>
            </w:tcMar>
          </w:tcPr>
          <w:p w14:paraId="7BC285BD" w14:textId="1222304B"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TSC</w:t>
            </w:r>
          </w:p>
        </w:tc>
        <w:tc>
          <w:tcPr>
            <w:tcW w:w="7223" w:type="dxa"/>
            <w:tcMar>
              <w:left w:w="57" w:type="dxa"/>
              <w:right w:w="0" w:type="dxa"/>
            </w:tcMar>
          </w:tcPr>
          <w:p w14:paraId="7091A668" w14:textId="77777777"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Technical Scientific Committee</w:t>
            </w:r>
          </w:p>
        </w:tc>
      </w:tr>
      <w:tr w:rsidR="00291249" w:rsidRPr="00221992" w14:paraId="153855C4" w14:textId="77777777" w:rsidTr="001F5A33">
        <w:tc>
          <w:tcPr>
            <w:tcW w:w="1271" w:type="dxa"/>
            <w:tcMar>
              <w:left w:w="57" w:type="dxa"/>
              <w:right w:w="0" w:type="dxa"/>
            </w:tcMar>
          </w:tcPr>
          <w:p w14:paraId="76684E9E" w14:textId="77777777"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UNCAM</w:t>
            </w:r>
          </w:p>
        </w:tc>
        <w:tc>
          <w:tcPr>
            <w:tcW w:w="7223" w:type="dxa"/>
            <w:tcMar>
              <w:left w:w="57" w:type="dxa"/>
              <w:right w:w="0" w:type="dxa"/>
            </w:tcMar>
          </w:tcPr>
          <w:p w14:paraId="1A9D0793" w14:textId="601587C4"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Union Nationale des Caisses d</w:t>
            </w:r>
            <w:r w:rsidR="00551786">
              <w:rPr>
                <w:rFonts w:cs="Calibri Light"/>
                <w:sz w:val="20"/>
                <w:szCs w:val="20"/>
                <w:lang w:val="en-GB"/>
              </w:rPr>
              <w:t>’</w:t>
            </w:r>
            <w:r w:rsidRPr="00221992">
              <w:rPr>
                <w:rFonts w:cs="Calibri Light"/>
                <w:sz w:val="20"/>
                <w:szCs w:val="20"/>
                <w:lang w:val="en-GB"/>
              </w:rPr>
              <w:t>Assurance Maladie</w:t>
            </w:r>
            <w:r w:rsidR="00357EF9">
              <w:rPr>
                <w:rFonts w:cs="Calibri Light"/>
                <w:sz w:val="20"/>
                <w:szCs w:val="20"/>
                <w:lang w:val="en-GB"/>
              </w:rPr>
              <w:t xml:space="preserve"> (France)</w:t>
            </w:r>
          </w:p>
        </w:tc>
      </w:tr>
      <w:tr w:rsidR="007A3CF4" w:rsidRPr="00221992" w14:paraId="70C396C5" w14:textId="77777777" w:rsidTr="001F5A33">
        <w:tc>
          <w:tcPr>
            <w:tcW w:w="1271" w:type="dxa"/>
            <w:tcMar>
              <w:left w:w="57" w:type="dxa"/>
              <w:right w:w="0" w:type="dxa"/>
            </w:tcMar>
          </w:tcPr>
          <w:p w14:paraId="143ED0A3" w14:textId="1A4AC778" w:rsidR="007A3CF4" w:rsidRPr="00221992" w:rsidRDefault="007A3CF4" w:rsidP="007A3CF4">
            <w:pPr>
              <w:spacing w:after="0" w:line="240" w:lineRule="auto"/>
              <w:rPr>
                <w:rFonts w:cs="Calibri Light"/>
                <w:sz w:val="20"/>
                <w:szCs w:val="20"/>
                <w:lang w:val="en-GB"/>
              </w:rPr>
            </w:pPr>
            <w:r>
              <w:rPr>
                <w:rFonts w:cs="Calibri Light"/>
                <w:sz w:val="20"/>
                <w:szCs w:val="20"/>
                <w:lang w:val="en-GB" w:eastAsia="en-US"/>
              </w:rPr>
              <w:t>Unmet clinical need</w:t>
            </w:r>
          </w:p>
        </w:tc>
        <w:tc>
          <w:tcPr>
            <w:tcW w:w="7223" w:type="dxa"/>
            <w:tcMar>
              <w:left w:w="57" w:type="dxa"/>
              <w:right w:w="0" w:type="dxa"/>
            </w:tcMar>
          </w:tcPr>
          <w:p w14:paraId="48D6BAA8" w14:textId="41D30742" w:rsidR="007A3CF4" w:rsidRPr="00221992" w:rsidRDefault="007A3CF4" w:rsidP="007A3CF4">
            <w:pPr>
              <w:spacing w:after="0" w:line="240" w:lineRule="auto"/>
              <w:rPr>
                <w:rFonts w:cs="Calibri Light"/>
                <w:sz w:val="20"/>
                <w:szCs w:val="20"/>
                <w:lang w:val="en-GB"/>
              </w:rPr>
            </w:pPr>
            <w:r>
              <w:rPr>
                <w:rFonts w:cs="Calibri Light"/>
                <w:sz w:val="20"/>
                <w:szCs w:val="20"/>
                <w:lang w:val="en-GB" w:eastAsia="en-US"/>
              </w:rPr>
              <w:t>Relates to a condition in which there exists no, or limited, satisfactory method of diagnosis, prevention or treatment.</w:t>
            </w:r>
          </w:p>
        </w:tc>
      </w:tr>
      <w:tr w:rsidR="00291249" w:rsidRPr="00221992" w14:paraId="1683CBFC" w14:textId="77777777" w:rsidTr="001F5A33">
        <w:tc>
          <w:tcPr>
            <w:tcW w:w="1271" w:type="dxa"/>
            <w:tcMar>
              <w:left w:w="57" w:type="dxa"/>
              <w:right w:w="0" w:type="dxa"/>
            </w:tcMar>
          </w:tcPr>
          <w:p w14:paraId="2D3EFEFF" w14:textId="77777777"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UTS</w:t>
            </w:r>
          </w:p>
        </w:tc>
        <w:tc>
          <w:tcPr>
            <w:tcW w:w="7223" w:type="dxa"/>
            <w:tcMar>
              <w:left w:w="57" w:type="dxa"/>
              <w:right w:w="0" w:type="dxa"/>
            </w:tcMar>
          </w:tcPr>
          <w:p w14:paraId="64C9385A" w14:textId="77777777"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University of Technology Sydney</w:t>
            </w:r>
          </w:p>
        </w:tc>
      </w:tr>
      <w:tr w:rsidR="00291249" w:rsidRPr="00221992" w14:paraId="7E2CCBF6" w14:textId="77777777" w:rsidTr="001F5A33">
        <w:tc>
          <w:tcPr>
            <w:tcW w:w="1271" w:type="dxa"/>
            <w:tcMar>
              <w:left w:w="57" w:type="dxa"/>
              <w:right w:w="0" w:type="dxa"/>
            </w:tcMar>
          </w:tcPr>
          <w:p w14:paraId="59353C9D" w14:textId="77777777"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VBMEA</w:t>
            </w:r>
          </w:p>
        </w:tc>
        <w:tc>
          <w:tcPr>
            <w:tcW w:w="7223" w:type="dxa"/>
            <w:tcMar>
              <w:left w:w="57" w:type="dxa"/>
              <w:right w:w="0" w:type="dxa"/>
            </w:tcMar>
          </w:tcPr>
          <w:p w14:paraId="6A634A78" w14:textId="77777777"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Value-based managed entry agreement</w:t>
            </w:r>
          </w:p>
        </w:tc>
      </w:tr>
      <w:tr w:rsidR="007A3CF4" w:rsidRPr="00221992" w14:paraId="60BF15CA" w14:textId="77777777" w:rsidTr="001F5A33">
        <w:tc>
          <w:tcPr>
            <w:tcW w:w="1271" w:type="dxa"/>
            <w:tcMar>
              <w:left w:w="57" w:type="dxa"/>
              <w:right w:w="0" w:type="dxa"/>
            </w:tcMar>
          </w:tcPr>
          <w:p w14:paraId="0BFFB324" w14:textId="5C6B3BE2" w:rsidR="007A3CF4" w:rsidRPr="00221992" w:rsidRDefault="007A3CF4" w:rsidP="007A3CF4">
            <w:pPr>
              <w:spacing w:after="0" w:line="240" w:lineRule="auto"/>
              <w:rPr>
                <w:rFonts w:cs="Calibri Light"/>
                <w:sz w:val="20"/>
                <w:szCs w:val="20"/>
                <w:lang w:val="en-GB"/>
              </w:rPr>
            </w:pPr>
            <w:r>
              <w:rPr>
                <w:rFonts w:cs="Calibri Light"/>
                <w:sz w:val="20"/>
                <w:szCs w:val="20"/>
                <w:lang w:val="en-GB" w:eastAsia="en-US"/>
              </w:rPr>
              <w:t>Value-based pricing</w:t>
            </w:r>
          </w:p>
        </w:tc>
        <w:tc>
          <w:tcPr>
            <w:tcW w:w="7223" w:type="dxa"/>
            <w:tcMar>
              <w:left w:w="57" w:type="dxa"/>
              <w:right w:w="0" w:type="dxa"/>
            </w:tcMar>
          </w:tcPr>
          <w:p w14:paraId="6B88234C" w14:textId="18E52A77" w:rsidR="007A3CF4" w:rsidRPr="00221992" w:rsidRDefault="007A3CF4" w:rsidP="007A3CF4">
            <w:pPr>
              <w:spacing w:after="0" w:line="240" w:lineRule="auto"/>
              <w:rPr>
                <w:rFonts w:cs="Calibri Light"/>
                <w:sz w:val="20"/>
                <w:szCs w:val="20"/>
                <w:lang w:val="en-GB"/>
              </w:rPr>
            </w:pPr>
            <w:r>
              <w:rPr>
                <w:rFonts w:cs="Calibri Light"/>
                <w:sz w:val="20"/>
                <w:szCs w:val="20"/>
                <w:lang w:val="en-GB" w:eastAsia="en-US"/>
              </w:rPr>
              <w:t>Value-based pricing aligns the price of a technology with the value it provides to patients, healthcare systems, and society.</w:t>
            </w:r>
          </w:p>
        </w:tc>
      </w:tr>
      <w:tr w:rsidR="00291249" w:rsidRPr="00221992" w14:paraId="28866054" w14:textId="77777777" w:rsidTr="001F5A33">
        <w:tc>
          <w:tcPr>
            <w:tcW w:w="1271" w:type="dxa"/>
            <w:tcMar>
              <w:left w:w="57" w:type="dxa"/>
              <w:right w:w="0" w:type="dxa"/>
            </w:tcMar>
          </w:tcPr>
          <w:p w14:paraId="17998B90" w14:textId="77777777"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WAP</w:t>
            </w:r>
          </w:p>
        </w:tc>
        <w:tc>
          <w:tcPr>
            <w:tcW w:w="7223" w:type="dxa"/>
            <w:tcMar>
              <w:left w:w="57" w:type="dxa"/>
              <w:right w:w="0" w:type="dxa"/>
            </w:tcMar>
          </w:tcPr>
          <w:p w14:paraId="788BDC11" w14:textId="0C5F0909"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 xml:space="preserve">Weighted average price </w:t>
            </w:r>
            <w:r w:rsidR="00F574B9">
              <w:rPr>
                <w:rFonts w:cs="Calibri Light"/>
                <w:sz w:val="20"/>
                <w:szCs w:val="20"/>
                <w:lang w:val="en-GB"/>
              </w:rPr>
              <w:t>(South Korea)</w:t>
            </w:r>
          </w:p>
        </w:tc>
      </w:tr>
      <w:tr w:rsidR="00291249" w:rsidRPr="00221992" w14:paraId="501BCC68" w14:textId="77777777" w:rsidTr="001F5A33">
        <w:tc>
          <w:tcPr>
            <w:tcW w:w="1271" w:type="dxa"/>
            <w:tcMar>
              <w:left w:w="57" w:type="dxa"/>
              <w:right w:w="0" w:type="dxa"/>
            </w:tcMar>
          </w:tcPr>
          <w:p w14:paraId="462A3C6C" w14:textId="77777777"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ZIN</w:t>
            </w:r>
          </w:p>
        </w:tc>
        <w:tc>
          <w:tcPr>
            <w:tcW w:w="7223" w:type="dxa"/>
            <w:tcMar>
              <w:left w:w="57" w:type="dxa"/>
              <w:right w:w="0" w:type="dxa"/>
            </w:tcMar>
          </w:tcPr>
          <w:p w14:paraId="5D5CE721" w14:textId="1A2E0253" w:rsidR="00291249" w:rsidRPr="00221992" w:rsidRDefault="00291249" w:rsidP="00291249">
            <w:pPr>
              <w:spacing w:after="0" w:line="240" w:lineRule="auto"/>
              <w:rPr>
                <w:rFonts w:cs="Calibri Light"/>
                <w:sz w:val="20"/>
                <w:szCs w:val="20"/>
                <w:lang w:val="en-GB"/>
              </w:rPr>
            </w:pPr>
            <w:r w:rsidRPr="00221992">
              <w:rPr>
                <w:rFonts w:cs="Calibri Light"/>
                <w:sz w:val="20"/>
                <w:szCs w:val="20"/>
                <w:lang w:val="en-GB"/>
              </w:rPr>
              <w:t>Zorginstituut Nederland</w:t>
            </w:r>
            <w:r w:rsidR="00357EF9">
              <w:rPr>
                <w:rFonts w:cs="Calibri Light"/>
                <w:sz w:val="20"/>
                <w:szCs w:val="20"/>
                <w:lang w:val="en-GB"/>
              </w:rPr>
              <w:t xml:space="preserve"> (Netherlands)</w:t>
            </w:r>
          </w:p>
        </w:tc>
      </w:tr>
    </w:tbl>
    <w:p w14:paraId="3A602744" w14:textId="7300856A" w:rsidR="00291249" w:rsidRPr="00221992" w:rsidRDefault="00291249">
      <w:pPr>
        <w:spacing w:before="80" w:after="80" w:line="240" w:lineRule="auto"/>
        <w:rPr>
          <w:rFonts w:ascii="Calibri" w:eastAsia="Times New Roman" w:hAnsi="Calibri" w:cs="Arial"/>
          <w:b/>
          <w:color w:val="000000" w:themeColor="text1"/>
          <w:szCs w:val="32"/>
          <w:lang w:val="en-GB"/>
        </w:rPr>
      </w:pPr>
    </w:p>
    <w:p w14:paraId="12E10A31" w14:textId="16EA6CE4" w:rsidR="00073B27" w:rsidRPr="00221992" w:rsidRDefault="00073B27" w:rsidP="007B3C56">
      <w:pPr>
        <w:pStyle w:val="NbrHeading1"/>
        <w:rPr>
          <w:lang w:val="en-GB"/>
        </w:rPr>
      </w:pPr>
      <w:bookmarkStart w:id="9" w:name="_Toc162950848"/>
      <w:r w:rsidRPr="00221992">
        <w:rPr>
          <w:lang w:val="en-GB"/>
        </w:rPr>
        <w:t>Executive Summary</w:t>
      </w:r>
      <w:bookmarkEnd w:id="9"/>
    </w:p>
    <w:p w14:paraId="4F685B7F" w14:textId="55A7F1E7" w:rsidR="00AE0C72" w:rsidRPr="00221992" w:rsidRDefault="00AE0C72" w:rsidP="00146C04">
      <w:pPr>
        <w:pStyle w:val="NbrHeading2"/>
        <w:rPr>
          <w:lang w:val="en-GB"/>
        </w:rPr>
      </w:pPr>
      <w:bookmarkStart w:id="10" w:name="_Toc162950849"/>
      <w:r w:rsidRPr="00221992">
        <w:rPr>
          <w:lang w:val="en-GB"/>
        </w:rPr>
        <w:t>Background</w:t>
      </w:r>
      <w:bookmarkEnd w:id="10"/>
    </w:p>
    <w:p w14:paraId="620798BF" w14:textId="4BFD05C2" w:rsidR="00B61E75" w:rsidRPr="00221992" w:rsidRDefault="00B61E75" w:rsidP="00B61E75">
      <w:pPr>
        <w:spacing w:before="120" w:after="120"/>
        <w:rPr>
          <w:rFonts w:eastAsia="Times New Roman" w:cs="Times New Roman"/>
          <w:szCs w:val="24"/>
          <w:lang w:val="en-GB"/>
        </w:rPr>
      </w:pPr>
      <w:r w:rsidRPr="00221992">
        <w:rPr>
          <w:rFonts w:eastAsia="Times New Roman" w:cs="Times New Roman"/>
          <w:szCs w:val="24"/>
          <w:lang w:val="en-GB"/>
        </w:rPr>
        <w:t xml:space="preserve">As part of its 2022-2027 Strategic Agreement with Medicines Australia, the Commonwealth Department of Health and Aged Care has agreed to undertake a review of health technology assessment policy and methods (the Review) </w:t>
      </w:r>
      <w:r w:rsidRPr="00221992">
        <w:rPr>
          <w:rFonts w:eastAsia="Times New Roman" w:cs="Times New Roman"/>
          <w:szCs w:val="24"/>
          <w:lang w:val="en-GB"/>
        </w:rPr>
        <w:fldChar w:fldCharType="begin"/>
      </w:r>
      <w:r w:rsidR="009751DF" w:rsidRPr="00221992">
        <w:rPr>
          <w:rFonts w:eastAsia="Times New Roman" w:cs="Times New Roman"/>
          <w:szCs w:val="24"/>
          <w:lang w:val="en-GB"/>
        </w:rPr>
        <w:instrText xml:space="preserve"> ADDIN EN.CITE &lt;EndNote&gt;&lt;Cite&gt;&lt;Author&gt;Australian Government&lt;/Author&gt;&lt;Year&gt;2021&lt;/Year&gt;&lt;RecNum&gt;621&lt;/RecNum&gt;&lt;DisplayText&gt;[1]&lt;/DisplayText&gt;&lt;record&gt;&lt;rec-number&gt;621&lt;/rec-number&gt;&lt;foreign-keys&gt;&lt;key app="EN" db-id="wzwwsfxe4peesxef95cxvrwjxts9rreasarf" timestamp="1693186423"&gt;621&lt;/key&gt;&lt;/foreign-keys&gt;&lt;ref-type name="Report"&gt;27&lt;/ref-type&gt;&lt;contributors&gt;&lt;authors&gt;&lt;author&gt;Australian Government,&lt;/author&gt;&lt;/authors&gt;&lt;tertiary-authors&gt;&lt;author&gt;Australian Government,, Department of Health and Aged Care&lt;/author&gt;&lt;/tertiary-authors&gt;&lt;/contributors&gt;&lt;titles&gt;&lt;title&gt;Strategic Agreement in relation to reimbursement, health technology assessment and other matters&lt;/title&gt;&lt;/titles&gt;&lt;dates&gt;&lt;year&gt;2021&lt;/year&gt;&lt;/dates&gt;&lt;pub-location&gt;Canberra&lt;/pub-location&gt;&lt;urls&gt;&lt;/urls&gt;&lt;/record&gt;&lt;/Cite&gt;&lt;/EndNote&gt;</w:instrText>
      </w:r>
      <w:r w:rsidRPr="00221992">
        <w:rPr>
          <w:rFonts w:eastAsia="Times New Roman" w:cs="Times New Roman"/>
          <w:szCs w:val="24"/>
          <w:lang w:val="en-GB"/>
        </w:rPr>
        <w:fldChar w:fldCharType="separate"/>
      </w:r>
      <w:r w:rsidR="009751DF" w:rsidRPr="00221992">
        <w:rPr>
          <w:rFonts w:eastAsia="Times New Roman" w:cs="Times New Roman"/>
          <w:noProof/>
          <w:szCs w:val="24"/>
          <w:lang w:val="en-GB"/>
        </w:rPr>
        <w:t>[1]</w:t>
      </w:r>
      <w:r w:rsidRPr="00221992">
        <w:rPr>
          <w:rFonts w:eastAsia="Times New Roman" w:cs="Times New Roman"/>
          <w:szCs w:val="24"/>
          <w:lang w:val="en-GB"/>
        </w:rPr>
        <w:fldChar w:fldCharType="end"/>
      </w:r>
      <w:r w:rsidRPr="00221992">
        <w:rPr>
          <w:rFonts w:eastAsia="Times New Roman" w:cs="Times New Roman"/>
          <w:szCs w:val="24"/>
          <w:lang w:val="en-GB"/>
        </w:rPr>
        <w:t>. This commitment recognises the shared goals of the Strategic Agreement to minimise barriers to access, expedite access to new health technologies, maintain Australia</w:t>
      </w:r>
      <w:r w:rsidR="00551786">
        <w:rPr>
          <w:rFonts w:eastAsia="Times New Roman" w:cs="Times New Roman"/>
          <w:szCs w:val="24"/>
          <w:lang w:val="en-GB"/>
        </w:rPr>
        <w:t>’</w:t>
      </w:r>
      <w:r w:rsidRPr="00221992">
        <w:rPr>
          <w:rFonts w:eastAsia="Times New Roman" w:cs="Times New Roman"/>
          <w:szCs w:val="24"/>
          <w:lang w:val="en-GB"/>
        </w:rPr>
        <w:t>s attractiveness as a first-launch country and world-leader in the provision of affordable healthcare, and ensure that HTA processes in Australia keep pace with rapid advances in health technology. As per the Review</w:t>
      </w:r>
      <w:r w:rsidR="00551786">
        <w:rPr>
          <w:rFonts w:eastAsia="Times New Roman" w:cs="Times New Roman"/>
          <w:szCs w:val="24"/>
          <w:lang w:val="en-GB"/>
        </w:rPr>
        <w:t>’</w:t>
      </w:r>
      <w:r w:rsidRPr="00221992">
        <w:rPr>
          <w:rFonts w:eastAsia="Times New Roman" w:cs="Times New Roman"/>
          <w:szCs w:val="24"/>
          <w:lang w:val="en-GB"/>
        </w:rPr>
        <w:t xml:space="preserve">s Terms of Reference, under the direction set by the Strategic Agreement, the inquiry into approval processes for new drugs and novel medical technologies in Australia (the Inquiry), and the National Medicines Policy Review, the Review is tasked to inform the development of specific HTA reforms to ensure that subsidy schemes and funding programs meet the needs of Australians into the future </w:t>
      </w:r>
      <w:r w:rsidRPr="00221992">
        <w:rPr>
          <w:rFonts w:eastAsia="Times New Roman" w:cs="Times New Roman"/>
          <w:szCs w:val="24"/>
          <w:lang w:val="en-GB"/>
        </w:rPr>
        <w:fldChar w:fldCharType="begin"/>
      </w:r>
      <w:r w:rsidR="009751DF" w:rsidRPr="00221992">
        <w:rPr>
          <w:rFonts w:eastAsia="Times New Roman" w:cs="Times New Roman"/>
          <w:szCs w:val="24"/>
          <w:lang w:val="en-GB"/>
        </w:rPr>
        <w:instrText xml:space="preserve"> ADDIN EN.CITE &lt;EndNote&gt;&lt;Cite&gt;&lt;Author&gt;Australian Government&lt;/Author&gt;&lt;Year&gt;2023&lt;/Year&gt;&lt;RecNum&gt;622&lt;/RecNum&gt;&lt;DisplayText&gt;[2]&lt;/DisplayText&gt;&lt;record&gt;&lt;rec-number&gt;622&lt;/rec-number&gt;&lt;foreign-keys&gt;&lt;key app="EN" db-id="wzwwsfxe4peesxef95cxvrwjxts9rreasarf" timestamp="1693186423"&gt;622&lt;/key&gt;&lt;/foreign-keys&gt;&lt;ref-type name="Report"&gt;27&lt;/ref-type&gt;&lt;contributors&gt;&lt;authors&gt;&lt;author&gt;Australian Government,&lt;/author&gt;&lt;/authors&gt;&lt;tertiary-authors&gt;&lt;author&gt;Australian Government,, Department of Health and Aged Care&lt;/author&gt;&lt;/tertiary-authors&gt;&lt;/contributors&gt;&lt;titles&gt;&lt;title&gt;Health Technology Assessment Policy and Methods Review: Terms of Reference&lt;/title&gt;&lt;/titles&gt;&lt;dates&gt;&lt;year&gt;2023&lt;/year&gt;&lt;/dates&gt;&lt;pub-location&gt;Canberra&lt;/pub-location&gt;&lt;urls&gt;&lt;/urls&gt;&lt;/record&gt;&lt;/Cite&gt;&lt;/EndNote&gt;</w:instrText>
      </w:r>
      <w:r w:rsidRPr="00221992">
        <w:rPr>
          <w:rFonts w:eastAsia="Times New Roman" w:cs="Times New Roman"/>
          <w:szCs w:val="24"/>
          <w:lang w:val="en-GB"/>
        </w:rPr>
        <w:fldChar w:fldCharType="separate"/>
      </w:r>
      <w:r w:rsidR="009751DF" w:rsidRPr="00221992">
        <w:rPr>
          <w:rFonts w:eastAsia="Times New Roman" w:cs="Times New Roman"/>
          <w:noProof/>
          <w:szCs w:val="24"/>
          <w:lang w:val="en-GB"/>
        </w:rPr>
        <w:t>[2]</w:t>
      </w:r>
      <w:r w:rsidRPr="00221992">
        <w:rPr>
          <w:rFonts w:eastAsia="Times New Roman" w:cs="Times New Roman"/>
          <w:szCs w:val="24"/>
          <w:lang w:val="en-GB"/>
        </w:rPr>
        <w:fldChar w:fldCharType="end"/>
      </w:r>
      <w:r w:rsidRPr="00221992">
        <w:rPr>
          <w:rFonts w:eastAsia="Times New Roman" w:cs="Times New Roman"/>
          <w:szCs w:val="24"/>
          <w:lang w:val="en-GB"/>
        </w:rPr>
        <w:t>.</w:t>
      </w:r>
    </w:p>
    <w:p w14:paraId="79BD6292" w14:textId="3B5DCBFA" w:rsidR="00BD52A8" w:rsidRPr="00221992" w:rsidRDefault="00BD52A8" w:rsidP="007E692D">
      <w:pPr>
        <w:rPr>
          <w:lang w:val="en-GB"/>
        </w:rPr>
      </w:pPr>
      <w:r w:rsidRPr="00221992">
        <w:rPr>
          <w:rFonts w:eastAsia="Times New Roman" w:cs="Times New Roman"/>
          <w:szCs w:val="24"/>
          <w:lang w:val="en-GB"/>
        </w:rPr>
        <w:t>As part of the Review, the Centre for Health Economics Research and Evaluation (CHERE) at the University of Technology Sydney (UTS) has been contracted as an HTA expert group to deliver this Discussion Paper, pertaining to local and international approaches for funding and purchasing arrangements and the management of uncertainty (</w:t>
      </w:r>
      <w:r w:rsidRPr="00221992">
        <w:rPr>
          <w:rFonts w:eastAsia="Times New Roman" w:cs="Times New Roman"/>
          <w:i/>
          <w:szCs w:val="24"/>
          <w:lang w:val="en-GB"/>
        </w:rPr>
        <w:t xml:space="preserve">Paper </w:t>
      </w:r>
      <w:r w:rsidR="00966301">
        <w:rPr>
          <w:rFonts w:eastAsia="Times New Roman" w:cs="Times New Roman"/>
          <w:i/>
          <w:szCs w:val="24"/>
          <w:lang w:val="en-GB"/>
        </w:rPr>
        <w:t>6</w:t>
      </w:r>
      <w:r w:rsidRPr="00221992">
        <w:rPr>
          <w:rFonts w:eastAsia="Times New Roman" w:cs="Times New Roman"/>
          <w:i/>
          <w:szCs w:val="24"/>
          <w:lang w:val="en-GB"/>
        </w:rPr>
        <w:t>, Funding and Purchasing Decisions and Managing Uncertainty B</w:t>
      </w:r>
      <w:r w:rsidRPr="00221992">
        <w:rPr>
          <w:rFonts w:eastAsia="Times New Roman" w:cs="Times New Roman"/>
          <w:szCs w:val="24"/>
          <w:lang w:val="en-GB"/>
        </w:rPr>
        <w:t>).</w:t>
      </w:r>
    </w:p>
    <w:p w14:paraId="09CB4DF9" w14:textId="7FCA1F51" w:rsidR="00AE0C72" w:rsidRPr="00221992" w:rsidRDefault="00AE0C72" w:rsidP="00146C04">
      <w:pPr>
        <w:pStyle w:val="NbrHeading2"/>
        <w:rPr>
          <w:lang w:val="en-GB"/>
        </w:rPr>
      </w:pPr>
      <w:bookmarkStart w:id="11" w:name="_Toc162950850"/>
      <w:r w:rsidRPr="00221992">
        <w:rPr>
          <w:lang w:val="en-GB"/>
        </w:rPr>
        <w:t>Methods</w:t>
      </w:r>
      <w:bookmarkEnd w:id="11"/>
    </w:p>
    <w:p w14:paraId="4DBE884C" w14:textId="232D915A" w:rsidR="0068025C" w:rsidRPr="00221992" w:rsidRDefault="0068025C" w:rsidP="0068025C">
      <w:pPr>
        <w:spacing w:before="120" w:after="120"/>
        <w:rPr>
          <w:rFonts w:eastAsia="Times New Roman" w:cs="Times New Roman"/>
          <w:szCs w:val="24"/>
          <w:lang w:val="en-GB"/>
        </w:rPr>
      </w:pPr>
      <w:r w:rsidRPr="00221992">
        <w:rPr>
          <w:rFonts w:eastAsia="Times New Roman" w:cs="Times New Roman"/>
          <w:szCs w:val="24"/>
          <w:lang w:val="en-GB"/>
        </w:rPr>
        <w:t>This discussion paper has been informed by a scoping review of recent international peer-reviewed and grey literature regarding contemporary Australian and international HTA practices, including guidelines, policy documents and technical reports. Relevant literature was identified through an online search of the biomedical and life sciences literature database, PubMed, published from 2010 onwards. Only English-language publications were included for review.</w:t>
      </w:r>
    </w:p>
    <w:p w14:paraId="76D90AEF" w14:textId="72716F95" w:rsidR="00AE0C72" w:rsidRPr="00221992" w:rsidRDefault="00A73967" w:rsidP="007E692D">
      <w:pPr>
        <w:rPr>
          <w:rFonts w:ascii="Calibri" w:hAnsi="Calibri" w:cs="Calibri"/>
          <w:b/>
          <w:lang w:val="en-GB"/>
        </w:rPr>
      </w:pPr>
      <w:r w:rsidRPr="00221992">
        <w:rPr>
          <w:rFonts w:eastAsia="Times New Roman" w:cs="Times New Roman"/>
          <w:szCs w:val="24"/>
          <w:lang w:val="en-GB"/>
        </w:rPr>
        <w:t>To identify additional relevant policy documents, technical reports and position papers, a direct search was undertaken of the websites of Government authorities, HTA agencies, industry peak bodies and consumer representative organisations identified in consultation with the Reference Committee.</w:t>
      </w:r>
    </w:p>
    <w:p w14:paraId="5E5F373D" w14:textId="3DC75419" w:rsidR="00F40E49" w:rsidRPr="00221992" w:rsidRDefault="00631464" w:rsidP="007E692D">
      <w:pPr>
        <w:rPr>
          <w:rFonts w:eastAsia="Times New Roman" w:cs="Times New Roman"/>
          <w:szCs w:val="24"/>
          <w:lang w:val="en-GB"/>
        </w:rPr>
      </w:pPr>
      <w:r w:rsidRPr="00221992">
        <w:rPr>
          <w:rFonts w:eastAsia="Times New Roman" w:cs="Times New Roman"/>
          <w:szCs w:val="24"/>
          <w:lang w:val="en-GB"/>
        </w:rPr>
        <w:t xml:space="preserve">As some aspects of HTA policy and practice may not be sufficiently explicated in publicly available documentation, </w:t>
      </w:r>
      <w:r w:rsidR="00A004AF" w:rsidRPr="00221992">
        <w:rPr>
          <w:rFonts w:eastAsia="Times New Roman" w:cs="Times New Roman"/>
          <w:szCs w:val="24"/>
          <w:lang w:val="en-GB"/>
        </w:rPr>
        <w:t xml:space="preserve">the </w:t>
      </w:r>
      <w:r w:rsidRPr="00221992">
        <w:rPr>
          <w:rFonts w:eastAsia="Times New Roman" w:cs="Times New Roman"/>
          <w:szCs w:val="24"/>
          <w:lang w:val="en-GB"/>
        </w:rPr>
        <w:t xml:space="preserve">research </w:t>
      </w:r>
      <w:r w:rsidR="00A004AF" w:rsidRPr="00221992">
        <w:rPr>
          <w:rFonts w:eastAsia="Times New Roman" w:cs="Times New Roman"/>
          <w:szCs w:val="24"/>
          <w:lang w:val="en-GB"/>
        </w:rPr>
        <w:t xml:space="preserve">also </w:t>
      </w:r>
      <w:r w:rsidRPr="00221992">
        <w:rPr>
          <w:rFonts w:eastAsia="Times New Roman" w:cs="Times New Roman"/>
          <w:szCs w:val="24"/>
          <w:lang w:val="en-GB"/>
        </w:rPr>
        <w:t>included limited direct consultation of identified stakeholders to the Review, including relevant government authorities, HTA agencies, industry peak bodies and consumer representative organisations.</w:t>
      </w:r>
    </w:p>
    <w:p w14:paraId="465C18D6" w14:textId="77777777" w:rsidR="003911BB" w:rsidRPr="00221992" w:rsidRDefault="003911BB" w:rsidP="003911BB">
      <w:pPr>
        <w:spacing w:before="120" w:after="120"/>
        <w:rPr>
          <w:rFonts w:eastAsia="Times New Roman" w:cs="Times New Roman"/>
          <w:szCs w:val="24"/>
          <w:lang w:val="en-GB"/>
        </w:rPr>
      </w:pPr>
      <w:r w:rsidRPr="00221992">
        <w:rPr>
          <w:rFonts w:eastAsia="Times New Roman" w:cs="Times New Roman"/>
          <w:szCs w:val="24"/>
          <w:lang w:val="en-GB"/>
        </w:rPr>
        <w:t>The underlying research paradigm for this discussion paper is principally qualitative. Findings are presented thematically. Broadly, the analysis explicates 1) differences in approaches to HTA in Australia and internationally; 2) the extent to which identified alternative approaches to shaping an HTA system (with respect to funding and purchasing decisions) may be applicable in Australia (in light of extant jurisdictional and structural arrangements); and 3) the extent to which alternative approaches may result in different outcomes if applied in Australia. Findings are intended to inform recommendations to the Department of Health and Aged Care for HTA practice and reform.</w:t>
      </w:r>
    </w:p>
    <w:p w14:paraId="2614C107" w14:textId="77777777" w:rsidR="00640601" w:rsidRPr="00221992" w:rsidRDefault="00640601" w:rsidP="00640601">
      <w:pPr>
        <w:spacing w:before="120" w:after="120"/>
        <w:rPr>
          <w:rFonts w:eastAsia="Times New Roman" w:cs="Times New Roman"/>
          <w:szCs w:val="24"/>
          <w:lang w:val="en-GB"/>
        </w:rPr>
      </w:pPr>
      <w:r w:rsidRPr="00221992">
        <w:rPr>
          <w:rFonts w:eastAsia="Times New Roman" w:cs="Times New Roman"/>
          <w:szCs w:val="24"/>
          <w:lang w:val="en-GB"/>
        </w:rPr>
        <w:t>The Reference Committee identified several specific avenues of inquiry of interest to the Review, including international differences in:</w:t>
      </w:r>
    </w:p>
    <w:p w14:paraId="053DF826" w14:textId="649349A5" w:rsidR="007D6D32" w:rsidRPr="00221992" w:rsidRDefault="00640601" w:rsidP="00957584">
      <w:pPr>
        <w:pStyle w:val="ListParagraph"/>
        <w:numPr>
          <w:ilvl w:val="0"/>
          <w:numId w:val="42"/>
        </w:numPr>
        <w:rPr>
          <w:lang w:val="en-GB"/>
        </w:rPr>
      </w:pPr>
      <w:r w:rsidRPr="00221992">
        <w:rPr>
          <w:lang w:val="en-GB"/>
        </w:rPr>
        <w:t xml:space="preserve">funding pathways and accepted levels of evidence for submissions for rare diseases and other treatments that do not meet </w:t>
      </w:r>
      <w:r w:rsidR="00551786">
        <w:rPr>
          <w:lang w:val="en-GB"/>
        </w:rPr>
        <w:t>‘</w:t>
      </w:r>
      <w:r w:rsidRPr="00221992">
        <w:rPr>
          <w:lang w:val="en-GB"/>
        </w:rPr>
        <w:t>traditional</w:t>
      </w:r>
      <w:r w:rsidR="00551786">
        <w:rPr>
          <w:lang w:val="en-GB"/>
        </w:rPr>
        <w:t>’</w:t>
      </w:r>
      <w:r w:rsidRPr="00221992">
        <w:rPr>
          <w:lang w:val="en-GB"/>
        </w:rPr>
        <w:t xml:space="preserve"> HTA standards</w:t>
      </w:r>
    </w:p>
    <w:p w14:paraId="3565772D" w14:textId="77777777" w:rsidR="007D6D32" w:rsidRPr="00221992" w:rsidRDefault="00640601" w:rsidP="00957584">
      <w:pPr>
        <w:pStyle w:val="ListParagraph"/>
        <w:numPr>
          <w:ilvl w:val="0"/>
          <w:numId w:val="42"/>
        </w:numPr>
        <w:rPr>
          <w:lang w:val="en-GB"/>
        </w:rPr>
      </w:pPr>
      <w:r w:rsidRPr="00221992">
        <w:rPr>
          <w:lang w:val="en-GB"/>
        </w:rPr>
        <w:t>management of uncertainty</w:t>
      </w:r>
    </w:p>
    <w:p w14:paraId="1099BF5F" w14:textId="77777777" w:rsidR="007D6D32" w:rsidRPr="00221992" w:rsidRDefault="00640601" w:rsidP="00957584">
      <w:pPr>
        <w:pStyle w:val="ListParagraph"/>
        <w:numPr>
          <w:ilvl w:val="0"/>
          <w:numId w:val="42"/>
        </w:numPr>
        <w:rPr>
          <w:lang w:val="en-GB"/>
        </w:rPr>
      </w:pPr>
      <w:r w:rsidRPr="00221992">
        <w:rPr>
          <w:lang w:val="en-GB"/>
        </w:rPr>
        <w:t>consumer engagement in the HTA process</w:t>
      </w:r>
    </w:p>
    <w:p w14:paraId="56548608" w14:textId="563AAA85" w:rsidR="007D6D32" w:rsidRPr="00221992" w:rsidRDefault="00640601" w:rsidP="00957584">
      <w:pPr>
        <w:pStyle w:val="ListParagraph"/>
        <w:numPr>
          <w:ilvl w:val="0"/>
          <w:numId w:val="42"/>
        </w:numPr>
        <w:rPr>
          <w:lang w:val="en-GB"/>
        </w:rPr>
      </w:pPr>
      <w:r w:rsidRPr="00221992">
        <w:rPr>
          <w:lang w:val="en-GB"/>
        </w:rPr>
        <w:t>expanded utility criteria</w:t>
      </w:r>
    </w:p>
    <w:p w14:paraId="2E313B75" w14:textId="76D7F810" w:rsidR="00640601" w:rsidRPr="00221992" w:rsidRDefault="00640601" w:rsidP="00957584">
      <w:pPr>
        <w:pStyle w:val="ListParagraph"/>
        <w:numPr>
          <w:ilvl w:val="0"/>
          <w:numId w:val="42"/>
        </w:numPr>
        <w:rPr>
          <w:lang w:val="en-GB"/>
        </w:rPr>
      </w:pPr>
      <w:r w:rsidRPr="00221992">
        <w:rPr>
          <w:lang w:val="en-GB"/>
        </w:rPr>
        <w:t>approaches to improve equity among identified sub-populations</w:t>
      </w:r>
    </w:p>
    <w:p w14:paraId="6602CB75" w14:textId="79BAC818" w:rsidR="009704CB" w:rsidRPr="00221992" w:rsidRDefault="1CE37A50" w:rsidP="00146C04">
      <w:pPr>
        <w:pStyle w:val="NbrHeading2"/>
        <w:rPr>
          <w:lang w:val="en-GB"/>
        </w:rPr>
      </w:pPr>
      <w:bookmarkStart w:id="12" w:name="_Toc162950851"/>
      <w:r w:rsidRPr="7F2B896F">
        <w:rPr>
          <w:lang w:val="en-GB"/>
        </w:rPr>
        <w:t xml:space="preserve">Key </w:t>
      </w:r>
      <w:r w:rsidR="00CC2D4E" w:rsidRPr="00221992">
        <w:rPr>
          <w:lang w:val="en-GB"/>
        </w:rPr>
        <w:t>Findings</w:t>
      </w:r>
      <w:bookmarkEnd w:id="12"/>
    </w:p>
    <w:p w14:paraId="78B1AACF" w14:textId="21659E30" w:rsidR="00E87F75" w:rsidRPr="00221992" w:rsidRDefault="000A42D9" w:rsidP="0012257A">
      <w:pPr>
        <w:pStyle w:val="NbrHeading3"/>
        <w:rPr>
          <w:lang w:val="en-GB"/>
        </w:rPr>
      </w:pPr>
      <w:bookmarkStart w:id="13" w:name="_Toc162950852"/>
      <w:r w:rsidRPr="00221992">
        <w:rPr>
          <w:lang w:val="en-GB"/>
        </w:rPr>
        <w:t>Funding and purchasing approaches for new health technologies</w:t>
      </w:r>
      <w:bookmarkEnd w:id="13"/>
    </w:p>
    <w:p w14:paraId="4B697587" w14:textId="3BE3CC03" w:rsidR="007C4AE8" w:rsidRPr="00221992" w:rsidRDefault="00F2070B" w:rsidP="00957584">
      <w:pPr>
        <w:pStyle w:val="ListParagraph"/>
        <w:numPr>
          <w:ilvl w:val="0"/>
          <w:numId w:val="59"/>
        </w:numPr>
        <w:rPr>
          <w:lang w:val="en-GB"/>
        </w:rPr>
      </w:pPr>
      <w:r w:rsidRPr="00221992">
        <w:rPr>
          <w:lang w:val="en-GB"/>
        </w:rPr>
        <w:t>Australia</w:t>
      </w:r>
      <w:r w:rsidR="00551786">
        <w:rPr>
          <w:lang w:val="en-GB"/>
        </w:rPr>
        <w:t>’</w:t>
      </w:r>
      <w:r w:rsidR="008D0228" w:rsidRPr="00221992">
        <w:rPr>
          <w:lang w:val="en-GB"/>
        </w:rPr>
        <w:t>s</w:t>
      </w:r>
      <w:r w:rsidRPr="00221992">
        <w:rPr>
          <w:lang w:val="en-GB"/>
        </w:rPr>
        <w:t xml:space="preserve"> </w:t>
      </w:r>
      <w:r w:rsidR="008D799F" w:rsidRPr="00221992">
        <w:rPr>
          <w:lang w:val="en-GB"/>
        </w:rPr>
        <w:t>approach to</w:t>
      </w:r>
      <w:r w:rsidR="008D0228" w:rsidRPr="00221992">
        <w:rPr>
          <w:lang w:val="en-GB"/>
        </w:rPr>
        <w:t xml:space="preserve"> HTA</w:t>
      </w:r>
      <w:r w:rsidR="008D799F" w:rsidRPr="00221992">
        <w:rPr>
          <w:lang w:val="en-GB"/>
        </w:rPr>
        <w:t xml:space="preserve"> funding and purchasing decisions</w:t>
      </w:r>
      <w:r w:rsidRPr="00221992">
        <w:rPr>
          <w:lang w:val="en-GB"/>
        </w:rPr>
        <w:t xml:space="preserve"> </w:t>
      </w:r>
      <w:r w:rsidR="00295033" w:rsidRPr="00221992">
        <w:rPr>
          <w:lang w:val="en-GB"/>
        </w:rPr>
        <w:t>are similar to</w:t>
      </w:r>
      <w:r w:rsidRPr="00221992">
        <w:rPr>
          <w:lang w:val="en-GB"/>
        </w:rPr>
        <w:t xml:space="preserve"> processes </w:t>
      </w:r>
      <w:r w:rsidR="00295033" w:rsidRPr="00221992">
        <w:rPr>
          <w:lang w:val="en-GB"/>
        </w:rPr>
        <w:t>in</w:t>
      </w:r>
      <w:r w:rsidRPr="00221992">
        <w:rPr>
          <w:lang w:val="en-GB"/>
        </w:rPr>
        <w:t xml:space="preserve"> </w:t>
      </w:r>
      <w:r w:rsidR="005B7514" w:rsidRPr="00221992">
        <w:rPr>
          <w:lang w:val="en-GB"/>
        </w:rPr>
        <w:t>several</w:t>
      </w:r>
      <w:r w:rsidR="00295033" w:rsidRPr="00221992">
        <w:rPr>
          <w:lang w:val="en-GB"/>
        </w:rPr>
        <w:t xml:space="preserve"> </w:t>
      </w:r>
      <w:r w:rsidRPr="00221992">
        <w:rPr>
          <w:lang w:val="en-GB"/>
        </w:rPr>
        <w:t>peer countries.</w:t>
      </w:r>
    </w:p>
    <w:p w14:paraId="27CEA864" w14:textId="2A5089FF" w:rsidR="007C4AE8" w:rsidRPr="00221992" w:rsidRDefault="00FA19CC" w:rsidP="00957584">
      <w:pPr>
        <w:pStyle w:val="ListParagraph"/>
        <w:numPr>
          <w:ilvl w:val="0"/>
          <w:numId w:val="59"/>
        </w:numPr>
        <w:rPr>
          <w:lang w:val="en-GB"/>
        </w:rPr>
      </w:pPr>
      <w:r w:rsidRPr="00221992">
        <w:rPr>
          <w:lang w:val="en-GB"/>
        </w:rPr>
        <w:t>Australia</w:t>
      </w:r>
      <w:r w:rsidR="00551786">
        <w:rPr>
          <w:lang w:val="en-GB"/>
        </w:rPr>
        <w:t>’</w:t>
      </w:r>
      <w:r w:rsidR="00CC6AC3" w:rsidRPr="00221992">
        <w:rPr>
          <w:lang w:val="en-GB"/>
        </w:rPr>
        <w:t>s</w:t>
      </w:r>
      <w:r w:rsidR="00F6438D" w:rsidRPr="00221992">
        <w:rPr>
          <w:lang w:val="en-GB"/>
        </w:rPr>
        <w:t xml:space="preserve"> HTA submission process</w:t>
      </w:r>
      <w:r w:rsidR="003C0A25" w:rsidRPr="00221992">
        <w:rPr>
          <w:lang w:val="en-GB"/>
        </w:rPr>
        <w:t xml:space="preserve"> </w:t>
      </w:r>
      <w:r w:rsidR="002A2E22" w:rsidRPr="00221992">
        <w:rPr>
          <w:lang w:val="en-GB"/>
        </w:rPr>
        <w:t xml:space="preserve">comprises </w:t>
      </w:r>
      <w:r w:rsidR="003C0A25" w:rsidRPr="00221992">
        <w:rPr>
          <w:lang w:val="en-GB"/>
        </w:rPr>
        <w:t>a</w:t>
      </w:r>
      <w:r w:rsidRPr="00221992">
        <w:rPr>
          <w:lang w:val="en-GB"/>
        </w:rPr>
        <w:t xml:space="preserve"> </w:t>
      </w:r>
      <w:r w:rsidR="00551786">
        <w:rPr>
          <w:lang w:val="en-GB"/>
        </w:rPr>
        <w:t>‘</w:t>
      </w:r>
      <w:r w:rsidRPr="00221992">
        <w:rPr>
          <w:lang w:val="en-GB"/>
        </w:rPr>
        <w:t>negotiation-by-resubmission</w:t>
      </w:r>
      <w:r w:rsidR="00551786">
        <w:rPr>
          <w:lang w:val="en-GB"/>
        </w:rPr>
        <w:t>’</w:t>
      </w:r>
      <w:r w:rsidRPr="00221992">
        <w:rPr>
          <w:lang w:val="en-GB"/>
        </w:rPr>
        <w:t xml:space="preserve"> a</w:t>
      </w:r>
      <w:r w:rsidR="00E92B08" w:rsidRPr="00221992">
        <w:rPr>
          <w:lang w:val="en-GB"/>
        </w:rPr>
        <w:t>pproach (similar to the UK/Wales)</w:t>
      </w:r>
      <w:r w:rsidR="009A4AF6" w:rsidRPr="00221992">
        <w:rPr>
          <w:lang w:val="en-GB"/>
        </w:rPr>
        <w:t xml:space="preserve">; </w:t>
      </w:r>
      <w:r w:rsidR="446A30EB" w:rsidRPr="396CF464">
        <w:rPr>
          <w:lang w:val="en-GB"/>
        </w:rPr>
        <w:t>several</w:t>
      </w:r>
      <w:r w:rsidR="00E92B08" w:rsidRPr="00221992">
        <w:rPr>
          <w:lang w:val="en-GB"/>
        </w:rPr>
        <w:t xml:space="preserve"> countries </w:t>
      </w:r>
      <w:r w:rsidR="00024228" w:rsidRPr="00221992">
        <w:rPr>
          <w:lang w:val="en-GB"/>
        </w:rPr>
        <w:t>undertake</w:t>
      </w:r>
      <w:r w:rsidR="00D027F4" w:rsidRPr="00221992">
        <w:rPr>
          <w:lang w:val="en-GB"/>
        </w:rPr>
        <w:t xml:space="preserve"> explicit</w:t>
      </w:r>
      <w:r w:rsidR="00024228" w:rsidRPr="00221992">
        <w:rPr>
          <w:lang w:val="en-GB"/>
        </w:rPr>
        <w:t xml:space="preserve"> negotiation via</w:t>
      </w:r>
      <w:r w:rsidR="00D027F4" w:rsidRPr="00221992">
        <w:rPr>
          <w:lang w:val="en-GB"/>
        </w:rPr>
        <w:t xml:space="preserve"> for-purpose price negotiation bodies (Germany, Canada, France</w:t>
      </w:r>
      <w:r w:rsidR="009A4AF6" w:rsidRPr="00221992">
        <w:rPr>
          <w:lang w:val="en-GB"/>
        </w:rPr>
        <w:t>, South Korea).</w:t>
      </w:r>
    </w:p>
    <w:p w14:paraId="3E1ED0D5" w14:textId="576F8F0B" w:rsidR="007C4AE8" w:rsidRPr="00221992" w:rsidRDefault="00FD0BB0" w:rsidP="00957584">
      <w:pPr>
        <w:pStyle w:val="ListParagraph"/>
        <w:numPr>
          <w:ilvl w:val="0"/>
          <w:numId w:val="59"/>
        </w:numPr>
        <w:rPr>
          <w:lang w:val="en-GB"/>
        </w:rPr>
      </w:pPr>
      <w:r w:rsidRPr="00221992">
        <w:rPr>
          <w:lang w:val="en-GB"/>
        </w:rPr>
        <w:t xml:space="preserve">Germany and Japan </w:t>
      </w:r>
      <w:r w:rsidR="00C10ECF" w:rsidRPr="00221992">
        <w:rPr>
          <w:lang w:val="en-GB"/>
        </w:rPr>
        <w:t>are unique in that they</w:t>
      </w:r>
      <w:r w:rsidRPr="00221992">
        <w:rPr>
          <w:lang w:val="en-GB"/>
        </w:rPr>
        <w:t xml:space="preserve"> allow for the </w:t>
      </w:r>
      <w:r w:rsidR="00F30AE5" w:rsidRPr="00221992">
        <w:rPr>
          <w:lang w:val="en-GB"/>
        </w:rPr>
        <w:t>listing</w:t>
      </w:r>
      <w:r w:rsidR="004305B9" w:rsidRPr="00221992">
        <w:rPr>
          <w:lang w:val="en-GB"/>
        </w:rPr>
        <w:t>/reimbursement</w:t>
      </w:r>
      <w:r w:rsidR="00F30AE5" w:rsidRPr="00221992">
        <w:rPr>
          <w:lang w:val="en-GB"/>
        </w:rPr>
        <w:t xml:space="preserve"> of new pharmaceutical products prior to </w:t>
      </w:r>
      <w:r w:rsidR="00F575BA" w:rsidRPr="00221992">
        <w:rPr>
          <w:lang w:val="en-GB"/>
        </w:rPr>
        <w:t>an assessment of cost-effectiveness</w:t>
      </w:r>
      <w:r w:rsidR="00F30AE5" w:rsidRPr="00221992">
        <w:rPr>
          <w:lang w:val="en-GB"/>
        </w:rPr>
        <w:t>; prices may be reduced following the outcome of HTA processes.</w:t>
      </w:r>
    </w:p>
    <w:p w14:paraId="241FAA10" w14:textId="0BA279CB" w:rsidR="00FB3B7D" w:rsidRPr="00221992" w:rsidRDefault="00FB3B7D" w:rsidP="00FB3B7D">
      <w:pPr>
        <w:rPr>
          <w:lang w:val="en-GB"/>
        </w:rPr>
      </w:pPr>
      <w:r w:rsidRPr="00221992">
        <w:rPr>
          <w:lang w:val="en-GB"/>
        </w:rPr>
        <w:t xml:space="preserve">International approaches to fund and purchase new health technologies vary widely, with identified differences in the depth and breadth of HTA processes, selection of technologies eligible for HTA review, and how HTA outcomes influence reimbursement decisions and pricing negotiations. </w:t>
      </w:r>
      <w:r w:rsidR="00AA19E7" w:rsidRPr="00221992">
        <w:rPr>
          <w:lang w:val="en-GB"/>
        </w:rPr>
        <w:t>Importantly,</w:t>
      </w:r>
      <w:r w:rsidRPr="00221992">
        <w:rPr>
          <w:lang w:val="en-GB"/>
        </w:rPr>
        <w:t xml:space="preserve"> HTA is not </w:t>
      </w:r>
      <w:r w:rsidR="00405B89" w:rsidRPr="00221992">
        <w:rPr>
          <w:lang w:val="en-GB"/>
        </w:rPr>
        <w:t>a uniform mechanism</w:t>
      </w:r>
      <w:r w:rsidR="00AA19E7" w:rsidRPr="00221992">
        <w:rPr>
          <w:lang w:val="en-GB"/>
        </w:rPr>
        <w:t>;</w:t>
      </w:r>
      <w:r w:rsidRPr="00221992">
        <w:rPr>
          <w:lang w:val="en-GB"/>
        </w:rPr>
        <w:t xml:space="preserve"> combinations of salient features variously impact the ways in which HTA inform</w:t>
      </w:r>
      <w:r w:rsidR="001C6AD8" w:rsidRPr="00221992">
        <w:rPr>
          <w:lang w:val="en-GB"/>
        </w:rPr>
        <w:t>s</w:t>
      </w:r>
      <w:r w:rsidRPr="00221992">
        <w:rPr>
          <w:lang w:val="en-GB"/>
        </w:rPr>
        <w:t xml:space="preserve"> funding decisions in international contexts. </w:t>
      </w:r>
    </w:p>
    <w:p w14:paraId="6DCBEFBE" w14:textId="41A75FF7" w:rsidR="00FB3B7D" w:rsidRPr="00221992" w:rsidRDefault="00FB3B7D" w:rsidP="00FB3B7D">
      <w:pPr>
        <w:rPr>
          <w:lang w:val="en-GB"/>
        </w:rPr>
      </w:pPr>
      <w:r w:rsidRPr="00221992">
        <w:rPr>
          <w:lang w:val="en-GB"/>
        </w:rPr>
        <w:t>The scope, role and remit of HTA organisations varies between countries. Many countries have more than one institution with varying roles undertaking HTA activities at a national level. HTA bodies with a regional and provider-level scope include Canada, Germany, Italy, Spain and Sweden. There is also wide variation in the technologies that undergo HTA; the Fin</w:t>
      </w:r>
      <w:r w:rsidR="00EE1B6B">
        <w:rPr>
          <w:lang w:val="en-GB"/>
        </w:rPr>
        <w:t>n</w:t>
      </w:r>
      <w:r w:rsidRPr="00221992">
        <w:rPr>
          <w:lang w:val="en-GB"/>
        </w:rPr>
        <w:t xml:space="preserve">ish Medicines Agency (FIMEA) performs HTA only for in-patient pharmaceuticals, whilst </w:t>
      </w:r>
      <w:r w:rsidR="000B3D64" w:rsidRPr="00221992">
        <w:rPr>
          <w:lang w:val="en-GB"/>
        </w:rPr>
        <w:t>Sweden</w:t>
      </w:r>
      <w:r w:rsidR="00551786">
        <w:rPr>
          <w:lang w:val="en-GB"/>
        </w:rPr>
        <w:t>’</w:t>
      </w:r>
      <w:r w:rsidR="000B3D64" w:rsidRPr="00221992">
        <w:rPr>
          <w:lang w:val="en-GB"/>
        </w:rPr>
        <w:t>s</w:t>
      </w:r>
      <w:r w:rsidRPr="00221992">
        <w:rPr>
          <w:lang w:val="en-GB"/>
        </w:rPr>
        <w:t xml:space="preserve"> Dental and Pharmaceutical Benefits Agency (Tandvårds- och läkemedelsförmånsverket, TLV) </w:t>
      </w:r>
      <w:r w:rsidR="000B3D64" w:rsidRPr="00221992">
        <w:rPr>
          <w:lang w:val="en-GB"/>
        </w:rPr>
        <w:t>mainly</w:t>
      </w:r>
      <w:r w:rsidRPr="00221992">
        <w:rPr>
          <w:lang w:val="en-GB"/>
        </w:rPr>
        <w:t xml:space="preserve"> assesses out-patient pharmaceuticals, </w:t>
      </w:r>
      <w:r w:rsidR="007F6A02" w:rsidRPr="00221992">
        <w:rPr>
          <w:lang w:val="en-GB"/>
        </w:rPr>
        <w:t>while</w:t>
      </w:r>
      <w:r w:rsidRPr="00221992">
        <w:rPr>
          <w:lang w:val="en-GB"/>
        </w:rPr>
        <w:t xml:space="preserve"> in-patient pharmaceuticals are assessed at the county level. Evidence for new technologies </w:t>
      </w:r>
      <w:r w:rsidR="006C4F63" w:rsidRPr="00221992">
        <w:rPr>
          <w:lang w:val="en-GB"/>
        </w:rPr>
        <w:t>is</w:t>
      </w:r>
      <w:r w:rsidRPr="00221992">
        <w:rPr>
          <w:lang w:val="en-GB"/>
        </w:rPr>
        <w:t xml:space="preserve"> evaluated and quantified in a range of ways, such as through their clinical benefit and incremental cost-effectiveness (</w:t>
      </w:r>
      <w:r w:rsidR="001417FC" w:rsidRPr="00221992">
        <w:rPr>
          <w:lang w:val="en-GB"/>
        </w:rPr>
        <w:t xml:space="preserve">e.g., </w:t>
      </w:r>
      <w:r w:rsidRPr="00221992">
        <w:rPr>
          <w:lang w:val="en-GB"/>
        </w:rPr>
        <w:t>Australia, Canada, England/Wales), clinical benefit alone (</w:t>
      </w:r>
      <w:r w:rsidR="001417FC" w:rsidRPr="00221992">
        <w:rPr>
          <w:lang w:val="en-GB"/>
        </w:rPr>
        <w:t xml:space="preserve">e.g., </w:t>
      </w:r>
      <w:r w:rsidRPr="00221992">
        <w:rPr>
          <w:lang w:val="en-GB"/>
        </w:rPr>
        <w:t>Germany, France) or clinical benefit and budgetary impact (</w:t>
      </w:r>
      <w:r w:rsidR="001417FC" w:rsidRPr="00221992">
        <w:rPr>
          <w:lang w:val="en-GB"/>
        </w:rPr>
        <w:t xml:space="preserve">e.g., </w:t>
      </w:r>
      <w:r w:rsidRPr="00221992">
        <w:rPr>
          <w:lang w:val="en-GB"/>
        </w:rPr>
        <w:t>Italy, Spain).</w:t>
      </w:r>
    </w:p>
    <w:p w14:paraId="43B93440" w14:textId="298018EA" w:rsidR="00FB3B7D" w:rsidRPr="00221992" w:rsidRDefault="00FB3B7D" w:rsidP="00FB3B7D">
      <w:pPr>
        <w:rPr>
          <w:lang w:val="en-GB"/>
        </w:rPr>
      </w:pPr>
      <w:r w:rsidRPr="00221992">
        <w:rPr>
          <w:lang w:val="en-GB"/>
        </w:rPr>
        <w:t xml:space="preserve">Positive HTA recommendations are most commonly non-binding, and </w:t>
      </w:r>
      <w:r w:rsidR="00902781" w:rsidRPr="00221992">
        <w:rPr>
          <w:lang w:val="en-GB"/>
        </w:rPr>
        <w:t xml:space="preserve">do </w:t>
      </w:r>
      <w:r w:rsidRPr="00221992">
        <w:rPr>
          <w:lang w:val="en-GB"/>
        </w:rPr>
        <w:t xml:space="preserve">not always translate into decisions to fund a technology. Evidence suggests the impact of positive recommendations on reimbursement negotiations is variable, both within and between countries. Nevertheless, HTA outcomes, even if formally non-binding, are central to final reimbursement decisions in </w:t>
      </w:r>
      <w:r w:rsidR="00205B3B" w:rsidRPr="00221992">
        <w:rPr>
          <w:lang w:val="en-GB"/>
        </w:rPr>
        <w:t>several</w:t>
      </w:r>
      <w:r w:rsidRPr="00221992">
        <w:rPr>
          <w:lang w:val="en-GB"/>
        </w:rPr>
        <w:t xml:space="preserve"> countries. If an HTA body declines to recommend a health technology, various pathways for resubmission and/or appeal may be engaged. Commonly following a rejection, sponsors </w:t>
      </w:r>
      <w:r w:rsidR="008129D9" w:rsidRPr="00221992">
        <w:rPr>
          <w:lang w:val="en-GB"/>
        </w:rPr>
        <w:t>may</w:t>
      </w:r>
      <w:r w:rsidRPr="00221992">
        <w:rPr>
          <w:lang w:val="en-GB"/>
        </w:rPr>
        <w:t xml:space="preserve"> </w:t>
      </w:r>
      <w:r w:rsidR="008B3E08" w:rsidRPr="00221992">
        <w:rPr>
          <w:lang w:val="en-GB"/>
        </w:rPr>
        <w:t>opt</w:t>
      </w:r>
      <w:r w:rsidRPr="00221992">
        <w:rPr>
          <w:lang w:val="en-GB"/>
        </w:rPr>
        <w:t xml:space="preserve"> to address areas of concern and prepare a re-submission.</w:t>
      </w:r>
    </w:p>
    <w:p w14:paraId="6CCA7AE6" w14:textId="38BDB900" w:rsidR="00FB3B7D" w:rsidRPr="00221992" w:rsidRDefault="00FB3B7D" w:rsidP="00FB3B7D">
      <w:pPr>
        <w:rPr>
          <w:lang w:val="en-GB"/>
        </w:rPr>
      </w:pPr>
      <w:r w:rsidRPr="00221992">
        <w:rPr>
          <w:lang w:val="en-GB"/>
        </w:rPr>
        <w:t xml:space="preserve">Price negotiations are typically confidential and may be implicitly included in the HTA system, such as by </w:t>
      </w:r>
      <w:r w:rsidR="00973675">
        <w:rPr>
          <w:lang w:val="en-GB"/>
        </w:rPr>
        <w:t xml:space="preserve">the UK’s National Institute </w:t>
      </w:r>
      <w:r w:rsidR="002D670E">
        <w:rPr>
          <w:lang w:val="en-GB"/>
        </w:rPr>
        <w:t xml:space="preserve">for </w:t>
      </w:r>
      <w:r w:rsidR="00973675">
        <w:rPr>
          <w:lang w:val="en-GB"/>
        </w:rPr>
        <w:t>Health and Care Excellence (</w:t>
      </w:r>
      <w:r w:rsidRPr="00221992">
        <w:rPr>
          <w:lang w:val="en-GB"/>
        </w:rPr>
        <w:t>NICE</w:t>
      </w:r>
      <w:r w:rsidR="00973675">
        <w:rPr>
          <w:lang w:val="en-GB"/>
        </w:rPr>
        <w:t>)</w:t>
      </w:r>
      <w:r w:rsidRPr="00221992">
        <w:rPr>
          <w:lang w:val="en-GB"/>
        </w:rPr>
        <w:t xml:space="preserve"> and Australia</w:t>
      </w:r>
      <w:r w:rsidR="00973675">
        <w:rPr>
          <w:lang w:val="en-GB"/>
        </w:rPr>
        <w:t>’s</w:t>
      </w:r>
      <w:r w:rsidR="00402742">
        <w:rPr>
          <w:lang w:val="en-GB"/>
        </w:rPr>
        <w:t xml:space="preserve"> </w:t>
      </w:r>
      <w:r w:rsidR="00402742" w:rsidRPr="00221992">
        <w:rPr>
          <w:rFonts w:cs="Calibri Light"/>
          <w:sz w:val="20"/>
          <w:szCs w:val="20"/>
          <w:lang w:val="en-GB"/>
        </w:rPr>
        <w:t>Pharmaceutical Benefits Advisory Committee</w:t>
      </w:r>
      <w:r w:rsidRPr="00221992">
        <w:rPr>
          <w:lang w:val="en-GB"/>
        </w:rPr>
        <w:t xml:space="preserve"> </w:t>
      </w:r>
      <w:r w:rsidR="00973675">
        <w:rPr>
          <w:lang w:val="en-GB"/>
        </w:rPr>
        <w:t>(</w:t>
      </w:r>
      <w:r w:rsidRPr="00221992">
        <w:rPr>
          <w:lang w:val="en-GB"/>
        </w:rPr>
        <w:t>PBAC</w:t>
      </w:r>
      <w:r w:rsidR="00973675">
        <w:rPr>
          <w:lang w:val="en-GB"/>
        </w:rPr>
        <w:t>)</w:t>
      </w:r>
      <w:r w:rsidR="00D72332" w:rsidRPr="00221992">
        <w:rPr>
          <w:lang w:val="en-GB"/>
        </w:rPr>
        <w:t>.</w:t>
      </w:r>
      <w:r w:rsidRPr="00221992">
        <w:rPr>
          <w:lang w:val="en-GB"/>
        </w:rPr>
        <w:t xml:space="preserve"> </w:t>
      </w:r>
      <w:r w:rsidR="00D72332" w:rsidRPr="00221992">
        <w:rPr>
          <w:lang w:val="en-GB"/>
        </w:rPr>
        <w:t xml:space="preserve">While these agencies </w:t>
      </w:r>
      <w:r w:rsidRPr="00221992">
        <w:rPr>
          <w:lang w:val="en-GB"/>
        </w:rPr>
        <w:t>technically do not negotiate price</w:t>
      </w:r>
      <w:r w:rsidR="00D72332" w:rsidRPr="00221992">
        <w:rPr>
          <w:lang w:val="en-GB"/>
        </w:rPr>
        <w:t>s</w:t>
      </w:r>
      <w:r w:rsidRPr="00221992">
        <w:rPr>
          <w:lang w:val="en-GB"/>
        </w:rPr>
        <w:t xml:space="preserve">, </w:t>
      </w:r>
      <w:r w:rsidR="00D72332" w:rsidRPr="00221992">
        <w:rPr>
          <w:lang w:val="en-GB"/>
        </w:rPr>
        <w:t xml:space="preserve">they </w:t>
      </w:r>
      <w:r w:rsidRPr="00221992">
        <w:rPr>
          <w:lang w:val="en-GB"/>
        </w:rPr>
        <w:t>determine if proposed price</w:t>
      </w:r>
      <w:r w:rsidR="00905975" w:rsidRPr="00221992">
        <w:rPr>
          <w:lang w:val="en-GB"/>
        </w:rPr>
        <w:t>s</w:t>
      </w:r>
      <w:r w:rsidRPr="00221992">
        <w:rPr>
          <w:lang w:val="en-GB"/>
        </w:rPr>
        <w:t xml:space="preserve"> comprise acceptable cost-effectiveness; if not, it is the applicant</w:t>
      </w:r>
      <w:r w:rsidR="00551786">
        <w:rPr>
          <w:lang w:val="en-GB"/>
        </w:rPr>
        <w:t>’</w:t>
      </w:r>
      <w:r w:rsidRPr="00221992">
        <w:rPr>
          <w:lang w:val="en-GB"/>
        </w:rPr>
        <w:t>s role in these systems to re-present a more cost-effective price (</w:t>
      </w:r>
      <w:r w:rsidR="00905975" w:rsidRPr="00221992">
        <w:rPr>
          <w:lang w:val="en-GB"/>
        </w:rPr>
        <w:t xml:space="preserve">i.e., </w:t>
      </w:r>
      <w:r w:rsidR="00551786">
        <w:rPr>
          <w:lang w:val="en-GB"/>
        </w:rPr>
        <w:t>‘</w:t>
      </w:r>
      <w:r w:rsidRPr="00221992">
        <w:rPr>
          <w:lang w:val="en-GB"/>
        </w:rPr>
        <w:t>negotiation-by-resubmission</w:t>
      </w:r>
      <w:r w:rsidR="00551786">
        <w:rPr>
          <w:lang w:val="en-GB"/>
        </w:rPr>
        <w:t>’</w:t>
      </w:r>
      <w:r w:rsidRPr="00221992">
        <w:rPr>
          <w:lang w:val="en-GB"/>
        </w:rPr>
        <w:t>). Negotiations may also be explicitly conducted by a for-purpose negotiating body (as in Germany and Canada) or other government body (such as the Swedish Dental and Pharmaceutical Benefits Agency).</w:t>
      </w:r>
    </w:p>
    <w:p w14:paraId="4651722B" w14:textId="4E279DA9" w:rsidR="00E87F75" w:rsidRPr="00221992" w:rsidRDefault="000A42D9" w:rsidP="0012257A">
      <w:pPr>
        <w:pStyle w:val="NbrHeading3"/>
        <w:rPr>
          <w:lang w:val="en-GB"/>
        </w:rPr>
      </w:pPr>
      <w:bookmarkStart w:id="14" w:name="_Toc162950853"/>
      <w:r w:rsidRPr="00221992">
        <w:rPr>
          <w:lang w:val="en-GB"/>
        </w:rPr>
        <w:t>Co-dependent technologies</w:t>
      </w:r>
      <w:bookmarkEnd w:id="14"/>
    </w:p>
    <w:p w14:paraId="73433A46" w14:textId="7C2E75A3" w:rsidR="009B3E6D" w:rsidRPr="00221992" w:rsidRDefault="00DA781D" w:rsidP="00957584">
      <w:pPr>
        <w:pStyle w:val="ListParagraph"/>
        <w:numPr>
          <w:ilvl w:val="0"/>
          <w:numId w:val="59"/>
        </w:numPr>
        <w:rPr>
          <w:lang w:val="en-GB"/>
        </w:rPr>
      </w:pPr>
      <w:r w:rsidRPr="00221992">
        <w:rPr>
          <w:lang w:val="en-GB"/>
        </w:rPr>
        <w:t xml:space="preserve">The </w:t>
      </w:r>
      <w:r w:rsidR="00BC7BA0" w:rsidRPr="00221992">
        <w:rPr>
          <w:lang w:val="en-GB"/>
        </w:rPr>
        <w:t xml:space="preserve">global market for </w:t>
      </w:r>
      <w:r w:rsidRPr="00221992">
        <w:rPr>
          <w:lang w:val="en-GB"/>
        </w:rPr>
        <w:t xml:space="preserve">co-dependent </w:t>
      </w:r>
      <w:r w:rsidR="00BC7BA0" w:rsidRPr="00221992">
        <w:rPr>
          <w:lang w:val="en-GB"/>
        </w:rPr>
        <w:t>health technologies</w:t>
      </w:r>
      <w:r w:rsidRPr="00221992">
        <w:rPr>
          <w:lang w:val="en-GB"/>
        </w:rPr>
        <w:t xml:space="preserve"> </w:t>
      </w:r>
      <w:r w:rsidR="005A3CA0" w:rsidRPr="00221992">
        <w:rPr>
          <w:lang w:val="en-GB"/>
        </w:rPr>
        <w:t>is growing rapidly.</w:t>
      </w:r>
    </w:p>
    <w:p w14:paraId="24BA34C9" w14:textId="660537F0" w:rsidR="005A3CA0" w:rsidRPr="00221992" w:rsidRDefault="008507F7" w:rsidP="00957584">
      <w:pPr>
        <w:pStyle w:val="ListParagraph"/>
        <w:numPr>
          <w:ilvl w:val="0"/>
          <w:numId w:val="59"/>
        </w:numPr>
        <w:rPr>
          <w:lang w:val="en-GB"/>
        </w:rPr>
      </w:pPr>
      <w:r w:rsidRPr="00221992">
        <w:rPr>
          <w:lang w:val="en-GB"/>
        </w:rPr>
        <w:t>Co-dependent technologies vary in complexity</w:t>
      </w:r>
      <w:r w:rsidR="007D40A7" w:rsidRPr="00221992">
        <w:rPr>
          <w:lang w:val="en-GB"/>
        </w:rPr>
        <w:t>;</w:t>
      </w:r>
      <w:r w:rsidR="009B2B24" w:rsidRPr="00221992">
        <w:rPr>
          <w:lang w:val="en-GB"/>
        </w:rPr>
        <w:t xml:space="preserve"> where a single test is available</w:t>
      </w:r>
      <w:r w:rsidR="002768D7" w:rsidRPr="00221992">
        <w:rPr>
          <w:lang w:val="en-GB"/>
        </w:rPr>
        <w:t>, they may be simple. However,</w:t>
      </w:r>
      <w:r w:rsidR="00940B49" w:rsidRPr="00221992">
        <w:rPr>
          <w:lang w:val="en-GB"/>
        </w:rPr>
        <w:t xml:space="preserve"> </w:t>
      </w:r>
      <w:r w:rsidR="008A6FCE" w:rsidRPr="00221992">
        <w:rPr>
          <w:lang w:val="en-GB"/>
        </w:rPr>
        <w:t>when multiple tests</w:t>
      </w:r>
      <w:r w:rsidR="00B279BF" w:rsidRPr="00221992">
        <w:rPr>
          <w:lang w:val="en-GB"/>
        </w:rPr>
        <w:t xml:space="preserve"> are available,</w:t>
      </w:r>
      <w:r w:rsidR="00940B49" w:rsidRPr="00221992">
        <w:rPr>
          <w:lang w:val="en-GB"/>
        </w:rPr>
        <w:t xml:space="preserve"> </w:t>
      </w:r>
      <w:r w:rsidR="00554AEE" w:rsidRPr="00221992">
        <w:rPr>
          <w:lang w:val="en-GB"/>
        </w:rPr>
        <w:t xml:space="preserve">cost-effectiveness can vary </w:t>
      </w:r>
      <w:r w:rsidR="0046656E" w:rsidRPr="00221992">
        <w:rPr>
          <w:lang w:val="en-GB"/>
        </w:rPr>
        <w:t>widely</w:t>
      </w:r>
      <w:r w:rsidR="00ED7C84" w:rsidRPr="00221992">
        <w:rPr>
          <w:lang w:val="en-GB"/>
        </w:rPr>
        <w:t xml:space="preserve"> </w:t>
      </w:r>
      <w:r w:rsidR="00940B49" w:rsidRPr="00221992">
        <w:rPr>
          <w:lang w:val="en-GB"/>
        </w:rPr>
        <w:t>depending on the tests</w:t>
      </w:r>
      <w:r w:rsidR="00551786">
        <w:rPr>
          <w:lang w:val="en-GB"/>
        </w:rPr>
        <w:t>’</w:t>
      </w:r>
      <w:r w:rsidR="00573994" w:rsidRPr="00221992">
        <w:rPr>
          <w:lang w:val="en-GB"/>
        </w:rPr>
        <w:t xml:space="preserve"> sensitivity/specificit</w:t>
      </w:r>
      <w:r w:rsidR="00617BD7" w:rsidRPr="00221992">
        <w:rPr>
          <w:lang w:val="en-GB"/>
        </w:rPr>
        <w:t>y</w:t>
      </w:r>
      <w:r w:rsidR="007D40A7" w:rsidRPr="00221992">
        <w:rPr>
          <w:lang w:val="en-GB"/>
        </w:rPr>
        <w:t>,</w:t>
      </w:r>
      <w:r w:rsidR="00055BC5" w:rsidRPr="00221992">
        <w:rPr>
          <w:lang w:val="en-GB"/>
        </w:rPr>
        <w:t xml:space="preserve"> and the order </w:t>
      </w:r>
      <w:r w:rsidR="00FD6849" w:rsidRPr="00221992">
        <w:rPr>
          <w:lang w:val="en-GB"/>
        </w:rPr>
        <w:t xml:space="preserve">in which </w:t>
      </w:r>
      <w:r w:rsidR="00055BC5" w:rsidRPr="00221992">
        <w:rPr>
          <w:lang w:val="en-GB"/>
        </w:rPr>
        <w:t xml:space="preserve">they are </w:t>
      </w:r>
      <w:r w:rsidR="00FD6849" w:rsidRPr="00221992">
        <w:rPr>
          <w:lang w:val="en-GB"/>
        </w:rPr>
        <w:t>used</w:t>
      </w:r>
      <w:r w:rsidR="00055BC5" w:rsidRPr="00221992">
        <w:rPr>
          <w:lang w:val="en-GB"/>
        </w:rPr>
        <w:t>.</w:t>
      </w:r>
    </w:p>
    <w:p w14:paraId="4268F34B" w14:textId="3884D0FE" w:rsidR="008D1725" w:rsidRPr="00221992" w:rsidRDefault="008D1725" w:rsidP="00957584">
      <w:pPr>
        <w:pStyle w:val="ListParagraph"/>
        <w:numPr>
          <w:ilvl w:val="0"/>
          <w:numId w:val="59"/>
        </w:numPr>
        <w:rPr>
          <w:lang w:val="en-GB"/>
        </w:rPr>
      </w:pPr>
      <w:r w:rsidRPr="00221992">
        <w:rPr>
          <w:lang w:val="en-GB"/>
        </w:rPr>
        <w:t xml:space="preserve">The </w:t>
      </w:r>
      <w:r w:rsidR="0045249B" w:rsidRPr="00221992">
        <w:rPr>
          <w:lang w:val="en-GB"/>
        </w:rPr>
        <w:t xml:space="preserve">evaluation and funding for the medicine and test performed in concert </w:t>
      </w:r>
      <w:r w:rsidR="009323C5" w:rsidRPr="00221992">
        <w:rPr>
          <w:lang w:val="en-GB"/>
        </w:rPr>
        <w:t xml:space="preserve">appears to be the preferred approach </w:t>
      </w:r>
      <w:r w:rsidR="00CB6CFB" w:rsidRPr="00221992">
        <w:rPr>
          <w:lang w:val="en-GB"/>
        </w:rPr>
        <w:t>internationally</w:t>
      </w:r>
      <w:r w:rsidR="00EA6199" w:rsidRPr="00221992">
        <w:rPr>
          <w:lang w:val="en-GB"/>
        </w:rPr>
        <w:t>.</w:t>
      </w:r>
    </w:p>
    <w:p w14:paraId="5F4D2EAE" w14:textId="033AF13D" w:rsidR="00DE5481" w:rsidRPr="00221992" w:rsidRDefault="00DE5481" w:rsidP="00DE5481">
      <w:pPr>
        <w:rPr>
          <w:lang w:val="en-GB"/>
        </w:rPr>
      </w:pPr>
      <w:r w:rsidRPr="00221992">
        <w:rPr>
          <w:lang w:val="en-GB"/>
        </w:rPr>
        <w:t>In Australia, co-dependent technologies fall under the purview of two advisory committees: the Medical Services Advisory Committee (MSAC), which evaluates the efficacy and cost-effectiveness of the diagnostic test, and the PBAC, which evaluates the pharmaceutical. Co-dependent technologies may be evaluated through two processes:</w:t>
      </w:r>
    </w:p>
    <w:p w14:paraId="2F04C49F" w14:textId="1E318AC5" w:rsidR="00DE5481" w:rsidRPr="00221992" w:rsidRDefault="00DE5481" w:rsidP="00957584">
      <w:pPr>
        <w:pStyle w:val="ListParagraph"/>
        <w:numPr>
          <w:ilvl w:val="0"/>
          <w:numId w:val="64"/>
        </w:numPr>
        <w:rPr>
          <w:lang w:val="en-GB"/>
        </w:rPr>
      </w:pPr>
      <w:r w:rsidRPr="00221992">
        <w:rPr>
          <w:lang w:val="en-GB"/>
        </w:rPr>
        <w:t xml:space="preserve">Integrated co-dependent submission—a combined submission for the </w:t>
      </w:r>
      <w:r w:rsidR="00391EE5" w:rsidRPr="00221992">
        <w:rPr>
          <w:lang w:val="en-GB"/>
        </w:rPr>
        <w:t>paired</w:t>
      </w:r>
      <w:r w:rsidRPr="00221992">
        <w:rPr>
          <w:lang w:val="en-GB"/>
        </w:rPr>
        <w:t xml:space="preserve"> technologies is prepared and considered jointly by the MSAC and the PBAC</w:t>
      </w:r>
    </w:p>
    <w:p w14:paraId="64F7C174" w14:textId="33993C43" w:rsidR="00DE5481" w:rsidRPr="00221992" w:rsidRDefault="00DE5481" w:rsidP="00957584">
      <w:pPr>
        <w:pStyle w:val="ListParagraph"/>
        <w:numPr>
          <w:ilvl w:val="0"/>
          <w:numId w:val="64"/>
        </w:numPr>
        <w:rPr>
          <w:lang w:val="en-GB"/>
        </w:rPr>
      </w:pPr>
      <w:r w:rsidRPr="00221992">
        <w:rPr>
          <w:lang w:val="en-GB"/>
        </w:rPr>
        <w:t xml:space="preserve">Streamlined co-dependent submissions—individual submissions for each technology (i.e., one for the test and one for the medicine) are lodged at the same time and are considered by MSAC and the PBAC, respectively, in parallel. </w:t>
      </w:r>
    </w:p>
    <w:p w14:paraId="11E25B71" w14:textId="24E07234" w:rsidR="00AF4846" w:rsidRPr="00221992" w:rsidRDefault="00FC2A3E" w:rsidP="002D5835">
      <w:pPr>
        <w:rPr>
          <w:lang w:val="en-GB"/>
        </w:rPr>
      </w:pPr>
      <w:r w:rsidRPr="00221992">
        <w:rPr>
          <w:lang w:val="en-GB"/>
        </w:rPr>
        <w:t xml:space="preserve">A review of co-dependent submissions in Australia from March 2011 to December 2018 </w:t>
      </w:r>
      <w:r w:rsidR="00470A2F" w:rsidRPr="00221992">
        <w:rPr>
          <w:lang w:val="en-GB"/>
        </w:rPr>
        <w:t>found</w:t>
      </w:r>
      <w:r w:rsidRPr="00221992">
        <w:rPr>
          <w:lang w:val="en-GB"/>
        </w:rPr>
        <w:t xml:space="preserve"> that co-dependent submissions generally required a higher number of PBAC submissions: cancer medicines with an associated MSAC submission took, on average, 2.27 PBAC submissions to obtain a PBAC recommendation; cancer medicines with no MSAC submission required an average 2.03 PBAC submissions. Cancer medicines with an associated MSAC submission also took longer, on average, to be listed on the PBS after registration (1,493 days versus 717 days). The authors advised caution with respect to the interpretation of results, “given the inclusion of some medicines with a complex history” (Tran et al., 2019, p. S505).</w:t>
      </w:r>
    </w:p>
    <w:p w14:paraId="70E6A9B5" w14:textId="6612005D" w:rsidR="002D5835" w:rsidRPr="00221992" w:rsidRDefault="00DE5481" w:rsidP="002D5835">
      <w:pPr>
        <w:rPr>
          <w:lang w:val="en-GB"/>
        </w:rPr>
      </w:pPr>
      <w:r w:rsidRPr="00221992">
        <w:rPr>
          <w:lang w:val="en-GB"/>
        </w:rPr>
        <w:t xml:space="preserve">The synchronisation of reimbursement decisions for medicines and co-dependent tests is not supported by many current reimbursement policies in Europe, due to historically discordant pathways for reimbursement decision-making between co-dependent tests and medicines. In Canada, co-dependent technologies often go through separate regulatory and reimbursement pathways. Some regulatory processes are federal, while others—such as lab-developed diagnostic tests and services—have provincial oversight. Similarly, reimbursement may be at the provincial, regional health authority or hospital level, depending on the technology and jurisdiction. </w:t>
      </w:r>
      <w:r w:rsidR="00406FAF" w:rsidRPr="00221992">
        <w:rPr>
          <w:lang w:val="en-GB"/>
        </w:rPr>
        <w:t>S</w:t>
      </w:r>
      <w:r w:rsidRPr="00221992">
        <w:rPr>
          <w:lang w:val="en-GB"/>
        </w:rPr>
        <w:t>ystem fragmentation lead</w:t>
      </w:r>
      <w:r w:rsidR="00406FAF" w:rsidRPr="00221992">
        <w:rPr>
          <w:lang w:val="en-GB"/>
        </w:rPr>
        <w:t>s</w:t>
      </w:r>
      <w:r w:rsidRPr="00221992">
        <w:rPr>
          <w:lang w:val="en-GB"/>
        </w:rPr>
        <w:t xml:space="preserve"> to challenges in the funding and reimbursement of precision medicine technologies, and new evaluative approaches will be needed to help balance the need for evaluation and timely access for patients.</w:t>
      </w:r>
    </w:p>
    <w:p w14:paraId="55DA5A68" w14:textId="60DC2E6D" w:rsidR="008148E5" w:rsidRPr="00221992" w:rsidRDefault="00CB35DE" w:rsidP="008148E5">
      <w:pPr>
        <w:rPr>
          <w:lang w:val="en-GB"/>
        </w:rPr>
      </w:pPr>
      <w:r w:rsidRPr="00221992">
        <w:rPr>
          <w:lang w:val="en-GB"/>
        </w:rPr>
        <w:t xml:space="preserve">A review of </w:t>
      </w:r>
      <w:r w:rsidR="0056318E" w:rsidRPr="00221992">
        <w:rPr>
          <w:lang w:val="en-GB"/>
        </w:rPr>
        <w:t xml:space="preserve">the outcome of co-dependent submissions made to </w:t>
      </w:r>
      <w:r w:rsidR="008148E5" w:rsidRPr="00221992">
        <w:rPr>
          <w:lang w:val="en-GB"/>
        </w:rPr>
        <w:t>Australia and nine peer countries found the inclusion or exclusion of companion diagnostic characteristics in economic models seemed to have minimal impact on the final decisions made; no recommendations were found to be conditional on the use of a companion diagnostic product. Non-recommendations and deferred recommendations were not attributed to companion diagnostic testing inclusion or exclusion criteria, but rather uncertainties in survival estimates in cost-effectiveness models, high ICERs, and insufficient evidence. The authors concluded that neither the decision to recommend a treatment nor the time from regulatory approval to decision were impacted by specific companion diagnostic characteristics in cost-effectiveness models of targeted therapies.</w:t>
      </w:r>
    </w:p>
    <w:p w14:paraId="4BF8C27C" w14:textId="3DEF756A" w:rsidR="009B3E6D" w:rsidRPr="00221992" w:rsidRDefault="00287AB9" w:rsidP="00287AB9">
      <w:pPr>
        <w:rPr>
          <w:lang w:val="en-GB"/>
        </w:rPr>
      </w:pPr>
      <w:r w:rsidRPr="00221992">
        <w:rPr>
          <w:lang w:val="en-GB"/>
        </w:rPr>
        <w:t>Australia</w:t>
      </w:r>
      <w:r w:rsidR="00551786">
        <w:rPr>
          <w:lang w:val="en-GB"/>
        </w:rPr>
        <w:t>’</w:t>
      </w:r>
      <w:r w:rsidRPr="00221992">
        <w:rPr>
          <w:lang w:val="en-GB"/>
        </w:rPr>
        <w:t xml:space="preserve">s approach to co-dependent technologies </w:t>
      </w:r>
      <w:r w:rsidR="00D364BA" w:rsidRPr="00221992">
        <w:rPr>
          <w:lang w:val="en-GB"/>
        </w:rPr>
        <w:t>is</w:t>
      </w:r>
      <w:r w:rsidRPr="00221992">
        <w:rPr>
          <w:lang w:val="en-GB"/>
        </w:rPr>
        <w:t xml:space="preserve"> consistent with international practices, and Australia</w:t>
      </w:r>
      <w:r w:rsidR="00551786">
        <w:rPr>
          <w:lang w:val="en-GB"/>
        </w:rPr>
        <w:t>’</w:t>
      </w:r>
      <w:r w:rsidRPr="00221992">
        <w:rPr>
          <w:lang w:val="en-GB"/>
        </w:rPr>
        <w:t xml:space="preserve">s ability to combine </w:t>
      </w:r>
      <w:r w:rsidR="00832356" w:rsidRPr="00221992">
        <w:rPr>
          <w:lang w:val="en-GB"/>
        </w:rPr>
        <w:t xml:space="preserve">the </w:t>
      </w:r>
      <w:r w:rsidRPr="00221992">
        <w:rPr>
          <w:lang w:val="en-GB"/>
        </w:rPr>
        <w:t xml:space="preserve">evaluation and funding of medicines and their companion testing in concert </w:t>
      </w:r>
      <w:r w:rsidR="005826CF" w:rsidRPr="00221992">
        <w:rPr>
          <w:lang w:val="en-GB"/>
        </w:rPr>
        <w:t>is the</w:t>
      </w:r>
      <w:r w:rsidRPr="00221992">
        <w:rPr>
          <w:lang w:val="en-GB"/>
        </w:rPr>
        <w:t xml:space="preserve"> preferred approach.</w:t>
      </w:r>
      <w:r w:rsidR="00806D56" w:rsidRPr="00221992">
        <w:rPr>
          <w:lang w:val="en-GB"/>
        </w:rPr>
        <w:t xml:space="preserve"> </w:t>
      </w:r>
      <w:r w:rsidR="00750F63" w:rsidRPr="00221992">
        <w:rPr>
          <w:lang w:val="en-GB"/>
        </w:rPr>
        <w:t xml:space="preserve">Evidence suggests that </w:t>
      </w:r>
      <w:r w:rsidR="00590947" w:rsidRPr="00221992">
        <w:rPr>
          <w:lang w:val="en-GB"/>
        </w:rPr>
        <w:t>HTA for</w:t>
      </w:r>
      <w:r w:rsidR="00806D56" w:rsidRPr="00221992">
        <w:rPr>
          <w:lang w:val="en-GB"/>
        </w:rPr>
        <w:t xml:space="preserve"> co-dependent </w:t>
      </w:r>
      <w:r w:rsidR="00590947" w:rsidRPr="00221992">
        <w:rPr>
          <w:lang w:val="en-GB"/>
        </w:rPr>
        <w:t>health technologies in Australia</w:t>
      </w:r>
      <w:r w:rsidR="00806D56" w:rsidRPr="00221992">
        <w:rPr>
          <w:lang w:val="en-GB"/>
        </w:rPr>
        <w:t xml:space="preserve"> </w:t>
      </w:r>
      <w:r w:rsidR="00590947" w:rsidRPr="00221992">
        <w:rPr>
          <w:lang w:val="en-GB"/>
        </w:rPr>
        <w:t>is</w:t>
      </w:r>
      <w:r w:rsidR="00806D56" w:rsidRPr="00221992">
        <w:rPr>
          <w:lang w:val="en-GB"/>
        </w:rPr>
        <w:t xml:space="preserve"> slow</w:t>
      </w:r>
      <w:r w:rsidR="00590947" w:rsidRPr="00221992">
        <w:rPr>
          <w:lang w:val="en-GB"/>
        </w:rPr>
        <w:t>er</w:t>
      </w:r>
      <w:r w:rsidR="00806D56" w:rsidRPr="00221992">
        <w:rPr>
          <w:lang w:val="en-GB"/>
        </w:rPr>
        <w:t xml:space="preserve"> </w:t>
      </w:r>
      <w:r w:rsidR="00590947" w:rsidRPr="00221992">
        <w:rPr>
          <w:lang w:val="en-GB"/>
        </w:rPr>
        <w:t>than</w:t>
      </w:r>
      <w:r w:rsidR="00806D56" w:rsidRPr="00221992">
        <w:rPr>
          <w:lang w:val="en-GB"/>
        </w:rPr>
        <w:t xml:space="preserve"> </w:t>
      </w:r>
      <w:r w:rsidR="00F964CE" w:rsidRPr="00221992">
        <w:rPr>
          <w:lang w:val="en-GB"/>
        </w:rPr>
        <w:t xml:space="preserve">that of </w:t>
      </w:r>
      <w:r w:rsidR="00806D56" w:rsidRPr="00221992">
        <w:rPr>
          <w:lang w:val="en-GB"/>
        </w:rPr>
        <w:t>standard PBAC submissions.</w:t>
      </w:r>
    </w:p>
    <w:p w14:paraId="629625DC" w14:textId="73003148" w:rsidR="000A42D9" w:rsidRPr="00221992" w:rsidRDefault="000A42D9" w:rsidP="0012257A">
      <w:pPr>
        <w:pStyle w:val="NbrHeading3"/>
        <w:rPr>
          <w:lang w:val="en-GB"/>
        </w:rPr>
      </w:pPr>
      <w:bookmarkStart w:id="15" w:name="_Toc162950854"/>
      <w:r w:rsidRPr="00221992">
        <w:rPr>
          <w:lang w:val="en-GB"/>
        </w:rPr>
        <w:t>Equity considerations in HTA</w:t>
      </w:r>
      <w:bookmarkEnd w:id="15"/>
    </w:p>
    <w:p w14:paraId="50046E0E" w14:textId="3C47C985" w:rsidR="009C59F8" w:rsidRPr="00221992" w:rsidRDefault="00C03575" w:rsidP="00957584">
      <w:pPr>
        <w:pStyle w:val="ListParagraph"/>
        <w:numPr>
          <w:ilvl w:val="0"/>
          <w:numId w:val="59"/>
        </w:numPr>
        <w:rPr>
          <w:lang w:val="en-GB"/>
        </w:rPr>
      </w:pPr>
      <w:r w:rsidRPr="00221992">
        <w:rPr>
          <w:lang w:val="en-GB"/>
        </w:rPr>
        <w:t>Approaches to equity</w:t>
      </w:r>
      <w:r w:rsidR="001651B6" w:rsidRPr="00221992">
        <w:rPr>
          <w:lang w:val="en-GB"/>
        </w:rPr>
        <w:t xml:space="preserve"> </w:t>
      </w:r>
      <w:r w:rsidR="00D722D0" w:rsidRPr="00221992">
        <w:rPr>
          <w:lang w:val="en-GB"/>
        </w:rPr>
        <w:t>in HTA var</w:t>
      </w:r>
      <w:r w:rsidR="009F136E" w:rsidRPr="00221992">
        <w:rPr>
          <w:lang w:val="en-GB"/>
        </w:rPr>
        <w:t>y</w:t>
      </w:r>
      <w:r w:rsidR="00D722D0" w:rsidRPr="00221992">
        <w:rPr>
          <w:lang w:val="en-GB"/>
        </w:rPr>
        <w:t xml:space="preserve"> widely </w:t>
      </w:r>
      <w:r w:rsidR="0028368E" w:rsidRPr="00221992">
        <w:rPr>
          <w:lang w:val="en-GB"/>
        </w:rPr>
        <w:t>across</w:t>
      </w:r>
      <w:r w:rsidR="00D722D0" w:rsidRPr="00221992">
        <w:rPr>
          <w:lang w:val="en-GB"/>
        </w:rPr>
        <w:t xml:space="preserve"> </w:t>
      </w:r>
      <w:r w:rsidR="003452E5" w:rsidRPr="00221992">
        <w:rPr>
          <w:lang w:val="en-GB"/>
        </w:rPr>
        <w:t xml:space="preserve">comparable </w:t>
      </w:r>
      <w:r w:rsidR="00D722D0" w:rsidRPr="00221992">
        <w:rPr>
          <w:lang w:val="en-GB"/>
        </w:rPr>
        <w:t>international contexts</w:t>
      </w:r>
      <w:r w:rsidRPr="00221992">
        <w:rPr>
          <w:lang w:val="en-GB"/>
        </w:rPr>
        <w:t>.</w:t>
      </w:r>
    </w:p>
    <w:p w14:paraId="71749D93" w14:textId="0D37F36C" w:rsidR="00B51371" w:rsidRPr="00221992" w:rsidRDefault="00491C0F" w:rsidP="00957584">
      <w:pPr>
        <w:pStyle w:val="ListParagraph"/>
        <w:numPr>
          <w:ilvl w:val="0"/>
          <w:numId w:val="59"/>
        </w:numPr>
        <w:rPr>
          <w:lang w:val="en-GB"/>
        </w:rPr>
      </w:pPr>
      <w:r w:rsidRPr="00221992">
        <w:rPr>
          <w:lang w:val="en-GB"/>
        </w:rPr>
        <w:t xml:space="preserve">Quantitative approaches </w:t>
      </w:r>
      <w:r w:rsidR="001B3E8F" w:rsidRPr="00221992">
        <w:rPr>
          <w:lang w:val="en-GB"/>
        </w:rPr>
        <w:t xml:space="preserve">to equity-informed </w:t>
      </w:r>
      <w:r w:rsidR="00594B87" w:rsidRPr="00221992">
        <w:rPr>
          <w:lang w:val="en-GB"/>
        </w:rPr>
        <w:t>appraisal</w:t>
      </w:r>
      <w:r w:rsidR="001B3E8F" w:rsidRPr="00221992">
        <w:rPr>
          <w:lang w:val="en-GB"/>
        </w:rPr>
        <w:t>, inclu</w:t>
      </w:r>
      <w:r w:rsidR="00594B87" w:rsidRPr="00221992">
        <w:rPr>
          <w:lang w:val="en-GB"/>
        </w:rPr>
        <w:t xml:space="preserve">ding use of </w:t>
      </w:r>
      <w:r w:rsidR="00344B6B" w:rsidRPr="00221992">
        <w:rPr>
          <w:lang w:val="en-GB"/>
        </w:rPr>
        <w:t xml:space="preserve">QALY </w:t>
      </w:r>
      <w:r w:rsidR="00594B87" w:rsidRPr="00221992">
        <w:rPr>
          <w:lang w:val="en-GB"/>
        </w:rPr>
        <w:t>weights</w:t>
      </w:r>
      <w:r w:rsidR="00344B6B" w:rsidRPr="00221992">
        <w:rPr>
          <w:lang w:val="en-GB"/>
        </w:rPr>
        <w:t xml:space="preserve"> and distributional cost-effectiveness analysis</w:t>
      </w:r>
      <w:r w:rsidR="004C03DC" w:rsidRPr="00221992">
        <w:rPr>
          <w:lang w:val="en-GB"/>
        </w:rPr>
        <w:t>,</w:t>
      </w:r>
      <w:r w:rsidR="00344B6B" w:rsidRPr="00221992">
        <w:rPr>
          <w:lang w:val="en-GB"/>
        </w:rPr>
        <w:t xml:space="preserve"> </w:t>
      </w:r>
      <w:r w:rsidR="00CF0B79" w:rsidRPr="00221992">
        <w:rPr>
          <w:lang w:val="en-GB"/>
        </w:rPr>
        <w:t>may</w:t>
      </w:r>
      <w:r w:rsidR="00B363C3" w:rsidRPr="00221992">
        <w:rPr>
          <w:lang w:val="en-GB"/>
        </w:rPr>
        <w:t xml:space="preserve"> </w:t>
      </w:r>
      <w:r w:rsidR="00C217CE" w:rsidRPr="00221992">
        <w:rPr>
          <w:lang w:val="en-GB"/>
        </w:rPr>
        <w:t xml:space="preserve">limit </w:t>
      </w:r>
      <w:r w:rsidR="00AB472E" w:rsidRPr="00221992">
        <w:rPr>
          <w:lang w:val="en-GB"/>
        </w:rPr>
        <w:t xml:space="preserve">flexibility in decision-making and </w:t>
      </w:r>
      <w:r w:rsidR="00E95792" w:rsidRPr="00221992">
        <w:rPr>
          <w:lang w:val="en-GB"/>
        </w:rPr>
        <w:t>ser</w:t>
      </w:r>
      <w:r w:rsidR="00CF0B79" w:rsidRPr="00221992">
        <w:rPr>
          <w:lang w:val="en-GB"/>
        </w:rPr>
        <w:t>ve to</w:t>
      </w:r>
      <w:r w:rsidR="00E95792" w:rsidRPr="00221992">
        <w:rPr>
          <w:lang w:val="en-GB"/>
        </w:rPr>
        <w:t xml:space="preserve"> </w:t>
      </w:r>
      <w:r w:rsidR="0087730A" w:rsidRPr="00221992">
        <w:rPr>
          <w:lang w:val="en-GB"/>
        </w:rPr>
        <w:t xml:space="preserve">undermine </w:t>
      </w:r>
      <w:r w:rsidR="00CF0B79" w:rsidRPr="00221992">
        <w:rPr>
          <w:lang w:val="en-GB"/>
        </w:rPr>
        <w:t xml:space="preserve">some </w:t>
      </w:r>
      <w:r w:rsidR="0087730A" w:rsidRPr="00221992">
        <w:rPr>
          <w:lang w:val="en-GB"/>
        </w:rPr>
        <w:t>equity objectives.</w:t>
      </w:r>
    </w:p>
    <w:p w14:paraId="20C38C0B" w14:textId="227BB0F1" w:rsidR="00FA3E73" w:rsidRPr="00221992" w:rsidRDefault="007539A9" w:rsidP="00957584">
      <w:pPr>
        <w:pStyle w:val="ListParagraph"/>
        <w:numPr>
          <w:ilvl w:val="0"/>
          <w:numId w:val="59"/>
        </w:numPr>
        <w:rPr>
          <w:lang w:val="en-GB"/>
        </w:rPr>
      </w:pPr>
      <w:r w:rsidRPr="00221992">
        <w:rPr>
          <w:lang w:val="en-GB"/>
        </w:rPr>
        <w:t xml:space="preserve">Stakeholders identified a number of ways in which HTA processes </w:t>
      </w:r>
      <w:r w:rsidR="005B150E" w:rsidRPr="00221992">
        <w:rPr>
          <w:lang w:val="en-GB"/>
        </w:rPr>
        <w:t>may</w:t>
      </w:r>
      <w:r w:rsidR="004B1EA4" w:rsidRPr="00221992">
        <w:rPr>
          <w:lang w:val="en-GB"/>
        </w:rPr>
        <w:t xml:space="preserve"> be</w:t>
      </w:r>
      <w:r w:rsidR="00494949" w:rsidRPr="00221992">
        <w:rPr>
          <w:lang w:val="en-GB"/>
        </w:rPr>
        <w:t xml:space="preserve"> </w:t>
      </w:r>
      <w:r w:rsidR="005B150E" w:rsidRPr="00221992">
        <w:rPr>
          <w:lang w:val="en-GB"/>
        </w:rPr>
        <w:t>altered</w:t>
      </w:r>
      <w:r w:rsidR="00494949" w:rsidRPr="00221992">
        <w:rPr>
          <w:lang w:val="en-GB"/>
        </w:rPr>
        <w:t xml:space="preserve"> to</w:t>
      </w:r>
      <w:r w:rsidR="004B1EA4" w:rsidRPr="00221992">
        <w:rPr>
          <w:lang w:val="en-GB"/>
        </w:rPr>
        <w:t xml:space="preserve"> promote health equity</w:t>
      </w:r>
      <w:r w:rsidR="0066750F" w:rsidRPr="00221992">
        <w:rPr>
          <w:lang w:val="en-GB"/>
        </w:rPr>
        <w:t xml:space="preserve"> </w:t>
      </w:r>
      <w:r w:rsidR="004B1EA4" w:rsidRPr="00221992">
        <w:rPr>
          <w:lang w:val="en-GB"/>
        </w:rPr>
        <w:t xml:space="preserve">among </w:t>
      </w:r>
      <w:r w:rsidR="0066750F" w:rsidRPr="00221992">
        <w:rPr>
          <w:lang w:val="en-GB"/>
        </w:rPr>
        <w:t>First Nations people</w:t>
      </w:r>
      <w:r w:rsidR="00B052DA" w:rsidRPr="00221992">
        <w:rPr>
          <w:lang w:val="en-GB"/>
        </w:rPr>
        <w:t xml:space="preserve"> in Australia</w:t>
      </w:r>
      <w:r w:rsidR="00605E99" w:rsidRPr="00221992">
        <w:rPr>
          <w:lang w:val="en-GB"/>
        </w:rPr>
        <w:t>.</w:t>
      </w:r>
    </w:p>
    <w:p w14:paraId="7E638A53" w14:textId="6E324CDD" w:rsidR="00A7280E" w:rsidRPr="00221992" w:rsidRDefault="00A7280E" w:rsidP="00A7280E">
      <w:pPr>
        <w:rPr>
          <w:lang w:val="en-GB"/>
        </w:rPr>
      </w:pPr>
      <w:r w:rsidRPr="00221992">
        <w:rPr>
          <w:lang w:val="en-GB"/>
        </w:rPr>
        <w:t>The World Health Organization defines health equity as the absence of unfair, avoidable or remediable differences among groups of people, whether those groups are defined socially, economically, demographically, or geographically or by other dimensions of inequality (e.g., sex, gender, ethnicity, disability, or sexual orientation). Notwithstanding common emphasis on equity in the articulation and design of health systems internationally, there is a lack of practical tools for the systematic consideration of equity in HTA</w:t>
      </w:r>
      <w:r w:rsidR="00D21A8D" w:rsidRPr="00221992">
        <w:rPr>
          <w:lang w:val="en-GB"/>
        </w:rPr>
        <w:t>, including in</w:t>
      </w:r>
      <w:r w:rsidR="005A168D" w:rsidRPr="00221992">
        <w:rPr>
          <w:lang w:val="en-GB"/>
        </w:rPr>
        <w:t xml:space="preserve"> systems for the </w:t>
      </w:r>
      <w:r w:rsidR="00D21A8D" w:rsidRPr="00221992">
        <w:rPr>
          <w:lang w:val="en-GB"/>
        </w:rPr>
        <w:t xml:space="preserve">pricing and </w:t>
      </w:r>
      <w:r w:rsidR="005A168D" w:rsidRPr="00221992">
        <w:rPr>
          <w:lang w:val="en-GB"/>
        </w:rPr>
        <w:t>purchase/reimbursement of health technologies</w:t>
      </w:r>
      <w:r w:rsidRPr="00221992">
        <w:rPr>
          <w:lang w:val="en-GB"/>
        </w:rPr>
        <w:t>. Inclusion of equity in HTA decision-making is informed by countries</w:t>
      </w:r>
      <w:r w:rsidR="00551786">
        <w:rPr>
          <w:lang w:val="en-GB"/>
        </w:rPr>
        <w:t>’</w:t>
      </w:r>
      <w:r w:rsidRPr="00221992">
        <w:rPr>
          <w:lang w:val="en-GB"/>
        </w:rPr>
        <w:t xml:space="preserve"> underlying social ethos and legislative principles, and requires normative judgements about what is socially desirable and politically and economically feasible. HTA frameworks </w:t>
      </w:r>
      <w:r w:rsidR="00EA5146" w:rsidRPr="00221992">
        <w:rPr>
          <w:lang w:val="en-GB"/>
        </w:rPr>
        <w:t>are</w:t>
      </w:r>
      <w:r w:rsidRPr="00221992">
        <w:rPr>
          <w:lang w:val="en-GB"/>
        </w:rPr>
        <w:t xml:space="preserve"> also informed by overarching equity priorities laid out in health legislation and policy.</w:t>
      </w:r>
    </w:p>
    <w:p w14:paraId="0A9B4CC2" w14:textId="7B02BA53" w:rsidR="003E15AE" w:rsidRPr="00221992" w:rsidRDefault="00A7280E" w:rsidP="00D64A88">
      <w:pPr>
        <w:rPr>
          <w:lang w:val="en-GB"/>
        </w:rPr>
      </w:pPr>
      <w:r w:rsidRPr="00221992">
        <w:rPr>
          <w:lang w:val="en-GB"/>
        </w:rPr>
        <w:t>I</w:t>
      </w:r>
      <w:r w:rsidR="00BB0442" w:rsidRPr="00221992">
        <w:rPr>
          <w:lang w:val="en-GB"/>
        </w:rPr>
        <w:t>n Australia, t</w:t>
      </w:r>
      <w:r w:rsidR="00D64A88" w:rsidRPr="00221992">
        <w:rPr>
          <w:lang w:val="en-GB"/>
        </w:rPr>
        <w:t xml:space="preserve">he promotion of </w:t>
      </w:r>
      <w:r w:rsidR="0077548A" w:rsidRPr="00221992">
        <w:rPr>
          <w:lang w:val="en-GB"/>
        </w:rPr>
        <w:t>health equity</w:t>
      </w:r>
      <w:r w:rsidR="00D64A88" w:rsidRPr="00221992">
        <w:rPr>
          <w:lang w:val="en-GB"/>
        </w:rPr>
        <w:t xml:space="preserve"> is expressly laid out as a key pillar of </w:t>
      </w:r>
      <w:r w:rsidR="00BB0442" w:rsidRPr="00221992">
        <w:rPr>
          <w:lang w:val="en-GB"/>
        </w:rPr>
        <w:t>the</w:t>
      </w:r>
      <w:r w:rsidR="00D64A88" w:rsidRPr="00221992">
        <w:rPr>
          <w:lang w:val="en-GB"/>
        </w:rPr>
        <w:t xml:space="preserve"> National Medicines Policy (NMP), which defines equity as access for all Australians to safe, effective and high-quality medicines, culturally appropriate medicines-related services and medicines-related information irrespective of diversity, background, age, disability, location or personal circumstance. </w:t>
      </w:r>
      <w:r w:rsidR="001C42D4" w:rsidRPr="00221992">
        <w:rPr>
          <w:lang w:val="en-GB"/>
        </w:rPr>
        <w:t xml:space="preserve">The NMP, among other </w:t>
      </w:r>
      <w:r w:rsidR="00856B82" w:rsidRPr="00221992">
        <w:rPr>
          <w:lang w:val="en-GB"/>
        </w:rPr>
        <w:t xml:space="preserve">legislation and </w:t>
      </w:r>
      <w:r w:rsidR="005463CC" w:rsidRPr="00221992">
        <w:rPr>
          <w:lang w:val="en-GB"/>
        </w:rPr>
        <w:t xml:space="preserve">policy instruments, </w:t>
      </w:r>
      <w:r w:rsidR="00701C2B" w:rsidRPr="00221992">
        <w:rPr>
          <w:lang w:val="en-GB"/>
        </w:rPr>
        <w:t xml:space="preserve">informs priority setting </w:t>
      </w:r>
      <w:r w:rsidR="00204BC4" w:rsidRPr="00221992">
        <w:rPr>
          <w:lang w:val="en-GB"/>
        </w:rPr>
        <w:t xml:space="preserve">by the </w:t>
      </w:r>
      <w:r w:rsidR="006416A5">
        <w:rPr>
          <w:lang w:val="en-GB"/>
        </w:rPr>
        <w:t>PBAC and MSAC</w:t>
      </w:r>
      <w:r w:rsidR="00716D3C" w:rsidRPr="00221992">
        <w:rPr>
          <w:lang w:val="en-GB"/>
        </w:rPr>
        <w:t xml:space="preserve"> with respect to ensuring that </w:t>
      </w:r>
      <w:r w:rsidR="009E17F7" w:rsidRPr="00221992">
        <w:rPr>
          <w:lang w:val="en-GB"/>
        </w:rPr>
        <w:t xml:space="preserve">the reimbursement of </w:t>
      </w:r>
      <w:r w:rsidR="00254FDF" w:rsidRPr="00221992">
        <w:rPr>
          <w:lang w:val="en-GB"/>
        </w:rPr>
        <w:t xml:space="preserve">health technologies by the Commonwealth promotes </w:t>
      </w:r>
      <w:r w:rsidR="00F33F96" w:rsidRPr="00221992">
        <w:rPr>
          <w:lang w:val="en-GB"/>
        </w:rPr>
        <w:t>equity and adheres to the country</w:t>
      </w:r>
      <w:r w:rsidR="00551786">
        <w:rPr>
          <w:lang w:val="en-GB"/>
        </w:rPr>
        <w:t>’</w:t>
      </w:r>
      <w:r w:rsidR="00F33F96" w:rsidRPr="00221992">
        <w:rPr>
          <w:lang w:val="en-GB"/>
        </w:rPr>
        <w:t xml:space="preserve">s legal </w:t>
      </w:r>
      <w:r w:rsidR="00953797" w:rsidRPr="00221992">
        <w:rPr>
          <w:lang w:val="en-GB"/>
        </w:rPr>
        <w:t>obligations</w:t>
      </w:r>
      <w:r w:rsidR="00186B3B" w:rsidRPr="00221992">
        <w:rPr>
          <w:lang w:val="en-GB"/>
        </w:rPr>
        <w:t>.</w:t>
      </w:r>
      <w:r w:rsidR="00F33F96" w:rsidRPr="00221992">
        <w:rPr>
          <w:lang w:val="en-GB"/>
        </w:rPr>
        <w:t xml:space="preserve"> </w:t>
      </w:r>
    </w:p>
    <w:p w14:paraId="146F83C3" w14:textId="72D5017C" w:rsidR="00D64A88" w:rsidRPr="00221992" w:rsidRDefault="00D64A88" w:rsidP="003E15AE">
      <w:pPr>
        <w:rPr>
          <w:lang w:val="en-GB"/>
        </w:rPr>
      </w:pPr>
      <w:r w:rsidRPr="00221992">
        <w:rPr>
          <w:lang w:val="en-GB"/>
        </w:rPr>
        <w:t>Internationally, there is marked heterogeneity in how ethical principles are incorporated within individual countries</w:t>
      </w:r>
      <w:r w:rsidR="00551786">
        <w:rPr>
          <w:lang w:val="en-GB"/>
        </w:rPr>
        <w:t>’</w:t>
      </w:r>
      <w:r w:rsidRPr="00221992">
        <w:rPr>
          <w:lang w:val="en-GB"/>
        </w:rPr>
        <w:t xml:space="preserve"> legislated approaches to HTA decision-making. In the main, equity </w:t>
      </w:r>
      <w:r w:rsidR="00CD3350" w:rsidRPr="00221992">
        <w:rPr>
          <w:lang w:val="en-GB"/>
        </w:rPr>
        <w:t>has</w:t>
      </w:r>
      <w:r w:rsidRPr="00221992">
        <w:rPr>
          <w:lang w:val="en-GB"/>
        </w:rPr>
        <w:t xml:space="preserve"> been considered either methodologically—within frameworks for the assessment of cost-effectiveness (e.g., via the application of prescribed weights)—or through bypassing standard HTA processes altogether </w:t>
      </w:r>
      <w:r w:rsidR="00874A8F" w:rsidRPr="00221992">
        <w:rPr>
          <w:lang w:val="en-GB"/>
        </w:rPr>
        <w:t xml:space="preserve">(e.g., </w:t>
      </w:r>
      <w:r w:rsidRPr="00221992">
        <w:rPr>
          <w:lang w:val="en-GB"/>
        </w:rPr>
        <w:t>via special pathways for reimbursement not based on technologies</w:t>
      </w:r>
      <w:r w:rsidR="00551786">
        <w:rPr>
          <w:lang w:val="en-GB"/>
        </w:rPr>
        <w:t>’</w:t>
      </w:r>
      <w:r w:rsidRPr="00221992">
        <w:rPr>
          <w:lang w:val="en-GB"/>
        </w:rPr>
        <w:t xml:space="preserve"> estimated cost-effectiveness</w:t>
      </w:r>
      <w:r w:rsidR="005A3693" w:rsidRPr="00221992">
        <w:rPr>
          <w:lang w:val="en-GB"/>
        </w:rPr>
        <w:t>).</w:t>
      </w:r>
      <w:r w:rsidRPr="00221992">
        <w:rPr>
          <w:lang w:val="en-GB"/>
        </w:rPr>
        <w:t xml:space="preserve"> While quantitative assessment can assist in making the health equity impacts of funding decisions explicit and shed light on such considerations in HTA deliberative processes, experts caution that flexibility is pivotal, and that </w:t>
      </w:r>
      <w:r w:rsidR="00793285" w:rsidRPr="00221992">
        <w:rPr>
          <w:lang w:val="en-GB"/>
        </w:rPr>
        <w:t xml:space="preserve">quantitative forms of </w:t>
      </w:r>
      <w:r w:rsidRPr="00221992">
        <w:rPr>
          <w:lang w:val="en-GB"/>
        </w:rPr>
        <w:t xml:space="preserve">equity-informed economic evaluation should </w:t>
      </w:r>
      <w:r w:rsidR="00E65237" w:rsidRPr="00221992">
        <w:rPr>
          <w:lang w:val="en-GB"/>
        </w:rPr>
        <w:t xml:space="preserve">not </w:t>
      </w:r>
      <w:r w:rsidRPr="00221992">
        <w:rPr>
          <w:lang w:val="en-GB"/>
        </w:rPr>
        <w:t>be used as an algorithm for decision-making.</w:t>
      </w:r>
    </w:p>
    <w:p w14:paraId="151E826B" w14:textId="003458D6" w:rsidR="00D64A88" w:rsidRPr="00221992" w:rsidRDefault="00D64A88" w:rsidP="00D64A88">
      <w:pPr>
        <w:rPr>
          <w:color w:val="000000" w:themeColor="text1"/>
          <w:lang w:val="en-GB"/>
        </w:rPr>
      </w:pPr>
      <w:r w:rsidRPr="00221992">
        <w:rPr>
          <w:lang w:val="en-GB"/>
        </w:rPr>
        <w:t xml:space="preserve">With respect to First Nations Health in Australia, a number of legislative and policy frameworks </w:t>
      </w:r>
      <w:r w:rsidR="001F2042" w:rsidRPr="00221992">
        <w:rPr>
          <w:lang w:val="en-GB"/>
        </w:rPr>
        <w:t>promote</w:t>
      </w:r>
      <w:r w:rsidRPr="00221992">
        <w:rPr>
          <w:lang w:val="en-GB"/>
        </w:rPr>
        <w:t xml:space="preserve"> </w:t>
      </w:r>
      <w:r w:rsidR="00B51472" w:rsidRPr="00221992">
        <w:rPr>
          <w:lang w:val="en-GB"/>
        </w:rPr>
        <w:t>an emph</w:t>
      </w:r>
      <w:r w:rsidR="00C4560F" w:rsidRPr="00221992">
        <w:rPr>
          <w:lang w:val="en-GB"/>
        </w:rPr>
        <w:t xml:space="preserve">asis on </w:t>
      </w:r>
      <w:r w:rsidR="00840F7C" w:rsidRPr="00221992">
        <w:rPr>
          <w:lang w:val="en-GB"/>
        </w:rPr>
        <w:t>centring</w:t>
      </w:r>
      <w:r w:rsidRPr="00221992">
        <w:rPr>
          <w:lang w:val="en-GB"/>
        </w:rPr>
        <w:t xml:space="preserve"> Aboriginal and Torres Strait Islander health outcomes in HTA. The PBS lists 25 medications (covering 44 specific restrictions) and a number of vaccines for Aboriginal and Torres Strait Islander people, and a suite of Government programs—including the Closing the Gap (CTG) PBS Co-payment Program and Remote Area Aboriginal Health Services (RAAHS)—aim to reduce financial barriers and enhance access to medicines for First Nations people at the point of service. </w:t>
      </w:r>
      <w:r w:rsidRPr="00221992">
        <w:rPr>
          <w:color w:val="000000" w:themeColor="text1"/>
          <w:lang w:val="en-GB"/>
        </w:rPr>
        <w:t>In its stakeholder submission to the HTA Review, the National Aboriginal Community Controlled Health Organisation (NACCHO) identified a number of structural obstacles at play in Australia</w:t>
      </w:r>
      <w:r w:rsidR="00551786">
        <w:rPr>
          <w:color w:val="000000" w:themeColor="text1"/>
          <w:lang w:val="en-GB"/>
        </w:rPr>
        <w:t>’</w:t>
      </w:r>
      <w:r w:rsidRPr="00221992">
        <w:rPr>
          <w:color w:val="000000" w:themeColor="text1"/>
          <w:lang w:val="en-GB"/>
        </w:rPr>
        <w:t>s HTA system, including a failure to list identified priority medicines on the PBS, the delisting of drugs currently free to consumers through CTG arrangements, drawn-out price negotiations, a lack of First Nations community consultation, and limited opportunities for non-commercial sponsorship of applications to the PBAC/MSAC, among others. NACCHO</w:t>
      </w:r>
      <w:r w:rsidR="00551786">
        <w:rPr>
          <w:color w:val="000000" w:themeColor="text1"/>
          <w:lang w:val="en-GB"/>
        </w:rPr>
        <w:t>’</w:t>
      </w:r>
      <w:r w:rsidRPr="00221992">
        <w:rPr>
          <w:color w:val="000000" w:themeColor="text1"/>
          <w:lang w:val="en-GB"/>
        </w:rPr>
        <w:t>s enumerated recommendations to the Review included:</w:t>
      </w:r>
    </w:p>
    <w:p w14:paraId="4E7E0DA6" w14:textId="77777777" w:rsidR="00D64A88" w:rsidRPr="00221992" w:rsidRDefault="00D64A88" w:rsidP="00957584">
      <w:pPr>
        <w:pStyle w:val="ListParagraph"/>
        <w:numPr>
          <w:ilvl w:val="0"/>
          <w:numId w:val="53"/>
        </w:numPr>
        <w:rPr>
          <w:lang w:val="en-GB"/>
        </w:rPr>
      </w:pPr>
      <w:r w:rsidRPr="00221992">
        <w:rPr>
          <w:lang w:val="en-GB"/>
        </w:rPr>
        <w:t>Automatic or streamlined PBS listing approval of equivalent medications that have received s19A approval;</w:t>
      </w:r>
    </w:p>
    <w:p w14:paraId="54DE7DC8" w14:textId="77777777" w:rsidR="00D64A88" w:rsidRPr="00221992" w:rsidRDefault="00D64A88" w:rsidP="00957584">
      <w:pPr>
        <w:pStyle w:val="ListParagraph"/>
        <w:numPr>
          <w:ilvl w:val="0"/>
          <w:numId w:val="53"/>
        </w:numPr>
        <w:rPr>
          <w:lang w:val="en-GB"/>
        </w:rPr>
      </w:pPr>
      <w:r w:rsidRPr="00221992">
        <w:rPr>
          <w:lang w:val="en-GB"/>
        </w:rPr>
        <w:t>Greater consideration of equity in HTA processes, including greater PBAC and Government flexibility in novel and niche medicines (e.g., more Department-led/NACCHO-supported PBAC submissions);</w:t>
      </w:r>
    </w:p>
    <w:p w14:paraId="768C51BF" w14:textId="77777777" w:rsidR="00D64A88" w:rsidRPr="00221992" w:rsidRDefault="00D64A88" w:rsidP="00957584">
      <w:pPr>
        <w:pStyle w:val="ListParagraph"/>
        <w:numPr>
          <w:ilvl w:val="0"/>
          <w:numId w:val="53"/>
        </w:numPr>
        <w:rPr>
          <w:lang w:val="en-GB"/>
        </w:rPr>
      </w:pPr>
      <w:r w:rsidRPr="00221992">
        <w:rPr>
          <w:lang w:val="en-GB"/>
        </w:rPr>
        <w:t>Increased transparency and probity of committees and sub-committees and robust sector consultation;</w:t>
      </w:r>
    </w:p>
    <w:p w14:paraId="00290267" w14:textId="77777777" w:rsidR="00D64A88" w:rsidRPr="00221992" w:rsidRDefault="00D64A88" w:rsidP="00957584">
      <w:pPr>
        <w:pStyle w:val="ListParagraph"/>
        <w:numPr>
          <w:ilvl w:val="0"/>
          <w:numId w:val="53"/>
        </w:numPr>
        <w:rPr>
          <w:lang w:val="en-GB"/>
        </w:rPr>
      </w:pPr>
      <w:r w:rsidRPr="00221992">
        <w:rPr>
          <w:lang w:val="en-GB"/>
        </w:rPr>
        <w:t>Early consultation with NACCHO to discern the potential impact of PBAC/MSAC submissions on Aboriginal and Torres Strait Islander people;</w:t>
      </w:r>
    </w:p>
    <w:p w14:paraId="404DE031" w14:textId="190F48FF" w:rsidR="00D64A88" w:rsidRPr="00221992" w:rsidRDefault="00D64A88" w:rsidP="00957584">
      <w:pPr>
        <w:pStyle w:val="ListParagraph"/>
        <w:numPr>
          <w:ilvl w:val="0"/>
          <w:numId w:val="53"/>
        </w:numPr>
        <w:rPr>
          <w:lang w:val="en-GB"/>
        </w:rPr>
      </w:pPr>
      <w:r w:rsidRPr="00221992">
        <w:rPr>
          <w:lang w:val="en-GB"/>
        </w:rPr>
        <w:t xml:space="preserve">Expedited provisional listing of therapies for Aboriginal and Torres Strait Islander people, to be informed by </w:t>
      </w:r>
      <w:r w:rsidR="00A663A6">
        <w:rPr>
          <w:lang w:val="en-GB"/>
        </w:rPr>
        <w:t>real world evidence (</w:t>
      </w:r>
      <w:r w:rsidRPr="00221992">
        <w:rPr>
          <w:lang w:val="en-GB"/>
        </w:rPr>
        <w:t>RWE</w:t>
      </w:r>
      <w:r w:rsidR="00A663A6">
        <w:rPr>
          <w:lang w:val="en-GB"/>
        </w:rPr>
        <w:t>)</w:t>
      </w:r>
      <w:r w:rsidRPr="00221992">
        <w:rPr>
          <w:lang w:val="en-GB"/>
        </w:rPr>
        <w:t>;</w:t>
      </w:r>
    </w:p>
    <w:p w14:paraId="069E892E" w14:textId="489A5BDB" w:rsidR="00D64A88" w:rsidRPr="00221992" w:rsidRDefault="00D64A88" w:rsidP="00957584">
      <w:pPr>
        <w:pStyle w:val="ListParagraph"/>
        <w:numPr>
          <w:ilvl w:val="0"/>
          <w:numId w:val="53"/>
        </w:numPr>
        <w:rPr>
          <w:lang w:val="en-GB"/>
        </w:rPr>
      </w:pPr>
      <w:r w:rsidRPr="00221992">
        <w:rPr>
          <w:lang w:val="en-GB"/>
        </w:rPr>
        <w:t>Increased clarity and visibility of PBS medications to be de-listed, consideration of impact on priority populations as a de-listing criterion, engagement of impacted communities as part of decision</w:t>
      </w:r>
      <w:r w:rsidR="00D158BA">
        <w:rPr>
          <w:lang w:val="en-GB"/>
        </w:rPr>
        <w:t>-</w:t>
      </w:r>
      <w:r w:rsidRPr="00221992">
        <w:rPr>
          <w:lang w:val="en-GB"/>
        </w:rPr>
        <w:t>making process</w:t>
      </w:r>
      <w:r w:rsidR="00D158BA">
        <w:rPr>
          <w:lang w:val="en-GB"/>
        </w:rPr>
        <w:t>es</w:t>
      </w:r>
      <w:r w:rsidRPr="00221992">
        <w:rPr>
          <w:lang w:val="en-GB"/>
        </w:rPr>
        <w:t>, and measures to ensure ongoing access where there is a clinical need for priority population groups;</w:t>
      </w:r>
    </w:p>
    <w:p w14:paraId="0B014F41" w14:textId="77777777" w:rsidR="00D64A88" w:rsidRPr="00221992" w:rsidRDefault="00D64A88" w:rsidP="00957584">
      <w:pPr>
        <w:pStyle w:val="ListParagraph"/>
        <w:numPr>
          <w:ilvl w:val="0"/>
          <w:numId w:val="53"/>
        </w:numPr>
        <w:rPr>
          <w:lang w:val="en-GB"/>
        </w:rPr>
      </w:pPr>
      <w:r w:rsidRPr="00221992">
        <w:rPr>
          <w:lang w:val="en-GB"/>
        </w:rPr>
        <w:t>Involvement of service providers, peak bodies and stakeholders as part of price negotiations;</w:t>
      </w:r>
    </w:p>
    <w:p w14:paraId="4C4A242A" w14:textId="77777777" w:rsidR="00D64A88" w:rsidRPr="00221992" w:rsidRDefault="00D64A88" w:rsidP="00957584">
      <w:pPr>
        <w:pStyle w:val="ListParagraph"/>
        <w:numPr>
          <w:ilvl w:val="0"/>
          <w:numId w:val="53"/>
        </w:numPr>
        <w:rPr>
          <w:lang w:val="en-GB"/>
        </w:rPr>
      </w:pPr>
      <w:r w:rsidRPr="00221992">
        <w:rPr>
          <w:lang w:val="en-GB"/>
        </w:rPr>
        <w:t>Provision of preferential access to life saving and essential ongoing medications for Aboriginal and Torres Strait Islander people;</w:t>
      </w:r>
    </w:p>
    <w:p w14:paraId="535A37E6" w14:textId="77777777" w:rsidR="00D64A88" w:rsidRPr="00221992" w:rsidRDefault="00D64A88" w:rsidP="00957584">
      <w:pPr>
        <w:pStyle w:val="ListParagraph"/>
        <w:numPr>
          <w:ilvl w:val="0"/>
          <w:numId w:val="53"/>
        </w:numPr>
        <w:rPr>
          <w:lang w:val="en-GB"/>
        </w:rPr>
      </w:pPr>
      <w:r w:rsidRPr="00221992">
        <w:rPr>
          <w:lang w:val="en-GB"/>
        </w:rPr>
        <w:t>Initiation of a commissioning approach (i.e., in lieu of a sponsor-driven approach) for medicines with an identified need;</w:t>
      </w:r>
    </w:p>
    <w:p w14:paraId="471F47D3" w14:textId="77777777" w:rsidR="00D64A88" w:rsidRPr="00221992" w:rsidRDefault="00D64A88" w:rsidP="00957584">
      <w:pPr>
        <w:pStyle w:val="ListParagraph"/>
        <w:numPr>
          <w:ilvl w:val="0"/>
          <w:numId w:val="53"/>
        </w:numPr>
        <w:rPr>
          <w:lang w:val="en-GB"/>
        </w:rPr>
      </w:pPr>
      <w:r w:rsidRPr="00221992">
        <w:rPr>
          <w:lang w:val="en-GB"/>
        </w:rPr>
        <w:t>Increased PBAC executive decision-making powers to include consideration of requests with a clear benefit to community.</w:t>
      </w:r>
    </w:p>
    <w:p w14:paraId="16133841" w14:textId="218878D6" w:rsidR="00D64A88" w:rsidRPr="00221992" w:rsidRDefault="00D64A88" w:rsidP="00D64A88">
      <w:pPr>
        <w:rPr>
          <w:lang w:val="en-GB"/>
        </w:rPr>
      </w:pPr>
      <w:r w:rsidRPr="00221992">
        <w:rPr>
          <w:lang w:val="en-GB"/>
        </w:rPr>
        <w:t xml:space="preserve">Regarding consumer engagement in HTA, </w:t>
      </w:r>
      <w:r w:rsidR="00A0565D" w:rsidRPr="00221992">
        <w:rPr>
          <w:lang w:val="en-GB"/>
        </w:rPr>
        <w:t xml:space="preserve">the </w:t>
      </w:r>
      <w:r w:rsidRPr="00221992">
        <w:rPr>
          <w:lang w:val="en-GB"/>
        </w:rPr>
        <w:t xml:space="preserve">inclusion of patients, clinicians and community members within HTA decision-making processes has been recognised as contributing to democratic, technocratic, scientific and instrumental goals. Specifically, consumer engagement has been reported to provide critical insights to address gaps in the evidence, and information about local </w:t>
      </w:r>
      <w:r w:rsidR="007D468F" w:rsidRPr="00221992">
        <w:rPr>
          <w:lang w:val="en-GB"/>
        </w:rPr>
        <w:t xml:space="preserve">health </w:t>
      </w:r>
      <w:r w:rsidRPr="00221992">
        <w:rPr>
          <w:lang w:val="en-GB"/>
        </w:rPr>
        <w:t xml:space="preserve">settings gained from </w:t>
      </w:r>
      <w:r w:rsidR="00346923" w:rsidRPr="00221992">
        <w:rPr>
          <w:lang w:val="en-GB"/>
        </w:rPr>
        <w:t xml:space="preserve">the </w:t>
      </w:r>
      <w:r w:rsidRPr="00221992">
        <w:rPr>
          <w:lang w:val="en-GB"/>
        </w:rPr>
        <w:t>lived experience of disease. A number of countries have formally incorporated consumer/community representation in HTA processes, though researchers maintain that consumer engagement in HTA has historically lacked consistency and transparency. An emerging body of research is working to articulate best-practice design, implementation and evaluation, including the need to empower consumer representatives to appropriately navigate interactions with the commercial sector.</w:t>
      </w:r>
    </w:p>
    <w:p w14:paraId="53670DDD" w14:textId="2F5F97F9" w:rsidR="00D64A88" w:rsidRPr="00221992" w:rsidRDefault="00D64A88" w:rsidP="00AC13A4">
      <w:pPr>
        <w:rPr>
          <w:lang w:val="en-GB"/>
        </w:rPr>
      </w:pPr>
      <w:r w:rsidRPr="00221992">
        <w:rPr>
          <w:lang w:val="en-GB"/>
        </w:rPr>
        <w:t>Finally, research suggests that it is critical to make explicit the frameworks that inform considerations of equity in HTA. A clear articulation of relevant underlying drivers ensures that equity-informed assessment frameworks remain fit for purpose</w:t>
      </w:r>
      <w:r w:rsidR="00876F2D" w:rsidRPr="00221992">
        <w:rPr>
          <w:lang w:val="en-GB"/>
        </w:rPr>
        <w:t>—</w:t>
      </w:r>
      <w:r w:rsidRPr="00221992">
        <w:rPr>
          <w:lang w:val="en-GB"/>
        </w:rPr>
        <w:t xml:space="preserve">reflecting </w:t>
      </w:r>
      <w:r w:rsidR="00D601C1" w:rsidRPr="00221992">
        <w:rPr>
          <w:lang w:val="en-GB"/>
        </w:rPr>
        <w:t xml:space="preserve">national ethical principles, legislated obligations, </w:t>
      </w:r>
      <w:r w:rsidRPr="00221992">
        <w:rPr>
          <w:lang w:val="en-GB"/>
        </w:rPr>
        <w:t>evolving societal preferences</w:t>
      </w:r>
      <w:r w:rsidR="00D601C1" w:rsidRPr="00221992">
        <w:rPr>
          <w:lang w:val="en-GB"/>
        </w:rPr>
        <w:t>,</w:t>
      </w:r>
      <w:r w:rsidRPr="00221992">
        <w:rPr>
          <w:lang w:val="en-GB"/>
        </w:rPr>
        <w:t xml:space="preserve"> and the underlying determinants of health.</w:t>
      </w:r>
    </w:p>
    <w:p w14:paraId="687367D6" w14:textId="21A16BC7" w:rsidR="000A42D9" w:rsidRPr="00221992" w:rsidRDefault="000A42D9" w:rsidP="0012257A">
      <w:pPr>
        <w:pStyle w:val="NbrHeading3"/>
        <w:rPr>
          <w:lang w:val="en-GB"/>
        </w:rPr>
      </w:pPr>
      <w:bookmarkStart w:id="16" w:name="_Toc162950855"/>
      <w:r w:rsidRPr="00221992">
        <w:rPr>
          <w:lang w:val="en-GB"/>
        </w:rPr>
        <w:t>International approaches to rare disease in HTA</w:t>
      </w:r>
      <w:bookmarkEnd w:id="16"/>
    </w:p>
    <w:p w14:paraId="2175265D" w14:textId="42BC756E" w:rsidR="00B836CC" w:rsidRPr="00221992" w:rsidRDefault="003F282C" w:rsidP="00957584">
      <w:pPr>
        <w:pStyle w:val="ListParagraph"/>
        <w:numPr>
          <w:ilvl w:val="0"/>
          <w:numId w:val="61"/>
        </w:numPr>
        <w:rPr>
          <w:lang w:val="en-GB"/>
        </w:rPr>
      </w:pPr>
      <w:r w:rsidRPr="00221992">
        <w:rPr>
          <w:lang w:val="en-GB"/>
        </w:rPr>
        <w:t xml:space="preserve">All of the countries reviewed </w:t>
      </w:r>
      <w:r w:rsidR="00252007" w:rsidRPr="00221992">
        <w:rPr>
          <w:lang w:val="en-GB"/>
        </w:rPr>
        <w:t>have special considerations for therapies for rare/ultra-rare diseases</w:t>
      </w:r>
      <w:r w:rsidR="000A539F" w:rsidRPr="00221992">
        <w:rPr>
          <w:lang w:val="en-GB"/>
        </w:rPr>
        <w:t>, comprising either exceptions to standard HTA processes or separate pathway</w:t>
      </w:r>
      <w:r w:rsidR="00D2633E" w:rsidRPr="00221992">
        <w:rPr>
          <w:lang w:val="en-GB"/>
        </w:rPr>
        <w:t>s</w:t>
      </w:r>
      <w:r w:rsidR="000A539F" w:rsidRPr="00221992">
        <w:rPr>
          <w:lang w:val="en-GB"/>
        </w:rPr>
        <w:t xml:space="preserve"> altogether.</w:t>
      </w:r>
    </w:p>
    <w:p w14:paraId="7779FB1B" w14:textId="4B4B69C0" w:rsidR="008A5F06" w:rsidRPr="00221992" w:rsidRDefault="008A5F06" w:rsidP="00957584">
      <w:pPr>
        <w:pStyle w:val="ListParagraph"/>
        <w:numPr>
          <w:ilvl w:val="0"/>
          <w:numId w:val="61"/>
        </w:numPr>
        <w:rPr>
          <w:lang w:val="en-GB"/>
        </w:rPr>
      </w:pPr>
      <w:r w:rsidRPr="00221992">
        <w:rPr>
          <w:lang w:val="en-GB"/>
        </w:rPr>
        <w:t>England/Wales, Italy, the Netherlands, New Zealand, Scotland, Singapore and Taiwan all designate funds specifically for therapies for rare/ultra-rare diseases.</w:t>
      </w:r>
    </w:p>
    <w:p w14:paraId="2ABB1D35" w14:textId="3CC9B117" w:rsidR="008A5F06" w:rsidRPr="00221992" w:rsidRDefault="00174820" w:rsidP="00957584">
      <w:pPr>
        <w:pStyle w:val="ListParagraph"/>
        <w:numPr>
          <w:ilvl w:val="0"/>
          <w:numId w:val="61"/>
        </w:numPr>
        <w:rPr>
          <w:lang w:val="en-GB"/>
        </w:rPr>
      </w:pPr>
      <w:r w:rsidRPr="00221992">
        <w:rPr>
          <w:lang w:val="en-GB"/>
        </w:rPr>
        <w:t>Internationally, s</w:t>
      </w:r>
      <w:r w:rsidR="00B33A1F" w:rsidRPr="00221992">
        <w:rPr>
          <w:lang w:val="en-GB"/>
        </w:rPr>
        <w:t xml:space="preserve">pecial considerations for orphan drugs in HTA processes </w:t>
      </w:r>
      <w:r w:rsidRPr="00221992">
        <w:rPr>
          <w:lang w:val="en-GB"/>
        </w:rPr>
        <w:t xml:space="preserve">generally aim to </w:t>
      </w:r>
      <w:r w:rsidR="00B33A1F" w:rsidRPr="00221992">
        <w:rPr>
          <w:lang w:val="en-GB"/>
        </w:rPr>
        <w:t xml:space="preserve">address </w:t>
      </w:r>
      <w:r w:rsidR="009A7AC5" w:rsidRPr="00221992">
        <w:rPr>
          <w:lang w:val="en-GB"/>
        </w:rPr>
        <w:t xml:space="preserve">clinical and economic uncertainty, </w:t>
      </w:r>
      <w:r w:rsidR="000E4F8F" w:rsidRPr="00221992">
        <w:rPr>
          <w:lang w:val="en-GB"/>
        </w:rPr>
        <w:t>impacts</w:t>
      </w:r>
      <w:r w:rsidR="00E439AD" w:rsidRPr="00221992">
        <w:rPr>
          <w:lang w:val="en-GB"/>
        </w:rPr>
        <w:t xml:space="preserve"> beyond patient health and economic efficiency</w:t>
      </w:r>
      <w:r w:rsidR="000E4F8F" w:rsidRPr="00221992">
        <w:rPr>
          <w:lang w:val="en-GB"/>
        </w:rPr>
        <w:t xml:space="preserve">, </w:t>
      </w:r>
      <w:r w:rsidR="001600C9" w:rsidRPr="00221992">
        <w:rPr>
          <w:lang w:val="en-GB"/>
        </w:rPr>
        <w:t xml:space="preserve">enhanced </w:t>
      </w:r>
      <w:r w:rsidR="00324440" w:rsidRPr="00221992">
        <w:rPr>
          <w:lang w:val="en-GB"/>
        </w:rPr>
        <w:t>stakeholder engagement</w:t>
      </w:r>
      <w:r w:rsidR="00EB1368" w:rsidRPr="00221992">
        <w:rPr>
          <w:lang w:val="en-GB"/>
        </w:rPr>
        <w:t xml:space="preserve"> and expedited access</w:t>
      </w:r>
      <w:r w:rsidR="001B4CCC" w:rsidRPr="00221992">
        <w:rPr>
          <w:lang w:val="en-GB"/>
        </w:rPr>
        <w:t>.</w:t>
      </w:r>
    </w:p>
    <w:p w14:paraId="5FC7BC22" w14:textId="4BCDED18" w:rsidR="00A0762E" w:rsidRPr="00221992" w:rsidRDefault="004475EE" w:rsidP="00A0762E">
      <w:pPr>
        <w:rPr>
          <w:lang w:val="en-GB"/>
        </w:rPr>
      </w:pPr>
      <w:r w:rsidRPr="00221992">
        <w:rPr>
          <w:lang w:val="en-GB"/>
        </w:rPr>
        <w:t xml:space="preserve">Many </w:t>
      </w:r>
      <w:r w:rsidR="00671C72" w:rsidRPr="00221992">
        <w:rPr>
          <w:lang w:val="en-GB"/>
        </w:rPr>
        <w:t xml:space="preserve">national HTA systems </w:t>
      </w:r>
      <w:r w:rsidR="00B74856" w:rsidRPr="00221992">
        <w:rPr>
          <w:lang w:val="en-GB"/>
        </w:rPr>
        <w:t>specifically address</w:t>
      </w:r>
      <w:r w:rsidR="00A0762E" w:rsidRPr="00221992">
        <w:rPr>
          <w:lang w:val="en-GB"/>
        </w:rPr>
        <w:t xml:space="preserve"> </w:t>
      </w:r>
      <w:r w:rsidR="00B30124" w:rsidRPr="00221992">
        <w:rPr>
          <w:lang w:val="en-GB"/>
        </w:rPr>
        <w:t xml:space="preserve">rare and </w:t>
      </w:r>
      <w:r w:rsidR="00A0762E" w:rsidRPr="00221992">
        <w:rPr>
          <w:lang w:val="en-GB"/>
        </w:rPr>
        <w:t>ultra-rare disease</w:t>
      </w:r>
      <w:r w:rsidR="00B74856" w:rsidRPr="00221992">
        <w:rPr>
          <w:lang w:val="en-GB"/>
        </w:rPr>
        <w:t>s</w:t>
      </w:r>
      <w:r w:rsidR="00A0762E" w:rsidRPr="00221992">
        <w:rPr>
          <w:lang w:val="en-GB"/>
        </w:rPr>
        <w:t xml:space="preserve"> </w:t>
      </w:r>
      <w:r w:rsidR="001503CF" w:rsidRPr="00221992">
        <w:rPr>
          <w:lang w:val="en-GB"/>
        </w:rPr>
        <w:t>(</w:t>
      </w:r>
      <w:r w:rsidR="009C0E1D" w:rsidRPr="00221992">
        <w:rPr>
          <w:lang w:val="en-GB"/>
        </w:rPr>
        <w:t xml:space="preserve">the latter is </w:t>
      </w:r>
      <w:r w:rsidR="00A0762E" w:rsidRPr="00221992">
        <w:rPr>
          <w:lang w:val="en-GB"/>
        </w:rPr>
        <w:t>generally defined as &lt;1/50,000 people (i.e.</w:t>
      </w:r>
      <w:r w:rsidR="001503CF" w:rsidRPr="00221992">
        <w:rPr>
          <w:lang w:val="en-GB"/>
        </w:rPr>
        <w:t>,</w:t>
      </w:r>
      <w:r w:rsidR="00A0762E" w:rsidRPr="00221992">
        <w:rPr>
          <w:lang w:val="en-GB"/>
        </w:rPr>
        <w:t xml:space="preserve"> Australia, New Zealand, England/Wales and Scotland). Alongside the prevalence threshold, rare/ultra rare conditions are generally </w:t>
      </w:r>
      <w:r w:rsidR="00C312A6" w:rsidRPr="00221992">
        <w:rPr>
          <w:lang w:val="en-GB"/>
        </w:rPr>
        <w:t xml:space="preserve">understood to be </w:t>
      </w:r>
      <w:r w:rsidR="00A0762E" w:rsidRPr="00221992">
        <w:rPr>
          <w:lang w:val="en-GB"/>
        </w:rPr>
        <w:t>life-threatening or seriously debilitating conditions</w:t>
      </w:r>
      <w:r w:rsidR="007E783E" w:rsidRPr="00221992">
        <w:rPr>
          <w:lang w:val="en-GB"/>
        </w:rPr>
        <w:t xml:space="preserve"> </w:t>
      </w:r>
      <w:r w:rsidR="00383D06" w:rsidRPr="00221992">
        <w:rPr>
          <w:lang w:val="en-GB"/>
        </w:rPr>
        <w:t>that lack available</w:t>
      </w:r>
      <w:r w:rsidR="00A0762E" w:rsidRPr="00221992">
        <w:rPr>
          <w:lang w:val="en-GB"/>
        </w:rPr>
        <w:t xml:space="preserve"> treatment options</w:t>
      </w:r>
      <w:r w:rsidR="00B52DD4" w:rsidRPr="00221992">
        <w:rPr>
          <w:lang w:val="en-GB"/>
        </w:rPr>
        <w:t>,</w:t>
      </w:r>
      <w:r w:rsidR="00A0762E" w:rsidRPr="00221992">
        <w:rPr>
          <w:lang w:val="en-GB"/>
        </w:rPr>
        <w:t xml:space="preserve"> or </w:t>
      </w:r>
      <w:r w:rsidR="00B52DD4" w:rsidRPr="00221992">
        <w:rPr>
          <w:lang w:val="en-GB"/>
        </w:rPr>
        <w:t>for which</w:t>
      </w:r>
      <w:r w:rsidR="00A0762E" w:rsidRPr="00221992">
        <w:rPr>
          <w:lang w:val="en-GB"/>
        </w:rPr>
        <w:t xml:space="preserve"> </w:t>
      </w:r>
      <w:r w:rsidR="00B52DD4" w:rsidRPr="00221992">
        <w:rPr>
          <w:lang w:val="en-GB"/>
        </w:rPr>
        <w:t>a therapy</w:t>
      </w:r>
      <w:r w:rsidR="00FD65E5" w:rsidRPr="00221992">
        <w:rPr>
          <w:lang w:val="en-GB"/>
        </w:rPr>
        <w:t xml:space="preserve"> (i.e., orphan drug)</w:t>
      </w:r>
      <w:r w:rsidR="00A0762E" w:rsidRPr="00221992">
        <w:rPr>
          <w:lang w:val="en-GB"/>
        </w:rPr>
        <w:t xml:space="preserve"> provides significant benefit (efficacy/safety) compared to alternatives. </w:t>
      </w:r>
    </w:p>
    <w:p w14:paraId="0C894D41" w14:textId="68CF9F86" w:rsidR="00A0762E" w:rsidRPr="00221992" w:rsidRDefault="00A0762E" w:rsidP="00A0762E">
      <w:pPr>
        <w:rPr>
          <w:lang w:val="en-GB"/>
        </w:rPr>
      </w:pPr>
      <w:r w:rsidRPr="00221992">
        <w:rPr>
          <w:lang w:val="en-GB"/>
        </w:rPr>
        <w:t xml:space="preserve">Special considerations for rare diseases have been implemented by all </w:t>
      </w:r>
      <w:r w:rsidR="000B3152" w:rsidRPr="00221992">
        <w:rPr>
          <w:lang w:val="en-GB"/>
        </w:rPr>
        <w:t xml:space="preserve">of the countries </w:t>
      </w:r>
      <w:r w:rsidRPr="00221992">
        <w:rPr>
          <w:lang w:val="en-GB"/>
        </w:rPr>
        <w:t>reviewed. While some countries have separate access pathway</w:t>
      </w:r>
      <w:r w:rsidR="009F0ACB" w:rsidRPr="00221992">
        <w:rPr>
          <w:lang w:val="en-GB"/>
        </w:rPr>
        <w:t>s</w:t>
      </w:r>
      <w:r w:rsidRPr="00221992">
        <w:rPr>
          <w:lang w:val="en-GB"/>
        </w:rPr>
        <w:t xml:space="preserve">, others maintain their standard process but allow for exceptions. </w:t>
      </w:r>
      <w:r w:rsidR="00C15732">
        <w:rPr>
          <w:lang w:val="en-GB"/>
        </w:rPr>
        <w:t>In</w:t>
      </w:r>
      <w:r w:rsidRPr="00221992">
        <w:rPr>
          <w:lang w:val="en-GB"/>
        </w:rPr>
        <w:t xml:space="preserve"> addition to a separate or exception to the standard process, </w:t>
      </w:r>
      <w:r w:rsidR="00C15732">
        <w:rPr>
          <w:lang w:val="en-GB"/>
        </w:rPr>
        <w:t xml:space="preserve">most countries have </w:t>
      </w:r>
      <w:r w:rsidRPr="00221992">
        <w:rPr>
          <w:lang w:val="en-GB"/>
        </w:rPr>
        <w:t xml:space="preserve">alternative pathways </w:t>
      </w:r>
      <w:r w:rsidR="00C95EF2" w:rsidRPr="00221992">
        <w:rPr>
          <w:lang w:val="en-GB"/>
        </w:rPr>
        <w:t>to accommodate</w:t>
      </w:r>
      <w:r w:rsidRPr="00221992">
        <w:rPr>
          <w:lang w:val="en-GB"/>
        </w:rPr>
        <w:t xml:space="preserve"> exceptional circumstances</w:t>
      </w:r>
      <w:r w:rsidR="00C15732">
        <w:rPr>
          <w:lang w:val="en-GB"/>
        </w:rPr>
        <w:t xml:space="preserve"> that</w:t>
      </w:r>
      <w:r w:rsidR="00C0335D" w:rsidRPr="00221992">
        <w:rPr>
          <w:lang w:val="en-GB"/>
        </w:rPr>
        <w:t xml:space="preserve"> </w:t>
      </w:r>
      <w:r w:rsidR="00C95EF2" w:rsidRPr="00221992">
        <w:rPr>
          <w:lang w:val="en-GB"/>
        </w:rPr>
        <w:t>are</w:t>
      </w:r>
      <w:r w:rsidRPr="00221992">
        <w:rPr>
          <w:lang w:val="en-GB"/>
        </w:rPr>
        <w:t xml:space="preserve"> not necessarily exclusive </w:t>
      </w:r>
      <w:r w:rsidR="00C95EF2" w:rsidRPr="00221992">
        <w:rPr>
          <w:lang w:val="en-GB"/>
        </w:rPr>
        <w:t>to</w:t>
      </w:r>
      <w:r w:rsidRPr="00221992">
        <w:rPr>
          <w:lang w:val="en-GB"/>
        </w:rPr>
        <w:t xml:space="preserve"> rare diseases (i.e.</w:t>
      </w:r>
      <w:r w:rsidR="00C95EF2" w:rsidRPr="00221992">
        <w:rPr>
          <w:lang w:val="en-GB"/>
        </w:rPr>
        <w:t>,</w:t>
      </w:r>
      <w:r w:rsidRPr="00221992">
        <w:rPr>
          <w:lang w:val="en-GB"/>
        </w:rPr>
        <w:t xml:space="preserve"> compassionate use, off-label use, access for individual patients). A summary of international funding models for </w:t>
      </w:r>
      <w:r w:rsidR="0002324E" w:rsidRPr="00221992">
        <w:rPr>
          <w:lang w:val="en-GB"/>
        </w:rPr>
        <w:t>orphan drugs</w:t>
      </w:r>
      <w:r w:rsidRPr="00221992">
        <w:rPr>
          <w:lang w:val="en-GB"/>
        </w:rPr>
        <w:t xml:space="preserve"> is provided in</w:t>
      </w:r>
      <w:r w:rsidR="00D769FC" w:rsidRPr="00221992">
        <w:rPr>
          <w:lang w:val="en-GB"/>
        </w:rPr>
        <w:t xml:space="preserve"> </w:t>
      </w:r>
      <w:r w:rsidR="00D769FC" w:rsidRPr="00221992">
        <w:rPr>
          <w:lang w:val="en-GB"/>
        </w:rPr>
        <w:fldChar w:fldCharType="begin"/>
      </w:r>
      <w:r w:rsidR="00D769FC" w:rsidRPr="00221992">
        <w:rPr>
          <w:lang w:val="en-GB"/>
        </w:rPr>
        <w:instrText xml:space="preserve"> REF _Ref146014562 \h </w:instrText>
      </w:r>
      <w:r w:rsidR="00D769FC" w:rsidRPr="00221992">
        <w:rPr>
          <w:lang w:val="en-GB"/>
        </w:rPr>
      </w:r>
      <w:r w:rsidR="00D769FC" w:rsidRPr="00221992">
        <w:rPr>
          <w:lang w:val="en-GB"/>
        </w:rPr>
        <w:fldChar w:fldCharType="separate"/>
      </w:r>
      <w:r w:rsidR="000E11E7" w:rsidRPr="00221992">
        <w:rPr>
          <w:lang w:val="en-GB"/>
        </w:rPr>
        <w:t xml:space="preserve">Table </w:t>
      </w:r>
      <w:r w:rsidR="000E11E7">
        <w:rPr>
          <w:noProof/>
          <w:lang w:val="en-GB"/>
        </w:rPr>
        <w:t>1</w:t>
      </w:r>
      <w:r w:rsidR="00D769FC" w:rsidRPr="00221992">
        <w:rPr>
          <w:lang w:val="en-GB"/>
        </w:rPr>
        <w:fldChar w:fldCharType="end"/>
      </w:r>
      <w:r w:rsidRPr="00221992">
        <w:rPr>
          <w:lang w:val="en-GB"/>
        </w:rPr>
        <w:t xml:space="preserve">. </w:t>
      </w:r>
    </w:p>
    <w:p w14:paraId="0A65757B" w14:textId="64C1F4A1" w:rsidR="00A0762E" w:rsidRPr="00221992" w:rsidRDefault="00BE2EDD" w:rsidP="00A0762E">
      <w:pPr>
        <w:rPr>
          <w:lang w:val="en-GB"/>
        </w:rPr>
      </w:pPr>
      <w:r w:rsidRPr="00221992">
        <w:rPr>
          <w:lang w:val="en-GB"/>
        </w:rPr>
        <w:t>Of the countries analysed,</w:t>
      </w:r>
      <w:r w:rsidR="00A0762E" w:rsidRPr="00221992">
        <w:rPr>
          <w:lang w:val="en-GB"/>
        </w:rPr>
        <w:t xml:space="preserve"> Germany and Japan </w:t>
      </w:r>
      <w:r w:rsidRPr="00221992">
        <w:rPr>
          <w:lang w:val="en-GB"/>
        </w:rPr>
        <w:t>provide</w:t>
      </w:r>
      <w:r w:rsidR="00A0762E" w:rsidRPr="00221992">
        <w:rPr>
          <w:lang w:val="en-GB"/>
        </w:rPr>
        <w:t xml:space="preserve"> the </w:t>
      </w:r>
      <w:r w:rsidRPr="00221992">
        <w:rPr>
          <w:lang w:val="en-GB"/>
        </w:rPr>
        <w:t>shortest time to</w:t>
      </w:r>
      <w:r w:rsidR="00A0762E" w:rsidRPr="00221992">
        <w:rPr>
          <w:lang w:val="en-GB"/>
        </w:rPr>
        <w:t xml:space="preserve"> access</w:t>
      </w:r>
      <w:r w:rsidRPr="00221992">
        <w:rPr>
          <w:lang w:val="en-GB"/>
        </w:rPr>
        <w:t>,</w:t>
      </w:r>
      <w:r w:rsidR="00A0762E" w:rsidRPr="00221992">
        <w:rPr>
          <w:lang w:val="en-GB"/>
        </w:rPr>
        <w:t xml:space="preserve"> with a median time to availability </w:t>
      </w:r>
      <w:r w:rsidRPr="00221992">
        <w:rPr>
          <w:lang w:val="en-GB"/>
        </w:rPr>
        <w:t>subsequent to</w:t>
      </w:r>
      <w:r w:rsidR="00A0762E" w:rsidRPr="00221992">
        <w:rPr>
          <w:lang w:val="en-GB"/>
        </w:rPr>
        <w:t xml:space="preserve"> marketing authorisation of 45 and </w:t>
      </w:r>
      <w:r w:rsidRPr="00221992">
        <w:rPr>
          <w:lang w:val="en-GB"/>
        </w:rPr>
        <w:t>~</w:t>
      </w:r>
      <w:r w:rsidR="00A0762E" w:rsidRPr="00221992">
        <w:rPr>
          <w:lang w:val="en-GB"/>
        </w:rPr>
        <w:t>100 days, respectively. In these two countries</w:t>
      </w:r>
      <w:r w:rsidRPr="00221992">
        <w:rPr>
          <w:lang w:val="en-GB"/>
        </w:rPr>
        <w:t>,</w:t>
      </w:r>
      <w:r w:rsidR="00A0762E" w:rsidRPr="00221992">
        <w:rPr>
          <w:lang w:val="en-GB"/>
        </w:rPr>
        <w:t xml:space="preserve"> reimbursement and pricing decision</w:t>
      </w:r>
      <w:r w:rsidR="00931320" w:rsidRPr="00221992">
        <w:rPr>
          <w:lang w:val="en-GB"/>
        </w:rPr>
        <w:t>s</w:t>
      </w:r>
      <w:r w:rsidR="00A0762E" w:rsidRPr="00221992">
        <w:rPr>
          <w:lang w:val="en-GB"/>
        </w:rPr>
        <w:t xml:space="preserve"> occur almost simultaneously. </w:t>
      </w:r>
      <w:r w:rsidR="005367A9" w:rsidRPr="00221992">
        <w:rPr>
          <w:lang w:val="en-GB"/>
        </w:rPr>
        <w:t>Conversely</w:t>
      </w:r>
      <w:r w:rsidR="00A0762E" w:rsidRPr="00221992">
        <w:rPr>
          <w:lang w:val="en-GB"/>
        </w:rPr>
        <w:t>, Canada and Spain</w:t>
      </w:r>
      <w:r w:rsidR="005367A9" w:rsidRPr="00221992">
        <w:rPr>
          <w:lang w:val="en-GB"/>
        </w:rPr>
        <w:t>, who</w:t>
      </w:r>
      <w:r w:rsidR="006A2DFA" w:rsidRPr="00221992">
        <w:rPr>
          <w:lang w:val="en-GB"/>
        </w:rPr>
        <w:t>se national HTA bodies</w:t>
      </w:r>
      <w:r w:rsidR="005367A9" w:rsidRPr="00221992">
        <w:rPr>
          <w:lang w:val="en-GB"/>
        </w:rPr>
        <w:t xml:space="preserve"> have</w:t>
      </w:r>
      <w:r w:rsidR="00A0762E" w:rsidRPr="00221992">
        <w:rPr>
          <w:lang w:val="en-GB"/>
        </w:rPr>
        <w:t xml:space="preserve"> no clear special considerations for rare diseases, have the </w:t>
      </w:r>
      <w:r w:rsidR="006A2DFA" w:rsidRPr="00221992">
        <w:rPr>
          <w:lang w:val="en-GB"/>
        </w:rPr>
        <w:t>longest</w:t>
      </w:r>
      <w:r w:rsidR="00A0762E" w:rsidRPr="00221992">
        <w:rPr>
          <w:lang w:val="en-GB"/>
        </w:rPr>
        <w:t xml:space="preserve"> median time to availability</w:t>
      </w:r>
      <w:r w:rsidR="5697FF4B" w:rsidRPr="5C70CD33">
        <w:rPr>
          <w:lang w:val="en-GB"/>
        </w:rPr>
        <w:t xml:space="preserve"> (median time &gt;700 days</w:t>
      </w:r>
      <w:r w:rsidR="00A0762E" w:rsidRPr="5C70CD33">
        <w:rPr>
          <w:lang w:val="en-GB"/>
        </w:rPr>
        <w:t xml:space="preserve">. </w:t>
      </w:r>
    </w:p>
    <w:p w14:paraId="7158B25E" w14:textId="1DA61254" w:rsidR="00A0762E" w:rsidRPr="00221992" w:rsidRDefault="00A0762E" w:rsidP="001721AB">
      <w:pPr>
        <w:pStyle w:val="Caption"/>
        <w:rPr>
          <w:lang w:val="en-GB"/>
        </w:rPr>
      </w:pPr>
      <w:bookmarkStart w:id="17" w:name="_Ref146014562"/>
      <w:bookmarkStart w:id="18" w:name="_Toc162950948"/>
      <w:r w:rsidRPr="00221992">
        <w:rPr>
          <w:lang w:val="en-GB"/>
        </w:rPr>
        <w:t xml:space="preserve">Table </w:t>
      </w:r>
      <w:r w:rsidRPr="00221992">
        <w:rPr>
          <w:lang w:val="en-GB"/>
        </w:rPr>
        <w:fldChar w:fldCharType="begin"/>
      </w:r>
      <w:r w:rsidRPr="00221992">
        <w:rPr>
          <w:lang w:val="en-GB"/>
        </w:rPr>
        <w:instrText>SEQ Table \* ARABIC</w:instrText>
      </w:r>
      <w:r w:rsidRPr="00221992">
        <w:rPr>
          <w:lang w:val="en-GB"/>
        </w:rPr>
        <w:fldChar w:fldCharType="separate"/>
      </w:r>
      <w:r w:rsidR="000E11E7">
        <w:rPr>
          <w:noProof/>
          <w:lang w:val="en-GB"/>
        </w:rPr>
        <w:t>1</w:t>
      </w:r>
      <w:r w:rsidRPr="00221992">
        <w:rPr>
          <w:lang w:val="en-GB"/>
        </w:rPr>
        <w:fldChar w:fldCharType="end"/>
      </w:r>
      <w:bookmarkEnd w:id="17"/>
      <w:r w:rsidRPr="00221992">
        <w:rPr>
          <w:lang w:val="en-GB"/>
        </w:rPr>
        <w:t>. Rare disease funding model by country</w:t>
      </w:r>
      <w:bookmarkEnd w:id="18"/>
    </w:p>
    <w:tbl>
      <w:tblPr>
        <w:tblStyle w:val="LinedBlueTable"/>
        <w:tblW w:w="0" w:type="auto"/>
        <w:tblLayout w:type="fixed"/>
        <w:tblLook w:val="04A0" w:firstRow="1" w:lastRow="0" w:firstColumn="1" w:lastColumn="0" w:noHBand="0" w:noVBand="1"/>
        <w:tblCaption w:val="Rare disease funding model by country"/>
      </w:tblPr>
      <w:tblGrid>
        <w:gridCol w:w="1696"/>
        <w:gridCol w:w="1134"/>
        <w:gridCol w:w="1276"/>
        <w:gridCol w:w="1134"/>
        <w:gridCol w:w="1418"/>
        <w:gridCol w:w="1559"/>
        <w:gridCol w:w="987"/>
      </w:tblGrid>
      <w:tr w:rsidR="00A0762E" w:rsidRPr="00221992" w14:paraId="45DA353B" w14:textId="77777777" w:rsidTr="00CE4CE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vMerge w:val="restart"/>
            <w:shd w:val="clear" w:color="auto" w:fill="000000" w:themeFill="text1"/>
          </w:tcPr>
          <w:p w14:paraId="72BFB34F" w14:textId="77777777" w:rsidR="00A0762E" w:rsidRPr="00221992" w:rsidRDefault="00A0762E" w:rsidP="00D210B9">
            <w:pPr>
              <w:pStyle w:val="TableText"/>
              <w:keepNext/>
              <w:keepLines/>
              <w:spacing w:before="0" w:after="0" w:line="240" w:lineRule="auto"/>
              <w:rPr>
                <w:rFonts w:ascii="Calibri" w:hAnsi="Calibri" w:cs="Calibri"/>
                <w:sz w:val="20"/>
                <w:szCs w:val="20"/>
                <w:lang w:val="en-GB"/>
              </w:rPr>
            </w:pPr>
            <w:r w:rsidRPr="00221992">
              <w:rPr>
                <w:rFonts w:ascii="Calibri" w:hAnsi="Calibri" w:cs="Calibri"/>
                <w:b/>
                <w:sz w:val="20"/>
                <w:szCs w:val="20"/>
                <w:lang w:val="en-GB"/>
              </w:rPr>
              <w:t>Country</w:t>
            </w:r>
          </w:p>
          <w:p w14:paraId="3F4EE4F2" w14:textId="77777777" w:rsidR="00A0762E" w:rsidRPr="00221992" w:rsidRDefault="00A0762E" w:rsidP="00D210B9">
            <w:pPr>
              <w:pStyle w:val="TableText"/>
              <w:keepNext/>
              <w:keepLines/>
              <w:spacing w:before="0" w:after="0" w:line="240" w:lineRule="auto"/>
              <w:rPr>
                <w:rFonts w:ascii="Calibri" w:hAnsi="Calibri" w:cs="Calibri"/>
                <w:sz w:val="20"/>
                <w:szCs w:val="20"/>
                <w:lang w:val="en-GB"/>
              </w:rPr>
            </w:pPr>
          </w:p>
        </w:tc>
        <w:tc>
          <w:tcPr>
            <w:tcW w:w="2410" w:type="dxa"/>
            <w:gridSpan w:val="2"/>
            <w:shd w:val="clear" w:color="auto" w:fill="1E8BCD"/>
          </w:tcPr>
          <w:p w14:paraId="50B1EC82" w14:textId="77777777" w:rsidR="00A0762E" w:rsidRPr="00221992" w:rsidRDefault="00A0762E" w:rsidP="00D210B9">
            <w:pPr>
              <w:pStyle w:val="TableHeading"/>
              <w:keepNext/>
              <w:keepLines/>
              <w:spacing w:before="0" w:after="0" w:line="240" w:lineRule="auto"/>
              <w:ind w:left="0" w:right="0"/>
              <w:jc w:val="center"/>
              <w:cnfStyle w:val="100000000000" w:firstRow="1" w:lastRow="0" w:firstColumn="0" w:lastColumn="0" w:oddVBand="0" w:evenVBand="0" w:oddHBand="0" w:evenHBand="0" w:firstRowFirstColumn="0" w:firstRowLastColumn="0" w:lastRowFirstColumn="0" w:lastRowLastColumn="0"/>
              <w:rPr>
                <w:rFonts w:ascii="Calibri" w:hAnsi="Calibri" w:cs="Calibri"/>
                <w:sz w:val="20"/>
                <w:szCs w:val="20"/>
                <w:lang w:val="en-GB"/>
              </w:rPr>
            </w:pPr>
            <w:r w:rsidRPr="00221992">
              <w:rPr>
                <w:rFonts w:ascii="Calibri" w:hAnsi="Calibri" w:cs="Calibri"/>
                <w:sz w:val="20"/>
                <w:szCs w:val="20"/>
                <w:lang w:val="en-GB"/>
              </w:rPr>
              <w:t>Special considerations for rare diseases</w:t>
            </w:r>
          </w:p>
        </w:tc>
        <w:tc>
          <w:tcPr>
            <w:tcW w:w="1134" w:type="dxa"/>
            <w:vMerge w:val="restart"/>
            <w:shd w:val="clear" w:color="auto" w:fill="1E8BCD"/>
          </w:tcPr>
          <w:p w14:paraId="54CB13D6" w14:textId="77777777" w:rsidR="00A0762E" w:rsidRPr="00221992" w:rsidRDefault="00A0762E" w:rsidP="00D210B9">
            <w:pPr>
              <w:pStyle w:val="TableHeading"/>
              <w:keepNext/>
              <w:keepLines/>
              <w:spacing w:before="0" w:after="0" w:line="240" w:lineRule="auto"/>
              <w:ind w:left="0" w:right="0"/>
              <w:jc w:val="center"/>
              <w:cnfStyle w:val="100000000000" w:firstRow="1" w:lastRow="0" w:firstColumn="0" w:lastColumn="0" w:oddVBand="0" w:evenVBand="0" w:oddHBand="0" w:evenHBand="0" w:firstRowFirstColumn="0" w:firstRowLastColumn="0" w:lastRowFirstColumn="0" w:lastRowLastColumn="0"/>
              <w:rPr>
                <w:rFonts w:ascii="Calibri" w:hAnsi="Calibri" w:cs="Calibri"/>
                <w:sz w:val="20"/>
                <w:szCs w:val="20"/>
                <w:lang w:val="en-GB"/>
              </w:rPr>
            </w:pPr>
            <w:r w:rsidRPr="00221992">
              <w:rPr>
                <w:rFonts w:ascii="Calibri" w:hAnsi="Calibri" w:cs="Calibri"/>
                <w:sz w:val="20"/>
                <w:szCs w:val="20"/>
                <w:lang w:val="en-GB"/>
              </w:rPr>
              <w:t>Standard process with no change</w:t>
            </w:r>
          </w:p>
        </w:tc>
        <w:tc>
          <w:tcPr>
            <w:tcW w:w="1418" w:type="dxa"/>
            <w:vMerge w:val="restart"/>
            <w:shd w:val="clear" w:color="auto" w:fill="1E8BCD"/>
          </w:tcPr>
          <w:p w14:paraId="0DC4E611" w14:textId="77777777" w:rsidR="00A0762E" w:rsidRPr="00221992" w:rsidRDefault="00A0762E" w:rsidP="00D210B9">
            <w:pPr>
              <w:pStyle w:val="TableHeading"/>
              <w:keepNext/>
              <w:keepLines/>
              <w:spacing w:before="0" w:after="0" w:line="240" w:lineRule="auto"/>
              <w:ind w:left="0" w:right="0"/>
              <w:jc w:val="center"/>
              <w:cnfStyle w:val="100000000000" w:firstRow="1" w:lastRow="0" w:firstColumn="0" w:lastColumn="0" w:oddVBand="0" w:evenVBand="0" w:oddHBand="0" w:evenHBand="0" w:firstRowFirstColumn="0" w:firstRowLastColumn="0" w:lastRowFirstColumn="0" w:lastRowLastColumn="0"/>
              <w:rPr>
                <w:rFonts w:ascii="Calibri" w:hAnsi="Calibri" w:cs="Calibri"/>
                <w:sz w:val="20"/>
                <w:szCs w:val="20"/>
                <w:lang w:val="en-GB"/>
              </w:rPr>
            </w:pPr>
            <w:r w:rsidRPr="00221992">
              <w:rPr>
                <w:rFonts w:ascii="Calibri" w:hAnsi="Calibri" w:cs="Calibri"/>
                <w:sz w:val="20"/>
                <w:szCs w:val="20"/>
                <w:lang w:val="en-GB"/>
              </w:rPr>
              <w:t>Alternative process</w:t>
            </w:r>
          </w:p>
        </w:tc>
        <w:tc>
          <w:tcPr>
            <w:tcW w:w="1559" w:type="dxa"/>
            <w:vMerge w:val="restart"/>
            <w:shd w:val="clear" w:color="auto" w:fill="1E8BCD"/>
          </w:tcPr>
          <w:p w14:paraId="55BACE2D" w14:textId="77777777" w:rsidR="00A0762E" w:rsidRPr="00221992" w:rsidRDefault="00A0762E" w:rsidP="00D210B9">
            <w:pPr>
              <w:pStyle w:val="TableText"/>
              <w:keepNext/>
              <w:keepLines/>
              <w:spacing w:before="0" w:after="0" w:line="240" w:lineRule="auto"/>
              <w:ind w:left="0" w:right="0"/>
              <w:jc w:val="center"/>
              <w:cnfStyle w:val="100000000000" w:firstRow="1" w:lastRow="0" w:firstColumn="0" w:lastColumn="0" w:oddVBand="0" w:evenVBand="0" w:oddHBand="0" w:evenHBand="0" w:firstRowFirstColumn="0" w:firstRowLastColumn="0" w:lastRowFirstColumn="0" w:lastRowLastColumn="0"/>
              <w:rPr>
                <w:rFonts w:ascii="Calibri" w:hAnsi="Calibri" w:cs="Calibri"/>
                <w:b/>
                <w:sz w:val="20"/>
                <w:szCs w:val="20"/>
                <w:lang w:val="en-GB"/>
              </w:rPr>
            </w:pPr>
            <w:r w:rsidRPr="00221992">
              <w:rPr>
                <w:rFonts w:ascii="Calibri" w:hAnsi="Calibri" w:cs="Calibri"/>
                <w:b/>
                <w:sz w:val="20"/>
                <w:szCs w:val="20"/>
                <w:lang w:val="en-GB"/>
              </w:rPr>
              <w:t>Median time to availability (days)</w:t>
            </w:r>
            <w:r w:rsidRPr="00221992">
              <w:rPr>
                <w:rFonts w:ascii="Calibri" w:hAnsi="Calibri" w:cs="Calibri"/>
                <w:b/>
                <w:sz w:val="20"/>
                <w:szCs w:val="20"/>
                <w:vertAlign w:val="superscript"/>
                <w:lang w:val="en-GB"/>
              </w:rPr>
              <w:t>*</w:t>
            </w:r>
          </w:p>
        </w:tc>
        <w:tc>
          <w:tcPr>
            <w:tcW w:w="987" w:type="dxa"/>
            <w:vMerge w:val="restart"/>
            <w:shd w:val="clear" w:color="auto" w:fill="1E8BCD"/>
          </w:tcPr>
          <w:p w14:paraId="7A84706E" w14:textId="77777777" w:rsidR="00A0762E" w:rsidRPr="00221992" w:rsidRDefault="00A0762E" w:rsidP="00D210B9">
            <w:pPr>
              <w:pStyle w:val="TableText"/>
              <w:keepNext/>
              <w:keepLines/>
              <w:spacing w:before="0" w:after="0" w:line="240" w:lineRule="auto"/>
              <w:ind w:left="0" w:right="0"/>
              <w:jc w:val="center"/>
              <w:cnfStyle w:val="100000000000" w:firstRow="1" w:lastRow="0" w:firstColumn="0" w:lastColumn="0" w:oddVBand="0" w:evenVBand="0" w:oddHBand="0" w:evenHBand="0" w:firstRowFirstColumn="0" w:firstRowLastColumn="0" w:lastRowFirstColumn="0" w:lastRowLastColumn="0"/>
              <w:rPr>
                <w:rFonts w:ascii="Calibri" w:hAnsi="Calibri" w:cs="Calibri"/>
                <w:b/>
                <w:sz w:val="20"/>
                <w:szCs w:val="20"/>
                <w:vertAlign w:val="superscript"/>
                <w:lang w:val="en-GB"/>
              </w:rPr>
            </w:pPr>
            <w:r w:rsidRPr="00221992">
              <w:rPr>
                <w:rFonts w:ascii="Calibri" w:hAnsi="Calibri" w:cs="Calibri"/>
                <w:b/>
                <w:sz w:val="20"/>
                <w:szCs w:val="20"/>
                <w:lang w:val="en-GB"/>
              </w:rPr>
              <w:t>Number of drugs available</w:t>
            </w:r>
          </w:p>
        </w:tc>
      </w:tr>
      <w:tr w:rsidR="00A0762E" w:rsidRPr="00221992" w14:paraId="66069860" w14:textId="77777777" w:rsidTr="00CE4CE2">
        <w:tc>
          <w:tcPr>
            <w:cnfStyle w:val="001000000000" w:firstRow="0" w:lastRow="0" w:firstColumn="1" w:lastColumn="0" w:oddVBand="0" w:evenVBand="0" w:oddHBand="0" w:evenHBand="0" w:firstRowFirstColumn="0" w:firstRowLastColumn="0" w:lastRowFirstColumn="0" w:lastRowLastColumn="0"/>
            <w:tcW w:w="1696" w:type="dxa"/>
            <w:vMerge/>
          </w:tcPr>
          <w:p w14:paraId="5F38E948" w14:textId="77777777" w:rsidR="00A0762E" w:rsidRPr="00221992" w:rsidRDefault="00A0762E" w:rsidP="00D210B9">
            <w:pPr>
              <w:pStyle w:val="TableText"/>
              <w:keepNext/>
              <w:keepLines/>
              <w:spacing w:before="0" w:after="0" w:line="240" w:lineRule="auto"/>
              <w:rPr>
                <w:sz w:val="20"/>
                <w:szCs w:val="20"/>
                <w:lang w:val="en-GB"/>
              </w:rPr>
            </w:pPr>
          </w:p>
        </w:tc>
        <w:tc>
          <w:tcPr>
            <w:tcW w:w="1134" w:type="dxa"/>
          </w:tcPr>
          <w:p w14:paraId="255A489F" w14:textId="15D5DCF3" w:rsidR="00A0762E" w:rsidRPr="00221992" w:rsidRDefault="00A0762E" w:rsidP="00D210B9">
            <w:pPr>
              <w:pStyle w:val="TableHeading"/>
              <w:keepNext/>
              <w:keepLines/>
              <w:spacing w:before="0" w:after="0" w:line="240" w:lineRule="auto"/>
              <w:ind w:left="0" w:right="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lang w:val="en-GB"/>
              </w:rPr>
            </w:pPr>
            <w:r w:rsidRPr="00221992">
              <w:rPr>
                <w:rFonts w:ascii="Calibri" w:hAnsi="Calibri" w:cs="Calibri"/>
                <w:sz w:val="20"/>
                <w:szCs w:val="20"/>
                <w:lang w:val="en-GB"/>
              </w:rPr>
              <w:t>Separate process</w:t>
            </w:r>
            <w:r w:rsidR="00551786">
              <w:rPr>
                <w:rFonts w:ascii="Calibri" w:hAnsi="Calibri" w:cs="Calibri"/>
                <w:sz w:val="20"/>
                <w:szCs w:val="20"/>
                <w:lang w:val="en-GB"/>
              </w:rPr>
              <w:t>’</w:t>
            </w:r>
          </w:p>
        </w:tc>
        <w:tc>
          <w:tcPr>
            <w:tcW w:w="1276" w:type="dxa"/>
          </w:tcPr>
          <w:p w14:paraId="13A0D0F5" w14:textId="77777777" w:rsidR="00A0762E" w:rsidRPr="00221992" w:rsidRDefault="00A0762E" w:rsidP="00D210B9">
            <w:pPr>
              <w:pStyle w:val="TableHeading"/>
              <w:keepNext/>
              <w:keepLines/>
              <w:spacing w:before="0" w:after="0" w:line="240" w:lineRule="auto"/>
              <w:ind w:left="0" w:right="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lang w:val="en-GB"/>
              </w:rPr>
            </w:pPr>
            <w:r w:rsidRPr="00221992">
              <w:rPr>
                <w:rFonts w:ascii="Calibri" w:hAnsi="Calibri" w:cs="Calibri"/>
                <w:sz w:val="20"/>
                <w:szCs w:val="20"/>
                <w:lang w:val="en-GB"/>
              </w:rPr>
              <w:t>Exception to standard process</w:t>
            </w:r>
          </w:p>
        </w:tc>
        <w:tc>
          <w:tcPr>
            <w:tcW w:w="1134" w:type="dxa"/>
            <w:vMerge/>
          </w:tcPr>
          <w:p w14:paraId="1B7D0EA3" w14:textId="77777777" w:rsidR="00A0762E" w:rsidRPr="00221992" w:rsidRDefault="00A0762E" w:rsidP="00D210B9">
            <w:pPr>
              <w:pStyle w:val="TableText"/>
              <w:keepNext/>
              <w:keepLines/>
              <w:spacing w:before="0" w:after="0" w:line="240" w:lineRule="auto"/>
              <w:ind w:left="0" w:right="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lang w:val="en-GB"/>
              </w:rPr>
            </w:pPr>
          </w:p>
        </w:tc>
        <w:tc>
          <w:tcPr>
            <w:tcW w:w="1418" w:type="dxa"/>
            <w:vMerge/>
          </w:tcPr>
          <w:p w14:paraId="27A74F92" w14:textId="77777777" w:rsidR="00A0762E" w:rsidRPr="00221992" w:rsidRDefault="00A0762E" w:rsidP="00D210B9">
            <w:pPr>
              <w:pStyle w:val="TableText"/>
              <w:keepNext/>
              <w:keepLines/>
              <w:spacing w:before="0" w:after="0" w:line="240" w:lineRule="auto"/>
              <w:ind w:left="0" w:right="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lang w:val="en-GB"/>
              </w:rPr>
            </w:pPr>
          </w:p>
        </w:tc>
        <w:tc>
          <w:tcPr>
            <w:tcW w:w="1559" w:type="dxa"/>
            <w:vMerge/>
          </w:tcPr>
          <w:p w14:paraId="58A44B09" w14:textId="77777777" w:rsidR="00A0762E" w:rsidRPr="00221992" w:rsidRDefault="00A0762E" w:rsidP="00D210B9">
            <w:pPr>
              <w:pStyle w:val="TableText"/>
              <w:keepNext/>
              <w:keepLines/>
              <w:spacing w:before="0" w:after="0" w:line="240" w:lineRule="auto"/>
              <w:ind w:left="0" w:right="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lang w:val="en-GB"/>
              </w:rPr>
            </w:pPr>
          </w:p>
        </w:tc>
        <w:tc>
          <w:tcPr>
            <w:tcW w:w="987" w:type="dxa"/>
            <w:vMerge/>
          </w:tcPr>
          <w:p w14:paraId="31DF7E8C" w14:textId="77777777" w:rsidR="00A0762E" w:rsidRPr="00221992" w:rsidRDefault="00A0762E" w:rsidP="00D210B9">
            <w:pPr>
              <w:pStyle w:val="TableText"/>
              <w:keepNext/>
              <w:keepLines/>
              <w:spacing w:before="0" w:after="0" w:line="240" w:lineRule="auto"/>
              <w:ind w:left="0" w:right="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lang w:val="en-GB"/>
              </w:rPr>
            </w:pPr>
          </w:p>
        </w:tc>
      </w:tr>
      <w:tr w:rsidR="00A0762E" w:rsidRPr="00221992" w14:paraId="2CB44344" w14:textId="77777777" w:rsidTr="00CE4CE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shd w:val="clear" w:color="auto" w:fill="1E8BCD"/>
          </w:tcPr>
          <w:p w14:paraId="26107AB6" w14:textId="77777777" w:rsidR="00A0762E" w:rsidRPr="00221992" w:rsidRDefault="00A0762E" w:rsidP="00D210B9">
            <w:pPr>
              <w:pStyle w:val="TableText"/>
              <w:keepNext/>
              <w:keepLines/>
              <w:spacing w:before="0" w:after="0" w:line="240" w:lineRule="auto"/>
              <w:rPr>
                <w:sz w:val="20"/>
                <w:szCs w:val="20"/>
                <w:lang w:val="en-GB"/>
              </w:rPr>
            </w:pPr>
            <w:r w:rsidRPr="00221992">
              <w:rPr>
                <w:sz w:val="20"/>
                <w:szCs w:val="20"/>
                <w:lang w:val="en-GB"/>
              </w:rPr>
              <w:t>Australia</w:t>
            </w:r>
          </w:p>
        </w:tc>
        <w:tc>
          <w:tcPr>
            <w:tcW w:w="1134" w:type="dxa"/>
          </w:tcPr>
          <w:p w14:paraId="614057CE" w14:textId="77777777" w:rsidR="00A0762E" w:rsidRPr="00221992" w:rsidRDefault="00A0762E" w:rsidP="00D210B9">
            <w:pPr>
              <w:pStyle w:val="TableText"/>
              <w:keepNext/>
              <w:keepLines/>
              <w:spacing w:before="0" w:after="0" w:line="240" w:lineRule="auto"/>
              <w:ind w:left="0" w:right="0"/>
              <w:jc w:val="center"/>
              <w:cnfStyle w:val="000000010000" w:firstRow="0" w:lastRow="0" w:firstColumn="0" w:lastColumn="0" w:oddVBand="0" w:evenVBand="0" w:oddHBand="0" w:evenHBand="1" w:firstRowFirstColumn="0" w:firstRowLastColumn="0" w:lastRowFirstColumn="0" w:lastRowLastColumn="0"/>
              <w:rPr>
                <w:rFonts w:ascii="Calibri" w:hAnsi="Calibri" w:cs="Calibri"/>
                <w:sz w:val="20"/>
                <w:szCs w:val="20"/>
                <w:lang w:val="en-GB"/>
              </w:rPr>
            </w:pPr>
            <w:r w:rsidRPr="00221992">
              <w:rPr>
                <w:rFonts w:ascii="Wingdings" w:eastAsia="Wingdings" w:hAnsi="Wingdings" w:cs="Wingdings"/>
                <w:sz w:val="20"/>
                <w:szCs w:val="20"/>
                <w:lang w:val="en-GB"/>
              </w:rPr>
              <w:t></w:t>
            </w:r>
          </w:p>
        </w:tc>
        <w:tc>
          <w:tcPr>
            <w:tcW w:w="1276" w:type="dxa"/>
          </w:tcPr>
          <w:p w14:paraId="7C7562CF" w14:textId="77777777" w:rsidR="00A0762E" w:rsidRPr="00221992" w:rsidRDefault="00A0762E" w:rsidP="00D210B9">
            <w:pPr>
              <w:pStyle w:val="TableText"/>
              <w:keepNext/>
              <w:keepLines/>
              <w:spacing w:before="0" w:after="0" w:line="240" w:lineRule="auto"/>
              <w:ind w:left="0" w:right="0"/>
              <w:jc w:val="center"/>
              <w:cnfStyle w:val="000000010000" w:firstRow="0" w:lastRow="0" w:firstColumn="0" w:lastColumn="0" w:oddVBand="0" w:evenVBand="0" w:oddHBand="0" w:evenHBand="1" w:firstRowFirstColumn="0" w:firstRowLastColumn="0" w:lastRowFirstColumn="0" w:lastRowLastColumn="0"/>
              <w:rPr>
                <w:rFonts w:ascii="Calibri" w:hAnsi="Calibri" w:cs="Calibri"/>
                <w:sz w:val="20"/>
                <w:szCs w:val="20"/>
                <w:lang w:val="en-GB"/>
              </w:rPr>
            </w:pPr>
            <w:r w:rsidRPr="00221992">
              <w:rPr>
                <w:rFonts w:ascii="Wingdings" w:eastAsia="Wingdings" w:hAnsi="Wingdings" w:cs="Wingdings"/>
                <w:sz w:val="20"/>
                <w:szCs w:val="20"/>
                <w:lang w:val="en-GB"/>
              </w:rPr>
              <w:t></w:t>
            </w:r>
          </w:p>
        </w:tc>
        <w:tc>
          <w:tcPr>
            <w:tcW w:w="1134" w:type="dxa"/>
          </w:tcPr>
          <w:p w14:paraId="3E5C8B65" w14:textId="00199DA9" w:rsidR="00A0762E" w:rsidRPr="00221992" w:rsidRDefault="00A934FF" w:rsidP="00D210B9">
            <w:pPr>
              <w:pStyle w:val="TableText"/>
              <w:keepNext/>
              <w:keepLines/>
              <w:spacing w:before="0" w:after="0" w:line="240" w:lineRule="auto"/>
              <w:ind w:left="0" w:right="0"/>
              <w:jc w:val="center"/>
              <w:cnfStyle w:val="000000010000" w:firstRow="0" w:lastRow="0" w:firstColumn="0" w:lastColumn="0" w:oddVBand="0" w:evenVBand="0" w:oddHBand="0" w:evenHBand="1" w:firstRowFirstColumn="0" w:firstRowLastColumn="0" w:lastRowFirstColumn="0" w:lastRowLastColumn="0"/>
              <w:rPr>
                <w:rFonts w:ascii="Calibri" w:hAnsi="Calibri" w:cs="Calibri"/>
                <w:sz w:val="20"/>
                <w:szCs w:val="20"/>
                <w:lang w:val="en-GB"/>
              </w:rPr>
            </w:pPr>
            <w:r w:rsidRPr="00221992">
              <w:rPr>
                <w:rFonts w:ascii="Wingdings" w:eastAsia="Wingdings" w:hAnsi="Wingdings" w:cs="Wingdings"/>
                <w:sz w:val="20"/>
                <w:szCs w:val="20"/>
                <w:lang w:val="en-GB"/>
              </w:rPr>
              <w:t></w:t>
            </w:r>
          </w:p>
        </w:tc>
        <w:tc>
          <w:tcPr>
            <w:tcW w:w="1418" w:type="dxa"/>
          </w:tcPr>
          <w:p w14:paraId="7F5C869E" w14:textId="77777777" w:rsidR="00A0762E" w:rsidRPr="00221992" w:rsidRDefault="00A0762E" w:rsidP="00D210B9">
            <w:pPr>
              <w:pStyle w:val="TableText"/>
              <w:keepNext/>
              <w:keepLines/>
              <w:spacing w:before="0" w:after="0" w:line="240" w:lineRule="auto"/>
              <w:ind w:left="0" w:right="0"/>
              <w:jc w:val="center"/>
              <w:cnfStyle w:val="000000010000" w:firstRow="0" w:lastRow="0" w:firstColumn="0" w:lastColumn="0" w:oddVBand="0" w:evenVBand="0" w:oddHBand="0" w:evenHBand="1" w:firstRowFirstColumn="0" w:firstRowLastColumn="0" w:lastRowFirstColumn="0" w:lastRowLastColumn="0"/>
              <w:rPr>
                <w:rFonts w:ascii="Calibri" w:hAnsi="Calibri" w:cs="Calibri"/>
                <w:sz w:val="20"/>
                <w:szCs w:val="20"/>
                <w:lang w:val="en-GB"/>
              </w:rPr>
            </w:pPr>
            <w:r w:rsidRPr="00221992">
              <w:rPr>
                <w:rFonts w:ascii="Calibri" w:hAnsi="Calibri" w:cs="Calibri"/>
                <w:sz w:val="20"/>
                <w:szCs w:val="20"/>
                <w:lang w:val="en-GB"/>
              </w:rPr>
              <w:t>NI</w:t>
            </w:r>
          </w:p>
        </w:tc>
        <w:tc>
          <w:tcPr>
            <w:tcW w:w="1559" w:type="dxa"/>
          </w:tcPr>
          <w:p w14:paraId="1BA54EF1" w14:textId="77777777" w:rsidR="00A0762E" w:rsidRPr="00221992" w:rsidRDefault="00A0762E" w:rsidP="00D210B9">
            <w:pPr>
              <w:pStyle w:val="TableText"/>
              <w:keepNext/>
              <w:keepLines/>
              <w:spacing w:before="0" w:after="0" w:line="240" w:lineRule="auto"/>
              <w:ind w:left="0" w:right="0"/>
              <w:jc w:val="center"/>
              <w:cnfStyle w:val="000000010000" w:firstRow="0" w:lastRow="0" w:firstColumn="0" w:lastColumn="0" w:oddVBand="0" w:evenVBand="0" w:oddHBand="0" w:evenHBand="1" w:firstRowFirstColumn="0" w:firstRowLastColumn="0" w:lastRowFirstColumn="0" w:lastRowLastColumn="0"/>
              <w:rPr>
                <w:rFonts w:ascii="Calibri" w:hAnsi="Calibri" w:cs="Calibri"/>
                <w:sz w:val="20"/>
                <w:szCs w:val="20"/>
                <w:lang w:val="en-GB"/>
              </w:rPr>
            </w:pPr>
            <w:r w:rsidRPr="00221992">
              <w:rPr>
                <w:rFonts w:ascii="Calibri" w:hAnsi="Calibri" w:cs="Calibri"/>
                <w:sz w:val="20"/>
                <w:szCs w:val="20"/>
                <w:lang w:val="en-GB"/>
              </w:rPr>
              <w:t>NI</w:t>
            </w:r>
          </w:p>
        </w:tc>
        <w:tc>
          <w:tcPr>
            <w:tcW w:w="987" w:type="dxa"/>
          </w:tcPr>
          <w:p w14:paraId="2FD22A79" w14:textId="77777777" w:rsidR="00A0762E" w:rsidRPr="00221992" w:rsidRDefault="00A0762E" w:rsidP="00D210B9">
            <w:pPr>
              <w:pStyle w:val="TableText"/>
              <w:keepNext/>
              <w:keepLines/>
              <w:spacing w:before="0" w:after="0" w:line="240" w:lineRule="auto"/>
              <w:ind w:left="0" w:right="0"/>
              <w:jc w:val="center"/>
              <w:cnfStyle w:val="000000010000" w:firstRow="0" w:lastRow="0" w:firstColumn="0" w:lastColumn="0" w:oddVBand="0" w:evenVBand="0" w:oddHBand="0" w:evenHBand="1" w:firstRowFirstColumn="0" w:firstRowLastColumn="0" w:lastRowFirstColumn="0" w:lastRowLastColumn="0"/>
              <w:rPr>
                <w:rFonts w:ascii="Calibri" w:hAnsi="Calibri" w:cs="Calibri"/>
                <w:sz w:val="20"/>
                <w:szCs w:val="20"/>
                <w:lang w:val="en-GB"/>
              </w:rPr>
            </w:pPr>
            <w:r w:rsidRPr="00221992">
              <w:rPr>
                <w:rFonts w:ascii="Calibri" w:hAnsi="Calibri" w:cs="Calibri"/>
                <w:sz w:val="20"/>
                <w:szCs w:val="20"/>
                <w:lang w:val="en-GB"/>
              </w:rPr>
              <w:t>17</w:t>
            </w:r>
          </w:p>
        </w:tc>
      </w:tr>
      <w:tr w:rsidR="00A0762E" w:rsidRPr="00221992" w14:paraId="41F348F6" w14:textId="77777777" w:rsidTr="00CE4CE2">
        <w:tc>
          <w:tcPr>
            <w:cnfStyle w:val="001000000000" w:firstRow="0" w:lastRow="0" w:firstColumn="1" w:lastColumn="0" w:oddVBand="0" w:evenVBand="0" w:oddHBand="0" w:evenHBand="0" w:firstRowFirstColumn="0" w:firstRowLastColumn="0" w:lastRowFirstColumn="0" w:lastRowLastColumn="0"/>
            <w:tcW w:w="1696" w:type="dxa"/>
            <w:shd w:val="clear" w:color="auto" w:fill="1E8BCD"/>
          </w:tcPr>
          <w:p w14:paraId="1A856358" w14:textId="77777777" w:rsidR="00A0762E" w:rsidRPr="00221992" w:rsidRDefault="00A0762E" w:rsidP="00D210B9">
            <w:pPr>
              <w:pStyle w:val="TableText"/>
              <w:keepNext/>
              <w:keepLines/>
              <w:spacing w:before="0" w:after="0" w:line="240" w:lineRule="auto"/>
              <w:rPr>
                <w:sz w:val="20"/>
                <w:szCs w:val="20"/>
                <w:lang w:val="en-GB"/>
              </w:rPr>
            </w:pPr>
            <w:r w:rsidRPr="00221992">
              <w:rPr>
                <w:sz w:val="20"/>
                <w:szCs w:val="20"/>
                <w:lang w:val="en-GB"/>
              </w:rPr>
              <w:t>Belgium</w:t>
            </w:r>
          </w:p>
        </w:tc>
        <w:tc>
          <w:tcPr>
            <w:tcW w:w="1134" w:type="dxa"/>
          </w:tcPr>
          <w:p w14:paraId="0A40E011" w14:textId="77777777" w:rsidR="00A0762E" w:rsidRPr="00221992" w:rsidRDefault="00A0762E" w:rsidP="00D210B9">
            <w:pPr>
              <w:pStyle w:val="TableText"/>
              <w:keepNext/>
              <w:keepLines/>
              <w:spacing w:before="0" w:after="0" w:line="240" w:lineRule="auto"/>
              <w:ind w:left="0" w:right="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lang w:val="en-GB"/>
              </w:rPr>
            </w:pPr>
          </w:p>
        </w:tc>
        <w:tc>
          <w:tcPr>
            <w:tcW w:w="1276" w:type="dxa"/>
          </w:tcPr>
          <w:p w14:paraId="75E0AF62" w14:textId="77777777" w:rsidR="00A0762E" w:rsidRPr="00221992" w:rsidRDefault="00A0762E" w:rsidP="00D210B9">
            <w:pPr>
              <w:pStyle w:val="TableText"/>
              <w:keepNext/>
              <w:keepLines/>
              <w:spacing w:before="0" w:after="0" w:line="240" w:lineRule="auto"/>
              <w:ind w:left="0" w:right="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lang w:val="en-GB"/>
              </w:rPr>
            </w:pPr>
            <w:r w:rsidRPr="00221992">
              <w:rPr>
                <w:rFonts w:ascii="Wingdings" w:eastAsia="Wingdings" w:hAnsi="Wingdings" w:cs="Wingdings"/>
                <w:sz w:val="20"/>
                <w:szCs w:val="20"/>
                <w:lang w:val="en-GB"/>
              </w:rPr>
              <w:t></w:t>
            </w:r>
          </w:p>
        </w:tc>
        <w:tc>
          <w:tcPr>
            <w:tcW w:w="1134" w:type="dxa"/>
          </w:tcPr>
          <w:p w14:paraId="47B5402E" w14:textId="77777777" w:rsidR="00A0762E" w:rsidRPr="00221992" w:rsidRDefault="00A0762E" w:rsidP="00D210B9">
            <w:pPr>
              <w:pStyle w:val="TableText"/>
              <w:keepNext/>
              <w:keepLines/>
              <w:spacing w:before="0" w:after="0" w:line="240" w:lineRule="auto"/>
              <w:ind w:left="0" w:right="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lang w:val="en-GB"/>
              </w:rPr>
            </w:pPr>
          </w:p>
        </w:tc>
        <w:tc>
          <w:tcPr>
            <w:tcW w:w="1418" w:type="dxa"/>
          </w:tcPr>
          <w:p w14:paraId="0F6C0F0A" w14:textId="77777777" w:rsidR="00A0762E" w:rsidRPr="00221992" w:rsidRDefault="00A0762E" w:rsidP="00D210B9">
            <w:pPr>
              <w:pStyle w:val="TableText"/>
              <w:keepNext/>
              <w:keepLines/>
              <w:spacing w:before="0" w:after="0" w:line="240" w:lineRule="auto"/>
              <w:ind w:left="0" w:right="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lang w:val="en-GB"/>
              </w:rPr>
            </w:pPr>
            <w:r w:rsidRPr="00221992">
              <w:rPr>
                <w:rFonts w:ascii="Wingdings" w:eastAsia="Wingdings" w:hAnsi="Wingdings" w:cs="Wingdings"/>
                <w:sz w:val="20"/>
                <w:szCs w:val="20"/>
                <w:lang w:val="en-GB"/>
              </w:rPr>
              <w:t></w:t>
            </w:r>
          </w:p>
        </w:tc>
        <w:tc>
          <w:tcPr>
            <w:tcW w:w="1559" w:type="dxa"/>
          </w:tcPr>
          <w:p w14:paraId="3F899C71" w14:textId="77777777" w:rsidR="00A0762E" w:rsidRPr="00221992" w:rsidRDefault="00A0762E" w:rsidP="00D210B9">
            <w:pPr>
              <w:pStyle w:val="TableText"/>
              <w:keepNext/>
              <w:keepLines/>
              <w:spacing w:before="0" w:after="0" w:line="240" w:lineRule="auto"/>
              <w:ind w:left="0" w:right="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lang w:val="en-GB"/>
              </w:rPr>
            </w:pPr>
            <w:r w:rsidRPr="00221992">
              <w:rPr>
                <w:rFonts w:ascii="Calibri" w:hAnsi="Calibri" w:cs="Calibri"/>
                <w:sz w:val="20"/>
                <w:szCs w:val="20"/>
                <w:lang w:val="en-GB"/>
              </w:rPr>
              <w:t>558</w:t>
            </w:r>
          </w:p>
        </w:tc>
        <w:tc>
          <w:tcPr>
            <w:tcW w:w="987" w:type="dxa"/>
          </w:tcPr>
          <w:p w14:paraId="1D438287" w14:textId="77777777" w:rsidR="00A0762E" w:rsidRPr="00221992" w:rsidRDefault="00A0762E" w:rsidP="00D210B9">
            <w:pPr>
              <w:pStyle w:val="TableText"/>
              <w:keepNext/>
              <w:keepLines/>
              <w:spacing w:before="0" w:after="0" w:line="240" w:lineRule="auto"/>
              <w:ind w:left="0" w:right="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lang w:val="en-GB"/>
              </w:rPr>
            </w:pPr>
            <w:r w:rsidRPr="00221992">
              <w:rPr>
                <w:rFonts w:ascii="Calibri" w:hAnsi="Calibri" w:cs="Calibri"/>
                <w:sz w:val="20"/>
                <w:szCs w:val="20"/>
                <w:lang w:val="en-GB"/>
              </w:rPr>
              <w:t>22</w:t>
            </w:r>
          </w:p>
        </w:tc>
      </w:tr>
      <w:tr w:rsidR="00A0762E" w:rsidRPr="00221992" w14:paraId="7F25FDE5" w14:textId="77777777" w:rsidTr="00CE4CE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shd w:val="clear" w:color="auto" w:fill="1E8BCD"/>
          </w:tcPr>
          <w:p w14:paraId="2D42EFFE" w14:textId="77777777" w:rsidR="00A0762E" w:rsidRPr="00221992" w:rsidRDefault="00A0762E" w:rsidP="00D210B9">
            <w:pPr>
              <w:pStyle w:val="TableText"/>
              <w:keepNext/>
              <w:keepLines/>
              <w:spacing w:before="0" w:after="0" w:line="240" w:lineRule="auto"/>
              <w:rPr>
                <w:sz w:val="20"/>
                <w:szCs w:val="20"/>
                <w:lang w:val="en-GB"/>
              </w:rPr>
            </w:pPr>
            <w:r w:rsidRPr="00221992">
              <w:rPr>
                <w:sz w:val="20"/>
                <w:szCs w:val="20"/>
                <w:lang w:val="en-GB"/>
              </w:rPr>
              <w:t>Canada</w:t>
            </w:r>
          </w:p>
        </w:tc>
        <w:tc>
          <w:tcPr>
            <w:tcW w:w="1134" w:type="dxa"/>
          </w:tcPr>
          <w:p w14:paraId="7BFDA8F4" w14:textId="77777777" w:rsidR="00A0762E" w:rsidRPr="00221992" w:rsidRDefault="00A0762E" w:rsidP="00D210B9">
            <w:pPr>
              <w:pStyle w:val="TableText"/>
              <w:keepNext/>
              <w:keepLines/>
              <w:spacing w:before="0" w:after="0" w:line="240" w:lineRule="auto"/>
              <w:ind w:left="0" w:right="0"/>
              <w:jc w:val="center"/>
              <w:cnfStyle w:val="000000010000" w:firstRow="0" w:lastRow="0" w:firstColumn="0" w:lastColumn="0" w:oddVBand="0" w:evenVBand="0" w:oddHBand="0" w:evenHBand="1" w:firstRowFirstColumn="0" w:firstRowLastColumn="0" w:lastRowFirstColumn="0" w:lastRowLastColumn="0"/>
              <w:rPr>
                <w:rFonts w:ascii="Calibri" w:hAnsi="Calibri" w:cs="Calibri"/>
                <w:sz w:val="20"/>
                <w:szCs w:val="20"/>
                <w:lang w:val="en-GB"/>
              </w:rPr>
            </w:pPr>
          </w:p>
        </w:tc>
        <w:tc>
          <w:tcPr>
            <w:tcW w:w="1276" w:type="dxa"/>
          </w:tcPr>
          <w:p w14:paraId="4D4795FF" w14:textId="77777777" w:rsidR="00A0762E" w:rsidRPr="00221992" w:rsidRDefault="00A0762E" w:rsidP="00D210B9">
            <w:pPr>
              <w:pStyle w:val="TableText"/>
              <w:keepNext/>
              <w:keepLines/>
              <w:spacing w:before="0" w:after="0" w:line="240" w:lineRule="auto"/>
              <w:ind w:left="0" w:right="0"/>
              <w:jc w:val="center"/>
              <w:cnfStyle w:val="000000010000" w:firstRow="0" w:lastRow="0" w:firstColumn="0" w:lastColumn="0" w:oddVBand="0" w:evenVBand="0" w:oddHBand="0" w:evenHBand="1" w:firstRowFirstColumn="0" w:firstRowLastColumn="0" w:lastRowFirstColumn="0" w:lastRowLastColumn="0"/>
              <w:rPr>
                <w:rFonts w:ascii="Calibri" w:hAnsi="Calibri" w:cs="Calibri"/>
                <w:sz w:val="20"/>
                <w:szCs w:val="20"/>
                <w:lang w:val="en-GB"/>
              </w:rPr>
            </w:pPr>
          </w:p>
        </w:tc>
        <w:tc>
          <w:tcPr>
            <w:tcW w:w="1134" w:type="dxa"/>
          </w:tcPr>
          <w:p w14:paraId="4E522D21" w14:textId="77777777" w:rsidR="00A0762E" w:rsidRPr="00221992" w:rsidRDefault="00A0762E" w:rsidP="00D210B9">
            <w:pPr>
              <w:pStyle w:val="TableText"/>
              <w:keepNext/>
              <w:keepLines/>
              <w:spacing w:before="0" w:after="0" w:line="240" w:lineRule="auto"/>
              <w:ind w:left="0" w:right="0"/>
              <w:jc w:val="center"/>
              <w:cnfStyle w:val="000000010000" w:firstRow="0" w:lastRow="0" w:firstColumn="0" w:lastColumn="0" w:oddVBand="0" w:evenVBand="0" w:oddHBand="0" w:evenHBand="1" w:firstRowFirstColumn="0" w:firstRowLastColumn="0" w:lastRowFirstColumn="0" w:lastRowLastColumn="0"/>
              <w:rPr>
                <w:rFonts w:ascii="Calibri" w:hAnsi="Calibri" w:cs="Calibri"/>
                <w:sz w:val="20"/>
                <w:szCs w:val="20"/>
                <w:vertAlign w:val="superscript"/>
                <w:lang w:val="en-GB"/>
              </w:rPr>
            </w:pPr>
            <w:r w:rsidRPr="00221992">
              <w:rPr>
                <w:rFonts w:ascii="Wingdings" w:eastAsia="Wingdings" w:hAnsi="Wingdings" w:cs="Wingdings"/>
                <w:sz w:val="20"/>
                <w:szCs w:val="20"/>
                <w:lang w:val="en-GB"/>
              </w:rPr>
              <w:t></w:t>
            </w:r>
            <w:r w:rsidRPr="00221992">
              <w:rPr>
                <w:rFonts w:ascii="Calibri" w:hAnsi="Calibri" w:cs="Calibri"/>
                <w:sz w:val="20"/>
                <w:szCs w:val="20"/>
                <w:vertAlign w:val="superscript"/>
                <w:lang w:val="en-GB"/>
              </w:rPr>
              <w:t>1</w:t>
            </w:r>
          </w:p>
        </w:tc>
        <w:tc>
          <w:tcPr>
            <w:tcW w:w="1418" w:type="dxa"/>
          </w:tcPr>
          <w:p w14:paraId="419A2E7E" w14:textId="77777777" w:rsidR="00A0762E" w:rsidRPr="00221992" w:rsidRDefault="00A0762E" w:rsidP="00D210B9">
            <w:pPr>
              <w:pStyle w:val="TableText"/>
              <w:keepNext/>
              <w:keepLines/>
              <w:spacing w:before="0" w:after="0" w:line="240" w:lineRule="auto"/>
              <w:ind w:left="0" w:right="0"/>
              <w:jc w:val="center"/>
              <w:cnfStyle w:val="000000010000" w:firstRow="0" w:lastRow="0" w:firstColumn="0" w:lastColumn="0" w:oddVBand="0" w:evenVBand="0" w:oddHBand="0" w:evenHBand="1" w:firstRowFirstColumn="0" w:firstRowLastColumn="0" w:lastRowFirstColumn="0" w:lastRowLastColumn="0"/>
              <w:rPr>
                <w:rFonts w:ascii="Calibri" w:hAnsi="Calibri" w:cs="Calibri"/>
                <w:sz w:val="20"/>
                <w:szCs w:val="20"/>
                <w:lang w:val="en-GB"/>
              </w:rPr>
            </w:pPr>
            <w:r w:rsidRPr="00221992">
              <w:rPr>
                <w:rFonts w:ascii="Wingdings" w:eastAsia="Wingdings" w:hAnsi="Wingdings" w:cs="Wingdings"/>
                <w:sz w:val="20"/>
                <w:szCs w:val="20"/>
                <w:lang w:val="en-GB"/>
              </w:rPr>
              <w:t></w:t>
            </w:r>
          </w:p>
        </w:tc>
        <w:tc>
          <w:tcPr>
            <w:tcW w:w="1559" w:type="dxa"/>
          </w:tcPr>
          <w:p w14:paraId="52F67A01" w14:textId="77777777" w:rsidR="00A0762E" w:rsidRPr="00221992" w:rsidRDefault="00A0762E" w:rsidP="00D210B9">
            <w:pPr>
              <w:pStyle w:val="TableText"/>
              <w:keepNext/>
              <w:keepLines/>
              <w:spacing w:before="0" w:after="0" w:line="240" w:lineRule="auto"/>
              <w:ind w:left="0" w:right="0"/>
              <w:jc w:val="center"/>
              <w:cnfStyle w:val="000000010000" w:firstRow="0" w:lastRow="0" w:firstColumn="0" w:lastColumn="0" w:oddVBand="0" w:evenVBand="0" w:oddHBand="0" w:evenHBand="1" w:firstRowFirstColumn="0" w:firstRowLastColumn="0" w:lastRowFirstColumn="0" w:lastRowLastColumn="0"/>
              <w:rPr>
                <w:rFonts w:ascii="Calibri" w:hAnsi="Calibri" w:cs="Calibri"/>
                <w:sz w:val="20"/>
                <w:szCs w:val="20"/>
                <w:lang w:val="en-GB"/>
              </w:rPr>
            </w:pPr>
            <w:r w:rsidRPr="00221992">
              <w:rPr>
                <w:rFonts w:ascii="Calibri" w:hAnsi="Calibri" w:cs="Calibri"/>
                <w:sz w:val="20"/>
                <w:szCs w:val="20"/>
                <w:lang w:val="en-GB"/>
              </w:rPr>
              <w:t>733</w:t>
            </w:r>
          </w:p>
        </w:tc>
        <w:tc>
          <w:tcPr>
            <w:tcW w:w="987" w:type="dxa"/>
          </w:tcPr>
          <w:p w14:paraId="54B35739" w14:textId="77777777" w:rsidR="00A0762E" w:rsidRPr="00221992" w:rsidRDefault="00A0762E" w:rsidP="00D210B9">
            <w:pPr>
              <w:pStyle w:val="TableText"/>
              <w:keepNext/>
              <w:keepLines/>
              <w:spacing w:before="0" w:after="0" w:line="240" w:lineRule="auto"/>
              <w:ind w:left="0" w:right="0"/>
              <w:jc w:val="center"/>
              <w:cnfStyle w:val="000000010000" w:firstRow="0" w:lastRow="0" w:firstColumn="0" w:lastColumn="0" w:oddVBand="0" w:evenVBand="0" w:oddHBand="0" w:evenHBand="1" w:firstRowFirstColumn="0" w:firstRowLastColumn="0" w:lastRowFirstColumn="0" w:lastRowLastColumn="0"/>
              <w:rPr>
                <w:rFonts w:ascii="Calibri" w:hAnsi="Calibri" w:cs="Calibri"/>
                <w:sz w:val="20"/>
                <w:szCs w:val="20"/>
                <w:lang w:val="en-GB"/>
              </w:rPr>
            </w:pPr>
            <w:r w:rsidRPr="00221992">
              <w:rPr>
                <w:rFonts w:ascii="Calibri" w:hAnsi="Calibri" w:cs="Calibri"/>
                <w:sz w:val="20"/>
                <w:szCs w:val="20"/>
                <w:lang w:val="en-GB"/>
              </w:rPr>
              <w:t>NI</w:t>
            </w:r>
          </w:p>
        </w:tc>
      </w:tr>
      <w:tr w:rsidR="00A0762E" w:rsidRPr="00221992" w14:paraId="5EEE6896" w14:textId="77777777" w:rsidTr="00CE4CE2">
        <w:tc>
          <w:tcPr>
            <w:cnfStyle w:val="001000000000" w:firstRow="0" w:lastRow="0" w:firstColumn="1" w:lastColumn="0" w:oddVBand="0" w:evenVBand="0" w:oddHBand="0" w:evenHBand="0" w:firstRowFirstColumn="0" w:firstRowLastColumn="0" w:lastRowFirstColumn="0" w:lastRowLastColumn="0"/>
            <w:tcW w:w="1696" w:type="dxa"/>
            <w:shd w:val="clear" w:color="auto" w:fill="1E8BCD"/>
          </w:tcPr>
          <w:p w14:paraId="6F8A3260" w14:textId="77777777" w:rsidR="00A0762E" w:rsidRPr="00221992" w:rsidRDefault="00A0762E" w:rsidP="00D210B9">
            <w:pPr>
              <w:pStyle w:val="TableText"/>
              <w:keepNext/>
              <w:keepLines/>
              <w:spacing w:before="0" w:after="0" w:line="240" w:lineRule="auto"/>
              <w:rPr>
                <w:sz w:val="20"/>
                <w:szCs w:val="20"/>
                <w:lang w:val="en-GB"/>
              </w:rPr>
            </w:pPr>
            <w:r w:rsidRPr="00221992">
              <w:rPr>
                <w:sz w:val="20"/>
                <w:szCs w:val="20"/>
                <w:lang w:val="en-GB"/>
              </w:rPr>
              <w:t>England/Wales</w:t>
            </w:r>
          </w:p>
        </w:tc>
        <w:tc>
          <w:tcPr>
            <w:tcW w:w="1134" w:type="dxa"/>
          </w:tcPr>
          <w:p w14:paraId="23BB7434" w14:textId="77777777" w:rsidR="00A0762E" w:rsidRPr="00221992" w:rsidRDefault="00A0762E" w:rsidP="00D210B9">
            <w:pPr>
              <w:pStyle w:val="TableText"/>
              <w:keepNext/>
              <w:keepLines/>
              <w:spacing w:before="0" w:after="0" w:line="240" w:lineRule="auto"/>
              <w:ind w:left="0" w:right="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lang w:val="en-GB"/>
              </w:rPr>
            </w:pPr>
            <w:r w:rsidRPr="00221992">
              <w:rPr>
                <w:rFonts w:ascii="Wingdings" w:eastAsia="Wingdings" w:hAnsi="Wingdings" w:cs="Wingdings"/>
                <w:sz w:val="20"/>
                <w:szCs w:val="20"/>
                <w:lang w:val="en-GB"/>
              </w:rPr>
              <w:t></w:t>
            </w:r>
          </w:p>
        </w:tc>
        <w:tc>
          <w:tcPr>
            <w:tcW w:w="1276" w:type="dxa"/>
          </w:tcPr>
          <w:p w14:paraId="6965B4F2" w14:textId="77777777" w:rsidR="00A0762E" w:rsidRPr="00221992" w:rsidRDefault="00A0762E" w:rsidP="00D210B9">
            <w:pPr>
              <w:pStyle w:val="TableText"/>
              <w:keepNext/>
              <w:keepLines/>
              <w:spacing w:before="0" w:after="0" w:line="240" w:lineRule="auto"/>
              <w:ind w:left="0" w:right="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lang w:val="en-GB"/>
              </w:rPr>
            </w:pPr>
            <w:r w:rsidRPr="00221992">
              <w:rPr>
                <w:rFonts w:ascii="Wingdings" w:eastAsia="Wingdings" w:hAnsi="Wingdings" w:cs="Wingdings"/>
                <w:sz w:val="20"/>
                <w:szCs w:val="20"/>
                <w:lang w:val="en-GB"/>
              </w:rPr>
              <w:t></w:t>
            </w:r>
          </w:p>
        </w:tc>
        <w:tc>
          <w:tcPr>
            <w:tcW w:w="1134" w:type="dxa"/>
          </w:tcPr>
          <w:p w14:paraId="7DDBA1BE" w14:textId="77777777" w:rsidR="00A0762E" w:rsidRPr="00221992" w:rsidRDefault="00A0762E" w:rsidP="00D210B9">
            <w:pPr>
              <w:pStyle w:val="TableText"/>
              <w:keepNext/>
              <w:keepLines/>
              <w:spacing w:before="0" w:after="0" w:line="240" w:lineRule="auto"/>
              <w:ind w:left="0" w:right="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lang w:val="en-GB"/>
              </w:rPr>
            </w:pPr>
          </w:p>
        </w:tc>
        <w:tc>
          <w:tcPr>
            <w:tcW w:w="1418" w:type="dxa"/>
          </w:tcPr>
          <w:p w14:paraId="6DD9038F" w14:textId="77777777" w:rsidR="00A0762E" w:rsidRPr="00221992" w:rsidRDefault="00A0762E" w:rsidP="00D210B9">
            <w:pPr>
              <w:pStyle w:val="TableText"/>
              <w:keepNext/>
              <w:keepLines/>
              <w:spacing w:before="0" w:after="0" w:line="240" w:lineRule="auto"/>
              <w:ind w:left="0" w:right="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lang w:val="en-GB"/>
              </w:rPr>
            </w:pPr>
            <w:r w:rsidRPr="00221992">
              <w:rPr>
                <w:rFonts w:ascii="Wingdings" w:eastAsia="Wingdings" w:hAnsi="Wingdings" w:cs="Wingdings"/>
                <w:sz w:val="20"/>
                <w:szCs w:val="20"/>
                <w:lang w:val="en-GB"/>
              </w:rPr>
              <w:t></w:t>
            </w:r>
          </w:p>
        </w:tc>
        <w:tc>
          <w:tcPr>
            <w:tcW w:w="1559" w:type="dxa"/>
          </w:tcPr>
          <w:p w14:paraId="396A89CC" w14:textId="77777777" w:rsidR="00A0762E" w:rsidRPr="00221992" w:rsidRDefault="00A0762E" w:rsidP="00D210B9">
            <w:pPr>
              <w:pStyle w:val="TableText"/>
              <w:keepNext/>
              <w:keepLines/>
              <w:spacing w:before="0" w:after="0" w:line="240" w:lineRule="auto"/>
              <w:ind w:left="0" w:right="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lang w:val="en-GB"/>
              </w:rPr>
            </w:pPr>
            <w:r w:rsidRPr="00221992">
              <w:rPr>
                <w:rFonts w:ascii="Calibri" w:hAnsi="Calibri" w:cs="Calibri"/>
                <w:sz w:val="20"/>
                <w:szCs w:val="20"/>
                <w:lang w:val="en-GB"/>
              </w:rPr>
              <w:t>317</w:t>
            </w:r>
          </w:p>
        </w:tc>
        <w:tc>
          <w:tcPr>
            <w:tcW w:w="987" w:type="dxa"/>
          </w:tcPr>
          <w:p w14:paraId="473532E5" w14:textId="77777777" w:rsidR="00A0762E" w:rsidRPr="00221992" w:rsidRDefault="00A0762E" w:rsidP="00D210B9">
            <w:pPr>
              <w:pStyle w:val="TableText"/>
              <w:keepNext/>
              <w:keepLines/>
              <w:spacing w:before="0" w:after="0" w:line="240" w:lineRule="auto"/>
              <w:ind w:left="0" w:right="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lang w:val="en-GB"/>
              </w:rPr>
            </w:pPr>
            <w:r w:rsidRPr="00221992">
              <w:rPr>
                <w:rFonts w:ascii="Calibri" w:hAnsi="Calibri" w:cs="Calibri"/>
                <w:sz w:val="20"/>
                <w:szCs w:val="20"/>
                <w:lang w:val="en-GB"/>
              </w:rPr>
              <w:t>36</w:t>
            </w:r>
          </w:p>
        </w:tc>
      </w:tr>
      <w:tr w:rsidR="00A0762E" w:rsidRPr="00221992" w14:paraId="182B47B1" w14:textId="77777777" w:rsidTr="00CE4CE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shd w:val="clear" w:color="auto" w:fill="1E8BCD"/>
          </w:tcPr>
          <w:p w14:paraId="7B2F23D2" w14:textId="77777777" w:rsidR="00A0762E" w:rsidRPr="00221992" w:rsidRDefault="00A0762E" w:rsidP="00D210B9">
            <w:pPr>
              <w:pStyle w:val="TableText"/>
              <w:keepNext/>
              <w:keepLines/>
              <w:spacing w:before="0" w:after="0" w:line="240" w:lineRule="auto"/>
              <w:rPr>
                <w:sz w:val="20"/>
                <w:szCs w:val="20"/>
                <w:lang w:val="en-GB"/>
              </w:rPr>
            </w:pPr>
            <w:r w:rsidRPr="00221992">
              <w:rPr>
                <w:sz w:val="20"/>
                <w:szCs w:val="20"/>
                <w:lang w:val="en-GB"/>
              </w:rPr>
              <w:t>France</w:t>
            </w:r>
          </w:p>
        </w:tc>
        <w:tc>
          <w:tcPr>
            <w:tcW w:w="1134" w:type="dxa"/>
          </w:tcPr>
          <w:p w14:paraId="5A7E2D9E" w14:textId="77777777" w:rsidR="00A0762E" w:rsidRPr="00221992" w:rsidRDefault="00A0762E" w:rsidP="00D210B9">
            <w:pPr>
              <w:pStyle w:val="TableText"/>
              <w:keepNext/>
              <w:keepLines/>
              <w:spacing w:before="0" w:after="0" w:line="240" w:lineRule="auto"/>
              <w:ind w:left="0" w:right="0"/>
              <w:jc w:val="center"/>
              <w:cnfStyle w:val="000000010000" w:firstRow="0" w:lastRow="0" w:firstColumn="0" w:lastColumn="0" w:oddVBand="0" w:evenVBand="0" w:oddHBand="0" w:evenHBand="1" w:firstRowFirstColumn="0" w:firstRowLastColumn="0" w:lastRowFirstColumn="0" w:lastRowLastColumn="0"/>
              <w:rPr>
                <w:rFonts w:ascii="Calibri" w:hAnsi="Calibri" w:cs="Calibri"/>
                <w:sz w:val="20"/>
                <w:szCs w:val="20"/>
                <w:lang w:val="en-GB"/>
              </w:rPr>
            </w:pPr>
          </w:p>
        </w:tc>
        <w:tc>
          <w:tcPr>
            <w:tcW w:w="1276" w:type="dxa"/>
          </w:tcPr>
          <w:p w14:paraId="35A8E9AE" w14:textId="77777777" w:rsidR="00A0762E" w:rsidRPr="00221992" w:rsidRDefault="00A0762E" w:rsidP="00D210B9">
            <w:pPr>
              <w:pStyle w:val="TableText"/>
              <w:keepNext/>
              <w:keepLines/>
              <w:spacing w:before="0" w:after="0" w:line="240" w:lineRule="auto"/>
              <w:ind w:left="0" w:right="0"/>
              <w:jc w:val="center"/>
              <w:cnfStyle w:val="000000010000" w:firstRow="0" w:lastRow="0" w:firstColumn="0" w:lastColumn="0" w:oddVBand="0" w:evenVBand="0" w:oddHBand="0" w:evenHBand="1" w:firstRowFirstColumn="0" w:firstRowLastColumn="0" w:lastRowFirstColumn="0" w:lastRowLastColumn="0"/>
              <w:rPr>
                <w:rFonts w:ascii="Calibri" w:hAnsi="Calibri" w:cs="Calibri"/>
                <w:sz w:val="20"/>
                <w:szCs w:val="20"/>
                <w:lang w:val="en-GB"/>
              </w:rPr>
            </w:pPr>
            <w:r w:rsidRPr="00221992">
              <w:rPr>
                <w:rFonts w:ascii="Wingdings" w:eastAsia="Wingdings" w:hAnsi="Wingdings" w:cs="Wingdings"/>
                <w:sz w:val="20"/>
                <w:szCs w:val="20"/>
                <w:lang w:val="en-GB"/>
              </w:rPr>
              <w:t></w:t>
            </w:r>
          </w:p>
        </w:tc>
        <w:tc>
          <w:tcPr>
            <w:tcW w:w="1134" w:type="dxa"/>
          </w:tcPr>
          <w:p w14:paraId="2C19858A" w14:textId="77777777" w:rsidR="00A0762E" w:rsidRPr="00221992" w:rsidRDefault="00A0762E" w:rsidP="00D210B9">
            <w:pPr>
              <w:pStyle w:val="TableText"/>
              <w:keepNext/>
              <w:keepLines/>
              <w:spacing w:before="0" w:after="0" w:line="240" w:lineRule="auto"/>
              <w:ind w:left="0" w:right="0"/>
              <w:jc w:val="center"/>
              <w:cnfStyle w:val="000000010000" w:firstRow="0" w:lastRow="0" w:firstColumn="0" w:lastColumn="0" w:oddVBand="0" w:evenVBand="0" w:oddHBand="0" w:evenHBand="1" w:firstRowFirstColumn="0" w:firstRowLastColumn="0" w:lastRowFirstColumn="0" w:lastRowLastColumn="0"/>
              <w:rPr>
                <w:rFonts w:ascii="Calibri" w:hAnsi="Calibri" w:cs="Calibri"/>
                <w:sz w:val="20"/>
                <w:szCs w:val="20"/>
                <w:lang w:val="en-GB"/>
              </w:rPr>
            </w:pPr>
          </w:p>
        </w:tc>
        <w:tc>
          <w:tcPr>
            <w:tcW w:w="1418" w:type="dxa"/>
          </w:tcPr>
          <w:p w14:paraId="6A24C3FD" w14:textId="77777777" w:rsidR="00A0762E" w:rsidRPr="00221992" w:rsidRDefault="00A0762E" w:rsidP="00D210B9">
            <w:pPr>
              <w:pStyle w:val="TableText"/>
              <w:keepNext/>
              <w:keepLines/>
              <w:spacing w:before="0" w:after="0" w:line="240" w:lineRule="auto"/>
              <w:ind w:left="0" w:right="0"/>
              <w:jc w:val="center"/>
              <w:cnfStyle w:val="000000010000" w:firstRow="0" w:lastRow="0" w:firstColumn="0" w:lastColumn="0" w:oddVBand="0" w:evenVBand="0" w:oddHBand="0" w:evenHBand="1" w:firstRowFirstColumn="0" w:firstRowLastColumn="0" w:lastRowFirstColumn="0" w:lastRowLastColumn="0"/>
              <w:rPr>
                <w:rFonts w:ascii="Calibri" w:hAnsi="Calibri" w:cs="Calibri"/>
                <w:sz w:val="20"/>
                <w:szCs w:val="20"/>
                <w:lang w:val="en-GB"/>
              </w:rPr>
            </w:pPr>
            <w:r w:rsidRPr="00221992">
              <w:rPr>
                <w:rFonts w:ascii="Wingdings" w:eastAsia="Wingdings" w:hAnsi="Wingdings" w:cs="Wingdings"/>
                <w:sz w:val="20"/>
                <w:szCs w:val="20"/>
                <w:lang w:val="en-GB"/>
              </w:rPr>
              <w:t></w:t>
            </w:r>
          </w:p>
        </w:tc>
        <w:tc>
          <w:tcPr>
            <w:tcW w:w="1559" w:type="dxa"/>
          </w:tcPr>
          <w:p w14:paraId="1F7FBE58" w14:textId="77777777" w:rsidR="00A0762E" w:rsidRPr="00221992" w:rsidRDefault="00A0762E" w:rsidP="00D210B9">
            <w:pPr>
              <w:pStyle w:val="TableText"/>
              <w:keepNext/>
              <w:keepLines/>
              <w:spacing w:before="0" w:after="0" w:line="240" w:lineRule="auto"/>
              <w:ind w:left="0" w:right="0"/>
              <w:jc w:val="center"/>
              <w:cnfStyle w:val="000000010000" w:firstRow="0" w:lastRow="0" w:firstColumn="0" w:lastColumn="0" w:oddVBand="0" w:evenVBand="0" w:oddHBand="0" w:evenHBand="1" w:firstRowFirstColumn="0" w:firstRowLastColumn="0" w:lastRowFirstColumn="0" w:lastRowLastColumn="0"/>
              <w:rPr>
                <w:rFonts w:ascii="Calibri" w:hAnsi="Calibri" w:cs="Calibri"/>
                <w:sz w:val="20"/>
                <w:szCs w:val="20"/>
                <w:lang w:val="en-GB"/>
              </w:rPr>
            </w:pPr>
            <w:r w:rsidRPr="00221992">
              <w:rPr>
                <w:rFonts w:ascii="Calibri" w:hAnsi="Calibri" w:cs="Calibri"/>
                <w:sz w:val="20"/>
                <w:szCs w:val="20"/>
                <w:lang w:val="en-GB"/>
              </w:rPr>
              <w:t>593</w:t>
            </w:r>
          </w:p>
        </w:tc>
        <w:tc>
          <w:tcPr>
            <w:tcW w:w="987" w:type="dxa"/>
          </w:tcPr>
          <w:p w14:paraId="02B5EBFF" w14:textId="77777777" w:rsidR="00A0762E" w:rsidRPr="00221992" w:rsidRDefault="00A0762E" w:rsidP="00D210B9">
            <w:pPr>
              <w:pStyle w:val="TableText"/>
              <w:keepNext/>
              <w:keepLines/>
              <w:spacing w:before="0" w:after="0" w:line="240" w:lineRule="auto"/>
              <w:ind w:left="0" w:right="0"/>
              <w:jc w:val="center"/>
              <w:cnfStyle w:val="000000010000" w:firstRow="0" w:lastRow="0" w:firstColumn="0" w:lastColumn="0" w:oddVBand="0" w:evenVBand="0" w:oddHBand="0" w:evenHBand="1" w:firstRowFirstColumn="0" w:firstRowLastColumn="0" w:lastRowFirstColumn="0" w:lastRowLastColumn="0"/>
              <w:rPr>
                <w:rFonts w:ascii="Calibri" w:hAnsi="Calibri" w:cs="Calibri"/>
                <w:sz w:val="20"/>
                <w:szCs w:val="20"/>
                <w:lang w:val="en-GB"/>
              </w:rPr>
            </w:pPr>
            <w:r w:rsidRPr="00221992">
              <w:rPr>
                <w:rFonts w:ascii="Calibri" w:hAnsi="Calibri" w:cs="Calibri"/>
                <w:sz w:val="20"/>
                <w:szCs w:val="20"/>
                <w:lang w:val="en-GB"/>
              </w:rPr>
              <w:t>48</w:t>
            </w:r>
          </w:p>
        </w:tc>
      </w:tr>
      <w:tr w:rsidR="00A0762E" w:rsidRPr="00221992" w14:paraId="600698EC" w14:textId="77777777" w:rsidTr="00CE4CE2">
        <w:tc>
          <w:tcPr>
            <w:cnfStyle w:val="001000000000" w:firstRow="0" w:lastRow="0" w:firstColumn="1" w:lastColumn="0" w:oddVBand="0" w:evenVBand="0" w:oddHBand="0" w:evenHBand="0" w:firstRowFirstColumn="0" w:firstRowLastColumn="0" w:lastRowFirstColumn="0" w:lastRowLastColumn="0"/>
            <w:tcW w:w="1696" w:type="dxa"/>
            <w:shd w:val="clear" w:color="auto" w:fill="1E8BCD"/>
          </w:tcPr>
          <w:p w14:paraId="4F6A11AA" w14:textId="77777777" w:rsidR="00A0762E" w:rsidRPr="00221992" w:rsidRDefault="00A0762E" w:rsidP="00D210B9">
            <w:pPr>
              <w:pStyle w:val="TableText"/>
              <w:keepNext/>
              <w:keepLines/>
              <w:spacing w:before="0" w:after="0" w:line="240" w:lineRule="auto"/>
              <w:rPr>
                <w:sz w:val="20"/>
                <w:szCs w:val="20"/>
                <w:lang w:val="en-GB"/>
              </w:rPr>
            </w:pPr>
            <w:r w:rsidRPr="00221992">
              <w:rPr>
                <w:sz w:val="20"/>
                <w:szCs w:val="20"/>
                <w:lang w:val="en-GB"/>
              </w:rPr>
              <w:t>Germany</w:t>
            </w:r>
          </w:p>
        </w:tc>
        <w:tc>
          <w:tcPr>
            <w:tcW w:w="1134" w:type="dxa"/>
          </w:tcPr>
          <w:p w14:paraId="333498BA" w14:textId="77777777" w:rsidR="00A0762E" w:rsidRPr="00221992" w:rsidRDefault="00A0762E" w:rsidP="00D210B9">
            <w:pPr>
              <w:pStyle w:val="TableText"/>
              <w:keepNext/>
              <w:keepLines/>
              <w:spacing w:before="0" w:after="0" w:line="240" w:lineRule="auto"/>
              <w:ind w:left="0" w:right="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lang w:val="en-GB"/>
              </w:rPr>
            </w:pPr>
          </w:p>
        </w:tc>
        <w:tc>
          <w:tcPr>
            <w:tcW w:w="1276" w:type="dxa"/>
          </w:tcPr>
          <w:p w14:paraId="03D3D59D" w14:textId="77777777" w:rsidR="00A0762E" w:rsidRPr="00221992" w:rsidRDefault="00A0762E" w:rsidP="00D210B9">
            <w:pPr>
              <w:pStyle w:val="TableText"/>
              <w:keepNext/>
              <w:keepLines/>
              <w:spacing w:before="0" w:after="0" w:line="240" w:lineRule="auto"/>
              <w:ind w:left="0" w:right="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lang w:val="en-GB"/>
              </w:rPr>
            </w:pPr>
            <w:r w:rsidRPr="00221992">
              <w:rPr>
                <w:rFonts w:ascii="Wingdings" w:eastAsia="Wingdings" w:hAnsi="Wingdings" w:cs="Wingdings"/>
                <w:sz w:val="20"/>
                <w:szCs w:val="20"/>
                <w:lang w:val="en-GB"/>
              </w:rPr>
              <w:t></w:t>
            </w:r>
          </w:p>
        </w:tc>
        <w:tc>
          <w:tcPr>
            <w:tcW w:w="1134" w:type="dxa"/>
          </w:tcPr>
          <w:p w14:paraId="70B6AACB" w14:textId="77777777" w:rsidR="00A0762E" w:rsidRPr="00221992" w:rsidRDefault="00A0762E" w:rsidP="00D210B9">
            <w:pPr>
              <w:pStyle w:val="TableText"/>
              <w:keepNext/>
              <w:keepLines/>
              <w:spacing w:before="0" w:after="0" w:line="240" w:lineRule="auto"/>
              <w:ind w:left="0" w:right="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lang w:val="en-GB"/>
              </w:rPr>
            </w:pPr>
          </w:p>
        </w:tc>
        <w:tc>
          <w:tcPr>
            <w:tcW w:w="1418" w:type="dxa"/>
          </w:tcPr>
          <w:p w14:paraId="2AC327E1" w14:textId="77777777" w:rsidR="00A0762E" w:rsidRPr="00221992" w:rsidRDefault="00A0762E" w:rsidP="00D210B9">
            <w:pPr>
              <w:pStyle w:val="TableText"/>
              <w:keepNext/>
              <w:keepLines/>
              <w:spacing w:before="0" w:after="0" w:line="240" w:lineRule="auto"/>
              <w:ind w:left="0" w:right="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lang w:val="en-GB"/>
              </w:rPr>
            </w:pPr>
            <w:r w:rsidRPr="00221992">
              <w:rPr>
                <w:rFonts w:ascii="Calibri" w:hAnsi="Calibri" w:cs="Calibri"/>
                <w:sz w:val="20"/>
                <w:szCs w:val="20"/>
                <w:lang w:val="en-GB"/>
              </w:rPr>
              <w:t>NI</w:t>
            </w:r>
          </w:p>
        </w:tc>
        <w:tc>
          <w:tcPr>
            <w:tcW w:w="1559" w:type="dxa"/>
          </w:tcPr>
          <w:p w14:paraId="1BDDBF6D" w14:textId="77777777" w:rsidR="00A0762E" w:rsidRPr="00221992" w:rsidRDefault="00A0762E" w:rsidP="00D210B9">
            <w:pPr>
              <w:pStyle w:val="TableText"/>
              <w:keepNext/>
              <w:keepLines/>
              <w:spacing w:before="0" w:after="0" w:line="240" w:lineRule="auto"/>
              <w:ind w:left="0" w:right="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lang w:val="en-GB"/>
              </w:rPr>
            </w:pPr>
            <w:r w:rsidRPr="00221992">
              <w:rPr>
                <w:rFonts w:ascii="Calibri" w:hAnsi="Calibri" w:cs="Calibri"/>
                <w:sz w:val="20"/>
                <w:szCs w:val="20"/>
                <w:lang w:val="en-GB"/>
              </w:rPr>
              <w:t>45</w:t>
            </w:r>
          </w:p>
        </w:tc>
        <w:tc>
          <w:tcPr>
            <w:tcW w:w="987" w:type="dxa"/>
          </w:tcPr>
          <w:p w14:paraId="25058686" w14:textId="77777777" w:rsidR="00A0762E" w:rsidRPr="00221992" w:rsidRDefault="00A0762E" w:rsidP="00D210B9">
            <w:pPr>
              <w:pStyle w:val="TableText"/>
              <w:keepNext/>
              <w:keepLines/>
              <w:spacing w:before="0" w:after="0" w:line="240" w:lineRule="auto"/>
              <w:ind w:left="0" w:right="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lang w:val="en-GB"/>
              </w:rPr>
            </w:pPr>
            <w:r w:rsidRPr="00221992">
              <w:rPr>
                <w:rFonts w:ascii="Calibri" w:hAnsi="Calibri" w:cs="Calibri"/>
                <w:sz w:val="20"/>
                <w:szCs w:val="20"/>
                <w:lang w:val="en-GB"/>
              </w:rPr>
              <w:t>55</w:t>
            </w:r>
          </w:p>
        </w:tc>
      </w:tr>
      <w:tr w:rsidR="00A0762E" w:rsidRPr="00221992" w14:paraId="227B98AE" w14:textId="77777777" w:rsidTr="00CE4CE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shd w:val="clear" w:color="auto" w:fill="1E8BCD"/>
          </w:tcPr>
          <w:p w14:paraId="78257231" w14:textId="77777777" w:rsidR="00A0762E" w:rsidRPr="00221992" w:rsidRDefault="00A0762E" w:rsidP="00D210B9">
            <w:pPr>
              <w:pStyle w:val="TableText"/>
              <w:keepNext/>
              <w:keepLines/>
              <w:spacing w:before="0" w:after="0" w:line="240" w:lineRule="auto"/>
              <w:rPr>
                <w:sz w:val="20"/>
                <w:szCs w:val="20"/>
                <w:lang w:val="en-GB"/>
              </w:rPr>
            </w:pPr>
            <w:r w:rsidRPr="00221992">
              <w:rPr>
                <w:sz w:val="20"/>
                <w:szCs w:val="20"/>
                <w:lang w:val="en-GB"/>
              </w:rPr>
              <w:t>Italy</w:t>
            </w:r>
          </w:p>
        </w:tc>
        <w:tc>
          <w:tcPr>
            <w:tcW w:w="1134" w:type="dxa"/>
          </w:tcPr>
          <w:p w14:paraId="4F9AC78C" w14:textId="77777777" w:rsidR="00A0762E" w:rsidRPr="00221992" w:rsidRDefault="00A0762E" w:rsidP="00D210B9">
            <w:pPr>
              <w:pStyle w:val="TableText"/>
              <w:keepNext/>
              <w:keepLines/>
              <w:spacing w:before="0" w:after="0" w:line="240" w:lineRule="auto"/>
              <w:ind w:left="0" w:right="0"/>
              <w:jc w:val="center"/>
              <w:cnfStyle w:val="000000010000" w:firstRow="0" w:lastRow="0" w:firstColumn="0" w:lastColumn="0" w:oddVBand="0" w:evenVBand="0" w:oddHBand="0" w:evenHBand="1" w:firstRowFirstColumn="0" w:firstRowLastColumn="0" w:lastRowFirstColumn="0" w:lastRowLastColumn="0"/>
              <w:rPr>
                <w:rFonts w:ascii="Calibri" w:hAnsi="Calibri" w:cs="Calibri"/>
                <w:sz w:val="20"/>
                <w:szCs w:val="20"/>
                <w:lang w:val="en-GB"/>
              </w:rPr>
            </w:pPr>
            <w:r w:rsidRPr="00221992">
              <w:rPr>
                <w:rFonts w:ascii="Wingdings" w:eastAsia="Wingdings" w:hAnsi="Wingdings" w:cs="Wingdings"/>
                <w:sz w:val="20"/>
                <w:szCs w:val="20"/>
                <w:lang w:val="en-GB"/>
              </w:rPr>
              <w:t></w:t>
            </w:r>
          </w:p>
        </w:tc>
        <w:tc>
          <w:tcPr>
            <w:tcW w:w="1276" w:type="dxa"/>
          </w:tcPr>
          <w:p w14:paraId="7FE62889" w14:textId="77777777" w:rsidR="00A0762E" w:rsidRPr="00221992" w:rsidRDefault="00A0762E" w:rsidP="00D210B9">
            <w:pPr>
              <w:pStyle w:val="TableText"/>
              <w:keepNext/>
              <w:keepLines/>
              <w:spacing w:before="0" w:after="0" w:line="240" w:lineRule="auto"/>
              <w:ind w:left="0" w:right="0"/>
              <w:jc w:val="center"/>
              <w:cnfStyle w:val="000000010000" w:firstRow="0" w:lastRow="0" w:firstColumn="0" w:lastColumn="0" w:oddVBand="0" w:evenVBand="0" w:oddHBand="0" w:evenHBand="1" w:firstRowFirstColumn="0" w:firstRowLastColumn="0" w:lastRowFirstColumn="0" w:lastRowLastColumn="0"/>
              <w:rPr>
                <w:rFonts w:ascii="Calibri" w:hAnsi="Calibri" w:cs="Calibri"/>
                <w:sz w:val="20"/>
                <w:szCs w:val="20"/>
                <w:lang w:val="en-GB"/>
              </w:rPr>
            </w:pPr>
          </w:p>
        </w:tc>
        <w:tc>
          <w:tcPr>
            <w:tcW w:w="1134" w:type="dxa"/>
          </w:tcPr>
          <w:p w14:paraId="3BAE1870" w14:textId="77777777" w:rsidR="00A0762E" w:rsidRPr="00221992" w:rsidRDefault="00A0762E" w:rsidP="00D210B9">
            <w:pPr>
              <w:pStyle w:val="TableText"/>
              <w:keepNext/>
              <w:keepLines/>
              <w:spacing w:before="0" w:after="0" w:line="240" w:lineRule="auto"/>
              <w:ind w:left="0" w:right="0"/>
              <w:jc w:val="center"/>
              <w:cnfStyle w:val="000000010000" w:firstRow="0" w:lastRow="0" w:firstColumn="0" w:lastColumn="0" w:oddVBand="0" w:evenVBand="0" w:oddHBand="0" w:evenHBand="1" w:firstRowFirstColumn="0" w:firstRowLastColumn="0" w:lastRowFirstColumn="0" w:lastRowLastColumn="0"/>
              <w:rPr>
                <w:rFonts w:ascii="Calibri" w:hAnsi="Calibri" w:cs="Calibri"/>
                <w:sz w:val="20"/>
                <w:szCs w:val="20"/>
                <w:lang w:val="en-GB"/>
              </w:rPr>
            </w:pPr>
          </w:p>
        </w:tc>
        <w:tc>
          <w:tcPr>
            <w:tcW w:w="1418" w:type="dxa"/>
          </w:tcPr>
          <w:p w14:paraId="20EC6684" w14:textId="77777777" w:rsidR="00A0762E" w:rsidRPr="00221992" w:rsidRDefault="00A0762E" w:rsidP="00D210B9">
            <w:pPr>
              <w:pStyle w:val="TableText"/>
              <w:keepNext/>
              <w:keepLines/>
              <w:spacing w:before="0" w:after="0" w:line="240" w:lineRule="auto"/>
              <w:ind w:left="0" w:right="0"/>
              <w:jc w:val="center"/>
              <w:cnfStyle w:val="000000010000" w:firstRow="0" w:lastRow="0" w:firstColumn="0" w:lastColumn="0" w:oddVBand="0" w:evenVBand="0" w:oddHBand="0" w:evenHBand="1" w:firstRowFirstColumn="0" w:firstRowLastColumn="0" w:lastRowFirstColumn="0" w:lastRowLastColumn="0"/>
              <w:rPr>
                <w:rFonts w:ascii="Calibri" w:hAnsi="Calibri" w:cs="Calibri"/>
                <w:sz w:val="20"/>
                <w:szCs w:val="20"/>
                <w:lang w:val="en-GB"/>
              </w:rPr>
            </w:pPr>
            <w:r w:rsidRPr="00221992">
              <w:rPr>
                <w:rFonts w:ascii="Wingdings" w:eastAsia="Wingdings" w:hAnsi="Wingdings" w:cs="Wingdings"/>
                <w:sz w:val="20"/>
                <w:szCs w:val="20"/>
                <w:lang w:val="en-GB"/>
              </w:rPr>
              <w:t></w:t>
            </w:r>
          </w:p>
        </w:tc>
        <w:tc>
          <w:tcPr>
            <w:tcW w:w="1559" w:type="dxa"/>
          </w:tcPr>
          <w:p w14:paraId="2825AA06" w14:textId="77777777" w:rsidR="00A0762E" w:rsidRPr="00221992" w:rsidRDefault="00A0762E" w:rsidP="00D210B9">
            <w:pPr>
              <w:pStyle w:val="TableText"/>
              <w:keepNext/>
              <w:keepLines/>
              <w:spacing w:before="0" w:after="0" w:line="240" w:lineRule="auto"/>
              <w:ind w:left="0" w:right="0"/>
              <w:jc w:val="center"/>
              <w:cnfStyle w:val="000000010000" w:firstRow="0" w:lastRow="0" w:firstColumn="0" w:lastColumn="0" w:oddVBand="0" w:evenVBand="0" w:oddHBand="0" w:evenHBand="1" w:firstRowFirstColumn="0" w:firstRowLastColumn="0" w:lastRowFirstColumn="0" w:lastRowLastColumn="0"/>
              <w:rPr>
                <w:rFonts w:ascii="Calibri" w:hAnsi="Calibri" w:cs="Calibri"/>
                <w:sz w:val="20"/>
                <w:szCs w:val="20"/>
                <w:lang w:val="en-GB"/>
              </w:rPr>
            </w:pPr>
            <w:r w:rsidRPr="00221992">
              <w:rPr>
                <w:rFonts w:ascii="Calibri" w:hAnsi="Calibri" w:cs="Calibri"/>
                <w:sz w:val="20"/>
                <w:szCs w:val="20"/>
                <w:lang w:val="en-GB"/>
              </w:rPr>
              <w:t>457</w:t>
            </w:r>
          </w:p>
        </w:tc>
        <w:tc>
          <w:tcPr>
            <w:tcW w:w="987" w:type="dxa"/>
          </w:tcPr>
          <w:p w14:paraId="47F87A60" w14:textId="77777777" w:rsidR="00A0762E" w:rsidRPr="00221992" w:rsidRDefault="00A0762E" w:rsidP="00D210B9">
            <w:pPr>
              <w:pStyle w:val="TableText"/>
              <w:keepNext/>
              <w:keepLines/>
              <w:spacing w:before="0" w:after="0" w:line="240" w:lineRule="auto"/>
              <w:ind w:left="0" w:right="0"/>
              <w:jc w:val="center"/>
              <w:cnfStyle w:val="000000010000" w:firstRow="0" w:lastRow="0" w:firstColumn="0" w:lastColumn="0" w:oddVBand="0" w:evenVBand="0" w:oddHBand="0" w:evenHBand="1" w:firstRowFirstColumn="0" w:firstRowLastColumn="0" w:lastRowFirstColumn="0" w:lastRowLastColumn="0"/>
              <w:rPr>
                <w:rFonts w:ascii="Calibri" w:hAnsi="Calibri" w:cs="Calibri"/>
                <w:sz w:val="20"/>
                <w:szCs w:val="20"/>
                <w:lang w:val="en-GB"/>
              </w:rPr>
            </w:pPr>
            <w:r w:rsidRPr="00221992">
              <w:rPr>
                <w:rFonts w:ascii="Calibri" w:hAnsi="Calibri" w:cs="Calibri"/>
                <w:sz w:val="20"/>
                <w:szCs w:val="20"/>
                <w:lang w:val="en-GB"/>
              </w:rPr>
              <w:t>50</w:t>
            </w:r>
          </w:p>
        </w:tc>
      </w:tr>
      <w:tr w:rsidR="00A0762E" w:rsidRPr="00221992" w14:paraId="56F97832" w14:textId="77777777" w:rsidTr="00CE4CE2">
        <w:tc>
          <w:tcPr>
            <w:cnfStyle w:val="001000000000" w:firstRow="0" w:lastRow="0" w:firstColumn="1" w:lastColumn="0" w:oddVBand="0" w:evenVBand="0" w:oddHBand="0" w:evenHBand="0" w:firstRowFirstColumn="0" w:firstRowLastColumn="0" w:lastRowFirstColumn="0" w:lastRowLastColumn="0"/>
            <w:tcW w:w="1696" w:type="dxa"/>
            <w:shd w:val="clear" w:color="auto" w:fill="1E8BCD"/>
          </w:tcPr>
          <w:p w14:paraId="7A9D22F3" w14:textId="77777777" w:rsidR="00A0762E" w:rsidRPr="00221992" w:rsidRDefault="00A0762E" w:rsidP="00D210B9">
            <w:pPr>
              <w:pStyle w:val="TableText"/>
              <w:keepNext/>
              <w:keepLines/>
              <w:spacing w:before="0" w:after="0" w:line="240" w:lineRule="auto"/>
              <w:rPr>
                <w:sz w:val="20"/>
                <w:szCs w:val="20"/>
                <w:lang w:val="en-GB"/>
              </w:rPr>
            </w:pPr>
            <w:r w:rsidRPr="00221992">
              <w:rPr>
                <w:sz w:val="20"/>
                <w:szCs w:val="20"/>
                <w:lang w:val="en-GB"/>
              </w:rPr>
              <w:t>Japan</w:t>
            </w:r>
          </w:p>
        </w:tc>
        <w:tc>
          <w:tcPr>
            <w:tcW w:w="1134" w:type="dxa"/>
          </w:tcPr>
          <w:p w14:paraId="7952B903" w14:textId="77777777" w:rsidR="00A0762E" w:rsidRPr="00221992" w:rsidRDefault="00A0762E" w:rsidP="00D210B9">
            <w:pPr>
              <w:pStyle w:val="TableText"/>
              <w:keepNext/>
              <w:keepLines/>
              <w:spacing w:before="0" w:after="0" w:line="240" w:lineRule="auto"/>
              <w:ind w:left="0" w:right="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lang w:val="en-GB"/>
              </w:rPr>
            </w:pPr>
          </w:p>
        </w:tc>
        <w:tc>
          <w:tcPr>
            <w:tcW w:w="1276" w:type="dxa"/>
          </w:tcPr>
          <w:p w14:paraId="7590A824" w14:textId="77777777" w:rsidR="00A0762E" w:rsidRPr="00221992" w:rsidRDefault="00A0762E" w:rsidP="00D210B9">
            <w:pPr>
              <w:pStyle w:val="TableText"/>
              <w:keepNext/>
              <w:keepLines/>
              <w:spacing w:before="0" w:after="0" w:line="240" w:lineRule="auto"/>
              <w:ind w:left="0" w:right="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lang w:val="en-GB"/>
              </w:rPr>
            </w:pPr>
            <w:r w:rsidRPr="00221992">
              <w:rPr>
                <w:rFonts w:ascii="Wingdings" w:eastAsia="Wingdings" w:hAnsi="Wingdings" w:cs="Wingdings"/>
                <w:sz w:val="20"/>
                <w:szCs w:val="20"/>
                <w:lang w:val="en-GB"/>
              </w:rPr>
              <w:t></w:t>
            </w:r>
          </w:p>
        </w:tc>
        <w:tc>
          <w:tcPr>
            <w:tcW w:w="1134" w:type="dxa"/>
          </w:tcPr>
          <w:p w14:paraId="498F5740" w14:textId="77777777" w:rsidR="00A0762E" w:rsidRPr="00221992" w:rsidRDefault="00A0762E" w:rsidP="00D210B9">
            <w:pPr>
              <w:pStyle w:val="TableText"/>
              <w:keepNext/>
              <w:keepLines/>
              <w:spacing w:before="0" w:after="0" w:line="240" w:lineRule="auto"/>
              <w:ind w:left="0" w:right="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lang w:val="en-GB"/>
              </w:rPr>
            </w:pPr>
          </w:p>
        </w:tc>
        <w:tc>
          <w:tcPr>
            <w:tcW w:w="1418" w:type="dxa"/>
          </w:tcPr>
          <w:p w14:paraId="1B131AED" w14:textId="77777777" w:rsidR="00A0762E" w:rsidRPr="00221992" w:rsidRDefault="00A0762E" w:rsidP="00D210B9">
            <w:pPr>
              <w:pStyle w:val="TableText"/>
              <w:keepNext/>
              <w:keepLines/>
              <w:spacing w:before="0" w:after="0" w:line="240" w:lineRule="auto"/>
              <w:ind w:left="0" w:right="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lang w:val="en-GB"/>
              </w:rPr>
            </w:pPr>
            <w:r w:rsidRPr="00221992">
              <w:rPr>
                <w:rFonts w:ascii="Calibri" w:hAnsi="Calibri" w:cs="Calibri"/>
                <w:sz w:val="20"/>
                <w:szCs w:val="20"/>
                <w:lang w:val="en-GB"/>
              </w:rPr>
              <w:t>NI</w:t>
            </w:r>
          </w:p>
        </w:tc>
        <w:tc>
          <w:tcPr>
            <w:tcW w:w="1559" w:type="dxa"/>
          </w:tcPr>
          <w:p w14:paraId="46FCC66C" w14:textId="77777777" w:rsidR="00A0762E" w:rsidRPr="00221992" w:rsidRDefault="00A0762E" w:rsidP="00D210B9">
            <w:pPr>
              <w:pStyle w:val="TableText"/>
              <w:keepNext/>
              <w:keepLines/>
              <w:spacing w:before="0" w:after="0" w:line="240" w:lineRule="auto"/>
              <w:ind w:left="0" w:right="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lang w:val="en-GB"/>
              </w:rPr>
            </w:pPr>
            <w:r w:rsidRPr="00221992">
              <w:rPr>
                <w:rFonts w:ascii="Calibri" w:hAnsi="Calibri" w:cs="Calibri"/>
                <w:sz w:val="20"/>
                <w:szCs w:val="20"/>
                <w:lang w:val="en-GB"/>
              </w:rPr>
              <w:t>Approx. 100</w:t>
            </w:r>
          </w:p>
        </w:tc>
        <w:tc>
          <w:tcPr>
            <w:tcW w:w="987" w:type="dxa"/>
          </w:tcPr>
          <w:p w14:paraId="6A54EC48" w14:textId="77777777" w:rsidR="00A0762E" w:rsidRPr="00221992" w:rsidRDefault="00A0762E" w:rsidP="00D210B9">
            <w:pPr>
              <w:pStyle w:val="TableText"/>
              <w:keepNext/>
              <w:keepLines/>
              <w:spacing w:before="0" w:after="0" w:line="240" w:lineRule="auto"/>
              <w:ind w:left="0" w:right="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lang w:val="en-GB"/>
              </w:rPr>
            </w:pPr>
            <w:r w:rsidRPr="00221992">
              <w:rPr>
                <w:rFonts w:ascii="Calibri" w:hAnsi="Calibri" w:cs="Calibri"/>
                <w:sz w:val="20"/>
                <w:szCs w:val="20"/>
                <w:lang w:val="en-GB"/>
              </w:rPr>
              <w:t>NI</w:t>
            </w:r>
          </w:p>
        </w:tc>
      </w:tr>
      <w:tr w:rsidR="00A0762E" w:rsidRPr="00221992" w14:paraId="0E5D13DE" w14:textId="77777777" w:rsidTr="00CE4CE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shd w:val="clear" w:color="auto" w:fill="1E8BCD"/>
          </w:tcPr>
          <w:p w14:paraId="3B850189" w14:textId="77777777" w:rsidR="00A0762E" w:rsidRPr="00221992" w:rsidRDefault="00A0762E" w:rsidP="00D210B9">
            <w:pPr>
              <w:pStyle w:val="TableText"/>
              <w:keepNext/>
              <w:keepLines/>
              <w:spacing w:before="0" w:after="0" w:line="240" w:lineRule="auto"/>
              <w:rPr>
                <w:sz w:val="20"/>
                <w:szCs w:val="20"/>
                <w:lang w:val="en-GB"/>
              </w:rPr>
            </w:pPr>
            <w:r w:rsidRPr="00221992">
              <w:rPr>
                <w:sz w:val="20"/>
                <w:szCs w:val="20"/>
                <w:lang w:val="en-GB"/>
              </w:rPr>
              <w:t>Korea</w:t>
            </w:r>
          </w:p>
        </w:tc>
        <w:tc>
          <w:tcPr>
            <w:tcW w:w="1134" w:type="dxa"/>
          </w:tcPr>
          <w:p w14:paraId="7898C9C5" w14:textId="77777777" w:rsidR="00A0762E" w:rsidRPr="00221992" w:rsidRDefault="00A0762E" w:rsidP="00D210B9">
            <w:pPr>
              <w:pStyle w:val="TableText"/>
              <w:keepNext/>
              <w:keepLines/>
              <w:spacing w:before="0" w:after="0" w:line="240" w:lineRule="auto"/>
              <w:ind w:left="0" w:right="0"/>
              <w:jc w:val="center"/>
              <w:cnfStyle w:val="000000010000" w:firstRow="0" w:lastRow="0" w:firstColumn="0" w:lastColumn="0" w:oddVBand="0" w:evenVBand="0" w:oddHBand="0" w:evenHBand="1" w:firstRowFirstColumn="0" w:firstRowLastColumn="0" w:lastRowFirstColumn="0" w:lastRowLastColumn="0"/>
              <w:rPr>
                <w:rFonts w:ascii="Calibri" w:hAnsi="Calibri" w:cs="Calibri"/>
                <w:sz w:val="20"/>
                <w:szCs w:val="20"/>
                <w:lang w:val="en-GB"/>
              </w:rPr>
            </w:pPr>
          </w:p>
        </w:tc>
        <w:tc>
          <w:tcPr>
            <w:tcW w:w="1276" w:type="dxa"/>
          </w:tcPr>
          <w:p w14:paraId="18818514" w14:textId="77777777" w:rsidR="00A0762E" w:rsidRPr="00221992" w:rsidRDefault="00A0762E" w:rsidP="00D210B9">
            <w:pPr>
              <w:pStyle w:val="TableText"/>
              <w:keepNext/>
              <w:keepLines/>
              <w:spacing w:before="0" w:after="0" w:line="240" w:lineRule="auto"/>
              <w:ind w:left="0" w:right="0"/>
              <w:jc w:val="center"/>
              <w:cnfStyle w:val="000000010000" w:firstRow="0" w:lastRow="0" w:firstColumn="0" w:lastColumn="0" w:oddVBand="0" w:evenVBand="0" w:oddHBand="0" w:evenHBand="1" w:firstRowFirstColumn="0" w:firstRowLastColumn="0" w:lastRowFirstColumn="0" w:lastRowLastColumn="0"/>
              <w:rPr>
                <w:rFonts w:ascii="Calibri" w:hAnsi="Calibri" w:cs="Calibri"/>
                <w:sz w:val="20"/>
                <w:szCs w:val="20"/>
                <w:lang w:val="en-GB"/>
              </w:rPr>
            </w:pPr>
            <w:r w:rsidRPr="00221992">
              <w:rPr>
                <w:rFonts w:ascii="Wingdings" w:eastAsia="Wingdings" w:hAnsi="Wingdings" w:cs="Wingdings"/>
                <w:sz w:val="20"/>
                <w:szCs w:val="20"/>
                <w:lang w:val="en-GB"/>
              </w:rPr>
              <w:t></w:t>
            </w:r>
          </w:p>
        </w:tc>
        <w:tc>
          <w:tcPr>
            <w:tcW w:w="1134" w:type="dxa"/>
          </w:tcPr>
          <w:p w14:paraId="3BDB0324" w14:textId="77777777" w:rsidR="00A0762E" w:rsidRPr="00221992" w:rsidRDefault="00A0762E" w:rsidP="00D210B9">
            <w:pPr>
              <w:pStyle w:val="TableText"/>
              <w:keepNext/>
              <w:keepLines/>
              <w:spacing w:before="0" w:after="0" w:line="240" w:lineRule="auto"/>
              <w:ind w:left="0" w:right="0"/>
              <w:jc w:val="center"/>
              <w:cnfStyle w:val="000000010000" w:firstRow="0" w:lastRow="0" w:firstColumn="0" w:lastColumn="0" w:oddVBand="0" w:evenVBand="0" w:oddHBand="0" w:evenHBand="1" w:firstRowFirstColumn="0" w:firstRowLastColumn="0" w:lastRowFirstColumn="0" w:lastRowLastColumn="0"/>
              <w:rPr>
                <w:rFonts w:ascii="Calibri" w:hAnsi="Calibri" w:cs="Calibri"/>
                <w:sz w:val="20"/>
                <w:szCs w:val="20"/>
                <w:lang w:val="en-GB"/>
              </w:rPr>
            </w:pPr>
          </w:p>
        </w:tc>
        <w:tc>
          <w:tcPr>
            <w:tcW w:w="1418" w:type="dxa"/>
          </w:tcPr>
          <w:p w14:paraId="5C1462BA" w14:textId="77777777" w:rsidR="00A0762E" w:rsidRPr="00221992" w:rsidRDefault="00A0762E" w:rsidP="00D210B9">
            <w:pPr>
              <w:pStyle w:val="TableText"/>
              <w:keepNext/>
              <w:keepLines/>
              <w:spacing w:before="0" w:after="0" w:line="240" w:lineRule="auto"/>
              <w:ind w:left="0" w:right="0"/>
              <w:jc w:val="center"/>
              <w:cnfStyle w:val="000000010000" w:firstRow="0" w:lastRow="0" w:firstColumn="0" w:lastColumn="0" w:oddVBand="0" w:evenVBand="0" w:oddHBand="0" w:evenHBand="1" w:firstRowFirstColumn="0" w:firstRowLastColumn="0" w:lastRowFirstColumn="0" w:lastRowLastColumn="0"/>
              <w:rPr>
                <w:rFonts w:ascii="Calibri" w:hAnsi="Calibri" w:cs="Calibri"/>
                <w:sz w:val="20"/>
                <w:szCs w:val="20"/>
                <w:lang w:val="en-GB"/>
              </w:rPr>
            </w:pPr>
            <w:r w:rsidRPr="00221992">
              <w:rPr>
                <w:rFonts w:ascii="Calibri" w:hAnsi="Calibri" w:cs="Calibri"/>
                <w:sz w:val="20"/>
                <w:szCs w:val="20"/>
                <w:lang w:val="en-GB"/>
              </w:rPr>
              <w:t>NI</w:t>
            </w:r>
          </w:p>
        </w:tc>
        <w:tc>
          <w:tcPr>
            <w:tcW w:w="1559" w:type="dxa"/>
          </w:tcPr>
          <w:p w14:paraId="151C73EE" w14:textId="77777777" w:rsidR="00A0762E" w:rsidRPr="00221992" w:rsidRDefault="00A0762E" w:rsidP="00D210B9">
            <w:pPr>
              <w:pStyle w:val="TableText"/>
              <w:keepNext/>
              <w:keepLines/>
              <w:spacing w:before="0" w:after="0" w:line="240" w:lineRule="auto"/>
              <w:ind w:left="0" w:right="0"/>
              <w:jc w:val="center"/>
              <w:cnfStyle w:val="000000010000" w:firstRow="0" w:lastRow="0" w:firstColumn="0" w:lastColumn="0" w:oddVBand="0" w:evenVBand="0" w:oddHBand="0" w:evenHBand="1" w:firstRowFirstColumn="0" w:firstRowLastColumn="0" w:lastRowFirstColumn="0" w:lastRowLastColumn="0"/>
              <w:rPr>
                <w:rFonts w:ascii="Calibri" w:hAnsi="Calibri" w:cs="Calibri"/>
                <w:sz w:val="20"/>
                <w:szCs w:val="20"/>
                <w:lang w:val="en-GB"/>
              </w:rPr>
            </w:pPr>
            <w:r w:rsidRPr="00221992">
              <w:rPr>
                <w:rFonts w:ascii="Calibri" w:hAnsi="Calibri" w:cs="Calibri"/>
                <w:sz w:val="20"/>
                <w:szCs w:val="20"/>
                <w:lang w:val="en-GB"/>
              </w:rPr>
              <w:t>561</w:t>
            </w:r>
            <w:r w:rsidRPr="00221992">
              <w:rPr>
                <w:rFonts w:ascii="Calibri" w:hAnsi="Calibri" w:cs="Calibri"/>
                <w:sz w:val="20"/>
                <w:szCs w:val="20"/>
                <w:vertAlign w:val="superscript"/>
                <w:lang w:val="en-GB"/>
              </w:rPr>
              <w:t>4</w:t>
            </w:r>
          </w:p>
        </w:tc>
        <w:tc>
          <w:tcPr>
            <w:tcW w:w="987" w:type="dxa"/>
          </w:tcPr>
          <w:p w14:paraId="7F983CAF" w14:textId="77777777" w:rsidR="00A0762E" w:rsidRPr="00221992" w:rsidRDefault="00A0762E" w:rsidP="00D210B9">
            <w:pPr>
              <w:pStyle w:val="TableText"/>
              <w:keepNext/>
              <w:keepLines/>
              <w:spacing w:before="0" w:after="0" w:line="240" w:lineRule="auto"/>
              <w:ind w:left="0" w:right="0"/>
              <w:jc w:val="center"/>
              <w:cnfStyle w:val="000000010000" w:firstRow="0" w:lastRow="0" w:firstColumn="0" w:lastColumn="0" w:oddVBand="0" w:evenVBand="0" w:oddHBand="0" w:evenHBand="1" w:firstRowFirstColumn="0" w:firstRowLastColumn="0" w:lastRowFirstColumn="0" w:lastRowLastColumn="0"/>
              <w:rPr>
                <w:rFonts w:ascii="Calibri" w:hAnsi="Calibri" w:cs="Calibri"/>
                <w:sz w:val="20"/>
                <w:szCs w:val="20"/>
                <w:lang w:val="en-GB"/>
              </w:rPr>
            </w:pPr>
            <w:r w:rsidRPr="00221992">
              <w:rPr>
                <w:rFonts w:ascii="Calibri" w:hAnsi="Calibri" w:cs="Calibri"/>
                <w:sz w:val="20"/>
                <w:szCs w:val="20"/>
                <w:lang w:val="en-GB"/>
              </w:rPr>
              <w:t>88</w:t>
            </w:r>
            <w:r w:rsidRPr="00221992">
              <w:rPr>
                <w:rFonts w:ascii="Calibri" w:hAnsi="Calibri" w:cs="Calibri"/>
                <w:sz w:val="20"/>
                <w:szCs w:val="20"/>
                <w:vertAlign w:val="superscript"/>
                <w:lang w:val="en-GB"/>
              </w:rPr>
              <w:t>5</w:t>
            </w:r>
          </w:p>
        </w:tc>
      </w:tr>
      <w:tr w:rsidR="00A0762E" w:rsidRPr="00221992" w14:paraId="448394DC" w14:textId="77777777" w:rsidTr="00CE4CE2">
        <w:tc>
          <w:tcPr>
            <w:cnfStyle w:val="001000000000" w:firstRow="0" w:lastRow="0" w:firstColumn="1" w:lastColumn="0" w:oddVBand="0" w:evenVBand="0" w:oddHBand="0" w:evenHBand="0" w:firstRowFirstColumn="0" w:firstRowLastColumn="0" w:lastRowFirstColumn="0" w:lastRowLastColumn="0"/>
            <w:tcW w:w="1696" w:type="dxa"/>
            <w:shd w:val="clear" w:color="auto" w:fill="1E8BCD"/>
          </w:tcPr>
          <w:p w14:paraId="23CFDCBB" w14:textId="77777777" w:rsidR="00A0762E" w:rsidRPr="00221992" w:rsidRDefault="00A0762E" w:rsidP="00D210B9">
            <w:pPr>
              <w:pStyle w:val="TableText"/>
              <w:keepNext/>
              <w:keepLines/>
              <w:spacing w:before="0" w:after="0" w:line="240" w:lineRule="auto"/>
              <w:rPr>
                <w:sz w:val="20"/>
                <w:szCs w:val="20"/>
                <w:lang w:val="en-GB"/>
              </w:rPr>
            </w:pPr>
            <w:r w:rsidRPr="00221992">
              <w:rPr>
                <w:sz w:val="20"/>
                <w:szCs w:val="20"/>
                <w:lang w:val="en-GB"/>
              </w:rPr>
              <w:t>Netherlands</w:t>
            </w:r>
          </w:p>
        </w:tc>
        <w:tc>
          <w:tcPr>
            <w:tcW w:w="1134" w:type="dxa"/>
          </w:tcPr>
          <w:p w14:paraId="7853A46F" w14:textId="77777777" w:rsidR="00A0762E" w:rsidRPr="00221992" w:rsidRDefault="00A0762E" w:rsidP="00D210B9">
            <w:pPr>
              <w:pStyle w:val="TableText"/>
              <w:keepNext/>
              <w:keepLines/>
              <w:spacing w:before="0" w:after="0" w:line="240" w:lineRule="auto"/>
              <w:ind w:left="0" w:right="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lang w:val="en-GB"/>
              </w:rPr>
            </w:pPr>
            <w:r w:rsidRPr="00221992">
              <w:rPr>
                <w:rFonts w:ascii="Wingdings" w:eastAsia="Wingdings" w:hAnsi="Wingdings" w:cs="Wingdings"/>
                <w:sz w:val="20"/>
                <w:szCs w:val="20"/>
                <w:lang w:val="en-GB"/>
              </w:rPr>
              <w:t></w:t>
            </w:r>
          </w:p>
        </w:tc>
        <w:tc>
          <w:tcPr>
            <w:tcW w:w="1276" w:type="dxa"/>
          </w:tcPr>
          <w:p w14:paraId="3BD82080" w14:textId="77777777" w:rsidR="00A0762E" w:rsidRPr="00221992" w:rsidRDefault="00A0762E" w:rsidP="00D210B9">
            <w:pPr>
              <w:pStyle w:val="TableText"/>
              <w:keepNext/>
              <w:keepLines/>
              <w:spacing w:before="0" w:after="0" w:line="240" w:lineRule="auto"/>
              <w:ind w:left="0" w:right="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lang w:val="en-GB"/>
              </w:rPr>
            </w:pPr>
          </w:p>
        </w:tc>
        <w:tc>
          <w:tcPr>
            <w:tcW w:w="1134" w:type="dxa"/>
          </w:tcPr>
          <w:p w14:paraId="6D6390CF" w14:textId="77777777" w:rsidR="00A0762E" w:rsidRPr="00221992" w:rsidRDefault="00A0762E" w:rsidP="00D210B9">
            <w:pPr>
              <w:pStyle w:val="TableText"/>
              <w:keepNext/>
              <w:keepLines/>
              <w:spacing w:before="0" w:after="0" w:line="240" w:lineRule="auto"/>
              <w:ind w:left="0" w:right="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lang w:val="en-GB"/>
              </w:rPr>
            </w:pPr>
          </w:p>
        </w:tc>
        <w:tc>
          <w:tcPr>
            <w:tcW w:w="1418" w:type="dxa"/>
          </w:tcPr>
          <w:p w14:paraId="1FB74BE3" w14:textId="77777777" w:rsidR="00A0762E" w:rsidRPr="00221992" w:rsidRDefault="00A0762E" w:rsidP="00D210B9">
            <w:pPr>
              <w:pStyle w:val="TableText"/>
              <w:keepNext/>
              <w:keepLines/>
              <w:spacing w:before="0" w:after="0" w:line="240" w:lineRule="auto"/>
              <w:ind w:left="0" w:right="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lang w:val="en-GB"/>
              </w:rPr>
            </w:pPr>
            <w:r w:rsidRPr="00221992">
              <w:rPr>
                <w:rFonts w:ascii="Calibri" w:hAnsi="Calibri" w:cs="Calibri"/>
                <w:sz w:val="20"/>
                <w:szCs w:val="20"/>
                <w:lang w:val="en-GB"/>
              </w:rPr>
              <w:t>NI</w:t>
            </w:r>
          </w:p>
        </w:tc>
        <w:tc>
          <w:tcPr>
            <w:tcW w:w="1559" w:type="dxa"/>
          </w:tcPr>
          <w:p w14:paraId="55E71283" w14:textId="77777777" w:rsidR="00A0762E" w:rsidRPr="00221992" w:rsidRDefault="00A0762E" w:rsidP="00D210B9">
            <w:pPr>
              <w:pStyle w:val="TableText"/>
              <w:keepNext/>
              <w:keepLines/>
              <w:spacing w:before="0" w:after="0" w:line="240" w:lineRule="auto"/>
              <w:ind w:left="0" w:right="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lang w:val="en-GB"/>
              </w:rPr>
            </w:pPr>
            <w:r w:rsidRPr="00221992">
              <w:rPr>
                <w:rFonts w:ascii="Calibri" w:hAnsi="Calibri" w:cs="Calibri"/>
                <w:sz w:val="20"/>
                <w:szCs w:val="20"/>
                <w:lang w:val="en-GB"/>
              </w:rPr>
              <w:t>393</w:t>
            </w:r>
          </w:p>
        </w:tc>
        <w:tc>
          <w:tcPr>
            <w:tcW w:w="987" w:type="dxa"/>
          </w:tcPr>
          <w:p w14:paraId="1CBE1DA2" w14:textId="77777777" w:rsidR="00A0762E" w:rsidRPr="00221992" w:rsidRDefault="00A0762E" w:rsidP="00D210B9">
            <w:pPr>
              <w:pStyle w:val="TableText"/>
              <w:keepNext/>
              <w:keepLines/>
              <w:spacing w:before="0" w:after="0" w:line="240" w:lineRule="auto"/>
              <w:ind w:left="0" w:right="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lang w:val="en-GB"/>
              </w:rPr>
            </w:pPr>
            <w:r w:rsidRPr="00221992">
              <w:rPr>
                <w:rFonts w:ascii="Calibri" w:hAnsi="Calibri" w:cs="Calibri"/>
                <w:sz w:val="20"/>
                <w:szCs w:val="20"/>
                <w:lang w:val="en-GB"/>
              </w:rPr>
              <w:t>28</w:t>
            </w:r>
          </w:p>
        </w:tc>
      </w:tr>
      <w:tr w:rsidR="00A0762E" w:rsidRPr="00221992" w14:paraId="14AD48F3" w14:textId="77777777" w:rsidTr="00CE4CE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shd w:val="clear" w:color="auto" w:fill="1E8BCD"/>
          </w:tcPr>
          <w:p w14:paraId="06F2A0EE" w14:textId="77777777" w:rsidR="00A0762E" w:rsidRPr="00221992" w:rsidRDefault="00A0762E" w:rsidP="00D210B9">
            <w:pPr>
              <w:pStyle w:val="TableText"/>
              <w:keepNext/>
              <w:keepLines/>
              <w:spacing w:before="0" w:after="0" w:line="240" w:lineRule="auto"/>
              <w:rPr>
                <w:sz w:val="20"/>
                <w:szCs w:val="20"/>
                <w:lang w:val="en-GB"/>
              </w:rPr>
            </w:pPr>
            <w:r w:rsidRPr="00221992">
              <w:rPr>
                <w:sz w:val="20"/>
                <w:szCs w:val="20"/>
                <w:lang w:val="en-GB"/>
              </w:rPr>
              <w:t>New Zealand</w:t>
            </w:r>
          </w:p>
        </w:tc>
        <w:tc>
          <w:tcPr>
            <w:tcW w:w="1134" w:type="dxa"/>
          </w:tcPr>
          <w:p w14:paraId="2514783E" w14:textId="77777777" w:rsidR="00A0762E" w:rsidRPr="00221992" w:rsidRDefault="00A0762E" w:rsidP="00D210B9">
            <w:pPr>
              <w:pStyle w:val="TableText"/>
              <w:keepNext/>
              <w:keepLines/>
              <w:spacing w:before="0" w:after="0" w:line="240" w:lineRule="auto"/>
              <w:ind w:left="0" w:right="0"/>
              <w:jc w:val="center"/>
              <w:cnfStyle w:val="000000010000" w:firstRow="0" w:lastRow="0" w:firstColumn="0" w:lastColumn="0" w:oddVBand="0" w:evenVBand="0" w:oddHBand="0" w:evenHBand="1" w:firstRowFirstColumn="0" w:firstRowLastColumn="0" w:lastRowFirstColumn="0" w:lastRowLastColumn="0"/>
              <w:rPr>
                <w:rFonts w:ascii="Calibri" w:hAnsi="Calibri" w:cs="Calibri"/>
                <w:sz w:val="20"/>
                <w:szCs w:val="20"/>
                <w:lang w:val="en-GB"/>
              </w:rPr>
            </w:pPr>
            <w:r w:rsidRPr="00221992">
              <w:rPr>
                <w:rFonts w:ascii="Wingdings" w:eastAsia="Wingdings" w:hAnsi="Wingdings" w:cs="Wingdings"/>
                <w:sz w:val="20"/>
                <w:szCs w:val="20"/>
                <w:lang w:val="en-GB"/>
              </w:rPr>
              <w:t></w:t>
            </w:r>
          </w:p>
        </w:tc>
        <w:tc>
          <w:tcPr>
            <w:tcW w:w="1276" w:type="dxa"/>
          </w:tcPr>
          <w:p w14:paraId="1D55BBB1" w14:textId="77777777" w:rsidR="00A0762E" w:rsidRPr="00221992" w:rsidRDefault="00A0762E" w:rsidP="00D210B9">
            <w:pPr>
              <w:pStyle w:val="TableText"/>
              <w:keepNext/>
              <w:keepLines/>
              <w:spacing w:before="0" w:after="0" w:line="240" w:lineRule="auto"/>
              <w:ind w:left="0" w:right="0"/>
              <w:jc w:val="center"/>
              <w:cnfStyle w:val="000000010000" w:firstRow="0" w:lastRow="0" w:firstColumn="0" w:lastColumn="0" w:oddVBand="0" w:evenVBand="0" w:oddHBand="0" w:evenHBand="1" w:firstRowFirstColumn="0" w:firstRowLastColumn="0" w:lastRowFirstColumn="0" w:lastRowLastColumn="0"/>
              <w:rPr>
                <w:rFonts w:ascii="Calibri" w:hAnsi="Calibri" w:cs="Calibri"/>
                <w:sz w:val="20"/>
                <w:szCs w:val="20"/>
                <w:lang w:val="en-GB"/>
              </w:rPr>
            </w:pPr>
          </w:p>
        </w:tc>
        <w:tc>
          <w:tcPr>
            <w:tcW w:w="1134" w:type="dxa"/>
          </w:tcPr>
          <w:p w14:paraId="7D0E2E9E" w14:textId="77777777" w:rsidR="00A0762E" w:rsidRPr="00221992" w:rsidRDefault="00A0762E" w:rsidP="00D210B9">
            <w:pPr>
              <w:pStyle w:val="TableText"/>
              <w:keepNext/>
              <w:keepLines/>
              <w:spacing w:before="0" w:after="0" w:line="240" w:lineRule="auto"/>
              <w:ind w:left="0" w:right="0"/>
              <w:jc w:val="center"/>
              <w:cnfStyle w:val="000000010000" w:firstRow="0" w:lastRow="0" w:firstColumn="0" w:lastColumn="0" w:oddVBand="0" w:evenVBand="0" w:oddHBand="0" w:evenHBand="1" w:firstRowFirstColumn="0" w:firstRowLastColumn="0" w:lastRowFirstColumn="0" w:lastRowLastColumn="0"/>
              <w:rPr>
                <w:rFonts w:ascii="Calibri" w:hAnsi="Calibri" w:cs="Calibri"/>
                <w:sz w:val="20"/>
                <w:szCs w:val="20"/>
                <w:lang w:val="en-GB"/>
              </w:rPr>
            </w:pPr>
          </w:p>
        </w:tc>
        <w:tc>
          <w:tcPr>
            <w:tcW w:w="1418" w:type="dxa"/>
          </w:tcPr>
          <w:p w14:paraId="241F61E1" w14:textId="77777777" w:rsidR="00A0762E" w:rsidRPr="00221992" w:rsidRDefault="00A0762E" w:rsidP="00D210B9">
            <w:pPr>
              <w:pStyle w:val="TableText"/>
              <w:keepNext/>
              <w:keepLines/>
              <w:spacing w:before="0" w:after="0" w:line="240" w:lineRule="auto"/>
              <w:ind w:left="0" w:right="0"/>
              <w:jc w:val="center"/>
              <w:cnfStyle w:val="000000010000" w:firstRow="0" w:lastRow="0" w:firstColumn="0" w:lastColumn="0" w:oddVBand="0" w:evenVBand="0" w:oddHBand="0" w:evenHBand="1" w:firstRowFirstColumn="0" w:firstRowLastColumn="0" w:lastRowFirstColumn="0" w:lastRowLastColumn="0"/>
              <w:rPr>
                <w:rFonts w:ascii="Calibri" w:hAnsi="Calibri" w:cs="Calibri"/>
                <w:sz w:val="20"/>
                <w:szCs w:val="20"/>
                <w:lang w:val="en-GB"/>
              </w:rPr>
            </w:pPr>
            <w:r w:rsidRPr="00221992">
              <w:rPr>
                <w:rFonts w:ascii="Wingdings" w:eastAsia="Wingdings" w:hAnsi="Wingdings" w:cs="Wingdings"/>
                <w:sz w:val="20"/>
                <w:szCs w:val="20"/>
                <w:lang w:val="en-GB"/>
              </w:rPr>
              <w:t></w:t>
            </w:r>
          </w:p>
        </w:tc>
        <w:tc>
          <w:tcPr>
            <w:tcW w:w="1559" w:type="dxa"/>
          </w:tcPr>
          <w:p w14:paraId="62FABF97" w14:textId="77777777" w:rsidR="00A0762E" w:rsidRPr="00221992" w:rsidRDefault="00A0762E" w:rsidP="00D210B9">
            <w:pPr>
              <w:pStyle w:val="TableText"/>
              <w:keepNext/>
              <w:keepLines/>
              <w:spacing w:before="0" w:after="0" w:line="240" w:lineRule="auto"/>
              <w:ind w:left="0" w:right="0"/>
              <w:jc w:val="center"/>
              <w:cnfStyle w:val="000000010000" w:firstRow="0" w:lastRow="0" w:firstColumn="0" w:lastColumn="0" w:oddVBand="0" w:evenVBand="0" w:oddHBand="0" w:evenHBand="1" w:firstRowFirstColumn="0" w:firstRowLastColumn="0" w:lastRowFirstColumn="0" w:lastRowLastColumn="0"/>
              <w:rPr>
                <w:rFonts w:ascii="Calibri" w:hAnsi="Calibri" w:cs="Calibri"/>
                <w:sz w:val="20"/>
                <w:szCs w:val="20"/>
                <w:lang w:val="en-GB"/>
              </w:rPr>
            </w:pPr>
            <w:r w:rsidRPr="00221992">
              <w:rPr>
                <w:rFonts w:ascii="Calibri" w:hAnsi="Calibri" w:cs="Calibri"/>
                <w:sz w:val="20"/>
                <w:szCs w:val="20"/>
                <w:lang w:val="en-GB"/>
              </w:rPr>
              <w:t>NI</w:t>
            </w:r>
          </w:p>
        </w:tc>
        <w:tc>
          <w:tcPr>
            <w:tcW w:w="987" w:type="dxa"/>
          </w:tcPr>
          <w:p w14:paraId="4894EF4D" w14:textId="77777777" w:rsidR="00A0762E" w:rsidRPr="00221992" w:rsidRDefault="00A0762E" w:rsidP="00D210B9">
            <w:pPr>
              <w:pStyle w:val="TableText"/>
              <w:keepNext/>
              <w:keepLines/>
              <w:spacing w:before="0" w:after="0" w:line="240" w:lineRule="auto"/>
              <w:ind w:left="0" w:right="0"/>
              <w:jc w:val="center"/>
              <w:cnfStyle w:val="000000010000" w:firstRow="0" w:lastRow="0" w:firstColumn="0" w:lastColumn="0" w:oddVBand="0" w:evenVBand="0" w:oddHBand="0" w:evenHBand="1" w:firstRowFirstColumn="0" w:firstRowLastColumn="0" w:lastRowFirstColumn="0" w:lastRowLastColumn="0"/>
              <w:rPr>
                <w:rFonts w:ascii="Calibri" w:hAnsi="Calibri" w:cs="Calibri"/>
                <w:sz w:val="20"/>
                <w:szCs w:val="20"/>
                <w:lang w:val="en-GB"/>
              </w:rPr>
            </w:pPr>
            <w:r w:rsidRPr="00221992">
              <w:rPr>
                <w:rFonts w:ascii="Calibri" w:hAnsi="Calibri" w:cs="Calibri"/>
                <w:sz w:val="20"/>
                <w:szCs w:val="20"/>
                <w:lang w:val="en-GB"/>
              </w:rPr>
              <w:t>10 (2019)</w:t>
            </w:r>
          </w:p>
        </w:tc>
      </w:tr>
      <w:tr w:rsidR="00A0762E" w:rsidRPr="00221992" w14:paraId="5B5AF850" w14:textId="77777777" w:rsidTr="00CE4CE2">
        <w:tc>
          <w:tcPr>
            <w:cnfStyle w:val="001000000000" w:firstRow="0" w:lastRow="0" w:firstColumn="1" w:lastColumn="0" w:oddVBand="0" w:evenVBand="0" w:oddHBand="0" w:evenHBand="0" w:firstRowFirstColumn="0" w:firstRowLastColumn="0" w:lastRowFirstColumn="0" w:lastRowLastColumn="0"/>
            <w:tcW w:w="1696" w:type="dxa"/>
            <w:shd w:val="clear" w:color="auto" w:fill="1E8BCD"/>
          </w:tcPr>
          <w:p w14:paraId="56D43BF0" w14:textId="77777777" w:rsidR="00A0762E" w:rsidRPr="00221992" w:rsidRDefault="00A0762E" w:rsidP="00D210B9">
            <w:pPr>
              <w:pStyle w:val="TableText"/>
              <w:keepNext/>
              <w:keepLines/>
              <w:spacing w:before="0" w:after="0" w:line="240" w:lineRule="auto"/>
              <w:rPr>
                <w:sz w:val="20"/>
                <w:szCs w:val="20"/>
                <w:lang w:val="en-GB"/>
              </w:rPr>
            </w:pPr>
            <w:r w:rsidRPr="00221992">
              <w:rPr>
                <w:sz w:val="20"/>
                <w:szCs w:val="20"/>
                <w:lang w:val="en-GB"/>
              </w:rPr>
              <w:t>Norway</w:t>
            </w:r>
          </w:p>
        </w:tc>
        <w:tc>
          <w:tcPr>
            <w:tcW w:w="1134" w:type="dxa"/>
          </w:tcPr>
          <w:p w14:paraId="270C3FBB" w14:textId="77777777" w:rsidR="00A0762E" w:rsidRPr="00221992" w:rsidRDefault="00A0762E" w:rsidP="00D210B9">
            <w:pPr>
              <w:pStyle w:val="TableText"/>
              <w:keepNext/>
              <w:keepLines/>
              <w:spacing w:before="0" w:after="0" w:line="240" w:lineRule="auto"/>
              <w:ind w:left="0" w:right="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lang w:val="en-GB"/>
              </w:rPr>
            </w:pPr>
          </w:p>
        </w:tc>
        <w:tc>
          <w:tcPr>
            <w:tcW w:w="1276" w:type="dxa"/>
          </w:tcPr>
          <w:p w14:paraId="1BF59EBC" w14:textId="77777777" w:rsidR="00A0762E" w:rsidRPr="00221992" w:rsidRDefault="00A0762E" w:rsidP="00D210B9">
            <w:pPr>
              <w:pStyle w:val="TableText"/>
              <w:keepNext/>
              <w:keepLines/>
              <w:spacing w:before="0" w:after="0" w:line="240" w:lineRule="auto"/>
              <w:ind w:left="0" w:right="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lang w:val="en-GB"/>
              </w:rPr>
            </w:pPr>
            <w:r w:rsidRPr="00221992">
              <w:rPr>
                <w:rFonts w:ascii="Wingdings" w:eastAsia="Wingdings" w:hAnsi="Wingdings" w:cs="Wingdings"/>
                <w:sz w:val="20"/>
                <w:szCs w:val="20"/>
                <w:lang w:val="en-GB"/>
              </w:rPr>
              <w:t></w:t>
            </w:r>
          </w:p>
        </w:tc>
        <w:tc>
          <w:tcPr>
            <w:tcW w:w="1134" w:type="dxa"/>
          </w:tcPr>
          <w:p w14:paraId="38D755CF" w14:textId="77777777" w:rsidR="00A0762E" w:rsidRPr="00221992" w:rsidRDefault="00A0762E" w:rsidP="00D210B9">
            <w:pPr>
              <w:pStyle w:val="TableText"/>
              <w:keepNext/>
              <w:keepLines/>
              <w:spacing w:before="0" w:after="0" w:line="240" w:lineRule="auto"/>
              <w:ind w:left="0" w:right="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lang w:val="en-GB"/>
              </w:rPr>
            </w:pPr>
          </w:p>
        </w:tc>
        <w:tc>
          <w:tcPr>
            <w:tcW w:w="1418" w:type="dxa"/>
          </w:tcPr>
          <w:p w14:paraId="3803B2ED" w14:textId="77777777" w:rsidR="00A0762E" w:rsidRPr="00221992" w:rsidRDefault="00A0762E" w:rsidP="00D210B9">
            <w:pPr>
              <w:pStyle w:val="TableText"/>
              <w:keepNext/>
              <w:keepLines/>
              <w:spacing w:before="0" w:after="0" w:line="240" w:lineRule="auto"/>
              <w:ind w:left="0" w:right="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lang w:val="en-GB"/>
              </w:rPr>
            </w:pPr>
            <w:r w:rsidRPr="00221992">
              <w:rPr>
                <w:rFonts w:ascii="Wingdings" w:eastAsia="Wingdings" w:hAnsi="Wingdings" w:cs="Wingdings"/>
                <w:sz w:val="20"/>
                <w:szCs w:val="20"/>
                <w:lang w:val="en-GB"/>
              </w:rPr>
              <w:t></w:t>
            </w:r>
          </w:p>
        </w:tc>
        <w:tc>
          <w:tcPr>
            <w:tcW w:w="1559" w:type="dxa"/>
          </w:tcPr>
          <w:p w14:paraId="00F407F1" w14:textId="77777777" w:rsidR="00A0762E" w:rsidRPr="00221992" w:rsidRDefault="00A0762E" w:rsidP="00D210B9">
            <w:pPr>
              <w:pStyle w:val="TableText"/>
              <w:keepNext/>
              <w:keepLines/>
              <w:spacing w:before="0" w:after="0" w:line="240" w:lineRule="auto"/>
              <w:ind w:left="0" w:right="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lang w:val="en-GB"/>
              </w:rPr>
            </w:pPr>
            <w:r w:rsidRPr="00221992">
              <w:rPr>
                <w:rFonts w:ascii="Calibri" w:hAnsi="Calibri" w:cs="Calibri"/>
                <w:sz w:val="20"/>
                <w:szCs w:val="20"/>
                <w:lang w:val="en-GB"/>
              </w:rPr>
              <w:t>586</w:t>
            </w:r>
          </w:p>
        </w:tc>
        <w:tc>
          <w:tcPr>
            <w:tcW w:w="987" w:type="dxa"/>
          </w:tcPr>
          <w:p w14:paraId="2CE153DC" w14:textId="77777777" w:rsidR="00A0762E" w:rsidRPr="00221992" w:rsidRDefault="00A0762E" w:rsidP="00D210B9">
            <w:pPr>
              <w:pStyle w:val="TableText"/>
              <w:keepNext/>
              <w:keepLines/>
              <w:spacing w:before="0" w:after="0" w:line="240" w:lineRule="auto"/>
              <w:ind w:left="0" w:right="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lang w:val="en-GB"/>
              </w:rPr>
            </w:pPr>
            <w:r w:rsidRPr="00221992">
              <w:rPr>
                <w:rFonts w:ascii="Calibri" w:hAnsi="Calibri" w:cs="Calibri"/>
                <w:sz w:val="20"/>
                <w:szCs w:val="20"/>
                <w:lang w:val="en-GB"/>
              </w:rPr>
              <w:t>21</w:t>
            </w:r>
          </w:p>
        </w:tc>
      </w:tr>
      <w:tr w:rsidR="00A0762E" w:rsidRPr="00221992" w14:paraId="2A33EC0D" w14:textId="77777777" w:rsidTr="00CE4CE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shd w:val="clear" w:color="auto" w:fill="1E8BCD"/>
          </w:tcPr>
          <w:p w14:paraId="4BF4EECA" w14:textId="77777777" w:rsidR="00A0762E" w:rsidRPr="00221992" w:rsidRDefault="00A0762E" w:rsidP="00D210B9">
            <w:pPr>
              <w:pStyle w:val="TableText"/>
              <w:keepNext/>
              <w:keepLines/>
              <w:spacing w:before="0" w:after="0" w:line="240" w:lineRule="auto"/>
              <w:rPr>
                <w:sz w:val="20"/>
                <w:szCs w:val="20"/>
                <w:lang w:val="en-GB"/>
              </w:rPr>
            </w:pPr>
            <w:r w:rsidRPr="00221992">
              <w:rPr>
                <w:sz w:val="20"/>
                <w:szCs w:val="20"/>
                <w:lang w:val="en-GB"/>
              </w:rPr>
              <w:t>Scotland</w:t>
            </w:r>
          </w:p>
        </w:tc>
        <w:tc>
          <w:tcPr>
            <w:tcW w:w="1134" w:type="dxa"/>
          </w:tcPr>
          <w:p w14:paraId="0E7995D3" w14:textId="77777777" w:rsidR="00A0762E" w:rsidRPr="00221992" w:rsidRDefault="00A0762E" w:rsidP="00D210B9">
            <w:pPr>
              <w:pStyle w:val="TableText"/>
              <w:keepNext/>
              <w:keepLines/>
              <w:spacing w:before="0" w:after="0" w:line="240" w:lineRule="auto"/>
              <w:ind w:left="0" w:right="0"/>
              <w:jc w:val="center"/>
              <w:cnfStyle w:val="000000010000" w:firstRow="0" w:lastRow="0" w:firstColumn="0" w:lastColumn="0" w:oddVBand="0" w:evenVBand="0" w:oddHBand="0" w:evenHBand="1" w:firstRowFirstColumn="0" w:firstRowLastColumn="0" w:lastRowFirstColumn="0" w:lastRowLastColumn="0"/>
              <w:rPr>
                <w:rFonts w:ascii="Calibri" w:hAnsi="Calibri" w:cs="Calibri"/>
                <w:sz w:val="20"/>
                <w:szCs w:val="20"/>
                <w:lang w:val="en-GB"/>
              </w:rPr>
            </w:pPr>
            <w:r w:rsidRPr="00221992">
              <w:rPr>
                <w:rFonts w:ascii="Wingdings" w:eastAsia="Wingdings" w:hAnsi="Wingdings" w:cs="Wingdings"/>
                <w:sz w:val="20"/>
                <w:szCs w:val="20"/>
                <w:lang w:val="en-GB"/>
              </w:rPr>
              <w:t></w:t>
            </w:r>
          </w:p>
        </w:tc>
        <w:tc>
          <w:tcPr>
            <w:tcW w:w="1276" w:type="dxa"/>
          </w:tcPr>
          <w:p w14:paraId="69757C58" w14:textId="77777777" w:rsidR="00A0762E" w:rsidRPr="00221992" w:rsidRDefault="00A0762E" w:rsidP="00D210B9">
            <w:pPr>
              <w:pStyle w:val="TableText"/>
              <w:keepNext/>
              <w:keepLines/>
              <w:spacing w:before="0" w:after="0" w:line="240" w:lineRule="auto"/>
              <w:ind w:left="0" w:right="0"/>
              <w:jc w:val="center"/>
              <w:cnfStyle w:val="000000010000" w:firstRow="0" w:lastRow="0" w:firstColumn="0" w:lastColumn="0" w:oddVBand="0" w:evenVBand="0" w:oddHBand="0" w:evenHBand="1" w:firstRowFirstColumn="0" w:firstRowLastColumn="0" w:lastRowFirstColumn="0" w:lastRowLastColumn="0"/>
              <w:rPr>
                <w:rFonts w:ascii="Calibri" w:hAnsi="Calibri" w:cs="Calibri"/>
                <w:sz w:val="20"/>
                <w:szCs w:val="20"/>
                <w:lang w:val="en-GB"/>
              </w:rPr>
            </w:pPr>
            <w:r w:rsidRPr="00221992">
              <w:rPr>
                <w:rFonts w:ascii="Wingdings" w:eastAsia="Wingdings" w:hAnsi="Wingdings" w:cs="Wingdings"/>
                <w:sz w:val="20"/>
                <w:szCs w:val="20"/>
                <w:lang w:val="en-GB"/>
              </w:rPr>
              <w:t></w:t>
            </w:r>
          </w:p>
        </w:tc>
        <w:tc>
          <w:tcPr>
            <w:tcW w:w="1134" w:type="dxa"/>
          </w:tcPr>
          <w:p w14:paraId="5B301AC0" w14:textId="77777777" w:rsidR="00A0762E" w:rsidRPr="00221992" w:rsidRDefault="00A0762E" w:rsidP="00D210B9">
            <w:pPr>
              <w:pStyle w:val="TableText"/>
              <w:keepNext/>
              <w:keepLines/>
              <w:spacing w:before="0" w:after="0" w:line="240" w:lineRule="auto"/>
              <w:ind w:left="0" w:right="0"/>
              <w:jc w:val="center"/>
              <w:cnfStyle w:val="000000010000" w:firstRow="0" w:lastRow="0" w:firstColumn="0" w:lastColumn="0" w:oddVBand="0" w:evenVBand="0" w:oddHBand="0" w:evenHBand="1" w:firstRowFirstColumn="0" w:firstRowLastColumn="0" w:lastRowFirstColumn="0" w:lastRowLastColumn="0"/>
              <w:rPr>
                <w:rFonts w:ascii="Calibri" w:hAnsi="Calibri" w:cs="Calibri"/>
                <w:sz w:val="20"/>
                <w:szCs w:val="20"/>
                <w:lang w:val="en-GB"/>
              </w:rPr>
            </w:pPr>
          </w:p>
        </w:tc>
        <w:tc>
          <w:tcPr>
            <w:tcW w:w="1418" w:type="dxa"/>
          </w:tcPr>
          <w:p w14:paraId="5F7F2F55" w14:textId="77777777" w:rsidR="00A0762E" w:rsidRPr="00221992" w:rsidRDefault="00A0762E" w:rsidP="00D210B9">
            <w:pPr>
              <w:pStyle w:val="TableText"/>
              <w:keepNext/>
              <w:keepLines/>
              <w:spacing w:before="0" w:after="0" w:line="240" w:lineRule="auto"/>
              <w:ind w:left="0" w:right="0"/>
              <w:jc w:val="center"/>
              <w:cnfStyle w:val="000000010000" w:firstRow="0" w:lastRow="0" w:firstColumn="0" w:lastColumn="0" w:oddVBand="0" w:evenVBand="0" w:oddHBand="0" w:evenHBand="1" w:firstRowFirstColumn="0" w:firstRowLastColumn="0" w:lastRowFirstColumn="0" w:lastRowLastColumn="0"/>
              <w:rPr>
                <w:rFonts w:ascii="Calibri" w:hAnsi="Calibri" w:cs="Calibri"/>
                <w:sz w:val="20"/>
                <w:szCs w:val="20"/>
                <w:lang w:val="en-GB"/>
              </w:rPr>
            </w:pPr>
            <w:r w:rsidRPr="00221992">
              <w:rPr>
                <w:rFonts w:ascii="Wingdings" w:eastAsia="Wingdings" w:hAnsi="Wingdings" w:cs="Wingdings"/>
                <w:sz w:val="20"/>
                <w:szCs w:val="20"/>
                <w:lang w:val="en-GB"/>
              </w:rPr>
              <w:t></w:t>
            </w:r>
          </w:p>
        </w:tc>
        <w:tc>
          <w:tcPr>
            <w:tcW w:w="1559" w:type="dxa"/>
          </w:tcPr>
          <w:p w14:paraId="2D47CC30" w14:textId="77777777" w:rsidR="00A0762E" w:rsidRPr="00221992" w:rsidRDefault="00A0762E" w:rsidP="00D210B9">
            <w:pPr>
              <w:pStyle w:val="TableText"/>
              <w:keepNext/>
              <w:keepLines/>
              <w:spacing w:before="0" w:after="0" w:line="240" w:lineRule="auto"/>
              <w:ind w:left="0" w:right="0"/>
              <w:jc w:val="center"/>
              <w:cnfStyle w:val="000000010000" w:firstRow="0" w:lastRow="0" w:firstColumn="0" w:lastColumn="0" w:oddVBand="0" w:evenVBand="0" w:oddHBand="0" w:evenHBand="1" w:firstRowFirstColumn="0" w:firstRowLastColumn="0" w:lastRowFirstColumn="0" w:lastRowLastColumn="0"/>
              <w:rPr>
                <w:rFonts w:ascii="Calibri" w:hAnsi="Calibri" w:cs="Calibri"/>
                <w:sz w:val="20"/>
                <w:szCs w:val="20"/>
                <w:lang w:val="en-GB"/>
              </w:rPr>
            </w:pPr>
            <w:r w:rsidRPr="00221992">
              <w:rPr>
                <w:rFonts w:ascii="Calibri" w:hAnsi="Calibri" w:cs="Calibri"/>
                <w:sz w:val="20"/>
                <w:szCs w:val="20"/>
                <w:lang w:val="en-GB"/>
              </w:rPr>
              <w:t>403</w:t>
            </w:r>
          </w:p>
        </w:tc>
        <w:tc>
          <w:tcPr>
            <w:tcW w:w="987" w:type="dxa"/>
          </w:tcPr>
          <w:p w14:paraId="36710E07" w14:textId="77777777" w:rsidR="00A0762E" w:rsidRPr="00221992" w:rsidRDefault="00A0762E" w:rsidP="00D210B9">
            <w:pPr>
              <w:pStyle w:val="TableText"/>
              <w:keepNext/>
              <w:keepLines/>
              <w:spacing w:before="0" w:after="0" w:line="240" w:lineRule="auto"/>
              <w:ind w:left="0" w:right="0"/>
              <w:jc w:val="center"/>
              <w:cnfStyle w:val="000000010000" w:firstRow="0" w:lastRow="0" w:firstColumn="0" w:lastColumn="0" w:oddVBand="0" w:evenVBand="0" w:oddHBand="0" w:evenHBand="1" w:firstRowFirstColumn="0" w:firstRowLastColumn="0" w:lastRowFirstColumn="0" w:lastRowLastColumn="0"/>
              <w:rPr>
                <w:rFonts w:ascii="Calibri" w:hAnsi="Calibri" w:cs="Calibri"/>
                <w:sz w:val="20"/>
                <w:szCs w:val="20"/>
                <w:lang w:val="en-GB"/>
              </w:rPr>
            </w:pPr>
            <w:r w:rsidRPr="00221992">
              <w:rPr>
                <w:rFonts w:ascii="Calibri" w:hAnsi="Calibri" w:cs="Calibri"/>
                <w:sz w:val="20"/>
                <w:szCs w:val="20"/>
                <w:lang w:val="en-GB"/>
              </w:rPr>
              <w:t>33</w:t>
            </w:r>
          </w:p>
        </w:tc>
      </w:tr>
      <w:tr w:rsidR="00A0762E" w:rsidRPr="00221992" w14:paraId="32A57E22" w14:textId="77777777" w:rsidTr="00CE4CE2">
        <w:tc>
          <w:tcPr>
            <w:cnfStyle w:val="001000000000" w:firstRow="0" w:lastRow="0" w:firstColumn="1" w:lastColumn="0" w:oddVBand="0" w:evenVBand="0" w:oddHBand="0" w:evenHBand="0" w:firstRowFirstColumn="0" w:firstRowLastColumn="0" w:lastRowFirstColumn="0" w:lastRowLastColumn="0"/>
            <w:tcW w:w="1696" w:type="dxa"/>
            <w:shd w:val="clear" w:color="auto" w:fill="1E8BCD"/>
          </w:tcPr>
          <w:p w14:paraId="24F36978" w14:textId="77777777" w:rsidR="00A0762E" w:rsidRPr="00221992" w:rsidRDefault="00A0762E" w:rsidP="00D210B9">
            <w:pPr>
              <w:pStyle w:val="TableText"/>
              <w:keepNext/>
              <w:keepLines/>
              <w:spacing w:before="0" w:after="0" w:line="240" w:lineRule="auto"/>
              <w:rPr>
                <w:sz w:val="20"/>
                <w:szCs w:val="20"/>
                <w:lang w:val="en-GB"/>
              </w:rPr>
            </w:pPr>
            <w:r w:rsidRPr="00221992">
              <w:rPr>
                <w:sz w:val="20"/>
                <w:szCs w:val="20"/>
                <w:lang w:val="en-GB"/>
              </w:rPr>
              <w:t>Singapore</w:t>
            </w:r>
          </w:p>
        </w:tc>
        <w:tc>
          <w:tcPr>
            <w:tcW w:w="1134" w:type="dxa"/>
          </w:tcPr>
          <w:p w14:paraId="2921E3A8" w14:textId="77777777" w:rsidR="00A0762E" w:rsidRPr="00221992" w:rsidRDefault="00A0762E" w:rsidP="00D210B9">
            <w:pPr>
              <w:pStyle w:val="TableText"/>
              <w:keepNext/>
              <w:keepLines/>
              <w:spacing w:before="0" w:after="0" w:line="240" w:lineRule="auto"/>
              <w:ind w:left="0" w:right="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vertAlign w:val="superscript"/>
                <w:lang w:val="en-GB"/>
              </w:rPr>
            </w:pPr>
            <w:r w:rsidRPr="00221992">
              <w:rPr>
                <w:rFonts w:ascii="Wingdings" w:eastAsia="Wingdings" w:hAnsi="Wingdings" w:cs="Wingdings"/>
                <w:sz w:val="20"/>
                <w:szCs w:val="20"/>
                <w:lang w:val="en-GB"/>
              </w:rPr>
              <w:t></w:t>
            </w:r>
            <w:r w:rsidRPr="00221992">
              <w:rPr>
                <w:rFonts w:ascii="Calibri" w:hAnsi="Calibri" w:cs="Calibri"/>
                <w:sz w:val="20"/>
                <w:szCs w:val="20"/>
                <w:vertAlign w:val="superscript"/>
                <w:lang w:val="en-GB"/>
              </w:rPr>
              <w:t>2</w:t>
            </w:r>
          </w:p>
        </w:tc>
        <w:tc>
          <w:tcPr>
            <w:tcW w:w="1276" w:type="dxa"/>
          </w:tcPr>
          <w:p w14:paraId="14276D50" w14:textId="77777777" w:rsidR="00A0762E" w:rsidRPr="00221992" w:rsidRDefault="00A0762E" w:rsidP="00D210B9">
            <w:pPr>
              <w:pStyle w:val="TableText"/>
              <w:keepNext/>
              <w:keepLines/>
              <w:spacing w:before="0" w:after="0" w:line="240" w:lineRule="auto"/>
              <w:ind w:left="0" w:right="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lang w:val="en-GB"/>
              </w:rPr>
            </w:pPr>
          </w:p>
        </w:tc>
        <w:tc>
          <w:tcPr>
            <w:tcW w:w="1134" w:type="dxa"/>
          </w:tcPr>
          <w:p w14:paraId="47996244" w14:textId="77777777" w:rsidR="00A0762E" w:rsidRPr="00221992" w:rsidRDefault="00A0762E" w:rsidP="00D210B9">
            <w:pPr>
              <w:pStyle w:val="TableText"/>
              <w:keepNext/>
              <w:keepLines/>
              <w:spacing w:before="0" w:after="0" w:line="240" w:lineRule="auto"/>
              <w:ind w:left="0" w:right="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lang w:val="en-GB"/>
              </w:rPr>
            </w:pPr>
          </w:p>
        </w:tc>
        <w:tc>
          <w:tcPr>
            <w:tcW w:w="1418" w:type="dxa"/>
          </w:tcPr>
          <w:p w14:paraId="625B9A20" w14:textId="77777777" w:rsidR="00A0762E" w:rsidRPr="00221992" w:rsidRDefault="00A0762E" w:rsidP="00D210B9">
            <w:pPr>
              <w:pStyle w:val="TableText"/>
              <w:keepNext/>
              <w:keepLines/>
              <w:spacing w:before="0" w:after="0" w:line="240" w:lineRule="auto"/>
              <w:ind w:left="0" w:right="0"/>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vertAlign w:val="superscript"/>
                <w:lang w:val="en-GB"/>
              </w:rPr>
            </w:pPr>
          </w:p>
        </w:tc>
        <w:tc>
          <w:tcPr>
            <w:tcW w:w="1559" w:type="dxa"/>
          </w:tcPr>
          <w:p w14:paraId="6F34AC24" w14:textId="77777777" w:rsidR="00A0762E" w:rsidRPr="00221992" w:rsidRDefault="00A0762E" w:rsidP="00D210B9">
            <w:pPr>
              <w:pStyle w:val="TableText"/>
              <w:keepNext/>
              <w:keepLines/>
              <w:spacing w:before="0" w:after="0" w:line="240" w:lineRule="auto"/>
              <w:ind w:left="0" w:right="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lang w:val="en-GB"/>
              </w:rPr>
            </w:pPr>
            <w:r w:rsidRPr="00221992">
              <w:rPr>
                <w:rFonts w:ascii="Calibri" w:hAnsi="Calibri" w:cs="Calibri"/>
                <w:sz w:val="20"/>
                <w:szCs w:val="20"/>
                <w:lang w:val="en-GB"/>
              </w:rPr>
              <w:t>NI</w:t>
            </w:r>
          </w:p>
        </w:tc>
        <w:tc>
          <w:tcPr>
            <w:tcW w:w="987" w:type="dxa"/>
          </w:tcPr>
          <w:p w14:paraId="52BCDE35" w14:textId="77777777" w:rsidR="00A0762E" w:rsidRPr="00221992" w:rsidRDefault="00A0762E" w:rsidP="00D210B9">
            <w:pPr>
              <w:pStyle w:val="TableText"/>
              <w:keepNext/>
              <w:keepLines/>
              <w:spacing w:before="0" w:after="0" w:line="240" w:lineRule="auto"/>
              <w:ind w:left="0" w:right="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lang w:val="en-GB"/>
              </w:rPr>
            </w:pPr>
            <w:r w:rsidRPr="00221992">
              <w:rPr>
                <w:rFonts w:ascii="Calibri" w:hAnsi="Calibri" w:cs="Calibri"/>
                <w:sz w:val="20"/>
                <w:szCs w:val="20"/>
                <w:lang w:val="en-GB"/>
              </w:rPr>
              <w:t>NI</w:t>
            </w:r>
          </w:p>
        </w:tc>
      </w:tr>
      <w:tr w:rsidR="00A0762E" w:rsidRPr="00221992" w14:paraId="28023536" w14:textId="77777777" w:rsidTr="00CE4CE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shd w:val="clear" w:color="auto" w:fill="1E8BCD"/>
          </w:tcPr>
          <w:p w14:paraId="11E4A0E4" w14:textId="77777777" w:rsidR="00A0762E" w:rsidRPr="00221992" w:rsidRDefault="00A0762E" w:rsidP="00D210B9">
            <w:pPr>
              <w:pStyle w:val="TableText"/>
              <w:keepNext/>
              <w:keepLines/>
              <w:spacing w:before="0" w:after="0" w:line="240" w:lineRule="auto"/>
              <w:rPr>
                <w:sz w:val="20"/>
                <w:szCs w:val="20"/>
                <w:lang w:val="en-GB"/>
              </w:rPr>
            </w:pPr>
            <w:r w:rsidRPr="00221992">
              <w:rPr>
                <w:sz w:val="20"/>
                <w:szCs w:val="20"/>
                <w:lang w:val="en-GB"/>
              </w:rPr>
              <w:t>Spain</w:t>
            </w:r>
          </w:p>
        </w:tc>
        <w:tc>
          <w:tcPr>
            <w:tcW w:w="1134" w:type="dxa"/>
          </w:tcPr>
          <w:p w14:paraId="0AFD09B2" w14:textId="77777777" w:rsidR="00A0762E" w:rsidRPr="00221992" w:rsidRDefault="00A0762E" w:rsidP="00D210B9">
            <w:pPr>
              <w:pStyle w:val="TableText"/>
              <w:keepNext/>
              <w:keepLines/>
              <w:spacing w:before="0" w:after="0" w:line="240" w:lineRule="auto"/>
              <w:ind w:left="0" w:right="0"/>
              <w:jc w:val="center"/>
              <w:cnfStyle w:val="000000010000" w:firstRow="0" w:lastRow="0" w:firstColumn="0" w:lastColumn="0" w:oddVBand="0" w:evenVBand="0" w:oddHBand="0" w:evenHBand="1" w:firstRowFirstColumn="0" w:firstRowLastColumn="0" w:lastRowFirstColumn="0" w:lastRowLastColumn="0"/>
              <w:rPr>
                <w:rFonts w:ascii="Calibri" w:hAnsi="Calibri" w:cs="Calibri"/>
                <w:sz w:val="20"/>
                <w:szCs w:val="20"/>
                <w:lang w:val="en-GB"/>
              </w:rPr>
            </w:pPr>
          </w:p>
        </w:tc>
        <w:tc>
          <w:tcPr>
            <w:tcW w:w="1276" w:type="dxa"/>
          </w:tcPr>
          <w:p w14:paraId="2869B45A" w14:textId="77777777" w:rsidR="00A0762E" w:rsidRPr="00221992" w:rsidRDefault="00A0762E" w:rsidP="00D210B9">
            <w:pPr>
              <w:pStyle w:val="TableText"/>
              <w:keepNext/>
              <w:keepLines/>
              <w:spacing w:before="0" w:after="0" w:line="240" w:lineRule="auto"/>
              <w:ind w:left="0" w:right="0"/>
              <w:jc w:val="center"/>
              <w:cnfStyle w:val="000000010000" w:firstRow="0" w:lastRow="0" w:firstColumn="0" w:lastColumn="0" w:oddVBand="0" w:evenVBand="0" w:oddHBand="0" w:evenHBand="1" w:firstRowFirstColumn="0" w:firstRowLastColumn="0" w:lastRowFirstColumn="0" w:lastRowLastColumn="0"/>
              <w:rPr>
                <w:rFonts w:ascii="Calibri" w:hAnsi="Calibri" w:cs="Calibri"/>
                <w:sz w:val="20"/>
                <w:szCs w:val="20"/>
                <w:lang w:val="en-GB"/>
              </w:rPr>
            </w:pPr>
          </w:p>
        </w:tc>
        <w:tc>
          <w:tcPr>
            <w:tcW w:w="1134" w:type="dxa"/>
          </w:tcPr>
          <w:p w14:paraId="7A38AD7E" w14:textId="77777777" w:rsidR="00A0762E" w:rsidRPr="00221992" w:rsidRDefault="00A0762E" w:rsidP="00D210B9">
            <w:pPr>
              <w:pStyle w:val="TableText"/>
              <w:keepNext/>
              <w:keepLines/>
              <w:spacing w:before="0" w:after="0" w:line="240" w:lineRule="auto"/>
              <w:ind w:left="0" w:right="0"/>
              <w:jc w:val="center"/>
              <w:cnfStyle w:val="000000010000" w:firstRow="0" w:lastRow="0" w:firstColumn="0" w:lastColumn="0" w:oddVBand="0" w:evenVBand="0" w:oddHBand="0" w:evenHBand="1" w:firstRowFirstColumn="0" w:firstRowLastColumn="0" w:lastRowFirstColumn="0" w:lastRowLastColumn="0"/>
              <w:rPr>
                <w:rFonts w:ascii="Calibri" w:hAnsi="Calibri" w:cs="Calibri"/>
                <w:sz w:val="20"/>
                <w:szCs w:val="20"/>
                <w:vertAlign w:val="superscript"/>
                <w:lang w:val="en-GB"/>
              </w:rPr>
            </w:pPr>
            <w:r w:rsidRPr="00221992">
              <w:rPr>
                <w:rFonts w:ascii="Wingdings" w:eastAsia="Wingdings" w:hAnsi="Wingdings" w:cs="Wingdings"/>
                <w:sz w:val="20"/>
                <w:szCs w:val="20"/>
                <w:lang w:val="en-GB"/>
              </w:rPr>
              <w:t></w:t>
            </w:r>
            <w:r w:rsidRPr="00221992">
              <w:rPr>
                <w:rFonts w:ascii="Calibri" w:hAnsi="Calibri" w:cs="Calibri"/>
                <w:sz w:val="20"/>
                <w:szCs w:val="20"/>
                <w:vertAlign w:val="superscript"/>
                <w:lang w:val="en-GB"/>
              </w:rPr>
              <w:t>1</w:t>
            </w:r>
          </w:p>
        </w:tc>
        <w:tc>
          <w:tcPr>
            <w:tcW w:w="1418" w:type="dxa"/>
          </w:tcPr>
          <w:p w14:paraId="6B64C1F1" w14:textId="77777777" w:rsidR="00A0762E" w:rsidRPr="00221992" w:rsidRDefault="00A0762E" w:rsidP="00D210B9">
            <w:pPr>
              <w:pStyle w:val="TableText"/>
              <w:keepNext/>
              <w:keepLines/>
              <w:spacing w:before="0" w:after="0" w:line="240" w:lineRule="auto"/>
              <w:ind w:left="0" w:right="0"/>
              <w:jc w:val="center"/>
              <w:cnfStyle w:val="000000010000" w:firstRow="0" w:lastRow="0" w:firstColumn="0" w:lastColumn="0" w:oddVBand="0" w:evenVBand="0" w:oddHBand="0" w:evenHBand="1" w:firstRowFirstColumn="0" w:firstRowLastColumn="0" w:lastRowFirstColumn="0" w:lastRowLastColumn="0"/>
              <w:rPr>
                <w:rFonts w:ascii="Calibri" w:hAnsi="Calibri" w:cs="Calibri"/>
                <w:sz w:val="20"/>
                <w:szCs w:val="20"/>
                <w:vertAlign w:val="superscript"/>
                <w:lang w:val="en-GB"/>
              </w:rPr>
            </w:pPr>
            <w:r w:rsidRPr="00221992">
              <w:rPr>
                <w:rFonts w:ascii="Wingdings" w:eastAsia="Wingdings" w:hAnsi="Wingdings" w:cs="Wingdings"/>
                <w:sz w:val="20"/>
                <w:szCs w:val="20"/>
                <w:lang w:val="en-GB"/>
              </w:rPr>
              <w:t></w:t>
            </w:r>
            <w:r w:rsidRPr="00221992">
              <w:rPr>
                <w:rFonts w:ascii="Calibri" w:hAnsi="Calibri" w:cs="Calibri"/>
                <w:sz w:val="20"/>
                <w:szCs w:val="20"/>
                <w:vertAlign w:val="superscript"/>
                <w:lang w:val="en-GB"/>
              </w:rPr>
              <w:t>3</w:t>
            </w:r>
          </w:p>
        </w:tc>
        <w:tc>
          <w:tcPr>
            <w:tcW w:w="1559" w:type="dxa"/>
          </w:tcPr>
          <w:p w14:paraId="13712E78" w14:textId="77777777" w:rsidR="00A0762E" w:rsidRPr="00221992" w:rsidRDefault="00A0762E" w:rsidP="00D210B9">
            <w:pPr>
              <w:pStyle w:val="TableText"/>
              <w:keepNext/>
              <w:keepLines/>
              <w:spacing w:before="0" w:after="0" w:line="240" w:lineRule="auto"/>
              <w:ind w:left="0" w:right="0"/>
              <w:jc w:val="center"/>
              <w:cnfStyle w:val="000000010000" w:firstRow="0" w:lastRow="0" w:firstColumn="0" w:lastColumn="0" w:oddVBand="0" w:evenVBand="0" w:oddHBand="0" w:evenHBand="1" w:firstRowFirstColumn="0" w:firstRowLastColumn="0" w:lastRowFirstColumn="0" w:lastRowLastColumn="0"/>
              <w:rPr>
                <w:rFonts w:ascii="Calibri" w:hAnsi="Calibri" w:cs="Calibri"/>
                <w:sz w:val="20"/>
                <w:szCs w:val="20"/>
                <w:lang w:val="en-GB"/>
              </w:rPr>
            </w:pPr>
            <w:r w:rsidRPr="00221992">
              <w:rPr>
                <w:rFonts w:ascii="Calibri" w:hAnsi="Calibri" w:cs="Calibri"/>
                <w:sz w:val="20"/>
                <w:szCs w:val="20"/>
                <w:lang w:val="en-GB"/>
              </w:rPr>
              <w:t>713</w:t>
            </w:r>
          </w:p>
        </w:tc>
        <w:tc>
          <w:tcPr>
            <w:tcW w:w="987" w:type="dxa"/>
          </w:tcPr>
          <w:p w14:paraId="78106511" w14:textId="77777777" w:rsidR="00A0762E" w:rsidRPr="00221992" w:rsidRDefault="00A0762E" w:rsidP="00D210B9">
            <w:pPr>
              <w:pStyle w:val="TableText"/>
              <w:keepNext/>
              <w:keepLines/>
              <w:spacing w:before="0" w:after="0" w:line="240" w:lineRule="auto"/>
              <w:ind w:left="0" w:right="0"/>
              <w:jc w:val="center"/>
              <w:cnfStyle w:val="000000010000" w:firstRow="0" w:lastRow="0" w:firstColumn="0" w:lastColumn="0" w:oddVBand="0" w:evenVBand="0" w:oddHBand="0" w:evenHBand="1" w:firstRowFirstColumn="0" w:firstRowLastColumn="0" w:lastRowFirstColumn="0" w:lastRowLastColumn="0"/>
              <w:rPr>
                <w:rFonts w:ascii="Calibri" w:hAnsi="Calibri" w:cs="Calibri"/>
                <w:sz w:val="20"/>
                <w:szCs w:val="20"/>
                <w:lang w:val="en-GB"/>
              </w:rPr>
            </w:pPr>
            <w:r w:rsidRPr="00221992">
              <w:rPr>
                <w:rFonts w:ascii="Calibri" w:hAnsi="Calibri" w:cs="Calibri"/>
                <w:sz w:val="20"/>
                <w:szCs w:val="20"/>
                <w:lang w:val="en-GB"/>
              </w:rPr>
              <w:t>31</w:t>
            </w:r>
          </w:p>
        </w:tc>
      </w:tr>
      <w:tr w:rsidR="00A0762E" w:rsidRPr="00221992" w14:paraId="31685E77" w14:textId="77777777" w:rsidTr="00CE4CE2">
        <w:tc>
          <w:tcPr>
            <w:cnfStyle w:val="001000000000" w:firstRow="0" w:lastRow="0" w:firstColumn="1" w:lastColumn="0" w:oddVBand="0" w:evenVBand="0" w:oddHBand="0" w:evenHBand="0" w:firstRowFirstColumn="0" w:firstRowLastColumn="0" w:lastRowFirstColumn="0" w:lastRowLastColumn="0"/>
            <w:tcW w:w="1696" w:type="dxa"/>
            <w:shd w:val="clear" w:color="auto" w:fill="1E8BCD"/>
          </w:tcPr>
          <w:p w14:paraId="77C03201" w14:textId="77777777" w:rsidR="00A0762E" w:rsidRPr="00221992" w:rsidRDefault="00A0762E" w:rsidP="00D210B9">
            <w:pPr>
              <w:pStyle w:val="TableText"/>
              <w:keepNext/>
              <w:keepLines/>
              <w:spacing w:before="0" w:after="0" w:line="240" w:lineRule="auto"/>
              <w:rPr>
                <w:sz w:val="20"/>
                <w:szCs w:val="20"/>
                <w:lang w:val="en-GB"/>
              </w:rPr>
            </w:pPr>
            <w:r w:rsidRPr="00221992">
              <w:rPr>
                <w:sz w:val="20"/>
                <w:szCs w:val="20"/>
                <w:lang w:val="en-GB"/>
              </w:rPr>
              <w:t>Sweden</w:t>
            </w:r>
          </w:p>
        </w:tc>
        <w:tc>
          <w:tcPr>
            <w:tcW w:w="1134" w:type="dxa"/>
          </w:tcPr>
          <w:p w14:paraId="234B44F4" w14:textId="77777777" w:rsidR="00A0762E" w:rsidRPr="00221992" w:rsidRDefault="00A0762E" w:rsidP="00D210B9">
            <w:pPr>
              <w:pStyle w:val="TableText"/>
              <w:keepNext/>
              <w:keepLines/>
              <w:spacing w:before="0" w:after="0" w:line="240" w:lineRule="auto"/>
              <w:ind w:left="0" w:right="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lang w:val="en-GB"/>
              </w:rPr>
            </w:pPr>
          </w:p>
        </w:tc>
        <w:tc>
          <w:tcPr>
            <w:tcW w:w="1276" w:type="dxa"/>
          </w:tcPr>
          <w:p w14:paraId="19A11065" w14:textId="77777777" w:rsidR="00A0762E" w:rsidRPr="00221992" w:rsidRDefault="00A0762E" w:rsidP="00D210B9">
            <w:pPr>
              <w:pStyle w:val="TableText"/>
              <w:keepNext/>
              <w:keepLines/>
              <w:spacing w:before="0" w:after="0" w:line="240" w:lineRule="auto"/>
              <w:ind w:left="0" w:right="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lang w:val="en-GB"/>
              </w:rPr>
            </w:pPr>
            <w:r w:rsidRPr="00221992">
              <w:rPr>
                <w:rFonts w:ascii="Wingdings" w:eastAsia="Wingdings" w:hAnsi="Wingdings" w:cs="Wingdings"/>
                <w:sz w:val="20"/>
                <w:szCs w:val="20"/>
                <w:lang w:val="en-GB"/>
              </w:rPr>
              <w:t></w:t>
            </w:r>
          </w:p>
        </w:tc>
        <w:tc>
          <w:tcPr>
            <w:tcW w:w="1134" w:type="dxa"/>
          </w:tcPr>
          <w:p w14:paraId="52FEBEAB" w14:textId="77777777" w:rsidR="00A0762E" w:rsidRPr="00221992" w:rsidRDefault="00A0762E" w:rsidP="00D210B9">
            <w:pPr>
              <w:pStyle w:val="TableText"/>
              <w:keepNext/>
              <w:keepLines/>
              <w:spacing w:before="0" w:after="0" w:line="240" w:lineRule="auto"/>
              <w:ind w:left="0" w:right="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lang w:val="en-GB"/>
              </w:rPr>
            </w:pPr>
          </w:p>
        </w:tc>
        <w:tc>
          <w:tcPr>
            <w:tcW w:w="1418" w:type="dxa"/>
          </w:tcPr>
          <w:p w14:paraId="11E58702" w14:textId="77777777" w:rsidR="00A0762E" w:rsidRPr="00221992" w:rsidRDefault="00A0762E" w:rsidP="00D210B9">
            <w:pPr>
              <w:pStyle w:val="TableText"/>
              <w:keepNext/>
              <w:keepLines/>
              <w:spacing w:before="0" w:after="0" w:line="240" w:lineRule="auto"/>
              <w:ind w:left="0" w:right="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lang w:val="en-GB"/>
              </w:rPr>
            </w:pPr>
            <w:r w:rsidRPr="00221992">
              <w:rPr>
                <w:rFonts w:ascii="Calibri" w:hAnsi="Calibri" w:cs="Calibri"/>
                <w:sz w:val="20"/>
                <w:szCs w:val="20"/>
                <w:lang w:val="en-GB"/>
              </w:rPr>
              <w:t>NI</w:t>
            </w:r>
          </w:p>
        </w:tc>
        <w:tc>
          <w:tcPr>
            <w:tcW w:w="1559" w:type="dxa"/>
          </w:tcPr>
          <w:p w14:paraId="2D7905E2" w14:textId="77777777" w:rsidR="00A0762E" w:rsidRPr="00221992" w:rsidRDefault="00A0762E" w:rsidP="00D210B9">
            <w:pPr>
              <w:pStyle w:val="TableText"/>
              <w:keepNext/>
              <w:keepLines/>
              <w:spacing w:before="0" w:after="0" w:line="240" w:lineRule="auto"/>
              <w:ind w:left="0" w:right="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lang w:val="en-GB"/>
              </w:rPr>
            </w:pPr>
            <w:r w:rsidRPr="00221992">
              <w:rPr>
                <w:rFonts w:ascii="Calibri" w:hAnsi="Calibri" w:cs="Calibri"/>
                <w:sz w:val="20"/>
                <w:szCs w:val="20"/>
                <w:lang w:val="en-GB"/>
              </w:rPr>
              <w:t>480</w:t>
            </w:r>
          </w:p>
        </w:tc>
        <w:tc>
          <w:tcPr>
            <w:tcW w:w="987" w:type="dxa"/>
          </w:tcPr>
          <w:p w14:paraId="16E384BF" w14:textId="77777777" w:rsidR="00A0762E" w:rsidRPr="00221992" w:rsidRDefault="00A0762E" w:rsidP="00D210B9">
            <w:pPr>
              <w:pStyle w:val="TableText"/>
              <w:keepNext/>
              <w:keepLines/>
              <w:spacing w:before="0" w:after="0" w:line="240" w:lineRule="auto"/>
              <w:ind w:left="0" w:right="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lang w:val="en-GB"/>
              </w:rPr>
            </w:pPr>
            <w:r w:rsidRPr="00221992">
              <w:rPr>
                <w:rFonts w:ascii="Calibri" w:hAnsi="Calibri" w:cs="Calibri"/>
                <w:sz w:val="20"/>
                <w:szCs w:val="20"/>
                <w:lang w:val="en-GB"/>
              </w:rPr>
              <w:t>25</w:t>
            </w:r>
          </w:p>
        </w:tc>
      </w:tr>
      <w:tr w:rsidR="00A0762E" w:rsidRPr="00221992" w14:paraId="632E6719" w14:textId="77777777" w:rsidTr="00CE4CE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shd w:val="clear" w:color="auto" w:fill="1E8BCD"/>
          </w:tcPr>
          <w:p w14:paraId="0BFCD539" w14:textId="77777777" w:rsidR="00A0762E" w:rsidRPr="00221992" w:rsidRDefault="00A0762E" w:rsidP="00D210B9">
            <w:pPr>
              <w:pStyle w:val="TableText"/>
              <w:keepNext/>
              <w:keepLines/>
              <w:spacing w:before="0" w:after="0" w:line="240" w:lineRule="auto"/>
              <w:rPr>
                <w:sz w:val="20"/>
                <w:szCs w:val="20"/>
                <w:lang w:val="en-GB"/>
              </w:rPr>
            </w:pPr>
            <w:r w:rsidRPr="00221992">
              <w:rPr>
                <w:sz w:val="20"/>
                <w:szCs w:val="20"/>
                <w:lang w:val="en-GB"/>
              </w:rPr>
              <w:t>Taiwan</w:t>
            </w:r>
          </w:p>
        </w:tc>
        <w:tc>
          <w:tcPr>
            <w:tcW w:w="1134" w:type="dxa"/>
          </w:tcPr>
          <w:p w14:paraId="7D8CA4F3" w14:textId="77777777" w:rsidR="00A0762E" w:rsidRPr="00221992" w:rsidRDefault="00A0762E" w:rsidP="00D210B9">
            <w:pPr>
              <w:pStyle w:val="TableText"/>
              <w:keepNext/>
              <w:keepLines/>
              <w:spacing w:before="0" w:after="0" w:line="240" w:lineRule="auto"/>
              <w:ind w:left="0" w:right="0"/>
              <w:jc w:val="center"/>
              <w:cnfStyle w:val="000000010000" w:firstRow="0" w:lastRow="0" w:firstColumn="0" w:lastColumn="0" w:oddVBand="0" w:evenVBand="0" w:oddHBand="0" w:evenHBand="1" w:firstRowFirstColumn="0" w:firstRowLastColumn="0" w:lastRowFirstColumn="0" w:lastRowLastColumn="0"/>
              <w:rPr>
                <w:rFonts w:ascii="Calibri" w:hAnsi="Calibri" w:cs="Calibri"/>
                <w:sz w:val="20"/>
                <w:szCs w:val="20"/>
                <w:lang w:val="en-GB"/>
              </w:rPr>
            </w:pPr>
          </w:p>
        </w:tc>
        <w:tc>
          <w:tcPr>
            <w:tcW w:w="1276" w:type="dxa"/>
          </w:tcPr>
          <w:p w14:paraId="17A0F5CA" w14:textId="77777777" w:rsidR="00A0762E" w:rsidRPr="00221992" w:rsidRDefault="00A0762E" w:rsidP="00D210B9">
            <w:pPr>
              <w:pStyle w:val="TableText"/>
              <w:keepNext/>
              <w:keepLines/>
              <w:spacing w:before="0" w:after="0" w:line="240" w:lineRule="auto"/>
              <w:ind w:left="0" w:right="0"/>
              <w:jc w:val="center"/>
              <w:cnfStyle w:val="000000010000" w:firstRow="0" w:lastRow="0" w:firstColumn="0" w:lastColumn="0" w:oddVBand="0" w:evenVBand="0" w:oddHBand="0" w:evenHBand="1" w:firstRowFirstColumn="0" w:firstRowLastColumn="0" w:lastRowFirstColumn="0" w:lastRowLastColumn="0"/>
              <w:rPr>
                <w:rFonts w:ascii="Calibri" w:hAnsi="Calibri" w:cs="Calibri"/>
                <w:sz w:val="20"/>
                <w:szCs w:val="20"/>
                <w:lang w:val="en-GB"/>
              </w:rPr>
            </w:pPr>
            <w:r w:rsidRPr="00221992">
              <w:rPr>
                <w:rFonts w:ascii="Wingdings" w:eastAsia="Wingdings" w:hAnsi="Wingdings" w:cs="Wingdings"/>
                <w:sz w:val="20"/>
                <w:szCs w:val="20"/>
                <w:lang w:val="en-GB"/>
              </w:rPr>
              <w:t></w:t>
            </w:r>
          </w:p>
        </w:tc>
        <w:tc>
          <w:tcPr>
            <w:tcW w:w="1134" w:type="dxa"/>
          </w:tcPr>
          <w:p w14:paraId="1502156F" w14:textId="77777777" w:rsidR="00A0762E" w:rsidRPr="00221992" w:rsidRDefault="00A0762E" w:rsidP="00D210B9">
            <w:pPr>
              <w:pStyle w:val="TableText"/>
              <w:keepNext/>
              <w:keepLines/>
              <w:spacing w:before="0" w:after="0" w:line="240" w:lineRule="auto"/>
              <w:ind w:left="0" w:right="0"/>
              <w:jc w:val="center"/>
              <w:cnfStyle w:val="000000010000" w:firstRow="0" w:lastRow="0" w:firstColumn="0" w:lastColumn="0" w:oddVBand="0" w:evenVBand="0" w:oddHBand="0" w:evenHBand="1" w:firstRowFirstColumn="0" w:firstRowLastColumn="0" w:lastRowFirstColumn="0" w:lastRowLastColumn="0"/>
              <w:rPr>
                <w:rFonts w:ascii="Calibri" w:hAnsi="Calibri" w:cs="Calibri"/>
                <w:sz w:val="20"/>
                <w:szCs w:val="20"/>
                <w:lang w:val="en-GB"/>
              </w:rPr>
            </w:pPr>
          </w:p>
        </w:tc>
        <w:tc>
          <w:tcPr>
            <w:tcW w:w="1418" w:type="dxa"/>
          </w:tcPr>
          <w:p w14:paraId="0BFD0F01" w14:textId="77777777" w:rsidR="00A0762E" w:rsidRPr="00221992" w:rsidRDefault="00A0762E" w:rsidP="00D210B9">
            <w:pPr>
              <w:pStyle w:val="TableText"/>
              <w:keepNext/>
              <w:keepLines/>
              <w:spacing w:before="0" w:after="0" w:line="240" w:lineRule="auto"/>
              <w:ind w:left="0" w:right="0"/>
              <w:jc w:val="center"/>
              <w:cnfStyle w:val="000000010000" w:firstRow="0" w:lastRow="0" w:firstColumn="0" w:lastColumn="0" w:oddVBand="0" w:evenVBand="0" w:oddHBand="0" w:evenHBand="1" w:firstRowFirstColumn="0" w:firstRowLastColumn="0" w:lastRowFirstColumn="0" w:lastRowLastColumn="0"/>
              <w:rPr>
                <w:rFonts w:ascii="Calibri" w:hAnsi="Calibri" w:cs="Calibri"/>
                <w:sz w:val="20"/>
                <w:szCs w:val="20"/>
                <w:lang w:val="en-GB"/>
              </w:rPr>
            </w:pPr>
            <w:r w:rsidRPr="00221992">
              <w:rPr>
                <w:rFonts w:ascii="Calibri" w:hAnsi="Calibri" w:cs="Calibri"/>
                <w:sz w:val="20"/>
                <w:szCs w:val="20"/>
                <w:lang w:val="en-GB"/>
              </w:rPr>
              <w:t>NI</w:t>
            </w:r>
          </w:p>
        </w:tc>
        <w:tc>
          <w:tcPr>
            <w:tcW w:w="1559" w:type="dxa"/>
          </w:tcPr>
          <w:p w14:paraId="06355E60" w14:textId="77777777" w:rsidR="00A0762E" w:rsidRPr="00221992" w:rsidRDefault="00A0762E" w:rsidP="00D210B9">
            <w:pPr>
              <w:pStyle w:val="TableText"/>
              <w:keepNext/>
              <w:keepLines/>
              <w:spacing w:before="0" w:after="0" w:line="240" w:lineRule="auto"/>
              <w:ind w:left="0" w:right="0"/>
              <w:jc w:val="center"/>
              <w:cnfStyle w:val="000000010000" w:firstRow="0" w:lastRow="0" w:firstColumn="0" w:lastColumn="0" w:oddVBand="0" w:evenVBand="0" w:oddHBand="0" w:evenHBand="1" w:firstRowFirstColumn="0" w:firstRowLastColumn="0" w:lastRowFirstColumn="0" w:lastRowLastColumn="0"/>
              <w:rPr>
                <w:rFonts w:ascii="Calibri" w:hAnsi="Calibri" w:cs="Calibri"/>
                <w:sz w:val="20"/>
                <w:szCs w:val="20"/>
                <w:lang w:val="en-GB"/>
              </w:rPr>
            </w:pPr>
            <w:r w:rsidRPr="00221992">
              <w:rPr>
                <w:rFonts w:ascii="Calibri" w:hAnsi="Calibri" w:cs="Calibri"/>
                <w:sz w:val="20"/>
                <w:szCs w:val="20"/>
                <w:lang w:val="en-GB"/>
              </w:rPr>
              <w:t>NI</w:t>
            </w:r>
          </w:p>
        </w:tc>
        <w:tc>
          <w:tcPr>
            <w:tcW w:w="987" w:type="dxa"/>
          </w:tcPr>
          <w:p w14:paraId="48724784" w14:textId="77777777" w:rsidR="00A0762E" w:rsidRPr="00221992" w:rsidRDefault="00A0762E" w:rsidP="00D210B9">
            <w:pPr>
              <w:pStyle w:val="TableText"/>
              <w:keepNext/>
              <w:keepLines/>
              <w:spacing w:before="0" w:after="0" w:line="240" w:lineRule="auto"/>
              <w:ind w:left="0" w:right="0"/>
              <w:jc w:val="center"/>
              <w:cnfStyle w:val="000000010000" w:firstRow="0" w:lastRow="0" w:firstColumn="0" w:lastColumn="0" w:oddVBand="0" w:evenVBand="0" w:oddHBand="0" w:evenHBand="1" w:firstRowFirstColumn="0" w:firstRowLastColumn="0" w:lastRowFirstColumn="0" w:lastRowLastColumn="0"/>
              <w:rPr>
                <w:rFonts w:ascii="Calibri" w:hAnsi="Calibri" w:cs="Calibri"/>
                <w:sz w:val="20"/>
                <w:szCs w:val="20"/>
                <w:lang w:val="en-GB"/>
              </w:rPr>
            </w:pPr>
            <w:r w:rsidRPr="00221992">
              <w:rPr>
                <w:rFonts w:ascii="Calibri" w:hAnsi="Calibri" w:cs="Calibri"/>
                <w:sz w:val="20"/>
                <w:szCs w:val="20"/>
                <w:lang w:val="en-GB"/>
              </w:rPr>
              <w:t>NI</w:t>
            </w:r>
          </w:p>
        </w:tc>
      </w:tr>
    </w:tbl>
    <w:p w14:paraId="06360340" w14:textId="402038B5" w:rsidR="00A0762E" w:rsidRPr="00221992" w:rsidRDefault="00A0762E" w:rsidP="00533CF1">
      <w:pPr>
        <w:pStyle w:val="TableNotes"/>
        <w:rPr>
          <w:lang w:val="en-GB"/>
        </w:rPr>
      </w:pPr>
      <w:r w:rsidRPr="00221992">
        <w:rPr>
          <w:lang w:val="en-GB"/>
        </w:rPr>
        <w:t>Source:</w:t>
      </w:r>
      <w:r w:rsidRPr="00221992">
        <w:rPr>
          <w:lang w:val="en-GB"/>
        </w:rPr>
        <w:tab/>
        <w:t>Newton M</w:t>
      </w:r>
      <w:r w:rsidR="00835DEA">
        <w:rPr>
          <w:lang w:val="en-GB"/>
        </w:rPr>
        <w:t>. et al</w:t>
      </w:r>
      <w:r w:rsidRPr="00221992">
        <w:rPr>
          <w:lang w:val="en-GB"/>
        </w:rPr>
        <w:t>. EFPIA Patients W.A.I.T Indicator 2022 Survey (IQVIA, 2023)</w:t>
      </w:r>
      <w:r w:rsidR="00F86B09" w:rsidRPr="00221992">
        <w:rPr>
          <w:lang w:val="en-GB"/>
        </w:rPr>
        <w:t xml:space="preserve"> </w:t>
      </w:r>
      <w:r w:rsidR="00F86B09" w:rsidRPr="00221992">
        <w:rPr>
          <w:lang w:val="en-GB"/>
        </w:rPr>
        <w:fldChar w:fldCharType="begin"/>
      </w:r>
      <w:r w:rsidR="005D638E" w:rsidRPr="00221992">
        <w:rPr>
          <w:lang w:val="en-GB"/>
        </w:rPr>
        <w:instrText xml:space="preserve"> ADDIN EN.CITE &lt;EndNote&gt;&lt;Cite&gt;&lt;Author&gt;IQVIA&lt;/Author&gt;&lt;Year&gt;2023&lt;/Year&gt;&lt;RecNum&gt;221&lt;/RecNum&gt;&lt;DisplayText&gt;[3-4]&lt;/DisplayText&gt;&lt;record&gt;&lt;rec-number&gt;221&lt;/rec-number&gt;&lt;foreign-keys&gt;&lt;key app="EN" db-id="wzwwsfxe4peesxef95cxvrwjxts9rreasarf" timestamp="1692654670"&gt;221&lt;/key&gt;&lt;/foreign-keys&gt;&lt;ref-type name="Online Multimedia"&gt;48&lt;/ref-type&gt;&lt;contributors&gt;&lt;authors&gt;&lt;author&gt;IQVIA&lt;/author&gt;&lt;/authors&gt;&lt;/contributors&gt;&lt;titles&gt;&lt;title&gt;EFPIA Patients W.A.I.T. Indicator 2022 Survey&lt;/title&gt;&lt;/titles&gt;&lt;dates&gt;&lt;year&gt;2023&lt;/year&gt;&lt;/dates&gt;&lt;pub-location&gt;European Federation of Pharmaceutical Industries and Associations (EFPIA)&lt;/pub-location&gt;&lt;urls&gt;&lt;related-urls&gt;&lt;url&gt;https://www.efpia.eu/media/s4qf1eqo/efpia_patient_wait_indicator_final_report.pdf&lt;/url&gt;&lt;/related-urls&gt;&lt;/urls&gt;&lt;/record&gt;&lt;/Cite&gt;&lt;Cite&gt;&lt;Author&gt;IQVIA&lt;/Author&gt;&lt;Year&gt;2021&lt;/Year&gt;&lt;RecNum&gt;623&lt;/RecNum&gt;&lt;record&gt;&lt;rec-number&gt;623&lt;/rec-number&gt;&lt;foreign-keys&gt;&lt;key app="EN" db-id="wzwwsfxe4peesxef95cxvrwjxts9rreasarf" timestamp="1693186424"&gt;623&lt;/key&gt;&lt;/foreign-keys&gt;&lt;ref-type name="Online Multimedia"&gt;48&lt;/ref-type&gt;&lt;contributors&gt;&lt;authors&gt;&lt;author&gt;IQVIA&lt;/author&gt;&lt;/authors&gt;&lt;/contributors&gt;&lt;titles&gt;&lt;title&gt;EFPIA Patients W.A.I.T. Indicator 2020 Survey&lt;/title&gt;&lt;/titles&gt;&lt;dates&gt;&lt;year&gt;2021&lt;/year&gt;&lt;/dates&gt;&lt;pub-location&gt;European Federation of Pharmaceutical Industries and Associations (EFPIA)&lt;/pub-location&gt;&lt;urls&gt;&lt;related-urls&gt;&lt;url&gt;https://www.efpia.eu/media/602652/efpia-patient-wait-indicator-final-250521.pdf&lt;/url&gt;&lt;/related-urls&gt;&lt;/urls&gt;&lt;/record&gt;&lt;/Cite&gt;&lt;/EndNote&gt;</w:instrText>
      </w:r>
      <w:r w:rsidR="00F86B09" w:rsidRPr="00221992">
        <w:rPr>
          <w:lang w:val="en-GB"/>
        </w:rPr>
        <w:fldChar w:fldCharType="separate"/>
      </w:r>
      <w:r w:rsidR="005D638E" w:rsidRPr="00221992">
        <w:rPr>
          <w:noProof/>
          <w:lang w:val="en-GB"/>
        </w:rPr>
        <w:t>[3-4]</w:t>
      </w:r>
      <w:r w:rsidR="00F86B09" w:rsidRPr="00221992">
        <w:rPr>
          <w:lang w:val="en-GB"/>
        </w:rPr>
        <w:fldChar w:fldCharType="end"/>
      </w:r>
      <w:r w:rsidRPr="00221992">
        <w:rPr>
          <w:lang w:val="en-GB"/>
        </w:rPr>
        <w:t xml:space="preserve">. </w:t>
      </w:r>
    </w:p>
    <w:p w14:paraId="61276792" w14:textId="77777777" w:rsidR="00A0762E" w:rsidRPr="00221992" w:rsidRDefault="00A0762E" w:rsidP="00533CF1">
      <w:pPr>
        <w:pStyle w:val="TableNotes"/>
        <w:rPr>
          <w:lang w:val="en-GB"/>
        </w:rPr>
      </w:pPr>
      <w:r w:rsidRPr="00221992">
        <w:rPr>
          <w:lang w:val="en-GB"/>
        </w:rPr>
        <w:t>Acronyms:</w:t>
      </w:r>
      <w:r w:rsidRPr="00221992">
        <w:rPr>
          <w:lang w:val="en-GB"/>
        </w:rPr>
        <w:tab/>
        <w:t xml:space="preserve">MA, marketing authorisation; NI, none identified. </w:t>
      </w:r>
    </w:p>
    <w:p w14:paraId="3FBD2428" w14:textId="1E9DB2CE" w:rsidR="00A0762E" w:rsidRPr="00221992" w:rsidRDefault="00A0762E" w:rsidP="00533CF1">
      <w:pPr>
        <w:pStyle w:val="TableNotes"/>
        <w:rPr>
          <w:lang w:val="en-GB"/>
        </w:rPr>
      </w:pPr>
      <w:r w:rsidRPr="00221992">
        <w:rPr>
          <w:lang w:val="en-GB"/>
        </w:rPr>
        <w:t>Notes:</w:t>
      </w:r>
      <w:r w:rsidRPr="00221992">
        <w:rPr>
          <w:lang w:val="en-GB"/>
        </w:rPr>
        <w:tab/>
        <w:t xml:space="preserve">For all European countries the median time to availability reflects the period from 2018-2021. </w:t>
      </w:r>
      <w:r w:rsidR="00394AC9">
        <w:rPr>
          <w:lang w:val="en-GB"/>
        </w:rPr>
        <w:t>1.</w:t>
      </w:r>
      <w:r w:rsidRPr="00221992">
        <w:rPr>
          <w:lang w:val="en-GB"/>
        </w:rPr>
        <w:t xml:space="preserve"> Access to drugs for rare diseases differed across the different regions. </w:t>
      </w:r>
      <w:r w:rsidR="00394AC9">
        <w:rPr>
          <w:lang w:val="en-GB"/>
        </w:rPr>
        <w:t xml:space="preserve">2. </w:t>
      </w:r>
      <w:r w:rsidRPr="00221992">
        <w:rPr>
          <w:lang w:val="en-GB"/>
        </w:rPr>
        <w:t xml:space="preserve">All applications are assessed on a case-by case basis. </w:t>
      </w:r>
      <w:r w:rsidR="00394AC9">
        <w:rPr>
          <w:lang w:val="en-GB"/>
        </w:rPr>
        <w:t xml:space="preserve">3. </w:t>
      </w:r>
      <w:r w:rsidRPr="00221992">
        <w:rPr>
          <w:lang w:val="en-GB"/>
        </w:rPr>
        <w:t xml:space="preserve">Royal decree 1015/2009 currently under review. </w:t>
      </w:r>
      <w:r w:rsidR="00394AC9">
        <w:rPr>
          <w:lang w:val="en-GB"/>
        </w:rPr>
        <w:t xml:space="preserve">4. </w:t>
      </w:r>
      <w:r w:rsidRPr="00221992">
        <w:rPr>
          <w:lang w:val="en-GB"/>
        </w:rPr>
        <w:t xml:space="preserve">The median time for listing since marketing approval for drugs that followed the pharmacoeconomic waiver pathway (for orphan drugs). </w:t>
      </w:r>
      <w:r w:rsidR="00394AC9">
        <w:rPr>
          <w:lang w:val="en-GB"/>
        </w:rPr>
        <w:t xml:space="preserve">5. </w:t>
      </w:r>
      <w:r w:rsidRPr="00221992">
        <w:rPr>
          <w:lang w:val="en-GB"/>
        </w:rPr>
        <w:t>88/156 approved orphan drug designations are reimbursed in Korea to 2019.</w:t>
      </w:r>
      <w:r w:rsidR="008A6310">
        <w:rPr>
          <w:lang w:val="en-GB"/>
        </w:rPr>
        <w:t xml:space="preserve"> </w:t>
      </w:r>
    </w:p>
    <w:p w14:paraId="5620DD62" w14:textId="77777777" w:rsidR="00A0762E" w:rsidRPr="00221992" w:rsidRDefault="00A0762E" w:rsidP="00533CF1">
      <w:pPr>
        <w:pStyle w:val="TableNotes"/>
        <w:rPr>
          <w:lang w:val="en-GB"/>
        </w:rPr>
      </w:pPr>
    </w:p>
    <w:p w14:paraId="45D9E40C" w14:textId="2D66E5AF" w:rsidR="00A0762E" w:rsidRPr="00221992" w:rsidRDefault="00A0762E" w:rsidP="00A0762E">
      <w:pPr>
        <w:rPr>
          <w:lang w:val="en-GB"/>
        </w:rPr>
      </w:pPr>
      <w:r w:rsidRPr="00221992">
        <w:rPr>
          <w:lang w:val="en-GB"/>
        </w:rPr>
        <w:t xml:space="preserve">Countries recognise </w:t>
      </w:r>
      <w:r w:rsidR="00D549B9" w:rsidRPr="00221992">
        <w:rPr>
          <w:lang w:val="en-GB"/>
        </w:rPr>
        <w:t>a</w:t>
      </w:r>
      <w:r w:rsidRPr="00221992">
        <w:rPr>
          <w:lang w:val="en-GB"/>
        </w:rPr>
        <w:t xml:space="preserve"> </w:t>
      </w:r>
      <w:r w:rsidR="00D549B9" w:rsidRPr="00221992">
        <w:rPr>
          <w:lang w:val="en-GB"/>
        </w:rPr>
        <w:t>growing</w:t>
      </w:r>
      <w:r w:rsidRPr="00221992">
        <w:rPr>
          <w:lang w:val="en-GB"/>
        </w:rPr>
        <w:t xml:space="preserve"> demand </w:t>
      </w:r>
      <w:r w:rsidR="007106C7" w:rsidRPr="00221992">
        <w:rPr>
          <w:lang w:val="en-GB"/>
        </w:rPr>
        <w:t>to</w:t>
      </w:r>
      <w:r w:rsidRPr="00221992">
        <w:rPr>
          <w:lang w:val="en-GB"/>
        </w:rPr>
        <w:t xml:space="preserve"> fund</w:t>
      </w:r>
      <w:r w:rsidR="007106C7" w:rsidRPr="00221992">
        <w:rPr>
          <w:lang w:val="en-GB"/>
        </w:rPr>
        <w:t>s</w:t>
      </w:r>
      <w:r w:rsidRPr="00221992">
        <w:rPr>
          <w:lang w:val="en-GB"/>
        </w:rPr>
        <w:t xml:space="preserve"> </w:t>
      </w:r>
      <w:r w:rsidR="007B1E5B" w:rsidRPr="00221992">
        <w:rPr>
          <w:lang w:val="en-GB"/>
        </w:rPr>
        <w:t>drugs for rare diseases. In addition to</w:t>
      </w:r>
      <w:r w:rsidR="00DA0C79" w:rsidRPr="00221992">
        <w:rPr>
          <w:lang w:val="en-GB"/>
        </w:rPr>
        <w:t xml:space="preserve"> </w:t>
      </w:r>
      <w:r w:rsidRPr="00221992">
        <w:rPr>
          <w:lang w:val="en-GB"/>
        </w:rPr>
        <w:t xml:space="preserve">increasing regulatory approvals of </w:t>
      </w:r>
      <w:r w:rsidR="001745BB" w:rsidRPr="00221992">
        <w:rPr>
          <w:lang w:val="en-GB"/>
        </w:rPr>
        <w:t>orphan drugs</w:t>
      </w:r>
      <w:r w:rsidR="007B1E5B" w:rsidRPr="00221992">
        <w:rPr>
          <w:lang w:val="en-GB"/>
        </w:rPr>
        <w:t>,</w:t>
      </w:r>
      <w:r w:rsidRPr="00221992">
        <w:rPr>
          <w:lang w:val="en-GB"/>
        </w:rPr>
        <w:t xml:space="preserve"> better understanding of disease</w:t>
      </w:r>
      <w:r w:rsidR="001745BB" w:rsidRPr="00221992">
        <w:rPr>
          <w:lang w:val="en-GB"/>
        </w:rPr>
        <w:t xml:space="preserve"> subtypes</w:t>
      </w:r>
      <w:r w:rsidRPr="00221992">
        <w:rPr>
          <w:lang w:val="en-GB"/>
        </w:rPr>
        <w:t xml:space="preserve"> has increased the number of </w:t>
      </w:r>
      <w:r w:rsidR="001745BB" w:rsidRPr="00221992">
        <w:rPr>
          <w:lang w:val="en-GB"/>
        </w:rPr>
        <w:t>diseases now</w:t>
      </w:r>
      <w:r w:rsidRPr="00221992">
        <w:rPr>
          <w:lang w:val="en-GB"/>
        </w:rPr>
        <w:t xml:space="preserve"> considered rare</w:t>
      </w:r>
      <w:r w:rsidR="001745BB" w:rsidRPr="00221992">
        <w:rPr>
          <w:lang w:val="en-GB"/>
        </w:rPr>
        <w:t xml:space="preserve">, particularly </w:t>
      </w:r>
      <w:r w:rsidR="005E1192" w:rsidRPr="00221992">
        <w:rPr>
          <w:lang w:val="en-GB"/>
        </w:rPr>
        <w:t>with respect to cancer</w:t>
      </w:r>
      <w:r w:rsidRPr="00221992">
        <w:rPr>
          <w:lang w:val="en-GB"/>
        </w:rPr>
        <w:t>. As this market continues to grow</w:t>
      </w:r>
      <w:r w:rsidR="005E1192" w:rsidRPr="00221992">
        <w:rPr>
          <w:lang w:val="en-GB"/>
        </w:rPr>
        <w:t>,</w:t>
      </w:r>
      <w:r w:rsidRPr="00221992">
        <w:rPr>
          <w:lang w:val="en-GB"/>
        </w:rPr>
        <w:t xml:space="preserve"> </w:t>
      </w:r>
      <w:r w:rsidR="00781237" w:rsidRPr="00221992">
        <w:rPr>
          <w:lang w:val="en-GB"/>
        </w:rPr>
        <w:t>orphan drugs are</w:t>
      </w:r>
      <w:r w:rsidRPr="00221992">
        <w:rPr>
          <w:lang w:val="en-GB"/>
        </w:rPr>
        <w:t xml:space="preserve"> </w:t>
      </w:r>
      <w:r w:rsidR="00781237" w:rsidRPr="00221992">
        <w:rPr>
          <w:lang w:val="en-GB"/>
        </w:rPr>
        <w:t>placing</w:t>
      </w:r>
      <w:r w:rsidRPr="00221992">
        <w:rPr>
          <w:lang w:val="en-GB"/>
        </w:rPr>
        <w:t xml:space="preserve"> </w:t>
      </w:r>
      <w:r w:rsidR="00781237" w:rsidRPr="00221992">
        <w:rPr>
          <w:lang w:val="en-GB"/>
        </w:rPr>
        <w:t>a</w:t>
      </w:r>
      <w:r w:rsidR="00C72D23" w:rsidRPr="00221992">
        <w:rPr>
          <w:lang w:val="en-GB"/>
        </w:rPr>
        <w:t xml:space="preserve"> greater </w:t>
      </w:r>
      <w:r w:rsidRPr="00221992">
        <w:rPr>
          <w:lang w:val="en-GB"/>
        </w:rPr>
        <w:t xml:space="preserve">burden on </w:t>
      </w:r>
      <w:r w:rsidR="00781237" w:rsidRPr="00221992">
        <w:rPr>
          <w:lang w:val="en-GB"/>
        </w:rPr>
        <w:t>health</w:t>
      </w:r>
      <w:r w:rsidRPr="00221992">
        <w:rPr>
          <w:lang w:val="en-GB"/>
        </w:rPr>
        <w:t xml:space="preserve"> budget</w:t>
      </w:r>
      <w:r w:rsidR="00781237" w:rsidRPr="00221992">
        <w:rPr>
          <w:lang w:val="en-GB"/>
        </w:rPr>
        <w:t>s</w:t>
      </w:r>
      <w:r w:rsidRPr="00221992">
        <w:rPr>
          <w:lang w:val="en-GB"/>
        </w:rPr>
        <w:t xml:space="preserve"> and uncertainty around expenditure. </w:t>
      </w:r>
      <w:r w:rsidR="00624BB4" w:rsidRPr="00221992">
        <w:rPr>
          <w:lang w:val="en-GB"/>
        </w:rPr>
        <w:t>In response, a</w:t>
      </w:r>
      <w:r w:rsidR="005D2418" w:rsidRPr="00221992">
        <w:rPr>
          <w:lang w:val="en-GB"/>
        </w:rPr>
        <w:t xml:space="preserve"> number of countries h</w:t>
      </w:r>
      <w:r w:rsidRPr="00221992">
        <w:rPr>
          <w:lang w:val="en-GB"/>
        </w:rPr>
        <w:t xml:space="preserve">ave </w:t>
      </w:r>
      <w:r w:rsidR="00624BB4" w:rsidRPr="00221992">
        <w:rPr>
          <w:lang w:val="en-GB"/>
        </w:rPr>
        <w:t>established</w:t>
      </w:r>
      <w:r w:rsidRPr="00221992">
        <w:rPr>
          <w:lang w:val="en-GB"/>
        </w:rPr>
        <w:t xml:space="preserve"> resource</w:t>
      </w:r>
      <w:r w:rsidR="00624BB4" w:rsidRPr="00221992">
        <w:rPr>
          <w:lang w:val="en-GB"/>
        </w:rPr>
        <w:t xml:space="preserve"> pools specifically</w:t>
      </w:r>
      <w:r w:rsidRPr="00221992">
        <w:rPr>
          <w:lang w:val="en-GB"/>
        </w:rPr>
        <w:t xml:space="preserve"> for drugs for rare/ultra-rare diseases (see </w:t>
      </w:r>
      <w:r w:rsidR="00624BB4" w:rsidRPr="00221992">
        <w:rPr>
          <w:lang w:val="en-GB"/>
        </w:rPr>
        <w:fldChar w:fldCharType="begin"/>
      </w:r>
      <w:r w:rsidR="00624BB4" w:rsidRPr="00221992">
        <w:rPr>
          <w:lang w:val="en-GB"/>
        </w:rPr>
        <w:instrText xml:space="preserve"> REF _Ref146015207 \h </w:instrText>
      </w:r>
      <w:r w:rsidR="00624BB4" w:rsidRPr="00221992">
        <w:rPr>
          <w:lang w:val="en-GB"/>
        </w:rPr>
      </w:r>
      <w:r w:rsidR="00624BB4" w:rsidRPr="00221992">
        <w:rPr>
          <w:lang w:val="en-GB"/>
        </w:rPr>
        <w:fldChar w:fldCharType="separate"/>
      </w:r>
      <w:r w:rsidR="000E11E7" w:rsidRPr="00221992">
        <w:rPr>
          <w:lang w:val="en-GB"/>
        </w:rPr>
        <w:t xml:space="preserve">Table </w:t>
      </w:r>
      <w:r w:rsidR="000E11E7">
        <w:rPr>
          <w:noProof/>
          <w:lang w:val="en-GB"/>
        </w:rPr>
        <w:t>2</w:t>
      </w:r>
      <w:r w:rsidR="00624BB4" w:rsidRPr="00221992">
        <w:rPr>
          <w:lang w:val="en-GB"/>
        </w:rPr>
        <w:fldChar w:fldCharType="end"/>
      </w:r>
      <w:r w:rsidRPr="00221992">
        <w:rPr>
          <w:lang w:val="en-GB"/>
        </w:rPr>
        <w:t>). In all cases</w:t>
      </w:r>
      <w:r w:rsidR="00133E07" w:rsidRPr="00221992">
        <w:rPr>
          <w:lang w:val="en-GB"/>
        </w:rPr>
        <w:t>,</w:t>
      </w:r>
      <w:r w:rsidRPr="00221992">
        <w:rPr>
          <w:lang w:val="en-GB"/>
        </w:rPr>
        <w:t xml:space="preserve"> </w:t>
      </w:r>
      <w:r w:rsidR="00133E07" w:rsidRPr="00221992">
        <w:rPr>
          <w:lang w:val="en-GB"/>
        </w:rPr>
        <w:t xml:space="preserve">these </w:t>
      </w:r>
      <w:r w:rsidRPr="00221992">
        <w:rPr>
          <w:lang w:val="en-GB"/>
        </w:rPr>
        <w:t>budget</w:t>
      </w:r>
      <w:r w:rsidR="00133E07" w:rsidRPr="00221992">
        <w:rPr>
          <w:lang w:val="en-GB"/>
        </w:rPr>
        <w:t>s</w:t>
      </w:r>
      <w:r w:rsidRPr="00221992">
        <w:rPr>
          <w:lang w:val="en-GB"/>
        </w:rPr>
        <w:t xml:space="preserve"> w</w:t>
      </w:r>
      <w:r w:rsidR="00133E07" w:rsidRPr="00221992">
        <w:rPr>
          <w:lang w:val="en-GB"/>
        </w:rPr>
        <w:t>ere</w:t>
      </w:r>
      <w:r w:rsidRPr="00221992">
        <w:rPr>
          <w:lang w:val="en-GB"/>
        </w:rPr>
        <w:t xml:space="preserve"> either fixed or negotiated on a yearly basis. </w:t>
      </w:r>
    </w:p>
    <w:p w14:paraId="530E8C55" w14:textId="367F6596" w:rsidR="00A0762E" w:rsidRPr="00221992" w:rsidRDefault="00A0762E" w:rsidP="001721AB">
      <w:pPr>
        <w:pStyle w:val="Caption"/>
        <w:rPr>
          <w:lang w:val="en-GB"/>
        </w:rPr>
      </w:pPr>
      <w:bookmarkStart w:id="19" w:name="_Ref146015207"/>
      <w:bookmarkStart w:id="20" w:name="_Toc162950949"/>
      <w:r w:rsidRPr="00221992">
        <w:rPr>
          <w:lang w:val="en-GB"/>
        </w:rPr>
        <w:t xml:space="preserve">Table </w:t>
      </w:r>
      <w:r w:rsidRPr="00221992">
        <w:rPr>
          <w:lang w:val="en-GB"/>
        </w:rPr>
        <w:fldChar w:fldCharType="begin"/>
      </w:r>
      <w:r w:rsidRPr="00221992">
        <w:rPr>
          <w:lang w:val="en-GB"/>
        </w:rPr>
        <w:instrText>SEQ Table \* ARABIC</w:instrText>
      </w:r>
      <w:r w:rsidRPr="00221992">
        <w:rPr>
          <w:lang w:val="en-GB"/>
        </w:rPr>
        <w:fldChar w:fldCharType="separate"/>
      </w:r>
      <w:r w:rsidR="000E11E7">
        <w:rPr>
          <w:noProof/>
          <w:lang w:val="en-GB"/>
        </w:rPr>
        <w:t>2</w:t>
      </w:r>
      <w:r w:rsidRPr="00221992">
        <w:rPr>
          <w:lang w:val="en-GB"/>
        </w:rPr>
        <w:fldChar w:fldCharType="end"/>
      </w:r>
      <w:bookmarkEnd w:id="19"/>
      <w:r w:rsidRPr="00221992">
        <w:rPr>
          <w:lang w:val="en-GB"/>
        </w:rPr>
        <w:t>.</w:t>
      </w:r>
      <w:r w:rsidR="00624BB4" w:rsidRPr="00221992">
        <w:rPr>
          <w:lang w:val="en-GB"/>
        </w:rPr>
        <w:t xml:space="preserve"> </w:t>
      </w:r>
      <w:r w:rsidRPr="00221992">
        <w:rPr>
          <w:lang w:val="en-GB"/>
        </w:rPr>
        <w:t xml:space="preserve">Countries with </w:t>
      </w:r>
      <w:r w:rsidR="007A49B6" w:rsidRPr="00221992">
        <w:rPr>
          <w:lang w:val="en-GB"/>
        </w:rPr>
        <w:t xml:space="preserve">designated </w:t>
      </w:r>
      <w:r w:rsidRPr="00221992">
        <w:rPr>
          <w:lang w:val="en-GB"/>
        </w:rPr>
        <w:t>funds</w:t>
      </w:r>
      <w:r w:rsidR="001A2319" w:rsidRPr="00221992">
        <w:rPr>
          <w:lang w:val="en-GB"/>
        </w:rPr>
        <w:t xml:space="preserve"> for </w:t>
      </w:r>
      <w:r w:rsidR="00825D3A" w:rsidRPr="00221992">
        <w:rPr>
          <w:lang w:val="en-GB"/>
        </w:rPr>
        <w:t xml:space="preserve">therapies for </w:t>
      </w:r>
      <w:r w:rsidR="001A2319" w:rsidRPr="00221992">
        <w:rPr>
          <w:lang w:val="en-GB"/>
        </w:rPr>
        <w:t xml:space="preserve">rare/ultra-rare </w:t>
      </w:r>
      <w:r w:rsidR="00825D3A" w:rsidRPr="00221992">
        <w:rPr>
          <w:lang w:val="en-GB"/>
        </w:rPr>
        <w:t>disease</w:t>
      </w:r>
      <w:bookmarkEnd w:id="20"/>
    </w:p>
    <w:tbl>
      <w:tblPr>
        <w:tblStyle w:val="LinedBlueTable"/>
        <w:tblW w:w="8030" w:type="dxa"/>
        <w:tblLook w:val="04A0" w:firstRow="1" w:lastRow="0" w:firstColumn="1" w:lastColumn="0" w:noHBand="0" w:noVBand="1"/>
        <w:tblCaption w:val="Countries with a separate pool of funds "/>
      </w:tblPr>
      <w:tblGrid>
        <w:gridCol w:w="2340"/>
        <w:gridCol w:w="2392"/>
        <w:gridCol w:w="3298"/>
      </w:tblGrid>
      <w:tr w:rsidR="00A0762E" w:rsidRPr="00221992" w14:paraId="2E3F0E81" w14:textId="77777777" w:rsidTr="00CE4CE2">
        <w:trPr>
          <w:cnfStyle w:val="100000000000" w:firstRow="1" w:lastRow="0" w:firstColumn="0" w:lastColumn="0" w:oddVBand="0" w:evenVBand="0" w:oddHBand="0"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2340" w:type="dxa"/>
            <w:shd w:val="clear" w:color="auto" w:fill="000000" w:themeFill="text1"/>
          </w:tcPr>
          <w:p w14:paraId="702A68E6" w14:textId="77777777" w:rsidR="00A0762E" w:rsidRPr="00221992" w:rsidRDefault="00A0762E" w:rsidP="00EC0C29">
            <w:pPr>
              <w:pStyle w:val="TableHeading"/>
              <w:keepNext/>
              <w:keepLines/>
              <w:spacing w:before="0" w:after="0" w:line="240" w:lineRule="auto"/>
              <w:rPr>
                <w:rFonts w:ascii="Calibri" w:hAnsi="Calibri" w:cs="Calibri"/>
                <w:sz w:val="20"/>
                <w:szCs w:val="20"/>
                <w:lang w:val="en-GB"/>
              </w:rPr>
            </w:pPr>
            <w:r w:rsidRPr="00221992">
              <w:rPr>
                <w:rFonts w:ascii="Calibri" w:hAnsi="Calibri" w:cs="Calibri"/>
                <w:sz w:val="20"/>
                <w:szCs w:val="20"/>
                <w:lang w:val="en-GB"/>
              </w:rPr>
              <w:t>Country</w:t>
            </w:r>
          </w:p>
        </w:tc>
        <w:tc>
          <w:tcPr>
            <w:tcW w:w="2392" w:type="dxa"/>
            <w:shd w:val="clear" w:color="auto" w:fill="1E8BCD"/>
          </w:tcPr>
          <w:p w14:paraId="26073F76" w14:textId="77777777" w:rsidR="00A0762E" w:rsidRPr="00221992" w:rsidRDefault="00A0762E" w:rsidP="00EC0C29">
            <w:pPr>
              <w:pStyle w:val="TableHeading"/>
              <w:keepNext/>
              <w:keepLines/>
              <w:spacing w:before="0" w:after="0" w:line="240" w:lineRule="auto"/>
              <w:cnfStyle w:val="100000000000" w:firstRow="1" w:lastRow="0" w:firstColumn="0" w:lastColumn="0" w:oddVBand="0" w:evenVBand="0" w:oddHBand="0" w:evenHBand="0" w:firstRowFirstColumn="0" w:firstRowLastColumn="0" w:lastRowFirstColumn="0" w:lastRowLastColumn="0"/>
              <w:rPr>
                <w:rFonts w:ascii="Calibri" w:hAnsi="Calibri" w:cs="Calibri"/>
                <w:sz w:val="20"/>
                <w:szCs w:val="20"/>
                <w:lang w:val="en-GB"/>
              </w:rPr>
            </w:pPr>
            <w:r w:rsidRPr="00221992">
              <w:rPr>
                <w:rFonts w:ascii="Calibri" w:hAnsi="Calibri" w:cs="Calibri"/>
                <w:sz w:val="20"/>
                <w:szCs w:val="20"/>
                <w:lang w:val="en-GB"/>
              </w:rPr>
              <w:t>Fund</w:t>
            </w:r>
          </w:p>
        </w:tc>
        <w:tc>
          <w:tcPr>
            <w:tcW w:w="3298" w:type="dxa"/>
            <w:shd w:val="clear" w:color="auto" w:fill="1E8BCD"/>
          </w:tcPr>
          <w:p w14:paraId="7F1A47BD" w14:textId="77777777" w:rsidR="00A0762E" w:rsidRPr="00221992" w:rsidRDefault="00A0762E" w:rsidP="00EC0C29">
            <w:pPr>
              <w:pStyle w:val="TableHeading"/>
              <w:keepNext/>
              <w:keepLines/>
              <w:spacing w:before="0" w:after="0" w:line="240" w:lineRule="auto"/>
              <w:cnfStyle w:val="100000000000" w:firstRow="1" w:lastRow="0" w:firstColumn="0" w:lastColumn="0" w:oddVBand="0" w:evenVBand="0" w:oddHBand="0" w:evenHBand="0" w:firstRowFirstColumn="0" w:firstRowLastColumn="0" w:lastRowFirstColumn="0" w:lastRowLastColumn="0"/>
              <w:rPr>
                <w:rFonts w:ascii="Calibri" w:hAnsi="Calibri" w:cs="Calibri"/>
                <w:sz w:val="20"/>
                <w:szCs w:val="20"/>
                <w:lang w:val="en-GB"/>
              </w:rPr>
            </w:pPr>
            <w:r w:rsidRPr="00221992">
              <w:rPr>
                <w:rFonts w:ascii="Calibri" w:hAnsi="Calibri" w:cs="Calibri"/>
                <w:sz w:val="20"/>
                <w:szCs w:val="20"/>
                <w:lang w:val="en-GB"/>
              </w:rPr>
              <w:t>Budget</w:t>
            </w:r>
          </w:p>
        </w:tc>
      </w:tr>
      <w:tr w:rsidR="00A0762E" w:rsidRPr="00221992" w14:paraId="5A33247A" w14:textId="77777777" w:rsidTr="00CE4CE2">
        <w:trPr>
          <w:trHeight w:val="331"/>
        </w:trPr>
        <w:tc>
          <w:tcPr>
            <w:cnfStyle w:val="001000000000" w:firstRow="0" w:lastRow="0" w:firstColumn="1" w:lastColumn="0" w:oddVBand="0" w:evenVBand="0" w:oddHBand="0" w:evenHBand="0" w:firstRowFirstColumn="0" w:firstRowLastColumn="0" w:lastRowFirstColumn="0" w:lastRowLastColumn="0"/>
            <w:tcW w:w="2340" w:type="dxa"/>
            <w:shd w:val="clear" w:color="auto" w:fill="1E8BCD"/>
          </w:tcPr>
          <w:p w14:paraId="441C3378" w14:textId="77777777" w:rsidR="00A0762E" w:rsidRPr="00221992" w:rsidRDefault="00A0762E" w:rsidP="00EC0C29">
            <w:pPr>
              <w:pStyle w:val="TableText"/>
              <w:keepNext/>
              <w:keepLines/>
              <w:spacing w:before="0" w:after="0" w:line="240" w:lineRule="auto"/>
              <w:rPr>
                <w:sz w:val="20"/>
                <w:szCs w:val="20"/>
                <w:lang w:val="en-GB"/>
              </w:rPr>
            </w:pPr>
            <w:r w:rsidRPr="00221992">
              <w:rPr>
                <w:sz w:val="20"/>
                <w:szCs w:val="20"/>
                <w:lang w:val="en-GB"/>
              </w:rPr>
              <w:t>England/Wales</w:t>
            </w:r>
          </w:p>
        </w:tc>
        <w:tc>
          <w:tcPr>
            <w:tcW w:w="2392" w:type="dxa"/>
          </w:tcPr>
          <w:p w14:paraId="08EF5CD0" w14:textId="77777777" w:rsidR="00A0762E" w:rsidRPr="00221992" w:rsidRDefault="00A0762E" w:rsidP="00EC0C29">
            <w:pPr>
              <w:pStyle w:val="TableText"/>
              <w:keepNext/>
              <w:keepLines/>
              <w:spacing w:before="0" w:after="0" w:line="240" w:lineRule="auto"/>
              <w:cnfStyle w:val="000000000000" w:firstRow="0" w:lastRow="0" w:firstColumn="0" w:lastColumn="0" w:oddVBand="0" w:evenVBand="0" w:oddHBand="0" w:evenHBand="0" w:firstRowFirstColumn="0" w:firstRowLastColumn="0" w:lastRowFirstColumn="0" w:lastRowLastColumn="0"/>
              <w:rPr>
                <w:sz w:val="20"/>
                <w:szCs w:val="20"/>
                <w:lang w:val="en-GB"/>
              </w:rPr>
            </w:pPr>
            <w:r w:rsidRPr="00221992">
              <w:rPr>
                <w:sz w:val="20"/>
                <w:szCs w:val="20"/>
                <w:lang w:val="en-GB"/>
              </w:rPr>
              <w:t>IMF</w:t>
            </w:r>
          </w:p>
        </w:tc>
        <w:tc>
          <w:tcPr>
            <w:tcW w:w="3298" w:type="dxa"/>
          </w:tcPr>
          <w:p w14:paraId="61C83F59" w14:textId="77777777" w:rsidR="00A0762E" w:rsidRPr="00221992" w:rsidRDefault="00A0762E" w:rsidP="00EC0C29">
            <w:pPr>
              <w:pStyle w:val="TableText"/>
              <w:keepNext/>
              <w:keepLines/>
              <w:spacing w:before="0" w:after="0" w:line="240" w:lineRule="auto"/>
              <w:cnfStyle w:val="000000000000" w:firstRow="0" w:lastRow="0" w:firstColumn="0" w:lastColumn="0" w:oddVBand="0" w:evenVBand="0" w:oddHBand="0" w:evenHBand="0" w:firstRowFirstColumn="0" w:firstRowLastColumn="0" w:lastRowFirstColumn="0" w:lastRowLastColumn="0"/>
              <w:rPr>
                <w:sz w:val="20"/>
                <w:szCs w:val="20"/>
                <w:lang w:val="en-GB"/>
              </w:rPr>
            </w:pPr>
            <w:r w:rsidRPr="00221992">
              <w:rPr>
                <w:rFonts w:cs="Calibri Light"/>
                <w:sz w:val="20"/>
                <w:szCs w:val="20"/>
                <w:lang w:val="en-GB"/>
              </w:rPr>
              <w:t>Fixed - £</w:t>
            </w:r>
            <w:r w:rsidRPr="00221992">
              <w:rPr>
                <w:sz w:val="20"/>
                <w:szCs w:val="20"/>
                <w:lang w:val="en-GB"/>
              </w:rPr>
              <w:t>340 million</w:t>
            </w:r>
          </w:p>
        </w:tc>
      </w:tr>
      <w:tr w:rsidR="00A0762E" w:rsidRPr="00221992" w14:paraId="68E76420" w14:textId="77777777" w:rsidTr="00CE4CE2">
        <w:trPr>
          <w:cnfStyle w:val="000000010000" w:firstRow="0" w:lastRow="0" w:firstColumn="0" w:lastColumn="0" w:oddVBand="0" w:evenVBand="0" w:oddHBand="0" w:evenHBand="1" w:firstRowFirstColumn="0" w:firstRowLastColumn="0" w:lastRowFirstColumn="0" w:lastRowLastColumn="0"/>
          <w:trHeight w:val="835"/>
        </w:trPr>
        <w:tc>
          <w:tcPr>
            <w:cnfStyle w:val="001000000000" w:firstRow="0" w:lastRow="0" w:firstColumn="1" w:lastColumn="0" w:oddVBand="0" w:evenVBand="0" w:oddHBand="0" w:evenHBand="0" w:firstRowFirstColumn="0" w:firstRowLastColumn="0" w:lastRowFirstColumn="0" w:lastRowLastColumn="0"/>
            <w:tcW w:w="2340" w:type="dxa"/>
            <w:shd w:val="clear" w:color="auto" w:fill="1E8BCD"/>
          </w:tcPr>
          <w:p w14:paraId="770B52C7" w14:textId="77777777" w:rsidR="00A0762E" w:rsidRPr="00221992" w:rsidRDefault="00A0762E" w:rsidP="00EC0C29">
            <w:pPr>
              <w:pStyle w:val="TableText"/>
              <w:keepNext/>
              <w:keepLines/>
              <w:spacing w:before="0" w:after="0" w:line="240" w:lineRule="auto"/>
              <w:rPr>
                <w:sz w:val="20"/>
                <w:szCs w:val="20"/>
                <w:lang w:val="en-GB"/>
              </w:rPr>
            </w:pPr>
            <w:r w:rsidRPr="00221992">
              <w:rPr>
                <w:sz w:val="20"/>
                <w:szCs w:val="20"/>
                <w:lang w:val="en-GB"/>
              </w:rPr>
              <w:t>Scotland</w:t>
            </w:r>
          </w:p>
        </w:tc>
        <w:tc>
          <w:tcPr>
            <w:tcW w:w="2392" w:type="dxa"/>
            <w:shd w:val="clear" w:color="auto" w:fill="EFEFEF" w:themeFill="text2" w:themeFillTint="33"/>
          </w:tcPr>
          <w:p w14:paraId="0873A32B" w14:textId="77777777" w:rsidR="00A0762E" w:rsidRPr="00221992" w:rsidRDefault="00A0762E" w:rsidP="00EC0C29">
            <w:pPr>
              <w:pStyle w:val="TableText"/>
              <w:keepNext/>
              <w:keepLines/>
              <w:spacing w:before="0" w:after="0" w:line="240" w:lineRule="auto"/>
              <w:cnfStyle w:val="000000010000" w:firstRow="0" w:lastRow="0" w:firstColumn="0" w:lastColumn="0" w:oddVBand="0" w:evenVBand="0" w:oddHBand="0" w:evenHBand="1" w:firstRowFirstColumn="0" w:firstRowLastColumn="0" w:lastRowFirstColumn="0" w:lastRowLastColumn="0"/>
              <w:rPr>
                <w:sz w:val="20"/>
                <w:szCs w:val="20"/>
                <w:lang w:val="en-GB"/>
              </w:rPr>
            </w:pPr>
            <w:r w:rsidRPr="00221992">
              <w:rPr>
                <w:sz w:val="20"/>
                <w:szCs w:val="20"/>
                <w:lang w:val="en-GB"/>
              </w:rPr>
              <w:t>NMF</w:t>
            </w:r>
          </w:p>
        </w:tc>
        <w:tc>
          <w:tcPr>
            <w:tcW w:w="3298" w:type="dxa"/>
            <w:shd w:val="clear" w:color="auto" w:fill="EFEFEF" w:themeFill="text2" w:themeFillTint="33"/>
          </w:tcPr>
          <w:p w14:paraId="57475A4C" w14:textId="77777777" w:rsidR="00A0762E" w:rsidRPr="00221992" w:rsidRDefault="00A0762E" w:rsidP="00EC0C29">
            <w:pPr>
              <w:pStyle w:val="TableText"/>
              <w:keepNext/>
              <w:keepLines/>
              <w:spacing w:before="0" w:after="0" w:line="240" w:lineRule="auto"/>
              <w:cnfStyle w:val="000000010000" w:firstRow="0" w:lastRow="0" w:firstColumn="0" w:lastColumn="0" w:oddVBand="0" w:evenVBand="0" w:oddHBand="0" w:evenHBand="1" w:firstRowFirstColumn="0" w:firstRowLastColumn="0" w:lastRowFirstColumn="0" w:lastRowLastColumn="0"/>
              <w:rPr>
                <w:sz w:val="20"/>
                <w:szCs w:val="20"/>
                <w:lang w:val="en-GB"/>
              </w:rPr>
            </w:pPr>
            <w:r w:rsidRPr="00221992">
              <w:rPr>
                <w:sz w:val="20"/>
                <w:szCs w:val="20"/>
                <w:lang w:val="en-GB"/>
              </w:rPr>
              <w:t>Funded through payments from the pharma industry under the PPRS</w:t>
            </w:r>
            <w:r w:rsidRPr="00221992">
              <w:rPr>
                <w:sz w:val="20"/>
                <w:szCs w:val="20"/>
                <w:vertAlign w:val="superscript"/>
                <w:lang w:val="en-GB"/>
              </w:rPr>
              <w:t>1</w:t>
            </w:r>
            <w:r w:rsidRPr="00221992">
              <w:rPr>
                <w:sz w:val="20"/>
                <w:szCs w:val="20"/>
                <w:lang w:val="en-GB"/>
              </w:rPr>
              <w:t xml:space="preserve">. Budget is allocated on a yearly basis. </w:t>
            </w:r>
          </w:p>
          <w:p w14:paraId="675FFFDB" w14:textId="77777777" w:rsidR="00A0762E" w:rsidRPr="00221992" w:rsidRDefault="00A0762E" w:rsidP="00EC0C29">
            <w:pPr>
              <w:pStyle w:val="TableText"/>
              <w:keepNext/>
              <w:keepLines/>
              <w:spacing w:before="0" w:after="0" w:line="240" w:lineRule="auto"/>
              <w:cnfStyle w:val="000000010000" w:firstRow="0" w:lastRow="0" w:firstColumn="0" w:lastColumn="0" w:oddVBand="0" w:evenVBand="0" w:oddHBand="0" w:evenHBand="1" w:firstRowFirstColumn="0" w:firstRowLastColumn="0" w:lastRowFirstColumn="0" w:lastRowLastColumn="0"/>
              <w:rPr>
                <w:sz w:val="20"/>
                <w:szCs w:val="20"/>
                <w:lang w:val="en-GB"/>
              </w:rPr>
            </w:pPr>
            <w:r w:rsidRPr="00221992">
              <w:rPr>
                <w:rFonts w:cs="Calibri Light"/>
                <w:sz w:val="20"/>
                <w:szCs w:val="20"/>
                <w:lang w:val="en-GB"/>
              </w:rPr>
              <w:t>£50</w:t>
            </w:r>
            <w:r w:rsidRPr="00221992">
              <w:rPr>
                <w:sz w:val="20"/>
                <w:szCs w:val="20"/>
                <w:lang w:val="en-GB"/>
              </w:rPr>
              <w:t xml:space="preserve"> million (2021-2022)</w:t>
            </w:r>
          </w:p>
        </w:tc>
      </w:tr>
      <w:tr w:rsidR="00A0762E" w:rsidRPr="00221992" w14:paraId="67AA52FA" w14:textId="77777777" w:rsidTr="00CE4CE2">
        <w:trPr>
          <w:trHeight w:val="317"/>
        </w:trPr>
        <w:tc>
          <w:tcPr>
            <w:cnfStyle w:val="001000000000" w:firstRow="0" w:lastRow="0" w:firstColumn="1" w:lastColumn="0" w:oddVBand="0" w:evenVBand="0" w:oddHBand="0" w:evenHBand="0" w:firstRowFirstColumn="0" w:firstRowLastColumn="0" w:lastRowFirstColumn="0" w:lastRowLastColumn="0"/>
            <w:tcW w:w="2340" w:type="dxa"/>
            <w:shd w:val="clear" w:color="auto" w:fill="1E8BCD"/>
          </w:tcPr>
          <w:p w14:paraId="0FF90B3A" w14:textId="77777777" w:rsidR="00A0762E" w:rsidRPr="00221992" w:rsidRDefault="00A0762E" w:rsidP="00EC0C29">
            <w:pPr>
              <w:pStyle w:val="TableText"/>
              <w:keepNext/>
              <w:keepLines/>
              <w:spacing w:before="0" w:after="0" w:line="240" w:lineRule="auto"/>
              <w:rPr>
                <w:sz w:val="20"/>
                <w:szCs w:val="20"/>
                <w:lang w:val="en-GB"/>
              </w:rPr>
            </w:pPr>
            <w:r w:rsidRPr="00221992">
              <w:rPr>
                <w:sz w:val="20"/>
                <w:szCs w:val="20"/>
                <w:lang w:val="en-GB"/>
              </w:rPr>
              <w:t>Netherlands</w:t>
            </w:r>
          </w:p>
        </w:tc>
        <w:tc>
          <w:tcPr>
            <w:tcW w:w="2392" w:type="dxa"/>
          </w:tcPr>
          <w:p w14:paraId="60305D40" w14:textId="77777777" w:rsidR="00A0762E" w:rsidRPr="00221992" w:rsidRDefault="00A0762E" w:rsidP="00EC0C29">
            <w:pPr>
              <w:pStyle w:val="TableText"/>
              <w:keepNext/>
              <w:keepLines/>
              <w:spacing w:before="0" w:after="0" w:line="240" w:lineRule="auto"/>
              <w:cnfStyle w:val="000000000000" w:firstRow="0" w:lastRow="0" w:firstColumn="0" w:lastColumn="0" w:oddVBand="0" w:evenVBand="0" w:oddHBand="0" w:evenHBand="0" w:firstRowFirstColumn="0" w:firstRowLastColumn="0" w:lastRowFirstColumn="0" w:lastRowLastColumn="0"/>
              <w:rPr>
                <w:sz w:val="20"/>
                <w:szCs w:val="20"/>
                <w:lang w:val="en-GB"/>
              </w:rPr>
            </w:pPr>
            <w:r w:rsidRPr="00221992">
              <w:rPr>
                <w:sz w:val="20"/>
                <w:szCs w:val="20"/>
                <w:lang w:val="en-GB"/>
              </w:rPr>
              <w:t>Conditional listing fund</w:t>
            </w:r>
          </w:p>
        </w:tc>
        <w:tc>
          <w:tcPr>
            <w:tcW w:w="3298" w:type="dxa"/>
          </w:tcPr>
          <w:p w14:paraId="3A764E65" w14:textId="77777777" w:rsidR="00A0762E" w:rsidRPr="00221992" w:rsidRDefault="00A0762E" w:rsidP="00EC0C29">
            <w:pPr>
              <w:pStyle w:val="TableText"/>
              <w:keepNext/>
              <w:keepLines/>
              <w:spacing w:before="0" w:after="0" w:line="240" w:lineRule="auto"/>
              <w:cnfStyle w:val="000000000000" w:firstRow="0" w:lastRow="0" w:firstColumn="0" w:lastColumn="0" w:oddVBand="0" w:evenVBand="0" w:oddHBand="0" w:evenHBand="0" w:firstRowFirstColumn="0" w:firstRowLastColumn="0" w:lastRowFirstColumn="0" w:lastRowLastColumn="0"/>
              <w:rPr>
                <w:sz w:val="20"/>
                <w:szCs w:val="20"/>
                <w:lang w:val="en-GB"/>
              </w:rPr>
            </w:pPr>
            <w:r w:rsidRPr="00221992">
              <w:rPr>
                <w:rFonts w:cs="Calibri Light"/>
                <w:sz w:val="20"/>
                <w:szCs w:val="20"/>
                <w:lang w:val="en-GB"/>
              </w:rPr>
              <w:t>€</w:t>
            </w:r>
            <w:r w:rsidRPr="00221992">
              <w:rPr>
                <w:sz w:val="20"/>
                <w:szCs w:val="20"/>
                <w:lang w:val="en-GB"/>
              </w:rPr>
              <w:t>26.8 million (2021)</w:t>
            </w:r>
          </w:p>
        </w:tc>
      </w:tr>
      <w:tr w:rsidR="00A0762E" w:rsidRPr="00221992" w14:paraId="465B73F1" w14:textId="77777777" w:rsidTr="00CE4CE2">
        <w:trPr>
          <w:cnfStyle w:val="000000010000" w:firstRow="0" w:lastRow="0" w:firstColumn="0" w:lastColumn="0" w:oddVBand="0" w:evenVBand="0" w:oddHBand="0" w:evenHBand="1" w:firstRowFirstColumn="0" w:firstRowLastColumn="0" w:lastRowFirstColumn="0" w:lastRowLastColumn="0"/>
          <w:trHeight w:val="348"/>
        </w:trPr>
        <w:tc>
          <w:tcPr>
            <w:cnfStyle w:val="001000000000" w:firstRow="0" w:lastRow="0" w:firstColumn="1" w:lastColumn="0" w:oddVBand="0" w:evenVBand="0" w:oddHBand="0" w:evenHBand="0" w:firstRowFirstColumn="0" w:firstRowLastColumn="0" w:lastRowFirstColumn="0" w:lastRowLastColumn="0"/>
            <w:tcW w:w="2340" w:type="dxa"/>
            <w:shd w:val="clear" w:color="auto" w:fill="1E8BCD"/>
          </w:tcPr>
          <w:p w14:paraId="0C3E3C4E" w14:textId="77777777" w:rsidR="00A0762E" w:rsidRPr="00221992" w:rsidRDefault="00A0762E" w:rsidP="00EC0C29">
            <w:pPr>
              <w:pStyle w:val="TableText"/>
              <w:keepNext/>
              <w:keepLines/>
              <w:spacing w:before="0" w:after="0" w:line="240" w:lineRule="auto"/>
              <w:rPr>
                <w:sz w:val="20"/>
                <w:szCs w:val="20"/>
                <w:lang w:val="en-GB"/>
              </w:rPr>
            </w:pPr>
            <w:r w:rsidRPr="00221992">
              <w:rPr>
                <w:sz w:val="20"/>
                <w:szCs w:val="20"/>
                <w:lang w:val="en-GB"/>
              </w:rPr>
              <w:t>New Zealand</w:t>
            </w:r>
          </w:p>
        </w:tc>
        <w:tc>
          <w:tcPr>
            <w:tcW w:w="2392" w:type="dxa"/>
          </w:tcPr>
          <w:p w14:paraId="4A9C3D00" w14:textId="77777777" w:rsidR="00A0762E" w:rsidRPr="00221992" w:rsidRDefault="00A0762E" w:rsidP="00EC0C29">
            <w:pPr>
              <w:pStyle w:val="TableText"/>
              <w:keepNext/>
              <w:keepLines/>
              <w:spacing w:before="0" w:after="0" w:line="240" w:lineRule="auto"/>
              <w:cnfStyle w:val="000000010000" w:firstRow="0" w:lastRow="0" w:firstColumn="0" w:lastColumn="0" w:oddVBand="0" w:evenVBand="0" w:oddHBand="0" w:evenHBand="1" w:firstRowFirstColumn="0" w:firstRowLastColumn="0" w:lastRowFirstColumn="0" w:lastRowLastColumn="0"/>
              <w:rPr>
                <w:sz w:val="20"/>
                <w:szCs w:val="20"/>
                <w:lang w:val="en-GB"/>
              </w:rPr>
            </w:pPr>
            <w:r w:rsidRPr="00221992">
              <w:rPr>
                <w:sz w:val="20"/>
                <w:szCs w:val="20"/>
                <w:lang w:val="en-GB"/>
              </w:rPr>
              <w:t>PHARMAC</w:t>
            </w:r>
          </w:p>
        </w:tc>
        <w:tc>
          <w:tcPr>
            <w:tcW w:w="3298" w:type="dxa"/>
          </w:tcPr>
          <w:p w14:paraId="66DCF979" w14:textId="74FE60FE" w:rsidR="00A0762E" w:rsidRPr="00221992" w:rsidRDefault="00A0762E" w:rsidP="00EC0C29">
            <w:pPr>
              <w:pStyle w:val="TableText"/>
              <w:keepNext/>
              <w:keepLines/>
              <w:spacing w:before="0" w:after="0" w:line="240" w:lineRule="auto"/>
              <w:cnfStyle w:val="000000010000" w:firstRow="0" w:lastRow="0" w:firstColumn="0" w:lastColumn="0" w:oddVBand="0" w:evenVBand="0" w:oddHBand="0" w:evenHBand="1" w:firstRowFirstColumn="0" w:firstRowLastColumn="0" w:lastRowFirstColumn="0" w:lastRowLastColumn="0"/>
              <w:rPr>
                <w:sz w:val="20"/>
                <w:szCs w:val="20"/>
                <w:lang w:val="en-GB"/>
              </w:rPr>
            </w:pPr>
            <w:r w:rsidRPr="00221992">
              <w:rPr>
                <w:sz w:val="20"/>
                <w:szCs w:val="20"/>
                <w:lang w:val="en-GB"/>
              </w:rPr>
              <w:t xml:space="preserve">Allocated budget of up to </w:t>
            </w:r>
            <w:r w:rsidR="00C67667">
              <w:rPr>
                <w:sz w:val="20"/>
                <w:szCs w:val="20"/>
                <w:lang w:val="en-GB"/>
              </w:rPr>
              <w:t>NZD</w:t>
            </w:r>
            <w:r w:rsidRPr="00221992">
              <w:rPr>
                <w:sz w:val="20"/>
                <w:szCs w:val="20"/>
                <w:lang w:val="en-GB"/>
              </w:rPr>
              <w:t xml:space="preserve">$5 million for the rare disease fund. </w:t>
            </w:r>
          </w:p>
        </w:tc>
      </w:tr>
      <w:tr w:rsidR="00A0762E" w:rsidRPr="00221992" w14:paraId="1140CEBF" w14:textId="77777777" w:rsidTr="00CE4CE2">
        <w:trPr>
          <w:trHeight w:val="773"/>
        </w:trPr>
        <w:tc>
          <w:tcPr>
            <w:cnfStyle w:val="001000000000" w:firstRow="0" w:lastRow="0" w:firstColumn="1" w:lastColumn="0" w:oddVBand="0" w:evenVBand="0" w:oddHBand="0" w:evenHBand="0" w:firstRowFirstColumn="0" w:firstRowLastColumn="0" w:lastRowFirstColumn="0" w:lastRowLastColumn="0"/>
            <w:tcW w:w="2340" w:type="dxa"/>
            <w:shd w:val="clear" w:color="auto" w:fill="1E8BCD"/>
          </w:tcPr>
          <w:p w14:paraId="3D7BCE5A" w14:textId="77777777" w:rsidR="00A0762E" w:rsidRPr="00221992" w:rsidRDefault="00A0762E" w:rsidP="00EC0C29">
            <w:pPr>
              <w:pStyle w:val="TableText"/>
              <w:keepNext/>
              <w:keepLines/>
              <w:spacing w:before="0" w:after="0" w:line="240" w:lineRule="auto"/>
              <w:rPr>
                <w:sz w:val="20"/>
                <w:szCs w:val="20"/>
                <w:lang w:val="en-GB"/>
              </w:rPr>
            </w:pPr>
            <w:r w:rsidRPr="00221992">
              <w:rPr>
                <w:sz w:val="20"/>
                <w:szCs w:val="20"/>
                <w:lang w:val="en-GB"/>
              </w:rPr>
              <w:t>Singapore</w:t>
            </w:r>
          </w:p>
        </w:tc>
        <w:tc>
          <w:tcPr>
            <w:tcW w:w="2392" w:type="dxa"/>
            <w:shd w:val="clear" w:color="auto" w:fill="EFEFEF" w:themeFill="text2" w:themeFillTint="33"/>
          </w:tcPr>
          <w:p w14:paraId="51A81874" w14:textId="77777777" w:rsidR="00A0762E" w:rsidRPr="00221992" w:rsidRDefault="00A0762E" w:rsidP="00EC0C29">
            <w:pPr>
              <w:pStyle w:val="TableText"/>
              <w:keepNext/>
              <w:keepLines/>
              <w:spacing w:before="0" w:after="0" w:line="240" w:lineRule="auto"/>
              <w:cnfStyle w:val="000000000000" w:firstRow="0" w:lastRow="0" w:firstColumn="0" w:lastColumn="0" w:oddVBand="0" w:evenVBand="0" w:oddHBand="0" w:evenHBand="0" w:firstRowFirstColumn="0" w:firstRowLastColumn="0" w:lastRowFirstColumn="0" w:lastRowLastColumn="0"/>
              <w:rPr>
                <w:sz w:val="20"/>
                <w:szCs w:val="20"/>
                <w:lang w:val="en-GB"/>
              </w:rPr>
            </w:pPr>
            <w:r w:rsidRPr="00221992">
              <w:rPr>
                <w:sz w:val="20"/>
                <w:szCs w:val="20"/>
                <w:lang w:val="en-GB"/>
              </w:rPr>
              <w:t>RDF</w:t>
            </w:r>
          </w:p>
        </w:tc>
        <w:tc>
          <w:tcPr>
            <w:tcW w:w="3298" w:type="dxa"/>
            <w:shd w:val="clear" w:color="auto" w:fill="EFEFEF" w:themeFill="text2" w:themeFillTint="33"/>
          </w:tcPr>
          <w:p w14:paraId="38BEF81A" w14:textId="77777777" w:rsidR="00A0762E" w:rsidRPr="00221992" w:rsidRDefault="00A0762E" w:rsidP="00EC0C29">
            <w:pPr>
              <w:pStyle w:val="TableText"/>
              <w:keepNext/>
              <w:keepLines/>
              <w:spacing w:before="0" w:after="0" w:line="240" w:lineRule="auto"/>
              <w:cnfStyle w:val="000000000000" w:firstRow="0" w:lastRow="0" w:firstColumn="0" w:lastColumn="0" w:oddVBand="0" w:evenVBand="0" w:oddHBand="0" w:evenHBand="0" w:firstRowFirstColumn="0" w:firstRowLastColumn="0" w:lastRowFirstColumn="0" w:lastRowLastColumn="0"/>
              <w:rPr>
                <w:sz w:val="20"/>
                <w:szCs w:val="20"/>
                <w:lang w:val="en-GB"/>
              </w:rPr>
            </w:pPr>
            <w:r w:rsidRPr="00221992">
              <w:rPr>
                <w:sz w:val="20"/>
                <w:szCs w:val="20"/>
                <w:lang w:val="en-GB"/>
              </w:rPr>
              <w:t>3:1 matching contribution, government and public, respectively.</w:t>
            </w:r>
          </w:p>
        </w:tc>
      </w:tr>
      <w:tr w:rsidR="00A0762E" w:rsidRPr="00221992" w14:paraId="1BE0C64B" w14:textId="77777777" w:rsidTr="00CE4CE2">
        <w:trPr>
          <w:cnfStyle w:val="000000010000" w:firstRow="0" w:lastRow="0" w:firstColumn="0" w:lastColumn="0" w:oddVBand="0" w:evenVBand="0" w:oddHBand="0" w:evenHBand="1" w:firstRowFirstColumn="0" w:firstRowLastColumn="0" w:lastRowFirstColumn="0" w:lastRowLastColumn="0"/>
          <w:trHeight w:val="773"/>
        </w:trPr>
        <w:tc>
          <w:tcPr>
            <w:cnfStyle w:val="001000000000" w:firstRow="0" w:lastRow="0" w:firstColumn="1" w:lastColumn="0" w:oddVBand="0" w:evenVBand="0" w:oddHBand="0" w:evenHBand="0" w:firstRowFirstColumn="0" w:firstRowLastColumn="0" w:lastRowFirstColumn="0" w:lastRowLastColumn="0"/>
            <w:tcW w:w="2340" w:type="dxa"/>
            <w:shd w:val="clear" w:color="auto" w:fill="1E8BCD"/>
          </w:tcPr>
          <w:p w14:paraId="7E482BEE" w14:textId="77777777" w:rsidR="00A0762E" w:rsidRPr="00221992" w:rsidRDefault="00A0762E" w:rsidP="00EC0C29">
            <w:pPr>
              <w:pStyle w:val="TableText"/>
              <w:keepNext/>
              <w:keepLines/>
              <w:spacing w:before="0" w:after="0" w:line="240" w:lineRule="auto"/>
              <w:rPr>
                <w:sz w:val="20"/>
                <w:szCs w:val="20"/>
                <w:lang w:val="en-GB"/>
              </w:rPr>
            </w:pPr>
            <w:r w:rsidRPr="00221992">
              <w:rPr>
                <w:sz w:val="20"/>
                <w:szCs w:val="20"/>
                <w:lang w:val="en-GB"/>
              </w:rPr>
              <w:t>Italy</w:t>
            </w:r>
          </w:p>
        </w:tc>
        <w:tc>
          <w:tcPr>
            <w:tcW w:w="2392" w:type="dxa"/>
          </w:tcPr>
          <w:p w14:paraId="31CA52A8" w14:textId="77777777" w:rsidR="00A0762E" w:rsidRPr="00221992" w:rsidRDefault="00A0762E" w:rsidP="00EC0C29">
            <w:pPr>
              <w:pStyle w:val="TableText"/>
              <w:keepNext/>
              <w:keepLines/>
              <w:spacing w:before="0" w:after="0" w:line="240" w:lineRule="auto"/>
              <w:cnfStyle w:val="000000010000" w:firstRow="0" w:lastRow="0" w:firstColumn="0" w:lastColumn="0" w:oddVBand="0" w:evenVBand="0" w:oddHBand="0" w:evenHBand="1" w:firstRowFirstColumn="0" w:firstRowLastColumn="0" w:lastRowFirstColumn="0" w:lastRowLastColumn="0"/>
              <w:rPr>
                <w:sz w:val="20"/>
                <w:szCs w:val="20"/>
                <w:lang w:val="en-GB"/>
              </w:rPr>
            </w:pPr>
            <w:r w:rsidRPr="00221992">
              <w:rPr>
                <w:sz w:val="20"/>
                <w:szCs w:val="20"/>
                <w:lang w:val="en-GB"/>
              </w:rPr>
              <w:t>AIFA 5%</w:t>
            </w:r>
          </w:p>
          <w:p w14:paraId="39D1C0FC" w14:textId="77777777" w:rsidR="00A0762E" w:rsidRPr="00221992" w:rsidRDefault="00A0762E" w:rsidP="00EC0C29">
            <w:pPr>
              <w:pStyle w:val="TableText"/>
              <w:keepNext/>
              <w:keepLines/>
              <w:spacing w:before="0" w:after="0" w:line="240" w:lineRule="auto"/>
              <w:cnfStyle w:val="000000010000" w:firstRow="0" w:lastRow="0" w:firstColumn="0" w:lastColumn="0" w:oddVBand="0" w:evenVBand="0" w:oddHBand="0" w:evenHBand="1" w:firstRowFirstColumn="0" w:firstRowLastColumn="0" w:lastRowFirstColumn="0" w:lastRowLastColumn="0"/>
              <w:rPr>
                <w:sz w:val="20"/>
                <w:szCs w:val="20"/>
                <w:lang w:val="en-GB"/>
              </w:rPr>
            </w:pPr>
          </w:p>
          <w:p w14:paraId="3EE5681A" w14:textId="77777777" w:rsidR="00A0762E" w:rsidRPr="00221992" w:rsidRDefault="00A0762E" w:rsidP="00EC0C29">
            <w:pPr>
              <w:pStyle w:val="TableText"/>
              <w:keepNext/>
              <w:keepLines/>
              <w:spacing w:before="0" w:after="0" w:line="240" w:lineRule="auto"/>
              <w:cnfStyle w:val="000000010000" w:firstRow="0" w:lastRow="0" w:firstColumn="0" w:lastColumn="0" w:oddVBand="0" w:evenVBand="0" w:oddHBand="0" w:evenHBand="1" w:firstRowFirstColumn="0" w:firstRowLastColumn="0" w:lastRowFirstColumn="0" w:lastRowLastColumn="0"/>
              <w:rPr>
                <w:sz w:val="20"/>
                <w:szCs w:val="20"/>
                <w:lang w:val="en-GB"/>
              </w:rPr>
            </w:pPr>
          </w:p>
          <w:p w14:paraId="01D77E26" w14:textId="77777777" w:rsidR="00A0762E" w:rsidRPr="00221992" w:rsidRDefault="00A0762E" w:rsidP="00EC0C29">
            <w:pPr>
              <w:pStyle w:val="TableText"/>
              <w:keepNext/>
              <w:keepLines/>
              <w:spacing w:before="0" w:after="0" w:line="240" w:lineRule="auto"/>
              <w:cnfStyle w:val="000000010000" w:firstRow="0" w:lastRow="0" w:firstColumn="0" w:lastColumn="0" w:oddVBand="0" w:evenVBand="0" w:oddHBand="0" w:evenHBand="1" w:firstRowFirstColumn="0" w:firstRowLastColumn="0" w:lastRowFirstColumn="0" w:lastRowLastColumn="0"/>
              <w:rPr>
                <w:sz w:val="20"/>
                <w:szCs w:val="20"/>
                <w:lang w:val="en-GB"/>
              </w:rPr>
            </w:pPr>
            <w:r w:rsidRPr="00221992">
              <w:rPr>
                <w:sz w:val="20"/>
                <w:szCs w:val="20"/>
                <w:lang w:val="en-GB"/>
              </w:rPr>
              <w:t>Innovative drug fund</w:t>
            </w:r>
          </w:p>
        </w:tc>
        <w:tc>
          <w:tcPr>
            <w:tcW w:w="3298" w:type="dxa"/>
          </w:tcPr>
          <w:p w14:paraId="430F1CF8" w14:textId="77777777" w:rsidR="00A0762E" w:rsidRPr="00221992" w:rsidRDefault="00A0762E" w:rsidP="00EC0C29">
            <w:pPr>
              <w:pStyle w:val="TableText"/>
              <w:keepNext/>
              <w:keepLines/>
              <w:spacing w:before="0" w:after="0" w:line="240" w:lineRule="auto"/>
              <w:cnfStyle w:val="000000010000" w:firstRow="0" w:lastRow="0" w:firstColumn="0" w:lastColumn="0" w:oddVBand="0" w:evenVBand="0" w:oddHBand="0" w:evenHBand="1" w:firstRowFirstColumn="0" w:firstRowLastColumn="0" w:lastRowFirstColumn="0" w:lastRowLastColumn="0"/>
              <w:rPr>
                <w:sz w:val="20"/>
                <w:szCs w:val="20"/>
                <w:lang w:val="en-GB"/>
              </w:rPr>
            </w:pPr>
            <w:r w:rsidRPr="00221992">
              <w:rPr>
                <w:sz w:val="20"/>
                <w:szCs w:val="20"/>
                <w:lang w:val="en-GB"/>
              </w:rPr>
              <w:t xml:space="preserve">5% tax on commercial expenses from all pharmaceutical companies. €10.5 million in 2021. </w:t>
            </w:r>
          </w:p>
          <w:p w14:paraId="35D73388" w14:textId="77777777" w:rsidR="00A0762E" w:rsidRPr="00221992" w:rsidRDefault="00A0762E" w:rsidP="00EC0C29">
            <w:pPr>
              <w:pStyle w:val="TableText"/>
              <w:keepNext/>
              <w:keepLines/>
              <w:spacing w:before="0" w:after="0" w:line="240" w:lineRule="auto"/>
              <w:cnfStyle w:val="000000010000" w:firstRow="0" w:lastRow="0" w:firstColumn="0" w:lastColumn="0" w:oddVBand="0" w:evenVBand="0" w:oddHBand="0" w:evenHBand="1" w:firstRowFirstColumn="0" w:firstRowLastColumn="0" w:lastRowFirstColumn="0" w:lastRowLastColumn="0"/>
              <w:rPr>
                <w:sz w:val="20"/>
                <w:szCs w:val="20"/>
                <w:lang w:val="en-GB"/>
              </w:rPr>
            </w:pPr>
            <w:r w:rsidRPr="00221992">
              <w:rPr>
                <w:sz w:val="20"/>
                <w:szCs w:val="20"/>
                <w:lang w:val="en-GB"/>
              </w:rPr>
              <w:t>Dedicated fund for innovative drugs may apply (</w:t>
            </w:r>
            <w:r w:rsidRPr="00221992">
              <w:rPr>
                <w:rFonts w:cs="Calibri Light"/>
                <w:sz w:val="20"/>
                <w:szCs w:val="20"/>
                <w:lang w:val="en-GB"/>
              </w:rPr>
              <w:t>€</w:t>
            </w:r>
            <w:r w:rsidRPr="00221992">
              <w:rPr>
                <w:sz w:val="20"/>
                <w:szCs w:val="20"/>
                <w:lang w:val="en-GB"/>
              </w:rPr>
              <w:t>500 million)</w:t>
            </w:r>
          </w:p>
        </w:tc>
      </w:tr>
      <w:tr w:rsidR="00A0762E" w:rsidRPr="00221992" w14:paraId="0647AB10" w14:textId="77777777" w:rsidTr="00CE4CE2">
        <w:trPr>
          <w:trHeight w:val="288"/>
        </w:trPr>
        <w:tc>
          <w:tcPr>
            <w:cnfStyle w:val="001000000000" w:firstRow="0" w:lastRow="0" w:firstColumn="1" w:lastColumn="0" w:oddVBand="0" w:evenVBand="0" w:oddHBand="0" w:evenHBand="0" w:firstRowFirstColumn="0" w:firstRowLastColumn="0" w:lastRowFirstColumn="0" w:lastRowLastColumn="0"/>
            <w:tcW w:w="2340" w:type="dxa"/>
            <w:shd w:val="clear" w:color="auto" w:fill="1E8BCD"/>
          </w:tcPr>
          <w:p w14:paraId="1923F594" w14:textId="77777777" w:rsidR="00A0762E" w:rsidRPr="00221992" w:rsidRDefault="00A0762E" w:rsidP="00EC0C29">
            <w:pPr>
              <w:pStyle w:val="TableText"/>
              <w:keepNext/>
              <w:keepLines/>
              <w:spacing w:before="0" w:after="0" w:line="240" w:lineRule="auto"/>
              <w:rPr>
                <w:sz w:val="20"/>
                <w:szCs w:val="20"/>
                <w:lang w:val="en-GB"/>
              </w:rPr>
            </w:pPr>
            <w:r w:rsidRPr="00221992">
              <w:rPr>
                <w:sz w:val="20"/>
                <w:szCs w:val="20"/>
                <w:lang w:val="en-GB"/>
              </w:rPr>
              <w:t>Taiwan</w:t>
            </w:r>
          </w:p>
        </w:tc>
        <w:tc>
          <w:tcPr>
            <w:tcW w:w="2392" w:type="dxa"/>
            <w:shd w:val="clear" w:color="auto" w:fill="EFEFEF" w:themeFill="text2" w:themeFillTint="33"/>
          </w:tcPr>
          <w:p w14:paraId="1390E970" w14:textId="0863A4D4" w:rsidR="00A0762E" w:rsidRPr="00221992" w:rsidRDefault="00A0762E" w:rsidP="00EC0C29">
            <w:pPr>
              <w:pStyle w:val="TableText"/>
              <w:keepNext/>
              <w:keepLines/>
              <w:spacing w:before="0" w:after="0" w:line="240" w:lineRule="auto"/>
              <w:cnfStyle w:val="000000000000" w:firstRow="0" w:lastRow="0" w:firstColumn="0" w:lastColumn="0" w:oddVBand="0" w:evenVBand="0" w:oddHBand="0" w:evenHBand="0" w:firstRowFirstColumn="0" w:firstRowLastColumn="0" w:lastRowFirstColumn="0" w:lastRowLastColumn="0"/>
              <w:rPr>
                <w:sz w:val="20"/>
                <w:szCs w:val="20"/>
                <w:lang w:val="en-GB"/>
              </w:rPr>
            </w:pPr>
            <w:r w:rsidRPr="00221992">
              <w:rPr>
                <w:sz w:val="20"/>
                <w:szCs w:val="20"/>
                <w:lang w:val="en-GB"/>
              </w:rPr>
              <w:t xml:space="preserve">NHI </w:t>
            </w:r>
            <w:r w:rsidR="008525FC" w:rsidRPr="00221992">
              <w:rPr>
                <w:sz w:val="20"/>
                <w:szCs w:val="20"/>
                <w:lang w:val="en-GB"/>
              </w:rPr>
              <w:t>PBRS</w:t>
            </w:r>
          </w:p>
        </w:tc>
        <w:tc>
          <w:tcPr>
            <w:tcW w:w="3298" w:type="dxa"/>
            <w:shd w:val="clear" w:color="auto" w:fill="EFEFEF" w:themeFill="text2" w:themeFillTint="33"/>
          </w:tcPr>
          <w:p w14:paraId="395829C8" w14:textId="77777777" w:rsidR="00A0762E" w:rsidRPr="00221992" w:rsidRDefault="00A0762E" w:rsidP="00EC0C29">
            <w:pPr>
              <w:pStyle w:val="TableText"/>
              <w:keepNext/>
              <w:keepLines/>
              <w:spacing w:before="0" w:after="0" w:line="240" w:lineRule="auto"/>
              <w:cnfStyle w:val="000000000000" w:firstRow="0" w:lastRow="0" w:firstColumn="0" w:lastColumn="0" w:oddVBand="0" w:evenVBand="0" w:oddHBand="0" w:evenHBand="0" w:firstRowFirstColumn="0" w:firstRowLastColumn="0" w:lastRowFirstColumn="0" w:lastRowLastColumn="0"/>
              <w:rPr>
                <w:sz w:val="20"/>
                <w:szCs w:val="20"/>
                <w:lang w:val="en-GB"/>
              </w:rPr>
            </w:pPr>
            <w:r w:rsidRPr="00221992">
              <w:rPr>
                <w:sz w:val="20"/>
                <w:szCs w:val="20"/>
                <w:lang w:val="en-GB"/>
              </w:rPr>
              <w:t>Negotiated on a yearly basis.</w:t>
            </w:r>
          </w:p>
        </w:tc>
      </w:tr>
    </w:tbl>
    <w:p w14:paraId="067A2A48" w14:textId="150ECA73" w:rsidR="00A0762E" w:rsidRPr="00221992" w:rsidRDefault="00A0762E" w:rsidP="00533CF1">
      <w:pPr>
        <w:pStyle w:val="TableNotes"/>
        <w:rPr>
          <w:lang w:val="en-GB"/>
        </w:rPr>
      </w:pPr>
      <w:r w:rsidRPr="00221992">
        <w:rPr>
          <w:lang w:val="en-GB"/>
        </w:rPr>
        <w:t>Acronyms:</w:t>
      </w:r>
      <w:r w:rsidRPr="00221992">
        <w:rPr>
          <w:lang w:val="en-GB"/>
        </w:rPr>
        <w:tab/>
      </w:r>
      <w:r w:rsidR="00C11FDD" w:rsidRPr="00221992">
        <w:rPr>
          <w:lang w:val="en-GB"/>
        </w:rPr>
        <w:t xml:space="preserve">IMF, Innovative </w:t>
      </w:r>
      <w:r w:rsidR="00835DEA" w:rsidRPr="00221992">
        <w:rPr>
          <w:lang w:val="en-GB"/>
        </w:rPr>
        <w:t>Medicines</w:t>
      </w:r>
      <w:r w:rsidR="00C11FDD" w:rsidRPr="00221992">
        <w:rPr>
          <w:lang w:val="en-GB"/>
        </w:rPr>
        <w:t xml:space="preserve"> Fund; NMF, New Medicines Fund; PHARMAC, Pharmaceutical Management Agency (New Zealand); RDF, Rare Disease Fund; AIFA, Agenzia Italiana del Farmaco; NHI, National Health Insurance Pharmaceutical </w:t>
      </w:r>
      <w:r w:rsidR="008525FC" w:rsidRPr="00221992">
        <w:rPr>
          <w:lang w:val="en-GB"/>
        </w:rPr>
        <w:t>Benefit</w:t>
      </w:r>
      <w:r w:rsidR="00C11FDD" w:rsidRPr="00221992">
        <w:rPr>
          <w:lang w:val="en-GB"/>
        </w:rPr>
        <w:t xml:space="preserve"> </w:t>
      </w:r>
      <w:r w:rsidR="00CE08B2" w:rsidRPr="00221992">
        <w:rPr>
          <w:lang w:val="en-GB"/>
        </w:rPr>
        <w:t>Reimbursement</w:t>
      </w:r>
      <w:r w:rsidR="00C11FDD" w:rsidRPr="00221992">
        <w:rPr>
          <w:lang w:val="en-GB"/>
        </w:rPr>
        <w:t xml:space="preserve"> Scheme</w:t>
      </w:r>
      <w:r w:rsidRPr="00221992">
        <w:rPr>
          <w:lang w:val="en-GB"/>
        </w:rPr>
        <w:t>.</w:t>
      </w:r>
    </w:p>
    <w:p w14:paraId="17B4B8BE" w14:textId="77777777" w:rsidR="00A0762E" w:rsidRPr="00221992" w:rsidRDefault="00A0762E" w:rsidP="00533CF1">
      <w:pPr>
        <w:pStyle w:val="TableNotes"/>
        <w:rPr>
          <w:lang w:val="en-GB"/>
        </w:rPr>
      </w:pPr>
      <w:r w:rsidRPr="00221992">
        <w:rPr>
          <w:lang w:val="en-GB"/>
        </w:rPr>
        <w:t>Notes:</w:t>
      </w:r>
      <w:r w:rsidRPr="00221992">
        <w:rPr>
          <w:lang w:val="en-GB"/>
        </w:rPr>
        <w:tab/>
      </w:r>
      <w:r w:rsidRPr="00221992">
        <w:rPr>
          <w:vertAlign w:val="superscript"/>
          <w:lang w:val="en-GB"/>
        </w:rPr>
        <w:t xml:space="preserve">1 </w:t>
      </w:r>
      <w:r w:rsidRPr="00221992">
        <w:rPr>
          <w:lang w:val="en-GB"/>
        </w:rPr>
        <w:t xml:space="preserve">Mechanism used by the UK Department of Health to ensure that the NHS has access to good quality branded medicines at reasonable prices. </w:t>
      </w:r>
    </w:p>
    <w:p w14:paraId="0B20076D" w14:textId="29819857" w:rsidR="00A0762E" w:rsidRPr="00221992" w:rsidRDefault="00284CA6" w:rsidP="00A0762E">
      <w:pPr>
        <w:rPr>
          <w:lang w:val="en-GB"/>
        </w:rPr>
      </w:pPr>
      <w:r w:rsidRPr="00221992">
        <w:rPr>
          <w:lang w:val="en-GB"/>
        </w:rPr>
        <w:t>In general</w:t>
      </w:r>
      <w:r w:rsidR="00A0762E" w:rsidRPr="00221992">
        <w:rPr>
          <w:lang w:val="en-GB"/>
        </w:rPr>
        <w:t xml:space="preserve">, special considerations for </w:t>
      </w:r>
      <w:r w:rsidRPr="00221992">
        <w:rPr>
          <w:lang w:val="en-GB"/>
        </w:rPr>
        <w:t>orphan drugs</w:t>
      </w:r>
      <w:r w:rsidR="00A0762E" w:rsidRPr="00221992">
        <w:rPr>
          <w:lang w:val="en-GB"/>
        </w:rPr>
        <w:t xml:space="preserve"> </w:t>
      </w:r>
      <w:r w:rsidRPr="00221992">
        <w:rPr>
          <w:lang w:val="en-GB"/>
        </w:rPr>
        <w:t xml:space="preserve">in HTA processes </w:t>
      </w:r>
      <w:r w:rsidR="00CE4CE2" w:rsidRPr="00221992">
        <w:rPr>
          <w:lang w:val="en-GB"/>
        </w:rPr>
        <w:t xml:space="preserve">aim to </w:t>
      </w:r>
      <w:r w:rsidRPr="00221992">
        <w:rPr>
          <w:lang w:val="en-GB"/>
        </w:rPr>
        <w:t>address</w:t>
      </w:r>
      <w:r w:rsidR="00A0762E" w:rsidRPr="00221992">
        <w:rPr>
          <w:lang w:val="en-GB"/>
        </w:rPr>
        <w:t xml:space="preserve">: </w:t>
      </w:r>
    </w:p>
    <w:p w14:paraId="66C98F20" w14:textId="1F204256" w:rsidR="007D6D32" w:rsidRPr="00221992" w:rsidRDefault="00994AED" w:rsidP="00957584">
      <w:pPr>
        <w:pStyle w:val="ListParagraph"/>
        <w:numPr>
          <w:ilvl w:val="0"/>
          <w:numId w:val="55"/>
        </w:numPr>
        <w:rPr>
          <w:lang w:val="en-GB"/>
        </w:rPr>
      </w:pPr>
      <w:r w:rsidRPr="00221992">
        <w:rPr>
          <w:lang w:val="en-GB"/>
        </w:rPr>
        <w:t>G</w:t>
      </w:r>
      <w:r w:rsidR="00A0762E" w:rsidRPr="00221992">
        <w:rPr>
          <w:lang w:val="en-GB"/>
        </w:rPr>
        <w:t>reater uncertainty arising from the clinical evidence</w:t>
      </w:r>
      <w:r w:rsidR="00CB726D" w:rsidRPr="00221992">
        <w:rPr>
          <w:lang w:val="en-GB"/>
        </w:rPr>
        <w:t>,</w:t>
      </w:r>
      <w:r w:rsidR="00A0762E" w:rsidRPr="00221992">
        <w:rPr>
          <w:lang w:val="en-GB"/>
        </w:rPr>
        <w:t xml:space="preserve"> leniency in the quality of the evidence</w:t>
      </w:r>
      <w:r w:rsidR="00CB726D" w:rsidRPr="00221992">
        <w:rPr>
          <w:lang w:val="en-GB"/>
        </w:rPr>
        <w:t>,</w:t>
      </w:r>
      <w:r w:rsidR="00A0762E" w:rsidRPr="00221992">
        <w:rPr>
          <w:lang w:val="en-GB"/>
        </w:rPr>
        <w:t xml:space="preserve"> </w:t>
      </w:r>
      <w:r w:rsidR="004D55A9" w:rsidRPr="00221992">
        <w:rPr>
          <w:lang w:val="en-GB"/>
        </w:rPr>
        <w:t>and relaxed</w:t>
      </w:r>
      <w:r w:rsidR="00A0762E" w:rsidRPr="00221992">
        <w:rPr>
          <w:lang w:val="en-GB"/>
        </w:rPr>
        <w:t xml:space="preserve"> evidentiary requirements due to the difficulties of conducting clinical research in rare diseases</w:t>
      </w:r>
      <w:r w:rsidRPr="00221992">
        <w:rPr>
          <w:lang w:val="en-GB"/>
        </w:rPr>
        <w:t>.</w:t>
      </w:r>
    </w:p>
    <w:p w14:paraId="5D84B71C" w14:textId="4BD38105" w:rsidR="007D6D32" w:rsidRPr="00221992" w:rsidRDefault="00770D36" w:rsidP="00957584">
      <w:pPr>
        <w:pStyle w:val="ListParagraph"/>
        <w:numPr>
          <w:ilvl w:val="0"/>
          <w:numId w:val="55"/>
        </w:numPr>
        <w:rPr>
          <w:lang w:val="en-GB"/>
        </w:rPr>
      </w:pPr>
      <w:r w:rsidRPr="00221992">
        <w:rPr>
          <w:lang w:val="en-GB"/>
        </w:rPr>
        <w:t>I</w:t>
      </w:r>
      <w:r w:rsidR="00A0762E" w:rsidRPr="00221992">
        <w:rPr>
          <w:lang w:val="en-GB"/>
        </w:rPr>
        <w:t>mpact beyond health and efficiency outcomes</w:t>
      </w:r>
      <w:r w:rsidR="000C62C4" w:rsidRPr="00221992">
        <w:rPr>
          <w:lang w:val="en-GB"/>
        </w:rPr>
        <w:t>—</w:t>
      </w:r>
      <w:r w:rsidR="00424E18" w:rsidRPr="00221992">
        <w:rPr>
          <w:lang w:val="en-GB"/>
        </w:rPr>
        <w:t>D</w:t>
      </w:r>
      <w:r w:rsidR="00A0762E" w:rsidRPr="00221992">
        <w:rPr>
          <w:lang w:val="en-GB"/>
        </w:rPr>
        <w:t xml:space="preserve">espite cost-effectiveness </w:t>
      </w:r>
      <w:r w:rsidR="00994AED" w:rsidRPr="00221992">
        <w:rPr>
          <w:lang w:val="en-GB"/>
        </w:rPr>
        <w:t>being used as</w:t>
      </w:r>
      <w:r w:rsidR="00A0762E" w:rsidRPr="00221992">
        <w:rPr>
          <w:lang w:val="en-GB"/>
        </w:rPr>
        <w:t xml:space="preserve"> a</w:t>
      </w:r>
      <w:r w:rsidR="00CE03DE" w:rsidRPr="00221992">
        <w:rPr>
          <w:lang w:val="en-GB"/>
        </w:rPr>
        <w:t>n evaluation</w:t>
      </w:r>
      <w:r w:rsidR="00A0762E" w:rsidRPr="00221992">
        <w:rPr>
          <w:lang w:val="en-GB"/>
        </w:rPr>
        <w:t xml:space="preserve"> criteri</w:t>
      </w:r>
      <w:r w:rsidR="00CE03DE" w:rsidRPr="00221992">
        <w:rPr>
          <w:lang w:val="en-GB"/>
        </w:rPr>
        <w:t>on</w:t>
      </w:r>
      <w:r w:rsidR="00A0762E" w:rsidRPr="00221992">
        <w:rPr>
          <w:lang w:val="en-GB"/>
        </w:rPr>
        <w:t xml:space="preserve"> </w:t>
      </w:r>
      <w:r w:rsidR="00CE03DE" w:rsidRPr="00221992">
        <w:rPr>
          <w:lang w:val="en-GB"/>
        </w:rPr>
        <w:t>for</w:t>
      </w:r>
      <w:r w:rsidR="00A0762E" w:rsidRPr="00221992">
        <w:rPr>
          <w:lang w:val="en-GB"/>
        </w:rPr>
        <w:t xml:space="preserve"> orphan drugs, failure to demonstrate cost-effectiveness has not necessarily resulted in negative recommendations. This suggests that equity considerations were considered </w:t>
      </w:r>
      <w:r w:rsidR="00E56F97" w:rsidRPr="00221992">
        <w:rPr>
          <w:lang w:val="en-GB"/>
        </w:rPr>
        <w:t>(</w:t>
      </w:r>
      <w:r w:rsidR="00A0762E" w:rsidRPr="00221992">
        <w:rPr>
          <w:lang w:val="en-GB"/>
        </w:rPr>
        <w:t>either explicitly or implicitly</w:t>
      </w:r>
      <w:r w:rsidR="00E56F97" w:rsidRPr="00221992">
        <w:rPr>
          <w:lang w:val="en-GB"/>
        </w:rPr>
        <w:t>).</w:t>
      </w:r>
      <w:r w:rsidR="00A0762E" w:rsidRPr="00221992">
        <w:rPr>
          <w:lang w:val="en-GB"/>
        </w:rPr>
        <w:t xml:space="preserve"> In some countries</w:t>
      </w:r>
      <w:r w:rsidR="00E56F97" w:rsidRPr="00221992">
        <w:rPr>
          <w:lang w:val="en-GB"/>
        </w:rPr>
        <w:t>,</w:t>
      </w:r>
      <w:r w:rsidR="00A0762E" w:rsidRPr="00221992">
        <w:rPr>
          <w:lang w:val="en-GB"/>
        </w:rPr>
        <w:t xml:space="preserve"> this has translated into </w:t>
      </w:r>
      <w:r w:rsidR="00E56F97" w:rsidRPr="00221992">
        <w:rPr>
          <w:lang w:val="en-GB"/>
        </w:rPr>
        <w:t>the acceptance of</w:t>
      </w:r>
      <w:r w:rsidR="00A0762E" w:rsidRPr="00221992">
        <w:rPr>
          <w:lang w:val="en-GB"/>
        </w:rPr>
        <w:t xml:space="preserve"> higher ICER</w:t>
      </w:r>
      <w:r w:rsidR="00E56F97" w:rsidRPr="00221992">
        <w:rPr>
          <w:lang w:val="en-GB"/>
        </w:rPr>
        <w:t>s</w:t>
      </w:r>
      <w:r w:rsidR="00A0762E" w:rsidRPr="00221992">
        <w:rPr>
          <w:lang w:val="en-GB"/>
        </w:rPr>
        <w:t xml:space="preserve"> (</w:t>
      </w:r>
      <w:r w:rsidR="00E56F97" w:rsidRPr="00221992">
        <w:rPr>
          <w:lang w:val="en-GB"/>
        </w:rPr>
        <w:t xml:space="preserve">e.g., </w:t>
      </w:r>
      <w:r w:rsidR="00A0762E" w:rsidRPr="00221992">
        <w:rPr>
          <w:lang w:val="en-GB"/>
        </w:rPr>
        <w:t xml:space="preserve">England/Wales, Korea, </w:t>
      </w:r>
      <w:r w:rsidR="00AF76C1" w:rsidRPr="00221992">
        <w:rPr>
          <w:lang w:val="en-GB"/>
        </w:rPr>
        <w:t xml:space="preserve">the Netherlands, </w:t>
      </w:r>
      <w:r w:rsidR="00A0762E" w:rsidRPr="00221992">
        <w:rPr>
          <w:lang w:val="en-GB"/>
        </w:rPr>
        <w:t>Norway, Scotland</w:t>
      </w:r>
      <w:r w:rsidR="00AF76C1" w:rsidRPr="00221992">
        <w:rPr>
          <w:lang w:val="en-GB"/>
        </w:rPr>
        <w:t>, Sweden</w:t>
      </w:r>
      <w:r w:rsidR="00A0762E" w:rsidRPr="00221992">
        <w:rPr>
          <w:lang w:val="en-GB"/>
        </w:rPr>
        <w:t xml:space="preserve">). </w:t>
      </w:r>
      <w:r w:rsidR="00EB2BA1" w:rsidRPr="00221992">
        <w:rPr>
          <w:lang w:val="en-GB"/>
        </w:rPr>
        <w:t xml:space="preserve">There is evidence to suggest that in some countries, greater disease severity may contribute to </w:t>
      </w:r>
      <w:r w:rsidR="00425A59" w:rsidRPr="00221992">
        <w:rPr>
          <w:lang w:val="en-GB"/>
        </w:rPr>
        <w:t xml:space="preserve">the acceptance of </w:t>
      </w:r>
      <w:r w:rsidR="00D0710E" w:rsidRPr="00221992">
        <w:rPr>
          <w:lang w:val="en-GB"/>
        </w:rPr>
        <w:t>h</w:t>
      </w:r>
      <w:r w:rsidR="00A0762E" w:rsidRPr="00221992">
        <w:rPr>
          <w:lang w:val="en-GB"/>
        </w:rPr>
        <w:t>igher ICER</w:t>
      </w:r>
      <w:r w:rsidR="00425A59" w:rsidRPr="00221992">
        <w:rPr>
          <w:lang w:val="en-GB"/>
        </w:rPr>
        <w:t>s</w:t>
      </w:r>
      <w:r w:rsidR="00A0762E" w:rsidRPr="00221992">
        <w:rPr>
          <w:lang w:val="en-GB"/>
        </w:rPr>
        <w:t xml:space="preserve"> (</w:t>
      </w:r>
      <w:r w:rsidR="00425A59" w:rsidRPr="00221992">
        <w:rPr>
          <w:lang w:val="en-GB"/>
        </w:rPr>
        <w:t xml:space="preserve">e.g., England/Wales, </w:t>
      </w:r>
      <w:r w:rsidR="00AF76C1" w:rsidRPr="00221992">
        <w:rPr>
          <w:lang w:val="en-GB"/>
        </w:rPr>
        <w:t xml:space="preserve">the Netherlands, Norway, </w:t>
      </w:r>
      <w:r w:rsidR="00A0762E" w:rsidRPr="00221992">
        <w:rPr>
          <w:lang w:val="en-GB"/>
        </w:rPr>
        <w:t xml:space="preserve">Sweden). </w:t>
      </w:r>
    </w:p>
    <w:p w14:paraId="47718A02" w14:textId="17BBDE54" w:rsidR="007D6D32" w:rsidRPr="00221992" w:rsidRDefault="00DA68CC" w:rsidP="00957584">
      <w:pPr>
        <w:pStyle w:val="ListParagraph"/>
        <w:numPr>
          <w:ilvl w:val="0"/>
          <w:numId w:val="55"/>
        </w:numPr>
        <w:rPr>
          <w:lang w:val="en-GB"/>
        </w:rPr>
      </w:pPr>
      <w:r w:rsidRPr="00221992">
        <w:rPr>
          <w:lang w:val="en-GB"/>
        </w:rPr>
        <w:t>S</w:t>
      </w:r>
      <w:r w:rsidR="00A0762E" w:rsidRPr="00221992">
        <w:rPr>
          <w:lang w:val="en-GB"/>
        </w:rPr>
        <w:t xml:space="preserve">takeholder </w:t>
      </w:r>
      <w:r w:rsidRPr="00221992">
        <w:rPr>
          <w:lang w:val="en-GB"/>
        </w:rPr>
        <w:t>engagement</w:t>
      </w:r>
      <w:r w:rsidR="00CC67D6" w:rsidRPr="00221992">
        <w:rPr>
          <w:lang w:val="en-GB"/>
        </w:rPr>
        <w:t>—</w:t>
      </w:r>
      <w:r w:rsidR="00A0762E" w:rsidRPr="00221992">
        <w:rPr>
          <w:lang w:val="en-GB"/>
        </w:rPr>
        <w:t xml:space="preserve">Most of the </w:t>
      </w:r>
      <w:r w:rsidR="00B53DB4" w:rsidRPr="00221992">
        <w:rPr>
          <w:lang w:val="en-GB"/>
        </w:rPr>
        <w:t xml:space="preserve">countries analysed </w:t>
      </w:r>
      <w:r w:rsidR="004C7031" w:rsidRPr="00221992">
        <w:rPr>
          <w:lang w:val="en-GB"/>
        </w:rPr>
        <w:t>involve</w:t>
      </w:r>
      <w:r w:rsidR="00A0762E" w:rsidRPr="00221992">
        <w:rPr>
          <w:lang w:val="en-GB"/>
        </w:rPr>
        <w:t xml:space="preserve"> committee</w:t>
      </w:r>
      <w:r w:rsidR="004C7031" w:rsidRPr="00221992">
        <w:rPr>
          <w:lang w:val="en-GB"/>
        </w:rPr>
        <w:t>s with</w:t>
      </w:r>
      <w:r w:rsidR="00A0762E" w:rsidRPr="00221992">
        <w:rPr>
          <w:lang w:val="en-GB"/>
        </w:rPr>
        <w:t xml:space="preserve"> </w:t>
      </w:r>
      <w:r w:rsidR="004C7031" w:rsidRPr="00221992">
        <w:rPr>
          <w:lang w:val="en-GB"/>
        </w:rPr>
        <w:t>expertise in the specific</w:t>
      </w:r>
      <w:r w:rsidR="00A0762E" w:rsidRPr="00221992">
        <w:rPr>
          <w:lang w:val="en-GB"/>
        </w:rPr>
        <w:t xml:space="preserve"> rare disease </w:t>
      </w:r>
      <w:r w:rsidR="004C7031" w:rsidRPr="00221992">
        <w:rPr>
          <w:lang w:val="en-GB"/>
        </w:rPr>
        <w:t>area to address the</w:t>
      </w:r>
      <w:r w:rsidR="00A0762E" w:rsidRPr="00221992">
        <w:rPr>
          <w:lang w:val="en-GB"/>
        </w:rPr>
        <w:t xml:space="preserve"> lack of knowledge inherent to these conditions. </w:t>
      </w:r>
      <w:r w:rsidR="00C5285E" w:rsidRPr="00221992">
        <w:rPr>
          <w:lang w:val="en-GB"/>
        </w:rPr>
        <w:t>In Scotland,</w:t>
      </w:r>
      <w:r w:rsidR="008C4610" w:rsidRPr="00221992">
        <w:rPr>
          <w:lang w:val="en-GB"/>
        </w:rPr>
        <w:t xml:space="preserve"> a special </w:t>
      </w:r>
      <w:r w:rsidR="00EB76E7" w:rsidRPr="00221992">
        <w:rPr>
          <w:lang w:val="en-GB"/>
        </w:rPr>
        <w:t xml:space="preserve">process known as the </w:t>
      </w:r>
      <w:r w:rsidR="008D739B">
        <w:rPr>
          <w:lang w:val="en-GB"/>
        </w:rPr>
        <w:t>P</w:t>
      </w:r>
      <w:r w:rsidR="00EB76E7" w:rsidRPr="00221992">
        <w:rPr>
          <w:lang w:val="en-GB"/>
        </w:rPr>
        <w:t xml:space="preserve">atient and </w:t>
      </w:r>
      <w:r w:rsidR="008D739B">
        <w:rPr>
          <w:lang w:val="en-GB"/>
        </w:rPr>
        <w:t>C</w:t>
      </w:r>
      <w:r w:rsidR="00EB76E7" w:rsidRPr="00221992">
        <w:rPr>
          <w:lang w:val="en-GB"/>
        </w:rPr>
        <w:t xml:space="preserve">linician </w:t>
      </w:r>
      <w:r w:rsidR="008D739B">
        <w:rPr>
          <w:lang w:val="en-GB"/>
        </w:rPr>
        <w:t>E</w:t>
      </w:r>
      <w:r w:rsidR="00EB76E7" w:rsidRPr="00221992">
        <w:rPr>
          <w:lang w:val="en-GB"/>
        </w:rPr>
        <w:t xml:space="preserve">ngagement (PACE) </w:t>
      </w:r>
      <w:r w:rsidR="008C4610" w:rsidRPr="00221992">
        <w:rPr>
          <w:lang w:val="en-GB"/>
        </w:rPr>
        <w:t xml:space="preserve">process has been implemented to </w:t>
      </w:r>
      <w:r w:rsidR="004F6334" w:rsidRPr="00221992">
        <w:rPr>
          <w:lang w:val="en-GB"/>
        </w:rPr>
        <w:t>ensure input from these stakeholder groups</w:t>
      </w:r>
      <w:r w:rsidR="00A0762E" w:rsidRPr="00221992">
        <w:rPr>
          <w:lang w:val="en-GB"/>
        </w:rPr>
        <w:t xml:space="preserve">. </w:t>
      </w:r>
    </w:p>
    <w:p w14:paraId="54089199" w14:textId="7F685192" w:rsidR="00121E8B" w:rsidRPr="00221992" w:rsidRDefault="00424E18" w:rsidP="00957584">
      <w:pPr>
        <w:pStyle w:val="ListParagraph"/>
        <w:numPr>
          <w:ilvl w:val="0"/>
          <w:numId w:val="55"/>
        </w:numPr>
        <w:rPr>
          <w:lang w:val="en-GB"/>
        </w:rPr>
      </w:pPr>
      <w:r w:rsidRPr="00221992">
        <w:rPr>
          <w:lang w:val="en-GB"/>
        </w:rPr>
        <w:t>Early access—</w:t>
      </w:r>
      <w:r w:rsidR="00337E7F" w:rsidRPr="00221992">
        <w:rPr>
          <w:lang w:val="en-GB"/>
        </w:rPr>
        <w:t>In some countries, early</w:t>
      </w:r>
      <w:r w:rsidR="00A0762E" w:rsidRPr="00221992">
        <w:rPr>
          <w:lang w:val="en-GB"/>
        </w:rPr>
        <w:t xml:space="preserve"> access</w:t>
      </w:r>
      <w:r w:rsidR="00E00A22" w:rsidRPr="00221992">
        <w:rPr>
          <w:lang w:val="en-GB"/>
        </w:rPr>
        <w:t xml:space="preserve"> was available</w:t>
      </w:r>
      <w:r w:rsidR="00A0762E" w:rsidRPr="00221992">
        <w:rPr>
          <w:lang w:val="en-GB"/>
        </w:rPr>
        <w:t xml:space="preserve"> where pricing strategies and</w:t>
      </w:r>
      <w:r w:rsidR="00A1305D" w:rsidRPr="00221992">
        <w:rPr>
          <w:lang w:val="en-GB"/>
        </w:rPr>
        <w:t>/</w:t>
      </w:r>
      <w:r w:rsidR="00A0762E" w:rsidRPr="00221992">
        <w:rPr>
          <w:lang w:val="en-GB"/>
        </w:rPr>
        <w:t xml:space="preserve">or </w:t>
      </w:r>
      <w:r w:rsidR="00A1305D" w:rsidRPr="00221992">
        <w:rPr>
          <w:lang w:val="en-GB"/>
        </w:rPr>
        <w:t>orphan drug submissions</w:t>
      </w:r>
      <w:r w:rsidR="00A0762E" w:rsidRPr="00221992">
        <w:rPr>
          <w:lang w:val="en-GB"/>
        </w:rPr>
        <w:t xml:space="preserve"> </w:t>
      </w:r>
      <w:r w:rsidR="00A1305D" w:rsidRPr="00221992">
        <w:rPr>
          <w:lang w:val="en-GB"/>
        </w:rPr>
        <w:t>may</w:t>
      </w:r>
      <w:r w:rsidR="00A0762E" w:rsidRPr="00221992">
        <w:rPr>
          <w:lang w:val="en-GB"/>
        </w:rPr>
        <w:t xml:space="preserve"> be initiated </w:t>
      </w:r>
      <w:r w:rsidR="00A1305D" w:rsidRPr="00221992">
        <w:rPr>
          <w:lang w:val="en-GB"/>
        </w:rPr>
        <w:t>upon a</w:t>
      </w:r>
      <w:r w:rsidR="00A0762E" w:rsidRPr="00221992">
        <w:rPr>
          <w:lang w:val="en-GB"/>
        </w:rPr>
        <w:t xml:space="preserve"> positive recommendation of the Committee for Medicinal Products for Human Use (CHMP) (</w:t>
      </w:r>
      <w:r w:rsidR="005A4657" w:rsidRPr="00221992">
        <w:rPr>
          <w:lang w:val="en-GB"/>
        </w:rPr>
        <w:t xml:space="preserve">e.g., </w:t>
      </w:r>
      <w:r w:rsidR="00A0762E" w:rsidRPr="00221992">
        <w:rPr>
          <w:lang w:val="en-GB"/>
        </w:rPr>
        <w:t xml:space="preserve">Belgium, Italy, the Netherlands). Earlier access </w:t>
      </w:r>
      <w:r w:rsidR="00525686" w:rsidRPr="00221992">
        <w:rPr>
          <w:lang w:val="en-GB"/>
        </w:rPr>
        <w:t>has also been</w:t>
      </w:r>
      <w:r w:rsidR="00A0762E" w:rsidRPr="00221992">
        <w:rPr>
          <w:lang w:val="en-GB"/>
        </w:rPr>
        <w:t xml:space="preserve"> achieved by shortening/streamlining the review process. In Korea, drugs may be streamlined directly to price negotiation if the rule of rescue applies (</w:t>
      </w:r>
      <w:r w:rsidR="00DB7C2D" w:rsidRPr="00221992">
        <w:rPr>
          <w:lang w:val="en-GB"/>
        </w:rPr>
        <w:t xml:space="preserve">i.e., </w:t>
      </w:r>
      <w:r w:rsidR="00A0762E" w:rsidRPr="00221992">
        <w:rPr>
          <w:lang w:val="en-GB"/>
        </w:rPr>
        <w:t>unmet need, life-threatening disease, orphan drug and improved life expectancy). Scotland and England/Wales, have similar processes</w:t>
      </w:r>
      <w:r w:rsidR="00B60B42" w:rsidRPr="00221992">
        <w:rPr>
          <w:lang w:val="en-GB"/>
        </w:rPr>
        <w:t>,</w:t>
      </w:r>
      <w:r w:rsidR="00A0762E" w:rsidRPr="00221992">
        <w:rPr>
          <w:lang w:val="en-GB"/>
        </w:rPr>
        <w:t xml:space="preserve"> both anchored to a separate pool of resources (the </w:t>
      </w:r>
      <w:r w:rsidR="00B60B42" w:rsidRPr="00221992">
        <w:rPr>
          <w:lang w:val="en-GB"/>
        </w:rPr>
        <w:t>New Medicines Fund</w:t>
      </w:r>
      <w:r w:rsidR="00A0762E" w:rsidRPr="00221992">
        <w:rPr>
          <w:lang w:val="en-GB"/>
        </w:rPr>
        <w:t xml:space="preserve"> and I</w:t>
      </w:r>
      <w:r w:rsidR="00B60B42" w:rsidRPr="00221992">
        <w:rPr>
          <w:lang w:val="en-GB"/>
        </w:rPr>
        <w:t xml:space="preserve">nnovative </w:t>
      </w:r>
      <w:r w:rsidR="00A0762E" w:rsidRPr="00221992">
        <w:rPr>
          <w:lang w:val="en-GB"/>
        </w:rPr>
        <w:t>M</w:t>
      </w:r>
      <w:r w:rsidR="00B60B42" w:rsidRPr="00221992">
        <w:rPr>
          <w:lang w:val="en-GB"/>
        </w:rPr>
        <w:t xml:space="preserve">edicines </w:t>
      </w:r>
      <w:r w:rsidR="00A0762E" w:rsidRPr="00221992">
        <w:rPr>
          <w:lang w:val="en-GB"/>
        </w:rPr>
        <w:t>F</w:t>
      </w:r>
      <w:r w:rsidR="00B60B42" w:rsidRPr="00221992">
        <w:rPr>
          <w:lang w:val="en-GB"/>
        </w:rPr>
        <w:t>und</w:t>
      </w:r>
      <w:r w:rsidR="00A0762E" w:rsidRPr="00221992">
        <w:rPr>
          <w:lang w:val="en-GB"/>
        </w:rPr>
        <w:t xml:space="preserve">, respectively) that </w:t>
      </w:r>
      <w:r w:rsidR="008E5DB2" w:rsidRPr="00221992">
        <w:rPr>
          <w:lang w:val="en-GB"/>
        </w:rPr>
        <w:t>allow</w:t>
      </w:r>
      <w:r w:rsidR="00A0762E" w:rsidRPr="00221992">
        <w:rPr>
          <w:lang w:val="en-GB"/>
        </w:rPr>
        <w:t xml:space="preserve"> a shortened review process </w:t>
      </w:r>
      <w:r w:rsidR="008E5DB2" w:rsidRPr="00221992">
        <w:rPr>
          <w:lang w:val="en-GB"/>
        </w:rPr>
        <w:t>and</w:t>
      </w:r>
      <w:r w:rsidR="00A0762E" w:rsidRPr="00221992">
        <w:rPr>
          <w:lang w:val="en-GB"/>
        </w:rPr>
        <w:t xml:space="preserve"> special considerations regarding cost</w:t>
      </w:r>
      <w:r w:rsidR="008E5DB2" w:rsidRPr="00221992">
        <w:rPr>
          <w:lang w:val="en-GB"/>
        </w:rPr>
        <w:t>-</w:t>
      </w:r>
      <w:r w:rsidR="00A0762E" w:rsidRPr="00221992">
        <w:rPr>
          <w:lang w:val="en-GB"/>
        </w:rPr>
        <w:t>effectiveness evidence (e.</w:t>
      </w:r>
      <w:r w:rsidR="00BE12A0" w:rsidRPr="00221992">
        <w:rPr>
          <w:lang w:val="en-GB"/>
        </w:rPr>
        <w:t>g.</w:t>
      </w:r>
      <w:r w:rsidR="008E5DB2" w:rsidRPr="00221992">
        <w:rPr>
          <w:lang w:val="en-GB"/>
        </w:rPr>
        <w:t>,</w:t>
      </w:r>
      <w:r w:rsidR="00A0762E" w:rsidRPr="00221992">
        <w:rPr>
          <w:lang w:val="en-GB"/>
        </w:rPr>
        <w:t xml:space="preserve"> higher ICER</w:t>
      </w:r>
      <w:r w:rsidR="008E5DB2" w:rsidRPr="00221992">
        <w:rPr>
          <w:lang w:val="en-GB"/>
        </w:rPr>
        <w:t>s</w:t>
      </w:r>
      <w:r w:rsidR="00A0762E" w:rsidRPr="00221992">
        <w:rPr>
          <w:lang w:val="en-GB"/>
        </w:rPr>
        <w:t>). Germany, has a streamlined process where</w:t>
      </w:r>
      <w:r w:rsidR="00D26C17" w:rsidRPr="00221992">
        <w:rPr>
          <w:lang w:val="en-GB"/>
        </w:rPr>
        <w:t>by</w:t>
      </w:r>
      <w:r w:rsidR="00A0762E" w:rsidRPr="00221992">
        <w:rPr>
          <w:lang w:val="en-GB"/>
        </w:rPr>
        <w:t xml:space="preserve"> the added benefit for all drugs that target rare diseases (</w:t>
      </w:r>
      <w:r w:rsidR="00CE666A" w:rsidRPr="00221992">
        <w:rPr>
          <w:lang w:val="en-GB"/>
        </w:rPr>
        <w:t xml:space="preserve">i.e., </w:t>
      </w:r>
      <w:r w:rsidR="00A0762E" w:rsidRPr="00221992">
        <w:rPr>
          <w:lang w:val="en-GB"/>
        </w:rPr>
        <w:t>not only ultra-rare</w:t>
      </w:r>
      <w:r w:rsidR="00CE666A" w:rsidRPr="00221992">
        <w:rPr>
          <w:lang w:val="en-GB"/>
        </w:rPr>
        <w:t xml:space="preserve"> diseases</w:t>
      </w:r>
      <w:r w:rsidR="00A0762E" w:rsidRPr="00221992">
        <w:rPr>
          <w:lang w:val="en-GB"/>
        </w:rPr>
        <w:t>) is considered proven</w:t>
      </w:r>
      <w:r w:rsidR="00414C01">
        <w:rPr>
          <w:lang w:val="en-GB"/>
        </w:rPr>
        <w:t xml:space="preserve"> a priori</w:t>
      </w:r>
      <w:r w:rsidR="00DF67A6">
        <w:rPr>
          <w:lang w:val="en-GB"/>
        </w:rPr>
        <w:t>,</w:t>
      </w:r>
      <w:r w:rsidR="00A0762E" w:rsidRPr="00221992">
        <w:rPr>
          <w:lang w:val="en-GB"/>
        </w:rPr>
        <w:t xml:space="preserve"> </w:t>
      </w:r>
      <w:r w:rsidR="003B4AC6">
        <w:rPr>
          <w:lang w:val="en-GB"/>
        </w:rPr>
        <w:t>with</w:t>
      </w:r>
      <w:r w:rsidR="003B4AC6" w:rsidRPr="00221992">
        <w:rPr>
          <w:lang w:val="en-GB"/>
        </w:rPr>
        <w:t xml:space="preserve"> </w:t>
      </w:r>
      <w:r w:rsidR="003B4AC6">
        <w:rPr>
          <w:lang w:val="en-GB"/>
        </w:rPr>
        <w:t xml:space="preserve">streamlined </w:t>
      </w:r>
      <w:r w:rsidR="00A0762E" w:rsidRPr="00221992">
        <w:rPr>
          <w:lang w:val="en-GB"/>
        </w:rPr>
        <w:t>listing.</w:t>
      </w:r>
    </w:p>
    <w:p w14:paraId="2DDA08C0" w14:textId="1C26EED8" w:rsidR="00194C72" w:rsidRPr="00221992" w:rsidRDefault="00194C72" w:rsidP="0012257A">
      <w:pPr>
        <w:pStyle w:val="NbrHeading3"/>
        <w:rPr>
          <w:lang w:val="en-GB"/>
        </w:rPr>
      </w:pPr>
      <w:bookmarkStart w:id="21" w:name="_Toc162950856"/>
      <w:r w:rsidRPr="00221992">
        <w:rPr>
          <w:lang w:val="en-GB"/>
        </w:rPr>
        <w:t>Managing uncertainty</w:t>
      </w:r>
      <w:bookmarkEnd w:id="21"/>
    </w:p>
    <w:p w14:paraId="091BFAE8" w14:textId="348296B5" w:rsidR="002D5BB4" w:rsidRPr="00221992" w:rsidRDefault="001C5F82" w:rsidP="00957584">
      <w:pPr>
        <w:pStyle w:val="BodyText"/>
        <w:numPr>
          <w:ilvl w:val="0"/>
          <w:numId w:val="63"/>
        </w:numPr>
        <w:rPr>
          <w:lang w:val="en-GB"/>
        </w:rPr>
      </w:pPr>
      <w:r w:rsidRPr="00221992">
        <w:rPr>
          <w:lang w:val="en-GB"/>
        </w:rPr>
        <w:t>Internationally</w:t>
      </w:r>
      <w:r w:rsidR="00AD65F5" w:rsidRPr="00221992">
        <w:rPr>
          <w:lang w:val="en-GB"/>
        </w:rPr>
        <w:t>,</w:t>
      </w:r>
      <w:r w:rsidRPr="00221992">
        <w:rPr>
          <w:lang w:val="en-GB"/>
        </w:rPr>
        <w:t xml:space="preserve"> </w:t>
      </w:r>
      <w:r w:rsidR="00F558A4" w:rsidRPr="00221992">
        <w:rPr>
          <w:lang w:val="en-GB"/>
        </w:rPr>
        <w:t xml:space="preserve">countries employ </w:t>
      </w:r>
      <w:r w:rsidR="007F3B82" w:rsidRPr="00221992">
        <w:rPr>
          <w:lang w:val="en-GB"/>
        </w:rPr>
        <w:t xml:space="preserve">a diverse range of managed entry agreements </w:t>
      </w:r>
      <w:r w:rsidR="008F16CF" w:rsidRPr="00221992">
        <w:rPr>
          <w:lang w:val="en-GB"/>
        </w:rPr>
        <w:t xml:space="preserve">(MEAs) </w:t>
      </w:r>
      <w:r w:rsidR="007F3B82" w:rsidRPr="00221992">
        <w:rPr>
          <w:lang w:val="en-GB"/>
        </w:rPr>
        <w:t xml:space="preserve">to </w:t>
      </w:r>
      <w:r w:rsidR="000B1515" w:rsidRPr="00221992">
        <w:rPr>
          <w:lang w:val="en-GB"/>
        </w:rPr>
        <w:t>ensure timely patient access to advanced healthcare treatments, particularly when there is uncertainty about their clinical or cost-effectiveness.</w:t>
      </w:r>
    </w:p>
    <w:p w14:paraId="7A46F933" w14:textId="41BEDAF5" w:rsidR="008F16CF" w:rsidRPr="00221992" w:rsidRDefault="008F16CF" w:rsidP="00957584">
      <w:pPr>
        <w:pStyle w:val="BodyText"/>
        <w:numPr>
          <w:ilvl w:val="0"/>
          <w:numId w:val="63"/>
        </w:numPr>
        <w:rPr>
          <w:lang w:val="en-GB"/>
        </w:rPr>
      </w:pPr>
      <w:r w:rsidRPr="00221992">
        <w:rPr>
          <w:lang w:val="en-GB"/>
        </w:rPr>
        <w:t>MEAs are predominantly used for high-cost therapies in oncology and rare diseases.</w:t>
      </w:r>
      <w:r w:rsidR="005351E7" w:rsidRPr="00221992">
        <w:rPr>
          <w:lang w:val="en-GB"/>
        </w:rPr>
        <w:t xml:space="preserve"> Innovative approaches are being explored worldwide to refine MEAs for emerging therapies</w:t>
      </w:r>
      <w:r w:rsidR="00AF5CE9" w:rsidRPr="00221992">
        <w:rPr>
          <w:lang w:val="en-GB"/>
        </w:rPr>
        <w:t xml:space="preserve">. </w:t>
      </w:r>
    </w:p>
    <w:p w14:paraId="30F7DDB6" w14:textId="001F3848" w:rsidR="007F6CA6" w:rsidRPr="00221992" w:rsidRDefault="00436FBD" w:rsidP="00957584">
      <w:pPr>
        <w:pStyle w:val="BodyText"/>
        <w:numPr>
          <w:ilvl w:val="0"/>
          <w:numId w:val="63"/>
        </w:numPr>
        <w:rPr>
          <w:lang w:val="en-GB"/>
        </w:rPr>
      </w:pPr>
      <w:r w:rsidRPr="00221992">
        <w:rPr>
          <w:lang w:val="en-GB"/>
        </w:rPr>
        <w:t>Several</w:t>
      </w:r>
      <w:r w:rsidR="00AD2E00" w:rsidRPr="00221992">
        <w:rPr>
          <w:lang w:val="en-GB"/>
        </w:rPr>
        <w:t xml:space="preserve"> challenges have been identified in the implementation of MEA</w:t>
      </w:r>
      <w:r w:rsidR="00973523" w:rsidRPr="00221992">
        <w:rPr>
          <w:lang w:val="en-GB"/>
        </w:rPr>
        <w:t>s</w:t>
      </w:r>
      <w:r w:rsidR="00CB1985" w:rsidRPr="00221992">
        <w:rPr>
          <w:lang w:val="en-GB"/>
        </w:rPr>
        <w:t xml:space="preserve">. </w:t>
      </w:r>
      <w:r w:rsidRPr="00221992">
        <w:rPr>
          <w:lang w:val="en-GB"/>
        </w:rPr>
        <w:t xml:space="preserve">Addressing </w:t>
      </w:r>
      <w:r w:rsidR="007C39A3" w:rsidRPr="00221992">
        <w:rPr>
          <w:lang w:val="en-GB"/>
        </w:rPr>
        <w:t xml:space="preserve">administrative burden, improving transparency, enhancing data infrastructure and considering potential risks are crucial for effective </w:t>
      </w:r>
      <w:r w:rsidRPr="00221992">
        <w:rPr>
          <w:lang w:val="en-GB"/>
        </w:rPr>
        <w:t>MEA</w:t>
      </w:r>
      <w:r w:rsidR="00EA0879" w:rsidRPr="00221992">
        <w:rPr>
          <w:lang w:val="en-GB"/>
        </w:rPr>
        <w:t xml:space="preserve"> frameworks.</w:t>
      </w:r>
    </w:p>
    <w:p w14:paraId="7DF7AA60" w14:textId="77777777" w:rsidR="00436FBD" w:rsidRPr="00221992" w:rsidRDefault="00436FBD" w:rsidP="00EF5B9A">
      <w:pPr>
        <w:pStyle w:val="BodyText"/>
        <w:rPr>
          <w:highlight w:val="yellow"/>
          <w:lang w:val="en-GB"/>
        </w:rPr>
      </w:pPr>
    </w:p>
    <w:p w14:paraId="3FDED788" w14:textId="2AF3AAF8" w:rsidR="005046AC" w:rsidRPr="00221992" w:rsidRDefault="005046AC" w:rsidP="00FD7C45">
      <w:pPr>
        <w:rPr>
          <w:lang w:val="en-GB"/>
        </w:rPr>
      </w:pPr>
      <w:r w:rsidRPr="00221992">
        <w:rPr>
          <w:lang w:val="en-GB"/>
        </w:rPr>
        <w:t xml:space="preserve">Given the complexity and rapidly evolving nature of health technologies, including pharmaceuticals, medical devices and procedures, the effective management of clinical, economic, and financial uncertainty is paramount to ensure fair and sustainable pricing and reimbursement strategies. Clinical uncertainty relates to the </w:t>
      </w:r>
      <w:r w:rsidR="00533DCE" w:rsidRPr="00221992">
        <w:rPr>
          <w:lang w:val="en-GB"/>
        </w:rPr>
        <w:t>comparative</w:t>
      </w:r>
      <w:r w:rsidRPr="00221992">
        <w:rPr>
          <w:lang w:val="en-GB"/>
        </w:rPr>
        <w:t xml:space="preserve"> effectiveness and safety of a health technology</w:t>
      </w:r>
      <w:r w:rsidR="00694112" w:rsidRPr="00221992">
        <w:rPr>
          <w:lang w:val="en-GB"/>
        </w:rPr>
        <w:t xml:space="preserve">. </w:t>
      </w:r>
      <w:r w:rsidRPr="00221992">
        <w:rPr>
          <w:lang w:val="en-GB"/>
        </w:rPr>
        <w:t xml:space="preserve">Economic uncertainty considers the cost effectiveness of a new product </w:t>
      </w:r>
      <w:r w:rsidR="00694112" w:rsidRPr="00221992">
        <w:rPr>
          <w:lang w:val="en-GB"/>
        </w:rPr>
        <w:t>and</w:t>
      </w:r>
      <w:r w:rsidRPr="00221992">
        <w:rPr>
          <w:lang w:val="en-GB"/>
        </w:rPr>
        <w:t xml:space="preserve"> financial uncertainty is specifically concerned with the budgetary implications of adopting a product within a health care system</w:t>
      </w:r>
      <w:r w:rsidR="009D509F" w:rsidRPr="00221992">
        <w:rPr>
          <w:lang w:val="en-GB"/>
        </w:rPr>
        <w:t>.</w:t>
      </w:r>
    </w:p>
    <w:p w14:paraId="1D70C0A2" w14:textId="645552B1" w:rsidR="00206902" w:rsidRPr="00221992" w:rsidRDefault="005046AC" w:rsidP="00FD7C45">
      <w:pPr>
        <w:rPr>
          <w:lang w:val="en-GB"/>
        </w:rPr>
      </w:pPr>
      <w:r w:rsidRPr="00221992">
        <w:rPr>
          <w:lang w:val="en-GB"/>
        </w:rPr>
        <w:t>MEAs are strategic arrangements between payers and sponsors, employed to ensure timely patient access to advanced healthcare treatments, particularly when there is uncertainty about their clinical or cost-effectiveness.</w:t>
      </w:r>
      <w:r w:rsidR="00197613" w:rsidRPr="00221992">
        <w:rPr>
          <w:lang w:val="en-GB"/>
        </w:rPr>
        <w:t xml:space="preserve"> </w:t>
      </w:r>
      <w:r w:rsidR="00206902" w:rsidRPr="00221992">
        <w:rPr>
          <w:lang w:val="en-GB"/>
        </w:rPr>
        <w:t>While definitions vary</w:t>
      </w:r>
      <w:r w:rsidR="00F148C3">
        <w:rPr>
          <w:lang w:val="en-GB"/>
        </w:rPr>
        <w:t>,</w:t>
      </w:r>
      <w:r w:rsidR="00206902" w:rsidRPr="00221992">
        <w:rPr>
          <w:lang w:val="en-GB"/>
        </w:rPr>
        <w:t xml:space="preserve"> MEAs generally adhere to a definitional structure </w:t>
      </w:r>
      <w:r w:rsidR="58057069" w:rsidRPr="1B9A33DB">
        <w:rPr>
          <w:lang w:val="en-GB"/>
        </w:rPr>
        <w:t>described</w:t>
      </w:r>
      <w:r w:rsidR="00206902" w:rsidRPr="00221992">
        <w:rPr>
          <w:lang w:val="en-GB"/>
        </w:rPr>
        <w:t xml:space="preserve"> by the OECD, which categorises the MEA as a three-level taxonomy. Tier 1 </w:t>
      </w:r>
      <w:r w:rsidR="00F148C3">
        <w:rPr>
          <w:lang w:val="en-GB"/>
        </w:rPr>
        <w:t xml:space="preserve">broadly </w:t>
      </w:r>
      <w:r w:rsidR="00206902" w:rsidRPr="00221992">
        <w:rPr>
          <w:lang w:val="en-GB"/>
        </w:rPr>
        <w:t xml:space="preserve">defines the agreement </w:t>
      </w:r>
      <w:r w:rsidR="00F148C3">
        <w:rPr>
          <w:lang w:val="en-GB"/>
        </w:rPr>
        <w:t xml:space="preserve">design </w:t>
      </w:r>
      <w:r w:rsidR="00F148C3" w:rsidRPr="00221992">
        <w:rPr>
          <w:lang w:val="en-GB"/>
        </w:rPr>
        <w:t>(outcome, performance</w:t>
      </w:r>
      <w:r w:rsidR="00F148C3">
        <w:rPr>
          <w:lang w:val="en-GB"/>
        </w:rPr>
        <w:t>,</w:t>
      </w:r>
      <w:r w:rsidR="00F148C3" w:rsidRPr="00221992">
        <w:rPr>
          <w:lang w:val="en-GB"/>
        </w:rPr>
        <w:t xml:space="preserve"> financial)</w:t>
      </w:r>
      <w:r w:rsidR="00206902" w:rsidRPr="00221992">
        <w:rPr>
          <w:lang w:val="en-GB"/>
        </w:rPr>
        <w:t xml:space="preserve">. Tier 2 </w:t>
      </w:r>
      <w:r w:rsidR="00F148C3">
        <w:rPr>
          <w:lang w:val="en-GB"/>
        </w:rPr>
        <w:t xml:space="preserve">further </w:t>
      </w:r>
      <w:r w:rsidR="00206902" w:rsidRPr="00221992">
        <w:rPr>
          <w:lang w:val="en-GB"/>
        </w:rPr>
        <w:t xml:space="preserve">categorises this mechanism </w:t>
      </w:r>
      <w:r w:rsidR="00F148C3">
        <w:rPr>
          <w:lang w:val="en-GB"/>
        </w:rPr>
        <w:t>according to level</w:t>
      </w:r>
      <w:r w:rsidR="00F148C3" w:rsidRPr="00221992">
        <w:rPr>
          <w:lang w:val="en-GB"/>
        </w:rPr>
        <w:t xml:space="preserve"> </w:t>
      </w:r>
      <w:r w:rsidR="00F148C3">
        <w:rPr>
          <w:lang w:val="en-GB"/>
        </w:rPr>
        <w:t>(</w:t>
      </w:r>
      <w:r w:rsidR="00206902" w:rsidRPr="00221992">
        <w:rPr>
          <w:lang w:val="en-GB"/>
        </w:rPr>
        <w:t>patient or population</w:t>
      </w:r>
      <w:r w:rsidR="00F148C3">
        <w:rPr>
          <w:lang w:val="en-GB"/>
        </w:rPr>
        <w:t>).</w:t>
      </w:r>
      <w:r w:rsidR="00206902" w:rsidRPr="00221992">
        <w:rPr>
          <w:lang w:val="en-GB"/>
        </w:rPr>
        <w:t xml:space="preserve"> </w:t>
      </w:r>
      <w:r w:rsidR="00F148C3">
        <w:rPr>
          <w:lang w:val="en-GB"/>
        </w:rPr>
        <w:t>T</w:t>
      </w:r>
      <w:r w:rsidR="00206902" w:rsidRPr="00221992">
        <w:rPr>
          <w:lang w:val="en-GB"/>
        </w:rPr>
        <w:t xml:space="preserve">ier 3 </w:t>
      </w:r>
      <w:r w:rsidR="00F148C3">
        <w:rPr>
          <w:lang w:val="en-GB"/>
        </w:rPr>
        <w:t>specifies</w:t>
      </w:r>
      <w:r w:rsidR="00F148C3" w:rsidRPr="00221992">
        <w:rPr>
          <w:lang w:val="en-GB"/>
        </w:rPr>
        <w:t xml:space="preserve"> </w:t>
      </w:r>
      <w:r w:rsidR="00206902" w:rsidRPr="00221992">
        <w:rPr>
          <w:lang w:val="en-GB"/>
        </w:rPr>
        <w:t xml:space="preserve">the agreement </w:t>
      </w:r>
      <w:r w:rsidR="00F148C3">
        <w:rPr>
          <w:lang w:val="en-GB"/>
        </w:rPr>
        <w:t>mechanism</w:t>
      </w:r>
      <w:r w:rsidR="00F148C3" w:rsidRPr="00221992">
        <w:rPr>
          <w:lang w:val="en-GB"/>
        </w:rPr>
        <w:t xml:space="preserve"> </w:t>
      </w:r>
      <w:r w:rsidR="00206902" w:rsidRPr="00221992">
        <w:rPr>
          <w:lang w:val="en-GB"/>
        </w:rPr>
        <w:t>(rebate</w:t>
      </w:r>
      <w:r w:rsidR="00F148C3">
        <w:rPr>
          <w:lang w:val="en-GB"/>
        </w:rPr>
        <w:t>,</w:t>
      </w:r>
      <w:r w:rsidR="00206902" w:rsidRPr="00221992">
        <w:rPr>
          <w:lang w:val="en-GB"/>
        </w:rPr>
        <w:t xml:space="preserve"> discount; volume</w:t>
      </w:r>
      <w:r w:rsidR="00F148C3">
        <w:rPr>
          <w:lang w:val="en-GB"/>
        </w:rPr>
        <w:t>,</w:t>
      </w:r>
      <w:r w:rsidR="00206902" w:rsidRPr="00221992">
        <w:rPr>
          <w:lang w:val="en-GB"/>
        </w:rPr>
        <w:t xml:space="preserve"> expenditure cap; payment-by-result (PbR); coverage with evidence development (CED) or conditional treatment continuation </w:t>
      </w:r>
      <w:r w:rsidR="00F148C3">
        <w:rPr>
          <w:lang w:val="en-GB"/>
        </w:rPr>
        <w:t>(</w:t>
      </w:r>
      <w:r w:rsidR="00206902" w:rsidRPr="00221992">
        <w:rPr>
          <w:lang w:val="en-GB"/>
        </w:rPr>
        <w:t>CTC)</w:t>
      </w:r>
      <w:r w:rsidR="00F148C3">
        <w:rPr>
          <w:lang w:val="en-GB"/>
        </w:rPr>
        <w:t>)</w:t>
      </w:r>
      <w:r w:rsidR="00206902" w:rsidRPr="00221992">
        <w:rPr>
          <w:lang w:val="en-GB"/>
        </w:rPr>
        <w:t xml:space="preserve">. </w:t>
      </w:r>
    </w:p>
    <w:p w14:paraId="1111139A" w14:textId="20AAB573" w:rsidR="00F53884" w:rsidRPr="00221992" w:rsidRDefault="00F53884" w:rsidP="00FD7C45">
      <w:pPr>
        <w:rPr>
          <w:lang w:val="en-GB"/>
        </w:rPr>
      </w:pPr>
      <w:r w:rsidRPr="00221992">
        <w:rPr>
          <w:lang w:val="en-GB"/>
        </w:rPr>
        <w:t xml:space="preserve">Performance-based MEAs are used to address clinical, cost-effectiveness </w:t>
      </w:r>
      <w:r w:rsidR="003228C6">
        <w:rPr>
          <w:lang w:val="en-GB"/>
        </w:rPr>
        <w:t>and</w:t>
      </w:r>
      <w:r w:rsidR="003228C6" w:rsidRPr="00221992">
        <w:rPr>
          <w:lang w:val="en-GB"/>
        </w:rPr>
        <w:t xml:space="preserve"> </w:t>
      </w:r>
      <w:r w:rsidRPr="00221992">
        <w:rPr>
          <w:lang w:val="en-GB"/>
        </w:rPr>
        <w:t>financial uncertainty of new health technolog</w:t>
      </w:r>
      <w:r w:rsidR="003228C6">
        <w:rPr>
          <w:lang w:val="en-GB"/>
        </w:rPr>
        <w:t>ies</w:t>
      </w:r>
      <w:r w:rsidRPr="00221992">
        <w:rPr>
          <w:lang w:val="en-GB"/>
        </w:rPr>
        <w:t xml:space="preserve"> by linking payment to treatment outcomes, usually defined as patient response, but in the case of rare diseases, surrogate outcomes may also be used. Financially based MEAs aim to manage the budget impact of new technologies through price controls, discounts or rebates—without explicitly linking to a therapy</w:t>
      </w:r>
      <w:r w:rsidR="00551786">
        <w:rPr>
          <w:lang w:val="en-GB"/>
        </w:rPr>
        <w:t>’</w:t>
      </w:r>
      <w:r w:rsidRPr="00221992">
        <w:rPr>
          <w:lang w:val="en-GB"/>
        </w:rPr>
        <w:t xml:space="preserve">s performance. Hybrid models exist, which combine elements of both </w:t>
      </w:r>
      <w:r w:rsidR="003228C6">
        <w:rPr>
          <w:lang w:val="en-GB"/>
        </w:rPr>
        <w:t xml:space="preserve">financial and </w:t>
      </w:r>
      <w:r w:rsidRPr="00221992">
        <w:rPr>
          <w:lang w:val="en-GB"/>
        </w:rPr>
        <w:t>performance-based agreements—i.e., which both consider performance-related criteria and aim to manage budget impact</w:t>
      </w:r>
      <w:r w:rsidR="00C914CD" w:rsidRPr="00221992">
        <w:rPr>
          <w:lang w:val="en-GB"/>
        </w:rPr>
        <w:t xml:space="preserve">. </w:t>
      </w:r>
      <w:r w:rsidR="00572F65" w:rsidRPr="00221992">
        <w:rPr>
          <w:lang w:val="en-GB"/>
        </w:rPr>
        <w:fldChar w:fldCharType="begin"/>
      </w:r>
      <w:r w:rsidR="00572F65" w:rsidRPr="00221992">
        <w:rPr>
          <w:lang w:val="en-GB"/>
        </w:rPr>
        <w:instrText xml:space="preserve"> REF _Ref146273751 \h  \* MERGEFORMAT </w:instrText>
      </w:r>
      <w:r w:rsidR="00572F65" w:rsidRPr="00221992">
        <w:rPr>
          <w:lang w:val="en-GB"/>
        </w:rPr>
      </w:r>
      <w:r w:rsidR="00572F65" w:rsidRPr="00221992">
        <w:rPr>
          <w:lang w:val="en-GB"/>
        </w:rPr>
        <w:fldChar w:fldCharType="separate"/>
      </w:r>
      <w:r w:rsidR="000E11E7" w:rsidRPr="00221992">
        <w:rPr>
          <w:lang w:val="en-GB"/>
        </w:rPr>
        <w:t xml:space="preserve">Table </w:t>
      </w:r>
      <w:r w:rsidR="000E11E7">
        <w:rPr>
          <w:noProof/>
          <w:lang w:val="en-GB"/>
        </w:rPr>
        <w:t>3</w:t>
      </w:r>
      <w:r w:rsidR="00572F65" w:rsidRPr="00221992">
        <w:rPr>
          <w:lang w:val="en-GB"/>
        </w:rPr>
        <w:fldChar w:fldCharType="end"/>
      </w:r>
      <w:r w:rsidR="00572F65" w:rsidRPr="00221992">
        <w:rPr>
          <w:lang w:val="en-GB"/>
        </w:rPr>
        <w:t xml:space="preserve"> </w:t>
      </w:r>
      <w:r w:rsidR="00615BEA" w:rsidRPr="00221992">
        <w:rPr>
          <w:lang w:val="en-GB"/>
        </w:rPr>
        <w:t xml:space="preserve">and </w:t>
      </w:r>
      <w:r w:rsidR="00572F65" w:rsidRPr="00221992">
        <w:rPr>
          <w:lang w:val="en-GB"/>
        </w:rPr>
        <w:fldChar w:fldCharType="begin"/>
      </w:r>
      <w:r w:rsidR="00572F65" w:rsidRPr="00221992">
        <w:rPr>
          <w:lang w:val="en-GB"/>
        </w:rPr>
        <w:instrText xml:space="preserve"> REF _Ref146273800 \h  \* MERGEFORMAT </w:instrText>
      </w:r>
      <w:r w:rsidR="00572F65" w:rsidRPr="00221992">
        <w:rPr>
          <w:lang w:val="en-GB"/>
        </w:rPr>
      </w:r>
      <w:r w:rsidR="00572F65" w:rsidRPr="00221992">
        <w:rPr>
          <w:lang w:val="en-GB"/>
        </w:rPr>
        <w:fldChar w:fldCharType="separate"/>
      </w:r>
      <w:r w:rsidR="000E11E7" w:rsidRPr="00221992">
        <w:rPr>
          <w:lang w:val="en-GB"/>
        </w:rPr>
        <w:t xml:space="preserve">Table </w:t>
      </w:r>
      <w:r w:rsidR="000E11E7">
        <w:rPr>
          <w:noProof/>
          <w:lang w:val="en-GB"/>
        </w:rPr>
        <w:t>4</w:t>
      </w:r>
      <w:r w:rsidR="00572F65" w:rsidRPr="00221992">
        <w:rPr>
          <w:lang w:val="en-GB"/>
        </w:rPr>
        <w:fldChar w:fldCharType="end"/>
      </w:r>
      <w:r w:rsidR="00615BEA" w:rsidRPr="00221992">
        <w:rPr>
          <w:lang w:val="en-GB"/>
        </w:rPr>
        <w:t xml:space="preserve"> summarise </w:t>
      </w:r>
      <w:r w:rsidR="00070D59" w:rsidRPr="00221992">
        <w:rPr>
          <w:lang w:val="en-GB"/>
        </w:rPr>
        <w:t>the use of financial and performance</w:t>
      </w:r>
      <w:r w:rsidR="003228C6">
        <w:rPr>
          <w:lang w:val="en-GB"/>
        </w:rPr>
        <w:t>-based</w:t>
      </w:r>
      <w:r w:rsidR="00070D59" w:rsidRPr="00221992">
        <w:rPr>
          <w:lang w:val="en-GB"/>
        </w:rPr>
        <w:t xml:space="preserve"> MEA</w:t>
      </w:r>
      <w:r w:rsidR="00551786">
        <w:rPr>
          <w:lang w:val="en-GB"/>
        </w:rPr>
        <w:t>’</w:t>
      </w:r>
      <w:r w:rsidR="00070D59" w:rsidRPr="00221992">
        <w:rPr>
          <w:lang w:val="en-GB"/>
        </w:rPr>
        <w:t xml:space="preserve">s internationally. </w:t>
      </w:r>
      <w:r w:rsidR="00E81195" w:rsidRPr="00221992">
        <w:rPr>
          <w:lang w:val="en-GB"/>
        </w:rPr>
        <w:t xml:space="preserve">Tables </w:t>
      </w:r>
      <w:r w:rsidR="007A5A16" w:rsidRPr="00221992">
        <w:rPr>
          <w:lang w:val="en-GB"/>
        </w:rPr>
        <w:t xml:space="preserve">are </w:t>
      </w:r>
      <w:r w:rsidR="00E81195" w:rsidRPr="00221992">
        <w:rPr>
          <w:lang w:val="en-GB"/>
        </w:rPr>
        <w:t xml:space="preserve">based on </w:t>
      </w:r>
      <w:r w:rsidR="00737425" w:rsidRPr="00221992">
        <w:rPr>
          <w:lang w:val="en-GB"/>
        </w:rPr>
        <w:t xml:space="preserve">summaries </w:t>
      </w:r>
      <w:r w:rsidR="007A5A16" w:rsidRPr="00221992">
        <w:rPr>
          <w:lang w:val="en-GB"/>
        </w:rPr>
        <w:t xml:space="preserve">from </w:t>
      </w:r>
      <w:r w:rsidR="00737425" w:rsidRPr="00221992">
        <w:rPr>
          <w:lang w:val="en-GB"/>
        </w:rPr>
        <w:t xml:space="preserve">the OECD </w:t>
      </w:r>
      <w:r w:rsidR="007A5A16" w:rsidRPr="00221992">
        <w:rPr>
          <w:lang w:val="en-GB"/>
        </w:rPr>
        <w:t>(</w:t>
      </w:r>
      <w:r w:rsidR="003228C6">
        <w:rPr>
          <w:lang w:val="en-GB"/>
        </w:rPr>
        <w:t>current to</w:t>
      </w:r>
      <w:r w:rsidR="007A5A16" w:rsidRPr="00221992">
        <w:rPr>
          <w:lang w:val="en-GB"/>
        </w:rPr>
        <w:t xml:space="preserve"> 2019, </w:t>
      </w:r>
      <w:r w:rsidR="00737425" w:rsidRPr="00221992">
        <w:rPr>
          <w:lang w:val="en-GB"/>
        </w:rPr>
        <w:t xml:space="preserve">depicted in grey) </w:t>
      </w:r>
      <w:r w:rsidR="003228C6">
        <w:rPr>
          <w:lang w:val="en-GB"/>
        </w:rPr>
        <w:t>and have been updated to reflect more recent developments in the literature</w:t>
      </w:r>
      <w:r w:rsidR="007D07D4" w:rsidRPr="00221992">
        <w:rPr>
          <w:lang w:val="en-GB"/>
        </w:rPr>
        <w:t xml:space="preserve"> (between 2019 and 2023</w:t>
      </w:r>
      <w:r w:rsidR="003228C6">
        <w:rPr>
          <w:lang w:val="en-GB"/>
        </w:rPr>
        <w:t xml:space="preserve">, </w:t>
      </w:r>
      <w:r w:rsidR="007D07D4" w:rsidRPr="00221992">
        <w:rPr>
          <w:lang w:val="en-GB"/>
        </w:rPr>
        <w:t>depicted in yellow</w:t>
      </w:r>
      <w:r w:rsidR="00242505" w:rsidRPr="00221992">
        <w:rPr>
          <w:lang w:val="en-GB"/>
        </w:rPr>
        <w:t>)</w:t>
      </w:r>
      <w:r w:rsidR="00240534">
        <w:rPr>
          <w:lang w:val="en-GB"/>
        </w:rPr>
        <w:t>.</w:t>
      </w:r>
    </w:p>
    <w:p w14:paraId="5D65AC7F" w14:textId="0932B376" w:rsidR="00837EB7" w:rsidRPr="00221992" w:rsidRDefault="00312BB4" w:rsidP="001721AB">
      <w:pPr>
        <w:pStyle w:val="Caption"/>
        <w:rPr>
          <w:lang w:val="en-GB"/>
        </w:rPr>
      </w:pPr>
      <w:bookmarkStart w:id="22" w:name="_Ref146273751"/>
      <w:bookmarkStart w:id="23" w:name="_Toc162950950"/>
      <w:r w:rsidRPr="00221992">
        <w:rPr>
          <w:lang w:val="en-GB"/>
        </w:rPr>
        <w:t xml:space="preserve">Table </w:t>
      </w:r>
      <w:r w:rsidR="00FD7C45" w:rsidRPr="00221992">
        <w:rPr>
          <w:lang w:val="en-GB"/>
        </w:rPr>
        <w:fldChar w:fldCharType="begin"/>
      </w:r>
      <w:r w:rsidR="00FD7C45" w:rsidRPr="00221992">
        <w:rPr>
          <w:lang w:val="en-GB"/>
        </w:rPr>
        <w:instrText xml:space="preserve"> SEQ Table \* ARABIC </w:instrText>
      </w:r>
      <w:r w:rsidR="00FD7C45" w:rsidRPr="00221992">
        <w:rPr>
          <w:lang w:val="en-GB"/>
        </w:rPr>
        <w:fldChar w:fldCharType="separate"/>
      </w:r>
      <w:r w:rsidR="000E11E7">
        <w:rPr>
          <w:noProof/>
          <w:lang w:val="en-GB"/>
        </w:rPr>
        <w:t>3</w:t>
      </w:r>
      <w:r w:rsidR="00FD7C45" w:rsidRPr="00221992">
        <w:rPr>
          <w:noProof/>
          <w:lang w:val="en-GB"/>
        </w:rPr>
        <w:fldChar w:fldCharType="end"/>
      </w:r>
      <w:bookmarkEnd w:id="22"/>
      <w:r w:rsidR="00572F65" w:rsidRPr="00221992">
        <w:rPr>
          <w:lang w:val="en-GB"/>
        </w:rPr>
        <w:t xml:space="preserve">: </w:t>
      </w:r>
      <w:r w:rsidR="00837EB7" w:rsidRPr="00221992">
        <w:rPr>
          <w:lang w:val="en-GB"/>
        </w:rPr>
        <w:t>Use of financial</w:t>
      </w:r>
      <w:r w:rsidR="00A230A7">
        <w:rPr>
          <w:lang w:val="en-GB"/>
        </w:rPr>
        <w:t xml:space="preserve"> </w:t>
      </w:r>
      <w:r w:rsidR="00837EB7" w:rsidRPr="00221992">
        <w:rPr>
          <w:lang w:val="en-GB"/>
        </w:rPr>
        <w:t>MEAs by type and country</w:t>
      </w:r>
      <w:bookmarkEnd w:id="23"/>
    </w:p>
    <w:tbl>
      <w:tblPr>
        <w:tblStyle w:val="LinedBlueTable"/>
        <w:tblW w:w="9214" w:type="dxa"/>
        <w:tblLook w:val="04A0" w:firstRow="1" w:lastRow="0" w:firstColumn="1" w:lastColumn="0" w:noHBand="0" w:noVBand="1"/>
      </w:tblPr>
      <w:tblGrid>
        <w:gridCol w:w="2263"/>
        <w:gridCol w:w="1757"/>
        <w:gridCol w:w="1758"/>
        <w:gridCol w:w="1758"/>
        <w:gridCol w:w="1758"/>
      </w:tblGrid>
      <w:tr w:rsidR="00837EB7" w:rsidRPr="00221992" w14:paraId="16118AE8" w14:textId="77777777" w:rsidTr="00682303">
        <w:trPr>
          <w:cnfStyle w:val="100000000000" w:firstRow="1" w:lastRow="0" w:firstColumn="0" w:lastColumn="0" w:oddVBand="0" w:evenVBand="0" w:oddHBand="0" w:evenHBand="0" w:firstRowFirstColumn="0" w:firstRowLastColumn="0" w:lastRowFirstColumn="0" w:lastRowLastColumn="0"/>
          <w:trHeight w:val="280"/>
        </w:trPr>
        <w:tc>
          <w:tcPr>
            <w:cnfStyle w:val="001000000000" w:firstRow="0" w:lastRow="0" w:firstColumn="1" w:lastColumn="0" w:oddVBand="0" w:evenVBand="0" w:oddHBand="0" w:evenHBand="0" w:firstRowFirstColumn="0" w:firstRowLastColumn="0" w:lastRowFirstColumn="0" w:lastRowLastColumn="0"/>
            <w:tcW w:w="2247" w:type="dxa"/>
            <w:vMerge w:val="restart"/>
            <w:shd w:val="clear" w:color="auto" w:fill="000000" w:themeFill="text1"/>
            <w:noWrap/>
            <w:hideMark/>
          </w:tcPr>
          <w:p w14:paraId="20977F05" w14:textId="77777777" w:rsidR="00837EB7" w:rsidRPr="002E4F9F" w:rsidRDefault="00837EB7" w:rsidP="00682303">
            <w:pPr>
              <w:spacing w:after="0" w:line="240" w:lineRule="auto"/>
              <w:rPr>
                <w:rFonts w:ascii="Calibri" w:eastAsia="Times New Roman" w:hAnsi="Calibri" w:cs="Calibri"/>
                <w:b/>
                <w:color w:val="000000"/>
                <w:sz w:val="20"/>
                <w:szCs w:val="20"/>
                <w:lang w:val="en-GB" w:eastAsia="en-GB"/>
              </w:rPr>
            </w:pPr>
            <w:r w:rsidRPr="002E4F9F">
              <w:rPr>
                <w:rFonts w:ascii="Calibri" w:eastAsia="Times New Roman" w:hAnsi="Calibri" w:cs="Calibri"/>
                <w:b/>
                <w:sz w:val="20"/>
                <w:szCs w:val="20"/>
                <w:lang w:val="en-GB" w:eastAsia="en-GB"/>
              </w:rPr>
              <w:t xml:space="preserve"> Country</w:t>
            </w:r>
          </w:p>
        </w:tc>
        <w:tc>
          <w:tcPr>
            <w:tcW w:w="3483" w:type="dxa"/>
            <w:gridSpan w:val="2"/>
            <w:shd w:val="clear" w:color="auto" w:fill="0070C0"/>
            <w:noWrap/>
            <w:hideMark/>
          </w:tcPr>
          <w:p w14:paraId="6EF0B875" w14:textId="77777777" w:rsidR="00837EB7" w:rsidRPr="002E4F9F" w:rsidRDefault="00837EB7" w:rsidP="00682303">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sz w:val="20"/>
                <w:szCs w:val="20"/>
                <w:lang w:val="en-GB" w:eastAsia="en-GB"/>
              </w:rPr>
            </w:pPr>
            <w:r w:rsidRPr="002E4F9F">
              <w:rPr>
                <w:rFonts w:ascii="Calibri" w:eastAsia="Times New Roman" w:hAnsi="Calibri" w:cs="Calibri"/>
                <w:b/>
                <w:sz w:val="20"/>
                <w:szCs w:val="20"/>
                <w:lang w:val="en-GB" w:eastAsia="en-GB"/>
              </w:rPr>
              <w:t>Patient level</w:t>
            </w:r>
          </w:p>
        </w:tc>
        <w:tc>
          <w:tcPr>
            <w:tcW w:w="3484" w:type="dxa"/>
            <w:gridSpan w:val="2"/>
            <w:shd w:val="clear" w:color="auto" w:fill="0070C0"/>
            <w:noWrap/>
            <w:hideMark/>
          </w:tcPr>
          <w:p w14:paraId="23E151F3" w14:textId="77777777" w:rsidR="00837EB7" w:rsidRPr="002E4F9F" w:rsidRDefault="00837EB7" w:rsidP="00682303">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sz w:val="20"/>
                <w:szCs w:val="20"/>
                <w:lang w:val="en-GB" w:eastAsia="en-GB"/>
              </w:rPr>
            </w:pPr>
            <w:r w:rsidRPr="002E4F9F">
              <w:rPr>
                <w:rFonts w:ascii="Calibri" w:eastAsia="Times New Roman" w:hAnsi="Calibri" w:cs="Calibri"/>
                <w:b/>
                <w:sz w:val="20"/>
                <w:szCs w:val="20"/>
                <w:lang w:val="en-GB" w:eastAsia="en-GB"/>
              </w:rPr>
              <w:t>Population level</w:t>
            </w:r>
          </w:p>
        </w:tc>
      </w:tr>
      <w:tr w:rsidR="00837EB7" w:rsidRPr="00221992" w14:paraId="6CB4E566" w14:textId="77777777" w:rsidTr="00682303">
        <w:trPr>
          <w:trHeight w:val="760"/>
        </w:trPr>
        <w:tc>
          <w:tcPr>
            <w:cnfStyle w:val="001000000000" w:firstRow="0" w:lastRow="0" w:firstColumn="1" w:lastColumn="0" w:oddVBand="0" w:evenVBand="0" w:oddHBand="0" w:evenHBand="0" w:firstRowFirstColumn="0" w:firstRowLastColumn="0" w:lastRowFirstColumn="0" w:lastRowLastColumn="0"/>
            <w:tcW w:w="2247" w:type="dxa"/>
            <w:vMerge/>
            <w:shd w:val="clear" w:color="auto" w:fill="000000" w:themeFill="text1"/>
            <w:hideMark/>
          </w:tcPr>
          <w:p w14:paraId="3A0A9F87" w14:textId="77777777" w:rsidR="00837EB7" w:rsidRPr="002E4F9F" w:rsidRDefault="00837EB7" w:rsidP="00682303">
            <w:pPr>
              <w:spacing w:after="0" w:line="240" w:lineRule="auto"/>
              <w:rPr>
                <w:rFonts w:ascii="Calibri" w:eastAsia="Times New Roman" w:hAnsi="Calibri" w:cs="Calibri"/>
                <w:b/>
                <w:color w:val="000000"/>
                <w:sz w:val="20"/>
                <w:szCs w:val="20"/>
                <w:lang w:val="en-GB" w:eastAsia="en-GB"/>
              </w:rPr>
            </w:pPr>
          </w:p>
        </w:tc>
        <w:tc>
          <w:tcPr>
            <w:tcW w:w="1741" w:type="dxa"/>
            <w:shd w:val="clear" w:color="auto" w:fill="0070C0"/>
            <w:hideMark/>
          </w:tcPr>
          <w:p w14:paraId="4496CF31" w14:textId="77777777" w:rsidR="00837EB7" w:rsidRPr="002E4F9F" w:rsidRDefault="00837EB7" w:rsidP="00682303">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color w:val="FFFFFF" w:themeColor="background1"/>
                <w:sz w:val="20"/>
                <w:szCs w:val="20"/>
                <w:lang w:val="en-GB" w:eastAsia="en-GB"/>
              </w:rPr>
            </w:pPr>
            <w:r w:rsidRPr="002E4F9F">
              <w:rPr>
                <w:rFonts w:ascii="Calibri" w:eastAsia="Times New Roman" w:hAnsi="Calibri" w:cs="Calibri"/>
                <w:b/>
                <w:color w:val="FFFFFF" w:themeColor="background1"/>
                <w:sz w:val="20"/>
                <w:szCs w:val="20"/>
                <w:lang w:val="en-GB" w:eastAsia="en-GB"/>
              </w:rPr>
              <w:t>Risk sharing/ cost sharing/discounts</w:t>
            </w:r>
          </w:p>
        </w:tc>
        <w:tc>
          <w:tcPr>
            <w:tcW w:w="1742" w:type="dxa"/>
            <w:shd w:val="clear" w:color="auto" w:fill="0070C0"/>
            <w:hideMark/>
          </w:tcPr>
          <w:p w14:paraId="689759C6" w14:textId="77777777" w:rsidR="00837EB7" w:rsidRPr="002E4F9F" w:rsidRDefault="00837EB7" w:rsidP="00682303">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color w:val="FFFFFF" w:themeColor="background1"/>
                <w:sz w:val="20"/>
                <w:szCs w:val="20"/>
                <w:lang w:val="en-GB" w:eastAsia="en-GB"/>
              </w:rPr>
            </w:pPr>
            <w:r w:rsidRPr="002E4F9F">
              <w:rPr>
                <w:rFonts w:ascii="Calibri" w:eastAsia="Times New Roman" w:hAnsi="Calibri" w:cs="Calibri"/>
                <w:b/>
                <w:color w:val="FFFFFF" w:themeColor="background1"/>
                <w:sz w:val="20"/>
                <w:szCs w:val="20"/>
                <w:lang w:val="en-GB" w:eastAsia="en-GB"/>
              </w:rPr>
              <w:t xml:space="preserve">Cost capping/free treatment </w:t>
            </w:r>
          </w:p>
        </w:tc>
        <w:tc>
          <w:tcPr>
            <w:tcW w:w="1742" w:type="dxa"/>
            <w:shd w:val="clear" w:color="auto" w:fill="0070C0"/>
            <w:hideMark/>
          </w:tcPr>
          <w:p w14:paraId="115BEC01" w14:textId="77777777" w:rsidR="00837EB7" w:rsidRPr="002E4F9F" w:rsidRDefault="00837EB7" w:rsidP="00682303">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color w:val="FFFFFF" w:themeColor="background1"/>
                <w:sz w:val="20"/>
                <w:szCs w:val="20"/>
                <w:lang w:val="en-GB" w:eastAsia="en-GB"/>
              </w:rPr>
            </w:pPr>
            <w:r w:rsidRPr="002E4F9F">
              <w:rPr>
                <w:rFonts w:ascii="Calibri" w:eastAsia="Times New Roman" w:hAnsi="Calibri" w:cs="Calibri"/>
                <w:b/>
                <w:color w:val="FFFFFF" w:themeColor="background1"/>
                <w:sz w:val="20"/>
                <w:szCs w:val="20"/>
                <w:lang w:val="en-GB" w:eastAsia="en-GB"/>
              </w:rPr>
              <w:t>Product specific expenditure ceilings</w:t>
            </w:r>
          </w:p>
        </w:tc>
        <w:tc>
          <w:tcPr>
            <w:tcW w:w="1742" w:type="dxa"/>
            <w:shd w:val="clear" w:color="auto" w:fill="0070C0"/>
            <w:hideMark/>
          </w:tcPr>
          <w:p w14:paraId="0E79AB7F" w14:textId="77777777" w:rsidR="00837EB7" w:rsidRPr="002E4F9F" w:rsidRDefault="00837EB7" w:rsidP="00682303">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color w:val="FFFFFF" w:themeColor="background1"/>
                <w:sz w:val="20"/>
                <w:szCs w:val="20"/>
                <w:lang w:val="en-GB" w:eastAsia="en-GB"/>
              </w:rPr>
            </w:pPr>
            <w:r w:rsidRPr="002E4F9F">
              <w:rPr>
                <w:rFonts w:ascii="Calibri" w:eastAsia="Times New Roman" w:hAnsi="Calibri" w:cs="Calibri"/>
                <w:b/>
                <w:color w:val="FFFFFF" w:themeColor="background1"/>
                <w:sz w:val="20"/>
                <w:szCs w:val="20"/>
                <w:lang w:val="en-GB" w:eastAsia="en-GB"/>
              </w:rPr>
              <w:t xml:space="preserve">Price volume agreements </w:t>
            </w:r>
          </w:p>
        </w:tc>
      </w:tr>
      <w:tr w:rsidR="00837EB7" w:rsidRPr="00221992" w14:paraId="29A55806" w14:textId="77777777" w:rsidTr="00682303">
        <w:trPr>
          <w:cnfStyle w:val="000000010000" w:firstRow="0" w:lastRow="0" w:firstColumn="0" w:lastColumn="0" w:oddVBand="0" w:evenVBand="0" w:oddHBand="0" w:evenHBand="1"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247" w:type="dxa"/>
            <w:shd w:val="clear" w:color="auto" w:fill="0070C0"/>
            <w:noWrap/>
            <w:hideMark/>
          </w:tcPr>
          <w:p w14:paraId="72D17815" w14:textId="77777777" w:rsidR="00837EB7" w:rsidRPr="00221992" w:rsidRDefault="00837EB7" w:rsidP="00682303">
            <w:pPr>
              <w:spacing w:after="0" w:line="240" w:lineRule="auto"/>
              <w:rPr>
                <w:rFonts w:eastAsia="Times New Roman" w:cs="Calibri Light"/>
                <w:sz w:val="20"/>
                <w:szCs w:val="20"/>
                <w:lang w:val="en-GB" w:eastAsia="en-GB"/>
              </w:rPr>
            </w:pPr>
            <w:r w:rsidRPr="00221992">
              <w:rPr>
                <w:rFonts w:eastAsia="Times New Roman" w:cs="Calibri Light"/>
                <w:sz w:val="20"/>
                <w:szCs w:val="20"/>
                <w:lang w:val="en-GB" w:eastAsia="en-GB"/>
              </w:rPr>
              <w:t>Australia</w:t>
            </w:r>
            <w:r w:rsidRPr="00221992">
              <w:rPr>
                <w:rFonts w:eastAsia="Times New Roman" w:cs="Calibri Light"/>
                <w:sz w:val="20"/>
                <w:szCs w:val="20"/>
                <w:vertAlign w:val="superscript"/>
                <w:lang w:val="en-GB" w:eastAsia="en-GB"/>
              </w:rPr>
              <w:t>1</w:t>
            </w:r>
          </w:p>
        </w:tc>
        <w:tc>
          <w:tcPr>
            <w:tcW w:w="1741" w:type="dxa"/>
            <w:noWrap/>
            <w:hideMark/>
          </w:tcPr>
          <w:p w14:paraId="68F8AB66" w14:textId="77777777" w:rsidR="00837EB7" w:rsidRPr="00221992" w:rsidRDefault="00837EB7" w:rsidP="00682303">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Calibri Light"/>
                <w:color w:val="FF0000"/>
                <w:sz w:val="20"/>
                <w:szCs w:val="20"/>
                <w:lang w:val="en-GB" w:eastAsia="en-GB"/>
              </w:rPr>
            </w:pPr>
            <w:r w:rsidRPr="00221992">
              <w:rPr>
                <w:rFonts w:ascii="Wingdings" w:eastAsia="Wingdings" w:hAnsi="Wingdings" w:cs="Wingdings"/>
                <w:color w:val="7F7F7F" w:themeColor="text1" w:themeTint="80"/>
                <w:sz w:val="20"/>
                <w:szCs w:val="20"/>
                <w:lang w:val="en-GB"/>
              </w:rPr>
              <w:t>þ</w:t>
            </w:r>
          </w:p>
        </w:tc>
        <w:tc>
          <w:tcPr>
            <w:tcW w:w="1742" w:type="dxa"/>
            <w:noWrap/>
            <w:hideMark/>
          </w:tcPr>
          <w:p w14:paraId="26D445F1" w14:textId="77777777" w:rsidR="00837EB7" w:rsidRPr="00221992" w:rsidRDefault="00837EB7" w:rsidP="00682303">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Calibri Light"/>
                <w:color w:val="FF0000"/>
                <w:sz w:val="20"/>
                <w:szCs w:val="20"/>
                <w:lang w:val="en-GB" w:eastAsia="en-GB"/>
              </w:rPr>
            </w:pPr>
            <w:r w:rsidRPr="00221992">
              <w:rPr>
                <w:rFonts w:ascii="Wingdings" w:eastAsia="Wingdings" w:hAnsi="Wingdings" w:cs="Wingdings"/>
                <w:color w:val="7F7F7F" w:themeColor="text1" w:themeTint="80"/>
                <w:sz w:val="20"/>
                <w:szCs w:val="20"/>
                <w:lang w:val="en-GB"/>
              </w:rPr>
              <w:t>þ</w:t>
            </w:r>
          </w:p>
        </w:tc>
        <w:tc>
          <w:tcPr>
            <w:tcW w:w="1742" w:type="dxa"/>
            <w:noWrap/>
            <w:hideMark/>
          </w:tcPr>
          <w:p w14:paraId="388BF8E1" w14:textId="77777777" w:rsidR="00837EB7" w:rsidRPr="00221992" w:rsidRDefault="00837EB7" w:rsidP="00682303">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Calibri Light"/>
                <w:color w:val="000000"/>
                <w:sz w:val="20"/>
                <w:szCs w:val="20"/>
                <w:lang w:val="en-GB" w:eastAsia="en-GB"/>
              </w:rPr>
            </w:pPr>
            <w:r w:rsidRPr="00221992">
              <w:rPr>
                <w:rFonts w:ascii="Wingdings" w:eastAsia="Wingdings" w:hAnsi="Wingdings" w:cs="Wingdings"/>
                <w:color w:val="FFC000"/>
                <w:sz w:val="20"/>
                <w:szCs w:val="20"/>
                <w:lang w:val="en-GB"/>
              </w:rPr>
              <w:t>þ</w:t>
            </w:r>
          </w:p>
        </w:tc>
        <w:tc>
          <w:tcPr>
            <w:tcW w:w="1742" w:type="dxa"/>
            <w:noWrap/>
            <w:hideMark/>
          </w:tcPr>
          <w:p w14:paraId="6CD7B0C5" w14:textId="77777777" w:rsidR="00837EB7" w:rsidRPr="00221992" w:rsidRDefault="00837EB7" w:rsidP="00682303">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Calibri Light"/>
                <w:color w:val="FF0000"/>
                <w:sz w:val="20"/>
                <w:szCs w:val="20"/>
                <w:lang w:val="en-GB" w:eastAsia="en-GB"/>
              </w:rPr>
            </w:pPr>
            <w:r w:rsidRPr="00221992">
              <w:rPr>
                <w:rFonts w:ascii="Wingdings" w:eastAsia="Wingdings" w:hAnsi="Wingdings" w:cs="Wingdings"/>
                <w:color w:val="7F7F7F" w:themeColor="text1" w:themeTint="80"/>
                <w:sz w:val="20"/>
                <w:szCs w:val="20"/>
                <w:lang w:val="en-GB"/>
              </w:rPr>
              <w:t>þ</w:t>
            </w:r>
          </w:p>
        </w:tc>
      </w:tr>
      <w:tr w:rsidR="00837EB7" w:rsidRPr="00221992" w14:paraId="78D69B3C" w14:textId="77777777" w:rsidTr="00682303">
        <w:trPr>
          <w:trHeight w:val="300"/>
        </w:trPr>
        <w:tc>
          <w:tcPr>
            <w:cnfStyle w:val="001000000000" w:firstRow="0" w:lastRow="0" w:firstColumn="1" w:lastColumn="0" w:oddVBand="0" w:evenVBand="0" w:oddHBand="0" w:evenHBand="0" w:firstRowFirstColumn="0" w:firstRowLastColumn="0" w:lastRowFirstColumn="0" w:lastRowLastColumn="0"/>
            <w:tcW w:w="2247" w:type="dxa"/>
            <w:shd w:val="clear" w:color="auto" w:fill="0070C0"/>
            <w:noWrap/>
            <w:hideMark/>
          </w:tcPr>
          <w:p w14:paraId="472EAB95" w14:textId="77777777" w:rsidR="00837EB7" w:rsidRPr="00221992" w:rsidRDefault="00837EB7" w:rsidP="00682303">
            <w:pPr>
              <w:spacing w:after="0" w:line="240" w:lineRule="auto"/>
              <w:rPr>
                <w:rFonts w:eastAsia="Times New Roman" w:cs="Calibri Light"/>
                <w:sz w:val="20"/>
                <w:szCs w:val="20"/>
                <w:lang w:val="en-GB" w:eastAsia="en-GB"/>
              </w:rPr>
            </w:pPr>
            <w:r w:rsidRPr="00221992">
              <w:rPr>
                <w:rFonts w:eastAsia="Times New Roman" w:cs="Calibri Light"/>
                <w:sz w:val="20"/>
                <w:szCs w:val="20"/>
                <w:lang w:val="en-GB" w:eastAsia="en-GB"/>
              </w:rPr>
              <w:t>Belgium</w:t>
            </w:r>
            <w:r w:rsidRPr="00221992">
              <w:rPr>
                <w:rFonts w:eastAsia="Times New Roman" w:cs="Calibri Light"/>
                <w:sz w:val="20"/>
                <w:szCs w:val="20"/>
                <w:vertAlign w:val="superscript"/>
                <w:lang w:val="en-GB" w:eastAsia="en-GB"/>
              </w:rPr>
              <w:t>2</w:t>
            </w:r>
          </w:p>
        </w:tc>
        <w:tc>
          <w:tcPr>
            <w:tcW w:w="1741" w:type="dxa"/>
            <w:noWrap/>
            <w:hideMark/>
          </w:tcPr>
          <w:p w14:paraId="64793EF4" w14:textId="77777777" w:rsidR="00837EB7" w:rsidRPr="00221992" w:rsidRDefault="00837EB7" w:rsidP="00682303">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Light"/>
                <w:color w:val="FF0000"/>
                <w:sz w:val="20"/>
                <w:szCs w:val="20"/>
                <w:lang w:val="en-GB" w:eastAsia="en-GB"/>
              </w:rPr>
            </w:pPr>
            <w:r w:rsidRPr="00221992">
              <w:rPr>
                <w:rFonts w:ascii="Wingdings" w:eastAsia="Wingdings" w:hAnsi="Wingdings" w:cs="Wingdings"/>
                <w:color w:val="7F7F7F" w:themeColor="text1" w:themeTint="80"/>
                <w:sz w:val="20"/>
                <w:szCs w:val="20"/>
                <w:lang w:val="en-GB"/>
              </w:rPr>
              <w:t>þ</w:t>
            </w:r>
          </w:p>
        </w:tc>
        <w:tc>
          <w:tcPr>
            <w:tcW w:w="1742" w:type="dxa"/>
            <w:noWrap/>
            <w:hideMark/>
          </w:tcPr>
          <w:p w14:paraId="1A710FF4" w14:textId="77777777" w:rsidR="00837EB7" w:rsidRPr="00221992" w:rsidRDefault="00837EB7" w:rsidP="00682303">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Light"/>
                <w:color w:val="FF0000"/>
                <w:sz w:val="20"/>
                <w:szCs w:val="20"/>
                <w:lang w:val="en-GB" w:eastAsia="en-GB"/>
              </w:rPr>
            </w:pPr>
          </w:p>
        </w:tc>
        <w:tc>
          <w:tcPr>
            <w:tcW w:w="1742" w:type="dxa"/>
            <w:noWrap/>
            <w:hideMark/>
          </w:tcPr>
          <w:p w14:paraId="7E7DBA09" w14:textId="77777777" w:rsidR="00837EB7" w:rsidRPr="00221992" w:rsidRDefault="00837EB7" w:rsidP="00682303">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GB" w:eastAsia="en-GB"/>
              </w:rPr>
            </w:pPr>
          </w:p>
        </w:tc>
        <w:tc>
          <w:tcPr>
            <w:tcW w:w="1742" w:type="dxa"/>
            <w:noWrap/>
            <w:hideMark/>
          </w:tcPr>
          <w:p w14:paraId="3856E687" w14:textId="77777777" w:rsidR="00837EB7" w:rsidRPr="00221992" w:rsidRDefault="00837EB7" w:rsidP="00682303">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GB" w:eastAsia="en-GB"/>
              </w:rPr>
            </w:pPr>
          </w:p>
        </w:tc>
      </w:tr>
      <w:tr w:rsidR="00837EB7" w:rsidRPr="00221992" w14:paraId="0A460091" w14:textId="77777777" w:rsidTr="00682303">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47" w:type="dxa"/>
            <w:shd w:val="clear" w:color="auto" w:fill="0070C0"/>
            <w:noWrap/>
            <w:hideMark/>
          </w:tcPr>
          <w:p w14:paraId="5C0E56F7" w14:textId="77777777" w:rsidR="00837EB7" w:rsidRPr="00221992" w:rsidRDefault="00837EB7" w:rsidP="00682303">
            <w:pPr>
              <w:spacing w:after="0" w:line="240" w:lineRule="auto"/>
              <w:rPr>
                <w:rFonts w:eastAsia="Times New Roman" w:cs="Calibri Light"/>
                <w:sz w:val="20"/>
                <w:szCs w:val="20"/>
                <w:lang w:val="en-GB" w:eastAsia="en-GB"/>
              </w:rPr>
            </w:pPr>
            <w:r w:rsidRPr="00221992">
              <w:rPr>
                <w:rFonts w:eastAsia="Times New Roman" w:cs="Calibri Light"/>
                <w:sz w:val="20"/>
                <w:szCs w:val="20"/>
                <w:lang w:val="en-GB" w:eastAsia="en-GB"/>
              </w:rPr>
              <w:t>Canada</w:t>
            </w:r>
            <w:r w:rsidRPr="00221992">
              <w:rPr>
                <w:rFonts w:eastAsia="Times New Roman" w:cs="Calibri Light"/>
                <w:sz w:val="20"/>
                <w:szCs w:val="20"/>
                <w:vertAlign w:val="superscript"/>
                <w:lang w:val="en-GB" w:eastAsia="en-GB"/>
              </w:rPr>
              <w:t>3</w:t>
            </w:r>
          </w:p>
        </w:tc>
        <w:tc>
          <w:tcPr>
            <w:tcW w:w="1741" w:type="dxa"/>
            <w:noWrap/>
            <w:hideMark/>
          </w:tcPr>
          <w:p w14:paraId="2D2B1979" w14:textId="77777777" w:rsidR="00837EB7" w:rsidRPr="00221992" w:rsidRDefault="00837EB7" w:rsidP="00682303">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Calibri Light"/>
                <w:color w:val="000000"/>
                <w:sz w:val="20"/>
                <w:szCs w:val="20"/>
                <w:lang w:val="en-GB" w:eastAsia="en-GB"/>
              </w:rPr>
            </w:pPr>
            <w:r w:rsidRPr="00221992">
              <w:rPr>
                <w:rFonts w:ascii="Wingdings" w:eastAsia="Wingdings" w:hAnsi="Wingdings" w:cs="Wingdings"/>
                <w:color w:val="FFC000"/>
                <w:sz w:val="20"/>
                <w:szCs w:val="20"/>
                <w:lang w:val="en-GB"/>
              </w:rPr>
              <w:t>þ</w:t>
            </w:r>
          </w:p>
        </w:tc>
        <w:tc>
          <w:tcPr>
            <w:tcW w:w="1742" w:type="dxa"/>
            <w:noWrap/>
            <w:hideMark/>
          </w:tcPr>
          <w:p w14:paraId="697D0554" w14:textId="77777777" w:rsidR="00837EB7" w:rsidRPr="00221992" w:rsidRDefault="00837EB7" w:rsidP="00682303">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Calibri Light"/>
                <w:color w:val="000000"/>
                <w:sz w:val="20"/>
                <w:szCs w:val="20"/>
                <w:lang w:val="en-GB" w:eastAsia="en-GB"/>
              </w:rPr>
            </w:pPr>
            <w:r w:rsidRPr="00221992">
              <w:rPr>
                <w:rFonts w:eastAsia="Times New Roman" w:cs="Calibri Light"/>
                <w:color w:val="000000"/>
                <w:sz w:val="20"/>
                <w:szCs w:val="20"/>
                <w:lang w:val="en-GB" w:eastAsia="en-GB"/>
              </w:rPr>
              <w:t> </w:t>
            </w:r>
          </w:p>
        </w:tc>
        <w:tc>
          <w:tcPr>
            <w:tcW w:w="1742" w:type="dxa"/>
            <w:noWrap/>
            <w:hideMark/>
          </w:tcPr>
          <w:p w14:paraId="7C426791" w14:textId="77777777" w:rsidR="00837EB7" w:rsidRPr="00221992" w:rsidRDefault="00837EB7" w:rsidP="00682303">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Calibri Light"/>
                <w:color w:val="000000"/>
                <w:sz w:val="20"/>
                <w:szCs w:val="20"/>
                <w:lang w:val="en-GB" w:eastAsia="en-GB"/>
              </w:rPr>
            </w:pPr>
            <w:r w:rsidRPr="00221992">
              <w:rPr>
                <w:rFonts w:eastAsia="Times New Roman" w:cs="Calibri Light"/>
                <w:color w:val="000000"/>
                <w:sz w:val="20"/>
                <w:szCs w:val="20"/>
                <w:lang w:val="en-GB" w:eastAsia="en-GB"/>
              </w:rPr>
              <w:t> </w:t>
            </w:r>
          </w:p>
        </w:tc>
        <w:tc>
          <w:tcPr>
            <w:tcW w:w="1742" w:type="dxa"/>
            <w:noWrap/>
            <w:hideMark/>
          </w:tcPr>
          <w:p w14:paraId="1A8C0FC7" w14:textId="77777777" w:rsidR="00837EB7" w:rsidRPr="00221992" w:rsidRDefault="00837EB7" w:rsidP="00682303">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Calibri Light"/>
                <w:color w:val="000000"/>
                <w:sz w:val="20"/>
                <w:szCs w:val="20"/>
                <w:lang w:val="en-GB" w:eastAsia="en-GB"/>
              </w:rPr>
            </w:pPr>
            <w:r w:rsidRPr="00221992">
              <w:rPr>
                <w:rFonts w:ascii="Wingdings" w:eastAsia="Wingdings" w:hAnsi="Wingdings" w:cs="Wingdings"/>
                <w:color w:val="FFC000"/>
                <w:sz w:val="20"/>
                <w:szCs w:val="20"/>
                <w:lang w:val="en-GB"/>
              </w:rPr>
              <w:t>þ</w:t>
            </w:r>
          </w:p>
        </w:tc>
      </w:tr>
      <w:tr w:rsidR="00837EB7" w:rsidRPr="00221992" w14:paraId="418F738C" w14:textId="77777777" w:rsidTr="00682303">
        <w:trPr>
          <w:trHeight w:val="280"/>
        </w:trPr>
        <w:tc>
          <w:tcPr>
            <w:cnfStyle w:val="001000000000" w:firstRow="0" w:lastRow="0" w:firstColumn="1" w:lastColumn="0" w:oddVBand="0" w:evenVBand="0" w:oddHBand="0" w:evenHBand="0" w:firstRowFirstColumn="0" w:firstRowLastColumn="0" w:lastRowFirstColumn="0" w:lastRowLastColumn="0"/>
            <w:tcW w:w="2247" w:type="dxa"/>
            <w:shd w:val="clear" w:color="auto" w:fill="0070C0"/>
            <w:noWrap/>
            <w:hideMark/>
          </w:tcPr>
          <w:p w14:paraId="3A9061CA" w14:textId="77777777" w:rsidR="00837EB7" w:rsidRPr="00221992" w:rsidRDefault="00837EB7" w:rsidP="00682303">
            <w:pPr>
              <w:spacing w:after="0" w:line="240" w:lineRule="auto"/>
              <w:rPr>
                <w:rFonts w:eastAsia="Times New Roman" w:cs="Calibri Light"/>
                <w:sz w:val="20"/>
                <w:szCs w:val="20"/>
                <w:lang w:val="en-GB" w:eastAsia="en-GB"/>
              </w:rPr>
            </w:pPr>
            <w:r w:rsidRPr="00221992">
              <w:rPr>
                <w:rFonts w:eastAsia="Times New Roman" w:cs="Calibri Light"/>
                <w:sz w:val="20"/>
                <w:szCs w:val="20"/>
                <w:lang w:val="en-GB" w:eastAsia="en-GB"/>
              </w:rPr>
              <w:t>France</w:t>
            </w:r>
            <w:r w:rsidRPr="00221992">
              <w:rPr>
                <w:rFonts w:eastAsia="Times New Roman" w:cs="Calibri Light"/>
                <w:sz w:val="20"/>
                <w:szCs w:val="20"/>
                <w:vertAlign w:val="superscript"/>
                <w:lang w:val="en-GB" w:eastAsia="en-GB"/>
              </w:rPr>
              <w:t>4</w:t>
            </w:r>
          </w:p>
        </w:tc>
        <w:tc>
          <w:tcPr>
            <w:tcW w:w="1741" w:type="dxa"/>
            <w:noWrap/>
            <w:hideMark/>
          </w:tcPr>
          <w:p w14:paraId="5004552E" w14:textId="77777777" w:rsidR="00837EB7" w:rsidRPr="00221992" w:rsidRDefault="00837EB7" w:rsidP="00682303">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Light"/>
                <w:color w:val="000000"/>
                <w:sz w:val="20"/>
                <w:szCs w:val="20"/>
                <w:lang w:val="en-GB" w:eastAsia="en-GB"/>
              </w:rPr>
            </w:pPr>
            <w:r w:rsidRPr="00221992">
              <w:rPr>
                <w:rFonts w:ascii="Wingdings" w:eastAsia="Wingdings" w:hAnsi="Wingdings" w:cs="Wingdings"/>
                <w:color w:val="FFC000"/>
                <w:sz w:val="20"/>
                <w:szCs w:val="20"/>
                <w:lang w:val="en-GB"/>
              </w:rPr>
              <w:t>þ</w:t>
            </w:r>
          </w:p>
        </w:tc>
        <w:tc>
          <w:tcPr>
            <w:tcW w:w="1742" w:type="dxa"/>
            <w:noWrap/>
            <w:hideMark/>
          </w:tcPr>
          <w:p w14:paraId="51449489" w14:textId="77777777" w:rsidR="00837EB7" w:rsidRPr="00221992" w:rsidRDefault="00837EB7" w:rsidP="00682303">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Light"/>
                <w:color w:val="000000"/>
                <w:sz w:val="20"/>
                <w:szCs w:val="20"/>
                <w:lang w:val="en-GB" w:eastAsia="en-GB"/>
              </w:rPr>
            </w:pPr>
          </w:p>
        </w:tc>
        <w:tc>
          <w:tcPr>
            <w:tcW w:w="1742" w:type="dxa"/>
            <w:noWrap/>
            <w:hideMark/>
          </w:tcPr>
          <w:p w14:paraId="4F0328E8" w14:textId="77777777" w:rsidR="00837EB7" w:rsidRPr="00221992" w:rsidRDefault="00837EB7" w:rsidP="00682303">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GB" w:eastAsia="en-GB"/>
              </w:rPr>
            </w:pPr>
          </w:p>
        </w:tc>
        <w:tc>
          <w:tcPr>
            <w:tcW w:w="1742" w:type="dxa"/>
            <w:noWrap/>
            <w:hideMark/>
          </w:tcPr>
          <w:p w14:paraId="47451DA7" w14:textId="77777777" w:rsidR="00837EB7" w:rsidRPr="00221992" w:rsidRDefault="00837EB7" w:rsidP="00682303">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Light"/>
                <w:color w:val="000000"/>
                <w:sz w:val="20"/>
                <w:szCs w:val="20"/>
                <w:lang w:val="en-GB" w:eastAsia="en-GB"/>
              </w:rPr>
            </w:pPr>
            <w:r w:rsidRPr="00221992">
              <w:rPr>
                <w:rFonts w:ascii="Wingdings" w:eastAsia="Wingdings" w:hAnsi="Wingdings" w:cs="Wingdings"/>
                <w:color w:val="FFC000"/>
                <w:sz w:val="20"/>
                <w:szCs w:val="20"/>
                <w:lang w:val="en-GB"/>
              </w:rPr>
              <w:t>þ</w:t>
            </w:r>
          </w:p>
        </w:tc>
      </w:tr>
      <w:tr w:rsidR="00837EB7" w:rsidRPr="00221992" w14:paraId="6DF76A95" w14:textId="77777777" w:rsidTr="00682303">
        <w:trPr>
          <w:cnfStyle w:val="000000010000" w:firstRow="0" w:lastRow="0" w:firstColumn="0" w:lastColumn="0" w:oddVBand="0" w:evenVBand="0" w:oddHBand="0" w:evenHBand="1" w:firstRowFirstColumn="0" w:firstRowLastColumn="0" w:lastRowFirstColumn="0" w:lastRowLastColumn="0"/>
          <w:trHeight w:val="280"/>
        </w:trPr>
        <w:tc>
          <w:tcPr>
            <w:cnfStyle w:val="001000000000" w:firstRow="0" w:lastRow="0" w:firstColumn="1" w:lastColumn="0" w:oddVBand="0" w:evenVBand="0" w:oddHBand="0" w:evenHBand="0" w:firstRowFirstColumn="0" w:firstRowLastColumn="0" w:lastRowFirstColumn="0" w:lastRowLastColumn="0"/>
            <w:tcW w:w="2247" w:type="dxa"/>
            <w:shd w:val="clear" w:color="auto" w:fill="0070C0"/>
            <w:noWrap/>
            <w:hideMark/>
          </w:tcPr>
          <w:p w14:paraId="3750A092" w14:textId="77777777" w:rsidR="00837EB7" w:rsidRPr="00221992" w:rsidRDefault="00837EB7" w:rsidP="00682303">
            <w:pPr>
              <w:spacing w:after="0" w:line="240" w:lineRule="auto"/>
              <w:rPr>
                <w:rFonts w:eastAsia="Times New Roman" w:cs="Calibri Light"/>
                <w:sz w:val="20"/>
                <w:szCs w:val="20"/>
                <w:lang w:val="en-GB" w:eastAsia="en-GB"/>
              </w:rPr>
            </w:pPr>
            <w:r w:rsidRPr="00221992">
              <w:rPr>
                <w:rFonts w:eastAsia="Times New Roman" w:cs="Calibri Light"/>
                <w:sz w:val="20"/>
                <w:szCs w:val="20"/>
                <w:lang w:val="en-GB" w:eastAsia="en-GB"/>
              </w:rPr>
              <w:t>Germany</w:t>
            </w:r>
            <w:r w:rsidRPr="00221992">
              <w:rPr>
                <w:rFonts w:eastAsia="Times New Roman" w:cs="Calibri Light"/>
                <w:sz w:val="20"/>
                <w:szCs w:val="20"/>
                <w:vertAlign w:val="superscript"/>
                <w:lang w:val="en-GB" w:eastAsia="en-GB"/>
              </w:rPr>
              <w:t>5</w:t>
            </w:r>
          </w:p>
        </w:tc>
        <w:tc>
          <w:tcPr>
            <w:tcW w:w="1741" w:type="dxa"/>
            <w:noWrap/>
            <w:hideMark/>
          </w:tcPr>
          <w:p w14:paraId="2B2CCB4B" w14:textId="77777777" w:rsidR="00837EB7" w:rsidRPr="00221992" w:rsidRDefault="00837EB7" w:rsidP="00682303">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Calibri Light"/>
                <w:color w:val="000000"/>
                <w:sz w:val="20"/>
                <w:szCs w:val="20"/>
                <w:lang w:val="en-GB" w:eastAsia="en-GB"/>
              </w:rPr>
            </w:pPr>
            <w:r w:rsidRPr="00221992">
              <w:rPr>
                <w:rFonts w:eastAsia="Times New Roman" w:cs="Calibri Light"/>
                <w:color w:val="000000"/>
                <w:sz w:val="20"/>
                <w:szCs w:val="20"/>
                <w:lang w:val="en-GB" w:eastAsia="en-GB"/>
              </w:rPr>
              <w:t> </w:t>
            </w:r>
          </w:p>
        </w:tc>
        <w:tc>
          <w:tcPr>
            <w:tcW w:w="1742" w:type="dxa"/>
            <w:noWrap/>
            <w:hideMark/>
          </w:tcPr>
          <w:p w14:paraId="707FD64F" w14:textId="77777777" w:rsidR="00837EB7" w:rsidRPr="00221992" w:rsidRDefault="00837EB7" w:rsidP="00682303">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Calibri Light"/>
                <w:color w:val="000000"/>
                <w:sz w:val="20"/>
                <w:szCs w:val="20"/>
                <w:lang w:val="en-GB" w:eastAsia="en-GB"/>
              </w:rPr>
            </w:pPr>
            <w:r w:rsidRPr="00221992">
              <w:rPr>
                <w:rFonts w:eastAsia="Times New Roman" w:cs="Calibri Light"/>
                <w:color w:val="000000"/>
                <w:sz w:val="20"/>
                <w:szCs w:val="20"/>
                <w:lang w:val="en-GB" w:eastAsia="en-GB"/>
              </w:rPr>
              <w:t> </w:t>
            </w:r>
          </w:p>
        </w:tc>
        <w:tc>
          <w:tcPr>
            <w:tcW w:w="1742" w:type="dxa"/>
            <w:noWrap/>
            <w:hideMark/>
          </w:tcPr>
          <w:p w14:paraId="734D7B46" w14:textId="77777777" w:rsidR="00837EB7" w:rsidRPr="00221992" w:rsidRDefault="00837EB7" w:rsidP="00682303">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Calibri Light"/>
                <w:color w:val="000000"/>
                <w:sz w:val="20"/>
                <w:szCs w:val="20"/>
                <w:lang w:val="en-GB" w:eastAsia="en-GB"/>
              </w:rPr>
            </w:pPr>
            <w:r w:rsidRPr="00221992">
              <w:rPr>
                <w:rFonts w:eastAsia="Times New Roman" w:cs="Calibri Light"/>
                <w:color w:val="000000"/>
                <w:sz w:val="20"/>
                <w:szCs w:val="20"/>
                <w:lang w:val="en-GB" w:eastAsia="en-GB"/>
              </w:rPr>
              <w:t> </w:t>
            </w:r>
          </w:p>
        </w:tc>
        <w:tc>
          <w:tcPr>
            <w:tcW w:w="1742" w:type="dxa"/>
            <w:noWrap/>
            <w:hideMark/>
          </w:tcPr>
          <w:p w14:paraId="7E7F1FE4" w14:textId="77777777" w:rsidR="00837EB7" w:rsidRPr="00221992" w:rsidRDefault="00837EB7" w:rsidP="00682303">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Calibri Light"/>
                <w:color w:val="000000"/>
                <w:sz w:val="20"/>
                <w:szCs w:val="20"/>
                <w:lang w:val="en-GB" w:eastAsia="en-GB"/>
              </w:rPr>
            </w:pPr>
            <w:r w:rsidRPr="00221992">
              <w:rPr>
                <w:rFonts w:eastAsia="Times New Roman" w:cs="Calibri Light"/>
                <w:color w:val="000000"/>
                <w:sz w:val="20"/>
                <w:szCs w:val="20"/>
                <w:lang w:val="en-GB" w:eastAsia="en-GB"/>
              </w:rPr>
              <w:t> </w:t>
            </w:r>
          </w:p>
        </w:tc>
      </w:tr>
      <w:tr w:rsidR="00837EB7" w:rsidRPr="00221992" w14:paraId="2DD7DA33" w14:textId="77777777" w:rsidTr="00682303">
        <w:trPr>
          <w:trHeight w:val="280"/>
        </w:trPr>
        <w:tc>
          <w:tcPr>
            <w:cnfStyle w:val="001000000000" w:firstRow="0" w:lastRow="0" w:firstColumn="1" w:lastColumn="0" w:oddVBand="0" w:evenVBand="0" w:oddHBand="0" w:evenHBand="0" w:firstRowFirstColumn="0" w:firstRowLastColumn="0" w:lastRowFirstColumn="0" w:lastRowLastColumn="0"/>
            <w:tcW w:w="2247" w:type="dxa"/>
            <w:shd w:val="clear" w:color="auto" w:fill="0070C0"/>
            <w:noWrap/>
            <w:hideMark/>
          </w:tcPr>
          <w:p w14:paraId="47C0C09A" w14:textId="77777777" w:rsidR="00837EB7" w:rsidRPr="00221992" w:rsidRDefault="00837EB7" w:rsidP="00682303">
            <w:pPr>
              <w:spacing w:after="0" w:line="240" w:lineRule="auto"/>
              <w:rPr>
                <w:rFonts w:eastAsia="Times New Roman" w:cs="Calibri Light"/>
                <w:sz w:val="20"/>
                <w:szCs w:val="20"/>
                <w:lang w:val="en-GB" w:eastAsia="en-GB"/>
              </w:rPr>
            </w:pPr>
            <w:r w:rsidRPr="00221992">
              <w:rPr>
                <w:rFonts w:eastAsia="Times New Roman" w:cs="Calibri Light"/>
                <w:sz w:val="20"/>
                <w:szCs w:val="20"/>
                <w:lang w:val="en-GB" w:eastAsia="en-GB"/>
              </w:rPr>
              <w:t xml:space="preserve">Italy </w:t>
            </w:r>
            <w:r w:rsidRPr="00221992">
              <w:rPr>
                <w:rFonts w:eastAsia="Times New Roman" w:cs="Calibri Light"/>
                <w:sz w:val="20"/>
                <w:szCs w:val="20"/>
                <w:vertAlign w:val="superscript"/>
                <w:lang w:val="en-GB" w:eastAsia="en-GB"/>
              </w:rPr>
              <w:t>6</w:t>
            </w:r>
          </w:p>
        </w:tc>
        <w:tc>
          <w:tcPr>
            <w:tcW w:w="1741" w:type="dxa"/>
            <w:noWrap/>
            <w:hideMark/>
          </w:tcPr>
          <w:p w14:paraId="48A9B221" w14:textId="77777777" w:rsidR="00837EB7" w:rsidRPr="00221992" w:rsidRDefault="00837EB7" w:rsidP="00682303">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Light"/>
                <w:color w:val="000000"/>
                <w:sz w:val="20"/>
                <w:szCs w:val="20"/>
                <w:lang w:val="en-GB" w:eastAsia="en-GB"/>
              </w:rPr>
            </w:pPr>
            <w:r w:rsidRPr="00221992">
              <w:rPr>
                <w:rFonts w:ascii="Wingdings" w:eastAsia="Wingdings" w:hAnsi="Wingdings" w:cs="Wingdings"/>
                <w:color w:val="FFC000"/>
                <w:sz w:val="20"/>
                <w:szCs w:val="20"/>
                <w:lang w:val="en-GB"/>
              </w:rPr>
              <w:t>þ</w:t>
            </w:r>
          </w:p>
        </w:tc>
        <w:tc>
          <w:tcPr>
            <w:tcW w:w="1742" w:type="dxa"/>
            <w:noWrap/>
            <w:hideMark/>
          </w:tcPr>
          <w:p w14:paraId="31238231" w14:textId="77777777" w:rsidR="00837EB7" w:rsidRPr="00221992" w:rsidRDefault="00837EB7" w:rsidP="00682303">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Light"/>
                <w:color w:val="FF0000"/>
                <w:sz w:val="20"/>
                <w:szCs w:val="20"/>
                <w:lang w:val="en-GB" w:eastAsia="en-GB"/>
              </w:rPr>
            </w:pPr>
            <w:r w:rsidRPr="00221992">
              <w:rPr>
                <w:rFonts w:ascii="Wingdings" w:eastAsia="Wingdings" w:hAnsi="Wingdings" w:cs="Wingdings"/>
                <w:color w:val="7F7F7F" w:themeColor="text1" w:themeTint="80"/>
                <w:sz w:val="20"/>
                <w:szCs w:val="20"/>
                <w:lang w:val="en-GB"/>
              </w:rPr>
              <w:t>þ</w:t>
            </w:r>
          </w:p>
        </w:tc>
        <w:tc>
          <w:tcPr>
            <w:tcW w:w="1742" w:type="dxa"/>
            <w:noWrap/>
            <w:hideMark/>
          </w:tcPr>
          <w:p w14:paraId="3A466259" w14:textId="77777777" w:rsidR="00837EB7" w:rsidRPr="00221992" w:rsidRDefault="00837EB7" w:rsidP="00682303">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Light"/>
                <w:color w:val="000000"/>
                <w:sz w:val="20"/>
                <w:szCs w:val="20"/>
                <w:lang w:val="en-GB" w:eastAsia="en-GB"/>
              </w:rPr>
            </w:pPr>
            <w:r w:rsidRPr="00221992">
              <w:rPr>
                <w:rFonts w:ascii="Wingdings" w:eastAsia="Wingdings" w:hAnsi="Wingdings" w:cs="Wingdings"/>
                <w:color w:val="FFC000"/>
                <w:sz w:val="20"/>
                <w:szCs w:val="20"/>
                <w:lang w:val="en-GB"/>
              </w:rPr>
              <w:t>þ</w:t>
            </w:r>
          </w:p>
        </w:tc>
        <w:tc>
          <w:tcPr>
            <w:tcW w:w="1742" w:type="dxa"/>
            <w:noWrap/>
            <w:hideMark/>
          </w:tcPr>
          <w:p w14:paraId="3937D44A" w14:textId="77777777" w:rsidR="00837EB7" w:rsidRPr="00221992" w:rsidRDefault="00837EB7" w:rsidP="00682303">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Light"/>
                <w:color w:val="000000"/>
                <w:sz w:val="20"/>
                <w:szCs w:val="20"/>
                <w:lang w:val="en-GB" w:eastAsia="en-GB"/>
              </w:rPr>
            </w:pPr>
            <w:r w:rsidRPr="00221992">
              <w:rPr>
                <w:rFonts w:ascii="Wingdings" w:eastAsia="Wingdings" w:hAnsi="Wingdings" w:cs="Wingdings"/>
                <w:color w:val="FFC000"/>
                <w:sz w:val="20"/>
                <w:szCs w:val="20"/>
                <w:lang w:val="en-GB"/>
              </w:rPr>
              <w:t>þ</w:t>
            </w:r>
          </w:p>
        </w:tc>
      </w:tr>
      <w:tr w:rsidR="00837EB7" w:rsidRPr="00221992" w14:paraId="7A2B87A2" w14:textId="77777777" w:rsidTr="00682303">
        <w:trPr>
          <w:cnfStyle w:val="000000010000" w:firstRow="0" w:lastRow="0" w:firstColumn="0" w:lastColumn="0" w:oddVBand="0" w:evenVBand="0" w:oddHBand="0" w:evenHBand="1" w:firstRowFirstColumn="0" w:firstRowLastColumn="0" w:lastRowFirstColumn="0" w:lastRowLastColumn="0"/>
          <w:trHeight w:val="280"/>
        </w:trPr>
        <w:tc>
          <w:tcPr>
            <w:cnfStyle w:val="001000000000" w:firstRow="0" w:lastRow="0" w:firstColumn="1" w:lastColumn="0" w:oddVBand="0" w:evenVBand="0" w:oddHBand="0" w:evenHBand="0" w:firstRowFirstColumn="0" w:firstRowLastColumn="0" w:lastRowFirstColumn="0" w:lastRowLastColumn="0"/>
            <w:tcW w:w="2247" w:type="dxa"/>
            <w:shd w:val="clear" w:color="auto" w:fill="0070C0"/>
            <w:noWrap/>
            <w:hideMark/>
          </w:tcPr>
          <w:p w14:paraId="4CDA9CA9" w14:textId="77777777" w:rsidR="00837EB7" w:rsidRPr="00221992" w:rsidRDefault="00837EB7" w:rsidP="00682303">
            <w:pPr>
              <w:spacing w:after="0" w:line="240" w:lineRule="auto"/>
              <w:rPr>
                <w:rFonts w:eastAsia="Times New Roman" w:cs="Calibri Light"/>
                <w:sz w:val="20"/>
                <w:szCs w:val="20"/>
                <w:lang w:val="en-GB" w:eastAsia="en-GB"/>
              </w:rPr>
            </w:pPr>
            <w:r w:rsidRPr="00221992">
              <w:rPr>
                <w:rFonts w:eastAsia="Times New Roman" w:cs="Calibri Light"/>
                <w:sz w:val="20"/>
                <w:szCs w:val="20"/>
                <w:lang w:val="en-GB" w:eastAsia="en-GB"/>
              </w:rPr>
              <w:t>Japan</w:t>
            </w:r>
            <w:r w:rsidRPr="00221992">
              <w:rPr>
                <w:rFonts w:eastAsia="Times New Roman" w:cs="Calibri Light"/>
                <w:sz w:val="20"/>
                <w:szCs w:val="20"/>
                <w:vertAlign w:val="superscript"/>
                <w:lang w:val="en-GB" w:eastAsia="en-GB"/>
              </w:rPr>
              <w:t>7</w:t>
            </w:r>
          </w:p>
        </w:tc>
        <w:tc>
          <w:tcPr>
            <w:tcW w:w="1741" w:type="dxa"/>
            <w:noWrap/>
            <w:hideMark/>
          </w:tcPr>
          <w:p w14:paraId="79B8D9D4" w14:textId="77777777" w:rsidR="00837EB7" w:rsidRPr="00221992" w:rsidRDefault="00837EB7" w:rsidP="00682303">
            <w:pPr>
              <w:spacing w:after="0" w:line="240" w:lineRule="auto"/>
              <w:cnfStyle w:val="000000010000" w:firstRow="0" w:lastRow="0" w:firstColumn="0" w:lastColumn="0" w:oddVBand="0" w:evenVBand="0" w:oddHBand="0" w:evenHBand="1" w:firstRowFirstColumn="0" w:firstRowLastColumn="0" w:lastRowFirstColumn="0" w:lastRowLastColumn="0"/>
              <w:rPr>
                <w:rFonts w:eastAsia="Times New Roman" w:cs="Calibri Light"/>
                <w:color w:val="000000"/>
                <w:sz w:val="20"/>
                <w:szCs w:val="20"/>
                <w:lang w:val="en-GB" w:eastAsia="en-GB"/>
              </w:rPr>
            </w:pPr>
          </w:p>
        </w:tc>
        <w:tc>
          <w:tcPr>
            <w:tcW w:w="1742" w:type="dxa"/>
            <w:noWrap/>
            <w:hideMark/>
          </w:tcPr>
          <w:p w14:paraId="4389A36F" w14:textId="77777777" w:rsidR="00837EB7" w:rsidRPr="00221992" w:rsidRDefault="00837EB7" w:rsidP="00682303">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0"/>
                <w:szCs w:val="20"/>
                <w:lang w:val="en-GB" w:eastAsia="en-GB"/>
              </w:rPr>
            </w:pPr>
          </w:p>
        </w:tc>
        <w:tc>
          <w:tcPr>
            <w:tcW w:w="1742" w:type="dxa"/>
            <w:noWrap/>
            <w:hideMark/>
          </w:tcPr>
          <w:p w14:paraId="124FB81D" w14:textId="77777777" w:rsidR="00837EB7" w:rsidRPr="00221992" w:rsidRDefault="00837EB7" w:rsidP="00682303">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0"/>
                <w:szCs w:val="20"/>
                <w:lang w:val="en-GB" w:eastAsia="en-GB"/>
              </w:rPr>
            </w:pPr>
          </w:p>
        </w:tc>
        <w:tc>
          <w:tcPr>
            <w:tcW w:w="1742" w:type="dxa"/>
            <w:noWrap/>
            <w:hideMark/>
          </w:tcPr>
          <w:p w14:paraId="1756DB66" w14:textId="77777777" w:rsidR="00837EB7" w:rsidRPr="00221992" w:rsidRDefault="00837EB7" w:rsidP="00682303">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0"/>
                <w:szCs w:val="20"/>
                <w:lang w:val="en-GB" w:eastAsia="en-GB"/>
              </w:rPr>
            </w:pPr>
          </w:p>
        </w:tc>
      </w:tr>
      <w:tr w:rsidR="00837EB7" w:rsidRPr="00221992" w14:paraId="5C2F70C5" w14:textId="77777777" w:rsidTr="00682303">
        <w:trPr>
          <w:trHeight w:val="280"/>
        </w:trPr>
        <w:tc>
          <w:tcPr>
            <w:cnfStyle w:val="001000000000" w:firstRow="0" w:lastRow="0" w:firstColumn="1" w:lastColumn="0" w:oddVBand="0" w:evenVBand="0" w:oddHBand="0" w:evenHBand="0" w:firstRowFirstColumn="0" w:firstRowLastColumn="0" w:lastRowFirstColumn="0" w:lastRowLastColumn="0"/>
            <w:tcW w:w="2247" w:type="dxa"/>
            <w:shd w:val="clear" w:color="auto" w:fill="0070C0"/>
            <w:noWrap/>
            <w:hideMark/>
          </w:tcPr>
          <w:p w14:paraId="72FF38CD" w14:textId="77777777" w:rsidR="00837EB7" w:rsidRPr="00221992" w:rsidRDefault="00837EB7" w:rsidP="00682303">
            <w:pPr>
              <w:spacing w:after="0" w:line="240" w:lineRule="auto"/>
              <w:rPr>
                <w:rFonts w:eastAsia="Times New Roman" w:cs="Calibri Light"/>
                <w:sz w:val="20"/>
                <w:szCs w:val="20"/>
                <w:lang w:val="en-GB" w:eastAsia="en-GB"/>
              </w:rPr>
            </w:pPr>
            <w:r w:rsidRPr="00221992">
              <w:rPr>
                <w:rFonts w:eastAsia="Times New Roman" w:cs="Calibri Light"/>
                <w:sz w:val="20"/>
                <w:szCs w:val="20"/>
                <w:lang w:val="en-GB" w:eastAsia="en-GB"/>
              </w:rPr>
              <w:t>Korea</w:t>
            </w:r>
            <w:r w:rsidRPr="00221992">
              <w:rPr>
                <w:rFonts w:eastAsia="Times New Roman" w:cs="Calibri Light"/>
                <w:sz w:val="20"/>
                <w:szCs w:val="20"/>
                <w:vertAlign w:val="superscript"/>
                <w:lang w:val="en-GB" w:eastAsia="en-GB"/>
              </w:rPr>
              <w:t>8</w:t>
            </w:r>
          </w:p>
        </w:tc>
        <w:tc>
          <w:tcPr>
            <w:tcW w:w="1741" w:type="dxa"/>
            <w:noWrap/>
            <w:hideMark/>
          </w:tcPr>
          <w:p w14:paraId="44330057" w14:textId="77777777" w:rsidR="00837EB7" w:rsidRPr="00221992" w:rsidRDefault="00837EB7" w:rsidP="00682303">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Light"/>
                <w:color w:val="FF0000"/>
                <w:sz w:val="20"/>
                <w:szCs w:val="20"/>
                <w:lang w:val="en-GB" w:eastAsia="en-GB"/>
              </w:rPr>
            </w:pPr>
            <w:r w:rsidRPr="00221992">
              <w:rPr>
                <w:rFonts w:ascii="Wingdings" w:eastAsia="Wingdings" w:hAnsi="Wingdings" w:cs="Wingdings"/>
                <w:color w:val="7F7F7F" w:themeColor="text1" w:themeTint="80"/>
                <w:sz w:val="20"/>
                <w:szCs w:val="20"/>
                <w:lang w:val="en-GB"/>
              </w:rPr>
              <w:t>þ</w:t>
            </w:r>
          </w:p>
        </w:tc>
        <w:tc>
          <w:tcPr>
            <w:tcW w:w="1742" w:type="dxa"/>
            <w:noWrap/>
            <w:hideMark/>
          </w:tcPr>
          <w:p w14:paraId="73A0EAC9" w14:textId="77777777" w:rsidR="00837EB7" w:rsidRPr="00221992" w:rsidRDefault="00837EB7" w:rsidP="00682303">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Light"/>
                <w:color w:val="FF0000"/>
                <w:sz w:val="20"/>
                <w:szCs w:val="20"/>
                <w:lang w:val="en-GB" w:eastAsia="en-GB"/>
              </w:rPr>
            </w:pPr>
            <w:r w:rsidRPr="00221992">
              <w:rPr>
                <w:rFonts w:ascii="Wingdings" w:eastAsia="Wingdings" w:hAnsi="Wingdings" w:cs="Wingdings"/>
                <w:color w:val="7F7F7F" w:themeColor="text1" w:themeTint="80"/>
                <w:sz w:val="20"/>
                <w:szCs w:val="20"/>
                <w:lang w:val="en-GB"/>
              </w:rPr>
              <w:t>þ</w:t>
            </w:r>
          </w:p>
        </w:tc>
        <w:tc>
          <w:tcPr>
            <w:tcW w:w="1742" w:type="dxa"/>
            <w:noWrap/>
            <w:hideMark/>
          </w:tcPr>
          <w:p w14:paraId="7F5C1169" w14:textId="77777777" w:rsidR="00837EB7" w:rsidRPr="00221992" w:rsidRDefault="00837EB7" w:rsidP="00682303">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Light"/>
                <w:color w:val="FF0000"/>
                <w:sz w:val="20"/>
                <w:szCs w:val="20"/>
                <w:lang w:val="en-GB" w:eastAsia="en-GB"/>
              </w:rPr>
            </w:pPr>
            <w:r w:rsidRPr="00221992">
              <w:rPr>
                <w:rFonts w:ascii="Wingdings" w:eastAsia="Wingdings" w:hAnsi="Wingdings" w:cs="Wingdings"/>
                <w:color w:val="7F7F7F" w:themeColor="text1" w:themeTint="80"/>
                <w:sz w:val="20"/>
                <w:szCs w:val="20"/>
                <w:lang w:val="en-GB"/>
              </w:rPr>
              <w:t>þ</w:t>
            </w:r>
          </w:p>
        </w:tc>
        <w:tc>
          <w:tcPr>
            <w:tcW w:w="1742" w:type="dxa"/>
            <w:noWrap/>
            <w:hideMark/>
          </w:tcPr>
          <w:p w14:paraId="0A14D4AC" w14:textId="77777777" w:rsidR="00837EB7" w:rsidRPr="00221992" w:rsidRDefault="00837EB7" w:rsidP="00682303">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Light"/>
                <w:color w:val="000000"/>
                <w:sz w:val="20"/>
                <w:szCs w:val="20"/>
                <w:lang w:val="en-GB" w:eastAsia="en-GB"/>
              </w:rPr>
            </w:pPr>
            <w:r w:rsidRPr="00221992">
              <w:rPr>
                <w:rFonts w:eastAsia="Times New Roman" w:cs="Calibri Light"/>
                <w:color w:val="000000"/>
                <w:sz w:val="20"/>
                <w:szCs w:val="20"/>
                <w:lang w:val="en-GB" w:eastAsia="en-GB"/>
              </w:rPr>
              <w:t> </w:t>
            </w:r>
          </w:p>
        </w:tc>
      </w:tr>
      <w:tr w:rsidR="00837EB7" w:rsidRPr="00221992" w14:paraId="52CDBDB8" w14:textId="77777777" w:rsidTr="00682303">
        <w:trPr>
          <w:cnfStyle w:val="000000010000" w:firstRow="0" w:lastRow="0" w:firstColumn="0" w:lastColumn="0" w:oddVBand="0" w:evenVBand="0" w:oddHBand="0" w:evenHBand="1" w:firstRowFirstColumn="0" w:firstRowLastColumn="0" w:lastRowFirstColumn="0" w:lastRowLastColumn="0"/>
          <w:trHeight w:val="280"/>
        </w:trPr>
        <w:tc>
          <w:tcPr>
            <w:cnfStyle w:val="001000000000" w:firstRow="0" w:lastRow="0" w:firstColumn="1" w:lastColumn="0" w:oddVBand="0" w:evenVBand="0" w:oddHBand="0" w:evenHBand="0" w:firstRowFirstColumn="0" w:firstRowLastColumn="0" w:lastRowFirstColumn="0" w:lastRowLastColumn="0"/>
            <w:tcW w:w="2247" w:type="dxa"/>
            <w:shd w:val="clear" w:color="auto" w:fill="0070C0"/>
            <w:noWrap/>
            <w:hideMark/>
          </w:tcPr>
          <w:p w14:paraId="23062ECD" w14:textId="77777777" w:rsidR="00837EB7" w:rsidRPr="00221992" w:rsidRDefault="00837EB7" w:rsidP="00682303">
            <w:pPr>
              <w:spacing w:after="0" w:line="240" w:lineRule="auto"/>
              <w:rPr>
                <w:rFonts w:eastAsia="Times New Roman" w:cs="Calibri Light"/>
                <w:sz w:val="20"/>
                <w:szCs w:val="20"/>
                <w:lang w:val="en-GB" w:eastAsia="en-GB"/>
              </w:rPr>
            </w:pPr>
            <w:r w:rsidRPr="00221992">
              <w:rPr>
                <w:rFonts w:eastAsia="Times New Roman" w:cs="Calibri Light"/>
                <w:sz w:val="20"/>
                <w:szCs w:val="20"/>
                <w:lang w:val="en-GB" w:eastAsia="en-GB"/>
              </w:rPr>
              <w:t>Luxembourg</w:t>
            </w:r>
            <w:r w:rsidRPr="00221992">
              <w:rPr>
                <w:rFonts w:eastAsia="Times New Roman" w:cs="Calibri Light"/>
                <w:sz w:val="20"/>
                <w:szCs w:val="20"/>
                <w:vertAlign w:val="superscript"/>
                <w:lang w:val="en-GB" w:eastAsia="en-GB"/>
              </w:rPr>
              <w:t>9</w:t>
            </w:r>
          </w:p>
        </w:tc>
        <w:tc>
          <w:tcPr>
            <w:tcW w:w="6967" w:type="dxa"/>
            <w:gridSpan w:val="4"/>
            <w:noWrap/>
            <w:hideMark/>
          </w:tcPr>
          <w:p w14:paraId="3F3E4444" w14:textId="77777777" w:rsidR="00837EB7" w:rsidRPr="00221992" w:rsidRDefault="00837EB7" w:rsidP="00682303">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Calibri Light"/>
                <w:color w:val="000000"/>
                <w:sz w:val="20"/>
                <w:szCs w:val="20"/>
                <w:lang w:val="en-GB" w:eastAsia="en-GB"/>
              </w:rPr>
            </w:pPr>
            <w:r w:rsidRPr="00221992">
              <w:rPr>
                <w:rFonts w:eastAsia="Times New Roman" w:cs="Calibri Light"/>
                <w:color w:val="000000"/>
                <w:sz w:val="20"/>
                <w:szCs w:val="20"/>
                <w:lang w:val="en-GB" w:eastAsia="en-GB"/>
              </w:rPr>
              <w:t>NI</w:t>
            </w:r>
          </w:p>
        </w:tc>
      </w:tr>
      <w:tr w:rsidR="00837EB7" w:rsidRPr="00221992" w14:paraId="650E521E" w14:textId="77777777" w:rsidTr="00682303">
        <w:trPr>
          <w:trHeight w:val="280"/>
        </w:trPr>
        <w:tc>
          <w:tcPr>
            <w:cnfStyle w:val="001000000000" w:firstRow="0" w:lastRow="0" w:firstColumn="1" w:lastColumn="0" w:oddVBand="0" w:evenVBand="0" w:oddHBand="0" w:evenHBand="0" w:firstRowFirstColumn="0" w:firstRowLastColumn="0" w:lastRowFirstColumn="0" w:lastRowLastColumn="0"/>
            <w:tcW w:w="2247" w:type="dxa"/>
            <w:shd w:val="clear" w:color="auto" w:fill="0070C0"/>
            <w:noWrap/>
            <w:hideMark/>
          </w:tcPr>
          <w:p w14:paraId="39F40D97" w14:textId="77777777" w:rsidR="00837EB7" w:rsidRPr="00221992" w:rsidRDefault="00837EB7" w:rsidP="00682303">
            <w:pPr>
              <w:spacing w:after="0" w:line="240" w:lineRule="auto"/>
              <w:rPr>
                <w:rFonts w:eastAsia="Times New Roman" w:cs="Calibri Light"/>
                <w:sz w:val="20"/>
                <w:szCs w:val="20"/>
                <w:lang w:val="en-GB" w:eastAsia="en-GB"/>
              </w:rPr>
            </w:pPr>
            <w:r w:rsidRPr="00221992">
              <w:rPr>
                <w:rFonts w:eastAsia="Times New Roman" w:cs="Calibri Light"/>
                <w:sz w:val="20"/>
                <w:szCs w:val="20"/>
                <w:lang w:val="en-GB" w:eastAsia="en-GB"/>
              </w:rPr>
              <w:t>The Netherlands</w:t>
            </w:r>
            <w:r w:rsidRPr="00221992">
              <w:rPr>
                <w:rFonts w:eastAsia="Times New Roman" w:cs="Calibri Light"/>
                <w:sz w:val="20"/>
                <w:szCs w:val="20"/>
                <w:vertAlign w:val="superscript"/>
                <w:lang w:val="en-GB" w:eastAsia="en-GB"/>
              </w:rPr>
              <w:t>10</w:t>
            </w:r>
          </w:p>
        </w:tc>
        <w:tc>
          <w:tcPr>
            <w:tcW w:w="1741" w:type="dxa"/>
            <w:noWrap/>
            <w:hideMark/>
          </w:tcPr>
          <w:p w14:paraId="62BA3A36" w14:textId="77777777" w:rsidR="00837EB7" w:rsidRPr="00221992" w:rsidRDefault="00837EB7" w:rsidP="00682303">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Light"/>
                <w:color w:val="FF0000"/>
                <w:sz w:val="20"/>
                <w:szCs w:val="20"/>
                <w:lang w:val="en-GB" w:eastAsia="en-GB"/>
              </w:rPr>
            </w:pPr>
            <w:r w:rsidRPr="00221992">
              <w:rPr>
                <w:rFonts w:ascii="Wingdings" w:eastAsia="Wingdings" w:hAnsi="Wingdings" w:cs="Wingdings"/>
                <w:color w:val="7F7F7F" w:themeColor="text1" w:themeTint="80"/>
                <w:sz w:val="20"/>
                <w:szCs w:val="20"/>
                <w:lang w:val="en-GB"/>
              </w:rPr>
              <w:t>þ</w:t>
            </w:r>
          </w:p>
        </w:tc>
        <w:tc>
          <w:tcPr>
            <w:tcW w:w="1742" w:type="dxa"/>
            <w:noWrap/>
            <w:hideMark/>
          </w:tcPr>
          <w:p w14:paraId="1D581A16" w14:textId="77777777" w:rsidR="00837EB7" w:rsidRPr="00221992" w:rsidRDefault="00837EB7" w:rsidP="00682303">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Light"/>
                <w:color w:val="000000"/>
                <w:sz w:val="20"/>
                <w:szCs w:val="20"/>
                <w:lang w:val="en-GB" w:eastAsia="en-GB"/>
              </w:rPr>
            </w:pPr>
            <w:r w:rsidRPr="00221992">
              <w:rPr>
                <w:rFonts w:ascii="Wingdings" w:eastAsia="Wingdings" w:hAnsi="Wingdings" w:cs="Wingdings"/>
                <w:color w:val="FFC000"/>
                <w:sz w:val="20"/>
                <w:szCs w:val="20"/>
                <w:lang w:val="en-GB"/>
              </w:rPr>
              <w:t>þ</w:t>
            </w:r>
          </w:p>
        </w:tc>
        <w:tc>
          <w:tcPr>
            <w:tcW w:w="1742" w:type="dxa"/>
            <w:noWrap/>
            <w:hideMark/>
          </w:tcPr>
          <w:p w14:paraId="57ED8A1E" w14:textId="77777777" w:rsidR="00837EB7" w:rsidRPr="00221992" w:rsidRDefault="00837EB7" w:rsidP="00682303">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Light"/>
                <w:color w:val="000000"/>
                <w:sz w:val="20"/>
                <w:szCs w:val="20"/>
                <w:lang w:val="en-GB" w:eastAsia="en-GB"/>
              </w:rPr>
            </w:pPr>
          </w:p>
        </w:tc>
        <w:tc>
          <w:tcPr>
            <w:tcW w:w="1742" w:type="dxa"/>
            <w:noWrap/>
            <w:hideMark/>
          </w:tcPr>
          <w:p w14:paraId="4ED88FB8" w14:textId="77777777" w:rsidR="00837EB7" w:rsidRPr="00221992" w:rsidRDefault="00837EB7" w:rsidP="00682303">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Light"/>
                <w:color w:val="FF0000"/>
                <w:sz w:val="20"/>
                <w:szCs w:val="20"/>
                <w:lang w:val="en-GB" w:eastAsia="en-GB"/>
              </w:rPr>
            </w:pPr>
            <w:r w:rsidRPr="00221992">
              <w:rPr>
                <w:rFonts w:ascii="Wingdings" w:eastAsia="Wingdings" w:hAnsi="Wingdings" w:cs="Wingdings"/>
                <w:color w:val="7F7F7F" w:themeColor="text1" w:themeTint="80"/>
                <w:sz w:val="20"/>
                <w:szCs w:val="20"/>
                <w:lang w:val="en-GB"/>
              </w:rPr>
              <w:t>þ</w:t>
            </w:r>
          </w:p>
        </w:tc>
      </w:tr>
      <w:tr w:rsidR="00837EB7" w:rsidRPr="00221992" w14:paraId="5C37B474" w14:textId="77777777" w:rsidTr="00682303">
        <w:trPr>
          <w:cnfStyle w:val="000000010000" w:firstRow="0" w:lastRow="0" w:firstColumn="0" w:lastColumn="0" w:oddVBand="0" w:evenVBand="0" w:oddHBand="0" w:evenHBand="1" w:firstRowFirstColumn="0" w:firstRowLastColumn="0" w:lastRowFirstColumn="0" w:lastRowLastColumn="0"/>
          <w:trHeight w:val="280"/>
        </w:trPr>
        <w:tc>
          <w:tcPr>
            <w:cnfStyle w:val="001000000000" w:firstRow="0" w:lastRow="0" w:firstColumn="1" w:lastColumn="0" w:oddVBand="0" w:evenVBand="0" w:oddHBand="0" w:evenHBand="0" w:firstRowFirstColumn="0" w:firstRowLastColumn="0" w:lastRowFirstColumn="0" w:lastRowLastColumn="0"/>
            <w:tcW w:w="2247" w:type="dxa"/>
            <w:shd w:val="clear" w:color="auto" w:fill="0070C0"/>
            <w:noWrap/>
            <w:hideMark/>
          </w:tcPr>
          <w:p w14:paraId="717145A7" w14:textId="77777777" w:rsidR="00837EB7" w:rsidRPr="00221992" w:rsidRDefault="00837EB7" w:rsidP="00682303">
            <w:pPr>
              <w:spacing w:after="0" w:line="240" w:lineRule="auto"/>
              <w:rPr>
                <w:rFonts w:eastAsia="Times New Roman" w:cs="Calibri Light"/>
                <w:sz w:val="20"/>
                <w:szCs w:val="20"/>
                <w:lang w:val="en-GB" w:eastAsia="en-GB"/>
              </w:rPr>
            </w:pPr>
            <w:r w:rsidRPr="00221992">
              <w:rPr>
                <w:rFonts w:eastAsia="Times New Roman" w:cs="Calibri Light"/>
                <w:sz w:val="20"/>
                <w:szCs w:val="20"/>
                <w:lang w:val="en-GB" w:eastAsia="en-GB"/>
              </w:rPr>
              <w:t>New Zealand</w:t>
            </w:r>
            <w:r w:rsidRPr="00221992">
              <w:rPr>
                <w:rFonts w:eastAsia="Times New Roman" w:cs="Calibri Light"/>
                <w:sz w:val="20"/>
                <w:szCs w:val="20"/>
                <w:vertAlign w:val="superscript"/>
                <w:lang w:val="en-GB" w:eastAsia="en-GB"/>
              </w:rPr>
              <w:t>11</w:t>
            </w:r>
          </w:p>
        </w:tc>
        <w:tc>
          <w:tcPr>
            <w:tcW w:w="1741" w:type="dxa"/>
            <w:noWrap/>
            <w:hideMark/>
          </w:tcPr>
          <w:p w14:paraId="218A0211" w14:textId="77777777" w:rsidR="00837EB7" w:rsidRPr="00221992" w:rsidRDefault="00837EB7" w:rsidP="00682303">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Calibri Light"/>
                <w:color w:val="000000"/>
                <w:sz w:val="20"/>
                <w:szCs w:val="20"/>
                <w:lang w:val="en-GB" w:eastAsia="en-GB"/>
              </w:rPr>
            </w:pPr>
            <w:r w:rsidRPr="00221992">
              <w:rPr>
                <w:rFonts w:ascii="Wingdings" w:eastAsia="Wingdings" w:hAnsi="Wingdings" w:cs="Wingdings"/>
                <w:color w:val="FFC000"/>
                <w:sz w:val="20"/>
                <w:szCs w:val="20"/>
                <w:lang w:val="en-GB"/>
              </w:rPr>
              <w:t>þ</w:t>
            </w:r>
          </w:p>
        </w:tc>
        <w:tc>
          <w:tcPr>
            <w:tcW w:w="1742" w:type="dxa"/>
            <w:noWrap/>
            <w:hideMark/>
          </w:tcPr>
          <w:p w14:paraId="467E1D51" w14:textId="77777777" w:rsidR="00837EB7" w:rsidRPr="00221992" w:rsidRDefault="00837EB7" w:rsidP="00682303">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Calibri Light"/>
                <w:color w:val="000000"/>
                <w:sz w:val="20"/>
                <w:szCs w:val="20"/>
                <w:lang w:val="en-GB" w:eastAsia="en-GB"/>
              </w:rPr>
            </w:pPr>
            <w:r w:rsidRPr="00221992">
              <w:rPr>
                <w:rFonts w:eastAsia="Times New Roman" w:cs="Calibri Light"/>
                <w:color w:val="000000"/>
                <w:sz w:val="20"/>
                <w:szCs w:val="20"/>
                <w:lang w:val="en-GB" w:eastAsia="en-GB"/>
              </w:rPr>
              <w:t> </w:t>
            </w:r>
          </w:p>
        </w:tc>
        <w:tc>
          <w:tcPr>
            <w:tcW w:w="1742" w:type="dxa"/>
            <w:noWrap/>
            <w:hideMark/>
          </w:tcPr>
          <w:p w14:paraId="6F378FC7" w14:textId="77777777" w:rsidR="00837EB7" w:rsidRPr="00221992" w:rsidRDefault="00837EB7" w:rsidP="00682303">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Calibri Light"/>
                <w:color w:val="000000"/>
                <w:sz w:val="20"/>
                <w:szCs w:val="20"/>
                <w:lang w:val="en-GB" w:eastAsia="en-GB"/>
              </w:rPr>
            </w:pPr>
            <w:r w:rsidRPr="00221992">
              <w:rPr>
                <w:rFonts w:eastAsia="Times New Roman" w:cs="Calibri Light"/>
                <w:color w:val="000000"/>
                <w:sz w:val="20"/>
                <w:szCs w:val="20"/>
                <w:lang w:val="en-GB" w:eastAsia="en-GB"/>
              </w:rPr>
              <w:t> </w:t>
            </w:r>
          </w:p>
        </w:tc>
        <w:tc>
          <w:tcPr>
            <w:tcW w:w="1742" w:type="dxa"/>
            <w:noWrap/>
            <w:hideMark/>
          </w:tcPr>
          <w:p w14:paraId="4193BFF3" w14:textId="77777777" w:rsidR="00837EB7" w:rsidRPr="00221992" w:rsidRDefault="00837EB7" w:rsidP="00682303">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Calibri Light"/>
                <w:color w:val="000000"/>
                <w:sz w:val="20"/>
                <w:szCs w:val="20"/>
                <w:lang w:val="en-GB" w:eastAsia="en-GB"/>
              </w:rPr>
            </w:pPr>
          </w:p>
        </w:tc>
      </w:tr>
      <w:tr w:rsidR="00837EB7" w:rsidRPr="00221992" w14:paraId="340E55AB" w14:textId="77777777" w:rsidTr="00682303">
        <w:trPr>
          <w:trHeight w:val="280"/>
        </w:trPr>
        <w:tc>
          <w:tcPr>
            <w:cnfStyle w:val="001000000000" w:firstRow="0" w:lastRow="0" w:firstColumn="1" w:lastColumn="0" w:oddVBand="0" w:evenVBand="0" w:oddHBand="0" w:evenHBand="0" w:firstRowFirstColumn="0" w:firstRowLastColumn="0" w:lastRowFirstColumn="0" w:lastRowLastColumn="0"/>
            <w:tcW w:w="2247" w:type="dxa"/>
            <w:shd w:val="clear" w:color="auto" w:fill="0070C0"/>
            <w:noWrap/>
            <w:hideMark/>
          </w:tcPr>
          <w:p w14:paraId="6012A48C" w14:textId="5EDC9BD3" w:rsidR="00837EB7" w:rsidRPr="00221992" w:rsidRDefault="008A6310" w:rsidP="00682303">
            <w:pPr>
              <w:spacing w:after="0" w:line="240" w:lineRule="auto"/>
              <w:rPr>
                <w:rFonts w:eastAsia="Times New Roman" w:cs="Calibri Light"/>
                <w:sz w:val="20"/>
                <w:szCs w:val="20"/>
                <w:lang w:val="en-GB" w:eastAsia="en-GB"/>
              </w:rPr>
            </w:pPr>
            <w:r>
              <w:rPr>
                <w:rFonts w:eastAsia="Times New Roman" w:cs="Calibri Light"/>
                <w:sz w:val="20"/>
                <w:szCs w:val="20"/>
                <w:lang w:val="en-GB" w:eastAsia="en-GB"/>
              </w:rPr>
              <w:t xml:space="preserve"> </w:t>
            </w:r>
            <w:r w:rsidR="00837EB7" w:rsidRPr="00221992">
              <w:rPr>
                <w:rFonts w:eastAsia="Times New Roman" w:cs="Calibri Light"/>
                <w:sz w:val="20"/>
                <w:szCs w:val="20"/>
                <w:lang w:val="en-GB" w:eastAsia="en-GB"/>
              </w:rPr>
              <w:t>Norway</w:t>
            </w:r>
            <w:r w:rsidR="00837EB7" w:rsidRPr="00221992">
              <w:rPr>
                <w:rFonts w:eastAsia="Times New Roman" w:cs="Calibri Light"/>
                <w:sz w:val="20"/>
                <w:szCs w:val="20"/>
                <w:vertAlign w:val="superscript"/>
                <w:lang w:val="en-GB" w:eastAsia="en-GB"/>
              </w:rPr>
              <w:t>12</w:t>
            </w:r>
          </w:p>
        </w:tc>
        <w:tc>
          <w:tcPr>
            <w:tcW w:w="1741" w:type="dxa"/>
            <w:noWrap/>
            <w:hideMark/>
          </w:tcPr>
          <w:p w14:paraId="463F89F7" w14:textId="77777777" w:rsidR="00837EB7" w:rsidRPr="00221992" w:rsidRDefault="00837EB7" w:rsidP="00682303">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Light"/>
                <w:color w:val="000000"/>
                <w:sz w:val="20"/>
                <w:szCs w:val="20"/>
                <w:lang w:val="en-GB" w:eastAsia="en-GB"/>
              </w:rPr>
            </w:pPr>
            <w:r w:rsidRPr="00221992">
              <w:rPr>
                <w:rFonts w:ascii="Wingdings" w:eastAsia="Wingdings" w:hAnsi="Wingdings" w:cs="Wingdings"/>
                <w:color w:val="FFC000"/>
                <w:sz w:val="20"/>
                <w:szCs w:val="20"/>
                <w:lang w:val="en-GB"/>
              </w:rPr>
              <w:t>þ</w:t>
            </w:r>
          </w:p>
        </w:tc>
        <w:tc>
          <w:tcPr>
            <w:tcW w:w="1742" w:type="dxa"/>
            <w:noWrap/>
            <w:hideMark/>
          </w:tcPr>
          <w:p w14:paraId="0E9CB348" w14:textId="77777777" w:rsidR="00837EB7" w:rsidRPr="00221992" w:rsidRDefault="00837EB7" w:rsidP="00682303">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Light"/>
                <w:color w:val="000000"/>
                <w:sz w:val="20"/>
                <w:szCs w:val="20"/>
                <w:lang w:val="en-GB" w:eastAsia="en-GB"/>
              </w:rPr>
            </w:pPr>
          </w:p>
        </w:tc>
        <w:tc>
          <w:tcPr>
            <w:tcW w:w="1742" w:type="dxa"/>
            <w:noWrap/>
            <w:hideMark/>
          </w:tcPr>
          <w:p w14:paraId="2C968FDF" w14:textId="77777777" w:rsidR="00837EB7" w:rsidRPr="00221992" w:rsidRDefault="00837EB7" w:rsidP="00682303">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GB" w:eastAsia="en-GB"/>
              </w:rPr>
            </w:pPr>
          </w:p>
        </w:tc>
        <w:tc>
          <w:tcPr>
            <w:tcW w:w="1742" w:type="dxa"/>
            <w:noWrap/>
            <w:hideMark/>
          </w:tcPr>
          <w:p w14:paraId="271A3920" w14:textId="77777777" w:rsidR="00837EB7" w:rsidRPr="00221992" w:rsidRDefault="00837EB7" w:rsidP="00682303">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Light"/>
                <w:color w:val="000000"/>
                <w:sz w:val="20"/>
                <w:szCs w:val="20"/>
                <w:lang w:val="en-GB" w:eastAsia="en-GB"/>
              </w:rPr>
            </w:pPr>
            <w:r w:rsidRPr="00221992">
              <w:rPr>
                <w:rFonts w:eastAsia="Times New Roman" w:cs="Calibri Light"/>
                <w:color w:val="000000"/>
                <w:sz w:val="20"/>
                <w:szCs w:val="20"/>
                <w:lang w:val="en-GB" w:eastAsia="en-GB"/>
              </w:rPr>
              <w:t> </w:t>
            </w:r>
          </w:p>
        </w:tc>
      </w:tr>
      <w:tr w:rsidR="00837EB7" w:rsidRPr="00221992" w14:paraId="795D83FA" w14:textId="77777777" w:rsidTr="00682303">
        <w:trPr>
          <w:cnfStyle w:val="000000010000" w:firstRow="0" w:lastRow="0" w:firstColumn="0" w:lastColumn="0" w:oddVBand="0" w:evenVBand="0" w:oddHBand="0" w:evenHBand="1" w:firstRowFirstColumn="0" w:firstRowLastColumn="0" w:lastRowFirstColumn="0" w:lastRowLastColumn="0"/>
          <w:trHeight w:val="280"/>
        </w:trPr>
        <w:tc>
          <w:tcPr>
            <w:cnfStyle w:val="001000000000" w:firstRow="0" w:lastRow="0" w:firstColumn="1" w:lastColumn="0" w:oddVBand="0" w:evenVBand="0" w:oddHBand="0" w:evenHBand="0" w:firstRowFirstColumn="0" w:firstRowLastColumn="0" w:lastRowFirstColumn="0" w:lastRowLastColumn="0"/>
            <w:tcW w:w="2247" w:type="dxa"/>
            <w:shd w:val="clear" w:color="auto" w:fill="0070C0"/>
            <w:noWrap/>
            <w:hideMark/>
          </w:tcPr>
          <w:p w14:paraId="24F9612E" w14:textId="77777777" w:rsidR="00837EB7" w:rsidRPr="00221992" w:rsidRDefault="00837EB7" w:rsidP="00682303">
            <w:pPr>
              <w:spacing w:after="0" w:line="240" w:lineRule="auto"/>
              <w:rPr>
                <w:rFonts w:eastAsia="Times New Roman" w:cs="Calibri Light"/>
                <w:sz w:val="20"/>
                <w:szCs w:val="20"/>
                <w:lang w:val="en-GB" w:eastAsia="en-GB"/>
              </w:rPr>
            </w:pPr>
            <w:r w:rsidRPr="00221992">
              <w:rPr>
                <w:rFonts w:eastAsia="Times New Roman" w:cs="Calibri Light"/>
                <w:sz w:val="20"/>
                <w:szCs w:val="20"/>
                <w:lang w:val="en-GB" w:eastAsia="en-GB"/>
              </w:rPr>
              <w:t>Singapore</w:t>
            </w:r>
            <w:r w:rsidRPr="00221992">
              <w:rPr>
                <w:rFonts w:eastAsia="Times New Roman" w:cs="Calibri Light"/>
                <w:sz w:val="20"/>
                <w:szCs w:val="20"/>
                <w:vertAlign w:val="superscript"/>
                <w:lang w:val="en-GB" w:eastAsia="en-GB"/>
              </w:rPr>
              <w:t>13</w:t>
            </w:r>
          </w:p>
        </w:tc>
        <w:tc>
          <w:tcPr>
            <w:tcW w:w="1741" w:type="dxa"/>
            <w:noWrap/>
            <w:hideMark/>
          </w:tcPr>
          <w:p w14:paraId="0E11F64F" w14:textId="77777777" w:rsidR="00837EB7" w:rsidRPr="00221992" w:rsidRDefault="00837EB7" w:rsidP="00682303">
            <w:pPr>
              <w:spacing w:after="0" w:line="240" w:lineRule="auto"/>
              <w:cnfStyle w:val="000000010000" w:firstRow="0" w:lastRow="0" w:firstColumn="0" w:lastColumn="0" w:oddVBand="0" w:evenVBand="0" w:oddHBand="0" w:evenHBand="1" w:firstRowFirstColumn="0" w:firstRowLastColumn="0" w:lastRowFirstColumn="0" w:lastRowLastColumn="0"/>
              <w:rPr>
                <w:rFonts w:eastAsia="Times New Roman" w:cs="Calibri Light"/>
                <w:color w:val="000000"/>
                <w:sz w:val="20"/>
                <w:szCs w:val="20"/>
                <w:lang w:val="en-GB" w:eastAsia="en-GB"/>
              </w:rPr>
            </w:pPr>
          </w:p>
        </w:tc>
        <w:tc>
          <w:tcPr>
            <w:tcW w:w="1742" w:type="dxa"/>
            <w:noWrap/>
            <w:hideMark/>
          </w:tcPr>
          <w:p w14:paraId="6222EAF2" w14:textId="77777777" w:rsidR="00837EB7" w:rsidRPr="00221992" w:rsidRDefault="00837EB7" w:rsidP="00682303">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0"/>
                <w:szCs w:val="20"/>
                <w:lang w:val="en-GB" w:eastAsia="en-GB"/>
              </w:rPr>
            </w:pPr>
          </w:p>
        </w:tc>
        <w:tc>
          <w:tcPr>
            <w:tcW w:w="1742" w:type="dxa"/>
            <w:noWrap/>
            <w:hideMark/>
          </w:tcPr>
          <w:p w14:paraId="709C333B" w14:textId="77777777" w:rsidR="00837EB7" w:rsidRPr="00221992" w:rsidRDefault="00837EB7" w:rsidP="00682303">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Calibri Light"/>
                <w:color w:val="FF0000"/>
                <w:sz w:val="20"/>
                <w:szCs w:val="20"/>
                <w:lang w:val="en-GB" w:eastAsia="en-GB"/>
              </w:rPr>
            </w:pPr>
            <w:r w:rsidRPr="00221992">
              <w:rPr>
                <w:rFonts w:ascii="Wingdings" w:eastAsia="Wingdings" w:hAnsi="Wingdings" w:cs="Wingdings"/>
                <w:color w:val="7F7F7F" w:themeColor="text1" w:themeTint="80"/>
                <w:sz w:val="20"/>
                <w:szCs w:val="20"/>
                <w:lang w:val="en-GB"/>
              </w:rPr>
              <w:t>þ</w:t>
            </w:r>
          </w:p>
        </w:tc>
        <w:tc>
          <w:tcPr>
            <w:tcW w:w="1742" w:type="dxa"/>
            <w:noWrap/>
            <w:hideMark/>
          </w:tcPr>
          <w:p w14:paraId="33665F29" w14:textId="77777777" w:rsidR="00837EB7" w:rsidRPr="00221992" w:rsidRDefault="00837EB7" w:rsidP="00682303">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Calibri Light"/>
                <w:color w:val="FF0000"/>
                <w:sz w:val="20"/>
                <w:szCs w:val="20"/>
                <w:lang w:val="en-GB" w:eastAsia="en-GB"/>
              </w:rPr>
            </w:pPr>
            <w:r w:rsidRPr="00221992">
              <w:rPr>
                <w:rFonts w:ascii="Wingdings" w:eastAsia="Wingdings" w:hAnsi="Wingdings" w:cs="Wingdings"/>
                <w:color w:val="7F7F7F" w:themeColor="text1" w:themeTint="80"/>
                <w:sz w:val="20"/>
                <w:szCs w:val="20"/>
                <w:lang w:val="en-GB"/>
              </w:rPr>
              <w:t>þ</w:t>
            </w:r>
          </w:p>
        </w:tc>
      </w:tr>
      <w:tr w:rsidR="00837EB7" w:rsidRPr="00221992" w14:paraId="2277F83E" w14:textId="77777777" w:rsidTr="00682303">
        <w:trPr>
          <w:trHeight w:val="280"/>
        </w:trPr>
        <w:tc>
          <w:tcPr>
            <w:cnfStyle w:val="001000000000" w:firstRow="0" w:lastRow="0" w:firstColumn="1" w:lastColumn="0" w:oddVBand="0" w:evenVBand="0" w:oddHBand="0" w:evenHBand="0" w:firstRowFirstColumn="0" w:firstRowLastColumn="0" w:lastRowFirstColumn="0" w:lastRowLastColumn="0"/>
            <w:tcW w:w="2247" w:type="dxa"/>
            <w:shd w:val="clear" w:color="auto" w:fill="0070C0"/>
            <w:noWrap/>
            <w:hideMark/>
          </w:tcPr>
          <w:p w14:paraId="139D1718" w14:textId="77777777" w:rsidR="00837EB7" w:rsidRPr="00221992" w:rsidRDefault="00837EB7" w:rsidP="00682303">
            <w:pPr>
              <w:spacing w:after="0" w:line="240" w:lineRule="auto"/>
              <w:rPr>
                <w:rFonts w:eastAsia="Times New Roman" w:cs="Calibri Light"/>
                <w:sz w:val="20"/>
                <w:szCs w:val="20"/>
                <w:lang w:val="en-GB" w:eastAsia="en-GB"/>
              </w:rPr>
            </w:pPr>
            <w:r w:rsidRPr="00221992">
              <w:rPr>
                <w:rFonts w:eastAsia="Times New Roman" w:cs="Calibri Light"/>
                <w:sz w:val="20"/>
                <w:szCs w:val="20"/>
                <w:lang w:val="en-GB" w:eastAsia="en-GB"/>
              </w:rPr>
              <w:t xml:space="preserve">Spain </w:t>
            </w:r>
            <w:r w:rsidRPr="00221992">
              <w:rPr>
                <w:rFonts w:eastAsia="Times New Roman" w:cs="Calibri Light"/>
                <w:sz w:val="20"/>
                <w:szCs w:val="20"/>
                <w:vertAlign w:val="superscript"/>
                <w:lang w:val="en-GB" w:eastAsia="en-GB"/>
              </w:rPr>
              <w:t>14</w:t>
            </w:r>
          </w:p>
        </w:tc>
        <w:tc>
          <w:tcPr>
            <w:tcW w:w="1741" w:type="dxa"/>
            <w:noWrap/>
            <w:hideMark/>
          </w:tcPr>
          <w:p w14:paraId="0C8B9E35" w14:textId="77777777" w:rsidR="00837EB7" w:rsidRPr="00221992" w:rsidRDefault="00837EB7" w:rsidP="00682303">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Light"/>
                <w:color w:val="000000" w:themeColor="text1"/>
                <w:sz w:val="20"/>
                <w:szCs w:val="20"/>
                <w:lang w:val="en-GB" w:eastAsia="en-GB"/>
              </w:rPr>
            </w:pPr>
            <w:r w:rsidRPr="00221992">
              <w:rPr>
                <w:rFonts w:ascii="Wingdings" w:eastAsia="Wingdings" w:hAnsi="Wingdings" w:cs="Wingdings"/>
                <w:color w:val="FFC000"/>
                <w:sz w:val="20"/>
                <w:szCs w:val="20"/>
                <w:lang w:val="en-GB"/>
              </w:rPr>
              <w:t>þ</w:t>
            </w:r>
          </w:p>
        </w:tc>
        <w:tc>
          <w:tcPr>
            <w:tcW w:w="1742" w:type="dxa"/>
            <w:noWrap/>
            <w:hideMark/>
          </w:tcPr>
          <w:p w14:paraId="63410A5A" w14:textId="77777777" w:rsidR="00837EB7" w:rsidRPr="00221992" w:rsidRDefault="00837EB7" w:rsidP="00682303">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Light"/>
                <w:color w:val="000000" w:themeColor="text1"/>
                <w:sz w:val="20"/>
                <w:szCs w:val="20"/>
                <w:lang w:val="en-GB" w:eastAsia="en-GB"/>
              </w:rPr>
            </w:pPr>
          </w:p>
        </w:tc>
        <w:tc>
          <w:tcPr>
            <w:tcW w:w="1742" w:type="dxa"/>
            <w:noWrap/>
            <w:hideMark/>
          </w:tcPr>
          <w:p w14:paraId="51371A40" w14:textId="77777777" w:rsidR="00837EB7" w:rsidRPr="00221992" w:rsidRDefault="00837EB7" w:rsidP="00682303">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Light"/>
                <w:color w:val="000000" w:themeColor="text1"/>
                <w:sz w:val="20"/>
                <w:szCs w:val="20"/>
                <w:lang w:val="en-GB" w:eastAsia="en-GB"/>
              </w:rPr>
            </w:pPr>
            <w:r w:rsidRPr="00221992">
              <w:rPr>
                <w:rFonts w:ascii="Wingdings" w:eastAsia="Wingdings" w:hAnsi="Wingdings" w:cs="Wingdings"/>
                <w:color w:val="FFC000"/>
                <w:sz w:val="20"/>
                <w:szCs w:val="20"/>
                <w:lang w:val="en-GB"/>
              </w:rPr>
              <w:t>þ</w:t>
            </w:r>
          </w:p>
        </w:tc>
        <w:tc>
          <w:tcPr>
            <w:tcW w:w="1742" w:type="dxa"/>
            <w:noWrap/>
            <w:hideMark/>
          </w:tcPr>
          <w:p w14:paraId="49F6F73F" w14:textId="77777777" w:rsidR="00837EB7" w:rsidRPr="00221992" w:rsidRDefault="00837EB7" w:rsidP="00682303">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Light"/>
                <w:color w:val="FF0000"/>
                <w:sz w:val="20"/>
                <w:szCs w:val="20"/>
                <w:lang w:val="en-GB" w:eastAsia="en-GB"/>
              </w:rPr>
            </w:pPr>
          </w:p>
        </w:tc>
      </w:tr>
      <w:tr w:rsidR="00837EB7" w:rsidRPr="00221992" w14:paraId="3889EBD0" w14:textId="77777777" w:rsidTr="00682303">
        <w:trPr>
          <w:cnfStyle w:val="000000010000" w:firstRow="0" w:lastRow="0" w:firstColumn="0" w:lastColumn="0" w:oddVBand="0" w:evenVBand="0" w:oddHBand="0" w:evenHBand="1" w:firstRowFirstColumn="0" w:firstRowLastColumn="0" w:lastRowFirstColumn="0" w:lastRowLastColumn="0"/>
          <w:trHeight w:val="280"/>
        </w:trPr>
        <w:tc>
          <w:tcPr>
            <w:cnfStyle w:val="001000000000" w:firstRow="0" w:lastRow="0" w:firstColumn="1" w:lastColumn="0" w:oddVBand="0" w:evenVBand="0" w:oddHBand="0" w:evenHBand="0" w:firstRowFirstColumn="0" w:firstRowLastColumn="0" w:lastRowFirstColumn="0" w:lastRowLastColumn="0"/>
            <w:tcW w:w="2247" w:type="dxa"/>
            <w:shd w:val="clear" w:color="auto" w:fill="0070C0"/>
            <w:noWrap/>
            <w:hideMark/>
          </w:tcPr>
          <w:p w14:paraId="6F7B1985" w14:textId="77777777" w:rsidR="00837EB7" w:rsidRPr="00221992" w:rsidRDefault="00837EB7" w:rsidP="00682303">
            <w:pPr>
              <w:spacing w:after="0" w:line="240" w:lineRule="auto"/>
              <w:rPr>
                <w:rFonts w:eastAsia="Times New Roman" w:cs="Calibri Light"/>
                <w:sz w:val="20"/>
                <w:szCs w:val="20"/>
                <w:lang w:val="en-GB" w:eastAsia="en-GB"/>
              </w:rPr>
            </w:pPr>
            <w:r w:rsidRPr="00221992">
              <w:rPr>
                <w:rFonts w:eastAsia="Times New Roman" w:cs="Calibri Light"/>
                <w:sz w:val="20"/>
                <w:szCs w:val="20"/>
                <w:lang w:val="en-GB" w:eastAsia="en-GB"/>
              </w:rPr>
              <w:t>Sweden</w:t>
            </w:r>
            <w:r w:rsidRPr="00221992">
              <w:rPr>
                <w:rFonts w:eastAsia="Times New Roman" w:cs="Calibri Light"/>
                <w:sz w:val="20"/>
                <w:szCs w:val="20"/>
                <w:vertAlign w:val="superscript"/>
                <w:lang w:val="en-GB" w:eastAsia="en-GB"/>
              </w:rPr>
              <w:t>15</w:t>
            </w:r>
          </w:p>
        </w:tc>
        <w:tc>
          <w:tcPr>
            <w:tcW w:w="1741" w:type="dxa"/>
            <w:noWrap/>
            <w:hideMark/>
          </w:tcPr>
          <w:p w14:paraId="608EE998" w14:textId="77777777" w:rsidR="00837EB7" w:rsidRPr="00221992" w:rsidRDefault="00837EB7" w:rsidP="00682303">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Calibri Light"/>
                <w:color w:val="000000"/>
                <w:sz w:val="20"/>
                <w:szCs w:val="20"/>
                <w:lang w:val="en-GB" w:eastAsia="en-GB"/>
              </w:rPr>
            </w:pPr>
            <w:r w:rsidRPr="00221992">
              <w:rPr>
                <w:rFonts w:ascii="Wingdings" w:eastAsia="Wingdings" w:hAnsi="Wingdings" w:cs="Wingdings"/>
                <w:color w:val="FFC000"/>
                <w:sz w:val="20"/>
                <w:szCs w:val="20"/>
                <w:lang w:val="en-GB"/>
              </w:rPr>
              <w:t>þ</w:t>
            </w:r>
          </w:p>
        </w:tc>
        <w:tc>
          <w:tcPr>
            <w:tcW w:w="1742" w:type="dxa"/>
            <w:noWrap/>
            <w:hideMark/>
          </w:tcPr>
          <w:p w14:paraId="65A443CF" w14:textId="77777777" w:rsidR="00837EB7" w:rsidRPr="00221992" w:rsidRDefault="00837EB7" w:rsidP="00682303">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Calibri Light"/>
                <w:color w:val="FF0000"/>
                <w:sz w:val="20"/>
                <w:szCs w:val="20"/>
                <w:lang w:val="en-GB" w:eastAsia="en-GB"/>
              </w:rPr>
            </w:pPr>
            <w:r w:rsidRPr="00221992">
              <w:rPr>
                <w:rFonts w:ascii="Wingdings" w:eastAsia="Wingdings" w:hAnsi="Wingdings" w:cs="Wingdings"/>
                <w:color w:val="7F7F7F" w:themeColor="text1" w:themeTint="80"/>
                <w:sz w:val="20"/>
                <w:szCs w:val="20"/>
                <w:lang w:val="en-GB"/>
              </w:rPr>
              <w:t>þ</w:t>
            </w:r>
          </w:p>
        </w:tc>
        <w:tc>
          <w:tcPr>
            <w:tcW w:w="1742" w:type="dxa"/>
            <w:noWrap/>
            <w:hideMark/>
          </w:tcPr>
          <w:p w14:paraId="69CA4300" w14:textId="77777777" w:rsidR="00837EB7" w:rsidRPr="00221992" w:rsidRDefault="00837EB7" w:rsidP="00682303">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Calibri Light"/>
                <w:color w:val="000000"/>
                <w:sz w:val="20"/>
                <w:szCs w:val="20"/>
                <w:lang w:val="en-GB" w:eastAsia="en-GB"/>
              </w:rPr>
            </w:pPr>
            <w:r w:rsidRPr="00221992">
              <w:rPr>
                <w:rFonts w:eastAsia="Times New Roman" w:cs="Calibri Light"/>
                <w:color w:val="000000"/>
                <w:sz w:val="20"/>
                <w:szCs w:val="20"/>
                <w:lang w:val="en-GB" w:eastAsia="en-GB"/>
              </w:rPr>
              <w:t> </w:t>
            </w:r>
          </w:p>
        </w:tc>
        <w:tc>
          <w:tcPr>
            <w:tcW w:w="1742" w:type="dxa"/>
            <w:noWrap/>
            <w:hideMark/>
          </w:tcPr>
          <w:p w14:paraId="0F7938EF" w14:textId="77777777" w:rsidR="00837EB7" w:rsidRPr="00221992" w:rsidRDefault="00837EB7" w:rsidP="00682303">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Calibri Light"/>
                <w:color w:val="000000"/>
                <w:sz w:val="20"/>
                <w:szCs w:val="20"/>
                <w:lang w:val="en-GB" w:eastAsia="en-GB"/>
              </w:rPr>
            </w:pPr>
            <w:r w:rsidRPr="00221992">
              <w:rPr>
                <w:rFonts w:eastAsia="Times New Roman" w:cs="Calibri Light"/>
                <w:color w:val="000000"/>
                <w:sz w:val="20"/>
                <w:szCs w:val="20"/>
                <w:lang w:val="en-GB" w:eastAsia="en-GB"/>
              </w:rPr>
              <w:t> </w:t>
            </w:r>
          </w:p>
        </w:tc>
      </w:tr>
      <w:tr w:rsidR="00837EB7" w:rsidRPr="00221992" w14:paraId="0A107BBE" w14:textId="77777777" w:rsidTr="00682303">
        <w:trPr>
          <w:trHeight w:val="280"/>
        </w:trPr>
        <w:tc>
          <w:tcPr>
            <w:cnfStyle w:val="001000000000" w:firstRow="0" w:lastRow="0" w:firstColumn="1" w:lastColumn="0" w:oddVBand="0" w:evenVBand="0" w:oddHBand="0" w:evenHBand="0" w:firstRowFirstColumn="0" w:firstRowLastColumn="0" w:lastRowFirstColumn="0" w:lastRowLastColumn="0"/>
            <w:tcW w:w="2247" w:type="dxa"/>
            <w:shd w:val="clear" w:color="auto" w:fill="0070C0"/>
            <w:noWrap/>
            <w:hideMark/>
          </w:tcPr>
          <w:p w14:paraId="1E284CE0" w14:textId="77777777" w:rsidR="00837EB7" w:rsidRPr="00221992" w:rsidRDefault="00837EB7" w:rsidP="00682303">
            <w:pPr>
              <w:spacing w:after="0" w:line="240" w:lineRule="auto"/>
              <w:rPr>
                <w:rFonts w:eastAsia="Times New Roman" w:cs="Calibri Light"/>
                <w:sz w:val="20"/>
                <w:szCs w:val="20"/>
                <w:lang w:val="en-GB" w:eastAsia="en-GB"/>
              </w:rPr>
            </w:pPr>
            <w:r w:rsidRPr="00221992">
              <w:rPr>
                <w:rFonts w:eastAsia="Times New Roman" w:cs="Calibri Light"/>
                <w:sz w:val="20"/>
                <w:szCs w:val="20"/>
                <w:lang w:val="en-GB" w:eastAsia="en-GB"/>
              </w:rPr>
              <w:t>Taiwan</w:t>
            </w:r>
            <w:r w:rsidRPr="00221992">
              <w:rPr>
                <w:rFonts w:eastAsia="Times New Roman" w:cs="Calibri Light"/>
                <w:sz w:val="20"/>
                <w:szCs w:val="20"/>
                <w:vertAlign w:val="superscript"/>
                <w:lang w:val="en-GB" w:eastAsia="en-GB"/>
              </w:rPr>
              <w:t>16</w:t>
            </w:r>
          </w:p>
        </w:tc>
        <w:tc>
          <w:tcPr>
            <w:tcW w:w="1741" w:type="dxa"/>
            <w:noWrap/>
            <w:hideMark/>
          </w:tcPr>
          <w:p w14:paraId="0B19FDB4" w14:textId="77777777" w:rsidR="00837EB7" w:rsidRPr="00221992" w:rsidRDefault="00837EB7" w:rsidP="00682303">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Light"/>
                <w:color w:val="FF0000"/>
                <w:sz w:val="20"/>
                <w:szCs w:val="20"/>
                <w:lang w:val="en-GB" w:eastAsia="en-GB"/>
              </w:rPr>
            </w:pPr>
            <w:r w:rsidRPr="00221992">
              <w:rPr>
                <w:rFonts w:ascii="Wingdings" w:eastAsia="Wingdings" w:hAnsi="Wingdings" w:cs="Wingdings"/>
                <w:color w:val="7F7F7F" w:themeColor="text1" w:themeTint="80"/>
                <w:sz w:val="20"/>
                <w:szCs w:val="20"/>
                <w:lang w:val="en-GB"/>
              </w:rPr>
              <w:t>þ</w:t>
            </w:r>
          </w:p>
        </w:tc>
        <w:tc>
          <w:tcPr>
            <w:tcW w:w="1742" w:type="dxa"/>
            <w:noWrap/>
            <w:hideMark/>
          </w:tcPr>
          <w:p w14:paraId="7F268B13" w14:textId="77777777" w:rsidR="00837EB7" w:rsidRPr="00221992" w:rsidRDefault="00837EB7" w:rsidP="00682303">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Light"/>
                <w:color w:val="FF0000"/>
                <w:sz w:val="20"/>
                <w:szCs w:val="20"/>
                <w:lang w:val="en-GB" w:eastAsia="en-GB"/>
              </w:rPr>
            </w:pPr>
          </w:p>
        </w:tc>
        <w:tc>
          <w:tcPr>
            <w:tcW w:w="1742" w:type="dxa"/>
            <w:noWrap/>
            <w:hideMark/>
          </w:tcPr>
          <w:p w14:paraId="04B249F2" w14:textId="77777777" w:rsidR="00837EB7" w:rsidRPr="00221992" w:rsidRDefault="00837EB7" w:rsidP="00682303">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Light"/>
                <w:color w:val="FF0000"/>
                <w:sz w:val="20"/>
                <w:szCs w:val="20"/>
                <w:lang w:val="en-GB" w:eastAsia="en-GB"/>
              </w:rPr>
            </w:pPr>
            <w:r w:rsidRPr="00221992">
              <w:rPr>
                <w:rFonts w:ascii="Wingdings" w:eastAsia="Wingdings" w:hAnsi="Wingdings" w:cs="Wingdings"/>
                <w:color w:val="7F7F7F" w:themeColor="text1" w:themeTint="80"/>
                <w:sz w:val="20"/>
                <w:szCs w:val="20"/>
                <w:lang w:val="en-GB"/>
              </w:rPr>
              <w:t>þ</w:t>
            </w:r>
          </w:p>
        </w:tc>
        <w:tc>
          <w:tcPr>
            <w:tcW w:w="1742" w:type="dxa"/>
            <w:noWrap/>
            <w:hideMark/>
          </w:tcPr>
          <w:p w14:paraId="46CB8DEC" w14:textId="77777777" w:rsidR="00837EB7" w:rsidRPr="00221992" w:rsidRDefault="00837EB7" w:rsidP="00682303">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Light"/>
                <w:color w:val="FF0000"/>
                <w:sz w:val="20"/>
                <w:szCs w:val="20"/>
                <w:lang w:val="en-GB" w:eastAsia="en-GB"/>
              </w:rPr>
            </w:pPr>
          </w:p>
        </w:tc>
      </w:tr>
      <w:tr w:rsidR="00837EB7" w:rsidRPr="00221992" w14:paraId="34A19774" w14:textId="77777777" w:rsidTr="00682303">
        <w:trPr>
          <w:cnfStyle w:val="000000010000" w:firstRow="0" w:lastRow="0" w:firstColumn="0" w:lastColumn="0" w:oddVBand="0" w:evenVBand="0" w:oddHBand="0" w:evenHBand="1" w:firstRowFirstColumn="0" w:firstRowLastColumn="0" w:lastRowFirstColumn="0" w:lastRowLastColumn="0"/>
          <w:trHeight w:val="280"/>
        </w:trPr>
        <w:tc>
          <w:tcPr>
            <w:cnfStyle w:val="001000000000" w:firstRow="0" w:lastRow="0" w:firstColumn="1" w:lastColumn="0" w:oddVBand="0" w:evenVBand="0" w:oddHBand="0" w:evenHBand="0" w:firstRowFirstColumn="0" w:firstRowLastColumn="0" w:lastRowFirstColumn="0" w:lastRowLastColumn="0"/>
            <w:tcW w:w="2247" w:type="dxa"/>
            <w:shd w:val="clear" w:color="auto" w:fill="0070C0"/>
            <w:noWrap/>
            <w:hideMark/>
          </w:tcPr>
          <w:p w14:paraId="3567D5CE" w14:textId="22056515" w:rsidR="00837EB7" w:rsidRPr="00221992" w:rsidRDefault="00837EB7" w:rsidP="00682303">
            <w:pPr>
              <w:spacing w:after="0" w:line="240" w:lineRule="auto"/>
              <w:rPr>
                <w:rFonts w:eastAsia="Times New Roman" w:cs="Calibri Light"/>
                <w:sz w:val="20"/>
                <w:szCs w:val="20"/>
                <w:lang w:val="en-GB" w:eastAsia="en-GB"/>
              </w:rPr>
            </w:pPr>
            <w:r w:rsidRPr="00221992">
              <w:rPr>
                <w:rFonts w:eastAsia="Times New Roman" w:cs="Calibri Light"/>
                <w:sz w:val="20"/>
                <w:szCs w:val="20"/>
                <w:lang w:val="en-GB" w:eastAsia="en-GB"/>
              </w:rPr>
              <w:t>UK (England</w:t>
            </w:r>
            <w:r w:rsidR="0055167A">
              <w:rPr>
                <w:rFonts w:eastAsia="Times New Roman" w:cs="Calibri Light"/>
                <w:sz w:val="20"/>
                <w:szCs w:val="20"/>
                <w:lang w:val="en-GB" w:eastAsia="en-GB"/>
              </w:rPr>
              <w:t>/</w:t>
            </w:r>
            <w:r w:rsidRPr="00221992">
              <w:rPr>
                <w:rFonts w:eastAsia="Times New Roman" w:cs="Calibri Light"/>
                <w:sz w:val="20"/>
                <w:szCs w:val="20"/>
                <w:lang w:val="en-GB" w:eastAsia="en-GB"/>
              </w:rPr>
              <w:t>Wales)</w:t>
            </w:r>
            <w:r w:rsidRPr="00221992">
              <w:rPr>
                <w:rFonts w:eastAsia="Times New Roman" w:cs="Calibri Light"/>
                <w:sz w:val="20"/>
                <w:szCs w:val="20"/>
                <w:vertAlign w:val="superscript"/>
                <w:lang w:val="en-GB" w:eastAsia="en-GB"/>
              </w:rPr>
              <w:t>17</w:t>
            </w:r>
          </w:p>
        </w:tc>
        <w:tc>
          <w:tcPr>
            <w:tcW w:w="1741" w:type="dxa"/>
            <w:noWrap/>
            <w:hideMark/>
          </w:tcPr>
          <w:p w14:paraId="6B821900" w14:textId="77777777" w:rsidR="00837EB7" w:rsidRPr="00221992" w:rsidRDefault="00837EB7" w:rsidP="00682303">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Calibri Light"/>
                <w:color w:val="000000"/>
                <w:sz w:val="20"/>
                <w:szCs w:val="20"/>
                <w:lang w:val="en-GB" w:eastAsia="en-GB"/>
              </w:rPr>
            </w:pPr>
            <w:r w:rsidRPr="00221992">
              <w:rPr>
                <w:rFonts w:ascii="Wingdings" w:eastAsia="Wingdings" w:hAnsi="Wingdings" w:cs="Wingdings"/>
                <w:color w:val="FFC000"/>
                <w:sz w:val="20"/>
                <w:szCs w:val="20"/>
                <w:lang w:val="en-GB"/>
              </w:rPr>
              <w:t>þ</w:t>
            </w:r>
          </w:p>
        </w:tc>
        <w:tc>
          <w:tcPr>
            <w:tcW w:w="1742" w:type="dxa"/>
            <w:noWrap/>
            <w:hideMark/>
          </w:tcPr>
          <w:p w14:paraId="7905F4AE" w14:textId="77777777" w:rsidR="00837EB7" w:rsidRPr="00221992" w:rsidRDefault="00837EB7" w:rsidP="00682303">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Calibri Light"/>
                <w:color w:val="000000"/>
                <w:sz w:val="20"/>
                <w:szCs w:val="20"/>
                <w:lang w:val="en-GB" w:eastAsia="en-GB"/>
              </w:rPr>
            </w:pPr>
            <w:r w:rsidRPr="00221992">
              <w:rPr>
                <w:rFonts w:ascii="Wingdings" w:eastAsia="Wingdings" w:hAnsi="Wingdings" w:cs="Wingdings"/>
                <w:color w:val="FFC000"/>
                <w:sz w:val="20"/>
                <w:szCs w:val="20"/>
                <w:lang w:val="en-GB"/>
              </w:rPr>
              <w:t>þ</w:t>
            </w:r>
          </w:p>
        </w:tc>
        <w:tc>
          <w:tcPr>
            <w:tcW w:w="1742" w:type="dxa"/>
            <w:noWrap/>
            <w:hideMark/>
          </w:tcPr>
          <w:p w14:paraId="7488B5C3" w14:textId="77777777" w:rsidR="00837EB7" w:rsidRPr="00221992" w:rsidRDefault="00837EB7" w:rsidP="00682303">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Calibri Light"/>
                <w:color w:val="000000"/>
                <w:sz w:val="20"/>
                <w:szCs w:val="20"/>
                <w:lang w:val="en-GB" w:eastAsia="en-GB"/>
              </w:rPr>
            </w:pPr>
            <w:r w:rsidRPr="00221992">
              <w:rPr>
                <w:rFonts w:ascii="Wingdings" w:eastAsia="Wingdings" w:hAnsi="Wingdings" w:cs="Wingdings"/>
                <w:color w:val="FFC000"/>
                <w:sz w:val="20"/>
                <w:szCs w:val="20"/>
                <w:lang w:val="en-GB"/>
              </w:rPr>
              <w:t>þ</w:t>
            </w:r>
          </w:p>
        </w:tc>
        <w:tc>
          <w:tcPr>
            <w:tcW w:w="1742" w:type="dxa"/>
            <w:noWrap/>
            <w:hideMark/>
          </w:tcPr>
          <w:p w14:paraId="3BB1F21A" w14:textId="77777777" w:rsidR="00837EB7" w:rsidRPr="00221992" w:rsidRDefault="00837EB7" w:rsidP="00682303">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Calibri Light"/>
                <w:color w:val="000000"/>
                <w:sz w:val="20"/>
                <w:szCs w:val="20"/>
                <w:lang w:val="en-GB" w:eastAsia="en-GB"/>
              </w:rPr>
            </w:pPr>
            <w:r w:rsidRPr="00221992">
              <w:rPr>
                <w:rFonts w:eastAsia="Times New Roman" w:cs="Calibri Light"/>
                <w:color w:val="000000"/>
                <w:sz w:val="20"/>
                <w:szCs w:val="20"/>
                <w:lang w:val="en-GB" w:eastAsia="en-GB"/>
              </w:rPr>
              <w:t> </w:t>
            </w:r>
          </w:p>
        </w:tc>
      </w:tr>
      <w:tr w:rsidR="00837EB7" w:rsidRPr="00221992" w14:paraId="5ACA3B9D" w14:textId="77777777" w:rsidTr="00682303">
        <w:trPr>
          <w:trHeight w:val="280"/>
        </w:trPr>
        <w:tc>
          <w:tcPr>
            <w:cnfStyle w:val="001000000000" w:firstRow="0" w:lastRow="0" w:firstColumn="1" w:lastColumn="0" w:oddVBand="0" w:evenVBand="0" w:oddHBand="0" w:evenHBand="0" w:firstRowFirstColumn="0" w:firstRowLastColumn="0" w:lastRowFirstColumn="0" w:lastRowLastColumn="0"/>
            <w:tcW w:w="2247" w:type="dxa"/>
            <w:shd w:val="clear" w:color="auto" w:fill="0070C0"/>
            <w:noWrap/>
            <w:hideMark/>
          </w:tcPr>
          <w:p w14:paraId="363C05F9" w14:textId="77777777" w:rsidR="00837EB7" w:rsidRPr="00221992" w:rsidRDefault="00837EB7" w:rsidP="00682303">
            <w:pPr>
              <w:spacing w:after="0" w:line="240" w:lineRule="auto"/>
              <w:rPr>
                <w:rFonts w:eastAsia="Times New Roman" w:cs="Calibri Light"/>
                <w:sz w:val="20"/>
                <w:szCs w:val="20"/>
                <w:lang w:val="en-GB" w:eastAsia="en-GB"/>
              </w:rPr>
            </w:pPr>
            <w:r w:rsidRPr="00221992">
              <w:rPr>
                <w:rFonts w:eastAsia="Times New Roman" w:cs="Calibri Light"/>
                <w:sz w:val="20"/>
                <w:szCs w:val="20"/>
                <w:lang w:val="en-GB" w:eastAsia="en-GB"/>
              </w:rPr>
              <w:t>UK (Scotland)</w:t>
            </w:r>
            <w:r w:rsidRPr="00221992">
              <w:rPr>
                <w:rFonts w:eastAsia="Times New Roman" w:cs="Calibri Light"/>
                <w:sz w:val="20"/>
                <w:szCs w:val="20"/>
                <w:vertAlign w:val="superscript"/>
                <w:lang w:val="en-GB" w:eastAsia="en-GB"/>
              </w:rPr>
              <w:t>18</w:t>
            </w:r>
          </w:p>
        </w:tc>
        <w:tc>
          <w:tcPr>
            <w:tcW w:w="1741" w:type="dxa"/>
            <w:noWrap/>
            <w:hideMark/>
          </w:tcPr>
          <w:p w14:paraId="37BDEA37" w14:textId="77777777" w:rsidR="00837EB7" w:rsidRPr="00221992" w:rsidRDefault="00837EB7" w:rsidP="00682303">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Light"/>
                <w:color w:val="FF0000"/>
                <w:sz w:val="20"/>
                <w:szCs w:val="20"/>
                <w:lang w:val="en-GB" w:eastAsia="en-GB"/>
              </w:rPr>
            </w:pPr>
            <w:r w:rsidRPr="00221992">
              <w:rPr>
                <w:rFonts w:ascii="Wingdings" w:eastAsia="Wingdings" w:hAnsi="Wingdings" w:cs="Wingdings"/>
                <w:color w:val="7F7F7F" w:themeColor="text1" w:themeTint="80"/>
                <w:sz w:val="20"/>
                <w:szCs w:val="20"/>
                <w:lang w:val="en-GB"/>
              </w:rPr>
              <w:t>þ</w:t>
            </w:r>
          </w:p>
        </w:tc>
        <w:tc>
          <w:tcPr>
            <w:tcW w:w="1742" w:type="dxa"/>
            <w:noWrap/>
            <w:hideMark/>
          </w:tcPr>
          <w:p w14:paraId="0BCF01C5" w14:textId="77777777" w:rsidR="00837EB7" w:rsidRPr="00221992" w:rsidRDefault="00837EB7" w:rsidP="00682303">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Calibri Light"/>
                <w:color w:val="FF0000"/>
                <w:sz w:val="20"/>
                <w:szCs w:val="20"/>
                <w:lang w:val="en-GB" w:eastAsia="en-GB"/>
              </w:rPr>
            </w:pPr>
            <w:r w:rsidRPr="00347199">
              <w:rPr>
                <w:rFonts w:eastAsia="Times New Roman" w:cs="Calibri Light"/>
                <w:sz w:val="20"/>
                <w:szCs w:val="20"/>
                <w:lang w:val="en-GB" w:eastAsia="en-GB"/>
              </w:rPr>
              <w:t> </w:t>
            </w:r>
          </w:p>
        </w:tc>
        <w:tc>
          <w:tcPr>
            <w:tcW w:w="1742" w:type="dxa"/>
            <w:noWrap/>
            <w:hideMark/>
          </w:tcPr>
          <w:p w14:paraId="1F83A87A" w14:textId="77777777" w:rsidR="00837EB7" w:rsidRPr="00221992" w:rsidRDefault="00837EB7" w:rsidP="00682303">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Calibri Light"/>
                <w:color w:val="FF0000"/>
                <w:sz w:val="20"/>
                <w:szCs w:val="20"/>
                <w:lang w:val="en-GB" w:eastAsia="en-GB"/>
              </w:rPr>
            </w:pPr>
            <w:r w:rsidRPr="00347199">
              <w:rPr>
                <w:rFonts w:eastAsia="Times New Roman" w:cs="Calibri Light"/>
                <w:sz w:val="20"/>
                <w:szCs w:val="20"/>
                <w:lang w:val="en-GB" w:eastAsia="en-GB"/>
              </w:rPr>
              <w:t> </w:t>
            </w:r>
          </w:p>
        </w:tc>
        <w:tc>
          <w:tcPr>
            <w:tcW w:w="1742" w:type="dxa"/>
            <w:noWrap/>
            <w:hideMark/>
          </w:tcPr>
          <w:p w14:paraId="18E315DB" w14:textId="77777777" w:rsidR="00837EB7" w:rsidRPr="00221992" w:rsidRDefault="00837EB7" w:rsidP="00682303">
            <w:pPr>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Calibri Light"/>
                <w:color w:val="FF0000"/>
                <w:sz w:val="20"/>
                <w:szCs w:val="20"/>
                <w:lang w:val="en-GB" w:eastAsia="en-GB"/>
              </w:rPr>
            </w:pPr>
            <w:r w:rsidRPr="00347199">
              <w:rPr>
                <w:rFonts w:eastAsia="Times New Roman" w:cs="Calibri Light"/>
                <w:sz w:val="20"/>
                <w:szCs w:val="20"/>
                <w:lang w:val="en-GB" w:eastAsia="en-GB"/>
              </w:rPr>
              <w:t> </w:t>
            </w:r>
          </w:p>
        </w:tc>
      </w:tr>
      <w:tr w:rsidR="00837EB7" w:rsidRPr="00221992" w14:paraId="2E7D3B9C" w14:textId="77777777" w:rsidTr="00682303">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47" w:type="dxa"/>
            <w:shd w:val="clear" w:color="auto" w:fill="0070C0"/>
            <w:noWrap/>
            <w:hideMark/>
          </w:tcPr>
          <w:p w14:paraId="1B5DD3B3" w14:textId="77777777" w:rsidR="00837EB7" w:rsidRPr="000664BA" w:rsidRDefault="00837EB7" w:rsidP="00682303">
            <w:pPr>
              <w:spacing w:after="0" w:line="240" w:lineRule="auto"/>
              <w:rPr>
                <w:rFonts w:ascii="Calibri" w:eastAsia="Times New Roman" w:hAnsi="Calibri" w:cs="Calibri"/>
                <w:b/>
                <w:sz w:val="20"/>
                <w:szCs w:val="20"/>
                <w:lang w:val="en-GB" w:eastAsia="en-GB"/>
              </w:rPr>
            </w:pPr>
            <w:r w:rsidRPr="000664BA">
              <w:rPr>
                <w:rFonts w:ascii="Calibri" w:eastAsia="Times New Roman" w:hAnsi="Calibri" w:cs="Calibri"/>
                <w:b/>
                <w:sz w:val="20"/>
                <w:szCs w:val="20"/>
                <w:lang w:val="en-GB" w:eastAsia="en-GB"/>
              </w:rPr>
              <w:t xml:space="preserve"> TOTAL </w:t>
            </w:r>
          </w:p>
        </w:tc>
        <w:tc>
          <w:tcPr>
            <w:tcW w:w="1741" w:type="dxa"/>
            <w:noWrap/>
            <w:hideMark/>
          </w:tcPr>
          <w:p w14:paraId="798F2F73" w14:textId="77777777" w:rsidR="00837EB7" w:rsidRPr="000664BA" w:rsidRDefault="00837EB7" w:rsidP="00682303">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b/>
                <w:color w:val="000000"/>
                <w:sz w:val="20"/>
                <w:szCs w:val="20"/>
                <w:lang w:val="en-GB" w:eastAsia="en-GB"/>
              </w:rPr>
            </w:pPr>
            <w:r w:rsidRPr="000664BA">
              <w:rPr>
                <w:rFonts w:ascii="Calibri" w:eastAsia="Times New Roman" w:hAnsi="Calibri" w:cs="Calibri"/>
                <w:b/>
                <w:color w:val="000000"/>
                <w:sz w:val="20"/>
                <w:szCs w:val="20"/>
                <w:lang w:val="en-GB" w:eastAsia="en-GB"/>
              </w:rPr>
              <w:t>14</w:t>
            </w:r>
          </w:p>
        </w:tc>
        <w:tc>
          <w:tcPr>
            <w:tcW w:w="1742" w:type="dxa"/>
            <w:noWrap/>
            <w:hideMark/>
          </w:tcPr>
          <w:p w14:paraId="051C3C2D" w14:textId="77777777" w:rsidR="00837EB7" w:rsidRPr="000664BA" w:rsidRDefault="00837EB7" w:rsidP="00682303">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b/>
                <w:color w:val="000000"/>
                <w:sz w:val="20"/>
                <w:szCs w:val="20"/>
                <w:lang w:val="en-GB" w:eastAsia="en-GB"/>
              </w:rPr>
            </w:pPr>
            <w:r w:rsidRPr="000664BA">
              <w:rPr>
                <w:rFonts w:ascii="Calibri" w:eastAsia="Times New Roman" w:hAnsi="Calibri" w:cs="Calibri"/>
                <w:b/>
                <w:color w:val="000000"/>
                <w:sz w:val="20"/>
                <w:szCs w:val="20"/>
                <w:lang w:val="en-GB" w:eastAsia="en-GB"/>
              </w:rPr>
              <w:t>6</w:t>
            </w:r>
          </w:p>
        </w:tc>
        <w:tc>
          <w:tcPr>
            <w:tcW w:w="1742" w:type="dxa"/>
            <w:noWrap/>
            <w:hideMark/>
          </w:tcPr>
          <w:p w14:paraId="273D4551" w14:textId="77777777" w:rsidR="00837EB7" w:rsidRPr="000664BA" w:rsidRDefault="00837EB7" w:rsidP="00682303">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b/>
                <w:color w:val="000000"/>
                <w:sz w:val="20"/>
                <w:szCs w:val="20"/>
                <w:lang w:val="en-GB" w:eastAsia="en-GB"/>
              </w:rPr>
            </w:pPr>
            <w:r w:rsidRPr="000664BA">
              <w:rPr>
                <w:rFonts w:ascii="Calibri" w:eastAsia="Times New Roman" w:hAnsi="Calibri" w:cs="Calibri"/>
                <w:b/>
                <w:color w:val="000000"/>
                <w:sz w:val="20"/>
                <w:szCs w:val="20"/>
                <w:lang w:val="en-GB" w:eastAsia="en-GB"/>
              </w:rPr>
              <w:t>7</w:t>
            </w:r>
          </w:p>
        </w:tc>
        <w:tc>
          <w:tcPr>
            <w:tcW w:w="1742" w:type="dxa"/>
            <w:noWrap/>
            <w:hideMark/>
          </w:tcPr>
          <w:p w14:paraId="74990C64" w14:textId="77777777" w:rsidR="00837EB7" w:rsidRPr="000664BA" w:rsidRDefault="00837EB7" w:rsidP="00682303">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b/>
                <w:color w:val="000000"/>
                <w:sz w:val="20"/>
                <w:szCs w:val="20"/>
                <w:lang w:val="en-GB" w:eastAsia="en-GB"/>
              </w:rPr>
            </w:pPr>
            <w:r w:rsidRPr="000664BA">
              <w:rPr>
                <w:rFonts w:ascii="Calibri" w:eastAsia="Times New Roman" w:hAnsi="Calibri" w:cs="Calibri"/>
                <w:b/>
                <w:color w:val="000000"/>
                <w:sz w:val="20"/>
                <w:szCs w:val="20"/>
                <w:lang w:val="en-GB" w:eastAsia="en-GB"/>
              </w:rPr>
              <w:t>6</w:t>
            </w:r>
          </w:p>
        </w:tc>
      </w:tr>
    </w:tbl>
    <w:p w14:paraId="15649D13" w14:textId="6A99D7EB" w:rsidR="00837EB7" w:rsidRPr="00D96368" w:rsidRDefault="00837EB7" w:rsidP="00533CF1">
      <w:pPr>
        <w:pStyle w:val="TableNotes"/>
        <w:rPr>
          <w:lang w:val="en-GB"/>
        </w:rPr>
      </w:pPr>
      <w:r w:rsidRPr="00221992">
        <w:rPr>
          <w:lang w:val="en-GB"/>
        </w:rPr>
        <w:t>Notes:</w:t>
      </w:r>
      <w:r w:rsidRPr="00221992">
        <w:rPr>
          <w:lang w:val="en-GB"/>
        </w:rPr>
        <w:tab/>
        <w:t xml:space="preserve">1. Australia: Multiple sources confirmed RSA and cost capping and special pricing </w:t>
      </w:r>
      <w:r w:rsidR="004C4047">
        <w:rPr>
          <w:lang w:val="en-GB"/>
        </w:rPr>
        <w:t>arrangement</w:t>
      </w:r>
      <w:r w:rsidRPr="00221992">
        <w:rPr>
          <w:lang w:val="en-GB"/>
        </w:rPr>
        <w:t xml:space="preserve"> (SPA); Expert opinion (Department of Health HTA Review Refence committee meeting 14th August 2023) noted population caps were also in place; Interview with DOH note use of RSA and SPA (special pricing arrangements) in the form of subsidisation cap arrangements</w:t>
      </w:r>
      <w:r w:rsidR="000A58E6">
        <w:rPr>
          <w:lang w:val="en-GB"/>
        </w:rPr>
        <w:t xml:space="preserve"> (RSA)</w:t>
      </w:r>
      <w:r w:rsidRPr="00221992">
        <w:rPr>
          <w:lang w:val="en-GB"/>
        </w:rPr>
        <w:t>; Population level expenditure caps</w:t>
      </w:r>
      <w:r w:rsidR="009952E8">
        <w:rPr>
          <w:lang w:val="en-GB"/>
        </w:rPr>
        <w:t xml:space="preserve"> </w:t>
      </w:r>
      <w:r w:rsidR="004F6DE6">
        <w:rPr>
          <w:lang w:val="en-GB"/>
        </w:rPr>
        <w:t>(RSA and PSA)</w:t>
      </w:r>
      <w:r w:rsidRPr="00221992">
        <w:rPr>
          <w:lang w:val="en-GB"/>
        </w:rPr>
        <w:t>, 2. Belgium: RSA confirmed 3. Canada: Reports usage of financial MEAs. RSA/discounts/ rebates are most common and</w:t>
      </w:r>
      <w:r w:rsidR="008A6310">
        <w:rPr>
          <w:lang w:val="en-GB"/>
        </w:rPr>
        <w:t xml:space="preserve"> </w:t>
      </w:r>
      <w:r w:rsidRPr="00221992">
        <w:rPr>
          <w:lang w:val="en-GB"/>
        </w:rPr>
        <w:t>are assumed to be the MEA in place if none others are verified elsewhere</w:t>
      </w:r>
      <w:r w:rsidR="00580A7B" w:rsidRPr="00221992">
        <w:rPr>
          <w:lang w:val="en-GB"/>
        </w:rPr>
        <w:t xml:space="preserve">. </w:t>
      </w:r>
      <w:r w:rsidRPr="00221992">
        <w:rPr>
          <w:lang w:val="en-GB"/>
        </w:rPr>
        <w:t>4.France. 5. Germany: No financial MEAs reported by OECD, p</w:t>
      </w:r>
      <w:r w:rsidR="00722CD6">
        <w:rPr>
          <w:lang w:val="en-GB"/>
        </w:rPr>
        <w:t xml:space="preserve">. </w:t>
      </w:r>
      <w:r w:rsidRPr="00221992">
        <w:rPr>
          <w:lang w:val="en-GB"/>
        </w:rPr>
        <w:t>18. 6. Japan: No MEAs reported in Japan by OECD. Value-based pricing using ICER thresholds found. 7. Korea:</w:t>
      </w:r>
      <w:r w:rsidR="008A6310">
        <w:rPr>
          <w:lang w:val="en-GB"/>
        </w:rPr>
        <w:t xml:space="preserve"> </w:t>
      </w:r>
      <w:r w:rsidRPr="00221992">
        <w:rPr>
          <w:lang w:val="en-GB"/>
        </w:rPr>
        <w:t>Confirms use of CTC, patient level expenditure caps, risk sharing and patient utilisation cap. 8. Italy: Confirms use of risk sharing and capping; B. 9. Luxembourg: No specific framework in place. 10. The Netherlands: Confirms use of price volume and rebates up until 2015. 11. New Zealand: Reports usage of financial MEAs. RSA/discounts/ rebates are most common and are assumed if not verified elsewhere. 12. Norway: Reports usage of financial MEAs. RSA/discounts/ rebates are most common and are assumed if not verified elsewhere. 13. Singapore: Confirms use of price volume agreements but not outcome-based agreements. move towards budget caps. 14. Spain; no data found in OECD. Confirms use of rebates, product and patient discounts, p806</w:t>
      </w:r>
      <w:r w:rsidR="008A6310">
        <w:rPr>
          <w:lang w:val="en-GB"/>
        </w:rPr>
        <w:t xml:space="preserve"> </w:t>
      </w:r>
      <w:r w:rsidRPr="00221992">
        <w:rPr>
          <w:lang w:val="en-GB"/>
        </w:rPr>
        <w:t>. 15. Sweden: Patient utilisation cap confirmed. Reports usage of financial MEAs. RSA/discounts/ rebates are most common and are assumed if not verified elsewhere. 16. Taiwan: Confirms expenditure ceilings and MEA. 17. England/Wales: Multiple sources</w:t>
      </w:r>
      <w:r w:rsidR="00361289" w:rsidRPr="00221992">
        <w:rPr>
          <w:lang w:val="en-GB"/>
        </w:rPr>
        <w:t xml:space="preserve">. </w:t>
      </w:r>
      <w:r w:rsidRPr="00221992">
        <w:rPr>
          <w:lang w:val="en-GB"/>
        </w:rPr>
        <w:t xml:space="preserve">Confirms use of simple discount </w:t>
      </w:r>
      <w:r w:rsidRPr="00221992">
        <w:rPr>
          <w:lang w:val="en-GB"/>
        </w:rPr>
        <w:fldChar w:fldCharType="begin"/>
      </w:r>
      <w:r w:rsidR="005A67DD" w:rsidRPr="00221992">
        <w:rPr>
          <w:lang w:val="en-GB"/>
        </w:rPr>
        <w:instrText xml:space="preserve"> ADDIN EN.CITE &lt;EndNote&gt;&lt;Cite&gt;&lt;Author&gt;Lee&lt;/Author&gt;&lt;Year&gt;2021&lt;/Year&gt;&lt;RecNum&gt;282&lt;/RecNum&gt;&lt;DisplayText&gt;[5]&lt;/DisplayText&gt;&lt;record&gt;&lt;rec-number&gt;282&lt;/rec-number&gt;&lt;foreign-keys&gt;&lt;key app="EN" db-id="wzwwsfxe4peesxef95cxvrwjxts9rreasarf" timestamp="1692654670"&gt;282&lt;/key&gt;&lt;/foreign-keys&gt;&lt;ref-type name="Journal Article"&gt;17&lt;/ref-type&gt;&lt;contributors&gt;&lt;authors&gt;&lt;author&gt;Lee, B.&lt;/author&gt;&lt;author&gt;Bae, E. Y.&lt;/author&gt;&lt;author&gt;Bae, S.&lt;/author&gt;&lt;author&gt;Choi, H. J.&lt;/author&gt;&lt;author&gt;Son, K. B.&lt;/author&gt;&lt;author&gt;Lee, Y. S.&lt;/author&gt;&lt;author&gt;Jang, S.&lt;/author&gt;&lt;author&gt;Lee, T. J.&lt;/author&gt;&lt;/authors&gt;&lt;/contributors&gt;&lt;auth-address&gt;grid.31501.360000 0004 0470 5905Department of Public Health Science, Graduate School of Public Health, Seoul National University, Seoul, South Korea&amp;#xD;grid.256681.e0000 0001 0661 1492College of Pharmacy, Gyeongsang National University, Jinju, South Korea&amp;#xD;grid.255649.90000 0001 2171 7754College of Pharmacy, Ewha Womans University, Seoul, South Korea&amp;#xD;grid.256155.00000 0004 0647 2973College of Pharmacy, Gachon University, Incheon, South Korea&lt;/auth-address&gt;&lt;titles&gt;&lt;title&gt;How can we improve patients’ access to new drugs under uncertainties? : South Korea’s experience with risk sharing arrangements&lt;/title&gt;&lt;secondary-title&gt;BMC Health Serv Res&lt;/secondary-title&gt;&lt;/titles&gt;&lt;periodical&gt;&lt;full-title&gt;BMC Health Serv Res&lt;/full-title&gt;&lt;/periodical&gt;&lt;volume&gt;21&lt;/volume&gt;&lt;edition&gt;20210914&lt;/edition&gt;&lt;dates&gt;&lt;year&gt;2021&lt;/year&gt;&lt;/dates&gt;&lt;accession-num&gt;34521408&lt;/accession-num&gt;&lt;urls&gt;&lt;related-urls&gt;&lt;url&gt;https://bmchealthservres.biomedcentral.com/counter/pdf/10.1186/s12913-021-06919-x.pdf&lt;/url&gt;&lt;/related-urls&gt;&lt;/urls&gt;&lt;custom2&gt;PMC8442279&lt;/custom2&gt;&lt;electronic-resource-num&gt;10.1186/s12913-021-06919-x&lt;/electronic-resource-num&gt;&lt;language&gt;eng&lt;/language&gt;&lt;/record&gt;&lt;/Cite&gt;&lt;/EndNote&gt;</w:instrText>
      </w:r>
      <w:r w:rsidRPr="00221992">
        <w:rPr>
          <w:lang w:val="en-GB"/>
        </w:rPr>
        <w:fldChar w:fldCharType="separate"/>
      </w:r>
      <w:r w:rsidR="005A67DD" w:rsidRPr="00221992">
        <w:rPr>
          <w:noProof/>
          <w:lang w:val="en-GB"/>
        </w:rPr>
        <w:t>[5]</w:t>
      </w:r>
      <w:r w:rsidRPr="00221992">
        <w:rPr>
          <w:lang w:val="en-GB"/>
        </w:rPr>
        <w:fldChar w:fldCharType="end"/>
      </w:r>
      <w:r w:rsidRPr="00221992">
        <w:rPr>
          <w:lang w:val="en-GB"/>
        </w:rPr>
        <w:t>, Supplementary table; RSA confirmed K. 18. Scotland confirms simple discount</w:t>
      </w:r>
      <w:r w:rsidR="00142DCD">
        <w:rPr>
          <w:lang w:val="en-GB"/>
        </w:rPr>
        <w:t>.</w:t>
      </w:r>
    </w:p>
    <w:p w14:paraId="5BBB6EFB" w14:textId="4868B128" w:rsidR="00AF23EA" w:rsidRPr="00221992" w:rsidRDefault="00572F65" w:rsidP="001721AB">
      <w:pPr>
        <w:pStyle w:val="Caption"/>
        <w:rPr>
          <w:lang w:val="en-GB"/>
        </w:rPr>
      </w:pPr>
      <w:bookmarkStart w:id="24" w:name="_Ref146273800"/>
      <w:bookmarkStart w:id="25" w:name="_Toc162950951"/>
      <w:r w:rsidRPr="00221992">
        <w:rPr>
          <w:lang w:val="en-GB"/>
        </w:rPr>
        <w:t xml:space="preserve">Table </w:t>
      </w:r>
      <w:r w:rsidR="00FD7C45" w:rsidRPr="00221992">
        <w:rPr>
          <w:lang w:val="en-GB"/>
        </w:rPr>
        <w:fldChar w:fldCharType="begin"/>
      </w:r>
      <w:r w:rsidR="00FD7C45" w:rsidRPr="00221992">
        <w:rPr>
          <w:lang w:val="en-GB"/>
        </w:rPr>
        <w:instrText xml:space="preserve"> SEQ Table \* ARABIC </w:instrText>
      </w:r>
      <w:r w:rsidR="00FD7C45" w:rsidRPr="00221992">
        <w:rPr>
          <w:lang w:val="en-GB"/>
        </w:rPr>
        <w:fldChar w:fldCharType="separate"/>
      </w:r>
      <w:r w:rsidR="000E11E7">
        <w:rPr>
          <w:noProof/>
          <w:lang w:val="en-GB"/>
        </w:rPr>
        <w:t>4</w:t>
      </w:r>
      <w:r w:rsidR="00FD7C45" w:rsidRPr="00221992">
        <w:rPr>
          <w:noProof/>
          <w:lang w:val="en-GB"/>
        </w:rPr>
        <w:fldChar w:fldCharType="end"/>
      </w:r>
      <w:bookmarkEnd w:id="24"/>
      <w:r w:rsidRPr="00221992">
        <w:rPr>
          <w:lang w:val="en-GB"/>
        </w:rPr>
        <w:t>: Use of</w:t>
      </w:r>
      <w:r w:rsidR="00AF23EA" w:rsidRPr="00221992">
        <w:rPr>
          <w:lang w:val="en-GB"/>
        </w:rPr>
        <w:t xml:space="preserve"> performance</w:t>
      </w:r>
      <w:r w:rsidR="00A230A7">
        <w:rPr>
          <w:lang w:val="en-GB"/>
        </w:rPr>
        <w:t>-</w:t>
      </w:r>
      <w:r w:rsidR="00AF23EA" w:rsidRPr="00221992">
        <w:rPr>
          <w:lang w:val="en-GB"/>
        </w:rPr>
        <w:t xml:space="preserve">based </w:t>
      </w:r>
      <w:r w:rsidRPr="00221992">
        <w:rPr>
          <w:lang w:val="en-GB"/>
        </w:rPr>
        <w:t>MEAs by type and country.</w:t>
      </w:r>
      <w:bookmarkEnd w:id="25"/>
    </w:p>
    <w:tbl>
      <w:tblPr>
        <w:tblStyle w:val="LinedBlueTable"/>
        <w:tblW w:w="9330" w:type="dxa"/>
        <w:tblLayout w:type="fixed"/>
        <w:tblLook w:val="04A0" w:firstRow="1" w:lastRow="0" w:firstColumn="1" w:lastColumn="0" w:noHBand="0" w:noVBand="1"/>
      </w:tblPr>
      <w:tblGrid>
        <w:gridCol w:w="2295"/>
        <w:gridCol w:w="1395"/>
        <w:gridCol w:w="840"/>
        <w:gridCol w:w="1560"/>
        <w:gridCol w:w="1485"/>
        <w:gridCol w:w="1755"/>
      </w:tblGrid>
      <w:tr w:rsidR="00AF23EA" w:rsidRPr="00221992" w14:paraId="33263468" w14:textId="77777777" w:rsidTr="00682303">
        <w:trPr>
          <w:cnfStyle w:val="100000000000" w:firstRow="1" w:lastRow="0" w:firstColumn="0" w:lastColumn="0" w:oddVBand="0" w:evenVBand="0" w:oddHBand="0"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2295" w:type="dxa"/>
            <w:vMerge w:val="restart"/>
            <w:shd w:val="clear" w:color="auto" w:fill="000000" w:themeFill="text1"/>
          </w:tcPr>
          <w:p w14:paraId="409D69F3" w14:textId="77777777" w:rsidR="00AF23EA" w:rsidRPr="00221992" w:rsidRDefault="00AF23EA" w:rsidP="00682303">
            <w:pPr>
              <w:keepNext/>
              <w:keepLines/>
              <w:spacing w:after="0"/>
              <w:rPr>
                <w:rFonts w:ascii="Calibri" w:hAnsi="Calibri" w:cs="Calibri"/>
                <w:lang w:val="en-GB"/>
              </w:rPr>
            </w:pPr>
            <w:r w:rsidRPr="00221992">
              <w:rPr>
                <w:rFonts w:ascii="Calibri" w:eastAsia="Calibri Light" w:hAnsi="Calibri" w:cs="Calibri"/>
                <w:b/>
                <w:sz w:val="20"/>
                <w:szCs w:val="20"/>
                <w:lang w:val="en-GB"/>
              </w:rPr>
              <w:t>Country</w:t>
            </w:r>
            <w:r w:rsidRPr="00221992">
              <w:rPr>
                <w:rFonts w:ascii="Calibri" w:eastAsia="Calibri Light" w:hAnsi="Calibri" w:cs="Calibri"/>
                <w:sz w:val="20"/>
                <w:szCs w:val="20"/>
                <w:lang w:val="en-GB"/>
              </w:rPr>
              <w:t xml:space="preserve"> </w:t>
            </w:r>
          </w:p>
        </w:tc>
        <w:tc>
          <w:tcPr>
            <w:tcW w:w="3795" w:type="dxa"/>
            <w:gridSpan w:val="3"/>
            <w:shd w:val="clear" w:color="auto" w:fill="0070C0"/>
          </w:tcPr>
          <w:p w14:paraId="71F67627" w14:textId="77777777" w:rsidR="00AF23EA" w:rsidRPr="00221992" w:rsidRDefault="00AF23EA" w:rsidP="00682303">
            <w:pPr>
              <w:keepNext/>
              <w:keepLines/>
              <w:spacing w:after="0"/>
              <w:jc w:val="center"/>
              <w:cnfStyle w:val="100000000000" w:firstRow="1" w:lastRow="0" w:firstColumn="0" w:lastColumn="0" w:oddVBand="0" w:evenVBand="0" w:oddHBand="0" w:evenHBand="0" w:firstRowFirstColumn="0" w:firstRowLastColumn="0" w:lastRowFirstColumn="0" w:lastRowLastColumn="0"/>
              <w:rPr>
                <w:lang w:val="en-GB"/>
              </w:rPr>
            </w:pPr>
            <w:r w:rsidRPr="00221992">
              <w:rPr>
                <w:rFonts w:ascii="Calibri" w:eastAsia="Calibri" w:hAnsi="Calibri" w:cs="Calibri"/>
                <w:b/>
                <w:sz w:val="20"/>
                <w:szCs w:val="20"/>
                <w:lang w:val="en-GB"/>
              </w:rPr>
              <w:t>Patient level</w:t>
            </w:r>
            <w:r w:rsidRPr="00221992">
              <w:rPr>
                <w:rFonts w:ascii="Calibri" w:eastAsia="Calibri" w:hAnsi="Calibri" w:cs="Calibri"/>
                <w:color w:val="D13438"/>
                <w:sz w:val="20"/>
                <w:szCs w:val="20"/>
                <w:lang w:val="en-GB"/>
              </w:rPr>
              <w:t xml:space="preserve"> </w:t>
            </w:r>
          </w:p>
        </w:tc>
        <w:tc>
          <w:tcPr>
            <w:tcW w:w="3240" w:type="dxa"/>
            <w:gridSpan w:val="2"/>
            <w:shd w:val="clear" w:color="auto" w:fill="0070C0"/>
          </w:tcPr>
          <w:p w14:paraId="171F9F12" w14:textId="77777777" w:rsidR="00AF23EA" w:rsidRPr="00221992" w:rsidRDefault="00AF23EA" w:rsidP="00682303">
            <w:pPr>
              <w:keepNext/>
              <w:keepLines/>
              <w:spacing w:after="0"/>
              <w:jc w:val="center"/>
              <w:cnfStyle w:val="100000000000" w:firstRow="1" w:lastRow="0" w:firstColumn="0" w:lastColumn="0" w:oddVBand="0" w:evenVBand="0" w:oddHBand="0" w:evenHBand="0" w:firstRowFirstColumn="0" w:firstRowLastColumn="0" w:lastRowFirstColumn="0" w:lastRowLastColumn="0"/>
              <w:rPr>
                <w:lang w:val="en-GB"/>
              </w:rPr>
            </w:pPr>
            <w:r w:rsidRPr="00221992">
              <w:rPr>
                <w:rFonts w:ascii="Calibri" w:eastAsia="Calibri" w:hAnsi="Calibri" w:cs="Calibri"/>
                <w:b/>
                <w:sz w:val="20"/>
                <w:szCs w:val="20"/>
                <w:lang w:val="en-GB"/>
              </w:rPr>
              <w:t>Population level</w:t>
            </w:r>
            <w:r w:rsidRPr="00221992">
              <w:rPr>
                <w:rFonts w:ascii="Calibri" w:eastAsia="Calibri" w:hAnsi="Calibri" w:cs="Calibri"/>
                <w:color w:val="D13438"/>
                <w:sz w:val="20"/>
                <w:szCs w:val="20"/>
                <w:lang w:val="en-GB"/>
              </w:rPr>
              <w:t xml:space="preserve"> </w:t>
            </w:r>
          </w:p>
        </w:tc>
      </w:tr>
      <w:tr w:rsidR="00AF23EA" w:rsidRPr="00221992" w14:paraId="0A08730D" w14:textId="77777777" w:rsidTr="00682303">
        <w:trPr>
          <w:trHeight w:val="330"/>
        </w:trPr>
        <w:tc>
          <w:tcPr>
            <w:cnfStyle w:val="001000000000" w:firstRow="0" w:lastRow="0" w:firstColumn="1" w:lastColumn="0" w:oddVBand="0" w:evenVBand="0" w:oddHBand="0" w:evenHBand="0" w:firstRowFirstColumn="0" w:firstRowLastColumn="0" w:lastRowFirstColumn="0" w:lastRowLastColumn="0"/>
            <w:tcW w:w="2295" w:type="dxa"/>
            <w:vMerge/>
            <w:shd w:val="clear" w:color="auto" w:fill="000000" w:themeFill="text1"/>
          </w:tcPr>
          <w:p w14:paraId="5BB53C77" w14:textId="77777777" w:rsidR="00AF23EA" w:rsidRPr="00221992" w:rsidRDefault="00AF23EA" w:rsidP="00682303">
            <w:pPr>
              <w:keepNext/>
              <w:keepLines/>
              <w:rPr>
                <w:lang w:val="en-GB"/>
              </w:rPr>
            </w:pPr>
          </w:p>
        </w:tc>
        <w:tc>
          <w:tcPr>
            <w:tcW w:w="1395" w:type="dxa"/>
            <w:shd w:val="clear" w:color="auto" w:fill="0070C0"/>
          </w:tcPr>
          <w:p w14:paraId="52DD9465" w14:textId="77777777" w:rsidR="00AF23EA" w:rsidRPr="00221992" w:rsidRDefault="00AF23EA" w:rsidP="00682303">
            <w:pPr>
              <w:keepNext/>
              <w:keepLines/>
              <w:spacing w:after="0"/>
              <w:jc w:val="center"/>
              <w:cnfStyle w:val="000000000000" w:firstRow="0" w:lastRow="0" w:firstColumn="0" w:lastColumn="0" w:oddVBand="0" w:evenVBand="0" w:oddHBand="0" w:evenHBand="0" w:firstRowFirstColumn="0" w:firstRowLastColumn="0" w:lastRowFirstColumn="0" w:lastRowLastColumn="0"/>
              <w:rPr>
                <w:lang w:val="en-GB"/>
              </w:rPr>
            </w:pPr>
            <w:r w:rsidRPr="00221992">
              <w:rPr>
                <w:rFonts w:ascii="Calibri" w:eastAsia="Calibri" w:hAnsi="Calibri" w:cs="Calibri"/>
                <w:b/>
                <w:color w:val="FFFFFF" w:themeColor="background1"/>
                <w:sz w:val="20"/>
                <w:szCs w:val="20"/>
                <w:lang w:val="en-GB"/>
              </w:rPr>
              <w:t>PbR</w:t>
            </w:r>
          </w:p>
        </w:tc>
        <w:tc>
          <w:tcPr>
            <w:tcW w:w="840" w:type="dxa"/>
            <w:shd w:val="clear" w:color="auto" w:fill="0070C0"/>
          </w:tcPr>
          <w:p w14:paraId="1992C780" w14:textId="77777777" w:rsidR="00AF23EA" w:rsidRPr="00221992" w:rsidRDefault="00AF23EA" w:rsidP="00682303">
            <w:pPr>
              <w:keepNext/>
              <w:keepLines/>
              <w:spacing w:after="0"/>
              <w:jc w:val="center"/>
              <w:cnfStyle w:val="000000000000" w:firstRow="0" w:lastRow="0" w:firstColumn="0" w:lastColumn="0" w:oddVBand="0" w:evenVBand="0" w:oddHBand="0" w:evenHBand="0" w:firstRowFirstColumn="0" w:firstRowLastColumn="0" w:lastRowFirstColumn="0" w:lastRowLastColumn="0"/>
              <w:rPr>
                <w:lang w:val="en-GB"/>
              </w:rPr>
            </w:pPr>
            <w:r w:rsidRPr="00221992">
              <w:rPr>
                <w:rFonts w:ascii="Calibri" w:eastAsia="Calibri" w:hAnsi="Calibri" w:cs="Calibri"/>
                <w:b/>
                <w:color w:val="FFFFFF" w:themeColor="background1"/>
                <w:sz w:val="20"/>
                <w:szCs w:val="20"/>
                <w:lang w:val="en-GB"/>
              </w:rPr>
              <w:t>CED</w:t>
            </w:r>
          </w:p>
        </w:tc>
        <w:tc>
          <w:tcPr>
            <w:tcW w:w="1560" w:type="dxa"/>
            <w:shd w:val="clear" w:color="auto" w:fill="0070C0"/>
          </w:tcPr>
          <w:p w14:paraId="2EFC470D" w14:textId="77777777" w:rsidR="00AF23EA" w:rsidRPr="00221992" w:rsidRDefault="00AF23EA" w:rsidP="00682303">
            <w:pPr>
              <w:keepNext/>
              <w:keepLines/>
              <w:spacing w:after="0"/>
              <w:jc w:val="center"/>
              <w:cnfStyle w:val="000000000000" w:firstRow="0" w:lastRow="0" w:firstColumn="0" w:lastColumn="0" w:oddVBand="0" w:evenVBand="0" w:oddHBand="0" w:evenHBand="0" w:firstRowFirstColumn="0" w:firstRowLastColumn="0" w:lastRowFirstColumn="0" w:lastRowLastColumn="0"/>
              <w:rPr>
                <w:lang w:val="en-GB"/>
              </w:rPr>
            </w:pPr>
            <w:r w:rsidRPr="00221992">
              <w:rPr>
                <w:rFonts w:ascii="Calibri" w:eastAsia="Calibri" w:hAnsi="Calibri" w:cs="Calibri"/>
                <w:b/>
                <w:color w:val="FFFFFF" w:themeColor="background1"/>
                <w:sz w:val="20"/>
                <w:szCs w:val="20"/>
                <w:lang w:val="en-GB"/>
              </w:rPr>
              <w:t>CTC</w:t>
            </w:r>
          </w:p>
        </w:tc>
        <w:tc>
          <w:tcPr>
            <w:tcW w:w="1485" w:type="dxa"/>
            <w:shd w:val="clear" w:color="auto" w:fill="0070C0"/>
          </w:tcPr>
          <w:p w14:paraId="1F3E977D" w14:textId="77777777" w:rsidR="00AF23EA" w:rsidRPr="00221992" w:rsidRDefault="00AF23EA" w:rsidP="00682303">
            <w:pPr>
              <w:keepNext/>
              <w:keepLines/>
              <w:spacing w:after="0"/>
              <w:jc w:val="center"/>
              <w:cnfStyle w:val="000000000000" w:firstRow="0" w:lastRow="0" w:firstColumn="0" w:lastColumn="0" w:oddVBand="0" w:evenVBand="0" w:oddHBand="0" w:evenHBand="0" w:firstRowFirstColumn="0" w:firstRowLastColumn="0" w:lastRowFirstColumn="0" w:lastRowLastColumn="0"/>
              <w:rPr>
                <w:lang w:val="en-GB"/>
              </w:rPr>
            </w:pPr>
            <w:r w:rsidRPr="00221992">
              <w:rPr>
                <w:rFonts w:ascii="Calibri" w:eastAsia="Calibri" w:hAnsi="Calibri" w:cs="Calibri"/>
                <w:b/>
                <w:color w:val="FFFFFF" w:themeColor="background1"/>
                <w:sz w:val="20"/>
                <w:szCs w:val="20"/>
                <w:lang w:val="en-GB"/>
              </w:rPr>
              <w:t>PbR</w:t>
            </w:r>
          </w:p>
        </w:tc>
        <w:tc>
          <w:tcPr>
            <w:tcW w:w="1755" w:type="dxa"/>
            <w:shd w:val="clear" w:color="auto" w:fill="0070C0"/>
          </w:tcPr>
          <w:p w14:paraId="3F46611D" w14:textId="77777777" w:rsidR="00AF23EA" w:rsidRPr="00221992" w:rsidRDefault="00AF23EA" w:rsidP="00682303">
            <w:pPr>
              <w:keepNext/>
              <w:keepLines/>
              <w:spacing w:after="0"/>
              <w:jc w:val="center"/>
              <w:cnfStyle w:val="000000000000" w:firstRow="0" w:lastRow="0" w:firstColumn="0" w:lastColumn="0" w:oddVBand="0" w:evenVBand="0" w:oddHBand="0" w:evenHBand="0" w:firstRowFirstColumn="0" w:firstRowLastColumn="0" w:lastRowFirstColumn="0" w:lastRowLastColumn="0"/>
              <w:rPr>
                <w:lang w:val="en-GB"/>
              </w:rPr>
            </w:pPr>
            <w:r w:rsidRPr="00221992">
              <w:rPr>
                <w:rFonts w:ascii="Calibri" w:eastAsia="Calibri" w:hAnsi="Calibri" w:cs="Calibri"/>
                <w:b/>
                <w:color w:val="FFFFFF" w:themeColor="background1"/>
                <w:sz w:val="20"/>
                <w:szCs w:val="20"/>
                <w:lang w:val="en-GB"/>
              </w:rPr>
              <w:t>CED</w:t>
            </w:r>
          </w:p>
        </w:tc>
      </w:tr>
      <w:tr w:rsidR="00AF23EA" w:rsidRPr="00221992" w14:paraId="6F4220AC" w14:textId="77777777" w:rsidTr="0068230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95" w:type="dxa"/>
            <w:shd w:val="clear" w:color="auto" w:fill="0070C0"/>
          </w:tcPr>
          <w:p w14:paraId="01326137" w14:textId="77777777" w:rsidR="00AF23EA" w:rsidRPr="00221992" w:rsidRDefault="00AF23EA" w:rsidP="00682303">
            <w:pPr>
              <w:keepNext/>
              <w:keepLines/>
              <w:spacing w:after="0" w:line="240" w:lineRule="auto"/>
              <w:rPr>
                <w:lang w:val="en-GB"/>
              </w:rPr>
            </w:pPr>
            <w:r w:rsidRPr="00221992">
              <w:rPr>
                <w:rFonts w:ascii="Calibri" w:eastAsia="Calibri" w:hAnsi="Calibri" w:cs="Calibri"/>
                <w:sz w:val="20"/>
                <w:szCs w:val="20"/>
                <w:lang w:val="en-GB"/>
              </w:rPr>
              <w:t>Australia</w:t>
            </w:r>
            <w:r w:rsidRPr="00221992">
              <w:rPr>
                <w:rFonts w:ascii="Calibri" w:eastAsia="Calibri" w:hAnsi="Calibri" w:cs="Calibri"/>
                <w:sz w:val="20"/>
                <w:szCs w:val="20"/>
                <w:vertAlign w:val="superscript"/>
                <w:lang w:val="en-GB"/>
              </w:rPr>
              <w:t>1</w:t>
            </w:r>
          </w:p>
        </w:tc>
        <w:tc>
          <w:tcPr>
            <w:tcW w:w="1395" w:type="dxa"/>
          </w:tcPr>
          <w:p w14:paraId="04C823E5" w14:textId="77777777" w:rsidR="00AF23EA" w:rsidRPr="00221992" w:rsidRDefault="00AF23EA" w:rsidP="00682303">
            <w:pPr>
              <w:keepNext/>
              <w:keepLines/>
              <w:spacing w:after="0" w:line="240" w:lineRule="auto"/>
              <w:jc w:val="center"/>
              <w:cnfStyle w:val="000000010000" w:firstRow="0" w:lastRow="0" w:firstColumn="0" w:lastColumn="0" w:oddVBand="0" w:evenVBand="0" w:oddHBand="0" w:evenHBand="1" w:firstRowFirstColumn="0" w:firstRowLastColumn="0" w:lastRowFirstColumn="0" w:lastRowLastColumn="0"/>
              <w:rPr>
                <w:lang w:val="en-GB"/>
              </w:rPr>
            </w:pPr>
            <w:r w:rsidRPr="00221992">
              <w:rPr>
                <w:rFonts w:ascii="Wingdings" w:eastAsia="Wingdings" w:hAnsi="Wingdings" w:cs="Wingdings"/>
                <w:color w:val="7F7F7F" w:themeColor="text1" w:themeTint="80"/>
                <w:sz w:val="20"/>
                <w:szCs w:val="20"/>
                <w:lang w:val="en-GB"/>
              </w:rPr>
              <w:t>þ</w:t>
            </w:r>
          </w:p>
        </w:tc>
        <w:tc>
          <w:tcPr>
            <w:tcW w:w="840" w:type="dxa"/>
          </w:tcPr>
          <w:p w14:paraId="0D15C26A" w14:textId="77777777" w:rsidR="00AF23EA" w:rsidRPr="00221992" w:rsidRDefault="00AF23EA" w:rsidP="00682303">
            <w:pPr>
              <w:keepNext/>
              <w:keepLines/>
              <w:spacing w:after="0" w:line="240" w:lineRule="auto"/>
              <w:jc w:val="center"/>
              <w:cnfStyle w:val="000000010000" w:firstRow="0" w:lastRow="0" w:firstColumn="0" w:lastColumn="0" w:oddVBand="0" w:evenVBand="0" w:oddHBand="0" w:evenHBand="1" w:firstRowFirstColumn="0" w:firstRowLastColumn="0" w:lastRowFirstColumn="0" w:lastRowLastColumn="0"/>
              <w:rPr>
                <w:lang w:val="en-GB"/>
              </w:rPr>
            </w:pPr>
            <w:r w:rsidRPr="00221992">
              <w:rPr>
                <w:rFonts w:ascii="Wingdings" w:eastAsia="Wingdings" w:hAnsi="Wingdings" w:cs="Wingdings"/>
                <w:color w:val="7F7F7F" w:themeColor="text1" w:themeTint="80"/>
                <w:sz w:val="20"/>
                <w:szCs w:val="20"/>
                <w:lang w:val="en-GB"/>
              </w:rPr>
              <w:t>þ</w:t>
            </w:r>
          </w:p>
        </w:tc>
        <w:tc>
          <w:tcPr>
            <w:tcW w:w="1560" w:type="dxa"/>
          </w:tcPr>
          <w:p w14:paraId="16D020A8" w14:textId="77777777" w:rsidR="00AF23EA" w:rsidRPr="00221992" w:rsidRDefault="00AF23EA" w:rsidP="00682303">
            <w:pPr>
              <w:keepNext/>
              <w:keepLines/>
              <w:spacing w:after="0" w:line="240" w:lineRule="auto"/>
              <w:jc w:val="center"/>
              <w:cnfStyle w:val="000000010000" w:firstRow="0" w:lastRow="0" w:firstColumn="0" w:lastColumn="0" w:oddVBand="0" w:evenVBand="0" w:oddHBand="0" w:evenHBand="1" w:firstRowFirstColumn="0" w:firstRowLastColumn="0" w:lastRowFirstColumn="0" w:lastRowLastColumn="0"/>
              <w:rPr>
                <w:lang w:val="en-GB"/>
              </w:rPr>
            </w:pPr>
            <w:r w:rsidRPr="00221992">
              <w:rPr>
                <w:rFonts w:ascii="Wingdings" w:eastAsia="Wingdings" w:hAnsi="Wingdings" w:cs="Wingdings"/>
                <w:color w:val="7F7F7F" w:themeColor="text1" w:themeTint="80"/>
                <w:sz w:val="20"/>
                <w:szCs w:val="20"/>
                <w:lang w:val="en-GB"/>
              </w:rPr>
              <w:t>þ</w:t>
            </w:r>
          </w:p>
        </w:tc>
        <w:tc>
          <w:tcPr>
            <w:tcW w:w="1485" w:type="dxa"/>
          </w:tcPr>
          <w:p w14:paraId="49819B72" w14:textId="77777777" w:rsidR="00AF23EA" w:rsidRPr="00221992" w:rsidRDefault="00AF23EA" w:rsidP="00682303">
            <w:pPr>
              <w:keepNext/>
              <w:keepLines/>
              <w:spacing w:after="0" w:line="240" w:lineRule="auto"/>
              <w:cnfStyle w:val="000000010000" w:firstRow="0" w:lastRow="0" w:firstColumn="0" w:lastColumn="0" w:oddVBand="0" w:evenVBand="0" w:oddHBand="0" w:evenHBand="1" w:firstRowFirstColumn="0" w:firstRowLastColumn="0" w:lastRowFirstColumn="0" w:lastRowLastColumn="0"/>
              <w:rPr>
                <w:lang w:val="en-GB"/>
              </w:rPr>
            </w:pPr>
          </w:p>
        </w:tc>
        <w:tc>
          <w:tcPr>
            <w:tcW w:w="1755" w:type="dxa"/>
          </w:tcPr>
          <w:p w14:paraId="0C352E69" w14:textId="77777777" w:rsidR="00AF23EA" w:rsidRPr="00221992" w:rsidRDefault="00AF23EA" w:rsidP="00682303">
            <w:pPr>
              <w:keepNext/>
              <w:keepLines/>
              <w:spacing w:after="0" w:line="240" w:lineRule="auto"/>
              <w:jc w:val="center"/>
              <w:cnfStyle w:val="000000010000" w:firstRow="0" w:lastRow="0" w:firstColumn="0" w:lastColumn="0" w:oddVBand="0" w:evenVBand="0" w:oddHBand="0" w:evenHBand="1" w:firstRowFirstColumn="0" w:firstRowLastColumn="0" w:lastRowFirstColumn="0" w:lastRowLastColumn="0"/>
              <w:rPr>
                <w:lang w:val="en-GB"/>
              </w:rPr>
            </w:pPr>
            <w:r w:rsidRPr="00221992">
              <w:rPr>
                <w:rFonts w:ascii="Wingdings" w:eastAsia="Wingdings" w:hAnsi="Wingdings" w:cs="Wingdings"/>
                <w:color w:val="FFC000"/>
                <w:sz w:val="20"/>
                <w:szCs w:val="20"/>
                <w:lang w:val="en-GB"/>
              </w:rPr>
              <w:t>þ</w:t>
            </w:r>
          </w:p>
        </w:tc>
      </w:tr>
      <w:tr w:rsidR="00AF23EA" w:rsidRPr="00221992" w14:paraId="506EBF86" w14:textId="77777777" w:rsidTr="00682303">
        <w:tc>
          <w:tcPr>
            <w:cnfStyle w:val="001000000000" w:firstRow="0" w:lastRow="0" w:firstColumn="1" w:lastColumn="0" w:oddVBand="0" w:evenVBand="0" w:oddHBand="0" w:evenHBand="0" w:firstRowFirstColumn="0" w:firstRowLastColumn="0" w:lastRowFirstColumn="0" w:lastRowLastColumn="0"/>
            <w:tcW w:w="2295" w:type="dxa"/>
            <w:shd w:val="clear" w:color="auto" w:fill="0070C0"/>
          </w:tcPr>
          <w:p w14:paraId="56EC5EF8" w14:textId="77777777" w:rsidR="00AF23EA" w:rsidRPr="00221992" w:rsidRDefault="00AF23EA" w:rsidP="00682303">
            <w:pPr>
              <w:keepNext/>
              <w:keepLines/>
              <w:spacing w:after="0" w:line="240" w:lineRule="auto"/>
              <w:rPr>
                <w:lang w:val="en-GB"/>
              </w:rPr>
            </w:pPr>
            <w:r w:rsidRPr="00221992">
              <w:rPr>
                <w:rFonts w:ascii="Calibri" w:eastAsia="Calibri" w:hAnsi="Calibri" w:cs="Calibri"/>
                <w:sz w:val="20"/>
                <w:szCs w:val="20"/>
                <w:lang w:val="en-GB"/>
              </w:rPr>
              <w:t>Belgium</w:t>
            </w:r>
            <w:r w:rsidRPr="00221992">
              <w:rPr>
                <w:rFonts w:ascii="Calibri" w:eastAsia="Calibri" w:hAnsi="Calibri" w:cs="Calibri"/>
                <w:sz w:val="20"/>
                <w:szCs w:val="20"/>
                <w:vertAlign w:val="superscript"/>
                <w:lang w:val="en-GB"/>
              </w:rPr>
              <w:t>2</w:t>
            </w:r>
          </w:p>
        </w:tc>
        <w:tc>
          <w:tcPr>
            <w:tcW w:w="1395" w:type="dxa"/>
          </w:tcPr>
          <w:p w14:paraId="45042CEE" w14:textId="77777777" w:rsidR="00AF23EA" w:rsidRPr="00221992" w:rsidRDefault="00AF23EA" w:rsidP="00682303">
            <w:pPr>
              <w:keepNext/>
              <w:keepLines/>
              <w:spacing w:after="0" w:line="240" w:lineRule="auto"/>
              <w:jc w:val="center"/>
              <w:cnfStyle w:val="000000000000" w:firstRow="0" w:lastRow="0" w:firstColumn="0" w:lastColumn="0" w:oddVBand="0" w:evenVBand="0" w:oddHBand="0" w:evenHBand="0" w:firstRowFirstColumn="0" w:firstRowLastColumn="0" w:lastRowFirstColumn="0" w:lastRowLastColumn="0"/>
              <w:rPr>
                <w:lang w:val="en-GB"/>
              </w:rPr>
            </w:pPr>
            <w:r w:rsidRPr="00221992">
              <w:rPr>
                <w:rFonts w:ascii="Wingdings" w:eastAsia="Wingdings" w:hAnsi="Wingdings" w:cs="Wingdings"/>
                <w:color w:val="FFC000"/>
                <w:sz w:val="20"/>
                <w:szCs w:val="20"/>
                <w:lang w:val="en-GB"/>
              </w:rPr>
              <w:t>þ</w:t>
            </w:r>
          </w:p>
        </w:tc>
        <w:tc>
          <w:tcPr>
            <w:tcW w:w="840" w:type="dxa"/>
          </w:tcPr>
          <w:p w14:paraId="4C3C8253" w14:textId="77777777" w:rsidR="00AF23EA" w:rsidRPr="00221992" w:rsidRDefault="00AF23EA" w:rsidP="00682303">
            <w:pPr>
              <w:keepNext/>
              <w:keepLines/>
              <w:spacing w:after="0" w:line="240" w:lineRule="auto"/>
              <w:cnfStyle w:val="000000000000" w:firstRow="0" w:lastRow="0" w:firstColumn="0" w:lastColumn="0" w:oddVBand="0" w:evenVBand="0" w:oddHBand="0" w:evenHBand="0" w:firstRowFirstColumn="0" w:firstRowLastColumn="0" w:lastRowFirstColumn="0" w:lastRowLastColumn="0"/>
              <w:rPr>
                <w:lang w:val="en-GB"/>
              </w:rPr>
            </w:pPr>
          </w:p>
        </w:tc>
        <w:tc>
          <w:tcPr>
            <w:tcW w:w="1560" w:type="dxa"/>
          </w:tcPr>
          <w:p w14:paraId="48607827" w14:textId="77777777" w:rsidR="00AF23EA" w:rsidRPr="00221992" w:rsidRDefault="00AF23EA" w:rsidP="00682303">
            <w:pPr>
              <w:keepNext/>
              <w:keepLines/>
              <w:spacing w:after="0" w:line="240" w:lineRule="auto"/>
              <w:cnfStyle w:val="000000000000" w:firstRow="0" w:lastRow="0" w:firstColumn="0" w:lastColumn="0" w:oddVBand="0" w:evenVBand="0" w:oddHBand="0" w:evenHBand="0" w:firstRowFirstColumn="0" w:firstRowLastColumn="0" w:lastRowFirstColumn="0" w:lastRowLastColumn="0"/>
              <w:rPr>
                <w:lang w:val="en-GB"/>
              </w:rPr>
            </w:pPr>
          </w:p>
        </w:tc>
        <w:tc>
          <w:tcPr>
            <w:tcW w:w="1485" w:type="dxa"/>
          </w:tcPr>
          <w:p w14:paraId="37EE4D61" w14:textId="77777777" w:rsidR="00AF23EA" w:rsidRPr="00221992" w:rsidRDefault="00AF23EA" w:rsidP="00682303">
            <w:pPr>
              <w:keepNext/>
              <w:keepLines/>
              <w:spacing w:after="0" w:line="240" w:lineRule="auto"/>
              <w:jc w:val="center"/>
              <w:cnfStyle w:val="000000000000" w:firstRow="0" w:lastRow="0" w:firstColumn="0" w:lastColumn="0" w:oddVBand="0" w:evenVBand="0" w:oddHBand="0" w:evenHBand="0" w:firstRowFirstColumn="0" w:firstRowLastColumn="0" w:lastRowFirstColumn="0" w:lastRowLastColumn="0"/>
              <w:rPr>
                <w:lang w:val="en-GB"/>
              </w:rPr>
            </w:pPr>
            <w:r w:rsidRPr="00221992">
              <w:rPr>
                <w:rFonts w:ascii="Wingdings" w:eastAsia="Wingdings" w:hAnsi="Wingdings" w:cs="Wingdings"/>
                <w:color w:val="FFC000"/>
                <w:sz w:val="20"/>
                <w:szCs w:val="20"/>
                <w:lang w:val="en-GB"/>
              </w:rPr>
              <w:t>þ</w:t>
            </w:r>
          </w:p>
        </w:tc>
        <w:tc>
          <w:tcPr>
            <w:tcW w:w="1755" w:type="dxa"/>
          </w:tcPr>
          <w:p w14:paraId="4C1B5A94" w14:textId="77777777" w:rsidR="00AF23EA" w:rsidRPr="00221992" w:rsidRDefault="00AF23EA" w:rsidP="00682303">
            <w:pPr>
              <w:keepNext/>
              <w:keepLines/>
              <w:spacing w:after="0" w:line="240" w:lineRule="auto"/>
              <w:jc w:val="center"/>
              <w:cnfStyle w:val="000000000000" w:firstRow="0" w:lastRow="0" w:firstColumn="0" w:lastColumn="0" w:oddVBand="0" w:evenVBand="0" w:oddHBand="0" w:evenHBand="0" w:firstRowFirstColumn="0" w:firstRowLastColumn="0" w:lastRowFirstColumn="0" w:lastRowLastColumn="0"/>
              <w:rPr>
                <w:lang w:val="en-GB"/>
              </w:rPr>
            </w:pPr>
            <w:r w:rsidRPr="00221992">
              <w:rPr>
                <w:rFonts w:ascii="Wingdings" w:eastAsia="Wingdings" w:hAnsi="Wingdings" w:cs="Wingdings"/>
                <w:color w:val="FFC000"/>
                <w:sz w:val="20"/>
                <w:szCs w:val="20"/>
                <w:lang w:val="en-GB"/>
              </w:rPr>
              <w:t>þ</w:t>
            </w:r>
          </w:p>
        </w:tc>
      </w:tr>
      <w:tr w:rsidR="00AF23EA" w:rsidRPr="00221992" w14:paraId="2CA5B3A6" w14:textId="77777777" w:rsidTr="0068230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95" w:type="dxa"/>
            <w:shd w:val="clear" w:color="auto" w:fill="0070C0"/>
          </w:tcPr>
          <w:p w14:paraId="43B656C4" w14:textId="77777777" w:rsidR="00AF23EA" w:rsidRPr="00221992" w:rsidRDefault="00AF23EA" w:rsidP="00682303">
            <w:pPr>
              <w:keepNext/>
              <w:keepLines/>
              <w:spacing w:after="0" w:line="240" w:lineRule="auto"/>
              <w:rPr>
                <w:lang w:val="en-GB"/>
              </w:rPr>
            </w:pPr>
            <w:r w:rsidRPr="00221992">
              <w:rPr>
                <w:rFonts w:ascii="Calibri" w:eastAsia="Calibri" w:hAnsi="Calibri" w:cs="Calibri"/>
                <w:sz w:val="20"/>
                <w:szCs w:val="20"/>
                <w:lang w:val="en-GB"/>
              </w:rPr>
              <w:t>Canada</w:t>
            </w:r>
            <w:r w:rsidRPr="00221992">
              <w:rPr>
                <w:rFonts w:ascii="Calibri" w:eastAsia="Calibri" w:hAnsi="Calibri" w:cs="Calibri"/>
                <w:sz w:val="20"/>
                <w:szCs w:val="20"/>
                <w:vertAlign w:val="superscript"/>
                <w:lang w:val="en-GB"/>
              </w:rPr>
              <w:t>3</w:t>
            </w:r>
          </w:p>
        </w:tc>
        <w:tc>
          <w:tcPr>
            <w:tcW w:w="7035" w:type="dxa"/>
            <w:gridSpan w:val="5"/>
          </w:tcPr>
          <w:p w14:paraId="452B63EF" w14:textId="159A67BC" w:rsidR="00AF23EA" w:rsidRPr="00221992" w:rsidRDefault="00AF23EA" w:rsidP="00C32D2C">
            <w:pPr>
              <w:keepNext/>
              <w:keepLines/>
              <w:spacing w:after="0" w:line="240" w:lineRule="auto"/>
              <w:ind w:left="0"/>
              <w:jc w:val="center"/>
              <w:cnfStyle w:val="000000010000" w:firstRow="0" w:lastRow="0" w:firstColumn="0" w:lastColumn="0" w:oddVBand="0" w:evenVBand="0" w:oddHBand="0" w:evenHBand="1" w:firstRowFirstColumn="0" w:firstRowLastColumn="0" w:lastRowFirstColumn="0" w:lastRowLastColumn="0"/>
              <w:rPr>
                <w:lang w:val="en-GB"/>
              </w:rPr>
            </w:pPr>
            <w:r w:rsidRPr="00221992">
              <w:rPr>
                <w:rFonts w:eastAsia="Calibri Light" w:cs="Calibri Light"/>
                <w:color w:val="000000" w:themeColor="text1"/>
                <w:sz w:val="20"/>
                <w:szCs w:val="20"/>
                <w:lang w:val="en-GB"/>
              </w:rPr>
              <w:t>NI</w:t>
            </w:r>
          </w:p>
        </w:tc>
      </w:tr>
      <w:tr w:rsidR="00AF23EA" w:rsidRPr="00221992" w14:paraId="18092B78" w14:textId="77777777" w:rsidTr="00682303">
        <w:tc>
          <w:tcPr>
            <w:cnfStyle w:val="001000000000" w:firstRow="0" w:lastRow="0" w:firstColumn="1" w:lastColumn="0" w:oddVBand="0" w:evenVBand="0" w:oddHBand="0" w:evenHBand="0" w:firstRowFirstColumn="0" w:firstRowLastColumn="0" w:lastRowFirstColumn="0" w:lastRowLastColumn="0"/>
            <w:tcW w:w="2295" w:type="dxa"/>
            <w:shd w:val="clear" w:color="auto" w:fill="0070C0"/>
          </w:tcPr>
          <w:p w14:paraId="6BE9A964" w14:textId="77777777" w:rsidR="00AF23EA" w:rsidRPr="00221992" w:rsidRDefault="00AF23EA" w:rsidP="00682303">
            <w:pPr>
              <w:keepNext/>
              <w:keepLines/>
              <w:spacing w:after="0" w:line="240" w:lineRule="auto"/>
              <w:rPr>
                <w:lang w:val="en-GB"/>
              </w:rPr>
            </w:pPr>
            <w:r w:rsidRPr="00221992">
              <w:rPr>
                <w:rFonts w:ascii="Calibri" w:eastAsia="Calibri" w:hAnsi="Calibri" w:cs="Calibri"/>
                <w:sz w:val="20"/>
                <w:szCs w:val="20"/>
                <w:lang w:val="en-GB"/>
              </w:rPr>
              <w:t>France</w:t>
            </w:r>
            <w:r w:rsidRPr="00221992">
              <w:rPr>
                <w:rFonts w:ascii="Calibri" w:eastAsia="Calibri" w:hAnsi="Calibri" w:cs="Calibri"/>
                <w:sz w:val="20"/>
                <w:szCs w:val="20"/>
                <w:vertAlign w:val="superscript"/>
                <w:lang w:val="en-GB"/>
              </w:rPr>
              <w:t>4</w:t>
            </w:r>
            <w:r w:rsidRPr="00221992">
              <w:rPr>
                <w:rFonts w:ascii="Calibri" w:eastAsia="Calibri" w:hAnsi="Calibri" w:cs="Calibri"/>
                <w:color w:val="D13438"/>
                <w:sz w:val="20"/>
                <w:szCs w:val="20"/>
                <w:vertAlign w:val="superscript"/>
                <w:lang w:val="en-GB"/>
              </w:rPr>
              <w:t xml:space="preserve"> </w:t>
            </w:r>
          </w:p>
        </w:tc>
        <w:tc>
          <w:tcPr>
            <w:tcW w:w="1395" w:type="dxa"/>
          </w:tcPr>
          <w:p w14:paraId="7E14431B" w14:textId="77777777" w:rsidR="00AF23EA" w:rsidRPr="00221992" w:rsidRDefault="00AF23EA" w:rsidP="00682303">
            <w:pPr>
              <w:keepNext/>
              <w:keepLines/>
              <w:spacing w:after="0" w:line="240" w:lineRule="auto"/>
              <w:jc w:val="center"/>
              <w:cnfStyle w:val="000000000000" w:firstRow="0" w:lastRow="0" w:firstColumn="0" w:lastColumn="0" w:oddVBand="0" w:evenVBand="0" w:oddHBand="0" w:evenHBand="0" w:firstRowFirstColumn="0" w:firstRowLastColumn="0" w:lastRowFirstColumn="0" w:lastRowLastColumn="0"/>
              <w:rPr>
                <w:lang w:val="en-GB"/>
              </w:rPr>
            </w:pPr>
            <w:r w:rsidRPr="00221992">
              <w:rPr>
                <w:rFonts w:ascii="Wingdings" w:eastAsia="Wingdings" w:hAnsi="Wingdings" w:cs="Wingdings"/>
                <w:color w:val="7F7F7F" w:themeColor="text1" w:themeTint="80"/>
                <w:sz w:val="20"/>
                <w:szCs w:val="20"/>
                <w:lang w:val="en-GB"/>
              </w:rPr>
              <w:t>þ</w:t>
            </w:r>
          </w:p>
        </w:tc>
        <w:tc>
          <w:tcPr>
            <w:tcW w:w="840" w:type="dxa"/>
          </w:tcPr>
          <w:p w14:paraId="6A5F64A8" w14:textId="77777777" w:rsidR="00AF23EA" w:rsidRPr="00221992" w:rsidRDefault="00AF23EA" w:rsidP="00682303">
            <w:pPr>
              <w:keepNext/>
              <w:keepLines/>
              <w:spacing w:after="0" w:line="240" w:lineRule="auto"/>
              <w:jc w:val="center"/>
              <w:cnfStyle w:val="000000000000" w:firstRow="0" w:lastRow="0" w:firstColumn="0" w:lastColumn="0" w:oddVBand="0" w:evenVBand="0" w:oddHBand="0" w:evenHBand="0" w:firstRowFirstColumn="0" w:firstRowLastColumn="0" w:lastRowFirstColumn="0" w:lastRowLastColumn="0"/>
              <w:rPr>
                <w:lang w:val="en-GB"/>
              </w:rPr>
            </w:pPr>
            <w:r w:rsidRPr="00221992">
              <w:rPr>
                <w:rFonts w:ascii="Wingdings" w:eastAsia="Wingdings" w:hAnsi="Wingdings" w:cs="Wingdings"/>
                <w:color w:val="7F7F7F" w:themeColor="text1" w:themeTint="80"/>
                <w:sz w:val="20"/>
                <w:szCs w:val="20"/>
                <w:lang w:val="en-GB"/>
              </w:rPr>
              <w:t>þ</w:t>
            </w:r>
          </w:p>
        </w:tc>
        <w:tc>
          <w:tcPr>
            <w:tcW w:w="1560" w:type="dxa"/>
          </w:tcPr>
          <w:p w14:paraId="68A578FD" w14:textId="77777777" w:rsidR="00AF23EA" w:rsidRPr="00221992" w:rsidRDefault="00AF23EA" w:rsidP="00682303">
            <w:pPr>
              <w:keepNext/>
              <w:keepLines/>
              <w:spacing w:after="0" w:line="240" w:lineRule="auto"/>
              <w:cnfStyle w:val="000000000000" w:firstRow="0" w:lastRow="0" w:firstColumn="0" w:lastColumn="0" w:oddVBand="0" w:evenVBand="0" w:oddHBand="0" w:evenHBand="0" w:firstRowFirstColumn="0" w:firstRowLastColumn="0" w:lastRowFirstColumn="0" w:lastRowLastColumn="0"/>
              <w:rPr>
                <w:lang w:val="en-GB"/>
              </w:rPr>
            </w:pPr>
            <w:r w:rsidRPr="00221992">
              <w:rPr>
                <w:rFonts w:eastAsia="Calibri Light" w:cs="Calibri Light"/>
                <w:sz w:val="20"/>
                <w:szCs w:val="20"/>
                <w:lang w:val="en-GB"/>
              </w:rPr>
              <w:t xml:space="preserve"> </w:t>
            </w:r>
          </w:p>
        </w:tc>
        <w:tc>
          <w:tcPr>
            <w:tcW w:w="1485" w:type="dxa"/>
          </w:tcPr>
          <w:p w14:paraId="2F1F7AB2" w14:textId="77777777" w:rsidR="00AF23EA" w:rsidRPr="00221992" w:rsidRDefault="00AF23EA" w:rsidP="00682303">
            <w:pPr>
              <w:keepNext/>
              <w:keepLines/>
              <w:spacing w:after="0" w:line="240" w:lineRule="auto"/>
              <w:cnfStyle w:val="000000000000" w:firstRow="0" w:lastRow="0" w:firstColumn="0" w:lastColumn="0" w:oddVBand="0" w:evenVBand="0" w:oddHBand="0" w:evenHBand="0" w:firstRowFirstColumn="0" w:firstRowLastColumn="0" w:lastRowFirstColumn="0" w:lastRowLastColumn="0"/>
              <w:rPr>
                <w:lang w:val="en-GB"/>
              </w:rPr>
            </w:pPr>
            <w:r w:rsidRPr="00221992">
              <w:rPr>
                <w:rFonts w:eastAsia="Calibri Light" w:cs="Calibri Light"/>
                <w:sz w:val="20"/>
                <w:szCs w:val="20"/>
                <w:lang w:val="en-GB"/>
              </w:rPr>
              <w:t xml:space="preserve"> </w:t>
            </w:r>
          </w:p>
        </w:tc>
        <w:tc>
          <w:tcPr>
            <w:tcW w:w="1755" w:type="dxa"/>
          </w:tcPr>
          <w:p w14:paraId="65B2D102" w14:textId="77777777" w:rsidR="00AF23EA" w:rsidRPr="00221992" w:rsidRDefault="00AF23EA" w:rsidP="00682303">
            <w:pPr>
              <w:keepNext/>
              <w:keepLines/>
              <w:spacing w:after="0" w:line="240" w:lineRule="auto"/>
              <w:jc w:val="center"/>
              <w:cnfStyle w:val="000000000000" w:firstRow="0" w:lastRow="0" w:firstColumn="0" w:lastColumn="0" w:oddVBand="0" w:evenVBand="0" w:oddHBand="0" w:evenHBand="0" w:firstRowFirstColumn="0" w:firstRowLastColumn="0" w:lastRowFirstColumn="0" w:lastRowLastColumn="0"/>
              <w:rPr>
                <w:lang w:val="en-GB"/>
              </w:rPr>
            </w:pPr>
            <w:r w:rsidRPr="00221992">
              <w:rPr>
                <w:rFonts w:ascii="Wingdings" w:eastAsia="Wingdings" w:hAnsi="Wingdings" w:cs="Wingdings"/>
                <w:color w:val="7F7F7F" w:themeColor="text1" w:themeTint="80"/>
                <w:sz w:val="20"/>
                <w:szCs w:val="20"/>
                <w:lang w:val="en-GB"/>
              </w:rPr>
              <w:t>þ</w:t>
            </w:r>
          </w:p>
        </w:tc>
      </w:tr>
      <w:tr w:rsidR="00AF23EA" w:rsidRPr="00221992" w14:paraId="29C3E1A5" w14:textId="77777777" w:rsidTr="0068230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95" w:type="dxa"/>
            <w:shd w:val="clear" w:color="auto" w:fill="0070C0"/>
          </w:tcPr>
          <w:p w14:paraId="32D56A18" w14:textId="77777777" w:rsidR="00AF23EA" w:rsidRPr="00221992" w:rsidRDefault="00AF23EA" w:rsidP="00682303">
            <w:pPr>
              <w:keepNext/>
              <w:keepLines/>
              <w:spacing w:after="0" w:line="240" w:lineRule="auto"/>
              <w:rPr>
                <w:lang w:val="en-GB"/>
              </w:rPr>
            </w:pPr>
            <w:r w:rsidRPr="00221992">
              <w:rPr>
                <w:rFonts w:ascii="Calibri" w:eastAsia="Calibri" w:hAnsi="Calibri" w:cs="Calibri"/>
                <w:sz w:val="20"/>
                <w:szCs w:val="20"/>
                <w:lang w:val="en-GB"/>
              </w:rPr>
              <w:t>Germany</w:t>
            </w:r>
            <w:r w:rsidRPr="00221992">
              <w:rPr>
                <w:rFonts w:ascii="Calibri" w:eastAsia="Calibri" w:hAnsi="Calibri" w:cs="Calibri"/>
                <w:sz w:val="20"/>
                <w:szCs w:val="20"/>
                <w:vertAlign w:val="superscript"/>
                <w:lang w:val="en-GB"/>
              </w:rPr>
              <w:t>5</w:t>
            </w:r>
          </w:p>
        </w:tc>
        <w:tc>
          <w:tcPr>
            <w:tcW w:w="1395" w:type="dxa"/>
          </w:tcPr>
          <w:p w14:paraId="4053E9D8" w14:textId="77777777" w:rsidR="00AF23EA" w:rsidRPr="00221992" w:rsidRDefault="00AF23EA" w:rsidP="00682303">
            <w:pPr>
              <w:keepNext/>
              <w:keepLines/>
              <w:spacing w:after="0" w:line="240" w:lineRule="auto"/>
              <w:cnfStyle w:val="000000010000" w:firstRow="0" w:lastRow="0" w:firstColumn="0" w:lastColumn="0" w:oddVBand="0" w:evenVBand="0" w:oddHBand="0" w:evenHBand="1" w:firstRowFirstColumn="0" w:firstRowLastColumn="0" w:lastRowFirstColumn="0" w:lastRowLastColumn="0"/>
              <w:rPr>
                <w:lang w:val="en-GB"/>
              </w:rPr>
            </w:pPr>
          </w:p>
        </w:tc>
        <w:tc>
          <w:tcPr>
            <w:tcW w:w="840" w:type="dxa"/>
          </w:tcPr>
          <w:p w14:paraId="6E3ED61D" w14:textId="77777777" w:rsidR="00AF23EA" w:rsidRPr="00221992" w:rsidRDefault="00AF23EA" w:rsidP="00682303">
            <w:pPr>
              <w:keepNext/>
              <w:keepLines/>
              <w:spacing w:after="0" w:line="240" w:lineRule="auto"/>
              <w:jc w:val="center"/>
              <w:cnfStyle w:val="000000010000" w:firstRow="0" w:lastRow="0" w:firstColumn="0" w:lastColumn="0" w:oddVBand="0" w:evenVBand="0" w:oddHBand="0" w:evenHBand="1" w:firstRowFirstColumn="0" w:firstRowLastColumn="0" w:lastRowFirstColumn="0" w:lastRowLastColumn="0"/>
              <w:rPr>
                <w:lang w:val="en-GB"/>
              </w:rPr>
            </w:pPr>
            <w:r w:rsidRPr="00221992">
              <w:rPr>
                <w:rFonts w:ascii="Wingdings" w:eastAsia="Wingdings" w:hAnsi="Wingdings" w:cs="Wingdings"/>
                <w:color w:val="FFC000"/>
                <w:sz w:val="20"/>
                <w:szCs w:val="20"/>
                <w:lang w:val="en-GB"/>
              </w:rPr>
              <w:t>þ</w:t>
            </w:r>
          </w:p>
        </w:tc>
        <w:tc>
          <w:tcPr>
            <w:tcW w:w="1560" w:type="dxa"/>
          </w:tcPr>
          <w:p w14:paraId="7BA8FDC8" w14:textId="77777777" w:rsidR="00AF23EA" w:rsidRPr="00221992" w:rsidRDefault="00AF23EA" w:rsidP="00682303">
            <w:pPr>
              <w:keepNext/>
              <w:keepLines/>
              <w:spacing w:after="0" w:line="240" w:lineRule="auto"/>
              <w:cnfStyle w:val="000000010000" w:firstRow="0" w:lastRow="0" w:firstColumn="0" w:lastColumn="0" w:oddVBand="0" w:evenVBand="0" w:oddHBand="0" w:evenHBand="1" w:firstRowFirstColumn="0" w:firstRowLastColumn="0" w:lastRowFirstColumn="0" w:lastRowLastColumn="0"/>
              <w:rPr>
                <w:lang w:val="en-GB"/>
              </w:rPr>
            </w:pPr>
          </w:p>
        </w:tc>
        <w:tc>
          <w:tcPr>
            <w:tcW w:w="1485" w:type="dxa"/>
          </w:tcPr>
          <w:p w14:paraId="1D1CED66" w14:textId="77777777" w:rsidR="00AF23EA" w:rsidRPr="00221992" w:rsidRDefault="00AF23EA" w:rsidP="00682303">
            <w:pPr>
              <w:keepNext/>
              <w:keepLines/>
              <w:spacing w:after="0" w:line="240" w:lineRule="auto"/>
              <w:cnfStyle w:val="000000010000" w:firstRow="0" w:lastRow="0" w:firstColumn="0" w:lastColumn="0" w:oddVBand="0" w:evenVBand="0" w:oddHBand="0" w:evenHBand="1" w:firstRowFirstColumn="0" w:firstRowLastColumn="0" w:lastRowFirstColumn="0" w:lastRowLastColumn="0"/>
              <w:rPr>
                <w:lang w:val="en-GB"/>
              </w:rPr>
            </w:pPr>
          </w:p>
        </w:tc>
        <w:tc>
          <w:tcPr>
            <w:tcW w:w="1755" w:type="dxa"/>
          </w:tcPr>
          <w:p w14:paraId="79CC32C0" w14:textId="77777777" w:rsidR="00AF23EA" w:rsidRPr="00221992" w:rsidRDefault="00AF23EA" w:rsidP="00682303">
            <w:pPr>
              <w:keepNext/>
              <w:keepLines/>
              <w:spacing w:after="0" w:line="240" w:lineRule="auto"/>
              <w:cnfStyle w:val="000000010000" w:firstRow="0" w:lastRow="0" w:firstColumn="0" w:lastColumn="0" w:oddVBand="0" w:evenVBand="0" w:oddHBand="0" w:evenHBand="1" w:firstRowFirstColumn="0" w:firstRowLastColumn="0" w:lastRowFirstColumn="0" w:lastRowLastColumn="0"/>
              <w:rPr>
                <w:lang w:val="en-GB"/>
              </w:rPr>
            </w:pPr>
          </w:p>
        </w:tc>
      </w:tr>
      <w:tr w:rsidR="00AF23EA" w:rsidRPr="00221992" w14:paraId="4B60040E" w14:textId="77777777" w:rsidTr="00682303">
        <w:tc>
          <w:tcPr>
            <w:cnfStyle w:val="001000000000" w:firstRow="0" w:lastRow="0" w:firstColumn="1" w:lastColumn="0" w:oddVBand="0" w:evenVBand="0" w:oddHBand="0" w:evenHBand="0" w:firstRowFirstColumn="0" w:firstRowLastColumn="0" w:lastRowFirstColumn="0" w:lastRowLastColumn="0"/>
            <w:tcW w:w="2295" w:type="dxa"/>
            <w:shd w:val="clear" w:color="auto" w:fill="0070C0"/>
          </w:tcPr>
          <w:p w14:paraId="5AB42E03" w14:textId="77777777" w:rsidR="00AF23EA" w:rsidRPr="00221992" w:rsidRDefault="00AF23EA" w:rsidP="00682303">
            <w:pPr>
              <w:keepNext/>
              <w:keepLines/>
              <w:spacing w:after="0" w:line="240" w:lineRule="auto"/>
              <w:rPr>
                <w:lang w:val="en-GB"/>
              </w:rPr>
            </w:pPr>
            <w:r w:rsidRPr="00221992">
              <w:rPr>
                <w:rFonts w:ascii="Calibri" w:eastAsia="Calibri" w:hAnsi="Calibri" w:cs="Calibri"/>
                <w:sz w:val="20"/>
                <w:szCs w:val="20"/>
                <w:lang w:val="en-GB"/>
              </w:rPr>
              <w:t>Italy</w:t>
            </w:r>
            <w:r w:rsidRPr="00221992">
              <w:rPr>
                <w:rFonts w:ascii="Calibri" w:eastAsia="Calibri" w:hAnsi="Calibri" w:cs="Calibri"/>
                <w:sz w:val="20"/>
                <w:szCs w:val="20"/>
                <w:vertAlign w:val="superscript"/>
                <w:lang w:val="en-GB"/>
              </w:rPr>
              <w:t>6</w:t>
            </w:r>
          </w:p>
        </w:tc>
        <w:tc>
          <w:tcPr>
            <w:tcW w:w="1395" w:type="dxa"/>
          </w:tcPr>
          <w:p w14:paraId="4D561656" w14:textId="77777777" w:rsidR="00AF23EA" w:rsidRPr="00221992" w:rsidRDefault="00AF23EA" w:rsidP="00682303">
            <w:pPr>
              <w:keepNext/>
              <w:keepLines/>
              <w:spacing w:after="0" w:line="240" w:lineRule="auto"/>
              <w:jc w:val="center"/>
              <w:cnfStyle w:val="000000000000" w:firstRow="0" w:lastRow="0" w:firstColumn="0" w:lastColumn="0" w:oddVBand="0" w:evenVBand="0" w:oddHBand="0" w:evenHBand="0" w:firstRowFirstColumn="0" w:firstRowLastColumn="0" w:lastRowFirstColumn="0" w:lastRowLastColumn="0"/>
              <w:rPr>
                <w:lang w:val="en-GB"/>
              </w:rPr>
            </w:pPr>
            <w:r w:rsidRPr="00221992">
              <w:rPr>
                <w:rFonts w:ascii="Wingdings" w:eastAsia="Wingdings" w:hAnsi="Wingdings" w:cs="Wingdings"/>
                <w:color w:val="FFC000"/>
                <w:sz w:val="20"/>
                <w:szCs w:val="20"/>
                <w:lang w:val="en-GB"/>
              </w:rPr>
              <w:t>þ</w:t>
            </w:r>
          </w:p>
        </w:tc>
        <w:tc>
          <w:tcPr>
            <w:tcW w:w="840" w:type="dxa"/>
          </w:tcPr>
          <w:p w14:paraId="7AA3B4A2" w14:textId="77777777" w:rsidR="00AF23EA" w:rsidRPr="00221992" w:rsidRDefault="00AF23EA" w:rsidP="00682303">
            <w:pPr>
              <w:keepNext/>
              <w:keepLines/>
              <w:spacing w:after="0" w:line="240" w:lineRule="auto"/>
              <w:cnfStyle w:val="000000000000" w:firstRow="0" w:lastRow="0" w:firstColumn="0" w:lastColumn="0" w:oddVBand="0" w:evenVBand="0" w:oddHBand="0" w:evenHBand="0" w:firstRowFirstColumn="0" w:firstRowLastColumn="0" w:lastRowFirstColumn="0" w:lastRowLastColumn="0"/>
              <w:rPr>
                <w:lang w:val="en-GB"/>
              </w:rPr>
            </w:pPr>
            <w:r w:rsidRPr="00221992">
              <w:rPr>
                <w:rFonts w:eastAsia="Calibri Light" w:cs="Calibri Light"/>
                <w:sz w:val="20"/>
                <w:szCs w:val="20"/>
                <w:lang w:val="en-GB"/>
              </w:rPr>
              <w:t xml:space="preserve"> </w:t>
            </w:r>
          </w:p>
        </w:tc>
        <w:tc>
          <w:tcPr>
            <w:tcW w:w="1560" w:type="dxa"/>
          </w:tcPr>
          <w:p w14:paraId="7555B16B" w14:textId="77777777" w:rsidR="00AF23EA" w:rsidRPr="00221992" w:rsidRDefault="00AF23EA" w:rsidP="00682303">
            <w:pPr>
              <w:keepNext/>
              <w:keepLines/>
              <w:spacing w:after="0" w:line="240" w:lineRule="auto"/>
              <w:jc w:val="center"/>
              <w:cnfStyle w:val="000000000000" w:firstRow="0" w:lastRow="0" w:firstColumn="0" w:lastColumn="0" w:oddVBand="0" w:evenVBand="0" w:oddHBand="0" w:evenHBand="0" w:firstRowFirstColumn="0" w:firstRowLastColumn="0" w:lastRowFirstColumn="0" w:lastRowLastColumn="0"/>
              <w:rPr>
                <w:lang w:val="en-GB"/>
              </w:rPr>
            </w:pPr>
            <w:r w:rsidRPr="00221992">
              <w:rPr>
                <w:rFonts w:ascii="Wingdings" w:eastAsia="Wingdings" w:hAnsi="Wingdings" w:cs="Wingdings"/>
                <w:color w:val="FFC000"/>
                <w:sz w:val="20"/>
                <w:szCs w:val="20"/>
                <w:lang w:val="en-GB"/>
              </w:rPr>
              <w:t>þ</w:t>
            </w:r>
          </w:p>
        </w:tc>
        <w:tc>
          <w:tcPr>
            <w:tcW w:w="1485" w:type="dxa"/>
          </w:tcPr>
          <w:p w14:paraId="73845EC3" w14:textId="77777777" w:rsidR="00AF23EA" w:rsidRPr="00221992" w:rsidRDefault="00AF23EA" w:rsidP="00682303">
            <w:pPr>
              <w:keepNext/>
              <w:keepLines/>
              <w:spacing w:after="0" w:line="240" w:lineRule="auto"/>
              <w:cnfStyle w:val="000000000000" w:firstRow="0" w:lastRow="0" w:firstColumn="0" w:lastColumn="0" w:oddVBand="0" w:evenVBand="0" w:oddHBand="0" w:evenHBand="0" w:firstRowFirstColumn="0" w:firstRowLastColumn="0" w:lastRowFirstColumn="0" w:lastRowLastColumn="0"/>
              <w:rPr>
                <w:lang w:val="en-GB"/>
              </w:rPr>
            </w:pPr>
            <w:r w:rsidRPr="00221992">
              <w:rPr>
                <w:rFonts w:eastAsia="Calibri Light" w:cs="Calibri Light"/>
                <w:sz w:val="20"/>
                <w:szCs w:val="20"/>
                <w:lang w:val="en-GB"/>
              </w:rPr>
              <w:t xml:space="preserve"> </w:t>
            </w:r>
          </w:p>
        </w:tc>
        <w:tc>
          <w:tcPr>
            <w:tcW w:w="1755" w:type="dxa"/>
          </w:tcPr>
          <w:p w14:paraId="383459A6" w14:textId="77777777" w:rsidR="00AF23EA" w:rsidRPr="00221992" w:rsidRDefault="00AF23EA" w:rsidP="00682303">
            <w:pPr>
              <w:keepNext/>
              <w:keepLines/>
              <w:spacing w:after="0" w:line="240" w:lineRule="auto"/>
              <w:cnfStyle w:val="000000000000" w:firstRow="0" w:lastRow="0" w:firstColumn="0" w:lastColumn="0" w:oddVBand="0" w:evenVBand="0" w:oddHBand="0" w:evenHBand="0" w:firstRowFirstColumn="0" w:firstRowLastColumn="0" w:lastRowFirstColumn="0" w:lastRowLastColumn="0"/>
              <w:rPr>
                <w:lang w:val="en-GB"/>
              </w:rPr>
            </w:pPr>
            <w:r w:rsidRPr="00221992">
              <w:rPr>
                <w:rFonts w:eastAsia="Calibri Light" w:cs="Calibri Light"/>
                <w:sz w:val="20"/>
                <w:szCs w:val="20"/>
                <w:lang w:val="en-GB"/>
              </w:rPr>
              <w:t xml:space="preserve"> </w:t>
            </w:r>
          </w:p>
        </w:tc>
      </w:tr>
      <w:tr w:rsidR="00AF23EA" w:rsidRPr="00221992" w14:paraId="47EDDDD2" w14:textId="77777777" w:rsidTr="0068230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95" w:type="dxa"/>
            <w:shd w:val="clear" w:color="auto" w:fill="0070C0"/>
          </w:tcPr>
          <w:p w14:paraId="3D886341" w14:textId="77777777" w:rsidR="00AF23EA" w:rsidRPr="00221992" w:rsidRDefault="00AF23EA" w:rsidP="00682303">
            <w:pPr>
              <w:keepNext/>
              <w:keepLines/>
              <w:spacing w:after="0" w:line="240" w:lineRule="auto"/>
              <w:rPr>
                <w:lang w:val="en-GB"/>
              </w:rPr>
            </w:pPr>
            <w:r w:rsidRPr="00221992">
              <w:rPr>
                <w:rFonts w:ascii="Calibri" w:eastAsia="Calibri" w:hAnsi="Calibri" w:cs="Calibri"/>
                <w:sz w:val="20"/>
                <w:szCs w:val="20"/>
                <w:lang w:val="en-GB"/>
              </w:rPr>
              <w:t>Japan</w:t>
            </w:r>
            <w:r w:rsidRPr="00221992">
              <w:rPr>
                <w:rFonts w:ascii="Calibri" w:eastAsia="Calibri" w:hAnsi="Calibri" w:cs="Calibri"/>
                <w:sz w:val="20"/>
                <w:szCs w:val="20"/>
                <w:vertAlign w:val="superscript"/>
                <w:lang w:val="en-GB"/>
              </w:rPr>
              <w:t>7</w:t>
            </w:r>
          </w:p>
        </w:tc>
        <w:tc>
          <w:tcPr>
            <w:tcW w:w="1395" w:type="dxa"/>
          </w:tcPr>
          <w:p w14:paraId="34548A1C" w14:textId="77777777" w:rsidR="00AF23EA" w:rsidRPr="00221992" w:rsidRDefault="00AF23EA" w:rsidP="00682303">
            <w:pPr>
              <w:keepNext/>
              <w:keepLines/>
              <w:spacing w:after="0" w:line="240" w:lineRule="auto"/>
              <w:cnfStyle w:val="000000010000" w:firstRow="0" w:lastRow="0" w:firstColumn="0" w:lastColumn="0" w:oddVBand="0" w:evenVBand="0" w:oddHBand="0" w:evenHBand="1" w:firstRowFirstColumn="0" w:firstRowLastColumn="0" w:lastRowFirstColumn="0" w:lastRowLastColumn="0"/>
              <w:rPr>
                <w:lang w:val="en-GB"/>
              </w:rPr>
            </w:pPr>
            <w:r w:rsidRPr="00221992">
              <w:rPr>
                <w:rFonts w:eastAsia="Calibri Light" w:cs="Calibri Light"/>
                <w:sz w:val="20"/>
                <w:szCs w:val="20"/>
                <w:lang w:val="en-GB"/>
              </w:rPr>
              <w:t xml:space="preserve"> </w:t>
            </w:r>
          </w:p>
        </w:tc>
        <w:tc>
          <w:tcPr>
            <w:tcW w:w="840" w:type="dxa"/>
          </w:tcPr>
          <w:p w14:paraId="2A431151" w14:textId="77777777" w:rsidR="00AF23EA" w:rsidRPr="00221992" w:rsidRDefault="00AF23EA" w:rsidP="00682303">
            <w:pPr>
              <w:keepNext/>
              <w:keepLines/>
              <w:spacing w:after="0" w:line="240" w:lineRule="auto"/>
              <w:jc w:val="center"/>
              <w:cnfStyle w:val="000000010000" w:firstRow="0" w:lastRow="0" w:firstColumn="0" w:lastColumn="0" w:oddVBand="0" w:evenVBand="0" w:oddHBand="0" w:evenHBand="1" w:firstRowFirstColumn="0" w:firstRowLastColumn="0" w:lastRowFirstColumn="0" w:lastRowLastColumn="0"/>
              <w:rPr>
                <w:lang w:val="en-GB"/>
              </w:rPr>
            </w:pPr>
            <w:r w:rsidRPr="00221992">
              <w:rPr>
                <w:rFonts w:ascii="Wingdings" w:eastAsia="Wingdings" w:hAnsi="Wingdings" w:cs="Wingdings"/>
                <w:color w:val="7F7F7F" w:themeColor="text1" w:themeTint="80"/>
                <w:sz w:val="20"/>
                <w:szCs w:val="20"/>
                <w:lang w:val="en-GB"/>
              </w:rPr>
              <w:t>þ</w:t>
            </w:r>
          </w:p>
        </w:tc>
        <w:tc>
          <w:tcPr>
            <w:tcW w:w="1560" w:type="dxa"/>
          </w:tcPr>
          <w:p w14:paraId="69FC0C4B" w14:textId="77777777" w:rsidR="00AF23EA" w:rsidRPr="00221992" w:rsidRDefault="00AF23EA" w:rsidP="00682303">
            <w:pPr>
              <w:keepNext/>
              <w:keepLines/>
              <w:spacing w:after="0" w:line="240" w:lineRule="auto"/>
              <w:cnfStyle w:val="000000010000" w:firstRow="0" w:lastRow="0" w:firstColumn="0" w:lastColumn="0" w:oddVBand="0" w:evenVBand="0" w:oddHBand="0" w:evenHBand="1" w:firstRowFirstColumn="0" w:firstRowLastColumn="0" w:lastRowFirstColumn="0" w:lastRowLastColumn="0"/>
              <w:rPr>
                <w:lang w:val="en-GB"/>
              </w:rPr>
            </w:pPr>
            <w:r w:rsidRPr="00221992">
              <w:rPr>
                <w:rFonts w:eastAsia="Calibri Light" w:cs="Calibri Light"/>
                <w:sz w:val="20"/>
                <w:szCs w:val="20"/>
                <w:lang w:val="en-GB"/>
              </w:rPr>
              <w:t xml:space="preserve"> </w:t>
            </w:r>
          </w:p>
        </w:tc>
        <w:tc>
          <w:tcPr>
            <w:tcW w:w="1485" w:type="dxa"/>
          </w:tcPr>
          <w:p w14:paraId="0570781C" w14:textId="77777777" w:rsidR="00AF23EA" w:rsidRPr="00221992" w:rsidRDefault="00AF23EA" w:rsidP="00682303">
            <w:pPr>
              <w:keepNext/>
              <w:keepLines/>
              <w:spacing w:after="0" w:line="240" w:lineRule="auto"/>
              <w:cnfStyle w:val="000000010000" w:firstRow="0" w:lastRow="0" w:firstColumn="0" w:lastColumn="0" w:oddVBand="0" w:evenVBand="0" w:oddHBand="0" w:evenHBand="1" w:firstRowFirstColumn="0" w:firstRowLastColumn="0" w:lastRowFirstColumn="0" w:lastRowLastColumn="0"/>
              <w:rPr>
                <w:lang w:val="en-GB"/>
              </w:rPr>
            </w:pPr>
            <w:r w:rsidRPr="00221992">
              <w:rPr>
                <w:rFonts w:eastAsia="Calibri Light" w:cs="Calibri Light"/>
                <w:sz w:val="20"/>
                <w:szCs w:val="20"/>
                <w:lang w:val="en-GB"/>
              </w:rPr>
              <w:t xml:space="preserve"> </w:t>
            </w:r>
          </w:p>
        </w:tc>
        <w:tc>
          <w:tcPr>
            <w:tcW w:w="1755" w:type="dxa"/>
          </w:tcPr>
          <w:p w14:paraId="46BC7C00" w14:textId="77777777" w:rsidR="00AF23EA" w:rsidRPr="00221992" w:rsidRDefault="00AF23EA" w:rsidP="00682303">
            <w:pPr>
              <w:keepNext/>
              <w:keepLines/>
              <w:spacing w:after="0" w:line="240" w:lineRule="auto"/>
              <w:cnfStyle w:val="000000010000" w:firstRow="0" w:lastRow="0" w:firstColumn="0" w:lastColumn="0" w:oddVBand="0" w:evenVBand="0" w:oddHBand="0" w:evenHBand="1" w:firstRowFirstColumn="0" w:firstRowLastColumn="0" w:lastRowFirstColumn="0" w:lastRowLastColumn="0"/>
              <w:rPr>
                <w:lang w:val="en-GB"/>
              </w:rPr>
            </w:pPr>
            <w:r w:rsidRPr="00221992">
              <w:rPr>
                <w:rFonts w:eastAsia="Calibri Light" w:cs="Calibri Light"/>
                <w:sz w:val="20"/>
                <w:szCs w:val="20"/>
                <w:lang w:val="en-GB"/>
              </w:rPr>
              <w:t xml:space="preserve"> </w:t>
            </w:r>
          </w:p>
        </w:tc>
      </w:tr>
      <w:tr w:rsidR="00AF23EA" w:rsidRPr="00221992" w14:paraId="25541A46" w14:textId="77777777" w:rsidTr="00682303">
        <w:tc>
          <w:tcPr>
            <w:cnfStyle w:val="001000000000" w:firstRow="0" w:lastRow="0" w:firstColumn="1" w:lastColumn="0" w:oddVBand="0" w:evenVBand="0" w:oddHBand="0" w:evenHBand="0" w:firstRowFirstColumn="0" w:firstRowLastColumn="0" w:lastRowFirstColumn="0" w:lastRowLastColumn="0"/>
            <w:tcW w:w="2295" w:type="dxa"/>
            <w:shd w:val="clear" w:color="auto" w:fill="0070C0"/>
          </w:tcPr>
          <w:p w14:paraId="0B63A89E" w14:textId="77777777" w:rsidR="00AF23EA" w:rsidRPr="00221992" w:rsidRDefault="00AF23EA" w:rsidP="00682303">
            <w:pPr>
              <w:keepNext/>
              <w:keepLines/>
              <w:spacing w:after="0" w:line="240" w:lineRule="auto"/>
              <w:rPr>
                <w:lang w:val="en-GB"/>
              </w:rPr>
            </w:pPr>
            <w:r w:rsidRPr="00221992">
              <w:rPr>
                <w:rFonts w:ascii="Calibri" w:eastAsia="Calibri" w:hAnsi="Calibri" w:cs="Calibri"/>
                <w:sz w:val="20"/>
                <w:szCs w:val="20"/>
                <w:lang w:val="en-GB"/>
              </w:rPr>
              <w:t>Korea</w:t>
            </w:r>
            <w:r w:rsidRPr="00221992">
              <w:rPr>
                <w:rFonts w:ascii="Calibri" w:eastAsia="Calibri" w:hAnsi="Calibri" w:cs="Calibri"/>
                <w:sz w:val="20"/>
                <w:szCs w:val="20"/>
                <w:vertAlign w:val="superscript"/>
                <w:lang w:val="en-GB"/>
              </w:rPr>
              <w:t>8</w:t>
            </w:r>
          </w:p>
        </w:tc>
        <w:tc>
          <w:tcPr>
            <w:tcW w:w="1395" w:type="dxa"/>
          </w:tcPr>
          <w:p w14:paraId="09487B63" w14:textId="63071EBB" w:rsidR="00AF23EA" w:rsidRPr="00221992" w:rsidRDefault="008A6310" w:rsidP="00682303">
            <w:pPr>
              <w:keepNext/>
              <w:keepLines/>
              <w:spacing w:after="0" w:line="240" w:lineRule="auto"/>
              <w:jc w:val="center"/>
              <w:cnfStyle w:val="000000000000" w:firstRow="0" w:lastRow="0" w:firstColumn="0" w:lastColumn="0" w:oddVBand="0" w:evenVBand="0" w:oddHBand="0" w:evenHBand="0" w:firstRowFirstColumn="0" w:firstRowLastColumn="0" w:lastRowFirstColumn="0" w:lastRowLastColumn="0"/>
              <w:rPr>
                <w:lang w:val="en-GB"/>
              </w:rPr>
            </w:pPr>
            <w:r>
              <w:rPr>
                <w:rFonts w:eastAsia="Calibri Light" w:cs="Calibri Light"/>
                <w:color w:val="000000" w:themeColor="text1"/>
                <w:sz w:val="20"/>
                <w:szCs w:val="20"/>
                <w:lang w:val="en-GB"/>
              </w:rPr>
              <w:t xml:space="preserve"> </w:t>
            </w:r>
          </w:p>
        </w:tc>
        <w:tc>
          <w:tcPr>
            <w:tcW w:w="840" w:type="dxa"/>
          </w:tcPr>
          <w:p w14:paraId="3CB22B1B" w14:textId="77777777" w:rsidR="00AF23EA" w:rsidRPr="00221992" w:rsidRDefault="00AF23EA" w:rsidP="00682303">
            <w:pPr>
              <w:keepNext/>
              <w:keepLines/>
              <w:spacing w:after="0" w:line="240" w:lineRule="auto"/>
              <w:jc w:val="center"/>
              <w:cnfStyle w:val="000000000000" w:firstRow="0" w:lastRow="0" w:firstColumn="0" w:lastColumn="0" w:oddVBand="0" w:evenVBand="0" w:oddHBand="0" w:evenHBand="0" w:firstRowFirstColumn="0" w:firstRowLastColumn="0" w:lastRowFirstColumn="0" w:lastRowLastColumn="0"/>
              <w:rPr>
                <w:lang w:val="en-GB"/>
              </w:rPr>
            </w:pPr>
            <w:r w:rsidRPr="00221992">
              <w:rPr>
                <w:rFonts w:ascii="Wingdings" w:eastAsia="Wingdings" w:hAnsi="Wingdings" w:cs="Wingdings"/>
                <w:color w:val="FFC000"/>
                <w:sz w:val="20"/>
                <w:szCs w:val="20"/>
                <w:lang w:val="en-GB"/>
              </w:rPr>
              <w:t>þ</w:t>
            </w:r>
          </w:p>
        </w:tc>
        <w:tc>
          <w:tcPr>
            <w:tcW w:w="1560" w:type="dxa"/>
          </w:tcPr>
          <w:p w14:paraId="1A2C6FBF" w14:textId="77777777" w:rsidR="00AF23EA" w:rsidRPr="00221992" w:rsidRDefault="00AF23EA" w:rsidP="00682303">
            <w:pPr>
              <w:keepNext/>
              <w:keepLines/>
              <w:spacing w:after="0" w:line="240" w:lineRule="auto"/>
              <w:jc w:val="center"/>
              <w:cnfStyle w:val="000000000000" w:firstRow="0" w:lastRow="0" w:firstColumn="0" w:lastColumn="0" w:oddVBand="0" w:evenVBand="0" w:oddHBand="0" w:evenHBand="0" w:firstRowFirstColumn="0" w:firstRowLastColumn="0" w:lastRowFirstColumn="0" w:lastRowLastColumn="0"/>
              <w:rPr>
                <w:lang w:val="en-GB"/>
              </w:rPr>
            </w:pPr>
            <w:r w:rsidRPr="00221992">
              <w:rPr>
                <w:rFonts w:ascii="Wingdings" w:eastAsia="Wingdings" w:hAnsi="Wingdings" w:cs="Wingdings"/>
                <w:color w:val="7F7F7F" w:themeColor="text1" w:themeTint="80"/>
                <w:sz w:val="20"/>
                <w:szCs w:val="20"/>
                <w:lang w:val="en-GB"/>
              </w:rPr>
              <w:t>þ</w:t>
            </w:r>
          </w:p>
        </w:tc>
        <w:tc>
          <w:tcPr>
            <w:tcW w:w="1485" w:type="dxa"/>
          </w:tcPr>
          <w:p w14:paraId="35C7AA0F" w14:textId="6FBFD8BE" w:rsidR="00AF23EA" w:rsidRPr="00221992" w:rsidRDefault="008A6310" w:rsidP="00682303">
            <w:pPr>
              <w:keepNext/>
              <w:keepLines/>
              <w:spacing w:after="0" w:line="240" w:lineRule="auto"/>
              <w:jc w:val="center"/>
              <w:cnfStyle w:val="000000000000" w:firstRow="0" w:lastRow="0" w:firstColumn="0" w:lastColumn="0" w:oddVBand="0" w:evenVBand="0" w:oddHBand="0" w:evenHBand="0" w:firstRowFirstColumn="0" w:firstRowLastColumn="0" w:lastRowFirstColumn="0" w:lastRowLastColumn="0"/>
              <w:rPr>
                <w:lang w:val="en-GB"/>
              </w:rPr>
            </w:pPr>
            <w:r>
              <w:rPr>
                <w:rFonts w:eastAsia="Calibri Light" w:cs="Calibri Light"/>
                <w:color w:val="000000" w:themeColor="text1"/>
                <w:sz w:val="20"/>
                <w:szCs w:val="20"/>
                <w:lang w:val="en-GB"/>
              </w:rPr>
              <w:t xml:space="preserve"> </w:t>
            </w:r>
          </w:p>
        </w:tc>
        <w:tc>
          <w:tcPr>
            <w:tcW w:w="1755" w:type="dxa"/>
          </w:tcPr>
          <w:p w14:paraId="47D3D9B7" w14:textId="2840BABD" w:rsidR="00AF23EA" w:rsidRPr="00221992" w:rsidRDefault="008A6310" w:rsidP="00682303">
            <w:pPr>
              <w:keepNext/>
              <w:keepLines/>
              <w:spacing w:after="0" w:line="240" w:lineRule="auto"/>
              <w:jc w:val="center"/>
              <w:cnfStyle w:val="000000000000" w:firstRow="0" w:lastRow="0" w:firstColumn="0" w:lastColumn="0" w:oddVBand="0" w:evenVBand="0" w:oddHBand="0" w:evenHBand="0" w:firstRowFirstColumn="0" w:firstRowLastColumn="0" w:lastRowFirstColumn="0" w:lastRowLastColumn="0"/>
              <w:rPr>
                <w:lang w:val="en-GB"/>
              </w:rPr>
            </w:pPr>
            <w:r>
              <w:rPr>
                <w:rFonts w:eastAsia="Calibri Light" w:cs="Calibri Light"/>
                <w:color w:val="000000" w:themeColor="text1"/>
                <w:sz w:val="20"/>
                <w:szCs w:val="20"/>
                <w:lang w:val="en-GB"/>
              </w:rPr>
              <w:t xml:space="preserve"> </w:t>
            </w:r>
          </w:p>
        </w:tc>
      </w:tr>
      <w:tr w:rsidR="00AF23EA" w:rsidRPr="00221992" w14:paraId="7493715C" w14:textId="77777777" w:rsidTr="0068230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95" w:type="dxa"/>
            <w:shd w:val="clear" w:color="auto" w:fill="0070C0"/>
          </w:tcPr>
          <w:p w14:paraId="2680AC46" w14:textId="77777777" w:rsidR="00AF23EA" w:rsidRPr="00221992" w:rsidRDefault="00AF23EA" w:rsidP="00682303">
            <w:pPr>
              <w:keepNext/>
              <w:keepLines/>
              <w:spacing w:after="0" w:line="240" w:lineRule="auto"/>
              <w:rPr>
                <w:lang w:val="en-GB"/>
              </w:rPr>
            </w:pPr>
            <w:r w:rsidRPr="00221992">
              <w:rPr>
                <w:rFonts w:ascii="Calibri" w:eastAsia="Calibri" w:hAnsi="Calibri" w:cs="Calibri"/>
                <w:sz w:val="20"/>
                <w:szCs w:val="20"/>
                <w:lang w:val="en-GB"/>
              </w:rPr>
              <w:t>Luxembourg</w:t>
            </w:r>
            <w:r w:rsidRPr="00221992">
              <w:rPr>
                <w:rFonts w:ascii="Calibri" w:eastAsia="Calibri" w:hAnsi="Calibri" w:cs="Calibri"/>
                <w:sz w:val="20"/>
                <w:szCs w:val="20"/>
                <w:vertAlign w:val="superscript"/>
                <w:lang w:val="en-GB"/>
              </w:rPr>
              <w:t>9</w:t>
            </w:r>
            <w:r w:rsidRPr="00221992">
              <w:rPr>
                <w:rFonts w:ascii="Calibri" w:eastAsia="Calibri" w:hAnsi="Calibri" w:cs="Calibri"/>
                <w:color w:val="D13438"/>
                <w:sz w:val="20"/>
                <w:szCs w:val="20"/>
                <w:vertAlign w:val="superscript"/>
                <w:lang w:val="en-GB"/>
              </w:rPr>
              <w:t xml:space="preserve"> </w:t>
            </w:r>
          </w:p>
        </w:tc>
        <w:tc>
          <w:tcPr>
            <w:tcW w:w="7035" w:type="dxa"/>
            <w:gridSpan w:val="5"/>
          </w:tcPr>
          <w:p w14:paraId="315DBFCA" w14:textId="78FD263F" w:rsidR="00AF23EA" w:rsidRPr="00221992" w:rsidRDefault="00AF23EA" w:rsidP="00C32D2C">
            <w:pPr>
              <w:keepNext/>
              <w:keepLines/>
              <w:spacing w:after="0" w:line="240" w:lineRule="auto"/>
              <w:ind w:left="0"/>
              <w:jc w:val="center"/>
              <w:cnfStyle w:val="000000010000" w:firstRow="0" w:lastRow="0" w:firstColumn="0" w:lastColumn="0" w:oddVBand="0" w:evenVBand="0" w:oddHBand="0" w:evenHBand="1" w:firstRowFirstColumn="0" w:firstRowLastColumn="0" w:lastRowFirstColumn="0" w:lastRowLastColumn="0"/>
              <w:rPr>
                <w:lang w:val="en-GB"/>
              </w:rPr>
            </w:pPr>
            <w:r w:rsidRPr="00221992">
              <w:rPr>
                <w:rFonts w:eastAsia="Calibri Light" w:cs="Calibri Light"/>
                <w:color w:val="000000" w:themeColor="text1"/>
                <w:sz w:val="20"/>
                <w:szCs w:val="20"/>
                <w:lang w:val="en-GB"/>
              </w:rPr>
              <w:t>NI</w:t>
            </w:r>
          </w:p>
        </w:tc>
      </w:tr>
      <w:tr w:rsidR="00AF23EA" w:rsidRPr="00221992" w14:paraId="75B6B0F5" w14:textId="77777777" w:rsidTr="00682303">
        <w:tc>
          <w:tcPr>
            <w:cnfStyle w:val="001000000000" w:firstRow="0" w:lastRow="0" w:firstColumn="1" w:lastColumn="0" w:oddVBand="0" w:evenVBand="0" w:oddHBand="0" w:evenHBand="0" w:firstRowFirstColumn="0" w:firstRowLastColumn="0" w:lastRowFirstColumn="0" w:lastRowLastColumn="0"/>
            <w:tcW w:w="2295" w:type="dxa"/>
            <w:shd w:val="clear" w:color="auto" w:fill="0070C0"/>
          </w:tcPr>
          <w:p w14:paraId="5770D37A" w14:textId="77777777" w:rsidR="00AF23EA" w:rsidRPr="00221992" w:rsidRDefault="00AF23EA" w:rsidP="00682303">
            <w:pPr>
              <w:keepNext/>
              <w:keepLines/>
              <w:spacing w:after="0" w:line="240" w:lineRule="auto"/>
              <w:rPr>
                <w:lang w:val="en-GB"/>
              </w:rPr>
            </w:pPr>
            <w:r w:rsidRPr="00221992">
              <w:rPr>
                <w:rFonts w:ascii="Calibri" w:eastAsia="Calibri" w:hAnsi="Calibri" w:cs="Calibri"/>
                <w:sz w:val="20"/>
                <w:szCs w:val="20"/>
                <w:lang w:val="en-GB"/>
              </w:rPr>
              <w:t xml:space="preserve">The Netherlands </w:t>
            </w:r>
            <w:r w:rsidRPr="00221992">
              <w:rPr>
                <w:rFonts w:ascii="Calibri" w:eastAsia="Calibri" w:hAnsi="Calibri" w:cs="Calibri"/>
                <w:sz w:val="20"/>
                <w:szCs w:val="20"/>
                <w:vertAlign w:val="superscript"/>
                <w:lang w:val="en-GB"/>
              </w:rPr>
              <w:t>10</w:t>
            </w:r>
          </w:p>
        </w:tc>
        <w:tc>
          <w:tcPr>
            <w:tcW w:w="7035" w:type="dxa"/>
            <w:gridSpan w:val="5"/>
          </w:tcPr>
          <w:p w14:paraId="1E6DCF4E" w14:textId="22B13679" w:rsidR="00AF23EA" w:rsidRPr="00221992" w:rsidRDefault="00AF23EA" w:rsidP="00C32D2C">
            <w:pPr>
              <w:keepNext/>
              <w:keepLines/>
              <w:spacing w:after="0" w:line="240" w:lineRule="auto"/>
              <w:ind w:left="0"/>
              <w:jc w:val="center"/>
              <w:cnfStyle w:val="000000000000" w:firstRow="0" w:lastRow="0" w:firstColumn="0" w:lastColumn="0" w:oddVBand="0" w:evenVBand="0" w:oddHBand="0" w:evenHBand="0" w:firstRowFirstColumn="0" w:firstRowLastColumn="0" w:lastRowFirstColumn="0" w:lastRowLastColumn="0"/>
              <w:rPr>
                <w:lang w:val="en-GB"/>
              </w:rPr>
            </w:pPr>
            <w:r w:rsidRPr="00221992">
              <w:rPr>
                <w:rFonts w:eastAsia="Calibri Light" w:cs="Calibri Light"/>
                <w:color w:val="000000" w:themeColor="text1"/>
                <w:sz w:val="20"/>
                <w:szCs w:val="20"/>
                <w:lang w:val="en-GB"/>
              </w:rPr>
              <w:t>NI</w:t>
            </w:r>
          </w:p>
        </w:tc>
      </w:tr>
      <w:tr w:rsidR="00AF23EA" w:rsidRPr="00221992" w14:paraId="550CE45F" w14:textId="77777777" w:rsidTr="0068230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95" w:type="dxa"/>
            <w:shd w:val="clear" w:color="auto" w:fill="0070C0"/>
          </w:tcPr>
          <w:p w14:paraId="7CAFAE19" w14:textId="77777777" w:rsidR="00AF23EA" w:rsidRPr="00221992" w:rsidRDefault="00AF23EA" w:rsidP="00682303">
            <w:pPr>
              <w:keepNext/>
              <w:keepLines/>
              <w:spacing w:after="0" w:line="240" w:lineRule="auto"/>
              <w:rPr>
                <w:lang w:val="en-GB"/>
              </w:rPr>
            </w:pPr>
            <w:r w:rsidRPr="00221992">
              <w:rPr>
                <w:rFonts w:ascii="Calibri" w:eastAsia="Calibri" w:hAnsi="Calibri" w:cs="Calibri"/>
                <w:sz w:val="20"/>
                <w:szCs w:val="20"/>
                <w:lang w:val="en-GB"/>
              </w:rPr>
              <w:t>New Zealand</w:t>
            </w:r>
            <w:r w:rsidRPr="00221992">
              <w:rPr>
                <w:rFonts w:ascii="Calibri" w:eastAsia="Calibri" w:hAnsi="Calibri" w:cs="Calibri"/>
                <w:sz w:val="20"/>
                <w:szCs w:val="20"/>
                <w:vertAlign w:val="superscript"/>
                <w:lang w:val="en-GB"/>
              </w:rPr>
              <w:t>11</w:t>
            </w:r>
          </w:p>
        </w:tc>
        <w:tc>
          <w:tcPr>
            <w:tcW w:w="7035" w:type="dxa"/>
            <w:gridSpan w:val="5"/>
          </w:tcPr>
          <w:p w14:paraId="7AB6E219" w14:textId="038395E7" w:rsidR="00AF23EA" w:rsidRPr="00221992" w:rsidRDefault="00AF23EA" w:rsidP="00C32D2C">
            <w:pPr>
              <w:keepNext/>
              <w:keepLines/>
              <w:spacing w:after="0" w:line="240" w:lineRule="auto"/>
              <w:ind w:left="0"/>
              <w:jc w:val="center"/>
              <w:cnfStyle w:val="000000010000" w:firstRow="0" w:lastRow="0" w:firstColumn="0" w:lastColumn="0" w:oddVBand="0" w:evenVBand="0" w:oddHBand="0" w:evenHBand="1" w:firstRowFirstColumn="0" w:firstRowLastColumn="0" w:lastRowFirstColumn="0" w:lastRowLastColumn="0"/>
              <w:rPr>
                <w:lang w:val="en-GB"/>
              </w:rPr>
            </w:pPr>
            <w:r w:rsidRPr="00221992">
              <w:rPr>
                <w:rFonts w:eastAsia="Calibri Light" w:cs="Calibri Light"/>
                <w:color w:val="000000" w:themeColor="text1"/>
                <w:sz w:val="20"/>
                <w:szCs w:val="20"/>
                <w:lang w:val="en-GB"/>
              </w:rPr>
              <w:t>NI</w:t>
            </w:r>
          </w:p>
        </w:tc>
      </w:tr>
      <w:tr w:rsidR="00AF23EA" w:rsidRPr="00221992" w14:paraId="62BE49ED" w14:textId="77777777" w:rsidTr="00682303">
        <w:tc>
          <w:tcPr>
            <w:cnfStyle w:val="001000000000" w:firstRow="0" w:lastRow="0" w:firstColumn="1" w:lastColumn="0" w:oddVBand="0" w:evenVBand="0" w:oddHBand="0" w:evenHBand="0" w:firstRowFirstColumn="0" w:firstRowLastColumn="0" w:lastRowFirstColumn="0" w:lastRowLastColumn="0"/>
            <w:tcW w:w="2295" w:type="dxa"/>
            <w:shd w:val="clear" w:color="auto" w:fill="0070C0"/>
          </w:tcPr>
          <w:p w14:paraId="6AA20420" w14:textId="77777777" w:rsidR="00AF23EA" w:rsidRPr="00221992" w:rsidRDefault="00AF23EA" w:rsidP="00682303">
            <w:pPr>
              <w:keepNext/>
              <w:keepLines/>
              <w:spacing w:after="0" w:line="240" w:lineRule="auto"/>
              <w:rPr>
                <w:lang w:val="en-GB"/>
              </w:rPr>
            </w:pPr>
            <w:r w:rsidRPr="00221992">
              <w:rPr>
                <w:rFonts w:ascii="Calibri" w:eastAsia="Calibri" w:hAnsi="Calibri" w:cs="Calibri"/>
                <w:sz w:val="20"/>
                <w:szCs w:val="20"/>
                <w:lang w:val="en-GB"/>
              </w:rPr>
              <w:t>Norway</w:t>
            </w:r>
            <w:r w:rsidRPr="00221992">
              <w:rPr>
                <w:rFonts w:ascii="Calibri" w:eastAsia="Calibri" w:hAnsi="Calibri" w:cs="Calibri"/>
                <w:sz w:val="20"/>
                <w:szCs w:val="20"/>
                <w:vertAlign w:val="superscript"/>
                <w:lang w:val="en-GB"/>
              </w:rPr>
              <w:t>12</w:t>
            </w:r>
          </w:p>
        </w:tc>
        <w:tc>
          <w:tcPr>
            <w:tcW w:w="7035" w:type="dxa"/>
            <w:gridSpan w:val="5"/>
          </w:tcPr>
          <w:p w14:paraId="648523E1" w14:textId="6A1A7F81" w:rsidR="00AF23EA" w:rsidRPr="00221992" w:rsidRDefault="00AF23EA" w:rsidP="00C32D2C">
            <w:pPr>
              <w:keepNext/>
              <w:keepLines/>
              <w:spacing w:after="0" w:line="240" w:lineRule="auto"/>
              <w:ind w:left="0"/>
              <w:jc w:val="center"/>
              <w:cnfStyle w:val="000000000000" w:firstRow="0" w:lastRow="0" w:firstColumn="0" w:lastColumn="0" w:oddVBand="0" w:evenVBand="0" w:oddHBand="0" w:evenHBand="0" w:firstRowFirstColumn="0" w:firstRowLastColumn="0" w:lastRowFirstColumn="0" w:lastRowLastColumn="0"/>
              <w:rPr>
                <w:lang w:val="en-GB"/>
              </w:rPr>
            </w:pPr>
            <w:r w:rsidRPr="00221992">
              <w:rPr>
                <w:rFonts w:eastAsia="Calibri Light" w:cs="Calibri Light"/>
                <w:color w:val="000000" w:themeColor="text1"/>
                <w:sz w:val="20"/>
                <w:szCs w:val="20"/>
                <w:lang w:val="en-GB"/>
              </w:rPr>
              <w:t>NI</w:t>
            </w:r>
          </w:p>
        </w:tc>
      </w:tr>
      <w:tr w:rsidR="00AF23EA" w:rsidRPr="00221992" w14:paraId="69F1EA23" w14:textId="77777777" w:rsidTr="0068230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95" w:type="dxa"/>
            <w:shd w:val="clear" w:color="auto" w:fill="0070C0"/>
          </w:tcPr>
          <w:p w14:paraId="3926E51C" w14:textId="77777777" w:rsidR="00AF23EA" w:rsidRPr="00221992" w:rsidRDefault="00AF23EA" w:rsidP="00682303">
            <w:pPr>
              <w:keepNext/>
              <w:keepLines/>
              <w:spacing w:after="0" w:line="240" w:lineRule="auto"/>
              <w:rPr>
                <w:lang w:val="en-GB"/>
              </w:rPr>
            </w:pPr>
            <w:r w:rsidRPr="00221992">
              <w:rPr>
                <w:rFonts w:ascii="Calibri" w:eastAsia="Calibri" w:hAnsi="Calibri" w:cs="Calibri"/>
                <w:sz w:val="20"/>
                <w:szCs w:val="20"/>
                <w:lang w:val="en-GB"/>
              </w:rPr>
              <w:t>Singapore</w:t>
            </w:r>
            <w:r w:rsidRPr="00221992">
              <w:rPr>
                <w:rFonts w:ascii="Calibri" w:eastAsia="Calibri" w:hAnsi="Calibri" w:cs="Calibri"/>
                <w:sz w:val="20"/>
                <w:szCs w:val="20"/>
                <w:vertAlign w:val="superscript"/>
                <w:lang w:val="en-GB"/>
              </w:rPr>
              <w:t>13</w:t>
            </w:r>
            <w:r w:rsidRPr="00221992">
              <w:rPr>
                <w:rFonts w:ascii="Calibri" w:eastAsia="Calibri" w:hAnsi="Calibri" w:cs="Calibri"/>
                <w:color w:val="D13438"/>
                <w:sz w:val="20"/>
                <w:szCs w:val="20"/>
                <w:vertAlign w:val="superscript"/>
                <w:lang w:val="en-GB"/>
              </w:rPr>
              <w:t xml:space="preserve"> </w:t>
            </w:r>
          </w:p>
        </w:tc>
        <w:tc>
          <w:tcPr>
            <w:tcW w:w="7035" w:type="dxa"/>
            <w:gridSpan w:val="5"/>
          </w:tcPr>
          <w:p w14:paraId="24303F1C" w14:textId="2A300BC8" w:rsidR="00AF23EA" w:rsidRPr="00221992" w:rsidRDefault="00AF23EA" w:rsidP="00C32D2C">
            <w:pPr>
              <w:keepNext/>
              <w:keepLines/>
              <w:spacing w:after="0" w:line="240" w:lineRule="auto"/>
              <w:ind w:left="0"/>
              <w:jc w:val="center"/>
              <w:cnfStyle w:val="000000010000" w:firstRow="0" w:lastRow="0" w:firstColumn="0" w:lastColumn="0" w:oddVBand="0" w:evenVBand="0" w:oddHBand="0" w:evenHBand="1" w:firstRowFirstColumn="0" w:firstRowLastColumn="0" w:lastRowFirstColumn="0" w:lastRowLastColumn="0"/>
              <w:rPr>
                <w:lang w:val="en-GB"/>
              </w:rPr>
            </w:pPr>
            <w:r w:rsidRPr="00221992">
              <w:rPr>
                <w:rFonts w:eastAsia="Calibri Light" w:cs="Calibri Light"/>
                <w:color w:val="000000" w:themeColor="text1"/>
                <w:sz w:val="20"/>
                <w:szCs w:val="20"/>
                <w:lang w:val="en-GB"/>
              </w:rPr>
              <w:t>NI</w:t>
            </w:r>
          </w:p>
        </w:tc>
      </w:tr>
      <w:tr w:rsidR="00AF23EA" w:rsidRPr="00221992" w14:paraId="1277F9AB" w14:textId="77777777" w:rsidTr="00682303">
        <w:tc>
          <w:tcPr>
            <w:cnfStyle w:val="001000000000" w:firstRow="0" w:lastRow="0" w:firstColumn="1" w:lastColumn="0" w:oddVBand="0" w:evenVBand="0" w:oddHBand="0" w:evenHBand="0" w:firstRowFirstColumn="0" w:firstRowLastColumn="0" w:lastRowFirstColumn="0" w:lastRowLastColumn="0"/>
            <w:tcW w:w="2295" w:type="dxa"/>
            <w:shd w:val="clear" w:color="auto" w:fill="0070C0"/>
          </w:tcPr>
          <w:p w14:paraId="00B0402C" w14:textId="77777777" w:rsidR="00AF23EA" w:rsidRPr="00221992" w:rsidRDefault="00AF23EA" w:rsidP="00682303">
            <w:pPr>
              <w:keepNext/>
              <w:keepLines/>
              <w:spacing w:after="0" w:line="240" w:lineRule="auto"/>
              <w:rPr>
                <w:lang w:val="en-GB"/>
              </w:rPr>
            </w:pPr>
            <w:r w:rsidRPr="00221992">
              <w:rPr>
                <w:rFonts w:ascii="Calibri" w:eastAsia="Calibri" w:hAnsi="Calibri" w:cs="Calibri"/>
                <w:sz w:val="20"/>
                <w:szCs w:val="20"/>
                <w:lang w:val="en-GB"/>
              </w:rPr>
              <w:t>Spain</w:t>
            </w:r>
            <w:r w:rsidRPr="00221992">
              <w:rPr>
                <w:rFonts w:ascii="Calibri" w:eastAsia="Calibri" w:hAnsi="Calibri" w:cs="Calibri"/>
                <w:sz w:val="20"/>
                <w:szCs w:val="20"/>
                <w:vertAlign w:val="superscript"/>
                <w:lang w:val="en-GB"/>
              </w:rPr>
              <w:t>14</w:t>
            </w:r>
          </w:p>
        </w:tc>
        <w:tc>
          <w:tcPr>
            <w:tcW w:w="1395" w:type="dxa"/>
          </w:tcPr>
          <w:p w14:paraId="049A8A57" w14:textId="77777777" w:rsidR="00AF23EA" w:rsidRPr="00221992" w:rsidRDefault="00AF23EA" w:rsidP="00682303">
            <w:pPr>
              <w:keepNext/>
              <w:keepLines/>
              <w:spacing w:after="0" w:line="240" w:lineRule="auto"/>
              <w:jc w:val="center"/>
              <w:cnfStyle w:val="000000000000" w:firstRow="0" w:lastRow="0" w:firstColumn="0" w:lastColumn="0" w:oddVBand="0" w:evenVBand="0" w:oddHBand="0" w:evenHBand="0" w:firstRowFirstColumn="0" w:firstRowLastColumn="0" w:lastRowFirstColumn="0" w:lastRowLastColumn="0"/>
              <w:rPr>
                <w:lang w:val="en-GB"/>
              </w:rPr>
            </w:pPr>
            <w:r w:rsidRPr="00221992">
              <w:rPr>
                <w:rFonts w:ascii="Wingdings" w:eastAsia="Wingdings" w:hAnsi="Wingdings" w:cs="Wingdings"/>
                <w:color w:val="FFC000"/>
                <w:sz w:val="20"/>
                <w:szCs w:val="20"/>
                <w:lang w:val="en-GB"/>
              </w:rPr>
              <w:t>þ</w:t>
            </w:r>
            <w:r w:rsidRPr="00221992">
              <w:rPr>
                <w:rFonts w:eastAsia="Calibri Light" w:cs="Calibri Light"/>
                <w:color w:val="000000" w:themeColor="text1"/>
                <w:sz w:val="20"/>
                <w:szCs w:val="20"/>
                <w:lang w:val="en-GB"/>
              </w:rPr>
              <w:t xml:space="preserve"> </w:t>
            </w:r>
          </w:p>
        </w:tc>
        <w:tc>
          <w:tcPr>
            <w:tcW w:w="840" w:type="dxa"/>
          </w:tcPr>
          <w:p w14:paraId="37B9E17B" w14:textId="77777777" w:rsidR="00AF23EA" w:rsidRPr="00221992" w:rsidRDefault="00AF23EA" w:rsidP="00682303">
            <w:pPr>
              <w:keepNext/>
              <w:keepLines/>
              <w:spacing w:after="0" w:line="240" w:lineRule="auto"/>
              <w:cnfStyle w:val="000000000000" w:firstRow="0" w:lastRow="0" w:firstColumn="0" w:lastColumn="0" w:oddVBand="0" w:evenVBand="0" w:oddHBand="0" w:evenHBand="0" w:firstRowFirstColumn="0" w:firstRowLastColumn="0" w:lastRowFirstColumn="0" w:lastRowLastColumn="0"/>
              <w:rPr>
                <w:lang w:val="en-GB"/>
              </w:rPr>
            </w:pPr>
            <w:r w:rsidRPr="00221992">
              <w:rPr>
                <w:rFonts w:eastAsia="Calibri Light" w:cs="Calibri Light"/>
                <w:sz w:val="20"/>
                <w:szCs w:val="20"/>
                <w:lang w:val="en-GB"/>
              </w:rPr>
              <w:t xml:space="preserve"> </w:t>
            </w:r>
          </w:p>
        </w:tc>
        <w:tc>
          <w:tcPr>
            <w:tcW w:w="1560" w:type="dxa"/>
          </w:tcPr>
          <w:p w14:paraId="710C01A9" w14:textId="77777777" w:rsidR="00AF23EA" w:rsidRPr="00221992" w:rsidRDefault="00AF23EA" w:rsidP="00682303">
            <w:pPr>
              <w:keepNext/>
              <w:keepLines/>
              <w:spacing w:after="0" w:line="240" w:lineRule="auto"/>
              <w:cnfStyle w:val="000000000000" w:firstRow="0" w:lastRow="0" w:firstColumn="0" w:lastColumn="0" w:oddVBand="0" w:evenVBand="0" w:oddHBand="0" w:evenHBand="0" w:firstRowFirstColumn="0" w:firstRowLastColumn="0" w:lastRowFirstColumn="0" w:lastRowLastColumn="0"/>
              <w:rPr>
                <w:lang w:val="en-GB"/>
              </w:rPr>
            </w:pPr>
            <w:r w:rsidRPr="00221992">
              <w:rPr>
                <w:rFonts w:eastAsia="Calibri Light" w:cs="Calibri Light"/>
                <w:sz w:val="20"/>
                <w:szCs w:val="20"/>
                <w:lang w:val="en-GB"/>
              </w:rPr>
              <w:t xml:space="preserve"> </w:t>
            </w:r>
          </w:p>
        </w:tc>
        <w:tc>
          <w:tcPr>
            <w:tcW w:w="1485" w:type="dxa"/>
          </w:tcPr>
          <w:p w14:paraId="74A8AE0C" w14:textId="77777777" w:rsidR="00AF23EA" w:rsidRPr="00221992" w:rsidRDefault="00AF23EA" w:rsidP="00682303">
            <w:pPr>
              <w:keepNext/>
              <w:keepLines/>
              <w:spacing w:after="0" w:line="240" w:lineRule="auto"/>
              <w:cnfStyle w:val="000000000000" w:firstRow="0" w:lastRow="0" w:firstColumn="0" w:lastColumn="0" w:oddVBand="0" w:evenVBand="0" w:oddHBand="0" w:evenHBand="0" w:firstRowFirstColumn="0" w:firstRowLastColumn="0" w:lastRowFirstColumn="0" w:lastRowLastColumn="0"/>
              <w:rPr>
                <w:lang w:val="en-GB"/>
              </w:rPr>
            </w:pPr>
            <w:r w:rsidRPr="00221992">
              <w:rPr>
                <w:rFonts w:eastAsia="Calibri Light" w:cs="Calibri Light"/>
                <w:sz w:val="20"/>
                <w:szCs w:val="20"/>
                <w:lang w:val="en-GB"/>
              </w:rPr>
              <w:t xml:space="preserve"> </w:t>
            </w:r>
          </w:p>
        </w:tc>
        <w:tc>
          <w:tcPr>
            <w:tcW w:w="1755" w:type="dxa"/>
          </w:tcPr>
          <w:p w14:paraId="0629F3BB" w14:textId="77777777" w:rsidR="00AF23EA" w:rsidRPr="00221992" w:rsidRDefault="00AF23EA" w:rsidP="00682303">
            <w:pPr>
              <w:keepNext/>
              <w:keepLines/>
              <w:spacing w:after="0" w:line="240" w:lineRule="auto"/>
              <w:jc w:val="center"/>
              <w:cnfStyle w:val="000000000000" w:firstRow="0" w:lastRow="0" w:firstColumn="0" w:lastColumn="0" w:oddVBand="0" w:evenVBand="0" w:oddHBand="0" w:evenHBand="0" w:firstRowFirstColumn="0" w:firstRowLastColumn="0" w:lastRowFirstColumn="0" w:lastRowLastColumn="0"/>
              <w:rPr>
                <w:lang w:val="en-GB"/>
              </w:rPr>
            </w:pPr>
            <w:r w:rsidRPr="00221992">
              <w:rPr>
                <w:rFonts w:ascii="Wingdings" w:eastAsia="Wingdings" w:hAnsi="Wingdings" w:cs="Wingdings"/>
                <w:color w:val="7F7F7F" w:themeColor="text1" w:themeTint="80"/>
                <w:sz w:val="20"/>
                <w:szCs w:val="20"/>
                <w:lang w:val="en-GB"/>
              </w:rPr>
              <w:t>þ</w:t>
            </w:r>
          </w:p>
        </w:tc>
      </w:tr>
      <w:tr w:rsidR="00AF23EA" w:rsidRPr="00221992" w14:paraId="07E5D1F2" w14:textId="77777777" w:rsidTr="0068230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95" w:type="dxa"/>
            <w:shd w:val="clear" w:color="auto" w:fill="0070C0"/>
          </w:tcPr>
          <w:p w14:paraId="1FB1D975" w14:textId="77777777" w:rsidR="00AF23EA" w:rsidRPr="00221992" w:rsidRDefault="00AF23EA" w:rsidP="00682303">
            <w:pPr>
              <w:keepNext/>
              <w:keepLines/>
              <w:spacing w:after="0" w:line="240" w:lineRule="auto"/>
              <w:rPr>
                <w:lang w:val="en-GB"/>
              </w:rPr>
            </w:pPr>
            <w:r w:rsidRPr="00221992">
              <w:rPr>
                <w:rFonts w:ascii="Calibri" w:eastAsia="Calibri" w:hAnsi="Calibri" w:cs="Calibri"/>
                <w:sz w:val="20"/>
                <w:szCs w:val="20"/>
                <w:lang w:val="en-GB"/>
              </w:rPr>
              <w:t>Sweden</w:t>
            </w:r>
            <w:r w:rsidRPr="00221992">
              <w:rPr>
                <w:rFonts w:ascii="Calibri" w:eastAsia="Calibri" w:hAnsi="Calibri" w:cs="Calibri"/>
                <w:sz w:val="20"/>
                <w:szCs w:val="20"/>
                <w:vertAlign w:val="superscript"/>
                <w:lang w:val="en-GB"/>
              </w:rPr>
              <w:t>15</w:t>
            </w:r>
          </w:p>
        </w:tc>
        <w:tc>
          <w:tcPr>
            <w:tcW w:w="1395" w:type="dxa"/>
          </w:tcPr>
          <w:p w14:paraId="04F02A29" w14:textId="77777777" w:rsidR="00AF23EA" w:rsidRPr="00221992" w:rsidRDefault="00AF23EA" w:rsidP="00682303">
            <w:pPr>
              <w:keepNext/>
              <w:keepLines/>
              <w:spacing w:after="0" w:line="240" w:lineRule="auto"/>
              <w:jc w:val="center"/>
              <w:cnfStyle w:val="000000010000" w:firstRow="0" w:lastRow="0" w:firstColumn="0" w:lastColumn="0" w:oddVBand="0" w:evenVBand="0" w:oddHBand="0" w:evenHBand="1" w:firstRowFirstColumn="0" w:firstRowLastColumn="0" w:lastRowFirstColumn="0" w:lastRowLastColumn="0"/>
              <w:rPr>
                <w:lang w:val="en-GB"/>
              </w:rPr>
            </w:pPr>
            <w:r w:rsidRPr="00221992">
              <w:rPr>
                <w:rFonts w:ascii="Wingdings" w:eastAsia="Wingdings" w:hAnsi="Wingdings" w:cs="Wingdings"/>
                <w:color w:val="FFC000"/>
                <w:sz w:val="20"/>
                <w:szCs w:val="20"/>
                <w:lang w:val="en-GB"/>
              </w:rPr>
              <w:t>þ</w:t>
            </w:r>
            <w:r w:rsidRPr="00221992">
              <w:rPr>
                <w:rFonts w:eastAsia="Calibri Light" w:cs="Calibri Light"/>
                <w:color w:val="000000" w:themeColor="text1"/>
                <w:sz w:val="20"/>
                <w:szCs w:val="20"/>
                <w:lang w:val="en-GB"/>
              </w:rPr>
              <w:t xml:space="preserve"> </w:t>
            </w:r>
          </w:p>
        </w:tc>
        <w:tc>
          <w:tcPr>
            <w:tcW w:w="840" w:type="dxa"/>
          </w:tcPr>
          <w:p w14:paraId="0C8E1368" w14:textId="1EF8232B" w:rsidR="00AF23EA" w:rsidRPr="00221992" w:rsidRDefault="008A6310" w:rsidP="00682303">
            <w:pPr>
              <w:keepNext/>
              <w:keepLines/>
              <w:spacing w:after="0" w:line="240" w:lineRule="auto"/>
              <w:jc w:val="center"/>
              <w:cnfStyle w:val="000000010000" w:firstRow="0" w:lastRow="0" w:firstColumn="0" w:lastColumn="0" w:oddVBand="0" w:evenVBand="0" w:oddHBand="0" w:evenHBand="1" w:firstRowFirstColumn="0" w:firstRowLastColumn="0" w:lastRowFirstColumn="0" w:lastRowLastColumn="0"/>
              <w:rPr>
                <w:lang w:val="en-GB"/>
              </w:rPr>
            </w:pPr>
            <w:r>
              <w:rPr>
                <w:rFonts w:eastAsia="Calibri Light" w:cs="Calibri Light"/>
                <w:color w:val="000000" w:themeColor="text1"/>
                <w:sz w:val="20"/>
                <w:szCs w:val="20"/>
                <w:lang w:val="en-GB"/>
              </w:rPr>
              <w:t xml:space="preserve"> </w:t>
            </w:r>
          </w:p>
        </w:tc>
        <w:tc>
          <w:tcPr>
            <w:tcW w:w="1560" w:type="dxa"/>
          </w:tcPr>
          <w:p w14:paraId="418B2C36" w14:textId="77777777" w:rsidR="00AF23EA" w:rsidRPr="00221992" w:rsidRDefault="00AF23EA" w:rsidP="00682303">
            <w:pPr>
              <w:keepNext/>
              <w:keepLines/>
              <w:spacing w:after="0" w:line="240" w:lineRule="auto"/>
              <w:jc w:val="center"/>
              <w:cnfStyle w:val="000000010000" w:firstRow="0" w:lastRow="0" w:firstColumn="0" w:lastColumn="0" w:oddVBand="0" w:evenVBand="0" w:oddHBand="0" w:evenHBand="1" w:firstRowFirstColumn="0" w:firstRowLastColumn="0" w:lastRowFirstColumn="0" w:lastRowLastColumn="0"/>
              <w:rPr>
                <w:lang w:val="en-GB"/>
              </w:rPr>
            </w:pPr>
            <w:r w:rsidRPr="00221992">
              <w:rPr>
                <w:rFonts w:ascii="Wingdings" w:eastAsia="Wingdings" w:hAnsi="Wingdings" w:cs="Wingdings"/>
                <w:color w:val="FFC000"/>
                <w:sz w:val="20"/>
                <w:szCs w:val="20"/>
                <w:lang w:val="en-GB"/>
              </w:rPr>
              <w:t>þ</w:t>
            </w:r>
            <w:r w:rsidRPr="00221992">
              <w:rPr>
                <w:rFonts w:eastAsia="Calibri Light" w:cs="Calibri Light"/>
                <w:color w:val="000000" w:themeColor="text1"/>
                <w:sz w:val="20"/>
                <w:szCs w:val="20"/>
                <w:lang w:val="en-GB"/>
              </w:rPr>
              <w:t xml:space="preserve"> </w:t>
            </w:r>
          </w:p>
        </w:tc>
        <w:tc>
          <w:tcPr>
            <w:tcW w:w="1485" w:type="dxa"/>
          </w:tcPr>
          <w:p w14:paraId="132BECA3" w14:textId="681F3467" w:rsidR="00AF23EA" w:rsidRPr="00221992" w:rsidRDefault="008A6310" w:rsidP="00682303">
            <w:pPr>
              <w:keepNext/>
              <w:keepLines/>
              <w:spacing w:after="0" w:line="240" w:lineRule="auto"/>
              <w:jc w:val="center"/>
              <w:cnfStyle w:val="000000010000" w:firstRow="0" w:lastRow="0" w:firstColumn="0" w:lastColumn="0" w:oddVBand="0" w:evenVBand="0" w:oddHBand="0" w:evenHBand="1" w:firstRowFirstColumn="0" w:firstRowLastColumn="0" w:lastRowFirstColumn="0" w:lastRowLastColumn="0"/>
              <w:rPr>
                <w:lang w:val="en-GB"/>
              </w:rPr>
            </w:pPr>
            <w:r>
              <w:rPr>
                <w:rFonts w:eastAsia="Calibri Light" w:cs="Calibri Light"/>
                <w:color w:val="000000" w:themeColor="text1"/>
                <w:sz w:val="20"/>
                <w:szCs w:val="20"/>
                <w:lang w:val="en-GB"/>
              </w:rPr>
              <w:t xml:space="preserve"> </w:t>
            </w:r>
          </w:p>
        </w:tc>
        <w:tc>
          <w:tcPr>
            <w:tcW w:w="1755" w:type="dxa"/>
          </w:tcPr>
          <w:p w14:paraId="1721D49A" w14:textId="77777777" w:rsidR="00AF23EA" w:rsidRPr="00221992" w:rsidRDefault="00AF23EA" w:rsidP="00682303">
            <w:pPr>
              <w:keepNext/>
              <w:keepLines/>
              <w:spacing w:after="0" w:line="240" w:lineRule="auto"/>
              <w:jc w:val="center"/>
              <w:cnfStyle w:val="000000010000" w:firstRow="0" w:lastRow="0" w:firstColumn="0" w:lastColumn="0" w:oddVBand="0" w:evenVBand="0" w:oddHBand="0" w:evenHBand="1" w:firstRowFirstColumn="0" w:firstRowLastColumn="0" w:lastRowFirstColumn="0" w:lastRowLastColumn="0"/>
              <w:rPr>
                <w:lang w:val="en-GB"/>
              </w:rPr>
            </w:pPr>
            <w:r w:rsidRPr="00221992">
              <w:rPr>
                <w:rFonts w:ascii="Wingdings" w:eastAsia="Wingdings" w:hAnsi="Wingdings" w:cs="Wingdings"/>
                <w:color w:val="7F7F7F" w:themeColor="text1" w:themeTint="80"/>
                <w:sz w:val="20"/>
                <w:szCs w:val="20"/>
                <w:lang w:val="en-GB"/>
              </w:rPr>
              <w:t>þ</w:t>
            </w:r>
          </w:p>
        </w:tc>
      </w:tr>
      <w:tr w:rsidR="00AF23EA" w:rsidRPr="00221992" w14:paraId="5D89D659" w14:textId="77777777" w:rsidTr="00682303">
        <w:tc>
          <w:tcPr>
            <w:cnfStyle w:val="001000000000" w:firstRow="0" w:lastRow="0" w:firstColumn="1" w:lastColumn="0" w:oddVBand="0" w:evenVBand="0" w:oddHBand="0" w:evenHBand="0" w:firstRowFirstColumn="0" w:firstRowLastColumn="0" w:lastRowFirstColumn="0" w:lastRowLastColumn="0"/>
            <w:tcW w:w="2295" w:type="dxa"/>
            <w:shd w:val="clear" w:color="auto" w:fill="0070C0"/>
          </w:tcPr>
          <w:p w14:paraId="16B3D4A8" w14:textId="77777777" w:rsidR="00AF23EA" w:rsidRPr="00221992" w:rsidRDefault="00AF23EA" w:rsidP="00682303">
            <w:pPr>
              <w:keepNext/>
              <w:keepLines/>
              <w:spacing w:after="0" w:line="240" w:lineRule="auto"/>
              <w:rPr>
                <w:lang w:val="en-GB"/>
              </w:rPr>
            </w:pPr>
            <w:r w:rsidRPr="00221992">
              <w:rPr>
                <w:rFonts w:ascii="Calibri" w:eastAsia="Calibri" w:hAnsi="Calibri" w:cs="Calibri"/>
                <w:sz w:val="20"/>
                <w:szCs w:val="20"/>
                <w:lang w:val="en-GB"/>
              </w:rPr>
              <w:t>Taiwan</w:t>
            </w:r>
            <w:r w:rsidRPr="00221992">
              <w:rPr>
                <w:rFonts w:ascii="Calibri" w:eastAsia="Calibri" w:hAnsi="Calibri" w:cs="Calibri"/>
                <w:sz w:val="20"/>
                <w:szCs w:val="20"/>
                <w:vertAlign w:val="superscript"/>
                <w:lang w:val="en-GB"/>
              </w:rPr>
              <w:t>16</w:t>
            </w:r>
          </w:p>
        </w:tc>
        <w:tc>
          <w:tcPr>
            <w:tcW w:w="7035" w:type="dxa"/>
            <w:gridSpan w:val="5"/>
          </w:tcPr>
          <w:p w14:paraId="0BF1FD29" w14:textId="77777777" w:rsidR="00AF23EA" w:rsidRPr="00221992" w:rsidRDefault="00AF23EA" w:rsidP="00682303">
            <w:pPr>
              <w:keepNext/>
              <w:keepLines/>
              <w:spacing w:after="0" w:line="240" w:lineRule="auto"/>
              <w:jc w:val="center"/>
              <w:cnfStyle w:val="000000000000" w:firstRow="0" w:lastRow="0" w:firstColumn="0" w:lastColumn="0" w:oddVBand="0" w:evenVBand="0" w:oddHBand="0" w:evenHBand="0" w:firstRowFirstColumn="0" w:firstRowLastColumn="0" w:lastRowFirstColumn="0" w:lastRowLastColumn="0"/>
              <w:rPr>
                <w:lang w:val="en-GB"/>
              </w:rPr>
            </w:pPr>
            <w:r w:rsidRPr="00221992">
              <w:rPr>
                <w:rFonts w:eastAsia="Calibri Light" w:cs="Calibri Light"/>
                <w:color w:val="000000" w:themeColor="text1"/>
                <w:sz w:val="20"/>
                <w:szCs w:val="20"/>
                <w:lang w:val="en-GB"/>
              </w:rPr>
              <w:t xml:space="preserve">in development </w:t>
            </w:r>
          </w:p>
        </w:tc>
      </w:tr>
      <w:tr w:rsidR="00AF23EA" w:rsidRPr="00221992" w14:paraId="088E7DAC" w14:textId="77777777" w:rsidTr="0068230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95" w:type="dxa"/>
            <w:shd w:val="clear" w:color="auto" w:fill="0070C0"/>
          </w:tcPr>
          <w:p w14:paraId="0BF106FA" w14:textId="77777777" w:rsidR="00AF23EA" w:rsidRPr="00221992" w:rsidRDefault="00AF23EA" w:rsidP="00682303">
            <w:pPr>
              <w:keepNext/>
              <w:keepLines/>
              <w:spacing w:after="0" w:line="240" w:lineRule="auto"/>
              <w:rPr>
                <w:lang w:val="en-GB"/>
              </w:rPr>
            </w:pPr>
            <w:r w:rsidRPr="00221992">
              <w:rPr>
                <w:rFonts w:ascii="Calibri" w:eastAsia="Calibri" w:hAnsi="Calibri" w:cs="Calibri"/>
                <w:sz w:val="20"/>
                <w:szCs w:val="20"/>
                <w:lang w:val="en-GB"/>
              </w:rPr>
              <w:t>England/Wales</w:t>
            </w:r>
            <w:r w:rsidRPr="00221992">
              <w:rPr>
                <w:rFonts w:ascii="Calibri" w:eastAsia="Calibri" w:hAnsi="Calibri" w:cs="Calibri"/>
                <w:sz w:val="20"/>
                <w:szCs w:val="20"/>
                <w:vertAlign w:val="superscript"/>
                <w:lang w:val="en-GB"/>
              </w:rPr>
              <w:t>17</w:t>
            </w:r>
          </w:p>
        </w:tc>
        <w:tc>
          <w:tcPr>
            <w:tcW w:w="1395" w:type="dxa"/>
          </w:tcPr>
          <w:p w14:paraId="38A554DA" w14:textId="3EC07B82" w:rsidR="00AF23EA" w:rsidRPr="00221992" w:rsidRDefault="008A6310" w:rsidP="00682303">
            <w:pPr>
              <w:keepNext/>
              <w:keepLines/>
              <w:spacing w:after="0" w:line="240" w:lineRule="auto"/>
              <w:jc w:val="center"/>
              <w:cnfStyle w:val="000000010000" w:firstRow="0" w:lastRow="0" w:firstColumn="0" w:lastColumn="0" w:oddVBand="0" w:evenVBand="0" w:oddHBand="0" w:evenHBand="1" w:firstRowFirstColumn="0" w:firstRowLastColumn="0" w:lastRowFirstColumn="0" w:lastRowLastColumn="0"/>
              <w:rPr>
                <w:lang w:val="en-GB"/>
              </w:rPr>
            </w:pPr>
            <w:r>
              <w:rPr>
                <w:rFonts w:eastAsia="Calibri Light" w:cs="Calibri Light"/>
                <w:color w:val="000000" w:themeColor="text1"/>
                <w:sz w:val="20"/>
                <w:szCs w:val="20"/>
                <w:lang w:val="en-GB"/>
              </w:rPr>
              <w:t xml:space="preserve"> </w:t>
            </w:r>
          </w:p>
        </w:tc>
        <w:tc>
          <w:tcPr>
            <w:tcW w:w="840" w:type="dxa"/>
          </w:tcPr>
          <w:p w14:paraId="39B4F33B" w14:textId="67E00BE6" w:rsidR="00AF23EA" w:rsidRPr="00221992" w:rsidRDefault="008A6310" w:rsidP="00682303">
            <w:pPr>
              <w:keepNext/>
              <w:keepLines/>
              <w:spacing w:after="0" w:line="240" w:lineRule="auto"/>
              <w:jc w:val="center"/>
              <w:cnfStyle w:val="000000010000" w:firstRow="0" w:lastRow="0" w:firstColumn="0" w:lastColumn="0" w:oddVBand="0" w:evenVBand="0" w:oddHBand="0" w:evenHBand="1" w:firstRowFirstColumn="0" w:firstRowLastColumn="0" w:lastRowFirstColumn="0" w:lastRowLastColumn="0"/>
              <w:rPr>
                <w:lang w:val="en-GB"/>
              </w:rPr>
            </w:pPr>
            <w:r>
              <w:rPr>
                <w:rFonts w:eastAsia="Calibri Light" w:cs="Calibri Light"/>
                <w:color w:val="000000" w:themeColor="text1"/>
                <w:sz w:val="20"/>
                <w:szCs w:val="20"/>
                <w:lang w:val="en-GB"/>
              </w:rPr>
              <w:t xml:space="preserve"> </w:t>
            </w:r>
          </w:p>
        </w:tc>
        <w:tc>
          <w:tcPr>
            <w:tcW w:w="1560" w:type="dxa"/>
          </w:tcPr>
          <w:p w14:paraId="6DE3F593" w14:textId="2D9F0143" w:rsidR="00AF23EA" w:rsidRPr="00221992" w:rsidRDefault="008A6310" w:rsidP="00682303">
            <w:pPr>
              <w:keepNext/>
              <w:keepLines/>
              <w:spacing w:after="0" w:line="240" w:lineRule="auto"/>
              <w:jc w:val="center"/>
              <w:cnfStyle w:val="000000010000" w:firstRow="0" w:lastRow="0" w:firstColumn="0" w:lastColumn="0" w:oddVBand="0" w:evenVBand="0" w:oddHBand="0" w:evenHBand="1" w:firstRowFirstColumn="0" w:firstRowLastColumn="0" w:lastRowFirstColumn="0" w:lastRowLastColumn="0"/>
              <w:rPr>
                <w:lang w:val="en-GB"/>
              </w:rPr>
            </w:pPr>
            <w:r>
              <w:rPr>
                <w:rFonts w:eastAsia="Calibri Light" w:cs="Calibri Light"/>
                <w:color w:val="000000" w:themeColor="text1"/>
                <w:sz w:val="20"/>
                <w:szCs w:val="20"/>
                <w:lang w:val="en-GB"/>
              </w:rPr>
              <w:t xml:space="preserve"> </w:t>
            </w:r>
          </w:p>
        </w:tc>
        <w:tc>
          <w:tcPr>
            <w:tcW w:w="1485" w:type="dxa"/>
          </w:tcPr>
          <w:p w14:paraId="5D50EBC1" w14:textId="77777777" w:rsidR="00AF23EA" w:rsidRPr="00221992" w:rsidRDefault="00AF23EA" w:rsidP="00682303">
            <w:pPr>
              <w:keepNext/>
              <w:keepLines/>
              <w:spacing w:after="0" w:line="240" w:lineRule="auto"/>
              <w:jc w:val="center"/>
              <w:cnfStyle w:val="000000010000" w:firstRow="0" w:lastRow="0" w:firstColumn="0" w:lastColumn="0" w:oddVBand="0" w:evenVBand="0" w:oddHBand="0" w:evenHBand="1" w:firstRowFirstColumn="0" w:firstRowLastColumn="0" w:lastRowFirstColumn="0" w:lastRowLastColumn="0"/>
              <w:rPr>
                <w:lang w:val="en-GB"/>
              </w:rPr>
            </w:pPr>
            <w:r w:rsidRPr="00221992">
              <w:rPr>
                <w:rFonts w:ascii="Wingdings" w:eastAsia="Wingdings" w:hAnsi="Wingdings" w:cs="Wingdings"/>
                <w:color w:val="FFC000"/>
                <w:sz w:val="20"/>
                <w:szCs w:val="20"/>
                <w:lang w:val="en-GB"/>
              </w:rPr>
              <w:t>þ</w:t>
            </w:r>
          </w:p>
        </w:tc>
        <w:tc>
          <w:tcPr>
            <w:tcW w:w="1755" w:type="dxa"/>
          </w:tcPr>
          <w:p w14:paraId="047145C6" w14:textId="77777777" w:rsidR="00AF23EA" w:rsidRPr="00221992" w:rsidRDefault="00AF23EA" w:rsidP="00682303">
            <w:pPr>
              <w:keepNext/>
              <w:keepLines/>
              <w:spacing w:after="0" w:line="240" w:lineRule="auto"/>
              <w:jc w:val="center"/>
              <w:cnfStyle w:val="000000010000" w:firstRow="0" w:lastRow="0" w:firstColumn="0" w:lastColumn="0" w:oddVBand="0" w:evenVBand="0" w:oddHBand="0" w:evenHBand="1" w:firstRowFirstColumn="0" w:firstRowLastColumn="0" w:lastRowFirstColumn="0" w:lastRowLastColumn="0"/>
              <w:rPr>
                <w:lang w:val="en-GB"/>
              </w:rPr>
            </w:pPr>
            <w:r w:rsidRPr="00221992">
              <w:rPr>
                <w:rFonts w:ascii="Wingdings" w:eastAsia="Wingdings" w:hAnsi="Wingdings" w:cs="Wingdings"/>
                <w:color w:val="FFC000"/>
                <w:sz w:val="20"/>
                <w:szCs w:val="20"/>
                <w:lang w:val="en-GB"/>
              </w:rPr>
              <w:t>þ</w:t>
            </w:r>
          </w:p>
        </w:tc>
      </w:tr>
      <w:tr w:rsidR="00AF23EA" w:rsidRPr="00221992" w14:paraId="16422186" w14:textId="77777777" w:rsidTr="00682303">
        <w:tc>
          <w:tcPr>
            <w:cnfStyle w:val="001000000000" w:firstRow="0" w:lastRow="0" w:firstColumn="1" w:lastColumn="0" w:oddVBand="0" w:evenVBand="0" w:oddHBand="0" w:evenHBand="0" w:firstRowFirstColumn="0" w:firstRowLastColumn="0" w:lastRowFirstColumn="0" w:lastRowLastColumn="0"/>
            <w:tcW w:w="2295" w:type="dxa"/>
            <w:shd w:val="clear" w:color="auto" w:fill="0070C0"/>
          </w:tcPr>
          <w:p w14:paraId="5D77E090" w14:textId="77777777" w:rsidR="00AF23EA" w:rsidRPr="00221992" w:rsidRDefault="00AF23EA" w:rsidP="00682303">
            <w:pPr>
              <w:keepNext/>
              <w:keepLines/>
              <w:spacing w:after="0" w:line="240" w:lineRule="auto"/>
              <w:rPr>
                <w:lang w:val="en-GB"/>
              </w:rPr>
            </w:pPr>
            <w:r w:rsidRPr="00221992">
              <w:rPr>
                <w:rFonts w:ascii="Calibri" w:eastAsia="Calibri" w:hAnsi="Calibri" w:cs="Calibri"/>
                <w:sz w:val="20"/>
                <w:szCs w:val="20"/>
                <w:lang w:val="en-GB"/>
              </w:rPr>
              <w:t>UK (Scotland)</w:t>
            </w:r>
            <w:r w:rsidRPr="00221992">
              <w:rPr>
                <w:rFonts w:ascii="Calibri" w:eastAsia="Calibri" w:hAnsi="Calibri" w:cs="Calibri"/>
                <w:sz w:val="20"/>
                <w:szCs w:val="20"/>
                <w:vertAlign w:val="superscript"/>
                <w:lang w:val="en-GB"/>
              </w:rPr>
              <w:t>18</w:t>
            </w:r>
          </w:p>
        </w:tc>
        <w:tc>
          <w:tcPr>
            <w:tcW w:w="7035" w:type="dxa"/>
            <w:gridSpan w:val="5"/>
          </w:tcPr>
          <w:p w14:paraId="5AEECD2D" w14:textId="0DC443EC" w:rsidR="00AF23EA" w:rsidRPr="00221992" w:rsidRDefault="00AF23EA" w:rsidP="00C32D2C">
            <w:pPr>
              <w:keepNext/>
              <w:keepLines/>
              <w:spacing w:after="0" w:line="240" w:lineRule="auto"/>
              <w:ind w:left="0"/>
              <w:jc w:val="center"/>
              <w:cnfStyle w:val="000000000000" w:firstRow="0" w:lastRow="0" w:firstColumn="0" w:lastColumn="0" w:oddVBand="0" w:evenVBand="0" w:oddHBand="0" w:evenHBand="0" w:firstRowFirstColumn="0" w:firstRowLastColumn="0" w:lastRowFirstColumn="0" w:lastRowLastColumn="0"/>
              <w:rPr>
                <w:lang w:val="en-GB"/>
              </w:rPr>
            </w:pPr>
            <w:r w:rsidRPr="00221992">
              <w:rPr>
                <w:rFonts w:eastAsia="Calibri Light" w:cs="Calibri Light"/>
                <w:color w:val="000000" w:themeColor="text1"/>
                <w:sz w:val="20"/>
                <w:szCs w:val="20"/>
                <w:lang w:val="en-GB"/>
              </w:rPr>
              <w:t>NI</w:t>
            </w:r>
          </w:p>
        </w:tc>
      </w:tr>
      <w:tr w:rsidR="00AF23EA" w:rsidRPr="00221992" w14:paraId="3886D5D4" w14:textId="77777777" w:rsidTr="0068230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95" w:type="dxa"/>
            <w:shd w:val="clear" w:color="auto" w:fill="0070C0"/>
          </w:tcPr>
          <w:p w14:paraId="020CD3EC" w14:textId="77777777" w:rsidR="00AF23EA" w:rsidRPr="00221992" w:rsidRDefault="00AF23EA" w:rsidP="00682303">
            <w:pPr>
              <w:keepNext/>
              <w:keepLines/>
              <w:spacing w:after="0" w:line="240" w:lineRule="auto"/>
              <w:rPr>
                <w:lang w:val="en-GB"/>
              </w:rPr>
            </w:pPr>
            <w:r w:rsidRPr="00221992">
              <w:rPr>
                <w:rFonts w:ascii="Calibri" w:eastAsia="Calibri" w:hAnsi="Calibri" w:cs="Calibri"/>
                <w:b/>
                <w:sz w:val="20"/>
                <w:szCs w:val="20"/>
                <w:lang w:val="en-GB"/>
              </w:rPr>
              <w:t>TOTAL</w:t>
            </w:r>
            <w:r w:rsidRPr="00221992">
              <w:rPr>
                <w:rFonts w:ascii="Calibri" w:eastAsia="Calibri" w:hAnsi="Calibri" w:cs="Calibri"/>
                <w:b/>
                <w:color w:val="D13438"/>
                <w:sz w:val="20"/>
                <w:szCs w:val="20"/>
                <w:lang w:val="en-GB"/>
              </w:rPr>
              <w:t xml:space="preserve"> </w:t>
            </w:r>
          </w:p>
        </w:tc>
        <w:tc>
          <w:tcPr>
            <w:tcW w:w="1395" w:type="dxa"/>
          </w:tcPr>
          <w:p w14:paraId="412AA7BA" w14:textId="77777777" w:rsidR="00AF23EA" w:rsidRPr="00EB5DD8" w:rsidRDefault="00AF23EA" w:rsidP="00682303">
            <w:pPr>
              <w:keepNext/>
              <w:keepLines/>
              <w:spacing w:after="0" w:line="240" w:lineRule="auto"/>
              <w:jc w:val="center"/>
              <w:cnfStyle w:val="000000010000" w:firstRow="0" w:lastRow="0" w:firstColumn="0" w:lastColumn="0" w:oddVBand="0" w:evenVBand="0" w:oddHBand="0" w:evenHBand="1" w:firstRowFirstColumn="0" w:firstRowLastColumn="0" w:lastRowFirstColumn="0" w:lastRowLastColumn="0"/>
              <w:rPr>
                <w:rFonts w:ascii="Calibri" w:hAnsi="Calibri" w:cs="Calibri"/>
                <w:lang w:val="en-GB"/>
              </w:rPr>
            </w:pPr>
            <w:r w:rsidRPr="00EB5DD8">
              <w:rPr>
                <w:rFonts w:ascii="Calibri" w:eastAsia="Calibri Light" w:hAnsi="Calibri" w:cs="Calibri"/>
                <w:b/>
                <w:color w:val="000000" w:themeColor="text1"/>
                <w:sz w:val="20"/>
                <w:szCs w:val="20"/>
                <w:lang w:val="en-GB"/>
              </w:rPr>
              <w:t xml:space="preserve">6 </w:t>
            </w:r>
          </w:p>
        </w:tc>
        <w:tc>
          <w:tcPr>
            <w:tcW w:w="840" w:type="dxa"/>
          </w:tcPr>
          <w:p w14:paraId="1C715DBF" w14:textId="77777777" w:rsidR="00AF23EA" w:rsidRPr="00EB5DD8" w:rsidRDefault="00AF23EA" w:rsidP="00682303">
            <w:pPr>
              <w:keepNext/>
              <w:keepLines/>
              <w:spacing w:after="0" w:line="240" w:lineRule="auto"/>
              <w:jc w:val="center"/>
              <w:cnfStyle w:val="000000010000" w:firstRow="0" w:lastRow="0" w:firstColumn="0" w:lastColumn="0" w:oddVBand="0" w:evenVBand="0" w:oddHBand="0" w:evenHBand="1" w:firstRowFirstColumn="0" w:firstRowLastColumn="0" w:lastRowFirstColumn="0" w:lastRowLastColumn="0"/>
              <w:rPr>
                <w:rFonts w:ascii="Calibri" w:hAnsi="Calibri" w:cs="Calibri"/>
                <w:lang w:val="en-GB"/>
              </w:rPr>
            </w:pPr>
            <w:r w:rsidRPr="00EB5DD8">
              <w:rPr>
                <w:rFonts w:ascii="Calibri" w:eastAsia="Calibri Light" w:hAnsi="Calibri" w:cs="Calibri"/>
                <w:b/>
                <w:color w:val="000000" w:themeColor="text1"/>
                <w:sz w:val="20"/>
                <w:szCs w:val="20"/>
                <w:lang w:val="en-GB"/>
              </w:rPr>
              <w:t xml:space="preserve">5 </w:t>
            </w:r>
          </w:p>
        </w:tc>
        <w:tc>
          <w:tcPr>
            <w:tcW w:w="1560" w:type="dxa"/>
          </w:tcPr>
          <w:p w14:paraId="44262454" w14:textId="77777777" w:rsidR="00AF23EA" w:rsidRPr="00EB5DD8" w:rsidRDefault="00AF23EA" w:rsidP="00682303">
            <w:pPr>
              <w:keepNext/>
              <w:keepLines/>
              <w:spacing w:after="0" w:line="240" w:lineRule="auto"/>
              <w:jc w:val="center"/>
              <w:cnfStyle w:val="000000010000" w:firstRow="0" w:lastRow="0" w:firstColumn="0" w:lastColumn="0" w:oddVBand="0" w:evenVBand="0" w:oddHBand="0" w:evenHBand="1" w:firstRowFirstColumn="0" w:firstRowLastColumn="0" w:lastRowFirstColumn="0" w:lastRowLastColumn="0"/>
              <w:rPr>
                <w:rFonts w:ascii="Calibri" w:hAnsi="Calibri" w:cs="Calibri"/>
                <w:lang w:val="en-GB"/>
              </w:rPr>
            </w:pPr>
            <w:r w:rsidRPr="00EB5DD8">
              <w:rPr>
                <w:rFonts w:ascii="Calibri" w:eastAsia="Calibri Light" w:hAnsi="Calibri" w:cs="Calibri"/>
                <w:b/>
                <w:color w:val="000000" w:themeColor="text1"/>
                <w:sz w:val="20"/>
                <w:szCs w:val="20"/>
                <w:lang w:val="en-GB"/>
              </w:rPr>
              <w:t xml:space="preserve">4 </w:t>
            </w:r>
          </w:p>
        </w:tc>
        <w:tc>
          <w:tcPr>
            <w:tcW w:w="1485" w:type="dxa"/>
          </w:tcPr>
          <w:p w14:paraId="064C9059" w14:textId="77777777" w:rsidR="00AF23EA" w:rsidRPr="00EB5DD8" w:rsidRDefault="00AF23EA" w:rsidP="00682303">
            <w:pPr>
              <w:keepNext/>
              <w:keepLines/>
              <w:spacing w:after="0" w:line="240" w:lineRule="auto"/>
              <w:jc w:val="center"/>
              <w:cnfStyle w:val="000000010000" w:firstRow="0" w:lastRow="0" w:firstColumn="0" w:lastColumn="0" w:oddVBand="0" w:evenVBand="0" w:oddHBand="0" w:evenHBand="1" w:firstRowFirstColumn="0" w:firstRowLastColumn="0" w:lastRowFirstColumn="0" w:lastRowLastColumn="0"/>
              <w:rPr>
                <w:rFonts w:ascii="Calibri" w:hAnsi="Calibri" w:cs="Calibri"/>
                <w:lang w:val="en-GB"/>
              </w:rPr>
            </w:pPr>
            <w:r w:rsidRPr="00EB5DD8">
              <w:rPr>
                <w:rFonts w:ascii="Calibri" w:eastAsia="Calibri Light" w:hAnsi="Calibri" w:cs="Calibri"/>
                <w:b/>
                <w:color w:val="000000" w:themeColor="text1"/>
                <w:sz w:val="20"/>
                <w:szCs w:val="20"/>
                <w:lang w:val="en-GB"/>
              </w:rPr>
              <w:t xml:space="preserve">2 </w:t>
            </w:r>
          </w:p>
        </w:tc>
        <w:tc>
          <w:tcPr>
            <w:tcW w:w="1755" w:type="dxa"/>
          </w:tcPr>
          <w:p w14:paraId="424A540A" w14:textId="77777777" w:rsidR="00AF23EA" w:rsidRPr="00EB5DD8" w:rsidRDefault="00AF23EA" w:rsidP="00682303">
            <w:pPr>
              <w:keepNext/>
              <w:keepLines/>
              <w:spacing w:after="0" w:line="240" w:lineRule="auto"/>
              <w:jc w:val="center"/>
              <w:cnfStyle w:val="000000010000" w:firstRow="0" w:lastRow="0" w:firstColumn="0" w:lastColumn="0" w:oddVBand="0" w:evenVBand="0" w:oddHBand="0" w:evenHBand="1" w:firstRowFirstColumn="0" w:firstRowLastColumn="0" w:lastRowFirstColumn="0" w:lastRowLastColumn="0"/>
              <w:rPr>
                <w:rFonts w:ascii="Calibri" w:hAnsi="Calibri" w:cs="Calibri"/>
                <w:lang w:val="en-GB"/>
              </w:rPr>
            </w:pPr>
            <w:r w:rsidRPr="00EB5DD8">
              <w:rPr>
                <w:rFonts w:ascii="Calibri" w:eastAsia="Calibri Light" w:hAnsi="Calibri" w:cs="Calibri"/>
                <w:b/>
                <w:color w:val="000000" w:themeColor="text1"/>
                <w:sz w:val="20"/>
                <w:szCs w:val="20"/>
                <w:lang w:val="en-GB"/>
              </w:rPr>
              <w:t>6</w:t>
            </w:r>
          </w:p>
        </w:tc>
      </w:tr>
    </w:tbl>
    <w:p w14:paraId="27C609D2" w14:textId="77777777" w:rsidR="00AF23EA" w:rsidRPr="00221992" w:rsidRDefault="00AF23EA" w:rsidP="00533CF1">
      <w:pPr>
        <w:pStyle w:val="TableNotes"/>
        <w:rPr>
          <w:lang w:val="en-GB" w:eastAsia="en-GB"/>
        </w:rPr>
      </w:pPr>
      <w:r w:rsidRPr="00221992">
        <w:rPr>
          <w:lang w:val="en-GB" w:eastAsia="en-GB"/>
        </w:rPr>
        <w:t>Acronyms:</w:t>
      </w:r>
      <w:r w:rsidRPr="00221992">
        <w:rPr>
          <w:lang w:val="en-GB" w:eastAsia="en-GB"/>
        </w:rPr>
        <w:tab/>
        <w:t xml:space="preserve">PbR, Patient by result; CED, coverage with evidence development; CTC, conditional treatment continuation; NI, none identified. </w:t>
      </w:r>
    </w:p>
    <w:p w14:paraId="73739507" w14:textId="4311CF5A" w:rsidR="00AF23EA" w:rsidRPr="00221992" w:rsidRDefault="00AF23EA" w:rsidP="00533CF1">
      <w:pPr>
        <w:pStyle w:val="TableNotes"/>
        <w:rPr>
          <w:lang w:val="en-GB" w:eastAsia="en-GB"/>
        </w:rPr>
      </w:pPr>
      <w:r w:rsidRPr="00221992">
        <w:rPr>
          <w:lang w:val="en-GB" w:eastAsia="en-GB"/>
        </w:rPr>
        <w:t>Notes:</w:t>
      </w:r>
      <w:r w:rsidRPr="00221992">
        <w:rPr>
          <w:lang w:val="en-GB" w:eastAsia="en-GB"/>
        </w:rPr>
        <w:tab/>
        <w:t>1. Australia: Population CED is well documented. Expert opinion (Australian Department of Health HTA review reference committee 14th August 2023) noted patient level CED was also in place for CAR-T therapies; CTC was confirmed for treatments between 2005 and 2017; Confirms use of CTC and some with prices attached (PbR). 2. Belgium: CED agreements common, PbR also used. 3. Canada: Evidence from conference presentations indicates MEAs are in development. 4. France: Patient PbR and population level CED confirmed. 5. Germany: Based on interview with Germany HTA, ad-hoc CED may be used, for varying lengths, post the initial 12 months, and up to 10 years – with the focus being on benefit and financial impact, not cost-effectiveness</w:t>
      </w:r>
      <w:r w:rsidR="008A748E" w:rsidRPr="00221992">
        <w:rPr>
          <w:lang w:val="en-GB" w:eastAsia="en-GB"/>
        </w:rPr>
        <w:t>.</w:t>
      </w:r>
      <w:r w:rsidRPr="00221992">
        <w:rPr>
          <w:lang w:val="en-GB" w:eastAsia="en-GB"/>
        </w:rPr>
        <w:t xml:space="preserve"> 6. Japan: Patient level CED is in place for medical services. 7. Korea</w:t>
      </w:r>
      <w:r w:rsidR="008A748E" w:rsidRPr="00221992">
        <w:rPr>
          <w:lang w:val="en-GB" w:eastAsia="en-GB"/>
        </w:rPr>
        <w:t xml:space="preserve">. </w:t>
      </w:r>
      <w:r w:rsidRPr="00221992">
        <w:rPr>
          <w:lang w:val="en-GB" w:eastAsia="en-GB"/>
        </w:rPr>
        <w:t>8. Italy:</w:t>
      </w:r>
      <w:r w:rsidR="008A6310">
        <w:rPr>
          <w:lang w:val="en-GB" w:eastAsia="en-GB"/>
        </w:rPr>
        <w:t xml:space="preserve"> </w:t>
      </w:r>
      <w:r w:rsidRPr="00221992">
        <w:rPr>
          <w:lang w:val="en-GB" w:eastAsia="en-GB"/>
        </w:rPr>
        <w:t>refers to MEAs up until 2020. Italy is transitioning away from PbR to cost sharing and capping models. CTC was found in 2007. 9.</w:t>
      </w:r>
      <w:r w:rsidR="008A6310">
        <w:rPr>
          <w:lang w:val="en-GB" w:eastAsia="en-GB"/>
        </w:rPr>
        <w:t xml:space="preserve"> </w:t>
      </w:r>
      <w:r w:rsidRPr="00221992">
        <w:rPr>
          <w:lang w:val="en-GB" w:eastAsia="en-GB"/>
        </w:rPr>
        <w:t>Luxembourg: no specific framework identified; Reports usage of financial MEAs. RSA/discounts/ rebates are most common and are assumed if not verified elsewhere p 18. 10. The Netherlands had performance MEAs established only up until 2015.</w:t>
      </w:r>
      <w:r w:rsidR="008A6310">
        <w:rPr>
          <w:lang w:val="en-GB" w:eastAsia="en-GB"/>
        </w:rPr>
        <w:t xml:space="preserve"> </w:t>
      </w:r>
      <w:r w:rsidRPr="00221992">
        <w:rPr>
          <w:lang w:val="en-GB" w:eastAsia="en-GB"/>
        </w:rPr>
        <w:t>A new approach is currently being implemented. 11.New Zealand: Use active disinvestment processes, budgeting, tender and negotiation and reference pricing. 12.Norway: No MEAs identified. 13. Singapore: Consultation with Singapore confirms not currently using performance MEAs. 14. Spain. PbR confirmed.; Population based CED confirmed. 15. Sweden 16. Taiwan: No MEAs identified. 17. UK (England/Wales), p</w:t>
      </w:r>
      <w:r w:rsidR="007B6681">
        <w:rPr>
          <w:lang w:val="en-GB" w:eastAsia="en-GB"/>
        </w:rPr>
        <w:t>.</w:t>
      </w:r>
      <w:r w:rsidRPr="00221992">
        <w:rPr>
          <w:lang w:val="en-GB" w:eastAsia="en-GB"/>
        </w:rPr>
        <w:t xml:space="preserve"> 16</w:t>
      </w:r>
      <w:r w:rsidR="008A6310">
        <w:rPr>
          <w:lang w:val="en-GB" w:eastAsia="en-GB"/>
        </w:rPr>
        <w:t xml:space="preserve"> </w:t>
      </w:r>
      <w:r w:rsidRPr="00221992">
        <w:rPr>
          <w:lang w:val="en-GB" w:eastAsia="en-GB"/>
        </w:rPr>
        <w:fldChar w:fldCharType="begin"/>
      </w:r>
      <w:r w:rsidR="005A67DD" w:rsidRPr="00221992">
        <w:rPr>
          <w:lang w:val="en-GB" w:eastAsia="en-GB"/>
        </w:rPr>
        <w:instrText xml:space="preserve"> ADDIN EN.CITE &lt;EndNote&gt;&lt;Cite&gt;&lt;Author&gt;Wenzl M&lt;/Author&gt;&lt;Year&gt;2019&lt;/Year&gt;&lt;RecNum&gt;477&lt;/RecNum&gt;&lt;DisplayText&gt;[6]&lt;/DisplayText&gt;&lt;record&gt;&lt;rec-number&gt;477&lt;/rec-number&gt;&lt;foreign-keys&gt;&lt;key app="EN" db-id="wzwwsfxe4peesxef95cxvrwjxts9rreasarf" timestamp="1692654671"&gt;477&lt;/key&gt;&lt;/foreign-keys&gt;&lt;ref-type name="Book Section"&gt;5&lt;/ref-type&gt;&lt;contributors&gt;&lt;authors&gt;&lt;author&gt;Wenzl M,&lt;/author&gt;&lt;author&gt;Chapman S.&lt;/author&gt;&lt;/authors&gt;&lt;/contributors&gt;&lt;titles&gt;&lt;title&gt;Performance-Based Managed Entry Agreements For New Medicines in OECD Countries and EU Member States: How They Work and Possible Improvements Going Forward.&lt;/title&gt;&lt;secondary-title&gt;OECD Health Working Papers,&lt;/secondary-title&gt;&lt;/titles&gt;&lt;volume&gt;No. 115&lt;/volume&gt;&lt;dates&gt;&lt;year&gt;2019&lt;/year&gt;&lt;/dates&gt;&lt;pub-location&gt;Paris&lt;/pub-location&gt;&lt;publisher&gt;OECD Publishing&lt;/publisher&gt;&lt;urls&gt;&lt;related-urls&gt;&lt;url&gt;https://www.oecd-ilibrary.org/content/paper/6e5e4c0f-en&lt;/url&gt;&lt;/related-urls&gt;&lt;/urls&gt;&lt;electronic-resource-num&gt;doi:https://doi.org/10.1787/6e5e4c0f-en&lt;/electronic-resource-num&gt;&lt;/record&gt;&lt;/Cite&gt;&lt;/EndNote&gt;</w:instrText>
      </w:r>
      <w:r w:rsidRPr="00221992">
        <w:rPr>
          <w:lang w:val="en-GB" w:eastAsia="en-GB"/>
        </w:rPr>
        <w:fldChar w:fldCharType="separate"/>
      </w:r>
      <w:r w:rsidR="005A67DD" w:rsidRPr="00221992">
        <w:rPr>
          <w:noProof/>
          <w:lang w:val="en-GB" w:eastAsia="en-GB"/>
        </w:rPr>
        <w:t>[6]</w:t>
      </w:r>
      <w:r w:rsidRPr="00221992">
        <w:rPr>
          <w:lang w:val="en-GB" w:eastAsia="en-GB"/>
        </w:rPr>
        <w:fldChar w:fldCharType="end"/>
      </w:r>
      <w:r w:rsidRPr="00221992">
        <w:rPr>
          <w:lang w:val="en-GB" w:eastAsia="en-GB"/>
        </w:rPr>
        <w:t>. Population CED and PbR was found in 2002. 18. Scotland, p16.</w:t>
      </w:r>
    </w:p>
    <w:p w14:paraId="7207DF52" w14:textId="62496E70" w:rsidR="009C0CD6" w:rsidRPr="00221992" w:rsidRDefault="00206902" w:rsidP="00FD7C45">
      <w:pPr>
        <w:rPr>
          <w:lang w:val="en-GB"/>
        </w:rPr>
      </w:pPr>
      <w:r w:rsidRPr="00221992">
        <w:rPr>
          <w:lang w:val="en-GB"/>
        </w:rPr>
        <w:t xml:space="preserve">MEAs are predominantly used for high-cost therapies in oncology and rare diseases. These agreements aim to address uncertainties in these therapeutic areas and ensure timely access to innovative treatments. In addition to pharmaceuticals, MEAs are also utilised for medical devices in countries </w:t>
      </w:r>
      <w:r w:rsidR="00A256EF">
        <w:rPr>
          <w:lang w:val="en-GB"/>
        </w:rPr>
        <w:t>including the</w:t>
      </w:r>
      <w:r w:rsidRPr="00221992">
        <w:rPr>
          <w:lang w:val="en-GB"/>
        </w:rPr>
        <w:t xml:space="preserve"> UK, South Korea, Japan and the US. </w:t>
      </w:r>
    </w:p>
    <w:p w14:paraId="12B16E34" w14:textId="5D5E7D10" w:rsidR="00206902" w:rsidRPr="00221992" w:rsidRDefault="0033688F" w:rsidP="00FD7C45">
      <w:pPr>
        <w:rPr>
          <w:lang w:val="en-GB"/>
        </w:rPr>
      </w:pPr>
      <w:r w:rsidRPr="00221992">
        <w:rPr>
          <w:lang w:val="en-GB"/>
        </w:rPr>
        <w:t>Internationally, routine administrative data—including prescriptions, insurance claims, existing disease registries and electronic medical records represent almost 50% of the data used to execute performance-based agreements</w:t>
      </w:r>
      <w:r w:rsidR="009C0CD6" w:rsidRPr="00221992">
        <w:rPr>
          <w:lang w:val="en-GB"/>
        </w:rPr>
        <w:t xml:space="preserve">. </w:t>
      </w:r>
      <w:r w:rsidRPr="00221992">
        <w:rPr>
          <w:lang w:val="en-GB"/>
        </w:rPr>
        <w:t xml:space="preserve">Other data sources commonly used include MEA-specific registries, prospective studies (37.5%) </w:t>
      </w:r>
      <w:r w:rsidR="00996D6A">
        <w:rPr>
          <w:lang w:val="en-GB"/>
        </w:rPr>
        <w:t>and</w:t>
      </w:r>
      <w:r w:rsidR="00996D6A" w:rsidRPr="00221992">
        <w:rPr>
          <w:lang w:val="en-GB"/>
        </w:rPr>
        <w:t xml:space="preserve"> </w:t>
      </w:r>
      <w:r w:rsidRPr="00221992">
        <w:rPr>
          <w:lang w:val="en-GB"/>
        </w:rPr>
        <w:t>post-market clinical trial/study data (13.5%) (i.e., studies conducted to assess a product</w:t>
      </w:r>
      <w:r w:rsidR="00551786">
        <w:rPr>
          <w:lang w:val="en-GB"/>
        </w:rPr>
        <w:t>’</w:t>
      </w:r>
      <w:r w:rsidRPr="00221992">
        <w:rPr>
          <w:lang w:val="en-GB"/>
        </w:rPr>
        <w:t>s safety, efficacy and real-world performance beyond the controlled setting of the clinical trial)</w:t>
      </w:r>
      <w:r w:rsidR="009C0CD6" w:rsidRPr="00221992">
        <w:rPr>
          <w:lang w:val="en-GB"/>
        </w:rPr>
        <w:t>.</w:t>
      </w:r>
      <w:r w:rsidR="00460DB2" w:rsidRPr="00221992">
        <w:rPr>
          <w:lang w:val="en-GB"/>
        </w:rPr>
        <w:t xml:space="preserve"> </w:t>
      </w:r>
      <w:r w:rsidR="00996D6A">
        <w:rPr>
          <w:lang w:val="en-GB"/>
        </w:rPr>
        <w:t>In Australia, MEAs typically</w:t>
      </w:r>
      <w:r w:rsidR="00952BA7" w:rsidRPr="00221992">
        <w:rPr>
          <w:lang w:val="en-GB"/>
        </w:rPr>
        <w:t xml:space="preserve"> rel</w:t>
      </w:r>
      <w:r w:rsidR="00996D6A">
        <w:rPr>
          <w:lang w:val="en-GB"/>
        </w:rPr>
        <w:t>y</w:t>
      </w:r>
      <w:r w:rsidR="00952BA7" w:rsidRPr="00221992">
        <w:rPr>
          <w:lang w:val="en-GB"/>
        </w:rPr>
        <w:t xml:space="preserve"> on regulatory post</w:t>
      </w:r>
      <w:r w:rsidR="00A34F20">
        <w:rPr>
          <w:lang w:val="en-GB"/>
        </w:rPr>
        <w:t>-</w:t>
      </w:r>
      <w:r w:rsidR="00952BA7" w:rsidRPr="00221992">
        <w:rPr>
          <w:lang w:val="en-GB"/>
        </w:rPr>
        <w:t xml:space="preserve">market data </w:t>
      </w:r>
      <w:r w:rsidR="000867BE" w:rsidRPr="00221992">
        <w:rPr>
          <w:lang w:val="en-GB"/>
        </w:rPr>
        <w:t>and disease</w:t>
      </w:r>
      <w:r w:rsidR="00996D6A">
        <w:rPr>
          <w:lang w:val="en-GB"/>
        </w:rPr>
        <w:t>-</w:t>
      </w:r>
      <w:r w:rsidR="00996D6A" w:rsidRPr="00221992">
        <w:rPr>
          <w:lang w:val="en-GB"/>
        </w:rPr>
        <w:t>specific</w:t>
      </w:r>
      <w:r w:rsidR="000867BE" w:rsidRPr="00221992">
        <w:rPr>
          <w:lang w:val="en-GB"/>
        </w:rPr>
        <w:t xml:space="preserve"> registries. </w:t>
      </w:r>
    </w:p>
    <w:p w14:paraId="60E8EEFE" w14:textId="6D515AB6" w:rsidR="00627A9F" w:rsidRPr="00221992" w:rsidRDefault="009C0CD6" w:rsidP="00FD7C45">
      <w:pPr>
        <w:rPr>
          <w:lang w:val="en-GB"/>
        </w:rPr>
      </w:pPr>
      <w:r w:rsidRPr="00221992">
        <w:rPr>
          <w:lang w:val="en-GB"/>
        </w:rPr>
        <w:t>Several</w:t>
      </w:r>
      <w:r w:rsidR="00AB66E4" w:rsidRPr="00221992">
        <w:rPr>
          <w:lang w:val="en-GB"/>
        </w:rPr>
        <w:t xml:space="preserve"> challenges and barriers have been identified in the implementation of </w:t>
      </w:r>
      <w:r w:rsidR="00575511" w:rsidRPr="00221992">
        <w:rPr>
          <w:lang w:val="en-GB"/>
        </w:rPr>
        <w:t xml:space="preserve">managed entry schemes: </w:t>
      </w:r>
    </w:p>
    <w:p w14:paraId="5DE2CC78" w14:textId="7E3AAB26" w:rsidR="00EA5C54" w:rsidRPr="00221992" w:rsidRDefault="00575511" w:rsidP="00FD7C45">
      <w:pPr>
        <w:rPr>
          <w:lang w:val="en-GB"/>
        </w:rPr>
      </w:pPr>
      <w:r w:rsidRPr="00221992">
        <w:rPr>
          <w:lang w:val="en-GB"/>
        </w:rPr>
        <w:t xml:space="preserve">Effectiveness and </w:t>
      </w:r>
      <w:r w:rsidR="00D82AB1">
        <w:rPr>
          <w:lang w:val="en-GB"/>
        </w:rPr>
        <w:t>u</w:t>
      </w:r>
      <w:r w:rsidRPr="00221992">
        <w:rPr>
          <w:lang w:val="en-GB"/>
        </w:rPr>
        <w:t xml:space="preserve">ncertainty: MEAs, particularly </w:t>
      </w:r>
      <w:r w:rsidR="00D82AB1">
        <w:rPr>
          <w:lang w:val="en-GB"/>
        </w:rPr>
        <w:t>p</w:t>
      </w:r>
      <w:r w:rsidRPr="00221992">
        <w:rPr>
          <w:lang w:val="en-GB"/>
        </w:rPr>
        <w:t>erformance-</w:t>
      </w:r>
      <w:r w:rsidR="00D82AB1">
        <w:rPr>
          <w:lang w:val="en-GB"/>
        </w:rPr>
        <w:t>b</w:t>
      </w:r>
      <w:r w:rsidRPr="00221992">
        <w:rPr>
          <w:lang w:val="en-GB"/>
        </w:rPr>
        <w:t xml:space="preserve">ased MEAs, </w:t>
      </w:r>
      <w:r w:rsidR="00D84F3B" w:rsidRPr="00221992">
        <w:rPr>
          <w:lang w:val="en-GB"/>
        </w:rPr>
        <w:t>have been found to</w:t>
      </w:r>
      <w:r w:rsidRPr="00221992">
        <w:rPr>
          <w:lang w:val="en-GB"/>
        </w:rPr>
        <w:t xml:space="preserve"> expedite coverage decisions and improve patient access to new medicines amid uncertainty. However, </w:t>
      </w:r>
      <w:r w:rsidR="00D82AB1">
        <w:rPr>
          <w:lang w:val="en-GB"/>
        </w:rPr>
        <w:t>questions</w:t>
      </w:r>
      <w:r w:rsidR="00D82AB1" w:rsidRPr="00221992">
        <w:rPr>
          <w:lang w:val="en-GB"/>
        </w:rPr>
        <w:t xml:space="preserve"> </w:t>
      </w:r>
      <w:r w:rsidR="00EE6B85" w:rsidRPr="00221992">
        <w:rPr>
          <w:lang w:val="en-GB"/>
        </w:rPr>
        <w:t xml:space="preserve">remain as to whether they </w:t>
      </w:r>
      <w:r w:rsidRPr="00221992">
        <w:rPr>
          <w:lang w:val="en-GB"/>
        </w:rPr>
        <w:t xml:space="preserve">reduce </w:t>
      </w:r>
      <w:r w:rsidR="00D82AB1">
        <w:rPr>
          <w:lang w:val="en-GB"/>
        </w:rPr>
        <w:t xml:space="preserve">uncertainty concerning </w:t>
      </w:r>
      <w:r w:rsidRPr="00221992">
        <w:rPr>
          <w:lang w:val="en-GB"/>
        </w:rPr>
        <w:t xml:space="preserve">clinical </w:t>
      </w:r>
      <w:r w:rsidR="00D82AB1">
        <w:rPr>
          <w:lang w:val="en-GB"/>
        </w:rPr>
        <w:t>and</w:t>
      </w:r>
      <w:r w:rsidR="00D82AB1" w:rsidRPr="00221992">
        <w:rPr>
          <w:lang w:val="en-GB"/>
        </w:rPr>
        <w:t xml:space="preserve"> </w:t>
      </w:r>
      <w:r w:rsidRPr="00221992">
        <w:rPr>
          <w:lang w:val="en-GB"/>
        </w:rPr>
        <w:t>cost-effectiveness</w:t>
      </w:r>
      <w:r w:rsidR="00D82AB1">
        <w:rPr>
          <w:lang w:val="en-GB"/>
        </w:rPr>
        <w:t>,</w:t>
      </w:r>
      <w:r w:rsidRPr="00221992">
        <w:rPr>
          <w:lang w:val="en-GB"/>
        </w:rPr>
        <w:t xml:space="preserve"> </w:t>
      </w:r>
      <w:r w:rsidR="0087457A" w:rsidRPr="00221992">
        <w:rPr>
          <w:lang w:val="en-GB"/>
        </w:rPr>
        <w:t xml:space="preserve">largely </w:t>
      </w:r>
      <w:r w:rsidRPr="00221992">
        <w:rPr>
          <w:lang w:val="en-GB"/>
        </w:rPr>
        <w:t xml:space="preserve">due to </w:t>
      </w:r>
      <w:r w:rsidR="00D82AB1">
        <w:rPr>
          <w:lang w:val="en-GB"/>
        </w:rPr>
        <w:t xml:space="preserve">the </w:t>
      </w:r>
      <w:r w:rsidRPr="00221992">
        <w:rPr>
          <w:lang w:val="en-GB"/>
        </w:rPr>
        <w:t xml:space="preserve">limited </w:t>
      </w:r>
      <w:r w:rsidR="00D82AB1">
        <w:rPr>
          <w:lang w:val="en-GB"/>
        </w:rPr>
        <w:t xml:space="preserve">availability of </w:t>
      </w:r>
      <w:r w:rsidR="0087457A" w:rsidRPr="00221992">
        <w:rPr>
          <w:lang w:val="en-GB"/>
        </w:rPr>
        <w:t>long</w:t>
      </w:r>
      <w:r w:rsidR="00D82AB1">
        <w:rPr>
          <w:lang w:val="en-GB"/>
        </w:rPr>
        <w:t>-</w:t>
      </w:r>
      <w:r w:rsidR="0087457A" w:rsidRPr="00221992">
        <w:rPr>
          <w:lang w:val="en-GB"/>
        </w:rPr>
        <w:t xml:space="preserve">term </w:t>
      </w:r>
      <w:r w:rsidRPr="00221992">
        <w:rPr>
          <w:lang w:val="en-GB"/>
        </w:rPr>
        <w:t xml:space="preserve">data on health outcomes and </w:t>
      </w:r>
      <w:r w:rsidR="00D82AB1">
        <w:rPr>
          <w:lang w:val="en-GB"/>
        </w:rPr>
        <w:t xml:space="preserve">other </w:t>
      </w:r>
      <w:r w:rsidRPr="00221992">
        <w:rPr>
          <w:lang w:val="en-GB"/>
        </w:rPr>
        <w:t>data quality issues.</w:t>
      </w:r>
      <w:r w:rsidR="00B61234" w:rsidRPr="00221992">
        <w:rPr>
          <w:lang w:val="en-GB"/>
        </w:rPr>
        <w:t xml:space="preserve"> </w:t>
      </w:r>
      <w:r w:rsidR="0083432E" w:rsidRPr="00221992">
        <w:rPr>
          <w:lang w:val="en-GB"/>
        </w:rPr>
        <w:t>As a consequence, s</w:t>
      </w:r>
      <w:r w:rsidR="00B61234" w:rsidRPr="00221992">
        <w:rPr>
          <w:lang w:val="en-GB"/>
        </w:rPr>
        <w:t>everal countries have adapted their MEA frameworks</w:t>
      </w:r>
      <w:r w:rsidR="00AF71C1" w:rsidRPr="00221992">
        <w:rPr>
          <w:lang w:val="en-GB"/>
        </w:rPr>
        <w:t xml:space="preserve"> towards </w:t>
      </w:r>
      <w:r w:rsidR="00D82AB1">
        <w:rPr>
          <w:lang w:val="en-GB"/>
        </w:rPr>
        <w:t xml:space="preserve">providing </w:t>
      </w:r>
      <w:r w:rsidR="00EA5C54" w:rsidRPr="00221992">
        <w:rPr>
          <w:lang w:val="en-GB"/>
        </w:rPr>
        <w:t xml:space="preserve">temporary coverage </w:t>
      </w:r>
      <w:r w:rsidR="00D82AB1">
        <w:rPr>
          <w:lang w:val="en-GB"/>
        </w:rPr>
        <w:t>rather than</w:t>
      </w:r>
      <w:r w:rsidR="00D82AB1" w:rsidRPr="00221992">
        <w:rPr>
          <w:lang w:val="en-GB"/>
        </w:rPr>
        <w:t xml:space="preserve"> </w:t>
      </w:r>
      <w:r w:rsidR="00EA5C54" w:rsidRPr="00221992">
        <w:rPr>
          <w:lang w:val="en-GB"/>
        </w:rPr>
        <w:t>CED agreements</w:t>
      </w:r>
      <w:r w:rsidR="005A6CEE" w:rsidRPr="00221992">
        <w:rPr>
          <w:lang w:val="en-GB"/>
        </w:rPr>
        <w:t>.</w:t>
      </w:r>
      <w:r w:rsidR="00EA5C54" w:rsidRPr="00221992">
        <w:rPr>
          <w:lang w:val="en-GB"/>
        </w:rPr>
        <w:t xml:space="preserve"> </w:t>
      </w:r>
      <w:r w:rsidR="00AF71C1" w:rsidRPr="00221992">
        <w:rPr>
          <w:lang w:val="en-GB"/>
        </w:rPr>
        <w:t>Sweden</w:t>
      </w:r>
      <w:r w:rsidR="00D82AB1">
        <w:rPr>
          <w:lang w:val="en-GB"/>
        </w:rPr>
        <w:t>,</w:t>
      </w:r>
      <w:r w:rsidR="00AF71C1" w:rsidRPr="00221992">
        <w:rPr>
          <w:lang w:val="en-GB"/>
        </w:rPr>
        <w:t xml:space="preserve"> for example, </w:t>
      </w:r>
      <w:r w:rsidR="00EA5C54" w:rsidRPr="00221992">
        <w:rPr>
          <w:lang w:val="en-GB"/>
        </w:rPr>
        <w:t>grant</w:t>
      </w:r>
      <w:r w:rsidR="00AF71C1" w:rsidRPr="00221992">
        <w:rPr>
          <w:lang w:val="en-GB"/>
        </w:rPr>
        <w:t>s</w:t>
      </w:r>
      <w:r w:rsidR="00EA5C54" w:rsidRPr="00221992">
        <w:rPr>
          <w:lang w:val="en-GB"/>
        </w:rPr>
        <w:t xml:space="preserve"> conditional coverage </w:t>
      </w:r>
      <w:r w:rsidR="000D54A6" w:rsidRPr="00221992">
        <w:rPr>
          <w:lang w:val="en-GB"/>
        </w:rPr>
        <w:t xml:space="preserve">of health technologies </w:t>
      </w:r>
      <w:r w:rsidR="00EA5C54" w:rsidRPr="00221992">
        <w:rPr>
          <w:lang w:val="en-GB"/>
        </w:rPr>
        <w:t xml:space="preserve">for a period of two years, subject to the provision of additional evidence by sponsors. Evidence may be generated through post-marketing studies, </w:t>
      </w:r>
      <w:r w:rsidR="000D54A6" w:rsidRPr="00221992">
        <w:rPr>
          <w:lang w:val="en-GB"/>
        </w:rPr>
        <w:t>RWE</w:t>
      </w:r>
      <w:r w:rsidR="00EA5C54" w:rsidRPr="00221992">
        <w:rPr>
          <w:lang w:val="en-GB"/>
        </w:rPr>
        <w:t xml:space="preserve"> analysis or other research methods. After the specified period, the product is re-evaluated, which can result in a recommendation for permanent coverage, disinvestment or price adjustment. Financial</w:t>
      </w:r>
      <w:r w:rsidR="00D82AB1">
        <w:rPr>
          <w:lang w:val="en-GB"/>
        </w:rPr>
        <w:t>ly based</w:t>
      </w:r>
      <w:r w:rsidR="00EA5C54" w:rsidRPr="00221992">
        <w:rPr>
          <w:lang w:val="en-GB"/>
        </w:rPr>
        <w:t xml:space="preserve"> MEAs may be in place during this period, but they are not directly tied to the generation of additional evidence. Notably, </w:t>
      </w:r>
      <w:r w:rsidR="005A6CEE" w:rsidRPr="00221992">
        <w:rPr>
          <w:lang w:val="en-GB"/>
        </w:rPr>
        <w:t>these types</w:t>
      </w:r>
      <w:r w:rsidR="4F3A4C84" w:rsidRPr="1B9A33DB">
        <w:rPr>
          <w:lang w:val="en-GB"/>
        </w:rPr>
        <w:t xml:space="preserve"> of</w:t>
      </w:r>
      <w:r w:rsidR="00EA5C54" w:rsidRPr="00221992">
        <w:rPr>
          <w:lang w:val="en-GB"/>
        </w:rPr>
        <w:t xml:space="preserve"> arrangements have precipitated price adjustments but, to date, have not led to any cases of disinvestment.</w:t>
      </w:r>
    </w:p>
    <w:p w14:paraId="20C4F03E" w14:textId="286C0406" w:rsidR="00575511" w:rsidRPr="00221992" w:rsidRDefault="00EA5C54" w:rsidP="00FD7C45">
      <w:pPr>
        <w:rPr>
          <w:lang w:val="en-GB"/>
        </w:rPr>
      </w:pPr>
      <w:r w:rsidRPr="00221992">
        <w:rPr>
          <w:lang w:val="en-GB"/>
        </w:rPr>
        <w:t>The Netherlands has also modified national strategies for CED, opting to discontinue agreements in favour of alternative approaches, including restricted or conditional coverage without a formal MEA</w:t>
      </w:r>
      <w:r w:rsidR="005A6CEE" w:rsidRPr="00221992">
        <w:rPr>
          <w:lang w:val="en-GB"/>
        </w:rPr>
        <w:t xml:space="preserve">. </w:t>
      </w:r>
    </w:p>
    <w:p w14:paraId="6A4B9118" w14:textId="0597F46E" w:rsidR="00575511" w:rsidRPr="00221992" w:rsidRDefault="226DF1D2" w:rsidP="00FD7C45">
      <w:pPr>
        <w:rPr>
          <w:lang w:val="en-GB"/>
        </w:rPr>
      </w:pPr>
      <w:r w:rsidRPr="24E216F8">
        <w:rPr>
          <w:lang w:val="en-GB"/>
        </w:rPr>
        <w:t xml:space="preserve">Administrative </w:t>
      </w:r>
      <w:r w:rsidR="4F117876" w:rsidRPr="24E216F8">
        <w:rPr>
          <w:lang w:val="en-GB"/>
        </w:rPr>
        <w:t>burden associated with monitoring,</w:t>
      </w:r>
      <w:r w:rsidR="2A36489F" w:rsidRPr="24E216F8">
        <w:rPr>
          <w:lang w:val="en-GB"/>
        </w:rPr>
        <w:t xml:space="preserve"> data collection</w:t>
      </w:r>
      <w:r w:rsidR="4F117876" w:rsidRPr="24E216F8">
        <w:rPr>
          <w:lang w:val="en-GB"/>
        </w:rPr>
        <w:t xml:space="preserve"> and analysis, and review</w:t>
      </w:r>
      <w:r w:rsidRPr="24E216F8">
        <w:rPr>
          <w:lang w:val="en-GB"/>
        </w:rPr>
        <w:t xml:space="preserve">: </w:t>
      </w:r>
      <w:r w:rsidR="65CA0683" w:rsidRPr="24E216F8">
        <w:rPr>
          <w:lang w:val="en-GB"/>
        </w:rPr>
        <w:t xml:space="preserve">High administrative burden is particularly notable in </w:t>
      </w:r>
      <w:r w:rsidR="301D8877" w:rsidRPr="24E216F8">
        <w:rPr>
          <w:lang w:val="en-GB"/>
        </w:rPr>
        <w:t>MEA</w:t>
      </w:r>
      <w:r w:rsidR="6556D35E" w:rsidRPr="24E216F8">
        <w:rPr>
          <w:lang w:val="en-GB"/>
        </w:rPr>
        <w:t>s</w:t>
      </w:r>
      <w:r w:rsidR="301D8877" w:rsidRPr="24E216F8">
        <w:rPr>
          <w:lang w:val="en-GB"/>
        </w:rPr>
        <w:t xml:space="preserve"> </w:t>
      </w:r>
      <w:r w:rsidR="65CA0683" w:rsidRPr="24E216F8">
        <w:rPr>
          <w:lang w:val="en-GB"/>
        </w:rPr>
        <w:t>that rely on routine data collection to monitor patient response and determine payment or refund triggers</w:t>
      </w:r>
      <w:r w:rsidR="00E9285C">
        <w:rPr>
          <w:lang w:val="en-GB"/>
        </w:rPr>
        <w:t xml:space="preserve"> (e.g., PbR)</w:t>
      </w:r>
      <w:r w:rsidR="65CA0683" w:rsidRPr="24E216F8">
        <w:rPr>
          <w:lang w:val="en-GB"/>
        </w:rPr>
        <w:t>. In cases where registries are specifically established for MEAs, as seen in Italy, additional data collection by healthcare professionals and substantial resources for data analysis by payers or providers are required</w:t>
      </w:r>
      <w:r w:rsidRPr="24E216F8">
        <w:rPr>
          <w:lang w:val="en-GB"/>
        </w:rPr>
        <w:t>.</w:t>
      </w:r>
      <w:r w:rsidR="1E67BE77" w:rsidRPr="24E216F8">
        <w:rPr>
          <w:lang w:val="en-GB"/>
        </w:rPr>
        <w:t xml:space="preserve"> </w:t>
      </w:r>
      <w:r w:rsidR="50157A30" w:rsidRPr="24E216F8">
        <w:rPr>
          <w:lang w:val="en-GB"/>
        </w:rPr>
        <w:t>Italy</w:t>
      </w:r>
      <w:r w:rsidR="00E9285C">
        <w:rPr>
          <w:lang w:val="en-GB"/>
        </w:rPr>
        <w:t>, among other countries,</w:t>
      </w:r>
      <w:r w:rsidR="50157A30" w:rsidRPr="24E216F8">
        <w:rPr>
          <w:lang w:val="en-GB"/>
        </w:rPr>
        <w:t xml:space="preserve"> </w:t>
      </w:r>
      <w:r w:rsidR="19F15248" w:rsidRPr="24E216F8">
        <w:rPr>
          <w:lang w:val="en-GB"/>
        </w:rPr>
        <w:t>ha</w:t>
      </w:r>
      <w:r w:rsidR="00E9285C">
        <w:rPr>
          <w:lang w:val="en-GB"/>
        </w:rPr>
        <w:t>s</w:t>
      </w:r>
      <w:r w:rsidR="50157A30" w:rsidRPr="24E216F8">
        <w:rPr>
          <w:lang w:val="en-GB"/>
        </w:rPr>
        <w:t xml:space="preserve"> demonstrated the value of robust digital infrastructure for the generation and use of RW</w:t>
      </w:r>
      <w:r w:rsidR="6DBFB98F" w:rsidRPr="24E216F8">
        <w:rPr>
          <w:lang w:val="en-GB"/>
        </w:rPr>
        <w:t>E.</w:t>
      </w:r>
      <w:r w:rsidR="50157A30" w:rsidRPr="24E216F8">
        <w:rPr>
          <w:lang w:val="en-GB"/>
        </w:rPr>
        <w:t xml:space="preserve"> Use of such evidence may inform more effective performance-based MEAs and enhance access to innovative treatments. Italy</w:t>
      </w:r>
      <w:r w:rsidR="00551786" w:rsidRPr="24E216F8">
        <w:rPr>
          <w:lang w:val="en-GB"/>
        </w:rPr>
        <w:t>’</w:t>
      </w:r>
      <w:r w:rsidR="50157A30" w:rsidRPr="24E216F8">
        <w:rPr>
          <w:lang w:val="en-GB"/>
        </w:rPr>
        <w:t xml:space="preserve">s registry model, in particular, highlights the </w:t>
      </w:r>
      <w:r w:rsidR="00E9285C">
        <w:rPr>
          <w:lang w:val="en-GB"/>
        </w:rPr>
        <w:t>use</w:t>
      </w:r>
      <w:r w:rsidR="00E9285C" w:rsidRPr="24E216F8">
        <w:rPr>
          <w:lang w:val="en-GB"/>
        </w:rPr>
        <w:t xml:space="preserve"> </w:t>
      </w:r>
      <w:r w:rsidR="50157A30" w:rsidRPr="24E216F8">
        <w:rPr>
          <w:lang w:val="en-GB"/>
        </w:rPr>
        <w:t xml:space="preserve">of centralised data collection for the implementation of MEAs. Key features of this model include: 1) a fee of €30,000 which is charged to sponsors, for a three-year inclusion of their products in a registry. </w:t>
      </w:r>
      <w:r w:rsidR="00E9285C">
        <w:rPr>
          <w:lang w:val="en-GB"/>
        </w:rPr>
        <w:t>Fees</w:t>
      </w:r>
      <w:r w:rsidR="50157A30" w:rsidRPr="24E216F8">
        <w:rPr>
          <w:lang w:val="en-GB"/>
        </w:rPr>
        <w:t xml:space="preserve"> help cover the ongoing management, administration, technical infrastructure and continuous improvement of registries</w:t>
      </w:r>
      <w:r w:rsidR="00E9285C">
        <w:rPr>
          <w:lang w:val="en-GB"/>
        </w:rPr>
        <w:t>;</w:t>
      </w:r>
      <w:r w:rsidR="50157A30" w:rsidRPr="24E216F8">
        <w:rPr>
          <w:lang w:val="en-GB"/>
        </w:rPr>
        <w:t xml:space="preserve"> 2) </w:t>
      </w:r>
      <w:r w:rsidR="00E9285C">
        <w:rPr>
          <w:lang w:val="en-GB"/>
        </w:rPr>
        <w:t>the Italian Medicines Agency (</w:t>
      </w:r>
      <w:r w:rsidR="00E9285C" w:rsidRPr="00E9285C">
        <w:rPr>
          <w:lang w:val="en-GB"/>
        </w:rPr>
        <w:t xml:space="preserve">Agenzia </w:t>
      </w:r>
      <w:r w:rsidR="00E9285C">
        <w:rPr>
          <w:lang w:val="en-GB"/>
        </w:rPr>
        <w:t>I</w:t>
      </w:r>
      <w:r w:rsidR="00E9285C" w:rsidRPr="00E9285C">
        <w:rPr>
          <w:lang w:val="en-GB"/>
        </w:rPr>
        <w:t xml:space="preserve">taliana del </w:t>
      </w:r>
      <w:r w:rsidR="00E9285C">
        <w:rPr>
          <w:lang w:val="en-GB"/>
        </w:rPr>
        <w:t>F</w:t>
      </w:r>
      <w:r w:rsidR="00E9285C" w:rsidRPr="00E9285C">
        <w:rPr>
          <w:lang w:val="en-GB"/>
        </w:rPr>
        <w:t>armaco</w:t>
      </w:r>
      <w:r w:rsidR="00E9285C" w:rsidRPr="00E9285C" w:rsidDel="00E9285C">
        <w:rPr>
          <w:lang w:val="en-GB"/>
        </w:rPr>
        <w:t xml:space="preserve"> </w:t>
      </w:r>
      <w:r w:rsidR="00E9285C">
        <w:rPr>
          <w:lang w:val="en-GB"/>
        </w:rPr>
        <w:t xml:space="preserve">, AIFA) </w:t>
      </w:r>
      <w:r w:rsidR="50157A30" w:rsidRPr="24E216F8">
        <w:rPr>
          <w:lang w:val="en-GB"/>
        </w:rPr>
        <w:t xml:space="preserve">is the sole custodian of the data and is responsible for all governance of the registries to ensure that prescription data is accurately and consistently entered </w:t>
      </w:r>
      <w:r w:rsidR="00E9285C">
        <w:rPr>
          <w:lang w:val="en-GB"/>
        </w:rPr>
        <w:t>and that</w:t>
      </w:r>
      <w:r w:rsidR="00E9285C" w:rsidRPr="24E216F8">
        <w:rPr>
          <w:lang w:val="en-GB"/>
        </w:rPr>
        <w:t xml:space="preserve"> </w:t>
      </w:r>
      <w:r w:rsidR="50157A30" w:rsidRPr="24E216F8">
        <w:rPr>
          <w:lang w:val="en-GB"/>
        </w:rPr>
        <w:t>registry systems align with reimbursement</w:t>
      </w:r>
      <w:r w:rsidR="00E9285C">
        <w:rPr>
          <w:lang w:val="en-GB"/>
        </w:rPr>
        <w:t>;</w:t>
      </w:r>
      <w:r w:rsidR="50157A30" w:rsidRPr="24E216F8">
        <w:rPr>
          <w:lang w:val="en-GB"/>
        </w:rPr>
        <w:t xml:space="preserve"> and 3) Integration with Reimbursement: AIFA integrates the registry systems with the reimbursement processes. Providers must enter data into the AIFA registry system before they can prescribe or obtain reimbursement.</w:t>
      </w:r>
      <w:r w:rsidR="008A6310" w:rsidRPr="24E216F8">
        <w:rPr>
          <w:lang w:val="en-GB"/>
        </w:rPr>
        <w:t xml:space="preserve"> </w:t>
      </w:r>
    </w:p>
    <w:p w14:paraId="7A0DD585" w14:textId="255A6C25" w:rsidR="00575511" w:rsidRPr="00221992" w:rsidRDefault="00575511" w:rsidP="00FD7C45">
      <w:pPr>
        <w:rPr>
          <w:lang w:val="en-GB"/>
        </w:rPr>
      </w:pPr>
      <w:r w:rsidRPr="00221992">
        <w:rPr>
          <w:lang w:val="en-GB"/>
        </w:rPr>
        <w:t xml:space="preserve">Confidentiality Concerns: High levels of confidentiality in MEAs, including non-disclosure of product performance information, </w:t>
      </w:r>
      <w:r w:rsidR="00F836AB">
        <w:rPr>
          <w:lang w:val="en-GB"/>
        </w:rPr>
        <w:t xml:space="preserve">may </w:t>
      </w:r>
      <w:r w:rsidRPr="00221992">
        <w:rPr>
          <w:lang w:val="en-GB"/>
        </w:rPr>
        <w:t xml:space="preserve">hinder information sharing with third parties and complicate coverage decisions for payers. </w:t>
      </w:r>
      <w:r w:rsidR="00F836AB">
        <w:rPr>
          <w:lang w:val="en-GB"/>
        </w:rPr>
        <w:t>Stakeholders also report a l</w:t>
      </w:r>
      <w:r w:rsidRPr="00221992">
        <w:rPr>
          <w:lang w:val="en-GB"/>
        </w:rPr>
        <w:t xml:space="preserve">ack of transparency regarding effectiveness, cost-effectiveness and comparator prices </w:t>
      </w:r>
      <w:r w:rsidR="00F836AB">
        <w:rPr>
          <w:lang w:val="en-GB"/>
        </w:rPr>
        <w:t>as</w:t>
      </w:r>
      <w:r w:rsidRPr="00221992">
        <w:rPr>
          <w:lang w:val="en-GB"/>
        </w:rPr>
        <w:t xml:space="preserve"> problematic.</w:t>
      </w:r>
      <w:r w:rsidR="00AE716B" w:rsidRPr="00221992">
        <w:rPr>
          <w:lang w:val="en-GB"/>
        </w:rPr>
        <w:t xml:space="preserve"> A wide range of MEAs are currently employed in Australia, including hybrid </w:t>
      </w:r>
      <w:r w:rsidR="00F836AB">
        <w:rPr>
          <w:lang w:val="en-GB"/>
        </w:rPr>
        <w:t>arrangements</w:t>
      </w:r>
      <w:r w:rsidR="0087309A" w:rsidRPr="00221992">
        <w:rPr>
          <w:lang w:val="en-GB"/>
        </w:rPr>
        <w:t xml:space="preserve">. </w:t>
      </w:r>
      <w:r w:rsidR="00AE716B" w:rsidRPr="00221992">
        <w:rPr>
          <w:lang w:val="en-GB"/>
        </w:rPr>
        <w:t>The lack of transparency surrounding financial terms, outcomes of data analysis, and product efficacy has been recognised as a limitation in the international independent evaluation of MEAs and Australia has been singled out as a country with comparatively higher levels of confidentiality in this regard</w:t>
      </w:r>
      <w:r w:rsidR="0087309A" w:rsidRPr="00221992">
        <w:rPr>
          <w:lang w:val="en-GB"/>
        </w:rPr>
        <w:t>.</w:t>
      </w:r>
    </w:p>
    <w:p w14:paraId="754C1D7B" w14:textId="168D54FA" w:rsidR="000E5C29" w:rsidRPr="00221992" w:rsidRDefault="00575511" w:rsidP="00FD7C45">
      <w:pPr>
        <w:rPr>
          <w:lang w:val="en-GB"/>
        </w:rPr>
      </w:pPr>
      <w:r w:rsidRPr="00221992">
        <w:rPr>
          <w:lang w:val="en-GB"/>
        </w:rPr>
        <w:t xml:space="preserve">Additional </w:t>
      </w:r>
      <w:r w:rsidR="00F836AB">
        <w:rPr>
          <w:lang w:val="en-GB"/>
        </w:rPr>
        <w:t>w</w:t>
      </w:r>
      <w:r w:rsidRPr="00221992">
        <w:rPr>
          <w:lang w:val="en-GB"/>
        </w:rPr>
        <w:t xml:space="preserve">eaknesses: Other challenges include difficulties for payers in reducing prices, recovering payments made to sponsors, and disinvestment. </w:t>
      </w:r>
      <w:r w:rsidR="00F836AB">
        <w:rPr>
          <w:lang w:val="en-GB"/>
        </w:rPr>
        <w:t>Complicating these matters, t</w:t>
      </w:r>
      <w:r w:rsidRPr="00221992">
        <w:rPr>
          <w:lang w:val="en-GB"/>
        </w:rPr>
        <w:t xml:space="preserve">he </w:t>
      </w:r>
      <w:r w:rsidR="00F836AB">
        <w:rPr>
          <w:lang w:val="en-GB"/>
        </w:rPr>
        <w:t xml:space="preserve">respective </w:t>
      </w:r>
      <w:r w:rsidRPr="00221992">
        <w:rPr>
          <w:lang w:val="en-GB"/>
        </w:rPr>
        <w:t xml:space="preserve">regulatory environment may not </w:t>
      </w:r>
      <w:r w:rsidRPr="1B9A33DB">
        <w:rPr>
          <w:lang w:val="en-GB"/>
        </w:rPr>
        <w:t>incentivi</w:t>
      </w:r>
      <w:r w:rsidR="4E60BD47" w:rsidRPr="1B9A33DB">
        <w:rPr>
          <w:lang w:val="en-GB"/>
        </w:rPr>
        <w:t>s</w:t>
      </w:r>
      <w:r w:rsidRPr="1B9A33DB">
        <w:rPr>
          <w:lang w:val="en-GB"/>
        </w:rPr>
        <w:t>e</w:t>
      </w:r>
      <w:r w:rsidRPr="00221992">
        <w:rPr>
          <w:lang w:val="en-GB"/>
        </w:rPr>
        <w:t xml:space="preserve"> </w:t>
      </w:r>
      <w:r w:rsidR="00F836AB">
        <w:rPr>
          <w:lang w:val="en-GB"/>
        </w:rPr>
        <w:t xml:space="preserve">the </w:t>
      </w:r>
      <w:r w:rsidRPr="00221992">
        <w:rPr>
          <w:lang w:val="en-GB"/>
        </w:rPr>
        <w:t>collect</w:t>
      </w:r>
      <w:r w:rsidR="00F836AB">
        <w:rPr>
          <w:lang w:val="en-GB"/>
        </w:rPr>
        <w:t>ion of</w:t>
      </w:r>
      <w:r w:rsidRPr="00221992">
        <w:rPr>
          <w:lang w:val="en-GB"/>
        </w:rPr>
        <w:t xml:space="preserve"> additional data </w:t>
      </w:r>
      <w:r w:rsidR="00F836AB">
        <w:rPr>
          <w:lang w:val="en-GB"/>
        </w:rPr>
        <w:t xml:space="preserve">by sponsors </w:t>
      </w:r>
      <w:r w:rsidRPr="00221992">
        <w:rPr>
          <w:lang w:val="en-GB"/>
        </w:rPr>
        <w:t>after listing.</w:t>
      </w:r>
    </w:p>
    <w:p w14:paraId="2512E5D4" w14:textId="280C79D3" w:rsidR="00575511" w:rsidRPr="00221992" w:rsidRDefault="00575511" w:rsidP="00FD7C45">
      <w:pPr>
        <w:rPr>
          <w:lang w:val="en-GB"/>
        </w:rPr>
      </w:pPr>
      <w:r w:rsidRPr="00221992">
        <w:rPr>
          <w:lang w:val="en-GB"/>
        </w:rPr>
        <w:t xml:space="preserve">Overall, </w:t>
      </w:r>
      <w:r w:rsidR="00C275F8">
        <w:rPr>
          <w:lang w:val="en-GB"/>
        </w:rPr>
        <w:t xml:space="preserve">effective implementation of MEAs requires </w:t>
      </w:r>
      <w:r w:rsidRPr="00221992">
        <w:rPr>
          <w:lang w:val="en-GB"/>
        </w:rPr>
        <w:t xml:space="preserve">addressing administrative burden, improving transparency, enhancing data infrastructure, and </w:t>
      </w:r>
      <w:r w:rsidR="00C275F8">
        <w:rPr>
          <w:lang w:val="en-GB"/>
        </w:rPr>
        <w:t>a holistic appraisal of</w:t>
      </w:r>
      <w:r w:rsidRPr="00221992">
        <w:rPr>
          <w:lang w:val="en-GB"/>
        </w:rPr>
        <w:t xml:space="preserve"> risks. Innovative approaches are being explored worldwide to refine MEAs for emerging therapies.</w:t>
      </w:r>
    </w:p>
    <w:p w14:paraId="5AF0FC52" w14:textId="77777777" w:rsidR="002E66FB" w:rsidRPr="00221992" w:rsidRDefault="002E66FB" w:rsidP="00EF5B9A">
      <w:pPr>
        <w:pStyle w:val="BodyText"/>
        <w:rPr>
          <w:lang w:val="en-GB"/>
        </w:rPr>
      </w:pPr>
    </w:p>
    <w:p w14:paraId="7D101A7F" w14:textId="65B40E35" w:rsidR="00194C72" w:rsidRPr="00221992" w:rsidRDefault="00194C72" w:rsidP="00194C72">
      <w:pPr>
        <w:rPr>
          <w:lang w:val="en-GB"/>
        </w:rPr>
      </w:pPr>
    </w:p>
    <w:p w14:paraId="7CF6ABD8" w14:textId="7A730E73" w:rsidR="00073B27" w:rsidRPr="00221992" w:rsidRDefault="00073B27" w:rsidP="007B3C56">
      <w:pPr>
        <w:pStyle w:val="NbrHeading1"/>
        <w:rPr>
          <w:lang w:val="en-GB"/>
        </w:rPr>
      </w:pPr>
      <w:r w:rsidRPr="00221992">
        <w:rPr>
          <w:lang w:val="en-GB"/>
        </w:rPr>
        <w:br w:type="page"/>
      </w:r>
      <w:bookmarkStart w:id="26" w:name="_Toc162950857"/>
      <w:r w:rsidRPr="00221992">
        <w:rPr>
          <w:lang w:val="en-GB"/>
        </w:rPr>
        <w:t>Background</w:t>
      </w:r>
      <w:bookmarkEnd w:id="26"/>
    </w:p>
    <w:p w14:paraId="3407B0FA" w14:textId="1372E749" w:rsidR="007A3149" w:rsidRPr="00221992" w:rsidRDefault="007A3149" w:rsidP="007A3149">
      <w:pPr>
        <w:spacing w:before="120" w:after="120"/>
        <w:rPr>
          <w:rFonts w:eastAsia="Times New Roman" w:cs="Times New Roman"/>
          <w:szCs w:val="24"/>
          <w:lang w:val="en-GB"/>
        </w:rPr>
      </w:pPr>
      <w:r w:rsidRPr="00221992">
        <w:rPr>
          <w:rFonts w:eastAsia="Times New Roman" w:cs="Times New Roman"/>
          <w:szCs w:val="24"/>
          <w:lang w:val="en-GB"/>
        </w:rPr>
        <w:t>As part of its 2022-2027 Strategic Agreement with Medicines Australia</w:t>
      </w:r>
      <w:r w:rsidR="00593347" w:rsidRPr="00221992">
        <w:rPr>
          <w:rFonts w:eastAsia="Times New Roman" w:cs="Times New Roman"/>
          <w:szCs w:val="24"/>
          <w:lang w:val="en-GB"/>
        </w:rPr>
        <w:t>,</w:t>
      </w:r>
      <w:r w:rsidRPr="00221992">
        <w:rPr>
          <w:rFonts w:eastAsia="Times New Roman" w:cs="Times New Roman"/>
          <w:szCs w:val="24"/>
          <w:lang w:val="en-GB"/>
        </w:rPr>
        <w:t xml:space="preserve"> the Commonwealth Department of Health and Aged Care has agreed to undertake a review of health technology assessment policy and methods (the Review) </w:t>
      </w:r>
      <w:r w:rsidRPr="00221992">
        <w:rPr>
          <w:rFonts w:eastAsia="Times New Roman" w:cs="Times New Roman"/>
          <w:szCs w:val="24"/>
          <w:lang w:val="en-GB"/>
        </w:rPr>
        <w:fldChar w:fldCharType="begin"/>
      </w:r>
      <w:r w:rsidR="009751DF" w:rsidRPr="00221992">
        <w:rPr>
          <w:rFonts w:eastAsia="Times New Roman" w:cs="Times New Roman"/>
          <w:szCs w:val="24"/>
          <w:lang w:val="en-GB"/>
        </w:rPr>
        <w:instrText xml:space="preserve"> ADDIN EN.CITE &lt;EndNote&gt;&lt;Cite&gt;&lt;Author&gt;Australian Government&lt;/Author&gt;&lt;Year&gt;2021&lt;/Year&gt;&lt;RecNum&gt;621&lt;/RecNum&gt;&lt;DisplayText&gt;[1]&lt;/DisplayText&gt;&lt;record&gt;&lt;rec-number&gt;621&lt;/rec-number&gt;&lt;foreign-keys&gt;&lt;key app="EN" db-id="wzwwsfxe4peesxef95cxvrwjxts9rreasarf" timestamp="1693186423"&gt;621&lt;/key&gt;&lt;/foreign-keys&gt;&lt;ref-type name="Report"&gt;27&lt;/ref-type&gt;&lt;contributors&gt;&lt;authors&gt;&lt;author&gt;Australian Government,&lt;/author&gt;&lt;/authors&gt;&lt;tertiary-authors&gt;&lt;author&gt;Australian Government,, Department of Health and Aged Care&lt;/author&gt;&lt;/tertiary-authors&gt;&lt;/contributors&gt;&lt;titles&gt;&lt;title&gt;Strategic Agreement in relation to reimbursement, health technology assessment and other matters&lt;/title&gt;&lt;/titles&gt;&lt;dates&gt;&lt;year&gt;2021&lt;/year&gt;&lt;/dates&gt;&lt;pub-location&gt;Canberra&lt;/pub-location&gt;&lt;urls&gt;&lt;/urls&gt;&lt;/record&gt;&lt;/Cite&gt;&lt;/EndNote&gt;</w:instrText>
      </w:r>
      <w:r w:rsidRPr="00221992">
        <w:rPr>
          <w:rFonts w:eastAsia="Times New Roman" w:cs="Times New Roman"/>
          <w:szCs w:val="24"/>
          <w:lang w:val="en-GB"/>
        </w:rPr>
        <w:fldChar w:fldCharType="separate"/>
      </w:r>
      <w:r w:rsidR="009751DF" w:rsidRPr="00221992">
        <w:rPr>
          <w:rFonts w:eastAsia="Times New Roman" w:cs="Times New Roman"/>
          <w:noProof/>
          <w:szCs w:val="24"/>
          <w:lang w:val="en-GB"/>
        </w:rPr>
        <w:t>[1]</w:t>
      </w:r>
      <w:r w:rsidRPr="00221992">
        <w:rPr>
          <w:rFonts w:eastAsia="Times New Roman" w:cs="Times New Roman"/>
          <w:szCs w:val="24"/>
          <w:lang w:val="en-GB"/>
        </w:rPr>
        <w:fldChar w:fldCharType="end"/>
      </w:r>
      <w:r w:rsidRPr="00221992">
        <w:rPr>
          <w:rFonts w:eastAsia="Times New Roman" w:cs="Times New Roman"/>
          <w:szCs w:val="24"/>
          <w:lang w:val="en-GB"/>
        </w:rPr>
        <w:t>. This commitment recognises the shared goals of the Strategic Agreement to minimise barriers to access, expedite access to new health technologies, maintain Australia</w:t>
      </w:r>
      <w:r w:rsidR="00551786">
        <w:rPr>
          <w:rFonts w:eastAsia="Times New Roman" w:cs="Times New Roman"/>
          <w:szCs w:val="24"/>
          <w:lang w:val="en-GB"/>
        </w:rPr>
        <w:t>’</w:t>
      </w:r>
      <w:r w:rsidRPr="00221992">
        <w:rPr>
          <w:rFonts w:eastAsia="Times New Roman" w:cs="Times New Roman"/>
          <w:szCs w:val="24"/>
          <w:lang w:val="en-GB"/>
        </w:rPr>
        <w:t>s attractiveness as a first-launch country and world-leader in the provision of affordable healthcare, and ensure that HTA processes in Australia keep pace with rapid advances in health technology. As per the Review</w:t>
      </w:r>
      <w:r w:rsidR="00551786">
        <w:rPr>
          <w:rFonts w:eastAsia="Times New Roman" w:cs="Times New Roman"/>
          <w:szCs w:val="24"/>
          <w:lang w:val="en-GB"/>
        </w:rPr>
        <w:t>’</w:t>
      </w:r>
      <w:r w:rsidRPr="00221992">
        <w:rPr>
          <w:rFonts w:eastAsia="Times New Roman" w:cs="Times New Roman"/>
          <w:szCs w:val="24"/>
          <w:lang w:val="en-GB"/>
        </w:rPr>
        <w:t xml:space="preserve">s Terms of Reference, under the direction set by the Strategic Agreement, the inquiry into approval processes for new drugs and novel medical technologies in Australia (the Inquiry), and the National Medicines Policy Review, the Review is tasked to inform the development of specific HTA reforms to ensure that subsidy schemes and funding programs meet the needs of Australians into the future </w:t>
      </w:r>
      <w:r w:rsidRPr="00221992">
        <w:rPr>
          <w:rFonts w:eastAsia="Times New Roman" w:cs="Times New Roman"/>
          <w:szCs w:val="24"/>
          <w:lang w:val="en-GB"/>
        </w:rPr>
        <w:fldChar w:fldCharType="begin"/>
      </w:r>
      <w:r w:rsidR="009751DF" w:rsidRPr="00221992">
        <w:rPr>
          <w:rFonts w:eastAsia="Times New Roman" w:cs="Times New Roman"/>
          <w:szCs w:val="24"/>
          <w:lang w:val="en-GB"/>
        </w:rPr>
        <w:instrText xml:space="preserve"> ADDIN EN.CITE &lt;EndNote&gt;&lt;Cite&gt;&lt;Author&gt;Australian Government&lt;/Author&gt;&lt;Year&gt;2023&lt;/Year&gt;&lt;RecNum&gt;622&lt;/RecNum&gt;&lt;DisplayText&gt;[2]&lt;/DisplayText&gt;&lt;record&gt;&lt;rec-number&gt;622&lt;/rec-number&gt;&lt;foreign-keys&gt;&lt;key app="EN" db-id="wzwwsfxe4peesxef95cxvrwjxts9rreasarf" timestamp="1693186423"&gt;622&lt;/key&gt;&lt;/foreign-keys&gt;&lt;ref-type name="Report"&gt;27&lt;/ref-type&gt;&lt;contributors&gt;&lt;authors&gt;&lt;author&gt;Australian Government,&lt;/author&gt;&lt;/authors&gt;&lt;tertiary-authors&gt;&lt;author&gt;Australian Government,, Department of Health and Aged Care&lt;/author&gt;&lt;/tertiary-authors&gt;&lt;/contributors&gt;&lt;titles&gt;&lt;title&gt;Health Technology Assessment Policy and Methods Review: Terms of Reference&lt;/title&gt;&lt;/titles&gt;&lt;dates&gt;&lt;year&gt;2023&lt;/year&gt;&lt;/dates&gt;&lt;pub-location&gt;Canberra&lt;/pub-location&gt;&lt;urls&gt;&lt;/urls&gt;&lt;/record&gt;&lt;/Cite&gt;&lt;/EndNote&gt;</w:instrText>
      </w:r>
      <w:r w:rsidRPr="00221992">
        <w:rPr>
          <w:rFonts w:eastAsia="Times New Roman" w:cs="Times New Roman"/>
          <w:szCs w:val="24"/>
          <w:lang w:val="en-GB"/>
        </w:rPr>
        <w:fldChar w:fldCharType="separate"/>
      </w:r>
      <w:r w:rsidR="009751DF" w:rsidRPr="00221992">
        <w:rPr>
          <w:rFonts w:eastAsia="Times New Roman" w:cs="Times New Roman"/>
          <w:noProof/>
          <w:szCs w:val="24"/>
          <w:lang w:val="en-GB"/>
        </w:rPr>
        <w:t>[2]</w:t>
      </w:r>
      <w:r w:rsidRPr="00221992">
        <w:rPr>
          <w:rFonts w:eastAsia="Times New Roman" w:cs="Times New Roman"/>
          <w:szCs w:val="24"/>
          <w:lang w:val="en-GB"/>
        </w:rPr>
        <w:fldChar w:fldCharType="end"/>
      </w:r>
      <w:r w:rsidRPr="00221992">
        <w:rPr>
          <w:rFonts w:eastAsia="Times New Roman" w:cs="Times New Roman"/>
          <w:szCs w:val="24"/>
          <w:lang w:val="en-GB"/>
        </w:rPr>
        <w:t>.</w:t>
      </w:r>
    </w:p>
    <w:p w14:paraId="261D332D" w14:textId="6BB450A7" w:rsidR="007A3149" w:rsidRPr="00221992" w:rsidRDefault="007A3149" w:rsidP="007A3149">
      <w:pPr>
        <w:spacing w:before="120" w:after="120"/>
        <w:rPr>
          <w:rFonts w:eastAsia="Times New Roman" w:cs="Times New Roman"/>
          <w:szCs w:val="24"/>
          <w:lang w:val="en-GB"/>
        </w:rPr>
      </w:pPr>
      <w:r w:rsidRPr="00221992">
        <w:rPr>
          <w:rFonts w:eastAsia="Times New Roman" w:cs="Times New Roman"/>
          <w:szCs w:val="24"/>
          <w:lang w:val="en-GB"/>
        </w:rPr>
        <w:t>The Strategic Agreement (clause 5.3.1) also establishes a Reference Committee to develop the Terms of Reference for the HTA Review; agree to expert(s) in HTA to undertake analyses relevant to the Review; oversee public consultations and consider submissions to the Review; oversee analyses undertaken by the nominated expert(s); and prepare and agree the Review</w:t>
      </w:r>
      <w:r w:rsidR="00551786">
        <w:rPr>
          <w:rFonts w:eastAsia="Times New Roman" w:cs="Times New Roman"/>
          <w:szCs w:val="24"/>
          <w:lang w:val="en-GB"/>
        </w:rPr>
        <w:t>’</w:t>
      </w:r>
      <w:r w:rsidRPr="00221992">
        <w:rPr>
          <w:rFonts w:eastAsia="Times New Roman" w:cs="Times New Roman"/>
          <w:szCs w:val="24"/>
          <w:lang w:val="en-GB"/>
        </w:rPr>
        <w:t>s final report and recommendations to the Pharmaceutical Benefits Advisory Committee (PBAC) and the Commonwealth.</w:t>
      </w:r>
    </w:p>
    <w:p w14:paraId="5F66F4B5" w14:textId="01AA59CA" w:rsidR="007A3149" w:rsidRPr="00221992" w:rsidRDefault="007A3149" w:rsidP="003F168D">
      <w:pPr>
        <w:spacing w:before="120" w:after="120"/>
        <w:rPr>
          <w:rFonts w:eastAsia="Times New Roman" w:cs="Times New Roman"/>
          <w:lang w:val="en-GB"/>
        </w:rPr>
      </w:pPr>
      <w:r w:rsidRPr="00221992">
        <w:rPr>
          <w:rFonts w:eastAsia="Times New Roman" w:cs="Times New Roman"/>
          <w:lang w:val="en-GB"/>
        </w:rPr>
        <w:t xml:space="preserve">As part of the Review, the CHERE at the UTS has been contracted </w:t>
      </w:r>
      <w:r w:rsidR="00593347" w:rsidRPr="00221992">
        <w:rPr>
          <w:rFonts w:eastAsia="Times New Roman" w:cs="Times New Roman"/>
          <w:lang w:val="en-GB"/>
        </w:rPr>
        <w:t xml:space="preserve">as an HTA expert group </w:t>
      </w:r>
      <w:r w:rsidRPr="00221992">
        <w:rPr>
          <w:rFonts w:eastAsia="Times New Roman" w:cs="Times New Roman"/>
          <w:lang w:val="en-GB"/>
        </w:rPr>
        <w:t xml:space="preserve">to deliver </w:t>
      </w:r>
      <w:r w:rsidR="00EA2F84" w:rsidRPr="00221992">
        <w:rPr>
          <w:rFonts w:eastAsia="Times New Roman" w:cs="Times New Roman"/>
          <w:lang w:val="en-GB"/>
        </w:rPr>
        <w:t>this</w:t>
      </w:r>
      <w:r w:rsidRPr="00221992">
        <w:rPr>
          <w:rFonts w:eastAsia="Times New Roman" w:cs="Times New Roman"/>
          <w:lang w:val="en-GB"/>
        </w:rPr>
        <w:t xml:space="preserve"> </w:t>
      </w:r>
      <w:r w:rsidR="00EA2F84" w:rsidRPr="00221992">
        <w:rPr>
          <w:rFonts w:eastAsia="Times New Roman" w:cs="Times New Roman"/>
          <w:lang w:val="en-GB"/>
        </w:rPr>
        <w:t>D</w:t>
      </w:r>
      <w:r w:rsidRPr="00221992">
        <w:rPr>
          <w:rFonts w:eastAsia="Times New Roman" w:cs="Times New Roman"/>
          <w:lang w:val="en-GB"/>
        </w:rPr>
        <w:t xml:space="preserve">iscussion </w:t>
      </w:r>
      <w:r w:rsidR="00EA2F84" w:rsidRPr="00221992">
        <w:rPr>
          <w:rFonts w:eastAsia="Times New Roman" w:cs="Times New Roman"/>
          <w:lang w:val="en-GB"/>
        </w:rPr>
        <w:t>P</w:t>
      </w:r>
      <w:r w:rsidRPr="00221992">
        <w:rPr>
          <w:rFonts w:eastAsia="Times New Roman" w:cs="Times New Roman"/>
          <w:lang w:val="en-GB"/>
        </w:rPr>
        <w:t>aper</w:t>
      </w:r>
      <w:r w:rsidR="00EA2F84" w:rsidRPr="00221992">
        <w:rPr>
          <w:rFonts w:eastAsia="Times New Roman" w:cs="Times New Roman"/>
          <w:lang w:val="en-GB"/>
        </w:rPr>
        <w:t>,</w:t>
      </w:r>
      <w:r w:rsidRPr="00221992">
        <w:rPr>
          <w:rFonts w:eastAsia="Times New Roman" w:cs="Times New Roman"/>
          <w:lang w:val="en-GB"/>
        </w:rPr>
        <w:t xml:space="preserve"> pertaining to local and international approaches for funding and purchasing arrangements and the management of uncertainty (</w:t>
      </w:r>
      <w:r w:rsidRPr="00221992">
        <w:rPr>
          <w:rFonts w:eastAsia="Times New Roman" w:cs="Times New Roman"/>
          <w:i/>
          <w:lang w:val="en-GB"/>
        </w:rPr>
        <w:t xml:space="preserve">Paper </w:t>
      </w:r>
      <w:r w:rsidR="00966301">
        <w:rPr>
          <w:rFonts w:eastAsia="Times New Roman" w:cs="Times New Roman"/>
          <w:i/>
          <w:lang w:val="en-GB"/>
        </w:rPr>
        <w:t>6</w:t>
      </w:r>
      <w:r w:rsidRPr="00221992">
        <w:rPr>
          <w:rFonts w:eastAsia="Times New Roman" w:cs="Times New Roman"/>
          <w:i/>
          <w:lang w:val="en-GB"/>
        </w:rPr>
        <w:t>, Funding and Purchasing Decisions and Managing Uncertainty B</w:t>
      </w:r>
      <w:r w:rsidRPr="00221992">
        <w:rPr>
          <w:rFonts w:eastAsia="Times New Roman" w:cs="Times New Roman"/>
          <w:lang w:val="en-GB"/>
        </w:rPr>
        <w:t>).</w:t>
      </w:r>
    </w:p>
    <w:p w14:paraId="6A2F20CC" w14:textId="23EAA7CE" w:rsidR="00EA2F84" w:rsidRPr="00221992" w:rsidRDefault="00EA2F84" w:rsidP="003F168D">
      <w:pPr>
        <w:spacing w:before="120" w:after="120"/>
        <w:rPr>
          <w:rFonts w:eastAsia="Times New Roman" w:cs="Times New Roman"/>
          <w:szCs w:val="24"/>
          <w:lang w:val="en-GB"/>
        </w:rPr>
      </w:pPr>
      <w:r w:rsidRPr="00221992">
        <w:rPr>
          <w:rFonts w:eastAsia="Times New Roman" w:cs="Times New Roman"/>
          <w:szCs w:val="24"/>
          <w:lang w:val="en-GB"/>
        </w:rPr>
        <w:t>The remainder of this Discussion Paper is structured as follows</w:t>
      </w:r>
      <w:r w:rsidR="009454A1" w:rsidRPr="00221992">
        <w:rPr>
          <w:rFonts w:eastAsia="Times New Roman" w:cs="Times New Roman"/>
          <w:szCs w:val="24"/>
          <w:lang w:val="en-GB"/>
        </w:rPr>
        <w:t>:</w:t>
      </w:r>
      <w:r w:rsidRPr="00221992">
        <w:rPr>
          <w:rFonts w:eastAsia="Times New Roman" w:cs="Times New Roman"/>
          <w:szCs w:val="24"/>
          <w:lang w:val="en-GB"/>
        </w:rPr>
        <w:t xml:space="preserve"> </w:t>
      </w:r>
      <w:r w:rsidR="009454A1" w:rsidRPr="00221992">
        <w:rPr>
          <w:rFonts w:eastAsia="Times New Roman" w:cs="Times New Roman"/>
          <w:szCs w:val="24"/>
          <w:lang w:val="en-GB"/>
        </w:rPr>
        <w:t xml:space="preserve">the methods and analytical framework utilised in the research are summarised in </w:t>
      </w:r>
      <w:r w:rsidRPr="00221992">
        <w:rPr>
          <w:rFonts w:eastAsia="Times New Roman" w:cs="Times New Roman"/>
          <w:szCs w:val="24"/>
          <w:lang w:val="en-GB"/>
        </w:rPr>
        <w:t xml:space="preserve">Section </w:t>
      </w:r>
      <w:r w:rsidR="00C729FB">
        <w:rPr>
          <w:rFonts w:eastAsia="Times New Roman" w:cs="Times New Roman"/>
          <w:szCs w:val="24"/>
          <w:lang w:val="en-GB"/>
        </w:rPr>
        <w:t>3</w:t>
      </w:r>
      <w:r w:rsidR="009454A1" w:rsidRPr="00221992">
        <w:rPr>
          <w:rFonts w:eastAsia="Times New Roman" w:cs="Times New Roman"/>
          <w:szCs w:val="24"/>
          <w:lang w:val="en-GB"/>
        </w:rPr>
        <w:t xml:space="preserve">; research </w:t>
      </w:r>
      <w:r w:rsidR="00D15FA8">
        <w:rPr>
          <w:rFonts w:eastAsia="Times New Roman" w:cs="Times New Roman"/>
          <w:szCs w:val="24"/>
          <w:lang w:val="en-GB"/>
        </w:rPr>
        <w:t xml:space="preserve">findings </w:t>
      </w:r>
      <w:r w:rsidR="009454A1" w:rsidRPr="00221992">
        <w:rPr>
          <w:rFonts w:eastAsia="Times New Roman" w:cs="Times New Roman"/>
          <w:szCs w:val="24"/>
          <w:lang w:val="en-GB"/>
        </w:rPr>
        <w:t xml:space="preserve">are presented in Section </w:t>
      </w:r>
      <w:r w:rsidR="009454A1" w:rsidRPr="00221992">
        <w:rPr>
          <w:rFonts w:eastAsia="Times New Roman" w:cs="Times New Roman"/>
          <w:szCs w:val="24"/>
          <w:lang w:val="en-GB"/>
        </w:rPr>
        <w:fldChar w:fldCharType="begin"/>
      </w:r>
      <w:r w:rsidR="009454A1">
        <w:rPr>
          <w:rFonts w:eastAsia="Times New Roman" w:cs="Times New Roman"/>
          <w:szCs w:val="24"/>
        </w:rPr>
        <w:instrText xml:space="preserve"> REF _Ref143766205 \n \h </w:instrText>
      </w:r>
      <w:r w:rsidR="009454A1" w:rsidRPr="00221992">
        <w:rPr>
          <w:rFonts w:eastAsia="Times New Roman" w:cs="Times New Roman"/>
          <w:szCs w:val="24"/>
          <w:lang w:val="en-GB"/>
        </w:rPr>
      </w:r>
      <w:r w:rsidR="009454A1" w:rsidRPr="00221992">
        <w:rPr>
          <w:rFonts w:eastAsia="Times New Roman" w:cs="Times New Roman"/>
          <w:szCs w:val="24"/>
          <w:lang w:val="en-GB"/>
        </w:rPr>
        <w:fldChar w:fldCharType="separate"/>
      </w:r>
      <w:r w:rsidR="000E11E7">
        <w:rPr>
          <w:rFonts w:eastAsia="Times New Roman" w:cs="Times New Roman"/>
          <w:szCs w:val="24"/>
        </w:rPr>
        <w:t>4</w:t>
      </w:r>
      <w:r w:rsidR="009454A1" w:rsidRPr="00221992">
        <w:rPr>
          <w:rFonts w:eastAsia="Times New Roman" w:cs="Times New Roman"/>
          <w:szCs w:val="24"/>
          <w:lang w:val="en-GB"/>
        </w:rPr>
        <w:fldChar w:fldCharType="end"/>
      </w:r>
      <w:r w:rsidR="00734B71">
        <w:rPr>
          <w:rFonts w:eastAsia="Times New Roman" w:cs="Times New Roman"/>
          <w:szCs w:val="24"/>
          <w:lang w:val="en-GB"/>
        </w:rPr>
        <w:t>.</w:t>
      </w:r>
    </w:p>
    <w:p w14:paraId="1B5CB450" w14:textId="77777777" w:rsidR="001E2108" w:rsidRDefault="001E2108">
      <w:pPr>
        <w:spacing w:before="80" w:after="80" w:line="240" w:lineRule="auto"/>
        <w:rPr>
          <w:rFonts w:ascii="Calibri" w:eastAsia="Times New Roman" w:hAnsi="Calibri" w:cs="Arial"/>
          <w:b/>
          <w:color w:val="000000" w:themeColor="text1"/>
          <w:szCs w:val="32"/>
          <w:lang w:val="en-GB"/>
        </w:rPr>
      </w:pPr>
      <w:bookmarkStart w:id="27" w:name="_Ref143766193"/>
      <w:r>
        <w:rPr>
          <w:lang w:val="en-GB"/>
        </w:rPr>
        <w:br w:type="page"/>
      </w:r>
    </w:p>
    <w:p w14:paraId="6E29256E" w14:textId="66AD2476" w:rsidR="00875596" w:rsidRPr="00221992" w:rsidRDefault="003F168D" w:rsidP="007B3C56">
      <w:pPr>
        <w:pStyle w:val="NbrHeading1"/>
        <w:rPr>
          <w:lang w:val="en-GB"/>
        </w:rPr>
      </w:pPr>
      <w:bookmarkStart w:id="28" w:name="_Toc162950858"/>
      <w:r w:rsidRPr="00221992">
        <w:rPr>
          <w:lang w:val="en-GB"/>
        </w:rPr>
        <w:t>Methods</w:t>
      </w:r>
      <w:bookmarkEnd w:id="27"/>
      <w:bookmarkEnd w:id="28"/>
    </w:p>
    <w:p w14:paraId="176580F1" w14:textId="77777777" w:rsidR="003F168D" w:rsidRPr="00221992" w:rsidRDefault="003F168D" w:rsidP="00146C04">
      <w:pPr>
        <w:pStyle w:val="NbrHeading2"/>
        <w:rPr>
          <w:lang w:val="en-GB"/>
        </w:rPr>
      </w:pPr>
      <w:bookmarkStart w:id="29" w:name="_Toc162950859"/>
      <w:r w:rsidRPr="00221992">
        <w:rPr>
          <w:lang w:val="en-GB"/>
        </w:rPr>
        <w:t>Literature review</w:t>
      </w:r>
      <w:bookmarkEnd w:id="29"/>
    </w:p>
    <w:p w14:paraId="465ABF8E" w14:textId="06BFAC84" w:rsidR="003F168D" w:rsidRPr="00221992" w:rsidRDefault="003F168D" w:rsidP="0012257A">
      <w:pPr>
        <w:pStyle w:val="NbrHeading3"/>
        <w:rPr>
          <w:lang w:val="en-GB"/>
        </w:rPr>
      </w:pPr>
      <w:bookmarkStart w:id="30" w:name="_Toc162950860"/>
      <w:r w:rsidRPr="00221992">
        <w:rPr>
          <w:lang w:val="en-GB"/>
        </w:rPr>
        <w:t>Scoping review</w:t>
      </w:r>
      <w:bookmarkEnd w:id="30"/>
    </w:p>
    <w:p w14:paraId="0AF08E60" w14:textId="474A33D1" w:rsidR="003F168D" w:rsidRPr="00221992" w:rsidRDefault="00623BAD" w:rsidP="003F168D">
      <w:pPr>
        <w:spacing w:before="120" w:after="120"/>
        <w:rPr>
          <w:rFonts w:eastAsia="Times New Roman" w:cs="Times New Roman"/>
          <w:szCs w:val="24"/>
          <w:lang w:val="en-GB"/>
        </w:rPr>
      </w:pPr>
      <w:r w:rsidRPr="00221992">
        <w:rPr>
          <w:rFonts w:eastAsia="Times New Roman" w:cs="Times New Roman"/>
          <w:szCs w:val="24"/>
          <w:lang w:val="en-GB"/>
        </w:rPr>
        <w:t xml:space="preserve">This discussion paper </w:t>
      </w:r>
      <w:r w:rsidR="00F740F3" w:rsidRPr="00221992">
        <w:rPr>
          <w:rFonts w:eastAsia="Times New Roman" w:cs="Times New Roman"/>
          <w:szCs w:val="24"/>
          <w:lang w:val="en-GB"/>
        </w:rPr>
        <w:t>has</w:t>
      </w:r>
      <w:r w:rsidR="003F168D" w:rsidRPr="00221992">
        <w:rPr>
          <w:rFonts w:eastAsia="Times New Roman" w:cs="Times New Roman"/>
          <w:szCs w:val="24"/>
          <w:lang w:val="en-GB"/>
        </w:rPr>
        <w:t xml:space="preserve"> be</w:t>
      </w:r>
      <w:r w:rsidR="00F740F3" w:rsidRPr="00221992">
        <w:rPr>
          <w:rFonts w:eastAsia="Times New Roman" w:cs="Times New Roman"/>
          <w:szCs w:val="24"/>
          <w:lang w:val="en-GB"/>
        </w:rPr>
        <w:t>en</w:t>
      </w:r>
      <w:r w:rsidR="003F168D" w:rsidRPr="00221992">
        <w:rPr>
          <w:rFonts w:eastAsia="Times New Roman" w:cs="Times New Roman"/>
          <w:szCs w:val="24"/>
          <w:lang w:val="en-GB"/>
        </w:rPr>
        <w:t xml:space="preserve"> informed by a scoping review of recent international peer-reviewed and grey literature regarding contemporary Australian and international HTA practices, including guidelines, policy documents</w:t>
      </w:r>
      <w:r w:rsidR="00F740F3" w:rsidRPr="00221992">
        <w:rPr>
          <w:rFonts w:eastAsia="Times New Roman" w:cs="Times New Roman"/>
          <w:szCs w:val="24"/>
          <w:lang w:val="en-GB"/>
        </w:rPr>
        <w:t xml:space="preserve"> and</w:t>
      </w:r>
      <w:r w:rsidR="003F168D" w:rsidRPr="00221992">
        <w:rPr>
          <w:rFonts w:eastAsia="Times New Roman" w:cs="Times New Roman"/>
          <w:szCs w:val="24"/>
          <w:lang w:val="en-GB"/>
        </w:rPr>
        <w:t xml:space="preserve"> technical reports.</w:t>
      </w:r>
      <w:r w:rsidR="0044696D" w:rsidRPr="00221992">
        <w:rPr>
          <w:rFonts w:eastAsia="Times New Roman" w:cs="Times New Roman"/>
          <w:szCs w:val="24"/>
          <w:lang w:val="en-GB"/>
        </w:rPr>
        <w:t xml:space="preserve"> </w:t>
      </w:r>
      <w:r w:rsidR="003F168D" w:rsidRPr="00221992">
        <w:rPr>
          <w:rFonts w:eastAsia="Times New Roman" w:cs="Times New Roman"/>
          <w:szCs w:val="24"/>
          <w:lang w:val="en-GB"/>
        </w:rPr>
        <w:t xml:space="preserve">Relevant </w:t>
      </w:r>
      <w:r w:rsidR="003E452F">
        <w:rPr>
          <w:rFonts w:eastAsia="Times New Roman" w:cs="Times New Roman"/>
          <w:szCs w:val="24"/>
          <w:lang w:val="en-GB"/>
        </w:rPr>
        <w:t xml:space="preserve">English-language </w:t>
      </w:r>
      <w:r w:rsidR="003F168D" w:rsidRPr="00221992">
        <w:rPr>
          <w:rFonts w:eastAsia="Times New Roman" w:cs="Times New Roman"/>
          <w:szCs w:val="24"/>
          <w:lang w:val="en-GB"/>
        </w:rPr>
        <w:t xml:space="preserve">literature </w:t>
      </w:r>
      <w:r w:rsidR="00F740F3" w:rsidRPr="00221992">
        <w:rPr>
          <w:rFonts w:eastAsia="Times New Roman" w:cs="Times New Roman"/>
          <w:szCs w:val="24"/>
          <w:lang w:val="en-GB"/>
        </w:rPr>
        <w:t>was</w:t>
      </w:r>
      <w:r w:rsidR="003F168D" w:rsidRPr="00221992">
        <w:rPr>
          <w:rFonts w:eastAsia="Times New Roman" w:cs="Times New Roman"/>
          <w:szCs w:val="24"/>
          <w:lang w:val="en-GB"/>
        </w:rPr>
        <w:t xml:space="preserve"> identified through an online search of the biomedical and life sciences literature database, PubMed (https://pubmed.ncbi.nlm.nih.gov)</w:t>
      </w:r>
      <w:r w:rsidR="00F73215" w:rsidRPr="00221992">
        <w:rPr>
          <w:rFonts w:eastAsia="Times New Roman" w:cs="Times New Roman"/>
          <w:szCs w:val="24"/>
          <w:lang w:val="en-GB"/>
        </w:rPr>
        <w:t>, published from 2010 onwards.</w:t>
      </w:r>
    </w:p>
    <w:p w14:paraId="4F698B70" w14:textId="7A24EE2D" w:rsidR="003F168D" w:rsidRPr="00221992" w:rsidRDefault="003F168D" w:rsidP="003F168D">
      <w:pPr>
        <w:spacing w:before="120" w:after="120"/>
        <w:rPr>
          <w:rFonts w:eastAsia="Times New Roman" w:cs="Times New Roman"/>
          <w:szCs w:val="24"/>
          <w:lang w:val="en-GB"/>
        </w:rPr>
      </w:pPr>
      <w:r w:rsidRPr="00221992">
        <w:rPr>
          <w:rFonts w:eastAsia="Times New Roman" w:cs="Times New Roman"/>
          <w:szCs w:val="24"/>
          <w:lang w:val="en-GB"/>
        </w:rPr>
        <w:t xml:space="preserve">The titles and abstracts of identified publications </w:t>
      </w:r>
      <w:r w:rsidR="00F740F3" w:rsidRPr="00221992">
        <w:rPr>
          <w:rFonts w:eastAsia="Times New Roman" w:cs="Times New Roman"/>
          <w:szCs w:val="24"/>
          <w:lang w:val="en-GB"/>
        </w:rPr>
        <w:t>were</w:t>
      </w:r>
      <w:r w:rsidRPr="00221992">
        <w:rPr>
          <w:rFonts w:eastAsia="Times New Roman" w:cs="Times New Roman"/>
          <w:szCs w:val="24"/>
          <w:lang w:val="en-GB"/>
        </w:rPr>
        <w:t xml:space="preserve"> screened by individual members of the research team. A subset of screened publications </w:t>
      </w:r>
      <w:r w:rsidR="00F740F3" w:rsidRPr="00221992">
        <w:rPr>
          <w:rFonts w:eastAsia="Times New Roman" w:cs="Times New Roman"/>
          <w:szCs w:val="24"/>
          <w:lang w:val="en-GB"/>
        </w:rPr>
        <w:t>was cross-</w:t>
      </w:r>
      <w:r w:rsidRPr="00221992">
        <w:rPr>
          <w:rFonts w:eastAsia="Times New Roman" w:cs="Times New Roman"/>
          <w:szCs w:val="24"/>
          <w:lang w:val="en-GB"/>
        </w:rPr>
        <w:t>check</w:t>
      </w:r>
      <w:r w:rsidR="00F740F3" w:rsidRPr="00221992">
        <w:rPr>
          <w:rFonts w:eastAsia="Times New Roman" w:cs="Times New Roman"/>
          <w:szCs w:val="24"/>
          <w:lang w:val="en-GB"/>
        </w:rPr>
        <w:t>ed</w:t>
      </w:r>
      <w:r w:rsidRPr="00221992">
        <w:rPr>
          <w:rFonts w:eastAsia="Times New Roman" w:cs="Times New Roman"/>
          <w:szCs w:val="24"/>
          <w:lang w:val="en-GB"/>
        </w:rPr>
        <w:t xml:space="preserve"> by </w:t>
      </w:r>
      <w:r w:rsidR="00F740F3" w:rsidRPr="00221992">
        <w:rPr>
          <w:rFonts w:eastAsia="Times New Roman" w:cs="Times New Roman"/>
          <w:szCs w:val="24"/>
          <w:lang w:val="en-GB"/>
        </w:rPr>
        <w:t>a second</w:t>
      </w:r>
      <w:r w:rsidRPr="00221992">
        <w:rPr>
          <w:rFonts w:eastAsia="Times New Roman" w:cs="Times New Roman"/>
          <w:szCs w:val="24"/>
          <w:lang w:val="en-GB"/>
        </w:rPr>
        <w:t xml:space="preserve"> member of the research team to validate determinations and ensure accuracy of coding for inclusion or exclusion. Conflicts </w:t>
      </w:r>
      <w:r w:rsidR="00F740F3" w:rsidRPr="00221992">
        <w:rPr>
          <w:rFonts w:eastAsia="Times New Roman" w:cs="Times New Roman"/>
          <w:szCs w:val="24"/>
          <w:lang w:val="en-GB"/>
        </w:rPr>
        <w:t>were</w:t>
      </w:r>
      <w:r w:rsidRPr="00221992">
        <w:rPr>
          <w:rFonts w:eastAsia="Times New Roman" w:cs="Times New Roman"/>
          <w:szCs w:val="24"/>
          <w:lang w:val="en-GB"/>
        </w:rPr>
        <w:t xml:space="preserve"> resolved by the lead researcher.</w:t>
      </w:r>
    </w:p>
    <w:p w14:paraId="53C77CBA" w14:textId="7D6DD73F" w:rsidR="003F168D" w:rsidRPr="00221992" w:rsidRDefault="003F168D" w:rsidP="003F168D">
      <w:pPr>
        <w:spacing w:before="120" w:after="120"/>
        <w:rPr>
          <w:rFonts w:eastAsia="Times New Roman" w:cs="Times New Roman"/>
          <w:szCs w:val="24"/>
          <w:lang w:val="en-GB"/>
        </w:rPr>
      </w:pPr>
      <w:r w:rsidRPr="00221992">
        <w:rPr>
          <w:rFonts w:eastAsia="Times New Roman" w:cs="Times New Roman"/>
          <w:szCs w:val="24"/>
          <w:lang w:val="en-GB"/>
        </w:rPr>
        <w:t xml:space="preserve">Search criteria, results and inclusions/exclusions </w:t>
      </w:r>
      <w:r w:rsidR="00F73215" w:rsidRPr="00221992">
        <w:rPr>
          <w:rFonts w:eastAsia="Times New Roman" w:cs="Times New Roman"/>
          <w:szCs w:val="24"/>
          <w:lang w:val="en-GB"/>
        </w:rPr>
        <w:t>are summarised in Appendix 2</w:t>
      </w:r>
      <w:r w:rsidRPr="00221992">
        <w:rPr>
          <w:rFonts w:eastAsia="Times New Roman" w:cs="Times New Roman"/>
          <w:szCs w:val="24"/>
          <w:lang w:val="en-GB"/>
        </w:rPr>
        <w:t xml:space="preserve">. </w:t>
      </w:r>
    </w:p>
    <w:p w14:paraId="15454D6F" w14:textId="77777777" w:rsidR="003F168D" w:rsidRPr="00221992" w:rsidRDefault="003F168D" w:rsidP="0012257A">
      <w:pPr>
        <w:pStyle w:val="NbrHeading3"/>
        <w:rPr>
          <w:lang w:val="en-GB"/>
        </w:rPr>
      </w:pPr>
      <w:bookmarkStart w:id="31" w:name="_Toc134627835"/>
      <w:bookmarkStart w:id="32" w:name="_Toc162950861"/>
      <w:r w:rsidRPr="00221992">
        <w:rPr>
          <w:lang w:val="en-GB"/>
        </w:rPr>
        <w:t>Direct search</w:t>
      </w:r>
      <w:bookmarkEnd w:id="31"/>
      <w:bookmarkEnd w:id="32"/>
    </w:p>
    <w:p w14:paraId="1EB853AC" w14:textId="78FA445F" w:rsidR="003F168D" w:rsidRPr="00221992" w:rsidRDefault="003F168D" w:rsidP="003F168D">
      <w:pPr>
        <w:spacing w:before="120" w:after="120"/>
        <w:rPr>
          <w:rFonts w:eastAsia="Times New Roman" w:cs="Times New Roman"/>
          <w:szCs w:val="24"/>
          <w:lang w:val="en-GB"/>
        </w:rPr>
      </w:pPr>
      <w:r w:rsidRPr="00221992">
        <w:rPr>
          <w:rFonts w:eastAsia="Times New Roman" w:cs="Times New Roman"/>
          <w:szCs w:val="24"/>
          <w:lang w:val="en-GB"/>
        </w:rPr>
        <w:t xml:space="preserve">To identify additional relevant policy documents, technical reports and position papers, </w:t>
      </w:r>
      <w:r w:rsidR="00DC10BE" w:rsidRPr="00221992">
        <w:rPr>
          <w:rFonts w:eastAsia="Times New Roman" w:cs="Times New Roman"/>
          <w:szCs w:val="24"/>
          <w:lang w:val="en-GB"/>
        </w:rPr>
        <w:t>a</w:t>
      </w:r>
      <w:r w:rsidRPr="00221992">
        <w:rPr>
          <w:rFonts w:eastAsia="Times New Roman" w:cs="Times New Roman"/>
          <w:szCs w:val="24"/>
          <w:lang w:val="en-GB"/>
        </w:rPr>
        <w:t xml:space="preserve"> direct search</w:t>
      </w:r>
      <w:r w:rsidR="00DC10BE" w:rsidRPr="00221992">
        <w:rPr>
          <w:rFonts w:eastAsia="Times New Roman" w:cs="Times New Roman"/>
          <w:szCs w:val="24"/>
          <w:lang w:val="en-GB"/>
        </w:rPr>
        <w:t xml:space="preserve"> was undertaken of</w:t>
      </w:r>
      <w:r w:rsidRPr="00221992">
        <w:rPr>
          <w:rFonts w:eastAsia="Times New Roman" w:cs="Times New Roman"/>
          <w:szCs w:val="24"/>
          <w:lang w:val="en-GB"/>
        </w:rPr>
        <w:t xml:space="preserve"> the websites of Government </w:t>
      </w:r>
      <w:r w:rsidR="00FF5FE8" w:rsidRPr="00221992">
        <w:rPr>
          <w:rFonts w:eastAsia="Times New Roman" w:cs="Times New Roman"/>
          <w:szCs w:val="24"/>
          <w:lang w:val="en-GB"/>
        </w:rPr>
        <w:t>authorities</w:t>
      </w:r>
      <w:r w:rsidRPr="00221992">
        <w:rPr>
          <w:rFonts w:eastAsia="Times New Roman" w:cs="Times New Roman"/>
          <w:szCs w:val="24"/>
          <w:lang w:val="en-GB"/>
        </w:rPr>
        <w:t xml:space="preserve">, HTA </w:t>
      </w:r>
      <w:r w:rsidR="00FF5FE8" w:rsidRPr="00221992">
        <w:rPr>
          <w:rFonts w:eastAsia="Times New Roman" w:cs="Times New Roman"/>
          <w:szCs w:val="24"/>
          <w:lang w:val="en-GB"/>
        </w:rPr>
        <w:t>agencies</w:t>
      </w:r>
      <w:r w:rsidRPr="00221992">
        <w:rPr>
          <w:rFonts w:eastAsia="Times New Roman" w:cs="Times New Roman"/>
          <w:szCs w:val="24"/>
          <w:lang w:val="en-GB"/>
        </w:rPr>
        <w:t xml:space="preserve">, industry peak bodies and consumer representative organisations identified in consultation with the Reference Committee. </w:t>
      </w:r>
      <w:r w:rsidR="001000F1" w:rsidRPr="00221992">
        <w:rPr>
          <w:rFonts w:eastAsia="Times New Roman" w:cs="Times New Roman"/>
          <w:szCs w:val="24"/>
          <w:lang w:val="en-GB"/>
        </w:rPr>
        <w:t>Sources covered in the</w:t>
      </w:r>
      <w:r w:rsidRPr="00221992">
        <w:rPr>
          <w:rFonts w:eastAsia="Times New Roman" w:cs="Times New Roman"/>
          <w:szCs w:val="24"/>
          <w:lang w:val="en-GB"/>
        </w:rPr>
        <w:t xml:space="preserve"> direct search include</w:t>
      </w:r>
      <w:r w:rsidR="001000F1" w:rsidRPr="00221992">
        <w:rPr>
          <w:rFonts w:eastAsia="Times New Roman" w:cs="Times New Roman"/>
          <w:szCs w:val="24"/>
          <w:lang w:val="en-GB"/>
        </w:rPr>
        <w:t>d</w:t>
      </w:r>
      <w:r w:rsidRPr="00221992">
        <w:rPr>
          <w:rFonts w:eastAsia="Times New Roman" w:cs="Times New Roman"/>
          <w:szCs w:val="24"/>
          <w:lang w:val="en-GB"/>
        </w:rPr>
        <w:t xml:space="preserve"> (but </w:t>
      </w:r>
      <w:r w:rsidR="001000F1" w:rsidRPr="00221992">
        <w:rPr>
          <w:rFonts w:eastAsia="Times New Roman" w:cs="Times New Roman"/>
          <w:szCs w:val="24"/>
          <w:lang w:val="en-GB"/>
        </w:rPr>
        <w:t>were</w:t>
      </w:r>
      <w:r w:rsidRPr="00221992">
        <w:rPr>
          <w:rFonts w:eastAsia="Times New Roman" w:cs="Times New Roman"/>
          <w:szCs w:val="24"/>
          <w:lang w:val="en-GB"/>
        </w:rPr>
        <w:t xml:space="preserve"> not necessarily limited to):</w:t>
      </w:r>
    </w:p>
    <w:p w14:paraId="206EB7BE" w14:textId="77777777" w:rsidR="003F168D" w:rsidRPr="00221992" w:rsidRDefault="003F168D" w:rsidP="00957584">
      <w:pPr>
        <w:pStyle w:val="ListParagraph"/>
        <w:numPr>
          <w:ilvl w:val="0"/>
          <w:numId w:val="43"/>
        </w:numPr>
        <w:rPr>
          <w:lang w:val="en-GB"/>
        </w:rPr>
      </w:pPr>
      <w:r w:rsidRPr="00221992">
        <w:rPr>
          <w:lang w:val="en-GB"/>
        </w:rPr>
        <w:t>Pharmaceutical Benefits Advisory Committee (PBAC)</w:t>
      </w:r>
    </w:p>
    <w:p w14:paraId="528BA7B9" w14:textId="77777777" w:rsidR="003F168D" w:rsidRPr="00221992" w:rsidRDefault="003F168D" w:rsidP="00957584">
      <w:pPr>
        <w:pStyle w:val="ListParagraph"/>
        <w:numPr>
          <w:ilvl w:val="0"/>
          <w:numId w:val="43"/>
        </w:numPr>
        <w:rPr>
          <w:lang w:val="en-GB"/>
        </w:rPr>
      </w:pPr>
      <w:r w:rsidRPr="00221992">
        <w:rPr>
          <w:lang w:val="en-GB"/>
        </w:rPr>
        <w:t>Medical Services Advisory Committee (MSAC)</w:t>
      </w:r>
    </w:p>
    <w:p w14:paraId="52AE4AC8" w14:textId="77777777" w:rsidR="003F168D" w:rsidRPr="00221992" w:rsidRDefault="003F168D" w:rsidP="00957584">
      <w:pPr>
        <w:pStyle w:val="ListParagraph"/>
        <w:numPr>
          <w:ilvl w:val="0"/>
          <w:numId w:val="43"/>
        </w:numPr>
        <w:rPr>
          <w:lang w:val="en-GB"/>
        </w:rPr>
      </w:pPr>
      <w:r w:rsidRPr="00221992">
        <w:rPr>
          <w:lang w:val="en-GB"/>
        </w:rPr>
        <w:t>Medicines Australia (MA)</w:t>
      </w:r>
    </w:p>
    <w:p w14:paraId="0377CE0D" w14:textId="77777777" w:rsidR="003F168D" w:rsidRPr="00221992" w:rsidRDefault="003F168D" w:rsidP="00957584">
      <w:pPr>
        <w:pStyle w:val="ListParagraph"/>
        <w:numPr>
          <w:ilvl w:val="0"/>
          <w:numId w:val="43"/>
        </w:numPr>
        <w:rPr>
          <w:lang w:val="en-GB"/>
        </w:rPr>
      </w:pPr>
      <w:r w:rsidRPr="00221992">
        <w:rPr>
          <w:lang w:val="en-GB"/>
        </w:rPr>
        <w:t>Medical Technology Association of Australia (MTAA)</w:t>
      </w:r>
    </w:p>
    <w:p w14:paraId="262871B6" w14:textId="77777777" w:rsidR="003F168D" w:rsidRPr="00221992" w:rsidRDefault="003F168D" w:rsidP="00957584">
      <w:pPr>
        <w:pStyle w:val="ListParagraph"/>
        <w:numPr>
          <w:ilvl w:val="0"/>
          <w:numId w:val="43"/>
        </w:numPr>
        <w:rPr>
          <w:lang w:val="en-GB"/>
        </w:rPr>
      </w:pPr>
      <w:r w:rsidRPr="00221992">
        <w:rPr>
          <w:lang w:val="en-GB"/>
        </w:rPr>
        <w:t>Rare Cancers Australia</w:t>
      </w:r>
    </w:p>
    <w:p w14:paraId="789F144D" w14:textId="77777777" w:rsidR="003F168D" w:rsidRPr="00221992" w:rsidRDefault="003F168D" w:rsidP="00957584">
      <w:pPr>
        <w:pStyle w:val="ListParagraph"/>
        <w:numPr>
          <w:ilvl w:val="0"/>
          <w:numId w:val="43"/>
        </w:numPr>
        <w:rPr>
          <w:lang w:val="en-GB"/>
        </w:rPr>
      </w:pPr>
      <w:r w:rsidRPr="00221992">
        <w:rPr>
          <w:lang w:val="en-GB"/>
        </w:rPr>
        <w:t>National Institute for Health and Care Excellence (NICE)</w:t>
      </w:r>
    </w:p>
    <w:p w14:paraId="09DACF3A" w14:textId="77777777" w:rsidR="003F168D" w:rsidRPr="00221992" w:rsidRDefault="003F168D" w:rsidP="00957584">
      <w:pPr>
        <w:pStyle w:val="ListParagraph"/>
        <w:numPr>
          <w:ilvl w:val="0"/>
          <w:numId w:val="43"/>
        </w:numPr>
        <w:rPr>
          <w:lang w:val="en-GB"/>
        </w:rPr>
      </w:pPr>
      <w:r w:rsidRPr="00221992">
        <w:rPr>
          <w:lang w:val="en-GB"/>
        </w:rPr>
        <w:t>NICE Decision Support Unit (NICE DSU)</w:t>
      </w:r>
    </w:p>
    <w:p w14:paraId="2A4CA449" w14:textId="77777777" w:rsidR="003F168D" w:rsidRPr="00221992" w:rsidRDefault="003F168D" w:rsidP="00957584">
      <w:pPr>
        <w:pStyle w:val="ListParagraph"/>
        <w:numPr>
          <w:ilvl w:val="0"/>
          <w:numId w:val="43"/>
        </w:numPr>
        <w:rPr>
          <w:lang w:val="en-GB"/>
        </w:rPr>
      </w:pPr>
      <w:r w:rsidRPr="00221992">
        <w:rPr>
          <w:lang w:val="en-GB"/>
        </w:rPr>
        <w:t>Office of Health Economics (OHE)</w:t>
      </w:r>
    </w:p>
    <w:p w14:paraId="5947518B" w14:textId="77777777" w:rsidR="003F168D" w:rsidRPr="00221992" w:rsidRDefault="003F168D" w:rsidP="00957584">
      <w:pPr>
        <w:pStyle w:val="ListParagraph"/>
        <w:numPr>
          <w:ilvl w:val="0"/>
          <w:numId w:val="43"/>
        </w:numPr>
        <w:rPr>
          <w:lang w:val="en-GB"/>
        </w:rPr>
      </w:pPr>
      <w:r w:rsidRPr="00221992">
        <w:rPr>
          <w:lang w:val="en-GB"/>
        </w:rPr>
        <w:t>Canadian Agency for Drugs and Technologies in Health (CADTH)</w:t>
      </w:r>
    </w:p>
    <w:p w14:paraId="20103736" w14:textId="77777777" w:rsidR="003F168D" w:rsidRPr="00221992" w:rsidRDefault="003F168D" w:rsidP="00957584">
      <w:pPr>
        <w:pStyle w:val="ListParagraph"/>
        <w:numPr>
          <w:ilvl w:val="0"/>
          <w:numId w:val="43"/>
        </w:numPr>
        <w:rPr>
          <w:lang w:val="en-GB"/>
        </w:rPr>
      </w:pPr>
      <w:r w:rsidRPr="00221992">
        <w:rPr>
          <w:lang w:val="en-GB"/>
        </w:rPr>
        <w:t>Gemeinsamer Bundesausschuss (G-BA)</w:t>
      </w:r>
    </w:p>
    <w:p w14:paraId="2922D3CE" w14:textId="77777777" w:rsidR="003F168D" w:rsidRPr="00221992" w:rsidRDefault="003F168D" w:rsidP="00957584">
      <w:pPr>
        <w:pStyle w:val="ListParagraph"/>
        <w:numPr>
          <w:ilvl w:val="0"/>
          <w:numId w:val="43"/>
        </w:numPr>
        <w:rPr>
          <w:lang w:val="en-GB"/>
        </w:rPr>
      </w:pPr>
      <w:r w:rsidRPr="00221992">
        <w:rPr>
          <w:lang w:val="en-GB"/>
        </w:rPr>
        <w:t>European Network for Health Technology Assessment (EUnetHTA)</w:t>
      </w:r>
    </w:p>
    <w:p w14:paraId="382460BA" w14:textId="77777777" w:rsidR="003F168D" w:rsidRPr="00221992" w:rsidRDefault="003F168D" w:rsidP="00957584">
      <w:pPr>
        <w:pStyle w:val="ListParagraph"/>
        <w:numPr>
          <w:ilvl w:val="0"/>
          <w:numId w:val="43"/>
        </w:numPr>
        <w:rPr>
          <w:lang w:val="en-GB"/>
        </w:rPr>
      </w:pPr>
      <w:r w:rsidRPr="00221992">
        <w:rPr>
          <w:lang w:val="en-GB"/>
        </w:rPr>
        <w:t>The Professional Society for Health Economics and Outcomes Research (ISPOR)</w:t>
      </w:r>
    </w:p>
    <w:p w14:paraId="669F7FB5" w14:textId="1B5AC19C" w:rsidR="003F168D" w:rsidRPr="00221992" w:rsidRDefault="003F168D" w:rsidP="00957584">
      <w:pPr>
        <w:pStyle w:val="ListParagraph"/>
        <w:numPr>
          <w:ilvl w:val="0"/>
          <w:numId w:val="43"/>
        </w:numPr>
        <w:rPr>
          <w:lang w:val="en-GB"/>
        </w:rPr>
      </w:pPr>
      <w:r w:rsidRPr="00221992">
        <w:rPr>
          <w:lang w:val="en-GB"/>
        </w:rPr>
        <w:t xml:space="preserve">Association </w:t>
      </w:r>
      <w:r w:rsidR="00193E07" w:rsidRPr="00221992">
        <w:rPr>
          <w:lang w:val="en-GB"/>
        </w:rPr>
        <w:t>of</w:t>
      </w:r>
      <w:r w:rsidRPr="00221992">
        <w:rPr>
          <w:lang w:val="en-GB"/>
        </w:rPr>
        <w:t xml:space="preserve"> Regulatory and Clinical Scientists (ARCS)</w:t>
      </w:r>
    </w:p>
    <w:p w14:paraId="0FF32F2E" w14:textId="77777777" w:rsidR="003F168D" w:rsidRPr="00221992" w:rsidRDefault="003F168D" w:rsidP="00957584">
      <w:pPr>
        <w:pStyle w:val="ListParagraph"/>
        <w:numPr>
          <w:ilvl w:val="0"/>
          <w:numId w:val="43"/>
        </w:numPr>
        <w:rPr>
          <w:lang w:val="en-GB"/>
        </w:rPr>
      </w:pPr>
      <w:r w:rsidRPr="00221992">
        <w:rPr>
          <w:lang w:val="en-GB"/>
        </w:rPr>
        <w:t>Generic and Biosimilar Medicines Association (GBMA)</w:t>
      </w:r>
    </w:p>
    <w:p w14:paraId="7F65A4D0" w14:textId="77777777" w:rsidR="003F168D" w:rsidRPr="00221992" w:rsidRDefault="003F168D" w:rsidP="00957584">
      <w:pPr>
        <w:pStyle w:val="ListParagraph"/>
        <w:numPr>
          <w:ilvl w:val="0"/>
          <w:numId w:val="43"/>
        </w:numPr>
        <w:rPr>
          <w:lang w:val="en-GB"/>
        </w:rPr>
      </w:pPr>
      <w:r w:rsidRPr="00221992">
        <w:rPr>
          <w:lang w:val="en-GB"/>
        </w:rPr>
        <w:t>Institute for Clinical and Economic Review (ICER)</w:t>
      </w:r>
    </w:p>
    <w:p w14:paraId="7970CD19" w14:textId="78254C6D" w:rsidR="003F168D" w:rsidRPr="00221992" w:rsidRDefault="003F168D" w:rsidP="003F168D">
      <w:pPr>
        <w:spacing w:before="120" w:after="120"/>
        <w:rPr>
          <w:rFonts w:eastAsia="Times New Roman" w:cs="Times New Roman"/>
          <w:szCs w:val="24"/>
          <w:lang w:val="en-GB"/>
        </w:rPr>
      </w:pPr>
      <w:r w:rsidRPr="00221992">
        <w:rPr>
          <w:rFonts w:eastAsia="Times New Roman" w:cs="Times New Roman"/>
          <w:szCs w:val="24"/>
          <w:lang w:val="en-GB"/>
        </w:rPr>
        <w:t xml:space="preserve">Additional organisational documents/websites </w:t>
      </w:r>
      <w:r w:rsidR="001000F1" w:rsidRPr="00221992">
        <w:rPr>
          <w:rFonts w:eastAsia="Times New Roman" w:cs="Times New Roman"/>
          <w:szCs w:val="24"/>
          <w:lang w:val="en-GB"/>
        </w:rPr>
        <w:t>were</w:t>
      </w:r>
      <w:r w:rsidRPr="00221992">
        <w:rPr>
          <w:rFonts w:eastAsia="Times New Roman" w:cs="Times New Roman"/>
          <w:szCs w:val="24"/>
          <w:lang w:val="en-GB"/>
        </w:rPr>
        <w:t xml:space="preserve"> identified </w:t>
      </w:r>
      <w:r w:rsidR="001000F1" w:rsidRPr="00221992">
        <w:rPr>
          <w:rFonts w:eastAsia="Times New Roman" w:cs="Times New Roman"/>
          <w:szCs w:val="24"/>
          <w:lang w:val="en-GB"/>
        </w:rPr>
        <w:t xml:space="preserve">through reviewed materials and </w:t>
      </w:r>
      <w:r w:rsidRPr="00221992">
        <w:rPr>
          <w:rFonts w:eastAsia="Times New Roman" w:cs="Times New Roman"/>
          <w:szCs w:val="24"/>
          <w:lang w:val="en-GB"/>
        </w:rPr>
        <w:t>in consultation with the Reference Committee.</w:t>
      </w:r>
    </w:p>
    <w:p w14:paraId="77793CED" w14:textId="77777777" w:rsidR="003F168D" w:rsidRPr="00221992" w:rsidRDefault="003F168D" w:rsidP="00146C04">
      <w:pPr>
        <w:pStyle w:val="NbrHeading2"/>
        <w:rPr>
          <w:lang w:val="en-GB"/>
        </w:rPr>
      </w:pPr>
      <w:bookmarkStart w:id="33" w:name="_Toc134627836"/>
      <w:bookmarkStart w:id="34" w:name="_Toc162950862"/>
      <w:r w:rsidRPr="00221992">
        <w:rPr>
          <w:lang w:val="en-GB"/>
        </w:rPr>
        <w:t>Stakeholder consultation</w:t>
      </w:r>
      <w:bookmarkEnd w:id="33"/>
      <w:bookmarkEnd w:id="34"/>
    </w:p>
    <w:p w14:paraId="01235241" w14:textId="525E6E32" w:rsidR="003F168D" w:rsidRPr="00221992" w:rsidRDefault="003F168D" w:rsidP="003F168D">
      <w:pPr>
        <w:spacing w:before="120" w:after="120"/>
        <w:rPr>
          <w:rFonts w:eastAsia="Times New Roman" w:cs="Times New Roman"/>
          <w:szCs w:val="24"/>
          <w:lang w:val="en-GB"/>
        </w:rPr>
      </w:pPr>
      <w:r w:rsidRPr="00221992">
        <w:rPr>
          <w:rFonts w:eastAsia="Times New Roman" w:cs="Times New Roman"/>
          <w:szCs w:val="24"/>
          <w:lang w:val="en-GB"/>
        </w:rPr>
        <w:t xml:space="preserve">As some aspects of HTA policy and practice may not be sufficiently explicated in publicly available documentation, </w:t>
      </w:r>
      <w:r w:rsidR="00FF5FE8" w:rsidRPr="00221992">
        <w:rPr>
          <w:rFonts w:eastAsia="Times New Roman" w:cs="Times New Roman"/>
          <w:szCs w:val="24"/>
          <w:lang w:val="en-GB"/>
        </w:rPr>
        <w:t xml:space="preserve">research included </w:t>
      </w:r>
      <w:r w:rsidRPr="00221992">
        <w:rPr>
          <w:rFonts w:eastAsia="Times New Roman" w:cs="Times New Roman"/>
          <w:szCs w:val="24"/>
          <w:lang w:val="en-GB"/>
        </w:rPr>
        <w:t xml:space="preserve">limited direct consultation of identified stakeholders to the Review, including relevant </w:t>
      </w:r>
      <w:r w:rsidR="00F974EA" w:rsidRPr="00221992">
        <w:rPr>
          <w:rFonts w:eastAsia="Times New Roman" w:cs="Times New Roman"/>
          <w:szCs w:val="24"/>
          <w:lang w:val="en-GB"/>
        </w:rPr>
        <w:t>g</w:t>
      </w:r>
      <w:r w:rsidRPr="00221992">
        <w:rPr>
          <w:rFonts w:eastAsia="Times New Roman" w:cs="Times New Roman"/>
          <w:szCs w:val="24"/>
          <w:lang w:val="en-GB"/>
        </w:rPr>
        <w:t xml:space="preserve">overnment authorities, HTA agencies, industry peak bodies and consumer representative organisations. </w:t>
      </w:r>
      <w:r w:rsidR="00DC6AA0" w:rsidRPr="00221992">
        <w:rPr>
          <w:rFonts w:eastAsia="Times New Roman" w:cs="Times New Roman"/>
          <w:szCs w:val="24"/>
          <w:lang w:val="en-GB"/>
        </w:rPr>
        <w:t>I</w:t>
      </w:r>
      <w:r w:rsidRPr="00221992">
        <w:rPr>
          <w:rFonts w:eastAsia="Times New Roman" w:cs="Times New Roman"/>
          <w:szCs w:val="24"/>
          <w:lang w:val="en-GB"/>
        </w:rPr>
        <w:t xml:space="preserve">nterviewees </w:t>
      </w:r>
      <w:r w:rsidR="00DC6AA0" w:rsidRPr="00221992">
        <w:rPr>
          <w:rFonts w:eastAsia="Times New Roman" w:cs="Times New Roman"/>
          <w:szCs w:val="24"/>
          <w:lang w:val="en-GB"/>
        </w:rPr>
        <w:t>were</w:t>
      </w:r>
      <w:r w:rsidRPr="00221992">
        <w:rPr>
          <w:rFonts w:eastAsia="Times New Roman" w:cs="Times New Roman"/>
          <w:szCs w:val="24"/>
          <w:lang w:val="en-GB"/>
        </w:rPr>
        <w:t xml:space="preserve"> identified through CHERE</w:t>
      </w:r>
      <w:r w:rsidR="00551786">
        <w:rPr>
          <w:rFonts w:eastAsia="Times New Roman" w:cs="Times New Roman"/>
          <w:szCs w:val="24"/>
          <w:lang w:val="en-GB"/>
        </w:rPr>
        <w:t>’</w:t>
      </w:r>
      <w:r w:rsidRPr="00221992">
        <w:rPr>
          <w:rFonts w:eastAsia="Times New Roman" w:cs="Times New Roman"/>
          <w:szCs w:val="24"/>
          <w:lang w:val="en-GB"/>
        </w:rPr>
        <w:t>s expert network and in consultation with the Reference Committee. Methods for direct consultation include</w:t>
      </w:r>
      <w:r w:rsidR="00DC6AA0" w:rsidRPr="00221992">
        <w:rPr>
          <w:rFonts w:eastAsia="Times New Roman" w:cs="Times New Roman"/>
          <w:szCs w:val="24"/>
          <w:lang w:val="en-GB"/>
        </w:rPr>
        <w:t>d</w:t>
      </w:r>
      <w:r w:rsidRPr="00221992">
        <w:rPr>
          <w:rFonts w:eastAsia="Times New Roman" w:cs="Times New Roman"/>
          <w:szCs w:val="24"/>
          <w:lang w:val="en-GB"/>
        </w:rPr>
        <w:t xml:space="preserve"> semi-structured interviews and analysis of documents provided to the Review. Interviews </w:t>
      </w:r>
      <w:r w:rsidR="00DC6AA0" w:rsidRPr="00221992">
        <w:rPr>
          <w:rFonts w:eastAsia="Times New Roman" w:cs="Times New Roman"/>
          <w:szCs w:val="24"/>
          <w:lang w:val="en-GB"/>
        </w:rPr>
        <w:t>were</w:t>
      </w:r>
      <w:r w:rsidRPr="00221992">
        <w:rPr>
          <w:rFonts w:eastAsia="Times New Roman" w:cs="Times New Roman"/>
          <w:szCs w:val="24"/>
          <w:lang w:val="en-GB"/>
        </w:rPr>
        <w:t xml:space="preserve"> undertaken virtually (i.e., online) using a secure video conferencing platform (i.e., Zoom; WebEx). </w:t>
      </w:r>
    </w:p>
    <w:p w14:paraId="4317285B" w14:textId="18B5A2F9" w:rsidR="003F168D" w:rsidRPr="00221992" w:rsidRDefault="003F168D" w:rsidP="003F168D">
      <w:pPr>
        <w:spacing w:before="120" w:after="120"/>
        <w:rPr>
          <w:rFonts w:eastAsia="Times New Roman" w:cs="Times New Roman"/>
          <w:szCs w:val="24"/>
          <w:lang w:val="en-GB"/>
        </w:rPr>
      </w:pPr>
      <w:r w:rsidRPr="00221992">
        <w:rPr>
          <w:rFonts w:eastAsia="Times New Roman" w:cs="Times New Roman"/>
          <w:szCs w:val="24"/>
          <w:lang w:val="en-GB"/>
        </w:rPr>
        <w:t xml:space="preserve">Interviews </w:t>
      </w:r>
      <w:r w:rsidR="00DC6AA0" w:rsidRPr="00221992">
        <w:rPr>
          <w:rFonts w:eastAsia="Times New Roman" w:cs="Times New Roman"/>
          <w:szCs w:val="24"/>
          <w:lang w:val="en-GB"/>
        </w:rPr>
        <w:t>were</w:t>
      </w:r>
      <w:r w:rsidRPr="00221992">
        <w:rPr>
          <w:rFonts w:eastAsia="Times New Roman" w:cs="Times New Roman"/>
          <w:szCs w:val="24"/>
          <w:lang w:val="en-GB"/>
        </w:rPr>
        <w:t xml:space="preserve"> audio-recorded and transcribed for subsequent analysis (with the informed-consent of participants). All interview data </w:t>
      </w:r>
      <w:r w:rsidR="00DC6AA0" w:rsidRPr="00221992">
        <w:rPr>
          <w:rFonts w:eastAsia="Times New Roman" w:cs="Times New Roman"/>
          <w:szCs w:val="24"/>
          <w:lang w:val="en-GB"/>
        </w:rPr>
        <w:t>presented in this discussion paper</w:t>
      </w:r>
      <w:r w:rsidRPr="00221992">
        <w:rPr>
          <w:rFonts w:eastAsia="Times New Roman" w:cs="Times New Roman"/>
          <w:szCs w:val="24"/>
          <w:lang w:val="en-GB"/>
        </w:rPr>
        <w:t xml:space="preserve"> </w:t>
      </w:r>
      <w:r w:rsidR="00DC6AA0" w:rsidRPr="00221992">
        <w:rPr>
          <w:rFonts w:eastAsia="Times New Roman" w:cs="Times New Roman"/>
          <w:szCs w:val="24"/>
          <w:lang w:val="en-GB"/>
        </w:rPr>
        <w:t xml:space="preserve">have </w:t>
      </w:r>
      <w:r w:rsidRPr="00221992">
        <w:rPr>
          <w:rFonts w:eastAsia="Times New Roman" w:cs="Times New Roman"/>
          <w:szCs w:val="24"/>
          <w:lang w:val="en-GB"/>
        </w:rPr>
        <w:t>be</w:t>
      </w:r>
      <w:r w:rsidR="00DC6AA0" w:rsidRPr="00221992">
        <w:rPr>
          <w:rFonts w:eastAsia="Times New Roman" w:cs="Times New Roman"/>
          <w:szCs w:val="24"/>
          <w:lang w:val="en-GB"/>
        </w:rPr>
        <w:t>en</w:t>
      </w:r>
      <w:r w:rsidRPr="00221992">
        <w:rPr>
          <w:rFonts w:eastAsia="Times New Roman" w:cs="Times New Roman"/>
          <w:szCs w:val="24"/>
          <w:lang w:val="en-GB"/>
        </w:rPr>
        <w:t xml:space="preserve"> fully de-identified (i.e., interviewees </w:t>
      </w:r>
      <w:r w:rsidR="00DC6AA0" w:rsidRPr="00221992">
        <w:rPr>
          <w:rFonts w:eastAsia="Times New Roman" w:cs="Times New Roman"/>
          <w:szCs w:val="24"/>
          <w:lang w:val="en-GB"/>
        </w:rPr>
        <w:t>are</w:t>
      </w:r>
      <w:r w:rsidRPr="00221992">
        <w:rPr>
          <w:rFonts w:eastAsia="Times New Roman" w:cs="Times New Roman"/>
          <w:szCs w:val="24"/>
          <w:lang w:val="en-GB"/>
        </w:rPr>
        <w:t xml:space="preserve"> referred to only with respect to their national and professional </w:t>
      </w:r>
      <w:r w:rsidR="00DC6AA0" w:rsidRPr="00221992">
        <w:rPr>
          <w:rFonts w:eastAsia="Times New Roman" w:cs="Times New Roman"/>
          <w:szCs w:val="24"/>
          <w:lang w:val="en-GB"/>
        </w:rPr>
        <w:t>context</w:t>
      </w:r>
      <w:r w:rsidRPr="00221992">
        <w:rPr>
          <w:rFonts w:eastAsia="Times New Roman" w:cs="Times New Roman"/>
          <w:szCs w:val="24"/>
          <w:lang w:val="en-GB"/>
        </w:rPr>
        <w:t xml:space="preserve">, e.g., </w:t>
      </w:r>
      <w:r w:rsidR="00551786">
        <w:rPr>
          <w:rFonts w:eastAsia="Times New Roman" w:cs="Times New Roman"/>
          <w:szCs w:val="24"/>
          <w:lang w:val="en-GB"/>
        </w:rPr>
        <w:t>‘</w:t>
      </w:r>
      <w:r w:rsidRPr="00221992">
        <w:rPr>
          <w:rFonts w:eastAsia="Times New Roman" w:cs="Times New Roman"/>
          <w:szCs w:val="24"/>
          <w:lang w:val="en-GB"/>
        </w:rPr>
        <w:t xml:space="preserve">Germany, HTA </w:t>
      </w:r>
      <w:r w:rsidR="00DC6AA0" w:rsidRPr="00221992">
        <w:rPr>
          <w:rFonts w:eastAsia="Times New Roman" w:cs="Times New Roman"/>
          <w:szCs w:val="24"/>
          <w:lang w:val="en-GB"/>
        </w:rPr>
        <w:t>expert</w:t>
      </w:r>
      <w:r w:rsidR="00551786">
        <w:rPr>
          <w:rFonts w:eastAsia="Times New Roman" w:cs="Times New Roman"/>
          <w:szCs w:val="24"/>
          <w:lang w:val="en-GB"/>
        </w:rPr>
        <w:t>’</w:t>
      </w:r>
      <w:r w:rsidRPr="00221992">
        <w:rPr>
          <w:rFonts w:eastAsia="Times New Roman" w:cs="Times New Roman"/>
          <w:szCs w:val="24"/>
          <w:lang w:val="en-GB"/>
        </w:rPr>
        <w:t>).</w:t>
      </w:r>
      <w:r w:rsidR="00E465D4" w:rsidRPr="00221992">
        <w:rPr>
          <w:rFonts w:eastAsia="Times New Roman" w:cs="Times New Roman"/>
          <w:szCs w:val="24"/>
          <w:lang w:val="en-GB"/>
        </w:rPr>
        <w:t xml:space="preserve"> </w:t>
      </w:r>
      <w:r w:rsidR="005B3DC1" w:rsidRPr="00221992">
        <w:rPr>
          <w:rFonts w:eastAsia="Times New Roman" w:cs="Times New Roman"/>
          <w:szCs w:val="24"/>
          <w:lang w:val="en-GB"/>
        </w:rPr>
        <w:t>The</w:t>
      </w:r>
      <w:r w:rsidR="0030284B" w:rsidRPr="00221992">
        <w:rPr>
          <w:rFonts w:eastAsia="Times New Roman" w:cs="Times New Roman"/>
          <w:szCs w:val="24"/>
          <w:lang w:val="en-GB"/>
        </w:rPr>
        <w:t xml:space="preserve"> interview protocol is provided at Appendix 1.</w:t>
      </w:r>
      <w:r w:rsidR="00313A82" w:rsidRPr="00221992">
        <w:rPr>
          <w:rFonts w:eastAsia="Times New Roman" w:cs="Times New Roman"/>
          <w:szCs w:val="24"/>
          <w:lang w:val="en-GB"/>
        </w:rPr>
        <w:t xml:space="preserve"> </w:t>
      </w:r>
    </w:p>
    <w:p w14:paraId="02178FBC" w14:textId="77777777" w:rsidR="003F168D" w:rsidRPr="00221992" w:rsidRDefault="003F168D" w:rsidP="00146C04">
      <w:pPr>
        <w:pStyle w:val="NbrHeading2"/>
        <w:rPr>
          <w:lang w:val="en-GB"/>
        </w:rPr>
      </w:pPr>
      <w:bookmarkStart w:id="35" w:name="_Toc134627837"/>
      <w:bookmarkStart w:id="36" w:name="_Toc162950863"/>
      <w:r w:rsidRPr="00221992">
        <w:rPr>
          <w:lang w:val="en-GB"/>
        </w:rPr>
        <w:t>Analytical framework</w:t>
      </w:r>
      <w:bookmarkEnd w:id="35"/>
      <w:bookmarkEnd w:id="36"/>
    </w:p>
    <w:p w14:paraId="5CF1D492" w14:textId="368DC270" w:rsidR="003F168D" w:rsidRPr="00221992" w:rsidRDefault="003F168D" w:rsidP="003F168D">
      <w:pPr>
        <w:spacing w:before="120" w:after="120"/>
        <w:rPr>
          <w:rFonts w:eastAsia="Times New Roman" w:cs="Times New Roman"/>
          <w:szCs w:val="24"/>
          <w:lang w:val="en-GB"/>
        </w:rPr>
      </w:pPr>
      <w:r w:rsidRPr="00221992">
        <w:rPr>
          <w:rFonts w:eastAsia="Times New Roman" w:cs="Times New Roman"/>
          <w:szCs w:val="24"/>
          <w:lang w:val="en-GB"/>
        </w:rPr>
        <w:t xml:space="preserve">The underlying research paradigm for </w:t>
      </w:r>
      <w:r w:rsidR="00FD1E5A" w:rsidRPr="00221992">
        <w:rPr>
          <w:rFonts w:eastAsia="Times New Roman" w:cs="Times New Roman"/>
          <w:szCs w:val="24"/>
          <w:lang w:val="en-GB"/>
        </w:rPr>
        <w:t xml:space="preserve">this discussion paper </w:t>
      </w:r>
      <w:r w:rsidRPr="00221992">
        <w:rPr>
          <w:rFonts w:eastAsia="Times New Roman" w:cs="Times New Roman"/>
          <w:szCs w:val="24"/>
          <w:lang w:val="en-GB"/>
        </w:rPr>
        <w:t xml:space="preserve">is principally qualitative. Findings </w:t>
      </w:r>
      <w:r w:rsidR="00FD1E5A" w:rsidRPr="00221992">
        <w:rPr>
          <w:rFonts w:eastAsia="Times New Roman" w:cs="Times New Roman"/>
          <w:szCs w:val="24"/>
          <w:lang w:val="en-GB"/>
        </w:rPr>
        <w:t>are</w:t>
      </w:r>
      <w:r w:rsidRPr="00221992">
        <w:rPr>
          <w:rFonts w:eastAsia="Times New Roman" w:cs="Times New Roman"/>
          <w:szCs w:val="24"/>
          <w:lang w:val="en-GB"/>
        </w:rPr>
        <w:t xml:space="preserve"> presented thematically. Broadly, </w:t>
      </w:r>
      <w:r w:rsidR="00FD1E5A" w:rsidRPr="00221992">
        <w:rPr>
          <w:rFonts w:eastAsia="Times New Roman" w:cs="Times New Roman"/>
          <w:szCs w:val="24"/>
          <w:lang w:val="en-GB"/>
        </w:rPr>
        <w:t>the</w:t>
      </w:r>
      <w:r w:rsidRPr="00221992">
        <w:rPr>
          <w:rFonts w:eastAsia="Times New Roman" w:cs="Times New Roman"/>
          <w:szCs w:val="24"/>
          <w:lang w:val="en-GB"/>
        </w:rPr>
        <w:t xml:space="preserve"> analys</w:t>
      </w:r>
      <w:r w:rsidR="00FD1E5A" w:rsidRPr="00221992">
        <w:rPr>
          <w:rFonts w:eastAsia="Times New Roman" w:cs="Times New Roman"/>
          <w:szCs w:val="24"/>
          <w:lang w:val="en-GB"/>
        </w:rPr>
        <w:t>i</w:t>
      </w:r>
      <w:r w:rsidRPr="00221992">
        <w:rPr>
          <w:rFonts w:eastAsia="Times New Roman" w:cs="Times New Roman"/>
          <w:szCs w:val="24"/>
          <w:lang w:val="en-GB"/>
        </w:rPr>
        <w:t>s explicate</w:t>
      </w:r>
      <w:r w:rsidR="00FD1E5A" w:rsidRPr="00221992">
        <w:rPr>
          <w:rFonts w:eastAsia="Times New Roman" w:cs="Times New Roman"/>
          <w:szCs w:val="24"/>
          <w:lang w:val="en-GB"/>
        </w:rPr>
        <w:t>s</w:t>
      </w:r>
      <w:r w:rsidRPr="00221992">
        <w:rPr>
          <w:rFonts w:eastAsia="Times New Roman" w:cs="Times New Roman"/>
          <w:szCs w:val="24"/>
          <w:lang w:val="en-GB"/>
        </w:rPr>
        <w:t xml:space="preserve"> 1) differences in approaches to </w:t>
      </w:r>
      <w:r w:rsidR="00FD1E5A" w:rsidRPr="00221992">
        <w:rPr>
          <w:rFonts w:eastAsia="Times New Roman" w:cs="Times New Roman"/>
          <w:szCs w:val="24"/>
          <w:lang w:val="en-GB"/>
        </w:rPr>
        <w:t>HTA</w:t>
      </w:r>
      <w:r w:rsidRPr="00221992">
        <w:rPr>
          <w:rFonts w:eastAsia="Times New Roman" w:cs="Times New Roman"/>
          <w:szCs w:val="24"/>
          <w:lang w:val="en-GB"/>
        </w:rPr>
        <w:t xml:space="preserve"> in Australia and internationally; 2) the extent to which identified alternative</w:t>
      </w:r>
      <w:r w:rsidR="0044696D" w:rsidRPr="00221992">
        <w:rPr>
          <w:rFonts w:eastAsia="Times New Roman" w:cs="Times New Roman"/>
          <w:szCs w:val="24"/>
          <w:lang w:val="en-GB"/>
        </w:rPr>
        <w:t xml:space="preserve"> approaches to shaping an HTA system (with respect to funding and purchasing decisions)</w:t>
      </w:r>
      <w:r w:rsidRPr="00221992">
        <w:rPr>
          <w:rFonts w:eastAsia="Times New Roman" w:cs="Times New Roman"/>
          <w:szCs w:val="24"/>
          <w:lang w:val="en-GB"/>
        </w:rPr>
        <w:t xml:space="preserve"> may be applicable in Australia (in light of extant jurisdictional and structural arrangements); and 3) the extent to which alternative approaches may result in different outcomes if applied in Australia. Findings </w:t>
      </w:r>
      <w:r w:rsidR="00FD1E5A" w:rsidRPr="00221992">
        <w:rPr>
          <w:rFonts w:eastAsia="Times New Roman" w:cs="Times New Roman"/>
          <w:szCs w:val="24"/>
          <w:lang w:val="en-GB"/>
        </w:rPr>
        <w:t>are intended to</w:t>
      </w:r>
      <w:r w:rsidRPr="00221992">
        <w:rPr>
          <w:rFonts w:eastAsia="Times New Roman" w:cs="Times New Roman"/>
          <w:szCs w:val="24"/>
          <w:lang w:val="en-GB"/>
        </w:rPr>
        <w:t xml:space="preserve"> inform recommendations to the Department of Health and Aged Care for HTA practice and reform.</w:t>
      </w:r>
    </w:p>
    <w:p w14:paraId="4474C480" w14:textId="6856A49F" w:rsidR="003F168D" w:rsidRPr="00221992" w:rsidRDefault="003F168D" w:rsidP="00FD1E5A">
      <w:pPr>
        <w:spacing w:before="120" w:after="120"/>
        <w:rPr>
          <w:rFonts w:eastAsia="Times New Roman" w:cs="Times New Roman"/>
          <w:szCs w:val="24"/>
          <w:lang w:val="en-GB"/>
        </w:rPr>
      </w:pPr>
      <w:r w:rsidRPr="00221992">
        <w:rPr>
          <w:rFonts w:eastAsia="Times New Roman" w:cs="Times New Roman"/>
          <w:szCs w:val="24"/>
          <w:lang w:val="en-GB"/>
        </w:rPr>
        <w:t xml:space="preserve">Analyses </w:t>
      </w:r>
      <w:r w:rsidR="00FD1E5A" w:rsidRPr="00221992">
        <w:rPr>
          <w:rFonts w:eastAsia="Times New Roman" w:cs="Times New Roman"/>
          <w:szCs w:val="24"/>
          <w:lang w:val="en-GB"/>
        </w:rPr>
        <w:t xml:space="preserve">undertaken for this discussion paper </w:t>
      </w:r>
      <w:r w:rsidRPr="00221992">
        <w:rPr>
          <w:rFonts w:eastAsia="Times New Roman" w:cs="Times New Roman"/>
          <w:szCs w:val="24"/>
          <w:lang w:val="en-GB"/>
        </w:rPr>
        <w:t>utilise</w:t>
      </w:r>
      <w:r w:rsidR="00FD1E5A" w:rsidRPr="00221992">
        <w:rPr>
          <w:rFonts w:eastAsia="Times New Roman" w:cs="Times New Roman"/>
          <w:szCs w:val="24"/>
          <w:lang w:val="en-GB"/>
        </w:rPr>
        <w:t>d</w:t>
      </w:r>
      <w:r w:rsidRPr="00221992">
        <w:rPr>
          <w:rFonts w:eastAsia="Times New Roman" w:cs="Times New Roman"/>
          <w:szCs w:val="24"/>
          <w:lang w:val="en-GB"/>
        </w:rPr>
        <w:t xml:space="preserve"> an applied lens (i.e., they emphasise the national setting(s) of findings and specify their relevance, feasibility and applicability with respect to the Australian context). </w:t>
      </w:r>
    </w:p>
    <w:p w14:paraId="4EA33CB7" w14:textId="7F54C545" w:rsidR="003F168D" w:rsidRPr="00221992" w:rsidRDefault="0044696D" w:rsidP="003F168D">
      <w:pPr>
        <w:spacing w:before="120" w:after="120"/>
        <w:rPr>
          <w:rFonts w:eastAsia="Times New Roman" w:cs="Times New Roman"/>
          <w:szCs w:val="24"/>
          <w:lang w:val="en-GB"/>
        </w:rPr>
      </w:pPr>
      <w:r w:rsidRPr="00221992">
        <w:rPr>
          <w:rFonts w:eastAsia="Times New Roman" w:cs="Times New Roman"/>
          <w:szCs w:val="24"/>
          <w:lang w:val="en-GB"/>
        </w:rPr>
        <w:t>The scope of the r</w:t>
      </w:r>
      <w:r w:rsidR="003F168D" w:rsidRPr="00221992">
        <w:rPr>
          <w:rFonts w:eastAsia="Times New Roman" w:cs="Times New Roman"/>
          <w:szCs w:val="24"/>
          <w:lang w:val="en-GB"/>
        </w:rPr>
        <w:t>esearch span</w:t>
      </w:r>
      <w:r w:rsidR="00FD1E5A" w:rsidRPr="00221992">
        <w:rPr>
          <w:rFonts w:eastAsia="Times New Roman" w:cs="Times New Roman"/>
          <w:szCs w:val="24"/>
          <w:lang w:val="en-GB"/>
        </w:rPr>
        <w:t>s</w:t>
      </w:r>
      <w:r w:rsidR="003F168D" w:rsidRPr="00221992">
        <w:rPr>
          <w:rFonts w:eastAsia="Times New Roman" w:cs="Times New Roman"/>
          <w:szCs w:val="24"/>
          <w:lang w:val="en-GB"/>
        </w:rPr>
        <w:t xml:space="preserve"> both methodological guidance—for example, as elaborated in the official guidelines of national and international HTA bodies (e.g., NICE, EUnetHTA, respectively)—as well as policy, as indicated by relevant legislation governing HTA processes in nominated international settings. To the extent evident in the literature and indicated by interviewees, </w:t>
      </w:r>
      <w:r w:rsidR="00FD1E5A" w:rsidRPr="00221992">
        <w:rPr>
          <w:rFonts w:eastAsia="Times New Roman" w:cs="Times New Roman"/>
          <w:szCs w:val="24"/>
          <w:lang w:val="en-GB"/>
        </w:rPr>
        <w:t xml:space="preserve">the </w:t>
      </w:r>
      <w:r w:rsidR="003F168D" w:rsidRPr="00221992">
        <w:rPr>
          <w:rFonts w:eastAsia="Times New Roman" w:cs="Times New Roman"/>
          <w:szCs w:val="24"/>
          <w:lang w:val="en-GB"/>
        </w:rPr>
        <w:t xml:space="preserve">research </w:t>
      </w:r>
      <w:r w:rsidR="00FD1E5A" w:rsidRPr="00221992">
        <w:rPr>
          <w:rFonts w:eastAsia="Times New Roman" w:cs="Times New Roman"/>
          <w:szCs w:val="24"/>
          <w:lang w:val="en-GB"/>
        </w:rPr>
        <w:t xml:space="preserve">has </w:t>
      </w:r>
      <w:r w:rsidR="003F168D" w:rsidRPr="00221992">
        <w:rPr>
          <w:rFonts w:eastAsia="Times New Roman" w:cs="Times New Roman"/>
          <w:szCs w:val="24"/>
          <w:lang w:val="en-GB"/>
        </w:rPr>
        <w:t>include</w:t>
      </w:r>
      <w:r w:rsidR="00FD1E5A" w:rsidRPr="00221992">
        <w:rPr>
          <w:rFonts w:eastAsia="Times New Roman" w:cs="Times New Roman"/>
          <w:szCs w:val="24"/>
          <w:lang w:val="en-GB"/>
        </w:rPr>
        <w:t>d</w:t>
      </w:r>
      <w:r w:rsidR="003F168D" w:rsidRPr="00221992">
        <w:rPr>
          <w:rFonts w:eastAsia="Times New Roman" w:cs="Times New Roman"/>
          <w:szCs w:val="24"/>
          <w:lang w:val="en-GB"/>
        </w:rPr>
        <w:t xml:space="preserve"> not just a review of extant policy and methods, but also emerging trends and innovations in the HTA space moving forward.</w:t>
      </w:r>
    </w:p>
    <w:p w14:paraId="675D06A1" w14:textId="2709DE33" w:rsidR="003F168D" w:rsidRPr="00221992" w:rsidRDefault="003F168D" w:rsidP="003F168D">
      <w:pPr>
        <w:spacing w:before="120" w:after="120"/>
        <w:rPr>
          <w:rFonts w:eastAsia="Times New Roman" w:cs="Times New Roman"/>
          <w:szCs w:val="24"/>
          <w:lang w:val="en-GB"/>
        </w:rPr>
      </w:pPr>
      <w:r w:rsidRPr="00221992">
        <w:rPr>
          <w:rFonts w:eastAsia="Times New Roman" w:cs="Times New Roman"/>
          <w:szCs w:val="24"/>
          <w:lang w:val="en-GB"/>
        </w:rPr>
        <w:t>The Reference Committee identified several specific avenues of inquiry of interest to the Review, including international differences in:</w:t>
      </w:r>
    </w:p>
    <w:p w14:paraId="76D439A2" w14:textId="1FAF4948" w:rsidR="003F168D" w:rsidRPr="00221992" w:rsidRDefault="003F168D" w:rsidP="00957584">
      <w:pPr>
        <w:pStyle w:val="ListParagraph"/>
        <w:numPr>
          <w:ilvl w:val="0"/>
          <w:numId w:val="42"/>
        </w:numPr>
        <w:rPr>
          <w:lang w:val="en-GB"/>
        </w:rPr>
      </w:pPr>
      <w:r w:rsidRPr="00221992">
        <w:rPr>
          <w:lang w:val="en-GB"/>
        </w:rPr>
        <w:t xml:space="preserve">funding pathways and accepted levels of evidence for submissions for rare diseases and other treatments that do not meet </w:t>
      </w:r>
      <w:r w:rsidR="00551786">
        <w:rPr>
          <w:lang w:val="en-GB"/>
        </w:rPr>
        <w:t>‘</w:t>
      </w:r>
      <w:r w:rsidRPr="00221992">
        <w:rPr>
          <w:lang w:val="en-GB"/>
        </w:rPr>
        <w:t>traditional</w:t>
      </w:r>
      <w:r w:rsidR="00551786">
        <w:rPr>
          <w:lang w:val="en-GB"/>
        </w:rPr>
        <w:t>’</w:t>
      </w:r>
      <w:r w:rsidRPr="00221992">
        <w:rPr>
          <w:lang w:val="en-GB"/>
        </w:rPr>
        <w:t xml:space="preserve"> HTA standards</w:t>
      </w:r>
    </w:p>
    <w:p w14:paraId="46B3F250" w14:textId="77777777" w:rsidR="003F168D" w:rsidRPr="00221992" w:rsidRDefault="003F168D" w:rsidP="00957584">
      <w:pPr>
        <w:pStyle w:val="ListParagraph"/>
        <w:numPr>
          <w:ilvl w:val="0"/>
          <w:numId w:val="42"/>
        </w:numPr>
        <w:rPr>
          <w:lang w:val="en-GB"/>
        </w:rPr>
      </w:pPr>
      <w:r w:rsidRPr="00221992">
        <w:rPr>
          <w:lang w:val="en-GB"/>
        </w:rPr>
        <w:t>management of uncertainty</w:t>
      </w:r>
    </w:p>
    <w:p w14:paraId="0063C7A6" w14:textId="77777777" w:rsidR="003F168D" w:rsidRPr="00221992" w:rsidRDefault="003F168D" w:rsidP="00957584">
      <w:pPr>
        <w:pStyle w:val="ListParagraph"/>
        <w:numPr>
          <w:ilvl w:val="0"/>
          <w:numId w:val="42"/>
        </w:numPr>
        <w:rPr>
          <w:lang w:val="en-GB"/>
        </w:rPr>
      </w:pPr>
      <w:r w:rsidRPr="00221992">
        <w:rPr>
          <w:lang w:val="en-GB"/>
        </w:rPr>
        <w:t>consumer engagement in the HTA process</w:t>
      </w:r>
    </w:p>
    <w:p w14:paraId="0EEEE3F4" w14:textId="6BC30086" w:rsidR="003F168D" w:rsidRPr="00221992" w:rsidRDefault="003F168D" w:rsidP="00957584">
      <w:pPr>
        <w:pStyle w:val="ListParagraph"/>
        <w:numPr>
          <w:ilvl w:val="0"/>
          <w:numId w:val="42"/>
        </w:numPr>
        <w:rPr>
          <w:lang w:val="en-GB"/>
        </w:rPr>
      </w:pPr>
      <w:r w:rsidRPr="00221992">
        <w:rPr>
          <w:lang w:val="en-GB"/>
        </w:rPr>
        <w:t xml:space="preserve">expanded utility criteria (e.g., </w:t>
      </w:r>
      <w:r w:rsidR="00551786">
        <w:rPr>
          <w:lang w:val="en-GB"/>
        </w:rPr>
        <w:t>‘</w:t>
      </w:r>
      <w:r w:rsidRPr="00221992">
        <w:rPr>
          <w:lang w:val="en-GB"/>
        </w:rPr>
        <w:t>coping</w:t>
      </w:r>
      <w:r w:rsidR="00551786">
        <w:rPr>
          <w:lang w:val="en-GB"/>
        </w:rPr>
        <w:t>’</w:t>
      </w:r>
      <w:r w:rsidRPr="00221992">
        <w:rPr>
          <w:lang w:val="en-GB"/>
        </w:rPr>
        <w:t xml:space="preserve"> as considered by the Norwegian Medicines Agency)</w:t>
      </w:r>
    </w:p>
    <w:p w14:paraId="7DABC767" w14:textId="0AD53F21" w:rsidR="003F168D" w:rsidRPr="00221992" w:rsidRDefault="003F168D" w:rsidP="00957584">
      <w:pPr>
        <w:pStyle w:val="ListParagraph"/>
        <w:numPr>
          <w:ilvl w:val="0"/>
          <w:numId w:val="42"/>
        </w:numPr>
        <w:rPr>
          <w:lang w:val="en-GB"/>
        </w:rPr>
      </w:pPr>
      <w:r w:rsidRPr="00221992">
        <w:rPr>
          <w:lang w:val="en-GB"/>
        </w:rPr>
        <w:t>approaches to improve equity among identified sub-populations</w:t>
      </w:r>
    </w:p>
    <w:p w14:paraId="753266B4" w14:textId="2A3FAA0B" w:rsidR="003F168D" w:rsidRPr="00221992" w:rsidRDefault="003F168D" w:rsidP="006F7F45">
      <w:pPr>
        <w:spacing w:before="120" w:after="120"/>
        <w:rPr>
          <w:lang w:val="en-GB"/>
        </w:rPr>
      </w:pPr>
      <w:r w:rsidRPr="00221992">
        <w:rPr>
          <w:rFonts w:eastAsia="Times New Roman" w:cs="Times New Roman"/>
          <w:szCs w:val="24"/>
          <w:lang w:val="en-GB"/>
        </w:rPr>
        <w:t xml:space="preserve">The Reference Committee also highlighted the particular importance of the UK in the comparative analysis, as well implications of HTA regulation reform in the EU, which </w:t>
      </w:r>
      <w:r w:rsidR="00FD1E5A" w:rsidRPr="00221992">
        <w:rPr>
          <w:rFonts w:eastAsia="Times New Roman" w:cs="Times New Roman"/>
          <w:szCs w:val="24"/>
          <w:lang w:val="en-GB"/>
        </w:rPr>
        <w:t>are expected to</w:t>
      </w:r>
      <w:r w:rsidRPr="00221992">
        <w:rPr>
          <w:rFonts w:eastAsia="Times New Roman" w:cs="Times New Roman"/>
          <w:szCs w:val="24"/>
          <w:lang w:val="en-GB"/>
        </w:rPr>
        <w:t xml:space="preserve"> have flow-on effects for all EU countries obliged to use common HTA assessment</w:t>
      </w:r>
      <w:r w:rsidR="00FD1E5A" w:rsidRPr="00221992">
        <w:rPr>
          <w:rFonts w:eastAsia="Times New Roman" w:cs="Times New Roman"/>
          <w:szCs w:val="24"/>
          <w:lang w:val="en-GB"/>
        </w:rPr>
        <w:t xml:space="preserve"> (</w:t>
      </w:r>
      <w:r w:rsidRPr="00221992">
        <w:rPr>
          <w:rFonts w:eastAsia="Times New Roman" w:cs="Times New Roman"/>
          <w:szCs w:val="24"/>
          <w:lang w:val="en-GB"/>
        </w:rPr>
        <w:t>though decisions about value, reimbursement and pricing will be left to the individual members countries</w:t>
      </w:r>
      <w:r w:rsidR="00FD1E5A" w:rsidRPr="00221992">
        <w:rPr>
          <w:rFonts w:eastAsia="Times New Roman" w:cs="Times New Roman"/>
          <w:szCs w:val="24"/>
          <w:lang w:val="en-GB"/>
        </w:rPr>
        <w:t>)</w:t>
      </w:r>
      <w:r w:rsidRPr="00221992">
        <w:rPr>
          <w:rFonts w:eastAsia="Times New Roman" w:cs="Times New Roman"/>
          <w:szCs w:val="24"/>
          <w:lang w:val="en-GB"/>
        </w:rPr>
        <w:t>.</w:t>
      </w:r>
      <w:r w:rsidR="0044696D" w:rsidRPr="00221992">
        <w:rPr>
          <w:rFonts w:eastAsia="Times New Roman" w:cs="Times New Roman"/>
          <w:szCs w:val="24"/>
          <w:lang w:val="en-GB"/>
        </w:rPr>
        <w:t xml:space="preserve"> </w:t>
      </w:r>
      <w:r w:rsidRPr="00221992">
        <w:rPr>
          <w:rFonts w:eastAsia="Times New Roman" w:cs="Times New Roman"/>
          <w:szCs w:val="24"/>
          <w:lang w:val="en-GB"/>
        </w:rPr>
        <w:t xml:space="preserve">More broadly, input from the Reference Committee indicated </w:t>
      </w:r>
      <w:r w:rsidR="00FD1E5A" w:rsidRPr="00221992">
        <w:rPr>
          <w:rFonts w:eastAsia="Times New Roman" w:cs="Times New Roman"/>
          <w:szCs w:val="24"/>
          <w:lang w:val="en-GB"/>
        </w:rPr>
        <w:t xml:space="preserve">an </w:t>
      </w:r>
      <w:r w:rsidRPr="00221992">
        <w:rPr>
          <w:rFonts w:eastAsia="Times New Roman" w:cs="Times New Roman"/>
          <w:szCs w:val="24"/>
          <w:lang w:val="en-GB"/>
        </w:rPr>
        <w:t xml:space="preserve">interest in </w:t>
      </w:r>
      <w:r w:rsidR="0044696D" w:rsidRPr="00221992">
        <w:rPr>
          <w:rFonts w:eastAsia="Times New Roman" w:cs="Times New Roman"/>
          <w:szCs w:val="24"/>
          <w:lang w:val="en-GB"/>
        </w:rPr>
        <w:t xml:space="preserve">understanding the </w:t>
      </w:r>
      <w:r w:rsidRPr="00221992">
        <w:rPr>
          <w:rFonts w:eastAsia="Times New Roman" w:cs="Times New Roman"/>
          <w:szCs w:val="24"/>
          <w:lang w:val="en-GB"/>
        </w:rPr>
        <w:t>risks and benefits not just to Government, but also to industry and consumers.</w:t>
      </w:r>
    </w:p>
    <w:p w14:paraId="00466F37" w14:textId="6F85DE1F" w:rsidR="00073B27" w:rsidRPr="00221992" w:rsidRDefault="00875596" w:rsidP="007B3C56">
      <w:pPr>
        <w:pStyle w:val="NbrHeading1"/>
        <w:rPr>
          <w:lang w:val="en-GB"/>
        </w:rPr>
      </w:pPr>
      <w:r w:rsidRPr="00221992">
        <w:rPr>
          <w:lang w:val="en-GB"/>
        </w:rPr>
        <w:br w:type="page"/>
      </w:r>
      <w:bookmarkStart w:id="37" w:name="_Ref143766205"/>
      <w:bookmarkStart w:id="38" w:name="_Toc162950864"/>
      <w:r w:rsidRPr="00221992">
        <w:rPr>
          <w:lang w:val="en-GB"/>
        </w:rPr>
        <w:t>Findings</w:t>
      </w:r>
      <w:bookmarkEnd w:id="37"/>
      <w:bookmarkEnd w:id="38"/>
    </w:p>
    <w:p w14:paraId="232882D8" w14:textId="332142FF" w:rsidR="00D95336" w:rsidRPr="00221992" w:rsidRDefault="00D95336" w:rsidP="00146C04">
      <w:pPr>
        <w:pStyle w:val="NbrHeading2"/>
        <w:rPr>
          <w:lang w:val="en-GB"/>
        </w:rPr>
      </w:pPr>
      <w:bookmarkStart w:id="39" w:name="_Ref145420589"/>
      <w:bookmarkStart w:id="40" w:name="_Toc162950865"/>
      <w:r w:rsidRPr="00221992">
        <w:rPr>
          <w:lang w:val="en-GB"/>
        </w:rPr>
        <w:t>Funding and purchasing approaches for new health technologies</w:t>
      </w:r>
      <w:bookmarkEnd w:id="39"/>
      <w:bookmarkEnd w:id="40"/>
    </w:p>
    <w:p w14:paraId="64306D70" w14:textId="77777777" w:rsidR="00D95336" w:rsidRPr="00221992" w:rsidRDefault="00D95336" w:rsidP="0012257A">
      <w:pPr>
        <w:pStyle w:val="NbrHeading3"/>
        <w:rPr>
          <w:lang w:val="en-GB"/>
        </w:rPr>
      </w:pPr>
      <w:bookmarkStart w:id="41" w:name="_Toc142742665"/>
      <w:bookmarkStart w:id="42" w:name="_Toc162950866"/>
      <w:r w:rsidRPr="00221992">
        <w:rPr>
          <w:lang w:val="en-GB"/>
        </w:rPr>
        <w:t>Overview</w:t>
      </w:r>
      <w:bookmarkEnd w:id="41"/>
      <w:bookmarkEnd w:id="42"/>
    </w:p>
    <w:p w14:paraId="30E33AC7" w14:textId="5310DBEA" w:rsidR="00D95336" w:rsidRPr="00221992" w:rsidRDefault="00D95336" w:rsidP="00702C58">
      <w:pPr>
        <w:rPr>
          <w:lang w:val="en-GB"/>
        </w:rPr>
      </w:pPr>
      <w:r w:rsidRPr="00221992">
        <w:rPr>
          <w:lang w:val="en-GB"/>
        </w:rPr>
        <w:t xml:space="preserve">International approaches to fund and purchase new health technologies </w:t>
      </w:r>
      <w:r w:rsidR="0241F61C" w:rsidRPr="00221992">
        <w:rPr>
          <w:lang w:val="en-GB"/>
        </w:rPr>
        <w:t xml:space="preserve">vary </w:t>
      </w:r>
      <w:r w:rsidRPr="00221992">
        <w:rPr>
          <w:lang w:val="en-GB"/>
        </w:rPr>
        <w:t>widely</w:t>
      </w:r>
      <w:r w:rsidR="47E6D8A2" w:rsidRPr="00221992">
        <w:rPr>
          <w:lang w:val="en-GB"/>
        </w:rPr>
        <w:t>, with identified</w:t>
      </w:r>
      <w:r w:rsidRPr="00221992">
        <w:rPr>
          <w:lang w:val="en-GB"/>
        </w:rPr>
        <w:t xml:space="preserve"> </w:t>
      </w:r>
      <w:r w:rsidR="4A5AB685" w:rsidRPr="00221992">
        <w:rPr>
          <w:lang w:val="en-GB"/>
        </w:rPr>
        <w:t>d</w:t>
      </w:r>
      <w:r w:rsidRPr="00221992">
        <w:rPr>
          <w:lang w:val="en-GB"/>
        </w:rPr>
        <w:t>ifferences in the depth and breadth of HTA process</w:t>
      </w:r>
      <w:r w:rsidR="52656819" w:rsidRPr="00221992">
        <w:rPr>
          <w:lang w:val="en-GB"/>
        </w:rPr>
        <w:t>es</w:t>
      </w:r>
      <w:r w:rsidRPr="00221992">
        <w:rPr>
          <w:lang w:val="en-GB"/>
        </w:rPr>
        <w:t xml:space="preserve">, selection of technologies eligible for HTA review, </w:t>
      </w:r>
      <w:r w:rsidR="5238D60F" w:rsidRPr="00221992">
        <w:rPr>
          <w:lang w:val="en-GB"/>
        </w:rPr>
        <w:t xml:space="preserve">and </w:t>
      </w:r>
      <w:r w:rsidRPr="00221992">
        <w:rPr>
          <w:lang w:val="en-GB"/>
        </w:rPr>
        <w:t xml:space="preserve">how HTA outcomes influence </w:t>
      </w:r>
      <w:r w:rsidR="1F2AEFB6" w:rsidRPr="00221992">
        <w:rPr>
          <w:lang w:val="en-GB"/>
        </w:rPr>
        <w:t xml:space="preserve">reimbursement </w:t>
      </w:r>
      <w:r w:rsidRPr="00221992">
        <w:rPr>
          <w:lang w:val="en-GB"/>
        </w:rPr>
        <w:t>decisions and pric</w:t>
      </w:r>
      <w:r w:rsidR="79E3D99E" w:rsidRPr="00221992">
        <w:rPr>
          <w:lang w:val="en-GB"/>
        </w:rPr>
        <w:t>ing</w:t>
      </w:r>
      <w:r w:rsidRPr="00221992">
        <w:rPr>
          <w:lang w:val="en-GB"/>
        </w:rPr>
        <w:t xml:space="preserve"> negotiations. It is important to recognise that HTA is not a single mechanism, consist</w:t>
      </w:r>
      <w:r w:rsidR="0AA3B6E7" w:rsidRPr="00221992">
        <w:rPr>
          <w:lang w:val="en-GB"/>
        </w:rPr>
        <w:t>ing</w:t>
      </w:r>
      <w:r w:rsidRPr="00221992">
        <w:rPr>
          <w:lang w:val="en-GB"/>
        </w:rPr>
        <w:t xml:space="preserve"> of combinations of salient features that </w:t>
      </w:r>
      <w:r w:rsidR="4FCEE003" w:rsidRPr="00221992">
        <w:rPr>
          <w:lang w:val="en-GB"/>
        </w:rPr>
        <w:t>variously impact</w:t>
      </w:r>
      <w:r w:rsidRPr="00221992">
        <w:rPr>
          <w:lang w:val="en-GB"/>
        </w:rPr>
        <w:t xml:space="preserve"> the way</w:t>
      </w:r>
      <w:r w:rsidR="5F8BF413" w:rsidRPr="00221992">
        <w:rPr>
          <w:lang w:val="en-GB"/>
        </w:rPr>
        <w:t>s in which</w:t>
      </w:r>
      <w:r w:rsidRPr="00221992">
        <w:rPr>
          <w:lang w:val="en-GB"/>
        </w:rPr>
        <w:t xml:space="preserve"> HTA may inform funding decisions </w:t>
      </w:r>
      <w:r w:rsidR="62A8850F" w:rsidRPr="00221992">
        <w:rPr>
          <w:lang w:val="en-GB"/>
        </w:rPr>
        <w:t xml:space="preserve">in </w:t>
      </w:r>
      <w:r w:rsidRPr="00221992">
        <w:rPr>
          <w:lang w:val="en-GB"/>
        </w:rPr>
        <w:t>international contexts</w:t>
      </w:r>
      <w:r w:rsidR="00F5766F" w:rsidRPr="00221992">
        <w:rPr>
          <w:lang w:val="en-GB"/>
        </w:rPr>
        <w:t xml:space="preserve"> </w:t>
      </w:r>
      <w:r w:rsidRPr="00221992">
        <w:rPr>
          <w:lang w:val="en-GB"/>
        </w:rPr>
        <w:fldChar w:fldCharType="begin"/>
      </w:r>
      <w:r w:rsidR="005A67DD" w:rsidRPr="00221992">
        <w:rPr>
          <w:lang w:val="en-GB"/>
        </w:rPr>
        <w:instrText xml:space="preserve"> ADDIN EN.CITE &lt;EndNote&gt;&lt;Cite&gt;&lt;Author&gt;Fontrier&lt;/Author&gt;&lt;Year&gt;2022&lt;/Year&gt;&lt;RecNum&gt;157&lt;/RecNum&gt;&lt;DisplayText&gt;[7]&lt;/DisplayText&gt;&lt;record&gt;&lt;rec-number&gt;157&lt;/rec-number&gt;&lt;foreign-keys&gt;&lt;key app="EN" db-id="wzwwsfxe4peesxef95cxvrwjxts9rreasarf" timestamp="1692654670"&gt;157&lt;/key&gt;&lt;/foreign-keys&gt;&lt;ref-type name="Journal Article"&gt;17&lt;/ref-type&gt;&lt;contributors&gt;&lt;authors&gt;&lt;author&gt;Fontrier, A. M.&lt;/author&gt;&lt;author&gt;Visintin, E.&lt;/author&gt;&lt;author&gt;Kanavos, P.&lt;/author&gt;&lt;/authors&gt;&lt;/contributors&gt;&lt;auth-address&gt;Department of Health Policy, LSE Health-Medical Technology Research Group (MTRG), Cowdray House, London School of Economics and Political Science, Houghton Street, London, WC2A 2AE, UK. A.Fontrier@lse.ac.uk.&amp;#xD;Department of Health Policy, LSE Health-Medical Technology Research Group (MTRG), Cowdray House, London School of Economics and Political Science, Houghton Street, London, WC2A 2AE, UK.&lt;/auth-address&gt;&lt;titles&gt;&lt;title&gt;Similarities and Differences in Health Technology Assessment Systems and Implications for Coverage Decisions: Evidence from 32 Countries&lt;/title&gt;&lt;secondary-title&gt;Pharmacoecon Open&lt;/secondary-title&gt;&lt;/titles&gt;&lt;periodical&gt;&lt;full-title&gt;Pharmacoecon Open&lt;/full-title&gt;&lt;/periodical&gt;&lt;pages&gt;315-328&lt;/pages&gt;&lt;volume&gt;6&lt;/volume&gt;&lt;number&gt;3&lt;/number&gt;&lt;edition&gt;20211129&lt;/edition&gt;&lt;dates&gt;&lt;year&gt;2022&lt;/year&gt;&lt;pub-dates&gt;&lt;date&gt;May&lt;/date&gt;&lt;/pub-dates&gt;&lt;/dates&gt;&lt;isbn&gt;2509-4262 (Print)&amp;#xD;2509-4262&lt;/isbn&gt;&lt;accession-num&gt;34845671&lt;/accession-num&gt;&lt;urls&gt;&lt;/urls&gt;&lt;custom1&gt;Anna-Maria Fontrier, Erica Visintin and Panos Kanavos declare that they have no conflicts of interest.&lt;/custom1&gt;&lt;custom2&gt;PMC9043057&lt;/custom2&gt;&lt;electronic-resource-num&gt;10.1007/s41669-021-00311-5&lt;/electronic-resource-num&gt;&lt;remote-database-provider&gt;NLM&lt;/remote-database-provider&gt;&lt;language&gt;eng&lt;/language&gt;&lt;/record&gt;&lt;/Cite&gt;&lt;/EndNote&gt;</w:instrText>
      </w:r>
      <w:r w:rsidRPr="00221992">
        <w:rPr>
          <w:lang w:val="en-GB"/>
        </w:rPr>
        <w:fldChar w:fldCharType="separate"/>
      </w:r>
      <w:r w:rsidR="005A67DD" w:rsidRPr="00221992">
        <w:rPr>
          <w:noProof/>
          <w:lang w:val="en-GB"/>
        </w:rPr>
        <w:t>[7]</w:t>
      </w:r>
      <w:r w:rsidRPr="00221992">
        <w:rPr>
          <w:lang w:val="en-GB"/>
        </w:rPr>
        <w:fldChar w:fldCharType="end"/>
      </w:r>
      <w:r w:rsidR="00F5766F" w:rsidRPr="00221992">
        <w:rPr>
          <w:lang w:val="en-GB"/>
        </w:rPr>
        <w:t>.</w:t>
      </w:r>
      <w:r w:rsidRPr="00221992">
        <w:rPr>
          <w:lang w:val="en-GB"/>
        </w:rPr>
        <w:t xml:space="preserve"> This section discuss</w:t>
      </w:r>
      <w:r w:rsidR="49DAE13C" w:rsidRPr="00221992">
        <w:rPr>
          <w:lang w:val="en-GB"/>
        </w:rPr>
        <w:t>es</w:t>
      </w:r>
      <w:r w:rsidRPr="00221992">
        <w:rPr>
          <w:lang w:val="en-GB"/>
        </w:rPr>
        <w:t xml:space="preserve"> international approaches for new health technologies that </w:t>
      </w:r>
      <w:r w:rsidR="68B47D43" w:rsidRPr="00221992">
        <w:rPr>
          <w:lang w:val="en-GB"/>
        </w:rPr>
        <w:t>(</w:t>
      </w:r>
      <w:r w:rsidRPr="00221992">
        <w:rPr>
          <w:lang w:val="en-GB"/>
        </w:rPr>
        <w:t>do or do not</w:t>
      </w:r>
      <w:r w:rsidR="707790F6" w:rsidRPr="00221992">
        <w:rPr>
          <w:lang w:val="en-GB"/>
        </w:rPr>
        <w:t>) claim to</w:t>
      </w:r>
      <w:r w:rsidRPr="00221992">
        <w:rPr>
          <w:lang w:val="en-GB"/>
        </w:rPr>
        <w:t xml:space="preserve"> provide a substantial improvement in efficacy or reduction in toxicity compared to alternatives. </w:t>
      </w:r>
      <w:r w:rsidR="313970A2" w:rsidRPr="00221992">
        <w:rPr>
          <w:lang w:val="en-GB"/>
        </w:rPr>
        <w:t>In general, t</w:t>
      </w:r>
      <w:r w:rsidRPr="00221992">
        <w:rPr>
          <w:lang w:val="en-GB"/>
        </w:rPr>
        <w:t>he discussion focusse</w:t>
      </w:r>
      <w:r w:rsidR="1BD62EF4" w:rsidRPr="00221992">
        <w:rPr>
          <w:lang w:val="en-GB"/>
        </w:rPr>
        <w:t xml:space="preserve">s </w:t>
      </w:r>
      <w:r w:rsidRPr="00221992">
        <w:rPr>
          <w:lang w:val="en-GB"/>
        </w:rPr>
        <w:t>on mainstream health technologies</w:t>
      </w:r>
      <w:r w:rsidR="34FEDA6A" w:rsidRPr="00221992">
        <w:rPr>
          <w:lang w:val="en-GB"/>
        </w:rPr>
        <w:t>;</w:t>
      </w:r>
      <w:r w:rsidRPr="00221992">
        <w:rPr>
          <w:lang w:val="en-GB"/>
        </w:rPr>
        <w:t xml:space="preserve"> </w:t>
      </w:r>
      <w:r w:rsidR="50A4826B" w:rsidRPr="00221992">
        <w:rPr>
          <w:lang w:val="en-GB"/>
        </w:rPr>
        <w:t>approaches to the funding of</w:t>
      </w:r>
      <w:r w:rsidRPr="00221992">
        <w:rPr>
          <w:lang w:val="en-GB"/>
        </w:rPr>
        <w:t xml:space="preserve"> orphan drugs</w:t>
      </w:r>
      <w:r w:rsidR="52923EE3" w:rsidRPr="00221992">
        <w:rPr>
          <w:lang w:val="en-GB"/>
        </w:rPr>
        <w:t xml:space="preserve"> and other therapies with high levels of clinical, economic and financial uncertainty</w:t>
      </w:r>
      <w:r w:rsidRPr="00221992">
        <w:rPr>
          <w:lang w:val="en-GB"/>
        </w:rPr>
        <w:t xml:space="preserve"> are </w:t>
      </w:r>
      <w:r w:rsidR="4BD11148" w:rsidRPr="00221992">
        <w:rPr>
          <w:lang w:val="en-GB"/>
        </w:rPr>
        <w:t>elaborated</w:t>
      </w:r>
      <w:r w:rsidRPr="00221992">
        <w:rPr>
          <w:lang w:val="en-GB"/>
        </w:rPr>
        <w:t xml:space="preserve"> in </w:t>
      </w:r>
      <w:r w:rsidR="209A47A9" w:rsidRPr="00221992">
        <w:rPr>
          <w:lang w:val="en-GB"/>
        </w:rPr>
        <w:t xml:space="preserve">Section </w:t>
      </w:r>
      <w:r w:rsidR="00D63C58" w:rsidRPr="00221992">
        <w:rPr>
          <w:lang w:val="en-GB"/>
        </w:rPr>
        <w:fldChar w:fldCharType="begin"/>
      </w:r>
      <w:r w:rsidR="00D63C58">
        <w:instrText xml:space="preserve"> REF _Ref143764702 \n \h </w:instrText>
      </w:r>
      <w:r w:rsidR="00D63C58" w:rsidRPr="00221992">
        <w:rPr>
          <w:lang w:val="en-GB"/>
        </w:rPr>
      </w:r>
      <w:r w:rsidR="00D63C58" w:rsidRPr="00221992">
        <w:rPr>
          <w:lang w:val="en-GB"/>
        </w:rPr>
        <w:fldChar w:fldCharType="separate"/>
      </w:r>
      <w:r w:rsidR="000E11E7">
        <w:t>4.5</w:t>
      </w:r>
      <w:r w:rsidR="00D63C58" w:rsidRPr="00221992">
        <w:rPr>
          <w:lang w:val="en-GB"/>
        </w:rPr>
        <w:fldChar w:fldCharType="end"/>
      </w:r>
      <w:r w:rsidR="00D63C58" w:rsidRPr="00221992">
        <w:rPr>
          <w:lang w:val="en-GB"/>
        </w:rPr>
        <w:t xml:space="preserve"> </w:t>
      </w:r>
      <w:r w:rsidR="3E919F73" w:rsidRPr="00221992">
        <w:rPr>
          <w:lang w:val="en-GB"/>
        </w:rPr>
        <w:t xml:space="preserve">and </w:t>
      </w:r>
      <w:r w:rsidR="00D63C58" w:rsidRPr="00221992">
        <w:rPr>
          <w:lang w:val="en-GB"/>
        </w:rPr>
        <w:fldChar w:fldCharType="begin"/>
      </w:r>
      <w:r w:rsidR="00D63C58" w:rsidRPr="00221992">
        <w:rPr>
          <w:lang w:val="en-GB"/>
        </w:rPr>
        <w:instrText xml:space="preserve"> REF _Ref143764721 \n \h </w:instrText>
      </w:r>
      <w:r w:rsidR="00D63C58" w:rsidRPr="00221992">
        <w:rPr>
          <w:lang w:val="en-GB"/>
        </w:rPr>
      </w:r>
      <w:r w:rsidR="00D63C58" w:rsidRPr="00221992">
        <w:rPr>
          <w:lang w:val="en-GB"/>
        </w:rPr>
        <w:fldChar w:fldCharType="separate"/>
      </w:r>
      <w:r w:rsidR="000E11E7">
        <w:rPr>
          <w:lang w:val="en-GB"/>
        </w:rPr>
        <w:t>4.6</w:t>
      </w:r>
      <w:r w:rsidR="00D63C58" w:rsidRPr="00221992">
        <w:rPr>
          <w:lang w:val="en-GB"/>
        </w:rPr>
        <w:fldChar w:fldCharType="end"/>
      </w:r>
      <w:r w:rsidR="3E919F73" w:rsidRPr="00221992">
        <w:rPr>
          <w:lang w:val="en-GB"/>
        </w:rPr>
        <w:t>, respectively</w:t>
      </w:r>
      <w:r w:rsidRPr="00221992">
        <w:rPr>
          <w:lang w:val="en-GB"/>
        </w:rPr>
        <w:t>.</w:t>
      </w:r>
    </w:p>
    <w:p w14:paraId="1852BD03" w14:textId="013F2444" w:rsidR="00D95336" w:rsidRPr="00221992" w:rsidRDefault="00D95336" w:rsidP="0012257A">
      <w:pPr>
        <w:pStyle w:val="NbrHeading3"/>
        <w:rPr>
          <w:lang w:val="en-GB"/>
        </w:rPr>
      </w:pPr>
      <w:bookmarkStart w:id="43" w:name="_Toc162950867"/>
      <w:r w:rsidRPr="00221992">
        <w:rPr>
          <w:lang w:val="en-GB"/>
        </w:rPr>
        <w:t xml:space="preserve">Key processes in </w:t>
      </w:r>
      <w:r w:rsidR="4276E90A" w:rsidRPr="00221992">
        <w:rPr>
          <w:lang w:val="en-GB"/>
        </w:rPr>
        <w:t xml:space="preserve">the </w:t>
      </w:r>
      <w:r w:rsidRPr="00221992">
        <w:rPr>
          <w:lang w:val="en-GB"/>
        </w:rPr>
        <w:t>evaluati</w:t>
      </w:r>
      <w:r w:rsidR="0421D11B" w:rsidRPr="00221992">
        <w:rPr>
          <w:lang w:val="en-GB"/>
        </w:rPr>
        <w:t>on</w:t>
      </w:r>
      <w:r w:rsidRPr="00221992">
        <w:rPr>
          <w:lang w:val="en-GB"/>
        </w:rPr>
        <w:t xml:space="preserve"> and funding </w:t>
      </w:r>
      <w:r w:rsidR="3BA772B2" w:rsidRPr="00221992">
        <w:rPr>
          <w:lang w:val="en-GB"/>
        </w:rPr>
        <w:t xml:space="preserve">of </w:t>
      </w:r>
      <w:r w:rsidRPr="00221992">
        <w:rPr>
          <w:lang w:val="en-GB"/>
        </w:rPr>
        <w:t>new technologies</w:t>
      </w:r>
      <w:bookmarkEnd w:id="43"/>
    </w:p>
    <w:p w14:paraId="3929D1F7" w14:textId="60553A5B" w:rsidR="00D95336" w:rsidRPr="00221992" w:rsidRDefault="5998E1C6" w:rsidP="00702C58">
      <w:pPr>
        <w:rPr>
          <w:lang w:val="en-GB"/>
        </w:rPr>
      </w:pPr>
      <w:r w:rsidRPr="00221992">
        <w:rPr>
          <w:lang w:val="en-GB"/>
        </w:rPr>
        <w:t>M</w:t>
      </w:r>
      <w:r w:rsidR="00D95336" w:rsidRPr="00221992">
        <w:rPr>
          <w:lang w:val="en-GB"/>
        </w:rPr>
        <w:t xml:space="preserve">ost countries that </w:t>
      </w:r>
      <w:r w:rsidR="5423AF8F" w:rsidRPr="00221992">
        <w:rPr>
          <w:lang w:val="en-GB"/>
        </w:rPr>
        <w:t xml:space="preserve">require </w:t>
      </w:r>
      <w:r w:rsidR="00D95336" w:rsidRPr="00221992">
        <w:rPr>
          <w:lang w:val="en-GB"/>
        </w:rPr>
        <w:t xml:space="preserve">HTA to </w:t>
      </w:r>
      <w:r w:rsidR="4D655098" w:rsidRPr="00221992">
        <w:rPr>
          <w:lang w:val="en-GB"/>
        </w:rPr>
        <w:t xml:space="preserve">list </w:t>
      </w:r>
      <w:r w:rsidR="00D95336" w:rsidRPr="00221992">
        <w:rPr>
          <w:lang w:val="en-GB"/>
        </w:rPr>
        <w:t>new technolog</w:t>
      </w:r>
      <w:r w:rsidR="326552A5" w:rsidRPr="00221992">
        <w:rPr>
          <w:lang w:val="en-GB"/>
        </w:rPr>
        <w:t>ies</w:t>
      </w:r>
      <w:r w:rsidR="00F3079F" w:rsidRPr="00221992">
        <w:rPr>
          <w:lang w:val="en-GB"/>
        </w:rPr>
        <w:t xml:space="preserve"> for </w:t>
      </w:r>
      <w:r w:rsidR="0082778E" w:rsidRPr="00221992">
        <w:rPr>
          <w:lang w:val="en-GB"/>
        </w:rPr>
        <w:t xml:space="preserve">government/insurance </w:t>
      </w:r>
      <w:r w:rsidR="00F3079F" w:rsidRPr="00221992">
        <w:rPr>
          <w:lang w:val="en-GB"/>
        </w:rPr>
        <w:t>reimbursement</w:t>
      </w:r>
      <w:r w:rsidR="326552A5" w:rsidRPr="00221992">
        <w:rPr>
          <w:lang w:val="en-GB"/>
        </w:rPr>
        <w:t xml:space="preserve"> undertake some form of the following five processes</w:t>
      </w:r>
      <w:r w:rsidR="00D95336" w:rsidRPr="00221992">
        <w:rPr>
          <w:lang w:val="en-GB"/>
        </w:rPr>
        <w:t>:</w:t>
      </w:r>
    </w:p>
    <w:p w14:paraId="1468BB36" w14:textId="77777777" w:rsidR="00D95336" w:rsidRPr="00221992" w:rsidRDefault="00D95336" w:rsidP="00957584">
      <w:pPr>
        <w:pStyle w:val="ListParagraph"/>
        <w:numPr>
          <w:ilvl w:val="0"/>
          <w:numId w:val="23"/>
        </w:numPr>
        <w:rPr>
          <w:lang w:val="en-GB"/>
        </w:rPr>
      </w:pPr>
      <w:r w:rsidRPr="00221992">
        <w:rPr>
          <w:u w:val="single"/>
          <w:lang w:val="en-GB"/>
        </w:rPr>
        <w:t>Market authorisation</w:t>
      </w:r>
      <w:r w:rsidRPr="00221992">
        <w:rPr>
          <w:lang w:val="en-GB"/>
        </w:rPr>
        <w:t>: The registration of a new technology by a formal regulatory body, which legally authorises sponsors to sell their product. Examples include the Therapeutic Goods Administration (TGA; Australia), U.S. Food and Drug Administration (FDA), European Medicines Agency (EMA).</w:t>
      </w:r>
    </w:p>
    <w:p w14:paraId="10E2CF3A" w14:textId="6EC23C40" w:rsidR="00D95336" w:rsidRPr="00221992" w:rsidRDefault="00D95336" w:rsidP="00957584">
      <w:pPr>
        <w:pStyle w:val="ListParagraph"/>
        <w:numPr>
          <w:ilvl w:val="0"/>
          <w:numId w:val="23"/>
        </w:numPr>
        <w:rPr>
          <w:lang w:val="en-GB"/>
        </w:rPr>
      </w:pPr>
      <w:r w:rsidRPr="00221992">
        <w:rPr>
          <w:u w:val="single"/>
          <w:lang w:val="en-GB"/>
        </w:rPr>
        <w:t>Product benefit assessment</w:t>
      </w:r>
      <w:r w:rsidRPr="00221992">
        <w:rPr>
          <w:lang w:val="en-GB"/>
        </w:rPr>
        <w:t xml:space="preserve">: The formal evaluation of a new product, which investigates the magnitude of clinical improvement/reduction in toxicity and robustness of available evidence. </w:t>
      </w:r>
      <w:r w:rsidR="00DD210D" w:rsidRPr="00221992">
        <w:rPr>
          <w:lang w:val="en-GB"/>
        </w:rPr>
        <w:t>This m</w:t>
      </w:r>
      <w:r w:rsidRPr="00221992">
        <w:rPr>
          <w:lang w:val="en-GB"/>
        </w:rPr>
        <w:t>ay include an assessment of a product</w:t>
      </w:r>
      <w:r w:rsidR="00551786">
        <w:rPr>
          <w:lang w:val="en-GB"/>
        </w:rPr>
        <w:t>’</w:t>
      </w:r>
      <w:r w:rsidRPr="00221992">
        <w:rPr>
          <w:lang w:val="en-GB"/>
        </w:rPr>
        <w:t>s cost-effectiveness.</w:t>
      </w:r>
    </w:p>
    <w:p w14:paraId="683497EB" w14:textId="2C92BD44" w:rsidR="00D95336" w:rsidRPr="00221992" w:rsidRDefault="00D95336" w:rsidP="00957584">
      <w:pPr>
        <w:pStyle w:val="ListParagraph"/>
        <w:numPr>
          <w:ilvl w:val="0"/>
          <w:numId w:val="23"/>
        </w:numPr>
        <w:rPr>
          <w:lang w:val="en-GB"/>
        </w:rPr>
      </w:pPr>
      <w:r w:rsidRPr="00221992">
        <w:rPr>
          <w:u w:val="single"/>
          <w:lang w:val="en-GB"/>
        </w:rPr>
        <w:t>Decision to fund</w:t>
      </w:r>
      <w:r w:rsidRPr="00221992">
        <w:rPr>
          <w:lang w:val="en-GB"/>
        </w:rPr>
        <w:t>: May be made</w:t>
      </w:r>
      <w:r w:rsidR="008F4D8F" w:rsidRPr="00221992">
        <w:rPr>
          <w:lang w:val="en-GB"/>
        </w:rPr>
        <w:t>, or recommended,</w:t>
      </w:r>
      <w:r w:rsidRPr="00221992">
        <w:rPr>
          <w:lang w:val="en-GB"/>
        </w:rPr>
        <w:t xml:space="preserve"> by the HTA body or a separate process. </w:t>
      </w:r>
    </w:p>
    <w:p w14:paraId="44B506E2" w14:textId="59BA2122" w:rsidR="00D95336" w:rsidRPr="00221992" w:rsidRDefault="00D95336" w:rsidP="00957584">
      <w:pPr>
        <w:pStyle w:val="ListParagraph"/>
        <w:numPr>
          <w:ilvl w:val="0"/>
          <w:numId w:val="23"/>
        </w:numPr>
        <w:rPr>
          <w:lang w:val="en-GB"/>
        </w:rPr>
      </w:pPr>
      <w:r w:rsidRPr="00221992">
        <w:rPr>
          <w:u w:val="single"/>
          <w:lang w:val="en-GB"/>
        </w:rPr>
        <w:t>Price negotiation</w:t>
      </w:r>
      <w:r w:rsidRPr="00221992">
        <w:rPr>
          <w:lang w:val="en-GB"/>
        </w:rPr>
        <w:t>: Prices may be negotiated separately to the decision to fund (</w:t>
      </w:r>
      <w:r w:rsidR="0067270F">
        <w:rPr>
          <w:lang w:val="en-GB"/>
        </w:rPr>
        <w:t xml:space="preserve">e.g., </w:t>
      </w:r>
      <w:r w:rsidRPr="00221992">
        <w:rPr>
          <w:lang w:val="en-GB"/>
        </w:rPr>
        <w:t>the GKV-SV in Germany), or considered within the decision to fund (</w:t>
      </w:r>
      <w:r w:rsidR="0067270F">
        <w:rPr>
          <w:lang w:val="en-GB"/>
        </w:rPr>
        <w:t xml:space="preserve">e.g., </w:t>
      </w:r>
      <w:r w:rsidRPr="00221992">
        <w:rPr>
          <w:lang w:val="en-GB"/>
        </w:rPr>
        <w:t>Central Social Insurance Medical Council (Chuikyo); Japan).</w:t>
      </w:r>
    </w:p>
    <w:p w14:paraId="6FD5F73F" w14:textId="77777777" w:rsidR="00D95336" w:rsidRPr="00221992" w:rsidRDefault="00D95336" w:rsidP="00957584">
      <w:pPr>
        <w:pStyle w:val="ListParagraph"/>
        <w:numPr>
          <w:ilvl w:val="0"/>
          <w:numId w:val="23"/>
        </w:numPr>
        <w:rPr>
          <w:lang w:val="en-GB"/>
        </w:rPr>
      </w:pPr>
      <w:r w:rsidRPr="00221992">
        <w:rPr>
          <w:u w:val="single"/>
          <w:lang w:val="en-GB"/>
        </w:rPr>
        <w:t>Post-market follow-up/price reductions</w:t>
      </w:r>
      <w:r w:rsidRPr="00221992">
        <w:rPr>
          <w:lang w:val="en-GB"/>
        </w:rPr>
        <w:t>: May be a passive process, such as the 5% Anniversary Price Reductions applied to PBS-listed drugs at 5- and 10-years post PBS listing (Australia), or an active HTA process, as conducted by the Center for Outcomes Research and Economic Evaluation for Health (CORE2-Health or C2H) in Japan.</w:t>
      </w:r>
    </w:p>
    <w:p w14:paraId="7E7B2258" w14:textId="1EE495EE" w:rsidR="00D95336" w:rsidRPr="00221992" w:rsidRDefault="00D95336" w:rsidP="00702C58">
      <w:pPr>
        <w:rPr>
          <w:lang w:val="en-GB"/>
        </w:rPr>
      </w:pPr>
      <w:r w:rsidRPr="00221992">
        <w:rPr>
          <w:lang w:val="en-GB"/>
        </w:rPr>
        <w:t xml:space="preserve">There are variations in the </w:t>
      </w:r>
      <w:r w:rsidR="00316B9B" w:rsidRPr="00221992">
        <w:rPr>
          <w:lang w:val="en-GB"/>
        </w:rPr>
        <w:t xml:space="preserve">duration, </w:t>
      </w:r>
      <w:r w:rsidRPr="00221992">
        <w:rPr>
          <w:lang w:val="en-GB"/>
        </w:rPr>
        <w:t>order and combinations of these processes across countries, which will be discussed (apart from Market Authorisation</w:t>
      </w:r>
      <w:r w:rsidR="0049391E" w:rsidRPr="00221992">
        <w:rPr>
          <w:lang w:val="en-GB"/>
        </w:rPr>
        <w:t>,</w:t>
      </w:r>
      <w:r w:rsidRPr="00221992">
        <w:rPr>
          <w:lang w:val="en-GB"/>
        </w:rPr>
        <w:t xml:space="preserve"> which is a necessary</w:t>
      </w:r>
      <w:r w:rsidR="0044696D" w:rsidRPr="00221992">
        <w:rPr>
          <w:lang w:val="en-GB"/>
        </w:rPr>
        <w:t xml:space="preserve"> step</w:t>
      </w:r>
      <w:r w:rsidRPr="00221992">
        <w:rPr>
          <w:lang w:val="en-GB"/>
        </w:rPr>
        <w:t xml:space="preserve"> but </w:t>
      </w:r>
      <w:r w:rsidR="0044696D" w:rsidRPr="00221992">
        <w:rPr>
          <w:lang w:val="en-GB"/>
        </w:rPr>
        <w:t xml:space="preserve">is </w:t>
      </w:r>
      <w:r w:rsidR="008F4D8F" w:rsidRPr="00221992">
        <w:rPr>
          <w:lang w:val="en-GB"/>
        </w:rPr>
        <w:t>considered out of scope</w:t>
      </w:r>
      <w:r w:rsidRPr="00221992">
        <w:rPr>
          <w:lang w:val="en-GB"/>
        </w:rPr>
        <w:t xml:space="preserve"> for this </w:t>
      </w:r>
      <w:r w:rsidR="0044696D" w:rsidRPr="00221992">
        <w:rPr>
          <w:lang w:val="en-GB"/>
        </w:rPr>
        <w:t>paper</w:t>
      </w:r>
      <w:r w:rsidRPr="00221992">
        <w:rPr>
          <w:lang w:val="en-GB"/>
        </w:rPr>
        <w:t>).</w:t>
      </w:r>
    </w:p>
    <w:p w14:paraId="54E190EA" w14:textId="77777777" w:rsidR="00D95336" w:rsidRPr="00221992" w:rsidRDefault="00D95336" w:rsidP="0012257A">
      <w:pPr>
        <w:pStyle w:val="NbrHeading3"/>
        <w:rPr>
          <w:lang w:val="en-GB"/>
        </w:rPr>
      </w:pPr>
      <w:bookmarkStart w:id="44" w:name="_Toc162950868"/>
      <w:r w:rsidRPr="00221992">
        <w:rPr>
          <w:lang w:val="en-GB"/>
        </w:rPr>
        <w:t>Product benefit assessment</w:t>
      </w:r>
      <w:bookmarkEnd w:id="44"/>
    </w:p>
    <w:p w14:paraId="6A87C27E" w14:textId="2E28E270" w:rsidR="00E16CF6" w:rsidRPr="00221992" w:rsidRDefault="00D95336" w:rsidP="007538A5">
      <w:pPr>
        <w:rPr>
          <w:color w:val="000000" w:themeColor="text1"/>
          <w:lang w:val="en-GB"/>
        </w:rPr>
      </w:pPr>
      <w:r w:rsidRPr="00221992">
        <w:rPr>
          <w:lang w:val="en-GB"/>
        </w:rPr>
        <w:t xml:space="preserve">The scope, role and remit of HTA organisations varies between countries. Many countries have more than one institution with varying roles undertaking HTA activities at a national level. HTA bodies with a regional and provider-level scope include Canada, Germany, Italy, Spain and Sweden. In Sweden, there are about 15 regional HTA bodies that assess the clinical and cost-effectiveness of procedures and medical devices; they have an advisory role and help to inform reimbursement decisions at the </w:t>
      </w:r>
      <w:r w:rsidR="007C50AD" w:rsidRPr="00221992">
        <w:rPr>
          <w:lang w:val="en-GB"/>
        </w:rPr>
        <w:t xml:space="preserve">national </w:t>
      </w:r>
      <w:r w:rsidRPr="00221992">
        <w:rPr>
          <w:lang w:val="en-GB"/>
        </w:rPr>
        <w:t>level, however their recommendations are not binding</w:t>
      </w:r>
      <w:r w:rsidR="00F5766F" w:rsidRPr="00221992">
        <w:rPr>
          <w:lang w:val="en-GB"/>
        </w:rPr>
        <w:t xml:space="preserve"> </w:t>
      </w:r>
      <w:r w:rsidRPr="00221992">
        <w:rPr>
          <w:lang w:val="en-GB"/>
        </w:rPr>
        <w:fldChar w:fldCharType="begin">
          <w:fldData xml:space="preserve">PEVuZE5vdGU+PENpdGU+PEF1dGhvcj5BbmdlbGlzPC9BdXRob3I+PFllYXI+MjAxODwvWWVhcj48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</w:fldData>
        </w:fldChar>
      </w:r>
      <w:r w:rsidR="009F7700">
        <w:rPr>
          <w:lang w:val="en-GB"/>
        </w:rPr>
        <w:instrText xml:space="preserve"> ADDIN EN.CITE </w:instrText>
      </w:r>
      <w:r w:rsidR="009F7700">
        <w:rPr>
          <w:lang w:val="en-GB"/>
        </w:rPr>
        <w:fldChar w:fldCharType="begin">
          <w:fldData xml:space="preserve">PEVuZE5vdGU+PENpdGU+PEF1dGhvcj5BbmdlbGlzPC9BdXRob3I+PFllYXI+MjAxODwvWWVhcj48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</w:fldData>
        </w:fldChar>
      </w:r>
      <w:r w:rsidR="009F7700">
        <w:rPr>
          <w:lang w:val="en-GB"/>
        </w:rPr>
        <w:instrText xml:space="preserve"> ADDIN EN.CITE.DATA </w:instrText>
      </w:r>
      <w:r w:rsidR="009F7700">
        <w:rPr>
          <w:lang w:val="en-GB"/>
        </w:rPr>
      </w:r>
      <w:r w:rsidR="009F7700">
        <w:rPr>
          <w:lang w:val="en-GB"/>
        </w:rPr>
        <w:fldChar w:fldCharType="end"/>
      </w:r>
      <w:r w:rsidRPr="00221992">
        <w:rPr>
          <w:lang w:val="en-GB"/>
        </w:rPr>
      </w:r>
      <w:r w:rsidRPr="00221992">
        <w:rPr>
          <w:lang w:val="en-GB"/>
        </w:rPr>
        <w:fldChar w:fldCharType="separate"/>
      </w:r>
      <w:r w:rsidR="005A67DD" w:rsidRPr="00221992">
        <w:rPr>
          <w:noProof/>
          <w:lang w:val="en-GB"/>
        </w:rPr>
        <w:t>[8]</w:t>
      </w:r>
      <w:r w:rsidRPr="00221992">
        <w:rPr>
          <w:lang w:val="en-GB"/>
        </w:rPr>
        <w:fldChar w:fldCharType="end"/>
      </w:r>
      <w:r w:rsidR="00F5766F" w:rsidRPr="00221992">
        <w:rPr>
          <w:lang w:val="en-GB"/>
        </w:rPr>
        <w:t>.</w:t>
      </w:r>
      <w:r w:rsidRPr="00221992">
        <w:rPr>
          <w:lang w:val="en-GB"/>
        </w:rPr>
        <w:t xml:space="preserve"> There is also wide variation in the technologies that undergo HTA; the Fin</w:t>
      </w:r>
      <w:r w:rsidR="004577A1">
        <w:rPr>
          <w:lang w:val="en-GB"/>
        </w:rPr>
        <w:t>n</w:t>
      </w:r>
      <w:r w:rsidRPr="00221992">
        <w:rPr>
          <w:lang w:val="en-GB"/>
        </w:rPr>
        <w:t xml:space="preserve">ish Medicines Agency (FIMEA) performs HTA only for in-patient pharmaceuticals, whilst the Dental and Pharmaceutical Benefits Agency (Tandvårds- och läkemedelsförmånsverket, TLV) in Sweden assesses mainly out-patient pharmaceuticals, </w:t>
      </w:r>
      <w:r w:rsidR="001E26A5">
        <w:rPr>
          <w:lang w:val="en-GB"/>
        </w:rPr>
        <w:t>with</w:t>
      </w:r>
      <w:r w:rsidRPr="00221992">
        <w:rPr>
          <w:lang w:val="en-GB"/>
        </w:rPr>
        <w:t xml:space="preserve"> in-patient pharmaceuticals assessed at the county level</w:t>
      </w:r>
      <w:r w:rsidR="00F5766F" w:rsidRPr="00221992">
        <w:rPr>
          <w:lang w:val="en-GB"/>
        </w:rPr>
        <w:t xml:space="preserve"> </w:t>
      </w:r>
      <w:r w:rsidRPr="00221992">
        <w:rPr>
          <w:lang w:val="en-GB"/>
        </w:rPr>
        <w:fldChar w:fldCharType="begin"/>
      </w:r>
      <w:r w:rsidR="005A67DD" w:rsidRPr="00221992">
        <w:rPr>
          <w:lang w:val="en-GB"/>
        </w:rPr>
        <w:instrText xml:space="preserve"> ADDIN EN.CITE &lt;EndNote&gt;&lt;Cite&gt;&lt;Author&gt;Fontrier&lt;/Author&gt;&lt;Year&gt;2022&lt;/Year&gt;&lt;RecNum&gt;157&lt;/RecNum&gt;&lt;DisplayText&gt;[7]&lt;/DisplayText&gt;&lt;record&gt;&lt;rec-number&gt;157&lt;/rec-number&gt;&lt;foreign-keys&gt;&lt;key app="EN" db-id="wzwwsfxe4peesxef95cxvrwjxts9rreasarf" timestamp="1692654670"&gt;157&lt;/key&gt;&lt;/foreign-keys&gt;&lt;ref-type name="Journal Article"&gt;17&lt;/ref-type&gt;&lt;contributors&gt;&lt;authors&gt;&lt;author&gt;Fontrier, A. M.&lt;/author&gt;&lt;author&gt;Visintin, E.&lt;/author&gt;&lt;author&gt;Kanavos, P.&lt;/author&gt;&lt;/authors&gt;&lt;/contributors&gt;&lt;auth-address&gt;Department of Health Policy, LSE Health-Medical Technology Research Group (MTRG), Cowdray House, London School of Economics and Political Science, Houghton Street, London, WC2A 2AE, UK. A.Fontrier@lse.ac.uk.&amp;#xD;Department of Health Policy, LSE Health-Medical Technology Research Group (MTRG), Cowdray House, London School of Economics and Political Science, Houghton Street, London, WC2A 2AE, UK.&lt;/auth-address&gt;&lt;titles&gt;&lt;title&gt;Similarities and Differences in Health Technology Assessment Systems and Implications for Coverage Decisions: Evidence from 32 Countries&lt;/title&gt;&lt;secondary-title&gt;Pharmacoecon Open&lt;/secondary-title&gt;&lt;/titles&gt;&lt;periodical&gt;&lt;full-title&gt;Pharmacoecon Open&lt;/full-title&gt;&lt;/periodical&gt;&lt;pages&gt;315-328&lt;/pages&gt;&lt;volume&gt;6&lt;/volume&gt;&lt;number&gt;3&lt;/number&gt;&lt;edition&gt;20211129&lt;/edition&gt;&lt;dates&gt;&lt;year&gt;2022&lt;/year&gt;&lt;pub-dates&gt;&lt;date&gt;May&lt;/date&gt;&lt;/pub-dates&gt;&lt;/dates&gt;&lt;isbn&gt;2509-4262 (Print)&amp;#xD;2509-4262&lt;/isbn&gt;&lt;accession-num&gt;34845671&lt;/accession-num&gt;&lt;urls&gt;&lt;/urls&gt;&lt;custom1&gt;Anna-Maria Fontrier, Erica Visintin and Panos Kanavos declare that they have no conflicts of interest.&lt;/custom1&gt;&lt;custom2&gt;PMC9043057&lt;/custom2&gt;&lt;electronic-resource-num&gt;10.1007/s41669-021-00311-5&lt;/electronic-resource-num&gt;&lt;remote-database-provider&gt;NLM&lt;/remote-database-provider&gt;&lt;language&gt;eng&lt;/language&gt;&lt;/record&gt;&lt;/Cite&gt;&lt;/EndNote&gt;</w:instrText>
      </w:r>
      <w:r w:rsidRPr="00221992">
        <w:rPr>
          <w:lang w:val="en-GB"/>
        </w:rPr>
        <w:fldChar w:fldCharType="separate"/>
      </w:r>
      <w:r w:rsidR="005A67DD" w:rsidRPr="00221992">
        <w:rPr>
          <w:noProof/>
          <w:lang w:val="en-GB"/>
        </w:rPr>
        <w:t>[7]</w:t>
      </w:r>
      <w:r w:rsidRPr="00221992">
        <w:rPr>
          <w:lang w:val="en-GB"/>
        </w:rPr>
        <w:fldChar w:fldCharType="end"/>
      </w:r>
      <w:r w:rsidR="00F5766F" w:rsidRPr="00221992">
        <w:rPr>
          <w:lang w:val="en-GB"/>
        </w:rPr>
        <w:t>.</w:t>
      </w:r>
      <w:r w:rsidRPr="00221992">
        <w:rPr>
          <w:lang w:val="en-GB"/>
        </w:rPr>
        <w:t xml:space="preserve"> A summary of the brea</w:t>
      </w:r>
      <w:r w:rsidR="007E0457" w:rsidRPr="00221992">
        <w:rPr>
          <w:lang w:val="en-GB"/>
        </w:rPr>
        <w:t>d</w:t>
      </w:r>
      <w:r w:rsidRPr="00221992">
        <w:rPr>
          <w:lang w:val="en-GB"/>
        </w:rPr>
        <w:t>th of HTA bodies</w:t>
      </w:r>
      <w:r w:rsidR="00551786">
        <w:rPr>
          <w:lang w:val="en-GB"/>
        </w:rPr>
        <w:t>’</w:t>
      </w:r>
      <w:r w:rsidRPr="00221992">
        <w:rPr>
          <w:lang w:val="en-GB"/>
        </w:rPr>
        <w:t xml:space="preserve"> positioning and roles throughout Europe, the UK, Canada and Australia is presented </w:t>
      </w:r>
      <w:r w:rsidRPr="00221992">
        <w:rPr>
          <w:color w:val="000000" w:themeColor="text1"/>
          <w:lang w:val="en-GB"/>
        </w:rPr>
        <w:t xml:space="preserve">Appendix </w:t>
      </w:r>
      <w:r w:rsidR="00FC2972" w:rsidRPr="00221992">
        <w:rPr>
          <w:color w:val="000000" w:themeColor="text1"/>
          <w:lang w:val="en-GB"/>
        </w:rPr>
        <w:t>3</w:t>
      </w:r>
      <w:r w:rsidRPr="00221992">
        <w:rPr>
          <w:color w:val="000000" w:themeColor="text1"/>
          <w:lang w:val="en-GB"/>
        </w:rPr>
        <w:t xml:space="preserve">, </w:t>
      </w:r>
      <w:r w:rsidRPr="00221992">
        <w:rPr>
          <w:color w:val="000000" w:themeColor="text1"/>
          <w:lang w:val="en-GB"/>
        </w:rPr>
        <w:fldChar w:fldCharType="begin"/>
      </w:r>
      <w:r w:rsidRPr="00FC2972">
        <w:rPr>
          <w:color w:val="000000" w:themeColor="text1"/>
        </w:rPr>
        <w:instrText xml:space="preserve"> REF _Ref142837285 \h  \* MERGEFORMAT </w:instrText>
      </w:r>
      <w:r w:rsidRPr="00221992">
        <w:rPr>
          <w:color w:val="000000" w:themeColor="text1"/>
          <w:lang w:val="en-GB"/>
        </w:rPr>
      </w:r>
      <w:r w:rsidRPr="00221992">
        <w:rPr>
          <w:color w:val="000000" w:themeColor="text1"/>
          <w:lang w:val="en-GB"/>
        </w:rPr>
        <w:fldChar w:fldCharType="separate"/>
      </w:r>
      <w:r w:rsidR="000E11E7" w:rsidRPr="000E11E7">
        <w:rPr>
          <w:color w:val="000000" w:themeColor="text1"/>
          <w:lang w:val="en-GB"/>
        </w:rPr>
        <w:t xml:space="preserve">Figure </w:t>
      </w:r>
      <w:r w:rsidR="000E11E7">
        <w:rPr>
          <w:noProof/>
          <w:sz w:val="20"/>
          <w:szCs w:val="20"/>
        </w:rPr>
        <w:t>40</w:t>
      </w:r>
      <w:r w:rsidRPr="00221992">
        <w:rPr>
          <w:color w:val="000000" w:themeColor="text1"/>
          <w:lang w:val="en-GB"/>
        </w:rPr>
        <w:fldChar w:fldCharType="end"/>
      </w:r>
      <w:r w:rsidR="007538A5" w:rsidRPr="00221992">
        <w:rPr>
          <w:color w:val="000000" w:themeColor="text1"/>
          <w:lang w:val="en-GB"/>
        </w:rPr>
        <w:t>.</w:t>
      </w:r>
    </w:p>
    <w:p w14:paraId="4E32152A" w14:textId="68CB86B2" w:rsidR="00E16CF6" w:rsidRPr="00221992" w:rsidRDefault="00D95336" w:rsidP="007538A5">
      <w:pPr>
        <w:rPr>
          <w:lang w:val="en-GB"/>
        </w:rPr>
      </w:pPr>
      <w:r w:rsidRPr="00221992">
        <w:rPr>
          <w:lang w:val="en-GB"/>
        </w:rPr>
        <w:t xml:space="preserve">The HTA model also varies based on </w:t>
      </w:r>
      <w:r w:rsidR="0044696D" w:rsidRPr="00221992">
        <w:rPr>
          <w:lang w:val="en-GB"/>
        </w:rPr>
        <w:t xml:space="preserve">the </w:t>
      </w:r>
      <w:r w:rsidR="006526C5" w:rsidRPr="00221992">
        <w:rPr>
          <w:lang w:val="en-GB"/>
        </w:rPr>
        <w:t xml:space="preserve">societal </w:t>
      </w:r>
      <w:r w:rsidR="009A2DB5" w:rsidRPr="00221992">
        <w:rPr>
          <w:lang w:val="en-GB"/>
        </w:rPr>
        <w:t xml:space="preserve">values </w:t>
      </w:r>
      <w:r w:rsidR="00A11C66" w:rsidRPr="00221992">
        <w:rPr>
          <w:lang w:val="en-GB"/>
        </w:rPr>
        <w:t xml:space="preserve">that </w:t>
      </w:r>
      <w:r w:rsidR="009A2DB5" w:rsidRPr="00221992">
        <w:rPr>
          <w:lang w:val="en-GB"/>
        </w:rPr>
        <w:t>underl</w:t>
      </w:r>
      <w:r w:rsidR="00A11C66" w:rsidRPr="00221992">
        <w:rPr>
          <w:lang w:val="en-GB"/>
        </w:rPr>
        <w:t>ie</w:t>
      </w:r>
      <w:r w:rsidR="009A2DB5" w:rsidRPr="00221992">
        <w:rPr>
          <w:lang w:val="en-GB"/>
        </w:rPr>
        <w:t xml:space="preserve"> decision-making</w:t>
      </w:r>
      <w:r w:rsidRPr="00221992">
        <w:rPr>
          <w:lang w:val="en-GB"/>
        </w:rPr>
        <w:t>; Austria and Belgium</w:t>
      </w:r>
      <w:r w:rsidR="00E65BEC">
        <w:rPr>
          <w:lang w:val="en-GB"/>
        </w:rPr>
        <w:t>, for example,</w:t>
      </w:r>
      <w:r w:rsidRPr="00221992">
        <w:rPr>
          <w:lang w:val="en-GB"/>
        </w:rPr>
        <w:t xml:space="preserve"> use </w:t>
      </w:r>
      <w:r w:rsidR="00190699">
        <w:rPr>
          <w:lang w:val="en-GB"/>
        </w:rPr>
        <w:t>the</w:t>
      </w:r>
      <w:r w:rsidRPr="00221992">
        <w:rPr>
          <w:lang w:val="en-GB"/>
        </w:rPr>
        <w:t xml:space="preserve"> clinical and cost effectiveness model as an additional criterion during the decision-making process for reimbursement. In Sweden, value-based assessments by TLV always take into consideration explicitly the human dignity and solidarity principles to derive funding decisions</w:t>
      </w:r>
      <w:r w:rsidR="00F5766F" w:rsidRPr="00221992">
        <w:rPr>
          <w:lang w:val="en-GB"/>
        </w:rPr>
        <w:t xml:space="preserve"> </w:t>
      </w:r>
      <w:r w:rsidRPr="00221992">
        <w:rPr>
          <w:lang w:val="en-GB"/>
        </w:rPr>
        <w:fldChar w:fldCharType="begin">
          <w:fldData xml:space="preserve">PEVuZE5vdGU+PENpdGU+PEF1dGhvcj5BbmdlbGlzPC9BdXRob3I+PFllYXI+MjAxODwvWWVhcj48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</w:fldData>
        </w:fldChar>
      </w:r>
      <w:r w:rsidR="009F7700">
        <w:rPr>
          <w:lang w:val="en-GB"/>
        </w:rPr>
        <w:instrText xml:space="preserve"> ADDIN EN.CITE </w:instrText>
      </w:r>
      <w:r w:rsidR="009F7700">
        <w:rPr>
          <w:lang w:val="en-GB"/>
        </w:rPr>
        <w:fldChar w:fldCharType="begin">
          <w:fldData xml:space="preserve">PEVuZE5vdGU+PENpdGU+PEF1dGhvcj5BbmdlbGlzPC9BdXRob3I+PFllYXI+MjAxODwvWWVhcj48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</w:fldData>
        </w:fldChar>
      </w:r>
      <w:r w:rsidR="009F7700">
        <w:rPr>
          <w:lang w:val="en-GB"/>
        </w:rPr>
        <w:instrText xml:space="preserve"> ADDIN EN.CITE.DATA </w:instrText>
      </w:r>
      <w:r w:rsidR="009F7700">
        <w:rPr>
          <w:lang w:val="en-GB"/>
        </w:rPr>
      </w:r>
      <w:r w:rsidR="009F7700">
        <w:rPr>
          <w:lang w:val="en-GB"/>
        </w:rPr>
        <w:fldChar w:fldCharType="end"/>
      </w:r>
      <w:r w:rsidRPr="00221992">
        <w:rPr>
          <w:lang w:val="en-GB"/>
        </w:rPr>
      </w:r>
      <w:r w:rsidRPr="00221992">
        <w:rPr>
          <w:lang w:val="en-GB"/>
        </w:rPr>
        <w:fldChar w:fldCharType="separate"/>
      </w:r>
      <w:r w:rsidR="005A67DD" w:rsidRPr="00221992">
        <w:rPr>
          <w:noProof/>
          <w:lang w:val="en-GB"/>
        </w:rPr>
        <w:t>[8]</w:t>
      </w:r>
      <w:r w:rsidRPr="00221992">
        <w:rPr>
          <w:lang w:val="en-GB"/>
        </w:rPr>
        <w:fldChar w:fldCharType="end"/>
      </w:r>
      <w:r w:rsidR="00F5766F" w:rsidRPr="00221992">
        <w:rPr>
          <w:lang w:val="en-GB"/>
        </w:rPr>
        <w:t>.</w:t>
      </w:r>
      <w:r w:rsidRPr="00221992">
        <w:rPr>
          <w:lang w:val="en-GB"/>
        </w:rPr>
        <w:t xml:space="preserve"> In France, the award of total therapeutic benefit (SMR) and improvement in therapeutic benefit (ASMR) rests on criteria beyond efficacy, such as disease severity</w:t>
      </w:r>
      <w:r w:rsidR="00F5766F" w:rsidRPr="00221992">
        <w:rPr>
          <w:lang w:val="en-GB"/>
        </w:rPr>
        <w:t xml:space="preserve"> </w:t>
      </w:r>
      <w:r w:rsidRPr="00221992">
        <w:rPr>
          <w:lang w:val="en-GB"/>
        </w:rPr>
        <w:fldChar w:fldCharType="begin"/>
      </w:r>
      <w:r w:rsidR="005A67DD" w:rsidRPr="00221992">
        <w:rPr>
          <w:lang w:val="en-GB"/>
        </w:rPr>
        <w:instrText xml:space="preserve"> ADDIN EN.CITE &lt;EndNote&gt;&lt;Cite&gt;&lt;Author&gt;Fontrier&lt;/Author&gt;&lt;Year&gt;2022&lt;/Year&gt;&lt;RecNum&gt;157&lt;/RecNum&gt;&lt;DisplayText&gt;[7]&lt;/DisplayText&gt;&lt;record&gt;&lt;rec-number&gt;157&lt;/rec-number&gt;&lt;foreign-keys&gt;&lt;key app="EN" db-id="wzwwsfxe4peesxef95cxvrwjxts9rreasarf" timestamp="1692654670"&gt;157&lt;/key&gt;&lt;/foreign-keys&gt;&lt;ref-type name="Journal Article"&gt;17&lt;/ref-type&gt;&lt;contributors&gt;&lt;authors&gt;&lt;author&gt;Fontrier, A. M.&lt;/author&gt;&lt;author&gt;Visintin, E.&lt;/author&gt;&lt;author&gt;Kanavos, P.&lt;/author&gt;&lt;/authors&gt;&lt;/contributors&gt;&lt;auth-address&gt;Department of Health Policy, LSE Health-Medical Technology Research Group (MTRG), Cowdray House, London School of Economics and Political Science, Houghton Street, London, WC2A 2AE, UK. A.Fontrier@lse.ac.uk.&amp;#xD;Department of Health Policy, LSE Health-Medical Technology Research Group (MTRG), Cowdray House, London School of Economics and Political Science, Houghton Street, London, WC2A 2AE, UK.&lt;/auth-address&gt;&lt;titles&gt;&lt;title&gt;Similarities and Differences in Health Technology Assessment Systems and Implications for Coverage Decisions: Evidence from 32 Countries&lt;/title&gt;&lt;secondary-title&gt;Pharmacoecon Open&lt;/secondary-title&gt;&lt;/titles&gt;&lt;periodical&gt;&lt;full-title&gt;Pharmacoecon Open&lt;/full-title&gt;&lt;/periodical&gt;&lt;pages&gt;315-328&lt;/pages&gt;&lt;volume&gt;6&lt;/volume&gt;&lt;number&gt;3&lt;/number&gt;&lt;edition&gt;20211129&lt;/edition&gt;&lt;dates&gt;&lt;year&gt;2022&lt;/year&gt;&lt;pub-dates&gt;&lt;date&gt;May&lt;/date&gt;&lt;/pub-dates&gt;&lt;/dates&gt;&lt;isbn&gt;2509-4262 (Print)&amp;#xD;2509-4262&lt;/isbn&gt;&lt;accession-num&gt;34845671&lt;/accession-num&gt;&lt;urls&gt;&lt;/urls&gt;&lt;custom1&gt;Anna-Maria Fontrier, Erica Visintin and Panos Kanavos declare that they have no conflicts of interest.&lt;/custom1&gt;&lt;custom2&gt;PMC9043057&lt;/custom2&gt;&lt;electronic-resource-num&gt;10.1007/s41669-021-00311-5&lt;/electronic-resource-num&gt;&lt;remote-database-provider&gt;NLM&lt;/remote-database-provider&gt;&lt;language&gt;eng&lt;/language&gt;&lt;/record&gt;&lt;/Cite&gt;&lt;/EndNote&gt;</w:instrText>
      </w:r>
      <w:r w:rsidRPr="00221992">
        <w:rPr>
          <w:lang w:val="en-GB"/>
        </w:rPr>
        <w:fldChar w:fldCharType="separate"/>
      </w:r>
      <w:r w:rsidR="005A67DD" w:rsidRPr="00221992">
        <w:rPr>
          <w:noProof/>
          <w:lang w:val="en-GB"/>
        </w:rPr>
        <w:t>[7]</w:t>
      </w:r>
      <w:r w:rsidRPr="00221992">
        <w:rPr>
          <w:lang w:val="en-GB"/>
        </w:rPr>
        <w:fldChar w:fldCharType="end"/>
      </w:r>
      <w:r w:rsidR="00F5766F" w:rsidRPr="00221992">
        <w:rPr>
          <w:lang w:val="en-GB"/>
        </w:rPr>
        <w:t>.</w:t>
      </w:r>
    </w:p>
    <w:p w14:paraId="5DA50327" w14:textId="781F716C" w:rsidR="0020281F" w:rsidRPr="00221992" w:rsidRDefault="00D95336" w:rsidP="007538A5">
      <w:pPr>
        <w:rPr>
          <w:lang w:val="en-GB"/>
        </w:rPr>
      </w:pPr>
      <w:r w:rsidRPr="00221992">
        <w:rPr>
          <w:lang w:val="en-GB"/>
        </w:rPr>
        <w:t xml:space="preserve">HTA bodies may perform assessments or appraisals of sponsor submissions (see </w:t>
      </w:r>
      <w:r w:rsidRPr="00221992">
        <w:rPr>
          <w:color w:val="000000" w:themeColor="text1"/>
          <w:lang w:val="en-GB"/>
        </w:rPr>
        <w:t xml:space="preserve">Appendix </w:t>
      </w:r>
      <w:r w:rsidR="00FC2972" w:rsidRPr="00221992">
        <w:rPr>
          <w:color w:val="000000" w:themeColor="text1"/>
          <w:lang w:val="en-GB"/>
        </w:rPr>
        <w:t>3</w:t>
      </w:r>
      <w:r w:rsidRPr="00221992">
        <w:rPr>
          <w:color w:val="000000" w:themeColor="text1"/>
          <w:lang w:val="en-GB"/>
        </w:rPr>
        <w:t xml:space="preserve">, </w:t>
      </w:r>
      <w:r w:rsidRPr="00221992">
        <w:rPr>
          <w:color w:val="000000" w:themeColor="text1"/>
          <w:lang w:val="en-GB"/>
        </w:rPr>
        <w:fldChar w:fldCharType="begin"/>
      </w:r>
      <w:r w:rsidRPr="00FC2972">
        <w:rPr>
          <w:color w:val="000000" w:themeColor="text1"/>
        </w:rPr>
        <w:instrText xml:space="preserve"> REF _Ref142993138 \h  \* MERGEFORMAT </w:instrText>
      </w:r>
      <w:r w:rsidRPr="00221992">
        <w:rPr>
          <w:color w:val="000000" w:themeColor="text1"/>
          <w:lang w:val="en-GB"/>
        </w:rPr>
      </w:r>
      <w:r w:rsidRPr="00221992">
        <w:rPr>
          <w:color w:val="000000" w:themeColor="text1"/>
          <w:lang w:val="en-GB"/>
        </w:rPr>
        <w:fldChar w:fldCharType="separate"/>
      </w:r>
      <w:r w:rsidR="000E11E7" w:rsidRPr="000E11E7">
        <w:rPr>
          <w:color w:val="000000" w:themeColor="text1"/>
          <w:lang w:val="en-GB"/>
        </w:rPr>
        <w:t xml:space="preserve">Figure </w:t>
      </w:r>
      <w:r w:rsidR="000E11E7">
        <w:rPr>
          <w:noProof/>
        </w:rPr>
        <w:t>38</w:t>
      </w:r>
      <w:r w:rsidRPr="00221992">
        <w:rPr>
          <w:color w:val="000000" w:themeColor="text1"/>
          <w:lang w:val="en-GB"/>
        </w:rPr>
        <w:fldChar w:fldCharType="end"/>
      </w:r>
      <w:r w:rsidR="008610D5" w:rsidRPr="00221992">
        <w:rPr>
          <w:color w:val="000000" w:themeColor="text1"/>
          <w:lang w:val="en-GB"/>
        </w:rPr>
        <w:t xml:space="preserve"> for </w:t>
      </w:r>
      <w:r w:rsidR="00A21B0D" w:rsidRPr="00221992">
        <w:rPr>
          <w:color w:val="000000" w:themeColor="text1"/>
          <w:lang w:val="en-GB"/>
        </w:rPr>
        <w:t>elaboration</w:t>
      </w:r>
      <w:r w:rsidRPr="00221992">
        <w:rPr>
          <w:lang w:val="en-GB"/>
        </w:rPr>
        <w:t xml:space="preserve">). Stakeholder involvement is utilised </w:t>
      </w:r>
      <w:r w:rsidR="00CC43B8">
        <w:rPr>
          <w:lang w:val="en-GB"/>
        </w:rPr>
        <w:t>by</w:t>
      </w:r>
      <w:r w:rsidRPr="00221992">
        <w:rPr>
          <w:lang w:val="en-GB"/>
        </w:rPr>
        <w:t xml:space="preserve"> most HTA bodies, except bodies with a coordination role </w:t>
      </w:r>
      <w:r w:rsidR="00E85076">
        <w:rPr>
          <w:lang w:val="en-GB"/>
        </w:rPr>
        <w:t xml:space="preserve">(e.g., </w:t>
      </w:r>
      <w:r w:rsidRPr="00221992">
        <w:rPr>
          <w:lang w:val="en-GB"/>
        </w:rPr>
        <w:t xml:space="preserve">Denmark, Finland and </w:t>
      </w:r>
      <w:r w:rsidR="00E93AD5" w:rsidRPr="00221992">
        <w:rPr>
          <w:lang w:val="en-GB"/>
        </w:rPr>
        <w:t>England/Wales</w:t>
      </w:r>
      <w:r w:rsidR="00CC43B8">
        <w:rPr>
          <w:lang w:val="en-GB"/>
        </w:rPr>
        <w:t>)</w:t>
      </w:r>
      <w:r w:rsidRPr="00221992">
        <w:rPr>
          <w:lang w:val="en-GB"/>
        </w:rPr>
        <w:t xml:space="preserve">, </w:t>
      </w:r>
      <w:r w:rsidR="00CC43B8">
        <w:rPr>
          <w:lang w:val="en-GB"/>
        </w:rPr>
        <w:t>where</w:t>
      </w:r>
      <w:r w:rsidRPr="00221992">
        <w:rPr>
          <w:lang w:val="en-GB"/>
        </w:rPr>
        <w:t xml:space="preserve"> assessments are performed by external institutions. </w:t>
      </w:r>
    </w:p>
    <w:p w14:paraId="645C58D8" w14:textId="324C591E" w:rsidR="0020281F" w:rsidRPr="00221992" w:rsidRDefault="00D95336" w:rsidP="00702C58">
      <w:pPr>
        <w:rPr>
          <w:lang w:val="en-GB"/>
        </w:rPr>
      </w:pPr>
      <w:r w:rsidRPr="00221992">
        <w:rPr>
          <w:lang w:val="en-GB"/>
        </w:rPr>
        <w:t xml:space="preserve">A summary of the different HTA systems with country examples is provided in </w:t>
      </w:r>
      <w:r w:rsidR="00DE6F77" w:rsidRPr="00221992">
        <w:rPr>
          <w:lang w:val="en-GB"/>
        </w:rPr>
        <w:fldChar w:fldCharType="begin"/>
      </w:r>
      <w:r w:rsidR="00DE6F77">
        <w:instrText xml:space="preserve"> REF _Ref143589018 \h </w:instrText>
      </w:r>
      <w:r w:rsidR="00DE6F77" w:rsidRPr="00221992">
        <w:rPr>
          <w:lang w:val="en-GB"/>
        </w:rPr>
      </w:r>
      <w:r w:rsidR="00DE6F77" w:rsidRPr="00221992">
        <w:rPr>
          <w:lang w:val="en-GB"/>
        </w:rPr>
        <w:fldChar w:fldCharType="separate"/>
      </w:r>
      <w:r w:rsidR="000E11E7" w:rsidRPr="00221992">
        <w:rPr>
          <w:lang w:val="en-GB"/>
        </w:rPr>
        <w:t xml:space="preserve">Table </w:t>
      </w:r>
      <w:r w:rsidR="000E11E7">
        <w:rPr>
          <w:noProof/>
        </w:rPr>
        <w:t>5</w:t>
      </w:r>
      <w:r w:rsidR="00DE6F77" w:rsidRPr="00221992">
        <w:rPr>
          <w:lang w:val="en-GB"/>
        </w:rPr>
        <w:fldChar w:fldCharType="end"/>
      </w:r>
      <w:r w:rsidRPr="00221992">
        <w:rPr>
          <w:lang w:val="en-GB"/>
        </w:rPr>
        <w:t>.</w:t>
      </w:r>
    </w:p>
    <w:p w14:paraId="57BD7726" w14:textId="564CEC02" w:rsidR="00DE6F77" w:rsidRPr="00221992" w:rsidRDefault="00DE6F77" w:rsidP="001721AB">
      <w:pPr>
        <w:pStyle w:val="Caption"/>
        <w:rPr>
          <w:lang w:val="en-GB"/>
        </w:rPr>
      </w:pPr>
      <w:bookmarkStart w:id="45" w:name="_Ref143589018"/>
      <w:bookmarkStart w:id="46" w:name="_Toc162950952"/>
      <w:r w:rsidRPr="00221992">
        <w:rPr>
          <w:lang w:val="en-GB"/>
        </w:rPr>
        <w:t xml:space="preserve">Table </w:t>
      </w:r>
      <w:r w:rsidRPr="00221992">
        <w:rPr>
          <w:lang w:val="en-GB"/>
        </w:rPr>
        <w:fldChar w:fldCharType="begin"/>
      </w:r>
      <w:r>
        <w:instrText>SEQ Table \* ARABIC</w:instrText>
      </w:r>
      <w:r w:rsidRPr="00221992">
        <w:rPr>
          <w:lang w:val="en-GB"/>
        </w:rPr>
        <w:fldChar w:fldCharType="separate"/>
      </w:r>
      <w:r w:rsidR="000E11E7">
        <w:rPr>
          <w:noProof/>
        </w:rPr>
        <w:t>5</w:t>
      </w:r>
      <w:r w:rsidRPr="00221992">
        <w:rPr>
          <w:lang w:val="en-GB"/>
        </w:rPr>
        <w:fldChar w:fldCharType="end"/>
      </w:r>
      <w:bookmarkEnd w:id="45"/>
      <w:r w:rsidRPr="00221992">
        <w:rPr>
          <w:lang w:val="en-GB"/>
        </w:rPr>
        <w:t>. HTA system characteristics by country</w:t>
      </w:r>
      <w:bookmarkEnd w:id="46"/>
    </w:p>
    <w:tbl>
      <w:tblPr>
        <w:tblStyle w:val="LinedBlueTable"/>
        <w:tblW w:w="0" w:type="auto"/>
        <w:tblLook w:val="04A0" w:firstRow="1" w:lastRow="0" w:firstColumn="1" w:lastColumn="0" w:noHBand="0" w:noVBand="1"/>
        <w:tblCaption w:val="HTA system characteristics by country"/>
      </w:tblPr>
      <w:tblGrid>
        <w:gridCol w:w="1815"/>
        <w:gridCol w:w="3583"/>
        <w:gridCol w:w="3106"/>
      </w:tblGrid>
      <w:tr w:rsidR="00D95336" w:rsidRPr="00221992" w14:paraId="43C2AAB7" w14:textId="77777777" w:rsidTr="00990A0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3" w:type="dxa"/>
            <w:shd w:val="clear" w:color="auto" w:fill="000000" w:themeFill="text1"/>
          </w:tcPr>
          <w:p w14:paraId="241D8CB1" w14:textId="77777777" w:rsidR="00D95336" w:rsidRPr="00221992" w:rsidRDefault="00D95336" w:rsidP="005C4613">
            <w:pPr>
              <w:pStyle w:val="Tablefonts"/>
              <w:keepNext/>
              <w:keepLines/>
              <w:spacing w:line="240" w:lineRule="auto"/>
              <w:rPr>
                <w:rFonts w:ascii="Calibri" w:hAnsi="Calibri" w:cs="Calibri"/>
                <w:b/>
                <w:lang w:val="en-GB"/>
              </w:rPr>
            </w:pPr>
            <w:r w:rsidRPr="00221992">
              <w:rPr>
                <w:rFonts w:ascii="Calibri" w:hAnsi="Calibri" w:cs="Calibri"/>
                <w:b/>
                <w:lang w:val="en-GB"/>
              </w:rPr>
              <w:t>Variable</w:t>
            </w:r>
          </w:p>
        </w:tc>
        <w:tc>
          <w:tcPr>
            <w:tcW w:w="3837" w:type="dxa"/>
            <w:shd w:val="clear" w:color="auto" w:fill="1E8BCD"/>
          </w:tcPr>
          <w:p w14:paraId="1CAB176D" w14:textId="77777777" w:rsidR="00D95336" w:rsidRPr="00221992" w:rsidRDefault="00D95336" w:rsidP="002573C9">
            <w:pPr>
              <w:pStyle w:val="Tablefonts"/>
              <w:keepLines/>
              <w:spacing w:line="240" w:lineRule="auto"/>
              <w:cnfStyle w:val="100000000000" w:firstRow="1" w:lastRow="0" w:firstColumn="0" w:lastColumn="0" w:oddVBand="0" w:evenVBand="0" w:oddHBand="0" w:evenHBand="0" w:firstRowFirstColumn="0" w:firstRowLastColumn="0" w:lastRowFirstColumn="0" w:lastRowLastColumn="0"/>
              <w:rPr>
                <w:rFonts w:ascii="Calibri" w:hAnsi="Calibri" w:cs="Calibri"/>
                <w:b/>
                <w:lang w:val="en-GB"/>
              </w:rPr>
            </w:pPr>
            <w:r w:rsidRPr="00221992">
              <w:rPr>
                <w:rFonts w:ascii="Calibri" w:hAnsi="Calibri" w:cs="Calibri"/>
                <w:b/>
                <w:lang w:val="en-GB"/>
              </w:rPr>
              <w:t>Summary of evidence</w:t>
            </w:r>
          </w:p>
        </w:tc>
        <w:tc>
          <w:tcPr>
            <w:tcW w:w="3346" w:type="dxa"/>
            <w:shd w:val="clear" w:color="auto" w:fill="1E8BCD"/>
          </w:tcPr>
          <w:p w14:paraId="6AAE821E" w14:textId="77777777" w:rsidR="00D95336" w:rsidRPr="00221992" w:rsidRDefault="00D95336" w:rsidP="002573C9">
            <w:pPr>
              <w:pStyle w:val="Tablefonts"/>
              <w:keepLines/>
              <w:spacing w:line="240" w:lineRule="auto"/>
              <w:cnfStyle w:val="100000000000" w:firstRow="1" w:lastRow="0" w:firstColumn="0" w:lastColumn="0" w:oddVBand="0" w:evenVBand="0" w:oddHBand="0" w:evenHBand="0" w:firstRowFirstColumn="0" w:firstRowLastColumn="0" w:lastRowFirstColumn="0" w:lastRowLastColumn="0"/>
              <w:rPr>
                <w:rFonts w:ascii="Calibri" w:hAnsi="Calibri" w:cs="Calibri"/>
                <w:b/>
                <w:lang w:val="en-GB"/>
              </w:rPr>
            </w:pPr>
            <w:r w:rsidRPr="00221992">
              <w:rPr>
                <w:rFonts w:ascii="Calibri" w:hAnsi="Calibri" w:cs="Calibri"/>
                <w:b/>
                <w:lang w:val="en-GB"/>
              </w:rPr>
              <w:t>Country examples</w:t>
            </w:r>
          </w:p>
        </w:tc>
      </w:tr>
      <w:tr w:rsidR="00D95336" w:rsidRPr="00221992" w14:paraId="120CC499" w14:textId="77777777" w:rsidTr="00990A0F">
        <w:tc>
          <w:tcPr>
            <w:cnfStyle w:val="001000000000" w:firstRow="0" w:lastRow="0" w:firstColumn="1" w:lastColumn="0" w:oddVBand="0" w:evenVBand="0" w:oddHBand="0" w:evenHBand="0" w:firstRowFirstColumn="0" w:firstRowLastColumn="0" w:lastRowFirstColumn="0" w:lastRowLastColumn="0"/>
            <w:tcW w:w="1833" w:type="dxa"/>
            <w:shd w:val="clear" w:color="auto" w:fill="1E8BCD"/>
          </w:tcPr>
          <w:p w14:paraId="1E1C04F3" w14:textId="77777777" w:rsidR="00D95336" w:rsidRPr="00221992" w:rsidRDefault="00D95336" w:rsidP="002573C9">
            <w:pPr>
              <w:pStyle w:val="Tablefonts"/>
              <w:keepLines/>
              <w:spacing w:line="240" w:lineRule="auto"/>
              <w:rPr>
                <w:lang w:val="en-GB"/>
              </w:rPr>
            </w:pPr>
            <w:r w:rsidRPr="00221992">
              <w:rPr>
                <w:lang w:val="en-GB"/>
              </w:rPr>
              <w:t>Governance of HTA</w:t>
            </w:r>
          </w:p>
        </w:tc>
        <w:tc>
          <w:tcPr>
            <w:tcW w:w="3837" w:type="dxa"/>
          </w:tcPr>
          <w:p w14:paraId="18C9022E" w14:textId="4AF17484" w:rsidR="00D95336" w:rsidRPr="00221992" w:rsidRDefault="00D95336" w:rsidP="002573C9">
            <w:pPr>
              <w:pStyle w:val="Tablefonts"/>
              <w:keepLines/>
              <w:spacing w:line="240" w:lineRule="auto"/>
              <w:cnfStyle w:val="000000000000" w:firstRow="0" w:lastRow="0" w:firstColumn="0" w:lastColumn="0" w:oddVBand="0" w:evenVBand="0" w:oddHBand="0" w:evenHBand="0" w:firstRowFirstColumn="0" w:firstRowLastColumn="0" w:lastRowFirstColumn="0" w:lastRowLastColumn="0"/>
              <w:rPr>
                <w:lang w:val="en-GB"/>
              </w:rPr>
            </w:pPr>
            <w:r w:rsidRPr="00221992">
              <w:rPr>
                <w:lang w:val="en-GB"/>
              </w:rPr>
              <w:t>Arm</w:t>
            </w:r>
            <w:r w:rsidR="00551786">
              <w:rPr>
                <w:lang w:val="en-GB"/>
              </w:rPr>
              <w:t>’</w:t>
            </w:r>
            <w:r w:rsidRPr="00221992">
              <w:rPr>
                <w:lang w:val="en-GB"/>
              </w:rPr>
              <w:t>s length</w:t>
            </w:r>
            <w:r w:rsidRPr="00221992">
              <w:rPr>
                <w:vertAlign w:val="superscript"/>
                <w:lang w:val="en-GB"/>
              </w:rPr>
              <w:t>a</w:t>
            </w:r>
          </w:p>
          <w:p w14:paraId="72655C13" w14:textId="77777777" w:rsidR="00D95336" w:rsidRPr="00221992" w:rsidRDefault="00D95336" w:rsidP="002573C9">
            <w:pPr>
              <w:pStyle w:val="Tablefonts"/>
              <w:keepLines/>
              <w:spacing w:line="240" w:lineRule="auto"/>
              <w:cnfStyle w:val="000000000000" w:firstRow="0" w:lastRow="0" w:firstColumn="0" w:lastColumn="0" w:oddVBand="0" w:evenVBand="0" w:oddHBand="0" w:evenHBand="0" w:firstRowFirstColumn="0" w:firstRowLastColumn="0" w:lastRowFirstColumn="0" w:lastRowLastColumn="0"/>
              <w:rPr>
                <w:lang w:val="en-GB"/>
              </w:rPr>
            </w:pPr>
          </w:p>
          <w:p w14:paraId="358A3C0A" w14:textId="77777777" w:rsidR="00D95336" w:rsidRPr="00221992" w:rsidRDefault="00D95336" w:rsidP="002573C9">
            <w:pPr>
              <w:pStyle w:val="Tablefonts"/>
              <w:keepLines/>
              <w:spacing w:line="240" w:lineRule="auto"/>
              <w:cnfStyle w:val="000000000000" w:firstRow="0" w:lastRow="0" w:firstColumn="0" w:lastColumn="0" w:oddVBand="0" w:evenVBand="0" w:oddHBand="0" w:evenHBand="0" w:firstRowFirstColumn="0" w:firstRowLastColumn="0" w:lastRowFirstColumn="0" w:lastRowLastColumn="0"/>
              <w:rPr>
                <w:lang w:val="en-GB"/>
              </w:rPr>
            </w:pPr>
            <w:r w:rsidRPr="00221992">
              <w:rPr>
                <w:lang w:val="en-GB"/>
              </w:rPr>
              <w:t>Integrated</w:t>
            </w:r>
          </w:p>
        </w:tc>
        <w:tc>
          <w:tcPr>
            <w:tcW w:w="3346" w:type="dxa"/>
          </w:tcPr>
          <w:p w14:paraId="132E1E22" w14:textId="2E4956BF" w:rsidR="00D95336" w:rsidRPr="00221992" w:rsidRDefault="00D95336" w:rsidP="002573C9">
            <w:pPr>
              <w:pStyle w:val="Tablefonts"/>
              <w:keepLines/>
              <w:spacing w:line="240" w:lineRule="auto"/>
              <w:cnfStyle w:val="000000000000" w:firstRow="0" w:lastRow="0" w:firstColumn="0" w:lastColumn="0" w:oddVBand="0" w:evenVBand="0" w:oddHBand="0" w:evenHBand="0" w:firstRowFirstColumn="0" w:firstRowLastColumn="0" w:lastRowFirstColumn="0" w:lastRowLastColumn="0"/>
              <w:rPr>
                <w:lang w:val="en-GB"/>
              </w:rPr>
            </w:pPr>
            <w:r w:rsidRPr="00221992">
              <w:rPr>
                <w:lang w:val="en-GB"/>
              </w:rPr>
              <w:t>Australia, Canada, England</w:t>
            </w:r>
            <w:r w:rsidR="00213502" w:rsidRPr="00221992">
              <w:rPr>
                <w:lang w:val="en-GB"/>
              </w:rPr>
              <w:t>/Wales</w:t>
            </w:r>
            <w:r w:rsidRPr="00221992">
              <w:rPr>
                <w:lang w:val="en-GB"/>
              </w:rPr>
              <w:t>, France, Germany, the Netherlands</w:t>
            </w:r>
          </w:p>
          <w:p w14:paraId="6B46B14D" w14:textId="77777777" w:rsidR="00D95336" w:rsidRPr="00221992" w:rsidRDefault="00D95336" w:rsidP="002573C9">
            <w:pPr>
              <w:pStyle w:val="Tablefonts"/>
              <w:keepLines/>
              <w:spacing w:line="240" w:lineRule="auto"/>
              <w:cnfStyle w:val="000000000000" w:firstRow="0" w:lastRow="0" w:firstColumn="0" w:lastColumn="0" w:oddVBand="0" w:evenVBand="0" w:oddHBand="0" w:evenHBand="0" w:firstRowFirstColumn="0" w:firstRowLastColumn="0" w:lastRowFirstColumn="0" w:lastRowLastColumn="0"/>
              <w:rPr>
                <w:lang w:val="en-GB"/>
              </w:rPr>
            </w:pPr>
            <w:r w:rsidRPr="00221992">
              <w:rPr>
                <w:lang w:val="en-GB"/>
              </w:rPr>
              <w:t>Italy, Spain, Canada (regional)</w:t>
            </w:r>
          </w:p>
        </w:tc>
      </w:tr>
      <w:tr w:rsidR="00D95336" w:rsidRPr="00221992" w14:paraId="12F23741" w14:textId="77777777" w:rsidTr="00990A0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3" w:type="dxa"/>
            <w:shd w:val="clear" w:color="auto" w:fill="1E8BCD"/>
          </w:tcPr>
          <w:p w14:paraId="0EDECB2C" w14:textId="197E913F" w:rsidR="00D95336" w:rsidRPr="00221992" w:rsidRDefault="00D95336" w:rsidP="002573C9">
            <w:pPr>
              <w:pStyle w:val="Tablefonts"/>
              <w:keepLines/>
              <w:spacing w:line="240" w:lineRule="auto"/>
              <w:rPr>
                <w:lang w:val="en-GB"/>
              </w:rPr>
            </w:pPr>
            <w:r w:rsidRPr="00221992">
              <w:rPr>
                <w:lang w:val="en-GB"/>
              </w:rPr>
              <w:t>Type of organisations performing HTA</w:t>
            </w:r>
          </w:p>
        </w:tc>
        <w:tc>
          <w:tcPr>
            <w:tcW w:w="3837" w:type="dxa"/>
          </w:tcPr>
          <w:p w14:paraId="14250332" w14:textId="77777777" w:rsidR="00D95336" w:rsidRPr="00221992" w:rsidRDefault="00D95336" w:rsidP="002573C9">
            <w:pPr>
              <w:pStyle w:val="Tablefonts"/>
              <w:keepLines/>
              <w:spacing w:line="240" w:lineRule="auto"/>
              <w:cnfStyle w:val="000000010000" w:firstRow="0" w:lastRow="0" w:firstColumn="0" w:lastColumn="0" w:oddVBand="0" w:evenVBand="0" w:oddHBand="0" w:evenHBand="1" w:firstRowFirstColumn="0" w:firstRowLastColumn="0" w:lastRowFirstColumn="0" w:lastRowLastColumn="0"/>
              <w:rPr>
                <w:lang w:val="en-GB"/>
              </w:rPr>
            </w:pPr>
            <w:r w:rsidRPr="00221992">
              <w:rPr>
                <w:lang w:val="en-GB"/>
              </w:rPr>
              <w:t>Research Institution</w:t>
            </w:r>
          </w:p>
          <w:p w14:paraId="6AF84F15" w14:textId="77777777" w:rsidR="00D95336" w:rsidRPr="00221992" w:rsidRDefault="00D95336" w:rsidP="002573C9">
            <w:pPr>
              <w:pStyle w:val="Tablefonts"/>
              <w:keepLines/>
              <w:spacing w:line="240" w:lineRule="auto"/>
              <w:cnfStyle w:val="000000010000" w:firstRow="0" w:lastRow="0" w:firstColumn="0" w:lastColumn="0" w:oddVBand="0" w:evenVBand="0" w:oddHBand="0" w:evenHBand="1" w:firstRowFirstColumn="0" w:firstRowLastColumn="0" w:lastRowFirstColumn="0" w:lastRowLastColumn="0"/>
              <w:rPr>
                <w:lang w:val="en-GB"/>
              </w:rPr>
            </w:pPr>
            <w:r w:rsidRPr="00221992">
              <w:rPr>
                <w:lang w:val="en-GB"/>
              </w:rPr>
              <w:t>HTA research institution</w:t>
            </w:r>
          </w:p>
          <w:p w14:paraId="52FEC221" w14:textId="77777777" w:rsidR="00D95336" w:rsidRPr="00221992" w:rsidRDefault="00D95336" w:rsidP="002573C9">
            <w:pPr>
              <w:pStyle w:val="Tablefonts"/>
              <w:keepLines/>
              <w:spacing w:line="240" w:lineRule="auto"/>
              <w:cnfStyle w:val="000000010000" w:firstRow="0" w:lastRow="0" w:firstColumn="0" w:lastColumn="0" w:oddVBand="0" w:evenVBand="0" w:oddHBand="0" w:evenHBand="1" w:firstRowFirstColumn="0" w:firstRowLastColumn="0" w:lastRowFirstColumn="0" w:lastRowLastColumn="0"/>
              <w:rPr>
                <w:lang w:val="en-GB"/>
              </w:rPr>
            </w:pPr>
            <w:r w:rsidRPr="00221992">
              <w:rPr>
                <w:lang w:val="en-GB"/>
              </w:rPr>
              <w:t>Drug regulator</w:t>
            </w:r>
          </w:p>
          <w:p w14:paraId="126A3C3D" w14:textId="77777777" w:rsidR="00D95336" w:rsidRPr="00221992" w:rsidRDefault="00D95336" w:rsidP="002573C9">
            <w:pPr>
              <w:pStyle w:val="Tablefonts"/>
              <w:keepLines/>
              <w:spacing w:line="240" w:lineRule="auto"/>
              <w:cnfStyle w:val="000000010000" w:firstRow="0" w:lastRow="0" w:firstColumn="0" w:lastColumn="0" w:oddVBand="0" w:evenVBand="0" w:oddHBand="0" w:evenHBand="1" w:firstRowFirstColumn="0" w:firstRowLastColumn="0" w:lastRowFirstColumn="0" w:lastRowLastColumn="0"/>
              <w:rPr>
                <w:lang w:val="en-GB"/>
              </w:rPr>
            </w:pPr>
            <w:r w:rsidRPr="00221992">
              <w:rPr>
                <w:lang w:val="en-GB"/>
              </w:rPr>
              <w:t>Governmental institution</w:t>
            </w:r>
          </w:p>
          <w:p w14:paraId="1095B83F" w14:textId="77777777" w:rsidR="00D95336" w:rsidRPr="00221992" w:rsidRDefault="00D95336" w:rsidP="002573C9">
            <w:pPr>
              <w:pStyle w:val="Tablefonts"/>
              <w:keepLines/>
              <w:spacing w:line="240" w:lineRule="auto"/>
              <w:cnfStyle w:val="000000010000" w:firstRow="0" w:lastRow="0" w:firstColumn="0" w:lastColumn="0" w:oddVBand="0" w:evenVBand="0" w:oddHBand="0" w:evenHBand="1" w:firstRowFirstColumn="0" w:firstRowLastColumn="0" w:lastRowFirstColumn="0" w:lastRowLastColumn="0"/>
              <w:rPr>
                <w:lang w:val="en-GB"/>
              </w:rPr>
            </w:pPr>
            <w:r w:rsidRPr="00221992">
              <w:rPr>
                <w:lang w:val="en-GB"/>
              </w:rPr>
              <w:t>HTA body</w:t>
            </w:r>
          </w:p>
          <w:p w14:paraId="10621ECA" w14:textId="5F039112" w:rsidR="00D95336" w:rsidRPr="00221992" w:rsidRDefault="00D95336" w:rsidP="002573C9">
            <w:pPr>
              <w:pStyle w:val="Tablefonts"/>
              <w:keepLines/>
              <w:spacing w:line="240" w:lineRule="auto"/>
              <w:cnfStyle w:val="000000010000" w:firstRow="0" w:lastRow="0" w:firstColumn="0" w:lastColumn="0" w:oddVBand="0" w:evenVBand="0" w:oddHBand="0" w:evenHBand="1" w:firstRowFirstColumn="0" w:firstRowLastColumn="0" w:lastRowFirstColumn="0" w:lastRowLastColumn="0"/>
              <w:rPr>
                <w:lang w:val="en-GB"/>
              </w:rPr>
            </w:pPr>
            <w:r w:rsidRPr="00221992">
              <w:rPr>
                <w:lang w:val="en-GB"/>
              </w:rPr>
              <w:t>National/regional healthcare</w:t>
            </w:r>
          </w:p>
          <w:p w14:paraId="22B59FF5" w14:textId="77777777" w:rsidR="00564DF7" w:rsidRDefault="00564DF7" w:rsidP="002573C9">
            <w:pPr>
              <w:pStyle w:val="Tablefonts"/>
              <w:keepLines/>
              <w:spacing w:line="240" w:lineRule="auto"/>
              <w:cnfStyle w:val="000000010000" w:firstRow="0" w:lastRow="0" w:firstColumn="0" w:lastColumn="0" w:oddVBand="0" w:evenVBand="0" w:oddHBand="0" w:evenHBand="1" w:firstRowFirstColumn="0" w:firstRowLastColumn="0" w:lastRowFirstColumn="0" w:lastRowLastColumn="0"/>
              <w:rPr>
                <w:lang w:val="en-GB"/>
              </w:rPr>
            </w:pPr>
          </w:p>
          <w:p w14:paraId="1F43ED8C" w14:textId="78CB1A1C" w:rsidR="00D95336" w:rsidRPr="00221992" w:rsidRDefault="00D95336" w:rsidP="002573C9">
            <w:pPr>
              <w:pStyle w:val="Tablefonts"/>
              <w:keepLines/>
              <w:spacing w:line="240" w:lineRule="auto"/>
              <w:cnfStyle w:val="000000010000" w:firstRow="0" w:lastRow="0" w:firstColumn="0" w:lastColumn="0" w:oddVBand="0" w:evenVBand="0" w:oddHBand="0" w:evenHBand="1" w:firstRowFirstColumn="0" w:firstRowLastColumn="0" w:lastRowFirstColumn="0" w:lastRowLastColumn="0"/>
              <w:rPr>
                <w:lang w:val="en-GB"/>
              </w:rPr>
            </w:pPr>
            <w:r w:rsidRPr="00221992">
              <w:rPr>
                <w:lang w:val="en-GB"/>
              </w:rPr>
              <w:t>National insurance organisation</w:t>
            </w:r>
          </w:p>
        </w:tc>
        <w:tc>
          <w:tcPr>
            <w:tcW w:w="3346" w:type="dxa"/>
          </w:tcPr>
          <w:p w14:paraId="0BFCD640" w14:textId="2B03764E" w:rsidR="00D95336" w:rsidRPr="00221992" w:rsidRDefault="00D95336" w:rsidP="002573C9">
            <w:pPr>
              <w:pStyle w:val="Tablefonts"/>
              <w:keepLines/>
              <w:spacing w:line="240" w:lineRule="auto"/>
              <w:cnfStyle w:val="000000010000" w:firstRow="0" w:lastRow="0" w:firstColumn="0" w:lastColumn="0" w:oddVBand="0" w:evenVBand="0" w:oddHBand="0" w:evenHBand="1" w:firstRowFirstColumn="0" w:firstRowLastColumn="0" w:lastRowFirstColumn="0" w:lastRowLastColumn="0"/>
              <w:rPr>
                <w:lang w:val="en-GB"/>
              </w:rPr>
            </w:pPr>
            <w:r w:rsidRPr="00221992">
              <w:rPr>
                <w:lang w:val="en-GB"/>
              </w:rPr>
              <w:t>Belgium, England</w:t>
            </w:r>
            <w:r w:rsidR="00213502" w:rsidRPr="00221992">
              <w:rPr>
                <w:lang w:val="en-GB"/>
              </w:rPr>
              <w:t>/Wales</w:t>
            </w:r>
          </w:p>
          <w:p w14:paraId="7DB4062D" w14:textId="77777777" w:rsidR="00D95336" w:rsidRPr="00221992" w:rsidRDefault="00D95336" w:rsidP="002573C9">
            <w:pPr>
              <w:pStyle w:val="Tablefonts"/>
              <w:keepLines/>
              <w:spacing w:line="240" w:lineRule="auto"/>
              <w:cnfStyle w:val="000000010000" w:firstRow="0" w:lastRow="0" w:firstColumn="0" w:lastColumn="0" w:oddVBand="0" w:evenVBand="0" w:oddHBand="0" w:evenHBand="1" w:firstRowFirstColumn="0" w:firstRowLastColumn="0" w:lastRowFirstColumn="0" w:lastRowLastColumn="0"/>
              <w:rPr>
                <w:lang w:val="en-GB"/>
              </w:rPr>
            </w:pPr>
            <w:r w:rsidRPr="00221992">
              <w:rPr>
                <w:lang w:val="en-GB"/>
              </w:rPr>
              <w:t>Finland, Spain</w:t>
            </w:r>
          </w:p>
          <w:p w14:paraId="7E5DDDA3" w14:textId="77777777" w:rsidR="00D95336" w:rsidRPr="00221992" w:rsidRDefault="00D95336" w:rsidP="002573C9">
            <w:pPr>
              <w:pStyle w:val="Tablefonts"/>
              <w:keepLines/>
              <w:spacing w:line="240" w:lineRule="auto"/>
              <w:cnfStyle w:val="000000010000" w:firstRow="0" w:lastRow="0" w:firstColumn="0" w:lastColumn="0" w:oddVBand="0" w:evenVBand="0" w:oddHBand="0" w:evenHBand="1" w:firstRowFirstColumn="0" w:firstRowLastColumn="0" w:lastRowFirstColumn="0" w:lastRowLastColumn="0"/>
              <w:rPr>
                <w:lang w:val="en-GB"/>
              </w:rPr>
            </w:pPr>
            <w:r w:rsidRPr="00221992">
              <w:rPr>
                <w:lang w:val="en-GB"/>
              </w:rPr>
              <w:t>Finland, Italy</w:t>
            </w:r>
          </w:p>
          <w:p w14:paraId="720CA8A1" w14:textId="77777777" w:rsidR="00D95336" w:rsidRPr="00221992" w:rsidRDefault="00D95336" w:rsidP="002573C9">
            <w:pPr>
              <w:pStyle w:val="Tablefonts"/>
              <w:keepLines/>
              <w:spacing w:line="240" w:lineRule="auto"/>
              <w:cnfStyle w:val="000000010000" w:firstRow="0" w:lastRow="0" w:firstColumn="0" w:lastColumn="0" w:oddVBand="0" w:evenVBand="0" w:oddHBand="0" w:evenHBand="1" w:firstRowFirstColumn="0" w:firstRowLastColumn="0" w:lastRowFirstColumn="0" w:lastRowLastColumn="0"/>
              <w:rPr>
                <w:lang w:val="en-GB"/>
              </w:rPr>
            </w:pPr>
            <w:r w:rsidRPr="00221992">
              <w:rPr>
                <w:lang w:val="en-GB"/>
              </w:rPr>
              <w:t>Luxembourg, Spain</w:t>
            </w:r>
          </w:p>
          <w:p w14:paraId="6AAE1069" w14:textId="72A85F2B" w:rsidR="00D95336" w:rsidRPr="00221992" w:rsidRDefault="004967CB" w:rsidP="002573C9">
            <w:pPr>
              <w:pStyle w:val="Tablefonts"/>
              <w:keepLines/>
              <w:spacing w:line="240" w:lineRule="auto"/>
              <w:cnfStyle w:val="000000010000" w:firstRow="0" w:lastRow="0" w:firstColumn="0" w:lastColumn="0" w:oddVBand="0" w:evenVBand="0" w:oddHBand="0" w:evenHBand="1" w:firstRowFirstColumn="0" w:firstRowLastColumn="0" w:lastRowFirstColumn="0" w:lastRowLastColumn="0"/>
              <w:rPr>
                <w:lang w:val="en-GB"/>
              </w:rPr>
            </w:pPr>
            <w:r>
              <w:rPr>
                <w:lang w:val="en-GB"/>
              </w:rPr>
              <w:t xml:space="preserve">Australia, </w:t>
            </w:r>
            <w:r w:rsidR="00D95336" w:rsidRPr="00221992">
              <w:rPr>
                <w:lang w:val="en-GB"/>
              </w:rPr>
              <w:t>France, Germany, Spain</w:t>
            </w:r>
          </w:p>
          <w:p w14:paraId="32B889F3" w14:textId="77777777" w:rsidR="00D95336" w:rsidRPr="00221992" w:rsidRDefault="00D95336" w:rsidP="002573C9">
            <w:pPr>
              <w:pStyle w:val="Tablefonts"/>
              <w:keepLines/>
              <w:spacing w:line="240" w:lineRule="auto"/>
              <w:cnfStyle w:val="000000010000" w:firstRow="0" w:lastRow="0" w:firstColumn="0" w:lastColumn="0" w:oddVBand="0" w:evenVBand="0" w:oddHBand="0" w:evenHBand="1" w:firstRowFirstColumn="0" w:firstRowLastColumn="0" w:lastRowFirstColumn="0" w:lastRowLastColumn="0"/>
              <w:rPr>
                <w:lang w:val="en-GB"/>
              </w:rPr>
            </w:pPr>
            <w:r w:rsidRPr="00221992">
              <w:rPr>
                <w:lang w:val="en-GB"/>
              </w:rPr>
              <w:t>Germany, Italy, the Netherlands, Spain, Sweden</w:t>
            </w:r>
          </w:p>
          <w:p w14:paraId="6C910824" w14:textId="77777777" w:rsidR="00D95336" w:rsidRPr="00221992" w:rsidRDefault="00D95336" w:rsidP="002573C9">
            <w:pPr>
              <w:pStyle w:val="Tablefonts"/>
              <w:keepLines/>
              <w:spacing w:line="240" w:lineRule="auto"/>
              <w:cnfStyle w:val="000000010000" w:firstRow="0" w:lastRow="0" w:firstColumn="0" w:lastColumn="0" w:oddVBand="0" w:evenVBand="0" w:oddHBand="0" w:evenHBand="1" w:firstRowFirstColumn="0" w:firstRowLastColumn="0" w:lastRowFirstColumn="0" w:lastRowLastColumn="0"/>
              <w:rPr>
                <w:lang w:val="en-GB"/>
              </w:rPr>
            </w:pPr>
            <w:r w:rsidRPr="00221992">
              <w:rPr>
                <w:lang w:val="en-GB"/>
              </w:rPr>
              <w:t xml:space="preserve">Belgium </w:t>
            </w:r>
          </w:p>
        </w:tc>
      </w:tr>
      <w:tr w:rsidR="00D95336" w:rsidRPr="00221992" w14:paraId="00364C7E" w14:textId="77777777" w:rsidTr="00990A0F">
        <w:tc>
          <w:tcPr>
            <w:cnfStyle w:val="001000000000" w:firstRow="0" w:lastRow="0" w:firstColumn="1" w:lastColumn="0" w:oddVBand="0" w:evenVBand="0" w:oddHBand="0" w:evenHBand="0" w:firstRowFirstColumn="0" w:firstRowLastColumn="0" w:lastRowFirstColumn="0" w:lastRowLastColumn="0"/>
            <w:tcW w:w="1833" w:type="dxa"/>
            <w:shd w:val="clear" w:color="auto" w:fill="1E8BCD"/>
          </w:tcPr>
          <w:p w14:paraId="713E7AEC" w14:textId="77777777" w:rsidR="00D95336" w:rsidRPr="00221992" w:rsidRDefault="00D95336" w:rsidP="002573C9">
            <w:pPr>
              <w:pStyle w:val="Tablefonts"/>
              <w:keepLines/>
              <w:spacing w:line="240" w:lineRule="auto"/>
              <w:rPr>
                <w:lang w:val="en-GB"/>
              </w:rPr>
            </w:pPr>
            <w:r w:rsidRPr="00221992">
              <w:rPr>
                <w:lang w:val="en-GB"/>
              </w:rPr>
              <w:t>Role of HTA</w:t>
            </w:r>
          </w:p>
        </w:tc>
        <w:tc>
          <w:tcPr>
            <w:tcW w:w="3837" w:type="dxa"/>
          </w:tcPr>
          <w:p w14:paraId="04FEA66D" w14:textId="77777777" w:rsidR="00D95336" w:rsidRPr="00221992" w:rsidRDefault="00D95336" w:rsidP="002573C9">
            <w:pPr>
              <w:pStyle w:val="Tablefonts"/>
              <w:keepLines/>
              <w:spacing w:line="240" w:lineRule="auto"/>
              <w:cnfStyle w:val="000000000000" w:firstRow="0" w:lastRow="0" w:firstColumn="0" w:lastColumn="0" w:oddVBand="0" w:evenVBand="0" w:oddHBand="0" w:evenHBand="0" w:firstRowFirstColumn="0" w:firstRowLastColumn="0" w:lastRowFirstColumn="0" w:lastRowLastColumn="0"/>
              <w:rPr>
                <w:lang w:val="en-GB"/>
              </w:rPr>
            </w:pPr>
            <w:r w:rsidRPr="00221992">
              <w:rPr>
                <w:lang w:val="en-GB"/>
              </w:rPr>
              <w:t>Advisory</w:t>
            </w:r>
          </w:p>
          <w:p w14:paraId="38434C49" w14:textId="77777777" w:rsidR="00D95336" w:rsidRPr="00221992" w:rsidRDefault="00D95336" w:rsidP="002573C9">
            <w:pPr>
              <w:pStyle w:val="Tablefonts"/>
              <w:keepLines/>
              <w:spacing w:line="240" w:lineRule="auto"/>
              <w:cnfStyle w:val="000000000000" w:firstRow="0" w:lastRow="0" w:firstColumn="0" w:lastColumn="0" w:oddVBand="0" w:evenVBand="0" w:oddHBand="0" w:evenHBand="0" w:firstRowFirstColumn="0" w:firstRowLastColumn="0" w:lastRowFirstColumn="0" w:lastRowLastColumn="0"/>
              <w:rPr>
                <w:lang w:val="en-GB"/>
              </w:rPr>
            </w:pPr>
          </w:p>
          <w:p w14:paraId="08D25833" w14:textId="77777777" w:rsidR="00D95336" w:rsidRPr="00221992" w:rsidRDefault="00D95336" w:rsidP="002573C9">
            <w:pPr>
              <w:pStyle w:val="Tablefonts"/>
              <w:keepLines/>
              <w:spacing w:line="240" w:lineRule="auto"/>
              <w:cnfStyle w:val="000000000000" w:firstRow="0" w:lastRow="0" w:firstColumn="0" w:lastColumn="0" w:oddVBand="0" w:evenVBand="0" w:oddHBand="0" w:evenHBand="0" w:firstRowFirstColumn="0" w:firstRowLastColumn="0" w:lastRowFirstColumn="0" w:lastRowLastColumn="0"/>
              <w:rPr>
                <w:lang w:val="en-GB"/>
              </w:rPr>
            </w:pPr>
            <w:r w:rsidRPr="00221992">
              <w:rPr>
                <w:lang w:val="en-GB"/>
              </w:rPr>
              <w:t>Coordination</w:t>
            </w:r>
          </w:p>
          <w:p w14:paraId="088E618A" w14:textId="77777777" w:rsidR="00D95336" w:rsidRPr="00221992" w:rsidRDefault="00D95336" w:rsidP="002573C9">
            <w:pPr>
              <w:pStyle w:val="Tablefonts"/>
              <w:keepLines/>
              <w:spacing w:line="240" w:lineRule="auto"/>
              <w:cnfStyle w:val="000000000000" w:firstRow="0" w:lastRow="0" w:firstColumn="0" w:lastColumn="0" w:oddVBand="0" w:evenVBand="0" w:oddHBand="0" w:evenHBand="0" w:firstRowFirstColumn="0" w:firstRowLastColumn="0" w:lastRowFirstColumn="0" w:lastRowLastColumn="0"/>
              <w:rPr>
                <w:lang w:val="en-GB"/>
              </w:rPr>
            </w:pPr>
            <w:r w:rsidRPr="00221992">
              <w:rPr>
                <w:lang w:val="en-GB"/>
              </w:rPr>
              <w:t>Regulatory</w:t>
            </w:r>
          </w:p>
          <w:p w14:paraId="5940A9C6" w14:textId="77777777" w:rsidR="00D95336" w:rsidRPr="00221992" w:rsidRDefault="00D95336" w:rsidP="002573C9">
            <w:pPr>
              <w:pStyle w:val="Tablefonts"/>
              <w:keepLines/>
              <w:spacing w:line="240" w:lineRule="auto"/>
              <w:cnfStyle w:val="000000000000" w:firstRow="0" w:lastRow="0" w:firstColumn="0" w:lastColumn="0" w:oddVBand="0" w:evenVBand="0" w:oddHBand="0" w:evenHBand="0" w:firstRowFirstColumn="0" w:firstRowLastColumn="0" w:lastRowFirstColumn="0" w:lastRowLastColumn="0"/>
              <w:rPr>
                <w:lang w:val="en-GB"/>
              </w:rPr>
            </w:pPr>
            <w:r w:rsidRPr="00221992">
              <w:rPr>
                <w:lang w:val="en-GB"/>
              </w:rPr>
              <w:t>Advisory and coordination</w:t>
            </w:r>
          </w:p>
        </w:tc>
        <w:tc>
          <w:tcPr>
            <w:tcW w:w="3346" w:type="dxa"/>
          </w:tcPr>
          <w:p w14:paraId="20BDE514" w14:textId="1EB48A85" w:rsidR="00D95336" w:rsidRPr="00221992" w:rsidRDefault="00D95336" w:rsidP="002573C9">
            <w:pPr>
              <w:pStyle w:val="Tablefonts"/>
              <w:keepLines/>
              <w:spacing w:line="240" w:lineRule="auto"/>
              <w:cnfStyle w:val="000000000000" w:firstRow="0" w:lastRow="0" w:firstColumn="0" w:lastColumn="0" w:oddVBand="0" w:evenVBand="0" w:oddHBand="0" w:evenHBand="0" w:firstRowFirstColumn="0" w:firstRowLastColumn="0" w:lastRowFirstColumn="0" w:lastRowLastColumn="0"/>
              <w:rPr>
                <w:lang w:val="en-GB"/>
              </w:rPr>
            </w:pPr>
            <w:r w:rsidRPr="00221992">
              <w:rPr>
                <w:lang w:val="en-GB"/>
              </w:rPr>
              <w:t>Australia, Canada, England</w:t>
            </w:r>
            <w:r w:rsidR="00213502" w:rsidRPr="00221992">
              <w:rPr>
                <w:lang w:val="en-GB"/>
              </w:rPr>
              <w:t>/Wales</w:t>
            </w:r>
            <w:r w:rsidRPr="00221992">
              <w:rPr>
                <w:lang w:val="en-GB"/>
              </w:rPr>
              <w:t xml:space="preserve">, Luxembourg, the Netherlands </w:t>
            </w:r>
          </w:p>
          <w:p w14:paraId="3009E311" w14:textId="77777777" w:rsidR="00D95336" w:rsidRPr="00221992" w:rsidRDefault="00D95336" w:rsidP="002573C9">
            <w:pPr>
              <w:pStyle w:val="Tablefonts"/>
              <w:keepLines/>
              <w:spacing w:line="240" w:lineRule="auto"/>
              <w:cnfStyle w:val="000000000000" w:firstRow="0" w:lastRow="0" w:firstColumn="0" w:lastColumn="0" w:oddVBand="0" w:evenVBand="0" w:oddHBand="0" w:evenHBand="0" w:firstRowFirstColumn="0" w:firstRowLastColumn="0" w:lastRowFirstColumn="0" w:lastRowLastColumn="0"/>
              <w:rPr>
                <w:lang w:val="en-GB"/>
              </w:rPr>
            </w:pPr>
            <w:r w:rsidRPr="00221992">
              <w:rPr>
                <w:lang w:val="en-GB"/>
              </w:rPr>
              <w:t>Finland, UK</w:t>
            </w:r>
          </w:p>
          <w:p w14:paraId="0658E2DD" w14:textId="77777777" w:rsidR="00D95336" w:rsidRPr="00221992" w:rsidRDefault="00D95336" w:rsidP="002573C9">
            <w:pPr>
              <w:pStyle w:val="Tablefonts"/>
              <w:keepLines/>
              <w:spacing w:line="240" w:lineRule="auto"/>
              <w:cnfStyle w:val="000000000000" w:firstRow="0" w:lastRow="0" w:firstColumn="0" w:lastColumn="0" w:oddVBand="0" w:evenVBand="0" w:oddHBand="0" w:evenHBand="0" w:firstRowFirstColumn="0" w:firstRowLastColumn="0" w:lastRowFirstColumn="0" w:lastRowLastColumn="0"/>
              <w:rPr>
                <w:lang w:val="en-GB"/>
              </w:rPr>
            </w:pPr>
            <w:r w:rsidRPr="00221992">
              <w:rPr>
                <w:lang w:val="en-GB"/>
              </w:rPr>
              <w:t>Germany, Italy, Sweden</w:t>
            </w:r>
          </w:p>
          <w:p w14:paraId="1B03EA0A" w14:textId="77777777" w:rsidR="00D95336" w:rsidRPr="00221992" w:rsidRDefault="00D95336" w:rsidP="002573C9">
            <w:pPr>
              <w:pStyle w:val="Tablefonts"/>
              <w:keepLines/>
              <w:spacing w:line="240" w:lineRule="auto"/>
              <w:cnfStyle w:val="000000000000" w:firstRow="0" w:lastRow="0" w:firstColumn="0" w:lastColumn="0" w:oddVBand="0" w:evenVBand="0" w:oddHBand="0" w:evenHBand="0" w:firstRowFirstColumn="0" w:firstRowLastColumn="0" w:lastRowFirstColumn="0" w:lastRowLastColumn="0"/>
              <w:rPr>
                <w:lang w:val="en-GB"/>
              </w:rPr>
            </w:pPr>
            <w:r w:rsidRPr="00221992">
              <w:rPr>
                <w:lang w:val="en-GB"/>
              </w:rPr>
              <w:t>Belgium, Canada, Spain</w:t>
            </w:r>
          </w:p>
        </w:tc>
      </w:tr>
      <w:tr w:rsidR="00D95336" w:rsidRPr="00221992" w14:paraId="259809FF" w14:textId="77777777" w:rsidTr="00990A0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3" w:type="dxa"/>
            <w:shd w:val="clear" w:color="auto" w:fill="1E8BCD"/>
          </w:tcPr>
          <w:p w14:paraId="3E211C7F" w14:textId="77777777" w:rsidR="00D95336" w:rsidRPr="00221992" w:rsidRDefault="00D95336" w:rsidP="002573C9">
            <w:pPr>
              <w:pStyle w:val="Tablefonts"/>
              <w:keepLines/>
              <w:spacing w:line="240" w:lineRule="auto"/>
              <w:rPr>
                <w:lang w:val="en-GB"/>
              </w:rPr>
            </w:pPr>
            <w:r w:rsidRPr="00221992">
              <w:rPr>
                <w:lang w:val="en-GB"/>
              </w:rPr>
              <w:t>HTA scope</w:t>
            </w:r>
          </w:p>
        </w:tc>
        <w:tc>
          <w:tcPr>
            <w:tcW w:w="3837" w:type="dxa"/>
          </w:tcPr>
          <w:p w14:paraId="174EF9C0" w14:textId="77777777" w:rsidR="00D95336" w:rsidRPr="00221992" w:rsidRDefault="00D95336" w:rsidP="002573C9">
            <w:pPr>
              <w:pStyle w:val="Tablefonts"/>
              <w:keepLines/>
              <w:spacing w:line="240" w:lineRule="auto"/>
              <w:cnfStyle w:val="000000010000" w:firstRow="0" w:lastRow="0" w:firstColumn="0" w:lastColumn="0" w:oddVBand="0" w:evenVBand="0" w:oddHBand="0" w:evenHBand="1" w:firstRowFirstColumn="0" w:firstRowLastColumn="0" w:lastRowFirstColumn="0" w:lastRowLastColumn="0"/>
              <w:rPr>
                <w:lang w:val="en-GB"/>
              </w:rPr>
            </w:pPr>
            <w:r w:rsidRPr="00221992">
              <w:rPr>
                <w:lang w:val="en-GB"/>
              </w:rPr>
              <w:t>National</w:t>
            </w:r>
          </w:p>
          <w:p w14:paraId="4BCFF2CC" w14:textId="77777777" w:rsidR="00D95336" w:rsidRPr="00221992" w:rsidRDefault="00D95336" w:rsidP="002573C9">
            <w:pPr>
              <w:pStyle w:val="Tablefonts"/>
              <w:keepLines/>
              <w:spacing w:line="240" w:lineRule="auto"/>
              <w:cnfStyle w:val="000000010000" w:firstRow="0" w:lastRow="0" w:firstColumn="0" w:lastColumn="0" w:oddVBand="0" w:evenVBand="0" w:oddHBand="0" w:evenHBand="1" w:firstRowFirstColumn="0" w:firstRowLastColumn="0" w:lastRowFirstColumn="0" w:lastRowLastColumn="0"/>
              <w:rPr>
                <w:lang w:val="en-GB"/>
              </w:rPr>
            </w:pPr>
          </w:p>
          <w:p w14:paraId="03A250DB" w14:textId="77777777" w:rsidR="00D95336" w:rsidRPr="00221992" w:rsidRDefault="00D95336" w:rsidP="002573C9">
            <w:pPr>
              <w:pStyle w:val="Tablefonts"/>
              <w:keepLines/>
              <w:spacing w:line="240" w:lineRule="auto"/>
              <w:cnfStyle w:val="000000010000" w:firstRow="0" w:lastRow="0" w:firstColumn="0" w:lastColumn="0" w:oddVBand="0" w:evenVBand="0" w:oddHBand="0" w:evenHBand="1" w:firstRowFirstColumn="0" w:firstRowLastColumn="0" w:lastRowFirstColumn="0" w:lastRowLastColumn="0"/>
              <w:rPr>
                <w:lang w:val="en-GB"/>
              </w:rPr>
            </w:pPr>
          </w:p>
          <w:p w14:paraId="0504A5BF" w14:textId="77777777" w:rsidR="00D95336" w:rsidRPr="00221992" w:rsidRDefault="00D95336" w:rsidP="002573C9">
            <w:pPr>
              <w:pStyle w:val="Tablefonts"/>
              <w:keepLines/>
              <w:spacing w:line="240" w:lineRule="auto"/>
              <w:cnfStyle w:val="000000010000" w:firstRow="0" w:lastRow="0" w:firstColumn="0" w:lastColumn="0" w:oddVBand="0" w:evenVBand="0" w:oddHBand="0" w:evenHBand="1" w:firstRowFirstColumn="0" w:firstRowLastColumn="0" w:lastRowFirstColumn="0" w:lastRowLastColumn="0"/>
              <w:rPr>
                <w:lang w:val="en-GB"/>
              </w:rPr>
            </w:pPr>
            <w:r w:rsidRPr="00221992">
              <w:rPr>
                <w:lang w:val="en-GB"/>
              </w:rPr>
              <w:t>Regional</w:t>
            </w:r>
          </w:p>
        </w:tc>
        <w:tc>
          <w:tcPr>
            <w:tcW w:w="3346" w:type="dxa"/>
          </w:tcPr>
          <w:p w14:paraId="1E574F1B" w14:textId="0000CEEF" w:rsidR="00D95336" w:rsidRPr="00221992" w:rsidRDefault="00D95336" w:rsidP="002573C9">
            <w:pPr>
              <w:pStyle w:val="Tablefonts"/>
              <w:keepLines/>
              <w:spacing w:line="240" w:lineRule="auto"/>
              <w:cnfStyle w:val="000000010000" w:firstRow="0" w:lastRow="0" w:firstColumn="0" w:lastColumn="0" w:oddVBand="0" w:evenVBand="0" w:oddHBand="0" w:evenHBand="1" w:firstRowFirstColumn="0" w:firstRowLastColumn="0" w:lastRowFirstColumn="0" w:lastRowLastColumn="0"/>
              <w:rPr>
                <w:lang w:val="en-GB"/>
              </w:rPr>
            </w:pPr>
            <w:r w:rsidRPr="00221992">
              <w:rPr>
                <w:lang w:val="en-GB"/>
              </w:rPr>
              <w:t>Australia, France, Germany,</w:t>
            </w:r>
            <w:r w:rsidR="008A6310">
              <w:rPr>
                <w:lang w:val="en-GB"/>
              </w:rPr>
              <w:t xml:space="preserve"> </w:t>
            </w:r>
            <w:r w:rsidRPr="00221992">
              <w:rPr>
                <w:lang w:val="en-GB"/>
              </w:rPr>
              <w:t>Luxembourg, the Netherlands, Sweden</w:t>
            </w:r>
            <w:r w:rsidR="005A005F">
              <w:rPr>
                <w:lang w:val="en-GB"/>
              </w:rPr>
              <w:t>, UK</w:t>
            </w:r>
          </w:p>
          <w:p w14:paraId="16827390" w14:textId="77777777" w:rsidR="00D95336" w:rsidRPr="00221992" w:rsidRDefault="00D95336" w:rsidP="002573C9">
            <w:pPr>
              <w:pStyle w:val="Tablefonts"/>
              <w:keepLines/>
              <w:spacing w:line="240" w:lineRule="auto"/>
              <w:cnfStyle w:val="000000010000" w:firstRow="0" w:lastRow="0" w:firstColumn="0" w:lastColumn="0" w:oddVBand="0" w:evenVBand="0" w:oddHBand="0" w:evenHBand="1" w:firstRowFirstColumn="0" w:firstRowLastColumn="0" w:lastRowFirstColumn="0" w:lastRowLastColumn="0"/>
              <w:rPr>
                <w:lang w:val="en-GB"/>
              </w:rPr>
            </w:pPr>
            <w:r w:rsidRPr="00221992">
              <w:rPr>
                <w:lang w:val="en-GB"/>
              </w:rPr>
              <w:t xml:space="preserve">Canada, Italy, Spain </w:t>
            </w:r>
          </w:p>
        </w:tc>
      </w:tr>
      <w:tr w:rsidR="00D95336" w:rsidRPr="00221992" w14:paraId="278434EC" w14:textId="77777777" w:rsidTr="00990A0F">
        <w:tc>
          <w:tcPr>
            <w:cnfStyle w:val="001000000000" w:firstRow="0" w:lastRow="0" w:firstColumn="1" w:lastColumn="0" w:oddVBand="0" w:evenVBand="0" w:oddHBand="0" w:evenHBand="0" w:firstRowFirstColumn="0" w:firstRowLastColumn="0" w:lastRowFirstColumn="0" w:lastRowLastColumn="0"/>
            <w:tcW w:w="1833" w:type="dxa"/>
            <w:shd w:val="clear" w:color="auto" w:fill="1E8BCD"/>
          </w:tcPr>
          <w:p w14:paraId="54C43555" w14:textId="77777777" w:rsidR="00D95336" w:rsidRPr="00221992" w:rsidRDefault="00D95336" w:rsidP="002573C9">
            <w:pPr>
              <w:pStyle w:val="Tablefonts"/>
              <w:keepLines/>
              <w:spacing w:line="240" w:lineRule="auto"/>
              <w:rPr>
                <w:lang w:val="en-GB"/>
              </w:rPr>
            </w:pPr>
            <w:r w:rsidRPr="00221992">
              <w:rPr>
                <w:lang w:val="en-GB"/>
              </w:rPr>
              <w:t>Remit of HTA</w:t>
            </w:r>
          </w:p>
        </w:tc>
        <w:tc>
          <w:tcPr>
            <w:tcW w:w="3837" w:type="dxa"/>
          </w:tcPr>
          <w:p w14:paraId="063ED27A" w14:textId="77777777" w:rsidR="00D95336" w:rsidRPr="00221992" w:rsidRDefault="00D95336" w:rsidP="002573C9">
            <w:pPr>
              <w:pStyle w:val="Tablefonts"/>
              <w:keepLines/>
              <w:spacing w:line="240" w:lineRule="auto"/>
              <w:cnfStyle w:val="000000000000" w:firstRow="0" w:lastRow="0" w:firstColumn="0" w:lastColumn="0" w:oddVBand="0" w:evenVBand="0" w:oddHBand="0" w:evenHBand="0" w:firstRowFirstColumn="0" w:firstRowLastColumn="0" w:lastRowFirstColumn="0" w:lastRowLastColumn="0"/>
              <w:rPr>
                <w:lang w:val="en-GB"/>
              </w:rPr>
            </w:pPr>
            <w:r w:rsidRPr="00221992">
              <w:rPr>
                <w:lang w:val="en-GB"/>
              </w:rPr>
              <w:t>Pharmaceuticals</w:t>
            </w:r>
          </w:p>
          <w:p w14:paraId="331D4892" w14:textId="77777777" w:rsidR="00D95336" w:rsidRPr="00221992" w:rsidRDefault="00D95336" w:rsidP="002573C9">
            <w:pPr>
              <w:pStyle w:val="Tablefonts"/>
              <w:keepLines/>
              <w:spacing w:line="240" w:lineRule="auto"/>
              <w:cnfStyle w:val="000000000000" w:firstRow="0" w:lastRow="0" w:firstColumn="0" w:lastColumn="0" w:oddVBand="0" w:evenVBand="0" w:oddHBand="0" w:evenHBand="0" w:firstRowFirstColumn="0" w:firstRowLastColumn="0" w:lastRowFirstColumn="0" w:lastRowLastColumn="0"/>
              <w:rPr>
                <w:lang w:val="en-GB"/>
              </w:rPr>
            </w:pPr>
          </w:p>
          <w:p w14:paraId="0575D000" w14:textId="77777777" w:rsidR="00D95336" w:rsidRPr="00221992" w:rsidRDefault="00D95336" w:rsidP="002573C9">
            <w:pPr>
              <w:pStyle w:val="Tablefonts"/>
              <w:keepLines/>
              <w:spacing w:line="240" w:lineRule="auto"/>
              <w:cnfStyle w:val="000000000000" w:firstRow="0" w:lastRow="0" w:firstColumn="0" w:lastColumn="0" w:oddVBand="0" w:evenVBand="0" w:oddHBand="0" w:evenHBand="0" w:firstRowFirstColumn="0" w:firstRowLastColumn="0" w:lastRowFirstColumn="0" w:lastRowLastColumn="0"/>
              <w:rPr>
                <w:lang w:val="en-GB"/>
              </w:rPr>
            </w:pPr>
          </w:p>
          <w:p w14:paraId="13B94401" w14:textId="77777777" w:rsidR="00D95336" w:rsidRPr="00221992" w:rsidRDefault="00D95336" w:rsidP="002573C9">
            <w:pPr>
              <w:pStyle w:val="Tablefonts"/>
              <w:keepLines/>
              <w:spacing w:line="240" w:lineRule="auto"/>
              <w:cnfStyle w:val="000000000000" w:firstRow="0" w:lastRow="0" w:firstColumn="0" w:lastColumn="0" w:oddVBand="0" w:evenVBand="0" w:oddHBand="0" w:evenHBand="0" w:firstRowFirstColumn="0" w:firstRowLastColumn="0" w:lastRowFirstColumn="0" w:lastRowLastColumn="0"/>
              <w:rPr>
                <w:lang w:val="en-GB"/>
              </w:rPr>
            </w:pPr>
            <w:r w:rsidRPr="00221992">
              <w:rPr>
                <w:lang w:val="en-GB"/>
              </w:rPr>
              <w:t>Medical devices</w:t>
            </w:r>
          </w:p>
          <w:p w14:paraId="45729016" w14:textId="77777777" w:rsidR="00D95336" w:rsidRPr="00221992" w:rsidRDefault="00D95336" w:rsidP="002573C9">
            <w:pPr>
              <w:pStyle w:val="Tablefonts"/>
              <w:keepLines/>
              <w:spacing w:line="240" w:lineRule="auto"/>
              <w:cnfStyle w:val="000000000000" w:firstRow="0" w:lastRow="0" w:firstColumn="0" w:lastColumn="0" w:oddVBand="0" w:evenVBand="0" w:oddHBand="0" w:evenHBand="0" w:firstRowFirstColumn="0" w:firstRowLastColumn="0" w:lastRowFirstColumn="0" w:lastRowLastColumn="0"/>
              <w:rPr>
                <w:lang w:val="en-GB"/>
              </w:rPr>
            </w:pPr>
          </w:p>
          <w:p w14:paraId="570E7EE5" w14:textId="77777777" w:rsidR="00D95336" w:rsidRPr="00221992" w:rsidRDefault="00D95336" w:rsidP="002573C9">
            <w:pPr>
              <w:pStyle w:val="Tablefonts"/>
              <w:keepLines/>
              <w:spacing w:line="240" w:lineRule="auto"/>
              <w:cnfStyle w:val="000000000000" w:firstRow="0" w:lastRow="0" w:firstColumn="0" w:lastColumn="0" w:oddVBand="0" w:evenVBand="0" w:oddHBand="0" w:evenHBand="0" w:firstRowFirstColumn="0" w:firstRowLastColumn="0" w:lastRowFirstColumn="0" w:lastRowLastColumn="0"/>
              <w:rPr>
                <w:lang w:val="en-GB"/>
              </w:rPr>
            </w:pPr>
            <w:r w:rsidRPr="00221992">
              <w:rPr>
                <w:lang w:val="en-GB"/>
              </w:rPr>
              <w:t>Other technologies</w:t>
            </w:r>
            <w:r w:rsidRPr="00221992">
              <w:rPr>
                <w:vertAlign w:val="superscript"/>
                <w:lang w:val="en-GB"/>
              </w:rPr>
              <w:t>b</w:t>
            </w:r>
          </w:p>
          <w:p w14:paraId="62270E67" w14:textId="77777777" w:rsidR="00D95336" w:rsidRPr="00221992" w:rsidRDefault="00D95336" w:rsidP="002573C9">
            <w:pPr>
              <w:pStyle w:val="Tablefonts"/>
              <w:keepLines/>
              <w:spacing w:line="240" w:lineRule="auto"/>
              <w:cnfStyle w:val="000000000000" w:firstRow="0" w:lastRow="0" w:firstColumn="0" w:lastColumn="0" w:oddVBand="0" w:evenVBand="0" w:oddHBand="0" w:evenHBand="0" w:firstRowFirstColumn="0" w:firstRowLastColumn="0" w:lastRowFirstColumn="0" w:lastRowLastColumn="0"/>
              <w:rPr>
                <w:lang w:val="en-GB"/>
              </w:rPr>
            </w:pPr>
          </w:p>
          <w:p w14:paraId="7F24D94B" w14:textId="77777777" w:rsidR="00D95336" w:rsidRPr="00221992" w:rsidRDefault="00D95336" w:rsidP="002573C9">
            <w:pPr>
              <w:pStyle w:val="Tablefonts"/>
              <w:keepLines/>
              <w:spacing w:line="240" w:lineRule="auto"/>
              <w:cnfStyle w:val="000000000000" w:firstRow="0" w:lastRow="0" w:firstColumn="0" w:lastColumn="0" w:oddVBand="0" w:evenVBand="0" w:oddHBand="0" w:evenHBand="0" w:firstRowFirstColumn="0" w:firstRowLastColumn="0" w:lastRowFirstColumn="0" w:lastRowLastColumn="0"/>
              <w:rPr>
                <w:lang w:val="en-GB"/>
              </w:rPr>
            </w:pPr>
            <w:r w:rsidRPr="00221992">
              <w:rPr>
                <w:lang w:val="en-GB"/>
              </w:rPr>
              <w:t>All</w:t>
            </w:r>
          </w:p>
        </w:tc>
        <w:tc>
          <w:tcPr>
            <w:tcW w:w="3346" w:type="dxa"/>
          </w:tcPr>
          <w:p w14:paraId="43B1003E" w14:textId="77777777" w:rsidR="00D95336" w:rsidRPr="00221992" w:rsidRDefault="00D95336" w:rsidP="002573C9">
            <w:pPr>
              <w:pStyle w:val="Tablefonts"/>
              <w:keepLines/>
              <w:spacing w:line="240" w:lineRule="auto"/>
              <w:cnfStyle w:val="000000000000" w:firstRow="0" w:lastRow="0" w:firstColumn="0" w:lastColumn="0" w:oddVBand="0" w:evenVBand="0" w:oddHBand="0" w:evenHBand="0" w:firstRowFirstColumn="0" w:firstRowLastColumn="0" w:lastRowFirstColumn="0" w:lastRowLastColumn="0"/>
              <w:rPr>
                <w:lang w:val="en-GB"/>
              </w:rPr>
            </w:pPr>
            <w:r w:rsidRPr="00221992">
              <w:rPr>
                <w:lang w:val="en-GB"/>
              </w:rPr>
              <w:t>Australia, Belgium, Canada, Finland, France, Germany, Greece, Malta, Scotland</w:t>
            </w:r>
          </w:p>
          <w:p w14:paraId="786316DF" w14:textId="77777777" w:rsidR="00D95336" w:rsidRPr="00221992" w:rsidRDefault="00D95336" w:rsidP="002573C9">
            <w:pPr>
              <w:pStyle w:val="Tablefonts"/>
              <w:keepLines/>
              <w:spacing w:line="240" w:lineRule="auto"/>
              <w:cnfStyle w:val="000000000000" w:firstRow="0" w:lastRow="0" w:firstColumn="0" w:lastColumn="0" w:oddVBand="0" w:evenVBand="0" w:oddHBand="0" w:evenHBand="0" w:firstRowFirstColumn="0" w:firstRowLastColumn="0" w:lastRowFirstColumn="0" w:lastRowLastColumn="0"/>
              <w:rPr>
                <w:lang w:val="en-GB"/>
              </w:rPr>
            </w:pPr>
            <w:r w:rsidRPr="00221992">
              <w:rPr>
                <w:lang w:val="en-GB"/>
              </w:rPr>
              <w:t>Australia, Germany, Spain, Sweden</w:t>
            </w:r>
          </w:p>
          <w:p w14:paraId="0C716CBD" w14:textId="29C791D5" w:rsidR="00D95336" w:rsidRPr="00221992" w:rsidRDefault="00D95336" w:rsidP="002573C9">
            <w:pPr>
              <w:pStyle w:val="Tablefonts"/>
              <w:keepLines/>
              <w:spacing w:line="240" w:lineRule="auto"/>
              <w:cnfStyle w:val="000000000000" w:firstRow="0" w:lastRow="0" w:firstColumn="0" w:lastColumn="0" w:oddVBand="0" w:evenVBand="0" w:oddHBand="0" w:evenHBand="0" w:firstRowFirstColumn="0" w:firstRowLastColumn="0" w:lastRowFirstColumn="0" w:lastRowLastColumn="0"/>
              <w:rPr>
                <w:lang w:val="en-GB"/>
              </w:rPr>
            </w:pPr>
            <w:r w:rsidRPr="00221992">
              <w:rPr>
                <w:lang w:val="en-GB"/>
              </w:rPr>
              <w:t xml:space="preserve">Belgium, Canada, </w:t>
            </w:r>
            <w:r w:rsidR="00213502" w:rsidRPr="00221992">
              <w:rPr>
                <w:lang w:val="en-GB"/>
              </w:rPr>
              <w:t>England/Wales</w:t>
            </w:r>
            <w:r w:rsidRPr="00221992">
              <w:rPr>
                <w:lang w:val="en-GB"/>
              </w:rPr>
              <w:t>, France, Finland, Sweden, the Netherlands, Wales</w:t>
            </w:r>
          </w:p>
          <w:p w14:paraId="76654E92" w14:textId="7168EA9E" w:rsidR="00D95336" w:rsidRPr="00221992" w:rsidRDefault="00213502" w:rsidP="002573C9">
            <w:pPr>
              <w:pStyle w:val="Tablefonts"/>
              <w:keepLines/>
              <w:spacing w:line="240" w:lineRule="auto"/>
              <w:cnfStyle w:val="000000000000" w:firstRow="0" w:lastRow="0" w:firstColumn="0" w:lastColumn="0" w:oddVBand="0" w:evenVBand="0" w:oddHBand="0" w:evenHBand="0" w:firstRowFirstColumn="0" w:firstRowLastColumn="0" w:lastRowFirstColumn="0" w:lastRowLastColumn="0"/>
              <w:rPr>
                <w:lang w:val="en-GB"/>
              </w:rPr>
            </w:pPr>
            <w:r w:rsidRPr="00221992">
              <w:rPr>
                <w:lang w:val="en-GB"/>
              </w:rPr>
              <w:t>England/Wales</w:t>
            </w:r>
            <w:r w:rsidR="00D95336" w:rsidRPr="00221992">
              <w:rPr>
                <w:lang w:val="en-GB"/>
              </w:rPr>
              <w:t>, France, Poland</w:t>
            </w:r>
          </w:p>
        </w:tc>
      </w:tr>
      <w:tr w:rsidR="00D95336" w:rsidRPr="00221992" w14:paraId="13D404F7" w14:textId="77777777" w:rsidTr="00990A0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3" w:type="dxa"/>
            <w:shd w:val="clear" w:color="auto" w:fill="1E8BCD"/>
          </w:tcPr>
          <w:p w14:paraId="15EEFB35" w14:textId="77777777" w:rsidR="00D95336" w:rsidRPr="00221992" w:rsidRDefault="00D95336" w:rsidP="002573C9">
            <w:pPr>
              <w:pStyle w:val="Tablefonts"/>
              <w:keepLines/>
              <w:spacing w:line="240" w:lineRule="auto"/>
              <w:rPr>
                <w:lang w:val="en-GB"/>
              </w:rPr>
            </w:pPr>
            <w:r w:rsidRPr="00221992">
              <w:rPr>
                <w:lang w:val="en-GB"/>
              </w:rPr>
              <w:t>Model of HTA</w:t>
            </w:r>
          </w:p>
        </w:tc>
        <w:tc>
          <w:tcPr>
            <w:tcW w:w="3837" w:type="dxa"/>
          </w:tcPr>
          <w:p w14:paraId="0C27DFF2" w14:textId="77777777" w:rsidR="00D95336" w:rsidRPr="00221992" w:rsidRDefault="00D95336" w:rsidP="002573C9">
            <w:pPr>
              <w:pStyle w:val="Tablefonts"/>
              <w:keepLines/>
              <w:spacing w:line="240" w:lineRule="auto"/>
              <w:cnfStyle w:val="000000010000" w:firstRow="0" w:lastRow="0" w:firstColumn="0" w:lastColumn="0" w:oddVBand="0" w:evenVBand="0" w:oddHBand="0" w:evenHBand="1" w:firstRowFirstColumn="0" w:firstRowLastColumn="0" w:lastRowFirstColumn="0" w:lastRowLastColumn="0"/>
              <w:rPr>
                <w:lang w:val="en-GB"/>
              </w:rPr>
            </w:pPr>
            <w:r w:rsidRPr="00221992">
              <w:rPr>
                <w:lang w:val="en-GB"/>
              </w:rPr>
              <w:t>Comparative clinical benefit assessment</w:t>
            </w:r>
          </w:p>
          <w:p w14:paraId="70C70986" w14:textId="77777777" w:rsidR="00D95336" w:rsidRPr="00221992" w:rsidRDefault="00D95336" w:rsidP="002573C9">
            <w:pPr>
              <w:pStyle w:val="Tablefonts"/>
              <w:keepLines/>
              <w:spacing w:line="240" w:lineRule="auto"/>
              <w:cnfStyle w:val="000000010000" w:firstRow="0" w:lastRow="0" w:firstColumn="0" w:lastColumn="0" w:oddVBand="0" w:evenVBand="0" w:oddHBand="0" w:evenHBand="1" w:firstRowFirstColumn="0" w:firstRowLastColumn="0" w:lastRowFirstColumn="0" w:lastRowLastColumn="0"/>
              <w:rPr>
                <w:lang w:val="en-GB"/>
              </w:rPr>
            </w:pPr>
            <w:r w:rsidRPr="00221992">
              <w:rPr>
                <w:lang w:val="en-GB"/>
              </w:rPr>
              <w:t>Clinical and cost-effectiveness</w:t>
            </w:r>
          </w:p>
          <w:p w14:paraId="1EC545E1" w14:textId="77777777" w:rsidR="00D95336" w:rsidRPr="00221992" w:rsidRDefault="00D95336" w:rsidP="002573C9">
            <w:pPr>
              <w:pStyle w:val="Tablefonts"/>
              <w:keepLines/>
              <w:spacing w:line="240" w:lineRule="auto"/>
              <w:cnfStyle w:val="000000010000" w:firstRow="0" w:lastRow="0" w:firstColumn="0" w:lastColumn="0" w:oddVBand="0" w:evenVBand="0" w:oddHBand="0" w:evenHBand="1" w:firstRowFirstColumn="0" w:firstRowLastColumn="0" w:lastRowFirstColumn="0" w:lastRowLastColumn="0"/>
              <w:rPr>
                <w:lang w:val="en-GB"/>
              </w:rPr>
            </w:pPr>
            <w:r w:rsidRPr="00221992">
              <w:rPr>
                <w:lang w:val="en-GB"/>
              </w:rPr>
              <w:t>Clinical and cost-effectiveness/MCDA</w:t>
            </w:r>
          </w:p>
          <w:p w14:paraId="1116874E" w14:textId="77777777" w:rsidR="00D95336" w:rsidRPr="00221992" w:rsidRDefault="00D95336" w:rsidP="002573C9">
            <w:pPr>
              <w:pStyle w:val="Tablefonts"/>
              <w:keepLines/>
              <w:spacing w:line="240" w:lineRule="auto"/>
              <w:cnfStyle w:val="000000010000" w:firstRow="0" w:lastRow="0" w:firstColumn="0" w:lastColumn="0" w:oddVBand="0" w:evenVBand="0" w:oddHBand="0" w:evenHBand="1" w:firstRowFirstColumn="0" w:firstRowLastColumn="0" w:lastRowFirstColumn="0" w:lastRowLastColumn="0"/>
              <w:rPr>
                <w:lang w:val="en-GB"/>
              </w:rPr>
            </w:pPr>
          </w:p>
          <w:p w14:paraId="28518884" w14:textId="77777777" w:rsidR="00D95336" w:rsidRPr="00221992" w:rsidRDefault="00D95336" w:rsidP="002573C9">
            <w:pPr>
              <w:pStyle w:val="Tablefonts"/>
              <w:keepLines/>
              <w:spacing w:line="240" w:lineRule="auto"/>
              <w:cnfStyle w:val="000000010000" w:firstRow="0" w:lastRow="0" w:firstColumn="0" w:lastColumn="0" w:oddVBand="0" w:evenVBand="0" w:oddHBand="0" w:evenHBand="1" w:firstRowFirstColumn="0" w:firstRowLastColumn="0" w:lastRowFirstColumn="0" w:lastRowLastColumn="0"/>
              <w:rPr>
                <w:lang w:val="en-GB"/>
              </w:rPr>
            </w:pPr>
          </w:p>
          <w:p w14:paraId="5AEEE6E0" w14:textId="77777777" w:rsidR="00D95336" w:rsidRPr="00221992" w:rsidRDefault="00D95336" w:rsidP="002573C9">
            <w:pPr>
              <w:pStyle w:val="Tablefonts"/>
              <w:keepLines/>
              <w:spacing w:line="240" w:lineRule="auto"/>
              <w:cnfStyle w:val="000000010000" w:firstRow="0" w:lastRow="0" w:firstColumn="0" w:lastColumn="0" w:oddVBand="0" w:evenVBand="0" w:oddHBand="0" w:evenHBand="1" w:firstRowFirstColumn="0" w:firstRowLastColumn="0" w:lastRowFirstColumn="0" w:lastRowLastColumn="0"/>
              <w:rPr>
                <w:lang w:val="en-GB"/>
              </w:rPr>
            </w:pPr>
            <w:r w:rsidRPr="00221992">
              <w:rPr>
                <w:lang w:val="en-GB"/>
              </w:rPr>
              <w:t>Value-based assessment</w:t>
            </w:r>
            <w:r w:rsidRPr="00221992">
              <w:rPr>
                <w:vertAlign w:val="superscript"/>
                <w:lang w:val="en-GB"/>
              </w:rPr>
              <w:t>c</w:t>
            </w:r>
          </w:p>
        </w:tc>
        <w:tc>
          <w:tcPr>
            <w:tcW w:w="3346" w:type="dxa"/>
          </w:tcPr>
          <w:p w14:paraId="1A1BFEB0" w14:textId="77777777" w:rsidR="00D95336" w:rsidRPr="00221992" w:rsidRDefault="00D95336" w:rsidP="002573C9">
            <w:pPr>
              <w:pStyle w:val="Tablefonts"/>
              <w:keepLines/>
              <w:spacing w:line="240" w:lineRule="auto"/>
              <w:cnfStyle w:val="000000010000" w:firstRow="0" w:lastRow="0" w:firstColumn="0" w:lastColumn="0" w:oddVBand="0" w:evenVBand="0" w:oddHBand="0" w:evenHBand="1" w:firstRowFirstColumn="0" w:firstRowLastColumn="0" w:lastRowFirstColumn="0" w:lastRowLastColumn="0"/>
              <w:rPr>
                <w:lang w:val="en-GB"/>
              </w:rPr>
            </w:pPr>
            <w:r w:rsidRPr="00221992">
              <w:rPr>
                <w:lang w:val="en-GB"/>
              </w:rPr>
              <w:t>Austria, Germany, Greece</w:t>
            </w:r>
          </w:p>
          <w:p w14:paraId="3F065B36" w14:textId="77777777" w:rsidR="00D95336" w:rsidRPr="00221992" w:rsidRDefault="00D95336" w:rsidP="002573C9">
            <w:pPr>
              <w:pStyle w:val="Tablefonts"/>
              <w:keepLines/>
              <w:spacing w:line="240" w:lineRule="auto"/>
              <w:cnfStyle w:val="000000010000" w:firstRow="0" w:lastRow="0" w:firstColumn="0" w:lastColumn="0" w:oddVBand="0" w:evenVBand="0" w:oddHBand="0" w:evenHBand="1" w:firstRowFirstColumn="0" w:firstRowLastColumn="0" w:lastRowFirstColumn="0" w:lastRowLastColumn="0"/>
              <w:rPr>
                <w:lang w:val="en-GB"/>
              </w:rPr>
            </w:pPr>
          </w:p>
          <w:p w14:paraId="71E60613" w14:textId="77777777" w:rsidR="00D95336" w:rsidRPr="00221992" w:rsidRDefault="00D95336" w:rsidP="002573C9">
            <w:pPr>
              <w:pStyle w:val="Tablefonts"/>
              <w:keepLines/>
              <w:spacing w:line="240" w:lineRule="auto"/>
              <w:cnfStyle w:val="000000010000" w:firstRow="0" w:lastRow="0" w:firstColumn="0" w:lastColumn="0" w:oddVBand="0" w:evenVBand="0" w:oddHBand="0" w:evenHBand="1" w:firstRowFirstColumn="0" w:firstRowLastColumn="0" w:lastRowFirstColumn="0" w:lastRowLastColumn="0"/>
              <w:rPr>
                <w:lang w:val="en-GB"/>
              </w:rPr>
            </w:pPr>
            <w:r w:rsidRPr="00221992">
              <w:rPr>
                <w:lang w:val="en-GB"/>
              </w:rPr>
              <w:t>Belgium, Canada, Finland, Spain, Wales</w:t>
            </w:r>
          </w:p>
          <w:p w14:paraId="2083F07B" w14:textId="77777777" w:rsidR="00D95336" w:rsidRPr="00221992" w:rsidRDefault="00D95336" w:rsidP="002573C9">
            <w:pPr>
              <w:pStyle w:val="Tablefonts"/>
              <w:keepLines/>
              <w:spacing w:line="240" w:lineRule="auto"/>
              <w:cnfStyle w:val="000000010000" w:firstRow="0" w:lastRow="0" w:firstColumn="0" w:lastColumn="0" w:oddVBand="0" w:evenVBand="0" w:oddHBand="0" w:evenHBand="1" w:firstRowFirstColumn="0" w:firstRowLastColumn="0" w:lastRowFirstColumn="0" w:lastRowLastColumn="0"/>
              <w:rPr>
                <w:lang w:val="en-GB"/>
              </w:rPr>
            </w:pPr>
          </w:p>
          <w:p w14:paraId="00AD4F9E" w14:textId="7E1B8623" w:rsidR="00D95336" w:rsidRPr="00221992" w:rsidRDefault="00D95336" w:rsidP="002573C9">
            <w:pPr>
              <w:pStyle w:val="Tablefonts"/>
              <w:keepLines/>
              <w:spacing w:line="240" w:lineRule="auto"/>
              <w:cnfStyle w:val="000000010000" w:firstRow="0" w:lastRow="0" w:firstColumn="0" w:lastColumn="0" w:oddVBand="0" w:evenVBand="0" w:oddHBand="0" w:evenHBand="1" w:firstRowFirstColumn="0" w:firstRowLastColumn="0" w:lastRowFirstColumn="0" w:lastRowLastColumn="0"/>
              <w:rPr>
                <w:lang w:val="en-GB"/>
              </w:rPr>
            </w:pPr>
            <w:r w:rsidRPr="00221992">
              <w:rPr>
                <w:lang w:val="en-GB"/>
              </w:rPr>
              <w:t xml:space="preserve">Australia, </w:t>
            </w:r>
            <w:r w:rsidR="00213502" w:rsidRPr="00221992">
              <w:rPr>
                <w:lang w:val="en-GB"/>
              </w:rPr>
              <w:t>England/Wales</w:t>
            </w:r>
            <w:r w:rsidRPr="00221992">
              <w:rPr>
                <w:lang w:val="en-GB"/>
              </w:rPr>
              <w:t xml:space="preserve">, France, Scotland, Sweden </w:t>
            </w:r>
          </w:p>
        </w:tc>
      </w:tr>
      <w:tr w:rsidR="00D95336" w:rsidRPr="00221992" w14:paraId="53365D1C" w14:textId="77777777" w:rsidTr="00990A0F">
        <w:tc>
          <w:tcPr>
            <w:cnfStyle w:val="001000000000" w:firstRow="0" w:lastRow="0" w:firstColumn="1" w:lastColumn="0" w:oddVBand="0" w:evenVBand="0" w:oddHBand="0" w:evenHBand="0" w:firstRowFirstColumn="0" w:firstRowLastColumn="0" w:lastRowFirstColumn="0" w:lastRowLastColumn="0"/>
            <w:tcW w:w="1833" w:type="dxa"/>
            <w:shd w:val="clear" w:color="auto" w:fill="1E8BCD"/>
          </w:tcPr>
          <w:p w14:paraId="47CF43C9" w14:textId="77777777" w:rsidR="00D95336" w:rsidRPr="00221992" w:rsidRDefault="00D95336" w:rsidP="002573C9">
            <w:pPr>
              <w:pStyle w:val="Tablefonts"/>
              <w:keepLines/>
              <w:spacing w:line="240" w:lineRule="auto"/>
              <w:rPr>
                <w:lang w:val="en-GB"/>
              </w:rPr>
            </w:pPr>
            <w:r w:rsidRPr="00221992">
              <w:rPr>
                <w:lang w:val="en-GB"/>
              </w:rPr>
              <w:t>Assessment versus appraisal</w:t>
            </w:r>
          </w:p>
        </w:tc>
        <w:tc>
          <w:tcPr>
            <w:tcW w:w="3837" w:type="dxa"/>
          </w:tcPr>
          <w:p w14:paraId="75684301" w14:textId="77777777" w:rsidR="00D95336" w:rsidRPr="00221992" w:rsidRDefault="00D95336" w:rsidP="002573C9">
            <w:pPr>
              <w:pStyle w:val="Tablefonts"/>
              <w:keepLines/>
              <w:spacing w:line="240" w:lineRule="auto"/>
              <w:cnfStyle w:val="000000000000" w:firstRow="0" w:lastRow="0" w:firstColumn="0" w:lastColumn="0" w:oddVBand="0" w:evenVBand="0" w:oddHBand="0" w:evenHBand="0" w:firstRowFirstColumn="0" w:firstRowLastColumn="0" w:lastRowFirstColumn="0" w:lastRowLastColumn="0"/>
              <w:rPr>
                <w:lang w:val="en-GB"/>
              </w:rPr>
            </w:pPr>
            <w:r w:rsidRPr="00221992">
              <w:rPr>
                <w:lang w:val="en-GB"/>
              </w:rPr>
              <w:t>Assessment only</w:t>
            </w:r>
          </w:p>
          <w:p w14:paraId="3BDF82D0" w14:textId="77777777" w:rsidR="00D95336" w:rsidRPr="00221992" w:rsidRDefault="00D95336" w:rsidP="002573C9">
            <w:pPr>
              <w:pStyle w:val="Tablefonts"/>
              <w:keepLines/>
              <w:spacing w:line="240" w:lineRule="auto"/>
              <w:cnfStyle w:val="000000000000" w:firstRow="0" w:lastRow="0" w:firstColumn="0" w:lastColumn="0" w:oddVBand="0" w:evenVBand="0" w:oddHBand="0" w:evenHBand="0" w:firstRowFirstColumn="0" w:firstRowLastColumn="0" w:lastRowFirstColumn="0" w:lastRowLastColumn="0"/>
              <w:rPr>
                <w:lang w:val="en-GB"/>
              </w:rPr>
            </w:pPr>
          </w:p>
          <w:p w14:paraId="08AA2C60" w14:textId="77777777" w:rsidR="00D95336" w:rsidRPr="00221992" w:rsidRDefault="00D95336" w:rsidP="002573C9">
            <w:pPr>
              <w:pStyle w:val="Tablefonts"/>
              <w:keepLines/>
              <w:spacing w:line="240" w:lineRule="auto"/>
              <w:cnfStyle w:val="000000000000" w:firstRow="0" w:lastRow="0" w:firstColumn="0" w:lastColumn="0" w:oddVBand="0" w:evenVBand="0" w:oddHBand="0" w:evenHBand="0" w:firstRowFirstColumn="0" w:firstRowLastColumn="0" w:lastRowFirstColumn="0" w:lastRowLastColumn="0"/>
              <w:rPr>
                <w:lang w:val="en-GB"/>
              </w:rPr>
            </w:pPr>
            <w:r w:rsidRPr="00221992">
              <w:rPr>
                <w:lang w:val="en-GB"/>
              </w:rPr>
              <w:t>Assessment and appraisal</w:t>
            </w:r>
            <w:r w:rsidRPr="00221992">
              <w:rPr>
                <w:vertAlign w:val="superscript"/>
                <w:lang w:val="en-GB"/>
              </w:rPr>
              <w:t>d</w:t>
            </w:r>
          </w:p>
        </w:tc>
        <w:tc>
          <w:tcPr>
            <w:tcW w:w="3346" w:type="dxa"/>
          </w:tcPr>
          <w:p w14:paraId="037504F1" w14:textId="77777777" w:rsidR="00D95336" w:rsidRPr="00221992" w:rsidRDefault="00D95336" w:rsidP="002573C9">
            <w:pPr>
              <w:pStyle w:val="Tablefonts"/>
              <w:keepLines/>
              <w:spacing w:line="240" w:lineRule="auto"/>
              <w:cnfStyle w:val="000000000000" w:firstRow="0" w:lastRow="0" w:firstColumn="0" w:lastColumn="0" w:oddVBand="0" w:evenVBand="0" w:oddHBand="0" w:evenHBand="0" w:firstRowFirstColumn="0" w:firstRowLastColumn="0" w:lastRowFirstColumn="0" w:lastRowLastColumn="0"/>
              <w:rPr>
                <w:lang w:val="en-GB"/>
              </w:rPr>
            </w:pPr>
            <w:r w:rsidRPr="00221992">
              <w:rPr>
                <w:lang w:val="en-GB"/>
              </w:rPr>
              <w:t>Italy, Spain, Canada (regional)</w:t>
            </w:r>
          </w:p>
          <w:p w14:paraId="3B4B4F84" w14:textId="7785CE68" w:rsidR="00D95336" w:rsidRPr="00221992" w:rsidRDefault="00D95336" w:rsidP="002573C9">
            <w:pPr>
              <w:pStyle w:val="Tablefonts"/>
              <w:keepLines/>
              <w:spacing w:line="240" w:lineRule="auto"/>
              <w:cnfStyle w:val="000000000000" w:firstRow="0" w:lastRow="0" w:firstColumn="0" w:lastColumn="0" w:oddVBand="0" w:evenVBand="0" w:oddHBand="0" w:evenHBand="0" w:firstRowFirstColumn="0" w:firstRowLastColumn="0" w:lastRowFirstColumn="0" w:lastRowLastColumn="0"/>
              <w:rPr>
                <w:lang w:val="en-GB"/>
              </w:rPr>
            </w:pPr>
            <w:r w:rsidRPr="00221992">
              <w:rPr>
                <w:lang w:val="en-GB"/>
              </w:rPr>
              <w:t xml:space="preserve">Belgium, France, Canada, Australia, Luxembourg, Sweden, Spain, </w:t>
            </w:r>
            <w:r w:rsidR="00213502" w:rsidRPr="00221992">
              <w:rPr>
                <w:lang w:val="en-GB"/>
              </w:rPr>
              <w:t>England/Wales</w:t>
            </w:r>
            <w:r w:rsidRPr="00221992">
              <w:rPr>
                <w:lang w:val="en-GB"/>
              </w:rPr>
              <w:t>, Scotland, Wales</w:t>
            </w:r>
          </w:p>
        </w:tc>
      </w:tr>
      <w:tr w:rsidR="00D95336" w:rsidRPr="00221992" w14:paraId="65DBC185" w14:textId="77777777" w:rsidTr="00990A0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3" w:type="dxa"/>
            <w:shd w:val="clear" w:color="auto" w:fill="1E8BCD"/>
          </w:tcPr>
          <w:p w14:paraId="679ED310" w14:textId="77777777" w:rsidR="00D95336" w:rsidRPr="00221992" w:rsidRDefault="00D95336" w:rsidP="002573C9">
            <w:pPr>
              <w:pStyle w:val="Tablefonts"/>
              <w:keepLines/>
              <w:spacing w:line="240" w:lineRule="auto"/>
              <w:rPr>
                <w:lang w:val="en-GB"/>
              </w:rPr>
            </w:pPr>
            <w:r w:rsidRPr="00221992">
              <w:rPr>
                <w:lang w:val="en-GB"/>
              </w:rPr>
              <w:t>Stakeholder involvement in HTA</w:t>
            </w:r>
          </w:p>
        </w:tc>
        <w:tc>
          <w:tcPr>
            <w:tcW w:w="3837" w:type="dxa"/>
          </w:tcPr>
          <w:p w14:paraId="5313E920" w14:textId="77777777" w:rsidR="00D95336" w:rsidRPr="00221992" w:rsidRDefault="00D95336" w:rsidP="002573C9">
            <w:pPr>
              <w:pStyle w:val="Tablefonts"/>
              <w:keepLines/>
              <w:spacing w:line="240" w:lineRule="auto"/>
              <w:cnfStyle w:val="000000010000" w:firstRow="0" w:lastRow="0" w:firstColumn="0" w:lastColumn="0" w:oddVBand="0" w:evenVBand="0" w:oddHBand="0" w:evenHBand="1" w:firstRowFirstColumn="0" w:firstRowLastColumn="0" w:lastRowFirstColumn="0" w:lastRowLastColumn="0"/>
              <w:rPr>
                <w:lang w:val="en-GB"/>
              </w:rPr>
            </w:pPr>
            <w:r w:rsidRPr="00221992">
              <w:rPr>
                <w:lang w:val="en-GB"/>
              </w:rPr>
              <w:t>Stakeholder participation as members of HTA committee</w:t>
            </w:r>
          </w:p>
          <w:p w14:paraId="3DE34213" w14:textId="77777777" w:rsidR="00D95336" w:rsidRPr="00221992" w:rsidRDefault="00D95336" w:rsidP="002573C9">
            <w:pPr>
              <w:pStyle w:val="Tablefonts"/>
              <w:keepLines/>
              <w:spacing w:line="240" w:lineRule="auto"/>
              <w:cnfStyle w:val="000000010000" w:firstRow="0" w:lastRow="0" w:firstColumn="0" w:lastColumn="0" w:oddVBand="0" w:evenVBand="0" w:oddHBand="0" w:evenHBand="1" w:firstRowFirstColumn="0" w:firstRowLastColumn="0" w:lastRowFirstColumn="0" w:lastRowLastColumn="0"/>
              <w:rPr>
                <w:lang w:val="en-GB"/>
              </w:rPr>
            </w:pPr>
          </w:p>
          <w:p w14:paraId="526A9763" w14:textId="77777777" w:rsidR="00D95336" w:rsidRPr="00221992" w:rsidRDefault="00D95336" w:rsidP="002573C9">
            <w:pPr>
              <w:pStyle w:val="Tablefonts"/>
              <w:keepLines/>
              <w:spacing w:line="240" w:lineRule="auto"/>
              <w:cnfStyle w:val="000000010000" w:firstRow="0" w:lastRow="0" w:firstColumn="0" w:lastColumn="0" w:oddVBand="0" w:evenVBand="0" w:oddHBand="0" w:evenHBand="1" w:firstRowFirstColumn="0" w:firstRowLastColumn="0" w:lastRowFirstColumn="0" w:lastRowLastColumn="0"/>
              <w:rPr>
                <w:lang w:val="en-GB"/>
              </w:rPr>
            </w:pPr>
            <w:r w:rsidRPr="00221992">
              <w:rPr>
                <w:lang w:val="en-GB"/>
              </w:rPr>
              <w:t>Stakeholders through public calls</w:t>
            </w:r>
          </w:p>
        </w:tc>
        <w:tc>
          <w:tcPr>
            <w:tcW w:w="3346" w:type="dxa"/>
          </w:tcPr>
          <w:p w14:paraId="5E3E8B8D" w14:textId="77777777" w:rsidR="00D95336" w:rsidRPr="00221992" w:rsidRDefault="00D95336" w:rsidP="002573C9">
            <w:pPr>
              <w:pStyle w:val="Tablefonts"/>
              <w:keepLines/>
              <w:spacing w:line="240" w:lineRule="auto"/>
              <w:cnfStyle w:val="000000010000" w:firstRow="0" w:lastRow="0" w:firstColumn="0" w:lastColumn="0" w:oddVBand="0" w:evenVBand="0" w:oddHBand="0" w:evenHBand="1" w:firstRowFirstColumn="0" w:firstRowLastColumn="0" w:lastRowFirstColumn="0" w:lastRowLastColumn="0"/>
              <w:rPr>
                <w:lang w:val="en-GB"/>
              </w:rPr>
            </w:pPr>
            <w:r w:rsidRPr="00221992">
              <w:rPr>
                <w:lang w:val="en-GB"/>
              </w:rPr>
              <w:t xml:space="preserve">Australia, Belgium, Canada, Finland, France, Germany, the Netherlands, Spain, Sweden </w:t>
            </w:r>
          </w:p>
          <w:p w14:paraId="207C9137" w14:textId="77777777" w:rsidR="00D95336" w:rsidRPr="00221992" w:rsidRDefault="00D95336" w:rsidP="002573C9">
            <w:pPr>
              <w:pStyle w:val="Tablefonts"/>
              <w:keepLines/>
              <w:spacing w:line="240" w:lineRule="auto"/>
              <w:cnfStyle w:val="000000010000" w:firstRow="0" w:lastRow="0" w:firstColumn="0" w:lastColumn="0" w:oddVBand="0" w:evenVBand="0" w:oddHBand="0" w:evenHBand="1" w:firstRowFirstColumn="0" w:firstRowLastColumn="0" w:lastRowFirstColumn="0" w:lastRowLastColumn="0"/>
              <w:rPr>
                <w:lang w:val="en-GB"/>
              </w:rPr>
            </w:pPr>
            <w:r w:rsidRPr="00221992">
              <w:rPr>
                <w:lang w:val="en-GB"/>
              </w:rPr>
              <w:t>UK</w:t>
            </w:r>
          </w:p>
        </w:tc>
      </w:tr>
      <w:tr w:rsidR="00D95336" w:rsidRPr="00221992" w14:paraId="1FBCD9F6" w14:textId="77777777" w:rsidTr="00990A0F">
        <w:tc>
          <w:tcPr>
            <w:cnfStyle w:val="001000000000" w:firstRow="0" w:lastRow="0" w:firstColumn="1" w:lastColumn="0" w:oddVBand="0" w:evenVBand="0" w:oddHBand="0" w:evenHBand="0" w:firstRowFirstColumn="0" w:firstRowLastColumn="0" w:lastRowFirstColumn="0" w:lastRowLastColumn="0"/>
            <w:tcW w:w="1833" w:type="dxa"/>
            <w:shd w:val="clear" w:color="auto" w:fill="1E8BCD"/>
          </w:tcPr>
          <w:p w14:paraId="3A9C03A7" w14:textId="77777777" w:rsidR="00D95336" w:rsidRPr="00221992" w:rsidRDefault="00D95336" w:rsidP="002573C9">
            <w:pPr>
              <w:pStyle w:val="Tablefonts"/>
              <w:keepLines/>
              <w:spacing w:line="240" w:lineRule="auto"/>
              <w:rPr>
                <w:lang w:val="en-GB"/>
              </w:rPr>
            </w:pPr>
            <w:r w:rsidRPr="00221992">
              <w:rPr>
                <w:lang w:val="en-GB"/>
              </w:rPr>
              <w:t>HTA recommendations and funding decisions</w:t>
            </w:r>
          </w:p>
        </w:tc>
        <w:tc>
          <w:tcPr>
            <w:tcW w:w="3837" w:type="dxa"/>
          </w:tcPr>
          <w:p w14:paraId="0E44EC92" w14:textId="77777777" w:rsidR="00D95336" w:rsidRPr="00221992" w:rsidRDefault="00D95336" w:rsidP="002573C9">
            <w:pPr>
              <w:pStyle w:val="Tablefonts"/>
              <w:keepLines/>
              <w:spacing w:line="240" w:lineRule="auto"/>
              <w:cnfStyle w:val="000000000000" w:firstRow="0" w:lastRow="0" w:firstColumn="0" w:lastColumn="0" w:oddVBand="0" w:evenVBand="0" w:oddHBand="0" w:evenHBand="0" w:firstRowFirstColumn="0" w:firstRowLastColumn="0" w:lastRowFirstColumn="0" w:lastRowLastColumn="0"/>
              <w:rPr>
                <w:lang w:val="en-GB"/>
              </w:rPr>
            </w:pPr>
            <w:r w:rsidRPr="00221992">
              <w:rPr>
                <w:lang w:val="en-GB"/>
              </w:rPr>
              <w:t>Binding</w:t>
            </w:r>
          </w:p>
          <w:p w14:paraId="05345AC9" w14:textId="77777777" w:rsidR="00D95336" w:rsidRPr="00221992" w:rsidRDefault="00D95336" w:rsidP="002573C9">
            <w:pPr>
              <w:pStyle w:val="Tablefonts"/>
              <w:keepLines/>
              <w:spacing w:line="240" w:lineRule="auto"/>
              <w:cnfStyle w:val="000000000000" w:firstRow="0" w:lastRow="0" w:firstColumn="0" w:lastColumn="0" w:oddVBand="0" w:evenVBand="0" w:oddHBand="0" w:evenHBand="0" w:firstRowFirstColumn="0" w:firstRowLastColumn="0" w:lastRowFirstColumn="0" w:lastRowLastColumn="0"/>
              <w:rPr>
                <w:lang w:val="en-GB"/>
              </w:rPr>
            </w:pPr>
            <w:r w:rsidRPr="00221992">
              <w:rPr>
                <w:lang w:val="en-GB"/>
              </w:rPr>
              <w:t>Non-binding</w:t>
            </w:r>
          </w:p>
        </w:tc>
        <w:tc>
          <w:tcPr>
            <w:tcW w:w="3346" w:type="dxa"/>
          </w:tcPr>
          <w:p w14:paraId="448B77E8" w14:textId="77777777" w:rsidR="00D95336" w:rsidRPr="00221992" w:rsidRDefault="00D95336" w:rsidP="002573C9">
            <w:pPr>
              <w:pStyle w:val="Tablefonts"/>
              <w:keepLines/>
              <w:spacing w:line="240" w:lineRule="auto"/>
              <w:cnfStyle w:val="000000000000" w:firstRow="0" w:lastRow="0" w:firstColumn="0" w:lastColumn="0" w:oddVBand="0" w:evenVBand="0" w:oddHBand="0" w:evenHBand="0" w:firstRowFirstColumn="0" w:firstRowLastColumn="0" w:lastRowFirstColumn="0" w:lastRowLastColumn="0"/>
              <w:rPr>
                <w:lang w:val="en-GB"/>
              </w:rPr>
            </w:pPr>
            <w:r w:rsidRPr="00221992">
              <w:rPr>
                <w:lang w:val="en-GB"/>
              </w:rPr>
              <w:t>Finland, Germany, Italy, Sweden</w:t>
            </w:r>
          </w:p>
          <w:p w14:paraId="3583E389" w14:textId="2BC558AB" w:rsidR="00D95336" w:rsidRPr="00221992" w:rsidRDefault="00D95336" w:rsidP="002573C9">
            <w:pPr>
              <w:pStyle w:val="Tablefonts"/>
              <w:keepLines/>
              <w:spacing w:line="240" w:lineRule="auto"/>
              <w:cnfStyle w:val="000000000000" w:firstRow="0" w:lastRow="0" w:firstColumn="0" w:lastColumn="0" w:oddVBand="0" w:evenVBand="0" w:oddHBand="0" w:evenHBand="0" w:firstRowFirstColumn="0" w:firstRowLastColumn="0" w:lastRowFirstColumn="0" w:lastRowLastColumn="0"/>
              <w:rPr>
                <w:lang w:val="en-GB"/>
              </w:rPr>
            </w:pPr>
            <w:r w:rsidRPr="00221992">
              <w:rPr>
                <w:lang w:val="en-GB"/>
              </w:rPr>
              <w:t xml:space="preserve">Australia, Belgium, Canada, Finland, France, Italy (regional), the Netherlands, Spain, </w:t>
            </w:r>
            <w:r w:rsidR="00564DF7">
              <w:rPr>
                <w:lang w:val="en-GB"/>
              </w:rPr>
              <w:t>England/</w:t>
            </w:r>
            <w:r w:rsidRPr="00221992">
              <w:rPr>
                <w:lang w:val="en-GB"/>
              </w:rPr>
              <w:t xml:space="preserve">Wales </w:t>
            </w:r>
          </w:p>
        </w:tc>
      </w:tr>
      <w:tr w:rsidR="00D95336" w:rsidRPr="00221992" w14:paraId="53191967" w14:textId="77777777" w:rsidTr="00990A0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3" w:type="dxa"/>
            <w:shd w:val="clear" w:color="auto" w:fill="1E8BCD"/>
          </w:tcPr>
          <w:p w14:paraId="2B026804" w14:textId="77777777" w:rsidR="00D95336" w:rsidRPr="00221992" w:rsidRDefault="00D95336" w:rsidP="002573C9">
            <w:pPr>
              <w:pStyle w:val="Tablefonts"/>
              <w:keepLines/>
              <w:spacing w:line="240" w:lineRule="auto"/>
              <w:rPr>
                <w:lang w:val="en-GB"/>
              </w:rPr>
            </w:pPr>
            <w:r w:rsidRPr="00221992">
              <w:rPr>
                <w:lang w:val="en-GB"/>
              </w:rPr>
              <w:t>Publicly available reports</w:t>
            </w:r>
          </w:p>
        </w:tc>
        <w:tc>
          <w:tcPr>
            <w:tcW w:w="3837" w:type="dxa"/>
          </w:tcPr>
          <w:p w14:paraId="165D3D65" w14:textId="77777777" w:rsidR="00D95336" w:rsidRPr="00221992" w:rsidRDefault="00D95336" w:rsidP="002573C9">
            <w:pPr>
              <w:pStyle w:val="Tablefonts"/>
              <w:keepLines/>
              <w:spacing w:line="240" w:lineRule="auto"/>
              <w:cnfStyle w:val="000000010000" w:firstRow="0" w:lastRow="0" w:firstColumn="0" w:lastColumn="0" w:oddVBand="0" w:evenVBand="0" w:oddHBand="0" w:evenHBand="1" w:firstRowFirstColumn="0" w:firstRowLastColumn="0" w:lastRowFirstColumn="0" w:lastRowLastColumn="0"/>
              <w:rPr>
                <w:lang w:val="en-GB"/>
              </w:rPr>
            </w:pPr>
            <w:r w:rsidRPr="00221992">
              <w:rPr>
                <w:lang w:val="en-GB"/>
              </w:rPr>
              <w:t>Yes</w:t>
            </w:r>
          </w:p>
          <w:p w14:paraId="1208FA4D" w14:textId="77777777" w:rsidR="00D95336" w:rsidRPr="00221992" w:rsidRDefault="00D95336" w:rsidP="002573C9">
            <w:pPr>
              <w:pStyle w:val="Tablefonts"/>
              <w:keepLines/>
              <w:spacing w:line="240" w:lineRule="auto"/>
              <w:cnfStyle w:val="000000010000" w:firstRow="0" w:lastRow="0" w:firstColumn="0" w:lastColumn="0" w:oddVBand="0" w:evenVBand="0" w:oddHBand="0" w:evenHBand="1" w:firstRowFirstColumn="0" w:firstRowLastColumn="0" w:lastRowFirstColumn="0" w:lastRowLastColumn="0"/>
              <w:rPr>
                <w:lang w:val="en-GB"/>
              </w:rPr>
            </w:pPr>
          </w:p>
          <w:p w14:paraId="7D770EB2" w14:textId="77777777" w:rsidR="00D95336" w:rsidRPr="00221992" w:rsidRDefault="00D95336" w:rsidP="002573C9">
            <w:pPr>
              <w:pStyle w:val="Tablefonts"/>
              <w:keepLines/>
              <w:spacing w:line="240" w:lineRule="auto"/>
              <w:cnfStyle w:val="000000010000" w:firstRow="0" w:lastRow="0" w:firstColumn="0" w:lastColumn="0" w:oddVBand="0" w:evenVBand="0" w:oddHBand="0" w:evenHBand="1" w:firstRowFirstColumn="0" w:firstRowLastColumn="0" w:lastRowFirstColumn="0" w:lastRowLastColumn="0"/>
              <w:rPr>
                <w:lang w:val="en-GB"/>
              </w:rPr>
            </w:pPr>
          </w:p>
          <w:p w14:paraId="5B7BC1BE" w14:textId="77777777" w:rsidR="00D95336" w:rsidRPr="00221992" w:rsidRDefault="00D95336" w:rsidP="002573C9">
            <w:pPr>
              <w:pStyle w:val="Tablefonts"/>
              <w:keepLines/>
              <w:spacing w:line="240" w:lineRule="auto"/>
              <w:cnfStyle w:val="000000010000" w:firstRow="0" w:lastRow="0" w:firstColumn="0" w:lastColumn="0" w:oddVBand="0" w:evenVBand="0" w:oddHBand="0" w:evenHBand="1" w:firstRowFirstColumn="0" w:firstRowLastColumn="0" w:lastRowFirstColumn="0" w:lastRowLastColumn="0"/>
              <w:rPr>
                <w:lang w:val="en-GB"/>
              </w:rPr>
            </w:pPr>
          </w:p>
          <w:p w14:paraId="35C47243" w14:textId="77777777" w:rsidR="00D95336" w:rsidRPr="00221992" w:rsidRDefault="00D95336" w:rsidP="002573C9">
            <w:pPr>
              <w:pStyle w:val="Tablefonts"/>
              <w:keepLines/>
              <w:spacing w:line="240" w:lineRule="auto"/>
              <w:cnfStyle w:val="000000010000" w:firstRow="0" w:lastRow="0" w:firstColumn="0" w:lastColumn="0" w:oddVBand="0" w:evenVBand="0" w:oddHBand="0" w:evenHBand="1" w:firstRowFirstColumn="0" w:firstRowLastColumn="0" w:lastRowFirstColumn="0" w:lastRowLastColumn="0"/>
              <w:rPr>
                <w:lang w:val="en-GB"/>
              </w:rPr>
            </w:pPr>
            <w:r w:rsidRPr="00221992">
              <w:rPr>
                <w:lang w:val="en-GB"/>
              </w:rPr>
              <w:t>No</w:t>
            </w:r>
          </w:p>
        </w:tc>
        <w:tc>
          <w:tcPr>
            <w:tcW w:w="3346" w:type="dxa"/>
          </w:tcPr>
          <w:p w14:paraId="4C603ED1" w14:textId="7F434E74" w:rsidR="00D95336" w:rsidRPr="00221992" w:rsidRDefault="00D95336" w:rsidP="002573C9">
            <w:pPr>
              <w:pStyle w:val="Tablefonts"/>
              <w:keepLines/>
              <w:spacing w:line="240" w:lineRule="auto"/>
              <w:cnfStyle w:val="000000010000" w:firstRow="0" w:lastRow="0" w:firstColumn="0" w:lastColumn="0" w:oddVBand="0" w:evenVBand="0" w:oddHBand="0" w:evenHBand="1" w:firstRowFirstColumn="0" w:firstRowLastColumn="0" w:lastRowFirstColumn="0" w:lastRowLastColumn="0"/>
              <w:rPr>
                <w:lang w:val="en-GB"/>
              </w:rPr>
            </w:pPr>
            <w:r w:rsidRPr="00221992">
              <w:rPr>
                <w:lang w:val="en-GB"/>
              </w:rPr>
              <w:t xml:space="preserve">Australia, Belgium, Canada, </w:t>
            </w:r>
            <w:r w:rsidR="00213502" w:rsidRPr="00221992">
              <w:rPr>
                <w:lang w:val="en-GB"/>
              </w:rPr>
              <w:t>England/Wales</w:t>
            </w:r>
            <w:r w:rsidRPr="00221992">
              <w:rPr>
                <w:lang w:val="en-GB"/>
              </w:rPr>
              <w:t>, Germany, the Netherlands, Scotland, Sweden, Spain</w:t>
            </w:r>
          </w:p>
          <w:p w14:paraId="2356C6E6" w14:textId="77777777" w:rsidR="00D95336" w:rsidRPr="00221992" w:rsidRDefault="00D95336" w:rsidP="002573C9">
            <w:pPr>
              <w:pStyle w:val="Tablefonts"/>
              <w:keepLines/>
              <w:spacing w:line="240" w:lineRule="auto"/>
              <w:cnfStyle w:val="000000010000" w:firstRow="0" w:lastRow="0" w:firstColumn="0" w:lastColumn="0" w:oddVBand="0" w:evenVBand="0" w:oddHBand="0" w:evenHBand="1" w:firstRowFirstColumn="0" w:firstRowLastColumn="0" w:lastRowFirstColumn="0" w:lastRowLastColumn="0"/>
              <w:rPr>
                <w:lang w:val="en-GB"/>
              </w:rPr>
            </w:pPr>
            <w:r w:rsidRPr="00221992">
              <w:rPr>
                <w:lang w:val="en-GB"/>
              </w:rPr>
              <w:t>Luxembourg</w:t>
            </w:r>
          </w:p>
        </w:tc>
      </w:tr>
    </w:tbl>
    <w:p w14:paraId="6F31ED2F" w14:textId="2B69FF9C" w:rsidR="005F0F80" w:rsidRPr="00221992" w:rsidRDefault="00D95336" w:rsidP="00533CF1">
      <w:pPr>
        <w:pStyle w:val="TableNotes"/>
        <w:rPr>
          <w:lang w:val="en-GB"/>
        </w:rPr>
      </w:pPr>
      <w:r w:rsidRPr="00221992">
        <w:rPr>
          <w:lang w:val="en-GB"/>
        </w:rPr>
        <w:t>Source:</w:t>
      </w:r>
      <w:r w:rsidR="009D02BA" w:rsidRPr="00221992">
        <w:rPr>
          <w:lang w:val="en-GB"/>
        </w:rPr>
        <w:t xml:space="preserve"> </w:t>
      </w:r>
      <w:r w:rsidR="005F0F80" w:rsidRPr="00221992">
        <w:rPr>
          <w:lang w:val="en-GB"/>
        </w:rPr>
        <w:tab/>
      </w:r>
      <w:r w:rsidRPr="00221992">
        <w:rPr>
          <w:lang w:val="en-GB"/>
        </w:rPr>
        <w:t>Fontrier, A. et al. (2022)</w:t>
      </w:r>
    </w:p>
    <w:p w14:paraId="14258CDE" w14:textId="222D5365" w:rsidR="005F0F80" w:rsidRPr="00221992" w:rsidRDefault="009D02BA" w:rsidP="00533CF1">
      <w:pPr>
        <w:pStyle w:val="TableNotes"/>
        <w:rPr>
          <w:lang w:val="en-GB"/>
        </w:rPr>
      </w:pPr>
      <w:r w:rsidRPr="00221992">
        <w:rPr>
          <w:lang w:val="en-GB"/>
        </w:rPr>
        <w:t>Acronyms:</w:t>
      </w:r>
      <w:r w:rsidR="005F0F80" w:rsidRPr="00221992">
        <w:rPr>
          <w:lang w:val="en-GB"/>
        </w:rPr>
        <w:tab/>
      </w:r>
      <w:r w:rsidR="00241098" w:rsidRPr="00221992">
        <w:rPr>
          <w:lang w:val="en-GB"/>
        </w:rPr>
        <w:t>CADTH</w:t>
      </w:r>
      <w:r w:rsidR="00ED690B" w:rsidRPr="00221992">
        <w:rPr>
          <w:lang w:val="en-GB"/>
        </w:rPr>
        <w:t>,</w:t>
      </w:r>
      <w:r w:rsidR="00241098" w:rsidRPr="00221992">
        <w:rPr>
          <w:lang w:val="en-GB"/>
        </w:rPr>
        <w:t xml:space="preserve"> Canadian Agency for Drugs and Technologies in Health; </w:t>
      </w:r>
      <w:r w:rsidR="00D95336" w:rsidRPr="00221992">
        <w:rPr>
          <w:lang w:val="en-GB"/>
        </w:rPr>
        <w:t>HTA</w:t>
      </w:r>
      <w:r w:rsidR="00ED690B" w:rsidRPr="00221992">
        <w:rPr>
          <w:lang w:val="en-GB"/>
        </w:rPr>
        <w:t>,</w:t>
      </w:r>
      <w:r w:rsidR="00D95336" w:rsidRPr="00221992">
        <w:rPr>
          <w:lang w:val="en-GB"/>
        </w:rPr>
        <w:t xml:space="preserve"> health technology assessment; MCDA</w:t>
      </w:r>
      <w:r w:rsidR="00ED690B" w:rsidRPr="00221992">
        <w:rPr>
          <w:lang w:val="en-GB"/>
        </w:rPr>
        <w:t>,</w:t>
      </w:r>
      <w:r w:rsidR="00D95336" w:rsidRPr="00221992">
        <w:rPr>
          <w:lang w:val="en-GB"/>
        </w:rPr>
        <w:t xml:space="preserve"> multiple-criteria decision analysis</w:t>
      </w:r>
      <w:r w:rsidR="00E47192" w:rsidRPr="00221992">
        <w:rPr>
          <w:lang w:val="en-GB"/>
        </w:rPr>
        <w:t>; NICE</w:t>
      </w:r>
      <w:r w:rsidR="00ED690B" w:rsidRPr="00221992">
        <w:rPr>
          <w:lang w:val="en-GB"/>
        </w:rPr>
        <w:t>,</w:t>
      </w:r>
      <w:r w:rsidR="00E47192" w:rsidRPr="00221992">
        <w:rPr>
          <w:lang w:val="en-GB"/>
        </w:rPr>
        <w:t xml:space="preserve"> The National Institute for Health and Care Excellence; PBAC</w:t>
      </w:r>
      <w:r w:rsidR="00ED690B" w:rsidRPr="00221992">
        <w:rPr>
          <w:lang w:val="en-GB"/>
        </w:rPr>
        <w:t>,</w:t>
      </w:r>
      <w:r w:rsidR="00E47192" w:rsidRPr="00221992">
        <w:rPr>
          <w:lang w:val="en-GB"/>
        </w:rPr>
        <w:t xml:space="preserve"> Pharmaceutical Benefits Advisory </w:t>
      </w:r>
      <w:r w:rsidR="00193E07" w:rsidRPr="00221992">
        <w:rPr>
          <w:lang w:val="en-GB"/>
        </w:rPr>
        <w:t>Committee</w:t>
      </w:r>
    </w:p>
    <w:p w14:paraId="24CFF6C5" w14:textId="12A40D79" w:rsidR="009D02BA" w:rsidRPr="00221992" w:rsidRDefault="009D02BA" w:rsidP="00533CF1">
      <w:pPr>
        <w:pStyle w:val="TableNotes"/>
        <w:rPr>
          <w:lang w:val="en-GB"/>
        </w:rPr>
      </w:pPr>
      <w:r w:rsidRPr="00221992">
        <w:rPr>
          <w:lang w:val="en-GB"/>
        </w:rPr>
        <w:t xml:space="preserve">Notes: </w:t>
      </w:r>
      <w:r w:rsidR="005F0F80" w:rsidRPr="00221992">
        <w:rPr>
          <w:lang w:val="en-GB"/>
        </w:rPr>
        <w:tab/>
      </w:r>
      <w:r w:rsidR="00D95336" w:rsidRPr="00221992">
        <w:rPr>
          <w:vertAlign w:val="superscript"/>
          <w:lang w:val="en-GB"/>
        </w:rPr>
        <w:t>a</w:t>
      </w:r>
      <w:r w:rsidR="00D95336" w:rsidRPr="00221992">
        <w:rPr>
          <w:lang w:val="en-GB"/>
        </w:rPr>
        <w:t xml:space="preserve"> Arm</w:t>
      </w:r>
      <w:r w:rsidR="00551786">
        <w:rPr>
          <w:lang w:val="en-GB"/>
        </w:rPr>
        <w:t>’</w:t>
      </w:r>
      <w:r w:rsidR="00D95336" w:rsidRPr="00221992">
        <w:rPr>
          <w:lang w:val="en-GB"/>
        </w:rPr>
        <w:t>s length governance avoids undue government influence, whilst still receiving government funding</w:t>
      </w:r>
      <w:r w:rsidR="0096020C" w:rsidRPr="00221992">
        <w:rPr>
          <w:lang w:val="en-GB"/>
        </w:rPr>
        <w:t>, noting that NICE and CADTH are independent agencies, but in Australia the PBAC is independent, but staffed by employees of the Department of Health</w:t>
      </w:r>
      <w:r w:rsidR="00D95336" w:rsidRPr="00221992">
        <w:rPr>
          <w:lang w:val="en-GB"/>
        </w:rPr>
        <w:t>.</w:t>
      </w:r>
      <w:r w:rsidRPr="00221992">
        <w:rPr>
          <w:lang w:val="en-GB"/>
        </w:rPr>
        <w:t xml:space="preserve"> </w:t>
      </w:r>
      <w:r w:rsidR="00D95336" w:rsidRPr="00221992">
        <w:rPr>
          <w:vertAlign w:val="superscript"/>
          <w:lang w:val="en-GB"/>
        </w:rPr>
        <w:t>b</w:t>
      </w:r>
      <w:r w:rsidR="00D95336" w:rsidRPr="00221992">
        <w:rPr>
          <w:lang w:val="en-GB"/>
        </w:rPr>
        <w:t xml:space="preserve"> </w:t>
      </w:r>
      <w:r w:rsidR="00551786">
        <w:rPr>
          <w:lang w:val="en-GB"/>
        </w:rPr>
        <w:t>‘</w:t>
      </w:r>
      <w:r w:rsidR="00D95336" w:rsidRPr="00221992">
        <w:rPr>
          <w:lang w:val="en-GB"/>
        </w:rPr>
        <w:t>Other technologies</w:t>
      </w:r>
      <w:r w:rsidR="00551786">
        <w:rPr>
          <w:lang w:val="en-GB"/>
        </w:rPr>
        <w:t>’</w:t>
      </w:r>
      <w:r w:rsidR="00D95336" w:rsidRPr="00221992">
        <w:rPr>
          <w:lang w:val="en-GB"/>
        </w:rPr>
        <w:t xml:space="preserve"> refers to public health interventions such as screening programmes, vaccination campaigns, evaluation of surgical and non-surgical interventional procedures, stem cell therapies, innovative cancer vaccines, cell and gene therapies, and other forms of personalised treatments</w:t>
      </w:r>
      <w:r w:rsidRPr="00221992">
        <w:rPr>
          <w:lang w:val="en-GB"/>
        </w:rPr>
        <w:t xml:space="preserve">; </w:t>
      </w:r>
      <w:r w:rsidR="00D95336" w:rsidRPr="00221992">
        <w:rPr>
          <w:vertAlign w:val="superscript"/>
          <w:lang w:val="en-GB"/>
        </w:rPr>
        <w:t>c</w:t>
      </w:r>
      <w:r w:rsidR="00D95336" w:rsidRPr="00221992">
        <w:rPr>
          <w:lang w:val="en-GB"/>
        </w:rPr>
        <w:t xml:space="preserve"> value-based assessments take into consideration explicitly additional dimensions of value beyond effects and/or costs that are considered important, such as disease severity, burden of disease, treatment innovativeness and equity considerations.</w:t>
      </w:r>
      <w:r w:rsidRPr="00221992">
        <w:rPr>
          <w:lang w:val="en-GB"/>
        </w:rPr>
        <w:t xml:space="preserve"> </w:t>
      </w:r>
      <w:r w:rsidR="00D95336" w:rsidRPr="00221992">
        <w:rPr>
          <w:vertAlign w:val="superscript"/>
          <w:lang w:val="en-GB"/>
        </w:rPr>
        <w:t>d</w:t>
      </w:r>
      <w:r w:rsidR="00D95336" w:rsidRPr="00221992">
        <w:rPr>
          <w:lang w:val="en-GB"/>
        </w:rPr>
        <w:t xml:space="preserve"> See Appendix </w:t>
      </w:r>
      <w:r w:rsidR="00FC2972" w:rsidRPr="00221992">
        <w:rPr>
          <w:lang w:val="en-GB"/>
        </w:rPr>
        <w:t>3</w:t>
      </w:r>
      <w:r w:rsidR="00D95336" w:rsidRPr="00221992">
        <w:rPr>
          <w:lang w:val="en-GB"/>
        </w:rPr>
        <w:t xml:space="preserve">, </w:t>
      </w:r>
      <w:r w:rsidR="00D95336" w:rsidRPr="00221992">
        <w:rPr>
          <w:lang w:val="en-GB"/>
        </w:rPr>
        <w:fldChar w:fldCharType="begin"/>
      </w:r>
      <w:r w:rsidR="00D95336" w:rsidRPr="005F0F80">
        <w:instrText xml:space="preserve"> REF _Ref142993138 \h  \* MERGEFORMAT </w:instrText>
      </w:r>
      <w:r w:rsidR="00D95336" w:rsidRPr="00221992">
        <w:rPr>
          <w:lang w:val="en-GB"/>
        </w:rPr>
      </w:r>
      <w:r w:rsidR="00D95336" w:rsidRPr="00221992">
        <w:rPr>
          <w:lang w:val="en-GB"/>
        </w:rPr>
        <w:fldChar w:fldCharType="separate"/>
      </w:r>
      <w:r w:rsidR="000E11E7" w:rsidRPr="00221992">
        <w:rPr>
          <w:lang w:val="en-GB"/>
        </w:rPr>
        <w:t xml:space="preserve">Figure </w:t>
      </w:r>
      <w:r w:rsidR="000E11E7">
        <w:rPr>
          <w:noProof/>
        </w:rPr>
        <w:t>38</w:t>
      </w:r>
      <w:r w:rsidR="00D95336" w:rsidRPr="00221992">
        <w:rPr>
          <w:lang w:val="en-GB"/>
        </w:rPr>
        <w:fldChar w:fldCharType="end"/>
      </w:r>
      <w:r w:rsidR="00462850" w:rsidRPr="00221992">
        <w:rPr>
          <w:lang w:val="en-GB"/>
        </w:rPr>
        <w:t>.</w:t>
      </w:r>
    </w:p>
    <w:p w14:paraId="185C2D9C" w14:textId="6E4559B4" w:rsidR="00D95336" w:rsidRPr="00221992" w:rsidRDefault="00D95336" w:rsidP="00702C58">
      <w:pPr>
        <w:rPr>
          <w:lang w:val="en-GB"/>
        </w:rPr>
      </w:pPr>
      <w:r w:rsidRPr="00221992">
        <w:rPr>
          <w:lang w:val="en-GB"/>
        </w:rPr>
        <w:t xml:space="preserve">Evidence for new technologies can be evaluated and quantified in a range of ways, such as through their clinical benefit and </w:t>
      </w:r>
      <w:r w:rsidR="00FC2972" w:rsidRPr="00221992">
        <w:rPr>
          <w:lang w:val="en-GB"/>
        </w:rPr>
        <w:t>i</w:t>
      </w:r>
      <w:r w:rsidRPr="00221992">
        <w:rPr>
          <w:lang w:val="en-GB"/>
        </w:rPr>
        <w:t xml:space="preserve">ncremental </w:t>
      </w:r>
      <w:r w:rsidR="00FC2972" w:rsidRPr="00221992">
        <w:rPr>
          <w:lang w:val="en-GB"/>
        </w:rPr>
        <w:t>c</w:t>
      </w:r>
      <w:r w:rsidRPr="00221992">
        <w:rPr>
          <w:lang w:val="en-GB"/>
        </w:rPr>
        <w:t>ost-</w:t>
      </w:r>
      <w:r w:rsidR="00FC2972" w:rsidRPr="00221992">
        <w:rPr>
          <w:lang w:val="en-GB"/>
        </w:rPr>
        <w:t>e</w:t>
      </w:r>
      <w:r w:rsidRPr="00221992">
        <w:rPr>
          <w:lang w:val="en-GB"/>
        </w:rPr>
        <w:t>ffectiveness (Australia, Canada, England</w:t>
      </w:r>
      <w:r w:rsidR="00F9568D" w:rsidRPr="00221992">
        <w:rPr>
          <w:lang w:val="en-GB"/>
        </w:rPr>
        <w:t>/Wales</w:t>
      </w:r>
      <w:r w:rsidRPr="00221992">
        <w:rPr>
          <w:lang w:val="en-GB"/>
        </w:rPr>
        <w:t>), clinical benefit alone (Germany, France) or clinical benefit and budgetary impact (Italy, Spain).</w:t>
      </w:r>
    </w:p>
    <w:p w14:paraId="234E89C6" w14:textId="5425C18F" w:rsidR="00D95336" w:rsidRPr="00221992" w:rsidRDefault="00D95336" w:rsidP="00702C58">
      <w:pPr>
        <w:rPr>
          <w:lang w:val="en-GB"/>
        </w:rPr>
      </w:pPr>
      <w:r w:rsidRPr="00221992">
        <w:rPr>
          <w:lang w:val="en-GB"/>
        </w:rPr>
        <w:t>In Germany, the</w:t>
      </w:r>
      <w:r w:rsidR="00BF23CD" w:rsidRPr="00221992">
        <w:rPr>
          <w:lang w:val="en-GB"/>
        </w:rPr>
        <w:t xml:space="preserve"> </w:t>
      </w:r>
      <w:r w:rsidR="00060D26" w:rsidRPr="00221992">
        <w:rPr>
          <w:lang w:val="en-GB"/>
        </w:rPr>
        <w:t>Institut für Qualität und Wirtschaftlichkeit im Gesundheitswesen</w:t>
      </w:r>
      <w:r w:rsidRPr="00221992">
        <w:rPr>
          <w:lang w:val="en-GB"/>
        </w:rPr>
        <w:t xml:space="preserve"> </w:t>
      </w:r>
      <w:r w:rsidR="00BF23CD" w:rsidRPr="00221992">
        <w:rPr>
          <w:lang w:val="en-GB"/>
        </w:rPr>
        <w:t>(</w:t>
      </w:r>
      <w:r w:rsidRPr="00221992">
        <w:rPr>
          <w:lang w:val="en-GB"/>
        </w:rPr>
        <w:t>Institute for Quality and Efficiency in Healthcare</w:t>
      </w:r>
      <w:r w:rsidR="00BF23CD" w:rsidRPr="00221992">
        <w:rPr>
          <w:lang w:val="en-GB"/>
        </w:rPr>
        <w:t xml:space="preserve">, </w:t>
      </w:r>
      <w:r w:rsidRPr="00221992">
        <w:rPr>
          <w:lang w:val="en-GB"/>
        </w:rPr>
        <w:t xml:space="preserve">IQWiG) examines the benefits and harms of medical interventions, and communicates this to the Federal Joint Committee (G-BA), who make a benefit decision which is passed on to the National Association of Statutory Health Insurance Funds (GKV-SV) who conduct price negotiations. If the G-BA identifies an additional clinical benefit, this is rated on scales of </w:t>
      </w:r>
      <w:r w:rsidR="00551786">
        <w:rPr>
          <w:lang w:val="en-GB"/>
        </w:rPr>
        <w:t>‘</w:t>
      </w:r>
      <w:r w:rsidRPr="00221992">
        <w:rPr>
          <w:lang w:val="en-GB"/>
        </w:rPr>
        <w:t>Certainty</w:t>
      </w:r>
      <w:r w:rsidR="00551786">
        <w:rPr>
          <w:lang w:val="en-GB"/>
        </w:rPr>
        <w:t>’</w:t>
      </w:r>
      <w:r w:rsidRPr="00221992">
        <w:rPr>
          <w:lang w:val="en-GB"/>
        </w:rPr>
        <w:t xml:space="preserve"> and </w:t>
      </w:r>
      <w:r w:rsidR="00551786">
        <w:rPr>
          <w:lang w:val="en-GB"/>
        </w:rPr>
        <w:t>‘</w:t>
      </w:r>
      <w:r w:rsidRPr="00221992">
        <w:rPr>
          <w:lang w:val="en-GB"/>
        </w:rPr>
        <w:t>Extent</w:t>
      </w:r>
      <w:r w:rsidR="00551786">
        <w:rPr>
          <w:lang w:val="en-GB"/>
        </w:rPr>
        <w:t>’</w:t>
      </w:r>
      <w:r w:rsidRPr="00221992">
        <w:rPr>
          <w:lang w:val="en-GB"/>
        </w:rPr>
        <w:t xml:space="preserve"> to convey the magnitude of benefit and robustness of evidence to the GKV-SV. Additional benefit ratings inform final pricing of the medical intervention</w:t>
      </w:r>
      <w:r w:rsidR="00F5766F" w:rsidRPr="00221992">
        <w:rPr>
          <w:lang w:val="en-GB"/>
        </w:rPr>
        <w:t xml:space="preserve"> </w:t>
      </w:r>
      <w:r w:rsidRPr="00221992">
        <w:rPr>
          <w:lang w:val="en-GB"/>
        </w:rPr>
        <w:fldChar w:fldCharType="begin"/>
      </w:r>
      <w:r w:rsidR="005A67DD" w:rsidRPr="00221992">
        <w:rPr>
          <w:lang w:val="en-GB"/>
        </w:rPr>
        <w:instrText xml:space="preserve"> ADDIN EN.CITE &lt;EndNote&gt;&lt;Cite&gt;&lt;Author&gt;Pownell&lt;/Author&gt;&lt;Year&gt;2023&lt;/Year&gt;&lt;RecNum&gt;395&lt;/RecNum&gt;&lt;DisplayText&gt;[9]&lt;/DisplayText&gt;&lt;record&gt;&lt;rec-number&gt;395&lt;/rec-number&gt;&lt;foreign-keys&gt;&lt;key app="EN" db-id="wzwwsfxe4peesxef95cxvrwjxts9rreasarf" timestamp="1692654670"&gt;395&lt;/key&gt;&lt;/foreign-keys&gt;&lt;ref-type name="Web Page"&gt;12&lt;/ref-type&gt;&lt;contributors&gt;&lt;authors&gt;&lt;author&gt;Pownell, A.&lt;/author&gt;&lt;/authors&gt;&lt;/contributors&gt;&lt;titles&gt;&lt;title&gt;Your guide to the German HTA system&lt;/title&gt;&lt;/titles&gt;&lt;number&gt;1 July 2023&lt;/number&gt;&lt;dates&gt;&lt;year&gt;2023&lt;/year&gt;&lt;/dates&gt;&lt;urls&gt;&lt;related-urls&gt;&lt;url&gt;https://germanmarketaccesssimplified.com/&lt;/url&gt;&lt;/related-urls&gt;&lt;/urls&gt;&lt;/record&gt;&lt;/Cite&gt;&lt;/EndNote&gt;</w:instrText>
      </w:r>
      <w:r w:rsidRPr="00221992">
        <w:rPr>
          <w:lang w:val="en-GB"/>
        </w:rPr>
        <w:fldChar w:fldCharType="separate"/>
      </w:r>
      <w:r w:rsidR="005A67DD" w:rsidRPr="00221992">
        <w:rPr>
          <w:noProof/>
          <w:lang w:val="en-GB"/>
        </w:rPr>
        <w:t>[9]</w:t>
      </w:r>
      <w:r w:rsidRPr="00221992">
        <w:rPr>
          <w:lang w:val="en-GB"/>
        </w:rPr>
        <w:fldChar w:fldCharType="end"/>
      </w:r>
      <w:r w:rsidRPr="00221992">
        <w:rPr>
          <w:lang w:val="en-GB"/>
        </w:rPr>
        <w:t xml:space="preserve">. </w:t>
      </w:r>
    </w:p>
    <w:p w14:paraId="2F694FF2" w14:textId="108593C6" w:rsidR="00D95336" w:rsidRPr="00221992" w:rsidRDefault="00D95336" w:rsidP="00702C58">
      <w:pPr>
        <w:rPr>
          <w:lang w:val="en-GB"/>
        </w:rPr>
      </w:pPr>
      <w:r w:rsidRPr="00221992">
        <w:rPr>
          <w:lang w:val="en-GB"/>
        </w:rPr>
        <w:t>In Japan, technological pricing and benefits are quantified through varied metrics</w:t>
      </w:r>
      <w:r w:rsidR="00DC4F6E">
        <w:rPr>
          <w:lang w:val="en-GB"/>
        </w:rPr>
        <w:t>,</w:t>
      </w:r>
      <w:r w:rsidRPr="00221992">
        <w:rPr>
          <w:lang w:val="en-GB"/>
        </w:rPr>
        <w:t xml:space="preserve"> including innovation, usefulness and marketability, as discussed in </w:t>
      </w:r>
      <w:r w:rsidR="008C31B2">
        <w:rPr>
          <w:lang w:val="en-GB"/>
        </w:rPr>
        <w:t>Section 4.5</w:t>
      </w:r>
      <w:r w:rsidRPr="00221992">
        <w:rPr>
          <w:lang w:val="en-GB"/>
        </w:rPr>
        <w:t xml:space="preserve"> </w:t>
      </w:r>
      <w:r w:rsidR="00FC2972" w:rsidRPr="00221992">
        <w:rPr>
          <w:lang w:val="en-GB"/>
        </w:rPr>
        <w:t>(see</w:t>
      </w:r>
      <w:r w:rsidRPr="00221992">
        <w:rPr>
          <w:lang w:val="en-GB"/>
        </w:rPr>
        <w:t xml:space="preserve"> </w:t>
      </w:r>
      <w:r w:rsidR="00306BDD" w:rsidRPr="00306BDD">
        <w:rPr>
          <w:lang w:val="en-GB"/>
        </w:rPr>
        <w:t>Case Study: Conditional coverage for medical devices in Japan</w:t>
      </w:r>
      <w:r w:rsidR="00FC2972" w:rsidRPr="00221992">
        <w:rPr>
          <w:lang w:val="en-GB"/>
        </w:rPr>
        <w:t>)</w:t>
      </w:r>
      <w:r w:rsidR="00306BDD">
        <w:rPr>
          <w:lang w:val="en-GB"/>
        </w:rPr>
        <w:t>.</w:t>
      </w:r>
    </w:p>
    <w:p w14:paraId="2D0713AE" w14:textId="36CEA403" w:rsidR="00D95336" w:rsidRPr="00221992" w:rsidRDefault="00D95336" w:rsidP="00702C58">
      <w:pPr>
        <w:rPr>
          <w:lang w:val="en-GB"/>
        </w:rPr>
      </w:pPr>
      <w:r w:rsidRPr="00221992">
        <w:rPr>
          <w:lang w:val="en-GB"/>
        </w:rPr>
        <w:t xml:space="preserve">Whilst HTA is an evidence-based process, the different value sets between countries (as discussed above) may translate into variations in HTA determinations. A comparison of the HTA recommendations for seven oncology treatments evaluated in selected EU countries is provided in </w:t>
      </w:r>
      <w:r w:rsidR="00702C58" w:rsidRPr="00221992">
        <w:rPr>
          <w:lang w:val="en-GB"/>
        </w:rPr>
        <w:fldChar w:fldCharType="begin"/>
      </w:r>
      <w:r w:rsidR="00702C58">
        <w:instrText xml:space="preserve"> REF _Ref143589632 \h </w:instrText>
      </w:r>
      <w:r w:rsidR="00702C58" w:rsidRPr="00221992">
        <w:rPr>
          <w:lang w:val="en-GB"/>
        </w:rPr>
      </w:r>
      <w:r w:rsidR="00702C58" w:rsidRPr="00221992">
        <w:rPr>
          <w:lang w:val="en-GB"/>
        </w:rPr>
        <w:fldChar w:fldCharType="separate"/>
      </w:r>
      <w:r w:rsidR="000E11E7" w:rsidRPr="00221992">
        <w:rPr>
          <w:lang w:val="en-GB"/>
        </w:rPr>
        <w:t xml:space="preserve">Table </w:t>
      </w:r>
      <w:r w:rsidR="000E11E7">
        <w:rPr>
          <w:noProof/>
        </w:rPr>
        <w:t>6</w:t>
      </w:r>
      <w:r w:rsidR="00702C58" w:rsidRPr="00221992">
        <w:rPr>
          <w:lang w:val="en-GB"/>
        </w:rPr>
        <w:fldChar w:fldCharType="end"/>
      </w:r>
      <w:r w:rsidR="00142DCD">
        <w:rPr>
          <w:lang w:val="en-GB"/>
        </w:rPr>
        <w:t xml:space="preserve"> </w:t>
      </w:r>
      <w:r w:rsidRPr="00221992">
        <w:rPr>
          <w:lang w:val="en-GB"/>
        </w:rPr>
        <w:fldChar w:fldCharType="begin"/>
      </w:r>
      <w:r w:rsidR="005A67DD">
        <w:instrText xml:space="preserve"> ADDIN EN.CITE &lt;EndNote&gt;&lt;Cite&gt;&lt;Author&gt;Kahveci&lt;/Author&gt;&lt;Year&gt;2018&lt;/Year&gt;&lt;RecNum&gt;240&lt;/RecNum&gt;&lt;DisplayText&gt;[10]&lt;/DisplayText&gt;&lt;record&gt;&lt;rec-number&gt;240&lt;/rec-number&gt;&lt;foreign-keys&gt;&lt;key app="EN" db-id="wzwwsfxe4peesxef95cxvrwjxts9rreasarf" timestamp="1692654670"&gt;240&lt;/key&gt;&lt;/foreign-keys&gt;&lt;ref-type name="Book Section"&gt;5&lt;/ref-type&gt;&lt;contributors&gt;&lt;authors&gt;&lt;author&gt;Kahveci, Rabia&lt;/author&gt;&lt;author&gt;Oortwijn, Wija&lt;/author&gt;&lt;author&gt;Godman, Brian&lt;/author&gt;&lt;author&gt;Koç, Esra&lt;/author&gt;&lt;author&gt;Tibet, Birol&lt;/author&gt;&lt;/authors&gt;&lt;/contributors&gt;&lt;titles&gt;&lt;title&gt;Role of Health Technology Assessment in Pharmaceutical Market Access in Developed Countries&lt;/title&gt;&lt;/titles&gt;&lt;pages&gt;223-254&lt;/pages&gt;&lt;dates&gt;&lt;year&gt;2018&lt;/year&gt;&lt;/dates&gt;&lt;isbn&gt;978-88-97419-74-7&lt;/isbn&gt;&lt;urls&gt;&lt;/urls&gt;&lt;electronic-resource-num&gt;10.7175/747.ch15&lt;/electronic-resource-num&gt;&lt;/record&gt;&lt;/Cite&gt;&lt;/EndNote&gt;</w:instrText>
      </w:r>
      <w:r w:rsidRPr="00221992">
        <w:rPr>
          <w:lang w:val="en-GB"/>
        </w:rPr>
        <w:fldChar w:fldCharType="separate"/>
      </w:r>
      <w:r w:rsidR="005A67DD" w:rsidRPr="00221992">
        <w:rPr>
          <w:noProof/>
          <w:lang w:val="en-GB"/>
        </w:rPr>
        <w:t>[10]</w:t>
      </w:r>
      <w:r w:rsidRPr="00221992">
        <w:rPr>
          <w:lang w:val="en-GB"/>
        </w:rPr>
        <w:fldChar w:fldCharType="end"/>
      </w:r>
      <w:r w:rsidR="00BA1CBB" w:rsidRPr="00221992">
        <w:rPr>
          <w:lang w:val="en-GB"/>
        </w:rPr>
        <w:t>. As indicated,</w:t>
      </w:r>
      <w:r w:rsidR="00492167" w:rsidRPr="00221992">
        <w:rPr>
          <w:lang w:val="en-GB"/>
        </w:rPr>
        <w:t xml:space="preserve"> </w:t>
      </w:r>
      <w:r w:rsidR="00BA1CBB" w:rsidRPr="00221992">
        <w:rPr>
          <w:lang w:val="en-GB"/>
        </w:rPr>
        <w:t xml:space="preserve">HTA processes </w:t>
      </w:r>
      <w:r w:rsidR="00FB77DD" w:rsidRPr="00221992">
        <w:rPr>
          <w:lang w:val="en-GB"/>
        </w:rPr>
        <w:t>differed between</w:t>
      </w:r>
      <w:r w:rsidR="00B712AA" w:rsidRPr="00221992">
        <w:rPr>
          <w:lang w:val="en-GB"/>
        </w:rPr>
        <w:t xml:space="preserve"> countries </w:t>
      </w:r>
      <w:r w:rsidR="00FB77DD" w:rsidRPr="00221992">
        <w:rPr>
          <w:lang w:val="en-GB"/>
        </w:rPr>
        <w:t>with respect to the</w:t>
      </w:r>
      <w:r w:rsidR="00B712AA" w:rsidRPr="00221992">
        <w:rPr>
          <w:lang w:val="en-GB"/>
        </w:rPr>
        <w:t xml:space="preserve"> determin</w:t>
      </w:r>
      <w:r w:rsidR="00FB77DD" w:rsidRPr="00221992">
        <w:rPr>
          <w:lang w:val="en-GB"/>
        </w:rPr>
        <w:t>ation of</w:t>
      </w:r>
      <w:r w:rsidR="00B712AA" w:rsidRPr="00221992">
        <w:rPr>
          <w:lang w:val="en-GB"/>
        </w:rPr>
        <w:t xml:space="preserve"> added benefit</w:t>
      </w:r>
      <w:r w:rsidR="00702C58" w:rsidRPr="00221992">
        <w:rPr>
          <w:lang w:val="en-GB"/>
        </w:rPr>
        <w:t>.</w:t>
      </w:r>
      <w:r w:rsidRPr="00221992">
        <w:rPr>
          <w:lang w:val="en-GB"/>
        </w:rPr>
        <w:t xml:space="preserve"> </w:t>
      </w:r>
    </w:p>
    <w:p w14:paraId="10209629" w14:textId="5DBB0B37" w:rsidR="00702C58" w:rsidRPr="00221992" w:rsidRDefault="00702C58" w:rsidP="001721AB">
      <w:pPr>
        <w:pStyle w:val="Caption"/>
        <w:rPr>
          <w:lang w:val="en-GB"/>
        </w:rPr>
      </w:pPr>
      <w:bookmarkStart w:id="47" w:name="_Ref143589632"/>
      <w:bookmarkStart w:id="48" w:name="_Toc162950953"/>
      <w:r w:rsidRPr="00221992">
        <w:rPr>
          <w:lang w:val="en-GB"/>
        </w:rPr>
        <w:t xml:space="preserve">Table </w:t>
      </w:r>
      <w:r w:rsidRPr="00221992">
        <w:rPr>
          <w:lang w:val="en-GB"/>
        </w:rPr>
        <w:fldChar w:fldCharType="begin"/>
      </w:r>
      <w:r>
        <w:instrText>SEQ Table \* ARABIC</w:instrText>
      </w:r>
      <w:r w:rsidRPr="00221992">
        <w:rPr>
          <w:lang w:val="en-GB"/>
        </w:rPr>
        <w:fldChar w:fldCharType="separate"/>
      </w:r>
      <w:r w:rsidR="000E11E7">
        <w:rPr>
          <w:noProof/>
        </w:rPr>
        <w:t>6</w:t>
      </w:r>
      <w:r w:rsidRPr="00221992">
        <w:rPr>
          <w:lang w:val="en-GB"/>
        </w:rPr>
        <w:fldChar w:fldCharType="end"/>
      </w:r>
      <w:bookmarkEnd w:id="47"/>
      <w:r w:rsidRPr="00221992">
        <w:rPr>
          <w:lang w:val="en-GB"/>
        </w:rPr>
        <w:t>. Oncology drug recommendation outcomes in select EU countries (2011-2013)</w:t>
      </w:r>
      <w:bookmarkEnd w:id="48"/>
      <w:r w:rsidRPr="00221992">
        <w:rPr>
          <w:lang w:val="en-GB"/>
        </w:rPr>
        <w:t xml:space="preserve"> </w:t>
      </w:r>
    </w:p>
    <w:p w14:paraId="038ABF86" w14:textId="11C56A1A" w:rsidR="00D95336" w:rsidRPr="00221992" w:rsidRDefault="00D95336" w:rsidP="00533CF1">
      <w:pPr>
        <w:pStyle w:val="TableNotes"/>
        <w:rPr>
          <w:lang w:val="en-GB"/>
        </w:rPr>
      </w:pPr>
      <w:r w:rsidRPr="00221992">
        <w:rPr>
          <w:noProof/>
          <w:lang w:val="en-GB"/>
        </w:rPr>
        <w:drawing>
          <wp:inline distT="0" distB="0" distL="0" distR="0" wp14:anchorId="6662EBD0" wp14:editId="7BFD861E">
            <wp:extent cx="5314950" cy="3505200"/>
            <wp:effectExtent l="0" t="0" r="0" b="0"/>
            <wp:docPr id="1004196003" name="Picture 1004196003" descr="A table with text and word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4196003" name="Picture 1" descr="A table with text and words&#10;&#10;Description automatically generated with medium confidence"/>
                    <pic:cNvPicPr/>
                  </pic:nvPicPr>
                  <pic:blipFill>
                    <a:blip r:embed="rId18"/>
                    <a:stretch>
                      <a:fillRect/>
                    </a:stretch>
                  </pic:blipFill>
                  <pic:spPr>
                    <a:xfrm>
                      <a:off x="0" y="0"/>
                      <a:ext cx="5314950" cy="3505200"/>
                    </a:xfrm>
                    <a:prstGeom prst="rect">
                      <a:avLst/>
                    </a:prstGeom>
                  </pic:spPr>
                </pic:pic>
              </a:graphicData>
            </a:graphic>
          </wp:inline>
        </w:drawing>
      </w:r>
    </w:p>
    <w:p w14:paraId="2D46BB9D" w14:textId="1C7FC72F" w:rsidR="00DB4093" w:rsidRPr="00221992" w:rsidRDefault="00DB4093" w:rsidP="00533CF1">
      <w:pPr>
        <w:pStyle w:val="TableNotes"/>
        <w:rPr>
          <w:lang w:val="en-GB"/>
        </w:rPr>
      </w:pPr>
      <w:r w:rsidRPr="00221992">
        <w:rPr>
          <w:lang w:val="en-GB"/>
        </w:rPr>
        <w:t>Source:</w:t>
      </w:r>
      <w:r w:rsidRPr="00221992">
        <w:rPr>
          <w:lang w:val="en-GB"/>
        </w:rPr>
        <w:tab/>
        <w:t>Table 1, p</w:t>
      </w:r>
      <w:r w:rsidR="00FC2972" w:rsidRPr="00221992">
        <w:rPr>
          <w:lang w:val="en-GB"/>
        </w:rPr>
        <w:t>.</w:t>
      </w:r>
      <w:r w:rsidRPr="00221992">
        <w:rPr>
          <w:lang w:val="en-GB"/>
        </w:rPr>
        <w:t xml:space="preserve"> 233, Kahveci, R. et al. (2018)</w:t>
      </w:r>
      <w:r w:rsidR="003770AE" w:rsidRPr="00221992">
        <w:rPr>
          <w:lang w:val="en-GB"/>
        </w:rPr>
        <w:t xml:space="preserve"> </w:t>
      </w:r>
      <w:r w:rsidR="00E264E5" w:rsidRPr="00221992">
        <w:rPr>
          <w:lang w:val="en-GB"/>
        </w:rPr>
        <w:fldChar w:fldCharType="begin"/>
      </w:r>
      <w:r w:rsidR="000A0E5C" w:rsidRPr="00221992">
        <w:rPr>
          <w:lang w:val="en-GB"/>
        </w:rPr>
        <w:instrText xml:space="preserve"> ADDIN EN.CITE &lt;EndNote&gt;&lt;Cite Hidden="1"&gt;&lt;Author&gt;Kahveci&lt;/Author&gt;&lt;Year&gt;2018&lt;/Year&gt;&lt;RecNum&gt;240&lt;/RecNum&gt;&lt;record&gt;&lt;rec-number&gt;240&lt;/rec-number&gt;&lt;foreign-keys&gt;&lt;key app="EN" db-id="wzwwsfxe4peesxef95cxvrwjxts9rreasarf" timestamp="1692654670"&gt;240&lt;/key&gt;&lt;/foreign-keys&gt;&lt;ref-type name="Book Section"&gt;5&lt;/ref-type&gt;&lt;contributors&gt;&lt;authors&gt;&lt;author&gt;Kahveci, Rabia&lt;/author&gt;&lt;author&gt;Oortwijn, Wija&lt;/author&gt;&lt;author&gt;Godman, Brian&lt;/author&gt;&lt;author&gt;Koç, Esra&lt;/author&gt;&lt;author&gt;Tibet, Birol&lt;/author&gt;&lt;/authors&gt;&lt;/contributors&gt;&lt;titles&gt;&lt;title&gt;Role of Health Technology Assessment in Pharmaceutical Market Access in Developed Countries&lt;/title&gt;&lt;/titles&gt;&lt;pages&gt;223-254&lt;/pages&gt;&lt;dates&gt;&lt;year&gt;2018&lt;/year&gt;&lt;/dates&gt;&lt;isbn&gt;978-88-97419-74-7&lt;/isbn&gt;&lt;urls&gt;&lt;/urls&gt;&lt;electronic-resource-num&gt;10.7175/747.ch15&lt;/electronic-resource-num&gt;&lt;/record&gt;&lt;/Cite&gt;&lt;/EndNote&gt;</w:instrText>
      </w:r>
      <w:r w:rsidR="00E264E5" w:rsidRPr="00221992">
        <w:rPr>
          <w:lang w:val="en-GB"/>
        </w:rPr>
        <w:fldChar w:fldCharType="end"/>
      </w:r>
    </w:p>
    <w:p w14:paraId="7CE22BD4" w14:textId="752BD2E6" w:rsidR="00D95336" w:rsidRPr="00221992" w:rsidRDefault="00D95336" w:rsidP="0054112E">
      <w:pPr>
        <w:pStyle w:val="Heading4"/>
        <w:rPr>
          <w:lang w:val="en-GB"/>
        </w:rPr>
      </w:pPr>
      <w:r w:rsidRPr="00221992">
        <w:rPr>
          <w:lang w:val="en-GB"/>
        </w:rPr>
        <w:t>Positive recommendations to fund</w:t>
      </w:r>
    </w:p>
    <w:p w14:paraId="07F90515" w14:textId="39D0F8B1" w:rsidR="00D95336" w:rsidRPr="00221992" w:rsidRDefault="00D95336" w:rsidP="00DB4093">
      <w:pPr>
        <w:rPr>
          <w:lang w:val="en-GB"/>
        </w:rPr>
      </w:pPr>
      <w:r w:rsidRPr="00221992">
        <w:rPr>
          <w:lang w:val="en-GB"/>
        </w:rPr>
        <w:t xml:space="preserve">Positive HTA recommendations are most commonly non-binding, and not always translated into decisions to fund a technology. Evidence suggests the impact of positive recommendations on reimbursement negotiations is variable, both within and between countries. Nevertheless, HTA outcomes, even if formally non-binding, are central to final reimbursement decisions in a number of countries such as France, </w:t>
      </w:r>
      <w:r w:rsidR="00213502" w:rsidRPr="00221992">
        <w:rPr>
          <w:lang w:val="en-GB"/>
        </w:rPr>
        <w:t>England/Wales</w:t>
      </w:r>
      <w:r w:rsidRPr="00221992">
        <w:rPr>
          <w:lang w:val="en-GB"/>
        </w:rPr>
        <w:t>, Scotland and Australia</w:t>
      </w:r>
      <w:r w:rsidR="00DB4093" w:rsidRPr="00221992">
        <w:rPr>
          <w:lang w:val="en-GB"/>
        </w:rPr>
        <w:t xml:space="preserve"> </w:t>
      </w:r>
      <w:r w:rsidRPr="00221992">
        <w:rPr>
          <w:lang w:val="en-GB"/>
        </w:rPr>
        <w:fldChar w:fldCharType="begin"/>
      </w:r>
      <w:r w:rsidR="005A67DD" w:rsidRPr="00221992">
        <w:rPr>
          <w:lang w:val="en-GB"/>
        </w:rPr>
        <w:instrText xml:space="preserve"> ADDIN EN.CITE &lt;EndNote&gt;&lt;Cite&gt;&lt;Author&gt;Fontrier&lt;/Author&gt;&lt;Year&gt;2022&lt;/Year&gt;&lt;RecNum&gt;157&lt;/RecNum&gt;&lt;DisplayText&gt;[7]&lt;/DisplayText&gt;&lt;record&gt;&lt;rec-number&gt;157&lt;/rec-number&gt;&lt;foreign-keys&gt;&lt;key app="EN" db-id="wzwwsfxe4peesxef95cxvrwjxts9rreasarf" timestamp="1692654670"&gt;157&lt;/key&gt;&lt;/foreign-keys&gt;&lt;ref-type name="Journal Article"&gt;17&lt;/ref-type&gt;&lt;contributors&gt;&lt;authors&gt;&lt;author&gt;Fontrier, A. M.&lt;/author&gt;&lt;author&gt;Visintin, E.&lt;/author&gt;&lt;author&gt;Kanavos, P.&lt;/author&gt;&lt;/authors&gt;&lt;/contributors&gt;&lt;auth-address&gt;Department of Health Policy, LSE Health-Medical Technology Research Group (MTRG), Cowdray House, London School of Economics and Political Science, Houghton Street, London, WC2A 2AE, UK. A.Fontrier@lse.ac.uk.&amp;#xD;Department of Health Policy, LSE Health-Medical Technology Research Group (MTRG), Cowdray House, London School of Economics and Political Science, Houghton Street, London, WC2A 2AE, UK.&lt;/auth-address&gt;&lt;titles&gt;&lt;title&gt;Similarities and Differences in Health Technology Assessment Systems and Implications for Coverage Decisions: Evidence from 32 Countries&lt;/title&gt;&lt;secondary-title&gt;Pharmacoecon Open&lt;/secondary-title&gt;&lt;/titles&gt;&lt;periodical&gt;&lt;full-title&gt;Pharmacoecon Open&lt;/full-title&gt;&lt;/periodical&gt;&lt;pages&gt;315-328&lt;/pages&gt;&lt;volume&gt;6&lt;/volume&gt;&lt;number&gt;3&lt;/number&gt;&lt;edition&gt;20211129&lt;/edition&gt;&lt;dates&gt;&lt;year&gt;2022&lt;/year&gt;&lt;pub-dates&gt;&lt;date&gt;May&lt;/date&gt;&lt;/pub-dates&gt;&lt;/dates&gt;&lt;isbn&gt;2509-4262 (Print)&amp;#xD;2509-4262&lt;/isbn&gt;&lt;accession-num&gt;34845671&lt;/accession-num&gt;&lt;urls&gt;&lt;/urls&gt;&lt;custom1&gt;Anna-Maria Fontrier, Erica Visintin and Panos Kanavos declare that they have no conflicts of interest.&lt;/custom1&gt;&lt;custom2&gt;PMC9043057&lt;/custom2&gt;&lt;electronic-resource-num&gt;10.1007/s41669-021-00311-5&lt;/electronic-resource-num&gt;&lt;remote-database-provider&gt;NLM&lt;/remote-database-provider&gt;&lt;language&gt;eng&lt;/language&gt;&lt;/record&gt;&lt;/Cite&gt;&lt;/EndNote&gt;</w:instrText>
      </w:r>
      <w:r w:rsidRPr="00221992">
        <w:rPr>
          <w:lang w:val="en-GB"/>
        </w:rPr>
        <w:fldChar w:fldCharType="separate"/>
      </w:r>
      <w:r w:rsidR="005A67DD" w:rsidRPr="00221992">
        <w:rPr>
          <w:noProof/>
          <w:lang w:val="en-GB"/>
        </w:rPr>
        <w:t>[7]</w:t>
      </w:r>
      <w:r w:rsidRPr="00221992">
        <w:rPr>
          <w:lang w:val="en-GB"/>
        </w:rPr>
        <w:fldChar w:fldCharType="end"/>
      </w:r>
      <w:r w:rsidR="00DB4093" w:rsidRPr="00221992">
        <w:rPr>
          <w:lang w:val="en-GB"/>
        </w:rPr>
        <w:t>.</w:t>
      </w:r>
      <w:r w:rsidRPr="00221992">
        <w:rPr>
          <w:lang w:val="en-GB"/>
        </w:rPr>
        <w:t xml:space="preserve"> The relationship between HTA recommendations and funding decisions is described </w:t>
      </w:r>
      <w:r w:rsidR="00DB4093" w:rsidRPr="00221992">
        <w:rPr>
          <w:lang w:val="en-GB"/>
        </w:rPr>
        <w:t>in</w:t>
      </w:r>
      <w:r w:rsidRPr="00221992">
        <w:rPr>
          <w:lang w:val="en-GB"/>
        </w:rPr>
        <w:t xml:space="preserve"> </w:t>
      </w:r>
      <w:r w:rsidR="00DB4093" w:rsidRPr="00221992">
        <w:rPr>
          <w:lang w:val="en-GB"/>
        </w:rPr>
        <w:fldChar w:fldCharType="begin"/>
      </w:r>
      <w:r w:rsidR="00DB4093">
        <w:instrText xml:space="preserve"> REF _Ref143589804 \h </w:instrText>
      </w:r>
      <w:r w:rsidR="00DB4093" w:rsidRPr="00221992">
        <w:rPr>
          <w:lang w:val="en-GB"/>
        </w:rPr>
      </w:r>
      <w:r w:rsidR="00DB4093" w:rsidRPr="00221992">
        <w:rPr>
          <w:lang w:val="en-GB"/>
        </w:rPr>
        <w:fldChar w:fldCharType="separate"/>
      </w:r>
      <w:r w:rsidR="000E11E7" w:rsidRPr="00221992">
        <w:rPr>
          <w:lang w:val="en-GB"/>
        </w:rPr>
        <w:t xml:space="preserve">Figure </w:t>
      </w:r>
      <w:r w:rsidR="000E11E7">
        <w:rPr>
          <w:noProof/>
          <w:lang w:val="en-GB"/>
        </w:rPr>
        <w:t>1</w:t>
      </w:r>
      <w:r w:rsidR="00DB4093" w:rsidRPr="00221992">
        <w:rPr>
          <w:lang w:val="en-GB"/>
        </w:rPr>
        <w:fldChar w:fldCharType="end"/>
      </w:r>
      <w:r w:rsidR="00DB4093" w:rsidRPr="00221992">
        <w:rPr>
          <w:lang w:val="en-GB"/>
        </w:rPr>
        <w:t xml:space="preserve"> </w:t>
      </w:r>
      <w:r w:rsidRPr="00221992">
        <w:rPr>
          <w:lang w:val="en-GB"/>
        </w:rPr>
        <w:t>below.</w:t>
      </w:r>
    </w:p>
    <w:p w14:paraId="507B314A" w14:textId="2A09A066" w:rsidR="00DB4093" w:rsidRPr="00221992" w:rsidRDefault="00DB4093" w:rsidP="001721AB">
      <w:pPr>
        <w:pStyle w:val="Caption"/>
        <w:rPr>
          <w:lang w:val="en-GB"/>
        </w:rPr>
      </w:pPr>
      <w:bookmarkStart w:id="49" w:name="_Ref143589804"/>
      <w:bookmarkStart w:id="50" w:name="_Toc162950908"/>
      <w:r w:rsidRPr="00221992">
        <w:rPr>
          <w:lang w:val="en-GB"/>
        </w:rPr>
        <w:t xml:space="preserve">Figure </w:t>
      </w:r>
      <w:r w:rsidR="003F72DF" w:rsidRPr="00221992">
        <w:rPr>
          <w:lang w:val="en-GB"/>
        </w:rPr>
        <w:fldChar w:fldCharType="begin"/>
      </w:r>
      <w:r w:rsidR="003F72DF" w:rsidRPr="00221992">
        <w:rPr>
          <w:lang w:val="en-GB"/>
        </w:rPr>
        <w:instrText xml:space="preserve"> SEQ Figure \* ARABIC </w:instrText>
      </w:r>
      <w:r w:rsidR="003F72DF" w:rsidRPr="00221992">
        <w:rPr>
          <w:lang w:val="en-GB"/>
        </w:rPr>
        <w:fldChar w:fldCharType="separate"/>
      </w:r>
      <w:r w:rsidR="000E11E7">
        <w:rPr>
          <w:noProof/>
          <w:lang w:val="en-GB"/>
        </w:rPr>
        <w:t>1</w:t>
      </w:r>
      <w:r w:rsidR="003F72DF" w:rsidRPr="00221992">
        <w:rPr>
          <w:noProof/>
          <w:lang w:val="en-GB"/>
        </w:rPr>
        <w:fldChar w:fldCharType="end"/>
      </w:r>
      <w:bookmarkEnd w:id="49"/>
      <w:r w:rsidRPr="00221992">
        <w:rPr>
          <w:lang w:val="en-GB"/>
        </w:rPr>
        <w:t>. Positive HTA recommendations and links to final funding decisions</w:t>
      </w:r>
      <w:bookmarkEnd w:id="50"/>
    </w:p>
    <w:p w14:paraId="7A3A8854" w14:textId="101D6382" w:rsidR="00F00E26" w:rsidRPr="00221992" w:rsidRDefault="00D95336" w:rsidP="00533CF1">
      <w:pPr>
        <w:pStyle w:val="TableNotes"/>
        <w:rPr>
          <w:lang w:val="en-GB"/>
        </w:rPr>
      </w:pPr>
      <w:r w:rsidRPr="00221992">
        <w:rPr>
          <w:noProof/>
          <w:lang w:val="en-GB"/>
        </w:rPr>
        <w:drawing>
          <wp:inline distT="0" distB="0" distL="0" distR="0" wp14:anchorId="480F1AE5" wp14:editId="1813B8DD">
            <wp:extent cx="6090252" cy="3649021"/>
            <wp:effectExtent l="0" t="0" r="0" b="0"/>
            <wp:docPr id="929308024" name="Picture 929308024" descr="Flow chart of positive HTA reccomendations and links to final finding decis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9308024"/>
                    <pic:cNvPicPr/>
                  </pic:nvPicPr>
                  <pic:blipFill>
                    <a:blip r:embed="rId19">
                      <a:extLst>
                        <a:ext uri="{28A0092B-C50C-407E-A947-70E740481C1C}">
                          <a14:useLocalDpi xmlns:a14="http://schemas.microsoft.com/office/drawing/2010/main" val="0"/>
                        </a:ext>
                      </a:extLst>
                    </a:blip>
                    <a:stretch>
                      <a:fillRect/>
                    </a:stretch>
                  </pic:blipFill>
                  <pic:spPr>
                    <a:xfrm>
                      <a:off x="0" y="0"/>
                      <a:ext cx="6090252" cy="3649021"/>
                    </a:xfrm>
                    <a:prstGeom prst="rect">
                      <a:avLst/>
                    </a:prstGeom>
                  </pic:spPr>
                </pic:pic>
              </a:graphicData>
            </a:graphic>
          </wp:inline>
        </w:drawing>
      </w:r>
      <w:r w:rsidRPr="00221992">
        <w:rPr>
          <w:lang w:val="en-GB"/>
        </w:rPr>
        <w:br/>
      </w:r>
    </w:p>
    <w:p w14:paraId="2C18CAE5" w14:textId="5980078E" w:rsidR="00F00E26" w:rsidRPr="00221992" w:rsidRDefault="00D95336" w:rsidP="00533CF1">
      <w:pPr>
        <w:pStyle w:val="TableNotes"/>
        <w:rPr>
          <w:lang w:val="en-GB"/>
        </w:rPr>
      </w:pPr>
      <w:r w:rsidRPr="00221992">
        <w:rPr>
          <w:lang w:val="en-GB"/>
        </w:rPr>
        <w:t xml:space="preserve">Source: </w:t>
      </w:r>
      <w:r w:rsidR="00002458" w:rsidRPr="00221992">
        <w:rPr>
          <w:lang w:val="en-GB"/>
        </w:rPr>
        <w:tab/>
      </w:r>
      <w:r w:rsidRPr="00221992">
        <w:rPr>
          <w:lang w:val="en-GB"/>
        </w:rPr>
        <w:t>Figure 3, p. 326, Fontrier, A. et al. (2022)</w:t>
      </w:r>
      <w:r w:rsidR="002248A7" w:rsidRPr="00221992">
        <w:rPr>
          <w:lang w:val="en-GB"/>
        </w:rPr>
        <w:t xml:space="preserve"> </w:t>
      </w:r>
    </w:p>
    <w:p w14:paraId="77449E90" w14:textId="53A2D3F1" w:rsidR="00D95336" w:rsidRPr="00221992" w:rsidRDefault="00002458" w:rsidP="00533CF1">
      <w:pPr>
        <w:pStyle w:val="TableNotes"/>
        <w:rPr>
          <w:lang w:val="en-GB"/>
        </w:rPr>
      </w:pPr>
      <w:r w:rsidRPr="00221992">
        <w:rPr>
          <w:lang w:val="en-GB"/>
        </w:rPr>
        <w:t>No</w:t>
      </w:r>
      <w:r w:rsidR="002A6D9B" w:rsidRPr="00221992">
        <w:rPr>
          <w:lang w:val="en-GB"/>
        </w:rPr>
        <w:t>t</w:t>
      </w:r>
      <w:r w:rsidRPr="00221992">
        <w:rPr>
          <w:lang w:val="en-GB"/>
        </w:rPr>
        <w:t>es:</w:t>
      </w:r>
      <w:r w:rsidRPr="00221992">
        <w:rPr>
          <w:lang w:val="en-GB"/>
        </w:rPr>
        <w:tab/>
      </w:r>
      <w:r w:rsidR="00D95336" w:rsidRPr="00221992">
        <w:rPr>
          <w:lang w:val="en-GB"/>
        </w:rPr>
        <w:t>Dotted lines show the use of alternative pathways</w:t>
      </w:r>
      <w:r w:rsidR="003C66DD" w:rsidRPr="00221992">
        <w:rPr>
          <w:lang w:val="en-GB"/>
        </w:rPr>
        <w:t xml:space="preserve">. England may be considered to </w:t>
      </w:r>
      <w:r w:rsidR="00365711" w:rsidRPr="00221992">
        <w:rPr>
          <w:lang w:val="en-GB"/>
        </w:rPr>
        <w:t>employ binding HTA recommendations, as the NHS</w:t>
      </w:r>
      <w:r w:rsidR="003C66DD" w:rsidRPr="00221992">
        <w:rPr>
          <w:lang w:val="en-GB"/>
        </w:rPr>
        <w:t xml:space="preserve"> </w:t>
      </w:r>
      <w:r w:rsidR="00770852" w:rsidRPr="00221992">
        <w:rPr>
          <w:lang w:val="en-GB"/>
        </w:rPr>
        <w:t>is legally obliged to fund and resource medicines and treatments recommended by NICE</w:t>
      </w:r>
      <w:r w:rsidR="00551786">
        <w:rPr>
          <w:lang w:val="en-GB"/>
        </w:rPr>
        <w:t>’</w:t>
      </w:r>
      <w:r w:rsidR="00770852" w:rsidRPr="00221992">
        <w:rPr>
          <w:lang w:val="en-GB"/>
        </w:rPr>
        <w:t>s technology appraisal</w:t>
      </w:r>
      <w:r w:rsidR="005A67DD" w:rsidRPr="00221992">
        <w:rPr>
          <w:lang w:val="en-GB"/>
        </w:rPr>
        <w:t>s</w:t>
      </w:r>
      <w:r w:rsidR="009213C3" w:rsidRPr="00221992">
        <w:rPr>
          <w:lang w:val="en-GB"/>
        </w:rPr>
        <w:t xml:space="preserve"> </w:t>
      </w:r>
      <w:r w:rsidR="005A67DD" w:rsidRPr="00221992">
        <w:rPr>
          <w:lang w:val="en-GB"/>
        </w:rPr>
        <w:fldChar w:fldCharType="begin"/>
      </w:r>
      <w:r w:rsidR="005A67DD" w:rsidRPr="00221992">
        <w:rPr>
          <w:lang w:val="en-GB"/>
        </w:rPr>
        <w:instrText xml:space="preserve"> ADDIN EN.CITE &lt;EndNote&gt;&lt;Cite&gt;&lt;Author&gt;National Institute for Health and Care Excellence (NICE)&lt;/Author&gt;&lt;Year&gt;2023&lt;/Year&gt;&lt;RecNum&gt;681&lt;/RecNum&gt;&lt;DisplayText&gt;[11]&lt;/DisplayText&gt;&lt;record&gt;&lt;rec-number&gt;681&lt;/rec-number&gt;&lt;foreign-keys&gt;&lt;key app="EN" db-id="wzwwsfxe4peesxef95cxvrwjxts9rreasarf" timestamp="1695596466"&gt;681&lt;/key&gt;&lt;/foreign-keys&gt;&lt;ref-type name="Web Page"&gt;12&lt;/ref-type&gt;&lt;contributors&gt;&lt;authors&gt;&lt;author&gt;National Institute for Health and Care Excellence (NICE),&lt;/author&gt;&lt;/authors&gt;&lt;/contributors&gt;&lt;titles&gt;&lt;title&gt;Technology appraisals and the NHS Constitution&lt;/title&gt;&lt;/titles&gt;&lt;number&gt;25 September 2023&lt;/number&gt;&lt;dates&gt;&lt;year&gt;2023&lt;/year&gt;&lt;/dates&gt;&lt;publisher&gt;National Institute for Health and Care Excellence (NICE)&lt;/publisher&gt;&lt;urls&gt;&lt;related-urls&gt;&lt;url&gt;https://www.nice.org.uk/about/what-we-do/our-programmes/nice-guidance/nice-technology-appraisal-guidance&lt;/url&gt;&lt;/related-urls&gt;&lt;/urls&gt;&lt;/record&gt;&lt;/Cite&gt;&lt;/EndNote&gt;</w:instrText>
      </w:r>
      <w:r w:rsidR="005A67DD" w:rsidRPr="00221992">
        <w:rPr>
          <w:lang w:val="en-GB"/>
        </w:rPr>
        <w:fldChar w:fldCharType="separate"/>
      </w:r>
      <w:r w:rsidR="005A67DD" w:rsidRPr="00221992">
        <w:rPr>
          <w:noProof/>
          <w:lang w:val="en-GB"/>
        </w:rPr>
        <w:t>[11]</w:t>
      </w:r>
      <w:r w:rsidR="005A67DD" w:rsidRPr="00221992">
        <w:rPr>
          <w:lang w:val="en-GB"/>
        </w:rPr>
        <w:fldChar w:fldCharType="end"/>
      </w:r>
      <w:r w:rsidR="005A67DD" w:rsidRPr="00221992">
        <w:rPr>
          <w:lang w:val="en-GB"/>
        </w:rPr>
        <w:t>.</w:t>
      </w:r>
    </w:p>
    <w:p w14:paraId="78DD7A88" w14:textId="2F64F7AB" w:rsidR="00A22447" w:rsidRPr="00221992" w:rsidRDefault="00A22447" w:rsidP="00702C58">
      <w:pPr>
        <w:rPr>
          <w:lang w:val="en-GB"/>
        </w:rPr>
      </w:pPr>
      <w:r w:rsidRPr="00221992">
        <w:rPr>
          <w:lang w:val="en-GB"/>
        </w:rPr>
        <w:t xml:space="preserve">In Australia, </w:t>
      </w:r>
      <w:r w:rsidR="006E41DD" w:rsidRPr="00221992">
        <w:rPr>
          <w:lang w:val="en-GB"/>
        </w:rPr>
        <w:t>the PBAC meet three times per year (March, July and November)</w:t>
      </w:r>
      <w:r w:rsidR="00606DC2" w:rsidRPr="00221992">
        <w:rPr>
          <w:lang w:val="en-GB"/>
        </w:rPr>
        <w:t xml:space="preserve">. Each PBAC cycle is 17 weeks long, which includes </w:t>
      </w:r>
      <w:r w:rsidR="00D27B42" w:rsidRPr="00221992">
        <w:rPr>
          <w:lang w:val="en-GB"/>
        </w:rPr>
        <w:t xml:space="preserve">11 </w:t>
      </w:r>
      <w:r w:rsidR="00606DC2" w:rsidRPr="00221992">
        <w:rPr>
          <w:lang w:val="en-GB"/>
        </w:rPr>
        <w:t>weeks of evaluation</w:t>
      </w:r>
      <w:r w:rsidR="00D27B42" w:rsidRPr="00221992">
        <w:rPr>
          <w:lang w:val="en-GB"/>
        </w:rPr>
        <w:t xml:space="preserve"> of the evidence (by external evaluators)</w:t>
      </w:r>
      <w:r w:rsidR="00606DC2" w:rsidRPr="00221992">
        <w:rPr>
          <w:lang w:val="en-GB"/>
        </w:rPr>
        <w:t xml:space="preserve">, and </w:t>
      </w:r>
      <w:r w:rsidR="00D27B42" w:rsidRPr="00221992">
        <w:rPr>
          <w:lang w:val="en-GB"/>
        </w:rPr>
        <w:t xml:space="preserve">six </w:t>
      </w:r>
      <w:r w:rsidR="00606DC2" w:rsidRPr="00221992">
        <w:rPr>
          <w:lang w:val="en-GB"/>
        </w:rPr>
        <w:t xml:space="preserve">weeks to facilitate </w:t>
      </w:r>
      <w:r w:rsidR="001B1733" w:rsidRPr="00221992">
        <w:rPr>
          <w:lang w:val="en-GB"/>
        </w:rPr>
        <w:t xml:space="preserve">sponsor replies to the evaluation, </w:t>
      </w:r>
      <w:r w:rsidR="00D27B42" w:rsidRPr="00221992">
        <w:rPr>
          <w:lang w:val="en-GB"/>
        </w:rPr>
        <w:t>Economics and Drug Utilisation Sub</w:t>
      </w:r>
      <w:r w:rsidR="001B1733" w:rsidRPr="00221992">
        <w:rPr>
          <w:lang w:val="en-GB"/>
        </w:rPr>
        <w:t>-</w:t>
      </w:r>
      <w:r w:rsidR="00D27B42" w:rsidRPr="00221992">
        <w:rPr>
          <w:lang w:val="en-GB"/>
        </w:rPr>
        <w:t xml:space="preserve">Committee </w:t>
      </w:r>
      <w:r w:rsidR="001B1733" w:rsidRPr="00221992">
        <w:rPr>
          <w:lang w:val="en-GB"/>
        </w:rPr>
        <w:t>meeting</w:t>
      </w:r>
      <w:r w:rsidR="00D27B42" w:rsidRPr="00221992">
        <w:rPr>
          <w:lang w:val="en-GB"/>
        </w:rPr>
        <w:t>s</w:t>
      </w:r>
      <w:r w:rsidR="001B1733" w:rsidRPr="00221992">
        <w:rPr>
          <w:lang w:val="en-GB"/>
        </w:rPr>
        <w:t>, and the PBAC meeting.</w:t>
      </w:r>
      <w:r w:rsidR="00606DC2" w:rsidRPr="00221992">
        <w:rPr>
          <w:lang w:val="en-GB"/>
        </w:rPr>
        <w:t xml:space="preserve"> </w:t>
      </w:r>
      <w:r w:rsidR="00897F91" w:rsidRPr="00221992">
        <w:rPr>
          <w:lang w:val="en-GB"/>
        </w:rPr>
        <w:t xml:space="preserve">Following a positive recommendation by the PBAC, </w:t>
      </w:r>
      <w:r w:rsidR="002F4581" w:rsidRPr="00221992">
        <w:rPr>
          <w:lang w:val="en-GB"/>
        </w:rPr>
        <w:t xml:space="preserve">a pricing offer package is lodged by the applicant to the Department of Health and Aged Care, before it is legislatively formalised by the Minister </w:t>
      </w:r>
      <w:r w:rsidR="002F4581" w:rsidRPr="00221992">
        <w:rPr>
          <w:lang w:val="en-GB"/>
        </w:rPr>
        <w:fldChar w:fldCharType="begin"/>
      </w:r>
      <w:r w:rsidR="005A67DD" w:rsidRPr="00221992">
        <w:rPr>
          <w:lang w:val="en-GB"/>
        </w:rPr>
        <w:instrText xml:space="preserve"> ADDIN EN.CITE &lt;EndNote&gt;&lt;Cite&gt;&lt;Author&gt;Department of Health and Aged Care&lt;/Author&gt;&lt;Year&gt;2023&lt;/Year&gt;&lt;RecNum&gt;384&lt;/RecNum&gt;&lt;DisplayText&gt;[12]&lt;/DisplayText&gt;&lt;record&gt;&lt;rec-number&gt;384&lt;/rec-number&gt;&lt;foreign-keys&gt;&lt;key app="EN" db-id="wzwwsfxe4peesxef95cxvrwjxts9rreasarf" timestamp="1692654670"&gt;384&lt;/key&gt;&lt;/foreign-keys&gt;&lt;ref-type name="Web Page"&gt;12&lt;/ref-type&gt;&lt;contributors&gt;&lt;authors&gt;&lt;author&gt;Department of Health and Aged Care,&lt;/author&gt;&lt;/authors&gt;&lt;/contributors&gt;&lt;titles&gt;&lt;title&gt;Procedures for a positive recommendation to list&lt;/title&gt;&lt;/titles&gt;&lt;number&gt;23 August 2023&lt;/number&gt;&lt;dates&gt;&lt;year&gt;2023&lt;/year&gt;&lt;/dates&gt;&lt;pub-location&gt;Canberra&lt;/pub-location&gt;&lt;publisher&gt;Australian Government, Department of Health and Aged Care&lt;/publisher&gt;&lt;urls&gt;&lt;related-urls&gt;&lt;url&gt;https://www.pbs.gov.au/info/industry/listing/procedure-guidance/8-procedures-positive-recommendation-list/8-procedures-for-a-positive-recommendation-to-list&lt;/url&gt;&lt;/related-urls&gt;&lt;/urls&gt;&lt;/record&gt;&lt;/Cite&gt;&lt;/EndNote&gt;</w:instrText>
      </w:r>
      <w:r w:rsidR="002F4581" w:rsidRPr="00221992">
        <w:rPr>
          <w:lang w:val="en-GB"/>
        </w:rPr>
        <w:fldChar w:fldCharType="separate"/>
      </w:r>
      <w:r w:rsidR="005A67DD" w:rsidRPr="00221992">
        <w:rPr>
          <w:noProof/>
          <w:lang w:val="en-GB"/>
        </w:rPr>
        <w:t>[12]</w:t>
      </w:r>
      <w:r w:rsidR="002F4581" w:rsidRPr="00221992">
        <w:rPr>
          <w:lang w:val="en-GB"/>
        </w:rPr>
        <w:fldChar w:fldCharType="end"/>
      </w:r>
      <w:r w:rsidR="002F4581" w:rsidRPr="00221992">
        <w:rPr>
          <w:lang w:val="en-GB"/>
        </w:rPr>
        <w:t>.</w:t>
      </w:r>
    </w:p>
    <w:p w14:paraId="1E83F366" w14:textId="0DC76532" w:rsidR="00D95336" w:rsidRPr="00221992" w:rsidRDefault="00D95336" w:rsidP="00702C58">
      <w:pPr>
        <w:rPr>
          <w:lang w:val="en-GB"/>
        </w:rPr>
      </w:pPr>
      <w:r w:rsidRPr="00221992">
        <w:rPr>
          <w:lang w:val="en-GB"/>
        </w:rPr>
        <w:t xml:space="preserve">In </w:t>
      </w:r>
      <w:r w:rsidR="00213502" w:rsidRPr="00221992">
        <w:rPr>
          <w:lang w:val="en-GB"/>
        </w:rPr>
        <w:t>England/Wales</w:t>
      </w:r>
      <w:r w:rsidRPr="00221992">
        <w:rPr>
          <w:lang w:val="en-GB"/>
        </w:rPr>
        <w:t xml:space="preserve">, </w:t>
      </w:r>
      <w:r w:rsidR="00DC4F6E">
        <w:rPr>
          <w:lang w:val="en-GB"/>
        </w:rPr>
        <w:t>NICE’s</w:t>
      </w:r>
      <w:r w:rsidR="00DC4F6E" w:rsidRPr="00221992">
        <w:rPr>
          <w:lang w:val="en-GB"/>
        </w:rPr>
        <w:t xml:space="preserve"> </w:t>
      </w:r>
      <w:r w:rsidRPr="00221992">
        <w:rPr>
          <w:lang w:val="en-GB"/>
        </w:rPr>
        <w:t xml:space="preserve">technology appraisal committee may issue </w:t>
      </w:r>
      <w:r w:rsidR="00DC4F6E">
        <w:rPr>
          <w:lang w:val="en-GB"/>
        </w:rPr>
        <w:t>five</w:t>
      </w:r>
      <w:r w:rsidRPr="00221992">
        <w:rPr>
          <w:lang w:val="en-GB"/>
        </w:rPr>
        <w:t xml:space="preserve"> types of recommendation</w:t>
      </w:r>
      <w:r w:rsidR="006762E9" w:rsidRPr="00221992">
        <w:rPr>
          <w:lang w:val="en-GB"/>
        </w:rPr>
        <w:t xml:space="preserve"> </w:t>
      </w:r>
      <w:r w:rsidRPr="00221992">
        <w:rPr>
          <w:lang w:val="en-GB"/>
        </w:rPr>
        <w:fldChar w:fldCharType="begin"/>
      </w:r>
      <w:r w:rsidR="005A67DD" w:rsidRPr="00221992">
        <w:rPr>
          <w:lang w:val="en-GB"/>
        </w:rPr>
        <w:instrText xml:space="preserve"> ADDIN EN.CITE &lt;EndNote&gt;&lt;Cite&gt;&lt;Author&gt;National Institute for Health and Care Excellence (NICE)&lt;/Author&gt;&lt;Year&gt;2023&lt;/Year&gt;&lt;RecNum&gt;614&lt;/RecNum&gt;&lt;DisplayText&gt;[13]&lt;/DisplayText&gt;&lt;record&gt;&lt;rec-number&gt;614&lt;/rec-number&gt;&lt;foreign-keys&gt;&lt;key app="EN" db-id="wzwwsfxe4peesxef95cxvrwjxts9rreasarf" timestamp="1692755657"&gt;614&lt;/key&gt;&lt;/foreign-keys&gt;&lt;ref-type name="Web Page"&gt;12&lt;/ref-type&gt;&lt;contributors&gt;&lt;authors&gt;&lt;author&gt;National Institute for Health and Care Excellence (NICE),&lt;/author&gt;&lt;/authors&gt;&lt;/contributors&gt;&lt;titles&gt;&lt;title&gt;Types of technology appraisal recommendation&lt;/title&gt;&lt;/titles&gt;&lt;number&gt;23 August 2023&lt;/number&gt;&lt;dates&gt;&lt;year&gt;2023&lt;/year&gt;&lt;/dates&gt;&lt;pub-location&gt;London&lt;/pub-location&gt;&lt;publisher&gt;National Institute for Health and Care Excellence (NICE)&lt;/publisher&gt;&lt;urls&gt;&lt;related-urls&gt;&lt;url&gt;https://www.nice.org.uk/about/what-we-do/our-programmes/nice-guidance/nice-technology-appraisal-guidance/types-of-recommendation&lt;/url&gt;&lt;/related-urls&gt;&lt;/urls&gt;&lt;/record&gt;&lt;/Cite&gt;&lt;/EndNote&gt;</w:instrText>
      </w:r>
      <w:r w:rsidRPr="00221992">
        <w:rPr>
          <w:lang w:val="en-GB"/>
        </w:rPr>
        <w:fldChar w:fldCharType="separate"/>
      </w:r>
      <w:r w:rsidR="005A67DD" w:rsidRPr="00221992">
        <w:rPr>
          <w:noProof/>
          <w:lang w:val="en-GB"/>
        </w:rPr>
        <w:t>[13]</w:t>
      </w:r>
      <w:r w:rsidRPr="00221992">
        <w:rPr>
          <w:lang w:val="en-GB"/>
        </w:rPr>
        <w:fldChar w:fldCharType="end"/>
      </w:r>
      <w:r w:rsidRPr="00221992">
        <w:rPr>
          <w:lang w:val="en-GB"/>
        </w:rPr>
        <w:t>:</w:t>
      </w:r>
      <w:r w:rsidR="006762E9" w:rsidRPr="00221992">
        <w:rPr>
          <w:lang w:val="en-GB"/>
        </w:rPr>
        <w:t xml:space="preserve"> </w:t>
      </w:r>
    </w:p>
    <w:p w14:paraId="471D57E9" w14:textId="32EB5F89" w:rsidR="00D95336" w:rsidRPr="00221992" w:rsidRDefault="00D95336" w:rsidP="00957584">
      <w:pPr>
        <w:pStyle w:val="ListParagraph"/>
        <w:numPr>
          <w:ilvl w:val="0"/>
          <w:numId w:val="28"/>
        </w:numPr>
        <w:rPr>
          <w:lang w:val="en-GB"/>
        </w:rPr>
      </w:pPr>
      <w:r w:rsidRPr="00221992">
        <w:rPr>
          <w:lang w:val="en-GB"/>
        </w:rPr>
        <w:t xml:space="preserve">Recommended: The </w:t>
      </w:r>
      <w:r w:rsidR="00615AE2" w:rsidRPr="00221992">
        <w:rPr>
          <w:lang w:val="en-GB"/>
        </w:rPr>
        <w:t>National Health Service (</w:t>
      </w:r>
      <w:r w:rsidRPr="00221992">
        <w:rPr>
          <w:lang w:val="en-GB"/>
        </w:rPr>
        <w:t>NHS</w:t>
      </w:r>
      <w:r w:rsidR="00615AE2" w:rsidRPr="00221992">
        <w:rPr>
          <w:lang w:val="en-GB"/>
        </w:rPr>
        <w:t>)</w:t>
      </w:r>
      <w:r w:rsidRPr="00221992">
        <w:rPr>
          <w:lang w:val="en-GB"/>
        </w:rPr>
        <w:t xml:space="preserve"> must make sure it is available within 3 months (unless otherwise specified) of its date of publication.</w:t>
      </w:r>
    </w:p>
    <w:p w14:paraId="4BC266E7" w14:textId="77777777" w:rsidR="00D95336" w:rsidRPr="00221992" w:rsidRDefault="00D95336" w:rsidP="00957584">
      <w:pPr>
        <w:pStyle w:val="ListParagraph"/>
        <w:numPr>
          <w:ilvl w:val="0"/>
          <w:numId w:val="28"/>
        </w:numPr>
        <w:rPr>
          <w:lang w:val="en-GB"/>
        </w:rPr>
      </w:pPr>
      <w:r w:rsidRPr="00221992">
        <w:rPr>
          <w:lang w:val="en-GB"/>
        </w:rPr>
        <w:t>Optimised: The technology is recommended for a smaller group of patients than originally stated by the marketing authorisation.</w:t>
      </w:r>
    </w:p>
    <w:p w14:paraId="7BF27CEA" w14:textId="77777777" w:rsidR="00D95336" w:rsidRPr="00221992" w:rsidRDefault="00D95336" w:rsidP="00957584">
      <w:pPr>
        <w:pStyle w:val="ListParagraph"/>
        <w:numPr>
          <w:ilvl w:val="0"/>
          <w:numId w:val="28"/>
        </w:numPr>
        <w:rPr>
          <w:lang w:val="en-GB"/>
        </w:rPr>
      </w:pPr>
      <w:r w:rsidRPr="00221992">
        <w:rPr>
          <w:lang w:val="en-GB"/>
        </w:rPr>
        <w:t>Only in research: The drug or treatment is recommended for use only in the context of a research study, for example a clinical trial.</w:t>
      </w:r>
    </w:p>
    <w:p w14:paraId="20AF0469" w14:textId="709EAEF1" w:rsidR="00D95336" w:rsidRPr="00221992" w:rsidRDefault="00D95336" w:rsidP="00957584">
      <w:pPr>
        <w:pStyle w:val="ListParagraph"/>
        <w:numPr>
          <w:ilvl w:val="0"/>
          <w:numId w:val="28"/>
        </w:numPr>
        <w:rPr>
          <w:lang w:val="en-GB"/>
        </w:rPr>
      </w:pPr>
      <w:r w:rsidRPr="00221992">
        <w:rPr>
          <w:lang w:val="en-GB"/>
        </w:rPr>
        <w:t>Not recommended: The treatment is not recommended. This happens when there is a lack of evidence for the clinical effectiveness of the technology</w:t>
      </w:r>
      <w:r w:rsidR="00F9568D" w:rsidRPr="00221992">
        <w:rPr>
          <w:lang w:val="en-GB"/>
        </w:rPr>
        <w:t>,</w:t>
      </w:r>
      <w:r w:rsidRPr="00221992">
        <w:rPr>
          <w:lang w:val="en-GB"/>
        </w:rPr>
        <w:t xml:space="preserve"> or it is not considered to be a cost-effective use of NHS resources compared with current NHS practice.</w:t>
      </w:r>
    </w:p>
    <w:p w14:paraId="7548FD18" w14:textId="3581DC0C" w:rsidR="00D95336" w:rsidRPr="00221992" w:rsidRDefault="00D95336" w:rsidP="00957584">
      <w:pPr>
        <w:pStyle w:val="ListParagraph"/>
        <w:numPr>
          <w:ilvl w:val="0"/>
          <w:numId w:val="28"/>
        </w:numPr>
        <w:rPr>
          <w:lang w:val="en-GB"/>
        </w:rPr>
      </w:pPr>
      <w:r w:rsidRPr="00221992">
        <w:rPr>
          <w:lang w:val="en-GB"/>
        </w:rPr>
        <w:t xml:space="preserve">Recommended for use in the Cancer Drugs Fund (CDF): </w:t>
      </w:r>
      <w:r w:rsidR="00B41A2C">
        <w:rPr>
          <w:lang w:val="en-GB"/>
        </w:rPr>
        <w:t>T</w:t>
      </w:r>
      <w:r w:rsidRPr="00221992">
        <w:rPr>
          <w:lang w:val="en-GB"/>
        </w:rPr>
        <w:t>he drug could be recommended for observation in the CDF. There is then more time to collect evidence about how well the drug works. Reviewers can also decide whether it meets the value for money criteria set out by NICE.</w:t>
      </w:r>
    </w:p>
    <w:p w14:paraId="0C227077" w14:textId="214A2D43" w:rsidR="00D95336" w:rsidRPr="00221992" w:rsidRDefault="00D95336" w:rsidP="00702C58">
      <w:pPr>
        <w:rPr>
          <w:lang w:val="en-GB"/>
        </w:rPr>
      </w:pPr>
      <w:r w:rsidRPr="00221992">
        <w:rPr>
          <w:lang w:val="en-GB"/>
        </w:rPr>
        <w:t xml:space="preserve">In </w:t>
      </w:r>
      <w:r w:rsidR="00213502" w:rsidRPr="00221992">
        <w:rPr>
          <w:lang w:val="en-GB"/>
        </w:rPr>
        <w:t>England/Wales</w:t>
      </w:r>
      <w:r w:rsidRPr="00221992">
        <w:rPr>
          <w:lang w:val="en-GB"/>
        </w:rPr>
        <w:t xml:space="preserve"> and Scotland, NICE and the Scottish Medicines Consortium (SMC) have an advisory role and the local NHS must fund all positive HTA recommendations. Technologies receiving a negative recommendation may be subject to negotiations in order to improve their cost-effectiveness and if there is agreement</w:t>
      </w:r>
      <w:r w:rsidR="00FC2972" w:rsidRPr="00221992">
        <w:rPr>
          <w:lang w:val="en-GB"/>
        </w:rPr>
        <w:t>,</w:t>
      </w:r>
      <w:r w:rsidRPr="00221992">
        <w:rPr>
          <w:lang w:val="en-GB"/>
        </w:rPr>
        <w:t xml:space="preserve"> the NHS </w:t>
      </w:r>
      <w:r w:rsidR="00AE26B3">
        <w:rPr>
          <w:lang w:val="en-GB"/>
        </w:rPr>
        <w:t>may</w:t>
      </w:r>
      <w:r w:rsidR="00AE26B3" w:rsidRPr="00221992">
        <w:rPr>
          <w:lang w:val="en-GB"/>
        </w:rPr>
        <w:t xml:space="preserve"> </w:t>
      </w:r>
      <w:r w:rsidRPr="00221992">
        <w:rPr>
          <w:lang w:val="en-GB"/>
        </w:rPr>
        <w:t xml:space="preserve">fund the technology; alternatively, if clinical benefit is highly uncertain or is considered inadequate, alternative mechanisms or pathways exist (further discussed in </w:t>
      </w:r>
      <w:r w:rsidR="00551786">
        <w:rPr>
          <w:lang w:val="en-GB"/>
        </w:rPr>
        <w:t>‘</w:t>
      </w:r>
      <w:r w:rsidRPr="00221992">
        <w:rPr>
          <w:lang w:val="en-GB"/>
        </w:rPr>
        <w:t>negative outcomes</w:t>
      </w:r>
      <w:r w:rsidR="00551786">
        <w:rPr>
          <w:lang w:val="en-GB"/>
        </w:rPr>
        <w:t>’</w:t>
      </w:r>
      <w:r w:rsidRPr="00221992">
        <w:rPr>
          <w:lang w:val="en-GB"/>
        </w:rPr>
        <w:t xml:space="preserve"> below)</w:t>
      </w:r>
      <w:r w:rsidR="006762E9" w:rsidRPr="00221992">
        <w:rPr>
          <w:lang w:val="en-GB"/>
        </w:rPr>
        <w:t xml:space="preserve"> </w:t>
      </w:r>
      <w:r w:rsidR="006762E9" w:rsidRPr="00221992">
        <w:rPr>
          <w:lang w:val="en-GB"/>
        </w:rPr>
        <w:fldChar w:fldCharType="begin"/>
      </w:r>
      <w:r w:rsidR="005A67DD" w:rsidRPr="00221992">
        <w:rPr>
          <w:lang w:val="en-GB"/>
        </w:rPr>
        <w:instrText xml:space="preserve"> ADDIN EN.CITE &lt;EndNote&gt;&lt;Cite&gt;&lt;Author&gt;Haute Autorité de Santé&lt;/Author&gt;&lt;Year&gt;2014&lt;/Year&gt;&lt;RecNum&gt;416&lt;/RecNum&gt;&lt;DisplayText&gt;[14]&lt;/DisplayText&gt;&lt;record&gt;&lt;rec-number&gt;416&lt;/rec-number&gt;&lt;foreign-keys&gt;&lt;key app="EN" db-id="wzwwsfxe4peesxef95cxvrwjxts9rreasarf" timestamp="1692654670"&gt;416&lt;/key&gt;&lt;/foreign-keys&gt;&lt;ref-type name="Web Page"&gt;12&lt;/ref-type&gt;&lt;contributors&gt;&lt;authors&gt;&lt;author&gt;Haute Autorité de Santé,&lt;/author&gt;&lt;/authors&gt;&lt;/contributors&gt;&lt;titles&gt;&lt;title&gt;Pricing &amp;amp; Reimbursement of drugs and HTA policies in France&lt;/title&gt;&lt;/titles&gt;&lt;number&gt;15 July 2023&lt;/number&gt;&lt;dates&gt;&lt;year&gt;2014&lt;/year&gt;&lt;/dates&gt;&lt;urls&gt;&lt;related-urls&gt;&lt;url&gt;https://www.has-sante.fr/?id=c_1729388&lt;/url&gt;&lt;/related-urls&gt;&lt;/urls&gt;&lt;/record&gt;&lt;/Cite&gt;&lt;/EndNote&gt;</w:instrText>
      </w:r>
      <w:r w:rsidR="006762E9" w:rsidRPr="00221992">
        <w:rPr>
          <w:lang w:val="en-GB"/>
        </w:rPr>
        <w:fldChar w:fldCharType="separate"/>
      </w:r>
      <w:r w:rsidR="005A67DD" w:rsidRPr="00221992">
        <w:rPr>
          <w:noProof/>
          <w:lang w:val="en-GB"/>
        </w:rPr>
        <w:t>[14]</w:t>
      </w:r>
      <w:r w:rsidR="006762E9" w:rsidRPr="00221992">
        <w:rPr>
          <w:lang w:val="en-GB"/>
        </w:rPr>
        <w:fldChar w:fldCharType="end"/>
      </w:r>
      <w:r w:rsidR="00F5766F" w:rsidRPr="00221992">
        <w:rPr>
          <w:lang w:val="en-GB"/>
        </w:rPr>
        <w:t>.</w:t>
      </w:r>
    </w:p>
    <w:p w14:paraId="20414A8B" w14:textId="790935C2" w:rsidR="00D95336" w:rsidRPr="00221992" w:rsidRDefault="00D95336" w:rsidP="00702C58">
      <w:pPr>
        <w:rPr>
          <w:lang w:val="en-GB"/>
        </w:rPr>
      </w:pPr>
      <w:r w:rsidRPr="00221992">
        <w:rPr>
          <w:lang w:val="en-GB"/>
        </w:rPr>
        <w:t xml:space="preserve">In France, </w:t>
      </w:r>
      <w:r w:rsidR="00FC2972" w:rsidRPr="00221992">
        <w:rPr>
          <w:lang w:val="en-GB"/>
        </w:rPr>
        <w:t xml:space="preserve">an assessment of </w:t>
      </w:r>
      <w:r w:rsidR="00551786">
        <w:rPr>
          <w:lang w:val="en-GB"/>
        </w:rPr>
        <w:t>‘</w:t>
      </w:r>
      <w:r w:rsidRPr="00221992">
        <w:rPr>
          <w:lang w:val="en-GB"/>
        </w:rPr>
        <w:t>Actual Benefit</w:t>
      </w:r>
      <w:r w:rsidR="00551786">
        <w:rPr>
          <w:lang w:val="en-GB"/>
        </w:rPr>
        <w:t>’</w:t>
      </w:r>
      <w:r w:rsidRPr="00221992">
        <w:rPr>
          <w:lang w:val="en-GB"/>
        </w:rPr>
        <w:t xml:space="preserve"> is used to inform funding recommendations, based on </w:t>
      </w:r>
      <w:r w:rsidR="00FC2972" w:rsidRPr="00221992">
        <w:rPr>
          <w:lang w:val="en-GB"/>
        </w:rPr>
        <w:t>five</w:t>
      </w:r>
      <w:r w:rsidRPr="00221992">
        <w:rPr>
          <w:lang w:val="en-GB"/>
        </w:rPr>
        <w:t xml:space="preserve"> criteria</w:t>
      </w:r>
      <w:r w:rsidR="00FC2972" w:rsidRPr="00221992">
        <w:rPr>
          <w:lang w:val="en-GB"/>
        </w:rPr>
        <w:t xml:space="preserve"> </w:t>
      </w:r>
      <w:r w:rsidRPr="00221992">
        <w:rPr>
          <w:lang w:val="en-GB"/>
        </w:rPr>
        <w:fldChar w:fldCharType="begin"/>
      </w:r>
      <w:r w:rsidR="005A67DD" w:rsidRPr="00221992">
        <w:rPr>
          <w:lang w:val="en-GB"/>
        </w:rPr>
        <w:instrText xml:space="preserve"> ADDIN EN.CITE &lt;EndNote&gt;&lt;Cite&gt;&lt;Author&gt;Haute Autorité de Santé&lt;/Author&gt;&lt;Year&gt;2014&lt;/Year&gt;&lt;RecNum&gt;416&lt;/RecNum&gt;&lt;DisplayText&gt;[14]&lt;/DisplayText&gt;&lt;record&gt;&lt;rec-number&gt;416&lt;/rec-number&gt;&lt;foreign-keys&gt;&lt;key app="EN" db-id="wzwwsfxe4peesxef95cxvrwjxts9rreasarf" timestamp="1692654670"&gt;416&lt;/key&gt;&lt;/foreign-keys&gt;&lt;ref-type name="Web Page"&gt;12&lt;/ref-type&gt;&lt;contributors&gt;&lt;authors&gt;&lt;author&gt;Haute Autorité de Santé,&lt;/author&gt;&lt;/authors&gt;&lt;/contributors&gt;&lt;titles&gt;&lt;title&gt;Pricing &amp;amp; Reimbursement of drugs and HTA policies in France&lt;/title&gt;&lt;/titles&gt;&lt;number&gt;15 July 2023&lt;/number&gt;&lt;dates&gt;&lt;year&gt;2014&lt;/year&gt;&lt;/dates&gt;&lt;urls&gt;&lt;related-urls&gt;&lt;url&gt;https://www.has-sante.fr/?id=c_1729388&lt;/url&gt;&lt;/related-urls&gt;&lt;/urls&gt;&lt;/record&gt;&lt;/Cite&gt;&lt;/EndNote&gt;</w:instrText>
      </w:r>
      <w:r w:rsidRPr="00221992">
        <w:rPr>
          <w:lang w:val="en-GB"/>
        </w:rPr>
        <w:fldChar w:fldCharType="separate"/>
      </w:r>
      <w:r w:rsidR="005A67DD" w:rsidRPr="00221992">
        <w:rPr>
          <w:noProof/>
          <w:lang w:val="en-GB"/>
        </w:rPr>
        <w:t>[14]</w:t>
      </w:r>
      <w:r w:rsidRPr="00221992">
        <w:rPr>
          <w:lang w:val="en-GB"/>
        </w:rPr>
        <w:fldChar w:fldCharType="end"/>
      </w:r>
      <w:r w:rsidRPr="00221992">
        <w:rPr>
          <w:lang w:val="en-GB"/>
        </w:rPr>
        <w:t>:</w:t>
      </w:r>
    </w:p>
    <w:p w14:paraId="03D56AA6" w14:textId="77777777" w:rsidR="00D95336" w:rsidRPr="00221992" w:rsidRDefault="00D95336" w:rsidP="00957584">
      <w:pPr>
        <w:pStyle w:val="ListParagraph"/>
        <w:numPr>
          <w:ilvl w:val="0"/>
          <w:numId w:val="25"/>
        </w:numPr>
        <w:rPr>
          <w:lang w:val="en-GB"/>
        </w:rPr>
      </w:pPr>
      <w:r w:rsidRPr="00221992">
        <w:rPr>
          <w:lang w:val="en-GB"/>
        </w:rPr>
        <w:t>Severity of the disease and its impact on morbidity and mortality</w:t>
      </w:r>
    </w:p>
    <w:p w14:paraId="2D6925F7" w14:textId="77777777" w:rsidR="00D95336" w:rsidRPr="00221992" w:rsidRDefault="00D95336" w:rsidP="00957584">
      <w:pPr>
        <w:pStyle w:val="ListParagraph"/>
        <w:numPr>
          <w:ilvl w:val="0"/>
          <w:numId w:val="25"/>
        </w:numPr>
        <w:rPr>
          <w:lang w:val="en-GB"/>
        </w:rPr>
      </w:pPr>
      <w:r w:rsidRPr="00221992">
        <w:rPr>
          <w:lang w:val="en-GB"/>
        </w:rPr>
        <w:t>Clinical efficacy/effectiveness and safety of the medicine</w:t>
      </w:r>
    </w:p>
    <w:p w14:paraId="35E24F65" w14:textId="77777777" w:rsidR="00D95336" w:rsidRPr="00221992" w:rsidRDefault="00D95336" w:rsidP="00957584">
      <w:pPr>
        <w:pStyle w:val="ListParagraph"/>
        <w:numPr>
          <w:ilvl w:val="0"/>
          <w:numId w:val="25"/>
        </w:numPr>
        <w:rPr>
          <w:lang w:val="en-GB"/>
        </w:rPr>
      </w:pPr>
      <w:r w:rsidRPr="00221992">
        <w:rPr>
          <w:lang w:val="en-GB"/>
        </w:rPr>
        <w:t>Aim of the drug: preventive, symptomatic or curative</w:t>
      </w:r>
    </w:p>
    <w:p w14:paraId="460CA74A" w14:textId="77777777" w:rsidR="00D95336" w:rsidRPr="00221992" w:rsidRDefault="00D95336" w:rsidP="00957584">
      <w:pPr>
        <w:pStyle w:val="ListParagraph"/>
        <w:numPr>
          <w:ilvl w:val="0"/>
          <w:numId w:val="25"/>
        </w:numPr>
        <w:rPr>
          <w:lang w:val="en-GB"/>
        </w:rPr>
      </w:pPr>
      <w:r w:rsidRPr="00221992">
        <w:rPr>
          <w:lang w:val="en-GB"/>
        </w:rPr>
        <w:t>The therapeutic strategy as regards to therapeutic alternatives</w:t>
      </w:r>
    </w:p>
    <w:p w14:paraId="6E7A944D" w14:textId="77777777" w:rsidR="00D95336" w:rsidRPr="00221992" w:rsidRDefault="00D95336" w:rsidP="00957584">
      <w:pPr>
        <w:pStyle w:val="ListParagraph"/>
        <w:numPr>
          <w:ilvl w:val="0"/>
          <w:numId w:val="25"/>
        </w:numPr>
        <w:rPr>
          <w:lang w:val="en-GB"/>
        </w:rPr>
      </w:pPr>
      <w:r w:rsidRPr="00221992">
        <w:rPr>
          <w:lang w:val="en-GB"/>
        </w:rPr>
        <w:t>Impact in terms of public health (burden of disease, health impact at the community level, transposability of clinical trial results)</w:t>
      </w:r>
    </w:p>
    <w:p w14:paraId="6F9846AE" w14:textId="33B08568" w:rsidR="00D95336" w:rsidRPr="00221992" w:rsidRDefault="00D95336" w:rsidP="00702C58">
      <w:pPr>
        <w:rPr>
          <w:lang w:val="en-GB"/>
        </w:rPr>
      </w:pPr>
      <w:r w:rsidRPr="00221992">
        <w:rPr>
          <w:lang w:val="en-GB"/>
        </w:rPr>
        <w:t xml:space="preserve">The Actual Benefit may be insufficient to recommend funding if: there is a small/clinically insignificant benefit or substantial toxicity; differences between trial population and target French population; </w:t>
      </w:r>
      <w:r w:rsidR="00D70698">
        <w:rPr>
          <w:lang w:val="en-GB"/>
        </w:rPr>
        <w:t xml:space="preserve">indication comprises </w:t>
      </w:r>
      <w:r w:rsidRPr="00221992">
        <w:rPr>
          <w:lang w:val="en-GB"/>
        </w:rPr>
        <w:t xml:space="preserve">mild severity/symptoms </w:t>
      </w:r>
      <w:r w:rsidR="00D70698">
        <w:rPr>
          <w:lang w:val="en-GB"/>
        </w:rPr>
        <w:t>that</w:t>
      </w:r>
      <w:r w:rsidR="00D70698" w:rsidRPr="00221992">
        <w:rPr>
          <w:lang w:val="en-GB"/>
        </w:rPr>
        <w:t xml:space="preserve"> </w:t>
      </w:r>
      <w:r w:rsidRPr="00221992">
        <w:rPr>
          <w:lang w:val="en-GB"/>
        </w:rPr>
        <w:t xml:space="preserve">may be spontaneously curable; therapeutic alternatives with similar efficacy and/or less toxicity. The </w:t>
      </w:r>
      <w:r w:rsidR="00D70698">
        <w:rPr>
          <w:lang w:val="en-GB"/>
        </w:rPr>
        <w:t>greater</w:t>
      </w:r>
      <w:r w:rsidR="00D70698" w:rsidRPr="00221992">
        <w:rPr>
          <w:lang w:val="en-GB"/>
        </w:rPr>
        <w:t xml:space="preserve"> </w:t>
      </w:r>
      <w:r w:rsidRPr="00221992">
        <w:rPr>
          <w:lang w:val="en-GB"/>
        </w:rPr>
        <w:t xml:space="preserve">the </w:t>
      </w:r>
      <w:r w:rsidR="00551786">
        <w:rPr>
          <w:lang w:val="en-GB"/>
        </w:rPr>
        <w:t>‘</w:t>
      </w:r>
      <w:r w:rsidRPr="00221992">
        <w:rPr>
          <w:lang w:val="en-GB"/>
        </w:rPr>
        <w:t>Actual Benefit</w:t>
      </w:r>
      <w:r w:rsidR="00D70698">
        <w:rPr>
          <w:lang w:val="en-GB"/>
        </w:rPr>
        <w:t>,</w:t>
      </w:r>
      <w:r w:rsidR="00551786">
        <w:rPr>
          <w:lang w:val="en-GB"/>
        </w:rPr>
        <w:t>’</w:t>
      </w:r>
      <w:r w:rsidRPr="00221992">
        <w:rPr>
          <w:lang w:val="en-GB"/>
        </w:rPr>
        <w:t xml:space="preserve"> the more likely a technology is to be funded</w:t>
      </w:r>
      <w:r w:rsidR="00D70698">
        <w:rPr>
          <w:lang w:val="en-GB"/>
        </w:rPr>
        <w:t>.</w:t>
      </w:r>
      <w:r w:rsidRPr="00221992">
        <w:rPr>
          <w:lang w:val="en-GB"/>
        </w:rPr>
        <w:t xml:space="preserve"> Fr</w:t>
      </w:r>
      <w:r w:rsidR="00D70698">
        <w:rPr>
          <w:lang w:val="en-GB"/>
        </w:rPr>
        <w:t>ance’s</w:t>
      </w:r>
      <w:r w:rsidRPr="00221992">
        <w:rPr>
          <w:lang w:val="en-GB"/>
        </w:rPr>
        <w:t xml:space="preserve"> </w:t>
      </w:r>
      <w:r w:rsidR="00D70698">
        <w:rPr>
          <w:lang w:val="en-GB"/>
        </w:rPr>
        <w:t>N</w:t>
      </w:r>
      <w:r w:rsidRPr="00221992">
        <w:rPr>
          <w:lang w:val="en-GB"/>
        </w:rPr>
        <w:t xml:space="preserve">ational </w:t>
      </w:r>
      <w:r w:rsidR="00D70698">
        <w:rPr>
          <w:lang w:val="en-GB"/>
        </w:rPr>
        <w:t>H</w:t>
      </w:r>
      <w:r w:rsidRPr="00221992">
        <w:rPr>
          <w:lang w:val="en-GB"/>
        </w:rPr>
        <w:t xml:space="preserve">ealth </w:t>
      </w:r>
      <w:r w:rsidR="00D70698">
        <w:rPr>
          <w:lang w:val="en-GB"/>
        </w:rPr>
        <w:t>I</w:t>
      </w:r>
      <w:r w:rsidRPr="00221992">
        <w:rPr>
          <w:lang w:val="en-GB"/>
        </w:rPr>
        <w:t xml:space="preserve">nsurance (NHI) </w:t>
      </w:r>
      <w:r w:rsidR="00D70698">
        <w:rPr>
          <w:lang w:val="en-GB"/>
        </w:rPr>
        <w:t>sets</w:t>
      </w:r>
      <w:r w:rsidR="00D70698" w:rsidRPr="00221992">
        <w:rPr>
          <w:lang w:val="en-GB"/>
        </w:rPr>
        <w:t xml:space="preserve"> </w:t>
      </w:r>
      <w:r w:rsidRPr="00221992">
        <w:rPr>
          <w:lang w:val="en-GB"/>
        </w:rPr>
        <w:t xml:space="preserve">the reimbursement rate according to the </w:t>
      </w:r>
      <w:r w:rsidR="00D70698">
        <w:rPr>
          <w:lang w:val="en-GB"/>
        </w:rPr>
        <w:t xml:space="preserve">level of </w:t>
      </w:r>
      <w:r w:rsidRPr="00221992">
        <w:rPr>
          <w:lang w:val="en-GB"/>
        </w:rPr>
        <w:t xml:space="preserve">Actual Benefit as described in </w:t>
      </w:r>
      <w:r w:rsidRPr="00221992">
        <w:rPr>
          <w:lang w:val="en-GB"/>
        </w:rPr>
        <w:fldChar w:fldCharType="begin"/>
      </w:r>
      <w:r w:rsidRPr="008E2EF3">
        <w:instrText xml:space="preserve"> REF _Ref143084954 \h </w:instrText>
      </w:r>
      <w:r w:rsidR="008E2EF3" w:rsidRPr="008E2EF3">
        <w:instrText xml:space="preserve"> \* MERGEFORMAT </w:instrText>
      </w:r>
      <w:r w:rsidRPr="00221992">
        <w:rPr>
          <w:lang w:val="en-GB"/>
        </w:rPr>
      </w:r>
      <w:r w:rsidRPr="00221992">
        <w:rPr>
          <w:lang w:val="en-GB"/>
        </w:rPr>
        <w:fldChar w:fldCharType="separate"/>
      </w:r>
      <w:r w:rsidR="000E11E7" w:rsidRPr="00221992">
        <w:rPr>
          <w:lang w:val="en-GB"/>
        </w:rPr>
        <w:t xml:space="preserve">Table </w:t>
      </w:r>
      <w:r w:rsidR="000E11E7" w:rsidRPr="000E11E7">
        <w:rPr>
          <w:noProof/>
          <w:lang w:val="en-GB"/>
        </w:rPr>
        <w:t>7</w:t>
      </w:r>
      <w:r w:rsidRPr="00221992">
        <w:rPr>
          <w:lang w:val="en-GB"/>
        </w:rPr>
        <w:fldChar w:fldCharType="end"/>
      </w:r>
      <w:r w:rsidRPr="00221992">
        <w:rPr>
          <w:lang w:val="en-GB"/>
        </w:rPr>
        <w:t xml:space="preserve"> below</w:t>
      </w:r>
      <w:r w:rsidR="00A61D4F" w:rsidRPr="00221992">
        <w:rPr>
          <w:lang w:val="en-GB"/>
        </w:rPr>
        <w:t xml:space="preserve"> </w:t>
      </w:r>
      <w:r w:rsidR="00A61D4F" w:rsidRPr="00221992">
        <w:rPr>
          <w:lang w:val="en-GB"/>
        </w:rPr>
        <w:fldChar w:fldCharType="begin"/>
      </w:r>
      <w:r w:rsidR="005A67DD" w:rsidRPr="00221992">
        <w:rPr>
          <w:lang w:val="en-GB"/>
        </w:rPr>
        <w:instrText xml:space="preserve"> ADDIN EN.CITE &lt;EndNote&gt;&lt;Cite&gt;&lt;Author&gt;Haute Autorité de Santé&lt;/Author&gt;&lt;Year&gt;2014&lt;/Year&gt;&lt;RecNum&gt;416&lt;/RecNum&gt;&lt;DisplayText&gt;[14]&lt;/DisplayText&gt;&lt;record&gt;&lt;rec-number&gt;416&lt;/rec-number&gt;&lt;foreign-keys&gt;&lt;key app="EN" db-id="wzwwsfxe4peesxef95cxvrwjxts9rreasarf" timestamp="1692654670"&gt;416&lt;/key&gt;&lt;/foreign-keys&gt;&lt;ref-type name="Web Page"&gt;12&lt;/ref-type&gt;&lt;contributors&gt;&lt;authors&gt;&lt;author&gt;Haute Autorité de Santé,&lt;/author&gt;&lt;/authors&gt;&lt;/contributors&gt;&lt;titles&gt;&lt;title&gt;Pricing &amp;amp; Reimbursement of drugs and HTA policies in France&lt;/title&gt;&lt;/titles&gt;&lt;number&gt;15 July 2023&lt;/number&gt;&lt;dates&gt;&lt;year&gt;2014&lt;/year&gt;&lt;/dates&gt;&lt;urls&gt;&lt;related-urls&gt;&lt;url&gt;https://www.has-sante.fr/?id=c_1729388&lt;/url&gt;&lt;/related-urls&gt;&lt;/urls&gt;&lt;/record&gt;&lt;/Cite&gt;&lt;/EndNote&gt;</w:instrText>
      </w:r>
      <w:r w:rsidR="00A61D4F" w:rsidRPr="00221992">
        <w:rPr>
          <w:lang w:val="en-GB"/>
        </w:rPr>
        <w:fldChar w:fldCharType="separate"/>
      </w:r>
      <w:r w:rsidR="005A67DD" w:rsidRPr="00221992">
        <w:rPr>
          <w:noProof/>
          <w:lang w:val="en-GB"/>
        </w:rPr>
        <w:t>[14]</w:t>
      </w:r>
      <w:r w:rsidR="00A61D4F" w:rsidRPr="00221992">
        <w:rPr>
          <w:lang w:val="en-GB"/>
        </w:rPr>
        <w:fldChar w:fldCharType="end"/>
      </w:r>
      <w:r w:rsidR="00F5766F" w:rsidRPr="00221992">
        <w:rPr>
          <w:lang w:val="en-GB"/>
        </w:rPr>
        <w:t>.</w:t>
      </w:r>
      <w:r w:rsidR="00A240B7" w:rsidRPr="00221992">
        <w:rPr>
          <w:lang w:val="en-GB"/>
        </w:rPr>
        <w:t xml:space="preserve"> </w:t>
      </w:r>
      <w:r w:rsidR="00187C0E" w:rsidRPr="00221992">
        <w:rPr>
          <w:lang w:val="en-GB"/>
        </w:rPr>
        <w:t>It is the patient</w:t>
      </w:r>
      <w:r w:rsidR="00551786">
        <w:rPr>
          <w:lang w:val="en-GB"/>
        </w:rPr>
        <w:t>’</w:t>
      </w:r>
      <w:r w:rsidR="00187C0E" w:rsidRPr="00221992">
        <w:rPr>
          <w:lang w:val="en-GB"/>
        </w:rPr>
        <w:t xml:space="preserve">s responsibility to provide funding for the outstanding amount; for example, a patient who receives an </w:t>
      </w:r>
      <w:r w:rsidR="00551786">
        <w:rPr>
          <w:lang w:val="en-GB"/>
        </w:rPr>
        <w:t>‘</w:t>
      </w:r>
      <w:r w:rsidR="00187C0E" w:rsidRPr="00221992">
        <w:rPr>
          <w:lang w:val="en-GB"/>
        </w:rPr>
        <w:t>important</w:t>
      </w:r>
      <w:r w:rsidR="00551786">
        <w:rPr>
          <w:lang w:val="en-GB"/>
        </w:rPr>
        <w:t>’</w:t>
      </w:r>
      <w:r w:rsidR="00187C0E" w:rsidRPr="00221992">
        <w:rPr>
          <w:lang w:val="en-GB"/>
        </w:rPr>
        <w:t xml:space="preserve"> reimbursement rate of 65% must pay the remaining </w:t>
      </w:r>
      <w:r w:rsidR="00A40ED1" w:rsidRPr="00221992">
        <w:rPr>
          <w:lang w:val="en-GB"/>
        </w:rPr>
        <w:t xml:space="preserve">35% of the drug cost. Approximately 90% of the French population </w:t>
      </w:r>
      <w:r w:rsidR="004345BB" w:rsidRPr="00221992">
        <w:rPr>
          <w:lang w:val="en-GB"/>
        </w:rPr>
        <w:t xml:space="preserve">subscribe to supplementary health insurance to achieve a 100% reimbursement rate for all listed drugs; </w:t>
      </w:r>
      <w:r w:rsidR="00396D4A">
        <w:rPr>
          <w:lang w:val="en-GB"/>
        </w:rPr>
        <w:t>fees</w:t>
      </w:r>
      <w:r w:rsidR="00396D4A" w:rsidRPr="00221992">
        <w:rPr>
          <w:lang w:val="en-GB"/>
        </w:rPr>
        <w:t xml:space="preserve"> </w:t>
      </w:r>
      <w:r w:rsidR="00396D4A">
        <w:rPr>
          <w:lang w:val="en-GB"/>
        </w:rPr>
        <w:t>are</w:t>
      </w:r>
      <w:r w:rsidR="004345BB" w:rsidRPr="00221992">
        <w:rPr>
          <w:lang w:val="en-GB"/>
        </w:rPr>
        <w:t xml:space="preserve"> </w:t>
      </w:r>
      <w:r w:rsidR="00396D4A">
        <w:rPr>
          <w:lang w:val="en-GB"/>
        </w:rPr>
        <w:t xml:space="preserve">not </w:t>
      </w:r>
      <w:r w:rsidR="004345BB" w:rsidRPr="00221992">
        <w:rPr>
          <w:lang w:val="en-GB"/>
        </w:rPr>
        <w:t>paid to pharmacists in most cases</w:t>
      </w:r>
      <w:r w:rsidR="00270CC1" w:rsidRPr="00221992">
        <w:rPr>
          <w:lang w:val="en-GB"/>
        </w:rPr>
        <w:t xml:space="preserve"> </w:t>
      </w:r>
      <w:r w:rsidR="008D71B5" w:rsidRPr="00221992">
        <w:rPr>
          <w:lang w:val="en-GB"/>
        </w:rPr>
        <w:fldChar w:fldCharType="begin"/>
      </w:r>
      <w:r w:rsidR="008D71B5" w:rsidRPr="00221992">
        <w:rPr>
          <w:lang w:val="en-GB"/>
        </w:rPr>
        <w:instrText xml:space="preserve"> ADDIN EN.CITE &lt;EndNote&gt;&lt;Cite&gt;&lt;Author&gt;Harousseau&lt;/Author&gt;&lt;Year&gt;2011&lt;/Year&gt;&lt;RecNum&gt;682&lt;/RecNum&gt;&lt;DisplayText&gt;[15]&lt;/DisplayText&gt;&lt;record&gt;&lt;rec-number&gt;682&lt;/rec-number&gt;&lt;foreign-keys&gt;&lt;key app="EN" db-id="wzwwsfxe4peesxef95cxvrwjxts9rreasarf" timestamp="1695596854"&gt;682&lt;/key&gt;&lt;/foreign-keys&gt;&lt;ref-type name="Report"&gt;27&lt;/ref-type&gt;&lt;contributors&gt;&lt;authors&gt;&lt;author&gt;Harousseau, J.-L.&lt;/author&gt;&lt;/authors&gt;&lt;tertiary-authors&gt;&lt;author&gt;Haute Autorité de Santé,&lt;/author&gt;&lt;/tertiary-authors&gt;&lt;/contributors&gt;&lt;titles&gt;&lt;title&gt;Haute Autorité de Santé and the evolution and impact of HTA in France&lt;/title&gt;&lt;/titles&gt;&lt;dates&gt;&lt;year&gt;2011&lt;/year&gt;&lt;/dates&gt;&lt;pub-location&gt;Paris&lt;/pub-location&gt;&lt;urls&gt;&lt;/urls&gt;&lt;/record&gt;&lt;/Cite&gt;&lt;/EndNote&gt;</w:instrText>
      </w:r>
      <w:r w:rsidR="008D71B5" w:rsidRPr="00221992">
        <w:rPr>
          <w:lang w:val="en-GB"/>
        </w:rPr>
        <w:fldChar w:fldCharType="separate"/>
      </w:r>
      <w:r w:rsidR="008D71B5" w:rsidRPr="00221992">
        <w:rPr>
          <w:noProof/>
          <w:lang w:val="en-GB"/>
        </w:rPr>
        <w:t>[15]</w:t>
      </w:r>
      <w:r w:rsidR="008D71B5" w:rsidRPr="00221992">
        <w:rPr>
          <w:lang w:val="en-GB"/>
        </w:rPr>
        <w:fldChar w:fldCharType="end"/>
      </w:r>
      <w:r w:rsidR="004345BB" w:rsidRPr="00221992">
        <w:rPr>
          <w:lang w:val="en-GB"/>
        </w:rPr>
        <w:t>.</w:t>
      </w:r>
      <w:r w:rsidR="00A40ED1" w:rsidRPr="00221992">
        <w:rPr>
          <w:lang w:val="en-GB"/>
        </w:rPr>
        <w:t xml:space="preserve"> </w:t>
      </w:r>
    </w:p>
    <w:p w14:paraId="3FDC7307" w14:textId="3BE56B59" w:rsidR="00D95336" w:rsidRPr="00221992" w:rsidRDefault="00D95336" w:rsidP="001721AB">
      <w:pPr>
        <w:pStyle w:val="Caption"/>
        <w:rPr>
          <w:lang w:val="en-GB"/>
        </w:rPr>
      </w:pPr>
      <w:bookmarkStart w:id="51" w:name="_Ref143084954"/>
      <w:bookmarkStart w:id="52" w:name="_Toc162950954"/>
      <w:r w:rsidRPr="00221992">
        <w:rPr>
          <w:lang w:val="en-GB"/>
        </w:rPr>
        <w:t xml:space="preserve">Table </w:t>
      </w:r>
      <w:r w:rsidRPr="00221992">
        <w:rPr>
          <w:lang w:val="en-GB"/>
        </w:rPr>
        <w:fldChar w:fldCharType="begin"/>
      </w:r>
      <w:r>
        <w:instrText>SEQ Table \* ARABIC</w:instrText>
      </w:r>
      <w:r w:rsidRPr="00221992">
        <w:rPr>
          <w:lang w:val="en-GB"/>
        </w:rPr>
        <w:fldChar w:fldCharType="separate"/>
      </w:r>
      <w:r w:rsidR="000E11E7">
        <w:rPr>
          <w:noProof/>
        </w:rPr>
        <w:t>7</w:t>
      </w:r>
      <w:r w:rsidRPr="00221992">
        <w:rPr>
          <w:lang w:val="en-GB"/>
        </w:rPr>
        <w:fldChar w:fldCharType="end"/>
      </w:r>
      <w:bookmarkEnd w:id="51"/>
      <w:r w:rsidR="008E2EF3" w:rsidRPr="00221992">
        <w:rPr>
          <w:lang w:val="en-GB"/>
        </w:rPr>
        <w:t>.</w:t>
      </w:r>
      <w:r w:rsidRPr="00221992">
        <w:rPr>
          <w:lang w:val="en-GB"/>
        </w:rPr>
        <w:t xml:space="preserve"> Reimbursement rate according to the Actual Benefit</w:t>
      </w:r>
      <w:bookmarkEnd w:id="52"/>
    </w:p>
    <w:tbl>
      <w:tblPr>
        <w:tblStyle w:val="LinedBlueTable"/>
        <w:tblW w:w="0" w:type="auto"/>
        <w:tblLook w:val="04A0" w:firstRow="1" w:lastRow="0" w:firstColumn="1" w:lastColumn="0" w:noHBand="0" w:noVBand="1"/>
        <w:tblCaption w:val="reimbursement rate according to the actual benefit"/>
      </w:tblPr>
      <w:tblGrid>
        <w:gridCol w:w="1668"/>
        <w:gridCol w:w="3260"/>
      </w:tblGrid>
      <w:tr w:rsidR="00D95336" w:rsidRPr="00221992" w14:paraId="71FED5A1" w14:textId="77777777" w:rsidTr="4E11AF2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8" w:type="dxa"/>
            <w:shd w:val="clear" w:color="auto" w:fill="1E8BCD"/>
          </w:tcPr>
          <w:p w14:paraId="0735AA17" w14:textId="77777777" w:rsidR="00D95336" w:rsidRPr="00221992" w:rsidRDefault="00D95336" w:rsidP="00701C2C">
            <w:pPr>
              <w:keepNext/>
              <w:rPr>
                <w:lang w:val="en-GB"/>
              </w:rPr>
            </w:pPr>
          </w:p>
        </w:tc>
        <w:tc>
          <w:tcPr>
            <w:tcW w:w="3260" w:type="dxa"/>
            <w:shd w:val="clear" w:color="auto" w:fill="1E8BCD"/>
          </w:tcPr>
          <w:p w14:paraId="30CADFF7" w14:textId="77777777" w:rsidR="00D95336" w:rsidRPr="00221992" w:rsidRDefault="00D95336" w:rsidP="00701C2C">
            <w:pPr>
              <w:keepNext/>
              <w:cnfStyle w:val="100000000000" w:firstRow="1" w:lastRow="0" w:firstColumn="0" w:lastColumn="0" w:oddVBand="0" w:evenVBand="0" w:oddHBand="0" w:evenHBand="0" w:firstRowFirstColumn="0" w:firstRowLastColumn="0" w:lastRowFirstColumn="0" w:lastRowLastColumn="0"/>
              <w:rPr>
                <w:lang w:val="en-GB"/>
              </w:rPr>
            </w:pPr>
            <w:r w:rsidRPr="00221992">
              <w:rPr>
                <w:lang w:val="en-GB"/>
              </w:rPr>
              <w:t>Reimbursement rate</w:t>
            </w:r>
          </w:p>
        </w:tc>
      </w:tr>
      <w:tr w:rsidR="00D95336" w:rsidRPr="00221992" w14:paraId="3E69F0D9" w14:textId="77777777" w:rsidTr="4E11AF22">
        <w:tc>
          <w:tcPr>
            <w:cnfStyle w:val="001000000000" w:firstRow="0" w:lastRow="0" w:firstColumn="1" w:lastColumn="0" w:oddVBand="0" w:evenVBand="0" w:oddHBand="0" w:evenHBand="0" w:firstRowFirstColumn="0" w:firstRowLastColumn="0" w:lastRowFirstColumn="0" w:lastRowLastColumn="0"/>
            <w:tcW w:w="1668" w:type="dxa"/>
            <w:shd w:val="clear" w:color="auto" w:fill="1E8BCD"/>
          </w:tcPr>
          <w:p w14:paraId="58566597" w14:textId="77777777" w:rsidR="00D95336" w:rsidRPr="00221992" w:rsidRDefault="00D95336" w:rsidP="00701C2C">
            <w:pPr>
              <w:keepNext/>
              <w:rPr>
                <w:lang w:val="en-GB"/>
              </w:rPr>
            </w:pPr>
            <w:r w:rsidRPr="00221992">
              <w:rPr>
                <w:lang w:val="en-GB"/>
              </w:rPr>
              <w:t>Important</w:t>
            </w:r>
          </w:p>
        </w:tc>
        <w:tc>
          <w:tcPr>
            <w:tcW w:w="3260" w:type="dxa"/>
          </w:tcPr>
          <w:p w14:paraId="05844579" w14:textId="77777777" w:rsidR="00D95336" w:rsidRPr="00221992" w:rsidRDefault="00D95336" w:rsidP="00701C2C">
            <w:pPr>
              <w:keepNext/>
              <w:cnfStyle w:val="000000000000" w:firstRow="0" w:lastRow="0" w:firstColumn="0" w:lastColumn="0" w:oddVBand="0" w:evenVBand="0" w:oddHBand="0" w:evenHBand="0" w:firstRowFirstColumn="0" w:firstRowLastColumn="0" w:lastRowFirstColumn="0" w:lastRowLastColumn="0"/>
              <w:rPr>
                <w:lang w:val="en-GB"/>
              </w:rPr>
            </w:pPr>
            <w:r w:rsidRPr="00221992">
              <w:rPr>
                <w:lang w:val="en-GB"/>
              </w:rPr>
              <w:t>65%</w:t>
            </w:r>
          </w:p>
        </w:tc>
      </w:tr>
      <w:tr w:rsidR="00D95336" w:rsidRPr="00221992" w14:paraId="3631FFF4" w14:textId="77777777" w:rsidTr="4E11AF2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8" w:type="dxa"/>
            <w:shd w:val="clear" w:color="auto" w:fill="1E8BCD"/>
          </w:tcPr>
          <w:p w14:paraId="01499006" w14:textId="77777777" w:rsidR="00D95336" w:rsidRPr="00221992" w:rsidRDefault="00D95336" w:rsidP="00701C2C">
            <w:pPr>
              <w:keepNext/>
              <w:rPr>
                <w:lang w:val="en-GB"/>
              </w:rPr>
            </w:pPr>
            <w:r w:rsidRPr="00221992">
              <w:rPr>
                <w:lang w:val="en-GB"/>
              </w:rPr>
              <w:t>Moderate</w:t>
            </w:r>
          </w:p>
        </w:tc>
        <w:tc>
          <w:tcPr>
            <w:tcW w:w="3260" w:type="dxa"/>
          </w:tcPr>
          <w:p w14:paraId="7E26EBD3" w14:textId="77777777" w:rsidR="00D95336" w:rsidRPr="00221992" w:rsidRDefault="00D95336" w:rsidP="00701C2C">
            <w:pPr>
              <w:keepNext/>
              <w:cnfStyle w:val="000000010000" w:firstRow="0" w:lastRow="0" w:firstColumn="0" w:lastColumn="0" w:oddVBand="0" w:evenVBand="0" w:oddHBand="0" w:evenHBand="1" w:firstRowFirstColumn="0" w:firstRowLastColumn="0" w:lastRowFirstColumn="0" w:lastRowLastColumn="0"/>
              <w:rPr>
                <w:lang w:val="en-GB"/>
              </w:rPr>
            </w:pPr>
            <w:r w:rsidRPr="00221992">
              <w:rPr>
                <w:lang w:val="en-GB"/>
              </w:rPr>
              <w:t>30%</w:t>
            </w:r>
          </w:p>
        </w:tc>
      </w:tr>
      <w:tr w:rsidR="00D95336" w:rsidRPr="00221992" w14:paraId="376957D4" w14:textId="77777777" w:rsidTr="4E11AF22">
        <w:tc>
          <w:tcPr>
            <w:cnfStyle w:val="001000000000" w:firstRow="0" w:lastRow="0" w:firstColumn="1" w:lastColumn="0" w:oddVBand="0" w:evenVBand="0" w:oddHBand="0" w:evenHBand="0" w:firstRowFirstColumn="0" w:firstRowLastColumn="0" w:lastRowFirstColumn="0" w:lastRowLastColumn="0"/>
            <w:tcW w:w="1668" w:type="dxa"/>
            <w:shd w:val="clear" w:color="auto" w:fill="1E8BCD"/>
          </w:tcPr>
          <w:p w14:paraId="37351413" w14:textId="77777777" w:rsidR="00D95336" w:rsidRPr="00221992" w:rsidRDefault="00D95336" w:rsidP="00701C2C">
            <w:pPr>
              <w:keepNext/>
              <w:rPr>
                <w:lang w:val="en-GB"/>
              </w:rPr>
            </w:pPr>
            <w:r w:rsidRPr="00221992">
              <w:rPr>
                <w:lang w:val="en-GB"/>
              </w:rPr>
              <w:t>Mild</w:t>
            </w:r>
          </w:p>
        </w:tc>
        <w:tc>
          <w:tcPr>
            <w:tcW w:w="3260" w:type="dxa"/>
          </w:tcPr>
          <w:p w14:paraId="0A4FEDFA" w14:textId="77777777" w:rsidR="00D95336" w:rsidRPr="00221992" w:rsidRDefault="00D95336" w:rsidP="00701C2C">
            <w:pPr>
              <w:keepNext/>
              <w:cnfStyle w:val="000000000000" w:firstRow="0" w:lastRow="0" w:firstColumn="0" w:lastColumn="0" w:oddVBand="0" w:evenVBand="0" w:oddHBand="0" w:evenHBand="0" w:firstRowFirstColumn="0" w:firstRowLastColumn="0" w:lastRowFirstColumn="0" w:lastRowLastColumn="0"/>
              <w:rPr>
                <w:lang w:val="en-GB"/>
              </w:rPr>
            </w:pPr>
            <w:r w:rsidRPr="00221992">
              <w:rPr>
                <w:lang w:val="en-GB"/>
              </w:rPr>
              <w:t>15%</w:t>
            </w:r>
          </w:p>
        </w:tc>
      </w:tr>
      <w:tr w:rsidR="00D95336" w:rsidRPr="00221992" w14:paraId="3720C3A5" w14:textId="77777777" w:rsidTr="4E11AF2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8" w:type="dxa"/>
            <w:shd w:val="clear" w:color="auto" w:fill="1E8BCD"/>
          </w:tcPr>
          <w:p w14:paraId="5F5B28D8" w14:textId="77777777" w:rsidR="00D95336" w:rsidRPr="00221992" w:rsidRDefault="00D95336" w:rsidP="00701C2C">
            <w:pPr>
              <w:keepNext/>
              <w:rPr>
                <w:lang w:val="en-GB"/>
              </w:rPr>
            </w:pPr>
            <w:r w:rsidRPr="00221992">
              <w:rPr>
                <w:lang w:val="en-GB"/>
              </w:rPr>
              <w:t>Insufficient</w:t>
            </w:r>
          </w:p>
        </w:tc>
        <w:tc>
          <w:tcPr>
            <w:tcW w:w="3260" w:type="dxa"/>
          </w:tcPr>
          <w:p w14:paraId="473AD596" w14:textId="77777777" w:rsidR="00D95336" w:rsidRPr="00221992" w:rsidRDefault="00D95336" w:rsidP="00701C2C">
            <w:pPr>
              <w:keepNext/>
              <w:cnfStyle w:val="000000010000" w:firstRow="0" w:lastRow="0" w:firstColumn="0" w:lastColumn="0" w:oddVBand="0" w:evenVBand="0" w:oddHBand="0" w:evenHBand="1" w:firstRowFirstColumn="0" w:firstRowLastColumn="0" w:lastRowFirstColumn="0" w:lastRowLastColumn="0"/>
              <w:rPr>
                <w:lang w:val="en-GB"/>
              </w:rPr>
            </w:pPr>
            <w:r w:rsidRPr="00221992">
              <w:rPr>
                <w:lang w:val="en-GB"/>
              </w:rPr>
              <w:t>Not included on the positive list</w:t>
            </w:r>
          </w:p>
        </w:tc>
      </w:tr>
    </w:tbl>
    <w:p w14:paraId="7EFE56D9" w14:textId="5CF81F7D" w:rsidR="00D95336" w:rsidRPr="00221992" w:rsidRDefault="00D95336" w:rsidP="00533CF1">
      <w:pPr>
        <w:pStyle w:val="TableNotes"/>
        <w:rPr>
          <w:lang w:val="en-GB"/>
        </w:rPr>
      </w:pPr>
      <w:r w:rsidRPr="00221992">
        <w:rPr>
          <w:lang w:val="en-GB"/>
        </w:rPr>
        <w:t xml:space="preserve">Source: </w:t>
      </w:r>
      <w:r w:rsidR="008E2EF3" w:rsidRPr="00221992">
        <w:rPr>
          <w:lang w:val="en-GB"/>
        </w:rPr>
        <w:tab/>
      </w:r>
      <w:r w:rsidRPr="00221992">
        <w:rPr>
          <w:lang w:val="en-GB"/>
        </w:rPr>
        <w:t xml:space="preserve">Slide 14, Haute Autorité de </w:t>
      </w:r>
      <w:r w:rsidR="00546B9C" w:rsidRPr="00221992">
        <w:rPr>
          <w:lang w:val="en-GB"/>
        </w:rPr>
        <w:t>S</w:t>
      </w:r>
      <w:r w:rsidRPr="00221992">
        <w:rPr>
          <w:lang w:val="en-GB"/>
        </w:rPr>
        <w:t>anté (2014)</w:t>
      </w:r>
    </w:p>
    <w:p w14:paraId="7E56AEBA" w14:textId="2F055B72" w:rsidR="00D95336" w:rsidRPr="00221992" w:rsidRDefault="00D95336" w:rsidP="00702C58">
      <w:pPr>
        <w:rPr>
          <w:b/>
          <w:lang w:val="en-GB"/>
        </w:rPr>
      </w:pPr>
      <w:r w:rsidRPr="00221992">
        <w:rPr>
          <w:lang w:val="en-GB"/>
        </w:rPr>
        <w:t xml:space="preserve">In Japan, </w:t>
      </w:r>
      <w:r w:rsidR="00C919D6">
        <w:rPr>
          <w:lang w:val="en-GB"/>
        </w:rPr>
        <w:t>the</w:t>
      </w:r>
      <w:r w:rsidRPr="00221992">
        <w:rPr>
          <w:lang w:val="en-GB"/>
        </w:rPr>
        <w:t xml:space="preserve"> Pharmaceuticals and Medical Devices Agency (PMDA), as designated by the Minister of Health, Labour and Welfare (MHLW), </w:t>
      </w:r>
      <w:r w:rsidR="00374841">
        <w:rPr>
          <w:lang w:val="en-GB"/>
        </w:rPr>
        <w:t>evaluates</w:t>
      </w:r>
      <w:r w:rsidRPr="00221992">
        <w:rPr>
          <w:lang w:val="en-GB"/>
        </w:rPr>
        <w:t xml:space="preserve"> application</w:t>
      </w:r>
      <w:r w:rsidR="00374841">
        <w:rPr>
          <w:lang w:val="en-GB"/>
        </w:rPr>
        <w:t>s</w:t>
      </w:r>
      <w:r w:rsidRPr="00221992">
        <w:rPr>
          <w:lang w:val="en-GB"/>
        </w:rPr>
        <w:t xml:space="preserve"> for marketing approval. The MHLW may prioritise </w:t>
      </w:r>
      <w:r w:rsidR="00374841">
        <w:rPr>
          <w:lang w:val="en-GB"/>
        </w:rPr>
        <w:t>evaluations</w:t>
      </w:r>
      <w:r w:rsidR="00374841" w:rsidRPr="00221992">
        <w:rPr>
          <w:lang w:val="en-GB"/>
        </w:rPr>
        <w:t xml:space="preserve"> </w:t>
      </w:r>
      <w:r w:rsidRPr="00221992">
        <w:rPr>
          <w:lang w:val="en-GB"/>
        </w:rPr>
        <w:t xml:space="preserve">for </w:t>
      </w:r>
      <w:r w:rsidR="00E4511D" w:rsidRPr="00221992">
        <w:rPr>
          <w:lang w:val="en-GB"/>
        </w:rPr>
        <w:t>o</w:t>
      </w:r>
      <w:r w:rsidRPr="00221992">
        <w:rPr>
          <w:lang w:val="en-GB"/>
        </w:rPr>
        <w:t xml:space="preserve">rphan, </w:t>
      </w:r>
      <w:r w:rsidR="00E4511D" w:rsidRPr="00221992">
        <w:rPr>
          <w:lang w:val="en-GB"/>
        </w:rPr>
        <w:t>p</w:t>
      </w:r>
      <w:r w:rsidRPr="00221992">
        <w:rPr>
          <w:lang w:val="en-GB"/>
        </w:rPr>
        <w:t>recursor</w:t>
      </w:r>
      <w:r w:rsidR="00374841">
        <w:rPr>
          <w:lang w:val="en-GB"/>
        </w:rPr>
        <w:t xml:space="preserve"> or</w:t>
      </w:r>
      <w:r w:rsidRPr="00221992">
        <w:rPr>
          <w:lang w:val="en-GB"/>
        </w:rPr>
        <w:t xml:space="preserve"> </w:t>
      </w:r>
      <w:r w:rsidR="00E4511D" w:rsidRPr="00221992">
        <w:rPr>
          <w:lang w:val="en-GB"/>
        </w:rPr>
        <w:t>s</w:t>
      </w:r>
      <w:r w:rsidRPr="00221992">
        <w:rPr>
          <w:lang w:val="en-GB"/>
        </w:rPr>
        <w:t xml:space="preserve">pecialised drugs </w:t>
      </w:r>
      <w:r w:rsidRPr="00221992">
        <w:rPr>
          <w:lang w:val="en-GB"/>
        </w:rPr>
        <w:fldChar w:fldCharType="begin"/>
      </w:r>
      <w:r w:rsidR="008D71B5" w:rsidRPr="00221992">
        <w:rPr>
          <w:lang w:val="en-GB"/>
        </w:rPr>
        <w:instrText xml:space="preserve"> ADDIN EN.CITE &lt;EndNote&gt;&lt;Cite&gt;&lt;Author&gt;Anozie&lt;/Author&gt;&lt;Year&gt;2023&lt;/Year&gt;&lt;RecNum&gt;17&lt;/RecNum&gt;&lt;DisplayText&gt;[16]&lt;/DisplayText&gt;&lt;record&gt;&lt;rec-number&gt;17&lt;/rec-number&gt;&lt;foreign-keys&gt;&lt;key app="EN" db-id="wzwwsfxe4peesxef95cxvrwjxts9rreasarf" timestamp="1692654670"&gt;17&lt;/key&gt;&lt;/foreign-keys&gt;&lt;ref-type name="Web Page"&gt;12&lt;/ref-type&gt;&lt;contributors&gt;&lt;authors&gt;&lt;author&gt;Anozie, A.&lt;/author&gt;&lt;author&gt;Vincent, J-C.&lt;/author&gt;&lt;author&gt;Minhas, P. &lt;/author&gt;&lt;/authors&gt;&lt;/contributors&gt;&lt;titles&gt;&lt;title&gt;What are the pricing and repricing mechanisms in Japan’s P&amp;amp;R system that pharma must understand when considering a launch in Japan?&lt;/title&gt;&lt;/titles&gt;&lt;dates&gt;&lt;year&gt;2023&lt;/year&gt;&lt;pub-dates&gt;&lt;date&gt;10 August 2023&lt;/date&gt;&lt;/pub-dates&gt;&lt;/dates&gt;&lt;publisher&gt;Eradigm Consulting&lt;/publisher&gt;&lt;urls&gt;&lt;related-urls&gt;&lt;url&gt;https://eradigm.com/white-paper/breaking-down-japans-drug-pricing-system/&lt;/url&gt;&lt;/related-urls&gt;&lt;/urls&gt;&lt;/record&gt;&lt;/Cite&gt;&lt;/EndNote&gt;</w:instrText>
      </w:r>
      <w:r w:rsidRPr="00221992">
        <w:rPr>
          <w:lang w:val="en-GB"/>
        </w:rPr>
        <w:fldChar w:fldCharType="separate"/>
      </w:r>
      <w:r w:rsidR="008D71B5" w:rsidRPr="00221992">
        <w:rPr>
          <w:noProof/>
          <w:lang w:val="en-GB"/>
        </w:rPr>
        <w:t>[16]</w:t>
      </w:r>
      <w:r w:rsidRPr="00221992">
        <w:rPr>
          <w:lang w:val="en-GB"/>
        </w:rPr>
        <w:fldChar w:fldCharType="end"/>
      </w:r>
      <w:r w:rsidR="00F5766F" w:rsidRPr="00221992">
        <w:rPr>
          <w:lang w:val="en-GB"/>
        </w:rPr>
        <w:t>.</w:t>
      </w:r>
      <w:r w:rsidRPr="00221992">
        <w:rPr>
          <w:lang w:val="en-GB"/>
        </w:rPr>
        <w:t xml:space="preserve"> </w:t>
      </w:r>
      <w:r w:rsidR="00D21CDA" w:rsidRPr="00221992">
        <w:rPr>
          <w:lang w:val="en-GB"/>
        </w:rPr>
        <w:t>See case study: Japan for additional detail.</w:t>
      </w:r>
    </w:p>
    <w:p w14:paraId="5E7A04FD" w14:textId="546A1923" w:rsidR="00D95336" w:rsidRPr="00221992" w:rsidRDefault="00D95336" w:rsidP="00702C58">
      <w:pPr>
        <w:rPr>
          <w:lang w:val="en-GB"/>
        </w:rPr>
      </w:pPr>
      <w:r w:rsidRPr="00221992">
        <w:rPr>
          <w:lang w:val="en-GB"/>
        </w:rPr>
        <w:t xml:space="preserve">In Norway, </w:t>
      </w:r>
      <w:r w:rsidR="00374841">
        <w:rPr>
          <w:lang w:val="en-GB"/>
        </w:rPr>
        <w:t xml:space="preserve">new drugs </w:t>
      </w:r>
      <w:r w:rsidRPr="00221992">
        <w:rPr>
          <w:lang w:val="en-GB"/>
        </w:rPr>
        <w:t>undergo an evaluation of quality, safety and efficiency</w:t>
      </w:r>
      <w:r w:rsidR="00374841">
        <w:rPr>
          <w:lang w:val="en-GB"/>
        </w:rPr>
        <w:t xml:space="preserve"> under the supervision of </w:t>
      </w:r>
      <w:r w:rsidRPr="00221992">
        <w:rPr>
          <w:lang w:val="en-GB"/>
        </w:rPr>
        <w:t>the Norwegian Medicines Agency (Nw. Statens legemiddelverk</w:t>
      </w:r>
      <w:r w:rsidR="00CE77D1" w:rsidRPr="00221992">
        <w:rPr>
          <w:lang w:val="en-GB"/>
        </w:rPr>
        <w:t>,</w:t>
      </w:r>
      <w:r w:rsidRPr="00221992">
        <w:rPr>
          <w:lang w:val="en-GB"/>
        </w:rPr>
        <w:t xml:space="preserve"> NoMA).</w:t>
      </w:r>
      <w:r w:rsidR="008A6310">
        <w:rPr>
          <w:lang w:val="en-GB"/>
        </w:rPr>
        <w:t xml:space="preserve"> </w:t>
      </w:r>
      <w:r w:rsidR="00374841">
        <w:rPr>
          <w:lang w:val="en-GB"/>
        </w:rPr>
        <w:t>Key steps include</w:t>
      </w:r>
      <w:r w:rsidRPr="00221992">
        <w:rPr>
          <w:lang w:val="en-GB"/>
        </w:rPr>
        <w:t>:</w:t>
      </w:r>
    </w:p>
    <w:p w14:paraId="0A1E3BA6" w14:textId="05532DDC" w:rsidR="00D95336" w:rsidRPr="00221992" w:rsidRDefault="00D95336" w:rsidP="00957584">
      <w:pPr>
        <w:pStyle w:val="ListParagraph"/>
        <w:numPr>
          <w:ilvl w:val="0"/>
          <w:numId w:val="66"/>
        </w:numPr>
        <w:rPr>
          <w:lang w:val="en-GB"/>
        </w:rPr>
      </w:pPr>
      <w:r w:rsidRPr="00221992">
        <w:rPr>
          <w:lang w:val="en-GB"/>
        </w:rPr>
        <w:t xml:space="preserve">Pre-clinical tests: </w:t>
      </w:r>
      <w:r w:rsidR="007D0F3B">
        <w:rPr>
          <w:lang w:val="en-GB"/>
        </w:rPr>
        <w:t>T</w:t>
      </w:r>
      <w:r w:rsidRPr="00221992">
        <w:rPr>
          <w:lang w:val="en-GB"/>
        </w:rPr>
        <w:t>hese are not regulated under the medicinal product regulatory framework.</w:t>
      </w:r>
    </w:p>
    <w:p w14:paraId="44E30BB2" w14:textId="2D9F5030" w:rsidR="00D95336" w:rsidRPr="00221992" w:rsidRDefault="00D95336" w:rsidP="00957584">
      <w:pPr>
        <w:pStyle w:val="ListParagraph"/>
        <w:numPr>
          <w:ilvl w:val="0"/>
          <w:numId w:val="66"/>
        </w:numPr>
        <w:rPr>
          <w:b/>
          <w:lang w:val="en-GB"/>
        </w:rPr>
      </w:pPr>
      <w:r w:rsidRPr="00221992">
        <w:rPr>
          <w:lang w:val="en-GB"/>
        </w:rPr>
        <w:t xml:space="preserve">Clinical trials: </w:t>
      </w:r>
      <w:r w:rsidR="007D0F3B">
        <w:rPr>
          <w:lang w:val="en-GB"/>
        </w:rPr>
        <w:t>T</w:t>
      </w:r>
      <w:r w:rsidRPr="00221992">
        <w:rPr>
          <w:lang w:val="en-GB"/>
        </w:rPr>
        <w:t>he drug is tested on human beings</w:t>
      </w:r>
      <w:r w:rsidR="00374841">
        <w:rPr>
          <w:lang w:val="en-GB"/>
        </w:rPr>
        <w:t>,</w:t>
      </w:r>
      <w:r w:rsidR="008A6310">
        <w:rPr>
          <w:lang w:val="en-GB"/>
        </w:rPr>
        <w:t xml:space="preserve"> </w:t>
      </w:r>
      <w:r w:rsidR="00374841">
        <w:rPr>
          <w:lang w:val="en-GB"/>
        </w:rPr>
        <w:t>s</w:t>
      </w:r>
      <w:r w:rsidRPr="00221992">
        <w:rPr>
          <w:lang w:val="en-GB"/>
        </w:rPr>
        <w:t>ubject to regulatory and ethical review pursuant to the clinical trial procedures set out in the regulations on clinical trials of medicinal products for human use.</w:t>
      </w:r>
    </w:p>
    <w:p w14:paraId="554494F0" w14:textId="69B42FF6" w:rsidR="00D95336" w:rsidRPr="00221992" w:rsidRDefault="00D95336" w:rsidP="00957584">
      <w:pPr>
        <w:pStyle w:val="ListParagraph"/>
        <w:numPr>
          <w:ilvl w:val="0"/>
          <w:numId w:val="66"/>
        </w:numPr>
        <w:rPr>
          <w:b/>
          <w:lang w:val="en-GB"/>
        </w:rPr>
      </w:pPr>
      <w:r w:rsidRPr="00221992">
        <w:rPr>
          <w:lang w:val="en-GB"/>
        </w:rPr>
        <w:t xml:space="preserve">Marketing authorisation application: </w:t>
      </w:r>
      <w:r w:rsidR="007D0F3B">
        <w:rPr>
          <w:lang w:val="en-GB"/>
        </w:rPr>
        <w:t>O</w:t>
      </w:r>
      <w:r w:rsidRPr="00221992">
        <w:rPr>
          <w:lang w:val="en-GB"/>
        </w:rPr>
        <w:t xml:space="preserve">nce the clinical trial has finished and the pharmaceutical company has gathered sufficient data regarding </w:t>
      </w:r>
      <w:r w:rsidR="007D0F3B">
        <w:rPr>
          <w:lang w:val="en-GB"/>
        </w:rPr>
        <w:t>its</w:t>
      </w:r>
      <w:r w:rsidR="007D0F3B" w:rsidRPr="00221992">
        <w:rPr>
          <w:lang w:val="en-GB"/>
        </w:rPr>
        <w:t xml:space="preserve"> </w:t>
      </w:r>
      <w:r w:rsidRPr="00221992">
        <w:rPr>
          <w:lang w:val="en-GB"/>
        </w:rPr>
        <w:t xml:space="preserve">quality, safety and </w:t>
      </w:r>
      <w:r w:rsidR="007D0F3B">
        <w:rPr>
          <w:lang w:val="en-GB"/>
        </w:rPr>
        <w:t>efficacy</w:t>
      </w:r>
      <w:r w:rsidRPr="00221992">
        <w:rPr>
          <w:lang w:val="en-GB"/>
        </w:rPr>
        <w:t xml:space="preserve">, relevant data </w:t>
      </w:r>
      <w:r w:rsidR="007D0F3B">
        <w:rPr>
          <w:lang w:val="en-GB"/>
        </w:rPr>
        <w:t>is</w:t>
      </w:r>
      <w:r w:rsidRPr="00221992">
        <w:rPr>
          <w:lang w:val="en-GB"/>
        </w:rPr>
        <w:t xml:space="preserve"> compiled </w:t>
      </w:r>
      <w:r w:rsidR="007D0F3B">
        <w:rPr>
          <w:lang w:val="en-GB"/>
        </w:rPr>
        <w:t>in</w:t>
      </w:r>
      <w:r w:rsidRPr="00221992">
        <w:rPr>
          <w:lang w:val="en-GB"/>
        </w:rPr>
        <w:t xml:space="preserve"> an application for marketing authorisation/approval to either NoMA or the European Medicines Agency (EMA).</w:t>
      </w:r>
    </w:p>
    <w:p w14:paraId="43129CE5" w14:textId="5C6EC9BC" w:rsidR="00D95336" w:rsidRPr="00221992" w:rsidRDefault="007F3FB4" w:rsidP="00702C58">
      <w:pPr>
        <w:rPr>
          <w:lang w:val="en-GB"/>
        </w:rPr>
      </w:pPr>
      <w:r>
        <w:rPr>
          <w:lang w:val="en-GB"/>
        </w:rPr>
        <w:t>A new</w:t>
      </w:r>
      <w:r w:rsidRPr="00221992">
        <w:rPr>
          <w:lang w:val="en-GB"/>
        </w:rPr>
        <w:t xml:space="preserve"> </w:t>
      </w:r>
      <w:r w:rsidR="00D95336" w:rsidRPr="00221992">
        <w:rPr>
          <w:lang w:val="en-GB"/>
        </w:rPr>
        <w:t xml:space="preserve">drug may be </w:t>
      </w:r>
      <w:r>
        <w:rPr>
          <w:lang w:val="en-GB"/>
        </w:rPr>
        <w:t>marketed</w:t>
      </w:r>
      <w:r w:rsidR="00D95336" w:rsidRPr="00221992">
        <w:rPr>
          <w:lang w:val="en-GB"/>
        </w:rPr>
        <w:t xml:space="preserve"> </w:t>
      </w:r>
      <w:r>
        <w:rPr>
          <w:lang w:val="en-GB"/>
        </w:rPr>
        <w:t>if:</w:t>
      </w:r>
      <w:r w:rsidR="00D95336" w:rsidRPr="00221992">
        <w:rPr>
          <w:lang w:val="en-GB"/>
        </w:rPr>
        <w:t xml:space="preserve"> (1) it has obtained marketing authorisation from either NoMA or </w:t>
      </w:r>
      <w:r w:rsidR="00137C0D">
        <w:rPr>
          <w:lang w:val="en-GB"/>
        </w:rPr>
        <w:t xml:space="preserve">the </w:t>
      </w:r>
      <w:r w:rsidR="00D95336" w:rsidRPr="00221992">
        <w:rPr>
          <w:lang w:val="en-GB"/>
        </w:rPr>
        <w:t>EMA; and (2) if it is a prescription-only medicine, a maximum pharmacy purchase price (PPP) and maximum pharmacy retail price (PRP) ha</w:t>
      </w:r>
      <w:r w:rsidR="00137C0D">
        <w:rPr>
          <w:lang w:val="en-GB"/>
        </w:rPr>
        <w:t>ve</w:t>
      </w:r>
      <w:r w:rsidR="00D95336" w:rsidRPr="00221992">
        <w:rPr>
          <w:lang w:val="en-GB"/>
        </w:rPr>
        <w:t xml:space="preserve"> been set</w:t>
      </w:r>
      <w:r w:rsidR="00F5766F" w:rsidRPr="00221992">
        <w:rPr>
          <w:lang w:val="en-GB"/>
        </w:rPr>
        <w:t xml:space="preserve"> </w:t>
      </w:r>
      <w:r w:rsidR="00D95336" w:rsidRPr="00221992">
        <w:rPr>
          <w:lang w:val="en-GB"/>
        </w:rPr>
        <w:fldChar w:fldCharType="begin"/>
      </w:r>
      <w:r w:rsidR="008D71B5" w:rsidRPr="00221992">
        <w:rPr>
          <w:lang w:val="en-GB"/>
        </w:rPr>
        <w:instrText xml:space="preserve"> ADDIN EN.CITE &lt;EndNote&gt;&lt;Cite&gt;&lt;Author&gt;Voldstad&lt;/Author&gt;&lt;Year&gt;2022&lt;/Year&gt;&lt;RecNum&gt;293&lt;/RecNum&gt;&lt;DisplayText&gt;[17]&lt;/DisplayText&gt;&lt;record&gt;&lt;rec-number&gt;293&lt;/rec-number&gt;&lt;foreign-keys&gt;&lt;key app="EN" db-id="wzwwsfxe4peesxef95cxvrwjxts9rreasarf" timestamp="1692654670"&gt;293&lt;/key&gt;&lt;/foreign-keys&gt;&lt;ref-type name="Web Page"&gt;12&lt;/ref-type&gt;&lt;contributors&gt;&lt;authors&gt;&lt;author&gt;Voldstad, L.&lt;/author&gt;&lt;author&gt;Åkermoen, T.&lt;/author&gt;&lt;/authors&gt;&lt;/contributors&gt;&lt;titles&gt;&lt;title&gt;Pricing &amp;amp; Reimbursement Laws and Regulations 2022 - Norway&lt;/title&gt;&lt;/titles&gt;&lt;dates&gt;&lt;year&gt;2022&lt;/year&gt;&lt;/dates&gt;&lt;publisher&gt;Global Legal Insights&lt;/publisher&gt;&lt;urls&gt;&lt;related-urls&gt;&lt;url&gt;https://www.globallegalinsights.com/practice-areas/pricing-and-reimbursement-laws-and-regulations/norway&lt;/url&gt;&lt;/related-urls&gt;&lt;/urls&gt;&lt;/record&gt;&lt;/Cite&gt;&lt;/EndNote&gt;</w:instrText>
      </w:r>
      <w:r w:rsidR="00D95336" w:rsidRPr="00221992">
        <w:rPr>
          <w:lang w:val="en-GB"/>
        </w:rPr>
        <w:fldChar w:fldCharType="separate"/>
      </w:r>
      <w:r w:rsidR="008D71B5" w:rsidRPr="00221992">
        <w:rPr>
          <w:noProof/>
          <w:lang w:val="en-GB"/>
        </w:rPr>
        <w:t>[17]</w:t>
      </w:r>
      <w:r w:rsidR="00D95336" w:rsidRPr="00221992">
        <w:rPr>
          <w:lang w:val="en-GB"/>
        </w:rPr>
        <w:fldChar w:fldCharType="end"/>
      </w:r>
      <w:r w:rsidR="00F5766F" w:rsidRPr="00221992">
        <w:rPr>
          <w:lang w:val="en-GB"/>
        </w:rPr>
        <w:t>.</w:t>
      </w:r>
      <w:r w:rsidR="00CA4274" w:rsidRPr="00221992">
        <w:rPr>
          <w:lang w:val="en-GB"/>
        </w:rPr>
        <w:t xml:space="preserve"> The maximum PPP is set as the mean of the three lowest market prices of the product in a selection of European countries. The price comparison group includes Sweden, Finland, Denmark, Germany, Great Britain, </w:t>
      </w:r>
      <w:r w:rsidR="00CE70C0">
        <w:rPr>
          <w:lang w:val="en-GB"/>
        </w:rPr>
        <w:t>the Netherlands</w:t>
      </w:r>
      <w:r w:rsidR="00CA4274" w:rsidRPr="00221992">
        <w:rPr>
          <w:lang w:val="en-GB"/>
        </w:rPr>
        <w:t>, Austria, Belgium and Ireland</w:t>
      </w:r>
      <w:r w:rsidR="00492DBA" w:rsidRPr="00221992">
        <w:rPr>
          <w:lang w:val="en-GB"/>
        </w:rPr>
        <w:t xml:space="preserve"> </w:t>
      </w:r>
      <w:r w:rsidR="002F6CD4" w:rsidRPr="00221992">
        <w:rPr>
          <w:lang w:val="en-GB"/>
        </w:rPr>
        <w:fldChar w:fldCharType="begin"/>
      </w:r>
      <w:r w:rsidR="002F6CD4" w:rsidRPr="00221992">
        <w:rPr>
          <w:lang w:val="en-GB"/>
        </w:rPr>
        <w:instrText xml:space="preserve"> ADDIN EN.CITE &lt;EndNote&gt;&lt;Cite&gt;&lt;Author&gt;Statens legemiddelverk&lt;/Author&gt;&lt;Year&gt;2023&lt;/Year&gt;&lt;RecNum&gt;683&lt;/RecNum&gt;&lt;DisplayText&gt;[18]&lt;/DisplayText&gt;&lt;record&gt;&lt;rec-number&gt;683&lt;/rec-number&gt;&lt;foreign-keys&gt;&lt;key app="EN" db-id="wzwwsfxe4peesxef95cxvrwjxts9rreasarf" timestamp="1695597127"&gt;683&lt;/key&gt;&lt;/foreign-keys&gt;&lt;ref-type name="Web Page"&gt;12&lt;/ref-type&gt;&lt;contributors&gt;&lt;authors&gt;&lt;author&gt;Statens legemiddelverk,, Legemiddelverket&lt;/author&gt;&lt;/authors&gt;&lt;/contributors&gt;&lt;titles&gt;&lt;title&gt;Guidelines for price setting in Norway&lt;/title&gt;&lt;/titles&gt;&lt;number&gt;23 September 2023&lt;/number&gt;&lt;dates&gt;&lt;year&gt;2023&lt;/year&gt;&lt;/dates&gt;&lt;publisher&gt;Statens legemiddelverk, Legemiddelverket&lt;/publisher&gt;&lt;urls&gt;&lt;related-urls&gt;&lt;url&gt;https://legemiddelverket.no/Documents/English/Public%20funding%20and%20pricing/Maximum%20Price/Price%20guidelines.docx.pdf&lt;/url&gt;&lt;/related-urls&gt;&lt;/urls&gt;&lt;/record&gt;&lt;/Cite&gt;&lt;/EndNote&gt;</w:instrText>
      </w:r>
      <w:r w:rsidR="002F6CD4" w:rsidRPr="00221992">
        <w:rPr>
          <w:lang w:val="en-GB"/>
        </w:rPr>
        <w:fldChar w:fldCharType="separate"/>
      </w:r>
      <w:r w:rsidR="002F6CD4" w:rsidRPr="00221992">
        <w:rPr>
          <w:noProof/>
          <w:lang w:val="en-GB"/>
        </w:rPr>
        <w:t>[18]</w:t>
      </w:r>
      <w:r w:rsidR="002F6CD4" w:rsidRPr="00221992">
        <w:rPr>
          <w:lang w:val="en-GB"/>
        </w:rPr>
        <w:fldChar w:fldCharType="end"/>
      </w:r>
      <w:r w:rsidR="00CA4274" w:rsidRPr="00221992">
        <w:rPr>
          <w:lang w:val="en-GB"/>
        </w:rPr>
        <w:t>.</w:t>
      </w:r>
    </w:p>
    <w:p w14:paraId="3C19D1A3" w14:textId="5E67DE37" w:rsidR="00D95336" w:rsidRPr="00221992" w:rsidRDefault="00D95336" w:rsidP="00702C58">
      <w:pPr>
        <w:rPr>
          <w:lang w:val="en-GB"/>
        </w:rPr>
      </w:pPr>
      <w:r w:rsidRPr="00221992">
        <w:rPr>
          <w:lang w:val="en-GB"/>
        </w:rPr>
        <w:t>In</w:t>
      </w:r>
      <w:r w:rsidRPr="00221992">
        <w:rPr>
          <w:vertAlign w:val="subscript"/>
          <w:lang w:val="en-GB"/>
        </w:rPr>
        <w:t xml:space="preserve"> </w:t>
      </w:r>
      <w:r w:rsidRPr="00221992">
        <w:rPr>
          <w:lang w:val="en-GB"/>
        </w:rPr>
        <w:t xml:space="preserve">South Korea, a </w:t>
      </w:r>
      <w:r w:rsidR="00551786">
        <w:rPr>
          <w:lang w:val="en-GB"/>
        </w:rPr>
        <w:t>‘</w:t>
      </w:r>
      <w:r w:rsidRPr="00221992">
        <w:rPr>
          <w:lang w:val="en-GB"/>
        </w:rPr>
        <w:t>positive list</w:t>
      </w:r>
      <w:r w:rsidR="00551786">
        <w:rPr>
          <w:lang w:val="en-GB"/>
        </w:rPr>
        <w:t>’</w:t>
      </w:r>
      <w:r w:rsidRPr="00221992">
        <w:rPr>
          <w:lang w:val="en-GB"/>
        </w:rPr>
        <w:t xml:space="preserve"> system applies where only products that are proven to have clinical usefulness and to be cost-effective may be reimbursed under</w:t>
      </w:r>
      <w:r w:rsidR="00407E8C">
        <w:rPr>
          <w:lang w:val="en-GB"/>
        </w:rPr>
        <w:t xml:space="preserve"> </w:t>
      </w:r>
      <w:r w:rsidRPr="00221992">
        <w:rPr>
          <w:lang w:val="en-GB"/>
        </w:rPr>
        <w:t>NHI.</w:t>
      </w:r>
      <w:r w:rsidR="008A6310">
        <w:rPr>
          <w:lang w:val="en-GB"/>
        </w:rPr>
        <w:t xml:space="preserve"> </w:t>
      </w:r>
      <w:r w:rsidRPr="00221992">
        <w:rPr>
          <w:lang w:val="en-GB"/>
        </w:rPr>
        <w:t xml:space="preserve">For certain drugs that have clinical usefulness but for which cost-effectiveness has </w:t>
      </w:r>
      <w:r w:rsidR="00407E8C">
        <w:rPr>
          <w:lang w:val="en-GB"/>
        </w:rPr>
        <w:t>not yet been</w:t>
      </w:r>
      <w:r w:rsidRPr="00221992">
        <w:rPr>
          <w:lang w:val="en-GB"/>
        </w:rPr>
        <w:t xml:space="preserve"> proven, a provisional listing system is available whereby </w:t>
      </w:r>
      <w:r w:rsidR="00407E8C">
        <w:rPr>
          <w:lang w:val="en-GB"/>
        </w:rPr>
        <w:t>a</w:t>
      </w:r>
      <w:r w:rsidR="00407E8C" w:rsidRPr="00221992">
        <w:rPr>
          <w:lang w:val="en-GB"/>
        </w:rPr>
        <w:t xml:space="preserve"> </w:t>
      </w:r>
      <w:r w:rsidRPr="00221992">
        <w:rPr>
          <w:lang w:val="en-GB"/>
        </w:rPr>
        <w:t xml:space="preserve">drug </w:t>
      </w:r>
      <w:r w:rsidR="00407E8C">
        <w:rPr>
          <w:lang w:val="en-GB"/>
        </w:rPr>
        <w:t>may be</w:t>
      </w:r>
      <w:r w:rsidR="00407E8C" w:rsidRPr="00221992">
        <w:rPr>
          <w:lang w:val="en-GB"/>
        </w:rPr>
        <w:t xml:space="preserve"> </w:t>
      </w:r>
      <w:r w:rsidRPr="00221992">
        <w:rPr>
          <w:lang w:val="en-GB"/>
        </w:rPr>
        <w:t>reimbursed under NHI for a certain period, following which its eligibility for formal NHI listing is reassessed</w:t>
      </w:r>
      <w:r w:rsidR="00F5766F" w:rsidRPr="00221992">
        <w:rPr>
          <w:lang w:val="en-GB"/>
        </w:rPr>
        <w:t xml:space="preserve"> </w:t>
      </w:r>
      <w:r w:rsidRPr="00221992">
        <w:rPr>
          <w:lang w:val="en-GB"/>
        </w:rPr>
        <w:fldChar w:fldCharType="begin"/>
      </w:r>
      <w:r w:rsidR="002F6CD4" w:rsidRPr="00221992">
        <w:rPr>
          <w:lang w:val="en-GB"/>
        </w:rPr>
        <w:instrText xml:space="preserve"> ADDIN EN.CITE &lt;EndNote&gt;&lt;Cite&gt;&lt;Author&gt;Choi&lt;/Author&gt;&lt;Year&gt;2022&lt;/Year&gt;&lt;RecNum&gt;277&lt;/RecNum&gt;&lt;DisplayText&gt;[19]&lt;/DisplayText&gt;&lt;record&gt;&lt;rec-number&gt;277&lt;/rec-number&gt;&lt;foreign-keys&gt;&lt;key app="EN" db-id="wzwwsfxe4peesxef95cxvrwjxts9rreasarf" timestamp="1692654670"&gt;277&lt;/key&gt;&lt;/foreign-keys&gt;&lt;ref-type name="Web Page"&gt;12&lt;/ref-type&gt;&lt;contributors&gt;&lt;authors&gt;&lt;author&gt;Choi, K.&lt;/author&gt;&lt;author&gt;Lee, Y.&lt;/author&gt;&lt;author&gt;Jo, Y.&lt;/author&gt;&lt;/authors&gt;&lt;/contributors&gt;&lt;titles&gt;&lt;title&gt;Pricing &amp;amp; Reimbursement Laws and Regulations 2022 - Korea&lt;/title&gt;&lt;/titles&gt;&lt;number&gt;23 August 2023&lt;/number&gt;&lt;dates&gt;&lt;year&gt;2022&lt;/year&gt;&lt;/dates&gt;&lt;publisher&gt;Global Legal Insights&lt;/publisher&gt;&lt;urls&gt;&lt;related-urls&gt;&lt;url&gt;https://www.globallegalinsights.com/practice-areas/pricing-and-reimbursement-laws-and-regulations/korea&lt;/url&gt;&lt;/related-urls&gt;&lt;/urls&gt;&lt;/record&gt;&lt;/Cite&gt;&lt;/EndNote&gt;</w:instrText>
      </w:r>
      <w:r w:rsidRPr="00221992">
        <w:rPr>
          <w:lang w:val="en-GB"/>
        </w:rPr>
        <w:fldChar w:fldCharType="separate"/>
      </w:r>
      <w:r w:rsidR="002F6CD4" w:rsidRPr="00221992">
        <w:rPr>
          <w:noProof/>
          <w:lang w:val="en-GB"/>
        </w:rPr>
        <w:t>[19]</w:t>
      </w:r>
      <w:r w:rsidRPr="00221992">
        <w:rPr>
          <w:lang w:val="en-GB"/>
        </w:rPr>
        <w:fldChar w:fldCharType="end"/>
      </w:r>
      <w:r w:rsidR="00F5766F" w:rsidRPr="00221992">
        <w:rPr>
          <w:lang w:val="en-GB"/>
        </w:rPr>
        <w:t>.</w:t>
      </w:r>
      <w:r w:rsidRPr="00221992">
        <w:rPr>
          <w:lang w:val="en-GB"/>
        </w:rPr>
        <w:t xml:space="preserve"> </w:t>
      </w:r>
    </w:p>
    <w:p w14:paraId="458C28E4" w14:textId="77777777" w:rsidR="00D95336" w:rsidRPr="00221992" w:rsidRDefault="00D95336" w:rsidP="0054112E">
      <w:pPr>
        <w:pStyle w:val="Heading4"/>
        <w:rPr>
          <w:lang w:val="en-GB"/>
        </w:rPr>
      </w:pPr>
      <w:r w:rsidRPr="00221992">
        <w:rPr>
          <w:lang w:val="en-GB"/>
        </w:rPr>
        <w:t>Negative outcomes, resubmission and reassessment pathways</w:t>
      </w:r>
    </w:p>
    <w:p w14:paraId="2D098207" w14:textId="575A260C" w:rsidR="00D95336" w:rsidRPr="00221992" w:rsidRDefault="00D95336" w:rsidP="00702C58">
      <w:pPr>
        <w:rPr>
          <w:lang w:val="en-GB"/>
        </w:rPr>
      </w:pPr>
      <w:r w:rsidRPr="00221992">
        <w:rPr>
          <w:lang w:val="en-GB"/>
        </w:rPr>
        <w:t>If an HTA body declines to recommend a health technology, various pathways for resubmission and/or appeal may be engaged. Commonly following a rejection, sponsors</w:t>
      </w:r>
      <w:r w:rsidR="006C42F0">
        <w:rPr>
          <w:lang w:val="en-GB"/>
        </w:rPr>
        <w:t xml:space="preserve"> (i.e., applicants)</w:t>
      </w:r>
      <w:r w:rsidRPr="00221992">
        <w:rPr>
          <w:lang w:val="en-GB"/>
        </w:rPr>
        <w:t xml:space="preserve"> </w:t>
      </w:r>
      <w:r w:rsidR="00822C6B">
        <w:rPr>
          <w:lang w:val="en-GB"/>
        </w:rPr>
        <w:t>may</w:t>
      </w:r>
      <w:r w:rsidR="00822C6B" w:rsidRPr="00221992">
        <w:rPr>
          <w:lang w:val="en-GB"/>
        </w:rPr>
        <w:t xml:space="preserve"> </w:t>
      </w:r>
      <w:r w:rsidRPr="00221992">
        <w:rPr>
          <w:lang w:val="en-GB"/>
        </w:rPr>
        <w:t xml:space="preserve">decide </w:t>
      </w:r>
      <w:r w:rsidR="009D5F80">
        <w:rPr>
          <w:lang w:val="en-GB"/>
        </w:rPr>
        <w:t>whether</w:t>
      </w:r>
      <w:r w:rsidRPr="00221992">
        <w:rPr>
          <w:lang w:val="en-GB"/>
        </w:rPr>
        <w:t xml:space="preserve"> to address </w:t>
      </w:r>
      <w:r w:rsidR="009D5F80">
        <w:rPr>
          <w:lang w:val="en-GB"/>
        </w:rPr>
        <w:t>identified</w:t>
      </w:r>
      <w:r w:rsidR="009D5F80" w:rsidRPr="00221992">
        <w:rPr>
          <w:lang w:val="en-GB"/>
        </w:rPr>
        <w:t xml:space="preserve"> </w:t>
      </w:r>
      <w:r w:rsidRPr="00221992">
        <w:rPr>
          <w:lang w:val="en-GB"/>
        </w:rPr>
        <w:t>areas of concern and prepare a re-submission. Australian resubmission pathways and selected international pathways are described below.</w:t>
      </w:r>
      <w:r w:rsidR="008A6310">
        <w:rPr>
          <w:lang w:val="en-GB"/>
        </w:rPr>
        <w:t xml:space="preserve"> </w:t>
      </w:r>
    </w:p>
    <w:p w14:paraId="51034BB2" w14:textId="2F1163D6" w:rsidR="000A0D13" w:rsidRDefault="00D95336" w:rsidP="00180D52">
      <w:pPr>
        <w:rPr>
          <w:lang w:val="en-GB"/>
        </w:rPr>
      </w:pPr>
      <w:r w:rsidRPr="00221992">
        <w:rPr>
          <w:lang w:val="en-GB"/>
        </w:rPr>
        <w:t xml:space="preserve">In Australia, the PBAC may decide one of three outcomes: </w:t>
      </w:r>
      <w:r w:rsidR="00782DEF">
        <w:rPr>
          <w:lang w:val="en-GB"/>
        </w:rPr>
        <w:t>‘</w:t>
      </w:r>
      <w:r w:rsidR="000C7452">
        <w:rPr>
          <w:lang w:val="en-GB"/>
        </w:rPr>
        <w:t>r</w:t>
      </w:r>
      <w:r w:rsidRPr="00221992">
        <w:rPr>
          <w:lang w:val="en-GB"/>
        </w:rPr>
        <w:t>ecommended,</w:t>
      </w:r>
      <w:r w:rsidR="00782DEF">
        <w:rPr>
          <w:lang w:val="en-GB"/>
        </w:rPr>
        <w:t>’</w:t>
      </w:r>
      <w:r w:rsidRPr="00221992">
        <w:rPr>
          <w:lang w:val="en-GB"/>
        </w:rPr>
        <w:t xml:space="preserve"> </w:t>
      </w:r>
      <w:r w:rsidR="00782DEF">
        <w:rPr>
          <w:lang w:val="en-GB"/>
        </w:rPr>
        <w:t>‘</w:t>
      </w:r>
      <w:r w:rsidRPr="00221992">
        <w:rPr>
          <w:lang w:val="en-GB"/>
        </w:rPr>
        <w:t>not recommended</w:t>
      </w:r>
      <w:r w:rsidR="00782DEF">
        <w:rPr>
          <w:lang w:val="en-GB"/>
        </w:rPr>
        <w:t>’</w:t>
      </w:r>
      <w:r w:rsidRPr="00221992">
        <w:rPr>
          <w:lang w:val="en-GB"/>
        </w:rPr>
        <w:t xml:space="preserve"> </w:t>
      </w:r>
      <w:r w:rsidR="000C7452">
        <w:rPr>
          <w:lang w:val="en-GB"/>
        </w:rPr>
        <w:t>or</w:t>
      </w:r>
      <w:r w:rsidR="000C7452" w:rsidRPr="00221992">
        <w:rPr>
          <w:lang w:val="en-GB"/>
        </w:rPr>
        <w:t xml:space="preserve"> </w:t>
      </w:r>
      <w:r w:rsidR="00782DEF">
        <w:rPr>
          <w:lang w:val="en-GB"/>
        </w:rPr>
        <w:t>‘</w:t>
      </w:r>
      <w:r w:rsidRPr="00221992">
        <w:rPr>
          <w:lang w:val="en-GB"/>
        </w:rPr>
        <w:t>defer decision</w:t>
      </w:r>
      <w:r w:rsidR="00782DEF">
        <w:rPr>
          <w:lang w:val="en-GB"/>
        </w:rPr>
        <w:t>’</w:t>
      </w:r>
      <w:r w:rsidRPr="00221992">
        <w:rPr>
          <w:lang w:val="en-GB"/>
        </w:rPr>
        <w:t xml:space="preserve"> pending the provision of specific additional information relevant to its decision. For submissions not recommended</w:t>
      </w:r>
      <w:r w:rsidR="007B3476">
        <w:rPr>
          <w:lang w:val="en-GB"/>
        </w:rPr>
        <w:t xml:space="preserve"> by the PBAC</w:t>
      </w:r>
      <w:r w:rsidRPr="00221992">
        <w:rPr>
          <w:lang w:val="en-GB"/>
        </w:rPr>
        <w:t xml:space="preserve">, </w:t>
      </w:r>
      <w:r w:rsidR="007B3476">
        <w:rPr>
          <w:lang w:val="en-GB"/>
        </w:rPr>
        <w:t>sponsors may resubmit via</w:t>
      </w:r>
      <w:r w:rsidRPr="00221992">
        <w:rPr>
          <w:lang w:val="en-GB"/>
        </w:rPr>
        <w:t xml:space="preserve"> four pathways</w:t>
      </w:r>
      <w:r w:rsidR="002E72FF" w:rsidRPr="00221992">
        <w:rPr>
          <w:lang w:val="en-GB"/>
        </w:rPr>
        <w:t>:</w:t>
      </w:r>
    </w:p>
    <w:p w14:paraId="5EB481A9" w14:textId="756BE242" w:rsidR="00D95336" w:rsidRPr="00221992" w:rsidRDefault="00D95336" w:rsidP="00957584">
      <w:pPr>
        <w:pStyle w:val="ListParagraph"/>
        <w:numPr>
          <w:ilvl w:val="0"/>
          <w:numId w:val="72"/>
        </w:numPr>
        <w:rPr>
          <w:lang w:val="en-GB"/>
        </w:rPr>
      </w:pPr>
      <w:r w:rsidRPr="00221992">
        <w:rPr>
          <w:lang w:val="en-GB"/>
        </w:rPr>
        <w:t xml:space="preserve">Standard re-entry: </w:t>
      </w:r>
      <w:r w:rsidR="007B3476">
        <w:rPr>
          <w:lang w:val="en-GB"/>
        </w:rPr>
        <w:t>T</w:t>
      </w:r>
      <w:r w:rsidRPr="00221992">
        <w:rPr>
          <w:lang w:val="en-GB"/>
        </w:rPr>
        <w:t>he default pathway for resubmissions, which requires a re-application to the PBAC.</w:t>
      </w:r>
      <w:r w:rsidR="00A77253" w:rsidRPr="00221992">
        <w:rPr>
          <w:lang w:val="en-GB"/>
        </w:rPr>
        <w:t xml:space="preserve"> Assuming a successful resubmission, </w:t>
      </w:r>
      <w:r w:rsidR="008B1707">
        <w:rPr>
          <w:lang w:val="en-GB"/>
        </w:rPr>
        <w:t xml:space="preserve">time to </w:t>
      </w:r>
      <w:r w:rsidR="00A77253" w:rsidRPr="00221992">
        <w:rPr>
          <w:lang w:val="en-GB"/>
        </w:rPr>
        <w:t xml:space="preserve">listing </w:t>
      </w:r>
      <w:r w:rsidR="008B1707">
        <w:rPr>
          <w:lang w:val="en-GB"/>
        </w:rPr>
        <w:t>may be</w:t>
      </w:r>
      <w:r w:rsidR="008B1707" w:rsidRPr="00221992">
        <w:rPr>
          <w:lang w:val="en-GB"/>
        </w:rPr>
        <w:t xml:space="preserve"> </w:t>
      </w:r>
      <w:r w:rsidR="008B1707">
        <w:rPr>
          <w:lang w:val="en-GB"/>
        </w:rPr>
        <w:t>extended</w:t>
      </w:r>
      <w:r w:rsidR="008B1707" w:rsidRPr="00221992">
        <w:rPr>
          <w:lang w:val="en-GB"/>
        </w:rPr>
        <w:t xml:space="preserve"> </w:t>
      </w:r>
      <w:r w:rsidR="00A77253" w:rsidRPr="00221992">
        <w:rPr>
          <w:lang w:val="en-GB"/>
        </w:rPr>
        <w:t xml:space="preserve">by approximately </w:t>
      </w:r>
      <w:r w:rsidR="003F72DF" w:rsidRPr="00221992">
        <w:rPr>
          <w:lang w:val="en-GB"/>
        </w:rPr>
        <w:t>nine</w:t>
      </w:r>
      <w:r w:rsidR="00A77253" w:rsidRPr="00221992">
        <w:rPr>
          <w:lang w:val="en-GB"/>
        </w:rPr>
        <w:t xml:space="preserve"> months.</w:t>
      </w:r>
    </w:p>
    <w:p w14:paraId="4BD885D5" w14:textId="6BBF057D" w:rsidR="003624E3" w:rsidRPr="00221992" w:rsidRDefault="00647766" w:rsidP="00957584">
      <w:pPr>
        <w:pStyle w:val="ListParagraph"/>
        <w:numPr>
          <w:ilvl w:val="0"/>
          <w:numId w:val="68"/>
        </w:numPr>
        <w:rPr>
          <w:lang w:val="en-GB"/>
        </w:rPr>
      </w:pPr>
      <w:r w:rsidRPr="00221992">
        <w:rPr>
          <w:lang w:val="en-GB"/>
        </w:rPr>
        <w:t xml:space="preserve">Early </w:t>
      </w:r>
      <w:r w:rsidR="007B3476">
        <w:rPr>
          <w:lang w:val="en-GB"/>
        </w:rPr>
        <w:t>r</w:t>
      </w:r>
      <w:r w:rsidRPr="00221992">
        <w:rPr>
          <w:lang w:val="en-GB"/>
        </w:rPr>
        <w:t xml:space="preserve">esolution: Nominated by the PBAC where it considers that remaining issues could be easily resolved </w:t>
      </w:r>
      <w:r w:rsidRPr="00221992">
        <w:rPr>
          <w:u w:val="single"/>
          <w:lang w:val="en-GB"/>
        </w:rPr>
        <w:t>and</w:t>
      </w:r>
      <w:r w:rsidRPr="00221992">
        <w:rPr>
          <w:lang w:val="en-GB"/>
        </w:rPr>
        <w:t xml:space="preserve"> the medicine or vaccine meets the </w:t>
      </w:r>
      <w:r w:rsidR="2C2536A7" w:rsidRPr="00221992">
        <w:rPr>
          <w:lang w:val="en-GB"/>
        </w:rPr>
        <w:t>High Added Therapeutic Value (</w:t>
      </w:r>
      <w:r w:rsidRPr="00221992">
        <w:rPr>
          <w:lang w:val="en-GB"/>
        </w:rPr>
        <w:t>HATV</w:t>
      </w:r>
      <w:r w:rsidR="3C8DB0D5" w:rsidRPr="00221992">
        <w:rPr>
          <w:lang w:val="en-GB"/>
        </w:rPr>
        <w:t>)</w:t>
      </w:r>
      <w:r w:rsidRPr="00221992">
        <w:rPr>
          <w:lang w:val="en-GB"/>
        </w:rPr>
        <w:t xml:space="preserve"> criteria (</w:t>
      </w:r>
      <w:r w:rsidR="008B1707">
        <w:rPr>
          <w:lang w:val="en-GB"/>
        </w:rPr>
        <w:t xml:space="preserve">i.e., </w:t>
      </w:r>
      <w:r w:rsidRPr="00221992">
        <w:rPr>
          <w:lang w:val="en-GB"/>
        </w:rPr>
        <w:t xml:space="preserve">addresses a high and urgent unmet clinical need </w:t>
      </w:r>
      <w:r w:rsidRPr="00221992">
        <w:rPr>
          <w:u w:val="single"/>
          <w:lang w:val="en-GB"/>
        </w:rPr>
        <w:t>and</w:t>
      </w:r>
      <w:r w:rsidRPr="00221992">
        <w:rPr>
          <w:lang w:val="en-GB"/>
        </w:rPr>
        <w:t xml:space="preserve"> is expected to provide a substantial and clinically relevant improvement in efficacy or reduction of toxicity over alternative therapies). Assuming a successful resubmission, </w:t>
      </w:r>
      <w:r w:rsidR="008B1707">
        <w:rPr>
          <w:lang w:val="en-GB"/>
        </w:rPr>
        <w:t xml:space="preserve">time to </w:t>
      </w:r>
      <w:r w:rsidRPr="00221992">
        <w:rPr>
          <w:lang w:val="en-GB"/>
        </w:rPr>
        <w:t xml:space="preserve">listing </w:t>
      </w:r>
      <w:r w:rsidR="008B1707">
        <w:rPr>
          <w:lang w:val="en-GB"/>
        </w:rPr>
        <w:t>may be</w:t>
      </w:r>
      <w:r w:rsidR="008B1707" w:rsidRPr="00221992">
        <w:rPr>
          <w:lang w:val="en-GB"/>
        </w:rPr>
        <w:t xml:space="preserve"> </w:t>
      </w:r>
      <w:r w:rsidR="008B1707">
        <w:rPr>
          <w:lang w:val="en-GB"/>
        </w:rPr>
        <w:t>extended</w:t>
      </w:r>
      <w:r w:rsidR="008B1707" w:rsidRPr="00221992">
        <w:rPr>
          <w:lang w:val="en-GB"/>
        </w:rPr>
        <w:t xml:space="preserve"> </w:t>
      </w:r>
      <w:r w:rsidRPr="00221992">
        <w:rPr>
          <w:lang w:val="en-GB"/>
        </w:rPr>
        <w:t xml:space="preserve">by approximately </w:t>
      </w:r>
      <w:r w:rsidR="008B1707">
        <w:rPr>
          <w:lang w:val="en-GB"/>
        </w:rPr>
        <w:t>three</w:t>
      </w:r>
      <w:r w:rsidRPr="00221992">
        <w:rPr>
          <w:lang w:val="en-GB"/>
        </w:rPr>
        <w:t xml:space="preserve"> months.</w:t>
      </w:r>
    </w:p>
    <w:p w14:paraId="3D78609A" w14:textId="1D9947AC" w:rsidR="003624E3" w:rsidRPr="00221992" w:rsidRDefault="00D95336" w:rsidP="00957584">
      <w:pPr>
        <w:pStyle w:val="ListParagraph"/>
        <w:numPr>
          <w:ilvl w:val="0"/>
          <w:numId w:val="68"/>
        </w:numPr>
        <w:rPr>
          <w:lang w:val="en-GB"/>
        </w:rPr>
      </w:pPr>
      <w:r w:rsidRPr="00221992">
        <w:rPr>
          <w:lang w:val="en-GB"/>
        </w:rPr>
        <w:t xml:space="preserve">Early re-entry: Nominated by the PBAC when it considers </w:t>
      </w:r>
      <w:r w:rsidR="008B1707">
        <w:rPr>
          <w:lang w:val="en-GB"/>
        </w:rPr>
        <w:t>that</w:t>
      </w:r>
      <w:r w:rsidR="008B1707" w:rsidRPr="00221992">
        <w:rPr>
          <w:lang w:val="en-GB"/>
        </w:rPr>
        <w:t xml:space="preserve"> </w:t>
      </w:r>
      <w:r w:rsidRPr="00221992">
        <w:rPr>
          <w:lang w:val="en-GB"/>
        </w:rPr>
        <w:t>remaining issues could be easily resolved and the medicine or vaccine does not represent HATV for the proposed population.</w:t>
      </w:r>
      <w:r w:rsidR="00DF42A1" w:rsidRPr="00221992">
        <w:rPr>
          <w:lang w:val="en-GB"/>
        </w:rPr>
        <w:t xml:space="preserve"> Assuming a successful resubmission, </w:t>
      </w:r>
      <w:r w:rsidR="008B1707">
        <w:rPr>
          <w:lang w:val="en-GB"/>
        </w:rPr>
        <w:t xml:space="preserve">time to </w:t>
      </w:r>
      <w:r w:rsidR="00DF42A1" w:rsidRPr="00221992">
        <w:rPr>
          <w:lang w:val="en-GB"/>
        </w:rPr>
        <w:t xml:space="preserve">listing </w:t>
      </w:r>
      <w:r w:rsidR="008B1707">
        <w:rPr>
          <w:lang w:val="en-GB"/>
        </w:rPr>
        <w:t>may</w:t>
      </w:r>
      <w:r w:rsidR="008B1707" w:rsidRPr="00221992">
        <w:rPr>
          <w:lang w:val="en-GB"/>
        </w:rPr>
        <w:t xml:space="preserve"> </w:t>
      </w:r>
      <w:r w:rsidR="008B1707">
        <w:rPr>
          <w:lang w:val="en-GB"/>
        </w:rPr>
        <w:t>be extended</w:t>
      </w:r>
      <w:r w:rsidR="008B1707" w:rsidRPr="00221992">
        <w:rPr>
          <w:lang w:val="en-GB"/>
        </w:rPr>
        <w:t xml:space="preserve"> </w:t>
      </w:r>
      <w:r w:rsidR="00DF42A1" w:rsidRPr="00221992">
        <w:rPr>
          <w:lang w:val="en-GB"/>
        </w:rPr>
        <w:t xml:space="preserve">by approximately </w:t>
      </w:r>
      <w:r w:rsidR="008B1707">
        <w:rPr>
          <w:lang w:val="en-GB"/>
        </w:rPr>
        <w:t>five</w:t>
      </w:r>
      <w:r w:rsidR="00DF42A1" w:rsidRPr="00221992">
        <w:rPr>
          <w:lang w:val="en-GB"/>
        </w:rPr>
        <w:t xml:space="preserve"> months.</w:t>
      </w:r>
    </w:p>
    <w:p w14:paraId="7101A699" w14:textId="35D2C466" w:rsidR="00D95336" w:rsidRPr="00221992" w:rsidRDefault="00D95336" w:rsidP="00957584">
      <w:pPr>
        <w:pStyle w:val="ListParagraph"/>
        <w:numPr>
          <w:ilvl w:val="0"/>
          <w:numId w:val="68"/>
        </w:numPr>
        <w:rPr>
          <w:lang w:val="en-GB"/>
        </w:rPr>
      </w:pPr>
      <w:r w:rsidRPr="00221992">
        <w:rPr>
          <w:lang w:val="en-GB"/>
        </w:rPr>
        <w:t xml:space="preserve">Facilitated </w:t>
      </w:r>
      <w:r w:rsidR="007B3476">
        <w:rPr>
          <w:lang w:val="en-GB"/>
        </w:rPr>
        <w:t>r</w:t>
      </w:r>
      <w:r w:rsidRPr="00221992">
        <w:rPr>
          <w:lang w:val="en-GB"/>
        </w:rPr>
        <w:t xml:space="preserve">esolution: Nominated by the PBAC where it considers </w:t>
      </w:r>
      <w:r w:rsidR="008B1707">
        <w:rPr>
          <w:lang w:val="en-GB"/>
        </w:rPr>
        <w:t>that</w:t>
      </w:r>
      <w:r w:rsidR="008B1707" w:rsidRPr="00221992">
        <w:rPr>
          <w:lang w:val="en-GB"/>
        </w:rPr>
        <w:t xml:space="preserve"> </w:t>
      </w:r>
      <w:r w:rsidR="00A969E1">
        <w:rPr>
          <w:lang w:val="en-GB"/>
        </w:rPr>
        <w:t xml:space="preserve">outstanding </w:t>
      </w:r>
      <w:r w:rsidRPr="00221992">
        <w:rPr>
          <w:lang w:val="en-GB"/>
        </w:rPr>
        <w:t xml:space="preserve">issues could be </w:t>
      </w:r>
      <w:r w:rsidR="00A969E1">
        <w:rPr>
          <w:lang w:val="en-GB"/>
        </w:rPr>
        <w:t>resolved</w:t>
      </w:r>
      <w:r w:rsidR="00A969E1" w:rsidRPr="00221992">
        <w:rPr>
          <w:lang w:val="en-GB"/>
        </w:rPr>
        <w:t xml:space="preserve"> </w:t>
      </w:r>
      <w:r w:rsidRPr="00221992">
        <w:rPr>
          <w:lang w:val="en-GB"/>
        </w:rPr>
        <w:t xml:space="preserve">through </w:t>
      </w:r>
      <w:r w:rsidR="00A969E1">
        <w:rPr>
          <w:lang w:val="en-GB"/>
        </w:rPr>
        <w:t>consultation</w:t>
      </w:r>
      <w:r w:rsidRPr="00221992">
        <w:rPr>
          <w:lang w:val="en-GB"/>
        </w:rPr>
        <w:t xml:space="preserve"> and where the medicine or vaccine meets HATV criteria.</w:t>
      </w:r>
    </w:p>
    <w:p w14:paraId="12F57417" w14:textId="06B2FF91" w:rsidR="002E72FF" w:rsidRPr="00221992" w:rsidRDefault="002E72FF" w:rsidP="00180D52">
      <w:pPr>
        <w:rPr>
          <w:lang w:val="en-GB"/>
        </w:rPr>
      </w:pPr>
      <w:r w:rsidRPr="00221992">
        <w:rPr>
          <w:lang w:val="en-GB"/>
        </w:rPr>
        <w:t xml:space="preserve">If the </w:t>
      </w:r>
      <w:r w:rsidR="006C42F0">
        <w:rPr>
          <w:lang w:val="en-GB"/>
        </w:rPr>
        <w:t>sponsor</w:t>
      </w:r>
      <w:r w:rsidR="006C42F0" w:rsidRPr="00221992">
        <w:rPr>
          <w:lang w:val="en-GB"/>
        </w:rPr>
        <w:t xml:space="preserve"> </w:t>
      </w:r>
      <w:r w:rsidRPr="00221992">
        <w:rPr>
          <w:lang w:val="en-GB"/>
        </w:rPr>
        <w:t>chooses not to accept a PBAC</w:t>
      </w:r>
      <w:r w:rsidR="00701A7B">
        <w:rPr>
          <w:lang w:val="en-GB"/>
        </w:rPr>
        <w:t>-</w:t>
      </w:r>
      <w:r w:rsidRPr="00221992">
        <w:rPr>
          <w:lang w:val="en-GB"/>
        </w:rPr>
        <w:t xml:space="preserve">nominated </w:t>
      </w:r>
      <w:r w:rsidR="00701A7B">
        <w:rPr>
          <w:lang w:val="en-GB"/>
        </w:rPr>
        <w:t xml:space="preserve">resubmission </w:t>
      </w:r>
      <w:r w:rsidRPr="00221992">
        <w:rPr>
          <w:lang w:val="en-GB"/>
        </w:rPr>
        <w:t xml:space="preserve">pathway or is unable to meet the lodgement timeframes, the Standard </w:t>
      </w:r>
      <w:r w:rsidR="00701A7B">
        <w:rPr>
          <w:lang w:val="en-GB"/>
        </w:rPr>
        <w:t>r</w:t>
      </w:r>
      <w:r w:rsidRPr="00221992">
        <w:rPr>
          <w:lang w:val="en-GB"/>
        </w:rPr>
        <w:t xml:space="preserve">e-entry </w:t>
      </w:r>
      <w:r w:rsidR="00701A7B">
        <w:rPr>
          <w:lang w:val="en-GB"/>
        </w:rPr>
        <w:t>p</w:t>
      </w:r>
      <w:r w:rsidRPr="00221992">
        <w:rPr>
          <w:lang w:val="en-GB"/>
        </w:rPr>
        <w:t xml:space="preserve">athway applies </w:t>
      </w:r>
      <w:r w:rsidRPr="00221992">
        <w:rPr>
          <w:lang w:val="en-GB"/>
        </w:rPr>
        <w:fldChar w:fldCharType="begin"/>
      </w:r>
      <w:r w:rsidR="002F6CD4" w:rsidRPr="00221992">
        <w:rPr>
          <w:lang w:val="en-GB"/>
        </w:rPr>
        <w:instrText xml:space="preserve"> ADDIN EN.CITE &lt;EndNote&gt;&lt;Cite ExcludeYear="1"&gt;&lt;Author&gt;Department of Health and Aged Care&lt;/Author&gt;&lt;Year&gt;2023&lt;/Year&gt;&lt;RecNum&gt;382&lt;/RecNum&gt;&lt;DisplayText&gt;[20]&lt;/DisplayText&gt;&lt;record&gt;&lt;rec-number&gt;382&lt;/rec-number&gt;&lt;foreign-keys&gt;&lt;key app="EN" db-id="wzwwsfxe4peesxef95cxvrwjxts9rreasarf" timestamp="1692654670"&gt;382&lt;/key&gt;&lt;/foreign-keys&gt;&lt;ref-type name="Web Page"&gt;12&lt;/ref-type&gt;&lt;contributors&gt;&lt;authors&gt;&lt;author&gt;Department of Health and Aged Care,&lt;/author&gt;&lt;/authors&gt;&lt;/contributors&gt;&lt;titles&gt;&lt;title&gt;Resubmission pathways&lt;/title&gt;&lt;/titles&gt;&lt;number&gt;23 August 2023&lt;/number&gt;&lt;dates&gt;&lt;year&gt;2023&lt;/year&gt;&lt;/dates&gt;&lt;pub-location&gt;Canberra&lt;/pub-location&gt;&lt;publisher&gt;Australian Government, Department of Health and Aged Care&lt;/publisher&gt;&lt;urls&gt;&lt;related-urls&gt;&lt;url&gt;https://www.pbs.gov.au/info/industry/listing/procedure-guidance/9-review-pbs-listings/9-1-Resubmission-pathways&lt;/url&gt;&lt;/related-urls&gt;&lt;/urls&gt;&lt;/record&gt;&lt;/Cite&gt;&lt;/EndNote&gt;</w:instrText>
      </w:r>
      <w:r w:rsidRPr="00221992">
        <w:rPr>
          <w:lang w:val="en-GB"/>
        </w:rPr>
        <w:fldChar w:fldCharType="separate"/>
      </w:r>
      <w:r w:rsidR="002F6CD4" w:rsidRPr="00221992">
        <w:rPr>
          <w:noProof/>
          <w:lang w:val="en-GB"/>
        </w:rPr>
        <w:t>[20]</w:t>
      </w:r>
      <w:r w:rsidRPr="00221992">
        <w:rPr>
          <w:lang w:val="en-GB"/>
        </w:rPr>
        <w:fldChar w:fldCharType="end"/>
      </w:r>
      <w:r w:rsidRPr="00221992">
        <w:rPr>
          <w:lang w:val="en-GB"/>
        </w:rPr>
        <w:t>. In some instances, where the PBAC has not recommended funding, the sponsor or the PBAC may convene a stakeholder meeting to inform stakeholders of the situation, seek their views and</w:t>
      </w:r>
      <w:r w:rsidR="00503FDE">
        <w:rPr>
          <w:lang w:val="en-GB"/>
        </w:rPr>
        <w:t>,</w:t>
      </w:r>
      <w:r w:rsidRPr="00221992">
        <w:rPr>
          <w:lang w:val="en-GB"/>
        </w:rPr>
        <w:t xml:space="preserve"> if possible, agree on an approach to resubmission (which may include specifying a particular restriction or additional data collection). </w:t>
      </w:r>
      <w:r w:rsidR="00503FDE">
        <w:rPr>
          <w:lang w:val="en-GB"/>
        </w:rPr>
        <w:t>U</w:t>
      </w:r>
      <w:r w:rsidR="00503FDE" w:rsidRPr="00221992">
        <w:rPr>
          <w:lang w:val="en-GB"/>
        </w:rPr>
        <w:t>nder certain circumstances</w:t>
      </w:r>
      <w:r w:rsidR="00503FDE">
        <w:rPr>
          <w:lang w:val="en-GB"/>
        </w:rPr>
        <w:t>, s</w:t>
      </w:r>
      <w:r w:rsidRPr="00221992">
        <w:rPr>
          <w:lang w:val="en-GB"/>
        </w:rPr>
        <w:t xml:space="preserve">ponsors may apply for an independent review of PBAC decisions not to recommend. </w:t>
      </w:r>
    </w:p>
    <w:p w14:paraId="67611F03" w14:textId="3CEF5441" w:rsidR="00D95336" w:rsidRPr="00221992" w:rsidRDefault="00D95336" w:rsidP="00702C58">
      <w:pPr>
        <w:rPr>
          <w:lang w:val="en-GB"/>
        </w:rPr>
      </w:pPr>
      <w:r w:rsidRPr="00221992">
        <w:rPr>
          <w:lang w:val="en-GB"/>
        </w:rPr>
        <w:t xml:space="preserve">In Canada, resubmissions are conducted when new evidence is available for a drug that has been previously reviewed; if no new evidence is available, a reassessment </w:t>
      </w:r>
      <w:r w:rsidR="005C5101">
        <w:rPr>
          <w:lang w:val="en-GB"/>
        </w:rPr>
        <w:t>may be</w:t>
      </w:r>
      <w:r w:rsidR="005C5101" w:rsidRPr="00221992">
        <w:rPr>
          <w:lang w:val="en-GB"/>
        </w:rPr>
        <w:t xml:space="preserve"> </w:t>
      </w:r>
      <w:r w:rsidRPr="00221992">
        <w:rPr>
          <w:lang w:val="en-GB"/>
        </w:rPr>
        <w:t>performed, which may be classified into three categories</w:t>
      </w:r>
      <w:r w:rsidR="009B4D61" w:rsidRPr="00221992">
        <w:rPr>
          <w:lang w:val="en-GB"/>
        </w:rPr>
        <w:t xml:space="preserve"> </w:t>
      </w:r>
      <w:r w:rsidR="009B4D61" w:rsidRPr="00221992">
        <w:rPr>
          <w:lang w:val="en-GB"/>
        </w:rPr>
        <w:fldChar w:fldCharType="begin"/>
      </w:r>
      <w:r w:rsidR="002F6CD4" w:rsidRPr="00221992">
        <w:rPr>
          <w:lang w:val="en-GB"/>
        </w:rPr>
        <w:instrText xml:space="preserve"> ADDIN EN.CITE &lt;EndNote&gt;&lt;Cite&gt;&lt;Author&gt;Canadian Agency for Drugs and Technologies in Health (CADTH)&lt;/Author&gt;&lt;Year&gt;2023&lt;/Year&gt;&lt;RecNum&gt;601&lt;/RecNum&gt;&lt;DisplayText&gt;[21]&lt;/DisplayText&gt;&lt;record&gt;&lt;rec-number&gt;601&lt;/rec-number&gt;&lt;foreign-keys&gt;&lt;key app="EN" db-id="wzwwsfxe4peesxef95cxvrwjxts9rreasarf" timestamp="1692751953"&gt;601&lt;/key&gt;&lt;/foreign-keys&gt;&lt;ref-type name="Web Page"&gt;12&lt;/ref-type&gt;&lt;contributors&gt;&lt;authors&gt;&lt;author&gt;Canadian Agency for Drugs and Technologies in Health (CADTH),&lt;/author&gt;&lt;/authors&gt;&lt;/contributors&gt;&lt;titles&gt;&lt;title&gt;Procedures for CADTH Reimbursement Reviews&lt;/title&gt;&lt;/titles&gt;&lt;number&gt;23 August 2023&lt;/number&gt;&lt;dates&gt;&lt;year&gt;2023&lt;/year&gt;&lt;/dates&gt;&lt;pub-location&gt;Ottowa&lt;/pub-location&gt;&lt;publisher&gt;Canadian Agency for Drugs and Technologies in Health (CADTH),&lt;/publisher&gt;&lt;urls&gt;&lt;related-urls&gt;&lt;url&gt;https://www.cadth.ca/sites/default/files/Drug_Review_Process/CADTH%20Drug%20Reimbursement%20Review%20Procedures.pdf&lt;/url&gt;&lt;/related-urls&gt;&lt;/urls&gt;&lt;/record&gt;&lt;/Cite&gt;&lt;/EndNote&gt;</w:instrText>
      </w:r>
      <w:r w:rsidR="009B4D61" w:rsidRPr="00221992">
        <w:rPr>
          <w:lang w:val="en-GB"/>
        </w:rPr>
        <w:fldChar w:fldCharType="separate"/>
      </w:r>
      <w:r w:rsidR="002F6CD4" w:rsidRPr="00221992">
        <w:rPr>
          <w:noProof/>
          <w:lang w:val="en-GB"/>
        </w:rPr>
        <w:t>[21]</w:t>
      </w:r>
      <w:r w:rsidR="009B4D61" w:rsidRPr="00221992">
        <w:rPr>
          <w:lang w:val="en-GB"/>
        </w:rPr>
        <w:fldChar w:fldCharType="end"/>
      </w:r>
      <w:r w:rsidRPr="00221992">
        <w:rPr>
          <w:lang w:val="en-GB"/>
        </w:rPr>
        <w:t>:</w:t>
      </w:r>
      <w:r w:rsidR="009B4D61" w:rsidRPr="00221992">
        <w:rPr>
          <w:lang w:val="en-GB"/>
        </w:rPr>
        <w:t xml:space="preserve"> </w:t>
      </w:r>
    </w:p>
    <w:p w14:paraId="13EFA85C" w14:textId="4480154F" w:rsidR="00446CE3" w:rsidRPr="00221992" w:rsidRDefault="00D95336" w:rsidP="00957584">
      <w:pPr>
        <w:pStyle w:val="ListParagraph"/>
        <w:numPr>
          <w:ilvl w:val="0"/>
          <w:numId w:val="69"/>
        </w:numPr>
        <w:rPr>
          <w:lang w:val="en-GB"/>
        </w:rPr>
      </w:pPr>
      <w:r w:rsidRPr="00221992">
        <w:rPr>
          <w:lang w:val="en-GB"/>
        </w:rPr>
        <w:t>A standard reassessment is conducted to address questions related to the comparative clinical benefit and/or cost-effectiveness of a single drug that is currently reimbursed by the drug programs for the indication(s) of interest. Typical timeline</w:t>
      </w:r>
      <w:r w:rsidR="00302203">
        <w:rPr>
          <w:lang w:val="en-GB"/>
        </w:rPr>
        <w:t>:</w:t>
      </w:r>
      <w:r w:rsidRPr="00221992">
        <w:rPr>
          <w:lang w:val="en-GB"/>
        </w:rPr>
        <w:t xml:space="preserve"> </w:t>
      </w:r>
      <w:r w:rsidR="00302203">
        <w:rPr>
          <w:lang w:val="en-GB"/>
        </w:rPr>
        <w:t>up to</w:t>
      </w:r>
      <w:r w:rsidRPr="00221992">
        <w:rPr>
          <w:lang w:val="en-GB"/>
        </w:rPr>
        <w:t xml:space="preserve"> 180 calendar days (same as a standard assessment).</w:t>
      </w:r>
    </w:p>
    <w:p w14:paraId="6C1A84F8" w14:textId="444AB43D" w:rsidR="00446CE3" w:rsidRPr="00221992" w:rsidRDefault="00D95336" w:rsidP="00957584">
      <w:pPr>
        <w:pStyle w:val="ListParagraph"/>
        <w:numPr>
          <w:ilvl w:val="0"/>
          <w:numId w:val="69"/>
        </w:numPr>
        <w:rPr>
          <w:lang w:val="en-GB"/>
        </w:rPr>
      </w:pPr>
      <w:r w:rsidRPr="00221992">
        <w:rPr>
          <w:lang w:val="en-GB"/>
        </w:rPr>
        <w:t>A request for advice is conducted to address changes in contextual factors that may affect the ability of drug programs to implement existing recommendations from Canada</w:t>
      </w:r>
      <w:r w:rsidR="00551786">
        <w:rPr>
          <w:lang w:val="en-GB"/>
        </w:rPr>
        <w:t>’</w:t>
      </w:r>
      <w:r w:rsidRPr="00221992">
        <w:rPr>
          <w:lang w:val="en-GB"/>
        </w:rPr>
        <w:t>s Drug and Health Technology Agency (CADTH) (drug programs provide input on each drug being reviewed through CADTH</w:t>
      </w:r>
      <w:r w:rsidR="00551786">
        <w:rPr>
          <w:lang w:val="en-GB"/>
        </w:rPr>
        <w:t>’</w:t>
      </w:r>
      <w:r w:rsidRPr="00221992">
        <w:rPr>
          <w:lang w:val="en-GB"/>
        </w:rPr>
        <w:t xml:space="preserve">s reimbursement review processes by identifying issues that may impact their ability to implement a recommendation. This input increases the relevance of the recommendations and can potentially help avoid the need for an implementation advice panel or a request for advice later in the </w:t>
      </w:r>
      <w:r w:rsidR="00302203" w:rsidRPr="00221992">
        <w:rPr>
          <w:lang w:val="en-GB"/>
        </w:rPr>
        <w:t>p</w:t>
      </w:r>
      <w:r w:rsidRPr="00221992">
        <w:rPr>
          <w:lang w:val="en-GB"/>
        </w:rPr>
        <w:t xml:space="preserve">rocess by ensuring that potential implementation issues </w:t>
      </w:r>
      <w:r w:rsidR="005C5101">
        <w:rPr>
          <w:lang w:val="en-GB"/>
        </w:rPr>
        <w:t>are</w:t>
      </w:r>
      <w:r w:rsidR="005C5101" w:rsidRPr="00221992">
        <w:rPr>
          <w:lang w:val="en-GB"/>
        </w:rPr>
        <w:t xml:space="preserve"> </w:t>
      </w:r>
      <w:r w:rsidRPr="00221992">
        <w:rPr>
          <w:lang w:val="en-GB"/>
        </w:rPr>
        <w:t xml:space="preserve">considered during the review). Contextual information </w:t>
      </w:r>
      <w:r w:rsidR="005C5101">
        <w:rPr>
          <w:lang w:val="en-GB"/>
        </w:rPr>
        <w:t>may</w:t>
      </w:r>
      <w:r w:rsidR="005C5101" w:rsidRPr="00221992">
        <w:rPr>
          <w:lang w:val="en-GB"/>
        </w:rPr>
        <w:t xml:space="preserve"> </w:t>
      </w:r>
      <w:r w:rsidRPr="00221992">
        <w:rPr>
          <w:lang w:val="en-GB"/>
        </w:rPr>
        <w:t>include regulatory actions, changes in clinical practice, or other forms of information that have introduced implementation</w:t>
      </w:r>
      <w:r w:rsidR="00302203">
        <w:rPr>
          <w:lang w:val="en-GB"/>
        </w:rPr>
        <w:t>.</w:t>
      </w:r>
      <w:r w:rsidRPr="00221992">
        <w:rPr>
          <w:lang w:val="en-GB"/>
        </w:rPr>
        <w:t xml:space="preserve"> questions or challenges for the jurisdictions. Typical timeline</w:t>
      </w:r>
      <w:r w:rsidR="00302203">
        <w:rPr>
          <w:lang w:val="en-GB"/>
        </w:rPr>
        <w:t>:</w:t>
      </w:r>
      <w:r w:rsidRPr="00221992">
        <w:rPr>
          <w:lang w:val="en-GB"/>
        </w:rPr>
        <w:t xml:space="preserve"> 90 to 150 calendar days.</w:t>
      </w:r>
    </w:p>
    <w:p w14:paraId="506C1D19" w14:textId="49EE5D41" w:rsidR="00D95336" w:rsidRPr="00221992" w:rsidRDefault="00D95336" w:rsidP="00957584">
      <w:pPr>
        <w:pStyle w:val="ListParagraph"/>
        <w:numPr>
          <w:ilvl w:val="0"/>
          <w:numId w:val="69"/>
        </w:numPr>
        <w:rPr>
          <w:lang w:val="en-GB"/>
        </w:rPr>
      </w:pPr>
      <w:r w:rsidRPr="00221992">
        <w:rPr>
          <w:lang w:val="en-GB"/>
        </w:rPr>
        <w:t>A therapeutic review is conducted where there are questions regarding the comparative safety, clinical effectiveness and</w:t>
      </w:r>
      <w:r w:rsidR="00302203">
        <w:rPr>
          <w:lang w:val="en-GB"/>
        </w:rPr>
        <w:t>/or</w:t>
      </w:r>
      <w:r w:rsidRPr="00221992">
        <w:rPr>
          <w:lang w:val="en-GB"/>
        </w:rPr>
        <w:t xml:space="preserve"> cost-effectiveness of multiple drugs. Typical timeline</w:t>
      </w:r>
      <w:r w:rsidR="00302203">
        <w:rPr>
          <w:lang w:val="en-GB"/>
        </w:rPr>
        <w:t>:</w:t>
      </w:r>
      <w:r w:rsidRPr="00221992">
        <w:rPr>
          <w:lang w:val="en-GB"/>
        </w:rPr>
        <w:t xml:space="preserve"> 12 months</w:t>
      </w:r>
      <w:r w:rsidR="00CE6BB0">
        <w:rPr>
          <w:lang w:val="en-GB"/>
        </w:rPr>
        <w:t>.</w:t>
      </w:r>
    </w:p>
    <w:p w14:paraId="5EA51D6C" w14:textId="53FEBE85" w:rsidR="00D95336" w:rsidRPr="00221992" w:rsidRDefault="00D95336" w:rsidP="00702C58">
      <w:pPr>
        <w:rPr>
          <w:lang w:val="en-GB"/>
        </w:rPr>
      </w:pPr>
      <w:r w:rsidRPr="00221992">
        <w:rPr>
          <w:lang w:val="en-GB"/>
        </w:rPr>
        <w:t xml:space="preserve">In </w:t>
      </w:r>
      <w:r w:rsidR="00213502" w:rsidRPr="00221992">
        <w:rPr>
          <w:lang w:val="en-GB"/>
        </w:rPr>
        <w:t>England/Wales</w:t>
      </w:r>
      <w:r w:rsidRPr="00221992">
        <w:rPr>
          <w:lang w:val="en-GB"/>
        </w:rPr>
        <w:t xml:space="preserve">, in addition to resubmissions, sponsors </w:t>
      </w:r>
      <w:r w:rsidR="00E04148">
        <w:rPr>
          <w:lang w:val="en-GB"/>
        </w:rPr>
        <w:t>have strictly limited grounds to</w:t>
      </w:r>
      <w:r w:rsidR="00E04148" w:rsidRPr="00221992">
        <w:rPr>
          <w:lang w:val="en-GB"/>
        </w:rPr>
        <w:t xml:space="preserve"> </w:t>
      </w:r>
      <w:r w:rsidRPr="00221992">
        <w:rPr>
          <w:lang w:val="en-GB"/>
        </w:rPr>
        <w:t>appeal final draft guidance issued by NICE</w:t>
      </w:r>
      <w:r w:rsidR="00E04148">
        <w:rPr>
          <w:lang w:val="en-GB"/>
        </w:rPr>
        <w:t xml:space="preserve">, including </w:t>
      </w:r>
      <w:r w:rsidRPr="00221992">
        <w:rPr>
          <w:lang w:val="en-GB"/>
        </w:rPr>
        <w:fldChar w:fldCharType="begin"/>
      </w:r>
      <w:r w:rsidR="002F6CD4" w:rsidRPr="00221992">
        <w:rPr>
          <w:lang w:val="en-GB"/>
        </w:rPr>
        <w:instrText xml:space="preserve"> ADDIN EN.CITE &lt;EndNote&gt;&lt;Cite&gt;&lt;Author&gt;National Institute for Health and Care Excellence (NICE)&lt;/Author&gt;&lt;Year&gt;2018&lt;/Year&gt;&lt;RecNum&gt;7&lt;/RecNum&gt;&lt;DisplayText&gt;[22]&lt;/DisplayText&gt;&lt;record&gt;&lt;rec-number&gt;7&lt;/rec-number&gt;&lt;foreign-keys&gt;&lt;key app="EN" db-id="wzwwsfxe4peesxef95cxvrwjxts9rreasarf" timestamp="1692654670"&gt;7&lt;/key&gt;&lt;/foreign-keys&gt;&lt;ref-type name="Web Page"&gt;12&lt;/ref-type&gt;&lt;contributors&gt;&lt;authors&gt;&lt;author&gt;National Institute for Health and Care Excellence (NICE),&lt;/author&gt;&lt;/authors&gt;&lt;/contributors&gt;&lt;titles&gt;&lt;title&gt;Guide to the processes of technology appraisal&lt;/title&gt;&lt;/titles&gt;&lt;dates&gt;&lt;year&gt;2018&lt;/year&gt;&lt;pub-dates&gt;&lt;date&gt;8 July 2023&lt;/date&gt;&lt;/pub-dates&gt;&lt;/dates&gt;&lt;pub-location&gt;London&lt;/pub-location&gt;&lt;publisher&gt;National Institute for Health and Care Excellence (NICE)&lt;/publisher&gt;&lt;urls&gt;&lt;related-urls&gt;&lt;url&gt;https://www.nice.org.uk/process/pmg19/resources/guide-to-the-processes-of-technology-appraisal-pdf-72286663351237&lt;/url&gt;&lt;/related-urls&gt;&lt;/urls&gt;&lt;/record&gt;&lt;/Cite&gt;&lt;/EndNote&gt;</w:instrText>
      </w:r>
      <w:r w:rsidRPr="00221992">
        <w:rPr>
          <w:lang w:val="en-GB"/>
        </w:rPr>
        <w:fldChar w:fldCharType="separate"/>
      </w:r>
      <w:r w:rsidR="002F6CD4" w:rsidRPr="00221992">
        <w:rPr>
          <w:noProof/>
          <w:lang w:val="en-GB"/>
        </w:rPr>
        <w:t>[22]</w:t>
      </w:r>
      <w:r w:rsidRPr="00221992">
        <w:rPr>
          <w:lang w:val="en-GB"/>
        </w:rPr>
        <w:fldChar w:fldCharType="end"/>
      </w:r>
      <w:r w:rsidR="009164E1">
        <w:rPr>
          <w:lang w:val="en-GB"/>
        </w:rPr>
        <w:t>:</w:t>
      </w:r>
    </w:p>
    <w:p w14:paraId="221A99BC" w14:textId="7C714B5C" w:rsidR="00546B9C" w:rsidRPr="00221992" w:rsidRDefault="00D95336" w:rsidP="00957584">
      <w:pPr>
        <w:pStyle w:val="ListParagraph"/>
        <w:numPr>
          <w:ilvl w:val="0"/>
          <w:numId w:val="58"/>
        </w:numPr>
        <w:rPr>
          <w:lang w:val="en-GB"/>
        </w:rPr>
      </w:pPr>
      <w:r w:rsidRPr="00221992">
        <w:rPr>
          <w:lang w:val="en-GB"/>
        </w:rPr>
        <w:t>Ground 1: In making the assessment that preceded the recommendation, NICE has:</w:t>
      </w:r>
      <w:r w:rsidR="002E72FF" w:rsidRPr="00221992">
        <w:rPr>
          <w:lang w:val="en-GB"/>
        </w:rPr>
        <w:t xml:space="preserve"> </w:t>
      </w:r>
      <w:r w:rsidRPr="00221992">
        <w:rPr>
          <w:lang w:val="en-GB"/>
        </w:rPr>
        <w:t>(a) failed to act fairly OR (b) exceeded its powers</w:t>
      </w:r>
    </w:p>
    <w:p w14:paraId="7188791E" w14:textId="77777777" w:rsidR="00D95336" w:rsidRPr="00221992" w:rsidRDefault="00D95336" w:rsidP="00957584">
      <w:pPr>
        <w:pStyle w:val="ListParagraph"/>
        <w:numPr>
          <w:ilvl w:val="0"/>
          <w:numId w:val="58"/>
        </w:numPr>
        <w:rPr>
          <w:lang w:val="en-GB"/>
        </w:rPr>
      </w:pPr>
      <w:r w:rsidRPr="00221992">
        <w:rPr>
          <w:lang w:val="en-GB"/>
        </w:rPr>
        <w:t>Ground 2: The recommendation is unreasonable in the light of the evidence submitted to NICE.</w:t>
      </w:r>
    </w:p>
    <w:p w14:paraId="1B9B5A1A" w14:textId="54F671DD" w:rsidR="00D95336" w:rsidRPr="00221992" w:rsidRDefault="00D95336" w:rsidP="00702C58">
      <w:pPr>
        <w:rPr>
          <w:lang w:val="en-GB"/>
        </w:rPr>
      </w:pPr>
      <w:r w:rsidRPr="00221992">
        <w:rPr>
          <w:lang w:val="en-GB"/>
        </w:rPr>
        <w:t xml:space="preserve">New evidence or information that was not presented to the Committee, or re-analysis of existing evidence or information, must not be presented in the appeal letter or at the hearing, and will not be considered by the Appeal Panel. An appeal is not an opportunity to reopen arguments and issues that the advisory committee has decided. It is not possible to appeal against the final draft guidance because a consultee does not agree with it. Generally, the Appeal Panel will not rehear evidence or be persuaded by repetition of points previously made by the appellant and considered by the advisory committee unless it can be shown that </w:t>
      </w:r>
      <w:r w:rsidR="001B0C0C">
        <w:rPr>
          <w:lang w:val="en-GB"/>
        </w:rPr>
        <w:t>at least one</w:t>
      </w:r>
      <w:r w:rsidRPr="00221992">
        <w:rPr>
          <w:lang w:val="en-GB"/>
        </w:rPr>
        <w:t xml:space="preserve"> of the grounds </w:t>
      </w:r>
      <w:r w:rsidR="001B0C0C">
        <w:rPr>
          <w:lang w:val="en-GB"/>
        </w:rPr>
        <w:t>for</w:t>
      </w:r>
      <w:r w:rsidR="001B0C0C" w:rsidRPr="00221992">
        <w:rPr>
          <w:lang w:val="en-GB"/>
        </w:rPr>
        <w:t xml:space="preserve"> </w:t>
      </w:r>
      <w:r w:rsidRPr="00221992">
        <w:rPr>
          <w:lang w:val="en-GB"/>
        </w:rPr>
        <w:t xml:space="preserve">appeal </w:t>
      </w:r>
      <w:r w:rsidR="001B0C0C">
        <w:rPr>
          <w:lang w:val="en-GB"/>
        </w:rPr>
        <w:t>has been</w:t>
      </w:r>
      <w:r w:rsidRPr="00221992">
        <w:rPr>
          <w:lang w:val="en-GB"/>
        </w:rPr>
        <w:t xml:space="preserve"> </w:t>
      </w:r>
      <w:r w:rsidR="001B0C0C">
        <w:rPr>
          <w:lang w:val="en-GB"/>
        </w:rPr>
        <w:t>met</w:t>
      </w:r>
      <w:r w:rsidRPr="00221992">
        <w:rPr>
          <w:lang w:val="en-GB"/>
        </w:rPr>
        <w:t>.</w:t>
      </w:r>
    </w:p>
    <w:p w14:paraId="31DC67FF" w14:textId="1BD08FEA" w:rsidR="00D95336" w:rsidRPr="00221992" w:rsidRDefault="00D95336" w:rsidP="00702C58">
      <w:pPr>
        <w:rPr>
          <w:lang w:val="en-GB"/>
        </w:rPr>
      </w:pPr>
      <w:r w:rsidRPr="00221992">
        <w:rPr>
          <w:lang w:val="en-GB"/>
        </w:rPr>
        <w:t xml:space="preserve">In Germany, the determination of </w:t>
      </w:r>
      <w:r w:rsidR="00551786">
        <w:rPr>
          <w:lang w:val="en-GB"/>
        </w:rPr>
        <w:t>‘</w:t>
      </w:r>
      <w:r w:rsidRPr="00221992">
        <w:rPr>
          <w:lang w:val="en-GB"/>
        </w:rPr>
        <w:t>no additional benefit</w:t>
      </w:r>
      <w:r w:rsidR="00551786">
        <w:rPr>
          <w:lang w:val="en-GB"/>
        </w:rPr>
        <w:t>’</w:t>
      </w:r>
      <w:r w:rsidRPr="00221992">
        <w:rPr>
          <w:lang w:val="en-GB"/>
        </w:rPr>
        <w:t xml:space="preserve"> does not listing, but </w:t>
      </w:r>
      <w:r w:rsidR="00022D03">
        <w:rPr>
          <w:lang w:val="en-GB"/>
        </w:rPr>
        <w:t>may</w:t>
      </w:r>
      <w:r w:rsidR="00022D03" w:rsidRPr="00221992">
        <w:rPr>
          <w:lang w:val="en-GB"/>
        </w:rPr>
        <w:t xml:space="preserve"> </w:t>
      </w:r>
      <w:r w:rsidRPr="00221992">
        <w:rPr>
          <w:lang w:val="en-GB"/>
        </w:rPr>
        <w:t xml:space="preserve">affect </w:t>
      </w:r>
      <w:r w:rsidR="00022D03">
        <w:rPr>
          <w:lang w:val="en-GB"/>
        </w:rPr>
        <w:t>a drug’s</w:t>
      </w:r>
      <w:r w:rsidR="00022D03" w:rsidRPr="00221992">
        <w:rPr>
          <w:lang w:val="en-GB"/>
        </w:rPr>
        <w:t xml:space="preserve"> </w:t>
      </w:r>
      <w:r w:rsidRPr="00221992">
        <w:rPr>
          <w:lang w:val="en-GB"/>
        </w:rPr>
        <w:t xml:space="preserve">price. If a reference price group exists, </w:t>
      </w:r>
      <w:r w:rsidR="00022D03">
        <w:rPr>
          <w:lang w:val="en-GB"/>
        </w:rPr>
        <w:t xml:space="preserve">then </w:t>
      </w:r>
      <w:r w:rsidRPr="00221992">
        <w:rPr>
          <w:lang w:val="en-GB"/>
        </w:rPr>
        <w:t>a reference price is used to determine the maximum reimbursed price. If no reference price group exists, the negotiated price is equal to the maximum annual costs of the appropriate comparator therapy (ACT)</w:t>
      </w:r>
      <w:r w:rsidR="00F5766F" w:rsidRPr="00221992">
        <w:rPr>
          <w:lang w:val="en-GB"/>
        </w:rPr>
        <w:t xml:space="preserve"> </w:t>
      </w:r>
      <w:r w:rsidRPr="00221992">
        <w:rPr>
          <w:lang w:val="en-GB"/>
        </w:rPr>
        <w:fldChar w:fldCharType="begin"/>
      </w:r>
      <w:r w:rsidR="005A67DD" w:rsidRPr="00221992">
        <w:rPr>
          <w:lang w:val="en-GB"/>
        </w:rPr>
        <w:instrText xml:space="preserve"> ADDIN EN.CITE &lt;EndNote&gt;&lt;Cite&gt;&lt;Author&gt;Pownell&lt;/Author&gt;&lt;Year&gt;2023&lt;/Year&gt;&lt;RecNum&gt;395&lt;/RecNum&gt;&lt;DisplayText&gt;[9]&lt;/DisplayText&gt;&lt;record&gt;&lt;rec-number&gt;395&lt;/rec-number&gt;&lt;foreign-keys&gt;&lt;key app="EN" db-id="wzwwsfxe4peesxef95cxvrwjxts9rreasarf" timestamp="1692654670"&gt;395&lt;/key&gt;&lt;/foreign-keys&gt;&lt;ref-type name="Web Page"&gt;12&lt;/ref-type&gt;&lt;contributors&gt;&lt;authors&gt;&lt;author&gt;Pownell, A.&lt;/author&gt;&lt;/authors&gt;&lt;/contributors&gt;&lt;titles&gt;&lt;title&gt;Your guide to the German HTA system&lt;/title&gt;&lt;/titles&gt;&lt;number&gt;1 July 2023&lt;/number&gt;&lt;dates&gt;&lt;year&gt;2023&lt;/year&gt;&lt;/dates&gt;&lt;urls&gt;&lt;related-urls&gt;&lt;url&gt;https://germanmarketaccesssimplified.com/&lt;/url&gt;&lt;/related-urls&gt;&lt;/urls&gt;&lt;/record&gt;&lt;/Cite&gt;&lt;/EndNote&gt;</w:instrText>
      </w:r>
      <w:r w:rsidRPr="00221992">
        <w:rPr>
          <w:lang w:val="en-GB"/>
        </w:rPr>
        <w:fldChar w:fldCharType="separate"/>
      </w:r>
      <w:r w:rsidR="005A67DD" w:rsidRPr="00221992">
        <w:rPr>
          <w:noProof/>
          <w:lang w:val="en-GB"/>
        </w:rPr>
        <w:t>[9]</w:t>
      </w:r>
      <w:r w:rsidRPr="00221992">
        <w:rPr>
          <w:lang w:val="en-GB"/>
        </w:rPr>
        <w:fldChar w:fldCharType="end"/>
      </w:r>
      <w:r w:rsidR="00F5766F" w:rsidRPr="00221992">
        <w:rPr>
          <w:lang w:val="en-GB"/>
        </w:rPr>
        <w:t>.</w:t>
      </w:r>
    </w:p>
    <w:p w14:paraId="6F8E5F3A" w14:textId="23E5018D" w:rsidR="00D95336" w:rsidRPr="00221992" w:rsidRDefault="00D95336" w:rsidP="00702C58">
      <w:pPr>
        <w:rPr>
          <w:lang w:val="en-GB"/>
        </w:rPr>
      </w:pPr>
      <w:r w:rsidRPr="00221992">
        <w:rPr>
          <w:lang w:val="en-GB"/>
        </w:rPr>
        <w:t xml:space="preserve">In Japan, products are already listed and in use at </w:t>
      </w:r>
      <w:r w:rsidR="00386EFC">
        <w:rPr>
          <w:lang w:val="en-GB"/>
        </w:rPr>
        <w:t xml:space="preserve">the </w:t>
      </w:r>
      <w:r w:rsidRPr="00221992">
        <w:rPr>
          <w:lang w:val="en-GB"/>
        </w:rPr>
        <w:t xml:space="preserve">time of HTA review. If </w:t>
      </w:r>
      <w:r w:rsidR="00386EFC">
        <w:rPr>
          <w:lang w:val="en-GB"/>
        </w:rPr>
        <w:t>a</w:t>
      </w:r>
      <w:r w:rsidR="00386EFC" w:rsidRPr="00221992">
        <w:rPr>
          <w:lang w:val="en-GB"/>
        </w:rPr>
        <w:t xml:space="preserve"> </w:t>
      </w:r>
      <w:r w:rsidRPr="00221992">
        <w:rPr>
          <w:lang w:val="en-GB"/>
        </w:rPr>
        <w:t>sponsor</w:t>
      </w:r>
      <w:r w:rsidR="00551786">
        <w:rPr>
          <w:lang w:val="en-GB"/>
        </w:rPr>
        <w:t>’</w:t>
      </w:r>
      <w:r w:rsidRPr="00221992">
        <w:rPr>
          <w:lang w:val="en-GB"/>
        </w:rPr>
        <w:t>s submission is deemed scientifically questionable, an independent academic analysis re-analyses the claims (</w:t>
      </w:r>
      <w:r w:rsidRPr="00221992">
        <w:rPr>
          <w:color w:val="000000" w:themeColor="text1"/>
          <w:lang w:val="en-GB"/>
        </w:rPr>
        <w:t xml:space="preserve">see Appendix </w:t>
      </w:r>
      <w:r w:rsidR="00A72D6C" w:rsidRPr="00221992">
        <w:rPr>
          <w:color w:val="000000" w:themeColor="text1"/>
          <w:lang w:val="en-GB"/>
        </w:rPr>
        <w:t>3</w:t>
      </w:r>
      <w:r w:rsidRPr="00221992">
        <w:rPr>
          <w:color w:val="000000" w:themeColor="text1"/>
          <w:lang w:val="en-GB"/>
        </w:rPr>
        <w:t xml:space="preserve">, </w:t>
      </w:r>
      <w:r w:rsidRPr="00221992">
        <w:rPr>
          <w:color w:val="000000" w:themeColor="text1"/>
          <w:lang w:val="en-GB"/>
        </w:rPr>
        <w:fldChar w:fldCharType="begin"/>
      </w:r>
      <w:r w:rsidRPr="00A72D6C">
        <w:rPr>
          <w:color w:val="000000" w:themeColor="text1"/>
        </w:rPr>
        <w:instrText xml:space="preserve"> REF _Ref143376764 \h </w:instrText>
      </w:r>
      <w:r w:rsidRPr="00221992">
        <w:rPr>
          <w:color w:val="000000" w:themeColor="text1"/>
          <w:lang w:val="en-GB"/>
        </w:rPr>
      </w:r>
      <w:r w:rsidRPr="00221992">
        <w:rPr>
          <w:color w:val="000000" w:themeColor="text1"/>
          <w:lang w:val="en-GB"/>
        </w:rPr>
        <w:fldChar w:fldCharType="separate"/>
      </w:r>
      <w:r w:rsidR="000E11E7" w:rsidRPr="00221992">
        <w:rPr>
          <w:lang w:val="en-GB"/>
        </w:rPr>
        <w:t xml:space="preserve">Figure </w:t>
      </w:r>
      <w:r w:rsidR="000E11E7">
        <w:rPr>
          <w:noProof/>
        </w:rPr>
        <w:t>39</w:t>
      </w:r>
      <w:r w:rsidRPr="00221992">
        <w:rPr>
          <w:color w:val="000000" w:themeColor="text1"/>
          <w:lang w:val="en-GB"/>
        </w:rPr>
        <w:fldChar w:fldCharType="end"/>
      </w:r>
      <w:r w:rsidRPr="00221992">
        <w:rPr>
          <w:color w:val="000000" w:themeColor="text1"/>
          <w:lang w:val="en-GB"/>
        </w:rPr>
        <w:t>).</w:t>
      </w:r>
      <w:r w:rsidRPr="00221992">
        <w:rPr>
          <w:lang w:val="en-GB"/>
        </w:rPr>
        <w:t xml:space="preserve"> In cases where data are </w:t>
      </w:r>
      <w:r w:rsidR="00386EFC">
        <w:rPr>
          <w:lang w:val="en-GB"/>
        </w:rPr>
        <w:t>in</w:t>
      </w:r>
      <w:r w:rsidRPr="00221992">
        <w:rPr>
          <w:lang w:val="en-GB"/>
        </w:rPr>
        <w:t xml:space="preserve">sufficient to </w:t>
      </w:r>
      <w:r w:rsidR="00386EFC">
        <w:rPr>
          <w:lang w:val="en-GB"/>
        </w:rPr>
        <w:t>support</w:t>
      </w:r>
      <w:r w:rsidR="00386EFC" w:rsidRPr="00221992">
        <w:rPr>
          <w:lang w:val="en-GB"/>
        </w:rPr>
        <w:t xml:space="preserve"> </w:t>
      </w:r>
      <w:r w:rsidRPr="00221992">
        <w:rPr>
          <w:lang w:val="en-GB"/>
        </w:rPr>
        <w:t xml:space="preserve">an appraisal decision, the expert committee </w:t>
      </w:r>
      <w:r w:rsidR="00386EFC">
        <w:rPr>
          <w:lang w:val="en-GB"/>
        </w:rPr>
        <w:t>may</w:t>
      </w:r>
      <w:r w:rsidRPr="00221992">
        <w:rPr>
          <w:lang w:val="en-GB"/>
        </w:rPr>
        <w:t xml:space="preserve"> suspend the evaluation and determine </w:t>
      </w:r>
      <w:r w:rsidR="00386EFC">
        <w:rPr>
          <w:lang w:val="en-GB"/>
        </w:rPr>
        <w:t>a</w:t>
      </w:r>
      <w:r w:rsidR="00386EFC" w:rsidRPr="00221992">
        <w:rPr>
          <w:lang w:val="en-GB"/>
        </w:rPr>
        <w:t xml:space="preserve"> </w:t>
      </w:r>
      <w:r w:rsidRPr="00221992">
        <w:rPr>
          <w:lang w:val="en-GB"/>
        </w:rPr>
        <w:t>period additional evidence</w:t>
      </w:r>
      <w:r w:rsidR="00386EFC">
        <w:rPr>
          <w:lang w:val="en-GB"/>
        </w:rPr>
        <w:t xml:space="preserve"> collection by the manufacturer</w:t>
      </w:r>
      <w:r w:rsidRPr="00221992">
        <w:rPr>
          <w:lang w:val="en-GB"/>
        </w:rPr>
        <w:t xml:space="preserve">. If </w:t>
      </w:r>
      <w:r w:rsidR="00386EFC">
        <w:rPr>
          <w:lang w:val="en-GB"/>
        </w:rPr>
        <w:t>the manufacturer</w:t>
      </w:r>
      <w:r w:rsidR="00386EFC" w:rsidRPr="00221992">
        <w:rPr>
          <w:lang w:val="en-GB"/>
        </w:rPr>
        <w:t xml:space="preserve"> </w:t>
      </w:r>
      <w:r w:rsidRPr="00221992">
        <w:rPr>
          <w:lang w:val="en-GB"/>
        </w:rPr>
        <w:t>fail</w:t>
      </w:r>
      <w:r w:rsidR="00386EFC">
        <w:rPr>
          <w:lang w:val="en-GB"/>
        </w:rPr>
        <w:t>s to collect the required data within the defined period,</w:t>
      </w:r>
      <w:r w:rsidRPr="00221992">
        <w:rPr>
          <w:lang w:val="en-GB"/>
        </w:rPr>
        <w:t xml:space="preserve"> the product will be evaluated as being the least cost-effective (see </w:t>
      </w:r>
      <w:r w:rsidR="00CF167B" w:rsidRPr="00221992">
        <w:rPr>
          <w:lang w:val="en-GB"/>
        </w:rPr>
        <w:fldChar w:fldCharType="begin"/>
      </w:r>
      <w:r w:rsidR="00CF167B">
        <w:instrText xml:space="preserve"> REF _Ref143691518 \h </w:instrText>
      </w:r>
      <w:r w:rsidR="00CF167B" w:rsidRPr="00221992">
        <w:rPr>
          <w:lang w:val="en-GB"/>
        </w:rPr>
      </w:r>
      <w:r w:rsidR="00CF167B" w:rsidRPr="00221992">
        <w:rPr>
          <w:lang w:val="en-GB"/>
        </w:rPr>
        <w:fldChar w:fldCharType="separate"/>
      </w:r>
      <w:r w:rsidR="000E11E7" w:rsidRPr="00221992">
        <w:rPr>
          <w:lang w:val="en-GB"/>
        </w:rPr>
        <w:t xml:space="preserve">Table </w:t>
      </w:r>
      <w:r w:rsidR="000E11E7">
        <w:rPr>
          <w:noProof/>
        </w:rPr>
        <w:t>10</w:t>
      </w:r>
      <w:r w:rsidR="00CF167B" w:rsidRPr="00221992">
        <w:rPr>
          <w:lang w:val="en-GB"/>
        </w:rPr>
        <w:fldChar w:fldCharType="end"/>
      </w:r>
      <w:r w:rsidR="00CF167B" w:rsidRPr="00221992">
        <w:rPr>
          <w:lang w:val="en-GB"/>
        </w:rPr>
        <w:t xml:space="preserve"> </w:t>
      </w:r>
      <w:r w:rsidRPr="00221992">
        <w:rPr>
          <w:lang w:val="en-GB"/>
        </w:rPr>
        <w:t xml:space="preserve">in the Japan case study below). In cases of suspension or </w:t>
      </w:r>
      <w:r w:rsidR="00386EFC">
        <w:rPr>
          <w:lang w:val="en-GB"/>
        </w:rPr>
        <w:t>substantial</w:t>
      </w:r>
      <w:r w:rsidR="00386EFC" w:rsidRPr="00221992">
        <w:rPr>
          <w:lang w:val="en-GB"/>
        </w:rPr>
        <w:t xml:space="preserve"> </w:t>
      </w:r>
      <w:r w:rsidR="00386EFC">
        <w:rPr>
          <w:lang w:val="en-GB"/>
        </w:rPr>
        <w:t>reduction</w:t>
      </w:r>
      <w:r w:rsidR="00386EFC" w:rsidRPr="00221992">
        <w:rPr>
          <w:lang w:val="en-GB"/>
        </w:rPr>
        <w:t xml:space="preserve"> </w:t>
      </w:r>
      <w:r w:rsidRPr="00221992">
        <w:rPr>
          <w:lang w:val="en-GB"/>
        </w:rPr>
        <w:t xml:space="preserve">of product sales during the evaluation process, the evaluation may be terminated by the Expert Committee and Chuikyo. This approach is taken </w:t>
      </w:r>
      <w:r w:rsidR="00386EFC">
        <w:rPr>
          <w:lang w:val="en-GB"/>
        </w:rPr>
        <w:t>when</w:t>
      </w:r>
      <w:r w:rsidRPr="00221992">
        <w:rPr>
          <w:lang w:val="en-GB"/>
        </w:rPr>
        <w:t xml:space="preserve"> analyses of </w:t>
      </w:r>
      <w:r w:rsidR="00386EFC">
        <w:rPr>
          <w:lang w:val="en-GB"/>
        </w:rPr>
        <w:t>a</w:t>
      </w:r>
      <w:r w:rsidR="00386EFC" w:rsidRPr="00221992">
        <w:rPr>
          <w:lang w:val="en-GB"/>
        </w:rPr>
        <w:t xml:space="preserve"> </w:t>
      </w:r>
      <w:r w:rsidRPr="00221992">
        <w:rPr>
          <w:lang w:val="en-GB"/>
        </w:rPr>
        <w:t xml:space="preserve">product </w:t>
      </w:r>
      <w:r w:rsidR="00386EFC">
        <w:rPr>
          <w:lang w:val="en-GB"/>
        </w:rPr>
        <w:t>is</w:t>
      </w:r>
      <w:r w:rsidRPr="00221992">
        <w:rPr>
          <w:lang w:val="en-GB"/>
        </w:rPr>
        <w:t xml:space="preserve"> no</w:t>
      </w:r>
      <w:r w:rsidR="00386EFC">
        <w:rPr>
          <w:lang w:val="en-GB"/>
        </w:rPr>
        <w:t xml:space="preserve"> longer</w:t>
      </w:r>
      <w:r w:rsidRPr="00221992">
        <w:rPr>
          <w:lang w:val="en-GB"/>
        </w:rPr>
        <w:t xml:space="preserve"> </w:t>
      </w:r>
      <w:r w:rsidR="00386EFC">
        <w:rPr>
          <w:lang w:val="en-GB"/>
        </w:rPr>
        <w:t>economical</w:t>
      </w:r>
      <w:r w:rsidRPr="00221992">
        <w:rPr>
          <w:lang w:val="en-GB"/>
        </w:rPr>
        <w:t xml:space="preserve"> </w:t>
      </w:r>
      <w:r w:rsidR="00386EFC">
        <w:rPr>
          <w:lang w:val="en-GB"/>
        </w:rPr>
        <w:t>as</w:t>
      </w:r>
      <w:r w:rsidR="00386EFC" w:rsidRPr="00221992">
        <w:rPr>
          <w:lang w:val="en-GB"/>
        </w:rPr>
        <w:t xml:space="preserve"> </w:t>
      </w:r>
      <w:r w:rsidR="00386EFC">
        <w:rPr>
          <w:lang w:val="en-GB"/>
        </w:rPr>
        <w:t xml:space="preserve">any </w:t>
      </w:r>
      <w:r w:rsidRPr="00221992">
        <w:rPr>
          <w:lang w:val="en-GB"/>
        </w:rPr>
        <w:t xml:space="preserve">price adjustment </w:t>
      </w:r>
      <w:r w:rsidR="00386EFC">
        <w:rPr>
          <w:lang w:val="en-GB"/>
        </w:rPr>
        <w:t>would have</w:t>
      </w:r>
      <w:r w:rsidR="00386EFC" w:rsidRPr="00221992">
        <w:rPr>
          <w:lang w:val="en-GB"/>
        </w:rPr>
        <w:t xml:space="preserve"> </w:t>
      </w:r>
      <w:r w:rsidRPr="00221992">
        <w:rPr>
          <w:lang w:val="en-GB"/>
        </w:rPr>
        <w:t>little financial impact on health insurance</w:t>
      </w:r>
      <w:r w:rsidR="00386EFC">
        <w:rPr>
          <w:lang w:val="en-GB"/>
        </w:rPr>
        <w:t xml:space="preserve"> expenses</w:t>
      </w:r>
      <w:r w:rsidR="00F5766F" w:rsidRPr="00221992">
        <w:rPr>
          <w:lang w:val="en-GB"/>
        </w:rPr>
        <w:t xml:space="preserve"> </w:t>
      </w:r>
      <w:r w:rsidRPr="00221992">
        <w:rPr>
          <w:lang w:val="en-GB"/>
        </w:rPr>
        <w:fldChar w:fldCharType="begin"/>
      </w:r>
      <w:r w:rsidR="002F6CD4" w:rsidRPr="00221992">
        <w:rPr>
          <w:lang w:val="en-GB"/>
        </w:rPr>
        <w:instrText xml:space="preserve"> ADDIN EN.CITE &lt;EndNote&gt;&lt;Cite&gt;&lt;Author&gt;Hasegawa&lt;/Author&gt;&lt;Year&gt;2020&lt;/Year&gt;&lt;RecNum&gt;198&lt;/RecNum&gt;&lt;DisplayText&gt;[23]&lt;/DisplayText&gt;&lt;record&gt;&lt;rec-number&gt;198&lt;/rec-number&gt;&lt;foreign-keys&gt;&lt;key app="EN" db-id="wzwwsfxe4peesxef95cxvrwjxts9rreasarf" timestamp="1692654670"&gt;198&lt;/key&gt;&lt;/foreign-keys&gt;&lt;ref-type name="Journal Article"&gt;17&lt;/ref-type&gt;&lt;contributors&gt;&lt;authors&gt;&lt;author&gt;Hasegawa, Masataka&lt;/author&gt;&lt;author&gt;Komoto, Shigekazu&lt;/author&gt;&lt;author&gt;Shiroiwa, Takeru&lt;/author&gt;&lt;author&gt;Fukuda, Takashi&lt;/author&gt;&lt;/authors&gt;&lt;/contributors&gt;&lt;titles&gt;&lt;title&gt;Formal Implementation of Cost-Effectiveness Evaluations in Japan: A Unique Health Technology Assessment System&lt;/title&gt;&lt;secondary-title&gt;Value in Health&lt;/secondary-title&gt;&lt;/titles&gt;&lt;periodical&gt;&lt;full-title&gt;Value in Health&lt;/full-title&gt;&lt;/periodical&gt;&lt;pages&gt;43-51&lt;/pages&gt;&lt;volume&gt;23&lt;/volume&gt;&lt;number&gt;1&lt;/number&gt;&lt;keywords&gt;&lt;keyword&gt;Central Social Insurance Medical Council&lt;/keyword&gt;&lt;keyword&gt;cost-effectiveness analysis&lt;/keyword&gt;&lt;keyword&gt;health technology assessment&lt;/keyword&gt;&lt;keyword&gt;Japan&lt;/keyword&gt;&lt;/keywords&gt;&lt;dates&gt;&lt;year&gt;2020&lt;/year&gt;&lt;pub-dates&gt;&lt;date&gt;2020/01/01/&lt;/date&gt;&lt;/pub-dates&gt;&lt;/dates&gt;&lt;isbn&gt;1098-3015&lt;/isbn&gt;&lt;urls&gt;&lt;related-urls&gt;&lt;url&gt;https://www.sciencedirect.com/science/article/pii/S1098301519351708&lt;/url&gt;&lt;/related-urls&gt;&lt;/urls&gt;&lt;electronic-resource-num&gt;https://doi.org/10.1016/j.jval.2019.10.005&lt;/electronic-resource-num&gt;&lt;/record&gt;&lt;/Cite&gt;&lt;/EndNote&gt;</w:instrText>
      </w:r>
      <w:r w:rsidRPr="00221992">
        <w:rPr>
          <w:lang w:val="en-GB"/>
        </w:rPr>
        <w:fldChar w:fldCharType="separate"/>
      </w:r>
      <w:r w:rsidR="002F6CD4" w:rsidRPr="00221992">
        <w:rPr>
          <w:noProof/>
          <w:lang w:val="en-GB"/>
        </w:rPr>
        <w:t>[23]</w:t>
      </w:r>
      <w:r w:rsidRPr="00221992">
        <w:rPr>
          <w:lang w:val="en-GB"/>
        </w:rPr>
        <w:fldChar w:fldCharType="end"/>
      </w:r>
      <w:r w:rsidR="00F5766F" w:rsidRPr="00221992">
        <w:rPr>
          <w:lang w:val="en-GB"/>
        </w:rPr>
        <w:t>.</w:t>
      </w:r>
      <w:r w:rsidRPr="00221992">
        <w:rPr>
          <w:lang w:val="en-GB"/>
        </w:rPr>
        <w:t xml:space="preserve"> </w:t>
      </w:r>
    </w:p>
    <w:p w14:paraId="43E819C0" w14:textId="23C07552" w:rsidR="00D95336" w:rsidRPr="00221992" w:rsidRDefault="00D95336" w:rsidP="00702C58">
      <w:pPr>
        <w:rPr>
          <w:lang w:val="en-GB"/>
        </w:rPr>
      </w:pPr>
      <w:r w:rsidRPr="00221992">
        <w:rPr>
          <w:lang w:val="en-GB"/>
        </w:rPr>
        <w:t xml:space="preserve">In Scotland, if the SMC issues </w:t>
      </w:r>
      <w:r w:rsidR="00551786">
        <w:rPr>
          <w:lang w:val="en-GB"/>
        </w:rPr>
        <w:t>‘</w:t>
      </w:r>
      <w:r w:rsidRPr="00221992">
        <w:rPr>
          <w:lang w:val="en-GB"/>
        </w:rPr>
        <w:t>not recommended</w:t>
      </w:r>
      <w:r w:rsidR="00551786">
        <w:rPr>
          <w:lang w:val="en-GB"/>
        </w:rPr>
        <w:t>’</w:t>
      </w:r>
      <w:r w:rsidRPr="00221992">
        <w:rPr>
          <w:lang w:val="en-GB"/>
        </w:rPr>
        <w:t xml:space="preserve"> advice for a new medicine, the applicant </w:t>
      </w:r>
      <w:r w:rsidR="00513612">
        <w:rPr>
          <w:lang w:val="en-GB"/>
        </w:rPr>
        <w:t xml:space="preserve">may </w:t>
      </w:r>
      <w:r w:rsidRPr="00221992">
        <w:rPr>
          <w:lang w:val="en-GB"/>
        </w:rPr>
        <w:t>resubmi</w:t>
      </w:r>
      <w:r w:rsidR="00513612">
        <w:rPr>
          <w:lang w:val="en-GB"/>
        </w:rPr>
        <w:t>t</w:t>
      </w:r>
      <w:r w:rsidRPr="00221992">
        <w:rPr>
          <w:lang w:val="en-GB"/>
        </w:rPr>
        <w:t xml:space="preserve"> through the standard submission process. A fast-track resubmission process may be available where the only change is a new or improved simple Patient Access Scheme (PAS) or a list price reduction that has been confirmed with the Department of Health (the PAS represent</w:t>
      </w:r>
      <w:r w:rsidR="00513612">
        <w:rPr>
          <w:lang w:val="en-GB"/>
        </w:rPr>
        <w:t>s</w:t>
      </w:r>
      <w:r w:rsidRPr="00221992">
        <w:rPr>
          <w:lang w:val="en-GB"/>
        </w:rPr>
        <w:t xml:space="preserve"> a range of discounting routes </w:t>
      </w:r>
      <w:r w:rsidR="00513612">
        <w:rPr>
          <w:lang w:val="en-GB"/>
        </w:rPr>
        <w:t>to</w:t>
      </w:r>
      <w:r w:rsidR="00513612" w:rsidRPr="00221992">
        <w:rPr>
          <w:lang w:val="en-GB"/>
        </w:rPr>
        <w:t xml:space="preserve"> </w:t>
      </w:r>
      <w:r w:rsidRPr="00221992">
        <w:rPr>
          <w:lang w:val="en-GB"/>
        </w:rPr>
        <w:t>improve the cost</w:t>
      </w:r>
      <w:r w:rsidR="00513612">
        <w:rPr>
          <w:lang w:val="en-GB"/>
        </w:rPr>
        <w:t>-</w:t>
      </w:r>
      <w:r w:rsidRPr="00221992">
        <w:rPr>
          <w:lang w:val="en-GB"/>
        </w:rPr>
        <w:t>effectiveness of medicines)</w:t>
      </w:r>
      <w:r w:rsidR="00686589" w:rsidRPr="00221992">
        <w:rPr>
          <w:lang w:val="en-GB"/>
        </w:rPr>
        <w:t xml:space="preserve"> </w:t>
      </w:r>
      <w:r w:rsidR="00686589" w:rsidRPr="00221992">
        <w:rPr>
          <w:lang w:val="en-GB"/>
        </w:rPr>
        <w:fldChar w:fldCharType="begin"/>
      </w:r>
      <w:r w:rsidR="002F6CD4" w:rsidRPr="00221992">
        <w:rPr>
          <w:lang w:val="en-GB"/>
        </w:rPr>
        <w:instrText xml:space="preserve"> ADDIN EN.CITE &lt;EndNote&gt;&lt;Cite&gt;&lt;Author&gt;NHS Scotland&lt;/Author&gt;&lt;Year&gt;2023&lt;/Year&gt;&lt;RecNum&gt;619&lt;/RecNum&gt;&lt;DisplayText&gt;[24]&lt;/DisplayText&gt;&lt;record&gt;&lt;rec-number&gt;619&lt;/rec-number&gt;&lt;foreign-keys&gt;&lt;key app="EN" db-id="wzwwsfxe4peesxef95cxvrwjxts9rreasarf" timestamp="1692769111"&gt;619&lt;/key&gt;&lt;/foreign-keys&gt;&lt;ref-type name="Report"&gt;27&lt;/ref-type&gt;&lt;contributors&gt;&lt;authors&gt;&lt;author&gt;NHS Scotland,&lt;/author&gt;&lt;/authors&gt;&lt;tertiary-authors&gt;&lt;author&gt;NHS Scotland,&lt;/author&gt;&lt;/tertiary-authors&gt;&lt;/contributors&gt;&lt;titles&gt;&lt;title&gt;Patient Access Scheme (PAS) Guidance&lt;/title&gt;&lt;/titles&gt;&lt;dates&gt;&lt;year&gt;2023&lt;/year&gt;&lt;/dates&gt;&lt;pub-location&gt;Edinburgh&lt;/pub-location&gt;&lt;urls&gt;&lt;related-urls&gt;&lt;url&gt;https://www.scottishmedicines.org.uk/media/7524/pas801-018-patient-access-scheme-guidance-v10.pdf&lt;/url&gt;&lt;/related-urls&gt;&lt;/urls&gt;&lt;/record&gt;&lt;/Cite&gt;&lt;/EndNote&gt;</w:instrText>
      </w:r>
      <w:r w:rsidR="00686589" w:rsidRPr="00221992">
        <w:rPr>
          <w:lang w:val="en-GB"/>
        </w:rPr>
        <w:fldChar w:fldCharType="separate"/>
      </w:r>
      <w:r w:rsidR="002F6CD4" w:rsidRPr="00221992">
        <w:rPr>
          <w:noProof/>
          <w:lang w:val="en-GB"/>
        </w:rPr>
        <w:t>[24]</w:t>
      </w:r>
      <w:r w:rsidR="00686589" w:rsidRPr="00221992">
        <w:rPr>
          <w:lang w:val="en-GB"/>
        </w:rPr>
        <w:fldChar w:fldCharType="end"/>
      </w:r>
      <w:r w:rsidRPr="00221992">
        <w:rPr>
          <w:lang w:val="en-GB"/>
        </w:rPr>
        <w:t>. To be considered for fast-track resubmission, all of the following criteria must be met</w:t>
      </w:r>
      <w:r w:rsidR="00686589" w:rsidRPr="00221992">
        <w:rPr>
          <w:lang w:val="en-GB"/>
        </w:rPr>
        <w:t xml:space="preserve"> </w:t>
      </w:r>
      <w:r w:rsidRPr="00221992">
        <w:rPr>
          <w:lang w:val="en-GB"/>
        </w:rPr>
        <w:fldChar w:fldCharType="begin"/>
      </w:r>
      <w:r w:rsidR="002F6CD4" w:rsidRPr="00221992">
        <w:rPr>
          <w:lang w:val="en-GB"/>
        </w:rPr>
        <w:instrText xml:space="preserve"> ADDIN EN.CITE &lt;EndNote&gt;&lt;Cite&gt;&lt;Author&gt;Scottish Medicines Consortium&lt;/Author&gt;&lt;Year&gt;2023&lt;/Year&gt;&lt;RecNum&gt;96&lt;/RecNum&gt;&lt;DisplayText&gt;[25]&lt;/DisplayText&gt;&lt;record&gt;&lt;rec-number&gt;96&lt;/rec-number&gt;&lt;foreign-keys&gt;&lt;key app="EN" db-id="wzwwsfxe4peesxef95cxvrwjxts9rreasarf" timestamp="1692654670"&gt;96&lt;/key&gt;&lt;/foreign-keys&gt;&lt;ref-type name="Government Document"&gt;46&lt;/ref-type&gt;&lt;contributors&gt;&lt;authors&gt;&lt;author&gt;Scottish Medicines Consortium,&lt;/author&gt;&lt;/authors&gt;&lt;/contributors&gt;&lt;titles&gt;&lt;title&gt;Guidance to submitting companies: fast-track resubmission process&lt;/title&gt;&lt;/titles&gt;&lt;dates&gt;&lt;year&gt;2023&lt;/year&gt;&lt;/dates&gt;&lt;pub-location&gt;Glasgow&lt;/pub-location&gt;&lt;publisher&gt;Scottish Medicines Consortium&lt;/publisher&gt;&lt;urls&gt;&lt;related-urls&gt;&lt;url&gt;https://www.scottishmedicines.org.uk/media/5000/guidance-to-submitting-companies-fast-track-resubmission-process-v20.pdf&lt;/url&gt;&lt;/related-urls&gt;&lt;/urls&gt;&lt;/record&gt;&lt;/Cite&gt;&lt;/EndNote&gt;</w:instrText>
      </w:r>
      <w:r w:rsidRPr="00221992">
        <w:rPr>
          <w:lang w:val="en-GB"/>
        </w:rPr>
        <w:fldChar w:fldCharType="separate"/>
      </w:r>
      <w:r w:rsidR="002F6CD4" w:rsidRPr="00221992">
        <w:rPr>
          <w:noProof/>
          <w:lang w:val="en-GB"/>
        </w:rPr>
        <w:t>[25]</w:t>
      </w:r>
      <w:r w:rsidRPr="00221992">
        <w:rPr>
          <w:lang w:val="en-GB"/>
        </w:rPr>
        <w:fldChar w:fldCharType="end"/>
      </w:r>
      <w:r w:rsidR="00686589" w:rsidRPr="00221992">
        <w:rPr>
          <w:lang w:val="en-GB"/>
        </w:rPr>
        <w:t>:</w:t>
      </w:r>
    </w:p>
    <w:p w14:paraId="3A30A0F5" w14:textId="2961A2AF" w:rsidR="00D95336" w:rsidRPr="00221992" w:rsidRDefault="00D95336" w:rsidP="00957584">
      <w:pPr>
        <w:pStyle w:val="ListParagraph"/>
        <w:numPr>
          <w:ilvl w:val="0"/>
          <w:numId w:val="29"/>
        </w:numPr>
        <w:rPr>
          <w:lang w:val="en-GB"/>
        </w:rPr>
      </w:pPr>
      <w:r w:rsidRPr="00221992">
        <w:rPr>
          <w:lang w:val="en-GB"/>
        </w:rPr>
        <w:t xml:space="preserve">The only change to the original submission is a new or improved simple PAS or a list price reduction that has been confirmed with the </w:t>
      </w:r>
      <w:r w:rsidR="00910147">
        <w:rPr>
          <w:lang w:val="en-GB"/>
        </w:rPr>
        <w:t>NHS</w:t>
      </w:r>
      <w:r w:rsidRPr="00221992">
        <w:rPr>
          <w:lang w:val="en-GB"/>
        </w:rPr>
        <w:t>.</w:t>
      </w:r>
    </w:p>
    <w:p w14:paraId="769BB868" w14:textId="02929D8D" w:rsidR="00D95336" w:rsidRPr="00221992" w:rsidRDefault="00715DA6" w:rsidP="00957584">
      <w:pPr>
        <w:pStyle w:val="ListParagraph"/>
        <w:numPr>
          <w:ilvl w:val="0"/>
          <w:numId w:val="29"/>
        </w:numPr>
        <w:rPr>
          <w:lang w:val="en-GB"/>
        </w:rPr>
      </w:pPr>
      <w:r>
        <w:rPr>
          <w:lang w:val="en-GB"/>
        </w:rPr>
        <w:t>R</w:t>
      </w:r>
      <w:r w:rsidR="00D95336" w:rsidRPr="00221992">
        <w:rPr>
          <w:lang w:val="en-GB"/>
        </w:rPr>
        <w:t>esubmission must be received within three months of the original SMC decision.</w:t>
      </w:r>
    </w:p>
    <w:p w14:paraId="4EFE7314" w14:textId="77777777" w:rsidR="00D95336" w:rsidRPr="00221992" w:rsidRDefault="00D95336" w:rsidP="00957584">
      <w:pPr>
        <w:pStyle w:val="ListParagraph"/>
        <w:numPr>
          <w:ilvl w:val="0"/>
          <w:numId w:val="29"/>
        </w:numPr>
        <w:rPr>
          <w:lang w:val="en-GB"/>
        </w:rPr>
      </w:pPr>
      <w:r w:rsidRPr="00221992">
        <w:rPr>
          <w:lang w:val="en-GB"/>
        </w:rPr>
        <w:t>Any changes to the list price of the medicine under review and/or to comparator medicines are reflected in the revised documents submitted.</w:t>
      </w:r>
    </w:p>
    <w:p w14:paraId="1291A581" w14:textId="77777777" w:rsidR="00D95336" w:rsidRPr="00221992" w:rsidRDefault="00D95336" w:rsidP="00957584">
      <w:pPr>
        <w:pStyle w:val="ListParagraph"/>
        <w:numPr>
          <w:ilvl w:val="0"/>
          <w:numId w:val="29"/>
        </w:numPr>
        <w:rPr>
          <w:lang w:val="en-GB"/>
        </w:rPr>
      </w:pPr>
      <w:r w:rsidRPr="00221992">
        <w:rPr>
          <w:lang w:val="en-GB"/>
        </w:rPr>
        <w:t>There is no change to any other aspect of the submission (including the proposed positioning of the medicine).</w:t>
      </w:r>
    </w:p>
    <w:p w14:paraId="7886F42A" w14:textId="77777777" w:rsidR="00D95336" w:rsidRPr="00221992" w:rsidRDefault="00D95336" w:rsidP="00957584">
      <w:pPr>
        <w:pStyle w:val="ListParagraph"/>
        <w:numPr>
          <w:ilvl w:val="0"/>
          <w:numId w:val="29"/>
        </w:numPr>
        <w:rPr>
          <w:lang w:val="en-GB"/>
        </w:rPr>
      </w:pPr>
      <w:r w:rsidRPr="00221992">
        <w:rPr>
          <w:lang w:val="en-GB"/>
        </w:rPr>
        <w:t xml:space="preserve">There has been no previous fast-track resubmission for the medicine under review. </w:t>
      </w:r>
    </w:p>
    <w:p w14:paraId="6C51F933" w14:textId="77777777" w:rsidR="00D95336" w:rsidRPr="00221992" w:rsidRDefault="00D95336" w:rsidP="00702C58">
      <w:pPr>
        <w:rPr>
          <w:lang w:val="en-GB"/>
        </w:rPr>
      </w:pPr>
      <w:r w:rsidRPr="00221992">
        <w:rPr>
          <w:lang w:val="en-GB"/>
        </w:rPr>
        <w:t>The fast-track resubmission has an overall assessment timeline of up to 14 weeks, and bypasses the need for consideration by the New Drugs Committee (NDC).</w:t>
      </w:r>
    </w:p>
    <w:p w14:paraId="0F2DE866" w14:textId="0E8917F7" w:rsidR="00C13C1E" w:rsidRDefault="00D95336" w:rsidP="00702C58">
      <w:pPr>
        <w:rPr>
          <w:lang w:val="en-GB"/>
        </w:rPr>
      </w:pPr>
      <w:r w:rsidRPr="00221992">
        <w:rPr>
          <w:lang w:val="en-GB"/>
        </w:rPr>
        <w:t xml:space="preserve">In South Korea, sponsors are given several opportunities to appeal </w:t>
      </w:r>
      <w:r w:rsidR="003C3809">
        <w:rPr>
          <w:lang w:val="en-GB"/>
        </w:rPr>
        <w:t>negative recommendations</w:t>
      </w:r>
      <w:r w:rsidRPr="00221992">
        <w:rPr>
          <w:lang w:val="en-GB"/>
        </w:rPr>
        <w:t xml:space="preserve">. First, they can have a face-to-face meeting with the Health Insurance Review and Assessment Service (HIRA) and respond to HIRA opinions. If the submitted drug is rejected, they </w:t>
      </w:r>
      <w:r w:rsidR="003C3809">
        <w:rPr>
          <w:lang w:val="en-GB"/>
        </w:rPr>
        <w:t>may</w:t>
      </w:r>
      <w:r w:rsidR="003C3809" w:rsidRPr="00221992">
        <w:rPr>
          <w:lang w:val="en-GB"/>
        </w:rPr>
        <w:t xml:space="preserve"> </w:t>
      </w:r>
      <w:r w:rsidRPr="00221992">
        <w:rPr>
          <w:lang w:val="en-GB"/>
        </w:rPr>
        <w:t>ask for reconsideration with updated evidence. An independent review process</w:t>
      </w:r>
      <w:r w:rsidR="00271DB8">
        <w:rPr>
          <w:lang w:val="en-GB"/>
        </w:rPr>
        <w:t xml:space="preserve"> may be undertaken</w:t>
      </w:r>
      <w:r w:rsidRPr="00221992">
        <w:rPr>
          <w:lang w:val="en-GB"/>
        </w:rPr>
        <w:t>, in which a</w:t>
      </w:r>
      <w:r w:rsidR="00271DB8">
        <w:rPr>
          <w:lang w:val="en-GB"/>
        </w:rPr>
        <w:t>n</w:t>
      </w:r>
      <w:r w:rsidRPr="00221992">
        <w:rPr>
          <w:lang w:val="en-GB"/>
        </w:rPr>
        <w:t xml:space="preserve"> independent expert panel review</w:t>
      </w:r>
      <w:r w:rsidR="00271DB8">
        <w:rPr>
          <w:lang w:val="en-GB"/>
        </w:rPr>
        <w:t>s</w:t>
      </w:r>
      <w:r w:rsidRPr="00221992">
        <w:rPr>
          <w:lang w:val="en-GB"/>
        </w:rPr>
        <w:t xml:space="preserve"> points raised and make</w:t>
      </w:r>
      <w:r w:rsidR="00271DB8">
        <w:rPr>
          <w:lang w:val="en-GB"/>
        </w:rPr>
        <w:t>s</w:t>
      </w:r>
      <w:r w:rsidRPr="00221992">
        <w:rPr>
          <w:lang w:val="en-GB"/>
        </w:rPr>
        <w:t xml:space="preserve"> recommendations on whether to reconsider drugs during Pharmaceutical Benefit Coverage Assessment Committee meetings (PBCAC) </w:t>
      </w:r>
      <w:r w:rsidRPr="00221992">
        <w:rPr>
          <w:lang w:val="en-GB"/>
        </w:rPr>
        <w:fldChar w:fldCharType="begin">
          <w:fldData xml:space="preserve">PEVuZE5vdGU+PENpdGU+PEF1dGhvcj5CYWU8L0F1dGhvcj48WWVhcj4yMDE2PC9ZZWFyPjxSZWNO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</w:fldData>
        </w:fldChar>
      </w:r>
      <w:r w:rsidR="002F6CD4" w:rsidRPr="00221992">
        <w:rPr>
          <w:lang w:val="en-GB"/>
        </w:rPr>
        <w:instrText xml:space="preserve"> ADDIN EN.CITE </w:instrText>
      </w:r>
      <w:r w:rsidR="002F6CD4" w:rsidRPr="00221992">
        <w:rPr>
          <w:lang w:val="en-GB"/>
        </w:rPr>
        <w:fldChar w:fldCharType="begin">
          <w:fldData xml:space="preserve">PEVuZE5vdGU+PENpdGU+PEF1dGhvcj5CYWU8L0F1dGhvcj48WWVhcj4yMDE2PC9ZZWFyPjxSZWNO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</w:fldData>
        </w:fldChar>
      </w:r>
      <w:r w:rsidR="002F6CD4">
        <w:instrText xml:space="preserve"> ADDIN EN.CITE.DATA </w:instrText>
      </w:r>
      <w:r w:rsidR="002F6CD4" w:rsidRPr="00221992">
        <w:rPr>
          <w:lang w:val="en-GB"/>
        </w:rPr>
      </w:r>
      <w:r w:rsidR="002F6CD4" w:rsidRPr="00221992">
        <w:rPr>
          <w:lang w:val="en-GB"/>
        </w:rPr>
        <w:fldChar w:fldCharType="end"/>
      </w:r>
      <w:r w:rsidRPr="00221992">
        <w:rPr>
          <w:lang w:val="en-GB"/>
        </w:rPr>
      </w:r>
      <w:r w:rsidRPr="00221992">
        <w:rPr>
          <w:lang w:val="en-GB"/>
        </w:rPr>
        <w:fldChar w:fldCharType="separate"/>
      </w:r>
      <w:r w:rsidR="002F6CD4" w:rsidRPr="00221992">
        <w:rPr>
          <w:noProof/>
          <w:lang w:val="en-GB"/>
        </w:rPr>
        <w:t>[26]</w:t>
      </w:r>
      <w:r w:rsidRPr="00221992">
        <w:rPr>
          <w:lang w:val="en-GB"/>
        </w:rPr>
        <w:fldChar w:fldCharType="end"/>
      </w:r>
      <w:r w:rsidR="00F5766F" w:rsidRPr="00221992">
        <w:rPr>
          <w:lang w:val="en-GB"/>
        </w:rPr>
        <w:t>.</w:t>
      </w:r>
    </w:p>
    <w:tbl>
      <w:tblPr>
        <w:tblStyle w:val="GridTable4-Accent39"/>
        <w:tblW w:w="8490" w:type="dxa"/>
        <w:tblBorders>
          <w:top w:val="single" w:sz="12" w:space="0" w:color="0F4BEB"/>
          <w:left w:val="single" w:sz="12" w:space="0" w:color="0F4BEB"/>
          <w:bottom w:val="single" w:sz="12" w:space="0" w:color="0F4BEB"/>
          <w:right w:val="single" w:sz="12" w:space="0" w:color="0F4BEB"/>
          <w:insideH w:val="none" w:sz="0" w:space="0" w:color="auto"/>
          <w:insideV w:val="none" w:sz="0" w:space="0" w:color="auto"/>
        </w:tblBorders>
        <w:tblLook w:val="04A0" w:firstRow="1" w:lastRow="0" w:firstColumn="1" w:lastColumn="0" w:noHBand="0" w:noVBand="1"/>
      </w:tblPr>
      <w:tblGrid>
        <w:gridCol w:w="8490"/>
      </w:tblGrid>
      <w:tr w:rsidR="00CA4FA1" w:rsidRPr="00944857" w14:paraId="6759E719" w14:textId="77777777" w:rsidTr="00E1739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90" w:type="dxa"/>
          </w:tcPr>
          <w:p w14:paraId="29EDC894" w14:textId="5C27B0E4" w:rsidR="00B23E25" w:rsidRPr="00944857" w:rsidRDefault="00B23E25" w:rsidP="00B23E25">
            <w:pPr>
              <w:spacing w:after="0" w:line="240" w:lineRule="auto"/>
              <w:jc w:val="center"/>
              <w:rPr>
                <w:rFonts w:ascii="Calibri" w:eastAsia="Calibri" w:hAnsi="Calibri"/>
                <w:sz w:val="22"/>
                <w:szCs w:val="22"/>
                <w:lang w:eastAsia="en-US"/>
              </w:rPr>
            </w:pPr>
            <w:r w:rsidRPr="00944857">
              <w:rPr>
                <w:rFonts w:ascii="Calibri" w:eastAsia="Calibri" w:hAnsi="Calibri"/>
                <w:sz w:val="22"/>
                <w:szCs w:val="22"/>
                <w:lang w:eastAsia="en-US"/>
              </w:rPr>
              <w:t>Why this matters</w:t>
            </w:r>
          </w:p>
        </w:tc>
      </w:tr>
      <w:tr w:rsidR="00C13C1E" w:rsidRPr="00944857" w14:paraId="68E94194" w14:textId="77777777" w:rsidTr="009952E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90" w:type="dxa"/>
          </w:tcPr>
          <w:p w14:paraId="58AF3116" w14:textId="3C6921F1" w:rsidR="00C13C1E" w:rsidRPr="00944857" w:rsidRDefault="00C13C1E" w:rsidP="00C13C1E">
            <w:pPr>
              <w:spacing w:after="0" w:line="240" w:lineRule="auto"/>
              <w:rPr>
                <w:rFonts w:eastAsia="Calibri" w:cs="Calibri Light"/>
                <w:b w:val="0"/>
                <w:bCs w:val="0"/>
                <w:sz w:val="22"/>
                <w:szCs w:val="22"/>
                <w:lang w:eastAsia="en-US"/>
              </w:rPr>
            </w:pPr>
            <w:r w:rsidRPr="00944857">
              <w:rPr>
                <w:rFonts w:eastAsia="Calibri" w:cs="Calibri Light"/>
                <w:b w:val="0"/>
                <w:bCs w:val="0"/>
                <w:sz w:val="22"/>
                <w:szCs w:val="22"/>
                <w:lang w:eastAsia="en-US"/>
              </w:rPr>
              <w:t xml:space="preserve">There </w:t>
            </w:r>
            <w:r w:rsidR="00A20238">
              <w:rPr>
                <w:rFonts w:eastAsia="Calibri" w:cs="Calibri Light"/>
                <w:b w:val="0"/>
                <w:bCs w:val="0"/>
                <w:sz w:val="22"/>
                <w:szCs w:val="22"/>
                <w:lang w:eastAsia="en-US"/>
              </w:rPr>
              <w:t>is</w:t>
            </w:r>
            <w:r w:rsidR="00A20238" w:rsidRPr="00944857">
              <w:rPr>
                <w:rFonts w:eastAsia="Calibri" w:cs="Calibri Light"/>
                <w:b w:val="0"/>
                <w:bCs w:val="0"/>
                <w:sz w:val="22"/>
                <w:szCs w:val="22"/>
                <w:lang w:eastAsia="en-US"/>
              </w:rPr>
              <w:t xml:space="preserve"> </w:t>
            </w:r>
            <w:r w:rsidRPr="00944857">
              <w:rPr>
                <w:rFonts w:eastAsia="Calibri" w:cs="Calibri Light"/>
                <w:b w:val="0"/>
                <w:bCs w:val="0"/>
                <w:sz w:val="22"/>
                <w:szCs w:val="22"/>
                <w:lang w:eastAsia="en-US"/>
              </w:rPr>
              <w:t xml:space="preserve">a wide range of approaches to the design and implementation of HTA processes around the world, which impact on how and why funding and purchasing decisions are made. </w:t>
            </w:r>
          </w:p>
          <w:p w14:paraId="53FAF3E1" w14:textId="77777777" w:rsidR="00C13C1E" w:rsidRPr="00944857" w:rsidRDefault="00C13C1E" w:rsidP="00C13C1E">
            <w:pPr>
              <w:spacing w:after="0" w:line="240" w:lineRule="auto"/>
              <w:rPr>
                <w:rFonts w:eastAsia="Calibri" w:cs="Calibri Light"/>
                <w:sz w:val="22"/>
                <w:szCs w:val="22"/>
                <w:lang w:eastAsia="en-US"/>
              </w:rPr>
            </w:pPr>
          </w:p>
          <w:p w14:paraId="5D6AE53D" w14:textId="607F5B8E" w:rsidR="00C13C1E" w:rsidRPr="009952E8" w:rsidRDefault="00C13C1E" w:rsidP="00C13C1E">
            <w:pPr>
              <w:spacing w:after="0" w:line="240" w:lineRule="auto"/>
              <w:rPr>
                <w:rFonts w:eastAsia="Calibri" w:cs="Calibri Light"/>
                <w:b w:val="0"/>
                <w:bCs w:val="0"/>
                <w:sz w:val="22"/>
                <w:szCs w:val="22"/>
                <w:lang w:eastAsia="en-US"/>
              </w:rPr>
            </w:pPr>
            <w:r w:rsidRPr="00944857">
              <w:rPr>
                <w:rFonts w:eastAsia="Calibri" w:cs="Calibri Light"/>
                <w:b w:val="0"/>
                <w:bCs w:val="0"/>
                <w:sz w:val="22"/>
                <w:szCs w:val="22"/>
                <w:lang w:eastAsia="en-US"/>
              </w:rPr>
              <w:t xml:space="preserve">Many elements of Australia’s HTA system are </w:t>
            </w:r>
            <w:r w:rsidR="00A20238">
              <w:rPr>
                <w:rFonts w:eastAsia="Calibri" w:cs="Calibri Light"/>
                <w:b w:val="0"/>
                <w:bCs w:val="0"/>
                <w:sz w:val="22"/>
                <w:szCs w:val="22"/>
                <w:lang w:eastAsia="en-US"/>
              </w:rPr>
              <w:t xml:space="preserve">also </w:t>
            </w:r>
            <w:r w:rsidRPr="00944857">
              <w:rPr>
                <w:rFonts w:eastAsia="Calibri" w:cs="Calibri Light"/>
                <w:b w:val="0"/>
                <w:bCs w:val="0"/>
                <w:sz w:val="22"/>
                <w:szCs w:val="22"/>
                <w:lang w:eastAsia="en-US"/>
              </w:rPr>
              <w:t xml:space="preserve">utilised by many peer countries, </w:t>
            </w:r>
            <w:r w:rsidR="00363D01" w:rsidRPr="00944857">
              <w:rPr>
                <w:rFonts w:eastAsia="Calibri" w:cs="Calibri Light"/>
                <w:b w:val="0"/>
                <w:bCs w:val="0"/>
                <w:sz w:val="22"/>
                <w:szCs w:val="22"/>
                <w:lang w:eastAsia="en-US"/>
              </w:rPr>
              <w:t>with</w:t>
            </w:r>
            <w:r w:rsidR="00B23E25" w:rsidRPr="00944857">
              <w:rPr>
                <w:rFonts w:eastAsia="Calibri" w:cs="Calibri Light"/>
                <w:b w:val="0"/>
                <w:bCs w:val="0"/>
                <w:sz w:val="22"/>
                <w:szCs w:val="22"/>
                <w:lang w:eastAsia="en-US"/>
              </w:rPr>
              <w:t xml:space="preserve"> </w:t>
            </w:r>
            <w:r w:rsidRPr="00944857">
              <w:rPr>
                <w:rFonts w:eastAsia="Calibri" w:cs="Calibri Light"/>
                <w:b w:val="0"/>
                <w:bCs w:val="0"/>
                <w:sz w:val="22"/>
                <w:szCs w:val="22"/>
                <w:lang w:eastAsia="en-US"/>
              </w:rPr>
              <w:t xml:space="preserve">a range of alternative approaches </w:t>
            </w:r>
            <w:r w:rsidR="00420585" w:rsidRPr="00944857">
              <w:rPr>
                <w:rFonts w:eastAsia="Calibri" w:cs="Calibri Light"/>
                <w:b w:val="0"/>
                <w:bCs w:val="0"/>
                <w:sz w:val="22"/>
                <w:szCs w:val="22"/>
                <w:lang w:eastAsia="en-US"/>
              </w:rPr>
              <w:t>providing</w:t>
            </w:r>
            <w:r w:rsidRPr="00944857">
              <w:rPr>
                <w:rFonts w:eastAsia="Calibri" w:cs="Calibri Light"/>
                <w:b w:val="0"/>
                <w:bCs w:val="0"/>
                <w:sz w:val="22"/>
                <w:szCs w:val="22"/>
                <w:lang w:eastAsia="en-US"/>
              </w:rPr>
              <w:t xml:space="preserve"> comparative context.</w:t>
            </w:r>
          </w:p>
        </w:tc>
      </w:tr>
    </w:tbl>
    <w:p w14:paraId="56C25441" w14:textId="521C5DC0" w:rsidR="00D95336" w:rsidRPr="00221992" w:rsidRDefault="00D95336" w:rsidP="0012257A">
      <w:pPr>
        <w:pStyle w:val="NbrHeading3"/>
        <w:rPr>
          <w:lang w:val="en-GB"/>
        </w:rPr>
      </w:pPr>
      <w:bookmarkStart w:id="53" w:name="_Ref143769208"/>
      <w:bookmarkStart w:id="54" w:name="_Toc162950869"/>
      <w:r w:rsidRPr="00221992">
        <w:rPr>
          <w:lang w:val="en-GB"/>
        </w:rPr>
        <w:t>Price negotiation</w:t>
      </w:r>
      <w:bookmarkEnd w:id="53"/>
      <w:bookmarkEnd w:id="54"/>
    </w:p>
    <w:p w14:paraId="0F91601A" w14:textId="1791D73C" w:rsidR="00D95336" w:rsidRPr="00221992" w:rsidRDefault="00D95336" w:rsidP="00A01509">
      <w:pPr>
        <w:rPr>
          <w:lang w:val="en-GB"/>
        </w:rPr>
      </w:pPr>
      <w:r w:rsidRPr="00221992">
        <w:rPr>
          <w:lang w:val="en-GB"/>
        </w:rPr>
        <w:t>Price negotiations are typically confidential processes, and may be implicitly included in the HTA system</w:t>
      </w:r>
      <w:r w:rsidR="00B31710">
        <w:rPr>
          <w:lang w:val="en-GB"/>
        </w:rPr>
        <w:t>.</w:t>
      </w:r>
      <w:r w:rsidR="00B70557" w:rsidRPr="00221992">
        <w:rPr>
          <w:lang w:val="en-GB"/>
        </w:rPr>
        <w:t xml:space="preserve"> </w:t>
      </w:r>
      <w:r w:rsidRPr="00221992">
        <w:rPr>
          <w:lang w:val="en-GB"/>
        </w:rPr>
        <w:t xml:space="preserve">NICE and the PBAC, </w:t>
      </w:r>
      <w:r w:rsidR="00B31710">
        <w:rPr>
          <w:lang w:val="en-GB"/>
        </w:rPr>
        <w:t xml:space="preserve">for example, </w:t>
      </w:r>
      <w:r w:rsidRPr="00221992">
        <w:rPr>
          <w:lang w:val="en-GB"/>
        </w:rPr>
        <w:t>technically do not negotiate price</w:t>
      </w:r>
      <w:r w:rsidR="00B31710">
        <w:rPr>
          <w:lang w:val="en-GB"/>
        </w:rPr>
        <w:t>s</w:t>
      </w:r>
      <w:r w:rsidRPr="00221992">
        <w:rPr>
          <w:lang w:val="en-GB"/>
        </w:rPr>
        <w:t>, but determine if a proposed price comprises acceptable cost-effectiveness; if not, it is the applicant</w:t>
      </w:r>
      <w:r w:rsidR="00551786">
        <w:rPr>
          <w:lang w:val="en-GB"/>
        </w:rPr>
        <w:t>’</w:t>
      </w:r>
      <w:r w:rsidRPr="00221992">
        <w:rPr>
          <w:lang w:val="en-GB"/>
        </w:rPr>
        <w:t>s role in these systems to re-present a more cost-effective price</w:t>
      </w:r>
      <w:r w:rsidR="00C820FF" w:rsidRPr="00221992">
        <w:rPr>
          <w:lang w:val="en-GB"/>
        </w:rPr>
        <w:t xml:space="preserve"> </w:t>
      </w:r>
      <w:r w:rsidR="00B31710">
        <w:rPr>
          <w:lang w:val="en-GB"/>
        </w:rPr>
        <w:t xml:space="preserve">(i.e., </w:t>
      </w:r>
      <w:r w:rsidR="00551786">
        <w:rPr>
          <w:lang w:val="en-GB"/>
        </w:rPr>
        <w:t>‘</w:t>
      </w:r>
      <w:r w:rsidR="00C820FF" w:rsidRPr="00221992">
        <w:rPr>
          <w:lang w:val="en-GB"/>
        </w:rPr>
        <w:t>negotiation-by-resubmission</w:t>
      </w:r>
      <w:r w:rsidR="00551786">
        <w:rPr>
          <w:lang w:val="en-GB"/>
        </w:rPr>
        <w:t>’</w:t>
      </w:r>
      <w:r w:rsidR="00C820FF" w:rsidRPr="00221992">
        <w:rPr>
          <w:lang w:val="en-GB"/>
        </w:rPr>
        <w:t>)</w:t>
      </w:r>
      <w:r w:rsidR="00251046" w:rsidRPr="00221992">
        <w:rPr>
          <w:lang w:val="en-GB"/>
        </w:rPr>
        <w:t xml:space="preserve">. </w:t>
      </w:r>
      <w:r w:rsidR="00B31710">
        <w:rPr>
          <w:lang w:val="en-GB"/>
        </w:rPr>
        <w:t>Price n</w:t>
      </w:r>
      <w:r w:rsidR="00251046" w:rsidRPr="00221992">
        <w:rPr>
          <w:lang w:val="en-GB"/>
        </w:rPr>
        <w:t>egotiation may also be</w:t>
      </w:r>
      <w:r w:rsidRPr="00221992" w:rsidDel="00251046">
        <w:rPr>
          <w:lang w:val="en-GB"/>
        </w:rPr>
        <w:t xml:space="preserve"> </w:t>
      </w:r>
      <w:r w:rsidRPr="00221992">
        <w:rPr>
          <w:lang w:val="en-GB"/>
        </w:rPr>
        <w:t xml:space="preserve">explicitly conducted by a for-purpose negotiating body (as in Germany and Canada) or other government body (such as the Swedish Dental and Pharmaceutical Benefits Agency). </w:t>
      </w:r>
      <w:r w:rsidR="005B7EE7">
        <w:rPr>
          <w:lang w:val="en-GB"/>
        </w:rPr>
        <w:t>This</w:t>
      </w:r>
      <w:r w:rsidR="005B7EE7" w:rsidRPr="00221992">
        <w:rPr>
          <w:lang w:val="en-GB"/>
        </w:rPr>
        <w:t xml:space="preserve"> </w:t>
      </w:r>
      <w:r w:rsidRPr="00221992">
        <w:rPr>
          <w:lang w:val="en-GB"/>
        </w:rPr>
        <w:t xml:space="preserve">section </w:t>
      </w:r>
      <w:r w:rsidR="005B7EE7">
        <w:rPr>
          <w:lang w:val="en-GB"/>
        </w:rPr>
        <w:t xml:space="preserve">presents a </w:t>
      </w:r>
      <w:r w:rsidRPr="00221992">
        <w:rPr>
          <w:lang w:val="en-GB"/>
        </w:rPr>
        <w:t>compar</w:t>
      </w:r>
      <w:r w:rsidR="005B7EE7">
        <w:rPr>
          <w:lang w:val="en-GB"/>
        </w:rPr>
        <w:t>ison of</w:t>
      </w:r>
      <w:r w:rsidRPr="00221992">
        <w:rPr>
          <w:lang w:val="en-GB"/>
        </w:rPr>
        <w:t xml:space="preserve"> </w:t>
      </w:r>
      <w:r w:rsidR="005B7EE7">
        <w:rPr>
          <w:lang w:val="en-GB"/>
        </w:rPr>
        <w:t>countires’</w:t>
      </w:r>
      <w:r w:rsidR="005B7EE7" w:rsidRPr="00221992">
        <w:rPr>
          <w:lang w:val="en-GB"/>
        </w:rPr>
        <w:t xml:space="preserve"> </w:t>
      </w:r>
      <w:r w:rsidRPr="00221992">
        <w:rPr>
          <w:lang w:val="en-GB"/>
        </w:rPr>
        <w:t>negotiating processes</w:t>
      </w:r>
      <w:r w:rsidR="005B7EE7">
        <w:rPr>
          <w:lang w:val="en-GB"/>
        </w:rPr>
        <w:t>.</w:t>
      </w:r>
      <w:r w:rsidRPr="00221992">
        <w:rPr>
          <w:lang w:val="en-GB"/>
        </w:rPr>
        <w:t xml:space="preserve"> </w:t>
      </w:r>
      <w:r w:rsidR="005B7EE7">
        <w:rPr>
          <w:lang w:val="en-GB"/>
        </w:rPr>
        <w:fldChar w:fldCharType="begin"/>
      </w:r>
      <w:r w:rsidR="005B7EE7">
        <w:rPr>
          <w:lang w:val="en-GB"/>
        </w:rPr>
        <w:instrText xml:space="preserve"> REF _Ref155872757 \h </w:instrText>
      </w:r>
      <w:r w:rsidR="005B7EE7">
        <w:rPr>
          <w:lang w:val="en-GB"/>
        </w:rPr>
      </w:r>
      <w:r w:rsidR="005B7EE7">
        <w:rPr>
          <w:lang w:val="en-GB"/>
        </w:rPr>
        <w:fldChar w:fldCharType="separate"/>
      </w:r>
      <w:r w:rsidR="000E11E7" w:rsidRPr="00221992">
        <w:rPr>
          <w:lang w:val="en-GB"/>
        </w:rPr>
        <w:t xml:space="preserve">Table </w:t>
      </w:r>
      <w:r w:rsidR="000E11E7">
        <w:rPr>
          <w:noProof/>
        </w:rPr>
        <w:t>8</w:t>
      </w:r>
      <w:r w:rsidR="005B7EE7">
        <w:rPr>
          <w:lang w:val="en-GB"/>
        </w:rPr>
        <w:fldChar w:fldCharType="end"/>
      </w:r>
      <w:r w:rsidR="005B7EE7">
        <w:rPr>
          <w:lang w:val="en-GB"/>
        </w:rPr>
        <w:t xml:space="preserve"> summar</w:t>
      </w:r>
      <w:r w:rsidR="003B0748">
        <w:rPr>
          <w:lang w:val="en-GB"/>
        </w:rPr>
        <w:t>ises</w:t>
      </w:r>
      <w:r w:rsidR="005B7EE7">
        <w:rPr>
          <w:lang w:val="en-GB"/>
        </w:rPr>
        <w:t xml:space="preserve"> when</w:t>
      </w:r>
      <w:r w:rsidRPr="00221992">
        <w:rPr>
          <w:lang w:val="en-GB"/>
        </w:rPr>
        <w:t xml:space="preserve"> in the HTA process price negotiation may occur</w:t>
      </w:r>
      <w:r w:rsidR="003B0748">
        <w:rPr>
          <w:lang w:val="en-GB"/>
        </w:rPr>
        <w:t xml:space="preserve"> in a selection of peer countries</w:t>
      </w:r>
      <w:r w:rsidRPr="00221992">
        <w:rPr>
          <w:lang w:val="en-GB"/>
        </w:rPr>
        <w:t xml:space="preserve">, and whether </w:t>
      </w:r>
      <w:r w:rsidR="003B0748">
        <w:rPr>
          <w:lang w:val="en-GB"/>
        </w:rPr>
        <w:t>such negotiation</w:t>
      </w:r>
      <w:r w:rsidR="003B0748" w:rsidRPr="00221992">
        <w:rPr>
          <w:lang w:val="en-GB"/>
        </w:rPr>
        <w:t xml:space="preserve"> </w:t>
      </w:r>
      <w:r w:rsidRPr="00221992">
        <w:rPr>
          <w:lang w:val="en-GB"/>
        </w:rPr>
        <w:t xml:space="preserve">is conducted by a specific negotiating body or </w:t>
      </w:r>
      <w:r w:rsidR="005B7EE7">
        <w:rPr>
          <w:lang w:val="en-GB"/>
        </w:rPr>
        <w:t xml:space="preserve">as </w:t>
      </w:r>
      <w:r w:rsidRPr="00221992">
        <w:rPr>
          <w:lang w:val="en-GB"/>
        </w:rPr>
        <w:t xml:space="preserve">part of the HTA/listing process. Elaborating on the table, brief descriptions of international negotiation processes </w:t>
      </w:r>
      <w:r w:rsidR="008E2B48">
        <w:rPr>
          <w:lang w:val="en-GB"/>
        </w:rPr>
        <w:t>are then</w:t>
      </w:r>
      <w:r w:rsidRPr="00221992">
        <w:rPr>
          <w:lang w:val="en-GB"/>
        </w:rPr>
        <w:t xml:space="preserve"> described, followed by detailed </w:t>
      </w:r>
      <w:r w:rsidR="008E2B48">
        <w:rPr>
          <w:lang w:val="en-GB"/>
        </w:rPr>
        <w:t xml:space="preserve">illustrative </w:t>
      </w:r>
      <w:r w:rsidRPr="00221992">
        <w:rPr>
          <w:lang w:val="en-GB"/>
        </w:rPr>
        <w:t xml:space="preserve">studies </w:t>
      </w:r>
      <w:r w:rsidR="008E2B48">
        <w:rPr>
          <w:lang w:val="en-GB"/>
        </w:rPr>
        <w:t>in</w:t>
      </w:r>
      <w:r w:rsidR="008E2B48" w:rsidRPr="00221992">
        <w:rPr>
          <w:lang w:val="en-GB"/>
        </w:rPr>
        <w:t xml:space="preserve"> </w:t>
      </w:r>
      <w:r w:rsidRPr="00221992">
        <w:rPr>
          <w:lang w:val="en-GB"/>
        </w:rPr>
        <w:t>German</w:t>
      </w:r>
      <w:r w:rsidR="008E2B48">
        <w:rPr>
          <w:lang w:val="en-GB"/>
        </w:rPr>
        <w:t>y</w:t>
      </w:r>
      <w:r w:rsidRPr="00221992">
        <w:rPr>
          <w:lang w:val="en-GB"/>
        </w:rPr>
        <w:t xml:space="preserve"> and Japan. </w:t>
      </w:r>
    </w:p>
    <w:p w14:paraId="211056AF" w14:textId="14D49449" w:rsidR="00A01509" w:rsidRPr="00221992" w:rsidRDefault="00A01509" w:rsidP="001721AB">
      <w:pPr>
        <w:pStyle w:val="Caption"/>
        <w:rPr>
          <w:lang w:val="en-GB"/>
        </w:rPr>
      </w:pPr>
      <w:bookmarkStart w:id="55" w:name="_Ref155872757"/>
      <w:bookmarkStart w:id="56" w:name="_Toc162950955"/>
      <w:r w:rsidRPr="00221992">
        <w:rPr>
          <w:lang w:val="en-GB"/>
        </w:rPr>
        <w:t xml:space="preserve">Table </w:t>
      </w:r>
      <w:r w:rsidRPr="00221992">
        <w:rPr>
          <w:lang w:val="en-GB"/>
        </w:rPr>
        <w:fldChar w:fldCharType="begin"/>
      </w:r>
      <w:r>
        <w:instrText>SEQ Table \* ARABIC</w:instrText>
      </w:r>
      <w:r w:rsidRPr="00221992">
        <w:rPr>
          <w:lang w:val="en-GB"/>
        </w:rPr>
        <w:fldChar w:fldCharType="separate"/>
      </w:r>
      <w:r w:rsidR="000E11E7">
        <w:rPr>
          <w:noProof/>
        </w:rPr>
        <w:t>8</w:t>
      </w:r>
      <w:r w:rsidRPr="00221992">
        <w:rPr>
          <w:lang w:val="en-GB"/>
        </w:rPr>
        <w:fldChar w:fldCharType="end"/>
      </w:r>
      <w:bookmarkEnd w:id="55"/>
      <w:r w:rsidRPr="00221992">
        <w:rPr>
          <w:lang w:val="en-GB"/>
        </w:rPr>
        <w:t xml:space="preserve">. </w:t>
      </w:r>
      <w:r w:rsidR="004D448D">
        <w:rPr>
          <w:lang w:val="en-GB"/>
        </w:rPr>
        <w:t>Type and timing of n</w:t>
      </w:r>
      <w:r w:rsidR="009B6D42">
        <w:rPr>
          <w:lang w:val="en-GB"/>
        </w:rPr>
        <w:t>ew p</w:t>
      </w:r>
      <w:r w:rsidRPr="00221992">
        <w:rPr>
          <w:lang w:val="en-GB"/>
        </w:rPr>
        <w:t xml:space="preserve">harmaceutical price negotiation </w:t>
      </w:r>
      <w:r w:rsidR="009B6D42">
        <w:rPr>
          <w:lang w:val="en-GB"/>
        </w:rPr>
        <w:t>by country</w:t>
      </w:r>
      <w:bookmarkEnd w:id="56"/>
    </w:p>
    <w:tbl>
      <w:tblPr>
        <w:tblStyle w:val="LinedBlueTable"/>
        <w:tblW w:w="0" w:type="auto"/>
        <w:tblLook w:val="04A0" w:firstRow="1" w:lastRow="0" w:firstColumn="1" w:lastColumn="0" w:noHBand="0" w:noVBand="1"/>
        <w:tblCaption w:val="relationship of new pharmaceutical price negotiation and HTA processes"/>
      </w:tblPr>
      <w:tblGrid>
        <w:gridCol w:w="1871"/>
        <w:gridCol w:w="2206"/>
        <w:gridCol w:w="4427"/>
      </w:tblGrid>
      <w:tr w:rsidR="00D95336" w:rsidRPr="00221992" w14:paraId="62415CA2" w14:textId="77777777" w:rsidTr="00E0176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24" w:type="dxa"/>
            <w:shd w:val="clear" w:color="auto" w:fill="000000" w:themeFill="text1"/>
          </w:tcPr>
          <w:p w14:paraId="57206EBB" w14:textId="77777777" w:rsidR="00D95336" w:rsidRPr="00221992" w:rsidRDefault="00D95336" w:rsidP="006E34EB">
            <w:pPr>
              <w:keepNext/>
              <w:keepLines/>
              <w:spacing w:after="0" w:line="240" w:lineRule="auto"/>
              <w:rPr>
                <w:rFonts w:ascii="Calibri" w:hAnsi="Calibri" w:cs="Calibri"/>
                <w:b/>
                <w:sz w:val="20"/>
                <w:szCs w:val="20"/>
                <w:lang w:val="en-GB"/>
              </w:rPr>
            </w:pPr>
            <w:r w:rsidRPr="00221992">
              <w:rPr>
                <w:rFonts w:ascii="Calibri" w:hAnsi="Calibri" w:cs="Calibri"/>
                <w:b/>
                <w:sz w:val="20"/>
                <w:szCs w:val="20"/>
                <w:lang w:val="en-GB"/>
              </w:rPr>
              <w:t>Country</w:t>
            </w:r>
          </w:p>
        </w:tc>
        <w:tc>
          <w:tcPr>
            <w:tcW w:w="2329" w:type="dxa"/>
            <w:shd w:val="clear" w:color="auto" w:fill="1E8BCD"/>
          </w:tcPr>
          <w:p w14:paraId="1244D8FF" w14:textId="77777777" w:rsidR="00D95336" w:rsidRPr="00221992" w:rsidRDefault="00D95336" w:rsidP="006E34EB">
            <w:pPr>
              <w:keepNext/>
              <w:keepLines/>
              <w:spacing w:after="0" w:line="240" w:lineRule="auto"/>
              <w:cnfStyle w:val="100000000000" w:firstRow="1" w:lastRow="0" w:firstColumn="0" w:lastColumn="0" w:oddVBand="0" w:evenVBand="0" w:oddHBand="0" w:evenHBand="0" w:firstRowFirstColumn="0" w:firstRowLastColumn="0" w:lastRowFirstColumn="0" w:lastRowLastColumn="0"/>
              <w:rPr>
                <w:rFonts w:ascii="Calibri" w:hAnsi="Calibri" w:cs="Calibri"/>
                <w:b/>
                <w:sz w:val="20"/>
                <w:szCs w:val="20"/>
                <w:lang w:val="en-GB"/>
              </w:rPr>
            </w:pPr>
            <w:r w:rsidRPr="00221992">
              <w:rPr>
                <w:rFonts w:ascii="Calibri" w:hAnsi="Calibri" w:cs="Calibri"/>
                <w:b/>
                <w:sz w:val="20"/>
                <w:szCs w:val="20"/>
                <w:lang w:val="en-GB"/>
              </w:rPr>
              <w:t>Timing of price negotiation relative to HTA process</w:t>
            </w:r>
          </w:p>
        </w:tc>
        <w:tc>
          <w:tcPr>
            <w:tcW w:w="4763" w:type="dxa"/>
            <w:shd w:val="clear" w:color="auto" w:fill="1E8BCD"/>
          </w:tcPr>
          <w:p w14:paraId="7645790A" w14:textId="77777777" w:rsidR="00D95336" w:rsidRPr="00221992" w:rsidRDefault="00D95336" w:rsidP="006E34EB">
            <w:pPr>
              <w:keepNext/>
              <w:keepLines/>
              <w:spacing w:after="0" w:line="240" w:lineRule="auto"/>
              <w:cnfStyle w:val="100000000000" w:firstRow="1" w:lastRow="0" w:firstColumn="0" w:lastColumn="0" w:oddVBand="0" w:evenVBand="0" w:oddHBand="0" w:evenHBand="0" w:firstRowFirstColumn="0" w:firstRowLastColumn="0" w:lastRowFirstColumn="0" w:lastRowLastColumn="0"/>
              <w:rPr>
                <w:rFonts w:ascii="Calibri" w:hAnsi="Calibri" w:cs="Calibri"/>
                <w:b/>
                <w:sz w:val="20"/>
                <w:szCs w:val="20"/>
                <w:lang w:val="en-GB"/>
              </w:rPr>
            </w:pPr>
            <w:r w:rsidRPr="00221992">
              <w:rPr>
                <w:rFonts w:ascii="Calibri" w:hAnsi="Calibri" w:cs="Calibri"/>
                <w:b/>
                <w:sz w:val="20"/>
                <w:szCs w:val="20"/>
                <w:lang w:val="en-GB"/>
              </w:rPr>
              <w:t>Price negotiations performed by a purpose-built negotiating body separate to the HTA body</w:t>
            </w:r>
          </w:p>
        </w:tc>
      </w:tr>
      <w:tr w:rsidR="00D95336" w:rsidRPr="00221992" w14:paraId="66971AB9" w14:textId="77777777" w:rsidTr="00E01764">
        <w:tc>
          <w:tcPr>
            <w:cnfStyle w:val="001000000000" w:firstRow="0" w:lastRow="0" w:firstColumn="1" w:lastColumn="0" w:oddVBand="0" w:evenVBand="0" w:oddHBand="0" w:evenHBand="0" w:firstRowFirstColumn="0" w:firstRowLastColumn="0" w:lastRowFirstColumn="0" w:lastRowLastColumn="0"/>
            <w:tcW w:w="1924" w:type="dxa"/>
            <w:shd w:val="clear" w:color="auto" w:fill="1E8BCD"/>
          </w:tcPr>
          <w:p w14:paraId="008B9131" w14:textId="77777777" w:rsidR="00D95336" w:rsidRPr="00221992" w:rsidRDefault="00D95336" w:rsidP="006E34EB">
            <w:pPr>
              <w:keepNext/>
              <w:keepLines/>
              <w:spacing w:after="0" w:line="240" w:lineRule="auto"/>
              <w:rPr>
                <w:sz w:val="20"/>
                <w:szCs w:val="20"/>
                <w:lang w:val="en-GB"/>
              </w:rPr>
            </w:pPr>
            <w:r w:rsidRPr="00221992">
              <w:rPr>
                <w:sz w:val="20"/>
                <w:szCs w:val="20"/>
                <w:lang w:val="en-GB"/>
              </w:rPr>
              <w:t>Australia</w:t>
            </w:r>
          </w:p>
        </w:tc>
        <w:tc>
          <w:tcPr>
            <w:tcW w:w="2329" w:type="dxa"/>
          </w:tcPr>
          <w:p w14:paraId="054DAC38" w14:textId="77777777" w:rsidR="00D95336" w:rsidRPr="00221992" w:rsidRDefault="00D95336" w:rsidP="006E34EB">
            <w:pPr>
              <w:keepNext/>
              <w:keepLines/>
              <w:spacing w:after="0" w:line="240" w:lineRule="auto"/>
              <w:cnfStyle w:val="000000000000" w:firstRow="0" w:lastRow="0" w:firstColumn="0" w:lastColumn="0" w:oddVBand="0" w:evenVBand="0" w:oddHBand="0" w:evenHBand="0" w:firstRowFirstColumn="0" w:firstRowLastColumn="0" w:lastRowFirstColumn="0" w:lastRowLastColumn="0"/>
              <w:rPr>
                <w:sz w:val="20"/>
                <w:szCs w:val="20"/>
                <w:lang w:val="en-GB"/>
              </w:rPr>
            </w:pPr>
            <w:r w:rsidRPr="00221992">
              <w:rPr>
                <w:sz w:val="20"/>
                <w:szCs w:val="20"/>
                <w:lang w:val="en-GB"/>
              </w:rPr>
              <w:t>After HTA decision</w:t>
            </w:r>
          </w:p>
        </w:tc>
        <w:tc>
          <w:tcPr>
            <w:tcW w:w="4763" w:type="dxa"/>
          </w:tcPr>
          <w:p w14:paraId="0FD4824A" w14:textId="531796CF" w:rsidR="00D95336" w:rsidRPr="00221992" w:rsidRDefault="00500722" w:rsidP="006E34EB">
            <w:pPr>
              <w:keepNext/>
              <w:keepLines/>
              <w:spacing w:after="0" w:line="240" w:lineRule="auto"/>
              <w:cnfStyle w:val="000000000000" w:firstRow="0" w:lastRow="0" w:firstColumn="0" w:lastColumn="0" w:oddVBand="0" w:evenVBand="0" w:oddHBand="0" w:evenHBand="0" w:firstRowFirstColumn="0" w:firstRowLastColumn="0" w:lastRowFirstColumn="0" w:lastRowLastColumn="0"/>
              <w:rPr>
                <w:sz w:val="20"/>
                <w:szCs w:val="20"/>
                <w:lang w:val="en-GB"/>
              </w:rPr>
            </w:pPr>
            <w:r w:rsidRPr="00221992">
              <w:rPr>
                <w:sz w:val="20"/>
                <w:szCs w:val="20"/>
                <w:lang w:val="en-GB"/>
              </w:rPr>
              <w:t>No</w:t>
            </w:r>
          </w:p>
        </w:tc>
      </w:tr>
      <w:tr w:rsidR="00D95336" w:rsidRPr="00221992" w14:paraId="6F8E3666" w14:textId="77777777" w:rsidTr="00E0176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24" w:type="dxa"/>
            <w:shd w:val="clear" w:color="auto" w:fill="1E8BCD"/>
          </w:tcPr>
          <w:p w14:paraId="4DE9187D" w14:textId="77777777" w:rsidR="00D95336" w:rsidRPr="00221992" w:rsidRDefault="00D95336" w:rsidP="00E01764">
            <w:pPr>
              <w:spacing w:after="0" w:line="240" w:lineRule="auto"/>
              <w:rPr>
                <w:sz w:val="20"/>
                <w:szCs w:val="20"/>
                <w:lang w:val="en-GB"/>
              </w:rPr>
            </w:pPr>
            <w:r w:rsidRPr="00221992">
              <w:rPr>
                <w:sz w:val="20"/>
                <w:szCs w:val="20"/>
                <w:lang w:val="en-GB"/>
              </w:rPr>
              <w:t>Belgium</w:t>
            </w:r>
          </w:p>
        </w:tc>
        <w:tc>
          <w:tcPr>
            <w:tcW w:w="2329" w:type="dxa"/>
          </w:tcPr>
          <w:p w14:paraId="025D5D83" w14:textId="77777777" w:rsidR="00D95336" w:rsidRPr="00221992" w:rsidRDefault="00D95336" w:rsidP="00E01764">
            <w:pPr>
              <w:spacing w:after="0" w:line="240" w:lineRule="auto"/>
              <w:cnfStyle w:val="000000010000" w:firstRow="0" w:lastRow="0" w:firstColumn="0" w:lastColumn="0" w:oddVBand="0" w:evenVBand="0" w:oddHBand="0" w:evenHBand="1" w:firstRowFirstColumn="0" w:firstRowLastColumn="0" w:lastRowFirstColumn="0" w:lastRowLastColumn="0"/>
              <w:rPr>
                <w:sz w:val="20"/>
                <w:szCs w:val="20"/>
                <w:lang w:val="en-GB"/>
              </w:rPr>
            </w:pPr>
            <w:r w:rsidRPr="00221992">
              <w:rPr>
                <w:sz w:val="20"/>
                <w:szCs w:val="20"/>
                <w:lang w:val="en-GB"/>
              </w:rPr>
              <w:t>Parallel</w:t>
            </w:r>
          </w:p>
        </w:tc>
        <w:tc>
          <w:tcPr>
            <w:tcW w:w="4763" w:type="dxa"/>
          </w:tcPr>
          <w:p w14:paraId="52D925DB" w14:textId="3D929C9E" w:rsidR="00D95336" w:rsidRPr="00221992" w:rsidRDefault="00500722" w:rsidP="00E01764">
            <w:pPr>
              <w:spacing w:after="0" w:line="240" w:lineRule="auto"/>
              <w:cnfStyle w:val="000000010000" w:firstRow="0" w:lastRow="0" w:firstColumn="0" w:lastColumn="0" w:oddVBand="0" w:evenVBand="0" w:oddHBand="0" w:evenHBand="1" w:firstRowFirstColumn="0" w:firstRowLastColumn="0" w:lastRowFirstColumn="0" w:lastRowLastColumn="0"/>
              <w:rPr>
                <w:sz w:val="20"/>
                <w:szCs w:val="20"/>
                <w:lang w:val="en-GB"/>
              </w:rPr>
            </w:pPr>
            <w:r w:rsidRPr="00221992">
              <w:rPr>
                <w:sz w:val="20"/>
                <w:szCs w:val="20"/>
                <w:lang w:val="en-GB"/>
              </w:rPr>
              <w:t>No</w:t>
            </w:r>
          </w:p>
        </w:tc>
      </w:tr>
      <w:tr w:rsidR="00D95336" w:rsidRPr="00221992" w14:paraId="210EA344" w14:textId="77777777" w:rsidTr="00E01764">
        <w:tc>
          <w:tcPr>
            <w:cnfStyle w:val="001000000000" w:firstRow="0" w:lastRow="0" w:firstColumn="1" w:lastColumn="0" w:oddVBand="0" w:evenVBand="0" w:oddHBand="0" w:evenHBand="0" w:firstRowFirstColumn="0" w:firstRowLastColumn="0" w:lastRowFirstColumn="0" w:lastRowLastColumn="0"/>
            <w:tcW w:w="1924" w:type="dxa"/>
            <w:shd w:val="clear" w:color="auto" w:fill="1E8BCD"/>
          </w:tcPr>
          <w:p w14:paraId="3DC9D0DB" w14:textId="77777777" w:rsidR="00D95336" w:rsidRPr="00221992" w:rsidRDefault="00D95336" w:rsidP="00E01764">
            <w:pPr>
              <w:spacing w:after="0" w:line="240" w:lineRule="auto"/>
              <w:rPr>
                <w:sz w:val="20"/>
                <w:szCs w:val="20"/>
                <w:lang w:val="en-GB"/>
              </w:rPr>
            </w:pPr>
            <w:r w:rsidRPr="00221992">
              <w:rPr>
                <w:sz w:val="20"/>
                <w:szCs w:val="20"/>
                <w:lang w:val="en-GB"/>
              </w:rPr>
              <w:t>Canada</w:t>
            </w:r>
          </w:p>
        </w:tc>
        <w:tc>
          <w:tcPr>
            <w:tcW w:w="2329" w:type="dxa"/>
          </w:tcPr>
          <w:p w14:paraId="025E2752" w14:textId="77777777" w:rsidR="00D95336" w:rsidRPr="00221992" w:rsidRDefault="00D95336" w:rsidP="00E01764">
            <w:pPr>
              <w:spacing w:after="0" w:line="240" w:lineRule="auto"/>
              <w:cnfStyle w:val="000000000000" w:firstRow="0" w:lastRow="0" w:firstColumn="0" w:lastColumn="0" w:oddVBand="0" w:evenVBand="0" w:oddHBand="0" w:evenHBand="0" w:firstRowFirstColumn="0" w:firstRowLastColumn="0" w:lastRowFirstColumn="0" w:lastRowLastColumn="0"/>
              <w:rPr>
                <w:sz w:val="20"/>
                <w:szCs w:val="20"/>
                <w:lang w:val="en-GB"/>
              </w:rPr>
            </w:pPr>
            <w:r w:rsidRPr="00221992">
              <w:rPr>
                <w:sz w:val="20"/>
                <w:szCs w:val="20"/>
                <w:lang w:val="en-GB"/>
              </w:rPr>
              <w:t>After HTA decision</w:t>
            </w:r>
          </w:p>
        </w:tc>
        <w:tc>
          <w:tcPr>
            <w:tcW w:w="4763" w:type="dxa"/>
          </w:tcPr>
          <w:p w14:paraId="71172C62" w14:textId="43273FB8" w:rsidR="00D95336" w:rsidRPr="00221992" w:rsidRDefault="00D550BC" w:rsidP="00E01764">
            <w:pPr>
              <w:spacing w:after="0" w:line="240" w:lineRule="auto"/>
              <w:cnfStyle w:val="000000000000" w:firstRow="0" w:lastRow="0" w:firstColumn="0" w:lastColumn="0" w:oddVBand="0" w:evenVBand="0" w:oddHBand="0" w:evenHBand="0" w:firstRowFirstColumn="0" w:firstRowLastColumn="0" w:lastRowFirstColumn="0" w:lastRowLastColumn="0"/>
              <w:rPr>
                <w:sz w:val="20"/>
                <w:szCs w:val="20"/>
                <w:lang w:val="en-GB"/>
              </w:rPr>
            </w:pPr>
            <w:r w:rsidRPr="00221992">
              <w:rPr>
                <w:lang w:val="en-GB"/>
              </w:rPr>
              <w:t xml:space="preserve">Yes: </w:t>
            </w:r>
            <w:r w:rsidR="009418C5" w:rsidRPr="00221992">
              <w:rPr>
                <w:lang w:val="en-GB"/>
              </w:rPr>
              <w:t>Pan-Canadian Pharmaceutical Alliance</w:t>
            </w:r>
          </w:p>
        </w:tc>
      </w:tr>
      <w:tr w:rsidR="00D95336" w:rsidRPr="00221992" w14:paraId="3612BA10" w14:textId="77777777" w:rsidTr="00E0176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24" w:type="dxa"/>
            <w:shd w:val="clear" w:color="auto" w:fill="1E8BCD"/>
          </w:tcPr>
          <w:p w14:paraId="499A3541" w14:textId="6187E686" w:rsidR="00D95336" w:rsidRPr="00221992" w:rsidRDefault="00D95336" w:rsidP="00E01764">
            <w:pPr>
              <w:spacing w:after="0" w:line="240" w:lineRule="auto"/>
              <w:rPr>
                <w:sz w:val="20"/>
                <w:szCs w:val="20"/>
                <w:lang w:val="en-GB"/>
              </w:rPr>
            </w:pPr>
            <w:r w:rsidRPr="00221992">
              <w:rPr>
                <w:sz w:val="20"/>
                <w:szCs w:val="20"/>
                <w:lang w:val="en-GB"/>
              </w:rPr>
              <w:t>England</w:t>
            </w:r>
            <w:r w:rsidR="00213502" w:rsidRPr="00221992">
              <w:rPr>
                <w:sz w:val="20"/>
                <w:szCs w:val="20"/>
                <w:lang w:val="en-GB"/>
              </w:rPr>
              <w:t>/</w:t>
            </w:r>
            <w:r w:rsidRPr="00221992">
              <w:rPr>
                <w:sz w:val="20"/>
                <w:szCs w:val="20"/>
                <w:lang w:val="en-GB"/>
              </w:rPr>
              <w:t>Wales</w:t>
            </w:r>
          </w:p>
        </w:tc>
        <w:tc>
          <w:tcPr>
            <w:tcW w:w="2329" w:type="dxa"/>
          </w:tcPr>
          <w:p w14:paraId="3BF9D861" w14:textId="77777777" w:rsidR="00D95336" w:rsidRPr="00221992" w:rsidRDefault="00D95336" w:rsidP="00E01764">
            <w:pPr>
              <w:spacing w:after="0" w:line="240" w:lineRule="auto"/>
              <w:cnfStyle w:val="000000010000" w:firstRow="0" w:lastRow="0" w:firstColumn="0" w:lastColumn="0" w:oddVBand="0" w:evenVBand="0" w:oddHBand="0" w:evenHBand="1" w:firstRowFirstColumn="0" w:firstRowLastColumn="0" w:lastRowFirstColumn="0" w:lastRowLastColumn="0"/>
              <w:rPr>
                <w:sz w:val="20"/>
                <w:szCs w:val="20"/>
                <w:vertAlign w:val="superscript"/>
                <w:lang w:val="en-GB"/>
              </w:rPr>
            </w:pPr>
            <w:r w:rsidRPr="00221992">
              <w:rPr>
                <w:sz w:val="20"/>
                <w:szCs w:val="20"/>
                <w:lang w:val="en-GB"/>
              </w:rPr>
              <w:t>After HTA decision</w:t>
            </w:r>
            <w:r w:rsidRPr="00221992">
              <w:rPr>
                <w:rFonts w:asciiTheme="majorHAnsi" w:eastAsia="Wingdings" w:hAnsiTheme="majorHAnsi" w:cstheme="majorHAnsi"/>
                <w:sz w:val="20"/>
                <w:szCs w:val="20"/>
                <w:vertAlign w:val="superscript"/>
                <w:lang w:val="en-GB"/>
              </w:rPr>
              <w:t>a</w:t>
            </w:r>
          </w:p>
        </w:tc>
        <w:tc>
          <w:tcPr>
            <w:tcW w:w="4763" w:type="dxa"/>
          </w:tcPr>
          <w:p w14:paraId="7AEECBF0" w14:textId="0DC65728" w:rsidR="00D95336" w:rsidRPr="00A26228" w:rsidRDefault="006F512E" w:rsidP="00E01764">
            <w:pPr>
              <w:spacing w:after="0" w:line="240" w:lineRule="auto"/>
              <w:cnfStyle w:val="000000010000" w:firstRow="0" w:lastRow="0" w:firstColumn="0" w:lastColumn="0" w:oddVBand="0" w:evenVBand="0" w:oddHBand="0" w:evenHBand="1" w:firstRowFirstColumn="0" w:firstRowLastColumn="0" w:lastRowFirstColumn="0" w:lastRowLastColumn="0"/>
              <w:rPr>
                <w:sz w:val="20"/>
                <w:szCs w:val="20"/>
                <w:lang w:val="en-GB"/>
              </w:rPr>
            </w:pPr>
            <w:r>
              <w:rPr>
                <w:sz w:val="20"/>
                <w:szCs w:val="20"/>
                <w:lang w:val="en-GB"/>
              </w:rPr>
              <w:t xml:space="preserve">Yes: </w:t>
            </w:r>
            <w:r w:rsidR="00A26228">
              <w:rPr>
                <w:sz w:val="20"/>
                <w:szCs w:val="20"/>
                <w:lang w:val="en-GB"/>
              </w:rPr>
              <w:t>National Health Service (NHS)</w:t>
            </w:r>
            <w:r w:rsidR="00A26228">
              <w:rPr>
                <w:sz w:val="20"/>
                <w:szCs w:val="20"/>
                <w:vertAlign w:val="superscript"/>
                <w:lang w:val="en-GB"/>
              </w:rPr>
              <w:t>f</w:t>
            </w:r>
          </w:p>
        </w:tc>
      </w:tr>
      <w:tr w:rsidR="00D95336" w:rsidRPr="00221992" w14:paraId="7046AB6B" w14:textId="77777777" w:rsidTr="00E01764">
        <w:tc>
          <w:tcPr>
            <w:cnfStyle w:val="001000000000" w:firstRow="0" w:lastRow="0" w:firstColumn="1" w:lastColumn="0" w:oddVBand="0" w:evenVBand="0" w:oddHBand="0" w:evenHBand="0" w:firstRowFirstColumn="0" w:firstRowLastColumn="0" w:lastRowFirstColumn="0" w:lastRowLastColumn="0"/>
            <w:tcW w:w="1924" w:type="dxa"/>
            <w:shd w:val="clear" w:color="auto" w:fill="1E8BCD"/>
          </w:tcPr>
          <w:p w14:paraId="0778C5AB" w14:textId="77777777" w:rsidR="00D95336" w:rsidRPr="00221992" w:rsidRDefault="00D95336" w:rsidP="00E01764">
            <w:pPr>
              <w:spacing w:after="0" w:line="240" w:lineRule="auto"/>
              <w:rPr>
                <w:sz w:val="20"/>
                <w:szCs w:val="20"/>
                <w:lang w:val="en-GB"/>
              </w:rPr>
            </w:pPr>
            <w:r w:rsidRPr="00221992">
              <w:rPr>
                <w:sz w:val="20"/>
                <w:szCs w:val="20"/>
                <w:lang w:val="en-GB"/>
              </w:rPr>
              <w:t>France</w:t>
            </w:r>
          </w:p>
        </w:tc>
        <w:tc>
          <w:tcPr>
            <w:tcW w:w="2329" w:type="dxa"/>
          </w:tcPr>
          <w:p w14:paraId="3F43DA08" w14:textId="77777777" w:rsidR="00D95336" w:rsidRPr="00221992" w:rsidRDefault="00D95336" w:rsidP="00E01764">
            <w:pPr>
              <w:spacing w:after="0" w:line="240" w:lineRule="auto"/>
              <w:cnfStyle w:val="000000000000" w:firstRow="0" w:lastRow="0" w:firstColumn="0" w:lastColumn="0" w:oddVBand="0" w:evenVBand="0" w:oddHBand="0" w:evenHBand="0" w:firstRowFirstColumn="0" w:firstRowLastColumn="0" w:lastRowFirstColumn="0" w:lastRowLastColumn="0"/>
              <w:rPr>
                <w:sz w:val="20"/>
                <w:szCs w:val="20"/>
                <w:lang w:val="en-GB"/>
              </w:rPr>
            </w:pPr>
            <w:r w:rsidRPr="00221992">
              <w:rPr>
                <w:sz w:val="20"/>
                <w:szCs w:val="20"/>
                <w:lang w:val="en-GB"/>
              </w:rPr>
              <w:t>After HTA decision</w:t>
            </w:r>
          </w:p>
        </w:tc>
        <w:tc>
          <w:tcPr>
            <w:tcW w:w="4763" w:type="dxa"/>
          </w:tcPr>
          <w:p w14:paraId="2910457E" w14:textId="490A9B1E" w:rsidR="00D95336" w:rsidRPr="00221992" w:rsidRDefault="00D550BC" w:rsidP="00E01764">
            <w:pPr>
              <w:spacing w:after="0" w:line="240" w:lineRule="auto"/>
              <w:cnfStyle w:val="000000000000" w:firstRow="0" w:lastRow="0" w:firstColumn="0" w:lastColumn="0" w:oddVBand="0" w:evenVBand="0" w:oddHBand="0" w:evenHBand="0" w:firstRowFirstColumn="0" w:firstRowLastColumn="0" w:lastRowFirstColumn="0" w:lastRowLastColumn="0"/>
              <w:rPr>
                <w:sz w:val="20"/>
                <w:szCs w:val="20"/>
                <w:lang w:val="en-GB"/>
              </w:rPr>
            </w:pPr>
            <w:r w:rsidRPr="00221992">
              <w:rPr>
                <w:lang w:val="en-GB"/>
              </w:rPr>
              <w:t xml:space="preserve">Yes: </w:t>
            </w:r>
            <w:r w:rsidR="000E0E5C" w:rsidRPr="00221992">
              <w:rPr>
                <w:lang w:val="en-GB"/>
              </w:rPr>
              <w:t>Economic Committee of Health Products (CEPS)</w:t>
            </w:r>
          </w:p>
        </w:tc>
      </w:tr>
      <w:tr w:rsidR="00D95336" w:rsidRPr="00221992" w14:paraId="56863F4C" w14:textId="77777777" w:rsidTr="00E0176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24" w:type="dxa"/>
            <w:shd w:val="clear" w:color="auto" w:fill="1E8BCD"/>
          </w:tcPr>
          <w:p w14:paraId="622B0DFF" w14:textId="77777777" w:rsidR="00D95336" w:rsidRPr="00221992" w:rsidRDefault="00D95336" w:rsidP="00E01764">
            <w:pPr>
              <w:spacing w:after="0" w:line="240" w:lineRule="auto"/>
              <w:rPr>
                <w:sz w:val="20"/>
                <w:szCs w:val="20"/>
                <w:lang w:val="en-GB"/>
              </w:rPr>
            </w:pPr>
            <w:r w:rsidRPr="00221992">
              <w:rPr>
                <w:sz w:val="20"/>
                <w:szCs w:val="20"/>
                <w:lang w:val="en-GB"/>
              </w:rPr>
              <w:t>Germany</w:t>
            </w:r>
          </w:p>
        </w:tc>
        <w:tc>
          <w:tcPr>
            <w:tcW w:w="2329" w:type="dxa"/>
          </w:tcPr>
          <w:p w14:paraId="28C4DFA8" w14:textId="77777777" w:rsidR="00D95336" w:rsidRPr="00221992" w:rsidRDefault="00D95336" w:rsidP="00E01764">
            <w:pPr>
              <w:spacing w:after="0" w:line="240" w:lineRule="auto"/>
              <w:cnfStyle w:val="000000010000" w:firstRow="0" w:lastRow="0" w:firstColumn="0" w:lastColumn="0" w:oddVBand="0" w:evenVBand="0" w:oddHBand="0" w:evenHBand="1" w:firstRowFirstColumn="0" w:firstRowLastColumn="0" w:lastRowFirstColumn="0" w:lastRowLastColumn="0"/>
              <w:rPr>
                <w:sz w:val="20"/>
                <w:szCs w:val="20"/>
                <w:lang w:val="en-GB"/>
              </w:rPr>
            </w:pPr>
            <w:r w:rsidRPr="00221992">
              <w:rPr>
                <w:sz w:val="20"/>
                <w:szCs w:val="20"/>
                <w:lang w:val="en-GB"/>
              </w:rPr>
              <w:t>After HTA decision</w:t>
            </w:r>
            <w:r w:rsidRPr="00221992">
              <w:rPr>
                <w:rFonts w:asciiTheme="majorHAnsi" w:eastAsia="Wingdings" w:hAnsiTheme="majorHAnsi" w:cstheme="majorHAnsi"/>
                <w:sz w:val="20"/>
                <w:szCs w:val="20"/>
                <w:vertAlign w:val="superscript"/>
                <w:lang w:val="en-GB"/>
              </w:rPr>
              <w:t>b</w:t>
            </w:r>
          </w:p>
        </w:tc>
        <w:tc>
          <w:tcPr>
            <w:tcW w:w="4763" w:type="dxa"/>
          </w:tcPr>
          <w:p w14:paraId="23C4F8B7" w14:textId="3634B31C" w:rsidR="00D95336" w:rsidRPr="00221992" w:rsidRDefault="00D550BC" w:rsidP="00E01764">
            <w:pPr>
              <w:spacing w:after="0" w:line="240" w:lineRule="auto"/>
              <w:cnfStyle w:val="000000010000" w:firstRow="0" w:lastRow="0" w:firstColumn="0" w:lastColumn="0" w:oddVBand="0" w:evenVBand="0" w:oddHBand="0" w:evenHBand="1" w:firstRowFirstColumn="0" w:firstRowLastColumn="0" w:lastRowFirstColumn="0" w:lastRowLastColumn="0"/>
              <w:rPr>
                <w:sz w:val="20"/>
                <w:szCs w:val="20"/>
                <w:lang w:val="en-GB"/>
              </w:rPr>
            </w:pPr>
            <w:r w:rsidRPr="00221992">
              <w:rPr>
                <w:lang w:val="en-GB"/>
              </w:rPr>
              <w:t xml:space="preserve">Yes: </w:t>
            </w:r>
            <w:r w:rsidR="00694E91" w:rsidRPr="00221992">
              <w:rPr>
                <w:lang w:val="en-GB"/>
              </w:rPr>
              <w:t>National Association of Statutory Health Insurance Funds (</w:t>
            </w:r>
            <w:r w:rsidR="00070D4D" w:rsidRPr="00221992">
              <w:rPr>
                <w:lang w:val="en-GB"/>
              </w:rPr>
              <w:t>GKV-SV</w:t>
            </w:r>
            <w:r w:rsidR="00694E91" w:rsidRPr="00221992">
              <w:rPr>
                <w:lang w:val="en-GB"/>
              </w:rPr>
              <w:t>)</w:t>
            </w:r>
          </w:p>
        </w:tc>
      </w:tr>
      <w:tr w:rsidR="00D95336" w:rsidRPr="00221992" w14:paraId="3F20E2C0" w14:textId="77777777" w:rsidTr="00E01764">
        <w:tc>
          <w:tcPr>
            <w:cnfStyle w:val="001000000000" w:firstRow="0" w:lastRow="0" w:firstColumn="1" w:lastColumn="0" w:oddVBand="0" w:evenVBand="0" w:oddHBand="0" w:evenHBand="0" w:firstRowFirstColumn="0" w:firstRowLastColumn="0" w:lastRowFirstColumn="0" w:lastRowLastColumn="0"/>
            <w:tcW w:w="1924" w:type="dxa"/>
            <w:shd w:val="clear" w:color="auto" w:fill="1E8BCD"/>
          </w:tcPr>
          <w:p w14:paraId="77373700" w14:textId="77777777" w:rsidR="00D95336" w:rsidRPr="00221992" w:rsidRDefault="00D95336" w:rsidP="00E01764">
            <w:pPr>
              <w:spacing w:after="0" w:line="240" w:lineRule="auto"/>
              <w:rPr>
                <w:sz w:val="20"/>
                <w:szCs w:val="20"/>
                <w:lang w:val="en-GB"/>
              </w:rPr>
            </w:pPr>
            <w:r w:rsidRPr="00221992">
              <w:rPr>
                <w:sz w:val="20"/>
                <w:szCs w:val="20"/>
                <w:lang w:val="en-GB"/>
              </w:rPr>
              <w:t>Italy</w:t>
            </w:r>
          </w:p>
        </w:tc>
        <w:tc>
          <w:tcPr>
            <w:tcW w:w="2329" w:type="dxa"/>
          </w:tcPr>
          <w:p w14:paraId="1C45E686" w14:textId="088BCAAC" w:rsidR="00D95336" w:rsidRPr="00221992" w:rsidRDefault="00D95336" w:rsidP="00E01764">
            <w:pPr>
              <w:spacing w:after="0" w:line="240" w:lineRule="auto"/>
              <w:cnfStyle w:val="000000000000" w:firstRow="0" w:lastRow="0" w:firstColumn="0" w:lastColumn="0" w:oddVBand="0" w:evenVBand="0" w:oddHBand="0" w:evenHBand="0" w:firstRowFirstColumn="0" w:firstRowLastColumn="0" w:lastRowFirstColumn="0" w:lastRowLastColumn="0"/>
              <w:rPr>
                <w:sz w:val="20"/>
                <w:szCs w:val="20"/>
                <w:vertAlign w:val="superscript"/>
                <w:lang w:val="en-GB"/>
              </w:rPr>
            </w:pPr>
            <w:r w:rsidRPr="00221992">
              <w:rPr>
                <w:sz w:val="20"/>
                <w:szCs w:val="20"/>
                <w:lang w:val="en-GB"/>
              </w:rPr>
              <w:t>Parallel</w:t>
            </w:r>
            <w:r w:rsidRPr="00221992">
              <w:rPr>
                <w:sz w:val="20"/>
                <w:szCs w:val="20"/>
                <w:vertAlign w:val="superscript"/>
                <w:lang w:val="en-GB"/>
              </w:rPr>
              <w:t>c</w:t>
            </w:r>
          </w:p>
        </w:tc>
        <w:tc>
          <w:tcPr>
            <w:tcW w:w="4763" w:type="dxa"/>
          </w:tcPr>
          <w:p w14:paraId="40A96F55" w14:textId="3B4B2DAF" w:rsidR="00D95336" w:rsidRPr="00221992" w:rsidRDefault="00D550BC" w:rsidP="00E01764">
            <w:pPr>
              <w:spacing w:after="0" w:line="240" w:lineRule="auto"/>
              <w:cnfStyle w:val="000000000000" w:firstRow="0" w:lastRow="0" w:firstColumn="0" w:lastColumn="0" w:oddVBand="0" w:evenVBand="0" w:oddHBand="0" w:evenHBand="0" w:firstRowFirstColumn="0" w:firstRowLastColumn="0" w:lastRowFirstColumn="0" w:lastRowLastColumn="0"/>
              <w:rPr>
                <w:sz w:val="20"/>
                <w:szCs w:val="20"/>
                <w:lang w:val="en-GB"/>
              </w:rPr>
            </w:pPr>
            <w:r w:rsidRPr="00221992">
              <w:rPr>
                <w:lang w:val="en-GB"/>
              </w:rPr>
              <w:t xml:space="preserve">Yes: </w:t>
            </w:r>
            <w:r w:rsidR="00AA4853" w:rsidRPr="00221992">
              <w:rPr>
                <w:lang w:val="en-GB"/>
              </w:rPr>
              <w:t>Pricing and Reimbursement Committee (PRC)</w:t>
            </w:r>
          </w:p>
        </w:tc>
      </w:tr>
      <w:tr w:rsidR="00D95336" w:rsidRPr="00221992" w14:paraId="52CDE899" w14:textId="77777777" w:rsidTr="00E0176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24" w:type="dxa"/>
            <w:shd w:val="clear" w:color="auto" w:fill="1E8BCD"/>
          </w:tcPr>
          <w:p w14:paraId="6BA7B58A" w14:textId="77777777" w:rsidR="00D95336" w:rsidRPr="00221992" w:rsidRDefault="00D95336" w:rsidP="00E01764">
            <w:pPr>
              <w:spacing w:after="0" w:line="240" w:lineRule="auto"/>
              <w:rPr>
                <w:sz w:val="20"/>
                <w:szCs w:val="20"/>
                <w:lang w:val="en-GB"/>
              </w:rPr>
            </w:pPr>
            <w:r w:rsidRPr="00221992">
              <w:rPr>
                <w:sz w:val="20"/>
                <w:szCs w:val="20"/>
                <w:lang w:val="en-GB"/>
              </w:rPr>
              <w:t>Japan</w:t>
            </w:r>
          </w:p>
        </w:tc>
        <w:tc>
          <w:tcPr>
            <w:tcW w:w="2329" w:type="dxa"/>
          </w:tcPr>
          <w:p w14:paraId="1BEC6E83" w14:textId="77777777" w:rsidR="00D95336" w:rsidRPr="00221992" w:rsidRDefault="00D95336" w:rsidP="00E01764">
            <w:pPr>
              <w:spacing w:after="0" w:line="240" w:lineRule="auto"/>
              <w:cnfStyle w:val="000000010000" w:firstRow="0" w:lastRow="0" w:firstColumn="0" w:lastColumn="0" w:oddVBand="0" w:evenVBand="0" w:oddHBand="0" w:evenHBand="1" w:firstRowFirstColumn="0" w:firstRowLastColumn="0" w:lastRowFirstColumn="0" w:lastRowLastColumn="0"/>
              <w:rPr>
                <w:sz w:val="20"/>
                <w:szCs w:val="20"/>
                <w:lang w:val="en-GB"/>
              </w:rPr>
            </w:pPr>
            <w:r w:rsidRPr="00221992">
              <w:rPr>
                <w:sz w:val="20"/>
                <w:szCs w:val="20"/>
                <w:lang w:val="en-GB"/>
              </w:rPr>
              <w:t>Before HTA decision</w:t>
            </w:r>
          </w:p>
        </w:tc>
        <w:tc>
          <w:tcPr>
            <w:tcW w:w="4763" w:type="dxa"/>
          </w:tcPr>
          <w:p w14:paraId="58586956" w14:textId="5BB6E5A8" w:rsidR="00D95336" w:rsidRPr="00221992" w:rsidRDefault="00500722" w:rsidP="00E01764">
            <w:pPr>
              <w:spacing w:after="0" w:line="240" w:lineRule="auto"/>
              <w:cnfStyle w:val="000000010000" w:firstRow="0" w:lastRow="0" w:firstColumn="0" w:lastColumn="0" w:oddVBand="0" w:evenVBand="0" w:oddHBand="0" w:evenHBand="1" w:firstRowFirstColumn="0" w:firstRowLastColumn="0" w:lastRowFirstColumn="0" w:lastRowLastColumn="0"/>
              <w:rPr>
                <w:sz w:val="20"/>
                <w:szCs w:val="20"/>
                <w:lang w:val="en-GB"/>
              </w:rPr>
            </w:pPr>
            <w:r w:rsidRPr="00221992">
              <w:rPr>
                <w:sz w:val="20"/>
                <w:szCs w:val="20"/>
                <w:lang w:val="en-GB"/>
              </w:rPr>
              <w:t>No</w:t>
            </w:r>
          </w:p>
        </w:tc>
      </w:tr>
      <w:tr w:rsidR="00D95336" w:rsidRPr="00221992" w14:paraId="162985F3" w14:textId="77777777" w:rsidTr="00E01764">
        <w:tc>
          <w:tcPr>
            <w:cnfStyle w:val="001000000000" w:firstRow="0" w:lastRow="0" w:firstColumn="1" w:lastColumn="0" w:oddVBand="0" w:evenVBand="0" w:oddHBand="0" w:evenHBand="0" w:firstRowFirstColumn="0" w:firstRowLastColumn="0" w:lastRowFirstColumn="0" w:lastRowLastColumn="0"/>
            <w:tcW w:w="1924" w:type="dxa"/>
            <w:shd w:val="clear" w:color="auto" w:fill="1E8BCD"/>
          </w:tcPr>
          <w:p w14:paraId="4061260D" w14:textId="77777777" w:rsidR="00D95336" w:rsidRPr="00221992" w:rsidRDefault="00D95336" w:rsidP="00E01764">
            <w:pPr>
              <w:spacing w:after="0" w:line="240" w:lineRule="auto"/>
              <w:rPr>
                <w:sz w:val="20"/>
                <w:szCs w:val="20"/>
                <w:lang w:val="en-GB"/>
              </w:rPr>
            </w:pPr>
            <w:r w:rsidRPr="00221992">
              <w:rPr>
                <w:sz w:val="20"/>
                <w:szCs w:val="20"/>
                <w:lang w:val="en-GB"/>
              </w:rPr>
              <w:t>New Zealand</w:t>
            </w:r>
          </w:p>
        </w:tc>
        <w:tc>
          <w:tcPr>
            <w:tcW w:w="2329" w:type="dxa"/>
          </w:tcPr>
          <w:p w14:paraId="69FD8CD9" w14:textId="77777777" w:rsidR="00D95336" w:rsidRPr="00221992" w:rsidRDefault="00D95336" w:rsidP="00E01764">
            <w:pPr>
              <w:spacing w:after="0" w:line="240" w:lineRule="auto"/>
              <w:cnfStyle w:val="000000000000" w:firstRow="0" w:lastRow="0" w:firstColumn="0" w:lastColumn="0" w:oddVBand="0" w:evenVBand="0" w:oddHBand="0" w:evenHBand="0" w:firstRowFirstColumn="0" w:firstRowLastColumn="0" w:lastRowFirstColumn="0" w:lastRowLastColumn="0"/>
              <w:rPr>
                <w:sz w:val="20"/>
                <w:szCs w:val="20"/>
                <w:lang w:val="en-GB"/>
              </w:rPr>
            </w:pPr>
            <w:r w:rsidRPr="00221992">
              <w:rPr>
                <w:sz w:val="20"/>
                <w:szCs w:val="20"/>
                <w:lang w:val="en-GB"/>
              </w:rPr>
              <w:t>After HTA decision</w:t>
            </w:r>
          </w:p>
        </w:tc>
        <w:tc>
          <w:tcPr>
            <w:tcW w:w="4763" w:type="dxa"/>
          </w:tcPr>
          <w:p w14:paraId="3F114FA7" w14:textId="60D7EF24" w:rsidR="00D95336" w:rsidRPr="00221992" w:rsidRDefault="00500722" w:rsidP="00E01764">
            <w:pPr>
              <w:spacing w:after="0" w:line="240" w:lineRule="auto"/>
              <w:cnfStyle w:val="000000000000" w:firstRow="0" w:lastRow="0" w:firstColumn="0" w:lastColumn="0" w:oddVBand="0" w:evenVBand="0" w:oddHBand="0" w:evenHBand="0" w:firstRowFirstColumn="0" w:firstRowLastColumn="0" w:lastRowFirstColumn="0" w:lastRowLastColumn="0"/>
              <w:rPr>
                <w:sz w:val="20"/>
                <w:szCs w:val="20"/>
                <w:lang w:val="en-GB"/>
              </w:rPr>
            </w:pPr>
            <w:r w:rsidRPr="00221992">
              <w:rPr>
                <w:sz w:val="20"/>
                <w:szCs w:val="20"/>
                <w:lang w:val="en-GB"/>
              </w:rPr>
              <w:t>No</w:t>
            </w:r>
          </w:p>
        </w:tc>
      </w:tr>
      <w:tr w:rsidR="00D95336" w:rsidRPr="00221992" w14:paraId="2426C40B" w14:textId="77777777" w:rsidTr="00E0176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24" w:type="dxa"/>
            <w:shd w:val="clear" w:color="auto" w:fill="1E8BCD"/>
          </w:tcPr>
          <w:p w14:paraId="52046B4E" w14:textId="77777777" w:rsidR="00D95336" w:rsidRPr="00221992" w:rsidRDefault="00D95336" w:rsidP="00E01764">
            <w:pPr>
              <w:spacing w:after="0" w:line="240" w:lineRule="auto"/>
              <w:rPr>
                <w:sz w:val="20"/>
                <w:szCs w:val="20"/>
                <w:lang w:val="en-GB"/>
              </w:rPr>
            </w:pPr>
            <w:r w:rsidRPr="00221992">
              <w:rPr>
                <w:sz w:val="20"/>
                <w:szCs w:val="20"/>
                <w:lang w:val="en-GB"/>
              </w:rPr>
              <w:t>Norway</w:t>
            </w:r>
          </w:p>
        </w:tc>
        <w:tc>
          <w:tcPr>
            <w:tcW w:w="2329" w:type="dxa"/>
          </w:tcPr>
          <w:p w14:paraId="0E9579BD" w14:textId="77777777" w:rsidR="00D95336" w:rsidRPr="00221992" w:rsidRDefault="00D95336" w:rsidP="00E01764">
            <w:pPr>
              <w:spacing w:after="0" w:line="240" w:lineRule="auto"/>
              <w:cnfStyle w:val="000000010000" w:firstRow="0" w:lastRow="0" w:firstColumn="0" w:lastColumn="0" w:oddVBand="0" w:evenVBand="0" w:oddHBand="0" w:evenHBand="1" w:firstRowFirstColumn="0" w:firstRowLastColumn="0" w:lastRowFirstColumn="0" w:lastRowLastColumn="0"/>
              <w:rPr>
                <w:sz w:val="20"/>
                <w:szCs w:val="20"/>
                <w:lang w:val="en-GB"/>
              </w:rPr>
            </w:pPr>
            <w:r w:rsidRPr="00221992">
              <w:rPr>
                <w:sz w:val="20"/>
                <w:szCs w:val="20"/>
                <w:lang w:val="en-GB"/>
              </w:rPr>
              <w:t>Parallel</w:t>
            </w:r>
          </w:p>
        </w:tc>
        <w:tc>
          <w:tcPr>
            <w:tcW w:w="4763" w:type="dxa"/>
          </w:tcPr>
          <w:p w14:paraId="176BF871" w14:textId="671F911D" w:rsidR="00D95336" w:rsidRPr="00221992" w:rsidRDefault="00500722" w:rsidP="00E01764">
            <w:pPr>
              <w:spacing w:after="0" w:line="240" w:lineRule="auto"/>
              <w:cnfStyle w:val="000000010000" w:firstRow="0" w:lastRow="0" w:firstColumn="0" w:lastColumn="0" w:oddVBand="0" w:evenVBand="0" w:oddHBand="0" w:evenHBand="1" w:firstRowFirstColumn="0" w:firstRowLastColumn="0" w:lastRowFirstColumn="0" w:lastRowLastColumn="0"/>
              <w:rPr>
                <w:sz w:val="20"/>
                <w:szCs w:val="20"/>
                <w:lang w:val="en-GB"/>
              </w:rPr>
            </w:pPr>
            <w:r w:rsidRPr="00221992">
              <w:rPr>
                <w:sz w:val="20"/>
                <w:szCs w:val="20"/>
                <w:lang w:val="en-GB"/>
              </w:rPr>
              <w:t>No</w:t>
            </w:r>
          </w:p>
        </w:tc>
      </w:tr>
      <w:tr w:rsidR="00D95336" w:rsidRPr="00221992" w14:paraId="3F29BFC7" w14:textId="77777777" w:rsidTr="00E01764">
        <w:tc>
          <w:tcPr>
            <w:cnfStyle w:val="001000000000" w:firstRow="0" w:lastRow="0" w:firstColumn="1" w:lastColumn="0" w:oddVBand="0" w:evenVBand="0" w:oddHBand="0" w:evenHBand="0" w:firstRowFirstColumn="0" w:firstRowLastColumn="0" w:lastRowFirstColumn="0" w:lastRowLastColumn="0"/>
            <w:tcW w:w="1924" w:type="dxa"/>
            <w:shd w:val="clear" w:color="auto" w:fill="1E8BCD"/>
          </w:tcPr>
          <w:p w14:paraId="7E3BAE49" w14:textId="77777777" w:rsidR="00D95336" w:rsidRPr="00221992" w:rsidRDefault="00D95336" w:rsidP="00E01764">
            <w:pPr>
              <w:spacing w:after="0" w:line="240" w:lineRule="auto"/>
              <w:rPr>
                <w:sz w:val="20"/>
                <w:szCs w:val="20"/>
                <w:lang w:val="en-GB"/>
              </w:rPr>
            </w:pPr>
            <w:r w:rsidRPr="00221992">
              <w:rPr>
                <w:sz w:val="20"/>
                <w:szCs w:val="20"/>
                <w:lang w:val="en-GB"/>
              </w:rPr>
              <w:t>Scotland</w:t>
            </w:r>
          </w:p>
        </w:tc>
        <w:tc>
          <w:tcPr>
            <w:tcW w:w="2329" w:type="dxa"/>
          </w:tcPr>
          <w:p w14:paraId="529A33FC" w14:textId="77777777" w:rsidR="00D95336" w:rsidRPr="00221992" w:rsidRDefault="00D95336" w:rsidP="00E01764">
            <w:pPr>
              <w:spacing w:after="0" w:line="240" w:lineRule="auto"/>
              <w:cnfStyle w:val="000000000000" w:firstRow="0" w:lastRow="0" w:firstColumn="0" w:lastColumn="0" w:oddVBand="0" w:evenVBand="0" w:oddHBand="0" w:evenHBand="0" w:firstRowFirstColumn="0" w:firstRowLastColumn="0" w:lastRowFirstColumn="0" w:lastRowLastColumn="0"/>
              <w:rPr>
                <w:sz w:val="20"/>
                <w:szCs w:val="20"/>
                <w:lang w:val="en-GB"/>
              </w:rPr>
            </w:pPr>
            <w:r w:rsidRPr="00221992">
              <w:rPr>
                <w:sz w:val="20"/>
                <w:szCs w:val="20"/>
                <w:lang w:val="en-GB"/>
              </w:rPr>
              <w:t>After HTA decision</w:t>
            </w:r>
          </w:p>
        </w:tc>
        <w:tc>
          <w:tcPr>
            <w:tcW w:w="4763" w:type="dxa"/>
          </w:tcPr>
          <w:p w14:paraId="00C921FE" w14:textId="410EE8AA" w:rsidR="00D95336" w:rsidRPr="00221992" w:rsidRDefault="00500722" w:rsidP="00E01764">
            <w:pPr>
              <w:spacing w:after="0" w:line="240" w:lineRule="auto"/>
              <w:cnfStyle w:val="000000000000" w:firstRow="0" w:lastRow="0" w:firstColumn="0" w:lastColumn="0" w:oddVBand="0" w:evenVBand="0" w:oddHBand="0" w:evenHBand="0" w:firstRowFirstColumn="0" w:firstRowLastColumn="0" w:lastRowFirstColumn="0" w:lastRowLastColumn="0"/>
              <w:rPr>
                <w:sz w:val="20"/>
                <w:szCs w:val="20"/>
                <w:lang w:val="en-GB"/>
              </w:rPr>
            </w:pPr>
            <w:r w:rsidRPr="00221992">
              <w:rPr>
                <w:sz w:val="20"/>
                <w:szCs w:val="20"/>
                <w:lang w:val="en-GB"/>
              </w:rPr>
              <w:t>No</w:t>
            </w:r>
          </w:p>
        </w:tc>
      </w:tr>
      <w:tr w:rsidR="00D95336" w:rsidRPr="00221992" w14:paraId="07E244ED" w14:textId="77777777" w:rsidTr="00E0176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24" w:type="dxa"/>
            <w:shd w:val="clear" w:color="auto" w:fill="1E8BCD"/>
          </w:tcPr>
          <w:p w14:paraId="3FAEF91B" w14:textId="77777777" w:rsidR="00D95336" w:rsidRPr="00221992" w:rsidRDefault="00D95336" w:rsidP="00E01764">
            <w:pPr>
              <w:spacing w:after="0" w:line="240" w:lineRule="auto"/>
              <w:rPr>
                <w:sz w:val="20"/>
                <w:szCs w:val="20"/>
                <w:lang w:val="en-GB"/>
              </w:rPr>
            </w:pPr>
            <w:r w:rsidRPr="00221992">
              <w:rPr>
                <w:sz w:val="20"/>
                <w:szCs w:val="20"/>
                <w:lang w:val="en-GB"/>
              </w:rPr>
              <w:t>Singapore</w:t>
            </w:r>
          </w:p>
        </w:tc>
        <w:tc>
          <w:tcPr>
            <w:tcW w:w="2329" w:type="dxa"/>
          </w:tcPr>
          <w:p w14:paraId="36974E83" w14:textId="77777777" w:rsidR="00D95336" w:rsidRPr="00221992" w:rsidRDefault="00D95336" w:rsidP="00E01764">
            <w:pPr>
              <w:spacing w:after="0" w:line="240" w:lineRule="auto"/>
              <w:cnfStyle w:val="000000010000" w:firstRow="0" w:lastRow="0" w:firstColumn="0" w:lastColumn="0" w:oddVBand="0" w:evenVBand="0" w:oddHBand="0" w:evenHBand="1" w:firstRowFirstColumn="0" w:firstRowLastColumn="0" w:lastRowFirstColumn="0" w:lastRowLastColumn="0"/>
              <w:rPr>
                <w:sz w:val="20"/>
                <w:szCs w:val="20"/>
                <w:lang w:val="en-GB"/>
              </w:rPr>
            </w:pPr>
            <w:r w:rsidRPr="00221992">
              <w:rPr>
                <w:sz w:val="20"/>
                <w:szCs w:val="20"/>
                <w:lang w:val="en-GB"/>
              </w:rPr>
              <w:t>Parallel</w:t>
            </w:r>
          </w:p>
        </w:tc>
        <w:tc>
          <w:tcPr>
            <w:tcW w:w="4763" w:type="dxa"/>
          </w:tcPr>
          <w:p w14:paraId="65ABB8ED" w14:textId="7400A782" w:rsidR="00D95336" w:rsidRPr="00221992" w:rsidRDefault="00500722" w:rsidP="00E01764">
            <w:pPr>
              <w:spacing w:after="0" w:line="240" w:lineRule="auto"/>
              <w:cnfStyle w:val="000000010000" w:firstRow="0" w:lastRow="0" w:firstColumn="0" w:lastColumn="0" w:oddVBand="0" w:evenVBand="0" w:oddHBand="0" w:evenHBand="1" w:firstRowFirstColumn="0" w:firstRowLastColumn="0" w:lastRowFirstColumn="0" w:lastRowLastColumn="0"/>
              <w:rPr>
                <w:sz w:val="20"/>
                <w:szCs w:val="20"/>
                <w:lang w:val="en-GB"/>
              </w:rPr>
            </w:pPr>
            <w:r w:rsidRPr="00221992">
              <w:rPr>
                <w:sz w:val="20"/>
                <w:szCs w:val="20"/>
                <w:lang w:val="en-GB"/>
              </w:rPr>
              <w:t>No</w:t>
            </w:r>
          </w:p>
        </w:tc>
      </w:tr>
      <w:tr w:rsidR="00D95336" w:rsidRPr="00221992" w14:paraId="775E296E" w14:textId="77777777" w:rsidTr="00E01764">
        <w:tc>
          <w:tcPr>
            <w:cnfStyle w:val="001000000000" w:firstRow="0" w:lastRow="0" w:firstColumn="1" w:lastColumn="0" w:oddVBand="0" w:evenVBand="0" w:oddHBand="0" w:evenHBand="0" w:firstRowFirstColumn="0" w:firstRowLastColumn="0" w:lastRowFirstColumn="0" w:lastRowLastColumn="0"/>
            <w:tcW w:w="1924" w:type="dxa"/>
            <w:shd w:val="clear" w:color="auto" w:fill="1E8BCD"/>
          </w:tcPr>
          <w:p w14:paraId="0E7AEFFF" w14:textId="77777777" w:rsidR="00D95336" w:rsidRPr="00221992" w:rsidRDefault="00D95336" w:rsidP="00E01764">
            <w:pPr>
              <w:spacing w:after="0" w:line="240" w:lineRule="auto"/>
              <w:rPr>
                <w:sz w:val="20"/>
                <w:szCs w:val="20"/>
                <w:lang w:val="en-GB"/>
              </w:rPr>
            </w:pPr>
            <w:r w:rsidRPr="00221992">
              <w:rPr>
                <w:sz w:val="20"/>
                <w:szCs w:val="20"/>
                <w:lang w:val="en-GB"/>
              </w:rPr>
              <w:t>South Korea</w:t>
            </w:r>
          </w:p>
        </w:tc>
        <w:tc>
          <w:tcPr>
            <w:tcW w:w="2329" w:type="dxa"/>
          </w:tcPr>
          <w:p w14:paraId="1D55D072" w14:textId="77777777" w:rsidR="00D95336" w:rsidRPr="00221992" w:rsidRDefault="00D95336" w:rsidP="00E01764">
            <w:pPr>
              <w:spacing w:after="0" w:line="240" w:lineRule="auto"/>
              <w:cnfStyle w:val="000000000000" w:firstRow="0" w:lastRow="0" w:firstColumn="0" w:lastColumn="0" w:oddVBand="0" w:evenVBand="0" w:oddHBand="0" w:evenHBand="0" w:firstRowFirstColumn="0" w:firstRowLastColumn="0" w:lastRowFirstColumn="0" w:lastRowLastColumn="0"/>
              <w:rPr>
                <w:sz w:val="20"/>
                <w:szCs w:val="20"/>
                <w:lang w:val="en-GB"/>
              </w:rPr>
            </w:pPr>
            <w:r w:rsidRPr="00221992">
              <w:rPr>
                <w:sz w:val="20"/>
                <w:szCs w:val="20"/>
                <w:lang w:val="en-GB"/>
              </w:rPr>
              <w:t>After HTA decision</w:t>
            </w:r>
          </w:p>
        </w:tc>
        <w:tc>
          <w:tcPr>
            <w:tcW w:w="4763" w:type="dxa"/>
          </w:tcPr>
          <w:p w14:paraId="002A71D8" w14:textId="2DA4E374" w:rsidR="00D95336" w:rsidRPr="00221992" w:rsidRDefault="00D550BC" w:rsidP="00E01764">
            <w:pPr>
              <w:spacing w:after="0" w:line="240" w:lineRule="auto"/>
              <w:cnfStyle w:val="000000000000" w:firstRow="0" w:lastRow="0" w:firstColumn="0" w:lastColumn="0" w:oddVBand="0" w:evenVBand="0" w:oddHBand="0" w:evenHBand="0" w:firstRowFirstColumn="0" w:firstRowLastColumn="0" w:lastRowFirstColumn="0" w:lastRowLastColumn="0"/>
              <w:rPr>
                <w:sz w:val="20"/>
                <w:szCs w:val="20"/>
                <w:lang w:val="en-GB"/>
              </w:rPr>
            </w:pPr>
            <w:r w:rsidRPr="00221992">
              <w:rPr>
                <w:lang w:val="en-GB"/>
              </w:rPr>
              <w:t xml:space="preserve">Yes: </w:t>
            </w:r>
            <w:r w:rsidR="009800D3" w:rsidRPr="00221992">
              <w:rPr>
                <w:lang w:val="en-GB"/>
              </w:rPr>
              <w:t>National Health Insurance Service (NHIS)</w:t>
            </w:r>
          </w:p>
        </w:tc>
      </w:tr>
      <w:tr w:rsidR="00D95336" w:rsidRPr="00221992" w14:paraId="4EA702CE" w14:textId="77777777" w:rsidTr="00E0176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24" w:type="dxa"/>
            <w:shd w:val="clear" w:color="auto" w:fill="1E8BCD"/>
          </w:tcPr>
          <w:p w14:paraId="7268697B" w14:textId="77777777" w:rsidR="00D95336" w:rsidRPr="00221992" w:rsidRDefault="00D95336" w:rsidP="00E01764">
            <w:pPr>
              <w:spacing w:after="0" w:line="240" w:lineRule="auto"/>
              <w:rPr>
                <w:sz w:val="20"/>
                <w:szCs w:val="20"/>
                <w:lang w:val="en-GB"/>
              </w:rPr>
            </w:pPr>
            <w:r w:rsidRPr="00221992">
              <w:rPr>
                <w:sz w:val="20"/>
                <w:szCs w:val="20"/>
                <w:lang w:val="en-GB"/>
              </w:rPr>
              <w:t>Spain</w:t>
            </w:r>
          </w:p>
        </w:tc>
        <w:tc>
          <w:tcPr>
            <w:tcW w:w="2329" w:type="dxa"/>
          </w:tcPr>
          <w:p w14:paraId="2AA379F6" w14:textId="77777777" w:rsidR="00D95336" w:rsidRPr="00221992" w:rsidRDefault="00D95336" w:rsidP="00E01764">
            <w:pPr>
              <w:spacing w:after="0" w:line="240" w:lineRule="auto"/>
              <w:cnfStyle w:val="000000010000" w:firstRow="0" w:lastRow="0" w:firstColumn="0" w:lastColumn="0" w:oddVBand="0" w:evenVBand="0" w:oddHBand="0" w:evenHBand="1" w:firstRowFirstColumn="0" w:firstRowLastColumn="0" w:lastRowFirstColumn="0" w:lastRowLastColumn="0"/>
              <w:rPr>
                <w:sz w:val="20"/>
                <w:szCs w:val="20"/>
                <w:lang w:val="en-GB"/>
              </w:rPr>
            </w:pPr>
            <w:r w:rsidRPr="00221992">
              <w:rPr>
                <w:sz w:val="20"/>
                <w:szCs w:val="20"/>
                <w:lang w:val="en-GB"/>
              </w:rPr>
              <w:t>After HTA decision</w:t>
            </w:r>
          </w:p>
        </w:tc>
        <w:tc>
          <w:tcPr>
            <w:tcW w:w="4763" w:type="dxa"/>
          </w:tcPr>
          <w:p w14:paraId="5C8AA9F5" w14:textId="5C9810F5" w:rsidR="00D95336" w:rsidRPr="00221992" w:rsidRDefault="00500722" w:rsidP="00E01764">
            <w:pPr>
              <w:spacing w:after="0" w:line="240" w:lineRule="auto"/>
              <w:cnfStyle w:val="000000010000" w:firstRow="0" w:lastRow="0" w:firstColumn="0" w:lastColumn="0" w:oddVBand="0" w:evenVBand="0" w:oddHBand="0" w:evenHBand="1" w:firstRowFirstColumn="0" w:firstRowLastColumn="0" w:lastRowFirstColumn="0" w:lastRowLastColumn="0"/>
              <w:rPr>
                <w:sz w:val="20"/>
                <w:szCs w:val="20"/>
                <w:lang w:val="en-GB"/>
              </w:rPr>
            </w:pPr>
            <w:r w:rsidRPr="00221992">
              <w:rPr>
                <w:sz w:val="20"/>
                <w:szCs w:val="20"/>
                <w:lang w:val="en-GB"/>
              </w:rPr>
              <w:t>No</w:t>
            </w:r>
          </w:p>
        </w:tc>
      </w:tr>
      <w:tr w:rsidR="00D95336" w:rsidRPr="00221992" w14:paraId="653E76E0" w14:textId="77777777" w:rsidTr="00E01764">
        <w:tc>
          <w:tcPr>
            <w:cnfStyle w:val="001000000000" w:firstRow="0" w:lastRow="0" w:firstColumn="1" w:lastColumn="0" w:oddVBand="0" w:evenVBand="0" w:oddHBand="0" w:evenHBand="0" w:firstRowFirstColumn="0" w:firstRowLastColumn="0" w:lastRowFirstColumn="0" w:lastRowLastColumn="0"/>
            <w:tcW w:w="1924" w:type="dxa"/>
            <w:shd w:val="clear" w:color="auto" w:fill="1E8BCD"/>
          </w:tcPr>
          <w:p w14:paraId="78237AC4" w14:textId="77777777" w:rsidR="00D95336" w:rsidRPr="00221992" w:rsidRDefault="00D95336" w:rsidP="00E01764">
            <w:pPr>
              <w:spacing w:after="0" w:line="240" w:lineRule="auto"/>
              <w:rPr>
                <w:sz w:val="20"/>
                <w:szCs w:val="20"/>
                <w:lang w:val="en-GB"/>
              </w:rPr>
            </w:pPr>
            <w:r w:rsidRPr="00221992">
              <w:rPr>
                <w:sz w:val="20"/>
                <w:szCs w:val="20"/>
                <w:lang w:val="en-GB"/>
              </w:rPr>
              <w:t>Sweden</w:t>
            </w:r>
          </w:p>
        </w:tc>
        <w:tc>
          <w:tcPr>
            <w:tcW w:w="2329" w:type="dxa"/>
          </w:tcPr>
          <w:p w14:paraId="04299A8E" w14:textId="711E684E" w:rsidR="00D95336" w:rsidRPr="00221992" w:rsidRDefault="00D95336" w:rsidP="00E01764">
            <w:pPr>
              <w:spacing w:after="0" w:line="240" w:lineRule="auto"/>
              <w:cnfStyle w:val="000000000000" w:firstRow="0" w:lastRow="0" w:firstColumn="0" w:lastColumn="0" w:oddVBand="0" w:evenVBand="0" w:oddHBand="0" w:evenHBand="0" w:firstRowFirstColumn="0" w:firstRowLastColumn="0" w:lastRowFirstColumn="0" w:lastRowLastColumn="0"/>
              <w:rPr>
                <w:sz w:val="20"/>
                <w:szCs w:val="20"/>
                <w:lang w:val="en-GB"/>
              </w:rPr>
            </w:pPr>
            <w:r w:rsidRPr="00221992">
              <w:rPr>
                <w:sz w:val="20"/>
                <w:szCs w:val="20"/>
                <w:lang w:val="en-GB"/>
              </w:rPr>
              <w:t>Parallel</w:t>
            </w:r>
            <w:r w:rsidRPr="00221992">
              <w:rPr>
                <w:sz w:val="20"/>
                <w:szCs w:val="20"/>
                <w:vertAlign w:val="superscript"/>
                <w:lang w:val="en-GB"/>
              </w:rPr>
              <w:t>d</w:t>
            </w:r>
          </w:p>
        </w:tc>
        <w:tc>
          <w:tcPr>
            <w:tcW w:w="4763" w:type="dxa"/>
          </w:tcPr>
          <w:p w14:paraId="4B1AFBE6" w14:textId="4470D88B" w:rsidR="00D95336" w:rsidRPr="00221992" w:rsidRDefault="00500722" w:rsidP="00E01764">
            <w:pPr>
              <w:spacing w:after="0" w:line="240" w:lineRule="auto"/>
              <w:cnfStyle w:val="000000000000" w:firstRow="0" w:lastRow="0" w:firstColumn="0" w:lastColumn="0" w:oddVBand="0" w:evenVBand="0" w:oddHBand="0" w:evenHBand="0" w:firstRowFirstColumn="0" w:firstRowLastColumn="0" w:lastRowFirstColumn="0" w:lastRowLastColumn="0"/>
              <w:rPr>
                <w:sz w:val="20"/>
                <w:szCs w:val="20"/>
                <w:lang w:val="en-GB"/>
              </w:rPr>
            </w:pPr>
            <w:r w:rsidRPr="00221992">
              <w:rPr>
                <w:sz w:val="20"/>
                <w:szCs w:val="20"/>
                <w:lang w:val="en-GB"/>
              </w:rPr>
              <w:t>No</w:t>
            </w:r>
          </w:p>
        </w:tc>
      </w:tr>
      <w:tr w:rsidR="00D95336" w:rsidRPr="00221992" w14:paraId="5B58EC4B" w14:textId="77777777" w:rsidTr="00E0176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24" w:type="dxa"/>
            <w:shd w:val="clear" w:color="auto" w:fill="1E8BCD"/>
          </w:tcPr>
          <w:p w14:paraId="286364CA" w14:textId="77777777" w:rsidR="00D95336" w:rsidRPr="00221992" w:rsidRDefault="00D95336" w:rsidP="00E01764">
            <w:pPr>
              <w:spacing w:after="0" w:line="240" w:lineRule="auto"/>
              <w:rPr>
                <w:sz w:val="20"/>
                <w:szCs w:val="20"/>
                <w:lang w:val="en-GB"/>
              </w:rPr>
            </w:pPr>
            <w:r w:rsidRPr="00221992">
              <w:rPr>
                <w:sz w:val="20"/>
                <w:szCs w:val="20"/>
                <w:lang w:val="en-GB"/>
              </w:rPr>
              <w:t>Taiwan</w:t>
            </w:r>
          </w:p>
        </w:tc>
        <w:tc>
          <w:tcPr>
            <w:tcW w:w="2329" w:type="dxa"/>
          </w:tcPr>
          <w:p w14:paraId="081E6510" w14:textId="77777777" w:rsidR="00D95336" w:rsidRPr="00221992" w:rsidRDefault="00D95336" w:rsidP="00E01764">
            <w:pPr>
              <w:spacing w:after="0" w:line="240" w:lineRule="auto"/>
              <w:cnfStyle w:val="000000010000" w:firstRow="0" w:lastRow="0" w:firstColumn="0" w:lastColumn="0" w:oddVBand="0" w:evenVBand="0" w:oddHBand="0" w:evenHBand="1" w:firstRowFirstColumn="0" w:firstRowLastColumn="0" w:lastRowFirstColumn="0" w:lastRowLastColumn="0"/>
              <w:rPr>
                <w:sz w:val="20"/>
                <w:szCs w:val="20"/>
                <w:lang w:val="en-GB"/>
              </w:rPr>
            </w:pPr>
            <w:r w:rsidRPr="00221992">
              <w:rPr>
                <w:sz w:val="20"/>
                <w:szCs w:val="20"/>
                <w:lang w:val="en-GB"/>
              </w:rPr>
              <w:t>After HTA decision</w:t>
            </w:r>
            <w:r w:rsidRPr="00221992">
              <w:rPr>
                <w:sz w:val="20"/>
                <w:szCs w:val="20"/>
                <w:vertAlign w:val="superscript"/>
                <w:lang w:val="en-GB"/>
              </w:rPr>
              <w:t xml:space="preserve"> e</w:t>
            </w:r>
          </w:p>
        </w:tc>
        <w:tc>
          <w:tcPr>
            <w:tcW w:w="4763" w:type="dxa"/>
          </w:tcPr>
          <w:p w14:paraId="1117DBD3" w14:textId="2D4F9958" w:rsidR="00D95336" w:rsidRPr="00221992" w:rsidRDefault="00500722" w:rsidP="00E01764">
            <w:pPr>
              <w:spacing w:after="0" w:line="240" w:lineRule="auto"/>
              <w:cnfStyle w:val="000000010000" w:firstRow="0" w:lastRow="0" w:firstColumn="0" w:lastColumn="0" w:oddVBand="0" w:evenVBand="0" w:oddHBand="0" w:evenHBand="1" w:firstRowFirstColumn="0" w:firstRowLastColumn="0" w:lastRowFirstColumn="0" w:lastRowLastColumn="0"/>
              <w:rPr>
                <w:sz w:val="20"/>
                <w:szCs w:val="20"/>
                <w:lang w:val="en-GB"/>
              </w:rPr>
            </w:pPr>
            <w:r w:rsidRPr="00221992">
              <w:rPr>
                <w:sz w:val="20"/>
                <w:szCs w:val="20"/>
                <w:lang w:val="en-GB"/>
              </w:rPr>
              <w:t>No</w:t>
            </w:r>
          </w:p>
        </w:tc>
      </w:tr>
      <w:tr w:rsidR="00D95336" w:rsidRPr="00221992" w14:paraId="1EB5BBB2" w14:textId="77777777" w:rsidTr="00E01764">
        <w:tc>
          <w:tcPr>
            <w:cnfStyle w:val="001000000000" w:firstRow="0" w:lastRow="0" w:firstColumn="1" w:lastColumn="0" w:oddVBand="0" w:evenVBand="0" w:oddHBand="0" w:evenHBand="0" w:firstRowFirstColumn="0" w:firstRowLastColumn="0" w:lastRowFirstColumn="0" w:lastRowLastColumn="0"/>
            <w:tcW w:w="1924" w:type="dxa"/>
            <w:shd w:val="clear" w:color="auto" w:fill="1E8BCD"/>
          </w:tcPr>
          <w:p w14:paraId="7D6DCD63" w14:textId="77777777" w:rsidR="00D95336" w:rsidRPr="00221992" w:rsidRDefault="00D95336" w:rsidP="00E01764">
            <w:pPr>
              <w:spacing w:after="0" w:line="240" w:lineRule="auto"/>
              <w:rPr>
                <w:sz w:val="20"/>
                <w:szCs w:val="20"/>
                <w:lang w:val="en-GB"/>
              </w:rPr>
            </w:pPr>
            <w:r w:rsidRPr="00221992">
              <w:rPr>
                <w:sz w:val="20"/>
                <w:szCs w:val="20"/>
                <w:lang w:val="en-GB"/>
              </w:rPr>
              <w:t>The Netherlands</w:t>
            </w:r>
          </w:p>
        </w:tc>
        <w:tc>
          <w:tcPr>
            <w:tcW w:w="2329" w:type="dxa"/>
          </w:tcPr>
          <w:p w14:paraId="786D4E7D" w14:textId="77777777" w:rsidR="00D95336" w:rsidRPr="00221992" w:rsidRDefault="00D95336" w:rsidP="00E01764">
            <w:pPr>
              <w:spacing w:after="0" w:line="240" w:lineRule="auto"/>
              <w:cnfStyle w:val="000000000000" w:firstRow="0" w:lastRow="0" w:firstColumn="0" w:lastColumn="0" w:oddVBand="0" w:evenVBand="0" w:oddHBand="0" w:evenHBand="0" w:firstRowFirstColumn="0" w:firstRowLastColumn="0" w:lastRowFirstColumn="0" w:lastRowLastColumn="0"/>
              <w:rPr>
                <w:sz w:val="20"/>
                <w:szCs w:val="20"/>
                <w:lang w:val="en-GB"/>
              </w:rPr>
            </w:pPr>
            <w:r w:rsidRPr="00221992">
              <w:rPr>
                <w:sz w:val="20"/>
                <w:szCs w:val="20"/>
                <w:lang w:val="en-GB"/>
              </w:rPr>
              <w:t>After HTA decision</w:t>
            </w:r>
          </w:p>
        </w:tc>
        <w:tc>
          <w:tcPr>
            <w:tcW w:w="4763" w:type="dxa"/>
          </w:tcPr>
          <w:p w14:paraId="14691776" w14:textId="69D6ECC2" w:rsidR="00D95336" w:rsidRPr="00221992" w:rsidRDefault="00500722" w:rsidP="00E01764">
            <w:pPr>
              <w:spacing w:after="0" w:line="240" w:lineRule="auto"/>
              <w:cnfStyle w:val="000000000000" w:firstRow="0" w:lastRow="0" w:firstColumn="0" w:lastColumn="0" w:oddVBand="0" w:evenVBand="0" w:oddHBand="0" w:evenHBand="0" w:firstRowFirstColumn="0" w:firstRowLastColumn="0" w:lastRowFirstColumn="0" w:lastRowLastColumn="0"/>
              <w:rPr>
                <w:sz w:val="20"/>
                <w:szCs w:val="20"/>
                <w:lang w:val="en-GB"/>
              </w:rPr>
            </w:pPr>
            <w:r w:rsidRPr="00221992">
              <w:rPr>
                <w:sz w:val="20"/>
                <w:szCs w:val="20"/>
                <w:lang w:val="en-GB"/>
              </w:rPr>
              <w:t>No</w:t>
            </w:r>
          </w:p>
        </w:tc>
      </w:tr>
    </w:tbl>
    <w:p w14:paraId="3CEE6D7C" w14:textId="0AA5FB81" w:rsidR="00D95336" w:rsidRPr="00A26228" w:rsidRDefault="00A01509" w:rsidP="00533CF1">
      <w:pPr>
        <w:pStyle w:val="TableNotes"/>
        <w:rPr>
          <w:lang w:val="en-GB"/>
        </w:rPr>
      </w:pPr>
      <w:r w:rsidRPr="00221992">
        <w:rPr>
          <w:lang w:val="en-GB"/>
        </w:rPr>
        <w:t xml:space="preserve">Notes: </w:t>
      </w:r>
      <w:r w:rsidRPr="00221992">
        <w:rPr>
          <w:lang w:val="en-GB"/>
        </w:rPr>
        <w:tab/>
      </w:r>
      <w:r w:rsidR="00D95336" w:rsidRPr="00221992">
        <w:rPr>
          <w:vertAlign w:val="superscript"/>
          <w:lang w:val="en-GB"/>
        </w:rPr>
        <w:t>a</w:t>
      </w:r>
      <w:r w:rsidR="00D95336" w:rsidRPr="00221992">
        <w:rPr>
          <w:lang w:val="en-GB"/>
        </w:rPr>
        <w:t xml:space="preserve"> Products likely to cost the NHS &gt;£20 million in any of the first three years of use must be negotiated prior to NICE</w:t>
      </w:r>
      <w:r w:rsidR="00551786">
        <w:rPr>
          <w:lang w:val="en-GB"/>
        </w:rPr>
        <w:t>’</w:t>
      </w:r>
      <w:r w:rsidR="00D95336" w:rsidRPr="00221992">
        <w:rPr>
          <w:lang w:val="en-GB"/>
        </w:rPr>
        <w:t>s guidance</w:t>
      </w:r>
      <w:r w:rsidRPr="00221992">
        <w:rPr>
          <w:lang w:val="en-GB"/>
        </w:rPr>
        <w:t xml:space="preserve">. </w:t>
      </w:r>
      <w:r w:rsidR="00D95336" w:rsidRPr="00221992">
        <w:rPr>
          <w:vertAlign w:val="superscript"/>
          <w:lang w:val="en-GB"/>
        </w:rPr>
        <w:t xml:space="preserve">b </w:t>
      </w:r>
      <w:r w:rsidR="00D95336" w:rsidRPr="00221992">
        <w:rPr>
          <w:lang w:val="en-GB"/>
        </w:rPr>
        <w:t>Pharmaceutical companies set their own price for their products in the first 6 months prior to HTA recommendations.</w:t>
      </w:r>
      <w:r w:rsidRPr="00221992">
        <w:rPr>
          <w:lang w:val="en-GB"/>
        </w:rPr>
        <w:t xml:space="preserve"> </w:t>
      </w:r>
      <w:r w:rsidR="00D95336" w:rsidRPr="00221992">
        <w:rPr>
          <w:vertAlign w:val="superscript"/>
          <w:lang w:val="en-GB"/>
        </w:rPr>
        <w:t xml:space="preserve">c </w:t>
      </w:r>
      <w:r w:rsidR="00D95336" w:rsidRPr="00221992">
        <w:rPr>
          <w:lang w:val="en-GB"/>
        </w:rPr>
        <w:t>In Italy, drugs may be marketed 60 days after EMA approval, before a price is negotiated.</w:t>
      </w:r>
      <w:r w:rsidRPr="00221992">
        <w:rPr>
          <w:lang w:val="en-GB"/>
        </w:rPr>
        <w:t xml:space="preserve"> </w:t>
      </w:r>
      <w:r w:rsidR="00D95336" w:rsidRPr="00221992">
        <w:rPr>
          <w:vertAlign w:val="superscript"/>
          <w:lang w:val="en-GB"/>
        </w:rPr>
        <w:t>d</w:t>
      </w:r>
      <w:r w:rsidR="00D95336" w:rsidRPr="00221992">
        <w:rPr>
          <w:lang w:val="en-GB"/>
        </w:rPr>
        <w:t xml:space="preserve"> Some regional/country-level negotiations may happen subsequent to the HTA recommendation, noting this system is in flux.</w:t>
      </w:r>
      <w:r w:rsidRPr="00221992">
        <w:rPr>
          <w:lang w:val="en-GB"/>
        </w:rPr>
        <w:t xml:space="preserve"> </w:t>
      </w:r>
      <w:r w:rsidR="00D95336" w:rsidRPr="00221992">
        <w:rPr>
          <w:vertAlign w:val="superscript"/>
          <w:lang w:val="en-GB"/>
        </w:rPr>
        <w:t xml:space="preserve">e </w:t>
      </w:r>
      <w:r w:rsidR="00D95336" w:rsidRPr="00221992">
        <w:rPr>
          <w:lang w:val="en-GB"/>
        </w:rPr>
        <w:t>New drug applications must negotiate and sign a price volume agreement with the NHIA if the new drug expenditure is anticipated to be &gt;NT</w:t>
      </w:r>
      <w:r w:rsidR="007B615A">
        <w:rPr>
          <w:lang w:val="en-GB"/>
        </w:rPr>
        <w:t>D</w:t>
      </w:r>
      <w:r w:rsidR="00D95336" w:rsidRPr="00221992">
        <w:rPr>
          <w:lang w:val="en-GB"/>
        </w:rPr>
        <w:t>$200 million in any one of the 5-year financial forecasts</w:t>
      </w:r>
      <w:r w:rsidR="00E01764" w:rsidRPr="00221992">
        <w:rPr>
          <w:lang w:val="en-GB"/>
        </w:rPr>
        <w:t>.</w:t>
      </w:r>
      <w:r w:rsidR="00A26228">
        <w:rPr>
          <w:lang w:val="en-GB"/>
        </w:rPr>
        <w:t xml:space="preserve"> </w:t>
      </w:r>
      <w:r w:rsidR="00A26228">
        <w:rPr>
          <w:vertAlign w:val="superscript"/>
          <w:lang w:val="en-GB"/>
        </w:rPr>
        <w:t>f</w:t>
      </w:r>
      <w:r w:rsidR="00A26228">
        <w:rPr>
          <w:lang w:val="en-GB"/>
        </w:rPr>
        <w:t xml:space="preserve"> </w:t>
      </w:r>
      <w:r w:rsidR="005A0264" w:rsidRPr="00054D05">
        <w:rPr>
          <w:lang w:val="en-GB"/>
        </w:rPr>
        <w:t xml:space="preserve">The NHS is a comprehensive public health service and not solely focused on price </w:t>
      </w:r>
      <w:r w:rsidR="005A0264">
        <w:rPr>
          <w:lang w:val="en-GB"/>
        </w:rPr>
        <w:t>negotiation.</w:t>
      </w:r>
    </w:p>
    <w:p w14:paraId="360DFFD1" w14:textId="66E9DA48" w:rsidR="001A40D3" w:rsidRDefault="00D95336" w:rsidP="001A40D3">
      <w:pPr>
        <w:rPr>
          <w:lang w:val="en-GB"/>
        </w:rPr>
      </w:pPr>
      <w:r w:rsidRPr="00221992">
        <w:rPr>
          <w:lang w:val="en-GB"/>
        </w:rPr>
        <w:t>In Australia,</w:t>
      </w:r>
      <w:r w:rsidR="00FC4793">
        <w:rPr>
          <w:lang w:val="en-GB"/>
        </w:rPr>
        <w:t xml:space="preserve"> </w:t>
      </w:r>
      <w:r w:rsidR="00337BBE">
        <w:rPr>
          <w:lang w:val="en-GB"/>
        </w:rPr>
        <w:t>the Pharmaceutical Benefits Pricing Authority (PBPA) used to provide recommendations for the pricing of pharmaceutical products, however</w:t>
      </w:r>
      <w:r w:rsidR="000B3C0D">
        <w:rPr>
          <w:lang w:val="en-GB"/>
        </w:rPr>
        <w:t xml:space="preserve"> it ceased </w:t>
      </w:r>
      <w:r w:rsidR="00F86738">
        <w:rPr>
          <w:lang w:val="en-GB"/>
        </w:rPr>
        <w:t xml:space="preserve">operation </w:t>
      </w:r>
      <w:r w:rsidR="000B3C0D">
        <w:rPr>
          <w:lang w:val="en-GB"/>
        </w:rPr>
        <w:t>on 1 April 2014</w:t>
      </w:r>
      <w:r w:rsidR="00B63C21">
        <w:rPr>
          <w:lang w:val="en-GB"/>
        </w:rPr>
        <w:t xml:space="preserve"> </w:t>
      </w:r>
      <w:r w:rsidR="00082203">
        <w:rPr>
          <w:lang w:val="en-GB"/>
        </w:rPr>
        <w:fldChar w:fldCharType="begin"/>
      </w:r>
      <w:r w:rsidR="00243082">
        <w:rPr>
          <w:lang w:val="en-GB"/>
        </w:rPr>
        <w:instrText xml:space="preserve"> ADDIN EN.CITE &lt;EndNote&gt;&lt;Cite&gt;&lt;Author&gt;Department of Health and Aged Care&lt;/Author&gt;&lt;Year&gt;2015&lt;/Year&gt;&lt;RecNum&gt;698&lt;/RecNum&gt;&lt;DisplayText&gt;[27]&lt;/DisplayText&gt;&lt;record&gt;&lt;rec-number&gt;698&lt;/rec-number&gt;&lt;foreign-keys&gt;&lt;key app="EN" db-id="wzwwsfxe4peesxef95cxvrwjxts9rreasarf" timestamp="1699837154"&gt;698&lt;/key&gt;&lt;/foreign-keys&gt;&lt;ref-type name="Web Page"&gt;12&lt;/ref-type&gt;&lt;contributors&gt;&lt;authors&gt;&lt;author&gt;Department of Health and Aged Care,&lt;/author&gt;&lt;/authors&gt;&lt;/contributors&gt;&lt;titles&gt;&lt;title&gt;Pharmaceutical Benefits Pricing Authority Policies, Procedures and Methods&lt;/title&gt;&lt;/titles&gt;&lt;dates&gt;&lt;year&gt;2015&lt;/year&gt;&lt;/dates&gt;&lt;pub-location&gt;Canberra&lt;/pub-location&gt;&lt;publisher&gt;Australian Government, Department of Health and Aged Care&lt;/publisher&gt;&lt;urls&gt;&lt;/urls&gt;&lt;/record&gt;&lt;/Cite&gt;&lt;/EndNote&gt;</w:instrText>
      </w:r>
      <w:r w:rsidR="00082203">
        <w:rPr>
          <w:lang w:val="en-GB"/>
        </w:rPr>
        <w:fldChar w:fldCharType="separate"/>
      </w:r>
      <w:r w:rsidR="00243082">
        <w:rPr>
          <w:noProof/>
          <w:lang w:val="en-GB"/>
        </w:rPr>
        <w:t>[27]</w:t>
      </w:r>
      <w:r w:rsidR="00082203">
        <w:rPr>
          <w:lang w:val="en-GB"/>
        </w:rPr>
        <w:fldChar w:fldCharType="end"/>
      </w:r>
      <w:r w:rsidR="000B3C0D">
        <w:rPr>
          <w:lang w:val="en-GB"/>
        </w:rPr>
        <w:t>. Currently,</w:t>
      </w:r>
      <w:r w:rsidR="001145AB" w:rsidRPr="001145AB">
        <w:t xml:space="preserve"> </w:t>
      </w:r>
      <w:r w:rsidR="001145AB" w:rsidRPr="001145AB">
        <w:rPr>
          <w:lang w:val="en-GB"/>
        </w:rPr>
        <w:t xml:space="preserve">the applicant and </w:t>
      </w:r>
      <w:r w:rsidR="00A96DDC">
        <w:rPr>
          <w:lang w:val="en-GB"/>
        </w:rPr>
        <w:t>D</w:t>
      </w:r>
      <w:r w:rsidR="001145AB" w:rsidRPr="001145AB">
        <w:rPr>
          <w:lang w:val="en-GB"/>
        </w:rPr>
        <w:t xml:space="preserve">epartment </w:t>
      </w:r>
      <w:r w:rsidR="00864585">
        <w:rPr>
          <w:lang w:val="en-GB"/>
        </w:rPr>
        <w:t xml:space="preserve">of </w:t>
      </w:r>
      <w:r w:rsidR="00A96DDC">
        <w:rPr>
          <w:lang w:val="en-GB"/>
        </w:rPr>
        <w:t>H</w:t>
      </w:r>
      <w:r w:rsidR="00864585">
        <w:rPr>
          <w:lang w:val="en-GB"/>
        </w:rPr>
        <w:t xml:space="preserve">ealth and </w:t>
      </w:r>
      <w:r w:rsidR="00A96DDC">
        <w:rPr>
          <w:lang w:val="en-GB"/>
        </w:rPr>
        <w:t>A</w:t>
      </w:r>
      <w:r w:rsidR="00864585">
        <w:rPr>
          <w:lang w:val="en-GB"/>
        </w:rPr>
        <w:t xml:space="preserve">ged </w:t>
      </w:r>
      <w:r w:rsidR="00A96DDC">
        <w:rPr>
          <w:lang w:val="en-GB"/>
        </w:rPr>
        <w:t>C</w:t>
      </w:r>
      <w:r w:rsidR="00864585">
        <w:rPr>
          <w:lang w:val="en-GB"/>
        </w:rPr>
        <w:t xml:space="preserve">are </w:t>
      </w:r>
      <w:r w:rsidR="001145AB" w:rsidRPr="001145AB">
        <w:rPr>
          <w:lang w:val="en-GB"/>
        </w:rPr>
        <w:t>work together regarding the terms of listing within the parameters of the PBAC’s recommendation</w:t>
      </w:r>
      <w:r w:rsidR="001A40D3">
        <w:rPr>
          <w:lang w:val="en-GB"/>
        </w:rPr>
        <w:t xml:space="preserve">. </w:t>
      </w:r>
      <w:r w:rsidR="001A40D3" w:rsidRPr="001A40D3">
        <w:rPr>
          <w:lang w:val="en-GB"/>
        </w:rPr>
        <w:t xml:space="preserve">This step commences once the </w:t>
      </w:r>
      <w:r w:rsidR="005E4164">
        <w:rPr>
          <w:lang w:val="en-GB"/>
        </w:rPr>
        <w:t>D</w:t>
      </w:r>
      <w:r w:rsidR="001A40D3" w:rsidRPr="001A40D3">
        <w:rPr>
          <w:lang w:val="en-GB"/>
        </w:rPr>
        <w:t>epartment has confirmed the submitted pricing offer package is complete and ends when there is agreement to the terms of the listing. The negotiation and agreement step includes:</w:t>
      </w:r>
    </w:p>
    <w:p w14:paraId="573A0227" w14:textId="2BE3030F" w:rsidR="001A40D3" w:rsidRPr="001A40D3" w:rsidRDefault="001A40D3" w:rsidP="00957584">
      <w:pPr>
        <w:pStyle w:val="ListParagraph"/>
        <w:numPr>
          <w:ilvl w:val="0"/>
          <w:numId w:val="70"/>
        </w:numPr>
        <w:rPr>
          <w:lang w:val="en-GB"/>
        </w:rPr>
      </w:pPr>
      <w:r w:rsidRPr="001A40D3">
        <w:rPr>
          <w:lang w:val="en-GB"/>
        </w:rPr>
        <w:t>negotiation of a price;</w:t>
      </w:r>
    </w:p>
    <w:p w14:paraId="677186E7" w14:textId="5C632A3B" w:rsidR="001A40D3" w:rsidRPr="001A40D3" w:rsidRDefault="001A40D3" w:rsidP="00957584">
      <w:pPr>
        <w:pStyle w:val="ListParagraph"/>
        <w:numPr>
          <w:ilvl w:val="0"/>
          <w:numId w:val="70"/>
        </w:numPr>
        <w:rPr>
          <w:lang w:val="en-GB"/>
        </w:rPr>
      </w:pPr>
      <w:r w:rsidRPr="001A40D3">
        <w:rPr>
          <w:lang w:val="en-GB"/>
        </w:rPr>
        <w:t>negotiation of the expected utilisation and financial (</w:t>
      </w:r>
      <w:r w:rsidR="006520F5">
        <w:rPr>
          <w:lang w:val="en-GB"/>
        </w:rPr>
        <w:t xml:space="preserve">i.e., </w:t>
      </w:r>
      <w:r w:rsidRPr="001A40D3">
        <w:rPr>
          <w:lang w:val="en-GB"/>
        </w:rPr>
        <w:t>budget) costs</w:t>
      </w:r>
      <w:r w:rsidR="00112E71">
        <w:rPr>
          <w:lang w:val="en-GB"/>
        </w:rPr>
        <w:t xml:space="preserve"> </w:t>
      </w:r>
      <w:r w:rsidR="00112E71">
        <w:rPr>
          <w:lang w:val="en-GB"/>
        </w:rPr>
        <w:fldChar w:fldCharType="begin"/>
      </w:r>
      <w:r w:rsidR="00112E71">
        <w:rPr>
          <w:lang w:val="en-GB"/>
        </w:rPr>
        <w:instrText xml:space="preserve"> ADDIN EN.CITE &lt;EndNote&gt;&lt;Cite&gt;&lt;Author&gt;Department of Health and Aged Care&lt;/Author&gt;&lt;Year&gt;2023&lt;/Year&gt;&lt;RecNum&gt;699&lt;/RecNum&gt;&lt;DisplayText&gt;[28]&lt;/DisplayText&gt;&lt;record&gt;&lt;rec-number&gt;699&lt;/rec-number&gt;&lt;foreign-keys&gt;&lt;key app="EN" db-id="wzwwsfxe4peesxef95cxvrwjxts9rreasarf" timestamp="1699837253"&gt;699&lt;/key&gt;&lt;/foreign-keys&gt;&lt;ref-type name="Web Page"&gt;12&lt;/ref-type&gt;&lt;contributors&gt;&lt;authors&gt;&lt;author&gt;Department of Health and Aged Care,&lt;/author&gt;&lt;/authors&gt;&lt;/contributors&gt;&lt;titles&gt;&lt;title&gt;8.4 Negotiation and agreement&lt;/title&gt;&lt;/titles&gt;&lt;number&gt;13 November 2-23&lt;/number&gt;&lt;dates&gt;&lt;year&gt;2023&lt;/year&gt;&lt;/dates&gt;&lt;pub-location&gt;Canberra&lt;/pub-location&gt;&lt;publisher&gt;Australian Government, Department of Health and Aged Care&lt;/publisher&gt;&lt;urls&gt;&lt;related-urls&gt;&lt;url&gt;https://www.pbs.gov.au/pbs/industry/listing/procedure-guidance/8-procedures-positive-recommendation-list/8-4-negotiation-and-agreement&lt;/url&gt;&lt;/related-urls&gt;&lt;/urls&gt;&lt;/record&gt;&lt;/Cite&gt;&lt;/EndNote&gt;</w:instrText>
      </w:r>
      <w:r w:rsidR="00112E71">
        <w:rPr>
          <w:lang w:val="en-GB"/>
        </w:rPr>
        <w:fldChar w:fldCharType="separate"/>
      </w:r>
      <w:r w:rsidR="00112E71">
        <w:rPr>
          <w:noProof/>
          <w:lang w:val="en-GB"/>
        </w:rPr>
        <w:t>[28]</w:t>
      </w:r>
      <w:r w:rsidR="00112E71">
        <w:rPr>
          <w:lang w:val="en-GB"/>
        </w:rPr>
        <w:fldChar w:fldCharType="end"/>
      </w:r>
      <w:r w:rsidR="00C34413">
        <w:rPr>
          <w:lang w:val="en-GB"/>
        </w:rPr>
        <w:t>;</w:t>
      </w:r>
    </w:p>
    <w:p w14:paraId="09514BF9" w14:textId="45FA8F57" w:rsidR="001A40D3" w:rsidRPr="001A40D3" w:rsidRDefault="001A40D3" w:rsidP="00957584">
      <w:pPr>
        <w:pStyle w:val="ListParagraph"/>
        <w:numPr>
          <w:ilvl w:val="0"/>
          <w:numId w:val="70"/>
        </w:numPr>
        <w:rPr>
          <w:lang w:val="en-GB"/>
        </w:rPr>
      </w:pPr>
      <w:r w:rsidRPr="001A40D3">
        <w:rPr>
          <w:lang w:val="en-GB"/>
        </w:rPr>
        <w:t>negotiation of a deed of agreement or other documentation relation to a Managed Access Program, risk share arrangement and special pricing arrangement (if required); and</w:t>
      </w:r>
    </w:p>
    <w:p w14:paraId="6ED05D2F" w14:textId="5B35CE51" w:rsidR="001145AB" w:rsidRPr="001A40D3" w:rsidRDefault="001A40D3" w:rsidP="00957584">
      <w:pPr>
        <w:pStyle w:val="ListParagraph"/>
        <w:numPr>
          <w:ilvl w:val="0"/>
          <w:numId w:val="70"/>
        </w:numPr>
        <w:rPr>
          <w:lang w:val="en-GB"/>
        </w:rPr>
      </w:pPr>
      <w:r w:rsidRPr="001A40D3">
        <w:rPr>
          <w:lang w:val="en-GB"/>
        </w:rPr>
        <w:t>finalisation of proposed restriction wording.</w:t>
      </w:r>
    </w:p>
    <w:p w14:paraId="30B2C60C" w14:textId="5105A0D3" w:rsidR="0003446B" w:rsidRPr="0003446B" w:rsidRDefault="00245C05" w:rsidP="0003446B">
      <w:pPr>
        <w:rPr>
          <w:lang w:val="en-GB"/>
        </w:rPr>
      </w:pPr>
      <w:r w:rsidRPr="00245C05">
        <w:rPr>
          <w:lang w:val="en-GB"/>
        </w:rPr>
        <w:t>Once negotiations have been agreed in</w:t>
      </w:r>
      <w:r w:rsidRPr="00245C05">
        <w:rPr>
          <w:rFonts w:ascii="Cambria Math" w:hAnsi="Cambria Math" w:cs="Cambria Math"/>
          <w:lang w:val="en-GB"/>
        </w:rPr>
        <w:t>‑</w:t>
      </w:r>
      <w:r w:rsidRPr="00245C05">
        <w:rPr>
          <w:lang w:val="en-GB"/>
        </w:rPr>
        <w:t xml:space="preserve">principle between the applicant and the </w:t>
      </w:r>
      <w:r w:rsidR="006520F5">
        <w:rPr>
          <w:lang w:val="en-GB"/>
        </w:rPr>
        <w:t>D</w:t>
      </w:r>
      <w:r w:rsidRPr="00245C05">
        <w:rPr>
          <w:lang w:val="en-GB"/>
        </w:rPr>
        <w:t>epartment</w:t>
      </w:r>
      <w:r w:rsidR="0003446B">
        <w:rPr>
          <w:lang w:val="en-GB"/>
        </w:rPr>
        <w:t xml:space="preserve"> and relevant paperwork </w:t>
      </w:r>
      <w:r w:rsidR="006520F5">
        <w:rPr>
          <w:lang w:val="en-GB"/>
        </w:rPr>
        <w:t xml:space="preserve">has been </w:t>
      </w:r>
      <w:r w:rsidR="0003446B">
        <w:rPr>
          <w:lang w:val="en-GB"/>
        </w:rPr>
        <w:t>submitted</w:t>
      </w:r>
      <w:r w:rsidRPr="00245C05">
        <w:rPr>
          <w:lang w:val="en-GB"/>
        </w:rPr>
        <w:t xml:space="preserve">, </w:t>
      </w:r>
      <w:r w:rsidR="006520F5">
        <w:rPr>
          <w:lang w:val="en-GB"/>
        </w:rPr>
        <w:t>G</w:t>
      </w:r>
      <w:r w:rsidR="0003446B" w:rsidRPr="0003446B">
        <w:rPr>
          <w:lang w:val="en-GB"/>
        </w:rPr>
        <w:t xml:space="preserve">overnment processes can commence whilst the </w:t>
      </w:r>
      <w:r w:rsidR="006520F5">
        <w:rPr>
          <w:lang w:val="en-GB"/>
        </w:rPr>
        <w:t>D</w:t>
      </w:r>
      <w:r w:rsidR="0003446B" w:rsidRPr="0003446B">
        <w:rPr>
          <w:lang w:val="en-GB"/>
        </w:rPr>
        <w:t>epartment and the applicant finalise the following in preparation for listing:</w:t>
      </w:r>
    </w:p>
    <w:p w14:paraId="55647986" w14:textId="4AC80E19" w:rsidR="0003446B" w:rsidRPr="0003446B" w:rsidRDefault="0003446B" w:rsidP="00957584">
      <w:pPr>
        <w:pStyle w:val="ListParagraph"/>
        <w:numPr>
          <w:ilvl w:val="0"/>
          <w:numId w:val="71"/>
        </w:numPr>
        <w:rPr>
          <w:lang w:val="en-GB"/>
        </w:rPr>
      </w:pPr>
      <w:r w:rsidRPr="0003446B">
        <w:rPr>
          <w:lang w:val="en-GB"/>
        </w:rPr>
        <w:t>Deed of Agreement (if applicable) to be signed by both parties;</w:t>
      </w:r>
    </w:p>
    <w:p w14:paraId="0A96E83E" w14:textId="7FD57DD1" w:rsidR="0003446B" w:rsidRPr="0003446B" w:rsidRDefault="0003446B" w:rsidP="00957584">
      <w:pPr>
        <w:pStyle w:val="ListParagraph"/>
        <w:numPr>
          <w:ilvl w:val="0"/>
          <w:numId w:val="71"/>
        </w:numPr>
        <w:rPr>
          <w:lang w:val="en-GB"/>
        </w:rPr>
      </w:pPr>
      <w:r w:rsidRPr="0003446B">
        <w:rPr>
          <w:lang w:val="en-GB"/>
        </w:rPr>
        <w:t>Restriction wording finalised; and</w:t>
      </w:r>
    </w:p>
    <w:p w14:paraId="3D108E46" w14:textId="2F98F1A4" w:rsidR="00245C05" w:rsidRPr="0003446B" w:rsidRDefault="0003446B" w:rsidP="00957584">
      <w:pPr>
        <w:pStyle w:val="ListParagraph"/>
        <w:numPr>
          <w:ilvl w:val="0"/>
          <w:numId w:val="71"/>
        </w:numPr>
        <w:rPr>
          <w:lang w:val="en-GB"/>
        </w:rPr>
      </w:pPr>
      <w:r w:rsidRPr="0003446B">
        <w:rPr>
          <w:lang w:val="en-GB"/>
        </w:rPr>
        <w:t>all outstanding cost recovery fees are paid.</w:t>
      </w:r>
      <w:r w:rsidR="00D95336" w:rsidRPr="0003446B">
        <w:rPr>
          <w:lang w:val="en-GB"/>
        </w:rPr>
        <w:t xml:space="preserve"> </w:t>
      </w:r>
    </w:p>
    <w:p w14:paraId="529FC9DB" w14:textId="49DB83BE" w:rsidR="00D95336" w:rsidRPr="00221992" w:rsidRDefault="00D95336" w:rsidP="00702C58">
      <w:pPr>
        <w:rPr>
          <w:lang w:val="en-GB"/>
        </w:rPr>
      </w:pPr>
      <w:r w:rsidRPr="00221992">
        <w:rPr>
          <w:lang w:val="en-GB"/>
        </w:rPr>
        <w:t>In Belgium, pric</w:t>
      </w:r>
      <w:r w:rsidR="006520F5">
        <w:rPr>
          <w:lang w:val="en-GB"/>
        </w:rPr>
        <w:t>e</w:t>
      </w:r>
      <w:r w:rsidRPr="00221992">
        <w:rPr>
          <w:lang w:val="en-GB"/>
        </w:rPr>
        <w:t xml:space="preserve"> negotiations and reimbursement decisions run in parallel; the reimbursement application must be submitted simultaneously with the pricing application.</w:t>
      </w:r>
      <w:r w:rsidR="008A6310">
        <w:rPr>
          <w:lang w:val="en-GB"/>
        </w:rPr>
        <w:t xml:space="preserve"> </w:t>
      </w:r>
      <w:r w:rsidRPr="00221992">
        <w:rPr>
          <w:lang w:val="en-GB"/>
        </w:rPr>
        <w:t>The pricing procedure falls under the responsibility of the Minister of Economic Affairs</w:t>
      </w:r>
      <w:r w:rsidR="006520F5">
        <w:rPr>
          <w:lang w:val="en-GB"/>
        </w:rPr>
        <w:t>, who</w:t>
      </w:r>
      <w:r w:rsidRPr="00221992">
        <w:rPr>
          <w:lang w:val="en-GB"/>
        </w:rPr>
        <w:t xml:space="preserve"> determines the maximum ex-factory price, which forms part of the maximum price charged to patients </w:t>
      </w:r>
      <w:r w:rsidR="006520F5">
        <w:rPr>
          <w:lang w:val="en-GB"/>
        </w:rPr>
        <w:t>(i.e.,</w:t>
      </w:r>
      <w:r w:rsidRPr="00221992">
        <w:rPr>
          <w:lang w:val="en-GB"/>
        </w:rPr>
        <w:t xml:space="preserve"> the </w:t>
      </w:r>
      <w:r w:rsidR="00551786">
        <w:rPr>
          <w:lang w:val="en-GB"/>
        </w:rPr>
        <w:t>‘</w:t>
      </w:r>
      <w:r w:rsidRPr="00221992">
        <w:rPr>
          <w:lang w:val="en-GB"/>
        </w:rPr>
        <w:t>maximum public price</w:t>
      </w:r>
      <w:r w:rsidR="00551786">
        <w:rPr>
          <w:lang w:val="en-GB"/>
        </w:rPr>
        <w:t>’</w:t>
      </w:r>
      <w:r w:rsidR="006520F5">
        <w:rPr>
          <w:lang w:val="en-GB"/>
        </w:rPr>
        <w:t>).</w:t>
      </w:r>
      <w:r w:rsidR="008A6310">
        <w:rPr>
          <w:lang w:val="en-GB"/>
        </w:rPr>
        <w:t xml:space="preserve"> </w:t>
      </w:r>
      <w:r w:rsidRPr="00221992">
        <w:rPr>
          <w:lang w:val="en-GB"/>
        </w:rPr>
        <w:t xml:space="preserve">The maximum public price is the sum of the ex-factory price, </w:t>
      </w:r>
      <w:r w:rsidR="006520F5">
        <w:rPr>
          <w:lang w:val="en-GB"/>
        </w:rPr>
        <w:t>a</w:t>
      </w:r>
      <w:r w:rsidR="006520F5" w:rsidRPr="00221992">
        <w:rPr>
          <w:lang w:val="en-GB"/>
        </w:rPr>
        <w:t xml:space="preserve"> </w:t>
      </w:r>
      <w:r w:rsidRPr="00221992">
        <w:rPr>
          <w:lang w:val="en-GB"/>
        </w:rPr>
        <w:t xml:space="preserve">margin for wholesalers and pharmacists, </w:t>
      </w:r>
      <w:r w:rsidR="006520F5">
        <w:rPr>
          <w:lang w:val="en-GB"/>
        </w:rPr>
        <w:t>a</w:t>
      </w:r>
      <w:r w:rsidR="006520F5" w:rsidRPr="00221992">
        <w:rPr>
          <w:lang w:val="en-GB"/>
        </w:rPr>
        <w:t xml:space="preserve"> </w:t>
      </w:r>
      <w:r w:rsidRPr="00221992">
        <w:rPr>
          <w:lang w:val="en-GB"/>
        </w:rPr>
        <w:t xml:space="preserve">pharmacist </w:t>
      </w:r>
      <w:r w:rsidR="006520F5">
        <w:rPr>
          <w:lang w:val="en-GB"/>
        </w:rPr>
        <w:t xml:space="preserve">dispensing </w:t>
      </w:r>
      <w:r w:rsidRPr="00221992">
        <w:rPr>
          <w:lang w:val="en-GB"/>
        </w:rPr>
        <w:t>fee</w:t>
      </w:r>
      <w:r w:rsidR="006520F5">
        <w:rPr>
          <w:lang w:val="en-GB"/>
        </w:rPr>
        <w:t>,</w:t>
      </w:r>
      <w:r w:rsidRPr="00221992">
        <w:rPr>
          <w:lang w:val="en-GB"/>
        </w:rPr>
        <w:t xml:space="preserve"> and 6% VAT</w:t>
      </w:r>
      <w:r w:rsidR="00F5766F" w:rsidRPr="00221992">
        <w:rPr>
          <w:lang w:val="en-GB"/>
        </w:rPr>
        <w:t xml:space="preserve"> </w:t>
      </w:r>
      <w:r w:rsidRPr="00221992">
        <w:rPr>
          <w:lang w:val="en-GB"/>
        </w:rPr>
        <w:fldChar w:fldCharType="begin"/>
      </w:r>
      <w:r w:rsidR="00112E71">
        <w:rPr>
          <w:lang w:val="en-GB"/>
        </w:rPr>
        <w:instrText xml:space="preserve"> ADDIN EN.CITE &lt;EndNote&gt;&lt;Cite&gt;&lt;Author&gt;Wyckmans&lt;/Author&gt;&lt;Year&gt;2022&lt;/Year&gt;&lt;RecNum&gt;389&lt;/RecNum&gt;&lt;DisplayText&gt;[29]&lt;/DisplayText&gt;&lt;record&gt;&lt;rec-number&gt;389&lt;/rec-number&gt;&lt;foreign-keys&gt;&lt;key app="EN" db-id="wzwwsfxe4peesxef95cxvrwjxts9rreasarf" timestamp="1692654670"&gt;389&lt;/key&gt;&lt;/foreign-keys&gt;&lt;ref-type name="Web Page"&gt;12&lt;/ref-type&gt;&lt;contributors&gt;&lt;authors&gt;&lt;author&gt;Wyckmans, P.&lt;/author&gt;&lt;author&gt;D’herde, M.&lt;/author&gt;&lt;author&gt;Meskens, P.&lt;/author&gt;&lt;/authors&gt;&lt;/contributors&gt;&lt;titles&gt;&lt;title&gt;Pricing &amp;amp; Reimbursement Laws and Regulations 2022 - Belgium&lt;/title&gt;&lt;/titles&gt;&lt;number&gt;23 August 2023&lt;/number&gt;&lt;dates&gt;&lt;year&gt;2022&lt;/year&gt;&lt;/dates&gt;&lt;publisher&gt;pGlobal Legal Insights&lt;/publisher&gt;&lt;urls&gt;&lt;related-urls&gt;&lt;url&gt;https://www.globallegalinsights.com/practice-areas/pricing-and-reimbursement-laws-and-regulations/belgium&lt;/url&gt;&lt;/related-urls&gt;&lt;/urls&gt;&lt;/record&gt;&lt;/Cite&gt;&lt;/EndNote&gt;</w:instrText>
      </w:r>
      <w:r w:rsidRPr="00221992">
        <w:rPr>
          <w:lang w:val="en-GB"/>
        </w:rPr>
        <w:fldChar w:fldCharType="separate"/>
      </w:r>
      <w:r w:rsidR="00112E71">
        <w:rPr>
          <w:noProof/>
          <w:lang w:val="en-GB"/>
        </w:rPr>
        <w:t>[29]</w:t>
      </w:r>
      <w:r w:rsidRPr="00221992">
        <w:rPr>
          <w:lang w:val="en-GB"/>
        </w:rPr>
        <w:fldChar w:fldCharType="end"/>
      </w:r>
      <w:r w:rsidR="00F5766F" w:rsidRPr="00221992">
        <w:rPr>
          <w:lang w:val="en-GB"/>
        </w:rPr>
        <w:t>.</w:t>
      </w:r>
    </w:p>
    <w:p w14:paraId="570FC96C" w14:textId="0A3AD7A1" w:rsidR="00D95336" w:rsidRPr="00221992" w:rsidRDefault="00D95336" w:rsidP="00702C58">
      <w:pPr>
        <w:rPr>
          <w:lang w:val="en-GB"/>
        </w:rPr>
      </w:pPr>
      <w:r w:rsidRPr="00221992">
        <w:rPr>
          <w:lang w:val="en-GB"/>
        </w:rPr>
        <w:t>In Canada, following a positive recommendation from CADTH, pharmaceutical manufacturers look to be invited into the federal, provincial (including Quebec) and territorial governments</w:t>
      </w:r>
      <w:r w:rsidR="00551786">
        <w:rPr>
          <w:lang w:val="en-GB"/>
        </w:rPr>
        <w:t>’</w:t>
      </w:r>
      <w:r w:rsidRPr="00221992">
        <w:rPr>
          <w:lang w:val="en-GB"/>
        </w:rPr>
        <w:t xml:space="preserve"> collective price negotiating process, known as the pan-Canadian </w:t>
      </w:r>
      <w:r w:rsidR="007B235E" w:rsidRPr="00221992">
        <w:rPr>
          <w:lang w:val="en-GB"/>
        </w:rPr>
        <w:t>Pharmaceutical</w:t>
      </w:r>
      <w:r w:rsidRPr="00221992">
        <w:rPr>
          <w:lang w:val="en-GB"/>
        </w:rPr>
        <w:t xml:space="preserve"> Alliance. If a price agreement is reached, a letter of intent (LOI) is signed that implies the drug will be listed in any subsequent agreement with drug plans with an established price and listing criteria. The negotiation process and agreement terms are not publicly available</w:t>
      </w:r>
      <w:r w:rsidR="00F5766F" w:rsidRPr="00221992">
        <w:rPr>
          <w:lang w:val="en-GB"/>
        </w:rPr>
        <w:t xml:space="preserve"> </w:t>
      </w:r>
      <w:r w:rsidRPr="00221992">
        <w:rPr>
          <w:lang w:val="en-GB"/>
        </w:rPr>
        <w:fldChar w:fldCharType="begin"/>
      </w:r>
      <w:r w:rsidR="00112E71">
        <w:rPr>
          <w:lang w:val="en-GB"/>
        </w:rPr>
        <w:instrText xml:space="preserve"> ADDIN EN.CITE &lt;EndNote&gt;&lt;Cite&gt;&lt;Author&gt;pan-Canadian Pharmaceutical Alliance (pCPA)&lt;/Author&gt;&lt;Year&gt;2019&lt;/Year&gt;&lt;RecNum&gt;9&lt;/RecNum&gt;&lt;DisplayText&gt;[30]&lt;/DisplayText&gt;&lt;record&gt;&lt;rec-number&gt;9&lt;/rec-number&gt;&lt;foreign-keys&gt;&lt;key app="EN" db-id="wzwwsfxe4peesxef95cxvrwjxts9rreasarf" timestamp="1692654670"&gt;9&lt;/key&gt;&lt;/foreign-keys&gt;&lt;ref-type name="Web Page"&gt;12&lt;/ref-type&gt;&lt;contributors&gt;&lt;authors&gt;&lt;author&gt;pan-Canadian Pharmaceutical Alliance (pCPA),&lt;/author&gt;&lt;/authors&gt;&lt;/contributors&gt;&lt;titles&gt;&lt;title&gt;pCPA Brand Process Guidelines&lt;/title&gt;&lt;/titles&gt;&lt;number&gt;23 August 2023&lt;/number&gt;&lt;dates&gt;&lt;year&gt;2019&lt;/year&gt;&lt;/dates&gt;&lt;pub-location&gt;Ontario&lt;/pub-location&gt;&lt;publisher&gt;pan-Canadian Pharmaceutical Alliance&lt;/publisher&gt;&lt;urls&gt;&lt;related-urls&gt;&lt;url&gt;https://www.pcpacanada.ca/sites/default/files/aoda/pCPA_Brand_Process_Guidelines_EN_FINAL-s.pdf&lt;/url&gt;&lt;/related-urls&gt;&lt;/urls&gt;&lt;/record&gt;&lt;/Cite&gt;&lt;/EndNote&gt;</w:instrText>
      </w:r>
      <w:r w:rsidRPr="00221992">
        <w:rPr>
          <w:lang w:val="en-GB"/>
        </w:rPr>
        <w:fldChar w:fldCharType="separate"/>
      </w:r>
      <w:r w:rsidR="00112E71">
        <w:rPr>
          <w:noProof/>
          <w:lang w:val="en-GB"/>
        </w:rPr>
        <w:t>[30]</w:t>
      </w:r>
      <w:r w:rsidRPr="00221992">
        <w:rPr>
          <w:lang w:val="en-GB"/>
        </w:rPr>
        <w:fldChar w:fldCharType="end"/>
      </w:r>
      <w:r w:rsidR="00F5766F" w:rsidRPr="00221992">
        <w:rPr>
          <w:lang w:val="en-GB"/>
        </w:rPr>
        <w:t>.</w:t>
      </w:r>
      <w:r w:rsidRPr="00221992">
        <w:rPr>
          <w:lang w:val="en-GB"/>
        </w:rPr>
        <w:t xml:space="preserve"> </w:t>
      </w:r>
    </w:p>
    <w:p w14:paraId="13AF1F89" w14:textId="74B16DC8" w:rsidR="00D95336" w:rsidRPr="00221992" w:rsidRDefault="00D95336" w:rsidP="00702C58">
      <w:pPr>
        <w:rPr>
          <w:lang w:val="en-GB"/>
        </w:rPr>
      </w:pPr>
      <w:r w:rsidRPr="00221992">
        <w:rPr>
          <w:lang w:val="en-GB"/>
        </w:rPr>
        <w:t>In England</w:t>
      </w:r>
      <w:r w:rsidR="00213502" w:rsidRPr="00221992">
        <w:rPr>
          <w:lang w:val="en-GB"/>
        </w:rPr>
        <w:t>/</w:t>
      </w:r>
      <w:r w:rsidRPr="00221992">
        <w:rPr>
          <w:lang w:val="en-GB"/>
        </w:rPr>
        <w:t xml:space="preserve">Wales, </w:t>
      </w:r>
      <w:r w:rsidR="004A2115" w:rsidRPr="00221992">
        <w:rPr>
          <w:lang w:val="en-GB"/>
        </w:rPr>
        <w:t xml:space="preserve">published advice indicates that </w:t>
      </w:r>
      <w:r w:rsidRPr="00221992">
        <w:rPr>
          <w:lang w:val="en-GB"/>
        </w:rPr>
        <w:t xml:space="preserve">NICE does not perform </w:t>
      </w:r>
      <w:r w:rsidR="004022CE">
        <w:rPr>
          <w:lang w:val="en-GB"/>
        </w:rPr>
        <w:t xml:space="preserve">price </w:t>
      </w:r>
      <w:r w:rsidRPr="00221992">
        <w:rPr>
          <w:lang w:val="en-GB"/>
        </w:rPr>
        <w:t>negotiations</w:t>
      </w:r>
      <w:r w:rsidR="004022CE">
        <w:rPr>
          <w:lang w:val="en-GB"/>
        </w:rPr>
        <w:t>;</w:t>
      </w:r>
      <w:r w:rsidRPr="00221992">
        <w:rPr>
          <w:lang w:val="en-GB"/>
        </w:rPr>
        <w:t xml:space="preserve"> however product</w:t>
      </w:r>
      <w:r w:rsidR="004022CE">
        <w:rPr>
          <w:lang w:val="en-GB"/>
        </w:rPr>
        <w:t>s</w:t>
      </w:r>
      <w:r w:rsidRPr="00221992">
        <w:rPr>
          <w:lang w:val="en-GB"/>
        </w:rPr>
        <w:t xml:space="preserve"> that </w:t>
      </w:r>
      <w:r w:rsidR="004022CE">
        <w:rPr>
          <w:lang w:val="en-GB"/>
        </w:rPr>
        <w:t>are</w:t>
      </w:r>
      <w:r w:rsidR="004022CE" w:rsidRPr="00221992">
        <w:rPr>
          <w:lang w:val="en-GB"/>
        </w:rPr>
        <w:t xml:space="preserve"> </w:t>
      </w:r>
      <w:r w:rsidRPr="00221992">
        <w:rPr>
          <w:lang w:val="en-GB"/>
        </w:rPr>
        <w:t xml:space="preserve">likely to cost the NHS more than £20 million in any of the first three years of use </w:t>
      </w:r>
      <w:r w:rsidR="004022CE">
        <w:rPr>
          <w:lang w:val="en-GB"/>
        </w:rPr>
        <w:t>are</w:t>
      </w:r>
      <w:r w:rsidRPr="00221992">
        <w:rPr>
          <w:lang w:val="en-GB"/>
        </w:rPr>
        <w:t xml:space="preserve"> subject to negotiations between supplier</w:t>
      </w:r>
      <w:r w:rsidR="004022CE">
        <w:rPr>
          <w:lang w:val="en-GB"/>
        </w:rPr>
        <w:t>s</w:t>
      </w:r>
      <w:r w:rsidRPr="00221992">
        <w:rPr>
          <w:lang w:val="en-GB"/>
        </w:rPr>
        <w:t xml:space="preserve"> and the NHS to bring overall cost</w:t>
      </w:r>
      <w:r w:rsidR="004022CE">
        <w:rPr>
          <w:lang w:val="en-GB"/>
        </w:rPr>
        <w:t>s</w:t>
      </w:r>
      <w:r w:rsidRPr="00221992">
        <w:rPr>
          <w:lang w:val="en-GB"/>
        </w:rPr>
        <w:t xml:space="preserve"> down before a positive NICE recommendation.</w:t>
      </w:r>
      <w:r w:rsidR="008A6310">
        <w:rPr>
          <w:lang w:val="en-GB"/>
        </w:rPr>
        <w:t xml:space="preserve"> </w:t>
      </w:r>
      <w:r w:rsidRPr="00221992">
        <w:rPr>
          <w:lang w:val="en-GB"/>
        </w:rPr>
        <w:t>If negotiations are unsuccessful, the NHS may apply to NICE to delay funding the product by up to three years, or longer in exceptional cases</w:t>
      </w:r>
      <w:r w:rsidR="00F5766F" w:rsidRPr="00221992">
        <w:rPr>
          <w:lang w:val="en-GB"/>
        </w:rPr>
        <w:t xml:space="preserve"> </w:t>
      </w:r>
      <w:r w:rsidRPr="00221992">
        <w:rPr>
          <w:lang w:val="en-GB"/>
        </w:rPr>
        <w:fldChar w:fldCharType="begin"/>
      </w:r>
      <w:r w:rsidR="00112E71">
        <w:rPr>
          <w:lang w:val="en-GB"/>
        </w:rPr>
        <w:instrText xml:space="preserve"> ADDIN EN.CITE &lt;EndNote&gt;&lt;Cite&gt;&lt;Author&gt;Castle&lt;/Author&gt;&lt;Year&gt;2022&lt;/Year&gt;&lt;RecNum&gt;185&lt;/RecNum&gt;&lt;DisplayText&gt;[31]&lt;/DisplayText&gt;&lt;record&gt;&lt;rec-number&gt;185&lt;/rec-number&gt;&lt;foreign-keys&gt;&lt;key app="EN" db-id="wzwwsfxe4peesxef95cxvrwjxts9rreasarf" timestamp="1692654670"&gt;185&lt;/key&gt;&lt;/foreign-keys&gt;&lt;ref-type name="Web Page"&gt;12&lt;/ref-type&gt;&lt;contributors&gt;&lt;authors&gt;&lt;author&gt;Castle, G.&lt;/author&gt;&lt;author&gt;Kelly, B.&lt;/author&gt;&lt;author&gt;Gathan, R.&lt;/author&gt;&lt;/authors&gt;&lt;/contributors&gt;&lt;titles&gt;&lt;title&gt;Pricing &amp;amp; Reimbursement Laws and Regulations 2022 - United Kingdom&lt;/title&gt;&lt;/titles&gt;&lt;number&gt;23 August 2023&lt;/number&gt;&lt;dates&gt;&lt;year&gt;2022&lt;/year&gt;&lt;/dates&gt;&lt;publisher&gt;Global Legal Insights&lt;/publisher&gt;&lt;urls&gt;&lt;related-urls&gt;&lt;url&gt;https://www.globallegalinsights.com/practice-areas/pricing-and-reimbursement-laws-and-regulations/united-kingdom&lt;/url&gt;&lt;/related-urls&gt;&lt;/urls&gt;&lt;/record&gt;&lt;/Cite&gt;&lt;/EndNote&gt;</w:instrText>
      </w:r>
      <w:r w:rsidRPr="00221992">
        <w:rPr>
          <w:lang w:val="en-GB"/>
        </w:rPr>
        <w:fldChar w:fldCharType="separate"/>
      </w:r>
      <w:r w:rsidR="00112E71">
        <w:rPr>
          <w:noProof/>
          <w:lang w:val="en-GB"/>
        </w:rPr>
        <w:t>[31]</w:t>
      </w:r>
      <w:r w:rsidRPr="00221992">
        <w:rPr>
          <w:lang w:val="en-GB"/>
        </w:rPr>
        <w:fldChar w:fldCharType="end"/>
      </w:r>
      <w:r w:rsidR="00F5766F" w:rsidRPr="00221992">
        <w:rPr>
          <w:lang w:val="en-GB"/>
        </w:rPr>
        <w:t>.</w:t>
      </w:r>
      <w:r w:rsidRPr="00221992">
        <w:rPr>
          <w:lang w:val="en-GB"/>
        </w:rPr>
        <w:t xml:space="preserve"> </w:t>
      </w:r>
      <w:r w:rsidR="004A2115" w:rsidRPr="00221992">
        <w:rPr>
          <w:lang w:val="en-GB"/>
        </w:rPr>
        <w:t xml:space="preserve">In Scotland, the SMC cannot negotiate the price regulation schemes but </w:t>
      </w:r>
      <w:r w:rsidR="004022CE">
        <w:rPr>
          <w:lang w:val="en-GB"/>
        </w:rPr>
        <w:t>does</w:t>
      </w:r>
      <w:r w:rsidR="004A2115" w:rsidRPr="00221992">
        <w:rPr>
          <w:lang w:val="en-GB"/>
        </w:rPr>
        <w:t xml:space="preserve"> control what it is willing to pay for medicines </w:t>
      </w:r>
      <w:r w:rsidR="004A2115" w:rsidRPr="00221992">
        <w:rPr>
          <w:lang w:val="en-GB"/>
        </w:rPr>
        <w:fldChar w:fldCharType="begin"/>
      </w:r>
      <w:r w:rsidR="00112E71">
        <w:rPr>
          <w:lang w:val="en-GB"/>
        </w:rPr>
        <w:instrText xml:space="preserve"> ADDIN EN.CITE &lt;EndNote&gt;&lt;Cite&gt;&lt;Author&gt;Robson&lt;/Author&gt;&lt;Year&gt;2020&lt;/Year&gt;&lt;RecNum&gt;408&lt;/RecNum&gt;&lt;DisplayText&gt;[32]&lt;/DisplayText&gt;&lt;record&gt;&lt;rec-number&gt;408&lt;/rec-number&gt;&lt;foreign-keys&gt;&lt;key app="EN" db-id="wzwwsfxe4peesxef95cxvrwjxts9rreasarf" timestamp="1692654670"&gt;408&lt;/key&gt;&lt;/foreign-keys&gt;&lt;ref-type name="Government Document"&gt;46&lt;/ref-type&gt;&lt;contributors&gt;&lt;authors&gt;&lt;author&gt;Kathleen Robson&lt;/author&gt;&lt;/authors&gt;&lt;/contributors&gt;&lt;titles&gt;&lt;title&gt;Medicines in Scotland&lt;/title&gt;&lt;/titles&gt;&lt;dates&gt;&lt;year&gt;2020&lt;/year&gt;&lt;/dates&gt;&lt;publisher&gt;The Scottish Parliament&lt;/publisher&gt;&lt;urls&gt;&lt;related-urls&gt;&lt;url&gt;https://digitalpublications.parliament.scot/ResearchBriefings/Report/2020/1/16/Medicines-in-Scotland-1&lt;/url&gt;&lt;/related-urls&gt;&lt;/urls&gt;&lt;/record&gt;&lt;/Cite&gt;&lt;/EndNote&gt;</w:instrText>
      </w:r>
      <w:r w:rsidR="004A2115" w:rsidRPr="00221992">
        <w:rPr>
          <w:lang w:val="en-GB"/>
        </w:rPr>
        <w:fldChar w:fldCharType="separate"/>
      </w:r>
      <w:r w:rsidR="00112E71">
        <w:rPr>
          <w:noProof/>
          <w:lang w:val="en-GB"/>
        </w:rPr>
        <w:t>[32]</w:t>
      </w:r>
      <w:r w:rsidR="004A2115" w:rsidRPr="00221992">
        <w:rPr>
          <w:lang w:val="en-GB"/>
        </w:rPr>
        <w:fldChar w:fldCharType="end"/>
      </w:r>
      <w:r w:rsidR="004A2115" w:rsidRPr="00221992">
        <w:rPr>
          <w:lang w:val="en-GB"/>
        </w:rPr>
        <w:t>.</w:t>
      </w:r>
    </w:p>
    <w:p w14:paraId="40598271" w14:textId="46CCB2CC" w:rsidR="00D95336" w:rsidRPr="00221992" w:rsidRDefault="00D95336" w:rsidP="00702C58">
      <w:pPr>
        <w:rPr>
          <w:lang w:val="en-GB"/>
        </w:rPr>
      </w:pPr>
      <w:r w:rsidRPr="00221992">
        <w:rPr>
          <w:lang w:val="en-GB"/>
        </w:rPr>
        <w:t>In France</w:t>
      </w:r>
      <w:r w:rsidR="004022CE">
        <w:rPr>
          <w:lang w:val="en-GB"/>
        </w:rPr>
        <w:t>,</w:t>
      </w:r>
      <w:r w:rsidRPr="00221992">
        <w:rPr>
          <w:lang w:val="en-GB"/>
        </w:rPr>
        <w:t xml:space="preserve"> the improvement in therapeutic benefit (French High Authority of Health Scale, ASMR) is measured on a scale of ASMR I (Major</w:t>
      </w:r>
      <w:r w:rsidR="004A2115" w:rsidRPr="00221992">
        <w:rPr>
          <w:lang w:val="en-GB"/>
        </w:rPr>
        <w:t xml:space="preserve"> improvement</w:t>
      </w:r>
      <w:r w:rsidRPr="00221992">
        <w:rPr>
          <w:lang w:val="en-GB"/>
        </w:rPr>
        <w:t>) to ASMR V (no clinical improvement)</w:t>
      </w:r>
      <w:r w:rsidR="00EF7B71">
        <w:rPr>
          <w:lang w:val="en-GB"/>
        </w:rPr>
        <w:t xml:space="preserve"> </w:t>
      </w:r>
      <w:r w:rsidRPr="00221992">
        <w:rPr>
          <w:lang w:val="en-GB"/>
        </w:rPr>
        <w:fldChar w:fldCharType="begin"/>
      </w:r>
      <w:r w:rsidR="005A67DD">
        <w:instrText xml:space="preserve"> ADDIN EN.CITE &lt;EndNote&gt;&lt;Cite&gt;&lt;Author&gt;Haute Autorité de Santé&lt;/Author&gt;&lt;Year&gt;2014&lt;/Year&gt;&lt;RecNum&gt;416&lt;/RecNum&gt;&lt;DisplayText&gt;[14]&lt;/DisplayText&gt;&lt;record&gt;&lt;rec-number&gt;416&lt;/rec-number&gt;&lt;foreign-keys&gt;&lt;key app="EN" db-id="wzwwsfxe4peesxef95cxvrwjxts9rreasarf" timestamp="1692654670"&gt;416&lt;/key&gt;&lt;/foreign-keys&gt;&lt;ref-type name="Web Page"&gt;12&lt;/ref-type&gt;&lt;contributors&gt;&lt;authors&gt;&lt;author&gt;Haute Autorité de Santé,&lt;/author&gt;&lt;/authors&gt;&lt;/contributors&gt;&lt;titles&gt;&lt;title&gt;Pricing &amp;amp; Reimbursement of drugs and HTA policies in France&lt;/title&gt;&lt;/titles&gt;&lt;number&gt;15 July 2023&lt;/number&gt;&lt;dates&gt;&lt;year&gt;2014&lt;/year&gt;&lt;/dates&gt;&lt;urls&gt;&lt;related-urls&gt;&lt;url&gt;https://www.has-sante.fr/?id=c_1729388&lt;/url&gt;&lt;/related-urls&gt;&lt;/urls&gt;&lt;/record&gt;&lt;/Cite&gt;&lt;/EndNote&gt;</w:instrText>
      </w:r>
      <w:r w:rsidRPr="00221992">
        <w:rPr>
          <w:lang w:val="en-GB"/>
        </w:rPr>
        <w:fldChar w:fldCharType="separate"/>
      </w:r>
      <w:r w:rsidR="005A67DD" w:rsidRPr="00221992">
        <w:rPr>
          <w:noProof/>
          <w:lang w:val="en-GB"/>
        </w:rPr>
        <w:t>[14]</w:t>
      </w:r>
      <w:r w:rsidRPr="00221992">
        <w:rPr>
          <w:lang w:val="en-GB"/>
        </w:rPr>
        <w:fldChar w:fldCharType="end"/>
      </w:r>
      <w:r w:rsidR="00EF7B71">
        <w:rPr>
          <w:lang w:val="en-GB"/>
        </w:rPr>
        <w:t>:</w:t>
      </w:r>
    </w:p>
    <w:p w14:paraId="44EE0151" w14:textId="4FDDD3A4" w:rsidR="00D95336" w:rsidRPr="00221992" w:rsidRDefault="00D95336" w:rsidP="00957584">
      <w:pPr>
        <w:pStyle w:val="ListParagraph"/>
        <w:numPr>
          <w:ilvl w:val="0"/>
          <w:numId w:val="24"/>
        </w:numPr>
        <w:rPr>
          <w:lang w:val="en-GB"/>
        </w:rPr>
      </w:pPr>
      <w:r w:rsidRPr="00221992">
        <w:rPr>
          <w:lang w:val="en-GB"/>
        </w:rPr>
        <w:t xml:space="preserve">ASMR V: the drug can only be listed if the cost </w:t>
      </w:r>
      <w:r w:rsidR="004022CE">
        <w:rPr>
          <w:lang w:val="en-GB"/>
        </w:rPr>
        <w:t>is</w:t>
      </w:r>
      <w:r w:rsidR="004022CE" w:rsidRPr="00221992">
        <w:rPr>
          <w:lang w:val="en-GB"/>
        </w:rPr>
        <w:t xml:space="preserve"> </w:t>
      </w:r>
      <w:r w:rsidRPr="00221992">
        <w:rPr>
          <w:lang w:val="en-GB"/>
        </w:rPr>
        <w:t>less than t</w:t>
      </w:r>
      <w:r w:rsidR="004022CE">
        <w:rPr>
          <w:lang w:val="en-GB"/>
        </w:rPr>
        <w:t>hat of</w:t>
      </w:r>
      <w:r w:rsidRPr="00221992">
        <w:rPr>
          <w:lang w:val="en-GB"/>
        </w:rPr>
        <w:t xml:space="preserve"> comparators (</w:t>
      </w:r>
      <w:r w:rsidR="004022CE">
        <w:rPr>
          <w:lang w:val="en-GB"/>
        </w:rPr>
        <w:t xml:space="preserve">i.e., </w:t>
      </w:r>
      <w:r w:rsidRPr="00221992">
        <w:rPr>
          <w:lang w:val="en-GB"/>
        </w:rPr>
        <w:t>lower price or induces cost saving)</w:t>
      </w:r>
    </w:p>
    <w:p w14:paraId="79B55936" w14:textId="0C0D1C83" w:rsidR="00D95336" w:rsidRPr="00221992" w:rsidRDefault="00D95336" w:rsidP="00957584">
      <w:pPr>
        <w:pStyle w:val="ListParagraph"/>
        <w:numPr>
          <w:ilvl w:val="0"/>
          <w:numId w:val="24"/>
        </w:numPr>
        <w:rPr>
          <w:lang w:val="en-GB"/>
        </w:rPr>
      </w:pPr>
      <w:r w:rsidRPr="00221992">
        <w:rPr>
          <w:lang w:val="en-GB"/>
        </w:rPr>
        <w:t xml:space="preserve">ASMR I to IV: Possibility of a higher price </w:t>
      </w:r>
      <w:r w:rsidR="004022CE">
        <w:rPr>
          <w:lang w:val="en-GB"/>
        </w:rPr>
        <w:t xml:space="preserve">relative </w:t>
      </w:r>
      <w:r w:rsidRPr="00221992">
        <w:rPr>
          <w:lang w:val="en-GB"/>
        </w:rPr>
        <w:t>to comparators</w:t>
      </w:r>
    </w:p>
    <w:p w14:paraId="3D2C7630" w14:textId="4CB64014" w:rsidR="00D95336" w:rsidRPr="00221992" w:rsidRDefault="00D95336" w:rsidP="00957584">
      <w:pPr>
        <w:pStyle w:val="ListParagraph"/>
        <w:numPr>
          <w:ilvl w:val="0"/>
          <w:numId w:val="24"/>
        </w:numPr>
        <w:rPr>
          <w:lang w:val="en-GB"/>
        </w:rPr>
      </w:pPr>
      <w:r w:rsidRPr="00221992">
        <w:rPr>
          <w:lang w:val="en-GB"/>
        </w:rPr>
        <w:t xml:space="preserve">ASMR I to III: Faster access (price notification instead of negotiation) </w:t>
      </w:r>
      <w:r w:rsidR="0086669C">
        <w:rPr>
          <w:lang w:val="en-GB"/>
        </w:rPr>
        <w:t>through</w:t>
      </w:r>
      <w:r w:rsidRPr="00221992">
        <w:rPr>
          <w:lang w:val="en-GB"/>
        </w:rPr>
        <w:t xml:space="preserve"> European price</w:t>
      </w:r>
      <w:r w:rsidR="0086669C">
        <w:rPr>
          <w:lang w:val="en-GB"/>
        </w:rPr>
        <w:t xml:space="preserve"> benchmarking</w:t>
      </w:r>
      <w:r w:rsidRPr="00221992">
        <w:rPr>
          <w:lang w:val="en-GB"/>
        </w:rPr>
        <w:t>.</w:t>
      </w:r>
    </w:p>
    <w:p w14:paraId="6DBED5CB" w14:textId="259B13DA" w:rsidR="00D95336" w:rsidRPr="00221992" w:rsidRDefault="00D95336" w:rsidP="00702C58">
      <w:pPr>
        <w:rPr>
          <w:lang w:val="en-GB"/>
        </w:rPr>
      </w:pPr>
      <w:r w:rsidRPr="00221992">
        <w:rPr>
          <w:lang w:val="en-GB"/>
        </w:rPr>
        <w:t>Once HTA has been performed, a price is negotiated by the Economic Committee of Health Products (CEPS)</w:t>
      </w:r>
      <w:r w:rsidR="0026508C">
        <w:rPr>
          <w:lang w:val="en-GB"/>
        </w:rPr>
        <w:t>,</w:t>
      </w:r>
      <w:r w:rsidRPr="00221992">
        <w:rPr>
          <w:lang w:val="en-GB"/>
        </w:rPr>
        <w:t xml:space="preserve"> which involves the national health insurance and Ministre santé et sécurité sociale (MSS), prior to product launch.</w:t>
      </w:r>
      <w:r w:rsidR="00871B15">
        <w:rPr>
          <w:lang w:val="en-GB"/>
        </w:rPr>
        <w:t xml:space="preserve"> </w:t>
      </w:r>
    </w:p>
    <w:p w14:paraId="4D1CBC17" w14:textId="23B75F49" w:rsidR="00D95336" w:rsidRPr="00221992" w:rsidRDefault="00A42CA4" w:rsidP="00702C58">
      <w:pPr>
        <w:rPr>
          <w:lang w:val="en-GB"/>
        </w:rPr>
      </w:pPr>
      <w:r>
        <w:rPr>
          <w:lang w:val="en-GB"/>
        </w:rPr>
        <w:t>In Italy, AIFA</w:t>
      </w:r>
      <w:r w:rsidR="00D95336" w:rsidRPr="00221992">
        <w:rPr>
          <w:lang w:val="en-GB"/>
        </w:rPr>
        <w:t xml:space="preserve"> </w:t>
      </w:r>
      <w:r w:rsidR="0049084A" w:rsidRPr="00221992">
        <w:rPr>
          <w:lang w:val="en-GB"/>
        </w:rPr>
        <w:t xml:space="preserve">is </w:t>
      </w:r>
      <w:r w:rsidR="00D95336" w:rsidRPr="00221992">
        <w:rPr>
          <w:lang w:val="en-GB"/>
        </w:rPr>
        <w:t>the national body responsible for pharmaceutical regulation</w:t>
      </w:r>
      <w:r>
        <w:rPr>
          <w:lang w:val="en-GB"/>
        </w:rPr>
        <w:t>,</w:t>
      </w:r>
      <w:r w:rsidR="0049084A" w:rsidRPr="00221992">
        <w:rPr>
          <w:lang w:val="en-GB"/>
        </w:rPr>
        <w:t xml:space="preserve"> overseeing pricing, reimbursement and HTA activities</w:t>
      </w:r>
      <w:r w:rsidR="00D95336" w:rsidRPr="00221992">
        <w:rPr>
          <w:lang w:val="en-GB"/>
        </w:rPr>
        <w:t>. This public body operates on an autonomous, transparent and cost- effective basis under the aegis of the Ministry of Health and the supervision of the Ministry of Health and the Ministry of the Economy</w:t>
      </w:r>
      <w:r w:rsidR="0049084A" w:rsidRPr="00221992">
        <w:rPr>
          <w:lang w:val="en-GB"/>
        </w:rPr>
        <w:t xml:space="preserve"> and in</w:t>
      </w:r>
      <w:r w:rsidR="00D95336" w:rsidRPr="00221992">
        <w:rPr>
          <w:lang w:val="en-GB"/>
        </w:rPr>
        <w:t xml:space="preserve"> collaborat</w:t>
      </w:r>
      <w:r w:rsidR="0049084A" w:rsidRPr="00221992">
        <w:rPr>
          <w:lang w:val="en-GB"/>
        </w:rPr>
        <w:t>ion</w:t>
      </w:r>
      <w:r w:rsidR="00D95336" w:rsidRPr="00221992">
        <w:rPr>
          <w:lang w:val="en-GB"/>
        </w:rPr>
        <w:t xml:space="preserve"> with the Regions. Market access is granted (inclusion in the C-nn class) within 60 days of EMA approval. From this time, sponsors may begin marketing the drug, whilst price negotiation takes 180 days from filing of the application. </w:t>
      </w:r>
      <w:r w:rsidR="003B4B00" w:rsidRPr="00221992">
        <w:rPr>
          <w:lang w:val="en-GB"/>
        </w:rPr>
        <w:t>In this case, the sale price is decided at the discretion of the market</w:t>
      </w:r>
      <w:r w:rsidR="00792328" w:rsidRPr="00221992">
        <w:rPr>
          <w:lang w:val="en-GB"/>
        </w:rPr>
        <w:t>ing</w:t>
      </w:r>
      <w:r w:rsidR="003B4B00" w:rsidRPr="00221992">
        <w:rPr>
          <w:lang w:val="en-GB"/>
        </w:rPr>
        <w:t xml:space="preserve"> authorisation holder, but the entire charge is borne by the patient.</w:t>
      </w:r>
      <w:r w:rsidR="00D95336" w:rsidRPr="00221992">
        <w:rPr>
          <w:lang w:val="en-GB"/>
        </w:rPr>
        <w:t xml:space="preserve"> For market access, AIFA manages pricing and reimbursement with the assistance of the Technical Scientific Committee (TSC), which assesses the added value of drugs, and the Pricing and Reimbursement Committee (PRC), which negotiates the pricing and reimbursement conditions of drugs with the company.</w:t>
      </w:r>
      <w:r w:rsidR="008A6310">
        <w:rPr>
          <w:lang w:val="en-GB"/>
        </w:rPr>
        <w:t xml:space="preserve"> </w:t>
      </w:r>
      <w:r w:rsidR="00D95336" w:rsidRPr="00221992">
        <w:rPr>
          <w:lang w:val="en-GB"/>
        </w:rPr>
        <w:t xml:space="preserve">AIFA is </w:t>
      </w:r>
      <w:r w:rsidR="00D062BF">
        <w:rPr>
          <w:lang w:val="en-GB"/>
        </w:rPr>
        <w:t xml:space="preserve">also </w:t>
      </w:r>
      <w:r w:rsidR="00D95336" w:rsidRPr="00221992">
        <w:rPr>
          <w:lang w:val="en-GB"/>
        </w:rPr>
        <w:t>responsible for assessing the innovative status of drugs for access to specific benefits (see below) and manages the implementation of measures for the governance of spending (</w:t>
      </w:r>
      <w:r w:rsidR="003E4139">
        <w:rPr>
          <w:lang w:val="en-GB"/>
        </w:rPr>
        <w:t xml:space="preserve">i.e., </w:t>
      </w:r>
      <w:r w:rsidR="00D95336" w:rsidRPr="00221992">
        <w:rPr>
          <w:lang w:val="en-GB"/>
        </w:rPr>
        <w:t>pay-back)</w:t>
      </w:r>
      <w:r w:rsidR="00F5766F" w:rsidRPr="00221992">
        <w:rPr>
          <w:lang w:val="en-GB"/>
        </w:rPr>
        <w:t xml:space="preserve"> </w:t>
      </w:r>
      <w:r w:rsidR="00D95336" w:rsidRPr="00221992">
        <w:rPr>
          <w:lang w:val="en-GB"/>
        </w:rPr>
        <w:fldChar w:fldCharType="begin"/>
      </w:r>
      <w:r w:rsidR="00112E71">
        <w:rPr>
          <w:lang w:val="en-GB"/>
        </w:rPr>
        <w:instrText xml:space="preserve"> ADDIN EN.CITE &lt;EndNote&gt;&lt;Cite&gt;&lt;Author&gt;Selletti&lt;/Author&gt;&lt;Year&gt;2022&lt;/Year&gt;&lt;RecNum&gt;433&lt;/RecNum&gt;&lt;DisplayText&gt;[33]&lt;/DisplayText&gt;&lt;record&gt;&lt;rec-number&gt;433&lt;/rec-number&gt;&lt;foreign-keys&gt;&lt;key app="EN" db-id="wzwwsfxe4peesxef95cxvrwjxts9rreasarf" timestamp="1692654670"&gt;433&lt;/key&gt;&lt;/foreign-keys&gt;&lt;ref-type name="Web Page"&gt;12&lt;/ref-type&gt;&lt;contributors&gt;&lt;authors&gt;&lt;author&gt;Selletti, S.&lt;/author&gt;&lt;author&gt;Putignano, M.&lt;/author&gt;&lt;author&gt;Tiboni, F.&lt;/author&gt;&lt;/authors&gt;&lt;/contributors&gt;&lt;titles&gt;&lt;title&gt;Pricing &amp;amp; Reimbursement Laws and Regulations 2022 - Italy&lt;/title&gt;&lt;/titles&gt;&lt;number&gt;23 August 2023&lt;/number&gt;&lt;dates&gt;&lt;year&gt;2022&lt;/year&gt;&lt;/dates&gt;&lt;publisher&gt;Global Legal Insights&lt;/publisher&gt;&lt;urls&gt;&lt;related-urls&gt;&lt;url&gt;https://www.globallegalinsights.com/practice-areas/pricing-and-reimbursement-laws-and-regulations/italy&lt;/url&gt;&lt;/related-urls&gt;&lt;/urls&gt;&lt;/record&gt;&lt;/Cite&gt;&lt;/EndNote&gt;</w:instrText>
      </w:r>
      <w:r w:rsidR="00D95336" w:rsidRPr="00221992">
        <w:rPr>
          <w:lang w:val="en-GB"/>
        </w:rPr>
        <w:fldChar w:fldCharType="separate"/>
      </w:r>
      <w:r w:rsidR="00112E71">
        <w:rPr>
          <w:noProof/>
          <w:lang w:val="en-GB"/>
        </w:rPr>
        <w:t>[33]</w:t>
      </w:r>
      <w:r w:rsidR="00D95336" w:rsidRPr="00221992">
        <w:rPr>
          <w:lang w:val="en-GB"/>
        </w:rPr>
        <w:fldChar w:fldCharType="end"/>
      </w:r>
      <w:r w:rsidR="00F5766F" w:rsidRPr="00221992">
        <w:rPr>
          <w:lang w:val="en-GB"/>
        </w:rPr>
        <w:t>.</w:t>
      </w:r>
    </w:p>
    <w:p w14:paraId="6268950C" w14:textId="5F89E048" w:rsidR="00D95336" w:rsidRPr="00221992" w:rsidRDefault="00CD18F3" w:rsidP="00702C58">
      <w:pPr>
        <w:rPr>
          <w:lang w:val="en-GB"/>
        </w:rPr>
      </w:pPr>
      <w:r w:rsidRPr="00221992">
        <w:rPr>
          <w:lang w:val="en-GB"/>
        </w:rPr>
        <w:t xml:space="preserve">In </w:t>
      </w:r>
      <w:r w:rsidR="00D95336" w:rsidRPr="00221992">
        <w:rPr>
          <w:lang w:val="en-GB"/>
        </w:rPr>
        <w:t>New Zealand</w:t>
      </w:r>
      <w:r w:rsidRPr="00221992">
        <w:rPr>
          <w:lang w:val="en-GB"/>
        </w:rPr>
        <w:t>,</w:t>
      </w:r>
      <w:r w:rsidR="00D06FBC">
        <w:rPr>
          <w:lang w:val="en-GB"/>
        </w:rPr>
        <w:t xml:space="preserve"> HTA</w:t>
      </w:r>
      <w:r w:rsidR="00D06FBC" w:rsidRPr="00221992">
        <w:rPr>
          <w:lang w:val="en-GB"/>
        </w:rPr>
        <w:t xml:space="preserve"> is used extensively in </w:t>
      </w:r>
      <w:r w:rsidR="00D06FBC">
        <w:rPr>
          <w:lang w:val="en-GB"/>
        </w:rPr>
        <w:t>decision-making</w:t>
      </w:r>
      <w:r w:rsidR="00D06FBC" w:rsidRPr="00221992">
        <w:rPr>
          <w:lang w:val="en-GB"/>
        </w:rPr>
        <w:t xml:space="preserve"> and price negotiations.</w:t>
      </w:r>
      <w:r w:rsidR="00D95336" w:rsidRPr="00221992">
        <w:rPr>
          <w:lang w:val="en-GB"/>
        </w:rPr>
        <w:t xml:space="preserve"> </w:t>
      </w:r>
      <w:r w:rsidR="00D06FBC">
        <w:rPr>
          <w:lang w:val="en-GB"/>
        </w:rPr>
        <w:t>I</w:t>
      </w:r>
      <w:r w:rsidR="00D95336" w:rsidRPr="00221992">
        <w:rPr>
          <w:lang w:val="en-GB"/>
        </w:rPr>
        <w:t xml:space="preserve">f a medicine is publicly funded, </w:t>
      </w:r>
      <w:r w:rsidR="003944DB">
        <w:rPr>
          <w:lang w:val="en-GB"/>
        </w:rPr>
        <w:t xml:space="preserve">the </w:t>
      </w:r>
      <w:r w:rsidR="00D95336" w:rsidRPr="00221992">
        <w:rPr>
          <w:lang w:val="en-GB"/>
        </w:rPr>
        <w:t xml:space="preserve">Pharmaceutical Management Agency of New Zealand (PHARMAC) negotiates the price with the manufacturer, and the taxpayer subsidises all or part of the price for the patient. If the medicine is not listed on the Pharmaceutical Schedule, the consumer must pay the full price out-of-pocket. PHARMAC negotiates the prices of inpatient, outpatient and cancer pharmaceuticals, vaccines and medical devices, and manages a capped national budget for outpatient and cancer pharmaceuticals. PHARMAC also sets (separate) national positive formularies of publicly funded outpatient and inpatient pharmaceuticals, and administers access schemes for pharmaceuticals that are not on these formularies. </w:t>
      </w:r>
      <w:r w:rsidR="00D06FBC">
        <w:rPr>
          <w:lang w:val="en-GB"/>
        </w:rPr>
        <w:t>An</w:t>
      </w:r>
      <w:r w:rsidR="00D06FBC" w:rsidRPr="00221992">
        <w:rPr>
          <w:lang w:val="en-GB"/>
        </w:rPr>
        <w:t xml:space="preserve"> effective monopsony, </w:t>
      </w:r>
      <w:r w:rsidR="00D95336" w:rsidRPr="00221992">
        <w:rPr>
          <w:lang w:val="en-GB"/>
        </w:rPr>
        <w:t>PHARMAC uses a variety of mechanisms to obtain favourable prices, including competitive tendering, sole supply contracts, reference pricing, bundling, risk sharing agreements and promoti</w:t>
      </w:r>
      <w:r w:rsidR="00D06FBC">
        <w:rPr>
          <w:lang w:val="en-GB"/>
        </w:rPr>
        <w:t>on</w:t>
      </w:r>
      <w:r w:rsidR="00D95336" w:rsidRPr="00221992">
        <w:rPr>
          <w:lang w:val="en-GB"/>
        </w:rPr>
        <w:t xml:space="preserve"> of generics. As a result, New Zealanders have universal and nationally consistent pharmaceutical coverage, with lower patient pharmaceutical co-payments than many comparable countries</w:t>
      </w:r>
      <w:r w:rsidR="00F5766F" w:rsidRPr="00221992">
        <w:rPr>
          <w:lang w:val="en-GB"/>
        </w:rPr>
        <w:t xml:space="preserve"> </w:t>
      </w:r>
      <w:r w:rsidR="00D95336" w:rsidRPr="00221992">
        <w:rPr>
          <w:lang w:val="en-GB"/>
        </w:rPr>
        <w:fldChar w:fldCharType="begin"/>
      </w:r>
      <w:r w:rsidR="00112E71">
        <w:rPr>
          <w:lang w:val="en-GB"/>
        </w:rPr>
        <w:instrText xml:space="preserve"> ADDIN EN.CITE &lt;EndNote&gt;&lt;Cite&gt;&lt;Author&gt;Ragupathy&lt;/Author&gt;&lt;Year&gt;2015&lt;/Year&gt;&lt;RecNum&gt;397&lt;/RecNum&gt;&lt;DisplayText&gt;[34]&lt;/DisplayText&gt;&lt;record&gt;&lt;rec-number&gt;397&lt;/rec-number&gt;&lt;foreign-keys&gt;&lt;key app="EN" db-id="wzwwsfxe4peesxef95cxvrwjxts9rreasarf" timestamp="1692654670"&gt;397&lt;/key&gt;&lt;/foreign-keys&gt;&lt;ref-type name="Journal Article"&gt;17&lt;/ref-type&gt;&lt;contributors&gt;&lt;authors&gt;&lt;author&gt;Ragupathy, Rajan&lt;/author&gt;&lt;author&gt;Kilpatrick, Kate&lt;/author&gt;&lt;author&gt;Babar, Zaheer-Ud-Din&lt;/author&gt;&lt;/authors&gt;&lt;/contributors&gt;&lt;titles&gt;&lt;title&gt;Pharmaceutical Pricing in New Zealand&lt;/title&gt;&lt;secondary-title&gt;Pharmaceutical Prices in the 21st Century&lt;/secondary-title&gt;&lt;/titles&gt;&lt;periodical&gt;&lt;full-title&gt;Pharmaceutical Prices in the 21st Century&lt;/full-title&gt;&lt;/periodical&gt;&lt;pages&gt;189-207&lt;/pages&gt;&lt;dates&gt;&lt;year&gt;2015&lt;/year&gt;&lt;pub-dates&gt;&lt;date&gt;11/01&lt;/date&gt;&lt;/pub-dates&gt;&lt;/dates&gt;&lt;isbn&gt;978-3-319-12168-0&lt;/isbn&gt;&lt;urls&gt;&lt;/urls&gt;&lt;electronic-resource-num&gt;10.1007/978-3-319-12169-7_11&lt;/electronic-resource-num&gt;&lt;/record&gt;&lt;/Cite&gt;&lt;/EndNote&gt;</w:instrText>
      </w:r>
      <w:r w:rsidR="00D95336" w:rsidRPr="00221992">
        <w:rPr>
          <w:lang w:val="en-GB"/>
        </w:rPr>
        <w:fldChar w:fldCharType="separate"/>
      </w:r>
      <w:r w:rsidR="00112E71">
        <w:rPr>
          <w:noProof/>
          <w:lang w:val="en-GB"/>
        </w:rPr>
        <w:t>[34]</w:t>
      </w:r>
      <w:r w:rsidR="00D95336" w:rsidRPr="00221992">
        <w:rPr>
          <w:lang w:val="en-GB"/>
        </w:rPr>
        <w:fldChar w:fldCharType="end"/>
      </w:r>
      <w:r w:rsidR="00F5766F" w:rsidRPr="00221992">
        <w:rPr>
          <w:lang w:val="en-GB"/>
        </w:rPr>
        <w:t>.</w:t>
      </w:r>
    </w:p>
    <w:p w14:paraId="612ACD44" w14:textId="164F00ED" w:rsidR="00D95336" w:rsidRPr="00221992" w:rsidRDefault="00D95336" w:rsidP="00702C58">
      <w:pPr>
        <w:rPr>
          <w:lang w:val="en-GB"/>
        </w:rPr>
      </w:pPr>
      <w:r w:rsidRPr="00221992">
        <w:rPr>
          <w:lang w:val="en-GB"/>
        </w:rPr>
        <w:t>In Norway, at the same time as a decision on pre-approved reimbursement is made, NoM</w:t>
      </w:r>
      <w:r w:rsidR="00B52AF1" w:rsidRPr="00221992">
        <w:rPr>
          <w:lang w:val="en-GB"/>
        </w:rPr>
        <w:t>A</w:t>
      </w:r>
      <w:r w:rsidRPr="00221992">
        <w:rPr>
          <w:lang w:val="en-GB"/>
        </w:rPr>
        <w:t xml:space="preserve"> also determines the reimbursement price</w:t>
      </w:r>
      <w:r w:rsidR="00BA3EFC" w:rsidRPr="00221992">
        <w:rPr>
          <w:lang w:val="en-GB"/>
        </w:rPr>
        <w:t xml:space="preserve"> as the mean of the three lowest market prices of the product in a selection of European countries</w:t>
      </w:r>
      <w:r w:rsidR="00F5766F" w:rsidRPr="00221992">
        <w:rPr>
          <w:lang w:val="en-GB"/>
        </w:rPr>
        <w:t xml:space="preserve"> </w:t>
      </w:r>
      <w:r w:rsidRPr="00221992">
        <w:rPr>
          <w:lang w:val="en-GB"/>
        </w:rPr>
        <w:fldChar w:fldCharType="begin"/>
      </w:r>
      <w:r w:rsidR="008D71B5" w:rsidRPr="00221992">
        <w:rPr>
          <w:lang w:val="en-GB"/>
        </w:rPr>
        <w:instrText xml:space="preserve"> ADDIN EN.CITE &lt;EndNote&gt;&lt;Cite&gt;&lt;Author&gt;Voldstad&lt;/Author&gt;&lt;Year&gt;2022&lt;/Year&gt;&lt;RecNum&gt;293&lt;/RecNum&gt;&lt;DisplayText&gt;[17]&lt;/DisplayText&gt;&lt;record&gt;&lt;rec-number&gt;293&lt;/rec-number&gt;&lt;foreign-keys&gt;&lt;key app="EN" db-id="wzwwsfxe4peesxef95cxvrwjxts9rreasarf" timestamp="1692654670"&gt;293&lt;/key&gt;&lt;/foreign-keys&gt;&lt;ref-type name="Web Page"&gt;12&lt;/ref-type&gt;&lt;contributors&gt;&lt;authors&gt;&lt;author&gt;Voldstad, L.&lt;/author&gt;&lt;author&gt;Åkermoen, T.&lt;/author&gt;&lt;/authors&gt;&lt;/contributors&gt;&lt;titles&gt;&lt;title&gt;Pricing &amp;amp; Reimbursement Laws and Regulations 2022 - Norway&lt;/title&gt;&lt;/titles&gt;&lt;dates&gt;&lt;year&gt;2022&lt;/year&gt;&lt;/dates&gt;&lt;publisher&gt;Global Legal Insights&lt;/publisher&gt;&lt;urls&gt;&lt;related-urls&gt;&lt;url&gt;https://www.globallegalinsights.com/practice-areas/pricing-and-reimbursement-laws-and-regulations/norway&lt;/url&gt;&lt;/related-urls&gt;&lt;/urls&gt;&lt;/record&gt;&lt;/Cite&gt;&lt;/EndNote&gt;</w:instrText>
      </w:r>
      <w:r w:rsidRPr="00221992">
        <w:rPr>
          <w:lang w:val="en-GB"/>
        </w:rPr>
        <w:fldChar w:fldCharType="separate"/>
      </w:r>
      <w:r w:rsidR="008D71B5" w:rsidRPr="00221992">
        <w:rPr>
          <w:noProof/>
          <w:lang w:val="en-GB"/>
        </w:rPr>
        <w:t>[17]</w:t>
      </w:r>
      <w:r w:rsidRPr="00221992">
        <w:rPr>
          <w:lang w:val="en-GB"/>
        </w:rPr>
        <w:fldChar w:fldCharType="end"/>
      </w:r>
      <w:r w:rsidR="00F5766F" w:rsidRPr="00221992">
        <w:rPr>
          <w:lang w:val="en-GB"/>
        </w:rPr>
        <w:t>.</w:t>
      </w:r>
    </w:p>
    <w:p w14:paraId="37D01C10" w14:textId="7E9D0E59" w:rsidR="00D95336" w:rsidRPr="00221992" w:rsidRDefault="00D95336" w:rsidP="00702C58">
      <w:pPr>
        <w:rPr>
          <w:lang w:val="en-GB"/>
        </w:rPr>
      </w:pPr>
      <w:r w:rsidRPr="00221992">
        <w:rPr>
          <w:lang w:val="en-GB"/>
        </w:rPr>
        <w:t xml:space="preserve">In Singapore, </w:t>
      </w:r>
      <w:r w:rsidR="00245460">
        <w:rPr>
          <w:lang w:val="en-GB"/>
        </w:rPr>
        <w:t>t</w:t>
      </w:r>
      <w:r w:rsidRPr="00221992">
        <w:rPr>
          <w:lang w:val="en-GB"/>
        </w:rPr>
        <w:t>he Agency for Care Effectiveness (ACE), the national HTA body, engages in discussions with manufacturers to determine the price at which their product best represents a cost-effective use of healthcare resources, using a value-based pricing framework performed in parallel with the HTA evaluation</w:t>
      </w:r>
      <w:r w:rsidR="00F5766F" w:rsidRPr="00221992">
        <w:rPr>
          <w:lang w:val="en-GB"/>
        </w:rPr>
        <w:t xml:space="preserve"> </w:t>
      </w:r>
      <w:r w:rsidRPr="00221992">
        <w:rPr>
          <w:lang w:val="en-GB"/>
        </w:rPr>
        <w:fldChar w:fldCharType="begin"/>
      </w:r>
      <w:r w:rsidR="00112E71">
        <w:rPr>
          <w:lang w:val="en-GB"/>
        </w:rPr>
        <w:instrText xml:space="preserve"> ADDIN EN.CITE &lt;EndNote&gt;&lt;Cite&gt;&lt;Author&gt;Agency for Care Effectiveness (ACE)&lt;/Author&gt;&lt;Year&gt;2021&lt;/Year&gt;&lt;RecNum&gt;2&lt;/RecNum&gt;&lt;DisplayText&gt;[35]&lt;/DisplayText&gt;&lt;record&gt;&lt;rec-number&gt;2&lt;/rec-number&gt;&lt;foreign-keys&gt;&lt;key app="EN" db-id="wzwwsfxe4peesxef95cxvrwjxts9rreasarf" timestamp="1692654670"&gt;2&lt;/key&gt;&lt;/foreign-keys&gt;&lt;ref-type name="Report"&gt;27&lt;/ref-type&gt;&lt;contributors&gt;&lt;authors&gt;&lt;author&gt;Agency for Care Effectiveness (ACE),&lt;/author&gt;&lt;/authors&gt;&lt;tertiary-authors&gt;&lt;author&gt;Ministry of Health Singapore,, Agency for Care Effectiveness (ACE)&lt;/author&gt;&lt;/tertiary-authors&gt;&lt;/contributors&gt;&lt;titles&gt;&lt;title&gt;Drug and Vaccine Evaluation Methods and Process Guide&lt;/title&gt;&lt;/titles&gt;&lt;dates&gt;&lt;year&gt;2021&lt;/year&gt;&lt;/dates&gt;&lt;pub-location&gt;Singapore&lt;/pub-location&gt;&lt;urls&gt;&lt;related-urls&gt;&lt;url&gt;https://www.ace-hta.gov.sg/docs/default-source/process-methods/drug-and-vaccine-evaluation-methods-and-process-guide-version-3-(28-june-2021).pdf&lt;/url&gt;&lt;/related-urls&gt;&lt;/urls&gt;&lt;/record&gt;&lt;/Cite&gt;&lt;/EndNote&gt;</w:instrText>
      </w:r>
      <w:r w:rsidRPr="00221992">
        <w:rPr>
          <w:lang w:val="en-GB"/>
        </w:rPr>
        <w:fldChar w:fldCharType="separate"/>
      </w:r>
      <w:r w:rsidR="00112E71">
        <w:rPr>
          <w:noProof/>
          <w:lang w:val="en-GB"/>
        </w:rPr>
        <w:t>[35]</w:t>
      </w:r>
      <w:r w:rsidRPr="00221992">
        <w:rPr>
          <w:lang w:val="en-GB"/>
        </w:rPr>
        <w:fldChar w:fldCharType="end"/>
      </w:r>
      <w:r w:rsidR="00245460">
        <w:rPr>
          <w:lang w:val="en-GB"/>
        </w:rPr>
        <w:t>.</w:t>
      </w:r>
      <w:r w:rsidR="002E742A" w:rsidRPr="00221992">
        <w:rPr>
          <w:lang w:val="en-GB"/>
        </w:rPr>
        <w:t xml:space="preserve"> </w:t>
      </w:r>
      <w:r w:rsidR="00245460">
        <w:rPr>
          <w:lang w:val="en-GB"/>
        </w:rPr>
        <w:t>P</w:t>
      </w:r>
      <w:r w:rsidR="002E742A" w:rsidRPr="00221992">
        <w:rPr>
          <w:lang w:val="en-GB"/>
        </w:rPr>
        <w:t xml:space="preserve">rices and technical evaluation reports </w:t>
      </w:r>
      <w:r w:rsidR="00245460">
        <w:rPr>
          <w:lang w:val="en-GB"/>
        </w:rPr>
        <w:t xml:space="preserve">are presented </w:t>
      </w:r>
      <w:r w:rsidR="002E742A" w:rsidRPr="00221992">
        <w:rPr>
          <w:lang w:val="en-GB"/>
        </w:rPr>
        <w:t xml:space="preserve">to the </w:t>
      </w:r>
      <w:r w:rsidR="000B4E00" w:rsidRPr="00221992">
        <w:rPr>
          <w:lang w:val="en-GB"/>
        </w:rPr>
        <w:t>Drug Advisory Committee (</w:t>
      </w:r>
      <w:r w:rsidR="00020406" w:rsidRPr="00221992">
        <w:rPr>
          <w:lang w:val="en-GB"/>
        </w:rPr>
        <w:t>DAC</w:t>
      </w:r>
      <w:r w:rsidR="000B4E00" w:rsidRPr="00221992">
        <w:rPr>
          <w:lang w:val="en-GB"/>
        </w:rPr>
        <w:t>)</w:t>
      </w:r>
      <w:r w:rsidR="00020406" w:rsidRPr="00221992">
        <w:rPr>
          <w:lang w:val="en-GB"/>
        </w:rPr>
        <w:t xml:space="preserve"> for final recommendation</w:t>
      </w:r>
      <w:r w:rsidR="00777F4D">
        <w:rPr>
          <w:lang w:val="en-GB"/>
        </w:rPr>
        <w:t>s on subsidy</w:t>
      </w:r>
      <w:r w:rsidR="00F5766F" w:rsidRPr="00221992" w:rsidDel="00CF6ECB">
        <w:rPr>
          <w:lang w:val="en-GB"/>
        </w:rPr>
        <w:t>.</w:t>
      </w:r>
    </w:p>
    <w:p w14:paraId="45D15805" w14:textId="6A3C6796" w:rsidR="00D95336" w:rsidRPr="00221992" w:rsidRDefault="00D95336" w:rsidP="00702C58">
      <w:pPr>
        <w:rPr>
          <w:lang w:val="en-GB"/>
        </w:rPr>
      </w:pPr>
      <w:r w:rsidRPr="00221992">
        <w:rPr>
          <w:lang w:val="en-GB"/>
        </w:rPr>
        <w:t>In South Korea, if HIRA finds the product to be clinically superior, it then assesses whether the drug is cost-effective compared to treatment alternatives or comparable drugs.</w:t>
      </w:r>
      <w:r w:rsidR="008A6310">
        <w:rPr>
          <w:lang w:val="en-GB"/>
        </w:rPr>
        <w:t xml:space="preserve"> </w:t>
      </w:r>
      <w:r w:rsidRPr="00221992">
        <w:rPr>
          <w:lang w:val="en-GB"/>
        </w:rPr>
        <w:t>When a drug is clinically superior but expensive, the company must submit pharmacoeconomic data.</w:t>
      </w:r>
      <w:r w:rsidR="008A6310">
        <w:rPr>
          <w:lang w:val="en-GB"/>
        </w:rPr>
        <w:t xml:space="preserve"> </w:t>
      </w:r>
      <w:r w:rsidRPr="00221992">
        <w:rPr>
          <w:lang w:val="en-GB"/>
        </w:rPr>
        <w:t>If HIRA finds that there is no improvement to clinical usefulness, the company may get the product listed by accepting a maximum reimbursement price (MRP) equal to the weighted average price (WAP) of treatment alternatives. New drugs must undergo pharmacoeconomic assessment by HIRA, after which the company and NHIS negotiate the product</w:t>
      </w:r>
      <w:r w:rsidR="00551786">
        <w:rPr>
          <w:lang w:val="en-GB"/>
        </w:rPr>
        <w:t>’</w:t>
      </w:r>
      <w:r w:rsidRPr="00221992">
        <w:rPr>
          <w:lang w:val="en-GB"/>
        </w:rPr>
        <w:t>s MRP, which is the maximum price a healthcare institution may receive for the relevant product.</w:t>
      </w:r>
      <w:r w:rsidR="00F07C87">
        <w:rPr>
          <w:lang w:val="en-GB"/>
        </w:rPr>
        <w:t xml:space="preserve"> </w:t>
      </w:r>
      <w:r w:rsidR="00F07C87" w:rsidRPr="00F07C87">
        <w:rPr>
          <w:lang w:val="en-GB"/>
        </w:rPr>
        <w:t>If HIRA finds no improvement to clinical usefulness, the company may get the product listed by accepting an MRP equal to the WAP of treatment alternatives.</w:t>
      </w:r>
      <w:r w:rsidR="008A6310">
        <w:rPr>
          <w:lang w:val="en-GB"/>
        </w:rPr>
        <w:t xml:space="preserve"> </w:t>
      </w:r>
      <w:r w:rsidRPr="00221992">
        <w:rPr>
          <w:lang w:val="en-GB"/>
        </w:rPr>
        <w:t>The pharmacoeconomic evaluation by HIRA takes many forms, and companies may submit data that shows the product</w:t>
      </w:r>
      <w:r w:rsidR="00551786">
        <w:rPr>
          <w:lang w:val="en-GB"/>
        </w:rPr>
        <w:t>’</w:t>
      </w:r>
      <w:r w:rsidRPr="00221992">
        <w:rPr>
          <w:lang w:val="en-GB"/>
        </w:rPr>
        <w:t>s cost-effectiveness compared to treatment alternatives (mostly based on current standard of care) or accept an MRP based on the WAP of comparable products (a company that accepts an MRP that is 90–100% of WAP does not need to negotiate the MRP with NHIS). There are several mechanisms through which the government may lower a product</w:t>
      </w:r>
      <w:r w:rsidR="00551786">
        <w:rPr>
          <w:lang w:val="en-GB"/>
        </w:rPr>
        <w:t>’</w:t>
      </w:r>
      <w:r w:rsidRPr="00221992">
        <w:rPr>
          <w:lang w:val="en-GB"/>
        </w:rPr>
        <w:t xml:space="preserve">s MRP following MRP listing, including (i) for products that are being sold at below the MRP to hospitals (in which case the MRP may be reduced to reflect the actual transaction price), (ii) a </w:t>
      </w:r>
      <w:r w:rsidR="00551786">
        <w:rPr>
          <w:lang w:val="en-GB"/>
        </w:rPr>
        <w:t>‘</w:t>
      </w:r>
      <w:r w:rsidRPr="00221992">
        <w:rPr>
          <w:lang w:val="en-GB"/>
        </w:rPr>
        <w:t>price-volume linkage</w:t>
      </w:r>
      <w:r w:rsidR="00551786">
        <w:rPr>
          <w:lang w:val="en-GB"/>
        </w:rPr>
        <w:t>’</w:t>
      </w:r>
      <w:r w:rsidRPr="00221992">
        <w:rPr>
          <w:lang w:val="en-GB"/>
        </w:rPr>
        <w:t xml:space="preserve"> system under which the MRP of products that sell significantly above the volume forecasted by the company can be reduced, and (iii) reductions to the MRP or suspension of reimbursement (or imposition of a fine in lieu of reimbursement suspension) when a company is found to have inappropriately incentivised healthcare professionals or medical institutions</w:t>
      </w:r>
      <w:r w:rsidR="00F5766F" w:rsidRPr="00221992">
        <w:rPr>
          <w:lang w:val="en-GB"/>
        </w:rPr>
        <w:t xml:space="preserve"> </w:t>
      </w:r>
      <w:r w:rsidRPr="00221992">
        <w:rPr>
          <w:lang w:val="en-GB"/>
        </w:rPr>
        <w:fldChar w:fldCharType="begin"/>
      </w:r>
      <w:r w:rsidR="002F6CD4" w:rsidRPr="00221992">
        <w:rPr>
          <w:lang w:val="en-GB"/>
        </w:rPr>
        <w:instrText xml:space="preserve"> ADDIN EN.CITE &lt;EndNote&gt;&lt;Cite&gt;&lt;Author&gt;Choi&lt;/Author&gt;&lt;Year&gt;2022&lt;/Year&gt;&lt;RecNum&gt;277&lt;/RecNum&gt;&lt;DisplayText&gt;[19]&lt;/DisplayText&gt;&lt;record&gt;&lt;rec-number&gt;277&lt;/rec-number&gt;&lt;foreign-keys&gt;&lt;key app="EN" db-id="wzwwsfxe4peesxef95cxvrwjxts9rreasarf" timestamp="1692654670"&gt;277&lt;/key&gt;&lt;/foreign-keys&gt;&lt;ref-type name="Web Page"&gt;12&lt;/ref-type&gt;&lt;contributors&gt;&lt;authors&gt;&lt;author&gt;Choi, K.&lt;/author&gt;&lt;author&gt;Lee, Y.&lt;/author&gt;&lt;author&gt;Jo, Y.&lt;/author&gt;&lt;/authors&gt;&lt;/contributors&gt;&lt;titles&gt;&lt;title&gt;Pricing &amp;amp; Reimbursement Laws and Regulations 2022 - Korea&lt;/title&gt;&lt;/titles&gt;&lt;number&gt;23 August 2023&lt;/number&gt;&lt;dates&gt;&lt;year&gt;2022&lt;/year&gt;&lt;/dates&gt;&lt;publisher&gt;Global Legal Insights&lt;/publisher&gt;&lt;urls&gt;&lt;related-urls&gt;&lt;url&gt;https://www.globallegalinsights.com/practice-areas/pricing-and-reimbursement-laws-and-regulations/korea&lt;/url&gt;&lt;/related-urls&gt;&lt;/urls&gt;&lt;/record&gt;&lt;/Cite&gt;&lt;/EndNote&gt;</w:instrText>
      </w:r>
      <w:r w:rsidRPr="00221992">
        <w:rPr>
          <w:lang w:val="en-GB"/>
        </w:rPr>
        <w:fldChar w:fldCharType="separate"/>
      </w:r>
      <w:r w:rsidR="002F6CD4" w:rsidRPr="00221992">
        <w:rPr>
          <w:noProof/>
          <w:lang w:val="en-GB"/>
        </w:rPr>
        <w:t>[19]</w:t>
      </w:r>
      <w:r w:rsidRPr="00221992">
        <w:rPr>
          <w:lang w:val="en-GB"/>
        </w:rPr>
        <w:fldChar w:fldCharType="end"/>
      </w:r>
      <w:r w:rsidR="00F5766F" w:rsidRPr="00221992">
        <w:rPr>
          <w:lang w:val="en-GB"/>
        </w:rPr>
        <w:t>.</w:t>
      </w:r>
    </w:p>
    <w:p w14:paraId="0B2A993A" w14:textId="26C8D365" w:rsidR="00D95336" w:rsidRPr="00221992" w:rsidRDefault="00D95336" w:rsidP="00702C58">
      <w:pPr>
        <w:rPr>
          <w:lang w:val="en-GB"/>
        </w:rPr>
      </w:pPr>
      <w:r w:rsidRPr="00221992">
        <w:rPr>
          <w:lang w:val="en-GB"/>
        </w:rPr>
        <w:t xml:space="preserve">In Spain, the price-approval process entails a negotiation with authorities where the cost and profit margin are not </w:t>
      </w:r>
      <w:r w:rsidR="00772685" w:rsidRPr="00221992">
        <w:rPr>
          <w:lang w:val="en-GB"/>
        </w:rPr>
        <w:t>the core</w:t>
      </w:r>
      <w:r w:rsidRPr="00221992">
        <w:rPr>
          <w:lang w:val="en-GB"/>
        </w:rPr>
        <w:t xml:space="preserve"> variables considered (in a complex process, decisions are taken by different authorities at national, regional, local or hospital</w:t>
      </w:r>
      <w:r w:rsidR="004E29C0">
        <w:rPr>
          <w:lang w:val="en-GB"/>
        </w:rPr>
        <w:t>-</w:t>
      </w:r>
      <w:r w:rsidRPr="00221992">
        <w:rPr>
          <w:lang w:val="en-GB"/>
        </w:rPr>
        <w:t>levels). Prices are mainly determined by the following two issues:</w:t>
      </w:r>
    </w:p>
    <w:p w14:paraId="26F337D5" w14:textId="77777777" w:rsidR="007179C8" w:rsidRPr="00221992" w:rsidRDefault="00D95336" w:rsidP="00957584">
      <w:pPr>
        <w:pStyle w:val="ListParagraph2"/>
        <w:rPr>
          <w:lang w:val="en-GB"/>
        </w:rPr>
      </w:pPr>
      <w:r w:rsidRPr="00221992">
        <w:rPr>
          <w:lang w:val="en-GB"/>
        </w:rPr>
        <w:t>a)</w:t>
      </w:r>
      <w:r w:rsidR="007179C8" w:rsidRPr="00221992">
        <w:rPr>
          <w:lang w:val="en-GB"/>
        </w:rPr>
        <w:tab/>
      </w:r>
      <w:r w:rsidRPr="00221992">
        <w:rPr>
          <w:lang w:val="en-GB"/>
        </w:rPr>
        <w:t>A comparative pharmaco-economic evaluation of the medicine in which the advantages of the new product should be quantified.</w:t>
      </w:r>
    </w:p>
    <w:p w14:paraId="7DE9B8BC" w14:textId="4022AA56" w:rsidR="00D95336" w:rsidRPr="00221992" w:rsidRDefault="007179C8" w:rsidP="00957584">
      <w:pPr>
        <w:pStyle w:val="ListParagraph2"/>
        <w:rPr>
          <w:lang w:val="en-GB"/>
        </w:rPr>
      </w:pPr>
      <w:r w:rsidRPr="00221992">
        <w:rPr>
          <w:lang w:val="en-GB"/>
        </w:rPr>
        <w:t>b)</w:t>
      </w:r>
      <w:r w:rsidRPr="00221992">
        <w:rPr>
          <w:lang w:val="en-GB"/>
        </w:rPr>
        <w:tab/>
      </w:r>
      <w:r w:rsidR="00D95336" w:rsidRPr="00221992">
        <w:rPr>
          <w:lang w:val="en-GB"/>
        </w:rPr>
        <w:t xml:space="preserve">The price of the product in other EU </w:t>
      </w:r>
      <w:r w:rsidR="004E29C0">
        <w:rPr>
          <w:lang w:val="en-GB"/>
        </w:rPr>
        <w:t>m</w:t>
      </w:r>
      <w:r w:rsidR="00D95336" w:rsidRPr="00221992">
        <w:rPr>
          <w:lang w:val="en-GB"/>
        </w:rPr>
        <w:t xml:space="preserve">ember </w:t>
      </w:r>
      <w:r w:rsidR="004E29C0">
        <w:rPr>
          <w:lang w:val="en-GB"/>
        </w:rPr>
        <w:t>s</w:t>
      </w:r>
      <w:r w:rsidR="00D95336" w:rsidRPr="00221992">
        <w:rPr>
          <w:lang w:val="en-GB"/>
        </w:rPr>
        <w:t>tates.</w:t>
      </w:r>
    </w:p>
    <w:p w14:paraId="0A60F85D" w14:textId="0CED86E1" w:rsidR="00D95336" w:rsidRPr="00221992" w:rsidRDefault="00D95336" w:rsidP="00702C58">
      <w:pPr>
        <w:rPr>
          <w:lang w:val="en-GB"/>
        </w:rPr>
      </w:pPr>
      <w:r w:rsidRPr="00221992">
        <w:rPr>
          <w:lang w:val="en-GB"/>
        </w:rPr>
        <w:t>Other than these, companies must be ready for authorities to consider other issues</w:t>
      </w:r>
      <w:r w:rsidR="00241D87">
        <w:rPr>
          <w:lang w:val="en-GB"/>
        </w:rPr>
        <w:t>,</w:t>
      </w:r>
      <w:r w:rsidRPr="00221992">
        <w:rPr>
          <w:lang w:val="en-GB"/>
        </w:rPr>
        <w:t xml:space="preserve"> such as the activities performed by the company in Spain (R&amp;D, manufacturing, etc.) and the relationship with a local company through a co-marketing or licensing arrangement.</w:t>
      </w:r>
    </w:p>
    <w:p w14:paraId="4524C933" w14:textId="0BE4FB87" w:rsidR="00D95336" w:rsidRPr="00221992" w:rsidRDefault="00D95336" w:rsidP="00702C58">
      <w:pPr>
        <w:rPr>
          <w:lang w:val="en-GB"/>
        </w:rPr>
      </w:pPr>
      <w:r w:rsidRPr="00221992">
        <w:rPr>
          <w:lang w:val="en-GB"/>
        </w:rPr>
        <w:t>It should be noted that in the case that a similar product is commercialised in the Spanish market, authorities may use it to determine price</w:t>
      </w:r>
      <w:r w:rsidR="00241D87">
        <w:rPr>
          <w:lang w:val="en-GB"/>
        </w:rPr>
        <w:t>, i.e.,</w:t>
      </w:r>
      <w:r w:rsidR="008A6310">
        <w:rPr>
          <w:lang w:val="en-GB"/>
        </w:rPr>
        <w:t xml:space="preserve"> </w:t>
      </w:r>
      <w:r w:rsidR="00241D87">
        <w:rPr>
          <w:lang w:val="en-GB"/>
        </w:rPr>
        <w:t>t</w:t>
      </w:r>
      <w:r w:rsidRPr="00221992">
        <w:rPr>
          <w:lang w:val="en-GB"/>
        </w:rPr>
        <w:t>he price</w:t>
      </w:r>
      <w:r w:rsidR="00241D87">
        <w:rPr>
          <w:lang w:val="en-GB"/>
        </w:rPr>
        <w:t>s</w:t>
      </w:r>
      <w:r w:rsidRPr="00221992">
        <w:rPr>
          <w:lang w:val="en-GB"/>
        </w:rPr>
        <w:t xml:space="preserve"> of competing product</w:t>
      </w:r>
      <w:r w:rsidR="00241D87">
        <w:rPr>
          <w:lang w:val="en-GB"/>
        </w:rPr>
        <w:t>s</w:t>
      </w:r>
      <w:r w:rsidRPr="00221992">
        <w:rPr>
          <w:lang w:val="en-GB"/>
        </w:rPr>
        <w:t xml:space="preserve"> </w:t>
      </w:r>
      <w:r w:rsidR="00241D87">
        <w:rPr>
          <w:lang w:val="en-GB"/>
        </w:rPr>
        <w:t>in</w:t>
      </w:r>
      <w:r w:rsidR="00241D87" w:rsidRPr="00221992">
        <w:rPr>
          <w:lang w:val="en-GB"/>
        </w:rPr>
        <w:t xml:space="preserve"> </w:t>
      </w:r>
      <w:r w:rsidRPr="00221992">
        <w:rPr>
          <w:lang w:val="en-GB"/>
        </w:rPr>
        <w:t>Spain serve as a reference for the Ministry of Health (MOH) when discussing the price of new product</w:t>
      </w:r>
      <w:r w:rsidR="00241D87">
        <w:rPr>
          <w:lang w:val="en-GB"/>
        </w:rPr>
        <w:t>s</w:t>
      </w:r>
      <w:r w:rsidRPr="00221992">
        <w:rPr>
          <w:lang w:val="en-GB"/>
        </w:rPr>
        <w:t xml:space="preserve">. It also relevant to highlight that the regulatory agency (Spanish Agency of Medicines and Medical Devices, AEMPS) may issue a Therapeutic Positioning Report, on which the MOH relies when </w:t>
      </w:r>
      <w:r w:rsidR="00241D87">
        <w:rPr>
          <w:lang w:val="en-GB"/>
        </w:rPr>
        <w:t>determining</w:t>
      </w:r>
      <w:r w:rsidR="00241D87" w:rsidRPr="00221992">
        <w:rPr>
          <w:lang w:val="en-GB"/>
        </w:rPr>
        <w:t xml:space="preserve"> </w:t>
      </w:r>
      <w:r w:rsidRPr="00221992">
        <w:rPr>
          <w:lang w:val="en-GB"/>
        </w:rPr>
        <w:t>pricing and reimbursement.</w:t>
      </w:r>
    </w:p>
    <w:p w14:paraId="2F4772F5" w14:textId="2625D7C2" w:rsidR="00D95336" w:rsidRPr="00221992" w:rsidRDefault="00D95336" w:rsidP="00702C58">
      <w:pPr>
        <w:rPr>
          <w:lang w:val="en-GB"/>
        </w:rPr>
      </w:pPr>
      <w:r w:rsidRPr="00221992">
        <w:rPr>
          <w:lang w:val="en-GB"/>
        </w:rPr>
        <w:t>The general political environment in Spain has affected the pricing of medicinal products.</w:t>
      </w:r>
      <w:r w:rsidR="008A6310">
        <w:rPr>
          <w:lang w:val="en-GB"/>
        </w:rPr>
        <w:t xml:space="preserve"> </w:t>
      </w:r>
      <w:r w:rsidRPr="00221992">
        <w:rPr>
          <w:lang w:val="en-GB"/>
        </w:rPr>
        <w:t xml:space="preserve">Over the last few years, budget constraints have been constant, and authorities have been strict and </w:t>
      </w:r>
      <w:r w:rsidR="00CE3A9C">
        <w:rPr>
          <w:lang w:val="en-GB"/>
        </w:rPr>
        <w:t>conservative</w:t>
      </w:r>
      <w:r w:rsidR="00CE3A9C" w:rsidRPr="00221992">
        <w:rPr>
          <w:lang w:val="en-GB"/>
        </w:rPr>
        <w:t xml:space="preserve"> </w:t>
      </w:r>
      <w:r w:rsidRPr="00221992">
        <w:rPr>
          <w:lang w:val="en-GB"/>
        </w:rPr>
        <w:t xml:space="preserve">in pricing decisions. In late 2015, Farmaindustria (the association of the Spanish innovative pharmaceutical industry) reached an agreement with the Spanish Government (the </w:t>
      </w:r>
      <w:r w:rsidR="00551786">
        <w:rPr>
          <w:lang w:val="en-GB"/>
        </w:rPr>
        <w:t>‘</w:t>
      </w:r>
      <w:r w:rsidRPr="00221992">
        <w:rPr>
          <w:lang w:val="en-GB"/>
        </w:rPr>
        <w:t>Farmaindustria Agreement</w:t>
      </w:r>
      <w:r w:rsidR="00551786">
        <w:rPr>
          <w:lang w:val="en-GB"/>
        </w:rPr>
        <w:t>’</w:t>
      </w:r>
      <w:r w:rsidRPr="00221992">
        <w:rPr>
          <w:lang w:val="en-GB"/>
        </w:rPr>
        <w:t xml:space="preserve">) under which pharmaceutical expenditure was </w:t>
      </w:r>
      <w:r w:rsidR="00CE3A9C">
        <w:rPr>
          <w:lang w:val="en-GB"/>
        </w:rPr>
        <w:t>not to exceed</w:t>
      </w:r>
      <w:r w:rsidRPr="00221992">
        <w:rPr>
          <w:lang w:val="en-GB"/>
        </w:rPr>
        <w:t xml:space="preserve"> real GDP growth.</w:t>
      </w:r>
      <w:r w:rsidR="008A6310">
        <w:rPr>
          <w:lang w:val="en-GB"/>
        </w:rPr>
        <w:t xml:space="preserve"> </w:t>
      </w:r>
      <w:r w:rsidR="00CE3A9C">
        <w:rPr>
          <w:lang w:val="en-GB"/>
        </w:rPr>
        <w:t>I</w:t>
      </w:r>
      <w:r w:rsidR="00CE3A9C" w:rsidRPr="00221992">
        <w:rPr>
          <w:lang w:val="en-GB"/>
        </w:rPr>
        <w:t>n the event that expenditure exceeded the agreed ratio</w:t>
      </w:r>
      <w:r w:rsidR="00CE3A9C">
        <w:rPr>
          <w:lang w:val="en-GB"/>
        </w:rPr>
        <w:t>,</w:t>
      </w:r>
      <w:r w:rsidR="00CE3A9C" w:rsidRPr="00221992">
        <w:rPr>
          <w:lang w:val="en-GB"/>
        </w:rPr>
        <w:t xml:space="preserve"> </w:t>
      </w:r>
      <w:r w:rsidR="00CE3A9C">
        <w:rPr>
          <w:lang w:val="en-GB"/>
        </w:rPr>
        <w:t>t</w:t>
      </w:r>
      <w:r w:rsidRPr="00221992">
        <w:rPr>
          <w:lang w:val="en-GB"/>
        </w:rPr>
        <w:t>he agreement contemplated chargebacks to be paid by pharmaceutical companies</w:t>
      </w:r>
      <w:r w:rsidR="00CE3A9C">
        <w:rPr>
          <w:lang w:val="en-GB"/>
        </w:rPr>
        <w:t>,</w:t>
      </w:r>
      <w:r w:rsidR="008A6310">
        <w:rPr>
          <w:lang w:val="en-GB"/>
        </w:rPr>
        <w:t xml:space="preserve"> </w:t>
      </w:r>
      <w:r w:rsidR="00CE3A9C">
        <w:rPr>
          <w:lang w:val="en-GB"/>
        </w:rPr>
        <w:t>as well as</w:t>
      </w:r>
      <w:r w:rsidRPr="00221992">
        <w:rPr>
          <w:lang w:val="en-GB"/>
        </w:rPr>
        <w:t xml:space="preserve"> </w:t>
      </w:r>
      <w:r w:rsidR="00CE3A9C">
        <w:rPr>
          <w:lang w:val="en-GB"/>
        </w:rPr>
        <w:t xml:space="preserve">adoption of </w:t>
      </w:r>
      <w:r w:rsidRPr="00221992">
        <w:rPr>
          <w:lang w:val="en-GB"/>
        </w:rPr>
        <w:t>special measures to rationalise the use of medicinal products.</w:t>
      </w:r>
      <w:r w:rsidR="008A6310">
        <w:rPr>
          <w:lang w:val="en-GB"/>
        </w:rPr>
        <w:t xml:space="preserve"> </w:t>
      </w:r>
      <w:r w:rsidRPr="00221992">
        <w:rPr>
          <w:lang w:val="en-GB"/>
        </w:rPr>
        <w:t xml:space="preserve">These measures, in essence, would imply barriers for prescription of </w:t>
      </w:r>
      <w:r w:rsidR="00CE3A9C">
        <w:rPr>
          <w:lang w:val="en-GB"/>
        </w:rPr>
        <w:t xml:space="preserve">drugs with </w:t>
      </w:r>
      <w:r w:rsidRPr="00221992">
        <w:rPr>
          <w:lang w:val="en-GB"/>
        </w:rPr>
        <w:t>high</w:t>
      </w:r>
      <w:r w:rsidR="00CE3A9C">
        <w:rPr>
          <w:lang w:val="en-GB"/>
        </w:rPr>
        <w:t xml:space="preserve"> </w:t>
      </w:r>
      <w:r w:rsidRPr="00221992">
        <w:rPr>
          <w:lang w:val="en-GB"/>
        </w:rPr>
        <w:t>budgetary</w:t>
      </w:r>
      <w:r w:rsidR="00CE3A9C">
        <w:rPr>
          <w:lang w:val="en-GB"/>
        </w:rPr>
        <w:t xml:space="preserve"> </w:t>
      </w:r>
      <w:r w:rsidRPr="00221992">
        <w:rPr>
          <w:lang w:val="en-GB"/>
        </w:rPr>
        <w:t>impact. The Farmaindustria Agreement was fully effective until 30 June 2020.</w:t>
      </w:r>
      <w:r w:rsidR="008A6310">
        <w:rPr>
          <w:lang w:val="en-GB"/>
        </w:rPr>
        <w:t xml:space="preserve"> </w:t>
      </w:r>
      <w:r w:rsidR="00CE3A9C">
        <w:rPr>
          <w:lang w:val="en-GB"/>
        </w:rPr>
        <w:t>N</w:t>
      </w:r>
      <w:r w:rsidRPr="00221992">
        <w:rPr>
          <w:lang w:val="en-GB"/>
        </w:rPr>
        <w:t>egotiat</w:t>
      </w:r>
      <w:r w:rsidR="00CE3A9C">
        <w:rPr>
          <w:lang w:val="en-GB"/>
        </w:rPr>
        <w:t>ions over</w:t>
      </w:r>
      <w:r w:rsidRPr="00221992">
        <w:rPr>
          <w:lang w:val="en-GB"/>
        </w:rPr>
        <w:t xml:space="preserve"> a new agreement</w:t>
      </w:r>
      <w:r w:rsidR="00CE3A9C">
        <w:rPr>
          <w:lang w:val="en-GB"/>
        </w:rPr>
        <w:t xml:space="preserve"> are ongoing</w:t>
      </w:r>
      <w:r w:rsidRPr="00221992">
        <w:rPr>
          <w:lang w:val="en-GB"/>
        </w:rPr>
        <w:t>.</w:t>
      </w:r>
    </w:p>
    <w:p w14:paraId="6311FB24" w14:textId="7A5193B2" w:rsidR="00D95336" w:rsidRPr="00221992" w:rsidRDefault="00D95336" w:rsidP="00702C58">
      <w:pPr>
        <w:rPr>
          <w:lang w:val="en-GB"/>
        </w:rPr>
      </w:pPr>
      <w:r w:rsidRPr="00221992">
        <w:rPr>
          <w:lang w:val="en-GB"/>
        </w:rPr>
        <w:t xml:space="preserve">In July 2022, the MOH opened a public consultation on the first draft of the law </w:t>
      </w:r>
      <w:r w:rsidR="00CE3A9C">
        <w:rPr>
          <w:lang w:val="en-GB"/>
        </w:rPr>
        <w:t>to</w:t>
      </w:r>
      <w:r w:rsidRPr="00221992">
        <w:rPr>
          <w:lang w:val="en-GB"/>
        </w:rPr>
        <w:t xml:space="preserve"> amend the current Royal Legislative Decree, with active reforms being considered on three principal axes: </w:t>
      </w:r>
      <w:r w:rsidR="00CE3A9C">
        <w:rPr>
          <w:lang w:val="en-GB"/>
        </w:rPr>
        <w:t>p</w:t>
      </w:r>
      <w:r w:rsidRPr="00221992">
        <w:rPr>
          <w:lang w:val="en-GB"/>
        </w:rPr>
        <w:t xml:space="preserve">ublic financing of medicines, the experience of the </w:t>
      </w:r>
      <w:r w:rsidR="00CE3A9C">
        <w:rPr>
          <w:lang w:val="en-GB"/>
        </w:rPr>
        <w:t xml:space="preserve">Covid-19 </w:t>
      </w:r>
      <w:r w:rsidRPr="00221992">
        <w:rPr>
          <w:lang w:val="en-GB"/>
        </w:rPr>
        <w:t>pandemic and the impact of new technologies, and implementation of EU law</w:t>
      </w:r>
      <w:r w:rsidR="00F5766F" w:rsidRPr="00221992">
        <w:rPr>
          <w:lang w:val="en-GB"/>
        </w:rPr>
        <w:t xml:space="preserve"> </w:t>
      </w:r>
      <w:r w:rsidRPr="00221992">
        <w:rPr>
          <w:lang w:val="en-GB"/>
        </w:rPr>
        <w:fldChar w:fldCharType="begin"/>
      </w:r>
      <w:r w:rsidR="00112E71">
        <w:rPr>
          <w:lang w:val="en-GB"/>
        </w:rPr>
        <w:instrText xml:space="preserve"> ADDIN EN.CITE &lt;EndNote&gt;&lt;Cite&gt;&lt;Author&gt;Faus&lt;/Author&gt;&lt;Year&gt;2022&lt;/Year&gt;&lt;RecNum&gt;233&lt;/RecNum&gt;&lt;DisplayText&gt;[36]&lt;/DisplayText&gt;&lt;record&gt;&lt;rec-number&gt;233&lt;/rec-number&gt;&lt;foreign-keys&gt;&lt;key app="EN" db-id="wzwwsfxe4peesxef95cxvrwjxts9rreasarf" timestamp="1692654670"&gt;233&lt;/key&gt;&lt;/foreign-keys&gt;&lt;ref-type name="Web Page"&gt;12&lt;/ref-type&gt;&lt;contributors&gt;&lt;authors&gt;&lt;author&gt;Faus, J.&lt;/author&gt;&lt;author&gt;Alcover, L.&lt;/author&gt;&lt;author&gt;Bailach, J.&lt;/author&gt;&lt;/authors&gt;&lt;/contributors&gt;&lt;titles&gt;&lt;title&gt;Pricing &amp;amp; Reimbursement Laws and Regulations 2022 - Spain&lt;/title&gt;&lt;/titles&gt;&lt;number&gt;23 August 2023&lt;/number&gt;&lt;dates&gt;&lt;year&gt;2022&lt;/year&gt;&lt;/dates&gt;&lt;publisher&gt;Global Legal Insights&lt;/publisher&gt;&lt;urls&gt;&lt;related-urls&gt;&lt;url&gt;https://www.globallegalinsights.com/practice-areas/pricing-and-reimbursement-laws-and-regulations/spain&lt;/url&gt;&lt;/related-urls&gt;&lt;/urls&gt;&lt;/record&gt;&lt;/Cite&gt;&lt;/EndNote&gt;</w:instrText>
      </w:r>
      <w:r w:rsidRPr="00221992">
        <w:rPr>
          <w:lang w:val="en-GB"/>
        </w:rPr>
        <w:fldChar w:fldCharType="separate"/>
      </w:r>
      <w:r w:rsidR="00112E71">
        <w:rPr>
          <w:noProof/>
          <w:lang w:val="en-GB"/>
        </w:rPr>
        <w:t>[36]</w:t>
      </w:r>
      <w:r w:rsidRPr="00221992">
        <w:rPr>
          <w:lang w:val="en-GB"/>
        </w:rPr>
        <w:fldChar w:fldCharType="end"/>
      </w:r>
      <w:r w:rsidR="00F5766F" w:rsidRPr="00221992">
        <w:rPr>
          <w:lang w:val="en-GB"/>
        </w:rPr>
        <w:t>.</w:t>
      </w:r>
      <w:r w:rsidRPr="00221992">
        <w:rPr>
          <w:lang w:val="en-GB"/>
        </w:rPr>
        <w:t xml:space="preserve"> </w:t>
      </w:r>
    </w:p>
    <w:p w14:paraId="43DC81A0" w14:textId="2B6BD185" w:rsidR="00D95336" w:rsidRPr="00221992" w:rsidRDefault="00D95336" w:rsidP="00702C58">
      <w:pPr>
        <w:rPr>
          <w:lang w:val="en-GB"/>
        </w:rPr>
      </w:pPr>
      <w:r w:rsidRPr="00221992">
        <w:rPr>
          <w:lang w:val="en-GB"/>
        </w:rPr>
        <w:t>Sweden uses a value-based pricing system for pharmaceuticals.</w:t>
      </w:r>
      <w:r w:rsidRPr="00221992" w:rsidDel="009D3129">
        <w:rPr>
          <w:lang w:val="en-GB"/>
        </w:rPr>
        <w:t xml:space="preserve"> </w:t>
      </w:r>
      <w:r w:rsidR="009D3129" w:rsidRPr="00221992">
        <w:rPr>
          <w:lang w:val="en-GB"/>
        </w:rPr>
        <w:t>TLV</w:t>
      </w:r>
      <w:r w:rsidRPr="00221992">
        <w:rPr>
          <w:lang w:val="en-GB"/>
        </w:rPr>
        <w:t>, which is an expert state agency, decides if and to what extent a pharmaceutical shall be reimbursed, according to the Pharmaceutical Benefits Act (2002:160) (Sw. lag om läkemedelsförmåner m.m.) (</w:t>
      </w:r>
      <w:r w:rsidR="00551786">
        <w:rPr>
          <w:lang w:val="en-GB"/>
        </w:rPr>
        <w:t>‘</w:t>
      </w:r>
      <w:r w:rsidRPr="00221992">
        <w:rPr>
          <w:lang w:val="en-GB"/>
        </w:rPr>
        <w:t>PBA</w:t>
      </w:r>
      <w:r w:rsidR="00551786">
        <w:rPr>
          <w:lang w:val="en-GB"/>
        </w:rPr>
        <w:t>’</w:t>
      </w:r>
      <w:r w:rsidRPr="00221992">
        <w:rPr>
          <w:lang w:val="en-GB"/>
        </w:rPr>
        <w:t>) and the Pharmaceutical Benefits Ordinance (2002:687) (Sw. förordning om läkemedelsförmåner m.m.) (</w:t>
      </w:r>
      <w:r w:rsidR="00551786">
        <w:rPr>
          <w:lang w:val="en-GB"/>
        </w:rPr>
        <w:t>‘</w:t>
      </w:r>
      <w:r w:rsidRPr="00221992">
        <w:rPr>
          <w:lang w:val="en-GB"/>
        </w:rPr>
        <w:t>PBO</w:t>
      </w:r>
      <w:r w:rsidR="00551786">
        <w:rPr>
          <w:lang w:val="en-GB"/>
        </w:rPr>
        <w:t>’</w:t>
      </w:r>
      <w:r w:rsidRPr="00221992">
        <w:rPr>
          <w:lang w:val="en-GB"/>
        </w:rPr>
        <w:t>).</w:t>
      </w:r>
      <w:r w:rsidR="008A6310">
        <w:rPr>
          <w:lang w:val="en-GB"/>
        </w:rPr>
        <w:t xml:space="preserve"> </w:t>
      </w:r>
      <w:r w:rsidRPr="00221992">
        <w:rPr>
          <w:lang w:val="en-GB"/>
        </w:rPr>
        <w:t>The TLV also issues regulations and general guidance. Sweden has a decentralized HTA and procurement process, conducted at national, regional and county levels. In 2014, a three-party negotiation process involving the regions, TLV and the pharmaceutical company in question was introduced.</w:t>
      </w:r>
      <w:r w:rsidR="008A6310">
        <w:rPr>
          <w:lang w:val="en-GB"/>
        </w:rPr>
        <w:t xml:space="preserve"> </w:t>
      </w:r>
      <w:r w:rsidRPr="00221992">
        <w:rPr>
          <w:lang w:val="en-GB"/>
        </w:rPr>
        <w:t xml:space="preserve">The three-party negotiations are intended to facilitate a more dynamic process for pricing and reimbursement assessments of pharmaceuticals, as well as facilitate access to new, innovative treatment options for patients </w:t>
      </w:r>
      <w:r w:rsidR="008A528D">
        <w:rPr>
          <w:lang w:val="en-GB"/>
        </w:rPr>
        <w:t>at lower prices</w:t>
      </w:r>
      <w:r w:rsidRPr="00221992">
        <w:rPr>
          <w:lang w:val="en-GB"/>
        </w:rPr>
        <w:t xml:space="preserve"> for the </w:t>
      </w:r>
      <w:r w:rsidR="008A528D">
        <w:rPr>
          <w:lang w:val="en-GB"/>
        </w:rPr>
        <w:t>community</w:t>
      </w:r>
      <w:r w:rsidRPr="00221992">
        <w:rPr>
          <w:lang w:val="en-GB"/>
        </w:rPr>
        <w:t xml:space="preserve">. In 2021, TLV was instructed by the Swedish Government to implement cost-reducing measures on pharmaceuticals included in the pharmaceutical benefits scheme, </w:t>
      </w:r>
      <w:r w:rsidR="008A528D">
        <w:rPr>
          <w:lang w:val="en-GB"/>
        </w:rPr>
        <w:t>and to</w:t>
      </w:r>
      <w:r w:rsidRPr="00221992">
        <w:rPr>
          <w:lang w:val="en-GB"/>
        </w:rPr>
        <w:t xml:space="preserve"> improve pric</w:t>
      </w:r>
      <w:r w:rsidR="008A528D">
        <w:rPr>
          <w:lang w:val="en-GB"/>
        </w:rPr>
        <w:t>ing</w:t>
      </w:r>
      <w:r w:rsidRPr="00221992">
        <w:rPr>
          <w:lang w:val="en-GB"/>
        </w:rPr>
        <w:t xml:space="preserve"> dynamic</w:t>
      </w:r>
      <w:r w:rsidR="008A528D">
        <w:rPr>
          <w:lang w:val="en-GB"/>
        </w:rPr>
        <w:t>s</w:t>
      </w:r>
      <w:r w:rsidRPr="00221992">
        <w:rPr>
          <w:lang w:val="en-GB"/>
        </w:rPr>
        <w:t xml:space="preserve"> and access to pharmaceuticals in Sweden.</w:t>
      </w:r>
      <w:r w:rsidR="008A6310">
        <w:rPr>
          <w:lang w:val="en-GB"/>
        </w:rPr>
        <w:t xml:space="preserve"> </w:t>
      </w:r>
      <w:r w:rsidRPr="00221992">
        <w:rPr>
          <w:lang w:val="en-GB"/>
        </w:rPr>
        <w:t xml:space="preserve">A 2022 agreement between the regions and the Swedish Government concerning </w:t>
      </w:r>
      <w:r w:rsidR="00DA5E7D">
        <w:rPr>
          <w:lang w:val="en-GB"/>
        </w:rPr>
        <w:t xml:space="preserve">the </w:t>
      </w:r>
      <w:r w:rsidRPr="00221992">
        <w:rPr>
          <w:lang w:val="en-GB"/>
        </w:rPr>
        <w:t>financing of pharmaceuticals disincentivise</w:t>
      </w:r>
      <w:r w:rsidR="00DA5E7D">
        <w:rPr>
          <w:lang w:val="en-GB"/>
        </w:rPr>
        <w:t>s</w:t>
      </w:r>
      <w:r w:rsidRPr="00221992">
        <w:rPr>
          <w:lang w:val="en-GB"/>
        </w:rPr>
        <w:t xml:space="preserve"> the regions from entering into new agreements outside the three-party negotiation process. The Swedish Government</w:t>
      </w:r>
      <w:r w:rsidR="00DA5E7D">
        <w:rPr>
          <w:lang w:val="en-GB"/>
        </w:rPr>
        <w:t xml:space="preserve"> estimates</w:t>
      </w:r>
      <w:r w:rsidRPr="00221992">
        <w:rPr>
          <w:lang w:val="en-GB"/>
        </w:rPr>
        <w:t xml:space="preserve"> cost-reducing measures will save the state and regions at least SEK 800 million (approximately AUD$114 million</w:t>
      </w:r>
      <w:r w:rsidR="007B615A">
        <w:rPr>
          <w:lang w:val="en-GB"/>
        </w:rPr>
        <w:t>, 2023</w:t>
      </w:r>
      <w:r w:rsidRPr="00221992">
        <w:rPr>
          <w:lang w:val="en-GB"/>
        </w:rPr>
        <w:t xml:space="preserve">) </w:t>
      </w:r>
      <w:r w:rsidR="00DA5E7D">
        <w:rPr>
          <w:lang w:val="en-GB"/>
        </w:rPr>
        <w:t>over four years</w:t>
      </w:r>
      <w:r w:rsidRPr="00221992">
        <w:rPr>
          <w:lang w:val="en-GB"/>
        </w:rPr>
        <w:t>, as a result of price changes, three-party negotiations and side agreements</w:t>
      </w:r>
      <w:r w:rsidR="00F5766F" w:rsidRPr="00221992">
        <w:rPr>
          <w:lang w:val="en-GB"/>
        </w:rPr>
        <w:t xml:space="preserve"> </w:t>
      </w:r>
      <w:r w:rsidRPr="00221992">
        <w:rPr>
          <w:lang w:val="en-GB"/>
        </w:rPr>
        <w:fldChar w:fldCharType="begin"/>
      </w:r>
      <w:r w:rsidR="00112E71">
        <w:rPr>
          <w:lang w:val="en-GB"/>
        </w:rPr>
        <w:instrText xml:space="preserve"> ADDIN EN.CITE &lt;EndNote&gt;&lt;Cite&gt;&lt;Author&gt;Swarting&lt;/Author&gt;&lt;Year&gt;2022&lt;/Year&gt;&lt;RecNum&gt;360&lt;/RecNum&gt;&lt;DisplayText&gt;[37]&lt;/DisplayText&gt;&lt;record&gt;&lt;rec-number&gt;360&lt;/rec-number&gt;&lt;foreign-keys&gt;&lt;key app="EN" db-id="wzwwsfxe4peesxef95cxvrwjxts9rreasarf" timestamp="1692654670"&gt;360&lt;/key&gt;&lt;/foreign-keys&gt;&lt;ref-type name="Web Page"&gt;12&lt;/ref-type&gt;&lt;contributors&gt;&lt;authors&gt;&lt;author&gt;Swarting, O.&lt;/author&gt;&lt;author&gt;Hedman, P.&lt;/author&gt;&lt;author&gt;Tilus, H.&lt;/author&gt;&lt;/authors&gt;&lt;/contributors&gt;&lt;titles&gt;&lt;title&gt;Pricing &amp;amp; Reimbursement Laws and Regulations 2022 - Sweden&lt;/title&gt;&lt;/titles&gt;&lt;number&gt;23 August 2023&lt;/number&gt;&lt;dates&gt;&lt;year&gt;2022&lt;/year&gt;&lt;/dates&gt;&lt;publisher&gt;Global Legal Insights&lt;/publisher&gt;&lt;urls&gt;&lt;related-urls&gt;&lt;url&gt;https://www.globallegalinsights.com/practice-areas/pricing-and-reimbursement-laws-and-regulations/sweden&lt;/url&gt;&lt;/related-urls&gt;&lt;/urls&gt;&lt;/record&gt;&lt;/Cite&gt;&lt;/EndNote&gt;</w:instrText>
      </w:r>
      <w:r w:rsidRPr="00221992">
        <w:rPr>
          <w:lang w:val="en-GB"/>
        </w:rPr>
        <w:fldChar w:fldCharType="separate"/>
      </w:r>
      <w:r w:rsidR="00112E71">
        <w:rPr>
          <w:noProof/>
          <w:lang w:val="en-GB"/>
        </w:rPr>
        <w:t>[37]</w:t>
      </w:r>
      <w:r w:rsidRPr="00221992">
        <w:rPr>
          <w:lang w:val="en-GB"/>
        </w:rPr>
        <w:fldChar w:fldCharType="end"/>
      </w:r>
      <w:r w:rsidR="00F5766F" w:rsidRPr="00221992">
        <w:rPr>
          <w:lang w:val="en-GB"/>
        </w:rPr>
        <w:t>.</w:t>
      </w:r>
    </w:p>
    <w:p w14:paraId="7D65A007" w14:textId="3CB7ADEF" w:rsidR="00D95336" w:rsidRPr="00221992" w:rsidRDefault="009B4C23" w:rsidP="00702C58">
      <w:pPr>
        <w:rPr>
          <w:lang w:val="en-GB"/>
        </w:rPr>
      </w:pPr>
      <w:r w:rsidRPr="00221992">
        <w:rPr>
          <w:lang w:val="en-GB"/>
        </w:rPr>
        <w:t xml:space="preserve">In Taiwan, </w:t>
      </w:r>
      <w:r w:rsidR="00A564B0" w:rsidRPr="00221992">
        <w:rPr>
          <w:lang w:val="en-GB"/>
        </w:rPr>
        <w:t>the</w:t>
      </w:r>
      <w:r w:rsidR="002D3A46" w:rsidRPr="00221992">
        <w:rPr>
          <w:lang w:val="en-GB"/>
        </w:rPr>
        <w:t xml:space="preserve"> </w:t>
      </w:r>
      <w:r w:rsidR="00D95336" w:rsidRPr="00221992">
        <w:rPr>
          <w:lang w:val="en-GB"/>
        </w:rPr>
        <w:t>National Health Insurance Administration (NHIA) consult</w:t>
      </w:r>
      <w:r w:rsidR="00523BA9">
        <w:rPr>
          <w:lang w:val="en-GB"/>
        </w:rPr>
        <w:t>s</w:t>
      </w:r>
      <w:r w:rsidR="00D95336" w:rsidRPr="00221992">
        <w:rPr>
          <w:lang w:val="en-GB"/>
        </w:rPr>
        <w:t xml:space="preserve"> with HTA organisations and publish</w:t>
      </w:r>
      <w:r w:rsidR="00523BA9">
        <w:rPr>
          <w:lang w:val="en-GB"/>
        </w:rPr>
        <w:t>es</w:t>
      </w:r>
      <w:r w:rsidR="00D95336" w:rsidRPr="00221992">
        <w:rPr>
          <w:lang w:val="en-GB"/>
        </w:rPr>
        <w:t xml:space="preserve"> a report</w:t>
      </w:r>
      <w:r w:rsidR="00523BA9">
        <w:rPr>
          <w:lang w:val="en-GB"/>
        </w:rPr>
        <w:t xml:space="preserve"> to be</w:t>
      </w:r>
      <w:r w:rsidR="00D95336" w:rsidRPr="00221992">
        <w:rPr>
          <w:lang w:val="en-GB"/>
        </w:rPr>
        <w:t xml:space="preserve"> reviewed by </w:t>
      </w:r>
      <w:r w:rsidR="00523BA9">
        <w:rPr>
          <w:lang w:val="en-GB"/>
        </w:rPr>
        <w:t xml:space="preserve">an </w:t>
      </w:r>
      <w:r w:rsidR="00D95336" w:rsidRPr="00221992">
        <w:rPr>
          <w:lang w:val="en-GB"/>
        </w:rPr>
        <w:t xml:space="preserve">expert advisory </w:t>
      </w:r>
      <w:r w:rsidR="00523BA9">
        <w:rPr>
          <w:lang w:val="en-GB"/>
        </w:rPr>
        <w:t>panel.</w:t>
      </w:r>
      <w:r w:rsidR="00D95336" w:rsidRPr="00221992">
        <w:rPr>
          <w:lang w:val="en-GB"/>
        </w:rPr>
        <w:t xml:space="preserve"> </w:t>
      </w:r>
      <w:r w:rsidR="00523BA9">
        <w:rPr>
          <w:lang w:val="en-GB"/>
        </w:rPr>
        <w:t>T</w:t>
      </w:r>
      <w:r w:rsidR="00D95336" w:rsidRPr="00221992">
        <w:rPr>
          <w:lang w:val="en-GB"/>
        </w:rPr>
        <w:t xml:space="preserve">he Pharmaceutical Benefit and Reimbursement Scheme (PBRS) Joint Committee </w:t>
      </w:r>
      <w:r w:rsidR="00523BA9">
        <w:rPr>
          <w:lang w:val="en-GB"/>
        </w:rPr>
        <w:t>then invites the</w:t>
      </w:r>
      <w:r w:rsidR="00523BA9" w:rsidRPr="00221992">
        <w:rPr>
          <w:lang w:val="en-GB"/>
        </w:rPr>
        <w:t xml:space="preserve"> </w:t>
      </w:r>
      <w:r w:rsidR="00D95336" w:rsidRPr="00221992">
        <w:rPr>
          <w:lang w:val="en-GB"/>
        </w:rPr>
        <w:t xml:space="preserve">participation of </w:t>
      </w:r>
      <w:r w:rsidR="00523BA9">
        <w:rPr>
          <w:lang w:val="en-GB"/>
        </w:rPr>
        <w:t>various</w:t>
      </w:r>
      <w:r w:rsidR="00523BA9" w:rsidRPr="00221992">
        <w:rPr>
          <w:lang w:val="en-GB"/>
        </w:rPr>
        <w:t xml:space="preserve"> </w:t>
      </w:r>
      <w:r w:rsidR="00D95336" w:rsidRPr="00221992">
        <w:rPr>
          <w:lang w:val="en-GB"/>
        </w:rPr>
        <w:t>stakeholders (as a joint committee comprising government officials, health professionals, manufacturers, and members of the public) in the new drug evaluation process. The PBRS Joint Committee holds the</w:t>
      </w:r>
      <w:r w:rsidR="00523BA9">
        <w:rPr>
          <w:lang w:val="en-GB"/>
        </w:rPr>
        <w:t xml:space="preserve"> legal</w:t>
      </w:r>
      <w:r w:rsidR="00D95336" w:rsidRPr="00221992">
        <w:rPr>
          <w:lang w:val="en-GB"/>
        </w:rPr>
        <w:t xml:space="preserve"> right to recommend (if consensus is reached) </w:t>
      </w:r>
      <w:r w:rsidR="00523BA9">
        <w:rPr>
          <w:lang w:val="en-GB"/>
        </w:rPr>
        <w:t>or</w:t>
      </w:r>
      <w:r w:rsidR="00523BA9" w:rsidRPr="00221992">
        <w:rPr>
          <w:lang w:val="en-GB"/>
        </w:rPr>
        <w:t xml:space="preserve"> </w:t>
      </w:r>
      <w:r w:rsidR="00D95336" w:rsidRPr="00221992">
        <w:rPr>
          <w:lang w:val="en-GB"/>
        </w:rPr>
        <w:t>veto. A price volume agreement (PVA) is used, and new drug applications must negotiate and sign an agreement with the NHIA if the new drug expenditure is anticipated to exceed NT</w:t>
      </w:r>
      <w:r w:rsidR="003406A4">
        <w:rPr>
          <w:lang w:val="en-GB"/>
        </w:rPr>
        <w:t>D</w:t>
      </w:r>
      <w:r w:rsidR="00D95336" w:rsidRPr="00221992">
        <w:rPr>
          <w:lang w:val="en-GB"/>
        </w:rPr>
        <w:t xml:space="preserve">$200 million in any </w:t>
      </w:r>
      <w:r w:rsidR="00523BA9">
        <w:rPr>
          <w:lang w:val="en-GB"/>
        </w:rPr>
        <w:t>year</w:t>
      </w:r>
      <w:r w:rsidR="00523BA9" w:rsidRPr="00221992">
        <w:rPr>
          <w:lang w:val="en-GB"/>
        </w:rPr>
        <w:t xml:space="preserve"> </w:t>
      </w:r>
      <w:r w:rsidR="00D95336" w:rsidRPr="00221992">
        <w:rPr>
          <w:lang w:val="en-GB"/>
        </w:rPr>
        <w:t>o</w:t>
      </w:r>
      <w:r w:rsidR="00523BA9">
        <w:rPr>
          <w:lang w:val="en-GB"/>
        </w:rPr>
        <w:t>ver</w:t>
      </w:r>
      <w:r w:rsidR="00D95336" w:rsidRPr="00221992">
        <w:rPr>
          <w:lang w:val="en-GB"/>
        </w:rPr>
        <w:t xml:space="preserve"> </w:t>
      </w:r>
      <w:r w:rsidR="00523BA9">
        <w:rPr>
          <w:lang w:val="en-GB"/>
        </w:rPr>
        <w:t>a</w:t>
      </w:r>
      <w:r w:rsidR="00523BA9" w:rsidRPr="00221992">
        <w:rPr>
          <w:lang w:val="en-GB"/>
        </w:rPr>
        <w:t xml:space="preserve"> </w:t>
      </w:r>
      <w:r w:rsidR="00523BA9">
        <w:rPr>
          <w:lang w:val="en-GB"/>
        </w:rPr>
        <w:t>five</w:t>
      </w:r>
      <w:r w:rsidR="00D95336" w:rsidRPr="00221992">
        <w:rPr>
          <w:lang w:val="en-GB"/>
        </w:rPr>
        <w:t>-year financial forecast. For new drugs that do not fall under this category, if the actual drug expenditure exceeds NT</w:t>
      </w:r>
      <w:r w:rsidR="003406A4">
        <w:rPr>
          <w:lang w:val="en-GB"/>
        </w:rPr>
        <w:t>D</w:t>
      </w:r>
      <w:r w:rsidR="00D95336" w:rsidRPr="00221992">
        <w:rPr>
          <w:lang w:val="en-GB"/>
        </w:rPr>
        <w:t>$200 million (approximately AUD$10 million</w:t>
      </w:r>
      <w:r w:rsidR="003406A4">
        <w:rPr>
          <w:lang w:val="en-GB"/>
        </w:rPr>
        <w:t>, 2023</w:t>
      </w:r>
      <w:r w:rsidR="00D95336" w:rsidRPr="00221992">
        <w:rPr>
          <w:lang w:val="en-GB"/>
        </w:rPr>
        <w:t>) in any one of the</w:t>
      </w:r>
      <w:r w:rsidR="00523BA9">
        <w:rPr>
          <w:lang w:val="en-GB"/>
        </w:rPr>
        <w:t xml:space="preserve"> five</w:t>
      </w:r>
      <w:r w:rsidR="00D95336" w:rsidRPr="00221992">
        <w:rPr>
          <w:lang w:val="en-GB"/>
        </w:rPr>
        <w:t xml:space="preserve"> years after being reimbursed by the NHIA, manufacturers </w:t>
      </w:r>
      <w:r w:rsidR="00523BA9">
        <w:rPr>
          <w:lang w:val="en-GB"/>
        </w:rPr>
        <w:t>must</w:t>
      </w:r>
      <w:r w:rsidR="00D95336" w:rsidRPr="00221992">
        <w:rPr>
          <w:lang w:val="en-GB"/>
        </w:rPr>
        <w:t xml:space="preserve"> renegotiate a rebate program, known as the post-PVA</w:t>
      </w:r>
      <w:r w:rsidR="00F5766F" w:rsidRPr="00221992">
        <w:rPr>
          <w:lang w:val="en-GB"/>
        </w:rPr>
        <w:t xml:space="preserve"> </w:t>
      </w:r>
      <w:r w:rsidR="00D95336" w:rsidRPr="00221992">
        <w:rPr>
          <w:lang w:val="en-GB"/>
        </w:rPr>
        <w:fldChar w:fldCharType="begin"/>
      </w:r>
      <w:r w:rsidR="00112E71">
        <w:rPr>
          <w:lang w:val="en-GB"/>
        </w:rPr>
        <w:instrText xml:space="preserve"> ADDIN EN.CITE &lt;EndNote&gt;&lt;Cite&gt;&lt;Author&gt;Chen&lt;/Author&gt;&lt;Year&gt;2018&lt;/Year&gt;&lt;RecNum&gt;86&lt;/RecNum&gt;&lt;DisplayText&gt;[38]&lt;/DisplayText&gt;&lt;record&gt;&lt;rec-number&gt;86&lt;/rec-number&gt;&lt;foreign-keys&gt;&lt;key app="EN" db-id="wzwwsfxe4peesxef95cxvrwjxts9rreasarf" timestamp="1692654670"&gt;86&lt;/key&gt;&lt;/foreign-keys&gt;&lt;ref-type name="Journal Article"&gt;17&lt;/ref-type&gt;&lt;contributors&gt;&lt;authors&gt;&lt;author&gt;Chen, Gau-Tzu&lt;/author&gt;&lt;author&gt;Chang, Shu-Chen&lt;/author&gt;&lt;author&gt;Chang, Chee-Jen&lt;/author&gt;&lt;/authors&gt;&lt;/contributors&gt;&lt;titles&gt;&lt;title&gt;New Drug Reimbursement and Pricing Policy in Taiwan&lt;/title&gt;&lt;secondary-title&gt;Value in Health Regional Issues&lt;/secondary-title&gt;&lt;/titles&gt;&lt;periodical&gt;&lt;full-title&gt;Value in Health Regional Issues&lt;/full-title&gt;&lt;/periodical&gt;&lt;pages&gt;127-132&lt;/pages&gt;&lt;volume&gt;15&lt;/volume&gt;&lt;keywords&gt;&lt;keyword&gt;health technology assessment&lt;/keyword&gt;&lt;keyword&gt;National Health Insurance Administration&lt;/keyword&gt;&lt;keyword&gt;new drug pricing policy&lt;/keyword&gt;&lt;keyword&gt;Pharmaceutical Benefit and Reimbursement Scheme&lt;/keyword&gt;&lt;keyword&gt;reimbursement&lt;/keyword&gt;&lt;/keywords&gt;&lt;dates&gt;&lt;year&gt;2018&lt;/year&gt;&lt;pub-dates&gt;&lt;date&gt;2018/05/01/&lt;/date&gt;&lt;/pub-dates&gt;&lt;/dates&gt;&lt;isbn&gt;2212-1099&lt;/isbn&gt;&lt;urls&gt;&lt;related-urls&gt;&lt;url&gt;https://www.sciencedirect.com/science/article/pii/S2212109918300335&lt;/url&gt;&lt;/related-urls&gt;&lt;/urls&gt;&lt;electronic-resource-num&gt;https://doi.org/10.1016/j.vhri.2018.03.004&lt;/electronic-resource-num&gt;&lt;/record&gt;&lt;/Cite&gt;&lt;/EndNote&gt;</w:instrText>
      </w:r>
      <w:r w:rsidR="00D95336" w:rsidRPr="00221992">
        <w:rPr>
          <w:lang w:val="en-GB"/>
        </w:rPr>
        <w:fldChar w:fldCharType="separate"/>
      </w:r>
      <w:r w:rsidR="00112E71">
        <w:rPr>
          <w:noProof/>
          <w:lang w:val="en-GB"/>
        </w:rPr>
        <w:t>[38]</w:t>
      </w:r>
      <w:r w:rsidR="00D95336" w:rsidRPr="00221992">
        <w:rPr>
          <w:lang w:val="en-GB"/>
        </w:rPr>
        <w:fldChar w:fldCharType="end"/>
      </w:r>
      <w:r w:rsidR="00F5766F" w:rsidRPr="00221992">
        <w:rPr>
          <w:lang w:val="en-GB"/>
        </w:rPr>
        <w:t>.</w:t>
      </w:r>
    </w:p>
    <w:p w14:paraId="3EB922A1" w14:textId="1262C406" w:rsidR="00D95336" w:rsidRPr="00221992" w:rsidRDefault="00D95336" w:rsidP="00702C58">
      <w:pPr>
        <w:rPr>
          <w:lang w:val="en-GB"/>
        </w:rPr>
      </w:pPr>
      <w:r w:rsidRPr="00221992">
        <w:rPr>
          <w:lang w:val="en-GB"/>
        </w:rPr>
        <w:t xml:space="preserve">In the Netherlands, negotiations are performed by the Ministry of Health, Welfare and Sport (MoH) and pharmaceutical companies concerning financial arrangements, called </w:t>
      </w:r>
      <w:r w:rsidR="00551786">
        <w:rPr>
          <w:lang w:val="en-GB"/>
        </w:rPr>
        <w:t>‘</w:t>
      </w:r>
      <w:r w:rsidRPr="00221992">
        <w:rPr>
          <w:lang w:val="en-GB"/>
        </w:rPr>
        <w:t>centralised financial arrangements</w:t>
      </w:r>
      <w:r w:rsidR="00551786">
        <w:rPr>
          <w:lang w:val="en-GB"/>
        </w:rPr>
        <w:t>’</w:t>
      </w:r>
      <w:r w:rsidRPr="00221992">
        <w:rPr>
          <w:lang w:val="en-GB"/>
        </w:rPr>
        <w:t xml:space="preserve"> because they are concluded between the State of the Netherlands (Minister) and the company. The MoH</w:t>
      </w:r>
      <w:r w:rsidR="00551786">
        <w:rPr>
          <w:lang w:val="en-GB"/>
        </w:rPr>
        <w:t>’</w:t>
      </w:r>
      <w:r w:rsidRPr="00221992">
        <w:rPr>
          <w:lang w:val="en-GB"/>
        </w:rPr>
        <w:t>s reimbursement decision depend</w:t>
      </w:r>
      <w:r w:rsidR="00523BA9">
        <w:rPr>
          <w:lang w:val="en-GB"/>
        </w:rPr>
        <w:t>s</w:t>
      </w:r>
      <w:r w:rsidRPr="00221992">
        <w:rPr>
          <w:lang w:val="en-GB"/>
        </w:rPr>
        <w:t xml:space="preserve"> on the outcome of negotiations. In practice, there are several types of arrangements; for example, (confidential) price/volume agreements, a public price cut, (confidential) discounts and/or (confidential) budget caps.</w:t>
      </w:r>
      <w:r w:rsidR="008A6310">
        <w:rPr>
          <w:lang w:val="en-GB"/>
        </w:rPr>
        <w:t xml:space="preserve"> </w:t>
      </w:r>
      <w:r w:rsidRPr="00221992">
        <w:rPr>
          <w:lang w:val="en-GB"/>
        </w:rPr>
        <w:t xml:space="preserve">It is </w:t>
      </w:r>
      <w:r w:rsidR="00523BA9">
        <w:rPr>
          <w:lang w:val="en-GB"/>
        </w:rPr>
        <w:t xml:space="preserve">also </w:t>
      </w:r>
      <w:r w:rsidRPr="00221992">
        <w:rPr>
          <w:lang w:val="en-GB"/>
        </w:rPr>
        <w:t xml:space="preserve">possible to combine such measures </w:t>
      </w:r>
      <w:r w:rsidR="00523BA9">
        <w:rPr>
          <w:lang w:val="en-GB"/>
        </w:rPr>
        <w:t>with</w:t>
      </w:r>
      <w:r w:rsidRPr="00221992">
        <w:rPr>
          <w:lang w:val="en-GB"/>
        </w:rPr>
        <w:t xml:space="preserve">in a </w:t>
      </w:r>
      <w:r w:rsidR="00523BA9">
        <w:rPr>
          <w:lang w:val="en-GB"/>
        </w:rPr>
        <w:t xml:space="preserve">single </w:t>
      </w:r>
      <w:r w:rsidRPr="00221992">
        <w:rPr>
          <w:lang w:val="en-GB"/>
        </w:rPr>
        <w:t>financial arrangement.</w:t>
      </w:r>
      <w:r w:rsidR="008A6310">
        <w:rPr>
          <w:lang w:val="en-GB"/>
        </w:rPr>
        <w:t xml:space="preserve"> </w:t>
      </w:r>
      <w:r w:rsidRPr="00221992">
        <w:rPr>
          <w:lang w:val="en-GB"/>
        </w:rPr>
        <w:t>The MoH has stated that it is open to discussing other types of financial arrangements</w:t>
      </w:r>
      <w:r w:rsidR="00523BA9">
        <w:rPr>
          <w:lang w:val="en-GB"/>
        </w:rPr>
        <w:t>,</w:t>
      </w:r>
      <w:r w:rsidRPr="00221992">
        <w:rPr>
          <w:lang w:val="en-GB"/>
        </w:rPr>
        <w:t xml:space="preserve"> such as performance-based agreements, but </w:t>
      </w:r>
      <w:r w:rsidR="00523BA9">
        <w:rPr>
          <w:lang w:val="en-GB"/>
        </w:rPr>
        <w:t xml:space="preserve">no </w:t>
      </w:r>
      <w:r w:rsidRPr="00221992">
        <w:rPr>
          <w:lang w:val="en-GB"/>
        </w:rPr>
        <w:t xml:space="preserve">such arrangements </w:t>
      </w:r>
      <w:r w:rsidR="00523BA9">
        <w:rPr>
          <w:lang w:val="en-GB"/>
        </w:rPr>
        <w:t xml:space="preserve">have yet been entered </w:t>
      </w:r>
      <w:r w:rsidRPr="00221992">
        <w:rPr>
          <w:lang w:val="en-GB"/>
        </w:rPr>
        <w:fldChar w:fldCharType="begin"/>
      </w:r>
      <w:r w:rsidR="00112E71">
        <w:rPr>
          <w:lang w:val="en-GB"/>
        </w:rPr>
        <w:instrText xml:space="preserve"> ADDIN EN.CITE &lt;EndNote&gt;&lt;Cite&gt;&lt;Author&gt;Kloeke&lt;/Author&gt;&lt;Year&gt;2022&lt;/Year&gt;&lt;RecNum&gt;263&lt;/RecNum&gt;&lt;DisplayText&gt;[39]&lt;/DisplayText&gt;&lt;record&gt;&lt;rec-number&gt;263&lt;/rec-number&gt;&lt;foreign-keys&gt;&lt;key app="EN" db-id="wzwwsfxe4peesxef95cxvrwjxts9rreasarf" timestamp="1692654670"&gt;263&lt;/key&gt;&lt;/foreign-keys&gt;&lt;ref-type name="Web Page"&gt;12&lt;/ref-type&gt;&lt;contributors&gt;&lt;authors&gt;&lt;author&gt;Kloeke, K.&lt;/author&gt;&lt;/authors&gt;&lt;/contributors&gt;&lt;titles&gt;&lt;title&gt;Pricing &amp;amp; Reimbursement Laws and Regulations 2022 - Netherlands&lt;/title&gt;&lt;/titles&gt;&lt;number&gt;23 August 2023&lt;/number&gt;&lt;dates&gt;&lt;year&gt;2022&lt;/year&gt;&lt;/dates&gt;&lt;publisher&gt;Global Legal Insights&lt;/publisher&gt;&lt;urls&gt;&lt;related-urls&gt;&lt;url&gt;https://www.globallegalinsights.com/practice-areas/pricing-and-reimbursement-laws-and-regulations/netherlands&lt;/url&gt;&lt;/related-urls&gt;&lt;/urls&gt;&lt;/record&gt;&lt;/Cite&gt;&lt;/EndNote&gt;</w:instrText>
      </w:r>
      <w:r w:rsidRPr="00221992">
        <w:rPr>
          <w:lang w:val="en-GB"/>
        </w:rPr>
        <w:fldChar w:fldCharType="separate"/>
      </w:r>
      <w:r w:rsidR="00112E71">
        <w:rPr>
          <w:noProof/>
          <w:lang w:val="en-GB"/>
        </w:rPr>
        <w:t>[39]</w:t>
      </w:r>
      <w:r w:rsidRPr="00221992">
        <w:rPr>
          <w:lang w:val="en-GB"/>
        </w:rPr>
        <w:fldChar w:fldCharType="end"/>
      </w:r>
      <w:r w:rsidR="00F5766F" w:rsidRPr="00221992">
        <w:rPr>
          <w:lang w:val="en-GB"/>
        </w:rPr>
        <w:t>.</w:t>
      </w:r>
      <w:r w:rsidRPr="00221992">
        <w:rPr>
          <w:lang w:val="en-GB"/>
        </w:rPr>
        <w:t xml:space="preserve"> </w:t>
      </w:r>
    </w:p>
    <w:p w14:paraId="5F725E84" w14:textId="77777777" w:rsidR="00D95336" w:rsidRPr="00221992" w:rsidRDefault="00D95336" w:rsidP="00702C58">
      <w:pPr>
        <w:rPr>
          <w:rFonts w:ascii="Calibri" w:hAnsi="Calibri" w:cs="Calibri"/>
          <w:b/>
          <w:lang w:val="en-GB"/>
        </w:rPr>
      </w:pPr>
      <w:r w:rsidRPr="00221992">
        <w:rPr>
          <w:rFonts w:ascii="Calibri" w:hAnsi="Calibri" w:cs="Calibri"/>
          <w:b/>
          <w:lang w:val="en-GB"/>
        </w:rPr>
        <w:t>Case Study: Germany and the function of the arbitration board</w:t>
      </w:r>
    </w:p>
    <w:p w14:paraId="41A0DA99" w14:textId="601F75A3" w:rsidR="00D95336" w:rsidRPr="00221992" w:rsidRDefault="00D95336" w:rsidP="00702C58">
      <w:pPr>
        <w:rPr>
          <w:lang w:val="en-GB"/>
        </w:rPr>
      </w:pPr>
      <w:r w:rsidRPr="00221992">
        <w:rPr>
          <w:lang w:val="en-GB"/>
        </w:rPr>
        <w:t>Germany has a unique listing process, where</w:t>
      </w:r>
      <w:r w:rsidR="00886DB1">
        <w:rPr>
          <w:lang w:val="en-GB"/>
        </w:rPr>
        <w:t>by</w:t>
      </w:r>
      <w:r w:rsidRPr="00221992">
        <w:rPr>
          <w:lang w:val="en-GB"/>
        </w:rPr>
        <w:t xml:space="preserve"> pricing and reimbursement approval is</w:t>
      </w:r>
      <w:r w:rsidR="00886DB1">
        <w:rPr>
          <w:lang w:val="en-GB"/>
        </w:rPr>
        <w:t xml:space="preserve"> not</w:t>
      </w:r>
      <w:r w:rsidRPr="00221992">
        <w:rPr>
          <w:lang w:val="en-GB"/>
        </w:rPr>
        <w:t xml:space="preserve"> required </w:t>
      </w:r>
      <w:r w:rsidR="00886DB1">
        <w:rPr>
          <w:lang w:val="en-GB"/>
        </w:rPr>
        <w:t>prior to the</w:t>
      </w:r>
      <w:r w:rsidR="00886DB1" w:rsidRPr="00221992">
        <w:rPr>
          <w:lang w:val="en-GB"/>
        </w:rPr>
        <w:t xml:space="preserve"> </w:t>
      </w:r>
      <w:r w:rsidRPr="00221992">
        <w:rPr>
          <w:lang w:val="en-GB"/>
        </w:rPr>
        <w:t>launch</w:t>
      </w:r>
      <w:r w:rsidR="00886DB1">
        <w:rPr>
          <w:lang w:val="en-GB"/>
        </w:rPr>
        <w:t xml:space="preserve"> of</w:t>
      </w:r>
      <w:r w:rsidRPr="00221992">
        <w:rPr>
          <w:lang w:val="en-GB"/>
        </w:rPr>
        <w:t xml:space="preserve"> a new pharmaceutical.</w:t>
      </w:r>
      <w:r w:rsidR="00886DB1">
        <w:rPr>
          <w:lang w:val="en-GB"/>
        </w:rPr>
        <w:t xml:space="preserve"> P</w:t>
      </w:r>
      <w:r w:rsidRPr="00221992">
        <w:rPr>
          <w:lang w:val="en-GB"/>
        </w:rPr>
        <w:t>harmaceutical companies are free to set price</w:t>
      </w:r>
      <w:r w:rsidR="00886DB1">
        <w:rPr>
          <w:lang w:val="en-GB"/>
        </w:rPr>
        <w:t>s</w:t>
      </w:r>
      <w:r w:rsidRPr="00221992">
        <w:rPr>
          <w:lang w:val="en-GB"/>
        </w:rPr>
        <w:t xml:space="preserve"> for product</w:t>
      </w:r>
      <w:r w:rsidR="00886DB1">
        <w:rPr>
          <w:lang w:val="en-GB"/>
        </w:rPr>
        <w:t>s</w:t>
      </w:r>
      <w:r w:rsidRPr="00221992">
        <w:rPr>
          <w:lang w:val="en-GB"/>
        </w:rPr>
        <w:t xml:space="preserve"> with a new chemical entity for the first </w:t>
      </w:r>
      <w:r w:rsidR="00886DB1">
        <w:rPr>
          <w:lang w:val="en-GB"/>
        </w:rPr>
        <w:t>six</w:t>
      </w:r>
      <w:r w:rsidRPr="00221992">
        <w:rPr>
          <w:lang w:val="en-GB"/>
        </w:rPr>
        <w:t xml:space="preserve"> months</w:t>
      </w:r>
      <w:r w:rsidR="00F5766F" w:rsidRPr="00221992">
        <w:rPr>
          <w:lang w:val="en-GB"/>
        </w:rPr>
        <w:t xml:space="preserve"> </w:t>
      </w:r>
      <w:r w:rsidRPr="00221992">
        <w:rPr>
          <w:lang w:val="en-GB"/>
        </w:rPr>
        <w:fldChar w:fldCharType="begin"/>
      </w:r>
      <w:r w:rsidR="005A67DD" w:rsidRPr="00221992">
        <w:rPr>
          <w:lang w:val="en-GB"/>
        </w:rPr>
        <w:instrText xml:space="preserve"> ADDIN EN.CITE &lt;EndNote&gt;&lt;Cite&gt;&lt;Author&gt;Pownell&lt;/Author&gt;&lt;Year&gt;2023&lt;/Year&gt;&lt;RecNum&gt;395&lt;/RecNum&gt;&lt;DisplayText&gt;[9]&lt;/DisplayText&gt;&lt;record&gt;&lt;rec-number&gt;395&lt;/rec-number&gt;&lt;foreign-keys&gt;&lt;key app="EN" db-id="wzwwsfxe4peesxef95cxvrwjxts9rreasarf" timestamp="1692654670"&gt;395&lt;/key&gt;&lt;/foreign-keys&gt;&lt;ref-type name="Web Page"&gt;12&lt;/ref-type&gt;&lt;contributors&gt;&lt;authors&gt;&lt;author&gt;Pownell, A.&lt;/author&gt;&lt;/authors&gt;&lt;/contributors&gt;&lt;titles&gt;&lt;title&gt;Your guide to the German HTA system&lt;/title&gt;&lt;/titles&gt;&lt;number&gt;1 July 2023&lt;/number&gt;&lt;dates&gt;&lt;year&gt;2023&lt;/year&gt;&lt;/dates&gt;&lt;urls&gt;&lt;related-urls&gt;&lt;url&gt;https://germanmarketaccesssimplified.com/&lt;/url&gt;&lt;/related-urls&gt;&lt;/urls&gt;&lt;/record&gt;&lt;/Cite&gt;&lt;/EndNote&gt;</w:instrText>
      </w:r>
      <w:r w:rsidRPr="00221992">
        <w:rPr>
          <w:lang w:val="en-GB"/>
        </w:rPr>
        <w:fldChar w:fldCharType="separate"/>
      </w:r>
      <w:r w:rsidR="005A67DD" w:rsidRPr="00221992">
        <w:rPr>
          <w:noProof/>
          <w:lang w:val="en-GB"/>
        </w:rPr>
        <w:t>[9]</w:t>
      </w:r>
      <w:r w:rsidRPr="00221992">
        <w:rPr>
          <w:lang w:val="en-GB"/>
        </w:rPr>
        <w:fldChar w:fldCharType="end"/>
      </w:r>
      <w:r w:rsidR="00F5766F" w:rsidRPr="00221992">
        <w:rPr>
          <w:lang w:val="en-GB"/>
        </w:rPr>
        <w:t>.</w:t>
      </w:r>
      <w:r w:rsidRPr="00221992">
        <w:rPr>
          <w:lang w:val="en-GB"/>
        </w:rPr>
        <w:t xml:space="preserve"> </w:t>
      </w:r>
      <w:r w:rsidR="00886DB1">
        <w:rPr>
          <w:lang w:val="en-GB"/>
        </w:rPr>
        <w:t>Within</w:t>
      </w:r>
      <w:r w:rsidR="00886DB1" w:rsidRPr="00221992">
        <w:rPr>
          <w:lang w:val="en-GB"/>
        </w:rPr>
        <w:t xml:space="preserve"> </w:t>
      </w:r>
      <w:r w:rsidRPr="00221992">
        <w:rPr>
          <w:lang w:val="en-GB"/>
        </w:rPr>
        <w:t>the first 12 months of listing, a benefit assessment</w:t>
      </w:r>
      <w:r w:rsidR="00BC5479" w:rsidRPr="00221992">
        <w:rPr>
          <w:lang w:val="en-GB"/>
        </w:rPr>
        <w:t xml:space="preserve"> is conducted</w:t>
      </w:r>
      <w:r w:rsidRPr="00221992">
        <w:rPr>
          <w:lang w:val="en-GB"/>
        </w:rPr>
        <w:t xml:space="preserve"> and </w:t>
      </w:r>
      <w:r w:rsidR="00886DB1">
        <w:rPr>
          <w:lang w:val="en-GB"/>
        </w:rPr>
        <w:t xml:space="preserve">a </w:t>
      </w:r>
      <w:r w:rsidRPr="00221992">
        <w:rPr>
          <w:lang w:val="en-GB"/>
        </w:rPr>
        <w:t>decision is made by IQWiG and the G-BA, after which price negotiation is conducted by the GKV-SV.</w:t>
      </w:r>
    </w:p>
    <w:p w14:paraId="37111CD1" w14:textId="28F0B980" w:rsidR="00D95336" w:rsidRPr="00221992" w:rsidRDefault="00D95336" w:rsidP="002D3A46">
      <w:pPr>
        <w:rPr>
          <w:lang w:val="en-GB"/>
        </w:rPr>
      </w:pPr>
      <w:r w:rsidRPr="00221992">
        <w:rPr>
          <w:lang w:val="en-GB"/>
        </w:rPr>
        <w:t xml:space="preserve">There are a number of mechanisms </w:t>
      </w:r>
      <w:r w:rsidR="00886DB1">
        <w:rPr>
          <w:lang w:val="en-GB"/>
        </w:rPr>
        <w:t>in Germany for the</w:t>
      </w:r>
      <w:r w:rsidR="00886DB1" w:rsidRPr="00221992">
        <w:rPr>
          <w:lang w:val="en-GB"/>
        </w:rPr>
        <w:t xml:space="preserve"> </w:t>
      </w:r>
      <w:r w:rsidRPr="00221992">
        <w:rPr>
          <w:lang w:val="en-GB"/>
        </w:rPr>
        <w:t>direct or indirect regulat</w:t>
      </w:r>
      <w:r w:rsidR="00886DB1">
        <w:rPr>
          <w:lang w:val="en-GB"/>
        </w:rPr>
        <w:t>ion of</w:t>
      </w:r>
      <w:r w:rsidRPr="00221992">
        <w:rPr>
          <w:lang w:val="en-GB"/>
        </w:rPr>
        <w:t xml:space="preserve"> pricing. These mechanisms range from price-freezing, to compulsory rebates, reference price </w:t>
      </w:r>
      <w:r w:rsidR="00B2636A">
        <w:rPr>
          <w:lang w:val="en-GB"/>
        </w:rPr>
        <w:t>caps on</w:t>
      </w:r>
      <w:r w:rsidR="00B2636A" w:rsidRPr="00221992">
        <w:rPr>
          <w:lang w:val="en-GB"/>
        </w:rPr>
        <w:t xml:space="preserve"> </w:t>
      </w:r>
      <w:r w:rsidRPr="00221992">
        <w:rPr>
          <w:lang w:val="en-GB"/>
        </w:rPr>
        <w:t>reimbursement</w:t>
      </w:r>
      <w:r w:rsidR="00B2636A">
        <w:rPr>
          <w:lang w:val="en-GB"/>
        </w:rPr>
        <w:t>.</w:t>
      </w:r>
      <w:r w:rsidRPr="00221992">
        <w:rPr>
          <w:lang w:val="en-GB"/>
        </w:rPr>
        <w:t xml:space="preserve"> </w:t>
      </w:r>
      <w:r w:rsidR="00B2636A">
        <w:rPr>
          <w:lang w:val="en-GB"/>
        </w:rPr>
        <w:t>U</w:t>
      </w:r>
      <w:r w:rsidR="00B2636A" w:rsidRPr="00221992">
        <w:rPr>
          <w:lang w:val="en-GB"/>
        </w:rPr>
        <w:t>nder Germany</w:t>
      </w:r>
      <w:r w:rsidR="00B2636A">
        <w:rPr>
          <w:lang w:val="en-GB"/>
        </w:rPr>
        <w:t>’</w:t>
      </w:r>
      <w:r w:rsidR="00B2636A" w:rsidRPr="00221992">
        <w:rPr>
          <w:lang w:val="en-GB"/>
        </w:rPr>
        <w:t xml:space="preserve">s Pharmaceuticals Market Reorganisation Act (Arzneimittelmarkt Neuordnungsgesetz or </w:t>
      </w:r>
      <w:r w:rsidR="00B2636A">
        <w:rPr>
          <w:lang w:val="en-GB"/>
        </w:rPr>
        <w:t>‘</w:t>
      </w:r>
      <w:r w:rsidR="00B2636A" w:rsidRPr="00221992">
        <w:rPr>
          <w:lang w:val="en-GB"/>
        </w:rPr>
        <w:t>AMNOG</w:t>
      </w:r>
      <w:r w:rsidR="00B2636A">
        <w:rPr>
          <w:lang w:val="en-GB"/>
        </w:rPr>
        <w:t>’</w:t>
      </w:r>
      <w:r w:rsidR="00B2636A" w:rsidRPr="00221992">
        <w:rPr>
          <w:lang w:val="en-GB"/>
        </w:rPr>
        <w:t>)</w:t>
      </w:r>
      <w:r w:rsidR="00B2636A">
        <w:rPr>
          <w:lang w:val="en-GB"/>
        </w:rPr>
        <w:t>, n</w:t>
      </w:r>
      <w:r w:rsidRPr="00221992">
        <w:rPr>
          <w:lang w:val="en-GB"/>
        </w:rPr>
        <w:t>egotiated reimbursement prices for new pharmaceuticals</w:t>
      </w:r>
      <w:r w:rsidR="00B2636A">
        <w:rPr>
          <w:lang w:val="en-GB"/>
        </w:rPr>
        <w:t xml:space="preserve"> are </w:t>
      </w:r>
      <w:r w:rsidRPr="00221992">
        <w:rPr>
          <w:lang w:val="en-GB"/>
        </w:rPr>
        <w:t xml:space="preserve">determined </w:t>
      </w:r>
      <w:r w:rsidR="00B2636A">
        <w:rPr>
          <w:lang w:val="en-GB"/>
        </w:rPr>
        <w:t>12 months</w:t>
      </w:r>
      <w:r w:rsidR="00B2636A" w:rsidRPr="00221992">
        <w:rPr>
          <w:lang w:val="en-GB"/>
        </w:rPr>
        <w:t xml:space="preserve"> </w:t>
      </w:r>
      <w:r w:rsidRPr="00221992">
        <w:rPr>
          <w:lang w:val="en-GB"/>
        </w:rPr>
        <w:t>after product launch</w:t>
      </w:r>
      <w:r w:rsidR="00B2636A">
        <w:rPr>
          <w:lang w:val="en-GB"/>
        </w:rPr>
        <w:t xml:space="preserve"> and applied</w:t>
      </w:r>
      <w:r w:rsidRPr="00221992">
        <w:rPr>
          <w:lang w:val="en-GB"/>
        </w:rPr>
        <w:t xml:space="preserve"> retroactively from month </w:t>
      </w:r>
      <w:r w:rsidR="00B2636A">
        <w:rPr>
          <w:lang w:val="en-GB"/>
        </w:rPr>
        <w:t>seven</w:t>
      </w:r>
      <w:r w:rsidRPr="00221992">
        <w:rPr>
          <w:lang w:val="en-GB"/>
        </w:rPr>
        <w:t xml:space="preserve"> of listing</w:t>
      </w:r>
      <w:r w:rsidR="00B2636A">
        <w:rPr>
          <w:lang w:val="en-GB"/>
        </w:rPr>
        <w:t>.</w:t>
      </w:r>
      <w:r w:rsidRPr="00221992">
        <w:rPr>
          <w:lang w:val="en-GB"/>
        </w:rPr>
        <w:t xml:space="preserve"> The AMNOG process</w:t>
      </w:r>
      <w:r w:rsidR="00B2636A">
        <w:rPr>
          <w:lang w:val="en-GB"/>
        </w:rPr>
        <w:t>,</w:t>
      </w:r>
      <w:r w:rsidRPr="00221992">
        <w:rPr>
          <w:lang w:val="en-GB"/>
        </w:rPr>
        <w:t xml:space="preserve"> implemented in 2011</w:t>
      </w:r>
      <w:r w:rsidR="00B2636A">
        <w:rPr>
          <w:lang w:val="en-GB"/>
        </w:rPr>
        <w:t>,</w:t>
      </w:r>
      <w:r w:rsidRPr="00221992">
        <w:rPr>
          <w:lang w:val="en-GB"/>
        </w:rPr>
        <w:t xml:space="preserve"> is the </w:t>
      </w:r>
      <w:r w:rsidR="00B2636A">
        <w:rPr>
          <w:lang w:val="en-GB"/>
        </w:rPr>
        <w:t xml:space="preserve">country’s </w:t>
      </w:r>
      <w:r w:rsidRPr="00221992">
        <w:rPr>
          <w:lang w:val="en-GB"/>
        </w:rPr>
        <w:t>key price regulation mechanism for innovative pharmaceuticals</w:t>
      </w:r>
      <w:r w:rsidR="00F5766F" w:rsidRPr="00221992">
        <w:rPr>
          <w:lang w:val="en-GB"/>
        </w:rPr>
        <w:t xml:space="preserve"> </w:t>
      </w:r>
      <w:r w:rsidRPr="00221992">
        <w:rPr>
          <w:lang w:val="en-GB"/>
        </w:rPr>
        <w:fldChar w:fldCharType="begin"/>
      </w:r>
      <w:r w:rsidR="00112E71">
        <w:rPr>
          <w:lang w:val="en-GB"/>
        </w:rPr>
        <w:instrText xml:space="preserve"> ADDIN EN.CITE &lt;EndNote&gt;&lt;Cite&gt;&lt;Author&gt;Reese&lt;/Author&gt;&lt;Year&gt;2022&lt;/Year&gt;&lt;RecNum&gt;455&lt;/RecNum&gt;&lt;DisplayText&gt;[40]&lt;/DisplayText&gt;&lt;record&gt;&lt;rec-number&gt;455&lt;/rec-number&gt;&lt;foreign-keys&gt;&lt;key app="EN" db-id="wzwwsfxe4peesxef95cxvrwjxts9rreasarf" timestamp="1692654670"&gt;455&lt;/key&gt;&lt;/foreign-keys&gt;&lt;ref-type name="Web Page"&gt;12&lt;/ref-type&gt;&lt;contributors&gt;&lt;authors&gt;&lt;author&gt;Reese, U.&lt;/author&gt;&lt;author&gt;Kemmner, C.&lt;/author&gt;&lt;/authors&gt;&lt;/contributors&gt;&lt;titles&gt;&lt;title&gt;Pricing &amp;amp; Reimbursement Laws and Regulations 2022 - Germany&lt;/title&gt;&lt;/titles&gt;&lt;number&gt;23 August 2023&lt;/number&gt;&lt;dates&gt;&lt;year&gt;2022&lt;/year&gt;&lt;/dates&gt;&lt;publisher&gt;Global Legal Insights&lt;/publisher&gt;&lt;urls&gt;&lt;related-urls&gt;&lt;url&gt;https://www.globallegalinsights.com/practice-areas/pricing-and-reimbursement-laws-and-regulations/germany&lt;/url&gt;&lt;/related-urls&gt;&lt;/urls&gt;&lt;/record&gt;&lt;/Cite&gt;&lt;/EndNote&gt;</w:instrText>
      </w:r>
      <w:r w:rsidRPr="00221992">
        <w:rPr>
          <w:lang w:val="en-GB"/>
        </w:rPr>
        <w:fldChar w:fldCharType="separate"/>
      </w:r>
      <w:r w:rsidR="00112E71">
        <w:rPr>
          <w:noProof/>
          <w:lang w:val="en-GB"/>
        </w:rPr>
        <w:t>[40]</w:t>
      </w:r>
      <w:r w:rsidRPr="00221992">
        <w:rPr>
          <w:lang w:val="en-GB"/>
        </w:rPr>
        <w:fldChar w:fldCharType="end"/>
      </w:r>
      <w:r w:rsidR="00F5766F" w:rsidRPr="00221992">
        <w:rPr>
          <w:lang w:val="en-GB"/>
        </w:rPr>
        <w:t>.</w:t>
      </w:r>
      <w:r w:rsidRPr="00221992">
        <w:rPr>
          <w:lang w:val="en-GB"/>
        </w:rPr>
        <w:t xml:space="preserve"> The determination of the </w:t>
      </w:r>
      <w:r w:rsidR="00F35B3B" w:rsidRPr="00221992">
        <w:rPr>
          <w:lang w:val="en-GB"/>
        </w:rPr>
        <w:t>exten</w:t>
      </w:r>
      <w:r w:rsidR="00F35B3B">
        <w:rPr>
          <w:lang w:val="en-GB"/>
        </w:rPr>
        <w:t>t</w:t>
      </w:r>
      <w:r w:rsidR="00F35B3B" w:rsidRPr="00221992">
        <w:rPr>
          <w:lang w:val="en-GB"/>
        </w:rPr>
        <w:t xml:space="preserve"> </w:t>
      </w:r>
      <w:r w:rsidRPr="00221992">
        <w:rPr>
          <w:lang w:val="en-GB"/>
        </w:rPr>
        <w:t xml:space="preserve">of additional benefit directly impacts price, as described in </w:t>
      </w:r>
      <w:r w:rsidR="002D3A46" w:rsidRPr="00221992">
        <w:rPr>
          <w:lang w:val="en-GB"/>
        </w:rPr>
        <w:fldChar w:fldCharType="begin"/>
      </w:r>
      <w:r w:rsidR="002D3A46">
        <w:instrText xml:space="preserve"> REF _Ref143590312 \h </w:instrText>
      </w:r>
      <w:r w:rsidR="002D3A46" w:rsidRPr="00221992">
        <w:rPr>
          <w:lang w:val="en-GB"/>
        </w:rPr>
      </w:r>
      <w:r w:rsidR="002D3A46" w:rsidRPr="00221992">
        <w:rPr>
          <w:lang w:val="en-GB"/>
        </w:rPr>
        <w:fldChar w:fldCharType="separate"/>
      </w:r>
      <w:r w:rsidR="000E11E7" w:rsidRPr="00221992">
        <w:rPr>
          <w:lang w:val="en-GB"/>
        </w:rPr>
        <w:t xml:space="preserve">Table </w:t>
      </w:r>
      <w:r w:rsidR="000E11E7">
        <w:rPr>
          <w:noProof/>
        </w:rPr>
        <w:t>9</w:t>
      </w:r>
      <w:r w:rsidR="002D3A46" w:rsidRPr="00221992">
        <w:rPr>
          <w:lang w:val="en-GB"/>
        </w:rPr>
        <w:fldChar w:fldCharType="end"/>
      </w:r>
      <w:r w:rsidRPr="00221992">
        <w:rPr>
          <w:lang w:val="en-GB"/>
        </w:rPr>
        <w:t>.</w:t>
      </w:r>
    </w:p>
    <w:p w14:paraId="488B302E" w14:textId="5C1476BC" w:rsidR="002D3A46" w:rsidRPr="00221992" w:rsidRDefault="002D3A46" w:rsidP="001721AB">
      <w:pPr>
        <w:pStyle w:val="Caption"/>
        <w:rPr>
          <w:lang w:val="en-GB"/>
        </w:rPr>
      </w:pPr>
      <w:bookmarkStart w:id="57" w:name="_Ref143590312"/>
      <w:bookmarkStart w:id="58" w:name="_Toc162950956"/>
      <w:r w:rsidRPr="00221992">
        <w:rPr>
          <w:lang w:val="en-GB"/>
        </w:rPr>
        <w:t xml:space="preserve">Table </w:t>
      </w:r>
      <w:r w:rsidRPr="00221992">
        <w:rPr>
          <w:lang w:val="en-GB"/>
        </w:rPr>
        <w:fldChar w:fldCharType="begin"/>
      </w:r>
      <w:r>
        <w:instrText>SEQ Table \* ARABIC</w:instrText>
      </w:r>
      <w:r w:rsidRPr="00221992">
        <w:rPr>
          <w:lang w:val="en-GB"/>
        </w:rPr>
        <w:fldChar w:fldCharType="separate"/>
      </w:r>
      <w:r w:rsidR="000E11E7">
        <w:rPr>
          <w:noProof/>
        </w:rPr>
        <w:t>9</w:t>
      </w:r>
      <w:r w:rsidRPr="00221992">
        <w:rPr>
          <w:lang w:val="en-GB"/>
        </w:rPr>
        <w:fldChar w:fldCharType="end"/>
      </w:r>
      <w:bookmarkEnd w:id="57"/>
      <w:r w:rsidRPr="00221992">
        <w:rPr>
          <w:lang w:val="en-GB"/>
        </w:rPr>
        <w:t>. Impact of additional benefit level on price in Germany</w:t>
      </w:r>
      <w:bookmarkEnd w:id="58"/>
    </w:p>
    <w:tbl>
      <w:tblPr>
        <w:tblStyle w:val="LinedBlueTable"/>
        <w:tblW w:w="0" w:type="auto"/>
        <w:tblLook w:val="04A0" w:firstRow="1" w:lastRow="0" w:firstColumn="1" w:lastColumn="0" w:noHBand="0" w:noVBand="1"/>
        <w:tblCaption w:val="impact of additional benefit level on price in Germany"/>
      </w:tblPr>
      <w:tblGrid>
        <w:gridCol w:w="1861"/>
        <w:gridCol w:w="4228"/>
        <w:gridCol w:w="2415"/>
      </w:tblGrid>
      <w:tr w:rsidR="00D95336" w:rsidRPr="00221992" w14:paraId="5AA6C1C1" w14:textId="77777777" w:rsidTr="2403A5F3">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923" w:type="dxa"/>
            <w:shd w:val="clear" w:color="auto" w:fill="000000" w:themeFill="text1"/>
          </w:tcPr>
          <w:p w14:paraId="268B5D76" w14:textId="77777777" w:rsidR="00D95336" w:rsidRPr="00221992" w:rsidRDefault="00D95336" w:rsidP="000C66C0">
            <w:pPr>
              <w:spacing w:after="0" w:line="240" w:lineRule="auto"/>
              <w:jc w:val="center"/>
              <w:rPr>
                <w:rFonts w:ascii="Calibri" w:hAnsi="Calibri" w:cs="Calibri"/>
                <w:b/>
                <w:sz w:val="20"/>
                <w:szCs w:val="20"/>
                <w:lang w:val="en-GB"/>
              </w:rPr>
            </w:pPr>
            <w:r w:rsidRPr="00221992">
              <w:rPr>
                <w:rFonts w:ascii="Calibri" w:hAnsi="Calibri" w:cs="Calibri"/>
                <w:b/>
                <w:sz w:val="20"/>
                <w:szCs w:val="20"/>
                <w:lang w:val="en-GB"/>
              </w:rPr>
              <w:t>Extent of additional benefit</w:t>
            </w:r>
          </w:p>
        </w:tc>
        <w:tc>
          <w:tcPr>
            <w:tcW w:w="4546" w:type="dxa"/>
            <w:shd w:val="clear" w:color="auto" w:fill="1E8BCD"/>
          </w:tcPr>
          <w:p w14:paraId="052B9975" w14:textId="0945368B" w:rsidR="00D95336" w:rsidRPr="00221992" w:rsidRDefault="00D95336" w:rsidP="000C66C0">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hAnsi="Calibri" w:cs="Calibri"/>
                <w:b/>
                <w:sz w:val="20"/>
                <w:szCs w:val="20"/>
                <w:lang w:val="en-GB"/>
              </w:rPr>
            </w:pPr>
            <w:r w:rsidRPr="00221992">
              <w:rPr>
                <w:rFonts w:ascii="Calibri" w:hAnsi="Calibri" w:cs="Calibri"/>
                <w:b/>
                <w:sz w:val="20"/>
                <w:szCs w:val="20"/>
                <w:lang w:val="en-GB"/>
              </w:rPr>
              <w:t>Appropriate comparator</w:t>
            </w:r>
            <w:r w:rsidR="00137D54" w:rsidRPr="00221992">
              <w:rPr>
                <w:rFonts w:ascii="Calibri" w:hAnsi="Calibri" w:cs="Calibri"/>
                <w:b/>
                <w:sz w:val="20"/>
                <w:szCs w:val="20"/>
                <w:lang w:val="en-GB"/>
              </w:rPr>
              <w:t xml:space="preserve"> </w:t>
            </w:r>
            <w:r w:rsidRPr="00221992">
              <w:rPr>
                <w:rFonts w:ascii="Calibri" w:hAnsi="Calibri" w:cs="Calibri"/>
                <w:b/>
                <w:sz w:val="20"/>
                <w:szCs w:val="20"/>
                <w:lang w:val="en-GB"/>
              </w:rPr>
              <w:t>therapy (ACT)</w:t>
            </w:r>
          </w:p>
        </w:tc>
        <w:tc>
          <w:tcPr>
            <w:tcW w:w="2547" w:type="dxa"/>
            <w:shd w:val="clear" w:color="auto" w:fill="1E8BCD"/>
          </w:tcPr>
          <w:p w14:paraId="74AAE1D6" w14:textId="77777777" w:rsidR="00D95336" w:rsidRPr="00221992" w:rsidRDefault="00D95336" w:rsidP="000C66C0">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hAnsi="Calibri" w:cs="Calibri"/>
                <w:b/>
                <w:sz w:val="20"/>
                <w:szCs w:val="20"/>
                <w:lang w:val="en-GB"/>
              </w:rPr>
            </w:pPr>
            <w:r w:rsidRPr="00221992">
              <w:rPr>
                <w:rFonts w:ascii="Calibri" w:hAnsi="Calibri" w:cs="Calibri"/>
                <w:b/>
                <w:sz w:val="20"/>
                <w:szCs w:val="20"/>
                <w:lang w:val="en-GB"/>
              </w:rPr>
              <w:t>Price rule</w:t>
            </w:r>
          </w:p>
        </w:tc>
      </w:tr>
      <w:tr w:rsidR="00D95336" w:rsidRPr="00221992" w14:paraId="3BBEDF9A" w14:textId="77777777" w:rsidTr="1D29606A">
        <w:tc>
          <w:tcPr>
            <w:cnfStyle w:val="001000000000" w:firstRow="0" w:lastRow="0" w:firstColumn="1" w:lastColumn="0" w:oddVBand="0" w:evenVBand="0" w:oddHBand="0" w:evenHBand="0" w:firstRowFirstColumn="0" w:firstRowLastColumn="0" w:lastRowFirstColumn="0" w:lastRowLastColumn="0"/>
            <w:tcW w:w="1923" w:type="dxa"/>
            <w:shd w:val="clear" w:color="auto" w:fill="1E8BCD"/>
          </w:tcPr>
          <w:p w14:paraId="4A64026C" w14:textId="77777777" w:rsidR="00D95336" w:rsidRPr="00221992" w:rsidRDefault="00D95336" w:rsidP="000C66C0">
            <w:pPr>
              <w:spacing w:after="0" w:line="240" w:lineRule="auto"/>
              <w:rPr>
                <w:sz w:val="20"/>
                <w:szCs w:val="20"/>
                <w:lang w:val="en-GB"/>
              </w:rPr>
            </w:pPr>
            <w:r w:rsidRPr="00221992">
              <w:rPr>
                <w:sz w:val="20"/>
                <w:szCs w:val="20"/>
                <w:lang w:val="en-GB"/>
              </w:rPr>
              <w:t>Major</w:t>
            </w:r>
          </w:p>
        </w:tc>
        <w:tc>
          <w:tcPr>
            <w:tcW w:w="4546" w:type="dxa"/>
          </w:tcPr>
          <w:p w14:paraId="79BDC5FE" w14:textId="77777777" w:rsidR="00D95336" w:rsidRPr="00221992" w:rsidRDefault="00D95336" w:rsidP="000C66C0">
            <w:pPr>
              <w:spacing w:after="0" w:line="240" w:lineRule="auto"/>
              <w:cnfStyle w:val="000000000000" w:firstRow="0" w:lastRow="0" w:firstColumn="0" w:lastColumn="0" w:oddVBand="0" w:evenVBand="0" w:oddHBand="0" w:evenHBand="0" w:firstRowFirstColumn="0" w:firstRowLastColumn="0" w:lastRowFirstColumn="0" w:lastRowLastColumn="0"/>
              <w:rPr>
                <w:sz w:val="20"/>
                <w:szCs w:val="20"/>
                <w:lang w:val="en-GB"/>
              </w:rPr>
            </w:pPr>
            <w:r w:rsidRPr="00221992">
              <w:rPr>
                <w:sz w:val="20"/>
                <w:szCs w:val="20"/>
                <w:lang w:val="en-GB"/>
              </w:rPr>
              <w:t>Any</w:t>
            </w:r>
          </w:p>
        </w:tc>
        <w:tc>
          <w:tcPr>
            <w:tcW w:w="2547" w:type="dxa"/>
          </w:tcPr>
          <w:p w14:paraId="00619C89" w14:textId="77777777" w:rsidR="00D95336" w:rsidRPr="00221992" w:rsidRDefault="00D95336" w:rsidP="000C66C0">
            <w:pPr>
              <w:spacing w:after="0" w:line="240" w:lineRule="auto"/>
              <w:cnfStyle w:val="000000000000" w:firstRow="0" w:lastRow="0" w:firstColumn="0" w:lastColumn="0" w:oddVBand="0" w:evenVBand="0" w:oddHBand="0" w:evenHBand="0" w:firstRowFirstColumn="0" w:firstRowLastColumn="0" w:lastRowFirstColumn="0" w:lastRowLastColumn="0"/>
              <w:rPr>
                <w:sz w:val="20"/>
                <w:szCs w:val="20"/>
                <w:lang w:val="en-GB"/>
              </w:rPr>
            </w:pPr>
            <w:r w:rsidRPr="00221992">
              <w:rPr>
                <w:sz w:val="20"/>
                <w:szCs w:val="20"/>
                <w:lang w:val="en-GB"/>
              </w:rPr>
              <w:t>Free price negotiation</w:t>
            </w:r>
          </w:p>
        </w:tc>
      </w:tr>
      <w:tr w:rsidR="00D95336" w:rsidRPr="00221992" w14:paraId="36530D81" w14:textId="77777777" w:rsidTr="1D29606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23" w:type="dxa"/>
            <w:shd w:val="clear" w:color="auto" w:fill="1E8BCD"/>
          </w:tcPr>
          <w:p w14:paraId="2494FAC1" w14:textId="77777777" w:rsidR="00D95336" w:rsidRPr="00221992" w:rsidRDefault="00D95336" w:rsidP="000C66C0">
            <w:pPr>
              <w:spacing w:after="0" w:line="240" w:lineRule="auto"/>
              <w:rPr>
                <w:sz w:val="20"/>
                <w:szCs w:val="20"/>
                <w:lang w:val="en-GB"/>
              </w:rPr>
            </w:pPr>
            <w:r w:rsidRPr="00221992">
              <w:rPr>
                <w:sz w:val="20"/>
                <w:szCs w:val="20"/>
                <w:lang w:val="en-GB"/>
              </w:rPr>
              <w:t>Considerable</w:t>
            </w:r>
          </w:p>
        </w:tc>
        <w:tc>
          <w:tcPr>
            <w:tcW w:w="4546" w:type="dxa"/>
          </w:tcPr>
          <w:p w14:paraId="02647DE2" w14:textId="77777777" w:rsidR="00D95336" w:rsidRPr="00221992" w:rsidRDefault="00D95336" w:rsidP="000C66C0">
            <w:pPr>
              <w:spacing w:after="0" w:line="240" w:lineRule="auto"/>
              <w:cnfStyle w:val="000000010000" w:firstRow="0" w:lastRow="0" w:firstColumn="0" w:lastColumn="0" w:oddVBand="0" w:evenVBand="0" w:oddHBand="0" w:evenHBand="1" w:firstRowFirstColumn="0" w:firstRowLastColumn="0" w:lastRowFirstColumn="0" w:lastRowLastColumn="0"/>
              <w:rPr>
                <w:sz w:val="20"/>
                <w:szCs w:val="20"/>
                <w:lang w:val="en-GB"/>
              </w:rPr>
            </w:pPr>
            <w:r w:rsidRPr="00221992">
              <w:rPr>
                <w:sz w:val="20"/>
                <w:szCs w:val="20"/>
                <w:lang w:val="en-GB"/>
              </w:rPr>
              <w:t>Any</w:t>
            </w:r>
          </w:p>
        </w:tc>
        <w:tc>
          <w:tcPr>
            <w:tcW w:w="2547" w:type="dxa"/>
          </w:tcPr>
          <w:p w14:paraId="643DEA51" w14:textId="77777777" w:rsidR="00D95336" w:rsidRPr="00221992" w:rsidRDefault="00D95336" w:rsidP="000C66C0">
            <w:pPr>
              <w:spacing w:after="0" w:line="240" w:lineRule="auto"/>
              <w:cnfStyle w:val="000000010000" w:firstRow="0" w:lastRow="0" w:firstColumn="0" w:lastColumn="0" w:oddVBand="0" w:evenVBand="0" w:oddHBand="0" w:evenHBand="1" w:firstRowFirstColumn="0" w:firstRowLastColumn="0" w:lastRowFirstColumn="0" w:lastRowLastColumn="0"/>
              <w:rPr>
                <w:sz w:val="20"/>
                <w:szCs w:val="20"/>
                <w:lang w:val="en-GB"/>
              </w:rPr>
            </w:pPr>
            <w:r w:rsidRPr="00221992">
              <w:rPr>
                <w:sz w:val="20"/>
                <w:szCs w:val="20"/>
                <w:lang w:val="en-GB"/>
              </w:rPr>
              <w:t>Free price negotiation</w:t>
            </w:r>
          </w:p>
        </w:tc>
      </w:tr>
      <w:tr w:rsidR="00D95336" w:rsidRPr="00221992" w14:paraId="4109E0CB" w14:textId="77777777" w:rsidTr="1D29606A">
        <w:tc>
          <w:tcPr>
            <w:cnfStyle w:val="001000000000" w:firstRow="0" w:lastRow="0" w:firstColumn="1" w:lastColumn="0" w:oddVBand="0" w:evenVBand="0" w:oddHBand="0" w:evenHBand="0" w:firstRowFirstColumn="0" w:firstRowLastColumn="0" w:lastRowFirstColumn="0" w:lastRowLastColumn="0"/>
            <w:tcW w:w="1923" w:type="dxa"/>
            <w:vMerge w:val="restart"/>
            <w:shd w:val="clear" w:color="auto" w:fill="1E8BCD"/>
          </w:tcPr>
          <w:p w14:paraId="2B39E3CF" w14:textId="77777777" w:rsidR="00D95336" w:rsidRPr="00221992" w:rsidRDefault="00D95336" w:rsidP="000C66C0">
            <w:pPr>
              <w:spacing w:after="0" w:line="240" w:lineRule="auto"/>
              <w:rPr>
                <w:sz w:val="20"/>
                <w:szCs w:val="20"/>
                <w:lang w:val="en-GB"/>
              </w:rPr>
            </w:pPr>
            <w:r w:rsidRPr="00221992">
              <w:rPr>
                <w:sz w:val="20"/>
                <w:szCs w:val="20"/>
                <w:lang w:val="en-GB"/>
              </w:rPr>
              <w:t>Minor</w:t>
            </w:r>
          </w:p>
        </w:tc>
        <w:tc>
          <w:tcPr>
            <w:tcW w:w="4546" w:type="dxa"/>
          </w:tcPr>
          <w:p w14:paraId="66E53CC9" w14:textId="77777777" w:rsidR="00D95336" w:rsidRPr="00221992" w:rsidRDefault="00D95336" w:rsidP="000C66C0">
            <w:pPr>
              <w:spacing w:after="0" w:line="240" w:lineRule="auto"/>
              <w:cnfStyle w:val="000000000000" w:firstRow="0" w:lastRow="0" w:firstColumn="0" w:lastColumn="0" w:oddVBand="0" w:evenVBand="0" w:oddHBand="0" w:evenHBand="0" w:firstRowFirstColumn="0" w:firstRowLastColumn="0" w:lastRowFirstColumn="0" w:lastRowLastColumn="0"/>
              <w:rPr>
                <w:sz w:val="20"/>
                <w:szCs w:val="20"/>
                <w:lang w:val="en-GB"/>
              </w:rPr>
            </w:pPr>
            <w:r w:rsidRPr="00221992">
              <w:rPr>
                <w:sz w:val="20"/>
                <w:szCs w:val="20"/>
                <w:lang w:val="en-GB"/>
              </w:rPr>
              <w:t>Patent-protected; previously assessed by G-BA</w:t>
            </w:r>
          </w:p>
          <w:p w14:paraId="0359DAE4" w14:textId="77777777" w:rsidR="00D95336" w:rsidRPr="00221992" w:rsidRDefault="00D95336" w:rsidP="000C66C0">
            <w:pPr>
              <w:spacing w:after="0" w:line="240" w:lineRule="auto"/>
              <w:cnfStyle w:val="000000000000" w:firstRow="0" w:lastRow="0" w:firstColumn="0" w:lastColumn="0" w:oddVBand="0" w:evenVBand="0" w:oddHBand="0" w:evenHBand="0" w:firstRowFirstColumn="0" w:firstRowLastColumn="0" w:lastRowFirstColumn="0" w:lastRowLastColumn="0"/>
              <w:rPr>
                <w:sz w:val="20"/>
                <w:szCs w:val="20"/>
                <w:lang w:val="en-GB"/>
              </w:rPr>
            </w:pPr>
            <w:r w:rsidRPr="00221992">
              <w:rPr>
                <w:sz w:val="20"/>
                <w:szCs w:val="20"/>
                <w:lang w:val="en-GB"/>
              </w:rPr>
              <w:t>Off-patent</w:t>
            </w:r>
          </w:p>
        </w:tc>
        <w:tc>
          <w:tcPr>
            <w:tcW w:w="2547" w:type="dxa"/>
          </w:tcPr>
          <w:p w14:paraId="63B20F82" w14:textId="3CD41415" w:rsidR="00D95336" w:rsidRPr="00221992" w:rsidRDefault="00D95336" w:rsidP="000C66C0">
            <w:pPr>
              <w:spacing w:after="0" w:line="240" w:lineRule="auto"/>
              <w:cnfStyle w:val="000000000000" w:firstRow="0" w:lastRow="0" w:firstColumn="0" w:lastColumn="0" w:oddVBand="0" w:evenVBand="0" w:oddHBand="0" w:evenHBand="0" w:firstRowFirstColumn="0" w:firstRowLastColumn="0" w:lastRowFirstColumn="0" w:lastRowLastColumn="0"/>
              <w:rPr>
                <w:sz w:val="20"/>
                <w:szCs w:val="20"/>
                <w:lang w:val="en-GB"/>
              </w:rPr>
            </w:pPr>
            <w:r w:rsidRPr="00221992">
              <w:rPr>
                <w:sz w:val="20"/>
                <w:szCs w:val="20"/>
                <w:lang w:val="en-GB"/>
              </w:rPr>
              <w:t>Annual therapy costs can</w:t>
            </w:r>
            <w:r w:rsidR="00551786">
              <w:rPr>
                <w:sz w:val="20"/>
                <w:szCs w:val="20"/>
                <w:lang w:val="en-GB"/>
              </w:rPr>
              <w:t>’</w:t>
            </w:r>
            <w:r w:rsidRPr="00221992">
              <w:rPr>
                <w:sz w:val="20"/>
                <w:szCs w:val="20"/>
                <w:lang w:val="en-GB"/>
              </w:rPr>
              <w:t>t</w:t>
            </w:r>
            <w:r w:rsidR="00AC171D" w:rsidRPr="00221992">
              <w:rPr>
                <w:sz w:val="20"/>
                <w:szCs w:val="20"/>
                <w:lang w:val="en-GB"/>
              </w:rPr>
              <w:t xml:space="preserve"> </w:t>
            </w:r>
            <w:r w:rsidRPr="00221992">
              <w:rPr>
                <w:sz w:val="20"/>
                <w:szCs w:val="20"/>
                <w:lang w:val="en-GB"/>
              </w:rPr>
              <w:t>exceed those of the most</w:t>
            </w:r>
            <w:r w:rsidR="00AC171D" w:rsidRPr="00221992">
              <w:rPr>
                <w:sz w:val="20"/>
                <w:szCs w:val="20"/>
                <w:lang w:val="en-GB"/>
              </w:rPr>
              <w:t xml:space="preserve"> </w:t>
            </w:r>
            <w:r w:rsidRPr="00221992">
              <w:rPr>
                <w:sz w:val="20"/>
                <w:szCs w:val="20"/>
                <w:lang w:val="en-GB"/>
              </w:rPr>
              <w:t>economical comparator</w:t>
            </w:r>
          </w:p>
        </w:tc>
      </w:tr>
      <w:tr w:rsidR="00D95336" w:rsidRPr="00221992" w14:paraId="62B6E7DE" w14:textId="77777777" w:rsidTr="09920F6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23" w:type="dxa"/>
            <w:vMerge/>
          </w:tcPr>
          <w:p w14:paraId="33019B2C" w14:textId="77777777" w:rsidR="00D95336" w:rsidRPr="00221992" w:rsidRDefault="00D95336" w:rsidP="000C66C0">
            <w:pPr>
              <w:spacing w:after="0" w:line="240" w:lineRule="auto"/>
              <w:rPr>
                <w:sz w:val="20"/>
                <w:szCs w:val="20"/>
                <w:lang w:val="en-GB"/>
              </w:rPr>
            </w:pPr>
          </w:p>
        </w:tc>
        <w:tc>
          <w:tcPr>
            <w:tcW w:w="4546" w:type="dxa"/>
          </w:tcPr>
          <w:p w14:paraId="5FAAAF24" w14:textId="77777777" w:rsidR="00D95336" w:rsidRPr="00221992" w:rsidRDefault="00D95336" w:rsidP="000C66C0">
            <w:pPr>
              <w:spacing w:after="0" w:line="240" w:lineRule="auto"/>
              <w:cnfStyle w:val="000000010000" w:firstRow="0" w:lastRow="0" w:firstColumn="0" w:lastColumn="0" w:oddVBand="0" w:evenVBand="0" w:oddHBand="0" w:evenHBand="1" w:firstRowFirstColumn="0" w:firstRowLastColumn="0" w:lastRowFirstColumn="0" w:lastRowLastColumn="0"/>
              <w:rPr>
                <w:sz w:val="20"/>
                <w:szCs w:val="20"/>
                <w:lang w:val="en-GB"/>
              </w:rPr>
            </w:pPr>
            <w:r w:rsidRPr="00221992">
              <w:rPr>
                <w:sz w:val="20"/>
                <w:szCs w:val="20"/>
                <w:lang w:val="en-GB"/>
              </w:rPr>
              <w:t>Patent-protected; not previously assessed by G-BA</w:t>
            </w:r>
          </w:p>
        </w:tc>
        <w:tc>
          <w:tcPr>
            <w:tcW w:w="2547" w:type="dxa"/>
          </w:tcPr>
          <w:p w14:paraId="56C51B58" w14:textId="0169DA24" w:rsidR="00D95336" w:rsidRPr="00221992" w:rsidRDefault="00D95336" w:rsidP="000C66C0">
            <w:pPr>
              <w:spacing w:after="0" w:line="240" w:lineRule="auto"/>
              <w:cnfStyle w:val="000000010000" w:firstRow="0" w:lastRow="0" w:firstColumn="0" w:lastColumn="0" w:oddVBand="0" w:evenVBand="0" w:oddHBand="0" w:evenHBand="1" w:firstRowFirstColumn="0" w:firstRowLastColumn="0" w:lastRowFirstColumn="0" w:lastRowLastColumn="0"/>
              <w:rPr>
                <w:sz w:val="20"/>
                <w:szCs w:val="20"/>
                <w:lang w:val="en-GB"/>
              </w:rPr>
            </w:pPr>
            <w:r w:rsidRPr="00221992">
              <w:rPr>
                <w:sz w:val="20"/>
                <w:szCs w:val="20"/>
                <w:lang w:val="en-GB"/>
              </w:rPr>
              <w:t>Annual therapy costs 15%</w:t>
            </w:r>
            <w:r w:rsidR="00AC171D" w:rsidRPr="00221992">
              <w:rPr>
                <w:sz w:val="20"/>
                <w:szCs w:val="20"/>
                <w:lang w:val="en-GB"/>
              </w:rPr>
              <w:t xml:space="preserve"> </w:t>
            </w:r>
            <w:r w:rsidRPr="00221992">
              <w:rPr>
                <w:sz w:val="20"/>
                <w:szCs w:val="20"/>
                <w:lang w:val="en-GB"/>
              </w:rPr>
              <w:t>below those of ACT</w:t>
            </w:r>
          </w:p>
        </w:tc>
      </w:tr>
      <w:tr w:rsidR="00D95336" w:rsidRPr="00221992" w14:paraId="5DA69CEE" w14:textId="77777777" w:rsidTr="1D29606A">
        <w:tc>
          <w:tcPr>
            <w:cnfStyle w:val="001000000000" w:firstRow="0" w:lastRow="0" w:firstColumn="1" w:lastColumn="0" w:oddVBand="0" w:evenVBand="0" w:oddHBand="0" w:evenHBand="0" w:firstRowFirstColumn="0" w:firstRowLastColumn="0" w:lastRowFirstColumn="0" w:lastRowLastColumn="0"/>
            <w:tcW w:w="1923" w:type="dxa"/>
            <w:vMerge w:val="restart"/>
            <w:shd w:val="clear" w:color="auto" w:fill="1E8BCD"/>
          </w:tcPr>
          <w:p w14:paraId="1DEA14E1" w14:textId="77777777" w:rsidR="00D95336" w:rsidRPr="00221992" w:rsidRDefault="00D95336" w:rsidP="000C66C0">
            <w:pPr>
              <w:spacing w:after="0" w:line="240" w:lineRule="auto"/>
              <w:rPr>
                <w:sz w:val="20"/>
                <w:szCs w:val="20"/>
                <w:lang w:val="en-GB"/>
              </w:rPr>
            </w:pPr>
            <w:r w:rsidRPr="00221992">
              <w:rPr>
                <w:sz w:val="20"/>
                <w:szCs w:val="20"/>
                <w:lang w:val="en-GB"/>
              </w:rPr>
              <w:t>Not quantifiable</w:t>
            </w:r>
          </w:p>
        </w:tc>
        <w:tc>
          <w:tcPr>
            <w:tcW w:w="4546" w:type="dxa"/>
          </w:tcPr>
          <w:p w14:paraId="382FBE6D" w14:textId="77777777" w:rsidR="00D95336" w:rsidRPr="00221992" w:rsidRDefault="00D95336" w:rsidP="000C66C0">
            <w:pPr>
              <w:spacing w:after="0" w:line="240" w:lineRule="auto"/>
              <w:cnfStyle w:val="000000000000" w:firstRow="0" w:lastRow="0" w:firstColumn="0" w:lastColumn="0" w:oddVBand="0" w:evenVBand="0" w:oddHBand="0" w:evenHBand="0" w:firstRowFirstColumn="0" w:firstRowLastColumn="0" w:lastRowFirstColumn="0" w:lastRowLastColumn="0"/>
              <w:rPr>
                <w:sz w:val="20"/>
                <w:szCs w:val="20"/>
                <w:lang w:val="en-GB"/>
              </w:rPr>
            </w:pPr>
            <w:r w:rsidRPr="00221992">
              <w:rPr>
                <w:sz w:val="20"/>
                <w:szCs w:val="20"/>
                <w:lang w:val="en-GB"/>
              </w:rPr>
              <w:t>Patent-protected; previously assessed by G-BA</w:t>
            </w:r>
          </w:p>
          <w:p w14:paraId="1AA92867" w14:textId="77777777" w:rsidR="00D95336" w:rsidRPr="00221992" w:rsidRDefault="00D95336" w:rsidP="000C66C0">
            <w:pPr>
              <w:spacing w:after="0" w:line="240" w:lineRule="auto"/>
              <w:cnfStyle w:val="000000000000" w:firstRow="0" w:lastRow="0" w:firstColumn="0" w:lastColumn="0" w:oddVBand="0" w:evenVBand="0" w:oddHBand="0" w:evenHBand="0" w:firstRowFirstColumn="0" w:firstRowLastColumn="0" w:lastRowFirstColumn="0" w:lastRowLastColumn="0"/>
              <w:rPr>
                <w:sz w:val="20"/>
                <w:szCs w:val="20"/>
                <w:lang w:val="en-GB"/>
              </w:rPr>
            </w:pPr>
            <w:r w:rsidRPr="00221992">
              <w:rPr>
                <w:sz w:val="20"/>
                <w:szCs w:val="20"/>
                <w:lang w:val="en-GB"/>
              </w:rPr>
              <w:t>Off-patent</w:t>
            </w:r>
          </w:p>
        </w:tc>
        <w:tc>
          <w:tcPr>
            <w:tcW w:w="2547" w:type="dxa"/>
          </w:tcPr>
          <w:p w14:paraId="1AAC4382" w14:textId="10582C8C" w:rsidR="00D95336" w:rsidRPr="00221992" w:rsidRDefault="00D95336" w:rsidP="000C66C0">
            <w:pPr>
              <w:spacing w:after="0" w:line="240" w:lineRule="auto"/>
              <w:cnfStyle w:val="000000000000" w:firstRow="0" w:lastRow="0" w:firstColumn="0" w:lastColumn="0" w:oddVBand="0" w:evenVBand="0" w:oddHBand="0" w:evenHBand="0" w:firstRowFirstColumn="0" w:firstRowLastColumn="0" w:lastRowFirstColumn="0" w:lastRowLastColumn="0"/>
              <w:rPr>
                <w:sz w:val="20"/>
                <w:szCs w:val="20"/>
                <w:lang w:val="en-GB"/>
              </w:rPr>
            </w:pPr>
            <w:r w:rsidRPr="00221992">
              <w:rPr>
                <w:sz w:val="20"/>
                <w:szCs w:val="20"/>
                <w:lang w:val="en-GB"/>
              </w:rPr>
              <w:t>Annual therapy costs can</w:t>
            </w:r>
            <w:r w:rsidR="00551786">
              <w:rPr>
                <w:sz w:val="20"/>
                <w:szCs w:val="20"/>
                <w:lang w:val="en-GB"/>
              </w:rPr>
              <w:t>’</w:t>
            </w:r>
            <w:r w:rsidRPr="00221992">
              <w:rPr>
                <w:sz w:val="20"/>
                <w:szCs w:val="20"/>
                <w:lang w:val="en-GB"/>
              </w:rPr>
              <w:t>t</w:t>
            </w:r>
            <w:r w:rsidR="00AC171D" w:rsidRPr="00221992">
              <w:rPr>
                <w:sz w:val="20"/>
                <w:szCs w:val="20"/>
                <w:lang w:val="en-GB"/>
              </w:rPr>
              <w:t xml:space="preserve"> </w:t>
            </w:r>
            <w:r w:rsidRPr="00221992">
              <w:rPr>
                <w:sz w:val="20"/>
                <w:szCs w:val="20"/>
                <w:lang w:val="en-GB"/>
              </w:rPr>
              <w:t>exceed those of the most</w:t>
            </w:r>
            <w:r w:rsidR="00AC171D" w:rsidRPr="00221992">
              <w:rPr>
                <w:sz w:val="20"/>
                <w:szCs w:val="20"/>
                <w:lang w:val="en-GB"/>
              </w:rPr>
              <w:t xml:space="preserve"> </w:t>
            </w:r>
            <w:r w:rsidRPr="00221992">
              <w:rPr>
                <w:sz w:val="20"/>
                <w:szCs w:val="20"/>
                <w:lang w:val="en-GB"/>
              </w:rPr>
              <w:t>economical comparator</w:t>
            </w:r>
          </w:p>
        </w:tc>
      </w:tr>
      <w:tr w:rsidR="00D95336" w:rsidRPr="00221992" w14:paraId="1AE2F1A5" w14:textId="77777777" w:rsidTr="09920F6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23" w:type="dxa"/>
            <w:vMerge/>
          </w:tcPr>
          <w:p w14:paraId="5BDF33F8" w14:textId="77777777" w:rsidR="00D95336" w:rsidRPr="00221992" w:rsidRDefault="00D95336" w:rsidP="000C66C0">
            <w:pPr>
              <w:spacing w:after="0" w:line="240" w:lineRule="auto"/>
              <w:rPr>
                <w:sz w:val="20"/>
                <w:szCs w:val="20"/>
                <w:lang w:val="en-GB"/>
              </w:rPr>
            </w:pPr>
          </w:p>
        </w:tc>
        <w:tc>
          <w:tcPr>
            <w:tcW w:w="4546" w:type="dxa"/>
          </w:tcPr>
          <w:p w14:paraId="1CD9A54F" w14:textId="77777777" w:rsidR="00D95336" w:rsidRPr="00221992" w:rsidRDefault="00D95336" w:rsidP="000C66C0">
            <w:pPr>
              <w:spacing w:after="0" w:line="240" w:lineRule="auto"/>
              <w:cnfStyle w:val="000000010000" w:firstRow="0" w:lastRow="0" w:firstColumn="0" w:lastColumn="0" w:oddVBand="0" w:evenVBand="0" w:oddHBand="0" w:evenHBand="1" w:firstRowFirstColumn="0" w:firstRowLastColumn="0" w:lastRowFirstColumn="0" w:lastRowLastColumn="0"/>
              <w:rPr>
                <w:sz w:val="20"/>
                <w:szCs w:val="20"/>
                <w:lang w:val="en-GB"/>
              </w:rPr>
            </w:pPr>
            <w:r w:rsidRPr="00221992">
              <w:rPr>
                <w:sz w:val="20"/>
                <w:szCs w:val="20"/>
                <w:lang w:val="en-GB"/>
              </w:rPr>
              <w:t>Patent-protected; not previously assessed by G-BA</w:t>
            </w:r>
          </w:p>
        </w:tc>
        <w:tc>
          <w:tcPr>
            <w:tcW w:w="2547" w:type="dxa"/>
          </w:tcPr>
          <w:p w14:paraId="0C57AF0B" w14:textId="02A879DD" w:rsidR="00D95336" w:rsidRPr="00221992" w:rsidRDefault="00D95336" w:rsidP="000C66C0">
            <w:pPr>
              <w:spacing w:after="0" w:line="240" w:lineRule="auto"/>
              <w:cnfStyle w:val="000000010000" w:firstRow="0" w:lastRow="0" w:firstColumn="0" w:lastColumn="0" w:oddVBand="0" w:evenVBand="0" w:oddHBand="0" w:evenHBand="1" w:firstRowFirstColumn="0" w:firstRowLastColumn="0" w:lastRowFirstColumn="0" w:lastRowLastColumn="0"/>
              <w:rPr>
                <w:sz w:val="20"/>
                <w:szCs w:val="20"/>
                <w:lang w:val="en-GB"/>
              </w:rPr>
            </w:pPr>
            <w:r w:rsidRPr="00221992">
              <w:rPr>
                <w:sz w:val="20"/>
                <w:szCs w:val="20"/>
                <w:lang w:val="en-GB"/>
              </w:rPr>
              <w:t>Annual therapy costs 15%</w:t>
            </w:r>
            <w:r w:rsidR="00AC171D" w:rsidRPr="00221992">
              <w:rPr>
                <w:sz w:val="20"/>
                <w:szCs w:val="20"/>
                <w:lang w:val="en-GB"/>
              </w:rPr>
              <w:t xml:space="preserve"> </w:t>
            </w:r>
            <w:r w:rsidRPr="00221992">
              <w:rPr>
                <w:sz w:val="20"/>
                <w:szCs w:val="20"/>
                <w:lang w:val="en-GB"/>
              </w:rPr>
              <w:t>below those of ACT</w:t>
            </w:r>
          </w:p>
        </w:tc>
      </w:tr>
      <w:tr w:rsidR="00D95336" w:rsidRPr="00221992" w14:paraId="718CD63A" w14:textId="77777777" w:rsidTr="1D29606A">
        <w:tc>
          <w:tcPr>
            <w:cnfStyle w:val="001000000000" w:firstRow="0" w:lastRow="0" w:firstColumn="1" w:lastColumn="0" w:oddVBand="0" w:evenVBand="0" w:oddHBand="0" w:evenHBand="0" w:firstRowFirstColumn="0" w:firstRowLastColumn="0" w:lastRowFirstColumn="0" w:lastRowLastColumn="0"/>
            <w:tcW w:w="1923" w:type="dxa"/>
            <w:vMerge w:val="restart"/>
            <w:shd w:val="clear" w:color="auto" w:fill="1E8BCD"/>
          </w:tcPr>
          <w:p w14:paraId="0F5D06B5" w14:textId="77777777" w:rsidR="00D95336" w:rsidRPr="00221992" w:rsidRDefault="00D95336" w:rsidP="000C66C0">
            <w:pPr>
              <w:spacing w:after="0" w:line="240" w:lineRule="auto"/>
              <w:rPr>
                <w:sz w:val="20"/>
                <w:szCs w:val="20"/>
                <w:lang w:val="en-GB"/>
              </w:rPr>
            </w:pPr>
            <w:r w:rsidRPr="00221992">
              <w:rPr>
                <w:sz w:val="20"/>
                <w:szCs w:val="20"/>
                <w:lang w:val="en-GB"/>
              </w:rPr>
              <w:t>None</w:t>
            </w:r>
          </w:p>
        </w:tc>
        <w:tc>
          <w:tcPr>
            <w:tcW w:w="4546" w:type="dxa"/>
          </w:tcPr>
          <w:p w14:paraId="7ED71754" w14:textId="77777777" w:rsidR="00D95336" w:rsidRPr="00221992" w:rsidRDefault="00D95336" w:rsidP="000C66C0">
            <w:pPr>
              <w:spacing w:after="0" w:line="240" w:lineRule="auto"/>
              <w:cnfStyle w:val="000000000000" w:firstRow="0" w:lastRow="0" w:firstColumn="0" w:lastColumn="0" w:oddVBand="0" w:evenVBand="0" w:oddHBand="0" w:evenHBand="0" w:firstRowFirstColumn="0" w:firstRowLastColumn="0" w:lastRowFirstColumn="0" w:lastRowLastColumn="0"/>
              <w:rPr>
                <w:sz w:val="20"/>
                <w:szCs w:val="20"/>
                <w:lang w:val="en-GB"/>
              </w:rPr>
            </w:pPr>
            <w:r w:rsidRPr="00221992">
              <w:rPr>
                <w:sz w:val="20"/>
                <w:szCs w:val="20"/>
                <w:lang w:val="en-GB"/>
              </w:rPr>
              <w:t>Patent-protected</w:t>
            </w:r>
          </w:p>
        </w:tc>
        <w:tc>
          <w:tcPr>
            <w:tcW w:w="2547" w:type="dxa"/>
          </w:tcPr>
          <w:p w14:paraId="4DB61905" w14:textId="04E44A5D" w:rsidR="00D95336" w:rsidRPr="00221992" w:rsidRDefault="00D95336" w:rsidP="000C66C0">
            <w:pPr>
              <w:spacing w:after="0" w:line="240" w:lineRule="auto"/>
              <w:cnfStyle w:val="000000000000" w:firstRow="0" w:lastRow="0" w:firstColumn="0" w:lastColumn="0" w:oddVBand="0" w:evenVBand="0" w:oddHBand="0" w:evenHBand="0" w:firstRowFirstColumn="0" w:firstRowLastColumn="0" w:lastRowFirstColumn="0" w:lastRowLastColumn="0"/>
              <w:rPr>
                <w:sz w:val="20"/>
                <w:szCs w:val="20"/>
                <w:lang w:val="en-GB"/>
              </w:rPr>
            </w:pPr>
            <w:r w:rsidRPr="00221992">
              <w:rPr>
                <w:sz w:val="20"/>
                <w:szCs w:val="20"/>
                <w:lang w:val="en-GB"/>
              </w:rPr>
              <w:t>Reference pricing,</w:t>
            </w:r>
            <w:r w:rsidR="00AC171D" w:rsidRPr="00221992">
              <w:rPr>
                <w:sz w:val="20"/>
                <w:szCs w:val="20"/>
                <w:lang w:val="en-GB"/>
              </w:rPr>
              <w:t xml:space="preserve"> </w:t>
            </w:r>
            <w:r w:rsidRPr="00221992">
              <w:rPr>
                <w:sz w:val="20"/>
                <w:szCs w:val="20"/>
                <w:lang w:val="en-GB"/>
              </w:rPr>
              <w:t>otherwise annual therapy</w:t>
            </w:r>
          </w:p>
          <w:p w14:paraId="0DD9A49D" w14:textId="0234B1BA" w:rsidR="00D95336" w:rsidRPr="00221992" w:rsidRDefault="00D95336" w:rsidP="000C66C0">
            <w:pPr>
              <w:spacing w:after="0" w:line="240" w:lineRule="auto"/>
              <w:cnfStyle w:val="000000000000" w:firstRow="0" w:lastRow="0" w:firstColumn="0" w:lastColumn="0" w:oddVBand="0" w:evenVBand="0" w:oddHBand="0" w:evenHBand="0" w:firstRowFirstColumn="0" w:firstRowLastColumn="0" w:lastRowFirstColumn="0" w:lastRowLastColumn="0"/>
              <w:rPr>
                <w:sz w:val="20"/>
                <w:szCs w:val="20"/>
                <w:lang w:val="en-GB"/>
              </w:rPr>
            </w:pPr>
            <w:r w:rsidRPr="00221992">
              <w:rPr>
                <w:sz w:val="20"/>
                <w:szCs w:val="20"/>
                <w:lang w:val="en-GB"/>
              </w:rPr>
              <w:t>costs &gt;10% below those of</w:t>
            </w:r>
            <w:r w:rsidR="00AC171D" w:rsidRPr="00221992">
              <w:rPr>
                <w:sz w:val="20"/>
                <w:szCs w:val="20"/>
                <w:lang w:val="en-GB"/>
              </w:rPr>
              <w:t xml:space="preserve"> </w:t>
            </w:r>
            <w:r w:rsidRPr="00221992">
              <w:rPr>
                <w:sz w:val="20"/>
                <w:szCs w:val="20"/>
                <w:lang w:val="en-GB"/>
              </w:rPr>
              <w:t>ACT</w:t>
            </w:r>
          </w:p>
        </w:tc>
      </w:tr>
      <w:tr w:rsidR="00D95336" w:rsidRPr="00221992" w14:paraId="6466CA51" w14:textId="77777777" w:rsidTr="09920F6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23" w:type="dxa"/>
            <w:vMerge/>
          </w:tcPr>
          <w:p w14:paraId="43035BF1" w14:textId="77777777" w:rsidR="00D95336" w:rsidRPr="00221992" w:rsidRDefault="00D95336" w:rsidP="000C66C0">
            <w:pPr>
              <w:spacing w:after="0" w:line="240" w:lineRule="auto"/>
              <w:rPr>
                <w:sz w:val="20"/>
                <w:szCs w:val="20"/>
                <w:lang w:val="en-GB"/>
              </w:rPr>
            </w:pPr>
          </w:p>
        </w:tc>
        <w:tc>
          <w:tcPr>
            <w:tcW w:w="4546" w:type="dxa"/>
          </w:tcPr>
          <w:p w14:paraId="72EB038A" w14:textId="77777777" w:rsidR="00D95336" w:rsidRPr="00221992" w:rsidRDefault="00D95336" w:rsidP="000C66C0">
            <w:pPr>
              <w:spacing w:after="0" w:line="240" w:lineRule="auto"/>
              <w:cnfStyle w:val="000000010000" w:firstRow="0" w:lastRow="0" w:firstColumn="0" w:lastColumn="0" w:oddVBand="0" w:evenVBand="0" w:oddHBand="0" w:evenHBand="1" w:firstRowFirstColumn="0" w:firstRowLastColumn="0" w:lastRowFirstColumn="0" w:lastRowLastColumn="0"/>
              <w:rPr>
                <w:sz w:val="20"/>
                <w:szCs w:val="20"/>
                <w:lang w:val="en-GB"/>
              </w:rPr>
            </w:pPr>
            <w:r w:rsidRPr="00221992">
              <w:rPr>
                <w:sz w:val="20"/>
                <w:szCs w:val="20"/>
                <w:lang w:val="en-GB"/>
              </w:rPr>
              <w:t>Off-patent</w:t>
            </w:r>
          </w:p>
        </w:tc>
        <w:tc>
          <w:tcPr>
            <w:tcW w:w="2547" w:type="dxa"/>
          </w:tcPr>
          <w:p w14:paraId="28DA93DA" w14:textId="37173FF8" w:rsidR="00D95336" w:rsidRPr="00221992" w:rsidRDefault="00D95336" w:rsidP="000C66C0">
            <w:pPr>
              <w:spacing w:after="0" w:line="240" w:lineRule="auto"/>
              <w:cnfStyle w:val="000000010000" w:firstRow="0" w:lastRow="0" w:firstColumn="0" w:lastColumn="0" w:oddVBand="0" w:evenVBand="0" w:oddHBand="0" w:evenHBand="1" w:firstRowFirstColumn="0" w:firstRowLastColumn="0" w:lastRowFirstColumn="0" w:lastRowLastColumn="0"/>
              <w:rPr>
                <w:sz w:val="20"/>
                <w:szCs w:val="20"/>
                <w:lang w:val="en-GB"/>
              </w:rPr>
            </w:pPr>
            <w:r w:rsidRPr="00221992">
              <w:rPr>
                <w:sz w:val="20"/>
                <w:szCs w:val="20"/>
                <w:lang w:val="en-GB"/>
              </w:rPr>
              <w:t>Reference pricing,</w:t>
            </w:r>
            <w:r w:rsidR="00AC171D" w:rsidRPr="00221992">
              <w:rPr>
                <w:sz w:val="20"/>
                <w:szCs w:val="20"/>
                <w:lang w:val="en-GB"/>
              </w:rPr>
              <w:t xml:space="preserve"> </w:t>
            </w:r>
            <w:r w:rsidRPr="00221992">
              <w:rPr>
                <w:sz w:val="20"/>
                <w:szCs w:val="20"/>
                <w:lang w:val="en-GB"/>
              </w:rPr>
              <w:t>otherwise annual therapy</w:t>
            </w:r>
            <w:r w:rsidR="00AC171D" w:rsidRPr="00221992">
              <w:rPr>
                <w:sz w:val="20"/>
                <w:szCs w:val="20"/>
                <w:lang w:val="en-GB"/>
              </w:rPr>
              <w:t xml:space="preserve"> </w:t>
            </w:r>
            <w:r w:rsidRPr="00221992">
              <w:rPr>
                <w:sz w:val="20"/>
                <w:szCs w:val="20"/>
                <w:lang w:val="en-GB"/>
              </w:rPr>
              <w:t>can</w:t>
            </w:r>
            <w:r w:rsidR="00551786">
              <w:rPr>
                <w:sz w:val="20"/>
                <w:szCs w:val="20"/>
                <w:lang w:val="en-GB"/>
              </w:rPr>
              <w:t>’</w:t>
            </w:r>
            <w:r w:rsidRPr="00221992">
              <w:rPr>
                <w:sz w:val="20"/>
                <w:szCs w:val="20"/>
                <w:lang w:val="en-GB"/>
              </w:rPr>
              <w:t>t exceed those of ACT</w:t>
            </w:r>
          </w:p>
        </w:tc>
      </w:tr>
      <w:tr w:rsidR="00D95336" w:rsidRPr="00221992" w14:paraId="5D2A59BF" w14:textId="77777777" w:rsidTr="1D29606A">
        <w:tc>
          <w:tcPr>
            <w:cnfStyle w:val="001000000000" w:firstRow="0" w:lastRow="0" w:firstColumn="1" w:lastColumn="0" w:oddVBand="0" w:evenVBand="0" w:oddHBand="0" w:evenHBand="0" w:firstRowFirstColumn="0" w:firstRowLastColumn="0" w:lastRowFirstColumn="0" w:lastRowLastColumn="0"/>
            <w:tcW w:w="1923" w:type="dxa"/>
            <w:vMerge w:val="restart"/>
            <w:shd w:val="clear" w:color="auto" w:fill="1E8BCD"/>
          </w:tcPr>
          <w:p w14:paraId="566C6123" w14:textId="77777777" w:rsidR="00D95336" w:rsidRPr="00221992" w:rsidRDefault="00D95336" w:rsidP="000C66C0">
            <w:pPr>
              <w:spacing w:after="0" w:line="240" w:lineRule="auto"/>
              <w:rPr>
                <w:sz w:val="20"/>
                <w:szCs w:val="20"/>
                <w:lang w:val="en-GB"/>
              </w:rPr>
            </w:pPr>
            <w:r w:rsidRPr="00221992">
              <w:rPr>
                <w:sz w:val="20"/>
                <w:szCs w:val="20"/>
                <w:lang w:val="en-GB"/>
              </w:rPr>
              <w:t>Less/Worse</w:t>
            </w:r>
          </w:p>
        </w:tc>
        <w:tc>
          <w:tcPr>
            <w:tcW w:w="4546" w:type="dxa"/>
          </w:tcPr>
          <w:p w14:paraId="16D76225" w14:textId="77777777" w:rsidR="00D95336" w:rsidRPr="00221992" w:rsidRDefault="00D95336" w:rsidP="000C66C0">
            <w:pPr>
              <w:spacing w:after="0" w:line="240" w:lineRule="auto"/>
              <w:cnfStyle w:val="000000000000" w:firstRow="0" w:lastRow="0" w:firstColumn="0" w:lastColumn="0" w:oddVBand="0" w:evenVBand="0" w:oddHBand="0" w:evenHBand="0" w:firstRowFirstColumn="0" w:firstRowLastColumn="0" w:lastRowFirstColumn="0" w:lastRowLastColumn="0"/>
              <w:rPr>
                <w:sz w:val="20"/>
                <w:szCs w:val="20"/>
                <w:lang w:val="en-GB"/>
              </w:rPr>
            </w:pPr>
            <w:r w:rsidRPr="00221992">
              <w:rPr>
                <w:sz w:val="20"/>
                <w:szCs w:val="20"/>
                <w:lang w:val="en-GB"/>
              </w:rPr>
              <w:t>Patent-protected</w:t>
            </w:r>
          </w:p>
        </w:tc>
        <w:tc>
          <w:tcPr>
            <w:tcW w:w="2547" w:type="dxa"/>
          </w:tcPr>
          <w:p w14:paraId="0BDA9F9F" w14:textId="72D8045E" w:rsidR="00D95336" w:rsidRPr="00221992" w:rsidRDefault="00D95336" w:rsidP="000C66C0">
            <w:pPr>
              <w:spacing w:after="0" w:line="240" w:lineRule="auto"/>
              <w:cnfStyle w:val="000000000000" w:firstRow="0" w:lastRow="0" w:firstColumn="0" w:lastColumn="0" w:oddVBand="0" w:evenVBand="0" w:oddHBand="0" w:evenHBand="0" w:firstRowFirstColumn="0" w:firstRowLastColumn="0" w:lastRowFirstColumn="0" w:lastRowLastColumn="0"/>
              <w:rPr>
                <w:sz w:val="20"/>
                <w:szCs w:val="20"/>
                <w:lang w:val="en-GB"/>
              </w:rPr>
            </w:pPr>
            <w:r w:rsidRPr="00221992">
              <w:rPr>
                <w:sz w:val="20"/>
                <w:szCs w:val="20"/>
                <w:lang w:val="en-GB"/>
              </w:rPr>
              <w:t>Reference pricing,</w:t>
            </w:r>
            <w:r w:rsidR="00AC171D" w:rsidRPr="00221992">
              <w:rPr>
                <w:sz w:val="20"/>
                <w:szCs w:val="20"/>
                <w:lang w:val="en-GB"/>
              </w:rPr>
              <w:t xml:space="preserve"> </w:t>
            </w:r>
            <w:r w:rsidRPr="00221992">
              <w:rPr>
                <w:sz w:val="20"/>
                <w:szCs w:val="20"/>
                <w:lang w:val="en-GB"/>
              </w:rPr>
              <w:t>otherwise annual therapy</w:t>
            </w:r>
            <w:r w:rsidR="00AC171D" w:rsidRPr="00221992">
              <w:rPr>
                <w:sz w:val="20"/>
                <w:szCs w:val="20"/>
                <w:lang w:val="en-GB"/>
              </w:rPr>
              <w:t xml:space="preserve"> </w:t>
            </w:r>
            <w:r w:rsidRPr="00221992">
              <w:rPr>
                <w:sz w:val="20"/>
                <w:szCs w:val="20"/>
                <w:lang w:val="en-GB"/>
              </w:rPr>
              <w:t>costs &gt;10% below those of</w:t>
            </w:r>
            <w:r w:rsidR="00AC171D" w:rsidRPr="00221992">
              <w:rPr>
                <w:sz w:val="20"/>
                <w:szCs w:val="20"/>
                <w:lang w:val="en-GB"/>
              </w:rPr>
              <w:t xml:space="preserve"> </w:t>
            </w:r>
            <w:r w:rsidRPr="00221992">
              <w:rPr>
                <w:sz w:val="20"/>
                <w:szCs w:val="20"/>
                <w:lang w:val="en-GB"/>
              </w:rPr>
              <w:t>ACT</w:t>
            </w:r>
          </w:p>
        </w:tc>
      </w:tr>
      <w:tr w:rsidR="00D95336" w:rsidRPr="00221992" w14:paraId="293074FC" w14:textId="77777777" w:rsidTr="09920F6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23" w:type="dxa"/>
            <w:vMerge/>
          </w:tcPr>
          <w:p w14:paraId="3CC1DD10" w14:textId="77777777" w:rsidR="00D95336" w:rsidRPr="00221992" w:rsidRDefault="00D95336" w:rsidP="000C66C0">
            <w:pPr>
              <w:spacing w:after="0" w:line="240" w:lineRule="auto"/>
              <w:rPr>
                <w:sz w:val="20"/>
                <w:szCs w:val="20"/>
                <w:lang w:val="en-GB"/>
              </w:rPr>
            </w:pPr>
          </w:p>
        </w:tc>
        <w:tc>
          <w:tcPr>
            <w:tcW w:w="4546" w:type="dxa"/>
          </w:tcPr>
          <w:p w14:paraId="744A7F22" w14:textId="77777777" w:rsidR="00D95336" w:rsidRPr="00221992" w:rsidRDefault="00D95336" w:rsidP="000C66C0">
            <w:pPr>
              <w:spacing w:after="0" w:line="240" w:lineRule="auto"/>
              <w:cnfStyle w:val="000000010000" w:firstRow="0" w:lastRow="0" w:firstColumn="0" w:lastColumn="0" w:oddVBand="0" w:evenVBand="0" w:oddHBand="0" w:evenHBand="1" w:firstRowFirstColumn="0" w:firstRowLastColumn="0" w:lastRowFirstColumn="0" w:lastRowLastColumn="0"/>
              <w:rPr>
                <w:sz w:val="20"/>
                <w:szCs w:val="20"/>
                <w:lang w:val="en-GB"/>
              </w:rPr>
            </w:pPr>
            <w:r w:rsidRPr="00221992">
              <w:rPr>
                <w:sz w:val="20"/>
                <w:szCs w:val="20"/>
                <w:lang w:val="en-GB"/>
              </w:rPr>
              <w:t>Off-patent</w:t>
            </w:r>
          </w:p>
        </w:tc>
        <w:tc>
          <w:tcPr>
            <w:tcW w:w="2547" w:type="dxa"/>
          </w:tcPr>
          <w:p w14:paraId="2DE79AF5" w14:textId="1B123876" w:rsidR="00D95336" w:rsidRPr="00221992" w:rsidRDefault="00D95336" w:rsidP="000C66C0">
            <w:pPr>
              <w:spacing w:after="0" w:line="240" w:lineRule="auto"/>
              <w:cnfStyle w:val="000000010000" w:firstRow="0" w:lastRow="0" w:firstColumn="0" w:lastColumn="0" w:oddVBand="0" w:evenVBand="0" w:oddHBand="0" w:evenHBand="1" w:firstRowFirstColumn="0" w:firstRowLastColumn="0" w:lastRowFirstColumn="0" w:lastRowLastColumn="0"/>
              <w:rPr>
                <w:sz w:val="20"/>
                <w:szCs w:val="20"/>
                <w:lang w:val="en-GB"/>
              </w:rPr>
            </w:pPr>
            <w:r w:rsidRPr="00221992">
              <w:rPr>
                <w:sz w:val="20"/>
                <w:szCs w:val="20"/>
                <w:lang w:val="en-GB"/>
              </w:rPr>
              <w:t>Reference pricing,</w:t>
            </w:r>
            <w:r w:rsidR="00AC171D" w:rsidRPr="00221992">
              <w:rPr>
                <w:sz w:val="20"/>
                <w:szCs w:val="20"/>
                <w:lang w:val="en-GB"/>
              </w:rPr>
              <w:t xml:space="preserve"> </w:t>
            </w:r>
            <w:r w:rsidRPr="00221992">
              <w:rPr>
                <w:sz w:val="20"/>
                <w:szCs w:val="20"/>
                <w:lang w:val="en-GB"/>
              </w:rPr>
              <w:t>otherwise annual therapy costs cannot exceed those of ACT</w:t>
            </w:r>
          </w:p>
        </w:tc>
      </w:tr>
    </w:tbl>
    <w:p w14:paraId="3B597F0C" w14:textId="257C1A6A" w:rsidR="00F45B5D" w:rsidRPr="00221992" w:rsidRDefault="00D95336" w:rsidP="00533CF1">
      <w:pPr>
        <w:pStyle w:val="TableNotes"/>
        <w:rPr>
          <w:lang w:val="en-GB"/>
        </w:rPr>
      </w:pPr>
      <w:r w:rsidRPr="00221992">
        <w:rPr>
          <w:lang w:val="en-GB"/>
        </w:rPr>
        <w:t xml:space="preserve">Source: </w:t>
      </w:r>
      <w:r w:rsidR="00F45B5D" w:rsidRPr="00221992">
        <w:rPr>
          <w:lang w:val="en-GB"/>
        </w:rPr>
        <w:tab/>
      </w:r>
      <w:r w:rsidRPr="00221992">
        <w:rPr>
          <w:lang w:val="en-GB"/>
        </w:rPr>
        <w:t xml:space="preserve">Adapted from </w:t>
      </w:r>
      <w:r w:rsidR="006C619C" w:rsidRPr="00221992">
        <w:rPr>
          <w:lang w:val="en-GB"/>
        </w:rPr>
        <w:t>p.</w:t>
      </w:r>
      <w:r w:rsidRPr="00221992">
        <w:rPr>
          <w:lang w:val="en-GB"/>
        </w:rPr>
        <w:t xml:space="preserve"> 21, Pownell, A. (2023)</w:t>
      </w:r>
    </w:p>
    <w:p w14:paraId="52CB5518" w14:textId="77777777" w:rsidR="00F45B5D" w:rsidRPr="00221992" w:rsidRDefault="00F45B5D" w:rsidP="00533CF1">
      <w:pPr>
        <w:pStyle w:val="TableNotes"/>
        <w:rPr>
          <w:lang w:val="en-GB"/>
        </w:rPr>
      </w:pPr>
      <w:r w:rsidRPr="00221992">
        <w:rPr>
          <w:lang w:val="en-GB"/>
        </w:rPr>
        <w:t>Acronyms:</w:t>
      </w:r>
      <w:r w:rsidRPr="00221992">
        <w:rPr>
          <w:lang w:val="en-GB"/>
        </w:rPr>
        <w:tab/>
      </w:r>
      <w:r w:rsidR="00D95336" w:rsidRPr="00221992">
        <w:rPr>
          <w:lang w:val="en-GB"/>
        </w:rPr>
        <w:t>ACT = Appropriate comparator therapy; G-BA = Gemeinsamer Bundesausschuss; Federal Joint Committee.</w:t>
      </w:r>
    </w:p>
    <w:p w14:paraId="4304A211" w14:textId="586B832B" w:rsidR="00D95336" w:rsidRPr="00221992" w:rsidRDefault="00D95336" w:rsidP="00533CF1">
      <w:pPr>
        <w:pStyle w:val="TableNotes"/>
        <w:rPr>
          <w:lang w:val="en-GB"/>
        </w:rPr>
      </w:pPr>
      <w:r w:rsidRPr="00221992">
        <w:rPr>
          <w:lang w:val="en-GB"/>
        </w:rPr>
        <w:t>Note</w:t>
      </w:r>
      <w:r w:rsidR="00F45B5D" w:rsidRPr="00221992">
        <w:rPr>
          <w:lang w:val="en-GB"/>
        </w:rPr>
        <w:t>s</w:t>
      </w:r>
      <w:r w:rsidRPr="00221992">
        <w:rPr>
          <w:lang w:val="en-GB"/>
        </w:rPr>
        <w:t>:</w:t>
      </w:r>
      <w:r w:rsidR="00F45B5D" w:rsidRPr="00221992">
        <w:rPr>
          <w:lang w:val="en-GB"/>
        </w:rPr>
        <w:tab/>
      </w:r>
      <w:r w:rsidRPr="00221992">
        <w:rPr>
          <w:lang w:val="en-GB"/>
        </w:rPr>
        <w:t xml:space="preserve">The term </w:t>
      </w:r>
      <w:r w:rsidR="00551786">
        <w:rPr>
          <w:lang w:val="en-GB"/>
        </w:rPr>
        <w:t>‘</w:t>
      </w:r>
      <w:r w:rsidRPr="00221992">
        <w:rPr>
          <w:lang w:val="en-GB"/>
        </w:rPr>
        <w:t>&gt;10% below those of the ACT</w:t>
      </w:r>
      <w:r w:rsidR="00551786">
        <w:rPr>
          <w:lang w:val="en-GB"/>
        </w:rPr>
        <w:t>’</w:t>
      </w:r>
      <w:r w:rsidRPr="00221992">
        <w:rPr>
          <w:lang w:val="en-GB"/>
        </w:rPr>
        <w:t xml:space="preserve"> means the price must be at least 11% cheaper than the ACT.</w:t>
      </w:r>
    </w:p>
    <w:p w14:paraId="23CA3AB2" w14:textId="29F29C27" w:rsidR="00D95336" w:rsidRPr="00221992" w:rsidRDefault="00D95336" w:rsidP="00702C58">
      <w:pPr>
        <w:rPr>
          <w:lang w:val="en-GB"/>
        </w:rPr>
      </w:pPr>
      <w:r w:rsidRPr="00221992">
        <w:rPr>
          <w:lang w:val="en-GB"/>
        </w:rPr>
        <w:t xml:space="preserve">If a price cannot be agreed upon, it is referred to </w:t>
      </w:r>
      <w:r w:rsidR="005A1904">
        <w:rPr>
          <w:lang w:val="en-GB"/>
        </w:rPr>
        <w:t>an</w:t>
      </w:r>
      <w:r w:rsidR="005A1904" w:rsidRPr="00221992">
        <w:rPr>
          <w:lang w:val="en-GB"/>
        </w:rPr>
        <w:t xml:space="preserve"> </w:t>
      </w:r>
      <w:r w:rsidRPr="00221992">
        <w:rPr>
          <w:lang w:val="en-GB"/>
        </w:rPr>
        <w:t xml:space="preserve">arbitration board </w:t>
      </w:r>
      <w:r w:rsidR="005A1904">
        <w:rPr>
          <w:lang w:val="en-GB"/>
        </w:rPr>
        <w:t>comprised</w:t>
      </w:r>
      <w:r w:rsidRPr="00221992">
        <w:rPr>
          <w:lang w:val="en-GB"/>
        </w:rPr>
        <w:t xml:space="preserve"> of representatives from each side plus an impartial chair and two other members</w:t>
      </w:r>
      <w:r w:rsidR="005A1904">
        <w:rPr>
          <w:lang w:val="en-GB"/>
        </w:rPr>
        <w:t>. P</w:t>
      </w:r>
      <w:r w:rsidRPr="00221992">
        <w:rPr>
          <w:lang w:val="en-GB"/>
        </w:rPr>
        <w:t>atient organisations may also attend meetings of the</w:t>
      </w:r>
      <w:r w:rsidR="005A1904">
        <w:rPr>
          <w:lang w:val="en-GB"/>
        </w:rPr>
        <w:t xml:space="preserve"> arbitration</w:t>
      </w:r>
      <w:r w:rsidRPr="00221992">
        <w:rPr>
          <w:lang w:val="en-GB"/>
        </w:rPr>
        <w:t xml:space="preserve"> board. Decisions are made by a simple majority vote</w:t>
      </w:r>
      <w:r w:rsidR="005A1904">
        <w:rPr>
          <w:lang w:val="en-GB"/>
        </w:rPr>
        <w:t>.</w:t>
      </w:r>
      <w:r w:rsidRPr="00221992">
        <w:rPr>
          <w:lang w:val="en-GB"/>
        </w:rPr>
        <w:t xml:space="preserve"> </w:t>
      </w:r>
      <w:r w:rsidR="005A1904">
        <w:rPr>
          <w:lang w:val="en-GB"/>
        </w:rPr>
        <w:t>A</w:t>
      </w:r>
      <w:r w:rsidRPr="00221992">
        <w:rPr>
          <w:lang w:val="en-GB"/>
        </w:rPr>
        <w:t xml:space="preserve">bstention is not allowed and if there is no majority, the </w:t>
      </w:r>
      <w:r w:rsidR="005A1904">
        <w:rPr>
          <w:lang w:val="en-GB"/>
        </w:rPr>
        <w:t xml:space="preserve">chairperson’s </w:t>
      </w:r>
      <w:r w:rsidRPr="00221992">
        <w:rPr>
          <w:lang w:val="en-GB"/>
        </w:rPr>
        <w:t xml:space="preserve">vote </w:t>
      </w:r>
      <w:r w:rsidR="005A1904">
        <w:rPr>
          <w:lang w:val="en-GB"/>
        </w:rPr>
        <w:t>is determinative</w:t>
      </w:r>
      <w:r w:rsidRPr="00221992">
        <w:rPr>
          <w:lang w:val="en-GB"/>
        </w:rPr>
        <w:t xml:space="preserve">. The board has up to </w:t>
      </w:r>
      <w:r w:rsidR="005A1904">
        <w:rPr>
          <w:lang w:val="en-GB"/>
        </w:rPr>
        <w:t>three</w:t>
      </w:r>
      <w:r w:rsidRPr="00221992">
        <w:rPr>
          <w:lang w:val="en-GB"/>
        </w:rPr>
        <w:t xml:space="preserve"> months to determine a legally binding price. </w:t>
      </w:r>
      <w:r w:rsidR="005A1904">
        <w:rPr>
          <w:lang w:val="en-GB"/>
        </w:rPr>
        <w:t>While the</w:t>
      </w:r>
      <w:r w:rsidR="005A1904" w:rsidRPr="00221992">
        <w:rPr>
          <w:lang w:val="en-GB"/>
        </w:rPr>
        <w:t xml:space="preserve"> </w:t>
      </w:r>
      <w:r w:rsidRPr="00221992">
        <w:rPr>
          <w:lang w:val="en-GB"/>
        </w:rPr>
        <w:t>manufacturer can refuse the arbitrators</w:t>
      </w:r>
      <w:r w:rsidR="00551786">
        <w:rPr>
          <w:lang w:val="en-GB"/>
        </w:rPr>
        <w:t>’</w:t>
      </w:r>
      <w:r w:rsidRPr="00221992">
        <w:rPr>
          <w:lang w:val="en-GB"/>
        </w:rPr>
        <w:t xml:space="preserve"> price and withdraw its product, </w:t>
      </w:r>
      <w:r w:rsidR="005A1904">
        <w:rPr>
          <w:lang w:val="en-GB"/>
        </w:rPr>
        <w:t>it</w:t>
      </w:r>
      <w:r w:rsidR="005A1904" w:rsidRPr="00221992">
        <w:rPr>
          <w:lang w:val="en-GB"/>
        </w:rPr>
        <w:t xml:space="preserve"> </w:t>
      </w:r>
      <w:r w:rsidRPr="00221992">
        <w:rPr>
          <w:lang w:val="en-GB"/>
        </w:rPr>
        <w:t xml:space="preserve">then forgoes sales in </w:t>
      </w:r>
      <w:r w:rsidR="005A1904">
        <w:rPr>
          <w:lang w:val="en-GB"/>
        </w:rPr>
        <w:t xml:space="preserve">Europe’s </w:t>
      </w:r>
      <w:r w:rsidRPr="00221992">
        <w:rPr>
          <w:lang w:val="en-GB"/>
        </w:rPr>
        <w:t xml:space="preserve">largest market </w:t>
      </w:r>
      <w:r w:rsidR="005A1904">
        <w:rPr>
          <w:lang w:val="en-GB"/>
        </w:rPr>
        <w:t>(</w:t>
      </w:r>
      <w:r w:rsidRPr="00221992">
        <w:rPr>
          <w:lang w:val="en-GB"/>
        </w:rPr>
        <w:t xml:space="preserve">and </w:t>
      </w:r>
      <w:r w:rsidR="00A672CE" w:rsidRPr="00221992">
        <w:rPr>
          <w:lang w:val="en-GB"/>
        </w:rPr>
        <w:t>risks</w:t>
      </w:r>
      <w:r w:rsidRPr="00221992">
        <w:rPr>
          <w:lang w:val="en-GB"/>
        </w:rPr>
        <w:t xml:space="preserve"> enter</w:t>
      </w:r>
      <w:r w:rsidR="00A672CE" w:rsidRPr="00221992">
        <w:rPr>
          <w:lang w:val="en-GB"/>
        </w:rPr>
        <w:t>ing</w:t>
      </w:r>
      <w:r w:rsidRPr="00221992">
        <w:rPr>
          <w:lang w:val="en-GB"/>
        </w:rPr>
        <w:t xml:space="preserve"> </w:t>
      </w:r>
      <w:r w:rsidR="005A1904">
        <w:rPr>
          <w:lang w:val="en-GB"/>
        </w:rPr>
        <w:t xml:space="preserve">future </w:t>
      </w:r>
      <w:r w:rsidRPr="00221992">
        <w:rPr>
          <w:lang w:val="en-GB"/>
        </w:rPr>
        <w:t>price negotiations with a reputation for being uncooperative</w:t>
      </w:r>
      <w:r w:rsidR="005A1904">
        <w:rPr>
          <w:lang w:val="en-GB"/>
        </w:rPr>
        <w:t>)</w:t>
      </w:r>
      <w:r w:rsidRPr="00221992">
        <w:rPr>
          <w:lang w:val="en-GB"/>
        </w:rPr>
        <w:t xml:space="preserve">. </w:t>
      </w:r>
      <w:r w:rsidR="005A1904">
        <w:rPr>
          <w:lang w:val="en-GB"/>
        </w:rPr>
        <w:t>At the earliest, a</w:t>
      </w:r>
      <w:r w:rsidRPr="00221992">
        <w:rPr>
          <w:lang w:val="en-GB"/>
        </w:rPr>
        <w:t>rbitration decision</w:t>
      </w:r>
      <w:r w:rsidR="005A1904">
        <w:rPr>
          <w:lang w:val="en-GB"/>
        </w:rPr>
        <w:t>s</w:t>
      </w:r>
      <w:r w:rsidRPr="00221992">
        <w:rPr>
          <w:lang w:val="en-GB"/>
        </w:rPr>
        <w:t xml:space="preserve"> </w:t>
      </w:r>
      <w:r w:rsidR="005A1904">
        <w:rPr>
          <w:lang w:val="en-GB"/>
        </w:rPr>
        <w:t>may</w:t>
      </w:r>
      <w:r w:rsidR="005A1904" w:rsidRPr="00221992">
        <w:rPr>
          <w:lang w:val="en-GB"/>
        </w:rPr>
        <w:t xml:space="preserve"> </w:t>
      </w:r>
      <w:r w:rsidRPr="00221992">
        <w:rPr>
          <w:lang w:val="en-GB"/>
        </w:rPr>
        <w:t xml:space="preserve">be </w:t>
      </w:r>
      <w:r w:rsidR="005A1904">
        <w:rPr>
          <w:lang w:val="en-GB"/>
        </w:rPr>
        <w:t>challenged</w:t>
      </w:r>
      <w:r w:rsidRPr="00221992">
        <w:rPr>
          <w:lang w:val="en-GB"/>
        </w:rPr>
        <w:t xml:space="preserve"> by either part</w:t>
      </w:r>
      <w:r w:rsidR="005A1904">
        <w:rPr>
          <w:lang w:val="en-GB"/>
        </w:rPr>
        <w:t>y</w:t>
      </w:r>
      <w:r w:rsidRPr="00221992">
        <w:rPr>
          <w:lang w:val="en-GB"/>
        </w:rPr>
        <w:t xml:space="preserve"> after one year</w:t>
      </w:r>
      <w:r w:rsidR="005A1904">
        <w:rPr>
          <w:lang w:val="en-GB"/>
        </w:rPr>
        <w:t>,</w:t>
      </w:r>
      <w:r w:rsidRPr="00221992">
        <w:rPr>
          <w:lang w:val="en-GB"/>
        </w:rPr>
        <w:t xml:space="preserve"> </w:t>
      </w:r>
      <w:r w:rsidR="005A1904">
        <w:rPr>
          <w:lang w:val="en-GB"/>
        </w:rPr>
        <w:t>with the</w:t>
      </w:r>
      <w:r w:rsidRPr="00221992">
        <w:rPr>
          <w:lang w:val="en-GB"/>
        </w:rPr>
        <w:t xml:space="preserve"> price set by arbitration valid until a new agreement is reached</w:t>
      </w:r>
      <w:r w:rsidR="00F5766F" w:rsidRPr="00221992">
        <w:rPr>
          <w:lang w:val="en-GB"/>
        </w:rPr>
        <w:t xml:space="preserve"> </w:t>
      </w:r>
      <w:r w:rsidRPr="00221992">
        <w:rPr>
          <w:lang w:val="en-GB"/>
        </w:rPr>
        <w:fldChar w:fldCharType="begin"/>
      </w:r>
      <w:r w:rsidR="00112E71">
        <w:rPr>
          <w:lang w:val="en-GB"/>
        </w:rPr>
        <w:instrText xml:space="preserve"> ADDIN EN.CITE &lt;EndNote&gt;&lt;Cite&gt;&lt;Author&gt;Wenzl&lt;/Author&gt;&lt;Year&gt;2018&lt;/Year&gt;&lt;RecNum&gt;367&lt;/RecNum&gt;&lt;DisplayText&gt;[41]&lt;/DisplayText&gt;&lt;record&gt;&lt;rec-number&gt;367&lt;/rec-number&gt;&lt;foreign-keys&gt;&lt;key app="EN" db-id="wzwwsfxe4peesxef95cxvrwjxts9rreasarf" timestamp="1692654670"&gt;367&lt;/key&gt;&lt;/foreign-keys&gt;&lt;ref-type name="Web Page"&gt;12&lt;/ref-type&gt;&lt;contributors&gt;&lt;authors&gt;&lt;author&gt;Wenzl, M.&lt;/author&gt;&lt;author&gt;Paris, V.&lt;/author&gt;&lt;/authors&gt;&lt;/contributors&gt;&lt;titles&gt;&lt;title&gt;Pharmaceutical Reimbursement and Pricing in Germany&lt;/title&gt;&lt;/titles&gt;&lt;dates&gt;&lt;year&gt;2018&lt;/year&gt;&lt;/dates&gt;&lt;pub-location&gt;Paris&lt;/pub-location&gt;&lt;publisher&gt;Organisation for Economic Co-operation and Development&lt;/publisher&gt;&lt;urls&gt;&lt;related-urls&gt;&lt;url&gt;https://www.oecd.org/health/health-systems/Pharmaceutical-Reimbursement-and-Pricing-in-Germany.pdf&lt;/url&gt;&lt;/related-urls&gt;&lt;/urls&gt;&lt;/record&gt;&lt;/Cite&gt;&lt;/EndNote&gt;</w:instrText>
      </w:r>
      <w:r w:rsidRPr="00221992">
        <w:rPr>
          <w:lang w:val="en-GB"/>
        </w:rPr>
        <w:fldChar w:fldCharType="separate"/>
      </w:r>
      <w:r w:rsidR="00112E71">
        <w:rPr>
          <w:noProof/>
          <w:lang w:val="en-GB"/>
        </w:rPr>
        <w:t>[41]</w:t>
      </w:r>
      <w:r w:rsidRPr="00221992">
        <w:rPr>
          <w:lang w:val="en-GB"/>
        </w:rPr>
        <w:fldChar w:fldCharType="end"/>
      </w:r>
      <w:r w:rsidR="00F5766F" w:rsidRPr="00221992">
        <w:rPr>
          <w:lang w:val="en-GB"/>
        </w:rPr>
        <w:t>.</w:t>
      </w:r>
      <w:r w:rsidRPr="00221992">
        <w:rPr>
          <w:lang w:val="en-GB"/>
        </w:rPr>
        <w:t xml:space="preserve"> From 2011 (when this price structure was established) to mid-March 2019, the German pharmaceutical system has conducted assessments and pricing for 230 drugs. Of these, 35</w:t>
      </w:r>
      <w:r w:rsidR="00E406C9" w:rsidRPr="00221992">
        <w:rPr>
          <w:lang w:val="en-GB"/>
        </w:rPr>
        <w:t>/230</w:t>
      </w:r>
      <w:r w:rsidRPr="00221992">
        <w:rPr>
          <w:lang w:val="en-GB"/>
        </w:rPr>
        <w:t xml:space="preserve"> drugs (15%) had a price set by arbitration and 28</w:t>
      </w:r>
      <w:r w:rsidR="00E406C9" w:rsidRPr="00221992">
        <w:rPr>
          <w:lang w:val="en-GB"/>
        </w:rPr>
        <w:t>/230</w:t>
      </w:r>
      <w:r w:rsidRPr="00221992">
        <w:rPr>
          <w:lang w:val="en-GB"/>
        </w:rPr>
        <w:t xml:space="preserve"> (12%) were withdrawn from the market by their manufacturers</w:t>
      </w:r>
      <w:r w:rsidR="00F5766F" w:rsidRPr="00221992">
        <w:rPr>
          <w:lang w:val="en-GB"/>
        </w:rPr>
        <w:t xml:space="preserve"> </w:t>
      </w:r>
      <w:r w:rsidRPr="00221992">
        <w:rPr>
          <w:lang w:val="en-GB"/>
        </w:rPr>
        <w:fldChar w:fldCharType="begin"/>
      </w:r>
      <w:r w:rsidR="00112E71">
        <w:rPr>
          <w:lang w:val="en-GB"/>
        </w:rPr>
        <w:instrText xml:space="preserve"> ADDIN EN.CITE &lt;EndNote&gt;&lt;Cite&gt;&lt;Author&gt;Robinson&lt;/Author&gt;&lt;Year&gt;2019&lt;/Year&gt;&lt;RecNum&gt;223&lt;/RecNum&gt;&lt;DisplayText&gt;[42]&lt;/DisplayText&gt;&lt;record&gt;&lt;rec-number&gt;223&lt;/rec-number&gt;&lt;foreign-keys&gt;&lt;key app="EN" db-id="wzwwsfxe4peesxef95cxvrwjxts9rreasarf" timestamp="1692654670"&gt;223&lt;/key&gt;&lt;/foreign-keys&gt;&lt;ref-type name="Web Page"&gt;12&lt;/ref-type&gt;&lt;contributors&gt;&lt;authors&gt;&lt;author&gt;Robinson, J.&lt;/author&gt;&lt;author&gt;Ex, P.&lt;/author&gt;&lt;author&gt;Panteli, D.&lt;/author&gt;&lt;/authors&gt;&lt;/contributors&gt;&lt;titles&gt;&lt;title&gt;How Drug Prices Are Negotiated in Germany&lt;/title&gt;&lt;/titles&gt;&lt;dates&gt;&lt;year&gt;2019&lt;/year&gt;&lt;/dates&gt;&lt;publisher&gt;The Commonwealth Fund&lt;/publisher&gt;&lt;urls&gt;&lt;related-urls&gt;&lt;url&gt;https://www.commonwealthfund.org/blog/2019/how-drug-prices-are-negotiated-germany&lt;/url&gt;&lt;/related-urls&gt;&lt;/urls&gt;&lt;/record&gt;&lt;/Cite&gt;&lt;/EndNote&gt;</w:instrText>
      </w:r>
      <w:r w:rsidRPr="00221992">
        <w:rPr>
          <w:lang w:val="en-GB"/>
        </w:rPr>
        <w:fldChar w:fldCharType="separate"/>
      </w:r>
      <w:r w:rsidR="00112E71">
        <w:rPr>
          <w:noProof/>
          <w:lang w:val="en-GB"/>
        </w:rPr>
        <w:t>[42]</w:t>
      </w:r>
      <w:r w:rsidRPr="00221992">
        <w:rPr>
          <w:lang w:val="en-GB"/>
        </w:rPr>
        <w:fldChar w:fldCharType="end"/>
      </w:r>
      <w:r w:rsidR="00F5766F" w:rsidRPr="00221992">
        <w:rPr>
          <w:lang w:val="en-GB"/>
        </w:rPr>
        <w:t>.</w:t>
      </w:r>
    </w:p>
    <w:p w14:paraId="203A944F" w14:textId="434C74D5" w:rsidR="00D95336" w:rsidRPr="00221992" w:rsidRDefault="00D95336" w:rsidP="00702C58">
      <w:pPr>
        <w:rPr>
          <w:lang w:val="en-GB"/>
        </w:rPr>
      </w:pPr>
      <w:r w:rsidRPr="00221992">
        <w:rPr>
          <w:lang w:val="en-GB"/>
        </w:rPr>
        <w:t>The decisions of the arbitration board are discretionary</w:t>
      </w:r>
      <w:r w:rsidR="00935054" w:rsidRPr="00221992">
        <w:rPr>
          <w:lang w:val="en-GB"/>
        </w:rPr>
        <w:t xml:space="preserve"> (</w:t>
      </w:r>
      <w:r w:rsidR="005E23C0">
        <w:rPr>
          <w:lang w:val="en-GB"/>
        </w:rPr>
        <w:t xml:space="preserve">i.e., </w:t>
      </w:r>
      <w:r w:rsidR="00935054" w:rsidRPr="00221992">
        <w:rPr>
          <w:lang w:val="en-GB"/>
        </w:rPr>
        <w:t xml:space="preserve">based on reason and judgement, rather than </w:t>
      </w:r>
      <w:r w:rsidR="005E23C0">
        <w:rPr>
          <w:lang w:val="en-GB"/>
        </w:rPr>
        <w:t xml:space="preserve">parameterised </w:t>
      </w:r>
      <w:r w:rsidR="00935054" w:rsidRPr="00221992">
        <w:rPr>
          <w:lang w:val="en-GB"/>
        </w:rPr>
        <w:t>criteria)</w:t>
      </w:r>
      <w:r w:rsidR="005E23C0">
        <w:rPr>
          <w:lang w:val="en-GB"/>
        </w:rPr>
        <w:t xml:space="preserve"> and</w:t>
      </w:r>
      <w:r w:rsidRPr="00221992">
        <w:rPr>
          <w:lang w:val="en-GB"/>
        </w:rPr>
        <w:t xml:space="preserve"> transparent. The board has to make a decision only after consideration of all the circumstances of every individual case and after taking into account all peculiarities of the respective therapeutic area. </w:t>
      </w:r>
      <w:r w:rsidR="001F4818">
        <w:rPr>
          <w:lang w:val="en-GB"/>
        </w:rPr>
        <w:t>Price adjustments</w:t>
      </w:r>
      <w:r w:rsidRPr="00221992">
        <w:rPr>
          <w:lang w:val="en-GB"/>
        </w:rPr>
        <w:t xml:space="preserve"> </w:t>
      </w:r>
      <w:r w:rsidR="001F4818">
        <w:rPr>
          <w:lang w:val="en-GB"/>
        </w:rPr>
        <w:t xml:space="preserve">remain the sole perview of </w:t>
      </w:r>
      <w:r w:rsidRPr="00221992">
        <w:rPr>
          <w:lang w:val="en-GB"/>
        </w:rPr>
        <w:t>the G-BA</w:t>
      </w:r>
      <w:r w:rsidR="001F4818">
        <w:rPr>
          <w:lang w:val="en-GB"/>
        </w:rPr>
        <w:t>;</w:t>
      </w:r>
      <w:r w:rsidRPr="00221992">
        <w:rPr>
          <w:lang w:val="en-GB"/>
        </w:rPr>
        <w:t xml:space="preserve"> the arbitration board is only allowed to estimate the extent of added benefit. According to the German Social Code Book, the arbitration board should not follow any algorithm in </w:t>
      </w:r>
      <w:r w:rsidR="001F4818">
        <w:rPr>
          <w:lang w:val="en-GB"/>
        </w:rPr>
        <w:t>its</w:t>
      </w:r>
      <w:r w:rsidR="001F4818" w:rsidRPr="00221992">
        <w:rPr>
          <w:lang w:val="en-GB"/>
        </w:rPr>
        <w:t xml:space="preserve"> </w:t>
      </w:r>
      <w:r w:rsidR="00D158BA">
        <w:rPr>
          <w:lang w:val="en-GB"/>
        </w:rPr>
        <w:t>decision-making</w:t>
      </w:r>
      <w:r w:rsidR="001F4818">
        <w:rPr>
          <w:lang w:val="en-GB"/>
        </w:rPr>
        <w:t>,</w:t>
      </w:r>
      <w:r w:rsidRPr="00221992">
        <w:rPr>
          <w:lang w:val="en-GB"/>
        </w:rPr>
        <w:t xml:space="preserve"> but rather weight all criteria depending on the case. According to a former chai</w:t>
      </w:r>
      <w:r w:rsidR="00B12158" w:rsidRPr="00221992">
        <w:rPr>
          <w:lang w:val="en-GB"/>
        </w:rPr>
        <w:t xml:space="preserve">r </w:t>
      </w:r>
      <w:r w:rsidRPr="00221992">
        <w:rPr>
          <w:lang w:val="en-GB"/>
        </w:rPr>
        <w:t>of the arbitration board, the following rules are considered</w:t>
      </w:r>
      <w:r w:rsidR="003C1B9F" w:rsidRPr="00221992">
        <w:rPr>
          <w:lang w:val="en-GB"/>
        </w:rPr>
        <w:t xml:space="preserve"> </w:t>
      </w:r>
      <w:r w:rsidRPr="00221992">
        <w:rPr>
          <w:lang w:val="en-GB"/>
        </w:rPr>
        <w:fldChar w:fldCharType="begin"/>
      </w:r>
      <w:r w:rsidR="00112E71">
        <w:rPr>
          <w:lang w:val="en-GB"/>
        </w:rPr>
        <w:instrText xml:space="preserve"> ADDIN EN.CITE &lt;EndNote&gt;&lt;Cite&gt;&lt;Author&gt;Ludwig&lt;/Author&gt;&lt;Year&gt;2016&lt;/Year&gt;&lt;RecNum&gt;302&lt;/RecNum&gt;&lt;DisplayText&gt;[43]&lt;/DisplayText&gt;&lt;record&gt;&lt;rec-number&gt;302&lt;/rec-number&gt;&lt;foreign-keys&gt;&lt;key app="EN" db-id="wzwwsfxe4peesxef95cxvrwjxts9rreasarf" timestamp="1692654670"&gt;302&lt;/key&gt;&lt;/foreign-keys&gt;&lt;ref-type name="Journal Article"&gt;17&lt;/ref-type&gt;&lt;contributors&gt;&lt;authors&gt;&lt;author&gt;Ludwig, Saskia&lt;/author&gt;&lt;author&gt;Dintsios, Charalabos-Markos&lt;/author&gt;&lt;/authors&gt;&lt;/contributors&gt;&lt;titles&gt;&lt;title&gt;Arbitration Board Setting Reimbursement Amounts for Pharmaceutical Innovations in Germany When Price Negations between Payers and Manufacturers Fail: An Empirical Analysis of 5 Years’ Experience&lt;/title&gt;&lt;secondary-title&gt;Value in Health&lt;/secondary-title&gt;&lt;/titles&gt;&lt;periodical&gt;&lt;full-title&gt;Value in Health&lt;/full-title&gt;&lt;/periodical&gt;&lt;pages&gt;1016-1025&lt;/pages&gt;&lt;volume&gt;19&lt;/volume&gt;&lt;number&gt;8&lt;/number&gt;&lt;keywords&gt;&lt;keyword&gt;AMNOG&lt;/keyword&gt;&lt;keyword&gt;arbitration board&lt;/keyword&gt;&lt;keyword&gt;early benefit assessment&lt;/keyword&gt;&lt;keyword&gt;price negotiations&lt;/keyword&gt;&lt;keyword&gt;reimbursement amount&lt;/keyword&gt;&lt;/keywords&gt;&lt;dates&gt;&lt;year&gt;2016&lt;/year&gt;&lt;pub-dates&gt;&lt;date&gt;2016/12/01/&lt;/date&gt;&lt;/pub-dates&gt;&lt;/dates&gt;&lt;isbn&gt;1098-3015&lt;/isbn&gt;&lt;urls&gt;&lt;related-urls&gt;&lt;url&gt;https://www.sciencedirect.com/science/article/pii/S1098301516305071&lt;/url&gt;&lt;/related-urls&gt;&lt;/urls&gt;&lt;electronic-resource-num&gt;https://doi.org/10.1016/j.jval.2016.05.016&lt;/electronic-resource-num&gt;&lt;/record&gt;&lt;/Cite&gt;&lt;/EndNote&gt;</w:instrText>
      </w:r>
      <w:r w:rsidRPr="00221992">
        <w:rPr>
          <w:lang w:val="en-GB"/>
        </w:rPr>
        <w:fldChar w:fldCharType="separate"/>
      </w:r>
      <w:r w:rsidR="00112E71">
        <w:rPr>
          <w:noProof/>
          <w:lang w:val="en-GB"/>
        </w:rPr>
        <w:t>[43]</w:t>
      </w:r>
      <w:r w:rsidRPr="00221992">
        <w:rPr>
          <w:lang w:val="en-GB"/>
        </w:rPr>
        <w:fldChar w:fldCharType="end"/>
      </w:r>
      <w:r w:rsidR="003C1B9F" w:rsidRPr="00221992">
        <w:rPr>
          <w:lang w:val="en-GB"/>
        </w:rPr>
        <w:t>:</w:t>
      </w:r>
    </w:p>
    <w:p w14:paraId="025865C8" w14:textId="672AD609" w:rsidR="00D95336" w:rsidRPr="00221992" w:rsidRDefault="00D95336" w:rsidP="00957584">
      <w:pPr>
        <w:pStyle w:val="ListParagraph"/>
        <w:numPr>
          <w:ilvl w:val="0"/>
          <w:numId w:val="30"/>
        </w:numPr>
        <w:rPr>
          <w:lang w:val="en-GB"/>
        </w:rPr>
      </w:pPr>
      <w:r w:rsidRPr="00221992">
        <w:rPr>
          <w:lang w:val="en-GB"/>
        </w:rPr>
        <w:t xml:space="preserve">The higher the added </w:t>
      </w:r>
      <w:r w:rsidR="00675FFF" w:rsidRPr="00221992">
        <w:rPr>
          <w:lang w:val="en-GB"/>
        </w:rPr>
        <w:t>patient-relevant</w:t>
      </w:r>
      <w:r w:rsidRPr="00221992">
        <w:rPr>
          <w:lang w:val="en-GB"/>
        </w:rPr>
        <w:t xml:space="preserve"> benefit, the stronger its impact on the </w:t>
      </w:r>
      <w:r w:rsidR="001F4818">
        <w:rPr>
          <w:lang w:val="en-GB"/>
        </w:rPr>
        <w:t>overall</w:t>
      </w:r>
      <w:r w:rsidR="001F4818" w:rsidRPr="00221992">
        <w:rPr>
          <w:lang w:val="en-GB"/>
        </w:rPr>
        <w:t xml:space="preserve"> </w:t>
      </w:r>
      <w:r w:rsidRPr="00221992">
        <w:rPr>
          <w:lang w:val="en-GB"/>
        </w:rPr>
        <w:t>evaluation.</w:t>
      </w:r>
    </w:p>
    <w:p w14:paraId="14455D49" w14:textId="57121DD5" w:rsidR="00D95336" w:rsidRPr="00221992" w:rsidRDefault="00D95336" w:rsidP="00957584">
      <w:pPr>
        <w:pStyle w:val="ListParagraph"/>
        <w:numPr>
          <w:ilvl w:val="0"/>
          <w:numId w:val="30"/>
        </w:numPr>
        <w:rPr>
          <w:lang w:val="en-GB"/>
        </w:rPr>
      </w:pPr>
      <w:r w:rsidRPr="00221992">
        <w:rPr>
          <w:lang w:val="en-GB"/>
        </w:rPr>
        <w:t xml:space="preserve">The smaller the predication of the actual selling prices, the smaller its impact </w:t>
      </w:r>
      <w:r w:rsidR="001F4818">
        <w:rPr>
          <w:lang w:val="en-GB"/>
        </w:rPr>
        <w:t>on</w:t>
      </w:r>
      <w:r w:rsidR="001F4818" w:rsidRPr="00221992">
        <w:rPr>
          <w:lang w:val="en-GB"/>
        </w:rPr>
        <w:t xml:space="preserve"> </w:t>
      </w:r>
      <w:r w:rsidRPr="00221992">
        <w:rPr>
          <w:lang w:val="en-GB"/>
        </w:rPr>
        <w:t xml:space="preserve">the </w:t>
      </w:r>
      <w:r w:rsidR="001F4818">
        <w:rPr>
          <w:lang w:val="en-GB"/>
        </w:rPr>
        <w:t>overall</w:t>
      </w:r>
      <w:r w:rsidR="001F4818" w:rsidRPr="00221992">
        <w:rPr>
          <w:lang w:val="en-GB"/>
        </w:rPr>
        <w:t xml:space="preserve"> </w:t>
      </w:r>
      <w:r w:rsidRPr="00221992">
        <w:rPr>
          <w:lang w:val="en-GB"/>
        </w:rPr>
        <w:t>evaluation</w:t>
      </w:r>
    </w:p>
    <w:p w14:paraId="441872C4" w14:textId="005DBED4" w:rsidR="00D95336" w:rsidRPr="00221992" w:rsidRDefault="00D95336" w:rsidP="00957584">
      <w:pPr>
        <w:pStyle w:val="ListParagraph"/>
        <w:numPr>
          <w:ilvl w:val="0"/>
          <w:numId w:val="30"/>
        </w:numPr>
        <w:rPr>
          <w:lang w:val="en-GB"/>
        </w:rPr>
      </w:pPr>
      <w:r w:rsidRPr="00221992">
        <w:rPr>
          <w:lang w:val="en-GB"/>
        </w:rPr>
        <w:t>Reimbursement amounts</w:t>
      </w:r>
      <w:r w:rsidR="00645881" w:rsidRPr="00221992">
        <w:rPr>
          <w:lang w:val="en-GB"/>
        </w:rPr>
        <w:t xml:space="preserve"> (sale prices)</w:t>
      </w:r>
      <w:r w:rsidRPr="00221992">
        <w:rPr>
          <w:lang w:val="en-GB"/>
        </w:rPr>
        <w:t xml:space="preserve"> of comparable drugs are </w:t>
      </w:r>
      <w:r w:rsidR="00030F7D" w:rsidRPr="00221992">
        <w:rPr>
          <w:lang w:val="en-GB"/>
        </w:rPr>
        <w:t xml:space="preserve">available to determine </w:t>
      </w:r>
      <w:r w:rsidRPr="00221992">
        <w:rPr>
          <w:lang w:val="en-GB"/>
        </w:rPr>
        <w:t xml:space="preserve">the appropriateness of the reimbursement amount. </w:t>
      </w:r>
      <w:r w:rsidR="0015023D" w:rsidRPr="00221992">
        <w:rPr>
          <w:lang w:val="en-GB"/>
        </w:rPr>
        <w:t xml:space="preserve">During arbitration, </w:t>
      </w:r>
      <w:r w:rsidR="006609E4" w:rsidRPr="00221992">
        <w:rPr>
          <w:lang w:val="en-GB"/>
        </w:rPr>
        <w:t xml:space="preserve">proponents may submit evidence of cost-effectiveness, but in </w:t>
      </w:r>
      <w:r w:rsidR="00596B93">
        <w:rPr>
          <w:lang w:val="en-GB"/>
        </w:rPr>
        <w:t>practice,</w:t>
      </w:r>
      <w:r w:rsidR="00596B93" w:rsidRPr="00221992">
        <w:rPr>
          <w:lang w:val="en-GB"/>
        </w:rPr>
        <w:t xml:space="preserve"> </w:t>
      </w:r>
      <w:r w:rsidR="006609E4" w:rsidRPr="00221992">
        <w:rPr>
          <w:lang w:val="en-GB"/>
        </w:rPr>
        <w:t xml:space="preserve">this criterion </w:t>
      </w:r>
      <w:r w:rsidR="00596B93">
        <w:rPr>
          <w:lang w:val="en-GB"/>
        </w:rPr>
        <w:t xml:space="preserve">is generally not </w:t>
      </w:r>
      <w:r w:rsidR="006609E4" w:rsidRPr="00221992">
        <w:rPr>
          <w:lang w:val="en-GB"/>
        </w:rPr>
        <w:t>considered in price negotiation</w:t>
      </w:r>
      <w:r w:rsidR="00596B93">
        <w:rPr>
          <w:lang w:val="en-GB"/>
        </w:rPr>
        <w:t>s</w:t>
      </w:r>
      <w:r w:rsidR="006609E4" w:rsidRPr="00221992">
        <w:rPr>
          <w:lang w:val="en-GB"/>
        </w:rPr>
        <w:t>.</w:t>
      </w:r>
    </w:p>
    <w:p w14:paraId="78F7B15A" w14:textId="555F66B3" w:rsidR="00D95336" w:rsidRPr="00221992" w:rsidRDefault="00D95336" w:rsidP="00702C58">
      <w:pPr>
        <w:rPr>
          <w:lang w:val="en-GB"/>
        </w:rPr>
      </w:pPr>
      <w:r w:rsidRPr="00221992">
        <w:rPr>
          <w:lang w:val="en-GB"/>
        </w:rPr>
        <w:t>From the perspective of the GKV-SV, most of the adjudication practice of the arbitration board focusse</w:t>
      </w:r>
      <w:r w:rsidR="00596B93">
        <w:rPr>
          <w:lang w:val="en-GB"/>
        </w:rPr>
        <w:t>s</w:t>
      </w:r>
      <w:r w:rsidRPr="00221992">
        <w:rPr>
          <w:lang w:val="en-GB"/>
        </w:rPr>
        <w:t xml:space="preserve"> on drugs with no proven added benefit and a generic ACT. In the few cases for new drugs with an added benefit with arbitration, the board </w:t>
      </w:r>
      <w:r w:rsidR="00596B93">
        <w:rPr>
          <w:lang w:val="en-GB"/>
        </w:rPr>
        <w:t>has been able</w:t>
      </w:r>
      <w:r w:rsidRPr="00221992">
        <w:rPr>
          <w:lang w:val="en-GB"/>
        </w:rPr>
        <w:t xml:space="preserve">, from the viewpoint of the GKV-SV, to take a position on the weighting criteria leading to the reimbursement amount and, moreover, to substantiate </w:t>
      </w:r>
      <w:r w:rsidR="00596B93">
        <w:rPr>
          <w:lang w:val="en-GB"/>
        </w:rPr>
        <w:t>its</w:t>
      </w:r>
      <w:r w:rsidR="00596B93" w:rsidRPr="00221992">
        <w:rPr>
          <w:lang w:val="en-GB"/>
        </w:rPr>
        <w:t xml:space="preserve"> </w:t>
      </w:r>
      <w:r w:rsidRPr="00221992">
        <w:rPr>
          <w:lang w:val="en-GB"/>
        </w:rPr>
        <w:t xml:space="preserve">criterion </w:t>
      </w:r>
      <w:r w:rsidR="00596B93">
        <w:rPr>
          <w:lang w:val="en-GB"/>
        </w:rPr>
        <w:t xml:space="preserve">with respect to prices in the </w:t>
      </w:r>
      <w:r w:rsidRPr="00221992">
        <w:rPr>
          <w:lang w:val="en-GB"/>
        </w:rPr>
        <w:t xml:space="preserve">EU. From the perspective of the pharmaceutical industry, the arbitration board seems </w:t>
      </w:r>
      <w:r w:rsidR="00596B93">
        <w:rPr>
          <w:lang w:val="en-GB"/>
        </w:rPr>
        <w:t>more</w:t>
      </w:r>
      <w:r w:rsidRPr="00221992">
        <w:rPr>
          <w:lang w:val="en-GB"/>
        </w:rPr>
        <w:t xml:space="preserve"> judge than arbitrator, </w:t>
      </w:r>
      <w:r w:rsidR="00596B93">
        <w:rPr>
          <w:lang w:val="en-GB"/>
        </w:rPr>
        <w:t>as</w:t>
      </w:r>
      <w:r w:rsidR="00596B93" w:rsidRPr="00221992">
        <w:rPr>
          <w:lang w:val="en-GB"/>
        </w:rPr>
        <w:t xml:space="preserve"> </w:t>
      </w:r>
      <w:r w:rsidRPr="00221992">
        <w:rPr>
          <w:lang w:val="en-GB"/>
        </w:rPr>
        <w:t xml:space="preserve">the GKV-SV </w:t>
      </w:r>
      <w:r w:rsidR="00596B93">
        <w:rPr>
          <w:lang w:val="en-GB"/>
        </w:rPr>
        <w:t>is generally seen as</w:t>
      </w:r>
      <w:r w:rsidRPr="00221992">
        <w:rPr>
          <w:lang w:val="en-GB"/>
        </w:rPr>
        <w:t xml:space="preserve"> </w:t>
      </w:r>
      <w:r w:rsidR="00596B93">
        <w:rPr>
          <w:lang w:val="en-GB"/>
        </w:rPr>
        <w:t>un</w:t>
      </w:r>
      <w:r w:rsidRPr="00221992">
        <w:rPr>
          <w:lang w:val="en-GB"/>
        </w:rPr>
        <w:t xml:space="preserve">willing to make concessions. </w:t>
      </w:r>
      <w:r w:rsidR="00596B93">
        <w:rPr>
          <w:lang w:val="en-GB"/>
        </w:rPr>
        <w:t xml:space="preserve">In many cases, </w:t>
      </w:r>
      <w:r w:rsidRPr="00221992">
        <w:rPr>
          <w:lang w:val="en-GB"/>
        </w:rPr>
        <w:t>arbit</w:t>
      </w:r>
      <w:r w:rsidR="00596B93">
        <w:rPr>
          <w:lang w:val="en-GB"/>
        </w:rPr>
        <w:t>rated</w:t>
      </w:r>
      <w:r w:rsidRPr="00221992">
        <w:rPr>
          <w:lang w:val="en-GB"/>
        </w:rPr>
        <w:t xml:space="preserve"> awards are perceived to be aligned with the position of the GKV-SV</w:t>
      </w:r>
      <w:r w:rsidR="00F5766F" w:rsidRPr="00221992">
        <w:rPr>
          <w:lang w:val="en-GB"/>
        </w:rPr>
        <w:t xml:space="preserve"> </w:t>
      </w:r>
      <w:r w:rsidRPr="00221992">
        <w:rPr>
          <w:lang w:val="en-GB"/>
        </w:rPr>
        <w:fldChar w:fldCharType="begin"/>
      </w:r>
      <w:r w:rsidR="00112E71">
        <w:rPr>
          <w:lang w:val="en-GB"/>
        </w:rPr>
        <w:instrText xml:space="preserve"> ADDIN EN.CITE &lt;EndNote&gt;&lt;Cite&gt;&lt;Author&gt;Ludwig&lt;/Author&gt;&lt;Year&gt;2016&lt;/Year&gt;&lt;RecNum&gt;302&lt;/RecNum&gt;&lt;DisplayText&gt;[43]&lt;/DisplayText&gt;&lt;record&gt;&lt;rec-number&gt;302&lt;/rec-number&gt;&lt;foreign-keys&gt;&lt;key app="EN" db-id="wzwwsfxe4peesxef95cxvrwjxts9rreasarf" timestamp="1692654670"&gt;302&lt;/key&gt;&lt;/foreign-keys&gt;&lt;ref-type name="Journal Article"&gt;17&lt;/ref-type&gt;&lt;contributors&gt;&lt;authors&gt;&lt;author&gt;Ludwig, Saskia&lt;/author&gt;&lt;author&gt;Dintsios, Charalabos-Markos&lt;/author&gt;&lt;/authors&gt;&lt;/contributors&gt;&lt;titles&gt;&lt;title&gt;Arbitration Board Setting Reimbursement Amounts for Pharmaceutical Innovations in Germany When Price Negations between Payers and Manufacturers Fail: An Empirical Analysis of 5 Years’ Experience&lt;/title&gt;&lt;secondary-title&gt;Value in Health&lt;/secondary-title&gt;&lt;/titles&gt;&lt;periodical&gt;&lt;full-title&gt;Value in Health&lt;/full-title&gt;&lt;/periodical&gt;&lt;pages&gt;1016-1025&lt;/pages&gt;&lt;volume&gt;19&lt;/volume&gt;&lt;number&gt;8&lt;/number&gt;&lt;keywords&gt;&lt;keyword&gt;AMNOG&lt;/keyword&gt;&lt;keyword&gt;arbitration board&lt;/keyword&gt;&lt;keyword&gt;early benefit assessment&lt;/keyword&gt;&lt;keyword&gt;price negotiations&lt;/keyword&gt;&lt;keyword&gt;reimbursement amount&lt;/keyword&gt;&lt;/keywords&gt;&lt;dates&gt;&lt;year&gt;2016&lt;/year&gt;&lt;pub-dates&gt;&lt;date&gt;2016/12/01/&lt;/date&gt;&lt;/pub-dates&gt;&lt;/dates&gt;&lt;isbn&gt;1098-3015&lt;/isbn&gt;&lt;urls&gt;&lt;related-urls&gt;&lt;url&gt;https://www.sciencedirect.com/science/article/pii/S1098301516305071&lt;/url&gt;&lt;/related-urls&gt;&lt;/urls&gt;&lt;electronic-resource-num&gt;https://doi.org/10.1016/j.jval.2016.05.016&lt;/electronic-resource-num&gt;&lt;/record&gt;&lt;/Cite&gt;&lt;/EndNote&gt;</w:instrText>
      </w:r>
      <w:r w:rsidRPr="00221992">
        <w:rPr>
          <w:lang w:val="en-GB"/>
        </w:rPr>
        <w:fldChar w:fldCharType="separate"/>
      </w:r>
      <w:r w:rsidR="00112E71">
        <w:rPr>
          <w:noProof/>
          <w:lang w:val="en-GB"/>
        </w:rPr>
        <w:t>[43]</w:t>
      </w:r>
      <w:r w:rsidRPr="00221992">
        <w:rPr>
          <w:lang w:val="en-GB"/>
        </w:rPr>
        <w:fldChar w:fldCharType="end"/>
      </w:r>
      <w:r w:rsidR="00F5766F" w:rsidRPr="00221992">
        <w:rPr>
          <w:lang w:val="en-GB"/>
        </w:rPr>
        <w:t>.</w:t>
      </w:r>
    </w:p>
    <w:p w14:paraId="515BB5F7" w14:textId="606F1077" w:rsidR="00D95336" w:rsidRPr="00221992" w:rsidRDefault="00D47855" w:rsidP="00702C58">
      <w:pPr>
        <w:rPr>
          <w:lang w:val="en-GB"/>
        </w:rPr>
      </w:pPr>
      <w:r w:rsidRPr="00221992">
        <w:rPr>
          <w:lang w:val="en-GB"/>
        </w:rPr>
        <w:t xml:space="preserve">According to </w:t>
      </w:r>
      <w:r w:rsidR="007777C9" w:rsidRPr="00221992">
        <w:rPr>
          <w:lang w:val="en-GB"/>
        </w:rPr>
        <w:t>Ludwig</w:t>
      </w:r>
      <w:r w:rsidRPr="00221992">
        <w:rPr>
          <w:lang w:val="en-GB"/>
        </w:rPr>
        <w:t xml:space="preserve"> </w:t>
      </w:r>
      <w:r w:rsidR="007777C9" w:rsidRPr="00221992">
        <w:rPr>
          <w:lang w:val="en-GB"/>
        </w:rPr>
        <w:t>and Dintsios (2016)</w:t>
      </w:r>
      <w:r w:rsidRPr="00221992">
        <w:rPr>
          <w:lang w:val="en-GB"/>
        </w:rPr>
        <w:t>,</w:t>
      </w:r>
      <w:r w:rsidR="007777C9" w:rsidRPr="00221992">
        <w:rPr>
          <w:lang w:val="en-GB"/>
        </w:rPr>
        <w:t xml:space="preserve"> </w:t>
      </w:r>
      <w:r w:rsidR="00D95336" w:rsidRPr="00221992">
        <w:rPr>
          <w:lang w:val="en-GB"/>
        </w:rPr>
        <w:t xml:space="preserve">a member of the Advisory Council on the Assessment of Developments in the Health Care System, the number of drugs not distributed after arbitration shows the </w:t>
      </w:r>
      <w:r w:rsidR="00443437">
        <w:rPr>
          <w:lang w:val="en-GB"/>
        </w:rPr>
        <w:t>controversial</w:t>
      </w:r>
      <w:r w:rsidR="00443437" w:rsidRPr="00221992">
        <w:rPr>
          <w:lang w:val="en-GB"/>
        </w:rPr>
        <w:t xml:space="preserve"> </w:t>
      </w:r>
      <w:r w:rsidR="00D95336" w:rsidRPr="00221992">
        <w:rPr>
          <w:lang w:val="en-GB"/>
        </w:rPr>
        <w:t xml:space="preserve">nature of this topic. He expects that </w:t>
      </w:r>
      <w:r w:rsidR="00443437">
        <w:rPr>
          <w:lang w:val="en-GB"/>
        </w:rPr>
        <w:t>should</w:t>
      </w:r>
      <w:r w:rsidR="00D95336" w:rsidRPr="00221992">
        <w:rPr>
          <w:lang w:val="en-GB"/>
        </w:rPr>
        <w:t xml:space="preserve"> lawmaker</w:t>
      </w:r>
      <w:r w:rsidR="00443437">
        <w:rPr>
          <w:lang w:val="en-GB"/>
        </w:rPr>
        <w:t>s</w:t>
      </w:r>
      <w:r w:rsidR="00D95336" w:rsidRPr="00221992">
        <w:rPr>
          <w:lang w:val="en-GB"/>
        </w:rPr>
        <w:t xml:space="preserve"> </w:t>
      </w:r>
      <w:r w:rsidR="00443437">
        <w:rPr>
          <w:lang w:val="en-GB"/>
        </w:rPr>
        <w:t xml:space="preserve">pursue </w:t>
      </w:r>
      <w:r w:rsidR="00D95336" w:rsidRPr="00221992">
        <w:rPr>
          <w:lang w:val="en-GB"/>
        </w:rPr>
        <w:t xml:space="preserve">legal reform, especially on drugs for chronic diseases, for which frequently no added benefit is granted and the ACT is generic, </w:t>
      </w:r>
      <w:r w:rsidR="00443437">
        <w:rPr>
          <w:lang w:val="en-GB"/>
        </w:rPr>
        <w:t>the</w:t>
      </w:r>
      <w:r w:rsidR="00443437" w:rsidRPr="00221992">
        <w:rPr>
          <w:lang w:val="en-GB"/>
        </w:rPr>
        <w:t xml:space="preserve"> </w:t>
      </w:r>
      <w:r w:rsidR="00443437">
        <w:rPr>
          <w:lang w:val="en-GB"/>
        </w:rPr>
        <w:t>spectrum</w:t>
      </w:r>
      <w:r w:rsidR="00D95336" w:rsidRPr="00221992">
        <w:rPr>
          <w:lang w:val="en-GB"/>
        </w:rPr>
        <w:t xml:space="preserve"> of </w:t>
      </w:r>
      <w:r w:rsidR="00443437">
        <w:rPr>
          <w:lang w:val="en-GB"/>
        </w:rPr>
        <w:t xml:space="preserve">tasks undertaken by </w:t>
      </w:r>
      <w:r w:rsidR="00D95336" w:rsidRPr="00221992">
        <w:rPr>
          <w:lang w:val="en-GB"/>
        </w:rPr>
        <w:t>the arbitration board</w:t>
      </w:r>
      <w:r w:rsidR="00443437">
        <w:rPr>
          <w:lang w:val="en-GB"/>
        </w:rPr>
        <w:t xml:space="preserve"> could change</w:t>
      </w:r>
      <w:r w:rsidR="00F5766F" w:rsidRPr="00221992">
        <w:rPr>
          <w:lang w:val="en-GB"/>
        </w:rPr>
        <w:t xml:space="preserve"> </w:t>
      </w:r>
      <w:r w:rsidR="00D95336" w:rsidRPr="00221992">
        <w:rPr>
          <w:lang w:val="en-GB"/>
        </w:rPr>
        <w:fldChar w:fldCharType="begin"/>
      </w:r>
      <w:r w:rsidR="00112E71">
        <w:rPr>
          <w:lang w:val="en-GB"/>
        </w:rPr>
        <w:instrText xml:space="preserve"> ADDIN EN.CITE &lt;EndNote&gt;&lt;Cite&gt;&lt;Author&gt;Ludwig&lt;/Author&gt;&lt;Year&gt;2016&lt;/Year&gt;&lt;RecNum&gt;302&lt;/RecNum&gt;&lt;DisplayText&gt;[43]&lt;/DisplayText&gt;&lt;record&gt;&lt;rec-number&gt;302&lt;/rec-number&gt;&lt;foreign-keys&gt;&lt;key app="EN" db-id="wzwwsfxe4peesxef95cxvrwjxts9rreasarf" timestamp="1692654670"&gt;302&lt;/key&gt;&lt;/foreign-keys&gt;&lt;ref-type name="Journal Article"&gt;17&lt;/ref-type&gt;&lt;contributors&gt;&lt;authors&gt;&lt;author&gt;Ludwig, Saskia&lt;/author&gt;&lt;author&gt;Dintsios, Charalabos-Markos&lt;/author&gt;&lt;/authors&gt;&lt;/contributors&gt;&lt;titles&gt;&lt;title&gt;Arbitration Board Setting Reimbursement Amounts for Pharmaceutical Innovations in Germany When Price Negations between Payers and Manufacturers Fail: An Empirical Analysis of 5 Years’ Experience&lt;/title&gt;&lt;secondary-title&gt;Value in Health&lt;/secondary-title&gt;&lt;/titles&gt;&lt;periodical&gt;&lt;full-title&gt;Value in Health&lt;/full-title&gt;&lt;/periodical&gt;&lt;pages&gt;1016-1025&lt;/pages&gt;&lt;volume&gt;19&lt;/volume&gt;&lt;number&gt;8&lt;/number&gt;&lt;keywords&gt;&lt;keyword&gt;AMNOG&lt;/keyword&gt;&lt;keyword&gt;arbitration board&lt;/keyword&gt;&lt;keyword&gt;early benefit assessment&lt;/keyword&gt;&lt;keyword&gt;price negotiations&lt;/keyword&gt;&lt;keyword&gt;reimbursement amount&lt;/keyword&gt;&lt;/keywords&gt;&lt;dates&gt;&lt;year&gt;2016&lt;/year&gt;&lt;pub-dates&gt;&lt;date&gt;2016/12/01/&lt;/date&gt;&lt;/pub-dates&gt;&lt;/dates&gt;&lt;isbn&gt;1098-3015&lt;/isbn&gt;&lt;urls&gt;&lt;related-urls&gt;&lt;url&gt;https://www.sciencedirect.com/science/article/pii/S1098301516305071&lt;/url&gt;&lt;/related-urls&gt;&lt;/urls&gt;&lt;electronic-resource-num&gt;https://doi.org/10.1016/j.jval.2016.05.016&lt;/electronic-resource-num&gt;&lt;/record&gt;&lt;/Cite&gt;&lt;/EndNote&gt;</w:instrText>
      </w:r>
      <w:r w:rsidR="00D95336" w:rsidRPr="00221992">
        <w:rPr>
          <w:lang w:val="en-GB"/>
        </w:rPr>
        <w:fldChar w:fldCharType="separate"/>
      </w:r>
      <w:r w:rsidR="00112E71">
        <w:rPr>
          <w:noProof/>
          <w:lang w:val="en-GB"/>
        </w:rPr>
        <w:t>[43]</w:t>
      </w:r>
      <w:r w:rsidR="00D95336" w:rsidRPr="00221992">
        <w:rPr>
          <w:lang w:val="en-GB"/>
        </w:rPr>
        <w:fldChar w:fldCharType="end"/>
      </w:r>
      <w:r w:rsidR="00F5766F" w:rsidRPr="00221992">
        <w:rPr>
          <w:lang w:val="en-GB"/>
        </w:rPr>
        <w:t>.</w:t>
      </w:r>
    </w:p>
    <w:tbl>
      <w:tblPr>
        <w:tblStyle w:val="GridTable4-Accent39"/>
        <w:tblW w:w="0" w:type="auto"/>
        <w:tblBorders>
          <w:top w:val="single" w:sz="12" w:space="0" w:color="4472C4"/>
          <w:left w:val="single" w:sz="12" w:space="0" w:color="4472C4"/>
          <w:bottom w:val="single" w:sz="12" w:space="0" w:color="4472C4"/>
          <w:right w:val="single" w:sz="12" w:space="0" w:color="4472C4"/>
          <w:insideH w:val="none" w:sz="0" w:space="0" w:color="auto"/>
          <w:insideV w:val="single" w:sz="4" w:space="0" w:color="A5A5A5"/>
        </w:tblBorders>
        <w:tblLook w:val="04A0" w:firstRow="1" w:lastRow="0" w:firstColumn="1" w:lastColumn="0" w:noHBand="0" w:noVBand="1"/>
      </w:tblPr>
      <w:tblGrid>
        <w:gridCol w:w="8474"/>
      </w:tblGrid>
      <w:tr w:rsidR="009A78E9" w:rsidRPr="00944857" w14:paraId="55EF96C1"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tcBorders>
              <w:top w:val="single" w:sz="12" w:space="0" w:color="0F4BEB" w:themeColor="accent1"/>
              <w:left w:val="single" w:sz="12" w:space="0" w:color="0F4BEB" w:themeColor="accent1"/>
              <w:bottom w:val="nil"/>
              <w:right w:val="single" w:sz="12" w:space="0" w:color="0F4BEB" w:themeColor="accent1"/>
            </w:tcBorders>
          </w:tcPr>
          <w:p w14:paraId="48B153FB" w14:textId="1352B228" w:rsidR="009A78E9" w:rsidRPr="00944857" w:rsidRDefault="009A78E9">
            <w:pPr>
              <w:spacing w:after="0" w:line="240" w:lineRule="auto"/>
              <w:jc w:val="center"/>
              <w:rPr>
                <w:rFonts w:ascii="Calibri" w:eastAsia="Calibri" w:hAnsi="Calibri"/>
                <w:sz w:val="22"/>
                <w:szCs w:val="22"/>
                <w:lang w:eastAsia="en-US"/>
              </w:rPr>
            </w:pPr>
            <w:r w:rsidRPr="00944857">
              <w:rPr>
                <w:rFonts w:ascii="Calibri" w:eastAsia="Calibri" w:hAnsi="Calibri"/>
                <w:sz w:val="22"/>
                <w:szCs w:val="22"/>
                <w:lang w:eastAsia="en-US"/>
              </w:rPr>
              <w:t>Why this matters</w:t>
            </w:r>
          </w:p>
        </w:tc>
      </w:tr>
      <w:tr w:rsidR="009A78E9" w:rsidRPr="00944857" w14:paraId="025720E2"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tcBorders>
              <w:top w:val="nil"/>
              <w:bottom w:val="single" w:sz="12" w:space="0" w:color="4472C4"/>
            </w:tcBorders>
          </w:tcPr>
          <w:p w14:paraId="63774A65" w14:textId="7435B24E" w:rsidR="009A78E9" w:rsidRPr="00944857" w:rsidRDefault="001D1643" w:rsidP="00380898">
            <w:pPr>
              <w:spacing w:after="0" w:line="240" w:lineRule="auto"/>
              <w:rPr>
                <w:rFonts w:eastAsia="Calibri" w:cs="Calibri Light"/>
                <w:b w:val="0"/>
                <w:bCs w:val="0"/>
                <w:sz w:val="22"/>
                <w:szCs w:val="22"/>
                <w:lang w:eastAsia="en-US"/>
              </w:rPr>
            </w:pPr>
            <w:r>
              <w:rPr>
                <w:rFonts w:eastAsia="Calibri" w:cs="Calibri Light"/>
                <w:b w:val="0"/>
                <w:bCs w:val="0"/>
                <w:sz w:val="22"/>
                <w:szCs w:val="22"/>
                <w:lang w:eastAsia="en-US"/>
              </w:rPr>
              <w:t>In comparable international jurisdicitions, p</w:t>
            </w:r>
            <w:r w:rsidR="009A78E9" w:rsidRPr="00944857">
              <w:rPr>
                <w:rFonts w:eastAsia="Calibri" w:cs="Calibri Light"/>
                <w:b w:val="0"/>
                <w:bCs w:val="0"/>
                <w:sz w:val="22"/>
                <w:szCs w:val="22"/>
                <w:lang w:eastAsia="en-US"/>
              </w:rPr>
              <w:t>rice negotiation</w:t>
            </w:r>
            <w:r>
              <w:rPr>
                <w:rFonts w:eastAsia="Calibri" w:cs="Calibri Light"/>
                <w:b w:val="0"/>
                <w:bCs w:val="0"/>
                <w:sz w:val="22"/>
                <w:szCs w:val="22"/>
                <w:lang w:eastAsia="en-US"/>
              </w:rPr>
              <w:t>s</w:t>
            </w:r>
            <w:r w:rsidR="009A78E9" w:rsidRPr="00944857">
              <w:rPr>
                <w:rFonts w:eastAsia="Calibri" w:cs="Calibri Light"/>
                <w:b w:val="0"/>
                <w:bCs w:val="0"/>
                <w:sz w:val="22"/>
                <w:szCs w:val="22"/>
                <w:lang w:eastAsia="en-US"/>
              </w:rPr>
              <w:t xml:space="preserve"> may be performed before, in parallel with, or after the HTA decision is made. Negotiations </w:t>
            </w:r>
            <w:r>
              <w:rPr>
                <w:rFonts w:eastAsia="Calibri" w:cs="Calibri Light"/>
                <w:b w:val="0"/>
                <w:bCs w:val="0"/>
                <w:sz w:val="22"/>
                <w:szCs w:val="22"/>
                <w:lang w:eastAsia="en-US"/>
              </w:rPr>
              <w:t>are variously</w:t>
            </w:r>
            <w:r w:rsidR="009A78E9" w:rsidRPr="00944857">
              <w:rPr>
                <w:rFonts w:eastAsia="Calibri" w:cs="Calibri Light"/>
                <w:b w:val="0"/>
                <w:bCs w:val="0"/>
                <w:sz w:val="22"/>
                <w:szCs w:val="22"/>
                <w:lang w:eastAsia="en-US"/>
              </w:rPr>
              <w:t xml:space="preserve"> </w:t>
            </w:r>
            <w:r>
              <w:rPr>
                <w:rFonts w:eastAsia="Calibri" w:cs="Calibri Light"/>
                <w:b w:val="0"/>
                <w:bCs w:val="0"/>
                <w:sz w:val="22"/>
                <w:szCs w:val="22"/>
                <w:lang w:eastAsia="en-US"/>
              </w:rPr>
              <w:t>undertaken</w:t>
            </w:r>
            <w:r w:rsidRPr="00944857">
              <w:rPr>
                <w:rFonts w:eastAsia="Calibri" w:cs="Calibri Light"/>
                <w:b w:val="0"/>
                <w:bCs w:val="0"/>
                <w:sz w:val="22"/>
                <w:szCs w:val="22"/>
                <w:lang w:eastAsia="en-US"/>
              </w:rPr>
              <w:t xml:space="preserve"> </w:t>
            </w:r>
            <w:r>
              <w:rPr>
                <w:rFonts w:eastAsia="Calibri" w:cs="Calibri Light"/>
                <w:b w:val="0"/>
                <w:bCs w:val="0"/>
                <w:sz w:val="22"/>
                <w:szCs w:val="22"/>
                <w:lang w:eastAsia="en-US"/>
              </w:rPr>
              <w:t>by</w:t>
            </w:r>
            <w:r w:rsidR="009A78E9" w:rsidRPr="00944857">
              <w:rPr>
                <w:rFonts w:eastAsia="Calibri" w:cs="Calibri Light"/>
                <w:b w:val="0"/>
                <w:bCs w:val="0"/>
                <w:sz w:val="22"/>
                <w:szCs w:val="22"/>
                <w:lang w:eastAsia="en-US"/>
              </w:rPr>
              <w:t xml:space="preserve"> HTA </w:t>
            </w:r>
            <w:r>
              <w:rPr>
                <w:rFonts w:eastAsia="Calibri" w:cs="Calibri Light"/>
                <w:b w:val="0"/>
                <w:bCs w:val="0"/>
                <w:sz w:val="22"/>
                <w:szCs w:val="22"/>
                <w:lang w:eastAsia="en-US"/>
              </w:rPr>
              <w:t>agencies</w:t>
            </w:r>
            <w:r w:rsidR="009A78E9" w:rsidRPr="00944857">
              <w:rPr>
                <w:rFonts w:eastAsia="Calibri" w:cs="Calibri Light"/>
                <w:b w:val="0"/>
                <w:bCs w:val="0"/>
                <w:sz w:val="22"/>
                <w:szCs w:val="22"/>
                <w:lang w:eastAsia="en-US"/>
              </w:rPr>
              <w:t xml:space="preserve">, </w:t>
            </w:r>
            <w:r>
              <w:rPr>
                <w:rFonts w:eastAsia="Calibri" w:cs="Calibri Light"/>
                <w:b w:val="0"/>
                <w:bCs w:val="0"/>
                <w:sz w:val="22"/>
                <w:szCs w:val="22"/>
                <w:lang w:eastAsia="en-US"/>
              </w:rPr>
              <w:t>other</w:t>
            </w:r>
            <w:r w:rsidR="009A78E9" w:rsidRPr="00944857">
              <w:rPr>
                <w:rFonts w:eastAsia="Calibri" w:cs="Calibri Light"/>
                <w:b w:val="0"/>
                <w:bCs w:val="0"/>
                <w:sz w:val="22"/>
                <w:szCs w:val="22"/>
                <w:lang w:eastAsia="en-US"/>
              </w:rPr>
              <w:t xml:space="preserve"> government</w:t>
            </w:r>
            <w:r w:rsidR="00325B55" w:rsidRPr="00944857">
              <w:rPr>
                <w:rFonts w:eastAsia="Calibri" w:cs="Calibri Light"/>
                <w:b w:val="0"/>
                <w:bCs w:val="0"/>
                <w:sz w:val="22"/>
                <w:szCs w:val="22"/>
                <w:lang w:eastAsia="en-US"/>
              </w:rPr>
              <w:t xml:space="preserve"> department</w:t>
            </w:r>
            <w:r>
              <w:rPr>
                <w:rFonts w:eastAsia="Calibri" w:cs="Calibri Light"/>
                <w:b w:val="0"/>
                <w:bCs w:val="0"/>
                <w:sz w:val="22"/>
                <w:szCs w:val="22"/>
                <w:lang w:eastAsia="en-US"/>
              </w:rPr>
              <w:t>s</w:t>
            </w:r>
            <w:r w:rsidR="00325B55" w:rsidRPr="00944857">
              <w:rPr>
                <w:rFonts w:eastAsia="Calibri" w:cs="Calibri Light"/>
                <w:b w:val="0"/>
                <w:bCs w:val="0"/>
                <w:sz w:val="22"/>
                <w:szCs w:val="22"/>
                <w:lang w:eastAsia="en-US"/>
              </w:rPr>
              <w:t xml:space="preserve">, </w:t>
            </w:r>
            <w:r>
              <w:rPr>
                <w:rFonts w:eastAsia="Calibri" w:cs="Calibri Light"/>
                <w:b w:val="0"/>
                <w:bCs w:val="0"/>
                <w:sz w:val="22"/>
                <w:szCs w:val="22"/>
                <w:lang w:eastAsia="en-US"/>
              </w:rPr>
              <w:t>and</w:t>
            </w:r>
            <w:r w:rsidRPr="00944857">
              <w:rPr>
                <w:rFonts w:eastAsia="Calibri" w:cs="Calibri Light"/>
                <w:b w:val="0"/>
                <w:bCs w:val="0"/>
                <w:sz w:val="22"/>
                <w:szCs w:val="22"/>
                <w:lang w:eastAsia="en-US"/>
              </w:rPr>
              <w:t xml:space="preserve"> </w:t>
            </w:r>
            <w:r w:rsidR="009A78E9" w:rsidRPr="00944857">
              <w:rPr>
                <w:rFonts w:eastAsia="Calibri" w:cs="Calibri Light"/>
                <w:b w:val="0"/>
                <w:bCs w:val="0"/>
                <w:sz w:val="22"/>
                <w:szCs w:val="22"/>
                <w:lang w:eastAsia="en-US"/>
              </w:rPr>
              <w:t>purpose-</w:t>
            </w:r>
            <w:r w:rsidR="00325B55" w:rsidRPr="00944857">
              <w:rPr>
                <w:rFonts w:eastAsia="Calibri" w:cs="Calibri Light"/>
                <w:b w:val="0"/>
                <w:bCs w:val="0"/>
                <w:sz w:val="22"/>
                <w:szCs w:val="22"/>
                <w:lang w:eastAsia="en-US"/>
              </w:rPr>
              <w:t>built negotiating bod</w:t>
            </w:r>
            <w:r>
              <w:rPr>
                <w:rFonts w:eastAsia="Calibri" w:cs="Calibri Light"/>
                <w:b w:val="0"/>
                <w:bCs w:val="0"/>
                <w:sz w:val="22"/>
                <w:szCs w:val="22"/>
                <w:lang w:eastAsia="en-US"/>
              </w:rPr>
              <w:t>ies</w:t>
            </w:r>
            <w:r w:rsidR="00325B55" w:rsidRPr="00944857">
              <w:rPr>
                <w:rFonts w:eastAsia="Calibri" w:cs="Calibri Light"/>
                <w:b w:val="0"/>
                <w:bCs w:val="0"/>
                <w:sz w:val="22"/>
                <w:szCs w:val="22"/>
                <w:lang w:eastAsia="en-US"/>
              </w:rPr>
              <w:t xml:space="preserve">. </w:t>
            </w:r>
          </w:p>
          <w:p w14:paraId="6BEE6F71" w14:textId="77777777" w:rsidR="00944857" w:rsidRPr="00944857" w:rsidRDefault="00944857" w:rsidP="00380898">
            <w:pPr>
              <w:spacing w:after="0" w:line="240" w:lineRule="auto"/>
              <w:rPr>
                <w:rFonts w:eastAsia="Calibri" w:cs="Calibri Light"/>
                <w:b w:val="0"/>
                <w:bCs w:val="0"/>
                <w:sz w:val="22"/>
                <w:szCs w:val="22"/>
                <w:lang w:eastAsia="en-US"/>
              </w:rPr>
            </w:pPr>
          </w:p>
          <w:p w14:paraId="14C32653" w14:textId="5CF90D55" w:rsidR="00380898" w:rsidRPr="009952E8" w:rsidRDefault="00DA28FA" w:rsidP="00380898">
            <w:pPr>
              <w:spacing w:after="0" w:line="240" w:lineRule="auto"/>
              <w:rPr>
                <w:rFonts w:eastAsia="Calibri" w:cs="Calibri Light"/>
                <w:b w:val="0"/>
                <w:bCs w:val="0"/>
                <w:sz w:val="22"/>
                <w:szCs w:val="22"/>
                <w:lang w:eastAsia="en-US"/>
              </w:rPr>
            </w:pPr>
            <w:r>
              <w:rPr>
                <w:rFonts w:eastAsia="Calibri" w:cs="Calibri Light"/>
                <w:b w:val="0"/>
                <w:bCs w:val="0"/>
                <w:sz w:val="22"/>
                <w:szCs w:val="22"/>
                <w:lang w:eastAsia="en-US"/>
              </w:rPr>
              <w:t>Undertaking price negotiations through a</w:t>
            </w:r>
            <w:r w:rsidR="00325B55" w:rsidRPr="00944857">
              <w:rPr>
                <w:rFonts w:eastAsia="Calibri" w:cs="Calibri Light"/>
                <w:b w:val="0"/>
                <w:bCs w:val="0"/>
                <w:sz w:val="22"/>
                <w:szCs w:val="22"/>
                <w:lang w:eastAsia="en-US"/>
              </w:rPr>
              <w:t xml:space="preserve"> purpose-built negotiating body may </w:t>
            </w:r>
            <w:r>
              <w:rPr>
                <w:rFonts w:eastAsia="Calibri" w:cs="Calibri Light"/>
                <w:b w:val="0"/>
                <w:bCs w:val="0"/>
                <w:sz w:val="22"/>
                <w:szCs w:val="22"/>
                <w:lang w:eastAsia="en-US"/>
              </w:rPr>
              <w:t xml:space="preserve">help reduce the workload of HTA bodies and </w:t>
            </w:r>
            <w:r w:rsidR="00325B55" w:rsidRPr="00944857">
              <w:rPr>
                <w:rFonts w:eastAsia="Calibri" w:cs="Calibri Light"/>
                <w:b w:val="0"/>
                <w:bCs w:val="0"/>
                <w:sz w:val="22"/>
                <w:szCs w:val="22"/>
                <w:lang w:eastAsia="en-US"/>
              </w:rPr>
              <w:t xml:space="preserve">facilitate </w:t>
            </w:r>
            <w:r>
              <w:rPr>
                <w:rFonts w:eastAsia="Calibri" w:cs="Calibri Light"/>
                <w:b w:val="0"/>
                <w:bCs w:val="0"/>
                <w:sz w:val="22"/>
                <w:szCs w:val="22"/>
                <w:lang w:eastAsia="en-US"/>
              </w:rPr>
              <w:t xml:space="preserve">price </w:t>
            </w:r>
            <w:r w:rsidR="00325B55" w:rsidRPr="00944857">
              <w:rPr>
                <w:rFonts w:eastAsia="Calibri" w:cs="Calibri Light"/>
                <w:b w:val="0"/>
                <w:bCs w:val="0"/>
                <w:sz w:val="22"/>
                <w:szCs w:val="22"/>
                <w:lang w:eastAsia="en-US"/>
              </w:rPr>
              <w:t xml:space="preserve">negotiations </w:t>
            </w:r>
            <w:r>
              <w:rPr>
                <w:rFonts w:eastAsia="Calibri" w:cs="Calibri Light"/>
                <w:b w:val="0"/>
                <w:bCs w:val="0"/>
                <w:sz w:val="22"/>
                <w:szCs w:val="22"/>
                <w:lang w:eastAsia="en-US"/>
              </w:rPr>
              <w:t>in light of</w:t>
            </w:r>
            <w:r w:rsidR="00325B55" w:rsidRPr="00944857">
              <w:rPr>
                <w:rFonts w:eastAsia="Calibri" w:cs="Calibri Light"/>
                <w:b w:val="0"/>
                <w:bCs w:val="0"/>
                <w:sz w:val="22"/>
                <w:szCs w:val="22"/>
                <w:lang w:eastAsia="en-US"/>
              </w:rPr>
              <w:t xml:space="preserve"> </w:t>
            </w:r>
            <w:r>
              <w:rPr>
                <w:rFonts w:eastAsia="Calibri" w:cs="Calibri Light"/>
                <w:b w:val="0"/>
                <w:bCs w:val="0"/>
                <w:sz w:val="22"/>
                <w:szCs w:val="22"/>
                <w:lang w:eastAsia="en-US"/>
              </w:rPr>
              <w:t xml:space="preserve">a drug’s demonstrated </w:t>
            </w:r>
            <w:r w:rsidR="00DA0D72" w:rsidRPr="00944857">
              <w:rPr>
                <w:rFonts w:eastAsia="Calibri" w:cs="Calibri Light"/>
                <w:b w:val="0"/>
                <w:bCs w:val="0"/>
                <w:sz w:val="22"/>
                <w:szCs w:val="22"/>
                <w:lang w:eastAsia="en-US"/>
              </w:rPr>
              <w:t xml:space="preserve">clinical </w:t>
            </w:r>
            <w:r w:rsidR="00325B55" w:rsidRPr="00944857">
              <w:rPr>
                <w:rFonts w:eastAsia="Calibri" w:cs="Calibri Light"/>
                <w:b w:val="0"/>
                <w:bCs w:val="0"/>
                <w:sz w:val="22"/>
                <w:szCs w:val="22"/>
                <w:lang w:eastAsia="en-US"/>
              </w:rPr>
              <w:t>benefits/uncertainties.</w:t>
            </w:r>
          </w:p>
          <w:p w14:paraId="5252FBD2" w14:textId="77777777" w:rsidR="00380898" w:rsidRPr="009952E8" w:rsidRDefault="00380898" w:rsidP="00380898">
            <w:pPr>
              <w:spacing w:after="0" w:line="240" w:lineRule="auto"/>
              <w:rPr>
                <w:rFonts w:eastAsia="Calibri" w:cs="Calibri Light"/>
                <w:b w:val="0"/>
                <w:bCs w:val="0"/>
                <w:sz w:val="22"/>
                <w:szCs w:val="22"/>
                <w:lang w:eastAsia="en-US"/>
              </w:rPr>
            </w:pPr>
          </w:p>
          <w:p w14:paraId="7E579E0C" w14:textId="53D9B8F6" w:rsidR="009A78E9" w:rsidRPr="00944857" w:rsidRDefault="00380898">
            <w:pPr>
              <w:spacing w:after="0" w:line="240" w:lineRule="auto"/>
              <w:rPr>
                <w:rFonts w:eastAsia="Calibri" w:cs="Calibri Light"/>
                <w:b w:val="0"/>
                <w:bCs w:val="0"/>
                <w:sz w:val="22"/>
                <w:szCs w:val="22"/>
                <w:lang w:eastAsia="en-US"/>
              </w:rPr>
            </w:pPr>
            <w:r w:rsidRPr="00944857">
              <w:rPr>
                <w:rFonts w:eastAsia="Calibri" w:cs="Calibri Light"/>
                <w:b w:val="0"/>
                <w:bCs w:val="0"/>
                <w:sz w:val="22"/>
                <w:szCs w:val="22"/>
                <w:lang w:eastAsia="en-US"/>
              </w:rPr>
              <w:t xml:space="preserve">In Australia, </w:t>
            </w:r>
            <w:r w:rsidR="004D350B" w:rsidRPr="00944857">
              <w:rPr>
                <w:rFonts w:eastAsia="Calibri" w:cs="Calibri Light"/>
                <w:b w:val="0"/>
                <w:bCs w:val="0"/>
                <w:sz w:val="22"/>
                <w:szCs w:val="22"/>
                <w:lang w:eastAsia="en-US"/>
              </w:rPr>
              <w:t>the PBAC may determine a drug to be clinically effective, but nonetheless not recommend it due to cost-effectiveness criteria. In this circumstance, qualif</w:t>
            </w:r>
            <w:r w:rsidR="00285612" w:rsidRPr="00944857">
              <w:rPr>
                <w:rFonts w:eastAsia="Calibri" w:cs="Calibri Light"/>
                <w:b w:val="0"/>
                <w:bCs w:val="0"/>
                <w:sz w:val="22"/>
                <w:szCs w:val="22"/>
                <w:lang w:eastAsia="en-US"/>
              </w:rPr>
              <w:t>ying</w:t>
            </w:r>
            <w:r w:rsidR="004D350B" w:rsidRPr="00944857">
              <w:rPr>
                <w:rFonts w:eastAsia="Calibri" w:cs="Calibri Light"/>
                <w:b w:val="0"/>
                <w:bCs w:val="0"/>
                <w:sz w:val="22"/>
                <w:szCs w:val="22"/>
                <w:lang w:eastAsia="en-US"/>
              </w:rPr>
              <w:t xml:space="preserve"> drugs may be referred to the Life Saving Drugs Program</w:t>
            </w:r>
            <w:r w:rsidR="001C6680" w:rsidRPr="00944857">
              <w:rPr>
                <w:rFonts w:eastAsia="Calibri" w:cs="Calibri Light"/>
                <w:b w:val="0"/>
                <w:bCs w:val="0"/>
                <w:sz w:val="22"/>
                <w:szCs w:val="22"/>
                <w:lang w:eastAsia="en-US"/>
              </w:rPr>
              <w:t xml:space="preserve"> (</w:t>
            </w:r>
            <w:r w:rsidR="0082659A">
              <w:rPr>
                <w:rFonts w:eastAsia="Calibri" w:cs="Calibri Light"/>
                <w:b w:val="0"/>
                <w:bCs w:val="0"/>
                <w:sz w:val="22"/>
                <w:szCs w:val="22"/>
                <w:lang w:eastAsia="en-US"/>
              </w:rPr>
              <w:t xml:space="preserve">for </w:t>
            </w:r>
            <w:r w:rsidR="00263105" w:rsidRPr="00944857">
              <w:rPr>
                <w:rFonts w:eastAsia="Calibri" w:cs="Calibri Light"/>
                <w:b w:val="0"/>
                <w:bCs w:val="0"/>
                <w:sz w:val="22"/>
                <w:szCs w:val="22"/>
                <w:lang w:eastAsia="en-US"/>
              </w:rPr>
              <w:t xml:space="preserve">treatment of </w:t>
            </w:r>
            <w:r w:rsidR="001C6680" w:rsidRPr="00944857">
              <w:rPr>
                <w:rFonts w:eastAsia="Calibri" w:cs="Calibri Light"/>
                <w:b w:val="0"/>
                <w:bCs w:val="0"/>
                <w:sz w:val="22"/>
                <w:szCs w:val="22"/>
                <w:lang w:eastAsia="en-US"/>
              </w:rPr>
              <w:t>ultra-rare and life-threatening diseases)</w:t>
            </w:r>
            <w:r w:rsidR="00DD37AB" w:rsidRPr="00944857">
              <w:rPr>
                <w:rFonts w:eastAsia="Calibri" w:cs="Calibri Light"/>
                <w:b w:val="0"/>
                <w:bCs w:val="0"/>
                <w:sz w:val="22"/>
                <w:szCs w:val="22"/>
                <w:lang w:eastAsia="en-US"/>
              </w:rPr>
              <w:t xml:space="preserve">. </w:t>
            </w:r>
            <w:r w:rsidR="00DA28FA">
              <w:rPr>
                <w:rFonts w:eastAsia="Calibri" w:cs="Calibri Light"/>
                <w:b w:val="0"/>
                <w:bCs w:val="0"/>
                <w:sz w:val="22"/>
                <w:szCs w:val="22"/>
                <w:lang w:eastAsia="en-US"/>
              </w:rPr>
              <w:t>Sponsors of non-qualifying drugs may otherwise</w:t>
            </w:r>
            <w:r w:rsidR="009D4EB3" w:rsidRPr="00944857">
              <w:rPr>
                <w:rFonts w:eastAsia="Calibri" w:cs="Calibri Light"/>
                <w:b w:val="0"/>
                <w:bCs w:val="0"/>
                <w:sz w:val="22"/>
                <w:szCs w:val="22"/>
                <w:lang w:eastAsia="en-US"/>
              </w:rPr>
              <w:t xml:space="preserve"> address cost-</w:t>
            </w:r>
            <w:r w:rsidR="00DA28FA">
              <w:rPr>
                <w:rFonts w:eastAsia="Calibri" w:cs="Calibri Light"/>
                <w:b w:val="0"/>
                <w:bCs w:val="0"/>
                <w:sz w:val="22"/>
                <w:szCs w:val="22"/>
                <w:lang w:eastAsia="en-US"/>
              </w:rPr>
              <w:t>effectiveness</w:t>
            </w:r>
            <w:r w:rsidR="00DA28FA" w:rsidRPr="00944857">
              <w:rPr>
                <w:rFonts w:eastAsia="Calibri" w:cs="Calibri Light"/>
                <w:b w:val="0"/>
                <w:bCs w:val="0"/>
                <w:sz w:val="22"/>
                <w:szCs w:val="22"/>
                <w:lang w:eastAsia="en-US"/>
              </w:rPr>
              <w:t xml:space="preserve"> </w:t>
            </w:r>
            <w:r w:rsidR="009D4EB3" w:rsidRPr="00944857">
              <w:rPr>
                <w:rFonts w:eastAsia="Calibri" w:cs="Calibri Light"/>
                <w:b w:val="0"/>
                <w:bCs w:val="0"/>
                <w:sz w:val="22"/>
                <w:szCs w:val="22"/>
                <w:lang w:eastAsia="en-US"/>
              </w:rPr>
              <w:t>concerns</w:t>
            </w:r>
            <w:r w:rsidR="005076BA" w:rsidRPr="00944857">
              <w:rPr>
                <w:rFonts w:eastAsia="Calibri" w:cs="Calibri Light"/>
                <w:b w:val="0"/>
                <w:bCs w:val="0"/>
                <w:sz w:val="22"/>
                <w:szCs w:val="22"/>
                <w:lang w:eastAsia="en-US"/>
              </w:rPr>
              <w:t xml:space="preserve"> raised by the PBAC</w:t>
            </w:r>
            <w:r w:rsidR="009D4EB3" w:rsidRPr="00944857">
              <w:rPr>
                <w:rFonts w:eastAsia="Calibri" w:cs="Calibri Light"/>
                <w:b w:val="0"/>
                <w:bCs w:val="0"/>
                <w:sz w:val="22"/>
                <w:szCs w:val="22"/>
                <w:lang w:eastAsia="en-US"/>
              </w:rPr>
              <w:t xml:space="preserve"> and pursue </w:t>
            </w:r>
            <w:r w:rsidR="009503F3">
              <w:rPr>
                <w:rFonts w:eastAsia="Calibri" w:cs="Calibri Light"/>
                <w:b w:val="0"/>
                <w:bCs w:val="0"/>
                <w:sz w:val="22"/>
                <w:szCs w:val="22"/>
                <w:lang w:eastAsia="en-US"/>
              </w:rPr>
              <w:t xml:space="preserve">one of several available </w:t>
            </w:r>
            <w:r w:rsidR="009D4EB3" w:rsidRPr="00944857">
              <w:rPr>
                <w:rFonts w:eastAsia="Calibri" w:cs="Calibri Light"/>
                <w:b w:val="0"/>
                <w:bCs w:val="0"/>
                <w:sz w:val="22"/>
                <w:szCs w:val="22"/>
                <w:lang w:eastAsia="en-US"/>
              </w:rPr>
              <w:t>resubmission pathway</w:t>
            </w:r>
            <w:r w:rsidR="009503F3">
              <w:rPr>
                <w:rFonts w:eastAsia="Calibri" w:cs="Calibri Light"/>
                <w:b w:val="0"/>
                <w:bCs w:val="0"/>
                <w:sz w:val="22"/>
                <w:szCs w:val="22"/>
                <w:lang w:eastAsia="en-US"/>
              </w:rPr>
              <w:t>s</w:t>
            </w:r>
            <w:r w:rsidR="009D4EB3" w:rsidRPr="00944857">
              <w:rPr>
                <w:rFonts w:eastAsia="Calibri" w:cs="Calibri Light"/>
                <w:b w:val="0"/>
                <w:bCs w:val="0"/>
                <w:sz w:val="22"/>
                <w:szCs w:val="22"/>
                <w:lang w:eastAsia="en-US"/>
              </w:rPr>
              <w:t>.</w:t>
            </w:r>
          </w:p>
        </w:tc>
      </w:tr>
    </w:tbl>
    <w:p w14:paraId="4CFEF4D8" w14:textId="77777777" w:rsidR="009A78E9" w:rsidRDefault="009A78E9" w:rsidP="00701C2C">
      <w:pPr>
        <w:keepNext/>
        <w:rPr>
          <w:rFonts w:ascii="Calibri" w:hAnsi="Calibri" w:cs="Calibri"/>
          <w:b/>
          <w:lang w:val="en-GB"/>
        </w:rPr>
      </w:pPr>
    </w:p>
    <w:p w14:paraId="4660B0B4" w14:textId="77777777" w:rsidR="00D95336" w:rsidRPr="00221992" w:rsidRDefault="00D95336" w:rsidP="00701C2C">
      <w:pPr>
        <w:keepNext/>
        <w:rPr>
          <w:rFonts w:ascii="Calibri" w:hAnsi="Calibri" w:cs="Calibri"/>
          <w:b/>
          <w:lang w:val="en-GB"/>
        </w:rPr>
      </w:pPr>
      <w:r w:rsidRPr="00221992">
        <w:rPr>
          <w:rFonts w:ascii="Calibri" w:hAnsi="Calibri" w:cs="Calibri"/>
          <w:b/>
          <w:lang w:val="en-GB"/>
        </w:rPr>
        <w:t>Case Study: Japan</w:t>
      </w:r>
    </w:p>
    <w:p w14:paraId="0667B96B" w14:textId="2D49B15D" w:rsidR="00D95336" w:rsidRPr="00221992" w:rsidRDefault="00D95336" w:rsidP="00702C58">
      <w:pPr>
        <w:rPr>
          <w:lang w:val="en-GB"/>
        </w:rPr>
      </w:pPr>
      <w:r w:rsidRPr="00221992">
        <w:rPr>
          <w:lang w:val="en-GB"/>
        </w:rPr>
        <w:t>Japan</w:t>
      </w:r>
      <w:r w:rsidR="00685637">
        <w:rPr>
          <w:lang w:val="en-GB"/>
        </w:rPr>
        <w:t>’s approach to reimbursement</w:t>
      </w:r>
      <w:r w:rsidRPr="00221992">
        <w:rPr>
          <w:lang w:val="en-GB"/>
        </w:rPr>
        <w:t xml:space="preserve"> and post-market price adjustment is unique. In Japan, drug pricing is planned </w:t>
      </w:r>
      <w:r w:rsidR="00685637">
        <w:rPr>
          <w:lang w:val="en-GB"/>
        </w:rPr>
        <w:t>jointly by</w:t>
      </w:r>
      <w:r w:rsidR="00685637" w:rsidRPr="00221992">
        <w:rPr>
          <w:lang w:val="en-GB"/>
        </w:rPr>
        <w:t xml:space="preserve"> </w:t>
      </w:r>
      <w:r w:rsidRPr="00221992">
        <w:rPr>
          <w:lang w:val="en-GB"/>
        </w:rPr>
        <w:t xml:space="preserve">industry and the Chuikyo. During this process, the drug is priced by either Similar Efficacy Comparison Method I/II—if there is a clinical comparator, or the Cost Accounting Method—if no clinical comparator exists on the market, as described in </w:t>
      </w:r>
      <w:r w:rsidRPr="00221992">
        <w:rPr>
          <w:lang w:val="en-GB"/>
        </w:rPr>
        <w:fldChar w:fldCharType="begin"/>
      </w:r>
      <w:r w:rsidRPr="00221992">
        <w:rPr>
          <w:lang w:val="en-GB"/>
        </w:rPr>
        <w:instrText xml:space="preserve"> REF _Ref143591064 \h </w:instrText>
      </w:r>
      <w:r w:rsidRPr="00221992">
        <w:rPr>
          <w:lang w:val="en-GB"/>
        </w:rPr>
      </w:r>
      <w:r w:rsidRPr="00221992">
        <w:rPr>
          <w:lang w:val="en-GB"/>
        </w:rPr>
        <w:fldChar w:fldCharType="separate"/>
      </w:r>
      <w:r w:rsidR="000E11E7" w:rsidRPr="00221992">
        <w:rPr>
          <w:lang w:val="en-GB"/>
        </w:rPr>
        <w:t xml:space="preserve">Figure </w:t>
      </w:r>
      <w:r w:rsidR="000E11E7">
        <w:rPr>
          <w:noProof/>
          <w:lang w:val="en-GB"/>
        </w:rPr>
        <w:t>2</w:t>
      </w:r>
      <w:r w:rsidRPr="00221992">
        <w:rPr>
          <w:lang w:val="en-GB"/>
        </w:rPr>
        <w:fldChar w:fldCharType="end"/>
      </w:r>
      <w:r w:rsidR="004A3831" w:rsidRPr="00221992">
        <w:rPr>
          <w:lang w:val="en-GB"/>
        </w:rPr>
        <w:t xml:space="preserve"> </w:t>
      </w:r>
      <w:r w:rsidRPr="00221992">
        <w:rPr>
          <w:lang w:val="en-GB"/>
        </w:rPr>
        <w:t>below</w:t>
      </w:r>
      <w:r w:rsidR="00F5766F" w:rsidRPr="00221992">
        <w:rPr>
          <w:lang w:val="en-GB"/>
        </w:rPr>
        <w:t xml:space="preserve"> </w:t>
      </w:r>
      <w:r w:rsidRPr="00221992">
        <w:rPr>
          <w:lang w:val="en-GB"/>
        </w:rPr>
        <w:fldChar w:fldCharType="begin"/>
      </w:r>
      <w:r w:rsidR="008D71B5" w:rsidRPr="00221992">
        <w:rPr>
          <w:lang w:val="en-GB"/>
        </w:rPr>
        <w:instrText xml:space="preserve"> ADDIN EN.CITE &lt;EndNote&gt;&lt;Cite&gt;&lt;Author&gt;Anozie&lt;/Author&gt;&lt;Year&gt;2023&lt;/Year&gt;&lt;RecNum&gt;17&lt;/RecNum&gt;&lt;DisplayText&gt;[16]&lt;/DisplayText&gt;&lt;record&gt;&lt;rec-number&gt;17&lt;/rec-number&gt;&lt;foreign-keys&gt;&lt;key app="EN" db-id="wzwwsfxe4peesxef95cxvrwjxts9rreasarf" timestamp="1692654670"&gt;17&lt;/key&gt;&lt;/foreign-keys&gt;&lt;ref-type name="Web Page"&gt;12&lt;/ref-type&gt;&lt;contributors&gt;&lt;authors&gt;&lt;author&gt;Anozie, A.&lt;/author&gt;&lt;author&gt;Vincent, J-C.&lt;/author&gt;&lt;author&gt;Minhas, P. &lt;/author&gt;&lt;/authors&gt;&lt;/contributors&gt;&lt;titles&gt;&lt;title&gt;What are the pricing and repricing mechanisms in Japan’s P&amp;amp;R system that pharma must understand when considering a launch in Japan?&lt;/title&gt;&lt;/titles&gt;&lt;dates&gt;&lt;year&gt;2023&lt;/year&gt;&lt;pub-dates&gt;&lt;date&gt;10 August 2023&lt;/date&gt;&lt;/pub-dates&gt;&lt;/dates&gt;&lt;publisher&gt;Eradigm Consulting&lt;/publisher&gt;&lt;urls&gt;&lt;related-urls&gt;&lt;url&gt;https://eradigm.com/white-paper/breaking-down-japans-drug-pricing-system/&lt;/url&gt;&lt;/related-urls&gt;&lt;/urls&gt;&lt;/record&gt;&lt;/Cite&gt;&lt;/EndNote&gt;</w:instrText>
      </w:r>
      <w:r w:rsidRPr="00221992">
        <w:rPr>
          <w:lang w:val="en-GB"/>
        </w:rPr>
        <w:fldChar w:fldCharType="separate"/>
      </w:r>
      <w:r w:rsidR="008D71B5" w:rsidRPr="00221992">
        <w:rPr>
          <w:noProof/>
          <w:lang w:val="en-GB"/>
        </w:rPr>
        <w:t>[16]</w:t>
      </w:r>
      <w:r w:rsidRPr="00221992">
        <w:rPr>
          <w:lang w:val="en-GB"/>
        </w:rPr>
        <w:fldChar w:fldCharType="end"/>
      </w:r>
      <w:r w:rsidR="00F5766F" w:rsidRPr="00221992">
        <w:rPr>
          <w:lang w:val="en-GB"/>
        </w:rPr>
        <w:t>.</w:t>
      </w:r>
    </w:p>
    <w:p w14:paraId="3B14185B" w14:textId="0856BB56" w:rsidR="004A3831" w:rsidRPr="00221992" w:rsidRDefault="004A3831" w:rsidP="001721AB">
      <w:pPr>
        <w:pStyle w:val="Caption"/>
        <w:rPr>
          <w:lang w:val="en-GB"/>
        </w:rPr>
      </w:pPr>
      <w:bookmarkStart w:id="59" w:name="_Ref143591064"/>
      <w:bookmarkStart w:id="60" w:name="_Toc162950909"/>
      <w:r w:rsidRPr="00221992">
        <w:rPr>
          <w:lang w:val="en-GB"/>
        </w:rPr>
        <w:t xml:space="preserve">Figure </w:t>
      </w:r>
      <w:r w:rsidR="003F72DF" w:rsidRPr="00221992">
        <w:rPr>
          <w:lang w:val="en-GB"/>
        </w:rPr>
        <w:fldChar w:fldCharType="begin"/>
      </w:r>
      <w:r w:rsidR="003F72DF" w:rsidRPr="00221992">
        <w:rPr>
          <w:lang w:val="en-GB"/>
        </w:rPr>
        <w:instrText xml:space="preserve"> SEQ Figure \* ARABIC </w:instrText>
      </w:r>
      <w:r w:rsidR="003F72DF" w:rsidRPr="00221992">
        <w:rPr>
          <w:lang w:val="en-GB"/>
        </w:rPr>
        <w:fldChar w:fldCharType="separate"/>
      </w:r>
      <w:r w:rsidR="000E11E7">
        <w:rPr>
          <w:noProof/>
          <w:lang w:val="en-GB"/>
        </w:rPr>
        <w:t>2</w:t>
      </w:r>
      <w:r w:rsidR="003F72DF" w:rsidRPr="00221992">
        <w:rPr>
          <w:noProof/>
          <w:lang w:val="en-GB"/>
        </w:rPr>
        <w:fldChar w:fldCharType="end"/>
      </w:r>
      <w:bookmarkEnd w:id="59"/>
      <w:r w:rsidRPr="00221992">
        <w:rPr>
          <w:lang w:val="en-GB"/>
        </w:rPr>
        <w:t>. Pricing methodology for new pharmaceuticals in Japan</w:t>
      </w:r>
      <w:bookmarkEnd w:id="60"/>
    </w:p>
    <w:p w14:paraId="626E9D3D" w14:textId="472EAC24" w:rsidR="00D95336" w:rsidRPr="00221992" w:rsidRDefault="00D95336" w:rsidP="00533CF1">
      <w:pPr>
        <w:pStyle w:val="TableNotes"/>
        <w:rPr>
          <w:lang w:val="en-GB"/>
        </w:rPr>
      </w:pPr>
      <w:r w:rsidRPr="00221992">
        <w:rPr>
          <w:noProof/>
          <w:lang w:val="en-GB"/>
        </w:rPr>
        <w:drawing>
          <wp:inline distT="0" distB="0" distL="0" distR="0" wp14:anchorId="199AA4DC" wp14:editId="3096214C">
            <wp:extent cx="5731510" cy="3979545"/>
            <wp:effectExtent l="0" t="0" r="0" b="0"/>
            <wp:docPr id="1716172426" name="Picture 1716172426" descr="flow chart of the pricing methodology for new pharmaceuticals in Jap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6172426"/>
                    <pic:cNvPicPr/>
                  </pic:nvPicPr>
                  <pic:blipFill>
                    <a:blip r:embed="rId20">
                      <a:extLst>
                        <a:ext uri="{28A0092B-C50C-407E-A947-70E740481C1C}">
                          <a14:useLocalDpi xmlns:a14="http://schemas.microsoft.com/office/drawing/2010/main" val="0"/>
                        </a:ext>
                      </a:extLst>
                    </a:blip>
                    <a:stretch>
                      <a:fillRect/>
                    </a:stretch>
                  </pic:blipFill>
                  <pic:spPr>
                    <a:xfrm>
                      <a:off x="0" y="0"/>
                      <a:ext cx="5731510" cy="3979545"/>
                    </a:xfrm>
                    <a:prstGeom prst="rect">
                      <a:avLst/>
                    </a:prstGeom>
                  </pic:spPr>
                </pic:pic>
              </a:graphicData>
            </a:graphic>
          </wp:inline>
        </w:drawing>
      </w:r>
    </w:p>
    <w:p w14:paraId="5A6C3585" w14:textId="0DBA5682" w:rsidR="00D95336" w:rsidRPr="00221992" w:rsidRDefault="00D95336" w:rsidP="00533CF1">
      <w:pPr>
        <w:pStyle w:val="TableNotes"/>
        <w:rPr>
          <w:lang w:val="en-GB"/>
        </w:rPr>
      </w:pPr>
      <w:r w:rsidRPr="00221992">
        <w:rPr>
          <w:lang w:val="en-GB"/>
        </w:rPr>
        <w:t>Source:</w:t>
      </w:r>
      <w:r w:rsidR="004A3831" w:rsidRPr="00221992">
        <w:rPr>
          <w:lang w:val="en-GB"/>
        </w:rPr>
        <w:tab/>
      </w:r>
      <w:r w:rsidRPr="00221992">
        <w:rPr>
          <w:lang w:val="en-GB"/>
        </w:rPr>
        <w:t>Figure 1, Anozie,</w:t>
      </w:r>
      <w:r w:rsidR="00701C2C" w:rsidRPr="00221992">
        <w:rPr>
          <w:lang w:val="en-GB"/>
        </w:rPr>
        <w:t xml:space="preserve"> A</w:t>
      </w:r>
      <w:r w:rsidR="006F53CD" w:rsidRPr="00221992">
        <w:rPr>
          <w:lang w:val="en-GB"/>
        </w:rPr>
        <w:t>. et al.</w:t>
      </w:r>
      <w:r w:rsidRPr="00221992">
        <w:rPr>
          <w:lang w:val="en-GB"/>
        </w:rPr>
        <w:t xml:space="preserve"> (2023)</w:t>
      </w:r>
    </w:p>
    <w:p w14:paraId="044E1932" w14:textId="23920C0B" w:rsidR="00D95336" w:rsidRPr="00221992" w:rsidRDefault="00D95336" w:rsidP="00702C58">
      <w:pPr>
        <w:rPr>
          <w:lang w:val="en-GB"/>
        </w:rPr>
      </w:pPr>
      <w:r w:rsidRPr="00221992">
        <w:rPr>
          <w:lang w:val="en-GB"/>
        </w:rPr>
        <w:t xml:space="preserve">The Similar Efficacy Comparison (Method I or Method II) is applied to pharmaceutical products </w:t>
      </w:r>
      <w:r w:rsidR="00685637">
        <w:rPr>
          <w:lang w:val="en-GB"/>
        </w:rPr>
        <w:t>that</w:t>
      </w:r>
      <w:r w:rsidR="00685637" w:rsidRPr="00221992">
        <w:rPr>
          <w:lang w:val="en-GB"/>
        </w:rPr>
        <w:t xml:space="preserve"> </w:t>
      </w:r>
      <w:r w:rsidRPr="00221992">
        <w:rPr>
          <w:lang w:val="en-GB"/>
        </w:rPr>
        <w:t xml:space="preserve">have a suitable clinical comparator on the market. Whether the novel product is considered innovative or not distinguishes Method I from Method II. Through Method I, the daily </w:t>
      </w:r>
      <w:r w:rsidR="00685637">
        <w:rPr>
          <w:lang w:val="en-GB"/>
        </w:rPr>
        <w:t>prescription</w:t>
      </w:r>
      <w:r w:rsidR="00685637" w:rsidRPr="00221992">
        <w:rPr>
          <w:lang w:val="en-GB"/>
        </w:rPr>
        <w:t xml:space="preserve"> </w:t>
      </w:r>
      <w:r w:rsidRPr="00221992">
        <w:rPr>
          <w:lang w:val="en-GB"/>
        </w:rPr>
        <w:t xml:space="preserve">price of a new drug is matched to that of comparable existing drugs. </w:t>
      </w:r>
      <w:r w:rsidR="00685637">
        <w:rPr>
          <w:lang w:val="en-GB"/>
        </w:rPr>
        <w:t>A</w:t>
      </w:r>
      <w:r w:rsidRPr="00221992">
        <w:rPr>
          <w:lang w:val="en-GB"/>
        </w:rPr>
        <w:t xml:space="preserve"> corrective premium can </w:t>
      </w:r>
      <w:r w:rsidR="00685637">
        <w:rPr>
          <w:lang w:val="en-GB"/>
        </w:rPr>
        <w:t xml:space="preserve">then </w:t>
      </w:r>
      <w:r w:rsidRPr="00221992">
        <w:rPr>
          <w:lang w:val="en-GB"/>
        </w:rPr>
        <w:t xml:space="preserve">be applied </w:t>
      </w:r>
      <w:r w:rsidR="00685637">
        <w:rPr>
          <w:lang w:val="en-GB"/>
        </w:rPr>
        <w:t>to reflect</w:t>
      </w:r>
      <w:r w:rsidRPr="00221992">
        <w:rPr>
          <w:lang w:val="en-GB"/>
        </w:rPr>
        <w:t xml:space="preserve"> innovation, usefulness, marketability, paediatric, Sakigaki</w:t>
      </w:r>
      <w:r w:rsidR="004F664D" w:rsidRPr="00221992">
        <w:rPr>
          <w:lang w:val="en-GB"/>
        </w:rPr>
        <w:t xml:space="preserve"> (a system to put innovative medicines/medical devices/regenerative medicines </w:t>
      </w:r>
      <w:r w:rsidR="007777C9" w:rsidRPr="00221992">
        <w:rPr>
          <w:lang w:val="en-GB"/>
        </w:rPr>
        <w:t>originating</w:t>
      </w:r>
      <w:r w:rsidR="004F664D" w:rsidRPr="00221992">
        <w:rPr>
          <w:lang w:val="en-GB"/>
        </w:rPr>
        <w:t xml:space="preserve"> from Japan into practice)</w:t>
      </w:r>
      <w:r w:rsidRPr="00221992">
        <w:rPr>
          <w:lang w:val="en-GB"/>
        </w:rPr>
        <w:t>, and most recently</w:t>
      </w:r>
      <w:r w:rsidR="00685637">
        <w:rPr>
          <w:lang w:val="en-GB"/>
        </w:rPr>
        <w:t>,</w:t>
      </w:r>
      <w:r w:rsidRPr="00221992">
        <w:rPr>
          <w:lang w:val="en-GB"/>
        </w:rPr>
        <w:t xml:space="preserve"> </w:t>
      </w:r>
      <w:r w:rsidR="00551786">
        <w:rPr>
          <w:lang w:val="en-GB"/>
        </w:rPr>
        <w:t>‘</w:t>
      </w:r>
      <w:r w:rsidRPr="00221992">
        <w:rPr>
          <w:lang w:val="en-GB"/>
        </w:rPr>
        <w:t>specific use</w:t>
      </w:r>
      <w:r w:rsidR="00685637">
        <w:rPr>
          <w:lang w:val="en-GB"/>
        </w:rPr>
        <w:t>,</w:t>
      </w:r>
      <w:r w:rsidR="00551786">
        <w:rPr>
          <w:lang w:val="en-GB"/>
        </w:rPr>
        <w:t>’</w:t>
      </w:r>
      <w:r w:rsidRPr="00221992">
        <w:rPr>
          <w:lang w:val="en-GB"/>
        </w:rPr>
        <w:t xml:space="preserve"> as described in</w:t>
      </w:r>
      <w:r w:rsidR="004A3831" w:rsidRPr="00221992">
        <w:rPr>
          <w:lang w:val="en-GB"/>
        </w:rPr>
        <w:t xml:space="preserve"> </w:t>
      </w:r>
      <w:r w:rsidR="004A3831" w:rsidRPr="00221992">
        <w:rPr>
          <w:lang w:val="en-GB"/>
        </w:rPr>
        <w:fldChar w:fldCharType="begin"/>
      </w:r>
      <w:r w:rsidR="004A3831" w:rsidRPr="00221992">
        <w:rPr>
          <w:lang w:val="en-GB"/>
        </w:rPr>
        <w:instrText xml:space="preserve"> REF _Ref143591213 \h </w:instrText>
      </w:r>
      <w:r w:rsidR="004A3831" w:rsidRPr="00221992">
        <w:rPr>
          <w:lang w:val="en-GB"/>
        </w:rPr>
      </w:r>
      <w:r w:rsidR="004A3831" w:rsidRPr="00221992">
        <w:rPr>
          <w:lang w:val="en-GB"/>
        </w:rPr>
        <w:fldChar w:fldCharType="separate"/>
      </w:r>
      <w:r w:rsidR="000E11E7" w:rsidRPr="00221992">
        <w:rPr>
          <w:lang w:val="en-GB"/>
        </w:rPr>
        <w:t xml:space="preserve">Figure </w:t>
      </w:r>
      <w:r w:rsidR="000E11E7">
        <w:rPr>
          <w:noProof/>
          <w:lang w:val="en-GB"/>
        </w:rPr>
        <w:t>3</w:t>
      </w:r>
      <w:r w:rsidR="004A3831" w:rsidRPr="00221992">
        <w:rPr>
          <w:lang w:val="en-GB"/>
        </w:rPr>
        <w:fldChar w:fldCharType="end"/>
      </w:r>
      <w:r w:rsidRPr="00221992">
        <w:rPr>
          <w:lang w:val="en-GB"/>
        </w:rPr>
        <w:t xml:space="preserve">. The </w:t>
      </w:r>
      <w:r w:rsidR="00551786">
        <w:rPr>
          <w:lang w:val="en-GB"/>
        </w:rPr>
        <w:t>‘</w:t>
      </w:r>
      <w:r w:rsidRPr="00221992">
        <w:rPr>
          <w:lang w:val="en-GB"/>
        </w:rPr>
        <w:t>specific use</w:t>
      </w:r>
      <w:r w:rsidR="00551786">
        <w:rPr>
          <w:lang w:val="en-GB"/>
        </w:rPr>
        <w:t>’</w:t>
      </w:r>
      <w:r w:rsidRPr="00221992">
        <w:rPr>
          <w:lang w:val="en-GB"/>
        </w:rPr>
        <w:t xml:space="preserve"> premium was a recent addition to the corrective premiums as part of the April 2022 reforms and applies to drugs that target a small therapeutic area with high unmet need, but </w:t>
      </w:r>
      <w:r w:rsidR="00685637">
        <w:rPr>
          <w:lang w:val="en-GB"/>
        </w:rPr>
        <w:t xml:space="preserve">which </w:t>
      </w:r>
      <w:r w:rsidRPr="00221992">
        <w:rPr>
          <w:lang w:val="en-GB"/>
        </w:rPr>
        <w:t xml:space="preserve">are not eligible for the marketability or paediatric premium. </w:t>
      </w:r>
      <w:r w:rsidR="00685637">
        <w:rPr>
          <w:lang w:val="en-GB"/>
        </w:rPr>
        <w:t>P</w:t>
      </w:r>
      <w:r w:rsidRPr="00221992">
        <w:rPr>
          <w:lang w:val="en-GB"/>
        </w:rPr>
        <w:t xml:space="preserve">roducts with low innovation </w:t>
      </w:r>
      <w:r w:rsidR="00685637">
        <w:rPr>
          <w:lang w:val="en-GB"/>
        </w:rPr>
        <w:t>are valued</w:t>
      </w:r>
      <w:r w:rsidR="00685637" w:rsidRPr="00221992">
        <w:rPr>
          <w:lang w:val="en-GB"/>
        </w:rPr>
        <w:t xml:space="preserve"> </w:t>
      </w:r>
      <w:r w:rsidRPr="00221992">
        <w:rPr>
          <w:lang w:val="en-GB"/>
        </w:rPr>
        <w:t xml:space="preserve">through </w:t>
      </w:r>
      <w:r w:rsidR="00685637">
        <w:rPr>
          <w:lang w:val="en-GB"/>
        </w:rPr>
        <w:t>Similar Efficacy Comparison</w:t>
      </w:r>
      <w:r w:rsidR="00685637" w:rsidRPr="00221992">
        <w:rPr>
          <w:lang w:val="en-GB"/>
        </w:rPr>
        <w:t xml:space="preserve"> </w:t>
      </w:r>
      <w:r w:rsidRPr="00221992">
        <w:rPr>
          <w:lang w:val="en-GB"/>
        </w:rPr>
        <w:t>Method</w:t>
      </w:r>
      <w:r w:rsidR="00685637">
        <w:rPr>
          <w:lang w:val="en-GB"/>
        </w:rPr>
        <w:t xml:space="preserve"> II</w:t>
      </w:r>
      <w:r w:rsidRPr="00221992">
        <w:rPr>
          <w:lang w:val="en-GB"/>
        </w:rPr>
        <w:t>. These drugs receive a corrective premium and have an insurance drug price set at the lowest level compared to the prices of comparators that have recently entered the market</w:t>
      </w:r>
      <w:r w:rsidR="00F5766F" w:rsidRPr="00221992">
        <w:rPr>
          <w:lang w:val="en-GB"/>
        </w:rPr>
        <w:t xml:space="preserve"> </w:t>
      </w:r>
      <w:r w:rsidRPr="00221992">
        <w:rPr>
          <w:lang w:val="en-GB"/>
        </w:rPr>
        <w:fldChar w:fldCharType="begin"/>
      </w:r>
      <w:r w:rsidR="008D71B5" w:rsidRPr="00221992">
        <w:rPr>
          <w:lang w:val="en-GB"/>
        </w:rPr>
        <w:instrText xml:space="preserve"> ADDIN EN.CITE &lt;EndNote&gt;&lt;Cite&gt;&lt;Author&gt;Anozie&lt;/Author&gt;&lt;Year&gt;2023&lt;/Year&gt;&lt;RecNum&gt;17&lt;/RecNum&gt;&lt;DisplayText&gt;[16]&lt;/DisplayText&gt;&lt;record&gt;&lt;rec-number&gt;17&lt;/rec-number&gt;&lt;foreign-keys&gt;&lt;key app="EN" db-id="wzwwsfxe4peesxef95cxvrwjxts9rreasarf" timestamp="1692654670"&gt;17&lt;/key&gt;&lt;/foreign-keys&gt;&lt;ref-type name="Web Page"&gt;12&lt;/ref-type&gt;&lt;contributors&gt;&lt;authors&gt;&lt;author&gt;Anozie, A.&lt;/author&gt;&lt;author&gt;Vincent, J-C.&lt;/author&gt;&lt;author&gt;Minhas, P. &lt;/author&gt;&lt;/authors&gt;&lt;/contributors&gt;&lt;titles&gt;&lt;title&gt;What are the pricing and repricing mechanisms in Japan’s P&amp;amp;R system that pharma must understand when considering a launch in Japan?&lt;/title&gt;&lt;/titles&gt;&lt;dates&gt;&lt;year&gt;2023&lt;/year&gt;&lt;pub-dates&gt;&lt;date&gt;10 August 2023&lt;/date&gt;&lt;/pub-dates&gt;&lt;/dates&gt;&lt;publisher&gt;Eradigm Consulting&lt;/publisher&gt;&lt;urls&gt;&lt;related-urls&gt;&lt;url&gt;https://eradigm.com/white-paper/breaking-down-japans-drug-pricing-system/&lt;/url&gt;&lt;/related-urls&gt;&lt;/urls&gt;&lt;/record&gt;&lt;/Cite&gt;&lt;/EndNote&gt;</w:instrText>
      </w:r>
      <w:r w:rsidRPr="00221992">
        <w:rPr>
          <w:lang w:val="en-GB"/>
        </w:rPr>
        <w:fldChar w:fldCharType="separate"/>
      </w:r>
      <w:r w:rsidR="008D71B5" w:rsidRPr="00221992">
        <w:rPr>
          <w:noProof/>
          <w:lang w:val="en-GB"/>
        </w:rPr>
        <w:t>[16]</w:t>
      </w:r>
      <w:r w:rsidRPr="00221992">
        <w:rPr>
          <w:lang w:val="en-GB"/>
        </w:rPr>
        <w:fldChar w:fldCharType="end"/>
      </w:r>
      <w:r w:rsidR="00F5766F" w:rsidRPr="00221992">
        <w:rPr>
          <w:lang w:val="en-GB"/>
        </w:rPr>
        <w:t>.</w:t>
      </w:r>
    </w:p>
    <w:p w14:paraId="1522D777" w14:textId="1F725C40" w:rsidR="004A3831" w:rsidRPr="00221992" w:rsidRDefault="004A3831" w:rsidP="001721AB">
      <w:pPr>
        <w:pStyle w:val="Caption"/>
        <w:rPr>
          <w:lang w:val="en-GB"/>
        </w:rPr>
      </w:pPr>
      <w:bookmarkStart w:id="61" w:name="_Ref143591213"/>
      <w:bookmarkStart w:id="62" w:name="_Toc162950910"/>
      <w:r w:rsidRPr="00221992">
        <w:rPr>
          <w:lang w:val="en-GB"/>
        </w:rPr>
        <w:t xml:space="preserve">Figure </w:t>
      </w:r>
      <w:r w:rsidR="003F72DF" w:rsidRPr="00221992">
        <w:rPr>
          <w:lang w:val="en-GB"/>
        </w:rPr>
        <w:fldChar w:fldCharType="begin"/>
      </w:r>
      <w:r w:rsidR="003F72DF" w:rsidRPr="00221992">
        <w:rPr>
          <w:lang w:val="en-GB"/>
        </w:rPr>
        <w:instrText xml:space="preserve"> SEQ Figure \* ARABIC </w:instrText>
      </w:r>
      <w:r w:rsidR="003F72DF" w:rsidRPr="00221992">
        <w:rPr>
          <w:lang w:val="en-GB"/>
        </w:rPr>
        <w:fldChar w:fldCharType="separate"/>
      </w:r>
      <w:r w:rsidR="000E11E7">
        <w:rPr>
          <w:noProof/>
          <w:lang w:val="en-GB"/>
        </w:rPr>
        <w:t>3</w:t>
      </w:r>
      <w:r w:rsidR="003F72DF" w:rsidRPr="00221992">
        <w:rPr>
          <w:noProof/>
          <w:lang w:val="en-GB"/>
        </w:rPr>
        <w:fldChar w:fldCharType="end"/>
      </w:r>
      <w:bookmarkEnd w:id="61"/>
      <w:r w:rsidRPr="00221992">
        <w:rPr>
          <w:lang w:val="en-GB"/>
        </w:rPr>
        <w:t>. Corrective premiums for new pharmaceuticals</w:t>
      </w:r>
      <w:bookmarkEnd w:id="62"/>
    </w:p>
    <w:p w14:paraId="7837EA14" w14:textId="779AF65A" w:rsidR="00075CE0" w:rsidRPr="00221992" w:rsidRDefault="00D95336" w:rsidP="00533CF1">
      <w:pPr>
        <w:pStyle w:val="TableNotes"/>
        <w:rPr>
          <w:lang w:val="en-GB"/>
        </w:rPr>
      </w:pPr>
      <w:r w:rsidRPr="00221992">
        <w:rPr>
          <w:noProof/>
          <w:lang w:val="en-GB"/>
        </w:rPr>
        <w:drawing>
          <wp:inline distT="0" distB="0" distL="0" distR="0" wp14:anchorId="65712842" wp14:editId="1FE3221F">
            <wp:extent cx="5731510" cy="2440305"/>
            <wp:effectExtent l="0" t="0" r="0" b="0"/>
            <wp:docPr id="834085412" name="Picture 834085412" descr="diagram of the corrective premiums for new pharmaceuticals. premium categories include innovativeness, usefulness, marketability, pediatric, sakigake review designation scheme and specific us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4085412"/>
                    <pic:cNvPicPr/>
                  </pic:nvPicPr>
                  <pic:blipFill>
                    <a:blip r:embed="rId21">
                      <a:extLst>
                        <a:ext uri="{28A0092B-C50C-407E-A947-70E740481C1C}">
                          <a14:useLocalDpi xmlns:a14="http://schemas.microsoft.com/office/drawing/2010/main" val="0"/>
                        </a:ext>
                      </a:extLst>
                    </a:blip>
                    <a:stretch>
                      <a:fillRect/>
                    </a:stretch>
                  </pic:blipFill>
                  <pic:spPr>
                    <a:xfrm>
                      <a:off x="0" y="0"/>
                      <a:ext cx="5731510" cy="2440305"/>
                    </a:xfrm>
                    <a:prstGeom prst="rect">
                      <a:avLst/>
                    </a:prstGeom>
                  </pic:spPr>
                </pic:pic>
              </a:graphicData>
            </a:graphic>
          </wp:inline>
        </w:drawing>
      </w:r>
      <w:r w:rsidRPr="00221992">
        <w:rPr>
          <w:lang w:val="en-GB"/>
        </w:rPr>
        <w:br/>
      </w:r>
    </w:p>
    <w:p w14:paraId="43293987" w14:textId="7AF694C0" w:rsidR="00D95336" w:rsidRPr="00221992" w:rsidRDefault="00D95336" w:rsidP="00533CF1">
      <w:pPr>
        <w:pStyle w:val="TableNotes"/>
        <w:rPr>
          <w:lang w:val="en-GB"/>
        </w:rPr>
      </w:pPr>
      <w:r w:rsidRPr="00221992">
        <w:rPr>
          <w:lang w:val="en-GB"/>
        </w:rPr>
        <w:t>Source:</w:t>
      </w:r>
      <w:r w:rsidR="00080D8F" w:rsidRPr="00221992">
        <w:rPr>
          <w:lang w:val="en-GB"/>
        </w:rPr>
        <w:tab/>
      </w:r>
      <w:r w:rsidRPr="00221992">
        <w:rPr>
          <w:lang w:val="en-GB"/>
        </w:rPr>
        <w:t>Figure 2, Anozie,</w:t>
      </w:r>
      <w:r w:rsidR="00E9036D" w:rsidRPr="00221992">
        <w:rPr>
          <w:lang w:val="en-GB"/>
        </w:rPr>
        <w:t xml:space="preserve"> A. et al.</w:t>
      </w:r>
      <w:r w:rsidRPr="00221992">
        <w:rPr>
          <w:lang w:val="en-GB"/>
        </w:rPr>
        <w:t xml:space="preserve"> (2023)</w:t>
      </w:r>
    </w:p>
    <w:p w14:paraId="1F90C9E2" w14:textId="424C9208" w:rsidR="00D95336" w:rsidRPr="00221992" w:rsidRDefault="00D95336" w:rsidP="00702C58">
      <w:pPr>
        <w:rPr>
          <w:lang w:val="en-GB"/>
        </w:rPr>
      </w:pPr>
      <w:r w:rsidRPr="00221992">
        <w:rPr>
          <w:lang w:val="en-GB"/>
        </w:rPr>
        <w:t xml:space="preserve">The Cost Accounting Method has historically led to higher prices in Japan. With no comparator on the market, </w:t>
      </w:r>
      <w:r w:rsidR="00591393">
        <w:rPr>
          <w:lang w:val="en-GB"/>
        </w:rPr>
        <w:t>a</w:t>
      </w:r>
      <w:r w:rsidR="00591393" w:rsidRPr="00221992">
        <w:rPr>
          <w:lang w:val="en-GB"/>
        </w:rPr>
        <w:t xml:space="preserve"> </w:t>
      </w:r>
      <w:r w:rsidRPr="00221992">
        <w:rPr>
          <w:lang w:val="en-GB"/>
        </w:rPr>
        <w:t>novel drug is priced based on a variety of factors</w:t>
      </w:r>
      <w:r w:rsidR="00591393">
        <w:rPr>
          <w:lang w:val="en-GB"/>
        </w:rPr>
        <w:t>,</w:t>
      </w:r>
      <w:r w:rsidRPr="00221992">
        <w:rPr>
          <w:lang w:val="en-GB"/>
        </w:rPr>
        <w:t xml:space="preserve"> including its manufacturing costs, R&amp;D costs, sales cost, operating profits, distribution cost, and consumption tax. As with the Similar Efficacy Comparison methods, a corrective premium is applied, however</w:t>
      </w:r>
      <w:r w:rsidR="00591393">
        <w:rPr>
          <w:lang w:val="en-GB"/>
        </w:rPr>
        <w:t>,</w:t>
      </w:r>
      <w:r w:rsidRPr="00221992">
        <w:rPr>
          <w:lang w:val="en-GB"/>
        </w:rPr>
        <w:t xml:space="preserve"> </w:t>
      </w:r>
      <w:r w:rsidR="00591393">
        <w:rPr>
          <w:lang w:val="en-GB"/>
        </w:rPr>
        <w:t>this premium</w:t>
      </w:r>
      <w:r w:rsidR="00591393" w:rsidRPr="00221992">
        <w:rPr>
          <w:lang w:val="en-GB"/>
        </w:rPr>
        <w:t xml:space="preserve"> </w:t>
      </w:r>
      <w:r w:rsidRPr="00221992">
        <w:rPr>
          <w:lang w:val="en-GB"/>
        </w:rPr>
        <w:t xml:space="preserve">is based on a transparency coefficient </w:t>
      </w:r>
      <w:r w:rsidR="00591393">
        <w:rPr>
          <w:lang w:val="en-GB"/>
        </w:rPr>
        <w:t>reflecting manufacturers’ actual</w:t>
      </w:r>
      <w:r w:rsidRPr="00221992">
        <w:rPr>
          <w:lang w:val="en-GB"/>
        </w:rPr>
        <w:t xml:space="preserve"> costs. If the disclosure rate is below 80%, the corrective premium is adjusted downwards, and if it is below 50%, the corrective premium is removed, thus incentivising the manufacturer to disclose their production costs</w:t>
      </w:r>
      <w:r w:rsidR="00F5766F" w:rsidRPr="00221992">
        <w:rPr>
          <w:lang w:val="en-GB"/>
        </w:rPr>
        <w:t xml:space="preserve"> </w:t>
      </w:r>
      <w:r w:rsidRPr="00221992">
        <w:rPr>
          <w:lang w:val="en-GB"/>
        </w:rPr>
        <w:fldChar w:fldCharType="begin"/>
      </w:r>
      <w:r w:rsidR="008D71B5" w:rsidRPr="00221992">
        <w:rPr>
          <w:lang w:val="en-GB"/>
        </w:rPr>
        <w:instrText xml:space="preserve"> ADDIN EN.CITE &lt;EndNote&gt;&lt;Cite&gt;&lt;Author&gt;Anozie&lt;/Author&gt;&lt;Year&gt;2023&lt;/Year&gt;&lt;RecNum&gt;17&lt;/RecNum&gt;&lt;DisplayText&gt;[16]&lt;/DisplayText&gt;&lt;record&gt;&lt;rec-number&gt;17&lt;/rec-number&gt;&lt;foreign-keys&gt;&lt;key app="EN" db-id="wzwwsfxe4peesxef95cxvrwjxts9rreasarf" timestamp="1692654670"&gt;17&lt;/key&gt;&lt;/foreign-keys&gt;&lt;ref-type name="Web Page"&gt;12&lt;/ref-type&gt;&lt;contributors&gt;&lt;authors&gt;&lt;author&gt;Anozie, A.&lt;/author&gt;&lt;author&gt;Vincent, J-C.&lt;/author&gt;&lt;author&gt;Minhas, P. &lt;/author&gt;&lt;/authors&gt;&lt;/contributors&gt;&lt;titles&gt;&lt;title&gt;What are the pricing and repricing mechanisms in Japan’s P&amp;amp;R system that pharma must understand when considering a launch in Japan?&lt;/title&gt;&lt;/titles&gt;&lt;dates&gt;&lt;year&gt;2023&lt;/year&gt;&lt;pub-dates&gt;&lt;date&gt;10 August 2023&lt;/date&gt;&lt;/pub-dates&gt;&lt;/dates&gt;&lt;publisher&gt;Eradigm Consulting&lt;/publisher&gt;&lt;urls&gt;&lt;related-urls&gt;&lt;url&gt;https://eradigm.com/white-paper/breaking-down-japans-drug-pricing-system/&lt;/url&gt;&lt;/related-urls&gt;&lt;/urls&gt;&lt;/record&gt;&lt;/Cite&gt;&lt;/EndNote&gt;</w:instrText>
      </w:r>
      <w:r w:rsidRPr="00221992">
        <w:rPr>
          <w:lang w:val="en-GB"/>
        </w:rPr>
        <w:fldChar w:fldCharType="separate"/>
      </w:r>
      <w:r w:rsidR="008D71B5" w:rsidRPr="00221992">
        <w:rPr>
          <w:noProof/>
          <w:lang w:val="en-GB"/>
        </w:rPr>
        <w:t>[16]</w:t>
      </w:r>
      <w:r w:rsidRPr="00221992">
        <w:rPr>
          <w:lang w:val="en-GB"/>
        </w:rPr>
        <w:fldChar w:fldCharType="end"/>
      </w:r>
      <w:r w:rsidR="00F5766F" w:rsidRPr="00221992">
        <w:rPr>
          <w:lang w:val="en-GB"/>
        </w:rPr>
        <w:t>.</w:t>
      </w:r>
    </w:p>
    <w:p w14:paraId="109DB4C7" w14:textId="6973FD51" w:rsidR="00D95336" w:rsidRPr="00221992" w:rsidRDefault="006F32FF" w:rsidP="00702C58">
      <w:pPr>
        <w:rPr>
          <w:lang w:val="en-GB"/>
        </w:rPr>
      </w:pPr>
      <w:r w:rsidRPr="00221992">
        <w:rPr>
          <w:lang w:val="en-GB"/>
        </w:rPr>
        <w:t>T</w:t>
      </w:r>
      <w:r w:rsidR="00D95336" w:rsidRPr="00221992">
        <w:rPr>
          <w:lang w:val="en-GB"/>
        </w:rPr>
        <w:t>he</w:t>
      </w:r>
      <w:r w:rsidR="006C4F96" w:rsidRPr="00221992">
        <w:rPr>
          <w:lang w:val="en-GB"/>
        </w:rPr>
        <w:t xml:space="preserve"> pricing</w:t>
      </w:r>
      <w:r w:rsidR="00D95336" w:rsidRPr="00221992">
        <w:rPr>
          <w:lang w:val="en-GB"/>
        </w:rPr>
        <w:t xml:space="preserve"> premiums that can be awarded play an important role in the pricing system and ha</w:t>
      </w:r>
      <w:r w:rsidR="00591393">
        <w:rPr>
          <w:lang w:val="en-GB"/>
        </w:rPr>
        <w:t>ve</w:t>
      </w:r>
      <w:r w:rsidR="00D95336" w:rsidRPr="00221992">
        <w:rPr>
          <w:lang w:val="en-GB"/>
        </w:rPr>
        <w:t xml:space="preserve"> marked Japan as a market that </w:t>
      </w:r>
      <w:r w:rsidR="00591393">
        <w:rPr>
          <w:lang w:val="en-GB"/>
        </w:rPr>
        <w:t>incentivises</w:t>
      </w:r>
      <w:r w:rsidR="00D95336" w:rsidRPr="00221992">
        <w:rPr>
          <w:lang w:val="en-GB"/>
        </w:rPr>
        <w:t xml:space="preserve"> innovati</w:t>
      </w:r>
      <w:r w:rsidR="00591393">
        <w:rPr>
          <w:lang w:val="en-GB"/>
        </w:rPr>
        <w:t>on in</w:t>
      </w:r>
      <w:r w:rsidR="00D95336" w:rsidRPr="00221992">
        <w:rPr>
          <w:lang w:val="en-GB"/>
        </w:rPr>
        <w:t xml:space="preserve"> medicines. The result is that companies are increasingly able to enter Japan before foreign prices have been established in reference markets, enabling them to obtain premium pricing based on partial cost disclosure and limited informal presentations of health economic outcomes data</w:t>
      </w:r>
      <w:r w:rsidR="00F5766F" w:rsidRPr="00221992">
        <w:rPr>
          <w:lang w:val="en-GB"/>
        </w:rPr>
        <w:t xml:space="preserve"> </w:t>
      </w:r>
      <w:r w:rsidR="00D95336" w:rsidRPr="00221992">
        <w:rPr>
          <w:lang w:val="en-GB"/>
        </w:rPr>
        <w:fldChar w:fldCharType="begin"/>
      </w:r>
      <w:r w:rsidR="008D71B5" w:rsidRPr="00221992">
        <w:rPr>
          <w:lang w:val="en-GB"/>
        </w:rPr>
        <w:instrText xml:space="preserve"> ADDIN EN.CITE &lt;EndNote&gt;&lt;Cite&gt;&lt;Author&gt;Anozie&lt;/Author&gt;&lt;Year&gt;2023&lt;/Year&gt;&lt;RecNum&gt;17&lt;/RecNum&gt;&lt;DisplayText&gt;[16]&lt;/DisplayText&gt;&lt;record&gt;&lt;rec-number&gt;17&lt;/rec-number&gt;&lt;foreign-keys&gt;&lt;key app="EN" db-id="wzwwsfxe4peesxef95cxvrwjxts9rreasarf" timestamp="1692654670"&gt;17&lt;/key&gt;&lt;/foreign-keys&gt;&lt;ref-type name="Web Page"&gt;12&lt;/ref-type&gt;&lt;contributors&gt;&lt;authors&gt;&lt;author&gt;Anozie, A.&lt;/author&gt;&lt;author&gt;Vincent, J-C.&lt;/author&gt;&lt;author&gt;Minhas, P. &lt;/author&gt;&lt;/authors&gt;&lt;/contributors&gt;&lt;titles&gt;&lt;title&gt;What are the pricing and repricing mechanisms in Japan’s P&amp;amp;R system that pharma must understand when considering a launch in Japan?&lt;/title&gt;&lt;/titles&gt;&lt;dates&gt;&lt;year&gt;2023&lt;/year&gt;&lt;pub-dates&gt;&lt;date&gt;10 August 2023&lt;/date&gt;&lt;/pub-dates&gt;&lt;/dates&gt;&lt;publisher&gt;Eradigm Consulting&lt;/publisher&gt;&lt;urls&gt;&lt;related-urls&gt;&lt;url&gt;https://eradigm.com/white-paper/breaking-down-japans-drug-pricing-system/&lt;/url&gt;&lt;/related-urls&gt;&lt;/urls&gt;&lt;/record&gt;&lt;/Cite&gt;&lt;/EndNote&gt;</w:instrText>
      </w:r>
      <w:r w:rsidR="00D95336" w:rsidRPr="00221992">
        <w:rPr>
          <w:lang w:val="en-GB"/>
        </w:rPr>
        <w:fldChar w:fldCharType="separate"/>
      </w:r>
      <w:r w:rsidR="008D71B5" w:rsidRPr="00221992">
        <w:rPr>
          <w:noProof/>
          <w:lang w:val="en-GB"/>
        </w:rPr>
        <w:t>[16]</w:t>
      </w:r>
      <w:r w:rsidR="00D95336" w:rsidRPr="00221992">
        <w:rPr>
          <w:lang w:val="en-GB"/>
        </w:rPr>
        <w:fldChar w:fldCharType="end"/>
      </w:r>
      <w:r w:rsidR="00F5766F" w:rsidRPr="00221992">
        <w:rPr>
          <w:lang w:val="en-GB"/>
        </w:rPr>
        <w:t>.</w:t>
      </w:r>
    </w:p>
    <w:p w14:paraId="0EFFBD04" w14:textId="33198272" w:rsidR="00D95336" w:rsidRPr="00221992" w:rsidRDefault="00D95336" w:rsidP="004A3831">
      <w:pPr>
        <w:rPr>
          <w:lang w:val="en-GB"/>
        </w:rPr>
      </w:pPr>
      <w:r w:rsidRPr="00221992">
        <w:rPr>
          <w:lang w:val="en-GB"/>
        </w:rPr>
        <w:t xml:space="preserve">After the entry price is assigned, novel pharmaceuticals are subject to one or more re-pricing processes determined by HTA review, usually around 12 to 18 months post-launch </w:t>
      </w:r>
      <w:r w:rsidR="0095704C" w:rsidRPr="00221992">
        <w:rPr>
          <w:lang w:val="en-GB"/>
        </w:rPr>
        <w:t>(see Appendix 3,</w:t>
      </w:r>
      <w:r w:rsidRPr="00347199">
        <w:rPr>
          <w:lang w:val="en-GB"/>
        </w:rPr>
        <w:t xml:space="preserve"> </w:t>
      </w:r>
      <w:r w:rsidRPr="00221992">
        <w:rPr>
          <w:color w:val="FF0000"/>
          <w:lang w:val="en-GB"/>
        </w:rPr>
        <w:fldChar w:fldCharType="begin"/>
      </w:r>
      <w:r w:rsidRPr="004A3831">
        <w:rPr>
          <w:color w:val="FF0000"/>
        </w:rPr>
        <w:instrText xml:space="preserve"> REF _Ref143376764 \h </w:instrText>
      </w:r>
      <w:r w:rsidRPr="00221992">
        <w:rPr>
          <w:color w:val="FF0000"/>
          <w:lang w:val="en-GB"/>
        </w:rPr>
      </w:r>
      <w:r w:rsidRPr="00221992">
        <w:rPr>
          <w:color w:val="FF0000"/>
          <w:lang w:val="en-GB"/>
        </w:rPr>
        <w:fldChar w:fldCharType="separate"/>
      </w:r>
      <w:r w:rsidR="000E11E7" w:rsidRPr="00221992">
        <w:rPr>
          <w:lang w:val="en-GB"/>
        </w:rPr>
        <w:t xml:space="preserve">Figure </w:t>
      </w:r>
      <w:r w:rsidR="000E11E7">
        <w:rPr>
          <w:noProof/>
        </w:rPr>
        <w:t>39</w:t>
      </w:r>
      <w:r w:rsidRPr="00221992">
        <w:rPr>
          <w:color w:val="FF0000"/>
          <w:lang w:val="en-GB"/>
        </w:rPr>
        <w:fldChar w:fldCharType="end"/>
      </w:r>
      <w:r w:rsidRPr="00221992">
        <w:rPr>
          <w:lang w:val="en-GB"/>
        </w:rPr>
        <w:t>). There are five categories that determine if products require a cost-effectiveness assessment, as described in</w:t>
      </w:r>
      <w:r w:rsidR="00CF167B" w:rsidRPr="00221992">
        <w:rPr>
          <w:lang w:val="en-GB"/>
        </w:rPr>
        <w:t xml:space="preserve"> </w:t>
      </w:r>
      <w:r w:rsidR="00CF167B" w:rsidRPr="00221992">
        <w:rPr>
          <w:lang w:val="en-GB"/>
        </w:rPr>
        <w:fldChar w:fldCharType="begin"/>
      </w:r>
      <w:r w:rsidR="00CF167B">
        <w:instrText xml:space="preserve"> REF _Ref143691518 \h </w:instrText>
      </w:r>
      <w:r w:rsidR="00CF167B" w:rsidRPr="00221992">
        <w:rPr>
          <w:lang w:val="en-GB"/>
        </w:rPr>
      </w:r>
      <w:r w:rsidR="00CF167B" w:rsidRPr="00221992">
        <w:rPr>
          <w:lang w:val="en-GB"/>
        </w:rPr>
        <w:fldChar w:fldCharType="separate"/>
      </w:r>
      <w:r w:rsidR="000E11E7" w:rsidRPr="00221992">
        <w:rPr>
          <w:lang w:val="en-GB"/>
        </w:rPr>
        <w:t xml:space="preserve">Table </w:t>
      </w:r>
      <w:r w:rsidR="000E11E7">
        <w:rPr>
          <w:noProof/>
        </w:rPr>
        <w:t>10</w:t>
      </w:r>
      <w:r w:rsidR="00CF167B" w:rsidRPr="00221992">
        <w:rPr>
          <w:lang w:val="en-GB"/>
        </w:rPr>
        <w:fldChar w:fldCharType="end"/>
      </w:r>
      <w:r w:rsidRPr="00221992">
        <w:rPr>
          <w:lang w:val="en-GB"/>
        </w:rPr>
        <w:t>. Due to limited resources, products classified as H1 through to H4 are subject to cost-effectiveness analysis; the prices of products in H5 are adjusted according to the cost-effectiveness results for representative products</w:t>
      </w:r>
      <w:r w:rsidR="00F5766F" w:rsidRPr="00221992">
        <w:rPr>
          <w:lang w:val="en-GB"/>
        </w:rPr>
        <w:t xml:space="preserve"> </w:t>
      </w:r>
      <w:r w:rsidRPr="00221992">
        <w:rPr>
          <w:lang w:val="en-GB"/>
        </w:rPr>
        <w:fldChar w:fldCharType="begin"/>
      </w:r>
      <w:r w:rsidR="002F6CD4" w:rsidRPr="00221992">
        <w:rPr>
          <w:lang w:val="en-GB"/>
        </w:rPr>
        <w:instrText xml:space="preserve"> ADDIN EN.CITE &lt;EndNote&gt;&lt;Cite&gt;&lt;Author&gt;Hasegawa&lt;/Author&gt;&lt;Year&gt;2020&lt;/Year&gt;&lt;RecNum&gt;198&lt;/RecNum&gt;&lt;DisplayText&gt;[23]&lt;/DisplayText&gt;&lt;record&gt;&lt;rec-number&gt;198&lt;/rec-number&gt;&lt;foreign-keys&gt;&lt;key app="EN" db-id="wzwwsfxe4peesxef95cxvrwjxts9rreasarf" timestamp="1692654670"&gt;198&lt;/key&gt;&lt;/foreign-keys&gt;&lt;ref-type name="Journal Article"&gt;17&lt;/ref-type&gt;&lt;contributors&gt;&lt;authors&gt;&lt;author&gt;Hasegawa, Masataka&lt;/author&gt;&lt;author&gt;Komoto, Shigekazu&lt;/author&gt;&lt;author&gt;Shiroiwa, Takeru&lt;/author&gt;&lt;author&gt;Fukuda, Takashi&lt;/author&gt;&lt;/authors&gt;&lt;/contributors&gt;&lt;titles&gt;&lt;title&gt;Formal Implementation of Cost-Effectiveness Evaluations in Japan: A Unique Health Technology Assessment System&lt;/title&gt;&lt;secondary-title&gt;Value in Health&lt;/secondary-title&gt;&lt;/titles&gt;&lt;periodical&gt;&lt;full-title&gt;Value in Health&lt;/full-title&gt;&lt;/periodical&gt;&lt;pages&gt;43-51&lt;/pages&gt;&lt;volume&gt;23&lt;/volume&gt;&lt;number&gt;1&lt;/number&gt;&lt;keywords&gt;&lt;keyword&gt;Central Social Insurance Medical Council&lt;/keyword&gt;&lt;keyword&gt;cost-effectiveness analysis&lt;/keyword&gt;&lt;keyword&gt;health technology assessment&lt;/keyword&gt;&lt;keyword&gt;Japan&lt;/keyword&gt;&lt;/keywords&gt;&lt;dates&gt;&lt;year&gt;2020&lt;/year&gt;&lt;pub-dates&gt;&lt;date&gt;2020/01/01/&lt;/date&gt;&lt;/pub-dates&gt;&lt;/dates&gt;&lt;isbn&gt;1098-3015&lt;/isbn&gt;&lt;urls&gt;&lt;related-urls&gt;&lt;url&gt;https://www.sciencedirect.com/science/article/pii/S1098301519351708&lt;/url&gt;&lt;/related-urls&gt;&lt;/urls&gt;&lt;electronic-resource-num&gt;https://doi.org/10.1016/j.jval.2019.10.005&lt;/electronic-resource-num&gt;&lt;/record&gt;&lt;/Cite&gt;&lt;/EndNote&gt;</w:instrText>
      </w:r>
      <w:r w:rsidRPr="00221992">
        <w:rPr>
          <w:lang w:val="en-GB"/>
        </w:rPr>
        <w:fldChar w:fldCharType="separate"/>
      </w:r>
      <w:r w:rsidR="002F6CD4" w:rsidRPr="00221992">
        <w:rPr>
          <w:noProof/>
          <w:lang w:val="en-GB"/>
        </w:rPr>
        <w:t>[23]</w:t>
      </w:r>
      <w:r w:rsidRPr="00221992">
        <w:rPr>
          <w:lang w:val="en-GB"/>
        </w:rPr>
        <w:fldChar w:fldCharType="end"/>
      </w:r>
      <w:r w:rsidR="00F5766F" w:rsidRPr="00221992">
        <w:rPr>
          <w:lang w:val="en-GB"/>
        </w:rPr>
        <w:t>.</w:t>
      </w:r>
    </w:p>
    <w:p w14:paraId="1CA11E62" w14:textId="72F5C193" w:rsidR="004A3831" w:rsidRPr="00221992" w:rsidRDefault="004A3831" w:rsidP="001721AB">
      <w:pPr>
        <w:pStyle w:val="Caption"/>
        <w:rPr>
          <w:lang w:val="en-GB"/>
        </w:rPr>
      </w:pPr>
      <w:bookmarkStart w:id="63" w:name="_Ref143691518"/>
      <w:bookmarkStart w:id="64" w:name="_Toc162950957"/>
      <w:r w:rsidRPr="00221992">
        <w:rPr>
          <w:lang w:val="en-GB"/>
        </w:rPr>
        <w:t xml:space="preserve">Table </w:t>
      </w:r>
      <w:r w:rsidRPr="00221992">
        <w:rPr>
          <w:lang w:val="en-GB"/>
        </w:rPr>
        <w:fldChar w:fldCharType="begin"/>
      </w:r>
      <w:r>
        <w:instrText>SEQ Table \* ARABIC</w:instrText>
      </w:r>
      <w:r w:rsidRPr="00221992">
        <w:rPr>
          <w:lang w:val="en-GB"/>
        </w:rPr>
        <w:fldChar w:fldCharType="separate"/>
      </w:r>
      <w:r w:rsidR="000E11E7">
        <w:rPr>
          <w:noProof/>
        </w:rPr>
        <w:t>10</w:t>
      </w:r>
      <w:r w:rsidRPr="00221992">
        <w:rPr>
          <w:lang w:val="en-GB"/>
        </w:rPr>
        <w:fldChar w:fldCharType="end"/>
      </w:r>
      <w:bookmarkEnd w:id="63"/>
      <w:r w:rsidRPr="00221992">
        <w:rPr>
          <w:lang w:val="en-GB"/>
        </w:rPr>
        <w:t xml:space="preserve">. Five </w:t>
      </w:r>
      <w:r w:rsidR="008C5E74">
        <w:rPr>
          <w:lang w:val="en-GB"/>
        </w:rPr>
        <w:t>c</w:t>
      </w:r>
      <w:r w:rsidRPr="00221992">
        <w:rPr>
          <w:lang w:val="en-GB"/>
        </w:rPr>
        <w:t xml:space="preserve">ategories for </w:t>
      </w:r>
      <w:r w:rsidR="008C5E74">
        <w:rPr>
          <w:lang w:val="en-GB"/>
        </w:rPr>
        <w:t>c</w:t>
      </w:r>
      <w:r w:rsidRPr="00221992">
        <w:rPr>
          <w:lang w:val="en-GB"/>
        </w:rPr>
        <w:t>ost-</w:t>
      </w:r>
      <w:r w:rsidR="008C5E74">
        <w:rPr>
          <w:lang w:val="en-GB"/>
        </w:rPr>
        <w:t>e</w:t>
      </w:r>
      <w:r w:rsidRPr="00221992">
        <w:rPr>
          <w:lang w:val="en-GB"/>
        </w:rPr>
        <w:t xml:space="preserve">ffectiveness </w:t>
      </w:r>
      <w:r w:rsidR="008C5E74">
        <w:rPr>
          <w:lang w:val="en-GB"/>
        </w:rPr>
        <w:t>a</w:t>
      </w:r>
      <w:r w:rsidRPr="00221992">
        <w:rPr>
          <w:lang w:val="en-GB"/>
        </w:rPr>
        <w:t xml:space="preserve">ssessment </w:t>
      </w:r>
      <w:r w:rsidR="008C5E74">
        <w:rPr>
          <w:lang w:val="en-GB"/>
        </w:rPr>
        <w:t>s</w:t>
      </w:r>
      <w:r w:rsidRPr="00221992">
        <w:rPr>
          <w:lang w:val="en-GB"/>
        </w:rPr>
        <w:t>election</w:t>
      </w:r>
      <w:bookmarkEnd w:id="64"/>
    </w:p>
    <w:tbl>
      <w:tblPr>
        <w:tblStyle w:val="LinedBlueTable"/>
        <w:tblW w:w="0" w:type="auto"/>
        <w:tblLook w:val="04A0" w:firstRow="1" w:lastRow="0" w:firstColumn="1" w:lastColumn="0" w:noHBand="0" w:noVBand="1"/>
        <w:tblCaption w:val="five categories for cost-effectiveness assessment selection"/>
      </w:tblPr>
      <w:tblGrid>
        <w:gridCol w:w="1497"/>
        <w:gridCol w:w="945"/>
        <w:gridCol w:w="6062"/>
      </w:tblGrid>
      <w:tr w:rsidR="00D95336" w:rsidRPr="00CA161F" w14:paraId="421D7AF2" w14:textId="77777777" w:rsidTr="132F738C">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518" w:type="dxa"/>
            <w:shd w:val="clear" w:color="auto" w:fill="000000" w:themeFill="text1"/>
          </w:tcPr>
          <w:p w14:paraId="04030E36" w14:textId="77777777" w:rsidR="00D95336" w:rsidRPr="00CA161F" w:rsidRDefault="00D95336" w:rsidP="00702C58">
            <w:pPr>
              <w:rPr>
                <w:rFonts w:ascii="Calibri" w:hAnsi="Calibri" w:cs="Calibri"/>
                <w:b/>
                <w:sz w:val="20"/>
                <w:szCs w:val="20"/>
                <w:lang w:val="en-GB"/>
              </w:rPr>
            </w:pPr>
            <w:r w:rsidRPr="00CA161F">
              <w:rPr>
                <w:rFonts w:ascii="Calibri" w:hAnsi="Calibri" w:cs="Calibri"/>
                <w:b/>
                <w:sz w:val="20"/>
                <w:szCs w:val="20"/>
                <w:lang w:val="en-GB"/>
              </w:rPr>
              <w:t>Classification</w:t>
            </w:r>
          </w:p>
        </w:tc>
        <w:tc>
          <w:tcPr>
            <w:tcW w:w="978" w:type="dxa"/>
            <w:shd w:val="clear" w:color="auto" w:fill="1E8BCD"/>
          </w:tcPr>
          <w:p w14:paraId="0444D33C" w14:textId="77777777" w:rsidR="00D95336" w:rsidRPr="00CA161F" w:rsidRDefault="00D95336" w:rsidP="00702C58">
            <w:pPr>
              <w:cnfStyle w:val="100000000000" w:firstRow="1" w:lastRow="0" w:firstColumn="0" w:lastColumn="0" w:oddVBand="0" w:evenVBand="0" w:oddHBand="0" w:evenHBand="0" w:firstRowFirstColumn="0" w:firstRowLastColumn="0" w:lastRowFirstColumn="0" w:lastRowLastColumn="0"/>
              <w:rPr>
                <w:rFonts w:ascii="Calibri" w:hAnsi="Calibri" w:cs="Calibri"/>
                <w:b/>
                <w:sz w:val="20"/>
                <w:szCs w:val="20"/>
                <w:lang w:val="en-GB"/>
              </w:rPr>
            </w:pPr>
            <w:r w:rsidRPr="00CA161F">
              <w:rPr>
                <w:rFonts w:ascii="Calibri" w:hAnsi="Calibri" w:cs="Calibri"/>
                <w:b/>
                <w:sz w:val="20"/>
                <w:szCs w:val="20"/>
                <w:lang w:val="en-GB"/>
              </w:rPr>
              <w:t>Code</w:t>
            </w:r>
          </w:p>
        </w:tc>
        <w:tc>
          <w:tcPr>
            <w:tcW w:w="6520" w:type="dxa"/>
            <w:shd w:val="clear" w:color="auto" w:fill="1E8BCD"/>
          </w:tcPr>
          <w:p w14:paraId="5F685F50" w14:textId="77777777" w:rsidR="00D95336" w:rsidRPr="00CA161F" w:rsidRDefault="00D95336" w:rsidP="00702C58">
            <w:pPr>
              <w:cnfStyle w:val="100000000000" w:firstRow="1" w:lastRow="0" w:firstColumn="0" w:lastColumn="0" w:oddVBand="0" w:evenVBand="0" w:oddHBand="0" w:evenHBand="0" w:firstRowFirstColumn="0" w:firstRowLastColumn="0" w:lastRowFirstColumn="0" w:lastRowLastColumn="0"/>
              <w:rPr>
                <w:rFonts w:ascii="Calibri" w:hAnsi="Calibri" w:cs="Calibri"/>
                <w:b/>
                <w:sz w:val="20"/>
                <w:szCs w:val="20"/>
                <w:lang w:val="en-GB"/>
              </w:rPr>
            </w:pPr>
            <w:r w:rsidRPr="00CA161F">
              <w:rPr>
                <w:rFonts w:ascii="Calibri" w:hAnsi="Calibri" w:cs="Calibri"/>
                <w:b/>
                <w:sz w:val="20"/>
                <w:szCs w:val="20"/>
                <w:lang w:val="en-GB"/>
              </w:rPr>
              <w:t>Selection Criteria</w:t>
            </w:r>
          </w:p>
        </w:tc>
      </w:tr>
      <w:tr w:rsidR="00D95336" w:rsidRPr="00CA161F" w14:paraId="2CE9B4E1" w14:textId="77777777" w:rsidTr="132F738C">
        <w:tc>
          <w:tcPr>
            <w:cnfStyle w:val="001000000000" w:firstRow="0" w:lastRow="0" w:firstColumn="1" w:lastColumn="0" w:oddVBand="0" w:evenVBand="0" w:oddHBand="0" w:evenHBand="0" w:firstRowFirstColumn="0" w:firstRowLastColumn="0" w:lastRowFirstColumn="0" w:lastRowLastColumn="0"/>
            <w:tcW w:w="1518" w:type="dxa"/>
            <w:vMerge w:val="restart"/>
            <w:shd w:val="clear" w:color="auto" w:fill="1E8BCD"/>
          </w:tcPr>
          <w:p w14:paraId="00026B90" w14:textId="77777777" w:rsidR="00D95336" w:rsidRPr="00CA161F" w:rsidRDefault="00D95336" w:rsidP="00702C58">
            <w:pPr>
              <w:rPr>
                <w:sz w:val="20"/>
                <w:szCs w:val="20"/>
                <w:lang w:val="en-GB"/>
              </w:rPr>
            </w:pPr>
            <w:r w:rsidRPr="00CA161F">
              <w:rPr>
                <w:sz w:val="20"/>
                <w:szCs w:val="20"/>
                <w:lang w:val="en-GB"/>
              </w:rPr>
              <w:t>Newly listed products</w:t>
            </w:r>
          </w:p>
        </w:tc>
        <w:tc>
          <w:tcPr>
            <w:tcW w:w="978" w:type="dxa"/>
          </w:tcPr>
          <w:p w14:paraId="77E51806" w14:textId="77777777" w:rsidR="00D95336" w:rsidRPr="00CA161F" w:rsidRDefault="00D95336" w:rsidP="00702C58">
            <w:pPr>
              <w:cnfStyle w:val="000000000000" w:firstRow="0" w:lastRow="0" w:firstColumn="0" w:lastColumn="0" w:oddVBand="0" w:evenVBand="0" w:oddHBand="0" w:evenHBand="0" w:firstRowFirstColumn="0" w:firstRowLastColumn="0" w:lastRowFirstColumn="0" w:lastRowLastColumn="0"/>
              <w:rPr>
                <w:sz w:val="20"/>
                <w:szCs w:val="20"/>
                <w:lang w:val="en-GB"/>
              </w:rPr>
            </w:pPr>
            <w:r w:rsidRPr="00CA161F">
              <w:rPr>
                <w:sz w:val="20"/>
                <w:szCs w:val="20"/>
                <w:lang w:val="en-GB"/>
              </w:rPr>
              <w:t>H1</w:t>
            </w:r>
          </w:p>
        </w:tc>
        <w:tc>
          <w:tcPr>
            <w:tcW w:w="6520" w:type="dxa"/>
          </w:tcPr>
          <w:p w14:paraId="2AD79E89" w14:textId="1B693E65" w:rsidR="00D95336" w:rsidRPr="00CA161F" w:rsidRDefault="00D95336" w:rsidP="00702C58">
            <w:pPr>
              <w:cnfStyle w:val="000000000000" w:firstRow="0" w:lastRow="0" w:firstColumn="0" w:lastColumn="0" w:oddVBand="0" w:evenVBand="0" w:oddHBand="0" w:evenHBand="0" w:firstRowFirstColumn="0" w:firstRowLastColumn="0" w:lastRowFirstColumn="0" w:lastRowLastColumn="0"/>
              <w:rPr>
                <w:sz w:val="20"/>
                <w:szCs w:val="20"/>
                <w:vertAlign w:val="superscript"/>
                <w:lang w:val="en-GB"/>
              </w:rPr>
            </w:pPr>
            <w:r w:rsidRPr="00CA161F">
              <w:rPr>
                <w:sz w:val="20"/>
                <w:szCs w:val="20"/>
                <w:lang w:val="en-GB"/>
              </w:rPr>
              <w:t xml:space="preserve">Estimated peak annual sales are ≥ ¥10 </w:t>
            </w:r>
            <w:r w:rsidR="00875453" w:rsidRPr="00CA161F">
              <w:rPr>
                <w:sz w:val="20"/>
                <w:szCs w:val="20"/>
                <w:lang w:val="en-GB"/>
              </w:rPr>
              <w:t>b</w:t>
            </w:r>
            <w:r w:rsidRPr="00CA161F">
              <w:rPr>
                <w:sz w:val="20"/>
                <w:szCs w:val="20"/>
                <w:lang w:val="en-GB"/>
              </w:rPr>
              <w:t>illion</w:t>
            </w:r>
            <w:r w:rsidRPr="00CA161F">
              <w:rPr>
                <w:sz w:val="20"/>
                <w:szCs w:val="20"/>
                <w:vertAlign w:val="superscript"/>
                <w:lang w:val="en-GB"/>
              </w:rPr>
              <w:t>a</w:t>
            </w:r>
          </w:p>
        </w:tc>
      </w:tr>
      <w:tr w:rsidR="00D95336" w:rsidRPr="00CA161F" w14:paraId="42EDB6CF" w14:textId="77777777" w:rsidTr="37CCDD1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18" w:type="dxa"/>
            <w:vMerge/>
          </w:tcPr>
          <w:p w14:paraId="1CCCDDAD" w14:textId="77777777" w:rsidR="00D95336" w:rsidRPr="00CA161F" w:rsidRDefault="00D95336" w:rsidP="00702C58">
            <w:pPr>
              <w:rPr>
                <w:sz w:val="20"/>
                <w:szCs w:val="20"/>
                <w:lang w:val="en-GB"/>
              </w:rPr>
            </w:pPr>
          </w:p>
        </w:tc>
        <w:tc>
          <w:tcPr>
            <w:tcW w:w="978" w:type="dxa"/>
          </w:tcPr>
          <w:p w14:paraId="7A6109B0" w14:textId="77777777" w:rsidR="00D95336" w:rsidRPr="00CA161F" w:rsidRDefault="00D95336" w:rsidP="00702C58">
            <w:pPr>
              <w:cnfStyle w:val="000000010000" w:firstRow="0" w:lastRow="0" w:firstColumn="0" w:lastColumn="0" w:oddVBand="0" w:evenVBand="0" w:oddHBand="0" w:evenHBand="1" w:firstRowFirstColumn="0" w:firstRowLastColumn="0" w:lastRowFirstColumn="0" w:lastRowLastColumn="0"/>
              <w:rPr>
                <w:sz w:val="20"/>
                <w:szCs w:val="20"/>
                <w:lang w:val="en-GB"/>
              </w:rPr>
            </w:pPr>
            <w:r w:rsidRPr="00CA161F">
              <w:rPr>
                <w:sz w:val="20"/>
                <w:szCs w:val="20"/>
                <w:lang w:val="en-GB"/>
              </w:rPr>
              <w:t>H2</w:t>
            </w:r>
          </w:p>
        </w:tc>
        <w:tc>
          <w:tcPr>
            <w:tcW w:w="6520" w:type="dxa"/>
          </w:tcPr>
          <w:p w14:paraId="77BDAEF4" w14:textId="13107021" w:rsidR="00D95336" w:rsidRPr="00CA161F" w:rsidRDefault="00D95336" w:rsidP="00702C58">
            <w:pPr>
              <w:cnfStyle w:val="000000010000" w:firstRow="0" w:lastRow="0" w:firstColumn="0" w:lastColumn="0" w:oddVBand="0" w:evenVBand="0" w:oddHBand="0" w:evenHBand="1" w:firstRowFirstColumn="0" w:firstRowLastColumn="0" w:lastRowFirstColumn="0" w:lastRowLastColumn="0"/>
              <w:rPr>
                <w:sz w:val="20"/>
                <w:szCs w:val="20"/>
                <w:lang w:val="en-GB"/>
              </w:rPr>
            </w:pPr>
            <w:r w:rsidRPr="00CA161F">
              <w:rPr>
                <w:sz w:val="20"/>
                <w:szCs w:val="20"/>
                <w:lang w:val="en-GB"/>
              </w:rPr>
              <w:t>Estimated peak annual sales between ¥5 billion</w:t>
            </w:r>
            <w:r w:rsidRPr="00CA161F">
              <w:rPr>
                <w:sz w:val="20"/>
                <w:szCs w:val="20"/>
                <w:vertAlign w:val="superscript"/>
                <w:lang w:val="en-GB"/>
              </w:rPr>
              <w:t>b</w:t>
            </w:r>
            <w:r w:rsidRPr="00CA161F">
              <w:rPr>
                <w:sz w:val="20"/>
                <w:szCs w:val="20"/>
                <w:lang w:val="en-GB"/>
              </w:rPr>
              <w:t xml:space="preserve"> and ¥10 </w:t>
            </w:r>
            <w:r w:rsidR="00875453" w:rsidRPr="00CA161F">
              <w:rPr>
                <w:sz w:val="20"/>
                <w:szCs w:val="20"/>
                <w:lang w:val="en-GB"/>
              </w:rPr>
              <w:t>b</w:t>
            </w:r>
            <w:r w:rsidRPr="00CA161F">
              <w:rPr>
                <w:sz w:val="20"/>
                <w:szCs w:val="20"/>
                <w:lang w:val="en-GB"/>
              </w:rPr>
              <w:t>illion</w:t>
            </w:r>
            <w:r w:rsidRPr="00CA161F">
              <w:rPr>
                <w:sz w:val="20"/>
                <w:szCs w:val="20"/>
                <w:vertAlign w:val="superscript"/>
                <w:lang w:val="en-GB"/>
              </w:rPr>
              <w:t>a</w:t>
            </w:r>
          </w:p>
        </w:tc>
      </w:tr>
      <w:tr w:rsidR="00D95336" w:rsidRPr="00CA161F" w14:paraId="7178945D" w14:textId="77777777" w:rsidTr="37CCDD10">
        <w:tc>
          <w:tcPr>
            <w:cnfStyle w:val="001000000000" w:firstRow="0" w:lastRow="0" w:firstColumn="1" w:lastColumn="0" w:oddVBand="0" w:evenVBand="0" w:oddHBand="0" w:evenHBand="0" w:firstRowFirstColumn="0" w:firstRowLastColumn="0" w:lastRowFirstColumn="0" w:lastRowLastColumn="0"/>
            <w:tcW w:w="1518" w:type="dxa"/>
            <w:vMerge/>
          </w:tcPr>
          <w:p w14:paraId="348AF9E4" w14:textId="77777777" w:rsidR="00D95336" w:rsidRPr="00CA161F" w:rsidRDefault="00D95336" w:rsidP="00702C58">
            <w:pPr>
              <w:rPr>
                <w:sz w:val="20"/>
                <w:szCs w:val="20"/>
                <w:lang w:val="en-GB"/>
              </w:rPr>
            </w:pPr>
          </w:p>
        </w:tc>
        <w:tc>
          <w:tcPr>
            <w:tcW w:w="978" w:type="dxa"/>
          </w:tcPr>
          <w:p w14:paraId="52A17FBC" w14:textId="77777777" w:rsidR="00D95336" w:rsidRPr="00CA161F" w:rsidRDefault="00D95336" w:rsidP="00702C58">
            <w:pPr>
              <w:cnfStyle w:val="000000000000" w:firstRow="0" w:lastRow="0" w:firstColumn="0" w:lastColumn="0" w:oddVBand="0" w:evenVBand="0" w:oddHBand="0" w:evenHBand="0" w:firstRowFirstColumn="0" w:firstRowLastColumn="0" w:lastRowFirstColumn="0" w:lastRowLastColumn="0"/>
              <w:rPr>
                <w:sz w:val="20"/>
                <w:szCs w:val="20"/>
                <w:lang w:val="en-GB"/>
              </w:rPr>
            </w:pPr>
            <w:r w:rsidRPr="00CA161F">
              <w:rPr>
                <w:sz w:val="20"/>
                <w:szCs w:val="20"/>
                <w:lang w:val="en-GB"/>
              </w:rPr>
              <w:t>H3</w:t>
            </w:r>
          </w:p>
        </w:tc>
        <w:tc>
          <w:tcPr>
            <w:tcW w:w="6520" w:type="dxa"/>
          </w:tcPr>
          <w:p w14:paraId="18AE3C52" w14:textId="77777777" w:rsidR="00D95336" w:rsidRPr="00CA161F" w:rsidRDefault="00D95336" w:rsidP="00957584">
            <w:pPr>
              <w:pStyle w:val="ListParagraph"/>
              <w:numPr>
                <w:ilvl w:val="0"/>
                <w:numId w:val="26"/>
              </w:numPr>
              <w:cnfStyle w:val="000000000000" w:firstRow="0" w:lastRow="0" w:firstColumn="0" w:lastColumn="0" w:oddVBand="0" w:evenVBand="0" w:oddHBand="0" w:evenHBand="0" w:firstRowFirstColumn="0" w:firstRowLastColumn="0" w:lastRowFirstColumn="0" w:lastRowLastColumn="0"/>
              <w:rPr>
                <w:lang w:val="en-GB"/>
              </w:rPr>
            </w:pPr>
            <w:r w:rsidRPr="00CA161F">
              <w:rPr>
                <w:lang w:val="en-GB"/>
              </w:rPr>
              <w:t>Products with notably high prices</w:t>
            </w:r>
          </w:p>
          <w:p w14:paraId="6F4CD447" w14:textId="77777777" w:rsidR="00D95336" w:rsidRPr="00CA161F" w:rsidRDefault="00D95336" w:rsidP="00957584">
            <w:pPr>
              <w:pStyle w:val="ListParagraph"/>
              <w:numPr>
                <w:ilvl w:val="0"/>
                <w:numId w:val="26"/>
              </w:numPr>
              <w:cnfStyle w:val="000000000000" w:firstRow="0" w:lastRow="0" w:firstColumn="0" w:lastColumn="0" w:oddVBand="0" w:evenVBand="0" w:oddHBand="0" w:evenHBand="0" w:firstRowFirstColumn="0" w:firstRowLastColumn="0" w:lastRowFirstColumn="0" w:lastRowLastColumn="0"/>
              <w:rPr>
                <w:lang w:val="en-GB"/>
              </w:rPr>
            </w:pPr>
            <w:r w:rsidRPr="00CA161F">
              <w:rPr>
                <w:lang w:val="en-GB"/>
              </w:rPr>
              <w:t>Products requiring re-evaluation because robust new evidence with a major effect on evaluation has been discovered after completion of cost-effectiveness evaluation</w:t>
            </w:r>
          </w:p>
        </w:tc>
      </w:tr>
      <w:tr w:rsidR="00D95336" w:rsidRPr="00CA161F" w14:paraId="65056E29" w14:textId="77777777" w:rsidTr="132F738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18" w:type="dxa"/>
            <w:shd w:val="clear" w:color="auto" w:fill="1E8BCD"/>
          </w:tcPr>
          <w:p w14:paraId="39E09544" w14:textId="77777777" w:rsidR="00D95336" w:rsidRPr="00CA161F" w:rsidRDefault="00D95336" w:rsidP="00702C58">
            <w:pPr>
              <w:rPr>
                <w:sz w:val="20"/>
                <w:szCs w:val="20"/>
                <w:lang w:val="en-GB"/>
              </w:rPr>
            </w:pPr>
            <w:r w:rsidRPr="00CA161F">
              <w:rPr>
                <w:sz w:val="20"/>
                <w:szCs w:val="20"/>
                <w:lang w:val="en-GB"/>
              </w:rPr>
              <w:t>Already listed products</w:t>
            </w:r>
          </w:p>
        </w:tc>
        <w:tc>
          <w:tcPr>
            <w:tcW w:w="978" w:type="dxa"/>
          </w:tcPr>
          <w:p w14:paraId="77CB37AD" w14:textId="77777777" w:rsidR="00D95336" w:rsidRPr="00CA161F" w:rsidRDefault="00D95336" w:rsidP="00702C58">
            <w:pPr>
              <w:cnfStyle w:val="000000010000" w:firstRow="0" w:lastRow="0" w:firstColumn="0" w:lastColumn="0" w:oddVBand="0" w:evenVBand="0" w:oddHBand="0" w:evenHBand="1" w:firstRowFirstColumn="0" w:firstRowLastColumn="0" w:lastRowFirstColumn="0" w:lastRowLastColumn="0"/>
              <w:rPr>
                <w:sz w:val="20"/>
                <w:szCs w:val="20"/>
                <w:lang w:val="en-GB"/>
              </w:rPr>
            </w:pPr>
            <w:r w:rsidRPr="00CA161F">
              <w:rPr>
                <w:sz w:val="20"/>
                <w:szCs w:val="20"/>
                <w:lang w:val="en-GB"/>
              </w:rPr>
              <w:t>H4</w:t>
            </w:r>
          </w:p>
        </w:tc>
        <w:tc>
          <w:tcPr>
            <w:tcW w:w="6520" w:type="dxa"/>
          </w:tcPr>
          <w:p w14:paraId="4A23F038" w14:textId="77777777" w:rsidR="00D95336" w:rsidRPr="00CA161F" w:rsidRDefault="00D95336" w:rsidP="00957584">
            <w:pPr>
              <w:pStyle w:val="ListParagraph"/>
              <w:numPr>
                <w:ilvl w:val="0"/>
                <w:numId w:val="27"/>
              </w:numPr>
              <w:cnfStyle w:val="000000010000" w:firstRow="0" w:lastRow="0" w:firstColumn="0" w:lastColumn="0" w:oddVBand="0" w:evenVBand="0" w:oddHBand="0" w:evenHBand="1" w:firstRowFirstColumn="0" w:firstRowLastColumn="0" w:lastRowFirstColumn="0" w:lastRowLastColumn="0"/>
              <w:rPr>
                <w:lang w:val="en-GB"/>
              </w:rPr>
            </w:pPr>
            <w:r w:rsidRPr="00CA161F">
              <w:rPr>
                <w:lang w:val="en-GB"/>
              </w:rPr>
              <w:t>Products with annual sales of ¥100 billion or greater</w:t>
            </w:r>
          </w:p>
          <w:p w14:paraId="5FC35E4C" w14:textId="77777777" w:rsidR="00D95336" w:rsidRPr="00CA161F" w:rsidRDefault="00D95336" w:rsidP="00957584">
            <w:pPr>
              <w:pStyle w:val="ListParagraph"/>
              <w:numPr>
                <w:ilvl w:val="0"/>
                <w:numId w:val="27"/>
              </w:numPr>
              <w:cnfStyle w:val="000000010000" w:firstRow="0" w:lastRow="0" w:firstColumn="0" w:lastColumn="0" w:oddVBand="0" w:evenVBand="0" w:oddHBand="0" w:evenHBand="1" w:firstRowFirstColumn="0" w:firstRowLastColumn="0" w:lastRowFirstColumn="0" w:lastRowLastColumn="0"/>
              <w:rPr>
                <w:lang w:val="en-GB"/>
              </w:rPr>
            </w:pPr>
            <w:r w:rsidRPr="00CA161F">
              <w:rPr>
                <w:lang w:val="en-GB"/>
              </w:rPr>
              <w:t>H3 selection criteria</w:t>
            </w:r>
          </w:p>
        </w:tc>
      </w:tr>
      <w:tr w:rsidR="00D95336" w:rsidRPr="00CA161F" w14:paraId="68761259" w14:textId="77777777" w:rsidTr="132F738C">
        <w:tc>
          <w:tcPr>
            <w:cnfStyle w:val="001000000000" w:firstRow="0" w:lastRow="0" w:firstColumn="1" w:lastColumn="0" w:oddVBand="0" w:evenVBand="0" w:oddHBand="0" w:evenHBand="0" w:firstRowFirstColumn="0" w:firstRowLastColumn="0" w:lastRowFirstColumn="0" w:lastRowLastColumn="0"/>
            <w:tcW w:w="1518" w:type="dxa"/>
            <w:shd w:val="clear" w:color="auto" w:fill="1E8BCD"/>
          </w:tcPr>
          <w:p w14:paraId="1C6011F5" w14:textId="77777777" w:rsidR="00D95336" w:rsidRPr="00CA161F" w:rsidRDefault="00D95336" w:rsidP="00702C58">
            <w:pPr>
              <w:rPr>
                <w:sz w:val="20"/>
                <w:szCs w:val="20"/>
                <w:lang w:val="en-GB"/>
              </w:rPr>
            </w:pPr>
            <w:r w:rsidRPr="00CA161F">
              <w:rPr>
                <w:sz w:val="20"/>
                <w:szCs w:val="20"/>
                <w:lang w:val="en-GB"/>
              </w:rPr>
              <w:t>Similar products</w:t>
            </w:r>
          </w:p>
        </w:tc>
        <w:tc>
          <w:tcPr>
            <w:tcW w:w="978" w:type="dxa"/>
          </w:tcPr>
          <w:p w14:paraId="2C9DAF88" w14:textId="77777777" w:rsidR="00D95336" w:rsidRPr="00CA161F" w:rsidRDefault="00D95336" w:rsidP="00702C58">
            <w:pPr>
              <w:cnfStyle w:val="000000000000" w:firstRow="0" w:lastRow="0" w:firstColumn="0" w:lastColumn="0" w:oddVBand="0" w:evenVBand="0" w:oddHBand="0" w:evenHBand="0" w:firstRowFirstColumn="0" w:firstRowLastColumn="0" w:lastRowFirstColumn="0" w:lastRowLastColumn="0"/>
              <w:rPr>
                <w:sz w:val="20"/>
                <w:szCs w:val="20"/>
                <w:lang w:val="en-GB"/>
              </w:rPr>
            </w:pPr>
            <w:r w:rsidRPr="00CA161F">
              <w:rPr>
                <w:sz w:val="20"/>
                <w:szCs w:val="20"/>
                <w:lang w:val="en-GB"/>
              </w:rPr>
              <w:t>H5</w:t>
            </w:r>
          </w:p>
        </w:tc>
        <w:tc>
          <w:tcPr>
            <w:tcW w:w="6520" w:type="dxa"/>
          </w:tcPr>
          <w:p w14:paraId="3863D1D8" w14:textId="77777777" w:rsidR="00D95336" w:rsidRPr="00CA161F" w:rsidRDefault="00D95336" w:rsidP="00702C58">
            <w:pPr>
              <w:cnfStyle w:val="000000000000" w:firstRow="0" w:lastRow="0" w:firstColumn="0" w:lastColumn="0" w:oddVBand="0" w:evenVBand="0" w:oddHBand="0" w:evenHBand="0" w:firstRowFirstColumn="0" w:firstRowLastColumn="0" w:lastRowFirstColumn="0" w:lastRowLastColumn="0"/>
              <w:rPr>
                <w:sz w:val="20"/>
                <w:szCs w:val="20"/>
                <w:lang w:val="en-GB"/>
              </w:rPr>
            </w:pPr>
            <w:r w:rsidRPr="00CA161F">
              <w:rPr>
                <w:sz w:val="20"/>
                <w:szCs w:val="20"/>
                <w:lang w:val="en-GB"/>
              </w:rPr>
              <w:t>Products whose prices are calculated comparatively against those categorised in the H1 to H4 classifications</w:t>
            </w:r>
          </w:p>
        </w:tc>
      </w:tr>
    </w:tbl>
    <w:p w14:paraId="2197FE09" w14:textId="1FAEC30E" w:rsidR="004A3831" w:rsidRPr="00221992" w:rsidRDefault="00D95336" w:rsidP="00533CF1">
      <w:pPr>
        <w:pStyle w:val="TableNotes"/>
        <w:rPr>
          <w:lang w:val="en-GB"/>
        </w:rPr>
      </w:pPr>
      <w:r w:rsidRPr="00221992">
        <w:rPr>
          <w:lang w:val="en-GB"/>
        </w:rPr>
        <w:t xml:space="preserve">Source: </w:t>
      </w:r>
      <w:r w:rsidR="004A3831" w:rsidRPr="00221992">
        <w:rPr>
          <w:lang w:val="en-GB"/>
        </w:rPr>
        <w:tab/>
      </w:r>
      <w:r w:rsidRPr="00221992">
        <w:rPr>
          <w:lang w:val="en-GB"/>
        </w:rPr>
        <w:t>Adapted from Table 1, p. 45, Hasegawa, M. et al. (2020)</w:t>
      </w:r>
    </w:p>
    <w:p w14:paraId="14AADA18" w14:textId="2B3090AA" w:rsidR="00D95336" w:rsidRPr="00221992" w:rsidRDefault="004A3831" w:rsidP="00533CF1">
      <w:pPr>
        <w:pStyle w:val="TableNotes"/>
        <w:rPr>
          <w:lang w:val="en-GB"/>
        </w:rPr>
      </w:pPr>
      <w:r w:rsidRPr="00221992">
        <w:rPr>
          <w:lang w:val="en-GB"/>
        </w:rPr>
        <w:t xml:space="preserve">Notes: </w:t>
      </w:r>
      <w:r w:rsidRPr="00221992">
        <w:rPr>
          <w:lang w:val="en-GB"/>
        </w:rPr>
        <w:tab/>
      </w:r>
      <w:r w:rsidR="00D95336" w:rsidRPr="00221992">
        <w:rPr>
          <w:vertAlign w:val="superscript"/>
          <w:lang w:val="en-GB"/>
        </w:rPr>
        <w:t>a</w:t>
      </w:r>
      <w:r w:rsidR="00D95336" w:rsidRPr="00221992">
        <w:rPr>
          <w:lang w:val="en-GB"/>
        </w:rPr>
        <w:t xml:space="preserve"> Approximately </w:t>
      </w:r>
      <w:r w:rsidR="003406A4">
        <w:rPr>
          <w:lang w:val="en-GB"/>
        </w:rPr>
        <w:t>AUD</w:t>
      </w:r>
      <w:r w:rsidR="00D95336" w:rsidRPr="00221992">
        <w:rPr>
          <w:lang w:val="en-GB"/>
        </w:rPr>
        <w:t>$100</w:t>
      </w:r>
      <w:r w:rsidR="003406A4">
        <w:rPr>
          <w:lang w:val="en-GB"/>
        </w:rPr>
        <w:t xml:space="preserve"> million</w:t>
      </w:r>
      <w:r w:rsidRPr="00221992">
        <w:rPr>
          <w:lang w:val="en-GB"/>
        </w:rPr>
        <w:t xml:space="preserve">. </w:t>
      </w:r>
      <w:r w:rsidR="00D95336" w:rsidRPr="00221992">
        <w:rPr>
          <w:vertAlign w:val="superscript"/>
          <w:lang w:val="en-GB"/>
        </w:rPr>
        <w:t>b</w:t>
      </w:r>
      <w:r w:rsidR="00D95336" w:rsidRPr="00221992">
        <w:rPr>
          <w:lang w:val="en-GB"/>
        </w:rPr>
        <w:t xml:space="preserve"> Approximately </w:t>
      </w:r>
      <w:r w:rsidR="003406A4">
        <w:rPr>
          <w:lang w:val="en-GB"/>
        </w:rPr>
        <w:t>AUD</w:t>
      </w:r>
      <w:r w:rsidR="00D95336" w:rsidRPr="00221992">
        <w:rPr>
          <w:lang w:val="en-GB"/>
        </w:rPr>
        <w:t>$50</w:t>
      </w:r>
      <w:r w:rsidR="003406A4">
        <w:rPr>
          <w:lang w:val="en-GB"/>
        </w:rPr>
        <w:t xml:space="preserve"> million</w:t>
      </w:r>
    </w:p>
    <w:p w14:paraId="38DD1A3A" w14:textId="2247B967" w:rsidR="009E4BCB" w:rsidRPr="00221992" w:rsidRDefault="00D95336" w:rsidP="009E4BCB">
      <w:pPr>
        <w:rPr>
          <w:lang w:val="en-GB"/>
        </w:rPr>
      </w:pPr>
      <w:r w:rsidRPr="00221992">
        <w:rPr>
          <w:lang w:val="en-GB"/>
        </w:rPr>
        <w:t>The scope of the price adjustment target is limited to part of the product price: the utility premium and the operating profit, as described in</w:t>
      </w:r>
      <w:r w:rsidR="009E4BCB" w:rsidRPr="00221992">
        <w:rPr>
          <w:lang w:val="en-GB"/>
        </w:rPr>
        <w:t xml:space="preserve"> </w:t>
      </w:r>
      <w:r w:rsidR="009E4BCB" w:rsidRPr="00221992">
        <w:rPr>
          <w:lang w:val="en-GB"/>
        </w:rPr>
        <w:fldChar w:fldCharType="begin"/>
      </w:r>
      <w:r w:rsidR="009E4BCB" w:rsidRPr="00221992">
        <w:rPr>
          <w:lang w:val="en-GB"/>
        </w:rPr>
        <w:instrText xml:space="preserve"> REF _Ref143591383 \h </w:instrText>
      </w:r>
      <w:r w:rsidR="009E4BCB" w:rsidRPr="00221992">
        <w:rPr>
          <w:lang w:val="en-GB"/>
        </w:rPr>
      </w:r>
      <w:r w:rsidR="009E4BCB" w:rsidRPr="00221992">
        <w:rPr>
          <w:lang w:val="en-GB"/>
        </w:rPr>
        <w:fldChar w:fldCharType="separate"/>
      </w:r>
      <w:r w:rsidR="000E11E7" w:rsidRPr="00221992">
        <w:rPr>
          <w:lang w:val="en-GB"/>
        </w:rPr>
        <w:t xml:space="preserve">Figure </w:t>
      </w:r>
      <w:r w:rsidR="000E11E7">
        <w:rPr>
          <w:noProof/>
          <w:lang w:val="en-GB"/>
        </w:rPr>
        <w:t>4</w:t>
      </w:r>
      <w:r w:rsidR="009E4BCB" w:rsidRPr="00221992">
        <w:rPr>
          <w:lang w:val="en-GB"/>
        </w:rPr>
        <w:fldChar w:fldCharType="end"/>
      </w:r>
      <w:r w:rsidRPr="00221992">
        <w:rPr>
          <w:lang w:val="en-GB"/>
        </w:rPr>
        <w:t xml:space="preserve">. </w:t>
      </w:r>
    </w:p>
    <w:p w14:paraId="15440800" w14:textId="46F5BAA5" w:rsidR="009E4BCB" w:rsidRPr="00221992" w:rsidRDefault="009E4BCB" w:rsidP="001721AB">
      <w:pPr>
        <w:pStyle w:val="Caption"/>
        <w:rPr>
          <w:lang w:val="en-GB"/>
        </w:rPr>
      </w:pPr>
      <w:bookmarkStart w:id="65" w:name="_Ref143591383"/>
      <w:bookmarkStart w:id="66" w:name="_Toc162950911"/>
      <w:r w:rsidRPr="00221992">
        <w:rPr>
          <w:lang w:val="en-GB"/>
        </w:rPr>
        <w:t xml:space="preserve">Figure </w:t>
      </w:r>
      <w:r w:rsidR="003F72DF" w:rsidRPr="00221992">
        <w:rPr>
          <w:lang w:val="en-GB"/>
        </w:rPr>
        <w:fldChar w:fldCharType="begin"/>
      </w:r>
      <w:r w:rsidR="003F72DF" w:rsidRPr="00221992">
        <w:rPr>
          <w:lang w:val="en-GB"/>
        </w:rPr>
        <w:instrText xml:space="preserve"> SEQ Figure \* ARABIC </w:instrText>
      </w:r>
      <w:r w:rsidR="003F72DF" w:rsidRPr="00221992">
        <w:rPr>
          <w:lang w:val="en-GB"/>
        </w:rPr>
        <w:fldChar w:fldCharType="separate"/>
      </w:r>
      <w:r w:rsidR="000E11E7">
        <w:rPr>
          <w:noProof/>
          <w:lang w:val="en-GB"/>
        </w:rPr>
        <w:t>4</w:t>
      </w:r>
      <w:r w:rsidR="003F72DF" w:rsidRPr="00221992">
        <w:rPr>
          <w:noProof/>
          <w:lang w:val="en-GB"/>
        </w:rPr>
        <w:fldChar w:fldCharType="end"/>
      </w:r>
      <w:bookmarkEnd w:id="65"/>
      <w:r w:rsidRPr="00221992">
        <w:rPr>
          <w:lang w:val="en-GB"/>
        </w:rPr>
        <w:t xml:space="preserve">. </w:t>
      </w:r>
      <w:r w:rsidR="008C59BB" w:rsidRPr="00221992">
        <w:rPr>
          <w:lang w:val="en-GB"/>
        </w:rPr>
        <w:t>Price adjustment t</w:t>
      </w:r>
      <w:r w:rsidRPr="00221992">
        <w:rPr>
          <w:lang w:val="en-GB"/>
        </w:rPr>
        <w:t>argets</w:t>
      </w:r>
      <w:r w:rsidR="008C59BB" w:rsidRPr="00221992">
        <w:rPr>
          <w:lang w:val="en-GB"/>
        </w:rPr>
        <w:t>—</w:t>
      </w:r>
      <w:r w:rsidRPr="00221992">
        <w:rPr>
          <w:lang w:val="en-GB"/>
        </w:rPr>
        <w:t>similar efficacy comparison and cost calculation method</w:t>
      </w:r>
      <w:r w:rsidR="008C59BB" w:rsidRPr="00221992">
        <w:rPr>
          <w:lang w:val="en-GB"/>
        </w:rPr>
        <w:t>s</w:t>
      </w:r>
      <w:bookmarkEnd w:id="66"/>
    </w:p>
    <w:p w14:paraId="30A67D03" w14:textId="7D44011D" w:rsidR="009E4BCB" w:rsidRPr="00221992" w:rsidRDefault="00D95336" w:rsidP="00533CF1">
      <w:pPr>
        <w:pStyle w:val="TableNotes"/>
        <w:rPr>
          <w:lang w:val="en-GB"/>
        </w:rPr>
      </w:pPr>
      <w:r w:rsidRPr="00221992">
        <w:rPr>
          <w:noProof/>
          <w:lang w:val="en-GB"/>
        </w:rPr>
        <w:drawing>
          <wp:inline distT="0" distB="0" distL="0" distR="0" wp14:anchorId="5BC32A40" wp14:editId="04FD51A7">
            <wp:extent cx="4673548" cy="5932806"/>
            <wp:effectExtent l="0" t="0" r="0" b="0"/>
            <wp:docPr id="152871156" name="Picture 152871156" descr="diagram of the targets of price adjustments in similar efficacy comparison method and the cost calculation meth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871156"/>
                    <pic:cNvPicPr/>
                  </pic:nvPicPr>
                  <pic:blipFill>
                    <a:blip r:embed="rId22">
                      <a:extLst>
                        <a:ext uri="{28A0092B-C50C-407E-A947-70E740481C1C}">
                          <a14:useLocalDpi xmlns:a14="http://schemas.microsoft.com/office/drawing/2010/main" val="0"/>
                        </a:ext>
                      </a:extLst>
                    </a:blip>
                    <a:stretch>
                      <a:fillRect/>
                    </a:stretch>
                  </pic:blipFill>
                  <pic:spPr>
                    <a:xfrm>
                      <a:off x="0" y="0"/>
                      <a:ext cx="4673548" cy="5932806"/>
                    </a:xfrm>
                    <a:prstGeom prst="rect">
                      <a:avLst/>
                    </a:prstGeom>
                  </pic:spPr>
                </pic:pic>
              </a:graphicData>
            </a:graphic>
          </wp:inline>
        </w:drawing>
      </w:r>
    </w:p>
    <w:p w14:paraId="09ECCA55" w14:textId="002FE6B1" w:rsidR="009E4BCB" w:rsidRPr="00221992" w:rsidRDefault="00D95336" w:rsidP="00533CF1">
      <w:pPr>
        <w:pStyle w:val="TableNotes"/>
        <w:rPr>
          <w:lang w:val="en-GB"/>
        </w:rPr>
      </w:pPr>
      <w:r w:rsidRPr="00221992">
        <w:rPr>
          <w:lang w:val="en-GB"/>
        </w:rPr>
        <w:t xml:space="preserve">Source: </w:t>
      </w:r>
      <w:r w:rsidR="009E4BCB" w:rsidRPr="00221992">
        <w:rPr>
          <w:lang w:val="en-GB"/>
        </w:rPr>
        <w:tab/>
      </w:r>
      <w:r w:rsidRPr="00221992">
        <w:rPr>
          <w:lang w:val="en-GB"/>
        </w:rPr>
        <w:t>Figure 2, p</w:t>
      </w:r>
      <w:r w:rsidR="00E9036D" w:rsidRPr="00221992">
        <w:rPr>
          <w:lang w:val="en-GB"/>
        </w:rPr>
        <w:t>.</w:t>
      </w:r>
      <w:r w:rsidRPr="00221992">
        <w:rPr>
          <w:lang w:val="en-GB"/>
        </w:rPr>
        <w:t xml:space="preserve"> 48, Hasegawa, M. et al. (2020)</w:t>
      </w:r>
    </w:p>
    <w:p w14:paraId="5F536AD7" w14:textId="363BACE3" w:rsidR="00D95336" w:rsidRPr="00221992" w:rsidRDefault="009E4BCB" w:rsidP="00533CF1">
      <w:pPr>
        <w:pStyle w:val="TableNotes"/>
        <w:rPr>
          <w:sz w:val="22"/>
          <w:szCs w:val="22"/>
          <w:lang w:val="en-GB"/>
        </w:rPr>
      </w:pPr>
      <w:r w:rsidRPr="00221992">
        <w:rPr>
          <w:lang w:val="en-GB"/>
        </w:rPr>
        <w:t xml:space="preserve">Notes: </w:t>
      </w:r>
      <w:r w:rsidRPr="00221992">
        <w:rPr>
          <w:lang w:val="en-GB"/>
        </w:rPr>
        <w:tab/>
      </w:r>
      <w:r w:rsidR="00D95336" w:rsidRPr="00221992">
        <w:rPr>
          <w:lang w:val="en-GB"/>
        </w:rPr>
        <w:t>*In the similar comparison method, price adjustment targets by cost-effectiveness evaluation are limited to utility premiums. †If a new product is appreciated by the existing pricing rules as being highly innovative in terms of efficacy and safety, a utility premium is added to the comparator</w:t>
      </w:r>
      <w:r w:rsidR="00551786">
        <w:rPr>
          <w:lang w:val="en-GB"/>
        </w:rPr>
        <w:t>’</w:t>
      </w:r>
      <w:r w:rsidR="00D95336" w:rsidRPr="00221992">
        <w:rPr>
          <w:lang w:val="en-GB"/>
        </w:rPr>
        <w:t>s daily price in the similar efficacy comparison method and to its total price in the cost calculation method. Utility premiums range from 5% to 120% according to the degree of its innovation. ‡In the cost calculation method, a price adjustment target by cost-effectiveness evaluation is limited to utility premiums and operating profits. If a disclosure rate is 50% or greater, the operating profit is not designated as a price adjustment target. On the other hand, if a disclosure rate is under 50%, the operating profit is added to the price adjustment target owing to their poor transparency of pricing. §The disclosure rate in the cost calculation method is the degree of disclosure of cost details by manufacturers, such as manufacturing, research and development, administration, and marketing.</w:t>
      </w:r>
    </w:p>
    <w:p w14:paraId="33C743AF" w14:textId="6D5371C6" w:rsidR="00D95336" w:rsidRPr="00221992" w:rsidRDefault="00D95336" w:rsidP="009E4BCB">
      <w:pPr>
        <w:rPr>
          <w:lang w:val="en-GB"/>
        </w:rPr>
      </w:pPr>
      <w:r w:rsidRPr="00221992">
        <w:rPr>
          <w:lang w:val="en-GB"/>
        </w:rPr>
        <w:t xml:space="preserve">The rate of price adjustments is determined by ICER per </w:t>
      </w:r>
      <w:r w:rsidR="001F0E0A" w:rsidRPr="00221992">
        <w:rPr>
          <w:lang w:val="en-GB"/>
        </w:rPr>
        <w:t>quality-adjusted life year (Q</w:t>
      </w:r>
      <w:r w:rsidRPr="00221992">
        <w:rPr>
          <w:lang w:val="en-GB"/>
        </w:rPr>
        <w:t>ALY</w:t>
      </w:r>
      <w:r w:rsidR="001F0E0A" w:rsidRPr="00221992">
        <w:rPr>
          <w:lang w:val="en-GB"/>
        </w:rPr>
        <w:t>)</w:t>
      </w:r>
      <w:r w:rsidRPr="00221992">
        <w:rPr>
          <w:lang w:val="en-GB"/>
        </w:rPr>
        <w:t xml:space="preserve"> thresholds, as described in</w:t>
      </w:r>
      <w:r w:rsidR="009E4BCB" w:rsidRPr="00221992">
        <w:rPr>
          <w:lang w:val="en-GB"/>
        </w:rPr>
        <w:t xml:space="preserve"> </w:t>
      </w:r>
      <w:r w:rsidR="009E4BCB" w:rsidRPr="00221992">
        <w:rPr>
          <w:lang w:val="en-GB"/>
        </w:rPr>
        <w:fldChar w:fldCharType="begin"/>
      </w:r>
      <w:r w:rsidR="009E4BCB" w:rsidRPr="00221992">
        <w:rPr>
          <w:lang w:val="en-GB"/>
        </w:rPr>
        <w:instrText xml:space="preserve"> REF _Ref143591458 \h </w:instrText>
      </w:r>
      <w:r w:rsidR="009E4BCB" w:rsidRPr="00221992">
        <w:rPr>
          <w:lang w:val="en-GB"/>
        </w:rPr>
      </w:r>
      <w:r w:rsidR="009E4BCB" w:rsidRPr="00221992">
        <w:rPr>
          <w:lang w:val="en-GB"/>
        </w:rPr>
        <w:fldChar w:fldCharType="separate"/>
      </w:r>
      <w:r w:rsidR="000E11E7" w:rsidRPr="00221992">
        <w:rPr>
          <w:lang w:val="en-GB"/>
        </w:rPr>
        <w:t xml:space="preserve">Figure </w:t>
      </w:r>
      <w:r w:rsidR="000E11E7">
        <w:rPr>
          <w:noProof/>
          <w:lang w:val="en-GB"/>
        </w:rPr>
        <w:t>5</w:t>
      </w:r>
      <w:r w:rsidR="009E4BCB" w:rsidRPr="00221992">
        <w:rPr>
          <w:lang w:val="en-GB"/>
        </w:rPr>
        <w:fldChar w:fldCharType="end"/>
      </w:r>
      <w:r w:rsidRPr="00221992">
        <w:rPr>
          <w:lang w:val="en-GB"/>
        </w:rPr>
        <w:t>.</w:t>
      </w:r>
    </w:p>
    <w:p w14:paraId="18397B28" w14:textId="3EE4D8BC" w:rsidR="009E4BCB" w:rsidRPr="00221992" w:rsidRDefault="009E4BCB" w:rsidP="001721AB">
      <w:pPr>
        <w:pStyle w:val="Caption"/>
        <w:rPr>
          <w:lang w:val="en-GB"/>
        </w:rPr>
      </w:pPr>
      <w:bookmarkStart w:id="67" w:name="_Ref143591458"/>
      <w:bookmarkStart w:id="68" w:name="_Toc162950912"/>
      <w:r w:rsidRPr="00221992">
        <w:rPr>
          <w:lang w:val="en-GB"/>
        </w:rPr>
        <w:t xml:space="preserve">Figure </w:t>
      </w:r>
      <w:r w:rsidR="003F72DF" w:rsidRPr="00221992">
        <w:rPr>
          <w:lang w:val="en-GB"/>
        </w:rPr>
        <w:fldChar w:fldCharType="begin"/>
      </w:r>
      <w:r w:rsidR="003F72DF" w:rsidRPr="00221992">
        <w:rPr>
          <w:lang w:val="en-GB"/>
        </w:rPr>
        <w:instrText xml:space="preserve"> SEQ Figure \* ARABIC </w:instrText>
      </w:r>
      <w:r w:rsidR="003F72DF" w:rsidRPr="00221992">
        <w:rPr>
          <w:lang w:val="en-GB"/>
        </w:rPr>
        <w:fldChar w:fldCharType="separate"/>
      </w:r>
      <w:r w:rsidR="000E11E7">
        <w:rPr>
          <w:noProof/>
          <w:lang w:val="en-GB"/>
        </w:rPr>
        <w:t>5</w:t>
      </w:r>
      <w:r w:rsidR="003F72DF" w:rsidRPr="00221992">
        <w:rPr>
          <w:noProof/>
          <w:lang w:val="en-GB"/>
        </w:rPr>
        <w:fldChar w:fldCharType="end"/>
      </w:r>
      <w:bookmarkEnd w:id="67"/>
      <w:r w:rsidRPr="00221992">
        <w:rPr>
          <w:lang w:val="en-GB"/>
        </w:rPr>
        <w:t>. Rate of price adjustments for premiums and operating profits</w:t>
      </w:r>
      <w:bookmarkEnd w:id="68"/>
    </w:p>
    <w:p w14:paraId="7E7C5FC5" w14:textId="77777777" w:rsidR="00D95336" w:rsidRPr="00221992" w:rsidRDefault="00D95336" w:rsidP="00702C58">
      <w:pPr>
        <w:rPr>
          <w:lang w:val="en-GB"/>
        </w:rPr>
      </w:pPr>
      <w:r w:rsidRPr="00221992">
        <w:rPr>
          <w:noProof/>
          <w:lang w:val="en-GB"/>
        </w:rPr>
        <w:drawing>
          <wp:inline distT="0" distB="0" distL="0" distR="0" wp14:anchorId="417FF0E7" wp14:editId="4BEEE019">
            <wp:extent cx="5731510" cy="3531235"/>
            <wp:effectExtent l="0" t="0" r="0" b="0"/>
            <wp:docPr id="315089056" name="Picture 315089056" descr="a graph of the rate of price adjustments for premiums and operating profi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089056"/>
                    <pic:cNvPicPr/>
                  </pic:nvPicPr>
                  <pic:blipFill>
                    <a:blip r:embed="rId23">
                      <a:extLst>
                        <a:ext uri="{28A0092B-C50C-407E-A947-70E740481C1C}">
                          <a14:useLocalDpi xmlns:a14="http://schemas.microsoft.com/office/drawing/2010/main" val="0"/>
                        </a:ext>
                      </a:extLst>
                    </a:blip>
                    <a:stretch>
                      <a:fillRect/>
                    </a:stretch>
                  </pic:blipFill>
                  <pic:spPr>
                    <a:xfrm>
                      <a:off x="0" y="0"/>
                      <a:ext cx="5731510" cy="3531235"/>
                    </a:xfrm>
                    <a:prstGeom prst="rect">
                      <a:avLst/>
                    </a:prstGeom>
                  </pic:spPr>
                </pic:pic>
              </a:graphicData>
            </a:graphic>
          </wp:inline>
        </w:drawing>
      </w:r>
    </w:p>
    <w:p w14:paraId="25161759" w14:textId="65F0FE7C" w:rsidR="00CE6369" w:rsidRPr="00221992" w:rsidRDefault="00D95336" w:rsidP="00533CF1">
      <w:pPr>
        <w:pStyle w:val="TableNotes"/>
        <w:rPr>
          <w:lang w:val="en-GB"/>
        </w:rPr>
      </w:pPr>
      <w:r w:rsidRPr="00221992">
        <w:rPr>
          <w:lang w:val="en-GB"/>
        </w:rPr>
        <w:t xml:space="preserve">Source: </w:t>
      </w:r>
      <w:r w:rsidR="00CE6369" w:rsidRPr="00221992">
        <w:rPr>
          <w:lang w:val="en-GB"/>
        </w:rPr>
        <w:tab/>
      </w:r>
      <w:r w:rsidRPr="00221992">
        <w:rPr>
          <w:lang w:val="en-GB"/>
        </w:rPr>
        <w:t>Figure 3, p</w:t>
      </w:r>
      <w:r w:rsidR="00E9036D" w:rsidRPr="00221992">
        <w:rPr>
          <w:lang w:val="en-GB"/>
        </w:rPr>
        <w:t>.</w:t>
      </w:r>
      <w:r w:rsidRPr="00221992">
        <w:rPr>
          <w:lang w:val="en-GB"/>
        </w:rPr>
        <w:t xml:space="preserve"> 49, Hasegawa, M. et al. (2020)</w:t>
      </w:r>
    </w:p>
    <w:p w14:paraId="3F4F923A" w14:textId="507EC9EE" w:rsidR="003E40F4" w:rsidRPr="00221992" w:rsidDel="003E40F4" w:rsidRDefault="00CE6369" w:rsidP="00533CF1">
      <w:pPr>
        <w:pStyle w:val="TableNotes"/>
        <w:rPr>
          <w:lang w:val="en-GB"/>
        </w:rPr>
      </w:pPr>
      <w:r w:rsidRPr="00221992">
        <w:rPr>
          <w:lang w:val="en-GB"/>
        </w:rPr>
        <w:t>Acronyms:</w:t>
      </w:r>
      <w:r w:rsidRPr="00221992">
        <w:rPr>
          <w:lang w:val="en-GB"/>
        </w:rPr>
        <w:tab/>
      </w:r>
      <w:r w:rsidR="00D95336" w:rsidRPr="00221992">
        <w:rPr>
          <w:lang w:val="en-GB"/>
        </w:rPr>
        <w:t>ICER</w:t>
      </w:r>
      <w:r w:rsidR="00E9036D" w:rsidRPr="00221992">
        <w:rPr>
          <w:lang w:val="en-GB"/>
        </w:rPr>
        <w:t>,</w:t>
      </w:r>
      <w:r w:rsidR="00D95336" w:rsidRPr="00221992">
        <w:rPr>
          <w:lang w:val="en-GB"/>
        </w:rPr>
        <w:t xml:space="preserve"> incremental cost-effectiveness ratio; QALY</w:t>
      </w:r>
      <w:r w:rsidR="00E9036D" w:rsidRPr="00221992">
        <w:rPr>
          <w:lang w:val="en-GB"/>
        </w:rPr>
        <w:t>,</w:t>
      </w:r>
      <w:r w:rsidR="00D95336" w:rsidRPr="00221992">
        <w:rPr>
          <w:lang w:val="en-GB"/>
        </w:rPr>
        <w:t xml:space="preserve"> quality-adjusted life</w:t>
      </w:r>
      <w:r w:rsidR="00C84F28" w:rsidRPr="00221992">
        <w:rPr>
          <w:lang w:val="en-GB"/>
        </w:rPr>
        <w:t xml:space="preserve"> </w:t>
      </w:r>
      <w:r w:rsidR="00D95336" w:rsidRPr="00221992">
        <w:rPr>
          <w:lang w:val="en-GB"/>
        </w:rPr>
        <w:t>year</w:t>
      </w:r>
    </w:p>
    <w:p w14:paraId="4C1B9FA0" w14:textId="51A38085" w:rsidR="00D95336" w:rsidRPr="00221992" w:rsidRDefault="00D95336" w:rsidP="0012257A">
      <w:pPr>
        <w:pStyle w:val="NbrHeading3"/>
        <w:rPr>
          <w:lang w:val="en-GB"/>
        </w:rPr>
      </w:pPr>
      <w:bookmarkStart w:id="69" w:name="_Toc162950870"/>
      <w:r w:rsidRPr="00221992">
        <w:rPr>
          <w:lang w:val="en-GB"/>
        </w:rPr>
        <w:t>Timeliness of access</w:t>
      </w:r>
      <w:bookmarkEnd w:id="69"/>
      <w:r w:rsidRPr="00221992">
        <w:rPr>
          <w:lang w:val="en-GB"/>
        </w:rPr>
        <w:t xml:space="preserve"> </w:t>
      </w:r>
    </w:p>
    <w:p w14:paraId="5AC7A2E0" w14:textId="677BCD69" w:rsidR="00D95336" w:rsidRPr="00221992" w:rsidRDefault="00D95336" w:rsidP="00702C58">
      <w:pPr>
        <w:rPr>
          <w:lang w:val="en-GB"/>
        </w:rPr>
      </w:pPr>
      <w:r w:rsidRPr="00221992">
        <w:rPr>
          <w:lang w:val="en-GB"/>
        </w:rPr>
        <w:t>This section discuss</w:t>
      </w:r>
      <w:r w:rsidR="005931F2" w:rsidRPr="00221992">
        <w:rPr>
          <w:lang w:val="en-GB"/>
        </w:rPr>
        <w:t>es</w:t>
      </w:r>
      <w:r w:rsidRPr="00221992">
        <w:rPr>
          <w:lang w:val="en-GB"/>
        </w:rPr>
        <w:t xml:space="preserve"> how the Australian HTA system compares internationally</w:t>
      </w:r>
      <w:r w:rsidR="004A2115" w:rsidRPr="00221992">
        <w:rPr>
          <w:lang w:val="en-GB"/>
        </w:rPr>
        <w:t xml:space="preserve"> with respect to timeliness of access</w:t>
      </w:r>
      <w:r w:rsidRPr="00221992">
        <w:rPr>
          <w:lang w:val="en-GB"/>
        </w:rPr>
        <w:t>. It is important to be mindful that Australia</w:t>
      </w:r>
      <w:r w:rsidR="00551786">
        <w:rPr>
          <w:lang w:val="en-GB"/>
        </w:rPr>
        <w:t>’</w:t>
      </w:r>
      <w:r w:rsidRPr="00221992">
        <w:rPr>
          <w:lang w:val="en-GB"/>
        </w:rPr>
        <w:t xml:space="preserve">s comparative international ranking </w:t>
      </w:r>
      <w:r w:rsidR="004A2115" w:rsidRPr="00221992">
        <w:rPr>
          <w:lang w:val="en-GB"/>
        </w:rPr>
        <w:t xml:space="preserve">with respect to timeliness of access </w:t>
      </w:r>
      <w:r w:rsidRPr="00221992">
        <w:rPr>
          <w:lang w:val="en-GB"/>
        </w:rPr>
        <w:t>may be influenced by the conduct of studies</w:t>
      </w:r>
      <w:r w:rsidR="004A2115" w:rsidRPr="00221992">
        <w:rPr>
          <w:lang w:val="en-GB"/>
        </w:rPr>
        <w:t xml:space="preserve"> informing those metrics</w:t>
      </w:r>
      <w:r w:rsidRPr="00221992">
        <w:rPr>
          <w:lang w:val="en-GB"/>
        </w:rPr>
        <w:t>, including the selection of data and timepoints</w:t>
      </w:r>
      <w:r w:rsidR="004A2115" w:rsidRPr="00221992">
        <w:rPr>
          <w:lang w:val="en-GB"/>
        </w:rPr>
        <w:t xml:space="preserve"> for analysis. </w:t>
      </w:r>
    </w:p>
    <w:p w14:paraId="054A64F1" w14:textId="4A616557" w:rsidR="00793120" w:rsidRPr="00221992" w:rsidRDefault="00D95336" w:rsidP="003748C9">
      <w:pPr>
        <w:rPr>
          <w:lang w:val="en-GB"/>
        </w:rPr>
      </w:pPr>
      <w:r w:rsidRPr="00221992">
        <w:rPr>
          <w:lang w:val="en-GB"/>
        </w:rPr>
        <w:t>Industry, lobby and patient groups have called on Australia to reduce the time to access for new medicines</w:t>
      </w:r>
      <w:r w:rsidR="00C77B41" w:rsidRPr="00221992">
        <w:rPr>
          <w:lang w:val="en-GB"/>
        </w:rPr>
        <w:t xml:space="preserve"> </w:t>
      </w:r>
      <w:r w:rsidR="00C77B41" w:rsidRPr="00221992">
        <w:rPr>
          <w:lang w:val="en-GB"/>
        </w:rPr>
        <w:fldChar w:fldCharType="begin"/>
      </w:r>
      <w:r w:rsidR="00112E71">
        <w:rPr>
          <w:lang w:val="en-GB"/>
        </w:rPr>
        <w:instrText xml:space="preserve"> ADDIN EN.CITE &lt;EndNote&gt;&lt;Cite&gt;&lt;Author&gt;Medicines Australia&lt;/Author&gt;&lt;Year&gt;2023&lt;/Year&gt;&lt;RecNum&gt;620&lt;/RecNum&gt;&lt;DisplayText&gt;[44]&lt;/DisplayText&gt;&lt;record&gt;&lt;rec-number&gt;620&lt;/rec-number&gt;&lt;foreign-keys&gt;&lt;key app="EN" db-id="wzwwsfxe4peesxef95cxvrwjxts9rreasarf" timestamp="1692841509"&gt;620&lt;/key&gt;&lt;/foreign-keys&gt;&lt;ref-type name="Web Page"&gt;12&lt;/ref-type&gt;&lt;contributors&gt;&lt;authors&gt;&lt;author&gt;Medicines Australia,&lt;/author&gt;&lt;/authors&gt;&lt;/contributors&gt;&lt;titles&gt;&lt;title&gt;Reforming Australia’s Health Technology Assessment (HTA) System&lt;/title&gt;&lt;/titles&gt;&lt;number&gt;23 August 2023&lt;/number&gt;&lt;dates&gt;&lt;year&gt;2023&lt;/year&gt;&lt;/dates&gt;&lt;pub-location&gt;Deakin&lt;/pub-location&gt;&lt;publisher&gt;Medicines Australia&lt;/publisher&gt;&lt;urls&gt;&lt;related-urls&gt;&lt;url&gt;https://www.medicinesaustralia.com.au/policy/health-technology-assessment-hta/&lt;/url&gt;&lt;/related-urls&gt;&lt;/urls&gt;&lt;/record&gt;&lt;/Cite&gt;&lt;/EndNote&gt;</w:instrText>
      </w:r>
      <w:r w:rsidR="00C77B41" w:rsidRPr="00221992">
        <w:rPr>
          <w:lang w:val="en-GB"/>
        </w:rPr>
        <w:fldChar w:fldCharType="separate"/>
      </w:r>
      <w:r w:rsidR="00112E71">
        <w:rPr>
          <w:noProof/>
          <w:lang w:val="en-GB"/>
        </w:rPr>
        <w:t>[44]</w:t>
      </w:r>
      <w:r w:rsidR="00C77B41" w:rsidRPr="00221992">
        <w:rPr>
          <w:lang w:val="en-GB"/>
        </w:rPr>
        <w:fldChar w:fldCharType="end"/>
      </w:r>
      <w:r w:rsidRPr="00221992">
        <w:rPr>
          <w:lang w:val="en-GB"/>
        </w:rPr>
        <w:t xml:space="preserve">. In 2021, a parliamentary inquiry heard from pharmaceutical industry leaders, who strongly advocated faster access to new medicines. Mr. Azrak, Managing Director of MSD Australia and New Zealand, was quoted citing a report stating </w:t>
      </w:r>
      <w:r w:rsidRPr="00221992">
        <w:rPr>
          <w:lang w:val="en-GB"/>
        </w:rPr>
        <w:fldChar w:fldCharType="begin"/>
      </w:r>
      <w:r w:rsidR="00112E71">
        <w:rPr>
          <w:lang w:val="en-GB"/>
        </w:rPr>
        <w:instrText xml:space="preserve"> ADDIN EN.CITE &lt;EndNote&gt;&lt;Cite&gt;&lt;Author&gt;Merck Sharp &amp;amp; Dohme (Australia) Pty Ltd.&lt;/Author&gt;&lt;Year&gt;2021&lt;/Year&gt;&lt;RecNum&gt;300&lt;/RecNum&gt;&lt;DisplayText&gt;[45]&lt;/DisplayText&gt;&lt;record&gt;&lt;rec-number&gt;300&lt;/rec-number&gt;&lt;foreign-keys&gt;&lt;key app="EN" db-id="wzwwsfxe4peesxef95cxvrwjxts9rreasarf" timestamp="1692654670"&gt;300&lt;/key&gt;&lt;/foreign-keys&gt;&lt;ref-type name="Web Page"&gt;12&lt;/ref-type&gt;&lt;contributors&gt;&lt;authors&gt;&lt;author&gt;Merck Sharp &amp;amp; Dohme (Australia) Pty Ltd.,&lt;/author&gt;&lt;/authors&gt;&lt;/contributors&gt;&lt;titles&gt;&lt;title&gt;Australians deserve faster access to new medicines&lt;/title&gt;&lt;/titles&gt;&lt;number&gt;23 August 2023&lt;/number&gt;&lt;dates&gt;&lt;year&gt;2021&lt;/year&gt;&lt;/dates&gt;&lt;publisher&gt;Merck Sharp &amp;amp; Dohme (Australia) Pty Ltd.&lt;/publisher&gt;&lt;urls&gt;&lt;related-urls&gt;&lt;url&gt;https://www.msd-australia.com.au/news/parliamentary-inquiry-to-hear-from-pharmaceutical-leaders-today/&lt;/url&gt;&lt;/related-urls&gt;&lt;/urls&gt;&lt;/record&gt;&lt;/Cite&gt;&lt;/EndNote&gt;</w:instrText>
      </w:r>
      <w:r w:rsidRPr="00221992">
        <w:rPr>
          <w:lang w:val="en-GB"/>
        </w:rPr>
        <w:fldChar w:fldCharType="separate"/>
      </w:r>
      <w:r w:rsidR="00112E71">
        <w:rPr>
          <w:noProof/>
          <w:lang w:val="en-GB"/>
        </w:rPr>
        <w:t>[45]</w:t>
      </w:r>
      <w:r w:rsidRPr="00221992">
        <w:rPr>
          <w:lang w:val="en-GB"/>
        </w:rPr>
        <w:fldChar w:fldCharType="end"/>
      </w:r>
      <w:r w:rsidR="00793120" w:rsidRPr="00221992">
        <w:rPr>
          <w:lang w:val="en-GB"/>
        </w:rPr>
        <w:t>,</w:t>
      </w:r>
    </w:p>
    <w:p w14:paraId="380F5AF2" w14:textId="05FB30EF" w:rsidR="00CB596B" w:rsidRPr="00221992" w:rsidRDefault="00793120" w:rsidP="00CB596B">
      <w:pPr>
        <w:ind w:left="567"/>
        <w:rPr>
          <w:lang w:val="en-GB"/>
        </w:rPr>
      </w:pPr>
      <w:r w:rsidRPr="00221992">
        <w:rPr>
          <w:lang w:val="en-GB"/>
        </w:rPr>
        <w:t>While accelerating registrations for medicines in Australia provides great promise for patients, other countries such as Japan, Germany and the UK, fund new medicines four times faster than our HTA system in Australia</w:t>
      </w:r>
      <w:r w:rsidR="00E557C1">
        <w:rPr>
          <w:lang w:val="en-GB"/>
        </w:rPr>
        <w:t>. [</w:t>
      </w:r>
      <w:r w:rsidRPr="00221992">
        <w:rPr>
          <w:lang w:val="en-GB"/>
        </w:rPr>
        <w:t>…</w:t>
      </w:r>
      <w:r w:rsidR="00E557C1">
        <w:rPr>
          <w:lang w:val="en-GB"/>
        </w:rPr>
        <w:t xml:space="preserve">] </w:t>
      </w:r>
      <w:r w:rsidRPr="00221992">
        <w:rPr>
          <w:lang w:val="en-GB"/>
        </w:rPr>
        <w:t>Australia currently ranks 17</w:t>
      </w:r>
      <w:r w:rsidRPr="000C66C0">
        <w:rPr>
          <w:vertAlign w:val="superscript"/>
          <w:lang w:val="en-GB"/>
        </w:rPr>
        <w:t>th</w:t>
      </w:r>
      <w:r w:rsidRPr="00221992">
        <w:rPr>
          <w:lang w:val="en-GB"/>
        </w:rPr>
        <w:t xml:space="preserve"> out of 20 OECD countries in access to new medicines</w:t>
      </w:r>
      <w:r w:rsidR="00F5766F" w:rsidRPr="00221992">
        <w:rPr>
          <w:lang w:val="en-GB"/>
        </w:rPr>
        <w:t>.</w:t>
      </w:r>
    </w:p>
    <w:p w14:paraId="6A03346C" w14:textId="6A0C93C8" w:rsidR="00D95336" w:rsidRPr="00221992" w:rsidRDefault="00D95336" w:rsidP="00CB596B">
      <w:pPr>
        <w:rPr>
          <w:lang w:val="en-GB"/>
        </w:rPr>
      </w:pPr>
      <w:r w:rsidRPr="00221992">
        <w:rPr>
          <w:lang w:val="en-GB"/>
        </w:rPr>
        <w:t xml:space="preserve">The </w:t>
      </w:r>
      <w:r w:rsidR="00AC59F4" w:rsidRPr="00221992">
        <w:rPr>
          <w:lang w:val="en-GB"/>
        </w:rPr>
        <w:t xml:space="preserve">referenced </w:t>
      </w:r>
      <w:r w:rsidRPr="00221992">
        <w:rPr>
          <w:lang w:val="en-GB"/>
        </w:rPr>
        <w:t xml:space="preserve">report was commissioned by Medicines Australia, </w:t>
      </w:r>
      <w:r w:rsidR="00AC59F4" w:rsidRPr="00221992">
        <w:rPr>
          <w:lang w:val="en-GB"/>
        </w:rPr>
        <w:t>who</w:t>
      </w:r>
      <w:r w:rsidRPr="00221992">
        <w:rPr>
          <w:lang w:val="en-GB"/>
        </w:rPr>
        <w:t xml:space="preserve"> worked with </w:t>
      </w:r>
      <w:r w:rsidR="001514D1">
        <w:rPr>
          <w:lang w:val="en-GB"/>
        </w:rPr>
        <w:t xml:space="preserve">the industry analyst group, </w:t>
      </w:r>
      <w:r w:rsidRPr="00221992">
        <w:rPr>
          <w:lang w:val="en-GB"/>
        </w:rPr>
        <w:t>IQVIA</w:t>
      </w:r>
      <w:r w:rsidR="001514D1">
        <w:rPr>
          <w:lang w:val="en-GB"/>
        </w:rPr>
        <w:t>,</w:t>
      </w:r>
      <w:r w:rsidRPr="00221992">
        <w:rPr>
          <w:lang w:val="en-GB"/>
        </w:rPr>
        <w:t xml:space="preserve"> to compare new molecular entity (NME) approval rates and timeliness of access,</w:t>
      </w:r>
      <w:r w:rsidR="00406AF7" w:rsidRPr="00221992">
        <w:rPr>
          <w:lang w:val="en-GB"/>
        </w:rPr>
        <w:t xml:space="preserve"> </w:t>
      </w:r>
      <w:r w:rsidRPr="00221992">
        <w:rPr>
          <w:lang w:val="en-GB"/>
        </w:rPr>
        <w:t xml:space="preserve">summarised in </w:t>
      </w:r>
      <w:r w:rsidR="003748C9" w:rsidRPr="00221992">
        <w:rPr>
          <w:lang w:val="en-GB"/>
        </w:rPr>
        <w:fldChar w:fldCharType="begin"/>
      </w:r>
      <w:r w:rsidR="003748C9" w:rsidRPr="00221992">
        <w:rPr>
          <w:lang w:val="en-GB"/>
        </w:rPr>
        <w:instrText xml:space="preserve"> REF _Ref143592066 \h </w:instrText>
      </w:r>
      <w:r w:rsidR="003748C9" w:rsidRPr="00221992">
        <w:rPr>
          <w:lang w:val="en-GB"/>
        </w:rPr>
      </w:r>
      <w:r w:rsidR="003748C9" w:rsidRPr="00221992">
        <w:rPr>
          <w:lang w:val="en-GB"/>
        </w:rPr>
        <w:fldChar w:fldCharType="separate"/>
      </w:r>
      <w:r w:rsidR="000E11E7" w:rsidRPr="00221992">
        <w:rPr>
          <w:lang w:val="en-GB"/>
        </w:rPr>
        <w:t xml:space="preserve">Figure </w:t>
      </w:r>
      <w:r w:rsidR="000E11E7">
        <w:rPr>
          <w:noProof/>
          <w:lang w:val="en-GB"/>
        </w:rPr>
        <w:t>6</w:t>
      </w:r>
      <w:r w:rsidR="003748C9" w:rsidRPr="00221992">
        <w:rPr>
          <w:lang w:val="en-GB"/>
        </w:rPr>
        <w:fldChar w:fldCharType="end"/>
      </w:r>
      <w:r w:rsidR="003748C9" w:rsidRPr="00221992">
        <w:rPr>
          <w:lang w:val="en-GB"/>
        </w:rPr>
        <w:t xml:space="preserve"> </w:t>
      </w:r>
      <w:r w:rsidRPr="00221992">
        <w:rPr>
          <w:lang w:val="en-GB"/>
        </w:rPr>
        <w:t>a</w:t>
      </w:r>
      <w:r w:rsidR="00406AF7" w:rsidRPr="00221992">
        <w:rPr>
          <w:lang w:val="en-GB"/>
        </w:rPr>
        <w:t xml:space="preserve">nd </w:t>
      </w:r>
      <w:r w:rsidR="00406AF7" w:rsidRPr="00221992">
        <w:rPr>
          <w:lang w:val="en-GB"/>
        </w:rPr>
        <w:fldChar w:fldCharType="begin"/>
      </w:r>
      <w:r w:rsidR="00406AF7" w:rsidRPr="00221992">
        <w:rPr>
          <w:lang w:val="en-GB"/>
        </w:rPr>
        <w:instrText xml:space="preserve"> REF _Ref143592150 \h </w:instrText>
      </w:r>
      <w:r w:rsidR="00406AF7" w:rsidRPr="00221992">
        <w:rPr>
          <w:lang w:val="en-GB"/>
        </w:rPr>
      </w:r>
      <w:r w:rsidR="00406AF7" w:rsidRPr="00221992">
        <w:rPr>
          <w:lang w:val="en-GB"/>
        </w:rPr>
        <w:fldChar w:fldCharType="separate"/>
      </w:r>
      <w:r w:rsidR="000E11E7" w:rsidRPr="00221992">
        <w:rPr>
          <w:lang w:val="en-GB"/>
        </w:rPr>
        <w:t xml:space="preserve">Figure </w:t>
      </w:r>
      <w:r w:rsidR="000E11E7">
        <w:rPr>
          <w:noProof/>
          <w:lang w:val="en-GB"/>
        </w:rPr>
        <w:t>7</w:t>
      </w:r>
      <w:r w:rsidR="00406AF7" w:rsidRPr="00221992">
        <w:rPr>
          <w:lang w:val="en-GB"/>
        </w:rPr>
        <w:fldChar w:fldCharType="end"/>
      </w:r>
      <w:r w:rsidR="00406AF7" w:rsidRPr="00221992">
        <w:rPr>
          <w:lang w:val="en-GB"/>
        </w:rPr>
        <w:t xml:space="preserve"> below </w:t>
      </w:r>
      <w:r w:rsidR="00CF167B" w:rsidRPr="00221992">
        <w:rPr>
          <w:lang w:val="en-GB"/>
        </w:rPr>
        <w:fldChar w:fldCharType="begin"/>
      </w:r>
      <w:r w:rsidR="00112E71">
        <w:rPr>
          <w:lang w:val="en-GB"/>
        </w:rPr>
        <w:instrText xml:space="preserve"> ADDIN EN.CITE &lt;EndNote&gt;&lt;Cite&gt;&lt;Author&gt;Medicines Australia&lt;/Author&gt;&lt;Year&gt;2018&lt;/Year&gt;&lt;RecNum&gt;615&lt;/RecNum&gt;&lt;DisplayText&gt;[46]&lt;/DisplayText&gt;&lt;record&gt;&lt;rec-number&gt;615&lt;/rec-number&gt;&lt;foreign-keys&gt;&lt;key app="EN" db-id="wzwwsfxe4peesxef95cxvrwjxts9rreasarf" timestamp="1692761444"&gt;615&lt;/key&gt;&lt;/foreign-keys&gt;&lt;ref-type name="Report"&gt;27&lt;/ref-type&gt;&lt;contributors&gt;&lt;authors&gt;&lt;author&gt;Medicines Australia,&lt;/author&gt;&lt;/authors&gt;&lt;tertiary-authors&gt;&lt;author&gt;Medicines Australia,&lt;/author&gt;&lt;/tertiary-authors&gt;&lt;/contributors&gt;&lt;titles&gt;&lt;title&gt;Comparison of Access and Reimbursement Environments&lt;/title&gt;&lt;/titles&gt;&lt;dates&gt;&lt;year&gt;2018&lt;/year&gt;&lt;/dates&gt;&lt;pub-location&gt;Deakin&lt;/pub-location&gt;&lt;urls&gt;&lt;/urls&gt;&lt;/record&gt;&lt;/Cite&gt;&lt;/EndNote&gt;</w:instrText>
      </w:r>
      <w:r w:rsidR="00CF167B" w:rsidRPr="00221992">
        <w:rPr>
          <w:lang w:val="en-GB"/>
        </w:rPr>
        <w:fldChar w:fldCharType="separate"/>
      </w:r>
      <w:r w:rsidR="00112E71">
        <w:rPr>
          <w:noProof/>
          <w:lang w:val="en-GB"/>
        </w:rPr>
        <w:t>[46]</w:t>
      </w:r>
      <w:r w:rsidR="00CF167B" w:rsidRPr="00221992">
        <w:rPr>
          <w:lang w:val="en-GB"/>
        </w:rPr>
        <w:fldChar w:fldCharType="end"/>
      </w:r>
      <w:r w:rsidRPr="00221992">
        <w:rPr>
          <w:lang w:val="en-GB"/>
        </w:rPr>
        <w:t xml:space="preserve">. The </w:t>
      </w:r>
      <w:r w:rsidR="004A2115" w:rsidRPr="00221992">
        <w:rPr>
          <w:lang w:val="en-GB"/>
        </w:rPr>
        <w:t>report</w:t>
      </w:r>
      <w:r w:rsidRPr="00221992" w:rsidDel="004A2115">
        <w:rPr>
          <w:lang w:val="en-GB"/>
        </w:rPr>
        <w:t xml:space="preserve"> </w:t>
      </w:r>
      <w:r w:rsidRPr="00221992">
        <w:rPr>
          <w:lang w:val="en-GB"/>
        </w:rPr>
        <w:t>recorded 60 NMEs that were registered but not reimbursed by the end of December 2017 in Australia (p. 8)</w:t>
      </w:r>
      <w:r w:rsidR="00030591">
        <w:rPr>
          <w:lang w:val="en-GB"/>
        </w:rPr>
        <w:t>;</w:t>
      </w:r>
      <w:r w:rsidR="008F2A67">
        <w:rPr>
          <w:rStyle w:val="FootnoteReference"/>
          <w:lang w:val="en-GB"/>
        </w:rPr>
        <w:footnoteReference w:id="2"/>
      </w:r>
      <w:r w:rsidRPr="00221992">
        <w:rPr>
          <w:lang w:val="en-GB"/>
        </w:rPr>
        <w:t xml:space="preserve"> this methodology may bias results against Australia</w:t>
      </w:r>
      <w:r w:rsidR="00551786">
        <w:rPr>
          <w:lang w:val="en-GB"/>
        </w:rPr>
        <w:t>’</w:t>
      </w:r>
      <w:r w:rsidRPr="00221992">
        <w:rPr>
          <w:lang w:val="en-GB"/>
        </w:rPr>
        <w:t>s perceived ranking, as the November 2017 PBAC meeting outcomes would not be listed for reimbursement until early 2018.</w:t>
      </w:r>
    </w:p>
    <w:p w14:paraId="5156306A" w14:textId="4C698F19" w:rsidR="003748C9" w:rsidRPr="00221992" w:rsidRDefault="003748C9" w:rsidP="001721AB">
      <w:pPr>
        <w:pStyle w:val="Caption"/>
        <w:rPr>
          <w:lang w:val="en-GB"/>
        </w:rPr>
      </w:pPr>
      <w:bookmarkStart w:id="70" w:name="_Ref143592066"/>
      <w:bookmarkStart w:id="71" w:name="_Toc162950913"/>
      <w:r w:rsidRPr="00221992">
        <w:rPr>
          <w:lang w:val="en-GB"/>
        </w:rPr>
        <w:t xml:space="preserve">Figure </w:t>
      </w:r>
      <w:r w:rsidR="003F72DF" w:rsidRPr="00221992">
        <w:rPr>
          <w:lang w:val="en-GB"/>
        </w:rPr>
        <w:fldChar w:fldCharType="begin"/>
      </w:r>
      <w:r w:rsidR="003F72DF" w:rsidRPr="00221992">
        <w:rPr>
          <w:lang w:val="en-GB"/>
        </w:rPr>
        <w:instrText xml:space="preserve"> SEQ Figure \* ARABIC </w:instrText>
      </w:r>
      <w:r w:rsidR="003F72DF" w:rsidRPr="00221992">
        <w:rPr>
          <w:lang w:val="en-GB"/>
        </w:rPr>
        <w:fldChar w:fldCharType="separate"/>
      </w:r>
      <w:r w:rsidR="000E11E7">
        <w:rPr>
          <w:noProof/>
          <w:lang w:val="en-GB"/>
        </w:rPr>
        <w:t>6</w:t>
      </w:r>
      <w:r w:rsidR="003F72DF" w:rsidRPr="00221992">
        <w:rPr>
          <w:noProof/>
          <w:lang w:val="en-GB"/>
        </w:rPr>
        <w:fldChar w:fldCharType="end"/>
      </w:r>
      <w:bookmarkEnd w:id="70"/>
      <w:r w:rsidRPr="00221992">
        <w:rPr>
          <w:lang w:val="en-GB"/>
        </w:rPr>
        <w:t>. NMEs reimbursed per country as a proportion of NMEs (2012-2017)</w:t>
      </w:r>
      <w:bookmarkEnd w:id="71"/>
    </w:p>
    <w:p w14:paraId="7EC6EC47" w14:textId="77CDE5A1" w:rsidR="00D95336" w:rsidRPr="00221992" w:rsidRDefault="00D95336" w:rsidP="00533CF1">
      <w:pPr>
        <w:pStyle w:val="TableNotes"/>
        <w:rPr>
          <w:lang w:val="en-GB"/>
        </w:rPr>
      </w:pPr>
      <w:r w:rsidRPr="00221992">
        <w:rPr>
          <w:noProof/>
          <w:lang w:val="en-GB"/>
        </w:rPr>
        <w:drawing>
          <wp:inline distT="0" distB="0" distL="0" distR="0" wp14:anchorId="7A5EFC01" wp14:editId="3A1A231D">
            <wp:extent cx="5731510" cy="2626360"/>
            <wp:effectExtent l="0" t="0" r="2540" b="2540"/>
            <wp:docPr id="612174542" name="Picture 612174542" descr="A graph of NMEs reimbursed per country as a proportion of NMEs (2012-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2174542"/>
                    <pic:cNvPicPr/>
                  </pic:nvPicPr>
                  <pic:blipFill>
                    <a:blip r:embed="rId24">
                      <a:extLst>
                        <a:ext uri="{28A0092B-C50C-407E-A947-70E740481C1C}">
                          <a14:useLocalDpi xmlns:a14="http://schemas.microsoft.com/office/drawing/2010/main" val="0"/>
                        </a:ext>
                      </a:extLst>
                    </a:blip>
                    <a:stretch>
                      <a:fillRect/>
                    </a:stretch>
                  </pic:blipFill>
                  <pic:spPr>
                    <a:xfrm>
                      <a:off x="0" y="0"/>
                      <a:ext cx="5731510" cy="2626360"/>
                    </a:xfrm>
                    <a:prstGeom prst="rect">
                      <a:avLst/>
                    </a:prstGeom>
                  </pic:spPr>
                </pic:pic>
              </a:graphicData>
            </a:graphic>
          </wp:inline>
        </w:drawing>
      </w:r>
      <w:r w:rsidRPr="00221992">
        <w:rPr>
          <w:noProof/>
          <w:lang w:val="en-GB"/>
        </w:rPr>
        <w:t xml:space="preserve"> </w:t>
      </w:r>
    </w:p>
    <w:p w14:paraId="2B49B306" w14:textId="51E77FB7" w:rsidR="00D95336" w:rsidRPr="00221992" w:rsidRDefault="00D95336" w:rsidP="00533CF1">
      <w:pPr>
        <w:pStyle w:val="TableNotes"/>
        <w:rPr>
          <w:lang w:val="en-GB"/>
        </w:rPr>
      </w:pPr>
      <w:bookmarkStart w:id="72" w:name="_Ref143171126"/>
      <w:r w:rsidRPr="00221992">
        <w:rPr>
          <w:lang w:val="en-GB"/>
        </w:rPr>
        <w:t>Source:</w:t>
      </w:r>
      <w:r w:rsidR="00F7606B" w:rsidRPr="00221992">
        <w:rPr>
          <w:lang w:val="en-GB"/>
        </w:rPr>
        <w:tab/>
      </w:r>
      <w:r w:rsidRPr="00221992">
        <w:rPr>
          <w:lang w:val="en-GB"/>
        </w:rPr>
        <w:t>Figure 1, p</w:t>
      </w:r>
      <w:r w:rsidR="00406AF7" w:rsidRPr="00221992">
        <w:rPr>
          <w:lang w:val="en-GB"/>
        </w:rPr>
        <w:t>.</w:t>
      </w:r>
      <w:r w:rsidRPr="00221992">
        <w:rPr>
          <w:lang w:val="en-GB"/>
        </w:rPr>
        <w:t xml:space="preserve"> 3, Medicines Australia (201</w:t>
      </w:r>
      <w:bookmarkEnd w:id="72"/>
      <w:r w:rsidR="00406AF7" w:rsidRPr="00221992">
        <w:rPr>
          <w:lang w:val="en-GB"/>
        </w:rPr>
        <w:t xml:space="preserve">8) </w:t>
      </w:r>
    </w:p>
    <w:p w14:paraId="4F74E46F" w14:textId="528F5741" w:rsidR="003748C9" w:rsidRPr="00221992" w:rsidRDefault="003748C9" w:rsidP="001721AB">
      <w:pPr>
        <w:pStyle w:val="Caption"/>
        <w:rPr>
          <w:lang w:val="en-GB"/>
        </w:rPr>
      </w:pPr>
      <w:bookmarkStart w:id="73" w:name="_Ref143592150"/>
      <w:bookmarkStart w:id="74" w:name="_Toc162950914"/>
      <w:r w:rsidRPr="00221992">
        <w:rPr>
          <w:lang w:val="en-GB"/>
        </w:rPr>
        <w:t xml:space="preserve">Figure </w:t>
      </w:r>
      <w:r w:rsidR="003F72DF" w:rsidRPr="00221992">
        <w:rPr>
          <w:lang w:val="en-GB"/>
        </w:rPr>
        <w:fldChar w:fldCharType="begin"/>
      </w:r>
      <w:r w:rsidR="003F72DF" w:rsidRPr="00221992">
        <w:rPr>
          <w:lang w:val="en-GB"/>
        </w:rPr>
        <w:instrText xml:space="preserve"> SEQ Figure \* ARABIC </w:instrText>
      </w:r>
      <w:r w:rsidR="003F72DF" w:rsidRPr="00221992">
        <w:rPr>
          <w:lang w:val="en-GB"/>
        </w:rPr>
        <w:fldChar w:fldCharType="separate"/>
      </w:r>
      <w:r w:rsidR="000E11E7">
        <w:rPr>
          <w:noProof/>
          <w:lang w:val="en-GB"/>
        </w:rPr>
        <w:t>7</w:t>
      </w:r>
      <w:r w:rsidR="003F72DF" w:rsidRPr="00221992">
        <w:rPr>
          <w:noProof/>
          <w:lang w:val="en-GB"/>
        </w:rPr>
        <w:fldChar w:fldCharType="end"/>
      </w:r>
      <w:bookmarkEnd w:id="73"/>
      <w:r w:rsidRPr="00221992">
        <w:rPr>
          <w:lang w:val="en-GB"/>
        </w:rPr>
        <w:t>. Average time to reimbursement for new molecular entities in OECD nations (2012-2017)</w:t>
      </w:r>
      <w:bookmarkEnd w:id="74"/>
    </w:p>
    <w:p w14:paraId="4565A9CC" w14:textId="77777777" w:rsidR="00D95336" w:rsidRPr="00221992" w:rsidRDefault="00D95336" w:rsidP="00601524">
      <w:pPr>
        <w:spacing w:after="0"/>
        <w:rPr>
          <w:lang w:val="en-GB"/>
        </w:rPr>
      </w:pPr>
      <w:r w:rsidRPr="00221992">
        <w:rPr>
          <w:noProof/>
          <w:lang w:val="en-GB"/>
        </w:rPr>
        <w:drawing>
          <wp:inline distT="0" distB="0" distL="0" distR="0" wp14:anchorId="1BB1707A" wp14:editId="7A58F865">
            <wp:extent cx="5731510" cy="3084195"/>
            <wp:effectExtent l="0" t="0" r="0" b="0"/>
            <wp:docPr id="69690344" name="Picture 69690344" descr="a graph of the average time to reimbursement for new molecular entities in OECD nations (2012-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690344"/>
                    <pic:cNvPicPr/>
                  </pic:nvPicPr>
                  <pic:blipFill>
                    <a:blip r:embed="rId25">
                      <a:extLst>
                        <a:ext uri="{28A0092B-C50C-407E-A947-70E740481C1C}">
                          <a14:useLocalDpi xmlns:a14="http://schemas.microsoft.com/office/drawing/2010/main" val="0"/>
                        </a:ext>
                      </a:extLst>
                    </a:blip>
                    <a:stretch>
                      <a:fillRect/>
                    </a:stretch>
                  </pic:blipFill>
                  <pic:spPr>
                    <a:xfrm>
                      <a:off x="0" y="0"/>
                      <a:ext cx="5731510" cy="3084195"/>
                    </a:xfrm>
                    <a:prstGeom prst="rect">
                      <a:avLst/>
                    </a:prstGeom>
                  </pic:spPr>
                </pic:pic>
              </a:graphicData>
            </a:graphic>
          </wp:inline>
        </w:drawing>
      </w:r>
    </w:p>
    <w:p w14:paraId="682FCEEC" w14:textId="4229A132" w:rsidR="00D95336" w:rsidRPr="00221992" w:rsidRDefault="00D95336" w:rsidP="00533CF1">
      <w:pPr>
        <w:pStyle w:val="TableNotes"/>
        <w:rPr>
          <w:lang w:val="en-GB"/>
        </w:rPr>
      </w:pPr>
      <w:r w:rsidRPr="00221992">
        <w:rPr>
          <w:lang w:val="en-GB"/>
        </w:rPr>
        <w:t xml:space="preserve">Source: </w:t>
      </w:r>
      <w:r w:rsidR="001319F3" w:rsidRPr="00221992">
        <w:rPr>
          <w:lang w:val="en-GB"/>
        </w:rPr>
        <w:tab/>
      </w:r>
      <w:r w:rsidRPr="00221992">
        <w:rPr>
          <w:lang w:val="en-GB"/>
        </w:rPr>
        <w:t>Figure 4, p</w:t>
      </w:r>
      <w:r w:rsidR="00406AF7" w:rsidRPr="00221992">
        <w:rPr>
          <w:lang w:val="en-GB"/>
        </w:rPr>
        <w:t>.</w:t>
      </w:r>
      <w:r w:rsidRPr="00221992">
        <w:rPr>
          <w:lang w:val="en-GB"/>
        </w:rPr>
        <w:t xml:space="preserve"> 6, Medicines Australia (2018)</w:t>
      </w:r>
    </w:p>
    <w:p w14:paraId="7382D79E" w14:textId="198774DF" w:rsidR="00D95336" w:rsidRPr="00221992" w:rsidRDefault="00D95336" w:rsidP="00E47536">
      <w:pPr>
        <w:rPr>
          <w:lang w:val="en-GB"/>
        </w:rPr>
      </w:pPr>
      <w:r w:rsidRPr="00221992">
        <w:rPr>
          <w:lang w:val="en-GB"/>
        </w:rPr>
        <w:t>IQVIA published a similar report focussed on the EU, based on the European Federation of Pharmaceutical Industries and Associations (EFPIA) Waiting to Access Innovative Therapies (W.A.I.T.) indicator, which measured the time taken to list 152 new medicines in Europe and the UK from 2015 to 2018 (</w:t>
      </w:r>
      <w:r w:rsidR="008A3C46">
        <w:rPr>
          <w:lang w:val="en-GB"/>
        </w:rPr>
        <w:t xml:space="preserve">i.e., </w:t>
      </w:r>
      <w:r w:rsidRPr="00221992">
        <w:rPr>
          <w:lang w:val="en-GB"/>
        </w:rPr>
        <w:t>a similar timeframe to the above figure</w:t>
      </w:r>
      <w:r w:rsidR="00551786">
        <w:rPr>
          <w:lang w:val="en-GB"/>
        </w:rPr>
        <w:t>’</w:t>
      </w:r>
      <w:r w:rsidRPr="00221992">
        <w:rPr>
          <w:lang w:val="en-GB"/>
        </w:rPr>
        <w:t>s data)</w:t>
      </w:r>
      <w:r w:rsidR="00F5766F" w:rsidRPr="00221992">
        <w:rPr>
          <w:lang w:val="en-GB"/>
        </w:rPr>
        <w:t xml:space="preserve"> </w:t>
      </w:r>
      <w:r w:rsidRPr="00221992">
        <w:rPr>
          <w:lang w:val="en-GB"/>
        </w:rPr>
        <w:fldChar w:fldCharType="begin"/>
      </w:r>
      <w:r w:rsidR="005D638E" w:rsidRPr="00221992">
        <w:rPr>
          <w:lang w:val="en-GB"/>
        </w:rPr>
        <w:instrText xml:space="preserve"> ADDIN EN.CITE &lt;EndNote&gt;&lt;Cite&gt;&lt;Author&gt;IQVIA&lt;/Author&gt;&lt;Year&gt;2021&lt;/Year&gt;&lt;RecNum&gt;623&lt;/RecNum&gt;&lt;DisplayText&gt;[4]&lt;/DisplayText&gt;&lt;record&gt;&lt;rec-number&gt;623&lt;/rec-number&gt;&lt;foreign-keys&gt;&lt;key app="EN" db-id="wzwwsfxe4peesxef95cxvrwjxts9rreasarf" timestamp="1693186424"&gt;623&lt;/key&gt;&lt;/foreign-keys&gt;&lt;ref-type name="Online Multimedia"&gt;48&lt;/ref-type&gt;&lt;contributors&gt;&lt;authors&gt;&lt;author&gt;IQVIA&lt;/author&gt;&lt;/authors&gt;&lt;/contributors&gt;&lt;titles&gt;&lt;title&gt;EFPIA Patients W.A.I.T. Indicator 2020 Survey&lt;/title&gt;&lt;/titles&gt;&lt;dates&gt;&lt;year&gt;2021&lt;/year&gt;&lt;/dates&gt;&lt;pub-location&gt;European Federation of Pharmaceutical Industries and Associations (EFPIA)&lt;/pub-location&gt;&lt;urls&gt;&lt;related-urls&gt;&lt;url&gt;https://www.efpia.eu/media/602652/efpia-patient-wait-indicator-final-250521.pdf&lt;/url&gt;&lt;/related-urls&gt;&lt;/urls&gt;&lt;/record&gt;&lt;/Cite&gt;&lt;/EndNote&gt;</w:instrText>
      </w:r>
      <w:r w:rsidRPr="00221992">
        <w:rPr>
          <w:lang w:val="en-GB"/>
        </w:rPr>
        <w:fldChar w:fldCharType="separate"/>
      </w:r>
      <w:r w:rsidR="005D638E" w:rsidRPr="00221992">
        <w:rPr>
          <w:noProof/>
          <w:lang w:val="en-GB"/>
        </w:rPr>
        <w:t>[4]</w:t>
      </w:r>
      <w:r w:rsidRPr="00221992">
        <w:rPr>
          <w:lang w:val="en-GB"/>
        </w:rPr>
        <w:fldChar w:fldCharType="end"/>
      </w:r>
      <w:r w:rsidR="00F5766F" w:rsidRPr="00221992">
        <w:rPr>
          <w:lang w:val="en-GB"/>
        </w:rPr>
        <w:t>.</w:t>
      </w:r>
      <w:r w:rsidRPr="00221992">
        <w:rPr>
          <w:lang w:val="en-GB"/>
        </w:rPr>
        <w:t xml:space="preserve"> </w:t>
      </w:r>
      <w:r w:rsidR="00335EFD" w:rsidRPr="00221992">
        <w:rPr>
          <w:lang w:val="en-GB"/>
        </w:rPr>
        <w:t>While some results are consistent with</w:t>
      </w:r>
      <w:r w:rsidRPr="00221992">
        <w:rPr>
          <w:lang w:val="en-GB"/>
        </w:rPr>
        <w:t xml:space="preserve"> data</w:t>
      </w:r>
      <w:r w:rsidR="00335EFD" w:rsidRPr="00221992">
        <w:rPr>
          <w:lang w:val="en-GB"/>
        </w:rPr>
        <w:t xml:space="preserve"> presented</w:t>
      </w:r>
      <w:r w:rsidRPr="00221992">
        <w:rPr>
          <w:lang w:val="en-GB"/>
        </w:rPr>
        <w:t xml:space="preserve"> in </w:t>
      </w:r>
      <w:r w:rsidR="00957310" w:rsidRPr="00221992">
        <w:rPr>
          <w:lang w:val="en-GB"/>
        </w:rPr>
        <w:fldChar w:fldCharType="begin"/>
      </w:r>
      <w:r w:rsidR="00957310" w:rsidRPr="00221992">
        <w:rPr>
          <w:lang w:val="en-GB"/>
        </w:rPr>
        <w:instrText xml:space="preserve"> REF _Ref143592066 \h </w:instrText>
      </w:r>
      <w:r w:rsidR="00957310" w:rsidRPr="00221992">
        <w:rPr>
          <w:lang w:val="en-GB"/>
        </w:rPr>
      </w:r>
      <w:r w:rsidR="00957310" w:rsidRPr="00221992">
        <w:rPr>
          <w:lang w:val="en-GB"/>
        </w:rPr>
        <w:fldChar w:fldCharType="separate"/>
      </w:r>
      <w:r w:rsidR="000E11E7" w:rsidRPr="00221992">
        <w:rPr>
          <w:lang w:val="en-GB"/>
        </w:rPr>
        <w:t xml:space="preserve">Figure </w:t>
      </w:r>
      <w:r w:rsidR="000E11E7">
        <w:rPr>
          <w:noProof/>
          <w:lang w:val="en-GB"/>
        </w:rPr>
        <w:t>6</w:t>
      </w:r>
      <w:r w:rsidR="00957310" w:rsidRPr="00221992">
        <w:rPr>
          <w:lang w:val="en-GB"/>
        </w:rPr>
        <w:fldChar w:fldCharType="end"/>
      </w:r>
      <w:r w:rsidRPr="00221992">
        <w:rPr>
          <w:lang w:val="en-GB"/>
        </w:rPr>
        <w:t xml:space="preserve">, </w:t>
      </w:r>
      <w:r w:rsidR="00041553" w:rsidRPr="00221992">
        <w:rPr>
          <w:lang w:val="en-GB"/>
        </w:rPr>
        <w:t>the latter</w:t>
      </w:r>
      <w:r w:rsidRPr="00221992">
        <w:rPr>
          <w:lang w:val="en-GB"/>
        </w:rPr>
        <w:t xml:space="preserve"> showed </w:t>
      </w:r>
      <w:r w:rsidR="00041553" w:rsidRPr="00221992">
        <w:rPr>
          <w:lang w:val="en-GB"/>
        </w:rPr>
        <w:t xml:space="preserve">a </w:t>
      </w:r>
      <w:r w:rsidRPr="00221992">
        <w:rPr>
          <w:lang w:val="en-GB"/>
        </w:rPr>
        <w:t xml:space="preserve">substantial increase in time for </w:t>
      </w:r>
      <w:r w:rsidR="00213502" w:rsidRPr="00221992">
        <w:rPr>
          <w:lang w:val="en-GB"/>
        </w:rPr>
        <w:t>England/Wales</w:t>
      </w:r>
      <w:r w:rsidRPr="00221992">
        <w:rPr>
          <w:lang w:val="en-GB"/>
        </w:rPr>
        <w:t>, Ireland, Austria, Norway and France. According to the Medicines Australia Report, Australia ranked ahead of three European countries (Spain, Italy and Portugal)</w:t>
      </w:r>
      <w:r w:rsidR="00406AF7" w:rsidRPr="00221992">
        <w:rPr>
          <w:lang w:val="en-GB"/>
        </w:rPr>
        <w:t xml:space="preserve"> </w:t>
      </w:r>
      <w:r w:rsidR="00CF167B" w:rsidRPr="00221992">
        <w:rPr>
          <w:lang w:val="en-GB"/>
        </w:rPr>
        <w:fldChar w:fldCharType="begin"/>
      </w:r>
      <w:r w:rsidR="00112E71">
        <w:rPr>
          <w:lang w:val="en-GB"/>
        </w:rPr>
        <w:instrText xml:space="preserve"> ADDIN EN.CITE &lt;EndNote&gt;&lt;Cite&gt;&lt;Author&gt;Medicines Australia&lt;/Author&gt;&lt;Year&gt;2018&lt;/Year&gt;&lt;RecNum&gt;615&lt;/RecNum&gt;&lt;DisplayText&gt;[46]&lt;/DisplayText&gt;&lt;record&gt;&lt;rec-number&gt;615&lt;/rec-number&gt;&lt;foreign-keys&gt;&lt;key app="EN" db-id="wzwwsfxe4peesxef95cxvrwjxts9rreasarf" timestamp="1692761444"&gt;615&lt;/key&gt;&lt;/foreign-keys&gt;&lt;ref-type name="Report"&gt;27&lt;/ref-type&gt;&lt;contributors&gt;&lt;authors&gt;&lt;author&gt;Medicines Australia,&lt;/author&gt;&lt;/authors&gt;&lt;tertiary-authors&gt;&lt;author&gt;Medicines Australia,&lt;/author&gt;&lt;/tertiary-authors&gt;&lt;/contributors&gt;&lt;titles&gt;&lt;title&gt;Comparison of Access and Reimbursement Environments&lt;/title&gt;&lt;/titles&gt;&lt;dates&gt;&lt;year&gt;2018&lt;/year&gt;&lt;/dates&gt;&lt;pub-location&gt;Deakin&lt;/pub-location&gt;&lt;urls&gt;&lt;/urls&gt;&lt;/record&gt;&lt;/Cite&gt;&lt;/EndNote&gt;</w:instrText>
      </w:r>
      <w:r w:rsidR="00CF167B" w:rsidRPr="00221992">
        <w:rPr>
          <w:lang w:val="en-GB"/>
        </w:rPr>
        <w:fldChar w:fldCharType="separate"/>
      </w:r>
      <w:r w:rsidR="00112E71">
        <w:rPr>
          <w:noProof/>
          <w:lang w:val="en-GB"/>
        </w:rPr>
        <w:t>[46]</w:t>
      </w:r>
      <w:r w:rsidR="00CF167B" w:rsidRPr="00221992">
        <w:rPr>
          <w:lang w:val="en-GB"/>
        </w:rPr>
        <w:fldChar w:fldCharType="end"/>
      </w:r>
      <w:r w:rsidRPr="00221992">
        <w:rPr>
          <w:lang w:val="en-GB"/>
        </w:rPr>
        <w:t>. Compar</w:t>
      </w:r>
      <w:r w:rsidR="00FF1F99" w:rsidRPr="00221992">
        <w:rPr>
          <w:lang w:val="en-GB"/>
        </w:rPr>
        <w:t>ed</w:t>
      </w:r>
      <w:r w:rsidRPr="00221992">
        <w:rPr>
          <w:lang w:val="en-GB"/>
        </w:rPr>
        <w:t xml:space="preserve"> to data in the EFPIA report, Australia ranked 9/15 (ahead of Italy, Belgium, Ireland, Norway, France and Portugal), as shown in</w:t>
      </w:r>
      <w:r w:rsidR="00E47536" w:rsidRPr="00221992">
        <w:rPr>
          <w:lang w:val="en-GB"/>
        </w:rPr>
        <w:t xml:space="preserve"> </w:t>
      </w:r>
      <w:r w:rsidR="00E47536" w:rsidRPr="00221992">
        <w:rPr>
          <w:lang w:val="en-GB"/>
        </w:rPr>
        <w:fldChar w:fldCharType="begin"/>
      </w:r>
      <w:r w:rsidR="00E47536">
        <w:instrText xml:space="preserve"> REF _Ref143592268 \h </w:instrText>
      </w:r>
      <w:r w:rsidR="00E47536" w:rsidRPr="00221992">
        <w:rPr>
          <w:lang w:val="en-GB"/>
        </w:rPr>
      </w:r>
      <w:r w:rsidR="00E47536" w:rsidRPr="00221992">
        <w:rPr>
          <w:lang w:val="en-GB"/>
        </w:rPr>
        <w:fldChar w:fldCharType="separate"/>
      </w:r>
      <w:r w:rsidR="000E11E7" w:rsidRPr="00221992">
        <w:rPr>
          <w:lang w:val="en-GB"/>
        </w:rPr>
        <w:t xml:space="preserve">Figure </w:t>
      </w:r>
      <w:r w:rsidR="000E11E7">
        <w:rPr>
          <w:noProof/>
          <w:lang w:val="en-GB"/>
        </w:rPr>
        <w:t>8</w:t>
      </w:r>
      <w:r w:rsidR="00E47536" w:rsidRPr="00221992">
        <w:rPr>
          <w:lang w:val="en-GB"/>
        </w:rPr>
        <w:fldChar w:fldCharType="end"/>
      </w:r>
      <w:r w:rsidRPr="00221992">
        <w:rPr>
          <w:lang w:val="en-GB"/>
        </w:rPr>
        <w:t>.</w:t>
      </w:r>
    </w:p>
    <w:p w14:paraId="5AF2CBA6" w14:textId="62E53D50" w:rsidR="00E47536" w:rsidRPr="00221992" w:rsidRDefault="00E47536" w:rsidP="001721AB">
      <w:pPr>
        <w:pStyle w:val="Caption"/>
        <w:rPr>
          <w:lang w:val="en-GB"/>
        </w:rPr>
      </w:pPr>
      <w:bookmarkStart w:id="75" w:name="_Ref143592268"/>
      <w:bookmarkStart w:id="76" w:name="_Toc162950915"/>
      <w:r w:rsidRPr="00221992">
        <w:rPr>
          <w:lang w:val="en-GB"/>
        </w:rPr>
        <w:t xml:space="preserve">Figure </w:t>
      </w:r>
      <w:r w:rsidR="003F72DF" w:rsidRPr="00221992">
        <w:rPr>
          <w:lang w:val="en-GB"/>
        </w:rPr>
        <w:fldChar w:fldCharType="begin"/>
      </w:r>
      <w:r w:rsidR="003F72DF" w:rsidRPr="00221992">
        <w:rPr>
          <w:lang w:val="en-GB"/>
        </w:rPr>
        <w:instrText xml:space="preserve"> SEQ Figure \* ARABIC </w:instrText>
      </w:r>
      <w:r w:rsidR="003F72DF" w:rsidRPr="00221992">
        <w:rPr>
          <w:lang w:val="en-GB"/>
        </w:rPr>
        <w:fldChar w:fldCharType="separate"/>
      </w:r>
      <w:r w:rsidR="000E11E7">
        <w:rPr>
          <w:noProof/>
          <w:lang w:val="en-GB"/>
        </w:rPr>
        <w:t>8</w:t>
      </w:r>
      <w:r w:rsidR="003F72DF" w:rsidRPr="00221992">
        <w:rPr>
          <w:noProof/>
          <w:lang w:val="en-GB"/>
        </w:rPr>
        <w:fldChar w:fldCharType="end"/>
      </w:r>
      <w:bookmarkEnd w:id="75"/>
      <w:r w:rsidRPr="00221992">
        <w:rPr>
          <w:lang w:val="en-GB"/>
        </w:rPr>
        <w:t xml:space="preserve">. Mean time </w:t>
      </w:r>
      <w:r w:rsidR="007F0082" w:rsidRPr="00221992">
        <w:rPr>
          <w:lang w:val="en-GB"/>
        </w:rPr>
        <w:t>(days)</w:t>
      </w:r>
      <w:r w:rsidRPr="00221992">
        <w:rPr>
          <w:lang w:val="en-GB"/>
        </w:rPr>
        <w:t xml:space="preserve"> between marketing authorisation and listing for reimbursement</w:t>
      </w:r>
      <w:bookmarkEnd w:id="76"/>
    </w:p>
    <w:p w14:paraId="4A0E3E50" w14:textId="4A95D2AA" w:rsidR="00D95336" w:rsidRPr="00221992" w:rsidRDefault="00AE77F4" w:rsidP="000C66C0">
      <w:pPr>
        <w:rPr>
          <w:lang w:val="en-GB"/>
        </w:rPr>
      </w:pPr>
      <w:r w:rsidRPr="00221992">
        <w:rPr>
          <w:noProof/>
          <w:lang w:val="en-GB"/>
        </w:rPr>
        <w:drawing>
          <wp:inline distT="0" distB="0" distL="0" distR="0" wp14:anchorId="612CEA2B" wp14:editId="11486B6F">
            <wp:extent cx="5850890" cy="4760595"/>
            <wp:effectExtent l="0" t="0" r="16510" b="1905"/>
            <wp:docPr id="620639114" name="Chart 1">
              <a:extLst xmlns:a="http://schemas.openxmlformats.org/drawingml/2006/main">
                <a:ext uri="{FF2B5EF4-FFF2-40B4-BE49-F238E27FC236}">
                  <a16:creationId xmlns:a16="http://schemas.microsoft.com/office/drawing/2014/main" id="{A75774AE-29BD-C5A9-A606-8BFE065E80D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3432BE4B" w14:textId="5536D439" w:rsidR="00D95336" w:rsidRPr="00221992" w:rsidRDefault="00D95336" w:rsidP="00533CF1">
      <w:pPr>
        <w:pStyle w:val="TableNotes"/>
        <w:rPr>
          <w:lang w:val="en-GB"/>
        </w:rPr>
      </w:pPr>
      <w:r w:rsidRPr="00221992">
        <w:rPr>
          <w:lang w:val="en-GB"/>
        </w:rPr>
        <w:t xml:space="preserve">Source: </w:t>
      </w:r>
      <w:r w:rsidR="00E47536" w:rsidRPr="00221992">
        <w:rPr>
          <w:lang w:val="en-GB"/>
        </w:rPr>
        <w:tab/>
      </w:r>
      <w:r w:rsidRPr="00221992">
        <w:rPr>
          <w:lang w:val="en-GB"/>
        </w:rPr>
        <w:t>Extracted from p</w:t>
      </w:r>
      <w:r w:rsidR="009F2B6D" w:rsidRPr="00221992">
        <w:rPr>
          <w:lang w:val="en-GB"/>
        </w:rPr>
        <w:t>.</w:t>
      </w:r>
      <w:r w:rsidRPr="00221992">
        <w:rPr>
          <w:lang w:val="en-GB"/>
        </w:rPr>
        <w:t xml:space="preserve"> 6, Medicines Australia (2018) and p</w:t>
      </w:r>
      <w:r w:rsidR="009F2B6D" w:rsidRPr="00221992">
        <w:rPr>
          <w:lang w:val="en-GB"/>
        </w:rPr>
        <w:t>.</w:t>
      </w:r>
      <w:r w:rsidRPr="00221992">
        <w:rPr>
          <w:lang w:val="en-GB"/>
        </w:rPr>
        <w:t xml:space="preserve"> 9, IQVIA (2021)</w:t>
      </w:r>
    </w:p>
    <w:p w14:paraId="66821E53" w14:textId="06C58D0C" w:rsidR="00D95336" w:rsidRPr="00221992" w:rsidRDefault="00E47536" w:rsidP="00533CF1">
      <w:pPr>
        <w:pStyle w:val="TableNotes"/>
        <w:rPr>
          <w:lang w:val="en-GB"/>
        </w:rPr>
      </w:pPr>
      <w:r w:rsidRPr="00221992">
        <w:rPr>
          <w:lang w:val="en-GB"/>
        </w:rPr>
        <w:t>Acronyms:</w:t>
      </w:r>
      <w:r w:rsidRPr="00221992">
        <w:rPr>
          <w:lang w:val="en-GB"/>
        </w:rPr>
        <w:tab/>
      </w:r>
      <w:r w:rsidR="00D95336" w:rsidRPr="00221992">
        <w:rPr>
          <w:lang w:val="en-GB"/>
        </w:rPr>
        <w:t>EFPA</w:t>
      </w:r>
      <w:r w:rsidR="00131604" w:rsidRPr="00221992">
        <w:rPr>
          <w:lang w:val="en-GB"/>
        </w:rPr>
        <w:t>,</w:t>
      </w:r>
      <w:r w:rsidR="00D95336" w:rsidRPr="00221992">
        <w:rPr>
          <w:lang w:val="en-GB"/>
        </w:rPr>
        <w:t xml:space="preserve"> European Federation of Pharmaceutical Industries and Associations</w:t>
      </w:r>
    </w:p>
    <w:p w14:paraId="7D96B2DE" w14:textId="65291AE1" w:rsidR="00D95336" w:rsidRPr="00221992" w:rsidRDefault="00D95336" w:rsidP="00533CF1">
      <w:pPr>
        <w:pStyle w:val="TableNotes"/>
        <w:rPr>
          <w:lang w:val="en-GB"/>
        </w:rPr>
      </w:pPr>
      <w:r w:rsidRPr="00221992">
        <w:rPr>
          <w:lang w:val="en-GB"/>
        </w:rPr>
        <w:t>Note</w:t>
      </w:r>
      <w:r w:rsidR="00E47536" w:rsidRPr="00221992">
        <w:rPr>
          <w:lang w:val="en-GB"/>
        </w:rPr>
        <w:t>s</w:t>
      </w:r>
      <w:r w:rsidRPr="00221992">
        <w:rPr>
          <w:lang w:val="en-GB"/>
        </w:rPr>
        <w:t>:</w:t>
      </w:r>
      <w:r w:rsidR="00E47536" w:rsidRPr="00221992">
        <w:rPr>
          <w:lang w:val="en-GB"/>
        </w:rPr>
        <w:tab/>
      </w:r>
      <w:r w:rsidR="00615112" w:rsidRPr="00221992">
        <w:rPr>
          <w:lang w:val="en-GB"/>
        </w:rPr>
        <w:t xml:space="preserve">Medicines Australia report compared to the EFPIA report, matched for similar timeframes. </w:t>
      </w:r>
      <w:r w:rsidRPr="00221992">
        <w:rPr>
          <w:lang w:val="en-GB"/>
        </w:rPr>
        <w:t>In the UK, MHRA</w:t>
      </w:r>
      <w:r w:rsidR="00551786">
        <w:rPr>
          <w:lang w:val="en-GB"/>
        </w:rPr>
        <w:t>’</w:t>
      </w:r>
      <w:r w:rsidRPr="00221992">
        <w:rPr>
          <w:lang w:val="en-GB"/>
        </w:rPr>
        <w:t>s Early Access to Medicines Scheme provides access prior to marketing authorisation but is</w:t>
      </w:r>
      <w:r w:rsidR="00E47536" w:rsidRPr="00221992">
        <w:rPr>
          <w:lang w:val="en-GB"/>
        </w:rPr>
        <w:t xml:space="preserve"> </w:t>
      </w:r>
      <w:r w:rsidRPr="00221992">
        <w:rPr>
          <w:lang w:val="en-GB"/>
        </w:rPr>
        <w:t>not included within this analysis, and would reduce the overall days for a small subset of medicines.</w:t>
      </w:r>
    </w:p>
    <w:p w14:paraId="0476AB72" w14:textId="7692874A" w:rsidR="00D95336" w:rsidRPr="00221992" w:rsidRDefault="00D95336" w:rsidP="00CF3901">
      <w:pPr>
        <w:rPr>
          <w:lang w:val="en-GB"/>
        </w:rPr>
      </w:pPr>
      <w:bookmarkStart w:id="77" w:name="_Ref143252030"/>
      <w:r w:rsidRPr="00221992">
        <w:rPr>
          <w:lang w:val="en-GB"/>
        </w:rPr>
        <w:t xml:space="preserve">The earliest possible outcome of HTA evaluations throughout </w:t>
      </w:r>
      <w:r w:rsidR="00FD3C60">
        <w:rPr>
          <w:lang w:val="en-GB"/>
        </w:rPr>
        <w:t xml:space="preserve">a selection of </w:t>
      </w:r>
      <w:r w:rsidRPr="00221992">
        <w:rPr>
          <w:lang w:val="en-GB"/>
        </w:rPr>
        <w:t xml:space="preserve">comparator countries is </w:t>
      </w:r>
      <w:r w:rsidR="00FD3C60">
        <w:rPr>
          <w:lang w:val="en-GB"/>
        </w:rPr>
        <w:t>presented</w:t>
      </w:r>
      <w:r w:rsidR="00FD3C60" w:rsidRPr="00221992">
        <w:rPr>
          <w:lang w:val="en-GB"/>
        </w:rPr>
        <w:t xml:space="preserve"> </w:t>
      </w:r>
      <w:r w:rsidRPr="00221992">
        <w:rPr>
          <w:lang w:val="en-GB"/>
        </w:rPr>
        <w:t>in</w:t>
      </w:r>
      <w:r w:rsidR="00CF167B" w:rsidRPr="00221992">
        <w:rPr>
          <w:lang w:val="en-GB"/>
        </w:rPr>
        <w:t xml:space="preserve"> </w:t>
      </w:r>
      <w:r w:rsidR="00CF167B" w:rsidRPr="00221992">
        <w:rPr>
          <w:lang w:val="en-GB"/>
        </w:rPr>
        <w:fldChar w:fldCharType="begin"/>
      </w:r>
      <w:r w:rsidR="00CF167B">
        <w:instrText xml:space="preserve"> REF _Ref143691598 \h </w:instrText>
      </w:r>
      <w:r w:rsidR="00CF167B" w:rsidRPr="00221992">
        <w:rPr>
          <w:lang w:val="en-GB"/>
        </w:rPr>
      </w:r>
      <w:r w:rsidR="00CF167B" w:rsidRPr="00221992">
        <w:rPr>
          <w:lang w:val="en-GB"/>
        </w:rPr>
        <w:fldChar w:fldCharType="separate"/>
      </w:r>
      <w:r w:rsidR="000E11E7" w:rsidRPr="00221992">
        <w:rPr>
          <w:lang w:val="en-GB"/>
        </w:rPr>
        <w:t xml:space="preserve">Table </w:t>
      </w:r>
      <w:r w:rsidR="000E11E7">
        <w:rPr>
          <w:noProof/>
        </w:rPr>
        <w:t>11</w:t>
      </w:r>
      <w:r w:rsidR="00CF167B" w:rsidRPr="00221992">
        <w:rPr>
          <w:lang w:val="en-GB"/>
        </w:rPr>
        <w:fldChar w:fldCharType="end"/>
      </w:r>
      <w:r w:rsidRPr="00221992">
        <w:rPr>
          <w:lang w:val="en-GB"/>
        </w:rPr>
        <w:t>.</w:t>
      </w:r>
      <w:bookmarkEnd w:id="77"/>
    </w:p>
    <w:p w14:paraId="6EA516C4" w14:textId="7033A32D" w:rsidR="00CF3901" w:rsidRPr="00221992" w:rsidRDefault="00CF3901" w:rsidP="001721AB">
      <w:pPr>
        <w:pStyle w:val="Caption"/>
        <w:rPr>
          <w:lang w:val="en-GB"/>
        </w:rPr>
      </w:pPr>
      <w:bookmarkStart w:id="78" w:name="_Ref143691598"/>
      <w:bookmarkStart w:id="79" w:name="_Toc162950958"/>
      <w:r w:rsidRPr="00221992">
        <w:rPr>
          <w:lang w:val="en-GB"/>
        </w:rPr>
        <w:t xml:space="preserve">Table </w:t>
      </w:r>
      <w:r w:rsidRPr="00221992">
        <w:rPr>
          <w:lang w:val="en-GB"/>
        </w:rPr>
        <w:fldChar w:fldCharType="begin"/>
      </w:r>
      <w:r>
        <w:instrText>SEQ Table \* ARABIC</w:instrText>
      </w:r>
      <w:r w:rsidRPr="00221992">
        <w:rPr>
          <w:lang w:val="en-GB"/>
        </w:rPr>
        <w:fldChar w:fldCharType="separate"/>
      </w:r>
      <w:r w:rsidR="000E11E7">
        <w:rPr>
          <w:noProof/>
        </w:rPr>
        <w:t>11</w:t>
      </w:r>
      <w:r w:rsidRPr="00221992">
        <w:rPr>
          <w:lang w:val="en-GB"/>
        </w:rPr>
        <w:fldChar w:fldCharType="end"/>
      </w:r>
      <w:bookmarkEnd w:id="78"/>
      <w:r w:rsidRPr="00221992">
        <w:rPr>
          <w:lang w:val="en-GB"/>
        </w:rPr>
        <w:t>. Earliest possible recommendation from commencement of HTA</w:t>
      </w:r>
      <w:bookmarkEnd w:id="79"/>
    </w:p>
    <w:tbl>
      <w:tblPr>
        <w:tblStyle w:val="LinedBlueTable"/>
        <w:tblW w:w="0" w:type="auto"/>
        <w:tblLook w:val="04A0" w:firstRow="1" w:lastRow="0" w:firstColumn="1" w:lastColumn="0" w:noHBand="0" w:noVBand="1"/>
        <w:tblCaption w:val="earliest possible recommendation from commencement of HTA"/>
      </w:tblPr>
      <w:tblGrid>
        <w:gridCol w:w="835"/>
        <w:gridCol w:w="7571"/>
        <w:gridCol w:w="98"/>
      </w:tblGrid>
      <w:tr w:rsidR="00D95336" w:rsidRPr="00221992" w14:paraId="56062047" w14:textId="77777777" w:rsidTr="17B665DC">
        <w:trPr>
          <w:gridAfter w:val="1"/>
          <w:cnfStyle w:val="100000000000" w:firstRow="1" w:lastRow="0" w:firstColumn="0" w:lastColumn="0" w:oddVBand="0" w:evenVBand="0" w:oddHBand="0" w:evenHBand="0" w:firstRowFirstColumn="0" w:firstRowLastColumn="0" w:lastRowFirstColumn="0" w:lastRowLastColumn="0"/>
          <w:wAfter w:w="108" w:type="dxa"/>
        </w:trPr>
        <w:tc>
          <w:tcPr>
            <w:cnfStyle w:val="001000000000" w:firstRow="0" w:lastRow="0" w:firstColumn="1" w:lastColumn="0" w:oddVBand="0" w:evenVBand="0" w:oddHBand="0" w:evenHBand="0" w:firstRowFirstColumn="0" w:firstRowLastColumn="0" w:lastRowFirstColumn="0" w:lastRowLastColumn="0"/>
            <w:tcW w:w="840" w:type="dxa"/>
            <w:shd w:val="clear" w:color="auto" w:fill="000000" w:themeFill="text1"/>
          </w:tcPr>
          <w:p w14:paraId="579BE591" w14:textId="77777777" w:rsidR="00D95336" w:rsidRPr="00221992" w:rsidRDefault="00D95336" w:rsidP="009F2B6D">
            <w:pPr>
              <w:spacing w:after="0" w:line="240" w:lineRule="auto"/>
              <w:rPr>
                <w:rFonts w:ascii="Calibri" w:hAnsi="Calibri" w:cs="Calibri"/>
                <w:sz w:val="20"/>
                <w:szCs w:val="20"/>
                <w:lang w:val="en-GB"/>
              </w:rPr>
            </w:pPr>
            <w:r w:rsidRPr="00221992">
              <w:rPr>
                <w:rFonts w:ascii="Calibri" w:hAnsi="Calibri" w:cs="Calibri"/>
                <w:sz w:val="20"/>
                <w:szCs w:val="20"/>
                <w:lang w:val="en-GB"/>
              </w:rPr>
              <w:t>Month</w:t>
            </w:r>
          </w:p>
        </w:tc>
        <w:tc>
          <w:tcPr>
            <w:tcW w:w="8176" w:type="dxa"/>
            <w:shd w:val="clear" w:color="auto" w:fill="1E8BCD"/>
          </w:tcPr>
          <w:p w14:paraId="12C2CB83" w14:textId="77777777" w:rsidR="00D95336" w:rsidRPr="00221992" w:rsidRDefault="00D95336" w:rsidP="009F2B6D">
            <w:pPr>
              <w:spacing w:after="0" w:line="240" w:lineRule="auto"/>
              <w:cnfStyle w:val="100000000000" w:firstRow="1" w:lastRow="0" w:firstColumn="0" w:lastColumn="0" w:oddVBand="0" w:evenVBand="0" w:oddHBand="0" w:evenHBand="0" w:firstRowFirstColumn="0" w:firstRowLastColumn="0" w:lastRowFirstColumn="0" w:lastRowLastColumn="0"/>
              <w:rPr>
                <w:rFonts w:ascii="Calibri" w:hAnsi="Calibri" w:cs="Calibri"/>
                <w:sz w:val="20"/>
                <w:szCs w:val="20"/>
                <w:lang w:val="en-GB"/>
              </w:rPr>
            </w:pPr>
            <w:r w:rsidRPr="00221992">
              <w:rPr>
                <w:rFonts w:ascii="Calibri" w:hAnsi="Calibri" w:cs="Calibri"/>
                <w:sz w:val="20"/>
                <w:szCs w:val="20"/>
                <w:lang w:val="en-GB"/>
              </w:rPr>
              <w:t>Earliest possible recommendation from commencement of HTA</w:t>
            </w:r>
          </w:p>
        </w:tc>
      </w:tr>
      <w:tr w:rsidR="00D95336" w:rsidRPr="00221992" w14:paraId="3392F8FC" w14:textId="77777777" w:rsidTr="17B665DC">
        <w:tc>
          <w:tcPr>
            <w:cnfStyle w:val="001000000000" w:firstRow="0" w:lastRow="0" w:firstColumn="1" w:lastColumn="0" w:oddVBand="0" w:evenVBand="0" w:oddHBand="0" w:evenHBand="0" w:firstRowFirstColumn="0" w:firstRowLastColumn="0" w:lastRowFirstColumn="0" w:lastRowLastColumn="0"/>
            <w:tcW w:w="840" w:type="dxa"/>
            <w:shd w:val="clear" w:color="auto" w:fill="1E8BCD"/>
          </w:tcPr>
          <w:p w14:paraId="44112CC5" w14:textId="77777777" w:rsidR="00D95336" w:rsidRPr="00221992" w:rsidRDefault="00D95336" w:rsidP="009F2B6D">
            <w:pPr>
              <w:spacing w:after="0" w:line="240" w:lineRule="auto"/>
              <w:rPr>
                <w:rFonts w:cs="Calibri Light"/>
                <w:sz w:val="20"/>
                <w:szCs w:val="20"/>
                <w:lang w:val="en-GB"/>
              </w:rPr>
            </w:pPr>
            <w:r w:rsidRPr="00221992">
              <w:rPr>
                <w:rFonts w:cs="Calibri Light"/>
                <w:sz w:val="20"/>
                <w:szCs w:val="20"/>
                <w:lang w:val="en-GB"/>
              </w:rPr>
              <w:t>1</w:t>
            </w:r>
          </w:p>
        </w:tc>
        <w:tc>
          <w:tcPr>
            <w:tcW w:w="8176" w:type="dxa"/>
            <w:gridSpan w:val="2"/>
          </w:tcPr>
          <w:p w14:paraId="61EF4766" w14:textId="77777777" w:rsidR="00D95336" w:rsidRPr="00221992" w:rsidRDefault="00D95336" w:rsidP="009F2B6D">
            <w:pPr>
              <w:spacing w:after="0" w:line="240" w:lineRule="auto"/>
              <w:cnfStyle w:val="000000000000" w:firstRow="0" w:lastRow="0" w:firstColumn="0" w:lastColumn="0" w:oddVBand="0" w:evenVBand="0" w:oddHBand="0" w:evenHBand="0" w:firstRowFirstColumn="0" w:firstRowLastColumn="0" w:lastRowFirstColumn="0" w:lastRowLastColumn="0"/>
              <w:rPr>
                <w:rFonts w:cs="Calibri Light"/>
                <w:sz w:val="20"/>
                <w:szCs w:val="20"/>
                <w:lang w:val="en-GB"/>
              </w:rPr>
            </w:pPr>
          </w:p>
        </w:tc>
      </w:tr>
      <w:tr w:rsidR="00D95336" w:rsidRPr="00221992" w14:paraId="34DB0C2A" w14:textId="77777777" w:rsidTr="17B665D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0" w:type="dxa"/>
            <w:shd w:val="clear" w:color="auto" w:fill="1E8BCD"/>
          </w:tcPr>
          <w:p w14:paraId="2866A8BA" w14:textId="77777777" w:rsidR="00D95336" w:rsidRPr="00221992" w:rsidRDefault="00D95336" w:rsidP="009F2B6D">
            <w:pPr>
              <w:spacing w:after="0" w:line="240" w:lineRule="auto"/>
              <w:rPr>
                <w:rFonts w:cs="Calibri Light"/>
                <w:sz w:val="20"/>
                <w:szCs w:val="20"/>
                <w:lang w:val="en-GB"/>
              </w:rPr>
            </w:pPr>
            <w:r w:rsidRPr="00221992">
              <w:rPr>
                <w:rFonts w:cs="Calibri Light"/>
                <w:sz w:val="20"/>
                <w:szCs w:val="20"/>
                <w:lang w:val="en-GB"/>
              </w:rPr>
              <w:t>2</w:t>
            </w:r>
          </w:p>
        </w:tc>
        <w:tc>
          <w:tcPr>
            <w:tcW w:w="8176" w:type="dxa"/>
            <w:gridSpan w:val="2"/>
          </w:tcPr>
          <w:p w14:paraId="05639E7F" w14:textId="2F65F74B" w:rsidR="00D95336" w:rsidRPr="00221992" w:rsidRDefault="00D95336" w:rsidP="009F2B6D">
            <w:pPr>
              <w:spacing w:after="0" w:line="240" w:lineRule="auto"/>
              <w:cnfStyle w:val="000000010000" w:firstRow="0" w:lastRow="0" w:firstColumn="0" w:lastColumn="0" w:oddVBand="0" w:evenVBand="0" w:oddHBand="0" w:evenHBand="1" w:firstRowFirstColumn="0" w:firstRowLastColumn="0" w:lastRowFirstColumn="0" w:lastRowLastColumn="0"/>
              <w:rPr>
                <w:rFonts w:cs="Calibri Light"/>
                <w:sz w:val="20"/>
                <w:szCs w:val="20"/>
                <w:lang w:val="en-GB"/>
              </w:rPr>
            </w:pPr>
            <w:r w:rsidRPr="00221992">
              <w:rPr>
                <w:rFonts w:cs="Calibri Light"/>
                <w:sz w:val="20"/>
                <w:szCs w:val="20"/>
                <w:lang w:val="en-GB"/>
              </w:rPr>
              <w:t>Singapore (2 to 3 months, expedited evaluation)</w:t>
            </w:r>
            <w:r w:rsidR="00C321E7" w:rsidRPr="00221992">
              <w:rPr>
                <w:rFonts w:cs="Calibri Light"/>
                <w:sz w:val="20"/>
                <w:szCs w:val="20"/>
                <w:lang w:val="en-GB"/>
              </w:rPr>
              <w:t xml:space="preserve"> </w:t>
            </w:r>
            <w:r w:rsidRPr="00221992">
              <w:rPr>
                <w:rFonts w:cs="Calibri Light"/>
                <w:sz w:val="20"/>
                <w:szCs w:val="20"/>
                <w:lang w:val="en-GB"/>
              </w:rPr>
              <w:fldChar w:fldCharType="begin"/>
            </w:r>
            <w:r w:rsidR="009138A2" w:rsidRPr="00221992">
              <w:rPr>
                <w:rFonts w:cs="Calibri Light"/>
                <w:sz w:val="20"/>
                <w:szCs w:val="20"/>
                <w:lang w:val="en-GB"/>
              </w:rPr>
              <w:instrText xml:space="preserve"> ADDIN EN.CITE &lt;EndNote&gt;&lt;Cite Hidden="1"&gt;&lt;Author&gt;Agency for Care Effectiveness (ACE)&lt;/Author&gt;&lt;Year&gt;2021&lt;/Year&gt;&lt;RecNum&gt;2&lt;/RecNum&gt;&lt;record&gt;&lt;rec-number&gt;2&lt;/rec-number&gt;&lt;foreign-keys&gt;&lt;key app="EN" db-id="wzwwsfxe4peesxef95cxvrwjxts9rreasarf" timestamp="1692654670"&gt;2&lt;/key&gt;&lt;/foreign-keys&gt;&lt;ref-type name="Report"&gt;27&lt;/ref-type&gt;&lt;contributors&gt;&lt;authors&gt;&lt;author&gt;Agency for Care Effectiveness (ACE),&lt;/author&gt;&lt;/authors&gt;&lt;tertiary-authors&gt;&lt;author&gt;Ministry of Health Singapore,, Agency for Care Effectiveness (ACE)&lt;/author&gt;&lt;/tertiary-authors&gt;&lt;/contributors&gt;&lt;titles&gt;&lt;title&gt;Drug and Vaccine Evaluation Methods and Process Guide&lt;/title&gt;&lt;/titles&gt;&lt;dates&gt;&lt;year&gt;2021&lt;/year&gt;&lt;/dates&gt;&lt;pub-location&gt;Singapore&lt;/pub-location&gt;&lt;urls&gt;&lt;related-urls&gt;&lt;url&gt;https://www.ace-hta.gov.sg/docs/default-source/process-methods/drug-and-vaccine-evaluation-methods-and-process-guide-version-3-(28-june-2021).pdf&lt;/url&gt;&lt;/related-urls&gt;&lt;/urls&gt;&lt;/record&gt;&lt;/Cite&gt;&lt;Cite&gt;&lt;Author&gt;Agency for Care Effectiveness (ACE)&lt;/Author&gt;&lt;Year&gt;2021&lt;/Year&gt;&lt;RecNum&gt;2&lt;/RecNum&gt;&lt;record&gt;&lt;rec-number&gt;2&lt;/rec-number&gt;&lt;foreign-keys&gt;&lt;key app="EN" db-id="wzwwsfxe4peesxef95cxvrwjxts9rreasarf" timestamp="1692654670"&gt;2&lt;/key&gt;&lt;/foreign-keys&gt;&lt;ref-type name="Report"&gt;27&lt;/ref-type&gt;&lt;contributors&gt;&lt;authors&gt;&lt;author&gt;Agency for Care Effectiveness (ACE),&lt;/author&gt;&lt;/authors&gt;&lt;tertiary-authors&gt;&lt;author&gt;Ministry of Health Singapore,, Agency for Care Effectiveness (ACE)&lt;/author&gt;&lt;/tertiary-authors&gt;&lt;/contributors&gt;&lt;titles&gt;&lt;title&gt;Drug and Vaccine Evaluation Methods and Process Guide&lt;/title&gt;&lt;/titles&gt;&lt;dates&gt;&lt;year&gt;2021&lt;/year&gt;&lt;/dates&gt;&lt;pub-location&gt;Singapore&lt;/pub-location&gt;&lt;urls&gt;&lt;related-urls&gt;&lt;url&gt;https://www.ace-hta.gov.sg/docs/default-source/process-methods/drug-and-vaccine-evaluation-methods-and-process-guide-version-3-(28-june-2021).pdf&lt;/url&gt;&lt;/related-urls&gt;&lt;/urls&gt;&lt;/record&gt;&lt;/Cite&gt;&lt;/EndNote&gt;</w:instrText>
            </w:r>
            <w:r w:rsidRPr="00221992">
              <w:rPr>
                <w:rFonts w:cs="Calibri Light"/>
                <w:sz w:val="20"/>
                <w:szCs w:val="20"/>
                <w:lang w:val="en-GB"/>
              </w:rPr>
              <w:fldChar w:fldCharType="end"/>
            </w:r>
          </w:p>
          <w:p w14:paraId="59C42715" w14:textId="28388299" w:rsidR="00D95336" w:rsidRPr="00221992" w:rsidRDefault="00D95336" w:rsidP="009F2B6D">
            <w:pPr>
              <w:spacing w:after="0" w:line="240" w:lineRule="auto"/>
              <w:cnfStyle w:val="000000010000" w:firstRow="0" w:lastRow="0" w:firstColumn="0" w:lastColumn="0" w:oddVBand="0" w:evenVBand="0" w:oddHBand="0" w:evenHBand="1" w:firstRowFirstColumn="0" w:firstRowLastColumn="0" w:lastRowFirstColumn="0" w:lastRowLastColumn="0"/>
              <w:rPr>
                <w:rFonts w:cs="Calibri Light"/>
                <w:sz w:val="20"/>
                <w:szCs w:val="20"/>
                <w:lang w:val="en-GB"/>
              </w:rPr>
            </w:pPr>
            <w:r w:rsidRPr="00221992">
              <w:rPr>
                <w:rFonts w:cs="Calibri Light"/>
                <w:sz w:val="20"/>
                <w:szCs w:val="20"/>
                <w:lang w:val="en-GB"/>
              </w:rPr>
              <w:t>Taiwan (42 days to generate HTA report)</w:t>
            </w:r>
            <w:r w:rsidR="002F02D7" w:rsidRPr="00221992">
              <w:rPr>
                <w:rFonts w:cs="Calibri Light"/>
                <w:sz w:val="20"/>
                <w:szCs w:val="20"/>
                <w:lang w:val="en-GB"/>
              </w:rPr>
              <w:t xml:space="preserve"> </w:t>
            </w:r>
            <w:r w:rsidRPr="00221992">
              <w:rPr>
                <w:rFonts w:cs="Calibri Light"/>
                <w:sz w:val="20"/>
                <w:szCs w:val="20"/>
                <w:lang w:val="en-GB"/>
              </w:rPr>
              <w:fldChar w:fldCharType="begin"/>
            </w:r>
            <w:r w:rsidR="00112E71">
              <w:rPr>
                <w:rFonts w:cs="Calibri Light"/>
                <w:sz w:val="20"/>
                <w:szCs w:val="20"/>
                <w:lang w:val="en-GB"/>
              </w:rPr>
              <w:instrText xml:space="preserve"> ADDIN EN.CITE &lt;EndNote&gt;&lt;Cite Hidden="1"&gt;&lt;Author&gt;Center for Drug Evaluation&lt;/Author&gt;&lt;Year&gt;2018&lt;/Year&gt;&lt;RecNum&gt;78&lt;/RecNum&gt;&lt;DisplayText&gt;[48]&lt;/DisplayText&gt;&lt;record&gt;&lt;rec-number&gt;78&lt;/rec-number&gt;&lt;foreign-keys&gt;&lt;key app="EN" db-id="wzwwsfxe4peesxef95cxvrwjxts9rreasarf" timestamp="1692654670"&gt;78&lt;/key&gt;&lt;/foreign-keys&gt;&lt;ref-type name="Web Page"&gt;12&lt;/ref-type&gt;&lt;contributors&gt;&lt;authors&gt;&lt;author&gt;Center for Drug Evaluation,, Taiwan&lt;/author&gt;&lt;/authors&gt;&lt;/contributors&gt;&lt;titles&gt;&lt;title&gt;Health Technology Assessment&lt;/title&gt;&lt;/titles&gt;&lt;number&gt;23 August 2023&lt;/number&gt;&lt;dates&gt;&lt;year&gt;2018&lt;/year&gt;&lt;/dates&gt;&lt;urls&gt;&lt;related-urls&gt;&lt;url&gt;https://www.cde.org.tw/eng/HTA/&lt;/url&gt;&lt;/related-urls&gt;&lt;/urls&gt;&lt;/record&gt;&lt;/Cite&gt;&lt;Cite&gt;&lt;Author&gt;Department of Health and Aged Care&lt;/Author&gt;&lt;Year&gt;2023&lt;/Year&gt;&lt;RecNum&gt;383&lt;/RecNum&gt;&lt;record&gt;&lt;rec-number&gt;383&lt;/rec-number&gt;&lt;foreign-keys&gt;&lt;key app="EN" db-id="wzwwsfxe4peesxef95cxvrwjxts9rreasarf" timestamp="1692654670"&gt;383&lt;/key&gt;&lt;/foreign-keys&gt;&lt;ref-type name="Government Document"&gt;46&lt;/ref-type&gt;&lt;contributors&gt;&lt;authors&gt;&lt;author&gt;Department of Health and Aged Care,&lt;/author&gt;&lt;/authors&gt;&lt;/contributors&gt;&lt;titles&gt;&lt;title&gt;PBAC Cycle Timeframe for 2023 - 2024&lt;/title&gt;&lt;/titles&gt;&lt;dates&gt;&lt;year&gt;2023&lt;/year&gt;&lt;/dates&gt;&lt;pub-location&gt;Canberra&lt;/pub-location&gt;&lt;publisher&gt;Australian Government, Department of Health and Aged Care.&lt;/publisher&gt;&lt;urls&gt;&lt;related-urls&gt;&lt;url&gt;https://www.pbs.gov.au/info/industry/useful-resources/pbs-calendar&lt;/url&gt;&lt;/related-urls&gt;&lt;/urls&gt;&lt;/record&gt;&lt;/Cite&gt;&lt;/EndNote&gt;</w:instrText>
            </w:r>
            <w:r w:rsidRPr="00221992">
              <w:rPr>
                <w:rFonts w:cs="Calibri Light"/>
                <w:sz w:val="20"/>
                <w:szCs w:val="20"/>
                <w:lang w:val="en-GB"/>
              </w:rPr>
              <w:fldChar w:fldCharType="separate"/>
            </w:r>
            <w:r w:rsidR="00112E71">
              <w:rPr>
                <w:rFonts w:cs="Calibri Light"/>
                <w:noProof/>
                <w:sz w:val="20"/>
                <w:szCs w:val="20"/>
                <w:lang w:val="en-GB"/>
              </w:rPr>
              <w:t>[48]</w:t>
            </w:r>
            <w:r w:rsidRPr="00221992">
              <w:rPr>
                <w:rFonts w:cs="Calibri Light"/>
                <w:sz w:val="20"/>
                <w:szCs w:val="20"/>
                <w:lang w:val="en-GB"/>
              </w:rPr>
              <w:fldChar w:fldCharType="end"/>
            </w:r>
          </w:p>
          <w:p w14:paraId="551C2C44" w14:textId="32C18C70" w:rsidR="00D95336" w:rsidRPr="00221992" w:rsidRDefault="00D95336" w:rsidP="009F2B6D">
            <w:pPr>
              <w:spacing w:after="0" w:line="240" w:lineRule="auto"/>
              <w:cnfStyle w:val="000000010000" w:firstRow="0" w:lastRow="0" w:firstColumn="0" w:lastColumn="0" w:oddVBand="0" w:evenVBand="0" w:oddHBand="0" w:evenHBand="1" w:firstRowFirstColumn="0" w:firstRowLastColumn="0" w:lastRowFirstColumn="0" w:lastRowLastColumn="0"/>
              <w:rPr>
                <w:rFonts w:cs="Calibri Light"/>
                <w:sz w:val="20"/>
                <w:szCs w:val="20"/>
                <w:lang w:val="en-GB"/>
              </w:rPr>
            </w:pPr>
            <w:r w:rsidRPr="00221992">
              <w:rPr>
                <w:rFonts w:cs="Calibri Light"/>
                <w:sz w:val="20"/>
                <w:szCs w:val="20"/>
                <w:lang w:val="en-GB"/>
              </w:rPr>
              <w:t>Italy (inclusion in the C-nn class allowing sales; the price negotiation can take up to 6 months)</w:t>
            </w:r>
            <w:r w:rsidR="00CF3901" w:rsidRPr="00221992">
              <w:rPr>
                <w:rFonts w:cs="Calibri Light"/>
                <w:sz w:val="20"/>
                <w:szCs w:val="20"/>
                <w:lang w:val="en-GB"/>
              </w:rPr>
              <w:t xml:space="preserve"> </w:t>
            </w:r>
            <w:r w:rsidRPr="00221992">
              <w:rPr>
                <w:rFonts w:cs="Calibri Light"/>
                <w:sz w:val="20"/>
                <w:szCs w:val="20"/>
                <w:lang w:val="en-GB"/>
              </w:rPr>
              <w:fldChar w:fldCharType="begin"/>
            </w:r>
            <w:r w:rsidR="00112E71">
              <w:rPr>
                <w:rFonts w:cs="Calibri Light"/>
                <w:sz w:val="20"/>
                <w:szCs w:val="20"/>
                <w:lang w:val="en-GB"/>
              </w:rPr>
              <w:instrText xml:space="preserve"> ADDIN EN.CITE &lt;EndNote&gt;&lt;Cite&gt;&lt;Author&gt;Selletti&lt;/Author&gt;&lt;Year&gt;2022&lt;/Year&gt;&lt;RecNum&gt;433&lt;/RecNum&gt;&lt;DisplayText&gt;[33]&lt;/DisplayText&gt;&lt;record&gt;&lt;rec-number&gt;433&lt;/rec-number&gt;&lt;foreign-keys&gt;&lt;key app="EN" db-id="wzwwsfxe4peesxef95cxvrwjxts9rreasarf" timestamp="1692654670"&gt;433&lt;/key&gt;&lt;/foreign-keys&gt;&lt;ref-type name="Web Page"&gt;12&lt;/ref-type&gt;&lt;contributors&gt;&lt;authors&gt;&lt;author&gt;Selletti, S.&lt;/author&gt;&lt;author&gt;Putignano, M.&lt;/author&gt;&lt;author&gt;Tiboni, F.&lt;/author&gt;&lt;/authors&gt;&lt;/contributors&gt;&lt;titles&gt;&lt;title&gt;Pricing &amp;amp; Reimbursement Laws and Regulations 2022 - Italy&lt;/title&gt;&lt;/titles&gt;&lt;number&gt;23 August 2023&lt;/number&gt;&lt;dates&gt;&lt;year&gt;2022&lt;/year&gt;&lt;/dates&gt;&lt;publisher&gt;Global Legal Insights&lt;/publisher&gt;&lt;urls&gt;&lt;related-urls&gt;&lt;url&gt;https://www.globallegalinsights.com/practice-areas/pricing-and-reimbursement-laws-and-regulations/italy&lt;/url&gt;&lt;/related-urls&gt;&lt;/urls&gt;&lt;/record&gt;&lt;/Cite&gt;&lt;/EndNote&gt;</w:instrText>
            </w:r>
            <w:r w:rsidRPr="00221992">
              <w:rPr>
                <w:rFonts w:cs="Calibri Light"/>
                <w:sz w:val="20"/>
                <w:szCs w:val="20"/>
                <w:lang w:val="en-GB"/>
              </w:rPr>
              <w:fldChar w:fldCharType="separate"/>
            </w:r>
            <w:r w:rsidR="00112E71">
              <w:rPr>
                <w:rFonts w:cs="Calibri Light"/>
                <w:noProof/>
                <w:sz w:val="20"/>
                <w:szCs w:val="20"/>
                <w:lang w:val="en-GB"/>
              </w:rPr>
              <w:t>[33]</w:t>
            </w:r>
            <w:r w:rsidRPr="00221992">
              <w:rPr>
                <w:rFonts w:cs="Calibri Light"/>
                <w:sz w:val="20"/>
                <w:szCs w:val="20"/>
                <w:lang w:val="en-GB"/>
              </w:rPr>
              <w:fldChar w:fldCharType="end"/>
            </w:r>
          </w:p>
        </w:tc>
      </w:tr>
      <w:tr w:rsidR="00D95336" w:rsidRPr="00221992" w14:paraId="5B7D7385" w14:textId="77777777" w:rsidTr="17B665DC">
        <w:tc>
          <w:tcPr>
            <w:cnfStyle w:val="001000000000" w:firstRow="0" w:lastRow="0" w:firstColumn="1" w:lastColumn="0" w:oddVBand="0" w:evenVBand="0" w:oddHBand="0" w:evenHBand="0" w:firstRowFirstColumn="0" w:firstRowLastColumn="0" w:lastRowFirstColumn="0" w:lastRowLastColumn="0"/>
            <w:tcW w:w="840" w:type="dxa"/>
            <w:shd w:val="clear" w:color="auto" w:fill="1E8BCD"/>
          </w:tcPr>
          <w:p w14:paraId="526E6A78" w14:textId="77777777" w:rsidR="00D95336" w:rsidRPr="00221992" w:rsidRDefault="00D95336" w:rsidP="009F2B6D">
            <w:pPr>
              <w:spacing w:after="0" w:line="240" w:lineRule="auto"/>
              <w:rPr>
                <w:rFonts w:cs="Calibri Light"/>
                <w:sz w:val="20"/>
                <w:szCs w:val="20"/>
                <w:lang w:val="en-GB"/>
              </w:rPr>
            </w:pPr>
            <w:r w:rsidRPr="00221992">
              <w:rPr>
                <w:rFonts w:cs="Calibri Light"/>
                <w:sz w:val="20"/>
                <w:szCs w:val="20"/>
                <w:lang w:val="en-GB"/>
              </w:rPr>
              <w:t>3</w:t>
            </w:r>
          </w:p>
        </w:tc>
        <w:tc>
          <w:tcPr>
            <w:tcW w:w="8176" w:type="dxa"/>
            <w:gridSpan w:val="2"/>
          </w:tcPr>
          <w:p w14:paraId="70F754CF" w14:textId="281A56D6" w:rsidR="00D95336" w:rsidRPr="00221992" w:rsidRDefault="00D95336" w:rsidP="009F2B6D">
            <w:pPr>
              <w:spacing w:after="0" w:line="240" w:lineRule="auto"/>
              <w:cnfStyle w:val="000000000000" w:firstRow="0" w:lastRow="0" w:firstColumn="0" w:lastColumn="0" w:oddVBand="0" w:evenVBand="0" w:oddHBand="0" w:evenHBand="0" w:firstRowFirstColumn="0" w:firstRowLastColumn="0" w:lastRowFirstColumn="0" w:lastRowLastColumn="0"/>
              <w:rPr>
                <w:rFonts w:cs="Calibri Light"/>
                <w:sz w:val="20"/>
                <w:szCs w:val="20"/>
                <w:lang w:val="en-GB"/>
              </w:rPr>
            </w:pPr>
            <w:r w:rsidRPr="00221992">
              <w:rPr>
                <w:rFonts w:cs="Calibri Light"/>
                <w:sz w:val="20"/>
                <w:szCs w:val="20"/>
                <w:lang w:val="en-GB"/>
              </w:rPr>
              <w:t>France (time for HAS appraisal)</w:t>
            </w:r>
            <w:r w:rsidR="008A6310">
              <w:rPr>
                <w:rFonts w:cs="Calibri Light"/>
                <w:sz w:val="20"/>
                <w:szCs w:val="20"/>
                <w:lang w:val="en-GB"/>
              </w:rPr>
              <w:t xml:space="preserve"> </w:t>
            </w:r>
            <w:r w:rsidR="00A61D4F" w:rsidRPr="00221992">
              <w:rPr>
                <w:rFonts w:cs="Calibri Light"/>
                <w:sz w:val="20"/>
                <w:szCs w:val="20"/>
                <w:lang w:val="en-GB"/>
              </w:rPr>
              <w:fldChar w:fldCharType="begin"/>
            </w:r>
            <w:r w:rsidR="005A67DD" w:rsidRPr="00221992">
              <w:rPr>
                <w:rFonts w:cs="Calibri Light"/>
                <w:sz w:val="20"/>
                <w:szCs w:val="20"/>
                <w:lang w:val="en-GB"/>
              </w:rPr>
              <w:instrText xml:space="preserve"> ADDIN EN.CITE &lt;EndNote&gt;&lt;Cite&gt;&lt;Author&gt;Haute Autorité de Santé&lt;/Author&gt;&lt;Year&gt;2014&lt;/Year&gt;&lt;RecNum&gt;416&lt;/RecNum&gt;&lt;DisplayText&gt;[14]&lt;/DisplayText&gt;&lt;record&gt;&lt;rec-number&gt;416&lt;/rec-number&gt;&lt;foreign-keys&gt;&lt;key app="EN" db-id="wzwwsfxe4peesxef95cxvrwjxts9rreasarf" timestamp="1692654670"&gt;416&lt;/key&gt;&lt;/foreign-keys&gt;&lt;ref-type name="Web Page"&gt;12&lt;/ref-type&gt;&lt;contributors&gt;&lt;authors&gt;&lt;author&gt;Haute Autorité de Santé,&lt;/author&gt;&lt;/authors&gt;&lt;/contributors&gt;&lt;titles&gt;&lt;title&gt;Pricing &amp;amp; Reimbursement of drugs and HTA policies in France&lt;/title&gt;&lt;/titles&gt;&lt;number&gt;15 July 2023&lt;/number&gt;&lt;dates&gt;&lt;year&gt;2014&lt;/year&gt;&lt;/dates&gt;&lt;urls&gt;&lt;related-urls&gt;&lt;url&gt;https://www.has-sante.fr/?id=c_1729388&lt;/url&gt;&lt;/related-urls&gt;&lt;/urls&gt;&lt;/record&gt;&lt;/Cite&gt;&lt;/EndNote&gt;</w:instrText>
            </w:r>
            <w:r w:rsidR="00A61D4F" w:rsidRPr="00221992">
              <w:rPr>
                <w:rFonts w:cs="Calibri Light"/>
                <w:sz w:val="20"/>
                <w:szCs w:val="20"/>
                <w:lang w:val="en-GB"/>
              </w:rPr>
              <w:fldChar w:fldCharType="separate"/>
            </w:r>
            <w:r w:rsidR="005A67DD" w:rsidRPr="00221992">
              <w:rPr>
                <w:rFonts w:cs="Calibri Light"/>
                <w:noProof/>
                <w:sz w:val="20"/>
                <w:szCs w:val="20"/>
                <w:lang w:val="en-GB"/>
              </w:rPr>
              <w:t>[14]</w:t>
            </w:r>
            <w:r w:rsidR="00A61D4F" w:rsidRPr="00221992">
              <w:rPr>
                <w:rFonts w:cs="Calibri Light"/>
                <w:sz w:val="20"/>
                <w:szCs w:val="20"/>
                <w:lang w:val="en-GB"/>
              </w:rPr>
              <w:fldChar w:fldCharType="end"/>
            </w:r>
          </w:p>
        </w:tc>
      </w:tr>
      <w:tr w:rsidR="00D95336" w:rsidRPr="00221992" w14:paraId="5050953E" w14:textId="77777777" w:rsidTr="17B665D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0" w:type="dxa"/>
            <w:shd w:val="clear" w:color="auto" w:fill="1E8BCD"/>
          </w:tcPr>
          <w:p w14:paraId="76C5ABED" w14:textId="77777777" w:rsidR="00D95336" w:rsidRPr="00221992" w:rsidRDefault="00D95336" w:rsidP="009F2B6D">
            <w:pPr>
              <w:spacing w:after="0" w:line="240" w:lineRule="auto"/>
              <w:rPr>
                <w:rFonts w:cs="Calibri Light"/>
                <w:sz w:val="20"/>
                <w:szCs w:val="20"/>
                <w:lang w:val="en-GB"/>
              </w:rPr>
            </w:pPr>
            <w:r w:rsidRPr="00221992">
              <w:rPr>
                <w:rFonts w:cs="Calibri Light"/>
                <w:sz w:val="20"/>
                <w:szCs w:val="20"/>
                <w:lang w:val="en-GB"/>
              </w:rPr>
              <w:t>4</w:t>
            </w:r>
          </w:p>
        </w:tc>
        <w:tc>
          <w:tcPr>
            <w:tcW w:w="8176" w:type="dxa"/>
            <w:gridSpan w:val="2"/>
          </w:tcPr>
          <w:p w14:paraId="1861918B" w14:textId="75729635" w:rsidR="00D95336" w:rsidRPr="00221992" w:rsidRDefault="00D95336" w:rsidP="009F2B6D">
            <w:pPr>
              <w:spacing w:after="0" w:line="240" w:lineRule="auto"/>
              <w:cnfStyle w:val="000000010000" w:firstRow="0" w:lastRow="0" w:firstColumn="0" w:lastColumn="0" w:oddVBand="0" w:evenVBand="0" w:oddHBand="0" w:evenHBand="1" w:firstRowFirstColumn="0" w:firstRowLastColumn="0" w:lastRowFirstColumn="0" w:lastRowLastColumn="0"/>
              <w:rPr>
                <w:rFonts w:cs="Calibri Light"/>
                <w:sz w:val="20"/>
                <w:szCs w:val="20"/>
                <w:lang w:val="en-GB"/>
              </w:rPr>
            </w:pPr>
            <w:r w:rsidRPr="00221992">
              <w:rPr>
                <w:rFonts w:cs="Calibri Light"/>
                <w:sz w:val="20"/>
                <w:szCs w:val="20"/>
                <w:lang w:val="en-GB"/>
              </w:rPr>
              <w:t>Australia</w:t>
            </w:r>
            <w:r w:rsidR="00CF3901" w:rsidRPr="00221992">
              <w:rPr>
                <w:rFonts w:cs="Calibri Light"/>
                <w:sz w:val="20"/>
                <w:szCs w:val="20"/>
                <w:lang w:val="en-GB"/>
              </w:rPr>
              <w:t xml:space="preserve"> </w:t>
            </w:r>
            <w:r w:rsidRPr="00221992">
              <w:rPr>
                <w:rFonts w:cs="Calibri Light"/>
                <w:sz w:val="20"/>
                <w:szCs w:val="20"/>
                <w:lang w:val="en-GB"/>
              </w:rPr>
              <w:fldChar w:fldCharType="begin"/>
            </w:r>
            <w:r w:rsidR="00112E71">
              <w:rPr>
                <w:rFonts w:cs="Calibri Light"/>
                <w:sz w:val="20"/>
                <w:szCs w:val="20"/>
                <w:lang w:val="en-GB"/>
              </w:rPr>
              <w:instrText xml:space="preserve"> ADDIN EN.CITE &lt;EndNote&gt;&lt;Cite&gt;&lt;Author&gt;Department of Health and Aged Care&lt;/Author&gt;&lt;Year&gt;2023&lt;/Year&gt;&lt;RecNum&gt;383&lt;/RecNum&gt;&lt;DisplayText&gt;[48]&lt;/DisplayText&gt;&lt;record&gt;&lt;rec-number&gt;383&lt;/rec-number&gt;&lt;foreign-keys&gt;&lt;key app="EN" db-id="wzwwsfxe4peesxef95cxvrwjxts9rreasarf" timestamp="1692654670"&gt;383&lt;/key&gt;&lt;/foreign-keys&gt;&lt;ref-type name="Government Document"&gt;46&lt;/ref-type&gt;&lt;contributors&gt;&lt;authors&gt;&lt;author&gt;Department of Health and Aged Care,&lt;/author&gt;&lt;/authors&gt;&lt;/contributors&gt;&lt;titles&gt;&lt;title&gt;PBAC Cycle Timeframe for 2023 - 2024&lt;/title&gt;&lt;/titles&gt;&lt;dates&gt;&lt;year&gt;2023&lt;/year&gt;&lt;/dates&gt;&lt;pub-location&gt;Canberra&lt;/pub-location&gt;&lt;publisher&gt;Australian Government, Department of Health and Aged Care.&lt;/publisher&gt;&lt;urls&gt;&lt;related-urls&gt;&lt;url&gt;https://www.pbs.gov.au/info/industry/useful-resources/pbs-calendar&lt;/url&gt;&lt;/related-urls&gt;&lt;/urls&gt;&lt;/record&gt;&lt;/Cite&gt;&lt;/EndNote&gt;</w:instrText>
            </w:r>
            <w:r w:rsidRPr="00221992">
              <w:rPr>
                <w:rFonts w:cs="Calibri Light"/>
                <w:sz w:val="20"/>
                <w:szCs w:val="20"/>
                <w:lang w:val="en-GB"/>
              </w:rPr>
              <w:fldChar w:fldCharType="separate"/>
            </w:r>
            <w:r w:rsidR="00112E71">
              <w:rPr>
                <w:rFonts w:cs="Calibri Light"/>
                <w:noProof/>
                <w:sz w:val="20"/>
                <w:szCs w:val="20"/>
                <w:lang w:val="en-GB"/>
              </w:rPr>
              <w:t>[48]</w:t>
            </w:r>
            <w:r w:rsidRPr="00221992">
              <w:rPr>
                <w:rFonts w:cs="Calibri Light"/>
                <w:sz w:val="20"/>
                <w:szCs w:val="20"/>
                <w:lang w:val="en-GB"/>
              </w:rPr>
              <w:fldChar w:fldCharType="end"/>
            </w:r>
          </w:p>
          <w:p w14:paraId="7219514B" w14:textId="103D9088" w:rsidR="00D95336" w:rsidRPr="00221992" w:rsidRDefault="00D95336" w:rsidP="009F2B6D">
            <w:pPr>
              <w:spacing w:after="0" w:line="240" w:lineRule="auto"/>
              <w:cnfStyle w:val="000000010000" w:firstRow="0" w:lastRow="0" w:firstColumn="0" w:lastColumn="0" w:oddVBand="0" w:evenVBand="0" w:oddHBand="0" w:evenHBand="1" w:firstRowFirstColumn="0" w:firstRowLastColumn="0" w:lastRowFirstColumn="0" w:lastRowLastColumn="0"/>
              <w:rPr>
                <w:rFonts w:cs="Calibri Light"/>
                <w:sz w:val="20"/>
                <w:szCs w:val="20"/>
                <w:lang w:val="en-GB"/>
              </w:rPr>
            </w:pPr>
            <w:r w:rsidRPr="00221992">
              <w:rPr>
                <w:rFonts w:cs="Calibri Light"/>
                <w:sz w:val="20"/>
                <w:szCs w:val="20"/>
                <w:lang w:val="en-GB"/>
              </w:rPr>
              <w:t>Scotland</w:t>
            </w:r>
            <w:r w:rsidR="00CF3901" w:rsidRPr="00221992">
              <w:rPr>
                <w:rFonts w:cs="Calibri Light"/>
                <w:sz w:val="20"/>
                <w:szCs w:val="20"/>
                <w:lang w:val="en-GB"/>
              </w:rPr>
              <w:t xml:space="preserve"> </w:t>
            </w:r>
            <w:r w:rsidRPr="00221992">
              <w:rPr>
                <w:rFonts w:cs="Calibri Light"/>
                <w:sz w:val="20"/>
                <w:szCs w:val="20"/>
                <w:lang w:val="en-GB"/>
              </w:rPr>
              <w:fldChar w:fldCharType="begin"/>
            </w:r>
            <w:r w:rsidR="00112E71">
              <w:rPr>
                <w:rFonts w:cs="Calibri Light"/>
                <w:sz w:val="20"/>
                <w:szCs w:val="20"/>
                <w:lang w:val="en-GB"/>
              </w:rPr>
              <w:instrText xml:space="preserve"> ADDIN EN.CITE &lt;EndNote&gt;&lt;Cite&gt;&lt;Author&gt;Anderson&lt;/Author&gt;&lt;Year&gt;2022&lt;/Year&gt;&lt;RecNum&gt;31&lt;/RecNum&gt;&lt;DisplayText&gt;[49]&lt;/DisplayText&gt;&lt;record&gt;&lt;rec-number&gt;31&lt;/rec-number&gt;&lt;foreign-keys&gt;&lt;key app="EN" db-id="wzwwsfxe4peesxef95cxvrwjxts9rreasarf" timestamp="1692654670"&gt;31&lt;/key&gt;&lt;/foreign-keys&gt;&lt;ref-type name="Journal Article"&gt;17&lt;/ref-type&gt;&lt;contributors&gt;&lt;authors&gt;&lt;author&gt;Anderson, Michael&lt;/author&gt;&lt;author&gt;Drummond, Michael&lt;/author&gt;&lt;author&gt;Taylor, David&lt;/author&gt;&lt;author&gt;McGuire, Alistair&lt;/author&gt;&lt;author&gt;Carter, Paul&lt;/author&gt;&lt;author&gt;Mossialos, Elias&lt;/author&gt;&lt;/authors&gt;&lt;/contributors&gt;&lt;titles&gt;&lt;title&gt;Promoting innovation while controlling cost: The UK&amp;apos;s approach to health technology assessment&lt;/title&gt;&lt;secondary-title&gt;Health Policy&lt;/secondary-title&gt;&lt;/titles&gt;&lt;periodical&gt;&lt;full-title&gt;Health Policy&lt;/full-title&gt;&lt;abbr-1&gt;Health Policy&lt;/abbr-1&gt;&lt;/periodical&gt;&lt;pages&gt;224-233&lt;/pages&gt;&lt;volume&gt;126&lt;/volume&gt;&lt;number&gt;3&lt;/number&gt;&lt;keywords&gt;&lt;keyword&gt;Pharmaceuticals&lt;/keyword&gt;&lt;keyword&gt;Medicines&lt;/keyword&gt;&lt;keyword&gt;Health technology assessment&lt;/keyword&gt;&lt;keyword&gt;United kingdom&lt;/keyword&gt;&lt;keyword&gt;QALY&lt;/keyword&gt;&lt;keyword&gt;Quality adjusted life year&lt;/keyword&gt;&lt;/keywords&gt;&lt;dates&gt;&lt;year&gt;2022&lt;/year&gt;&lt;pub-dates&gt;&lt;date&gt;2022/03/01/&lt;/date&gt;&lt;/pub-dates&gt;&lt;/dates&gt;&lt;isbn&gt;0168-8510&lt;/isbn&gt;&lt;urls&gt;&lt;related-urls&gt;&lt;url&gt;https://www.sciencedirect.com/science/article/pii/S0168851022000239&lt;/url&gt;&lt;/related-urls&gt;&lt;/urls&gt;&lt;electronic-resource-num&gt;https://doi.org/10.1016/j.healthpol.2022.01.013&lt;/electronic-resource-num&gt;&lt;/record&gt;&lt;/Cite&gt;&lt;/EndNote&gt;</w:instrText>
            </w:r>
            <w:r w:rsidRPr="00221992">
              <w:rPr>
                <w:rFonts w:cs="Calibri Light"/>
                <w:sz w:val="20"/>
                <w:szCs w:val="20"/>
                <w:lang w:val="en-GB"/>
              </w:rPr>
              <w:fldChar w:fldCharType="separate"/>
            </w:r>
            <w:r w:rsidR="00112E71">
              <w:rPr>
                <w:rFonts w:cs="Calibri Light"/>
                <w:noProof/>
                <w:sz w:val="20"/>
                <w:szCs w:val="20"/>
                <w:lang w:val="en-GB"/>
              </w:rPr>
              <w:t>[49]</w:t>
            </w:r>
            <w:r w:rsidRPr="00221992">
              <w:rPr>
                <w:rFonts w:cs="Calibri Light"/>
                <w:sz w:val="20"/>
                <w:szCs w:val="20"/>
                <w:lang w:val="en-GB"/>
              </w:rPr>
              <w:fldChar w:fldCharType="end"/>
            </w:r>
          </w:p>
        </w:tc>
      </w:tr>
      <w:tr w:rsidR="00D95336" w:rsidRPr="00221992" w14:paraId="22D5A63C" w14:textId="77777777" w:rsidTr="17B665DC">
        <w:tc>
          <w:tcPr>
            <w:cnfStyle w:val="001000000000" w:firstRow="0" w:lastRow="0" w:firstColumn="1" w:lastColumn="0" w:oddVBand="0" w:evenVBand="0" w:oddHBand="0" w:evenHBand="0" w:firstRowFirstColumn="0" w:firstRowLastColumn="0" w:lastRowFirstColumn="0" w:lastRowLastColumn="0"/>
            <w:tcW w:w="840" w:type="dxa"/>
            <w:shd w:val="clear" w:color="auto" w:fill="1E8BCD"/>
          </w:tcPr>
          <w:p w14:paraId="3E7A540C" w14:textId="77777777" w:rsidR="00D95336" w:rsidRPr="00221992" w:rsidRDefault="00D95336" w:rsidP="009F2B6D">
            <w:pPr>
              <w:spacing w:after="0" w:line="240" w:lineRule="auto"/>
              <w:rPr>
                <w:rFonts w:cs="Calibri Light"/>
                <w:sz w:val="20"/>
                <w:szCs w:val="20"/>
                <w:lang w:val="en-GB"/>
              </w:rPr>
            </w:pPr>
            <w:r w:rsidRPr="00221992">
              <w:rPr>
                <w:rFonts w:cs="Calibri Light"/>
                <w:sz w:val="20"/>
                <w:szCs w:val="20"/>
                <w:lang w:val="en-GB"/>
              </w:rPr>
              <w:t>5</w:t>
            </w:r>
          </w:p>
        </w:tc>
        <w:tc>
          <w:tcPr>
            <w:tcW w:w="8176" w:type="dxa"/>
            <w:gridSpan w:val="2"/>
          </w:tcPr>
          <w:p w14:paraId="75F7391B" w14:textId="27E065E2" w:rsidR="00D95336" w:rsidRPr="00221992" w:rsidRDefault="00D95336" w:rsidP="009F2B6D">
            <w:pPr>
              <w:spacing w:after="0" w:line="240" w:lineRule="auto"/>
              <w:cnfStyle w:val="000000000000" w:firstRow="0" w:lastRow="0" w:firstColumn="0" w:lastColumn="0" w:oddVBand="0" w:evenVBand="0" w:oddHBand="0" w:evenHBand="0" w:firstRowFirstColumn="0" w:firstRowLastColumn="0" w:lastRowFirstColumn="0" w:lastRowLastColumn="0"/>
              <w:rPr>
                <w:rFonts w:cs="Calibri Light"/>
                <w:sz w:val="20"/>
                <w:szCs w:val="20"/>
                <w:lang w:val="en-GB"/>
              </w:rPr>
            </w:pPr>
            <w:r w:rsidRPr="00221992">
              <w:rPr>
                <w:rFonts w:cs="Calibri Light"/>
                <w:sz w:val="20"/>
                <w:szCs w:val="20"/>
                <w:lang w:val="en-GB"/>
              </w:rPr>
              <w:t>Wales</w:t>
            </w:r>
            <w:r w:rsidR="00CF3901" w:rsidRPr="00221992">
              <w:rPr>
                <w:rFonts w:cs="Calibri Light"/>
                <w:sz w:val="20"/>
                <w:szCs w:val="20"/>
                <w:lang w:val="en-GB"/>
              </w:rPr>
              <w:t xml:space="preserve"> </w:t>
            </w:r>
            <w:r w:rsidRPr="00221992">
              <w:rPr>
                <w:rFonts w:cs="Calibri Light"/>
                <w:sz w:val="20"/>
                <w:szCs w:val="20"/>
                <w:lang w:val="en-GB"/>
              </w:rPr>
              <w:fldChar w:fldCharType="begin"/>
            </w:r>
            <w:r w:rsidR="00112E71">
              <w:rPr>
                <w:rFonts w:cs="Calibri Light"/>
                <w:sz w:val="20"/>
                <w:szCs w:val="20"/>
                <w:lang w:val="en-GB"/>
              </w:rPr>
              <w:instrText xml:space="preserve"> ADDIN EN.CITE &lt;EndNote&gt;&lt;Cite&gt;&lt;Author&gt;Anderson&lt;/Author&gt;&lt;Year&gt;2022&lt;/Year&gt;&lt;RecNum&gt;31&lt;/RecNum&gt;&lt;DisplayText&gt;[49]&lt;/DisplayText&gt;&lt;record&gt;&lt;rec-number&gt;31&lt;/rec-number&gt;&lt;foreign-keys&gt;&lt;key app="EN" db-id="wzwwsfxe4peesxef95cxvrwjxts9rreasarf" timestamp="1692654670"&gt;31&lt;/key&gt;&lt;/foreign-keys&gt;&lt;ref-type name="Journal Article"&gt;17&lt;/ref-type&gt;&lt;contributors&gt;&lt;authors&gt;&lt;author&gt;Anderson, Michael&lt;/author&gt;&lt;author&gt;Drummond, Michael&lt;/author&gt;&lt;author&gt;Taylor, David&lt;/author&gt;&lt;author&gt;McGuire, Alistair&lt;/author&gt;&lt;author&gt;Carter, Paul&lt;/author&gt;&lt;author&gt;Mossialos, Elias&lt;/author&gt;&lt;/authors&gt;&lt;/contributors&gt;&lt;titles&gt;&lt;title&gt;Promoting innovation while controlling cost: The UK&amp;apos;s approach to health technology assessment&lt;/title&gt;&lt;secondary-title&gt;Health Policy&lt;/secondary-title&gt;&lt;/titles&gt;&lt;periodical&gt;&lt;full-title&gt;Health Policy&lt;/full-title&gt;&lt;abbr-1&gt;Health Policy&lt;/abbr-1&gt;&lt;/periodical&gt;&lt;pages&gt;224-233&lt;/pages&gt;&lt;volume&gt;126&lt;/volume&gt;&lt;number&gt;3&lt;/number&gt;&lt;keywords&gt;&lt;keyword&gt;Pharmaceuticals&lt;/keyword&gt;&lt;keyword&gt;Medicines&lt;/keyword&gt;&lt;keyword&gt;Health technology assessment&lt;/keyword&gt;&lt;keyword&gt;United kingdom&lt;/keyword&gt;&lt;keyword&gt;QALY&lt;/keyword&gt;&lt;keyword&gt;Quality adjusted life year&lt;/keyword&gt;&lt;/keywords&gt;&lt;dates&gt;&lt;year&gt;2022&lt;/year&gt;&lt;pub-dates&gt;&lt;date&gt;2022/03/01/&lt;/date&gt;&lt;/pub-dates&gt;&lt;/dates&gt;&lt;isbn&gt;0168-8510&lt;/isbn&gt;&lt;urls&gt;&lt;related-urls&gt;&lt;url&gt;https://www.sciencedirect.com/science/article/pii/S0168851022000239&lt;/url&gt;&lt;/related-urls&gt;&lt;/urls&gt;&lt;electronic-resource-num&gt;https://doi.org/10.1016/j.healthpol.2022.01.013&lt;/electronic-resource-num&gt;&lt;/record&gt;&lt;/Cite&gt;&lt;/EndNote&gt;</w:instrText>
            </w:r>
            <w:r w:rsidRPr="00221992">
              <w:rPr>
                <w:rFonts w:cs="Calibri Light"/>
                <w:sz w:val="20"/>
                <w:szCs w:val="20"/>
                <w:lang w:val="en-GB"/>
              </w:rPr>
              <w:fldChar w:fldCharType="separate"/>
            </w:r>
            <w:r w:rsidR="00112E71">
              <w:rPr>
                <w:rFonts w:cs="Calibri Light"/>
                <w:noProof/>
                <w:sz w:val="20"/>
                <w:szCs w:val="20"/>
                <w:lang w:val="en-GB"/>
              </w:rPr>
              <w:t>[49]</w:t>
            </w:r>
            <w:r w:rsidRPr="00221992">
              <w:rPr>
                <w:rFonts w:cs="Calibri Light"/>
                <w:sz w:val="20"/>
                <w:szCs w:val="20"/>
                <w:lang w:val="en-GB"/>
              </w:rPr>
              <w:fldChar w:fldCharType="end"/>
            </w:r>
          </w:p>
          <w:p w14:paraId="2856BE77" w14:textId="5EAC7C40" w:rsidR="00D95336" w:rsidRPr="00221992" w:rsidRDefault="00D95336" w:rsidP="009F2B6D">
            <w:pPr>
              <w:spacing w:after="0" w:line="240" w:lineRule="auto"/>
              <w:cnfStyle w:val="000000000000" w:firstRow="0" w:lastRow="0" w:firstColumn="0" w:lastColumn="0" w:oddVBand="0" w:evenVBand="0" w:oddHBand="0" w:evenHBand="0" w:firstRowFirstColumn="0" w:firstRowLastColumn="0" w:lastRowFirstColumn="0" w:lastRowLastColumn="0"/>
              <w:rPr>
                <w:rFonts w:cs="Calibri Light"/>
                <w:sz w:val="20"/>
                <w:szCs w:val="20"/>
                <w:lang w:val="en-GB"/>
              </w:rPr>
            </w:pPr>
            <w:r w:rsidRPr="00221992">
              <w:rPr>
                <w:rFonts w:cs="Calibri Light"/>
                <w:sz w:val="20"/>
                <w:szCs w:val="20"/>
                <w:lang w:val="en-GB"/>
              </w:rPr>
              <w:t>Canada – HTA review finished in 5-6 months</w:t>
            </w:r>
            <w:r w:rsidR="00CF3901" w:rsidRPr="00221992">
              <w:rPr>
                <w:rFonts w:cs="Calibri Light"/>
                <w:sz w:val="20"/>
                <w:szCs w:val="20"/>
                <w:lang w:val="en-GB"/>
              </w:rPr>
              <w:t xml:space="preserve"> </w:t>
            </w:r>
            <w:r w:rsidRPr="00221992">
              <w:rPr>
                <w:rFonts w:cs="Calibri Light"/>
                <w:sz w:val="20"/>
                <w:szCs w:val="20"/>
                <w:lang w:val="en-GB"/>
              </w:rPr>
              <w:fldChar w:fldCharType="begin"/>
            </w:r>
            <w:r w:rsidR="00112E71">
              <w:rPr>
                <w:rFonts w:cs="Calibri Light"/>
                <w:sz w:val="20"/>
                <w:szCs w:val="20"/>
                <w:lang w:val="en-GB"/>
              </w:rPr>
              <w:instrText xml:space="preserve"> ADDIN EN.CITE &lt;EndNote&gt;&lt;Cite&gt;&lt;Author&gt;Lopes&lt;/Author&gt;&lt;Year&gt;2020&lt;/Year&gt;&lt;RecNum&gt;297&lt;/RecNum&gt;&lt;DisplayText&gt;[50]&lt;/DisplayText&gt;&lt;record&gt;&lt;rec-number&gt;297&lt;/rec-number&gt;&lt;foreign-keys&gt;&lt;key app="EN" db-id="wzwwsfxe4peesxef95cxvrwjxts9rreasarf" timestamp="1692654670"&gt;297&lt;/key&gt;&lt;/foreign-keys&gt;&lt;ref-type name="Journal Article"&gt;17&lt;/ref-type&gt;&lt;contributors&gt;&lt;authors&gt;&lt;author&gt;Lopes, Edilene&lt;/author&gt;&lt;author&gt;Street, Jackie&lt;/author&gt;&lt;author&gt;Carter, Drew&lt;/author&gt;&lt;author&gt;Merlin, Tracy&lt;/author&gt;&lt;author&gt;Stafinski, Tania&lt;/author&gt;&lt;/authors&gt;&lt;/contributors&gt;&lt;titles&gt;&lt;title&gt;Understanding Canadian Health Technology Assessment through a systems lens&lt;/title&gt;&lt;secondary-title&gt;Health Policy&lt;/secondary-title&gt;&lt;/titles&gt;&lt;periodical&gt;&lt;full-title&gt;Health Policy&lt;/full-title&gt;&lt;abbr-1&gt;Health Policy&lt;/abbr-1&gt;&lt;/periodical&gt;&lt;pages&gt;952-958&lt;/pages&gt;&lt;volume&gt;124&lt;/volume&gt;&lt;number&gt;9&lt;/number&gt;&lt;keywords&gt;&lt;keyword&gt;Health Technology Assessment&lt;/keyword&gt;&lt;keyword&gt;Soft systems methodology&lt;/keyword&gt;&lt;keyword&gt;Complex adaptive systems&lt;/keyword&gt;&lt;keyword&gt;Healthcare funding&lt;/keyword&gt;&lt;keyword&gt;Healthcare decision making&lt;/keyword&gt;&lt;keyword&gt;Health policy&lt;/keyword&gt;&lt;/keywords&gt;&lt;dates&gt;&lt;year&gt;2020&lt;/year&gt;&lt;pub-dates&gt;&lt;date&gt;2020/09/01/&lt;/date&gt;&lt;/pub-dates&gt;&lt;/dates&gt;&lt;isbn&gt;0168-8510&lt;/isbn&gt;&lt;urls&gt;&lt;related-urls&gt;&lt;url&gt;https://www.sciencedirect.com/science/article/pii/S0168851020301676&lt;/url&gt;&lt;/related-urls&gt;&lt;/urls&gt;&lt;electronic-resource-num&gt;https://doi.org/10.1016/j.healthpol.2020.06.014&lt;/electronic-resource-num&gt;&lt;/record&gt;&lt;/Cite&gt;&lt;/EndNote&gt;</w:instrText>
            </w:r>
            <w:r w:rsidRPr="00221992">
              <w:rPr>
                <w:rFonts w:cs="Calibri Light"/>
                <w:sz w:val="20"/>
                <w:szCs w:val="20"/>
                <w:lang w:val="en-GB"/>
              </w:rPr>
              <w:fldChar w:fldCharType="separate"/>
            </w:r>
            <w:r w:rsidR="00112E71">
              <w:rPr>
                <w:rFonts w:cs="Calibri Light"/>
                <w:noProof/>
                <w:sz w:val="20"/>
                <w:szCs w:val="20"/>
                <w:lang w:val="en-GB"/>
              </w:rPr>
              <w:t>[50]</w:t>
            </w:r>
            <w:r w:rsidRPr="00221992">
              <w:rPr>
                <w:rFonts w:cs="Calibri Light"/>
                <w:sz w:val="20"/>
                <w:szCs w:val="20"/>
                <w:lang w:val="en-GB"/>
              </w:rPr>
              <w:fldChar w:fldCharType="end"/>
            </w:r>
          </w:p>
        </w:tc>
      </w:tr>
      <w:tr w:rsidR="00D95336" w:rsidRPr="00221992" w14:paraId="716A1FA0" w14:textId="77777777" w:rsidTr="17B665D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0" w:type="dxa"/>
            <w:shd w:val="clear" w:color="auto" w:fill="1E8BCD"/>
          </w:tcPr>
          <w:p w14:paraId="79571ED0" w14:textId="77777777" w:rsidR="00D95336" w:rsidRPr="00221992" w:rsidRDefault="00D95336" w:rsidP="009F2B6D">
            <w:pPr>
              <w:spacing w:after="0" w:line="240" w:lineRule="auto"/>
              <w:rPr>
                <w:rFonts w:cs="Calibri Light"/>
                <w:sz w:val="20"/>
                <w:szCs w:val="20"/>
                <w:lang w:val="en-GB"/>
              </w:rPr>
            </w:pPr>
            <w:r w:rsidRPr="00221992">
              <w:rPr>
                <w:rFonts w:cs="Calibri Light"/>
                <w:sz w:val="20"/>
                <w:szCs w:val="20"/>
                <w:lang w:val="en-GB"/>
              </w:rPr>
              <w:t>6</w:t>
            </w:r>
          </w:p>
        </w:tc>
        <w:tc>
          <w:tcPr>
            <w:tcW w:w="8176" w:type="dxa"/>
            <w:gridSpan w:val="2"/>
          </w:tcPr>
          <w:p w14:paraId="1E461BA8" w14:textId="4418629E" w:rsidR="00D95336" w:rsidRPr="00221992" w:rsidRDefault="00D95336" w:rsidP="009F2B6D">
            <w:pPr>
              <w:spacing w:after="0" w:line="240" w:lineRule="auto"/>
              <w:cnfStyle w:val="000000010000" w:firstRow="0" w:lastRow="0" w:firstColumn="0" w:lastColumn="0" w:oddVBand="0" w:evenVBand="0" w:oddHBand="0" w:evenHBand="1" w:firstRowFirstColumn="0" w:firstRowLastColumn="0" w:lastRowFirstColumn="0" w:lastRowLastColumn="0"/>
              <w:rPr>
                <w:rFonts w:cs="Calibri Light"/>
                <w:sz w:val="20"/>
                <w:szCs w:val="20"/>
                <w:lang w:val="en-GB"/>
              </w:rPr>
            </w:pPr>
            <w:r w:rsidRPr="00221992">
              <w:rPr>
                <w:rFonts w:cs="Calibri Light"/>
                <w:sz w:val="20"/>
                <w:szCs w:val="20"/>
                <w:lang w:val="en-GB"/>
              </w:rPr>
              <w:t>The Beneluxa Initiative (Austria, Belgium, Luxembourg and the Netherlands)</w:t>
            </w:r>
            <w:r w:rsidR="00CF3901" w:rsidRPr="00221992">
              <w:rPr>
                <w:rFonts w:cs="Calibri Light"/>
                <w:sz w:val="20"/>
                <w:szCs w:val="20"/>
                <w:lang w:val="en-GB"/>
              </w:rPr>
              <w:t xml:space="preserve"> </w:t>
            </w:r>
            <w:r w:rsidRPr="00221992">
              <w:rPr>
                <w:rFonts w:cs="Calibri Light"/>
                <w:sz w:val="20"/>
                <w:szCs w:val="20"/>
                <w:lang w:val="en-GB"/>
              </w:rPr>
              <w:fldChar w:fldCharType="begin"/>
            </w:r>
            <w:r w:rsidR="00112E71">
              <w:rPr>
                <w:rFonts w:cs="Calibri Light"/>
                <w:sz w:val="20"/>
                <w:szCs w:val="20"/>
                <w:lang w:val="en-GB"/>
              </w:rPr>
              <w:instrText xml:space="preserve"> ADDIN EN.CITE &lt;EndNote&gt;&lt;Cite&gt;&lt;Author&gt;Beneluxa Initiative on Pharmaceutical Policy&lt;/Author&gt;&lt;Year&gt;2023&lt;/Year&gt;&lt;RecNum&gt;220&lt;/RecNum&gt;&lt;DisplayText&gt;[51]&lt;/DisplayText&gt;&lt;record&gt;&lt;rec-number&gt;220&lt;/rec-number&gt;&lt;foreign-keys&gt;&lt;key app="EN" db-id="wzwwsfxe4peesxef95cxvrwjxts9rreasarf" timestamp="1692654670"&gt;220&lt;/key&gt;&lt;/foreign-keys&gt;&lt;ref-type name="Web Page"&gt;12&lt;/ref-type&gt;&lt;contributors&gt;&lt;authors&gt;&lt;author&gt;Beneluxa Initiative on Pharmaceutical Policy,&lt;/author&gt;&lt;/authors&gt;&lt;/contributors&gt;&lt;titles&gt;&lt;title&gt;HTA procedures within the Beneluxa Initiative&lt;/title&gt;&lt;/titles&gt;&lt;number&gt;23 August 2023&lt;/number&gt;&lt;dates&gt;&lt;year&gt;2023&lt;/year&gt;&lt;/dates&gt;&lt;publisher&gt;Beneluxa Initiative on Pharmaceutical Policy&lt;/publisher&gt;&lt;urls&gt;&lt;related-urls&gt;&lt;url&gt;https://beneluxa.org/HTA_procedures&lt;/url&gt;&lt;/related-urls&gt;&lt;/urls&gt;&lt;/record&gt;&lt;/Cite&gt;&lt;/EndNote&gt;</w:instrText>
            </w:r>
            <w:r w:rsidRPr="00221992">
              <w:rPr>
                <w:rFonts w:cs="Calibri Light"/>
                <w:sz w:val="20"/>
                <w:szCs w:val="20"/>
                <w:lang w:val="en-GB"/>
              </w:rPr>
              <w:fldChar w:fldCharType="separate"/>
            </w:r>
            <w:r w:rsidR="00112E71">
              <w:rPr>
                <w:rFonts w:cs="Calibri Light"/>
                <w:noProof/>
                <w:sz w:val="20"/>
                <w:szCs w:val="20"/>
                <w:lang w:val="en-GB"/>
              </w:rPr>
              <w:t>[51]</w:t>
            </w:r>
            <w:r w:rsidRPr="00221992">
              <w:rPr>
                <w:rFonts w:cs="Calibri Light"/>
                <w:sz w:val="20"/>
                <w:szCs w:val="20"/>
                <w:lang w:val="en-GB"/>
              </w:rPr>
              <w:fldChar w:fldCharType="end"/>
            </w:r>
          </w:p>
          <w:p w14:paraId="029FCCE2" w14:textId="1BE9228A" w:rsidR="00D95336" w:rsidRPr="00221992" w:rsidRDefault="00D95336" w:rsidP="009F2B6D">
            <w:pPr>
              <w:spacing w:after="0" w:line="240" w:lineRule="auto"/>
              <w:cnfStyle w:val="000000010000" w:firstRow="0" w:lastRow="0" w:firstColumn="0" w:lastColumn="0" w:oddVBand="0" w:evenVBand="0" w:oddHBand="0" w:evenHBand="1" w:firstRowFirstColumn="0" w:firstRowLastColumn="0" w:lastRowFirstColumn="0" w:lastRowLastColumn="0"/>
              <w:rPr>
                <w:rFonts w:cs="Calibri Light"/>
                <w:sz w:val="20"/>
                <w:szCs w:val="20"/>
                <w:lang w:val="en-GB"/>
              </w:rPr>
            </w:pPr>
            <w:r w:rsidRPr="00221992">
              <w:rPr>
                <w:rFonts w:cs="Calibri Light"/>
                <w:sz w:val="20"/>
                <w:szCs w:val="20"/>
                <w:lang w:val="en-GB"/>
              </w:rPr>
              <w:t>Singapore (full evaluation, which may take up to 9 months)</w:t>
            </w:r>
            <w:r w:rsidR="00CF3901" w:rsidRPr="00221992">
              <w:rPr>
                <w:rFonts w:cs="Calibri Light"/>
                <w:sz w:val="20"/>
                <w:szCs w:val="20"/>
                <w:lang w:val="en-GB"/>
              </w:rPr>
              <w:t xml:space="preserve"> </w:t>
            </w:r>
            <w:r w:rsidRPr="00221992">
              <w:rPr>
                <w:rFonts w:cs="Calibri Light"/>
                <w:sz w:val="20"/>
                <w:szCs w:val="20"/>
                <w:lang w:val="en-GB"/>
              </w:rPr>
              <w:fldChar w:fldCharType="begin"/>
            </w:r>
            <w:r w:rsidR="00112E71">
              <w:rPr>
                <w:rFonts w:cs="Calibri Light"/>
                <w:sz w:val="20"/>
                <w:szCs w:val="20"/>
                <w:lang w:val="en-GB"/>
              </w:rPr>
              <w:instrText xml:space="preserve"> ADDIN EN.CITE &lt;EndNote&gt;&lt;Cite&gt;&lt;Author&gt;Agency for Care Effectiveness (ACE)&lt;/Author&gt;&lt;Year&gt;2021&lt;/Year&gt;&lt;RecNum&gt;2&lt;/RecNum&gt;&lt;DisplayText&gt;[35]&lt;/DisplayText&gt;&lt;record&gt;&lt;rec-number&gt;2&lt;/rec-number&gt;&lt;foreign-keys&gt;&lt;key app="EN" db-id="wzwwsfxe4peesxef95cxvrwjxts9rreasarf" timestamp="1692654670"&gt;2&lt;/key&gt;&lt;/foreign-keys&gt;&lt;ref-type name="Report"&gt;27&lt;/ref-type&gt;&lt;contributors&gt;&lt;authors&gt;&lt;author&gt;Agency for Care Effectiveness (ACE),&lt;/author&gt;&lt;/authors&gt;&lt;tertiary-authors&gt;&lt;author&gt;Ministry of Health Singapore,, Agency for Care Effectiveness (ACE)&lt;/author&gt;&lt;/tertiary-authors&gt;&lt;/contributors&gt;&lt;titles&gt;&lt;title&gt;Drug and Vaccine Evaluation Methods and Process Guide&lt;/title&gt;&lt;/titles&gt;&lt;dates&gt;&lt;year&gt;2021&lt;/year&gt;&lt;/dates&gt;&lt;pub-location&gt;Singapore&lt;/pub-location&gt;&lt;urls&gt;&lt;related-urls&gt;&lt;url&gt;https://www.ace-hta.gov.sg/docs/default-source/process-methods/drug-and-vaccine-evaluation-methods-and-process-guide-version-3-(28-june-2021).pdf&lt;/url&gt;&lt;/related-urls&gt;&lt;/urls&gt;&lt;/record&gt;&lt;/Cite&gt;&lt;/EndNote&gt;</w:instrText>
            </w:r>
            <w:r w:rsidRPr="00221992">
              <w:rPr>
                <w:rFonts w:cs="Calibri Light"/>
                <w:sz w:val="20"/>
                <w:szCs w:val="20"/>
                <w:lang w:val="en-GB"/>
              </w:rPr>
              <w:fldChar w:fldCharType="separate"/>
            </w:r>
            <w:r w:rsidR="00112E71">
              <w:rPr>
                <w:rFonts w:cs="Calibri Light"/>
                <w:noProof/>
                <w:sz w:val="20"/>
                <w:szCs w:val="20"/>
                <w:lang w:val="en-GB"/>
              </w:rPr>
              <w:t>[35]</w:t>
            </w:r>
            <w:r w:rsidRPr="00221992">
              <w:rPr>
                <w:rFonts w:cs="Calibri Light"/>
                <w:sz w:val="20"/>
                <w:szCs w:val="20"/>
                <w:lang w:val="en-GB"/>
              </w:rPr>
              <w:fldChar w:fldCharType="end"/>
            </w:r>
          </w:p>
          <w:p w14:paraId="4783AD34" w14:textId="65A44D24" w:rsidR="00D95336" w:rsidRPr="00221992" w:rsidRDefault="00D95336" w:rsidP="009F2B6D">
            <w:pPr>
              <w:spacing w:after="0" w:line="240" w:lineRule="auto"/>
              <w:cnfStyle w:val="000000010000" w:firstRow="0" w:lastRow="0" w:firstColumn="0" w:lastColumn="0" w:oddVBand="0" w:evenVBand="0" w:oddHBand="0" w:evenHBand="1" w:firstRowFirstColumn="0" w:firstRowLastColumn="0" w:lastRowFirstColumn="0" w:lastRowLastColumn="0"/>
              <w:rPr>
                <w:rFonts w:cs="Calibri Light"/>
                <w:sz w:val="20"/>
                <w:szCs w:val="20"/>
                <w:lang w:val="en-GB"/>
              </w:rPr>
            </w:pPr>
            <w:r w:rsidRPr="00221992">
              <w:rPr>
                <w:rFonts w:cs="Calibri Light"/>
                <w:sz w:val="20"/>
                <w:szCs w:val="20"/>
                <w:lang w:val="en-GB"/>
              </w:rPr>
              <w:t>Sweden (TLV delivers its decision within 180 days of submission)</w:t>
            </w:r>
            <w:r w:rsidR="00CF3901" w:rsidRPr="00221992">
              <w:rPr>
                <w:rFonts w:cs="Calibri Light"/>
                <w:sz w:val="20"/>
                <w:szCs w:val="20"/>
                <w:lang w:val="en-GB"/>
              </w:rPr>
              <w:t xml:space="preserve"> </w:t>
            </w:r>
            <w:r w:rsidRPr="00221992">
              <w:rPr>
                <w:rFonts w:cs="Calibri Light"/>
                <w:sz w:val="20"/>
                <w:szCs w:val="20"/>
                <w:lang w:val="en-GB"/>
              </w:rPr>
              <w:fldChar w:fldCharType="begin"/>
            </w:r>
            <w:r w:rsidR="00112E71">
              <w:rPr>
                <w:rFonts w:cs="Calibri Light"/>
                <w:sz w:val="20"/>
                <w:szCs w:val="20"/>
                <w:lang w:val="en-GB"/>
              </w:rPr>
              <w:instrText xml:space="preserve"> ADDIN EN.CITE &lt;EndNote&gt;&lt;Cite&gt;&lt;Author&gt;Sharaf&lt;/Author&gt;&lt;Year&gt;2018&lt;/Year&gt;&lt;RecNum&gt;423&lt;/RecNum&gt;&lt;DisplayText&gt;[52]&lt;/DisplayText&gt;&lt;record&gt;&lt;rec-number&gt;423&lt;/rec-number&gt;&lt;foreign-keys&gt;&lt;key app="EN" db-id="wzwwsfxe4peesxef95cxvrwjxts9rreasarf" timestamp="1692654670"&gt;423&lt;/key&gt;&lt;/foreign-keys&gt;&lt;ref-type name="Book Section"&gt;5&lt;/ref-type&gt;&lt;contributors&gt;&lt;authors&gt;&lt;author&gt;Sharaf, A.&lt;/author&gt;&lt;/authors&gt;&lt;secondary-authors&gt;&lt;author&gt;Kockaya, G.&lt;/author&gt;&lt;author&gt;Wertheimer, A. &lt;/author&gt;&lt;/secondary-authors&gt;&lt;/contributors&gt;&lt;titles&gt;&lt;title&gt;Pharmaceutical market access in Denmark, Sweden, and TheNetherlands: An overview.&lt;/title&gt;&lt;secondary-title&gt;Pharmaceutical Market Access in Developed Markets&lt;/secondary-title&gt;&lt;/titles&gt;&lt;dates&gt;&lt;year&gt;2018&lt;/year&gt;&lt;/dates&gt;&lt;pub-location&gt;Torino&lt;/pub-location&gt;&lt;publisher&gt;SEED&lt;/publisher&gt;&lt;urls&gt;&lt;/urls&gt;&lt;electronic-resource-num&gt;https://doi.org/10.7175/747.ch8&lt;/electronic-resource-num&gt;&lt;/record&gt;&lt;/Cite&gt;&lt;/EndNote&gt;</w:instrText>
            </w:r>
            <w:r w:rsidRPr="00221992">
              <w:rPr>
                <w:rFonts w:cs="Calibri Light"/>
                <w:sz w:val="20"/>
                <w:szCs w:val="20"/>
                <w:lang w:val="en-GB"/>
              </w:rPr>
              <w:fldChar w:fldCharType="separate"/>
            </w:r>
            <w:r w:rsidR="00112E71">
              <w:rPr>
                <w:rFonts w:cs="Calibri Light"/>
                <w:noProof/>
                <w:sz w:val="20"/>
                <w:szCs w:val="20"/>
                <w:lang w:val="en-GB"/>
              </w:rPr>
              <w:t>[52]</w:t>
            </w:r>
            <w:r w:rsidRPr="00221992">
              <w:rPr>
                <w:rFonts w:cs="Calibri Light"/>
                <w:sz w:val="20"/>
                <w:szCs w:val="20"/>
                <w:lang w:val="en-GB"/>
              </w:rPr>
              <w:fldChar w:fldCharType="end"/>
            </w:r>
            <w:r w:rsidRPr="00221992">
              <w:rPr>
                <w:rFonts w:cs="Calibri Light"/>
                <w:sz w:val="20"/>
                <w:szCs w:val="20"/>
                <w:lang w:val="en-GB"/>
              </w:rPr>
              <w:t>*</w:t>
            </w:r>
          </w:p>
          <w:p w14:paraId="21987917" w14:textId="10BC1E6F" w:rsidR="00D95336" w:rsidRPr="00221992" w:rsidRDefault="00D95336" w:rsidP="009F2B6D">
            <w:pPr>
              <w:spacing w:after="0" w:line="240" w:lineRule="auto"/>
              <w:cnfStyle w:val="000000010000" w:firstRow="0" w:lastRow="0" w:firstColumn="0" w:lastColumn="0" w:oddVBand="0" w:evenVBand="0" w:oddHBand="0" w:evenHBand="1" w:firstRowFirstColumn="0" w:firstRowLastColumn="0" w:lastRowFirstColumn="0" w:lastRowLastColumn="0"/>
              <w:rPr>
                <w:rFonts w:cs="Calibri Light"/>
                <w:sz w:val="20"/>
                <w:szCs w:val="20"/>
                <w:lang w:val="en-GB"/>
              </w:rPr>
            </w:pPr>
            <w:r w:rsidRPr="00221992">
              <w:rPr>
                <w:rFonts w:cs="Calibri Light"/>
                <w:sz w:val="20"/>
                <w:szCs w:val="20"/>
                <w:lang w:val="en-GB"/>
              </w:rPr>
              <w:t>Spain (minimum 6 months)</w:t>
            </w:r>
            <w:r w:rsidR="00CF3901" w:rsidRPr="00221992">
              <w:rPr>
                <w:rFonts w:cs="Calibri Light"/>
                <w:sz w:val="20"/>
                <w:szCs w:val="20"/>
                <w:lang w:val="en-GB"/>
              </w:rPr>
              <w:t xml:space="preserve"> </w:t>
            </w:r>
            <w:r w:rsidRPr="00221992">
              <w:rPr>
                <w:rFonts w:cs="Calibri Light"/>
                <w:sz w:val="20"/>
                <w:szCs w:val="20"/>
                <w:lang w:val="en-GB"/>
              </w:rPr>
              <w:fldChar w:fldCharType="begin"/>
            </w:r>
            <w:r w:rsidR="00112E71">
              <w:rPr>
                <w:rFonts w:cs="Calibri Light"/>
                <w:sz w:val="20"/>
                <w:szCs w:val="20"/>
                <w:lang w:val="en-GB"/>
              </w:rPr>
              <w:instrText xml:space="preserve"> ADDIN EN.CITE &lt;EndNote&gt;&lt;Cite&gt;&lt;Author&gt;Faus&lt;/Author&gt;&lt;Year&gt;2022&lt;/Year&gt;&lt;RecNum&gt;233&lt;/RecNum&gt;&lt;DisplayText&gt;[36]&lt;/DisplayText&gt;&lt;record&gt;&lt;rec-number&gt;233&lt;/rec-number&gt;&lt;foreign-keys&gt;&lt;key app="EN" db-id="wzwwsfxe4peesxef95cxvrwjxts9rreasarf" timestamp="1692654670"&gt;233&lt;/key&gt;&lt;/foreign-keys&gt;&lt;ref-type name="Web Page"&gt;12&lt;/ref-type&gt;&lt;contributors&gt;&lt;authors&gt;&lt;author&gt;Faus, J.&lt;/author&gt;&lt;author&gt;Alcover, L.&lt;/author&gt;&lt;author&gt;Bailach, J.&lt;/author&gt;&lt;/authors&gt;&lt;/contributors&gt;&lt;titles&gt;&lt;title&gt;Pricing &amp;amp; Reimbursement Laws and Regulations 2022 - Spain&lt;/title&gt;&lt;/titles&gt;&lt;number&gt;23 August 2023&lt;/number&gt;&lt;dates&gt;&lt;year&gt;2022&lt;/year&gt;&lt;/dates&gt;&lt;publisher&gt;Global Legal Insights&lt;/publisher&gt;&lt;urls&gt;&lt;related-urls&gt;&lt;url&gt;https://www.globallegalinsights.com/practice-areas/pricing-and-reimbursement-laws-and-regulations/spain&lt;/url&gt;&lt;/related-urls&gt;&lt;/urls&gt;&lt;/record&gt;&lt;/Cite&gt;&lt;/EndNote&gt;</w:instrText>
            </w:r>
            <w:r w:rsidRPr="00221992">
              <w:rPr>
                <w:rFonts w:cs="Calibri Light"/>
                <w:sz w:val="20"/>
                <w:szCs w:val="20"/>
                <w:lang w:val="en-GB"/>
              </w:rPr>
              <w:fldChar w:fldCharType="separate"/>
            </w:r>
            <w:r w:rsidR="00112E71">
              <w:rPr>
                <w:rFonts w:cs="Calibri Light"/>
                <w:noProof/>
                <w:sz w:val="20"/>
                <w:szCs w:val="20"/>
                <w:lang w:val="en-GB"/>
              </w:rPr>
              <w:t>[36]</w:t>
            </w:r>
            <w:r w:rsidRPr="00221992">
              <w:rPr>
                <w:rFonts w:cs="Calibri Light"/>
                <w:sz w:val="20"/>
                <w:szCs w:val="20"/>
                <w:lang w:val="en-GB"/>
              </w:rPr>
              <w:fldChar w:fldCharType="end"/>
            </w:r>
          </w:p>
        </w:tc>
      </w:tr>
      <w:tr w:rsidR="00D95336" w:rsidRPr="00221992" w14:paraId="5ED936BC" w14:textId="77777777" w:rsidTr="17B665DC">
        <w:tc>
          <w:tcPr>
            <w:cnfStyle w:val="001000000000" w:firstRow="0" w:lastRow="0" w:firstColumn="1" w:lastColumn="0" w:oddVBand="0" w:evenVBand="0" w:oddHBand="0" w:evenHBand="0" w:firstRowFirstColumn="0" w:firstRowLastColumn="0" w:lastRowFirstColumn="0" w:lastRowLastColumn="0"/>
            <w:tcW w:w="840" w:type="dxa"/>
            <w:shd w:val="clear" w:color="auto" w:fill="1E8BCD"/>
          </w:tcPr>
          <w:p w14:paraId="0F4C26C7" w14:textId="77777777" w:rsidR="00D95336" w:rsidRPr="00221992" w:rsidRDefault="00D95336" w:rsidP="009F2B6D">
            <w:pPr>
              <w:spacing w:after="0" w:line="240" w:lineRule="auto"/>
              <w:rPr>
                <w:rFonts w:cs="Calibri Light"/>
                <w:sz w:val="20"/>
                <w:szCs w:val="20"/>
                <w:lang w:val="en-GB"/>
              </w:rPr>
            </w:pPr>
            <w:r w:rsidRPr="00221992">
              <w:rPr>
                <w:rFonts w:cs="Calibri Light"/>
                <w:sz w:val="20"/>
                <w:szCs w:val="20"/>
                <w:lang w:val="en-GB"/>
              </w:rPr>
              <w:t>7</w:t>
            </w:r>
          </w:p>
        </w:tc>
        <w:tc>
          <w:tcPr>
            <w:tcW w:w="8176" w:type="dxa"/>
            <w:gridSpan w:val="2"/>
          </w:tcPr>
          <w:p w14:paraId="7778581D" w14:textId="5CCD44BC" w:rsidR="00D95336" w:rsidRPr="00221992" w:rsidRDefault="00D95336" w:rsidP="009F2B6D">
            <w:pPr>
              <w:spacing w:after="0" w:line="240" w:lineRule="auto"/>
              <w:cnfStyle w:val="000000000000" w:firstRow="0" w:lastRow="0" w:firstColumn="0" w:lastColumn="0" w:oddVBand="0" w:evenVBand="0" w:oddHBand="0" w:evenHBand="0" w:firstRowFirstColumn="0" w:firstRowLastColumn="0" w:lastRowFirstColumn="0" w:lastRowLastColumn="0"/>
              <w:rPr>
                <w:rFonts w:cs="Calibri Light"/>
                <w:sz w:val="20"/>
                <w:szCs w:val="20"/>
                <w:lang w:val="en-GB"/>
              </w:rPr>
            </w:pPr>
            <w:r w:rsidRPr="00221992">
              <w:rPr>
                <w:rFonts w:cs="Calibri Light"/>
                <w:sz w:val="20"/>
                <w:szCs w:val="20"/>
                <w:lang w:val="en-GB"/>
              </w:rPr>
              <w:t>Norway (decision within 210 days)</w:t>
            </w:r>
            <w:r w:rsidR="00CF3901" w:rsidRPr="00221992">
              <w:rPr>
                <w:rFonts w:cs="Calibri Light"/>
                <w:sz w:val="20"/>
                <w:szCs w:val="20"/>
                <w:lang w:val="en-GB"/>
              </w:rPr>
              <w:t xml:space="preserve"> </w:t>
            </w:r>
            <w:r w:rsidRPr="00221992">
              <w:rPr>
                <w:rFonts w:cs="Calibri Light"/>
                <w:sz w:val="20"/>
                <w:szCs w:val="20"/>
                <w:lang w:val="en-GB"/>
              </w:rPr>
              <w:fldChar w:fldCharType="begin"/>
            </w:r>
            <w:r w:rsidR="008D71B5" w:rsidRPr="00221992">
              <w:rPr>
                <w:rFonts w:cs="Calibri Light"/>
                <w:sz w:val="20"/>
                <w:szCs w:val="20"/>
                <w:lang w:val="en-GB"/>
              </w:rPr>
              <w:instrText xml:space="preserve"> ADDIN EN.CITE &lt;EndNote&gt;&lt;Cite&gt;&lt;Author&gt;Voldstad&lt;/Author&gt;&lt;Year&gt;2022&lt;/Year&gt;&lt;RecNum&gt;293&lt;/RecNum&gt;&lt;DisplayText&gt;[17]&lt;/DisplayText&gt;&lt;record&gt;&lt;rec-number&gt;293&lt;/rec-number&gt;&lt;foreign-keys&gt;&lt;key app="EN" db-id="wzwwsfxe4peesxef95cxvrwjxts9rreasarf" timestamp="1692654670"&gt;293&lt;/key&gt;&lt;/foreign-keys&gt;&lt;ref-type name="Web Page"&gt;12&lt;/ref-type&gt;&lt;contributors&gt;&lt;authors&gt;&lt;author&gt;Voldstad, L.&lt;/author&gt;&lt;author&gt;Åkermoen, T.&lt;/author&gt;&lt;/authors&gt;&lt;/contributors&gt;&lt;titles&gt;&lt;title&gt;Pricing &amp;amp; Reimbursement Laws and Regulations 2022 - Norway&lt;/title&gt;&lt;/titles&gt;&lt;dates&gt;&lt;year&gt;2022&lt;/year&gt;&lt;/dates&gt;&lt;publisher&gt;Global Legal Insights&lt;/publisher&gt;&lt;urls&gt;&lt;related-urls&gt;&lt;url&gt;https://www.globallegalinsights.com/practice-areas/pricing-and-reimbursement-laws-and-regulations/norway&lt;/url&gt;&lt;/related-urls&gt;&lt;/urls&gt;&lt;/record&gt;&lt;/Cite&gt;&lt;/EndNote&gt;</w:instrText>
            </w:r>
            <w:r w:rsidRPr="00221992">
              <w:rPr>
                <w:rFonts w:cs="Calibri Light"/>
                <w:sz w:val="20"/>
                <w:szCs w:val="20"/>
                <w:lang w:val="en-GB"/>
              </w:rPr>
              <w:fldChar w:fldCharType="separate"/>
            </w:r>
            <w:r w:rsidR="008D71B5" w:rsidRPr="00221992">
              <w:rPr>
                <w:rFonts w:cs="Calibri Light"/>
                <w:noProof/>
                <w:sz w:val="20"/>
                <w:szCs w:val="20"/>
                <w:lang w:val="en-GB"/>
              </w:rPr>
              <w:t>[17]</w:t>
            </w:r>
            <w:r w:rsidRPr="00221992">
              <w:rPr>
                <w:rFonts w:cs="Calibri Light"/>
                <w:sz w:val="20"/>
                <w:szCs w:val="20"/>
                <w:lang w:val="en-GB"/>
              </w:rPr>
              <w:fldChar w:fldCharType="end"/>
            </w:r>
            <w:r w:rsidRPr="00221992">
              <w:rPr>
                <w:rFonts w:cs="Calibri Light"/>
                <w:sz w:val="20"/>
                <w:szCs w:val="20"/>
                <w:lang w:val="en-GB"/>
              </w:rPr>
              <w:t>*</w:t>
            </w:r>
          </w:p>
        </w:tc>
      </w:tr>
      <w:tr w:rsidR="00D95336" w:rsidRPr="00221992" w14:paraId="66D5C0EE" w14:textId="77777777" w:rsidTr="17B665D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0" w:type="dxa"/>
            <w:shd w:val="clear" w:color="auto" w:fill="1E8BCD"/>
          </w:tcPr>
          <w:p w14:paraId="4E15C135" w14:textId="77777777" w:rsidR="00D95336" w:rsidRPr="00221992" w:rsidRDefault="00D95336" w:rsidP="009F2B6D">
            <w:pPr>
              <w:spacing w:after="0" w:line="240" w:lineRule="auto"/>
              <w:rPr>
                <w:rFonts w:cs="Calibri Light"/>
                <w:sz w:val="20"/>
                <w:szCs w:val="20"/>
                <w:lang w:val="en-GB"/>
              </w:rPr>
            </w:pPr>
            <w:r w:rsidRPr="00221992">
              <w:rPr>
                <w:rFonts w:cs="Calibri Light"/>
                <w:sz w:val="20"/>
                <w:szCs w:val="20"/>
                <w:lang w:val="en-GB"/>
              </w:rPr>
              <w:t>8</w:t>
            </w:r>
          </w:p>
        </w:tc>
        <w:tc>
          <w:tcPr>
            <w:tcW w:w="8176" w:type="dxa"/>
            <w:gridSpan w:val="2"/>
          </w:tcPr>
          <w:p w14:paraId="33A1F236" w14:textId="77777777" w:rsidR="00D95336" w:rsidRPr="00221992" w:rsidRDefault="00D95336" w:rsidP="009F2B6D">
            <w:pPr>
              <w:spacing w:after="0" w:line="240" w:lineRule="auto"/>
              <w:cnfStyle w:val="000000010000" w:firstRow="0" w:lastRow="0" w:firstColumn="0" w:lastColumn="0" w:oddVBand="0" w:evenVBand="0" w:oddHBand="0" w:evenHBand="1" w:firstRowFirstColumn="0" w:firstRowLastColumn="0" w:lastRowFirstColumn="0" w:lastRowLastColumn="0"/>
              <w:rPr>
                <w:rFonts w:cs="Calibri Light"/>
                <w:sz w:val="20"/>
                <w:szCs w:val="20"/>
                <w:lang w:val="en-GB"/>
              </w:rPr>
            </w:pPr>
          </w:p>
        </w:tc>
      </w:tr>
      <w:tr w:rsidR="00D95336" w:rsidRPr="00221992" w14:paraId="16EEBB99" w14:textId="77777777" w:rsidTr="17B665DC">
        <w:tc>
          <w:tcPr>
            <w:cnfStyle w:val="001000000000" w:firstRow="0" w:lastRow="0" w:firstColumn="1" w:lastColumn="0" w:oddVBand="0" w:evenVBand="0" w:oddHBand="0" w:evenHBand="0" w:firstRowFirstColumn="0" w:firstRowLastColumn="0" w:lastRowFirstColumn="0" w:lastRowLastColumn="0"/>
            <w:tcW w:w="840" w:type="dxa"/>
            <w:shd w:val="clear" w:color="auto" w:fill="1E8BCD"/>
          </w:tcPr>
          <w:p w14:paraId="315756F5" w14:textId="77777777" w:rsidR="00D95336" w:rsidRPr="00221992" w:rsidRDefault="00D95336" w:rsidP="009F2B6D">
            <w:pPr>
              <w:spacing w:after="0" w:line="240" w:lineRule="auto"/>
              <w:rPr>
                <w:rFonts w:cs="Calibri Light"/>
                <w:sz w:val="20"/>
                <w:szCs w:val="20"/>
                <w:lang w:val="en-GB"/>
              </w:rPr>
            </w:pPr>
            <w:r w:rsidRPr="00221992">
              <w:rPr>
                <w:rFonts w:cs="Calibri Light"/>
                <w:sz w:val="20"/>
                <w:szCs w:val="20"/>
                <w:lang w:val="en-GB"/>
              </w:rPr>
              <w:t>9</w:t>
            </w:r>
          </w:p>
        </w:tc>
        <w:tc>
          <w:tcPr>
            <w:tcW w:w="8176" w:type="dxa"/>
            <w:gridSpan w:val="2"/>
          </w:tcPr>
          <w:p w14:paraId="7EAFCF70" w14:textId="405A4662" w:rsidR="00D95336" w:rsidRPr="00221992" w:rsidRDefault="00D95336" w:rsidP="009F2B6D">
            <w:pPr>
              <w:spacing w:after="0" w:line="240" w:lineRule="auto"/>
              <w:cnfStyle w:val="000000000000" w:firstRow="0" w:lastRow="0" w:firstColumn="0" w:lastColumn="0" w:oddVBand="0" w:evenVBand="0" w:oddHBand="0" w:evenHBand="0" w:firstRowFirstColumn="0" w:firstRowLastColumn="0" w:lastRowFirstColumn="0" w:lastRowLastColumn="0"/>
              <w:rPr>
                <w:rFonts w:cs="Calibri Light"/>
                <w:sz w:val="20"/>
                <w:szCs w:val="20"/>
                <w:lang w:val="en-GB"/>
              </w:rPr>
            </w:pPr>
            <w:r w:rsidRPr="00221992">
              <w:rPr>
                <w:rFonts w:cs="Calibri Light"/>
                <w:sz w:val="20"/>
                <w:szCs w:val="20"/>
                <w:lang w:val="en-GB"/>
              </w:rPr>
              <w:t>South Korea</w:t>
            </w:r>
            <w:r w:rsidR="00490148">
              <w:rPr>
                <w:rFonts w:cs="Calibri Light"/>
                <w:sz w:val="20"/>
                <w:szCs w:val="20"/>
                <w:lang w:val="en-GB"/>
              </w:rPr>
              <w:t xml:space="preserve"> </w:t>
            </w:r>
            <w:r w:rsidRPr="00221992">
              <w:rPr>
                <w:rFonts w:cs="Calibri Light"/>
                <w:sz w:val="20"/>
                <w:szCs w:val="20"/>
                <w:lang w:val="en-GB"/>
              </w:rPr>
              <w:fldChar w:fldCharType="begin"/>
            </w:r>
            <w:r w:rsidR="00112E71">
              <w:rPr>
                <w:rFonts w:cs="Calibri Light"/>
                <w:sz w:val="20"/>
                <w:szCs w:val="20"/>
                <w:lang w:val="en-GB"/>
              </w:rPr>
              <w:instrText xml:space="preserve"> ADDIN EN.CITE &lt;EndNote&gt;&lt;Cite&gt;&lt;Author&gt;Bae&lt;/Author&gt;&lt;Year&gt;2019&lt;/Year&gt;&lt;RecNum&gt;41&lt;/RecNum&gt;&lt;DisplayText&gt;[53]&lt;/DisplayText&gt;&lt;record&gt;&lt;rec-number&gt;41&lt;/rec-number&gt;&lt;foreign-keys&gt;&lt;key app="EN" db-id="wzwwsfxe4peesxef95cxvrwjxts9rreasarf" timestamp="1692654670"&gt;41&lt;/key&gt;&lt;/foreign-keys&gt;&lt;ref-type name="Journal Article"&gt;17&lt;/ref-type&gt;&lt;contributors&gt;&lt;authors&gt;&lt;author&gt;Bae, Eun-Young&lt;/author&gt;&lt;/authors&gt;&lt;/contributors&gt;&lt;titles&gt;&lt;title&gt;Role of Health Technology Assessment in Drug Policies: Korea&lt;/title&gt;&lt;secondary-title&gt;Value in Health Regional Issues&lt;/secondary-title&gt;&lt;/titles&gt;&lt;periodical&gt;&lt;full-title&gt;Value in Health Regional Issues&lt;/full-title&gt;&lt;/periodical&gt;&lt;pages&gt;24-29&lt;/pages&gt;&lt;volume&gt;18&lt;/volume&gt;&lt;keywords&gt;&lt;keyword&gt;coverage&lt;/keyword&gt;&lt;keyword&gt;drug policy&lt;/keyword&gt;&lt;keyword&gt;health technology assessment&lt;/keyword&gt;&lt;keyword&gt;South Korea&lt;/keyword&gt;&lt;/keywords&gt;&lt;dates&gt;&lt;year&gt;2019&lt;/year&gt;&lt;pub-dates&gt;&lt;date&gt;2019/05/01/&lt;/date&gt;&lt;/pub-dates&gt;&lt;/dates&gt;&lt;isbn&gt;2212-1099&lt;/isbn&gt;&lt;urls&gt;&lt;related-urls&gt;&lt;url&gt;https://www.sciencedirect.com/science/article/pii/S221210991830058X&lt;/url&gt;&lt;/related-urls&gt;&lt;/urls&gt;&lt;electronic-resource-num&gt;https://doi.org/10.1016/j.vhri.2018.03.009&lt;/electronic-resource-num&gt;&lt;/record&gt;&lt;/Cite&gt;&lt;/EndNote&gt;</w:instrText>
            </w:r>
            <w:r w:rsidRPr="00221992">
              <w:rPr>
                <w:rFonts w:cs="Calibri Light"/>
                <w:sz w:val="20"/>
                <w:szCs w:val="20"/>
                <w:lang w:val="en-GB"/>
              </w:rPr>
              <w:fldChar w:fldCharType="separate"/>
            </w:r>
            <w:r w:rsidR="00112E71">
              <w:rPr>
                <w:rFonts w:cs="Calibri Light"/>
                <w:noProof/>
                <w:sz w:val="20"/>
                <w:szCs w:val="20"/>
                <w:lang w:val="en-GB"/>
              </w:rPr>
              <w:t>[53]</w:t>
            </w:r>
            <w:r w:rsidRPr="00221992">
              <w:rPr>
                <w:rFonts w:cs="Calibri Light"/>
                <w:sz w:val="20"/>
                <w:szCs w:val="20"/>
                <w:lang w:val="en-GB"/>
              </w:rPr>
              <w:fldChar w:fldCharType="end"/>
            </w:r>
          </w:p>
          <w:p w14:paraId="39B6051B" w14:textId="2EB70E02" w:rsidR="00D95336" w:rsidRPr="00221992" w:rsidRDefault="00213502" w:rsidP="009F2B6D">
            <w:pPr>
              <w:spacing w:after="0" w:line="240" w:lineRule="auto"/>
              <w:cnfStyle w:val="000000000000" w:firstRow="0" w:lastRow="0" w:firstColumn="0" w:lastColumn="0" w:oddVBand="0" w:evenVBand="0" w:oddHBand="0" w:evenHBand="0" w:firstRowFirstColumn="0" w:firstRowLastColumn="0" w:lastRowFirstColumn="0" w:lastRowLastColumn="0"/>
              <w:rPr>
                <w:rFonts w:cs="Calibri Light"/>
                <w:sz w:val="20"/>
                <w:szCs w:val="20"/>
                <w:lang w:val="en-GB"/>
              </w:rPr>
            </w:pPr>
            <w:r w:rsidRPr="00221992">
              <w:rPr>
                <w:rFonts w:cs="Calibri Light"/>
                <w:sz w:val="20"/>
                <w:szCs w:val="20"/>
                <w:lang w:val="en-GB"/>
              </w:rPr>
              <w:t>England/Wales</w:t>
            </w:r>
            <w:r w:rsidR="00D95336" w:rsidRPr="00221992">
              <w:rPr>
                <w:rFonts w:cs="Calibri Light"/>
                <w:sz w:val="20"/>
                <w:szCs w:val="20"/>
                <w:lang w:val="en-GB"/>
              </w:rPr>
              <w:t xml:space="preserve"> (includes 4 weeks for the </w:t>
            </w:r>
            <w:r w:rsidR="00551786">
              <w:rPr>
                <w:rFonts w:cs="Calibri Light"/>
                <w:sz w:val="20"/>
                <w:szCs w:val="20"/>
                <w:lang w:val="en-GB"/>
              </w:rPr>
              <w:t>‘</w:t>
            </w:r>
            <w:r w:rsidR="00D95336" w:rsidRPr="00221992">
              <w:rPr>
                <w:rFonts w:cs="Calibri Light"/>
                <w:sz w:val="20"/>
                <w:szCs w:val="20"/>
                <w:lang w:val="en-GB"/>
              </w:rPr>
              <w:t>invitation period</w:t>
            </w:r>
            <w:r w:rsidR="00551786">
              <w:rPr>
                <w:rFonts w:cs="Calibri Light"/>
                <w:sz w:val="20"/>
                <w:szCs w:val="20"/>
                <w:lang w:val="en-GB"/>
              </w:rPr>
              <w:t>’</w:t>
            </w:r>
            <w:r w:rsidR="00D95336" w:rsidRPr="00221992">
              <w:rPr>
                <w:rFonts w:cs="Calibri Light"/>
                <w:sz w:val="20"/>
                <w:szCs w:val="20"/>
                <w:lang w:val="en-GB"/>
              </w:rPr>
              <w:t xml:space="preserve"> prior to submission)</w:t>
            </w:r>
            <w:r w:rsidR="00CF3901" w:rsidRPr="00221992">
              <w:rPr>
                <w:rFonts w:cs="Calibri Light"/>
                <w:sz w:val="20"/>
                <w:szCs w:val="20"/>
                <w:lang w:val="en-GB"/>
              </w:rPr>
              <w:t xml:space="preserve"> </w:t>
            </w:r>
            <w:r w:rsidR="00D95336" w:rsidRPr="00221992">
              <w:rPr>
                <w:rFonts w:cs="Calibri Light"/>
                <w:sz w:val="20"/>
                <w:szCs w:val="20"/>
                <w:lang w:val="en-GB"/>
              </w:rPr>
              <w:fldChar w:fldCharType="begin"/>
            </w:r>
            <w:r w:rsidR="002F6CD4" w:rsidRPr="00221992">
              <w:rPr>
                <w:rFonts w:cs="Calibri Light"/>
                <w:sz w:val="20"/>
                <w:szCs w:val="20"/>
                <w:lang w:val="en-GB"/>
              </w:rPr>
              <w:instrText xml:space="preserve"> ADDIN EN.CITE &lt;EndNote&gt;&lt;Cite&gt;&lt;Author&gt;National Institute for Health and Care Excellence (NICE)&lt;/Author&gt;&lt;Year&gt;2018&lt;/Year&gt;&lt;RecNum&gt;7&lt;/RecNum&gt;&lt;DisplayText&gt;[22]&lt;/DisplayText&gt;&lt;record&gt;&lt;rec-number&gt;7&lt;/rec-number&gt;&lt;foreign-keys&gt;&lt;key app="EN" db-id="wzwwsfxe4peesxef95cxvrwjxts9rreasarf" timestamp="1692654670"&gt;7&lt;/key&gt;&lt;/foreign-keys&gt;&lt;ref-type name="Web Page"&gt;12&lt;/ref-type&gt;&lt;contributors&gt;&lt;authors&gt;&lt;author&gt;National Institute for Health and Care Excellence (NICE),&lt;/author&gt;&lt;/authors&gt;&lt;/contributors&gt;&lt;titles&gt;&lt;title&gt;Guide to the processes of technology appraisal&lt;/title&gt;&lt;/titles&gt;&lt;dates&gt;&lt;year&gt;2018&lt;/year&gt;&lt;pub-dates&gt;&lt;date&gt;8 July 2023&lt;/date&gt;&lt;/pub-dates&gt;&lt;/dates&gt;&lt;pub-location&gt;London&lt;/pub-location&gt;&lt;publisher&gt;National Institute for Health and Care Excellence (NICE)&lt;/publisher&gt;&lt;urls&gt;&lt;related-urls&gt;&lt;url&gt;https://www.nice.org.uk/process/pmg19/resources/guide-to-the-processes-of-technology-appraisal-pdf-72286663351237&lt;/url&gt;&lt;/related-urls&gt;&lt;/urls&gt;&lt;/record&gt;&lt;/Cite&gt;&lt;/EndNote&gt;</w:instrText>
            </w:r>
            <w:r w:rsidR="00D95336" w:rsidRPr="00221992">
              <w:rPr>
                <w:rFonts w:cs="Calibri Light"/>
                <w:sz w:val="20"/>
                <w:szCs w:val="20"/>
                <w:lang w:val="en-GB"/>
              </w:rPr>
              <w:fldChar w:fldCharType="separate"/>
            </w:r>
            <w:r w:rsidR="002F6CD4" w:rsidRPr="00221992">
              <w:rPr>
                <w:rFonts w:cs="Calibri Light"/>
                <w:noProof/>
                <w:sz w:val="20"/>
                <w:szCs w:val="20"/>
                <w:lang w:val="en-GB"/>
              </w:rPr>
              <w:t>[22]</w:t>
            </w:r>
            <w:r w:rsidR="00D95336" w:rsidRPr="00221992">
              <w:rPr>
                <w:rFonts w:cs="Calibri Light"/>
                <w:sz w:val="20"/>
                <w:szCs w:val="20"/>
                <w:lang w:val="en-GB"/>
              </w:rPr>
              <w:fldChar w:fldCharType="end"/>
            </w:r>
          </w:p>
        </w:tc>
      </w:tr>
      <w:tr w:rsidR="00D95336" w:rsidRPr="00221992" w14:paraId="74072A39" w14:textId="77777777" w:rsidTr="17B665D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0" w:type="dxa"/>
            <w:shd w:val="clear" w:color="auto" w:fill="1E8BCD"/>
          </w:tcPr>
          <w:p w14:paraId="5F9F8770" w14:textId="77777777" w:rsidR="00D95336" w:rsidRPr="00221992" w:rsidRDefault="00D95336" w:rsidP="009F2B6D">
            <w:pPr>
              <w:spacing w:after="0" w:line="240" w:lineRule="auto"/>
              <w:rPr>
                <w:rFonts w:cs="Calibri Light"/>
                <w:sz w:val="20"/>
                <w:szCs w:val="20"/>
                <w:lang w:val="en-GB"/>
              </w:rPr>
            </w:pPr>
            <w:r w:rsidRPr="00221992">
              <w:rPr>
                <w:rFonts w:cs="Calibri Light"/>
                <w:sz w:val="20"/>
                <w:szCs w:val="20"/>
                <w:lang w:val="en-GB"/>
              </w:rPr>
              <w:t>10</w:t>
            </w:r>
          </w:p>
        </w:tc>
        <w:tc>
          <w:tcPr>
            <w:tcW w:w="8176" w:type="dxa"/>
            <w:gridSpan w:val="2"/>
          </w:tcPr>
          <w:p w14:paraId="061BCFFF" w14:textId="77777777" w:rsidR="00D95336" w:rsidRPr="00221992" w:rsidRDefault="00D95336" w:rsidP="009F2B6D">
            <w:pPr>
              <w:spacing w:after="0" w:line="240" w:lineRule="auto"/>
              <w:cnfStyle w:val="000000010000" w:firstRow="0" w:lastRow="0" w:firstColumn="0" w:lastColumn="0" w:oddVBand="0" w:evenVBand="0" w:oddHBand="0" w:evenHBand="1" w:firstRowFirstColumn="0" w:firstRowLastColumn="0" w:lastRowFirstColumn="0" w:lastRowLastColumn="0"/>
              <w:rPr>
                <w:rFonts w:cs="Calibri Light"/>
                <w:sz w:val="20"/>
                <w:szCs w:val="20"/>
                <w:lang w:val="en-GB"/>
              </w:rPr>
            </w:pPr>
          </w:p>
        </w:tc>
      </w:tr>
      <w:tr w:rsidR="00D95336" w:rsidRPr="00221992" w14:paraId="45242885" w14:textId="77777777" w:rsidTr="17B665DC">
        <w:tc>
          <w:tcPr>
            <w:cnfStyle w:val="001000000000" w:firstRow="0" w:lastRow="0" w:firstColumn="1" w:lastColumn="0" w:oddVBand="0" w:evenVBand="0" w:oddHBand="0" w:evenHBand="0" w:firstRowFirstColumn="0" w:firstRowLastColumn="0" w:lastRowFirstColumn="0" w:lastRowLastColumn="0"/>
            <w:tcW w:w="840" w:type="dxa"/>
            <w:shd w:val="clear" w:color="auto" w:fill="1E8BCD"/>
          </w:tcPr>
          <w:p w14:paraId="51EBBC93" w14:textId="77777777" w:rsidR="00D95336" w:rsidRPr="00221992" w:rsidRDefault="00D95336" w:rsidP="009F2B6D">
            <w:pPr>
              <w:spacing w:after="0" w:line="240" w:lineRule="auto"/>
              <w:rPr>
                <w:rFonts w:cs="Calibri Light"/>
                <w:sz w:val="20"/>
                <w:szCs w:val="20"/>
                <w:lang w:val="en-GB"/>
              </w:rPr>
            </w:pPr>
            <w:r w:rsidRPr="00221992">
              <w:rPr>
                <w:rFonts w:cs="Calibri Light"/>
                <w:sz w:val="20"/>
                <w:szCs w:val="20"/>
                <w:lang w:val="en-GB"/>
              </w:rPr>
              <w:t>11</w:t>
            </w:r>
          </w:p>
        </w:tc>
        <w:tc>
          <w:tcPr>
            <w:tcW w:w="8176" w:type="dxa"/>
            <w:gridSpan w:val="2"/>
          </w:tcPr>
          <w:p w14:paraId="5BAE3495" w14:textId="77777777" w:rsidR="00D95336" w:rsidRPr="00221992" w:rsidRDefault="00D95336" w:rsidP="009F2B6D">
            <w:pPr>
              <w:spacing w:after="0" w:line="240" w:lineRule="auto"/>
              <w:cnfStyle w:val="000000000000" w:firstRow="0" w:lastRow="0" w:firstColumn="0" w:lastColumn="0" w:oddVBand="0" w:evenVBand="0" w:oddHBand="0" w:evenHBand="0" w:firstRowFirstColumn="0" w:firstRowLastColumn="0" w:lastRowFirstColumn="0" w:lastRowLastColumn="0"/>
              <w:rPr>
                <w:rFonts w:cs="Calibri Light"/>
                <w:sz w:val="20"/>
                <w:szCs w:val="20"/>
                <w:lang w:val="en-GB"/>
              </w:rPr>
            </w:pPr>
          </w:p>
        </w:tc>
      </w:tr>
      <w:tr w:rsidR="00D95336" w:rsidRPr="00221992" w14:paraId="2E0DA27A" w14:textId="77777777" w:rsidTr="17B665D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0" w:type="dxa"/>
            <w:shd w:val="clear" w:color="auto" w:fill="1E8BCD"/>
          </w:tcPr>
          <w:p w14:paraId="173361D7" w14:textId="77777777" w:rsidR="00D95336" w:rsidRPr="00221992" w:rsidRDefault="00D95336" w:rsidP="009F2B6D">
            <w:pPr>
              <w:spacing w:after="0" w:line="240" w:lineRule="auto"/>
              <w:rPr>
                <w:rFonts w:cs="Calibri Light"/>
                <w:sz w:val="20"/>
                <w:szCs w:val="20"/>
                <w:lang w:val="en-GB"/>
              </w:rPr>
            </w:pPr>
            <w:r w:rsidRPr="00221992">
              <w:rPr>
                <w:rFonts w:cs="Calibri Light"/>
                <w:sz w:val="20"/>
                <w:szCs w:val="20"/>
                <w:lang w:val="en-GB"/>
              </w:rPr>
              <w:t>12</w:t>
            </w:r>
          </w:p>
        </w:tc>
        <w:tc>
          <w:tcPr>
            <w:tcW w:w="8176" w:type="dxa"/>
            <w:gridSpan w:val="2"/>
          </w:tcPr>
          <w:p w14:paraId="293D41AF" w14:textId="34B85EC8" w:rsidR="00D95336" w:rsidRPr="00221992" w:rsidRDefault="00D95336" w:rsidP="009F2B6D">
            <w:pPr>
              <w:spacing w:after="0" w:line="240" w:lineRule="auto"/>
              <w:cnfStyle w:val="000000010000" w:firstRow="0" w:lastRow="0" w:firstColumn="0" w:lastColumn="0" w:oddVBand="0" w:evenVBand="0" w:oddHBand="0" w:evenHBand="1" w:firstRowFirstColumn="0" w:firstRowLastColumn="0" w:lastRowFirstColumn="0" w:lastRowLastColumn="0"/>
              <w:rPr>
                <w:rFonts w:cs="Calibri Light"/>
                <w:sz w:val="20"/>
                <w:szCs w:val="20"/>
                <w:lang w:val="en-GB"/>
              </w:rPr>
            </w:pPr>
            <w:r w:rsidRPr="00221992">
              <w:rPr>
                <w:rFonts w:cs="Calibri Light"/>
                <w:sz w:val="20"/>
                <w:szCs w:val="20"/>
                <w:lang w:val="en-GB"/>
              </w:rPr>
              <w:t>Germany (up to 15 months if arbitration required)</w:t>
            </w:r>
            <w:r w:rsidR="00CF3901" w:rsidRPr="00221992">
              <w:rPr>
                <w:rFonts w:cs="Calibri Light"/>
                <w:sz w:val="20"/>
                <w:szCs w:val="20"/>
                <w:lang w:val="en-GB"/>
              </w:rPr>
              <w:t xml:space="preserve"> </w:t>
            </w:r>
            <w:r w:rsidRPr="00221992">
              <w:rPr>
                <w:rFonts w:cs="Calibri Light"/>
                <w:sz w:val="20"/>
                <w:szCs w:val="20"/>
                <w:lang w:val="en-GB"/>
              </w:rPr>
              <w:fldChar w:fldCharType="begin"/>
            </w:r>
            <w:r w:rsidR="005A67DD" w:rsidRPr="00221992">
              <w:rPr>
                <w:rFonts w:cs="Calibri Light"/>
                <w:sz w:val="20"/>
                <w:szCs w:val="20"/>
                <w:lang w:val="en-GB"/>
              </w:rPr>
              <w:instrText xml:space="preserve"> ADDIN EN.CITE &lt;EndNote&gt;&lt;Cite&gt;&lt;Author&gt;Pownell&lt;/Author&gt;&lt;Year&gt;2023&lt;/Year&gt;&lt;RecNum&gt;395&lt;/RecNum&gt;&lt;DisplayText&gt;[9]&lt;/DisplayText&gt;&lt;record&gt;&lt;rec-number&gt;395&lt;/rec-number&gt;&lt;foreign-keys&gt;&lt;key app="EN" db-id="wzwwsfxe4peesxef95cxvrwjxts9rreasarf" timestamp="1692654670"&gt;395&lt;/key&gt;&lt;/foreign-keys&gt;&lt;ref-type name="Web Page"&gt;12&lt;/ref-type&gt;&lt;contributors&gt;&lt;authors&gt;&lt;author&gt;Pownell, A.&lt;/author&gt;&lt;/authors&gt;&lt;/contributors&gt;&lt;titles&gt;&lt;title&gt;Your guide to the German HTA system&lt;/title&gt;&lt;/titles&gt;&lt;number&gt;1 July 2023&lt;/number&gt;&lt;dates&gt;&lt;year&gt;2023&lt;/year&gt;&lt;/dates&gt;&lt;urls&gt;&lt;related-urls&gt;&lt;url&gt;https://germanmarketaccesssimplified.com/&lt;/url&gt;&lt;/related-urls&gt;&lt;/urls&gt;&lt;/record&gt;&lt;/Cite&gt;&lt;/EndNote&gt;</w:instrText>
            </w:r>
            <w:r w:rsidRPr="00221992">
              <w:rPr>
                <w:rFonts w:cs="Calibri Light"/>
                <w:sz w:val="20"/>
                <w:szCs w:val="20"/>
                <w:lang w:val="en-GB"/>
              </w:rPr>
              <w:fldChar w:fldCharType="separate"/>
            </w:r>
            <w:r w:rsidR="005A67DD" w:rsidRPr="00221992">
              <w:rPr>
                <w:rFonts w:cs="Calibri Light"/>
                <w:noProof/>
                <w:sz w:val="20"/>
                <w:szCs w:val="20"/>
                <w:lang w:val="en-GB"/>
              </w:rPr>
              <w:t>[9]</w:t>
            </w:r>
            <w:r w:rsidRPr="00221992">
              <w:rPr>
                <w:rFonts w:cs="Calibri Light"/>
                <w:sz w:val="20"/>
                <w:szCs w:val="20"/>
                <w:lang w:val="en-GB"/>
              </w:rPr>
              <w:fldChar w:fldCharType="end"/>
            </w:r>
          </w:p>
        </w:tc>
      </w:tr>
      <w:tr w:rsidR="00D95336" w:rsidRPr="00221992" w14:paraId="683037F4" w14:textId="77777777" w:rsidTr="17B665DC">
        <w:tc>
          <w:tcPr>
            <w:cnfStyle w:val="001000000000" w:firstRow="0" w:lastRow="0" w:firstColumn="1" w:lastColumn="0" w:oddVBand="0" w:evenVBand="0" w:oddHBand="0" w:evenHBand="0" w:firstRowFirstColumn="0" w:firstRowLastColumn="0" w:lastRowFirstColumn="0" w:lastRowLastColumn="0"/>
            <w:tcW w:w="840" w:type="dxa"/>
            <w:shd w:val="clear" w:color="auto" w:fill="1E8BCD"/>
          </w:tcPr>
          <w:p w14:paraId="5C1EFC3C" w14:textId="77777777" w:rsidR="00D95336" w:rsidRPr="00221992" w:rsidRDefault="00D95336" w:rsidP="009F2B6D">
            <w:pPr>
              <w:spacing w:after="0" w:line="240" w:lineRule="auto"/>
              <w:rPr>
                <w:rFonts w:cs="Calibri Light"/>
                <w:sz w:val="20"/>
                <w:szCs w:val="20"/>
                <w:lang w:val="en-GB"/>
              </w:rPr>
            </w:pPr>
            <w:r w:rsidRPr="00221992">
              <w:rPr>
                <w:rFonts w:cs="Calibri Light"/>
                <w:sz w:val="20"/>
                <w:szCs w:val="20"/>
                <w:lang w:val="en-GB"/>
              </w:rPr>
              <w:t>13</w:t>
            </w:r>
          </w:p>
        </w:tc>
        <w:tc>
          <w:tcPr>
            <w:tcW w:w="8176" w:type="dxa"/>
            <w:gridSpan w:val="2"/>
          </w:tcPr>
          <w:p w14:paraId="2BBF6270" w14:textId="77777777" w:rsidR="00D95336" w:rsidRPr="00221992" w:rsidRDefault="00D95336" w:rsidP="009F2B6D">
            <w:pPr>
              <w:spacing w:after="0" w:line="240" w:lineRule="auto"/>
              <w:cnfStyle w:val="000000000000" w:firstRow="0" w:lastRow="0" w:firstColumn="0" w:lastColumn="0" w:oddVBand="0" w:evenVBand="0" w:oddHBand="0" w:evenHBand="0" w:firstRowFirstColumn="0" w:firstRowLastColumn="0" w:lastRowFirstColumn="0" w:lastRowLastColumn="0"/>
              <w:rPr>
                <w:rFonts w:cs="Calibri Light"/>
                <w:sz w:val="20"/>
                <w:szCs w:val="20"/>
                <w:lang w:val="en-GB"/>
              </w:rPr>
            </w:pPr>
          </w:p>
        </w:tc>
      </w:tr>
      <w:tr w:rsidR="00D95336" w:rsidRPr="00221992" w14:paraId="7C7DC5DD" w14:textId="77777777" w:rsidTr="27E9DFE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0" w:type="dxa"/>
            <w:shd w:val="clear" w:color="auto" w:fill="1E8BCD"/>
          </w:tcPr>
          <w:p w14:paraId="1CDF809B" w14:textId="77777777" w:rsidR="00D95336" w:rsidRPr="00221992" w:rsidRDefault="00D95336" w:rsidP="009F2B6D">
            <w:pPr>
              <w:spacing w:after="0" w:line="240" w:lineRule="auto"/>
              <w:rPr>
                <w:rFonts w:cs="Calibri Light"/>
                <w:sz w:val="20"/>
                <w:szCs w:val="20"/>
                <w:lang w:val="en-GB"/>
              </w:rPr>
            </w:pPr>
            <w:r w:rsidRPr="00221992">
              <w:rPr>
                <w:rFonts w:cs="Calibri Light"/>
                <w:sz w:val="20"/>
                <w:szCs w:val="20"/>
                <w:lang w:val="en-GB"/>
              </w:rPr>
              <w:t>14</w:t>
            </w:r>
          </w:p>
        </w:tc>
        <w:tc>
          <w:tcPr>
            <w:tcW w:w="8176" w:type="dxa"/>
            <w:gridSpan w:val="2"/>
          </w:tcPr>
          <w:p w14:paraId="4555828A" w14:textId="77777777" w:rsidR="00D95336" w:rsidRPr="00221992" w:rsidRDefault="00D95336" w:rsidP="009F2B6D">
            <w:pPr>
              <w:spacing w:after="0" w:line="240" w:lineRule="auto"/>
              <w:cnfStyle w:val="000000010000" w:firstRow="0" w:lastRow="0" w:firstColumn="0" w:lastColumn="0" w:oddVBand="0" w:evenVBand="0" w:oddHBand="0" w:evenHBand="1" w:firstRowFirstColumn="0" w:firstRowLastColumn="0" w:lastRowFirstColumn="0" w:lastRowLastColumn="0"/>
              <w:rPr>
                <w:rFonts w:cs="Calibri Light"/>
                <w:sz w:val="20"/>
                <w:szCs w:val="20"/>
                <w:lang w:val="en-GB"/>
              </w:rPr>
            </w:pPr>
          </w:p>
        </w:tc>
      </w:tr>
      <w:tr w:rsidR="00D95336" w:rsidRPr="00221992" w14:paraId="4856A78F" w14:textId="77777777" w:rsidTr="27E9DFE8">
        <w:tc>
          <w:tcPr>
            <w:cnfStyle w:val="001000000000" w:firstRow="0" w:lastRow="0" w:firstColumn="1" w:lastColumn="0" w:oddVBand="0" w:evenVBand="0" w:oddHBand="0" w:evenHBand="0" w:firstRowFirstColumn="0" w:firstRowLastColumn="0" w:lastRowFirstColumn="0" w:lastRowLastColumn="0"/>
            <w:tcW w:w="840" w:type="dxa"/>
            <w:shd w:val="clear" w:color="auto" w:fill="1E8BCD"/>
          </w:tcPr>
          <w:p w14:paraId="001CB868" w14:textId="77777777" w:rsidR="00D95336" w:rsidRPr="00221992" w:rsidRDefault="00D95336" w:rsidP="009F2B6D">
            <w:pPr>
              <w:spacing w:after="0" w:line="240" w:lineRule="auto"/>
              <w:rPr>
                <w:rFonts w:cs="Calibri Light"/>
                <w:sz w:val="20"/>
                <w:szCs w:val="20"/>
                <w:lang w:val="en-GB"/>
              </w:rPr>
            </w:pPr>
            <w:r w:rsidRPr="00221992">
              <w:rPr>
                <w:rFonts w:cs="Calibri Light"/>
                <w:sz w:val="20"/>
                <w:szCs w:val="20"/>
                <w:lang w:val="en-GB"/>
              </w:rPr>
              <w:t>15</w:t>
            </w:r>
          </w:p>
        </w:tc>
        <w:tc>
          <w:tcPr>
            <w:tcW w:w="8176" w:type="dxa"/>
            <w:gridSpan w:val="2"/>
          </w:tcPr>
          <w:p w14:paraId="68DB30B1" w14:textId="7059594F" w:rsidR="00D95336" w:rsidRPr="00221992" w:rsidRDefault="00D95336" w:rsidP="009F2B6D">
            <w:pPr>
              <w:spacing w:after="0" w:line="240" w:lineRule="auto"/>
              <w:cnfStyle w:val="000000000000" w:firstRow="0" w:lastRow="0" w:firstColumn="0" w:lastColumn="0" w:oddVBand="0" w:evenVBand="0" w:oddHBand="0" w:evenHBand="0" w:firstRowFirstColumn="0" w:firstRowLastColumn="0" w:lastRowFirstColumn="0" w:lastRowLastColumn="0"/>
              <w:rPr>
                <w:rFonts w:cs="Calibri Light"/>
                <w:sz w:val="20"/>
                <w:szCs w:val="20"/>
                <w:lang w:val="en-GB"/>
              </w:rPr>
            </w:pPr>
            <w:r w:rsidRPr="00221992">
              <w:rPr>
                <w:rFonts w:cs="Calibri Light"/>
                <w:sz w:val="20"/>
                <w:szCs w:val="20"/>
                <w:lang w:val="en-GB"/>
              </w:rPr>
              <w:t>Japan (up to 18 months)</w:t>
            </w:r>
            <w:r w:rsidR="00CF3901" w:rsidRPr="00221992">
              <w:rPr>
                <w:rFonts w:cs="Calibri Light"/>
                <w:sz w:val="20"/>
                <w:szCs w:val="20"/>
                <w:lang w:val="en-GB"/>
              </w:rPr>
              <w:t xml:space="preserve"> </w:t>
            </w:r>
            <w:r w:rsidRPr="00221992">
              <w:rPr>
                <w:rFonts w:cs="Calibri Light"/>
                <w:sz w:val="20"/>
                <w:szCs w:val="20"/>
                <w:lang w:val="en-GB"/>
              </w:rPr>
              <w:fldChar w:fldCharType="begin"/>
            </w:r>
            <w:r w:rsidR="00112E71">
              <w:rPr>
                <w:rFonts w:cs="Calibri Light"/>
                <w:sz w:val="20"/>
                <w:szCs w:val="20"/>
                <w:lang w:val="en-GB"/>
              </w:rPr>
              <w:instrText xml:space="preserve"> ADDIN EN.CITE &lt;EndNote&gt;&lt;Cite&gt;&lt;Author&gt;Core2Health&lt;/Author&gt;&lt;Year&gt;2022&lt;/Year&gt;&lt;RecNum&gt;343&lt;/RecNum&gt;&lt;DisplayText&gt;[54]&lt;/DisplayText&gt;&lt;record&gt;&lt;rec-number&gt;343&lt;/rec-number&gt;&lt;foreign-keys&gt;&lt;key app="EN" db-id="wzwwsfxe4peesxef95cxvrwjxts9rreasarf" timestamp="1692654670"&gt;343&lt;/key&gt;&lt;/foreign-keys&gt;&lt;ref-type name="Web Page"&gt;12&lt;/ref-type&gt;&lt;contributors&gt;&lt;authors&gt;&lt;author&gt;Core2Health&lt;/author&gt;&lt;/authors&gt;&lt;/contributors&gt;&lt;titles&gt;&lt;title&gt;Roles of C2H in cost-effectiveness evaluation&lt;/title&gt;&lt;/titles&gt;&lt;number&gt;23 August 2023&lt;/number&gt;&lt;dates&gt;&lt;year&gt;2022&lt;/year&gt;&lt;/dates&gt;&lt;publisher&gt;National Institute of Public Health, C2H&lt;/publisher&gt;&lt;urls&gt;&lt;related-urls&gt;&lt;url&gt;https://c2h.niph.go.jp/en/assessment/roles/&lt;/url&gt;&lt;/related-urls&gt;&lt;/urls&gt;&lt;/record&gt;&lt;/Cite&gt;&lt;/EndNote&gt;</w:instrText>
            </w:r>
            <w:r w:rsidRPr="00221992">
              <w:rPr>
                <w:rFonts w:cs="Calibri Light"/>
                <w:sz w:val="20"/>
                <w:szCs w:val="20"/>
                <w:lang w:val="en-GB"/>
              </w:rPr>
              <w:fldChar w:fldCharType="separate"/>
            </w:r>
            <w:r w:rsidR="00112E71">
              <w:rPr>
                <w:rFonts w:cs="Calibri Light"/>
                <w:noProof/>
                <w:sz w:val="20"/>
                <w:szCs w:val="20"/>
                <w:lang w:val="en-GB"/>
              </w:rPr>
              <w:t>[54]</w:t>
            </w:r>
            <w:r w:rsidRPr="00221992">
              <w:rPr>
                <w:rFonts w:cs="Calibri Light"/>
                <w:sz w:val="20"/>
                <w:szCs w:val="20"/>
                <w:lang w:val="en-GB"/>
              </w:rPr>
              <w:fldChar w:fldCharType="end"/>
            </w:r>
            <w:r w:rsidRPr="00221992">
              <w:rPr>
                <w:rFonts w:cs="Calibri Light"/>
                <w:sz w:val="20"/>
                <w:szCs w:val="20"/>
                <w:lang w:val="en-GB"/>
              </w:rPr>
              <w:t xml:space="preserve">* </w:t>
            </w:r>
          </w:p>
          <w:p w14:paraId="3BE7D802" w14:textId="39FCC823" w:rsidR="00D95336" w:rsidRPr="00221992" w:rsidRDefault="00D95336" w:rsidP="009F2B6D">
            <w:pPr>
              <w:spacing w:after="0" w:line="240" w:lineRule="auto"/>
              <w:cnfStyle w:val="000000000000" w:firstRow="0" w:lastRow="0" w:firstColumn="0" w:lastColumn="0" w:oddVBand="0" w:evenVBand="0" w:oddHBand="0" w:evenHBand="0" w:firstRowFirstColumn="0" w:firstRowLastColumn="0" w:lastRowFirstColumn="0" w:lastRowLastColumn="0"/>
              <w:rPr>
                <w:rFonts w:cs="Calibri Light"/>
                <w:sz w:val="20"/>
                <w:szCs w:val="20"/>
                <w:lang w:val="en-GB"/>
              </w:rPr>
            </w:pPr>
            <w:r w:rsidRPr="00221992">
              <w:rPr>
                <w:rFonts w:cs="Calibri Light"/>
                <w:sz w:val="20"/>
                <w:szCs w:val="20"/>
                <w:lang w:val="en-GB"/>
              </w:rPr>
              <w:t xml:space="preserve">New Zealand (average time of 15.3 months to be placed on the </w:t>
            </w:r>
            <w:r w:rsidR="00551786">
              <w:rPr>
                <w:rFonts w:cs="Calibri Light"/>
                <w:sz w:val="20"/>
                <w:szCs w:val="20"/>
                <w:lang w:val="en-GB"/>
              </w:rPr>
              <w:t>‘</w:t>
            </w:r>
            <w:r w:rsidRPr="00221992">
              <w:rPr>
                <w:rFonts w:cs="Calibri Light"/>
                <w:sz w:val="20"/>
                <w:szCs w:val="20"/>
                <w:lang w:val="en-GB"/>
              </w:rPr>
              <w:t>Ranking List</w:t>
            </w:r>
            <w:r w:rsidR="00551786">
              <w:rPr>
                <w:rFonts w:cs="Calibri Light"/>
                <w:sz w:val="20"/>
                <w:szCs w:val="20"/>
                <w:lang w:val="en-GB"/>
              </w:rPr>
              <w:t>’</w:t>
            </w:r>
            <w:r w:rsidRPr="00221992">
              <w:rPr>
                <w:rFonts w:cs="Calibri Light"/>
                <w:sz w:val="20"/>
                <w:szCs w:val="20"/>
                <w:lang w:val="en-GB"/>
              </w:rPr>
              <w:t>)</w:t>
            </w:r>
            <w:r w:rsidR="00CF3901" w:rsidRPr="00221992">
              <w:rPr>
                <w:rFonts w:cs="Calibri Light"/>
                <w:sz w:val="20"/>
                <w:szCs w:val="20"/>
                <w:lang w:val="en-GB"/>
              </w:rPr>
              <w:t xml:space="preserve"> </w:t>
            </w:r>
            <w:r w:rsidRPr="00221992">
              <w:rPr>
                <w:rFonts w:cs="Calibri Light"/>
                <w:sz w:val="20"/>
                <w:szCs w:val="20"/>
                <w:lang w:val="en-GB"/>
              </w:rPr>
              <w:fldChar w:fldCharType="begin"/>
            </w:r>
            <w:r w:rsidR="00112E71">
              <w:rPr>
                <w:rFonts w:cs="Calibri Light"/>
                <w:sz w:val="20"/>
                <w:szCs w:val="20"/>
                <w:lang w:val="en-GB"/>
              </w:rPr>
              <w:instrText xml:space="preserve"> ADDIN EN.CITE &lt;EndNote&gt;&lt;Cite&gt;&lt;Author&gt;The Pharmaceutical Management Agency (PHARMAC)&lt;/Author&gt;&lt;Year&gt;2023&lt;/Year&gt;&lt;RecNum&gt;10&lt;/RecNum&gt;&lt;DisplayText&gt;[55]&lt;/DisplayText&gt;&lt;record&gt;&lt;rec-number&gt;10&lt;/rec-number&gt;&lt;foreign-keys&gt;&lt;key app="EN" db-id="wzwwsfxe4peesxef95cxvrwjxts9rreasarf" timestamp="1692654670"&gt;10&lt;/key&gt;&lt;/foreign-keys&gt;&lt;ref-type name="Web Page"&gt;12&lt;/ref-type&gt;&lt;contributors&gt;&lt;authors&gt;&lt;author&gt;The Pharmaceutical Management Agency (PHARMAC),&lt;/author&gt;&lt;/authors&gt;&lt;/contributors&gt;&lt;titles&gt;&lt;title&gt;Prioritisation: How we decide which medicines need funding first&lt;/title&gt;&lt;/titles&gt;&lt;number&gt;23 August 2023&lt;/number&gt;&lt;dates&gt;&lt;year&gt;2023&lt;/year&gt;&lt;/dates&gt;&lt;pub-location&gt;Wellington&lt;/pub-location&gt;&lt;publisher&gt;New Zealand Government, The Pharmaceutical Management Agency (PHARMAC)&lt;/publisher&gt;&lt;urls&gt;&lt;related-urls&gt;&lt;url&gt;https://pharmac.govt.nz/medicine-funding-and-supply/the-funding-process/prioritisation/#howlong&lt;/url&gt;&lt;/related-urls&gt;&lt;/urls&gt;&lt;/record&gt;&lt;/Cite&gt;&lt;/EndNote&gt;</w:instrText>
            </w:r>
            <w:r w:rsidRPr="00221992">
              <w:rPr>
                <w:rFonts w:cs="Calibri Light"/>
                <w:sz w:val="20"/>
                <w:szCs w:val="20"/>
                <w:lang w:val="en-GB"/>
              </w:rPr>
              <w:fldChar w:fldCharType="separate"/>
            </w:r>
            <w:r w:rsidR="00112E71">
              <w:rPr>
                <w:rFonts w:cs="Calibri Light"/>
                <w:noProof/>
                <w:sz w:val="20"/>
                <w:szCs w:val="20"/>
                <w:lang w:val="en-GB"/>
              </w:rPr>
              <w:t>[55]</w:t>
            </w:r>
            <w:r w:rsidRPr="00221992">
              <w:rPr>
                <w:rFonts w:cs="Calibri Light"/>
                <w:sz w:val="20"/>
                <w:szCs w:val="20"/>
                <w:lang w:val="en-GB"/>
              </w:rPr>
              <w:fldChar w:fldCharType="end"/>
            </w:r>
            <w:r w:rsidRPr="00221992">
              <w:rPr>
                <w:rFonts w:cs="Calibri Light"/>
                <w:sz w:val="20"/>
                <w:szCs w:val="20"/>
                <w:lang w:val="en-GB"/>
              </w:rPr>
              <w:t>*</w:t>
            </w:r>
          </w:p>
        </w:tc>
      </w:tr>
    </w:tbl>
    <w:p w14:paraId="75963041" w14:textId="36F8FE41" w:rsidR="001325F1" w:rsidRPr="00221992" w:rsidRDefault="00D95336" w:rsidP="00533CF1">
      <w:pPr>
        <w:pStyle w:val="TableNotes"/>
        <w:rPr>
          <w:lang w:val="en-GB"/>
        </w:rPr>
      </w:pPr>
      <w:r w:rsidRPr="00221992">
        <w:rPr>
          <w:lang w:val="en-GB"/>
        </w:rPr>
        <w:t>Source:</w:t>
      </w:r>
      <w:r w:rsidR="00CF3901" w:rsidRPr="00221992">
        <w:rPr>
          <w:lang w:val="en-GB"/>
        </w:rPr>
        <w:tab/>
      </w:r>
      <w:r w:rsidR="001325F1" w:rsidRPr="00221992">
        <w:rPr>
          <w:lang w:val="en-GB"/>
        </w:rPr>
        <w:t>As indicated in table</w:t>
      </w:r>
      <w:r w:rsidR="00924AE9" w:rsidRPr="00221992">
        <w:rPr>
          <w:lang w:val="en-GB"/>
        </w:rPr>
        <w:t xml:space="preserve"> </w:t>
      </w:r>
    </w:p>
    <w:p w14:paraId="6316F908" w14:textId="20CAE3BF" w:rsidR="00A4284E" w:rsidRPr="00221992" w:rsidRDefault="00CF3901" w:rsidP="00533CF1">
      <w:pPr>
        <w:pStyle w:val="TableNotes"/>
        <w:rPr>
          <w:lang w:val="en-GB"/>
        </w:rPr>
      </w:pPr>
      <w:r w:rsidRPr="00221992">
        <w:rPr>
          <w:lang w:val="en-GB"/>
        </w:rPr>
        <w:t>Notes:</w:t>
      </w:r>
      <w:r w:rsidRPr="00221992">
        <w:rPr>
          <w:lang w:val="en-GB"/>
        </w:rPr>
        <w:tab/>
      </w:r>
      <w:r w:rsidR="00D95336" w:rsidRPr="00221992">
        <w:rPr>
          <w:lang w:val="en-GB"/>
        </w:rPr>
        <w:t>* Countries which only provide upper time limits may deliver HTA recommendations earlier than listed in this table.</w:t>
      </w:r>
      <w:r w:rsidRPr="00221992">
        <w:rPr>
          <w:lang w:val="en-GB"/>
        </w:rPr>
        <w:t xml:space="preserve"> </w:t>
      </w:r>
      <w:r w:rsidR="00D95336" w:rsidRPr="00221992">
        <w:rPr>
          <w:lang w:val="en-GB"/>
        </w:rPr>
        <w:t>Early entry/access schemes are not shown in this table, unless otherwise stated.</w:t>
      </w:r>
    </w:p>
    <w:p w14:paraId="750834C3" w14:textId="06D5893E" w:rsidR="00D95336" w:rsidRPr="00221992" w:rsidRDefault="00D95336" w:rsidP="00551E4F">
      <w:pPr>
        <w:rPr>
          <w:lang w:val="en-GB"/>
        </w:rPr>
      </w:pPr>
      <w:r w:rsidRPr="00221992">
        <w:rPr>
          <w:lang w:val="en-GB"/>
        </w:rPr>
        <w:t xml:space="preserve">Whilst </w:t>
      </w:r>
      <w:r w:rsidR="00160833" w:rsidRPr="00221992">
        <w:rPr>
          <w:lang w:val="en-GB"/>
        </w:rPr>
        <w:fldChar w:fldCharType="begin"/>
      </w:r>
      <w:r w:rsidR="00160833">
        <w:instrText xml:space="preserve"> REF _Ref143691598 \h </w:instrText>
      </w:r>
      <w:r w:rsidR="00160833" w:rsidRPr="00221992">
        <w:rPr>
          <w:lang w:val="en-GB"/>
        </w:rPr>
      </w:r>
      <w:r w:rsidR="00160833" w:rsidRPr="00221992">
        <w:rPr>
          <w:lang w:val="en-GB"/>
        </w:rPr>
        <w:fldChar w:fldCharType="separate"/>
      </w:r>
      <w:r w:rsidR="000E11E7" w:rsidRPr="00221992">
        <w:rPr>
          <w:lang w:val="en-GB"/>
        </w:rPr>
        <w:t xml:space="preserve">Table </w:t>
      </w:r>
      <w:r w:rsidR="000E11E7">
        <w:rPr>
          <w:noProof/>
        </w:rPr>
        <w:t>11</w:t>
      </w:r>
      <w:r w:rsidR="00160833" w:rsidRPr="00221992">
        <w:rPr>
          <w:lang w:val="en-GB"/>
        </w:rPr>
        <w:fldChar w:fldCharType="end"/>
      </w:r>
      <w:r w:rsidR="00160833" w:rsidRPr="00221992">
        <w:rPr>
          <w:lang w:val="en-GB"/>
        </w:rPr>
        <w:t xml:space="preserve"> </w:t>
      </w:r>
      <w:r w:rsidR="00A925BE">
        <w:rPr>
          <w:lang w:val="en-GB"/>
        </w:rPr>
        <w:t xml:space="preserve">shows a </w:t>
      </w:r>
      <w:r w:rsidRPr="00221992">
        <w:rPr>
          <w:lang w:val="en-GB"/>
        </w:rPr>
        <w:t>compar</w:t>
      </w:r>
      <w:r w:rsidR="00A925BE">
        <w:rPr>
          <w:lang w:val="en-GB"/>
        </w:rPr>
        <w:t>ison of</w:t>
      </w:r>
      <w:r w:rsidRPr="00221992">
        <w:rPr>
          <w:lang w:val="en-GB"/>
        </w:rPr>
        <w:t xml:space="preserve"> </w:t>
      </w:r>
      <w:r w:rsidR="005F09A5">
        <w:rPr>
          <w:lang w:val="en-GB"/>
        </w:rPr>
        <w:t>times to</w:t>
      </w:r>
      <w:r w:rsidR="005F09A5" w:rsidRPr="00221992">
        <w:rPr>
          <w:lang w:val="en-GB"/>
        </w:rPr>
        <w:t xml:space="preserve"> </w:t>
      </w:r>
      <w:r w:rsidRPr="00221992">
        <w:rPr>
          <w:lang w:val="en-GB"/>
        </w:rPr>
        <w:t>theoretical earliest recommendation,</w:t>
      </w:r>
      <w:r w:rsidR="00672590">
        <w:rPr>
          <w:lang w:val="en-GB"/>
        </w:rPr>
        <w:t xml:space="preserve"> empirically,</w:t>
      </w:r>
      <w:r w:rsidRPr="00221992">
        <w:rPr>
          <w:lang w:val="en-GB"/>
        </w:rPr>
        <w:t xml:space="preserve"> average time</w:t>
      </w:r>
      <w:r w:rsidR="00672590">
        <w:rPr>
          <w:lang w:val="en-GB"/>
        </w:rPr>
        <w:t>s</w:t>
      </w:r>
      <w:r w:rsidRPr="00221992">
        <w:rPr>
          <w:lang w:val="en-GB"/>
        </w:rPr>
        <w:t xml:space="preserve"> to recommendation </w:t>
      </w:r>
      <w:r w:rsidR="00672590">
        <w:rPr>
          <w:lang w:val="en-GB"/>
        </w:rPr>
        <w:t>are</w:t>
      </w:r>
      <w:r w:rsidR="00672590" w:rsidRPr="00221992">
        <w:rPr>
          <w:lang w:val="en-GB"/>
        </w:rPr>
        <w:t xml:space="preserve"> </w:t>
      </w:r>
      <w:r w:rsidRPr="00221992">
        <w:rPr>
          <w:lang w:val="en-GB"/>
        </w:rPr>
        <w:t xml:space="preserve">longer. In another contemporary study, </w:t>
      </w:r>
      <w:r w:rsidR="008E635B" w:rsidRPr="00221992">
        <w:rPr>
          <w:lang w:val="en-GB"/>
        </w:rPr>
        <w:t>the Centre for Innovation in Regulatory Science (CIRS)</w:t>
      </w:r>
      <w:r w:rsidR="008E635B">
        <w:rPr>
          <w:lang w:val="en-GB"/>
        </w:rPr>
        <w:t>—</w:t>
      </w:r>
      <w:r w:rsidR="008E635B" w:rsidRPr="00221992">
        <w:rPr>
          <w:lang w:val="en-GB"/>
        </w:rPr>
        <w:t>a neutral, independently managed UK based subsidiary company, forming part of Clarivate Analytics (UK) Limited</w:t>
      </w:r>
      <w:r w:rsidR="008E635B">
        <w:rPr>
          <w:lang w:val="en-GB"/>
        </w:rPr>
        <w:t xml:space="preserve">—compared </w:t>
      </w:r>
      <w:r w:rsidRPr="00221992">
        <w:rPr>
          <w:lang w:val="en-GB"/>
        </w:rPr>
        <w:t>HTA</w:t>
      </w:r>
      <w:r w:rsidR="008E635B">
        <w:rPr>
          <w:lang w:val="en-GB"/>
        </w:rPr>
        <w:t xml:space="preserve"> </w:t>
      </w:r>
      <w:r w:rsidRPr="00221992">
        <w:rPr>
          <w:lang w:val="en-GB"/>
        </w:rPr>
        <w:t xml:space="preserve">outcomes and timelines for new active substances (NASs) </w:t>
      </w:r>
      <w:r w:rsidR="008E635B">
        <w:rPr>
          <w:lang w:val="en-GB"/>
        </w:rPr>
        <w:t xml:space="preserve">in </w:t>
      </w:r>
      <w:r w:rsidRPr="00221992">
        <w:rPr>
          <w:lang w:val="en-GB"/>
        </w:rPr>
        <w:t xml:space="preserve">Australia, Canada and Europe </w:t>
      </w:r>
      <w:r w:rsidR="00CF167B" w:rsidRPr="00221992">
        <w:rPr>
          <w:lang w:val="en-GB"/>
        </w:rPr>
        <w:fldChar w:fldCharType="begin"/>
      </w:r>
      <w:r w:rsidR="00112E71">
        <w:rPr>
          <w:lang w:val="en-GB"/>
        </w:rPr>
        <w:instrText xml:space="preserve"> ADDIN EN.CITE &lt;EndNote&gt;&lt;Cite&gt;&lt;Author&gt;Wang&lt;/Author&gt;&lt;Year&gt;2019&lt;/Year&gt;&lt;RecNum&gt;616&lt;/RecNum&gt;&lt;DisplayText&gt;[56]&lt;/DisplayText&gt;&lt;record&gt;&lt;rec-number&gt;616&lt;/rec-number&gt;&lt;foreign-keys&gt;&lt;key app="EN" db-id="wzwwsfxe4peesxef95cxvrwjxts9rreasarf" timestamp="1692762772"&gt;616&lt;/key&gt;&lt;/foreign-keys&gt;&lt;ref-type name="Report"&gt;27&lt;/ref-type&gt;&lt;contributors&gt;&lt;authors&gt;&lt;author&gt;Wang, T.&lt;/author&gt;&lt;author&gt;Cai, J.&lt;/author&gt;&lt;author&gt;McAuslane, N.&lt;/author&gt;&lt;author&gt;Munro, J.&lt;/author&gt;&lt;/authors&gt;&lt;tertiary-authors&gt;&lt;author&gt;Centre for Innovation in Regulatory Science&lt;/author&gt;&lt;/tertiary-authors&gt;&lt;/contributors&gt;&lt;titles&gt;&lt;title&gt;R&amp;amp;D Briefing 73: Review of HTA outcomes and timelines in Australia, Canada and Europe 2014 -2018.&lt;/title&gt;&lt;/titles&gt;&lt;dates&gt;&lt;year&gt;2019&lt;/year&gt;&lt;/dates&gt;&lt;pub-location&gt;London&lt;/pub-location&gt;&lt;urls&gt;&lt;/urls&gt;&lt;/record&gt;&lt;/Cite&gt;&lt;/EndNote&gt;</w:instrText>
      </w:r>
      <w:r w:rsidR="00CF167B" w:rsidRPr="00221992">
        <w:rPr>
          <w:lang w:val="en-GB"/>
        </w:rPr>
        <w:fldChar w:fldCharType="separate"/>
      </w:r>
      <w:r w:rsidR="00112E71">
        <w:rPr>
          <w:noProof/>
          <w:lang w:val="en-GB"/>
        </w:rPr>
        <w:t>[56]</w:t>
      </w:r>
      <w:r w:rsidR="00CF167B" w:rsidRPr="00221992">
        <w:rPr>
          <w:lang w:val="en-GB"/>
        </w:rPr>
        <w:fldChar w:fldCharType="end"/>
      </w:r>
      <w:r w:rsidR="00F5766F" w:rsidRPr="00221992">
        <w:rPr>
          <w:lang w:val="en-GB"/>
        </w:rPr>
        <w:t>.</w:t>
      </w:r>
      <w:r w:rsidRPr="00221992">
        <w:rPr>
          <w:lang w:val="en-GB"/>
        </w:rPr>
        <w:t xml:space="preserve"> This study</w:t>
      </w:r>
      <w:r w:rsidRPr="00221992" w:rsidDel="00EB7094">
        <w:rPr>
          <w:lang w:val="en-GB"/>
        </w:rPr>
        <w:t xml:space="preserve"> </w:t>
      </w:r>
      <w:r w:rsidRPr="00221992">
        <w:rPr>
          <w:lang w:val="en-GB"/>
        </w:rPr>
        <w:t xml:space="preserve">found that of 85 drug submissions in Australia from 2015-2018, 64 were reimbursed, and Australia had the fastest median time from regulatory submission to HTA recommendation in 2018 (373 days) </w:t>
      </w:r>
      <w:r w:rsidR="008E635B">
        <w:rPr>
          <w:lang w:val="en-GB"/>
        </w:rPr>
        <w:t>(see</w:t>
      </w:r>
      <w:r w:rsidR="00160833" w:rsidRPr="00221992">
        <w:rPr>
          <w:lang w:val="en-GB"/>
        </w:rPr>
        <w:t xml:space="preserve"> </w:t>
      </w:r>
      <w:r w:rsidR="00160833" w:rsidRPr="00221992">
        <w:rPr>
          <w:lang w:val="en-GB"/>
        </w:rPr>
        <w:fldChar w:fldCharType="begin"/>
      </w:r>
      <w:r w:rsidR="00160833">
        <w:instrText xml:space="preserve"> REF _Ref143691653 \h </w:instrText>
      </w:r>
      <w:r w:rsidR="00160833" w:rsidRPr="00221992">
        <w:rPr>
          <w:lang w:val="en-GB"/>
        </w:rPr>
      </w:r>
      <w:r w:rsidR="00160833" w:rsidRPr="00221992">
        <w:rPr>
          <w:lang w:val="en-GB"/>
        </w:rPr>
        <w:fldChar w:fldCharType="separate"/>
      </w:r>
      <w:r w:rsidR="000E11E7" w:rsidRPr="00221992">
        <w:rPr>
          <w:lang w:val="en-GB"/>
        </w:rPr>
        <w:t xml:space="preserve">Figure </w:t>
      </w:r>
      <w:r w:rsidR="000E11E7">
        <w:rPr>
          <w:noProof/>
          <w:lang w:val="en-GB"/>
        </w:rPr>
        <w:t>9</w:t>
      </w:r>
      <w:r w:rsidR="00160833" w:rsidRPr="00221992">
        <w:rPr>
          <w:lang w:val="en-GB"/>
        </w:rPr>
        <w:fldChar w:fldCharType="end"/>
      </w:r>
      <w:r w:rsidR="008E635B">
        <w:rPr>
          <w:lang w:val="en-GB"/>
        </w:rPr>
        <w:t>)</w:t>
      </w:r>
      <w:r w:rsidR="00755A2C">
        <w:rPr>
          <w:lang w:val="en-GB"/>
        </w:rPr>
        <w:t>.</w:t>
      </w:r>
      <w:r w:rsidR="004C6AE5" w:rsidRPr="00221992">
        <w:rPr>
          <w:rStyle w:val="FootnoteReference"/>
          <w:lang w:val="en-GB"/>
        </w:rPr>
        <w:footnoteReference w:id="3"/>
      </w:r>
      <w:r w:rsidR="00D201B7" w:rsidRPr="00221992">
        <w:rPr>
          <w:lang w:val="en-GB"/>
        </w:rPr>
        <w:t xml:space="preserve"> </w:t>
      </w:r>
      <w:r w:rsidR="00EB7094" w:rsidRPr="00221992">
        <w:rPr>
          <w:lang w:val="en-GB"/>
        </w:rPr>
        <w:t>T</w:t>
      </w:r>
      <w:r w:rsidR="00D201B7" w:rsidRPr="00221992">
        <w:rPr>
          <w:lang w:val="en-GB"/>
        </w:rPr>
        <w:t xml:space="preserve">hese data compare the time taken to </w:t>
      </w:r>
      <w:r w:rsidR="00872762" w:rsidRPr="00221992">
        <w:rPr>
          <w:lang w:val="en-GB"/>
        </w:rPr>
        <w:t>produce an HTA decision, not the time to market access</w:t>
      </w:r>
      <w:r w:rsidR="004D6C23" w:rsidRPr="00221992">
        <w:rPr>
          <w:lang w:val="en-GB"/>
        </w:rPr>
        <w:t>.</w:t>
      </w:r>
      <w:r w:rsidR="00D201B7" w:rsidRPr="00221992">
        <w:rPr>
          <w:lang w:val="en-GB"/>
        </w:rPr>
        <w:t xml:space="preserve"> </w:t>
      </w:r>
    </w:p>
    <w:p w14:paraId="10061377" w14:textId="3554385A" w:rsidR="00551E4F" w:rsidRPr="00221992" w:rsidRDefault="00551E4F" w:rsidP="001721AB">
      <w:pPr>
        <w:pStyle w:val="Caption"/>
        <w:rPr>
          <w:lang w:val="en-GB"/>
        </w:rPr>
      </w:pPr>
      <w:bookmarkStart w:id="80" w:name="_Ref143691653"/>
      <w:bookmarkStart w:id="81" w:name="_Toc162950916"/>
      <w:r w:rsidRPr="00221992">
        <w:rPr>
          <w:lang w:val="en-GB"/>
        </w:rPr>
        <w:t xml:space="preserve">Figure </w:t>
      </w:r>
      <w:r w:rsidR="003F72DF" w:rsidRPr="00221992">
        <w:rPr>
          <w:lang w:val="en-GB"/>
        </w:rPr>
        <w:fldChar w:fldCharType="begin"/>
      </w:r>
      <w:r w:rsidR="003F72DF" w:rsidRPr="00221992">
        <w:rPr>
          <w:lang w:val="en-GB"/>
        </w:rPr>
        <w:instrText xml:space="preserve"> SEQ Figure \* ARABIC </w:instrText>
      </w:r>
      <w:r w:rsidR="003F72DF" w:rsidRPr="00221992">
        <w:rPr>
          <w:lang w:val="en-GB"/>
        </w:rPr>
        <w:fldChar w:fldCharType="separate"/>
      </w:r>
      <w:r w:rsidR="000E11E7">
        <w:rPr>
          <w:noProof/>
          <w:lang w:val="en-GB"/>
        </w:rPr>
        <w:t>9</w:t>
      </w:r>
      <w:r w:rsidR="003F72DF" w:rsidRPr="00221992">
        <w:rPr>
          <w:noProof/>
          <w:lang w:val="en-GB"/>
        </w:rPr>
        <w:fldChar w:fldCharType="end"/>
      </w:r>
      <w:bookmarkEnd w:id="80"/>
      <w:r w:rsidRPr="00221992">
        <w:rPr>
          <w:lang w:val="en-GB"/>
        </w:rPr>
        <w:t>. Time from regulatory submission to recommendation by year of recommendation</w:t>
      </w:r>
      <w:bookmarkEnd w:id="81"/>
    </w:p>
    <w:p w14:paraId="401CCD03" w14:textId="77777777" w:rsidR="00551E4F" w:rsidRPr="00221992" w:rsidRDefault="00D95336" w:rsidP="00533CF1">
      <w:pPr>
        <w:pStyle w:val="TableNotes"/>
        <w:rPr>
          <w:lang w:val="en-GB"/>
        </w:rPr>
      </w:pPr>
      <w:r w:rsidRPr="00221992">
        <w:rPr>
          <w:noProof/>
          <w:lang w:val="en-GB"/>
        </w:rPr>
        <w:drawing>
          <wp:inline distT="0" distB="0" distL="0" distR="0" wp14:anchorId="2D70A9C6" wp14:editId="1E3791D0">
            <wp:extent cx="5731510" cy="2705100"/>
            <wp:effectExtent l="0" t="0" r="0" b="0"/>
            <wp:docPr id="1589849224" name="Picture 1589849224" descr="a graph of the time from regulatory submission to reccomendation by year of reccomend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9849224"/>
                    <pic:cNvPicPr/>
                  </pic:nvPicPr>
                  <pic:blipFill>
                    <a:blip r:embed="rId27">
                      <a:extLst>
                        <a:ext uri="{28A0092B-C50C-407E-A947-70E740481C1C}">
                          <a14:useLocalDpi xmlns:a14="http://schemas.microsoft.com/office/drawing/2010/main" val="0"/>
                        </a:ext>
                      </a:extLst>
                    </a:blip>
                    <a:stretch>
                      <a:fillRect/>
                    </a:stretch>
                  </pic:blipFill>
                  <pic:spPr>
                    <a:xfrm>
                      <a:off x="0" y="0"/>
                      <a:ext cx="5731510" cy="2705100"/>
                    </a:xfrm>
                    <a:prstGeom prst="rect">
                      <a:avLst/>
                    </a:prstGeom>
                  </pic:spPr>
                </pic:pic>
              </a:graphicData>
            </a:graphic>
          </wp:inline>
        </w:drawing>
      </w:r>
      <w:r w:rsidRPr="00221992">
        <w:rPr>
          <w:lang w:val="en-GB"/>
        </w:rPr>
        <w:t xml:space="preserve"> </w:t>
      </w:r>
      <w:r w:rsidRPr="00221992">
        <w:rPr>
          <w:lang w:val="en-GB"/>
        </w:rPr>
        <w:br/>
      </w:r>
    </w:p>
    <w:p w14:paraId="56DD0E5B" w14:textId="6E789AB8" w:rsidR="00D95336" w:rsidRPr="00221992" w:rsidRDefault="00D95336" w:rsidP="00533CF1">
      <w:pPr>
        <w:pStyle w:val="TableNotes"/>
        <w:rPr>
          <w:lang w:val="en-GB"/>
        </w:rPr>
      </w:pPr>
      <w:r w:rsidRPr="00221992">
        <w:rPr>
          <w:lang w:val="en-GB"/>
        </w:rPr>
        <w:t>Source:</w:t>
      </w:r>
      <w:r w:rsidR="005E1717" w:rsidRPr="00221992">
        <w:rPr>
          <w:lang w:val="en-GB"/>
        </w:rPr>
        <w:tab/>
      </w:r>
      <w:r w:rsidRPr="00221992">
        <w:rPr>
          <w:lang w:val="en-GB"/>
        </w:rPr>
        <w:t>Figure 3, p</w:t>
      </w:r>
      <w:r w:rsidR="005E1717" w:rsidRPr="00221992">
        <w:rPr>
          <w:lang w:val="en-GB"/>
        </w:rPr>
        <w:t>.</w:t>
      </w:r>
      <w:r w:rsidRPr="00221992">
        <w:rPr>
          <w:lang w:val="en-GB"/>
        </w:rPr>
        <w:t xml:space="preserve"> 2, Wang et al. (2019)</w:t>
      </w:r>
    </w:p>
    <w:p w14:paraId="3C3046D0" w14:textId="5FFDD976" w:rsidR="00D95336" w:rsidRPr="00221992" w:rsidRDefault="00FC57F3" w:rsidP="00CB7A8E">
      <w:pPr>
        <w:rPr>
          <w:lang w:val="en-GB"/>
        </w:rPr>
      </w:pPr>
      <w:r>
        <w:rPr>
          <w:lang w:val="en-GB"/>
        </w:rPr>
        <w:t>The CIRS</w:t>
      </w:r>
      <w:r w:rsidRPr="00221992">
        <w:rPr>
          <w:lang w:val="en-GB"/>
        </w:rPr>
        <w:t xml:space="preserve"> </w:t>
      </w:r>
      <w:r w:rsidR="00D95336" w:rsidRPr="00221992">
        <w:rPr>
          <w:lang w:val="en-GB"/>
        </w:rPr>
        <w:t>also found that Australia</w:t>
      </w:r>
      <w:r>
        <w:rPr>
          <w:lang w:val="en-GB"/>
        </w:rPr>
        <w:t>’s</w:t>
      </w:r>
      <w:r w:rsidR="00D95336" w:rsidRPr="00221992">
        <w:rPr>
          <w:lang w:val="en-GB"/>
        </w:rPr>
        <w:t xml:space="preserve"> PBAC had the highest percentage of and greatest increase in NAS recommendations made within one year of regulatory approval, from 72% in 2017 to 94% in 2018, as shown in</w:t>
      </w:r>
      <w:r w:rsidR="00160833" w:rsidRPr="00221992">
        <w:rPr>
          <w:lang w:val="en-GB"/>
        </w:rPr>
        <w:t xml:space="preserve"> </w:t>
      </w:r>
      <w:r w:rsidR="00160833" w:rsidRPr="00221992">
        <w:rPr>
          <w:lang w:val="en-GB"/>
        </w:rPr>
        <w:fldChar w:fldCharType="begin"/>
      </w:r>
      <w:r w:rsidR="00160833" w:rsidRPr="00221992">
        <w:rPr>
          <w:lang w:val="en-GB"/>
        </w:rPr>
        <w:instrText xml:space="preserve"> REF _Ref143691679 \h </w:instrText>
      </w:r>
      <w:r w:rsidR="00160833" w:rsidRPr="00221992">
        <w:rPr>
          <w:lang w:val="en-GB"/>
        </w:rPr>
      </w:r>
      <w:r w:rsidR="00160833" w:rsidRPr="00221992">
        <w:rPr>
          <w:lang w:val="en-GB"/>
        </w:rPr>
        <w:fldChar w:fldCharType="separate"/>
      </w:r>
      <w:r w:rsidR="000E11E7" w:rsidRPr="00221992">
        <w:rPr>
          <w:lang w:val="en-GB"/>
        </w:rPr>
        <w:t xml:space="preserve">Figure </w:t>
      </w:r>
      <w:r w:rsidR="000E11E7">
        <w:rPr>
          <w:noProof/>
          <w:lang w:val="en-GB"/>
        </w:rPr>
        <w:t>10</w:t>
      </w:r>
      <w:r w:rsidR="00160833" w:rsidRPr="00221992">
        <w:rPr>
          <w:lang w:val="en-GB"/>
        </w:rPr>
        <w:fldChar w:fldCharType="end"/>
      </w:r>
      <w:r w:rsidR="00D95336" w:rsidRPr="00221992">
        <w:rPr>
          <w:lang w:val="en-GB"/>
        </w:rPr>
        <w:t xml:space="preserve">. Additionally, it showed the benefits of the parallel regulatory authority review/HTA approval mechanisms in Australia and Canada, which shortened the time from regulatory approval to HTA recommendation </w:t>
      </w:r>
      <w:r>
        <w:rPr>
          <w:lang w:val="en-GB"/>
        </w:rPr>
        <w:t xml:space="preserve">(see </w:t>
      </w:r>
      <w:r w:rsidR="00160833" w:rsidRPr="00221992">
        <w:rPr>
          <w:lang w:val="en-GB"/>
        </w:rPr>
        <w:fldChar w:fldCharType="begin"/>
      </w:r>
      <w:r w:rsidR="00160833" w:rsidRPr="00221992">
        <w:rPr>
          <w:lang w:val="en-GB"/>
        </w:rPr>
        <w:instrText xml:space="preserve"> REF _Ref143691694 \h </w:instrText>
      </w:r>
      <w:r w:rsidR="00160833" w:rsidRPr="00221992">
        <w:rPr>
          <w:lang w:val="en-GB"/>
        </w:rPr>
      </w:r>
      <w:r w:rsidR="00160833" w:rsidRPr="00221992">
        <w:rPr>
          <w:lang w:val="en-GB"/>
        </w:rPr>
        <w:fldChar w:fldCharType="separate"/>
      </w:r>
      <w:r w:rsidR="000E11E7" w:rsidRPr="00221992">
        <w:rPr>
          <w:lang w:val="en-GB"/>
        </w:rPr>
        <w:t xml:space="preserve">Figure </w:t>
      </w:r>
      <w:r w:rsidR="000E11E7">
        <w:rPr>
          <w:noProof/>
          <w:lang w:val="en-GB"/>
        </w:rPr>
        <w:t>11</w:t>
      </w:r>
      <w:r w:rsidR="00160833" w:rsidRPr="00221992">
        <w:rPr>
          <w:lang w:val="en-GB"/>
        </w:rPr>
        <w:fldChar w:fldCharType="end"/>
      </w:r>
      <w:r>
        <w:rPr>
          <w:lang w:val="en-GB"/>
        </w:rPr>
        <w:t>)</w:t>
      </w:r>
      <w:r w:rsidR="00D95336" w:rsidRPr="00221992">
        <w:rPr>
          <w:lang w:val="en-GB"/>
        </w:rPr>
        <w:t>.</w:t>
      </w:r>
    </w:p>
    <w:p w14:paraId="0CDB6978" w14:textId="2FFF5538" w:rsidR="00CB7A8E" w:rsidRPr="00221992" w:rsidRDefault="00CB7A8E" w:rsidP="001721AB">
      <w:pPr>
        <w:pStyle w:val="Caption"/>
        <w:rPr>
          <w:lang w:val="en-GB"/>
        </w:rPr>
      </w:pPr>
      <w:bookmarkStart w:id="82" w:name="_Ref143691679"/>
      <w:bookmarkStart w:id="83" w:name="_Toc162950917"/>
      <w:r w:rsidRPr="00221992">
        <w:rPr>
          <w:lang w:val="en-GB"/>
        </w:rPr>
        <w:t xml:space="preserve">Figure </w:t>
      </w:r>
      <w:r w:rsidR="003F72DF" w:rsidRPr="00221992">
        <w:rPr>
          <w:lang w:val="en-GB"/>
        </w:rPr>
        <w:fldChar w:fldCharType="begin"/>
      </w:r>
      <w:r w:rsidR="003F72DF" w:rsidRPr="00221992">
        <w:rPr>
          <w:lang w:val="en-GB"/>
        </w:rPr>
        <w:instrText xml:space="preserve"> SEQ Figure \* ARABIC </w:instrText>
      </w:r>
      <w:r w:rsidR="003F72DF" w:rsidRPr="00221992">
        <w:rPr>
          <w:lang w:val="en-GB"/>
        </w:rPr>
        <w:fldChar w:fldCharType="separate"/>
      </w:r>
      <w:r w:rsidR="000E11E7">
        <w:rPr>
          <w:noProof/>
          <w:lang w:val="en-GB"/>
        </w:rPr>
        <w:t>10</w:t>
      </w:r>
      <w:r w:rsidR="003F72DF" w:rsidRPr="00221992">
        <w:rPr>
          <w:noProof/>
          <w:lang w:val="en-GB"/>
        </w:rPr>
        <w:fldChar w:fldCharType="end"/>
      </w:r>
      <w:bookmarkEnd w:id="82"/>
      <w:r w:rsidRPr="00221992">
        <w:rPr>
          <w:lang w:val="en-GB"/>
        </w:rPr>
        <w:t>. Proportion of first HTA recommendation NASs made within one year of regulatory approval</w:t>
      </w:r>
      <w:bookmarkEnd w:id="83"/>
    </w:p>
    <w:p w14:paraId="231966F7" w14:textId="77777777" w:rsidR="00D95336" w:rsidRPr="00221992" w:rsidRDefault="00D95336" w:rsidP="00702C58">
      <w:pPr>
        <w:rPr>
          <w:lang w:val="en-GB"/>
        </w:rPr>
      </w:pPr>
      <w:r w:rsidRPr="00221992">
        <w:rPr>
          <w:noProof/>
          <w:lang w:val="en-GB"/>
        </w:rPr>
        <w:drawing>
          <wp:inline distT="0" distB="0" distL="0" distR="0" wp14:anchorId="38C2AE31" wp14:editId="744DEDD0">
            <wp:extent cx="5731510" cy="2124772"/>
            <wp:effectExtent l="0" t="0" r="0" b="0"/>
            <wp:docPr id="339667710" name="Picture 339667710" descr="a chart of the proportion of first HTA recommendation NASs made within one year of regulatory approva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667710"/>
                    <pic:cNvPicPr/>
                  </pic:nvPicPr>
                  <pic:blipFill rotWithShape="1">
                    <a:blip r:embed="rId28">
                      <a:extLst>
                        <a:ext uri="{28A0092B-C50C-407E-A947-70E740481C1C}">
                          <a14:useLocalDpi xmlns:a14="http://schemas.microsoft.com/office/drawing/2010/main" val="0"/>
                        </a:ext>
                      </a:extLst>
                    </a:blip>
                    <a:srcRect/>
                    <a:stretch/>
                  </pic:blipFill>
                  <pic:spPr bwMode="auto">
                    <a:xfrm>
                      <a:off x="0" y="0"/>
                      <a:ext cx="5731510" cy="2124772"/>
                    </a:xfrm>
                    <a:prstGeom prst="rect">
                      <a:avLst/>
                    </a:prstGeom>
                    <a:ln>
                      <a:noFill/>
                    </a:ln>
                    <a:extLst>
                      <a:ext uri="{53640926-AAD7-44D8-BBD7-CCE9431645EC}">
                        <a14:shadowObscured xmlns:a14="http://schemas.microsoft.com/office/drawing/2010/main"/>
                      </a:ext>
                    </a:extLst>
                  </pic:spPr>
                </pic:pic>
              </a:graphicData>
            </a:graphic>
          </wp:inline>
        </w:drawing>
      </w:r>
    </w:p>
    <w:p w14:paraId="4A3389E5" w14:textId="5A6DD71D" w:rsidR="00D95336" w:rsidRPr="00221992" w:rsidRDefault="00D95336" w:rsidP="00533CF1">
      <w:pPr>
        <w:pStyle w:val="TableNotes"/>
        <w:rPr>
          <w:lang w:val="en-GB"/>
        </w:rPr>
      </w:pPr>
      <w:r w:rsidRPr="00221992">
        <w:rPr>
          <w:lang w:val="en-GB"/>
        </w:rPr>
        <w:t xml:space="preserve">Source: </w:t>
      </w:r>
      <w:r w:rsidRPr="00221992">
        <w:rPr>
          <w:lang w:val="en-GB"/>
        </w:rPr>
        <w:tab/>
        <w:t>Figure 4, p</w:t>
      </w:r>
      <w:r w:rsidR="005E1717" w:rsidRPr="00221992">
        <w:rPr>
          <w:lang w:val="en-GB"/>
        </w:rPr>
        <w:t>.</w:t>
      </w:r>
      <w:r w:rsidRPr="00221992">
        <w:rPr>
          <w:lang w:val="en-GB"/>
        </w:rPr>
        <w:t xml:space="preserve"> 3, Wang et al. (2019)</w:t>
      </w:r>
    </w:p>
    <w:p w14:paraId="468C3B2F" w14:textId="7A75536B" w:rsidR="00CB7A8E" w:rsidRPr="00221992" w:rsidRDefault="00CB7A8E" w:rsidP="001721AB">
      <w:pPr>
        <w:pStyle w:val="Caption"/>
        <w:rPr>
          <w:lang w:val="en-GB"/>
        </w:rPr>
      </w:pPr>
      <w:bookmarkStart w:id="84" w:name="_Ref143691694"/>
      <w:bookmarkStart w:id="85" w:name="_Toc162950918"/>
      <w:r w:rsidRPr="00221992">
        <w:rPr>
          <w:lang w:val="en-GB"/>
        </w:rPr>
        <w:t xml:space="preserve">Figure </w:t>
      </w:r>
      <w:r w:rsidR="003F72DF" w:rsidRPr="00221992">
        <w:rPr>
          <w:lang w:val="en-GB"/>
        </w:rPr>
        <w:fldChar w:fldCharType="begin"/>
      </w:r>
      <w:r w:rsidR="003F72DF" w:rsidRPr="00221992">
        <w:rPr>
          <w:lang w:val="en-GB"/>
        </w:rPr>
        <w:instrText xml:space="preserve"> SEQ Figure \* ARABIC </w:instrText>
      </w:r>
      <w:r w:rsidR="003F72DF" w:rsidRPr="00221992">
        <w:rPr>
          <w:lang w:val="en-GB"/>
        </w:rPr>
        <w:fldChar w:fldCharType="separate"/>
      </w:r>
      <w:r w:rsidR="000E11E7">
        <w:rPr>
          <w:noProof/>
          <w:lang w:val="en-GB"/>
        </w:rPr>
        <w:t>11</w:t>
      </w:r>
      <w:r w:rsidR="003F72DF" w:rsidRPr="00221992">
        <w:rPr>
          <w:noProof/>
          <w:lang w:val="en-GB"/>
        </w:rPr>
        <w:fldChar w:fldCharType="end"/>
      </w:r>
      <w:bookmarkEnd w:id="84"/>
      <w:r w:rsidRPr="00221992">
        <w:rPr>
          <w:lang w:val="en-GB"/>
        </w:rPr>
        <w:t>. Rollout time by jurisdiction (2014-2018)</w:t>
      </w:r>
      <w:bookmarkEnd w:id="85"/>
    </w:p>
    <w:p w14:paraId="363DF2F4" w14:textId="77777777" w:rsidR="00D95336" w:rsidRPr="00221992" w:rsidRDefault="00D95336" w:rsidP="00702C58">
      <w:pPr>
        <w:rPr>
          <w:sz w:val="16"/>
          <w:szCs w:val="16"/>
          <w:lang w:val="en-GB"/>
        </w:rPr>
      </w:pPr>
      <w:r w:rsidRPr="00221992">
        <w:rPr>
          <w:noProof/>
          <w:lang w:val="en-GB"/>
        </w:rPr>
        <w:drawing>
          <wp:inline distT="0" distB="0" distL="0" distR="0" wp14:anchorId="0A90F89A" wp14:editId="5021FC5A">
            <wp:extent cx="5731510" cy="3235325"/>
            <wp:effectExtent l="0" t="0" r="0" b="0"/>
            <wp:docPr id="1058918584" name="Picture 1058918584" descr="a graph of the rollout time by juristiction (2014-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8918584"/>
                    <pic:cNvPicPr/>
                  </pic:nvPicPr>
                  <pic:blipFill>
                    <a:blip r:embed="rId29">
                      <a:extLst>
                        <a:ext uri="{28A0092B-C50C-407E-A947-70E740481C1C}">
                          <a14:useLocalDpi xmlns:a14="http://schemas.microsoft.com/office/drawing/2010/main" val="0"/>
                        </a:ext>
                      </a:extLst>
                    </a:blip>
                    <a:stretch>
                      <a:fillRect/>
                    </a:stretch>
                  </pic:blipFill>
                  <pic:spPr>
                    <a:xfrm>
                      <a:off x="0" y="0"/>
                      <a:ext cx="5731510" cy="3235325"/>
                    </a:xfrm>
                    <a:prstGeom prst="rect">
                      <a:avLst/>
                    </a:prstGeom>
                  </pic:spPr>
                </pic:pic>
              </a:graphicData>
            </a:graphic>
          </wp:inline>
        </w:drawing>
      </w:r>
    </w:p>
    <w:p w14:paraId="019E4F8A" w14:textId="477BF0A4" w:rsidR="00D95336" w:rsidRPr="00221992" w:rsidRDefault="00D95336" w:rsidP="00533CF1">
      <w:pPr>
        <w:pStyle w:val="TableNotes"/>
        <w:rPr>
          <w:lang w:val="en-GB"/>
        </w:rPr>
      </w:pPr>
      <w:r w:rsidRPr="00221992">
        <w:rPr>
          <w:lang w:val="en-GB"/>
        </w:rPr>
        <w:t xml:space="preserve">Source: </w:t>
      </w:r>
      <w:r w:rsidRPr="00221992">
        <w:rPr>
          <w:lang w:val="en-GB"/>
        </w:rPr>
        <w:tab/>
        <w:t>Figure 5, p</w:t>
      </w:r>
      <w:r w:rsidR="005E1717" w:rsidRPr="00221992">
        <w:rPr>
          <w:lang w:val="en-GB"/>
        </w:rPr>
        <w:t>.</w:t>
      </w:r>
      <w:r w:rsidRPr="00221992">
        <w:rPr>
          <w:lang w:val="en-GB"/>
        </w:rPr>
        <w:t xml:space="preserve"> 3, Wang et al. (2019)</w:t>
      </w:r>
    </w:p>
    <w:p w14:paraId="002163AB" w14:textId="6F1BB719" w:rsidR="00D95336" w:rsidRPr="00221992" w:rsidRDefault="00D95336" w:rsidP="00CB7A8E">
      <w:pPr>
        <w:rPr>
          <w:lang w:val="en-GB"/>
        </w:rPr>
      </w:pPr>
      <w:r w:rsidRPr="00221992">
        <w:rPr>
          <w:lang w:val="en-GB"/>
        </w:rPr>
        <w:t>Finally, it showed that Australia had the shortest median time from first world-wide regulatory submission to jurisdictional HTA recommendation for 38 common NAS</w:t>
      </w:r>
      <w:r w:rsidR="00A63AA1">
        <w:rPr>
          <w:lang w:val="en-GB"/>
        </w:rPr>
        <w:t>’</w:t>
      </w:r>
      <w:r w:rsidRPr="00221992">
        <w:rPr>
          <w:lang w:val="en-GB"/>
        </w:rPr>
        <w:t xml:space="preserve">s despite </w:t>
      </w:r>
      <w:r w:rsidR="00A63AA1">
        <w:rPr>
          <w:lang w:val="en-GB"/>
        </w:rPr>
        <w:t xml:space="preserve">having </w:t>
      </w:r>
      <w:r w:rsidRPr="00221992">
        <w:rPr>
          <w:lang w:val="en-GB"/>
        </w:rPr>
        <w:t>the largest regulatory submission gap</w:t>
      </w:r>
      <w:r w:rsidR="005211C7" w:rsidRPr="00221992">
        <w:rPr>
          <w:lang w:val="en-GB"/>
        </w:rPr>
        <w:t xml:space="preserve"> (</w:t>
      </w:r>
      <w:r w:rsidR="00A63AA1">
        <w:rPr>
          <w:lang w:val="en-GB"/>
        </w:rPr>
        <w:t xml:space="preserve">i.e., </w:t>
      </w:r>
      <w:r w:rsidR="005211C7" w:rsidRPr="00221992">
        <w:rPr>
          <w:lang w:val="en-GB"/>
        </w:rPr>
        <w:t>the time between a submission to the regulatory body vs submission to the HTA body</w:t>
      </w:r>
      <w:r w:rsidR="00573D40" w:rsidRPr="00221992">
        <w:rPr>
          <w:lang w:val="en-GB"/>
        </w:rPr>
        <w:t>)</w:t>
      </w:r>
      <w:r w:rsidRPr="00221992">
        <w:rPr>
          <w:lang w:val="en-GB"/>
        </w:rPr>
        <w:t>, and shortest rollout time by US breakthrough designation (BTD), as shown in</w:t>
      </w:r>
      <w:r w:rsidR="00171A08" w:rsidRPr="00221992">
        <w:rPr>
          <w:lang w:val="en-GB"/>
        </w:rPr>
        <w:t xml:space="preserve"> </w:t>
      </w:r>
      <w:r w:rsidR="00171A08" w:rsidRPr="00221992">
        <w:rPr>
          <w:lang w:val="en-GB"/>
        </w:rPr>
        <w:fldChar w:fldCharType="begin"/>
      </w:r>
      <w:r w:rsidR="00171A08" w:rsidRPr="00221992">
        <w:rPr>
          <w:lang w:val="en-GB"/>
        </w:rPr>
        <w:instrText xml:space="preserve"> REF _Ref143592752 \h </w:instrText>
      </w:r>
      <w:r w:rsidR="00171A08" w:rsidRPr="00221992">
        <w:rPr>
          <w:lang w:val="en-GB"/>
        </w:rPr>
      </w:r>
      <w:r w:rsidR="00171A08" w:rsidRPr="00221992">
        <w:rPr>
          <w:lang w:val="en-GB"/>
        </w:rPr>
        <w:fldChar w:fldCharType="separate"/>
      </w:r>
      <w:r w:rsidR="000E11E7" w:rsidRPr="00221992">
        <w:rPr>
          <w:lang w:val="en-GB"/>
        </w:rPr>
        <w:t xml:space="preserve">Figure </w:t>
      </w:r>
      <w:r w:rsidR="000E11E7">
        <w:rPr>
          <w:noProof/>
          <w:lang w:val="en-GB"/>
        </w:rPr>
        <w:t>12</w:t>
      </w:r>
      <w:r w:rsidR="00171A08" w:rsidRPr="00221992">
        <w:rPr>
          <w:lang w:val="en-GB"/>
        </w:rPr>
        <w:fldChar w:fldCharType="end"/>
      </w:r>
      <w:r w:rsidRPr="00221992">
        <w:rPr>
          <w:lang w:val="en-GB"/>
        </w:rPr>
        <w:t xml:space="preserve"> and</w:t>
      </w:r>
      <w:r w:rsidR="00171A08" w:rsidRPr="00221992">
        <w:rPr>
          <w:lang w:val="en-GB"/>
        </w:rPr>
        <w:t xml:space="preserve"> </w:t>
      </w:r>
      <w:r w:rsidR="00171A08" w:rsidRPr="00221992">
        <w:rPr>
          <w:lang w:val="en-GB"/>
        </w:rPr>
        <w:fldChar w:fldCharType="begin"/>
      </w:r>
      <w:r w:rsidR="00171A08" w:rsidRPr="00221992">
        <w:rPr>
          <w:lang w:val="en-GB"/>
        </w:rPr>
        <w:instrText xml:space="preserve"> REF _Ref143592768 \h </w:instrText>
      </w:r>
      <w:r w:rsidR="00171A08" w:rsidRPr="00221992">
        <w:rPr>
          <w:lang w:val="en-GB"/>
        </w:rPr>
      </w:r>
      <w:r w:rsidR="00171A08" w:rsidRPr="00221992">
        <w:rPr>
          <w:lang w:val="en-GB"/>
        </w:rPr>
        <w:fldChar w:fldCharType="separate"/>
      </w:r>
      <w:r w:rsidR="000E11E7" w:rsidRPr="00221992">
        <w:rPr>
          <w:lang w:val="en-GB"/>
        </w:rPr>
        <w:t xml:space="preserve">Figure </w:t>
      </w:r>
      <w:r w:rsidR="000E11E7">
        <w:rPr>
          <w:noProof/>
          <w:lang w:val="en-GB"/>
        </w:rPr>
        <w:t>13</w:t>
      </w:r>
      <w:r w:rsidR="00171A08" w:rsidRPr="00221992">
        <w:rPr>
          <w:lang w:val="en-GB"/>
        </w:rPr>
        <w:fldChar w:fldCharType="end"/>
      </w:r>
      <w:r w:rsidR="00171A08" w:rsidRPr="00221992">
        <w:rPr>
          <w:lang w:val="en-GB"/>
        </w:rPr>
        <w:t xml:space="preserve"> </w:t>
      </w:r>
      <w:r w:rsidRPr="00221992">
        <w:rPr>
          <w:lang w:val="en-GB"/>
        </w:rPr>
        <w:t>below.</w:t>
      </w:r>
    </w:p>
    <w:p w14:paraId="5973FAE5" w14:textId="34DD6255" w:rsidR="00CB7A8E" w:rsidRPr="00221992" w:rsidRDefault="00CB7A8E" w:rsidP="001721AB">
      <w:pPr>
        <w:pStyle w:val="Caption"/>
        <w:rPr>
          <w:lang w:val="en-GB"/>
        </w:rPr>
      </w:pPr>
      <w:bookmarkStart w:id="86" w:name="_Ref143592752"/>
      <w:bookmarkStart w:id="87" w:name="_Toc162950919"/>
      <w:r w:rsidRPr="00221992">
        <w:rPr>
          <w:lang w:val="en-GB"/>
        </w:rPr>
        <w:t xml:space="preserve">Figure </w:t>
      </w:r>
      <w:r w:rsidR="003F72DF" w:rsidRPr="00221992">
        <w:rPr>
          <w:lang w:val="en-GB"/>
        </w:rPr>
        <w:fldChar w:fldCharType="begin"/>
      </w:r>
      <w:r w:rsidR="003F72DF" w:rsidRPr="00221992">
        <w:rPr>
          <w:lang w:val="en-GB"/>
        </w:rPr>
        <w:instrText xml:space="preserve"> SEQ Figure \* ARABIC </w:instrText>
      </w:r>
      <w:r w:rsidR="003F72DF" w:rsidRPr="00221992">
        <w:rPr>
          <w:lang w:val="en-GB"/>
        </w:rPr>
        <w:fldChar w:fldCharType="separate"/>
      </w:r>
      <w:r w:rsidR="000E11E7">
        <w:rPr>
          <w:noProof/>
          <w:lang w:val="en-GB"/>
        </w:rPr>
        <w:t>12</w:t>
      </w:r>
      <w:r w:rsidR="003F72DF" w:rsidRPr="00221992">
        <w:rPr>
          <w:noProof/>
          <w:lang w:val="en-GB"/>
        </w:rPr>
        <w:fldChar w:fldCharType="end"/>
      </w:r>
      <w:bookmarkEnd w:id="86"/>
      <w:r w:rsidRPr="00221992">
        <w:rPr>
          <w:lang w:val="en-GB"/>
        </w:rPr>
        <w:t>. Rollout time (days) by jurisdiction for 38 common NASs</w:t>
      </w:r>
      <w:bookmarkEnd w:id="87"/>
    </w:p>
    <w:p w14:paraId="689BA626" w14:textId="77777777" w:rsidR="00CB7A8E" w:rsidRPr="00221992" w:rsidRDefault="00D95336" w:rsidP="00533CF1">
      <w:pPr>
        <w:pStyle w:val="TableNotes"/>
        <w:rPr>
          <w:lang w:val="en-GB"/>
        </w:rPr>
      </w:pPr>
      <w:r w:rsidRPr="00221992">
        <w:rPr>
          <w:noProof/>
          <w:lang w:val="en-GB"/>
        </w:rPr>
        <w:drawing>
          <wp:inline distT="0" distB="0" distL="0" distR="0" wp14:anchorId="2476A28B" wp14:editId="5D2F0D58">
            <wp:extent cx="3938120" cy="2592658"/>
            <wp:effectExtent l="0" t="0" r="0" b="0"/>
            <wp:docPr id="1025680153" name="Picture 1025680153" descr="a graph of the rollout time (days) by juristiction for 38 common NA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5680153"/>
                    <pic:cNvPicPr/>
                  </pic:nvPicPr>
                  <pic:blipFill>
                    <a:blip r:embed="rId30">
                      <a:extLst>
                        <a:ext uri="{28A0092B-C50C-407E-A947-70E740481C1C}">
                          <a14:useLocalDpi xmlns:a14="http://schemas.microsoft.com/office/drawing/2010/main" val="0"/>
                        </a:ext>
                      </a:extLst>
                    </a:blip>
                    <a:stretch>
                      <a:fillRect/>
                    </a:stretch>
                  </pic:blipFill>
                  <pic:spPr>
                    <a:xfrm>
                      <a:off x="0" y="0"/>
                      <a:ext cx="3981159" cy="2620992"/>
                    </a:xfrm>
                    <a:prstGeom prst="rect">
                      <a:avLst/>
                    </a:prstGeom>
                  </pic:spPr>
                </pic:pic>
              </a:graphicData>
            </a:graphic>
          </wp:inline>
        </w:drawing>
      </w:r>
      <w:r w:rsidRPr="00221992">
        <w:rPr>
          <w:lang w:val="en-GB"/>
        </w:rPr>
        <w:br/>
      </w:r>
    </w:p>
    <w:p w14:paraId="3E6FCBA7" w14:textId="5F9E7073" w:rsidR="00D95336" w:rsidRPr="00221992" w:rsidRDefault="00D95336" w:rsidP="00533CF1">
      <w:pPr>
        <w:pStyle w:val="TableNotes"/>
        <w:rPr>
          <w:lang w:val="en-GB"/>
        </w:rPr>
      </w:pPr>
      <w:r w:rsidRPr="00221992">
        <w:rPr>
          <w:lang w:val="en-GB"/>
        </w:rPr>
        <w:t xml:space="preserve">Source: </w:t>
      </w:r>
      <w:r w:rsidRPr="00221992">
        <w:rPr>
          <w:lang w:val="en-GB"/>
        </w:rPr>
        <w:tab/>
        <w:t>Figure 8, p</w:t>
      </w:r>
      <w:r w:rsidR="00586CA5" w:rsidRPr="00221992">
        <w:rPr>
          <w:lang w:val="en-GB"/>
        </w:rPr>
        <w:t>.</w:t>
      </w:r>
      <w:r w:rsidRPr="00221992">
        <w:rPr>
          <w:lang w:val="en-GB"/>
        </w:rPr>
        <w:t xml:space="preserve"> 4, Wang et al. (2019)</w:t>
      </w:r>
    </w:p>
    <w:p w14:paraId="2434865A" w14:textId="06B483BD" w:rsidR="00D84741" w:rsidRPr="00221992" w:rsidRDefault="00D84741" w:rsidP="001721AB">
      <w:pPr>
        <w:pStyle w:val="Caption"/>
        <w:rPr>
          <w:lang w:val="en-GB"/>
        </w:rPr>
      </w:pPr>
      <w:bookmarkStart w:id="88" w:name="_Ref143592768"/>
      <w:bookmarkStart w:id="89" w:name="_Toc162950920"/>
      <w:r w:rsidRPr="00221992">
        <w:rPr>
          <w:lang w:val="en-GB"/>
        </w:rPr>
        <w:t xml:space="preserve">Figure </w:t>
      </w:r>
      <w:r w:rsidR="003F72DF" w:rsidRPr="00221992">
        <w:rPr>
          <w:lang w:val="en-GB"/>
        </w:rPr>
        <w:fldChar w:fldCharType="begin"/>
      </w:r>
      <w:r w:rsidR="003F72DF" w:rsidRPr="00221992">
        <w:rPr>
          <w:lang w:val="en-GB"/>
        </w:rPr>
        <w:instrText xml:space="preserve"> SEQ Figure \* ARABIC </w:instrText>
      </w:r>
      <w:r w:rsidR="003F72DF" w:rsidRPr="00221992">
        <w:rPr>
          <w:lang w:val="en-GB"/>
        </w:rPr>
        <w:fldChar w:fldCharType="separate"/>
      </w:r>
      <w:r w:rsidR="000E11E7">
        <w:rPr>
          <w:noProof/>
          <w:lang w:val="en-GB"/>
        </w:rPr>
        <w:t>13</w:t>
      </w:r>
      <w:r w:rsidR="003F72DF" w:rsidRPr="00221992">
        <w:rPr>
          <w:noProof/>
          <w:lang w:val="en-GB"/>
        </w:rPr>
        <w:fldChar w:fldCharType="end"/>
      </w:r>
      <w:bookmarkEnd w:id="88"/>
      <w:r w:rsidRPr="00221992">
        <w:rPr>
          <w:lang w:val="en-GB"/>
        </w:rPr>
        <w:t>. Time from regulatory approval to HTA recommendation by US Breakthrough Designation</w:t>
      </w:r>
      <w:bookmarkEnd w:id="89"/>
    </w:p>
    <w:p w14:paraId="61E4AC65" w14:textId="77777777" w:rsidR="00D95336" w:rsidRPr="00221992" w:rsidRDefault="00D95336" w:rsidP="00702C58">
      <w:pPr>
        <w:rPr>
          <w:lang w:val="en-GB"/>
        </w:rPr>
      </w:pPr>
      <w:r w:rsidRPr="00221992">
        <w:rPr>
          <w:noProof/>
          <w:lang w:val="en-GB"/>
        </w:rPr>
        <w:drawing>
          <wp:inline distT="0" distB="0" distL="0" distR="0" wp14:anchorId="06BBCD07" wp14:editId="78C3D381">
            <wp:extent cx="4027753" cy="3841596"/>
            <wp:effectExtent l="0" t="0" r="0" b="0"/>
            <wp:docPr id="968715391" name="Picture 968715391" descr="A graph of the time from regulatory approval to NTA recommendation by US breakthough designation (BT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8715391"/>
                    <pic:cNvPicPr/>
                  </pic:nvPicPr>
                  <pic:blipFill>
                    <a:blip r:embed="rId31">
                      <a:extLst>
                        <a:ext uri="{28A0092B-C50C-407E-A947-70E740481C1C}">
                          <a14:useLocalDpi xmlns:a14="http://schemas.microsoft.com/office/drawing/2010/main" val="0"/>
                        </a:ext>
                      </a:extLst>
                    </a:blip>
                    <a:stretch>
                      <a:fillRect/>
                    </a:stretch>
                  </pic:blipFill>
                  <pic:spPr>
                    <a:xfrm>
                      <a:off x="0" y="0"/>
                      <a:ext cx="4074981" cy="3886641"/>
                    </a:xfrm>
                    <a:prstGeom prst="rect">
                      <a:avLst/>
                    </a:prstGeom>
                  </pic:spPr>
                </pic:pic>
              </a:graphicData>
            </a:graphic>
          </wp:inline>
        </w:drawing>
      </w:r>
    </w:p>
    <w:p w14:paraId="0A5915A1" w14:textId="2E610DC2" w:rsidR="00D95336" w:rsidRPr="00221992" w:rsidRDefault="00D95336" w:rsidP="00533CF1">
      <w:pPr>
        <w:pStyle w:val="TableNotes"/>
        <w:rPr>
          <w:lang w:val="en-GB"/>
        </w:rPr>
      </w:pPr>
      <w:r w:rsidRPr="00221992">
        <w:rPr>
          <w:lang w:val="en-GB"/>
        </w:rPr>
        <w:t xml:space="preserve">Source: </w:t>
      </w:r>
      <w:r w:rsidR="008462EA" w:rsidRPr="00221992">
        <w:rPr>
          <w:lang w:val="en-GB"/>
        </w:rPr>
        <w:tab/>
      </w:r>
      <w:r w:rsidRPr="00221992">
        <w:rPr>
          <w:lang w:val="en-GB"/>
        </w:rPr>
        <w:t>Figure 10, p</w:t>
      </w:r>
      <w:r w:rsidR="00586CA5" w:rsidRPr="00221992">
        <w:rPr>
          <w:lang w:val="en-GB"/>
        </w:rPr>
        <w:t>.</w:t>
      </w:r>
      <w:r w:rsidRPr="00221992">
        <w:rPr>
          <w:lang w:val="en-GB"/>
        </w:rPr>
        <w:t xml:space="preserve"> 5, Wang et al. (2019)</w:t>
      </w:r>
    </w:p>
    <w:p w14:paraId="1CB679A8" w14:textId="655FB364" w:rsidR="00D95336" w:rsidRPr="00221992" w:rsidRDefault="008462EA" w:rsidP="00533CF1">
      <w:pPr>
        <w:pStyle w:val="TableNotes"/>
        <w:rPr>
          <w:lang w:val="en-GB"/>
        </w:rPr>
      </w:pPr>
      <w:r w:rsidRPr="00221992">
        <w:rPr>
          <w:lang w:val="en-GB"/>
        </w:rPr>
        <w:t>Notes:</w:t>
      </w:r>
      <w:r w:rsidRPr="00221992">
        <w:rPr>
          <w:lang w:val="en-GB"/>
        </w:rPr>
        <w:tab/>
      </w:r>
      <w:r w:rsidR="00D95336" w:rsidRPr="00221992">
        <w:rPr>
          <w:lang w:val="en-GB"/>
        </w:rPr>
        <w:t>Number of standard drugs = 19; Number of BTD drugs = 19.</w:t>
      </w:r>
    </w:p>
    <w:p w14:paraId="1F65E924" w14:textId="6F47ED75" w:rsidR="00D95336" w:rsidRPr="00221992" w:rsidRDefault="00D95336" w:rsidP="00702C58">
      <w:pPr>
        <w:rPr>
          <w:lang w:val="en-GB"/>
        </w:rPr>
      </w:pPr>
      <w:r w:rsidRPr="00221992">
        <w:rPr>
          <w:lang w:val="en-GB"/>
        </w:rPr>
        <w:t>Considering these studies together, it is clear that Australia</w:t>
      </w:r>
      <w:r w:rsidR="00551786">
        <w:rPr>
          <w:lang w:val="en-GB"/>
        </w:rPr>
        <w:t>’</w:t>
      </w:r>
      <w:r w:rsidRPr="00221992">
        <w:rPr>
          <w:lang w:val="en-GB"/>
        </w:rPr>
        <w:t>s ranking on the international stage is highly dependent on how data are analysed and presented</w:t>
      </w:r>
      <w:r w:rsidR="008E365B">
        <w:rPr>
          <w:lang w:val="en-GB"/>
        </w:rPr>
        <w:t>;</w:t>
      </w:r>
      <w:r w:rsidRPr="00221992">
        <w:rPr>
          <w:lang w:val="en-GB"/>
        </w:rPr>
        <w:t xml:space="preserve"> when interpreting any single study, its methods, data selection and potential bias </w:t>
      </w:r>
      <w:r w:rsidR="008E365B">
        <w:rPr>
          <w:lang w:val="en-GB"/>
        </w:rPr>
        <w:t>should</w:t>
      </w:r>
      <w:r w:rsidRPr="00221992">
        <w:rPr>
          <w:lang w:val="en-GB"/>
        </w:rPr>
        <w:t xml:space="preserve"> be </w:t>
      </w:r>
      <w:r w:rsidR="00F657A2">
        <w:rPr>
          <w:lang w:val="en-GB"/>
        </w:rPr>
        <w:t xml:space="preserve">carefully </w:t>
      </w:r>
      <w:r w:rsidRPr="00221992">
        <w:rPr>
          <w:lang w:val="en-GB"/>
        </w:rPr>
        <w:t xml:space="preserve">considered. </w:t>
      </w:r>
      <w:r w:rsidR="00594068">
        <w:rPr>
          <w:lang w:val="en-GB"/>
        </w:rPr>
        <w:t>While the</w:t>
      </w:r>
      <w:r w:rsidR="00594068" w:rsidRPr="00221992">
        <w:rPr>
          <w:lang w:val="en-GB"/>
        </w:rPr>
        <w:t xml:space="preserve"> </w:t>
      </w:r>
      <w:r w:rsidRPr="00221992">
        <w:rPr>
          <w:lang w:val="en-GB"/>
        </w:rPr>
        <w:t xml:space="preserve">Australian HTA process does not appear to be significantly slower than </w:t>
      </w:r>
      <w:r w:rsidR="00520C04" w:rsidRPr="00221992">
        <w:rPr>
          <w:lang w:val="en-GB"/>
        </w:rPr>
        <w:t xml:space="preserve">many </w:t>
      </w:r>
      <w:r w:rsidRPr="00221992">
        <w:rPr>
          <w:lang w:val="en-GB"/>
        </w:rPr>
        <w:t xml:space="preserve">peer countries, Germany and Japan reimburse new pharmaceuticals </w:t>
      </w:r>
      <w:r w:rsidR="00594068">
        <w:rPr>
          <w:lang w:val="en-GB"/>
        </w:rPr>
        <w:t xml:space="preserve">markedly </w:t>
      </w:r>
      <w:r w:rsidRPr="00221992">
        <w:rPr>
          <w:lang w:val="en-GB"/>
        </w:rPr>
        <w:t>sooner because their systems allow for market listing prior to conducting HTA.</w:t>
      </w:r>
    </w:p>
    <w:p w14:paraId="23ADCC04" w14:textId="77777777" w:rsidR="00D95336" w:rsidRPr="00221992" w:rsidRDefault="00D95336" w:rsidP="0012257A">
      <w:pPr>
        <w:pStyle w:val="NbrHeading3"/>
        <w:rPr>
          <w:lang w:val="en-GB"/>
        </w:rPr>
      </w:pPr>
      <w:bookmarkStart w:id="90" w:name="_Toc162950871"/>
      <w:r w:rsidRPr="00221992">
        <w:rPr>
          <w:lang w:val="en-GB"/>
        </w:rPr>
        <w:t>Prescription drug spending in Australia and internationally</w:t>
      </w:r>
      <w:bookmarkEnd w:id="90"/>
    </w:p>
    <w:p w14:paraId="5D78894C" w14:textId="57166593" w:rsidR="00D95336" w:rsidRPr="00221992" w:rsidRDefault="00D95336" w:rsidP="00702C58">
      <w:pPr>
        <w:rPr>
          <w:lang w:val="en-GB"/>
        </w:rPr>
      </w:pPr>
      <w:r w:rsidRPr="00221992">
        <w:rPr>
          <w:lang w:val="en-GB"/>
        </w:rPr>
        <w:t>Australia demonstrated low per</w:t>
      </w:r>
      <w:r w:rsidR="00811D63">
        <w:rPr>
          <w:lang w:val="en-GB"/>
        </w:rPr>
        <w:t>-</w:t>
      </w:r>
      <w:r w:rsidRPr="00221992">
        <w:rPr>
          <w:lang w:val="en-GB"/>
        </w:rPr>
        <w:t xml:space="preserve">capita spending on pharmaceuticals, compared to international peer countries, as shown </w:t>
      </w:r>
      <w:r w:rsidR="0000136F" w:rsidRPr="00221992">
        <w:rPr>
          <w:lang w:val="en-GB"/>
        </w:rPr>
        <w:t xml:space="preserve">in </w:t>
      </w:r>
      <w:r w:rsidR="0000136F" w:rsidRPr="00221992">
        <w:rPr>
          <w:lang w:val="en-GB"/>
        </w:rPr>
        <w:fldChar w:fldCharType="begin"/>
      </w:r>
      <w:r w:rsidR="0000136F" w:rsidRPr="00221992">
        <w:rPr>
          <w:lang w:val="en-GB"/>
        </w:rPr>
        <w:instrText xml:space="preserve"> REF _Ref143592837 \h </w:instrText>
      </w:r>
      <w:r w:rsidR="0000136F" w:rsidRPr="00221992">
        <w:rPr>
          <w:lang w:val="en-GB"/>
        </w:rPr>
      </w:r>
      <w:r w:rsidR="0000136F" w:rsidRPr="00221992">
        <w:rPr>
          <w:lang w:val="en-GB"/>
        </w:rPr>
        <w:fldChar w:fldCharType="separate"/>
      </w:r>
      <w:r w:rsidR="000E11E7" w:rsidRPr="00221992">
        <w:rPr>
          <w:lang w:val="en-GB"/>
        </w:rPr>
        <w:t xml:space="preserve">Figure </w:t>
      </w:r>
      <w:r w:rsidR="000E11E7">
        <w:rPr>
          <w:noProof/>
          <w:lang w:val="en-GB"/>
        </w:rPr>
        <w:t>14</w:t>
      </w:r>
      <w:r w:rsidR="0000136F" w:rsidRPr="00221992">
        <w:rPr>
          <w:lang w:val="en-GB"/>
        </w:rPr>
        <w:fldChar w:fldCharType="end"/>
      </w:r>
      <w:r w:rsidRPr="00221992">
        <w:rPr>
          <w:lang w:val="en-GB"/>
        </w:rPr>
        <w:t xml:space="preserve">, </w:t>
      </w:r>
      <w:r w:rsidR="003E7867" w:rsidRPr="00221992">
        <w:rPr>
          <w:lang w:val="en-GB"/>
        </w:rPr>
        <w:fldChar w:fldCharType="begin"/>
      </w:r>
      <w:r w:rsidR="003E7867" w:rsidRPr="00221992">
        <w:rPr>
          <w:lang w:val="en-GB"/>
        </w:rPr>
        <w:instrText xml:space="preserve"> REF _Ref143593075 \h </w:instrText>
      </w:r>
      <w:r w:rsidR="003E7867" w:rsidRPr="00221992">
        <w:rPr>
          <w:lang w:val="en-GB"/>
        </w:rPr>
      </w:r>
      <w:r w:rsidR="003E7867" w:rsidRPr="00221992">
        <w:rPr>
          <w:lang w:val="en-GB"/>
        </w:rPr>
        <w:fldChar w:fldCharType="separate"/>
      </w:r>
      <w:r w:rsidR="000E11E7" w:rsidRPr="00221992">
        <w:rPr>
          <w:lang w:val="en-GB"/>
        </w:rPr>
        <w:t xml:space="preserve">Figure </w:t>
      </w:r>
      <w:r w:rsidR="000E11E7">
        <w:rPr>
          <w:noProof/>
          <w:lang w:val="en-GB"/>
        </w:rPr>
        <w:t>15</w:t>
      </w:r>
      <w:r w:rsidR="003E7867" w:rsidRPr="00221992">
        <w:rPr>
          <w:lang w:val="en-GB"/>
        </w:rPr>
        <w:fldChar w:fldCharType="end"/>
      </w:r>
      <w:r w:rsidR="003E7867" w:rsidRPr="00221992">
        <w:rPr>
          <w:lang w:val="en-GB"/>
        </w:rPr>
        <w:t xml:space="preserve"> </w:t>
      </w:r>
      <w:r w:rsidRPr="00221992">
        <w:rPr>
          <w:lang w:val="en-GB"/>
        </w:rPr>
        <w:t xml:space="preserve">and </w:t>
      </w:r>
      <w:r w:rsidR="003E7867" w:rsidRPr="00221992">
        <w:rPr>
          <w:lang w:val="en-GB"/>
        </w:rPr>
        <w:fldChar w:fldCharType="begin"/>
      </w:r>
      <w:r w:rsidR="003E7867" w:rsidRPr="00221992">
        <w:rPr>
          <w:lang w:val="en-GB"/>
        </w:rPr>
        <w:instrText xml:space="preserve"> REF _Ref143593084 \h </w:instrText>
      </w:r>
      <w:r w:rsidR="003E7867" w:rsidRPr="00221992">
        <w:rPr>
          <w:lang w:val="en-GB"/>
        </w:rPr>
      </w:r>
      <w:r w:rsidR="003E7867" w:rsidRPr="00221992">
        <w:rPr>
          <w:lang w:val="en-GB"/>
        </w:rPr>
        <w:fldChar w:fldCharType="separate"/>
      </w:r>
      <w:r w:rsidR="000E11E7" w:rsidRPr="00221992">
        <w:rPr>
          <w:lang w:val="en-GB"/>
        </w:rPr>
        <w:t xml:space="preserve">Figure </w:t>
      </w:r>
      <w:r w:rsidR="000E11E7">
        <w:rPr>
          <w:noProof/>
          <w:lang w:val="en-GB"/>
        </w:rPr>
        <w:t>16</w:t>
      </w:r>
      <w:r w:rsidR="003E7867" w:rsidRPr="00221992">
        <w:rPr>
          <w:lang w:val="en-GB"/>
        </w:rPr>
        <w:fldChar w:fldCharType="end"/>
      </w:r>
      <w:r w:rsidRPr="00221992">
        <w:rPr>
          <w:lang w:val="en-GB"/>
        </w:rPr>
        <w:t xml:space="preserve">. Germany, Japan, Switzerland and the US had some of the fastest market listings for new pharmaceuticals (see </w:t>
      </w:r>
      <w:r w:rsidR="003E7867" w:rsidRPr="00221992">
        <w:rPr>
          <w:lang w:val="en-GB"/>
        </w:rPr>
        <w:fldChar w:fldCharType="begin"/>
      </w:r>
      <w:r w:rsidR="003E7867" w:rsidRPr="00221992">
        <w:rPr>
          <w:lang w:val="en-GB"/>
        </w:rPr>
        <w:instrText xml:space="preserve"> REF _Ref143592150 \h </w:instrText>
      </w:r>
      <w:r w:rsidR="003E7867" w:rsidRPr="00221992">
        <w:rPr>
          <w:lang w:val="en-GB"/>
        </w:rPr>
      </w:r>
      <w:r w:rsidR="003E7867" w:rsidRPr="00221992">
        <w:rPr>
          <w:lang w:val="en-GB"/>
        </w:rPr>
        <w:fldChar w:fldCharType="separate"/>
      </w:r>
      <w:r w:rsidR="000E11E7" w:rsidRPr="00221992">
        <w:rPr>
          <w:lang w:val="en-GB"/>
        </w:rPr>
        <w:t xml:space="preserve">Figure </w:t>
      </w:r>
      <w:r w:rsidR="000E11E7">
        <w:rPr>
          <w:noProof/>
          <w:lang w:val="en-GB"/>
        </w:rPr>
        <w:t>7</w:t>
      </w:r>
      <w:r w:rsidR="003E7867" w:rsidRPr="00221992">
        <w:rPr>
          <w:lang w:val="en-GB"/>
        </w:rPr>
        <w:fldChar w:fldCharType="end"/>
      </w:r>
      <w:r w:rsidR="003E7867" w:rsidRPr="00221992">
        <w:rPr>
          <w:lang w:val="en-GB"/>
        </w:rPr>
        <w:t xml:space="preserve"> </w:t>
      </w:r>
      <w:r w:rsidRPr="00221992">
        <w:rPr>
          <w:lang w:val="en-GB"/>
        </w:rPr>
        <w:t>and</w:t>
      </w:r>
      <w:r w:rsidR="003E7867" w:rsidRPr="00221992">
        <w:rPr>
          <w:lang w:val="en-GB"/>
        </w:rPr>
        <w:t xml:space="preserve"> </w:t>
      </w:r>
      <w:r w:rsidR="003E7867" w:rsidRPr="00221992">
        <w:rPr>
          <w:lang w:val="en-GB"/>
        </w:rPr>
        <w:fldChar w:fldCharType="begin"/>
      </w:r>
      <w:r w:rsidR="003E7867" w:rsidRPr="00221992">
        <w:rPr>
          <w:lang w:val="en-GB"/>
        </w:rPr>
        <w:instrText xml:space="preserve"> REF _Ref143592268 \h </w:instrText>
      </w:r>
      <w:r w:rsidR="003E7867" w:rsidRPr="00221992">
        <w:rPr>
          <w:lang w:val="en-GB"/>
        </w:rPr>
      </w:r>
      <w:r w:rsidR="003E7867" w:rsidRPr="00221992">
        <w:rPr>
          <w:lang w:val="en-GB"/>
        </w:rPr>
        <w:fldChar w:fldCharType="separate"/>
      </w:r>
      <w:r w:rsidR="000E11E7" w:rsidRPr="00221992">
        <w:rPr>
          <w:lang w:val="en-GB"/>
        </w:rPr>
        <w:t xml:space="preserve">Figure </w:t>
      </w:r>
      <w:r w:rsidR="000E11E7">
        <w:rPr>
          <w:noProof/>
          <w:lang w:val="en-GB"/>
        </w:rPr>
        <w:t>8</w:t>
      </w:r>
      <w:r w:rsidR="003E7867" w:rsidRPr="00221992">
        <w:rPr>
          <w:lang w:val="en-GB"/>
        </w:rPr>
        <w:fldChar w:fldCharType="end"/>
      </w:r>
      <w:r w:rsidRPr="00221992">
        <w:rPr>
          <w:lang w:val="en-GB"/>
        </w:rPr>
        <w:t>), however these countries also have some of the highest per</w:t>
      </w:r>
      <w:r w:rsidR="00811D63">
        <w:rPr>
          <w:lang w:val="en-GB"/>
        </w:rPr>
        <w:t>-</w:t>
      </w:r>
      <w:r w:rsidRPr="00221992">
        <w:rPr>
          <w:lang w:val="en-GB"/>
        </w:rPr>
        <w:t>capita pharmaceutical spending. This is a correlation only and does not necessarily imply a causa</w:t>
      </w:r>
      <w:r w:rsidR="009F0877" w:rsidRPr="00221992">
        <w:rPr>
          <w:lang w:val="en-GB"/>
        </w:rPr>
        <w:t>l</w:t>
      </w:r>
      <w:r w:rsidRPr="00221992">
        <w:rPr>
          <w:lang w:val="en-GB"/>
        </w:rPr>
        <w:t xml:space="preserve"> relationship.</w:t>
      </w:r>
      <w:r w:rsidR="00C84953" w:rsidRPr="00221992">
        <w:rPr>
          <w:lang w:val="en-GB"/>
        </w:rPr>
        <w:t xml:space="preserve"> Also, </w:t>
      </w:r>
      <w:r w:rsidR="00866E4D" w:rsidRPr="00221992">
        <w:rPr>
          <w:lang w:val="en-GB"/>
        </w:rPr>
        <w:t>this spending includes all drugs, not only new drugs; subsequent price reductions/generic listings/</w:t>
      </w:r>
      <w:r w:rsidR="00811D63">
        <w:rPr>
          <w:lang w:val="en-GB"/>
        </w:rPr>
        <w:t>‘</w:t>
      </w:r>
      <w:r w:rsidR="00866E4D" w:rsidRPr="00221992">
        <w:rPr>
          <w:lang w:val="en-GB"/>
        </w:rPr>
        <w:t>me too</w:t>
      </w:r>
      <w:r w:rsidR="00551786">
        <w:rPr>
          <w:lang w:val="en-GB"/>
        </w:rPr>
        <w:t>’</w:t>
      </w:r>
      <w:r w:rsidR="00866E4D" w:rsidRPr="00221992">
        <w:rPr>
          <w:lang w:val="en-GB"/>
        </w:rPr>
        <w:t xml:space="preserve"> drug listings may </w:t>
      </w:r>
      <w:r w:rsidR="0094467C">
        <w:rPr>
          <w:lang w:val="en-GB"/>
        </w:rPr>
        <w:t>reduce spending on a</w:t>
      </w:r>
      <w:r w:rsidR="0094467C" w:rsidRPr="00221992">
        <w:rPr>
          <w:lang w:val="en-GB"/>
        </w:rPr>
        <w:t xml:space="preserve"> </w:t>
      </w:r>
      <w:r w:rsidR="00866E4D" w:rsidRPr="00221992">
        <w:rPr>
          <w:lang w:val="en-GB"/>
        </w:rPr>
        <w:t>per</w:t>
      </w:r>
      <w:r w:rsidR="00811D63">
        <w:rPr>
          <w:lang w:val="en-GB"/>
        </w:rPr>
        <w:t>-</w:t>
      </w:r>
      <w:r w:rsidR="00866E4D" w:rsidRPr="00221992">
        <w:rPr>
          <w:lang w:val="en-GB"/>
        </w:rPr>
        <w:t xml:space="preserve">capita </w:t>
      </w:r>
      <w:r w:rsidR="0094467C">
        <w:rPr>
          <w:lang w:val="en-GB"/>
        </w:rPr>
        <w:t>basis</w:t>
      </w:r>
      <w:r w:rsidR="00866E4D" w:rsidRPr="00221992">
        <w:rPr>
          <w:lang w:val="en-GB"/>
        </w:rPr>
        <w:t>.</w:t>
      </w:r>
    </w:p>
    <w:p w14:paraId="379CE96D" w14:textId="5BA8A68C" w:rsidR="0000136F" w:rsidRPr="00221992" w:rsidRDefault="0000136F" w:rsidP="001721AB">
      <w:pPr>
        <w:pStyle w:val="Caption"/>
        <w:rPr>
          <w:lang w:val="en-GB"/>
        </w:rPr>
      </w:pPr>
      <w:bookmarkStart w:id="91" w:name="_Ref143592837"/>
      <w:bookmarkStart w:id="92" w:name="_Toc162950921"/>
      <w:r w:rsidRPr="00221992">
        <w:rPr>
          <w:lang w:val="en-GB"/>
        </w:rPr>
        <w:t xml:space="preserve">Figure </w:t>
      </w:r>
      <w:r w:rsidR="003F72DF" w:rsidRPr="00221992">
        <w:rPr>
          <w:lang w:val="en-GB"/>
        </w:rPr>
        <w:fldChar w:fldCharType="begin"/>
      </w:r>
      <w:r w:rsidR="003F72DF" w:rsidRPr="00221992">
        <w:rPr>
          <w:lang w:val="en-GB"/>
        </w:rPr>
        <w:instrText xml:space="preserve"> SEQ Figure \* ARABIC </w:instrText>
      </w:r>
      <w:r w:rsidR="003F72DF" w:rsidRPr="00221992">
        <w:rPr>
          <w:lang w:val="en-GB"/>
        </w:rPr>
        <w:fldChar w:fldCharType="separate"/>
      </w:r>
      <w:r w:rsidR="000E11E7">
        <w:rPr>
          <w:noProof/>
          <w:lang w:val="en-GB"/>
        </w:rPr>
        <w:t>14</w:t>
      </w:r>
      <w:r w:rsidR="003F72DF" w:rsidRPr="00221992">
        <w:rPr>
          <w:noProof/>
          <w:lang w:val="en-GB"/>
        </w:rPr>
        <w:fldChar w:fldCharType="end"/>
      </w:r>
      <w:bookmarkEnd w:id="91"/>
      <w:r w:rsidRPr="00221992">
        <w:rPr>
          <w:lang w:val="en-GB"/>
        </w:rPr>
        <w:t xml:space="preserve">. </w:t>
      </w:r>
      <w:r w:rsidR="008C5E74">
        <w:rPr>
          <w:lang w:val="en-GB"/>
        </w:rPr>
        <w:t>Intern</w:t>
      </w:r>
      <w:r w:rsidRPr="00221992">
        <w:rPr>
          <w:lang w:val="en-GB"/>
        </w:rPr>
        <w:t xml:space="preserve">ational </w:t>
      </w:r>
      <w:r w:rsidR="008C5E74">
        <w:rPr>
          <w:lang w:val="en-GB"/>
        </w:rPr>
        <w:t>t</w:t>
      </w:r>
      <w:r w:rsidRPr="00221992">
        <w:rPr>
          <w:lang w:val="en-GB"/>
        </w:rPr>
        <w:t xml:space="preserve">rends in </w:t>
      </w:r>
      <w:r w:rsidR="008C5E74">
        <w:rPr>
          <w:lang w:val="en-GB"/>
        </w:rPr>
        <w:t>p</w:t>
      </w:r>
      <w:r w:rsidRPr="00221992">
        <w:rPr>
          <w:lang w:val="en-GB"/>
        </w:rPr>
        <w:t>er</w:t>
      </w:r>
      <w:r w:rsidR="002C308E">
        <w:rPr>
          <w:lang w:val="en-GB"/>
        </w:rPr>
        <w:t>-</w:t>
      </w:r>
      <w:r w:rsidR="008C5E74">
        <w:rPr>
          <w:lang w:val="en-GB"/>
        </w:rPr>
        <w:t>c</w:t>
      </w:r>
      <w:r w:rsidRPr="00221992">
        <w:rPr>
          <w:lang w:val="en-GB"/>
        </w:rPr>
        <w:t xml:space="preserve">apita </w:t>
      </w:r>
      <w:r w:rsidR="008C5E74">
        <w:rPr>
          <w:lang w:val="en-GB"/>
        </w:rPr>
        <w:t>p</w:t>
      </w:r>
      <w:r w:rsidRPr="00221992">
        <w:rPr>
          <w:lang w:val="en-GB"/>
        </w:rPr>
        <w:t xml:space="preserve">harmaceutical </w:t>
      </w:r>
      <w:r w:rsidR="008C5E74">
        <w:rPr>
          <w:lang w:val="en-GB"/>
        </w:rPr>
        <w:t>s</w:t>
      </w:r>
      <w:r w:rsidRPr="00221992">
        <w:rPr>
          <w:lang w:val="en-GB"/>
        </w:rPr>
        <w:t>pending (1980-2015)</w:t>
      </w:r>
      <w:bookmarkEnd w:id="92"/>
    </w:p>
    <w:p w14:paraId="253B5682" w14:textId="77777777" w:rsidR="00D95336" w:rsidRPr="00221992" w:rsidRDefault="00D95336" w:rsidP="00702C58">
      <w:pPr>
        <w:rPr>
          <w:lang w:val="en-GB"/>
        </w:rPr>
      </w:pPr>
      <w:r w:rsidRPr="00221992">
        <w:rPr>
          <w:noProof/>
          <w:lang w:val="en-GB"/>
        </w:rPr>
        <w:drawing>
          <wp:inline distT="0" distB="0" distL="0" distR="0" wp14:anchorId="5C0E89D9" wp14:editId="7D797BDF">
            <wp:extent cx="5731510" cy="2858770"/>
            <wp:effectExtent l="0" t="0" r="0" b="0"/>
            <wp:docPr id="1582640368" name="Picture 1582640368" descr="A graph of the National Trends in Per Capita Pharmaceutical Spending (1980-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2640368"/>
                    <pic:cNvPicPr/>
                  </pic:nvPicPr>
                  <pic:blipFill>
                    <a:blip r:embed="rId32">
                      <a:extLst>
                        <a:ext uri="{28A0092B-C50C-407E-A947-70E740481C1C}">
                          <a14:useLocalDpi xmlns:a14="http://schemas.microsoft.com/office/drawing/2010/main" val="0"/>
                        </a:ext>
                      </a:extLst>
                    </a:blip>
                    <a:stretch>
                      <a:fillRect/>
                    </a:stretch>
                  </pic:blipFill>
                  <pic:spPr>
                    <a:xfrm>
                      <a:off x="0" y="0"/>
                      <a:ext cx="5731510" cy="2858770"/>
                    </a:xfrm>
                    <a:prstGeom prst="rect">
                      <a:avLst/>
                    </a:prstGeom>
                  </pic:spPr>
                </pic:pic>
              </a:graphicData>
            </a:graphic>
          </wp:inline>
        </w:drawing>
      </w:r>
    </w:p>
    <w:p w14:paraId="1AF5883F" w14:textId="12682A9E" w:rsidR="00D95336" w:rsidRPr="00221992" w:rsidRDefault="00D95336" w:rsidP="00533CF1">
      <w:pPr>
        <w:pStyle w:val="TableNotes"/>
        <w:rPr>
          <w:lang w:val="en-GB"/>
        </w:rPr>
      </w:pPr>
      <w:r w:rsidRPr="00221992">
        <w:rPr>
          <w:lang w:val="en-GB"/>
        </w:rPr>
        <w:t>Source:</w:t>
      </w:r>
      <w:r w:rsidR="0000136F" w:rsidRPr="00221992">
        <w:rPr>
          <w:lang w:val="en-GB"/>
        </w:rPr>
        <w:tab/>
      </w:r>
      <w:r w:rsidRPr="00221992">
        <w:rPr>
          <w:lang w:val="en-GB"/>
        </w:rPr>
        <w:t>Exhibit 1, p. 2, Sarnak et al. (2017)</w:t>
      </w:r>
      <w:r w:rsidRPr="00221992">
        <w:rPr>
          <w:lang w:val="en-GB"/>
        </w:rPr>
        <w:fldChar w:fldCharType="begin"/>
      </w:r>
      <w:r w:rsidR="009138A2" w:rsidRPr="00221992">
        <w:rPr>
          <w:lang w:val="en-GB"/>
        </w:rPr>
        <w:instrText xml:space="preserve"> ADDIN EN.CITE &lt;EndNote&gt;&lt;Cite Hidden="1"&gt;&lt;Author&gt;Dana Sarnak&lt;/Author&gt;&lt;Year&gt;2017&lt;/Year&gt;&lt;RecNum&gt;624&lt;/RecNum&gt;&lt;record&gt;&lt;rec-number&gt;624&lt;/rec-number&gt;&lt;foreign-keys&gt;&lt;key app="EN" db-id="wzwwsfxe4peesxef95cxvrwjxts9rreasarf" timestamp="1693186424"&gt;624&lt;/key&gt;&lt;/foreign-keys&gt;&lt;ref-type name="Report"&gt;27&lt;/ref-type&gt;&lt;contributors&gt;&lt;authors&gt;&lt;author&gt;Dana Sarnak, David Squires, Greg Kuzmak, Shawn Bishop&lt;/author&gt;&lt;/authors&gt;&lt;/contributors&gt;&lt;titles&gt;&lt;title&gt;Paying for Prescription Drugs Around the World: Why Is the U.S. an Outlier?&lt;/title&gt;&lt;/titles&gt;&lt;dates&gt;&lt;year&gt;2017&lt;/year&gt;&lt;/dates&gt;&lt;pub-location&gt;https://www.commonwealthfund.org/&lt;/pub-location&gt;&lt;publisher&gt;The Commonwealth Fund&lt;/publisher&gt;&lt;urls&gt;&lt;related-urls&gt;&lt;url&gt;https://www.commonwealthfund.org/sites/default/files/documents/___media_files_publications_issue_brief_2017_oct_sarnak_paying_for_rx_ib_v2.pdf&lt;/url&gt;&lt;/related-urls&gt;&lt;/urls&gt;&lt;/record&gt;&lt;/Cite&gt;&lt;/EndNote&gt;</w:instrText>
      </w:r>
      <w:r w:rsidRPr="00221992">
        <w:rPr>
          <w:lang w:val="en-GB"/>
        </w:rPr>
        <w:fldChar w:fldCharType="end"/>
      </w:r>
    </w:p>
    <w:p w14:paraId="76080A47" w14:textId="648E9A79" w:rsidR="00D95336" w:rsidRPr="00221992" w:rsidRDefault="00D95336" w:rsidP="00533CF1">
      <w:pPr>
        <w:pStyle w:val="TableNotes"/>
        <w:rPr>
          <w:lang w:val="en-GB"/>
        </w:rPr>
      </w:pPr>
      <w:r w:rsidRPr="00221992">
        <w:rPr>
          <w:lang w:val="en-GB"/>
        </w:rPr>
        <w:t>Notes:</w:t>
      </w:r>
      <w:r w:rsidR="0000136F" w:rsidRPr="00221992">
        <w:rPr>
          <w:lang w:val="en-GB"/>
        </w:rPr>
        <w:tab/>
      </w:r>
      <w:r w:rsidRPr="00221992">
        <w:rPr>
          <w:lang w:val="en-GB"/>
        </w:rPr>
        <w:t xml:space="preserve">Final expenditure on pharmaceuticals includes wholesale and retail margins and value-added tax. Total pharmaceutical spending refers in most countries to </w:t>
      </w:r>
      <w:r w:rsidR="00551786">
        <w:rPr>
          <w:lang w:val="en-GB"/>
        </w:rPr>
        <w:t>‘</w:t>
      </w:r>
      <w:r w:rsidRPr="00221992">
        <w:rPr>
          <w:lang w:val="en-GB"/>
        </w:rPr>
        <w:t>net</w:t>
      </w:r>
      <w:r w:rsidR="00551786">
        <w:rPr>
          <w:lang w:val="en-GB"/>
        </w:rPr>
        <w:t>’</w:t>
      </w:r>
      <w:r w:rsidRPr="00221992">
        <w:rPr>
          <w:lang w:val="en-GB"/>
        </w:rPr>
        <w:t xml:space="preserve"> spending, i.e., </w:t>
      </w:r>
      <w:r w:rsidR="00497485">
        <w:rPr>
          <w:lang w:val="en-GB"/>
        </w:rPr>
        <w:t xml:space="preserve">spending </w:t>
      </w:r>
      <w:r w:rsidRPr="00221992">
        <w:rPr>
          <w:lang w:val="en-GB"/>
        </w:rPr>
        <w:t xml:space="preserve">adjusted for possible rebates payable by manufacturers, wholesalers or pharmacies. Data from all countries include only the portion spent on retail prescription medications, except for the Netherlands and the </w:t>
      </w:r>
      <w:r w:rsidR="00497485">
        <w:rPr>
          <w:lang w:val="en-GB"/>
        </w:rPr>
        <w:t>UK</w:t>
      </w:r>
      <w:r w:rsidRPr="00221992">
        <w:rPr>
          <w:lang w:val="en-GB"/>
        </w:rPr>
        <w:t>, where spending on pharmaceuticals includes prescribed medicines, over-the-counter medications, and other medical nondurable goods. Pharmaceuticals consumed in hospitals and other health care settings are excluded.</w:t>
      </w:r>
    </w:p>
    <w:p w14:paraId="2766103E" w14:textId="2BAC7433" w:rsidR="0000136F" w:rsidRPr="00221992" w:rsidRDefault="0000136F" w:rsidP="001721AB">
      <w:pPr>
        <w:pStyle w:val="Caption"/>
        <w:rPr>
          <w:lang w:val="en-GB"/>
        </w:rPr>
      </w:pPr>
      <w:bookmarkStart w:id="93" w:name="_Ref143593075"/>
      <w:bookmarkStart w:id="94" w:name="_Toc162950922"/>
      <w:r w:rsidRPr="00221992">
        <w:rPr>
          <w:lang w:val="en-GB"/>
        </w:rPr>
        <w:t xml:space="preserve">Figure </w:t>
      </w:r>
      <w:r w:rsidR="003F72DF" w:rsidRPr="00221992">
        <w:rPr>
          <w:lang w:val="en-GB"/>
        </w:rPr>
        <w:fldChar w:fldCharType="begin"/>
      </w:r>
      <w:r w:rsidR="003F72DF" w:rsidRPr="00221992">
        <w:rPr>
          <w:lang w:val="en-GB"/>
        </w:rPr>
        <w:instrText xml:space="preserve"> SEQ Figure \* ARABIC </w:instrText>
      </w:r>
      <w:r w:rsidR="003F72DF" w:rsidRPr="00221992">
        <w:rPr>
          <w:lang w:val="en-GB"/>
        </w:rPr>
        <w:fldChar w:fldCharType="separate"/>
      </w:r>
      <w:r w:rsidR="000E11E7">
        <w:rPr>
          <w:noProof/>
          <w:lang w:val="en-GB"/>
        </w:rPr>
        <w:t>15</w:t>
      </w:r>
      <w:r w:rsidR="003F72DF" w:rsidRPr="00221992">
        <w:rPr>
          <w:noProof/>
          <w:lang w:val="en-GB"/>
        </w:rPr>
        <w:fldChar w:fldCharType="end"/>
      </w:r>
      <w:bookmarkEnd w:id="93"/>
      <w:r w:rsidRPr="00221992">
        <w:rPr>
          <w:lang w:val="en-GB"/>
        </w:rPr>
        <w:t xml:space="preserve">. Retail </w:t>
      </w:r>
      <w:r w:rsidR="008C5E74">
        <w:rPr>
          <w:lang w:val="en-GB"/>
        </w:rPr>
        <w:t>p</w:t>
      </w:r>
      <w:r w:rsidRPr="00221992">
        <w:rPr>
          <w:lang w:val="en-GB"/>
        </w:rPr>
        <w:t xml:space="preserve">harmaceutical </w:t>
      </w:r>
      <w:r w:rsidR="008C5E74">
        <w:rPr>
          <w:lang w:val="en-GB"/>
        </w:rPr>
        <w:t>s</w:t>
      </w:r>
      <w:r w:rsidRPr="00221992">
        <w:rPr>
          <w:lang w:val="en-GB"/>
        </w:rPr>
        <w:t>pending (2015)</w:t>
      </w:r>
      <w:bookmarkEnd w:id="94"/>
    </w:p>
    <w:p w14:paraId="2D7F32D1" w14:textId="77777777" w:rsidR="00D95336" w:rsidRPr="00221992" w:rsidRDefault="00D95336" w:rsidP="00702C58">
      <w:pPr>
        <w:rPr>
          <w:lang w:val="en-GB"/>
        </w:rPr>
      </w:pPr>
      <w:r w:rsidRPr="00221992">
        <w:rPr>
          <w:noProof/>
          <w:lang w:val="en-GB"/>
        </w:rPr>
        <w:drawing>
          <wp:inline distT="0" distB="0" distL="0" distR="0" wp14:anchorId="74A21B6C" wp14:editId="601F5D96">
            <wp:extent cx="5731510" cy="2618740"/>
            <wp:effectExtent l="0" t="0" r="0" b="0"/>
            <wp:docPr id="1644877456" name="Picture 1644877456" descr="two graphs of the retail pharmaceutical spending 2015. one graph of the retail Rx spending per capita. one graph of the retail Rx spending as percent of national health expendItur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4877456"/>
                    <pic:cNvPicPr/>
                  </pic:nvPicPr>
                  <pic:blipFill>
                    <a:blip r:embed="rId33">
                      <a:extLst>
                        <a:ext uri="{28A0092B-C50C-407E-A947-70E740481C1C}">
                          <a14:useLocalDpi xmlns:a14="http://schemas.microsoft.com/office/drawing/2010/main" val="0"/>
                        </a:ext>
                      </a:extLst>
                    </a:blip>
                    <a:stretch>
                      <a:fillRect/>
                    </a:stretch>
                  </pic:blipFill>
                  <pic:spPr>
                    <a:xfrm>
                      <a:off x="0" y="0"/>
                      <a:ext cx="5731510" cy="2618740"/>
                    </a:xfrm>
                    <a:prstGeom prst="rect">
                      <a:avLst/>
                    </a:prstGeom>
                  </pic:spPr>
                </pic:pic>
              </a:graphicData>
            </a:graphic>
          </wp:inline>
        </w:drawing>
      </w:r>
    </w:p>
    <w:p w14:paraId="777BC034" w14:textId="00273791" w:rsidR="00D95336" w:rsidRPr="00221992" w:rsidRDefault="00D95336" w:rsidP="00533CF1">
      <w:pPr>
        <w:pStyle w:val="TableNotes"/>
        <w:rPr>
          <w:noProof/>
          <w:sz w:val="24"/>
          <w:szCs w:val="24"/>
          <w:lang w:val="en-GB"/>
        </w:rPr>
      </w:pPr>
      <w:r w:rsidRPr="00221992">
        <w:rPr>
          <w:lang w:val="en-GB"/>
        </w:rPr>
        <w:t xml:space="preserve">Source: </w:t>
      </w:r>
      <w:r w:rsidR="0000136F" w:rsidRPr="00221992">
        <w:rPr>
          <w:lang w:val="en-GB"/>
        </w:rPr>
        <w:tab/>
      </w:r>
      <w:r w:rsidRPr="00221992">
        <w:rPr>
          <w:lang w:val="en-GB"/>
        </w:rPr>
        <w:t>Exhibit 2, p. 3, Sarnak et al. (2017)</w:t>
      </w:r>
      <w:r w:rsidRPr="00221992">
        <w:rPr>
          <w:lang w:val="en-GB"/>
        </w:rPr>
        <w:fldChar w:fldCharType="begin"/>
      </w:r>
      <w:r w:rsidR="00231D06" w:rsidRPr="00221992">
        <w:rPr>
          <w:lang w:val="en-GB"/>
        </w:rPr>
        <w:instrText xml:space="preserve"> ADDIN EN.CITE &lt;EndNote&gt;&lt;Cite Hidden="1"&gt;&lt;Author&gt;Dana Sarnak&lt;/Author&gt;&lt;Year&gt;2017&lt;/Year&gt;&lt;RecNum&gt;624&lt;/RecNum&gt;&lt;record&gt;&lt;rec-number&gt;624&lt;/rec-number&gt;&lt;foreign-keys&gt;&lt;key app="EN" db-id="wzwwsfxe4peesxef95cxvrwjxts9rreasarf" timestamp="1693186424"&gt;624&lt;/key&gt;&lt;/foreign-keys&gt;&lt;ref-type name="Report"&gt;27&lt;/ref-type&gt;&lt;contributors&gt;&lt;authors&gt;&lt;author&gt;Dana Sarnak, David Squires, Greg Kuzmak, Shawn Bishop&lt;/author&gt;&lt;/authors&gt;&lt;/contributors&gt;&lt;titles&gt;&lt;title&gt;Paying for Prescription Drugs Around the World: Why Is the U.S. an Outlier?&lt;/title&gt;&lt;/titles&gt;&lt;dates&gt;&lt;year&gt;2017&lt;/year&gt;&lt;/dates&gt;&lt;pub-location&gt;https://www.commonwealthfund.org/&lt;/pub-location&gt;&lt;publisher&gt;The Commonwealth Fund&lt;/publisher&gt;&lt;urls&gt;&lt;related-urls&gt;&lt;url&gt;https://www.commonwealthfund.org/sites/default/files/documents/___media_files_publications_issue_brief_2017_oct_sarnak_paying_for_rx_ib_v2.pdf&lt;/url&gt;&lt;/related-urls&gt;&lt;/urls&gt;&lt;/record&gt;&lt;/Cite&gt;&lt;/EndNote&gt;</w:instrText>
      </w:r>
      <w:r w:rsidRPr="00221992">
        <w:rPr>
          <w:lang w:val="en-GB"/>
        </w:rPr>
        <w:fldChar w:fldCharType="end"/>
      </w:r>
    </w:p>
    <w:p w14:paraId="7349C0F2" w14:textId="29270086" w:rsidR="00D95336" w:rsidRPr="00221992" w:rsidRDefault="00D95336" w:rsidP="00533CF1">
      <w:pPr>
        <w:pStyle w:val="TableNotes"/>
        <w:rPr>
          <w:noProof/>
          <w:sz w:val="24"/>
          <w:szCs w:val="24"/>
          <w:lang w:val="en-GB"/>
        </w:rPr>
      </w:pPr>
      <w:r w:rsidRPr="00221992">
        <w:rPr>
          <w:lang w:val="en-GB"/>
        </w:rPr>
        <w:t xml:space="preserve">Note: </w:t>
      </w:r>
      <w:r w:rsidR="0000136F" w:rsidRPr="00221992">
        <w:rPr>
          <w:lang w:val="en-GB"/>
        </w:rPr>
        <w:tab/>
      </w:r>
      <w:r w:rsidRPr="00221992">
        <w:rPr>
          <w:lang w:val="en-GB"/>
        </w:rPr>
        <w:t xml:space="preserve">Final expenditure on pharmaceuticals includes wholesale and retail margins and value-added tax. Total pharmaceutical spending refers in most countries to </w:t>
      </w:r>
      <w:r w:rsidR="00551786">
        <w:rPr>
          <w:lang w:val="en-GB"/>
        </w:rPr>
        <w:t>‘</w:t>
      </w:r>
      <w:r w:rsidRPr="00221992">
        <w:rPr>
          <w:lang w:val="en-GB"/>
        </w:rPr>
        <w:t>net</w:t>
      </w:r>
      <w:r w:rsidR="00551786">
        <w:rPr>
          <w:lang w:val="en-GB"/>
        </w:rPr>
        <w:t>’</w:t>
      </w:r>
      <w:r w:rsidRPr="00221992">
        <w:rPr>
          <w:lang w:val="en-GB"/>
        </w:rPr>
        <w:t xml:space="preserve"> spending, i.e., </w:t>
      </w:r>
      <w:r w:rsidR="002C308E">
        <w:rPr>
          <w:lang w:val="en-GB"/>
        </w:rPr>
        <w:t xml:space="preserve">spending </w:t>
      </w:r>
      <w:r w:rsidRPr="00221992">
        <w:rPr>
          <w:lang w:val="en-GB"/>
        </w:rPr>
        <w:t>adjusted for possible rebates payable by manufacturers, wholesalers or pharmacies. Data from all countries include only the portion spent on retail</w:t>
      </w:r>
      <w:r w:rsidR="003A1087" w:rsidRPr="00221992">
        <w:rPr>
          <w:lang w:val="en-GB"/>
        </w:rPr>
        <w:t xml:space="preserve"> </w:t>
      </w:r>
      <w:r w:rsidRPr="00221992">
        <w:rPr>
          <w:lang w:val="en-GB"/>
        </w:rPr>
        <w:t xml:space="preserve">prescription medications, except for the Netherlands and the </w:t>
      </w:r>
      <w:r w:rsidR="002C308E">
        <w:rPr>
          <w:lang w:val="en-GB"/>
        </w:rPr>
        <w:t>UK</w:t>
      </w:r>
      <w:r w:rsidRPr="00221992">
        <w:rPr>
          <w:lang w:val="en-GB"/>
        </w:rPr>
        <w:t>, where spending on</w:t>
      </w:r>
      <w:r w:rsidR="003A1087" w:rsidRPr="00221992">
        <w:rPr>
          <w:lang w:val="en-GB"/>
        </w:rPr>
        <w:t xml:space="preserve"> </w:t>
      </w:r>
      <w:r w:rsidRPr="00221992">
        <w:rPr>
          <w:lang w:val="en-GB"/>
        </w:rPr>
        <w:t>pharmaceuticals includes prescribed medicines, over-the-counter medications, and other medical nondurable</w:t>
      </w:r>
      <w:r w:rsidR="003A1087" w:rsidRPr="00221992">
        <w:rPr>
          <w:lang w:val="en-GB"/>
        </w:rPr>
        <w:t xml:space="preserve"> </w:t>
      </w:r>
      <w:r w:rsidRPr="00221992">
        <w:rPr>
          <w:lang w:val="en-GB"/>
        </w:rPr>
        <w:t>goods. Pharmaceuticals consumed in hospitals and other health care settings are excluded. All health care</w:t>
      </w:r>
      <w:r w:rsidR="003A1087" w:rsidRPr="00221992">
        <w:rPr>
          <w:lang w:val="en-GB"/>
        </w:rPr>
        <w:t xml:space="preserve"> </w:t>
      </w:r>
      <w:r w:rsidRPr="00221992">
        <w:rPr>
          <w:lang w:val="en-GB"/>
        </w:rPr>
        <w:t>spending estimates exclude capital formation.</w:t>
      </w:r>
      <w:r w:rsidRPr="00221992">
        <w:rPr>
          <w:lang w:val="en-GB"/>
        </w:rPr>
        <w:br/>
      </w:r>
    </w:p>
    <w:p w14:paraId="3BD1102B" w14:textId="14559A05" w:rsidR="0000136F" w:rsidRPr="00221992" w:rsidRDefault="0000136F" w:rsidP="001721AB">
      <w:pPr>
        <w:pStyle w:val="Caption"/>
        <w:rPr>
          <w:lang w:val="en-GB"/>
        </w:rPr>
      </w:pPr>
      <w:bookmarkStart w:id="95" w:name="_Ref143593084"/>
      <w:bookmarkStart w:id="96" w:name="_Toc162950923"/>
      <w:r w:rsidRPr="00221992">
        <w:rPr>
          <w:lang w:val="en-GB"/>
        </w:rPr>
        <w:t xml:space="preserve">Figure </w:t>
      </w:r>
      <w:r w:rsidR="003F72DF" w:rsidRPr="00221992">
        <w:rPr>
          <w:lang w:val="en-GB"/>
        </w:rPr>
        <w:fldChar w:fldCharType="begin"/>
      </w:r>
      <w:r w:rsidR="003F72DF" w:rsidRPr="00221992">
        <w:rPr>
          <w:lang w:val="en-GB"/>
        </w:rPr>
        <w:instrText xml:space="preserve"> SEQ Figure \* ARABIC </w:instrText>
      </w:r>
      <w:r w:rsidR="003F72DF" w:rsidRPr="00221992">
        <w:rPr>
          <w:lang w:val="en-GB"/>
        </w:rPr>
        <w:fldChar w:fldCharType="separate"/>
      </w:r>
      <w:r w:rsidR="000E11E7">
        <w:rPr>
          <w:noProof/>
          <w:lang w:val="en-GB"/>
        </w:rPr>
        <w:t>16</w:t>
      </w:r>
      <w:r w:rsidR="003F72DF" w:rsidRPr="00221992">
        <w:rPr>
          <w:noProof/>
          <w:lang w:val="en-GB"/>
        </w:rPr>
        <w:fldChar w:fldCharType="end"/>
      </w:r>
      <w:bookmarkEnd w:id="95"/>
      <w:r w:rsidRPr="00221992">
        <w:rPr>
          <w:lang w:val="en-GB"/>
        </w:rPr>
        <w:t>. Per</w:t>
      </w:r>
      <w:r w:rsidR="002C308E">
        <w:rPr>
          <w:lang w:val="en-GB"/>
        </w:rPr>
        <w:t>-</w:t>
      </w:r>
      <w:r w:rsidRPr="00221992">
        <w:rPr>
          <w:lang w:val="en-GB"/>
        </w:rPr>
        <w:t>capita spending on prescribed medicines by financing scheme (2019 or latest)</w:t>
      </w:r>
      <w:bookmarkEnd w:id="96"/>
    </w:p>
    <w:p w14:paraId="6F7C078F" w14:textId="77777777" w:rsidR="00D95336" w:rsidRPr="00221992" w:rsidRDefault="00D95336" w:rsidP="00702C58">
      <w:pPr>
        <w:rPr>
          <w:lang w:val="en-GB"/>
        </w:rPr>
      </w:pPr>
      <w:r w:rsidRPr="00221992">
        <w:rPr>
          <w:noProof/>
          <w:lang w:val="en-GB"/>
        </w:rPr>
        <w:drawing>
          <wp:inline distT="0" distB="0" distL="0" distR="0" wp14:anchorId="30049F24" wp14:editId="5EAC6AFA">
            <wp:extent cx="5731510" cy="1854835"/>
            <wp:effectExtent l="0" t="0" r="0" b="0"/>
            <wp:docPr id="963740109" name="Picture 963740109" descr="a graph of the Per capita spending on prescribed medicines by financing scheme (2019 or lates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3740109"/>
                    <pic:cNvPicPr/>
                  </pic:nvPicPr>
                  <pic:blipFill>
                    <a:blip r:embed="rId34">
                      <a:extLst>
                        <a:ext uri="{28A0092B-C50C-407E-A947-70E740481C1C}">
                          <a14:useLocalDpi xmlns:a14="http://schemas.microsoft.com/office/drawing/2010/main" val="0"/>
                        </a:ext>
                      </a:extLst>
                    </a:blip>
                    <a:stretch>
                      <a:fillRect/>
                    </a:stretch>
                  </pic:blipFill>
                  <pic:spPr>
                    <a:xfrm>
                      <a:off x="0" y="0"/>
                      <a:ext cx="5731510" cy="1854835"/>
                    </a:xfrm>
                    <a:prstGeom prst="rect">
                      <a:avLst/>
                    </a:prstGeom>
                  </pic:spPr>
                </pic:pic>
              </a:graphicData>
            </a:graphic>
          </wp:inline>
        </w:drawing>
      </w:r>
    </w:p>
    <w:p w14:paraId="38A2E4EC" w14:textId="10E69A08" w:rsidR="003A1087" w:rsidRPr="00221992" w:rsidRDefault="00D95336" w:rsidP="00533CF1">
      <w:pPr>
        <w:pStyle w:val="TableNotes"/>
        <w:rPr>
          <w:lang w:val="en-GB"/>
        </w:rPr>
      </w:pPr>
      <w:r w:rsidRPr="00221992">
        <w:rPr>
          <w:lang w:val="en-GB"/>
        </w:rPr>
        <w:t xml:space="preserve">Source: </w:t>
      </w:r>
      <w:r w:rsidR="0000136F" w:rsidRPr="00221992">
        <w:rPr>
          <w:lang w:val="en-GB"/>
        </w:rPr>
        <w:tab/>
      </w:r>
      <w:r w:rsidRPr="00221992">
        <w:rPr>
          <w:lang w:val="en-GB"/>
        </w:rPr>
        <w:t>Kurani et al. (2022)</w:t>
      </w:r>
      <w:r w:rsidR="0041150D" w:rsidRPr="00221992">
        <w:rPr>
          <w:lang w:val="en-GB"/>
        </w:rPr>
        <w:t xml:space="preserve"> </w:t>
      </w:r>
      <w:r w:rsidR="0041150D" w:rsidRPr="00221992">
        <w:rPr>
          <w:lang w:val="en-GB"/>
        </w:rPr>
        <w:fldChar w:fldCharType="begin"/>
      </w:r>
      <w:r w:rsidR="00A52F3B" w:rsidRPr="00221992">
        <w:rPr>
          <w:lang w:val="en-GB"/>
        </w:rPr>
        <w:instrText xml:space="preserve"> ADDIN EN.CITE &lt;EndNote&gt;&lt;Cite Hidden="1"&gt;&lt;Author&gt;Kurani&lt;/Author&gt;&lt;Year&gt;2022&lt;/Year&gt;&lt;RecNum&gt;617&lt;/RecNum&gt;&lt;record&gt;&lt;rec-number&gt;617&lt;/rec-number&gt;&lt;foreign-keys&gt;&lt;key app="EN" db-id="wzwwsfxe4peesxef95cxvrwjxts9rreasarf" timestamp="1692763542"&gt;617&lt;/key&gt;&lt;/foreign-keys&gt;&lt;ref-type name="Web Page"&gt;12&lt;/ref-type&gt;&lt;contributors&gt;&lt;authors&gt;&lt;author&gt;Kurani, N.&lt;/author&gt;&lt;author&gt;Cotliar, D.&lt;/author&gt;&lt;author&gt;Cox, C.&lt;/author&gt;&lt;/authors&gt;&lt;/contributors&gt;&lt;titles&gt;&lt;title&gt;How do prescription drug costs in the United States compare to other countries?&lt;/title&gt;&lt;/titles&gt;&lt;number&gt;23 August 2023&lt;/number&gt;&lt;dates&gt;&lt;year&gt;2022&lt;/year&gt;&lt;/dates&gt;&lt;publisher&gt;Peterson-KFF&lt;/publisher&gt;&lt;urls&gt;&lt;related-urls&gt;&lt;url&gt;https://www.healthsystemtracker.org/chart-collection/how-do-prescription-drug-costs-in-the-united-states-compare-to-other-countries/#Per%20capita%20prescribed%20medicine%20spending,%20U.S.%20dollars,%202004-2019&lt;/url&gt;&lt;/related-urls&gt;&lt;/urls&gt;&lt;/record&gt;&lt;/Cite&gt;&lt;/EndNote&gt;</w:instrText>
      </w:r>
      <w:r w:rsidR="0041150D" w:rsidRPr="00221992">
        <w:rPr>
          <w:lang w:val="en-GB"/>
        </w:rPr>
        <w:fldChar w:fldCharType="end"/>
      </w:r>
    </w:p>
    <w:p w14:paraId="7B4434C2" w14:textId="2BB14927" w:rsidR="00801B6E" w:rsidRPr="00221992" w:rsidRDefault="00D95336" w:rsidP="000C66C0">
      <w:pPr>
        <w:pStyle w:val="TableNotes"/>
        <w:rPr>
          <w:rFonts w:eastAsia="Times New Roman" w:cs="Arial"/>
          <w:color w:val="0F4BEB" w:themeColor="accent1"/>
          <w:sz w:val="30"/>
          <w:szCs w:val="28"/>
          <w:lang w:val="en-GB"/>
        </w:rPr>
      </w:pPr>
      <w:r w:rsidRPr="00221992">
        <w:rPr>
          <w:lang w:val="en-GB"/>
        </w:rPr>
        <w:t>Note</w:t>
      </w:r>
      <w:r w:rsidR="003E7867" w:rsidRPr="00221992">
        <w:rPr>
          <w:lang w:val="en-GB"/>
        </w:rPr>
        <w:t>s</w:t>
      </w:r>
      <w:r w:rsidRPr="00221992">
        <w:rPr>
          <w:lang w:val="en-GB"/>
        </w:rPr>
        <w:t xml:space="preserve">: </w:t>
      </w:r>
      <w:r w:rsidR="0000136F" w:rsidRPr="00221992">
        <w:rPr>
          <w:lang w:val="en-GB"/>
        </w:rPr>
        <w:tab/>
        <w:t xml:space="preserve">Amounts reported in USD$. </w:t>
      </w:r>
      <w:r w:rsidRPr="00221992">
        <w:rPr>
          <w:lang w:val="en-GB"/>
        </w:rPr>
        <w:t>Data for Australia and Japan are from 2018.</w:t>
      </w:r>
      <w:bookmarkStart w:id="97" w:name="_Ref143764682"/>
    </w:p>
    <w:tbl>
      <w:tblPr>
        <w:tblStyle w:val="GridTable4-Accent39"/>
        <w:tblW w:w="0" w:type="auto"/>
        <w:tblBorders>
          <w:top w:val="single" w:sz="12" w:space="0" w:color="4472C4"/>
          <w:left w:val="single" w:sz="12" w:space="0" w:color="4472C4"/>
          <w:bottom w:val="single" w:sz="12" w:space="0" w:color="4472C4"/>
          <w:right w:val="single" w:sz="12" w:space="0" w:color="4472C4"/>
          <w:insideH w:val="none" w:sz="0" w:space="0" w:color="auto"/>
          <w:insideV w:val="single" w:sz="4" w:space="0" w:color="A5A5A5"/>
        </w:tblBorders>
        <w:tblLook w:val="04A0" w:firstRow="1" w:lastRow="0" w:firstColumn="1" w:lastColumn="0" w:noHBand="0" w:noVBand="1"/>
      </w:tblPr>
      <w:tblGrid>
        <w:gridCol w:w="8474"/>
      </w:tblGrid>
      <w:tr w:rsidR="00801B6E" w:rsidRPr="00B23E25" w14:paraId="28DDEE02"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74" w:type="dxa"/>
            <w:tcBorders>
              <w:top w:val="single" w:sz="12" w:space="0" w:color="0F4BEB" w:themeColor="accent1"/>
              <w:left w:val="single" w:sz="12" w:space="0" w:color="0F4BEB" w:themeColor="accent1"/>
              <w:bottom w:val="nil"/>
              <w:right w:val="single" w:sz="12" w:space="0" w:color="0F4BEB" w:themeColor="accent1"/>
            </w:tcBorders>
          </w:tcPr>
          <w:p w14:paraId="02A902D2" w14:textId="3ECA1274" w:rsidR="00801B6E" w:rsidRPr="00944857" w:rsidRDefault="00801B6E">
            <w:pPr>
              <w:spacing w:after="0" w:line="240" w:lineRule="auto"/>
              <w:jc w:val="center"/>
              <w:rPr>
                <w:rFonts w:ascii="Calibri" w:eastAsia="Calibri" w:hAnsi="Calibri"/>
                <w:sz w:val="22"/>
                <w:szCs w:val="22"/>
                <w:lang w:eastAsia="en-US"/>
              </w:rPr>
            </w:pPr>
            <w:r w:rsidRPr="00944857">
              <w:rPr>
                <w:rFonts w:ascii="Calibri" w:eastAsia="Calibri" w:hAnsi="Calibri"/>
                <w:sz w:val="22"/>
                <w:szCs w:val="22"/>
                <w:lang w:eastAsia="en-US"/>
              </w:rPr>
              <w:t>Why this matters</w:t>
            </w:r>
          </w:p>
        </w:tc>
      </w:tr>
      <w:tr w:rsidR="00801B6E" w:rsidRPr="00B23E25" w14:paraId="56FC46BC"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74" w:type="dxa"/>
            <w:tcBorders>
              <w:top w:val="nil"/>
              <w:bottom w:val="single" w:sz="12" w:space="0" w:color="4472C4"/>
            </w:tcBorders>
          </w:tcPr>
          <w:p w14:paraId="7CCCC707" w14:textId="47242B0C" w:rsidR="00801B6E" w:rsidRPr="009952E8" w:rsidRDefault="00801B6E">
            <w:pPr>
              <w:spacing w:after="0" w:line="240" w:lineRule="auto"/>
              <w:rPr>
                <w:rFonts w:eastAsia="Calibri" w:cs="Calibri Light"/>
                <w:szCs w:val="22"/>
                <w:lang w:eastAsia="en-US"/>
              </w:rPr>
            </w:pPr>
            <w:r w:rsidRPr="00944857">
              <w:rPr>
                <w:rFonts w:eastAsia="Calibri" w:cs="Calibri Light"/>
                <w:b w:val="0"/>
                <w:bCs w:val="0"/>
                <w:sz w:val="22"/>
                <w:szCs w:val="22"/>
                <w:lang w:eastAsia="en-US"/>
              </w:rPr>
              <w:t xml:space="preserve">The approach to HTA </w:t>
            </w:r>
            <w:r w:rsidR="00FA5877" w:rsidRPr="00944857">
              <w:rPr>
                <w:rFonts w:eastAsia="Calibri" w:cs="Calibri Light"/>
                <w:b w:val="0"/>
                <w:bCs w:val="0"/>
                <w:sz w:val="22"/>
                <w:szCs w:val="22"/>
                <w:lang w:eastAsia="en-US"/>
              </w:rPr>
              <w:t>and pricing for new pharmaceutical treatments</w:t>
            </w:r>
            <w:r w:rsidRPr="00944857">
              <w:rPr>
                <w:rFonts w:eastAsia="Calibri" w:cs="Calibri Light"/>
                <w:b w:val="0"/>
                <w:bCs w:val="0"/>
                <w:sz w:val="22"/>
                <w:szCs w:val="22"/>
                <w:lang w:eastAsia="en-US"/>
              </w:rPr>
              <w:t xml:space="preserve"> employed by Germany and Japan are distinct </w:t>
            </w:r>
            <w:r w:rsidR="001D317D">
              <w:rPr>
                <w:rFonts w:eastAsia="Calibri" w:cs="Calibri Light"/>
                <w:b w:val="0"/>
                <w:bCs w:val="0"/>
                <w:sz w:val="22"/>
                <w:szCs w:val="22"/>
                <w:lang w:eastAsia="en-US"/>
              </w:rPr>
              <w:t>from</w:t>
            </w:r>
            <w:r w:rsidRPr="00944857">
              <w:rPr>
                <w:rFonts w:eastAsia="Calibri" w:cs="Calibri Light"/>
                <w:b w:val="0"/>
                <w:bCs w:val="0"/>
                <w:sz w:val="22"/>
                <w:szCs w:val="22"/>
                <w:lang w:eastAsia="en-US"/>
              </w:rPr>
              <w:t xml:space="preserve"> Australia and other peer countries. </w:t>
            </w:r>
            <w:r w:rsidR="003D2CA8" w:rsidRPr="00944857">
              <w:rPr>
                <w:rFonts w:eastAsia="Calibri" w:cs="Calibri Light"/>
                <w:b w:val="0"/>
                <w:bCs w:val="0"/>
                <w:sz w:val="22"/>
                <w:szCs w:val="22"/>
                <w:lang w:eastAsia="en-US"/>
              </w:rPr>
              <w:t xml:space="preserve">The German and Japanese systems </w:t>
            </w:r>
            <w:r w:rsidR="001B0D66" w:rsidRPr="00944857">
              <w:rPr>
                <w:rFonts w:eastAsia="Calibri" w:cs="Calibri Light"/>
                <w:b w:val="0"/>
                <w:bCs w:val="0"/>
                <w:sz w:val="22"/>
                <w:szCs w:val="22"/>
                <w:lang w:eastAsia="en-US"/>
              </w:rPr>
              <w:t>achieve</w:t>
            </w:r>
            <w:r w:rsidR="1BA9C591" w:rsidRPr="5658EAB1">
              <w:rPr>
                <w:rFonts w:eastAsia="Calibri" w:cs="Calibri Light"/>
                <w:b w:val="0"/>
                <w:bCs w:val="0"/>
                <w:sz w:val="22"/>
                <w:szCs w:val="22"/>
                <w:lang w:eastAsia="en-US"/>
              </w:rPr>
              <w:t xml:space="preserve"> </w:t>
            </w:r>
            <w:r w:rsidR="001B0D66" w:rsidRPr="00944857">
              <w:rPr>
                <w:rFonts w:eastAsia="Calibri" w:cs="Calibri Light"/>
                <w:b w:val="0"/>
                <w:bCs w:val="0"/>
                <w:sz w:val="22"/>
                <w:szCs w:val="22"/>
                <w:lang w:eastAsia="en-US"/>
              </w:rPr>
              <w:t>fast</w:t>
            </w:r>
            <w:r w:rsidR="001D317D">
              <w:rPr>
                <w:rFonts w:eastAsia="Calibri" w:cs="Calibri Light"/>
                <w:b w:val="0"/>
                <w:bCs w:val="0"/>
                <w:sz w:val="22"/>
                <w:szCs w:val="22"/>
                <w:lang w:eastAsia="en-US"/>
              </w:rPr>
              <w:t>er</w:t>
            </w:r>
            <w:r w:rsidRPr="00944857">
              <w:rPr>
                <w:rFonts w:eastAsia="Calibri" w:cs="Calibri Light"/>
                <w:b w:val="0"/>
                <w:bCs w:val="0"/>
                <w:sz w:val="22"/>
                <w:szCs w:val="22"/>
                <w:lang w:eastAsia="en-US"/>
              </w:rPr>
              <w:t xml:space="preserve"> access to new pharmaceutical treatments</w:t>
            </w:r>
            <w:r w:rsidR="3BADA386" w:rsidRPr="5658EAB1">
              <w:rPr>
                <w:rFonts w:eastAsia="Calibri" w:cs="Calibri Light"/>
                <w:b w:val="0"/>
                <w:bCs w:val="0"/>
                <w:sz w:val="22"/>
                <w:szCs w:val="22"/>
                <w:lang w:eastAsia="en-US"/>
              </w:rPr>
              <w:t xml:space="preserve"> but</w:t>
            </w:r>
            <w:r w:rsidRPr="00944857">
              <w:rPr>
                <w:rFonts w:eastAsia="Calibri" w:cs="Calibri Light"/>
                <w:b w:val="0"/>
                <w:bCs w:val="0"/>
                <w:sz w:val="22"/>
                <w:szCs w:val="22"/>
                <w:lang w:eastAsia="en-US"/>
              </w:rPr>
              <w:t xml:space="preserve"> </w:t>
            </w:r>
            <w:r w:rsidR="001D317D">
              <w:rPr>
                <w:rFonts w:eastAsia="Calibri" w:cs="Calibri Light"/>
                <w:b w:val="0"/>
                <w:bCs w:val="0"/>
                <w:sz w:val="22"/>
                <w:szCs w:val="22"/>
                <w:lang w:eastAsia="en-US"/>
              </w:rPr>
              <w:t>with</w:t>
            </w:r>
            <w:r w:rsidR="001D317D" w:rsidRPr="00944857">
              <w:rPr>
                <w:rFonts w:eastAsia="Calibri" w:cs="Calibri Light"/>
                <w:b w:val="0"/>
                <w:bCs w:val="0"/>
                <w:sz w:val="22"/>
                <w:szCs w:val="22"/>
                <w:lang w:eastAsia="en-US"/>
              </w:rPr>
              <w:t xml:space="preserve"> </w:t>
            </w:r>
            <w:r w:rsidR="001D317D">
              <w:rPr>
                <w:rFonts w:eastAsia="Calibri" w:cs="Calibri Light"/>
                <w:b w:val="0"/>
                <w:bCs w:val="0"/>
                <w:sz w:val="22"/>
                <w:szCs w:val="22"/>
                <w:lang w:eastAsia="en-US"/>
              </w:rPr>
              <w:t>higher</w:t>
            </w:r>
            <w:r w:rsidR="001D317D" w:rsidRPr="00944857">
              <w:rPr>
                <w:rFonts w:eastAsia="Calibri" w:cs="Calibri Light"/>
                <w:b w:val="0"/>
                <w:bCs w:val="0"/>
                <w:sz w:val="22"/>
                <w:szCs w:val="22"/>
                <w:lang w:eastAsia="en-US"/>
              </w:rPr>
              <w:t xml:space="preserve"> </w:t>
            </w:r>
            <w:r w:rsidRPr="00944857">
              <w:rPr>
                <w:rFonts w:eastAsia="Calibri" w:cs="Calibri Light"/>
                <w:b w:val="0"/>
                <w:bCs w:val="0"/>
                <w:sz w:val="22"/>
                <w:szCs w:val="22"/>
                <w:lang w:eastAsia="en-US"/>
              </w:rPr>
              <w:t>pric</w:t>
            </w:r>
            <w:r w:rsidR="001D317D">
              <w:rPr>
                <w:rFonts w:eastAsia="Calibri" w:cs="Calibri Light"/>
                <w:b w:val="0"/>
                <w:bCs w:val="0"/>
                <w:sz w:val="22"/>
                <w:szCs w:val="22"/>
                <w:lang w:eastAsia="en-US"/>
              </w:rPr>
              <w:t>es</w:t>
            </w:r>
            <w:r w:rsidRPr="00944857">
              <w:rPr>
                <w:rFonts w:eastAsia="Calibri" w:cs="Calibri Light"/>
                <w:b w:val="0"/>
                <w:bCs w:val="0"/>
                <w:sz w:val="22"/>
                <w:szCs w:val="22"/>
                <w:lang w:eastAsia="en-US"/>
              </w:rPr>
              <w:t>.</w:t>
            </w:r>
          </w:p>
        </w:tc>
      </w:tr>
    </w:tbl>
    <w:p w14:paraId="3E430DCA" w14:textId="4D88D487" w:rsidR="00EF4AB3" w:rsidRPr="00221992" w:rsidRDefault="00EF4AB3" w:rsidP="00146C04">
      <w:pPr>
        <w:pStyle w:val="NbrHeading2"/>
        <w:rPr>
          <w:lang w:val="en-GB"/>
        </w:rPr>
      </w:pPr>
      <w:bookmarkStart w:id="98" w:name="_Toc162950872"/>
      <w:r w:rsidRPr="00221992">
        <w:rPr>
          <w:lang w:val="en-GB"/>
        </w:rPr>
        <w:t>Co-dependent technologies</w:t>
      </w:r>
      <w:bookmarkEnd w:id="98"/>
    </w:p>
    <w:p w14:paraId="21C2AF11" w14:textId="03CA3ACD" w:rsidR="00760665" w:rsidRPr="00221992" w:rsidRDefault="00760665" w:rsidP="00760665">
      <w:pPr>
        <w:rPr>
          <w:lang w:val="en-GB"/>
        </w:rPr>
      </w:pPr>
      <w:r w:rsidRPr="00221992">
        <w:rPr>
          <w:lang w:val="en-GB"/>
        </w:rPr>
        <w:t xml:space="preserve">Co-dependent technologies, also commonly referred to as </w:t>
      </w:r>
      <w:r w:rsidR="00551786">
        <w:rPr>
          <w:lang w:val="en-GB"/>
        </w:rPr>
        <w:t>‘</w:t>
      </w:r>
      <w:r w:rsidRPr="00221992">
        <w:rPr>
          <w:lang w:val="en-GB"/>
        </w:rPr>
        <w:t>companion diagnostic</w:t>
      </w:r>
      <w:r w:rsidR="00551786">
        <w:rPr>
          <w:lang w:val="en-GB"/>
        </w:rPr>
        <w:t>’</w:t>
      </w:r>
      <w:r w:rsidRPr="00221992">
        <w:rPr>
          <w:lang w:val="en-GB"/>
        </w:rPr>
        <w:t xml:space="preserve"> technologies, are a form of precision medicine that involves matching patients, primarily through genetic profiling and the detection of predictive biomarkers, with treatments likely to produce the greatest clinical benefit. </w:t>
      </w:r>
    </w:p>
    <w:p w14:paraId="44C2F425" w14:textId="26B21842" w:rsidR="00760665" w:rsidRPr="00221992" w:rsidRDefault="00760665" w:rsidP="00760665">
      <w:pPr>
        <w:rPr>
          <w:lang w:val="en-GB"/>
        </w:rPr>
      </w:pPr>
      <w:r w:rsidRPr="00221992">
        <w:rPr>
          <w:lang w:val="en-GB"/>
        </w:rPr>
        <w:t xml:space="preserve">As precision therapies targeting ever smaller populations have advanced over the past decade, it has become increasingly difficult to demonstrate clinical added benefit over current standards of care, particularly for oncological treatments. The specification of co-dependent technologies, i.e., use of a companion diagnostic test to identify subgroups of patients who are more likely to benefit from treatment, has facilitated a more targeted estimation of cost-effectiveness. As described by </w:t>
      </w:r>
      <w:r w:rsidR="00CF595B" w:rsidRPr="00221992">
        <w:rPr>
          <w:lang w:val="en-GB"/>
        </w:rPr>
        <w:t xml:space="preserve">Aetna Chief of Staff in the Office of the Chief Medical Officer, Ira </w:t>
      </w:r>
      <w:r w:rsidRPr="00221992">
        <w:rPr>
          <w:lang w:val="en-GB"/>
        </w:rPr>
        <w:t xml:space="preserve">Klein </w:t>
      </w:r>
      <w:r w:rsidRPr="00221992">
        <w:rPr>
          <w:lang w:val="en-GB"/>
        </w:rPr>
        <w:fldChar w:fldCharType="begin">
          <w:fldData xml:space="preserve">PEVuZE5vdGU+PENpdGU+PEF1dGhvcj5Db253YXk8L0F1dGhvcj48WWVhcj4yMDEzPC9ZZWFyPjxS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</w:fldData>
        </w:fldChar>
      </w:r>
      <w:r w:rsidR="000F3524">
        <w:rPr>
          <w:lang w:val="en-GB"/>
        </w:rPr>
        <w:instrText xml:space="preserve"> ADDIN EN.CITE </w:instrText>
      </w:r>
      <w:r w:rsidR="000F3524">
        <w:rPr>
          <w:lang w:val="en-GB"/>
        </w:rPr>
        <w:fldChar w:fldCharType="begin">
          <w:fldData xml:space="preserve">PEVuZE5vdGU+PENpdGU+PEF1dGhvcj5Db253YXk8L0F1dGhvcj48WWVhcj4yMDEzPC9ZZWFyPjxS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</w:fldData>
        </w:fldChar>
      </w:r>
      <w:r w:rsidR="000F3524">
        <w:rPr>
          <w:lang w:val="en-GB"/>
        </w:rPr>
        <w:instrText xml:space="preserve"> ADDIN EN.CITE.DATA </w:instrText>
      </w:r>
      <w:r w:rsidR="000F3524">
        <w:rPr>
          <w:lang w:val="en-GB"/>
        </w:rPr>
      </w:r>
      <w:r w:rsidR="000F3524">
        <w:rPr>
          <w:lang w:val="en-GB"/>
        </w:rPr>
        <w:fldChar w:fldCharType="end"/>
      </w:r>
      <w:r w:rsidRPr="00221992">
        <w:rPr>
          <w:lang w:val="en-GB"/>
        </w:rPr>
      </w:r>
      <w:r w:rsidRPr="00221992">
        <w:rPr>
          <w:lang w:val="en-GB"/>
        </w:rPr>
        <w:fldChar w:fldCharType="separate"/>
      </w:r>
      <w:r w:rsidR="000F3524">
        <w:rPr>
          <w:noProof/>
          <w:lang w:val="en-GB"/>
        </w:rPr>
        <w:t>[59]</w:t>
      </w:r>
      <w:r w:rsidRPr="00221992">
        <w:rPr>
          <w:lang w:val="en-GB"/>
        </w:rPr>
        <w:fldChar w:fldCharType="end"/>
      </w:r>
      <w:r w:rsidRPr="00221992">
        <w:rPr>
          <w:lang w:val="en-GB"/>
        </w:rPr>
        <w:t>,</w:t>
      </w:r>
    </w:p>
    <w:p w14:paraId="061D0889" w14:textId="01FB83F9" w:rsidR="00760665" w:rsidRPr="00221992" w:rsidRDefault="00760665" w:rsidP="00760665">
      <w:pPr>
        <w:ind w:left="567"/>
        <w:rPr>
          <w:lang w:val="en-GB"/>
        </w:rPr>
      </w:pPr>
      <w:r w:rsidRPr="00221992">
        <w:rPr>
          <w:lang w:val="en-GB"/>
        </w:rPr>
        <w:t>Let</w:t>
      </w:r>
      <w:r w:rsidR="00551786">
        <w:rPr>
          <w:lang w:val="en-GB"/>
        </w:rPr>
        <w:t>’</w:t>
      </w:r>
      <w:r w:rsidRPr="00221992">
        <w:rPr>
          <w:lang w:val="en-GB"/>
        </w:rPr>
        <w:t>s not look at the mean survival for a new drug. […] Let</w:t>
      </w:r>
      <w:r w:rsidR="00551786">
        <w:rPr>
          <w:lang w:val="en-GB"/>
        </w:rPr>
        <w:t>’</w:t>
      </w:r>
      <w:r w:rsidRPr="00221992">
        <w:rPr>
          <w:lang w:val="en-GB"/>
        </w:rPr>
        <w:t>s look at who got 12 months additional survival, and who got almost none. Then, let</w:t>
      </w:r>
      <w:r w:rsidR="00551786">
        <w:rPr>
          <w:lang w:val="en-GB"/>
        </w:rPr>
        <w:t>’</w:t>
      </w:r>
      <w:r w:rsidRPr="00221992">
        <w:rPr>
          <w:lang w:val="en-GB"/>
        </w:rPr>
        <w:t>s ask if we can define another companion diagnostic to treat the right people.</w:t>
      </w:r>
    </w:p>
    <w:p w14:paraId="22DD2220" w14:textId="25628DDE" w:rsidR="00760665" w:rsidRPr="00221992" w:rsidRDefault="00760665" w:rsidP="00760665">
      <w:pPr>
        <w:rPr>
          <w:lang w:val="en-GB"/>
        </w:rPr>
      </w:pPr>
      <w:r w:rsidRPr="00221992">
        <w:rPr>
          <w:lang w:val="en-GB"/>
        </w:rPr>
        <w:t>The co-dependent market has grown rapidly over in the past decade; in 2013, the global market for co-dependent technologies was estimated to be approximately US</w:t>
      </w:r>
      <w:r w:rsidR="00E704E3">
        <w:rPr>
          <w:lang w:val="en-GB"/>
        </w:rPr>
        <w:t>D</w:t>
      </w:r>
      <w:r w:rsidRPr="00221992">
        <w:rPr>
          <w:lang w:val="en-GB"/>
        </w:rPr>
        <w:t xml:space="preserve">$1.2 billion, </w:t>
      </w:r>
      <w:r w:rsidRPr="00221992">
        <w:rPr>
          <w:lang w:val="en-GB"/>
        </w:rPr>
        <w:fldChar w:fldCharType="begin"/>
      </w:r>
      <w:r w:rsidR="00112E71">
        <w:rPr>
          <w:lang w:val="en-GB"/>
        </w:rPr>
        <w:instrText xml:space="preserve"> ADDIN EN.CITE &lt;EndNote&gt;&lt;Cite&gt;&lt;Author&gt;ReportBuyer&lt;/Author&gt;&lt;Year&gt;2014&lt;/Year&gt;&lt;RecNum&gt;651&lt;/RecNum&gt;&lt;DisplayText&gt;[60]&lt;/DisplayText&gt;&lt;record&gt;&lt;rec-number&gt;651&lt;/rec-number&gt;&lt;foreign-keys&gt;&lt;key app="EN" db-id="wzwwsfxe4peesxef95cxvrwjxts9rreasarf" timestamp="1693188493"&gt;651&lt;/key&gt;&lt;/foreign-keys&gt;&lt;ref-type name="Web Page"&gt;12&lt;/ref-type&gt;&lt;contributors&gt;&lt;authors&gt;&lt;author&gt;ReportBuyer&lt;/author&gt;&lt;/authors&gt;&lt;/contributors&gt;&lt;titles&gt;&lt;title&gt;Companion diagnostics: Technologies and markets&lt;/title&gt;&lt;/titles&gt;&lt;number&gt;23 August 2023&lt;/number&gt;&lt;dates&gt;&lt;year&gt;2014&lt;/year&gt;&lt;/dates&gt;&lt;publisher&gt;ReportBuyer&lt;/publisher&gt;&lt;urls&gt;&lt;related-urls&gt;&lt;url&gt;https://www.prnewswire.com/news-releases/companion-diagnostics-technologies-and-markets-273660871.html&lt;/url&gt;&lt;/related-urls&gt;&lt;/urls&gt;&lt;/record&gt;&lt;/Cite&gt;&lt;/EndNote&gt;</w:instrText>
      </w:r>
      <w:r w:rsidRPr="00221992">
        <w:rPr>
          <w:lang w:val="en-GB"/>
        </w:rPr>
        <w:fldChar w:fldCharType="separate"/>
      </w:r>
      <w:r w:rsidR="00112E71">
        <w:rPr>
          <w:noProof/>
          <w:lang w:val="en-GB"/>
        </w:rPr>
        <w:t>[60]</w:t>
      </w:r>
      <w:r w:rsidRPr="00221992">
        <w:rPr>
          <w:lang w:val="en-GB"/>
        </w:rPr>
        <w:fldChar w:fldCharType="end"/>
      </w:r>
      <w:r w:rsidRPr="00221992">
        <w:rPr>
          <w:lang w:val="en-GB"/>
        </w:rPr>
        <w:t xml:space="preserve"> increasing to US</w:t>
      </w:r>
      <w:r w:rsidR="00E704E3">
        <w:rPr>
          <w:lang w:val="en-GB"/>
        </w:rPr>
        <w:t>D</w:t>
      </w:r>
      <w:r w:rsidRPr="00221992">
        <w:rPr>
          <w:lang w:val="en-GB"/>
        </w:rPr>
        <w:t>$5.5 billion in 2021, and is expected to reach US</w:t>
      </w:r>
      <w:r w:rsidR="00E704E3">
        <w:rPr>
          <w:lang w:val="en-GB"/>
        </w:rPr>
        <w:t>D</w:t>
      </w:r>
      <w:r w:rsidRPr="00221992">
        <w:rPr>
          <w:lang w:val="en-GB"/>
        </w:rPr>
        <w:t xml:space="preserve">$9.9 billion by 2026, representing a compound annual growth rate of 12.6% (from 2021 to 2026) </w:t>
      </w:r>
      <w:r w:rsidRPr="00221992">
        <w:rPr>
          <w:lang w:val="en-GB"/>
        </w:rPr>
        <w:fldChar w:fldCharType="begin"/>
      </w:r>
      <w:r w:rsidR="00112E71">
        <w:rPr>
          <w:lang w:val="en-GB"/>
        </w:rPr>
        <w:instrText xml:space="preserve"> ADDIN EN.CITE &lt;EndNote&gt;&lt;Cite&gt;&lt;Author&gt;Markets and Markets&lt;/Author&gt;&lt;Year&gt;2022&lt;/Year&gt;&lt;RecNum&gt;652&lt;/RecNum&gt;&lt;DisplayText&gt;[61]&lt;/DisplayText&gt;&lt;record&gt;&lt;rec-number&gt;652&lt;/rec-number&gt;&lt;foreign-keys&gt;&lt;key app="EN" db-id="wzwwsfxe4peesxef95cxvrwjxts9rreasarf" timestamp="1693188493"&gt;652&lt;/key&gt;&lt;/foreign-keys&gt;&lt;ref-type name="Web Page"&gt;12&lt;/ref-type&gt;&lt;contributors&gt;&lt;authors&gt;&lt;author&gt;Markets and Markets,&lt;/author&gt;&lt;/authors&gt;&lt;/contributors&gt;&lt;titles&gt;&lt;title&gt;Companion Diagnostics Market by Product (Assays, Kits, Software &amp;amp; Services), Technology (PCR, NGS, ISH, IHC), Indication (Breast, Blood, Lung, Colorectal Cancer, Neurology Diseases), End User (Pharma Companies, CROs) &amp;amp;&amp;amp; Region - Global Forecast to 2026&lt;/title&gt;&lt;/titles&gt;&lt;dates&gt;&lt;year&gt;2022&lt;/year&gt;&lt;/dates&gt;&lt;publisher&gt;Markets and Markets&lt;/publisher&gt;&lt;urls&gt;&lt;related-urls&gt;&lt;url&gt;https://www.marketsandmarkets.com/Market-Reports/companion-diagnostics-market-155571681.html&lt;/url&gt;&lt;/related-urls&gt;&lt;/urls&gt;&lt;/record&gt;&lt;/Cite&gt;&lt;/EndNote&gt;</w:instrText>
      </w:r>
      <w:r w:rsidRPr="00221992">
        <w:rPr>
          <w:lang w:val="en-GB"/>
        </w:rPr>
        <w:fldChar w:fldCharType="separate"/>
      </w:r>
      <w:r w:rsidR="00112E71">
        <w:rPr>
          <w:noProof/>
          <w:lang w:val="en-GB"/>
        </w:rPr>
        <w:t>[61]</w:t>
      </w:r>
      <w:r w:rsidRPr="00221992">
        <w:rPr>
          <w:lang w:val="en-GB"/>
        </w:rPr>
        <w:fldChar w:fldCharType="end"/>
      </w:r>
      <w:r w:rsidRPr="00221992">
        <w:rPr>
          <w:lang w:val="en-GB"/>
        </w:rPr>
        <w:t>.</w:t>
      </w:r>
    </w:p>
    <w:p w14:paraId="1872DB80" w14:textId="51943371" w:rsidR="00760665" w:rsidRPr="00221992" w:rsidRDefault="00760665" w:rsidP="00760665">
      <w:pPr>
        <w:rPr>
          <w:lang w:val="en-GB"/>
        </w:rPr>
      </w:pPr>
      <w:r w:rsidRPr="00221992">
        <w:rPr>
          <w:lang w:val="en-GB"/>
        </w:rPr>
        <w:t xml:space="preserve">The definition and regulation of co-dependent technologies has been actively reviewed over the past decade; analyses undertaken prior to 2018 thus tend to reflect practices that are </w:t>
      </w:r>
      <w:r w:rsidR="00D26FD3">
        <w:rPr>
          <w:lang w:val="en-GB"/>
        </w:rPr>
        <w:t>now</w:t>
      </w:r>
      <w:r w:rsidR="00D26FD3" w:rsidRPr="00221992">
        <w:rPr>
          <w:lang w:val="en-GB"/>
        </w:rPr>
        <w:t xml:space="preserve"> </w:t>
      </w:r>
      <w:r w:rsidRPr="00221992">
        <w:rPr>
          <w:lang w:val="en-GB"/>
        </w:rPr>
        <w:t xml:space="preserve">outdated </w:t>
      </w:r>
      <w:r w:rsidRPr="00221992">
        <w:rPr>
          <w:lang w:val="en-GB"/>
        </w:rPr>
        <w:fldChar w:fldCharType="begin"/>
      </w:r>
      <w:r w:rsidR="00112E71">
        <w:rPr>
          <w:lang w:val="en-GB"/>
        </w:rPr>
        <w:instrText xml:space="preserve"> ADDIN EN.CITE &lt;EndNote&gt;&lt;Cite&gt;&lt;Author&gt;Enzmann&lt;/Author&gt;&lt;Year&gt;2016&lt;/Year&gt;&lt;RecNum&gt;653&lt;/RecNum&gt;&lt;DisplayText&gt;[62-63]&lt;/DisplayText&gt;&lt;record&gt;&lt;rec-number&gt;653&lt;/rec-number&gt;&lt;foreign-keys&gt;&lt;key app="EN" db-id="wzwwsfxe4peesxef95cxvrwjxts9rreasarf" timestamp="1693188493"&gt;653&lt;/key&gt;&lt;/foreign-keys&gt;&lt;ref-type name="Journal Article"&gt;17&lt;/ref-type&gt;&lt;contributors&gt;&lt;authors&gt;&lt;author&gt;Enzmann, Harald&lt;/author&gt;&lt;author&gt;Meyer, Ralf&lt;/author&gt;&lt;author&gt;Broich, Karl&lt;/author&gt;&lt;/authors&gt;&lt;/contributors&gt;&lt;titles&gt;&lt;title&gt;The new EU regulation on in vitro diagnostics: potential issues at the interface of medicines and companion diagnostics&lt;/title&gt;&lt;secondary-title&gt;Biomarkers in Medicine&lt;/secondary-title&gt;&lt;/titles&gt;&lt;periodical&gt;&lt;full-title&gt;Biomarkers in Medicine&lt;/full-title&gt;&lt;/periodical&gt;&lt;pages&gt;1261-1268&lt;/pages&gt;&lt;volume&gt;10&lt;/volume&gt;&lt;number&gt;12&lt;/number&gt;&lt;dates&gt;&lt;year&gt;2016&lt;/year&gt;&lt;pub-dates&gt;&lt;date&gt;2016/12/01&lt;/date&gt;&lt;/pub-dates&gt;&lt;/dates&gt;&lt;publisher&gt;Future Medicine&lt;/publisher&gt;&lt;isbn&gt;1752-0363&lt;/isbn&gt;&lt;urls&gt;&lt;related-urls&gt;&lt;url&gt;https://doi.org/10.2217/bmm-2016-0233&lt;/url&gt;&lt;/related-urls&gt;&lt;/urls&gt;&lt;electronic-resource-num&gt;10.2217/bmm-2016-0233&lt;/electronic-resource-num&gt;&lt;access-date&gt;2023/08/23&lt;/access-date&gt;&lt;/record&gt;&lt;/Cite&gt;&lt;Cite&gt;&lt;Author&gt;The Federation of European Academies of Medicine (FEAM)&lt;/Author&gt;&lt;Year&gt;2018&lt;/Year&gt;&lt;RecNum&gt;654&lt;/RecNum&gt;&lt;record&gt;&lt;rec-number&gt;654&lt;/rec-number&gt;&lt;foreign-keys&gt;&lt;key app="EN" db-id="wzwwsfxe4peesxef95cxvrwjxts9rreasarf" timestamp="1693188493"&gt;654&lt;/key&gt;&lt;/foreign-keys&gt;&lt;ref-type name="Report"&gt;27&lt;/ref-type&gt;&lt;contributors&gt;&lt;authors&gt;&lt;author&gt;The Federation of European Academies of Medicine (FEAM),&lt;/author&gt;&lt;/authors&gt;&lt;tertiary-authors&gt;&lt;author&gt;The Federation of European Academies of Medicine (FEAM),&lt;/author&gt;&lt;/tertiary-authors&gt;&lt;/contributors&gt;&lt;titles&gt;&lt;title&gt;Companion diagnostics and precision medicine: regulatory and uptake barriers to patient access&lt;/title&gt;&lt;/titles&gt;&lt;dates&gt;&lt;year&gt;2018&lt;/year&gt;&lt;/dates&gt;&lt;pub-location&gt;Brussels&lt;/pub-location&gt;&lt;urls&gt;&lt;related-urls&gt;&lt;url&gt;https://www.feam.eu/wp-content/uploads/FEAM-Forum_Round-table-PM_Report_Final.pdf&lt;/url&gt;&lt;/related-urls&gt;&lt;/urls&gt;&lt;/record&gt;&lt;/Cite&gt;&lt;/EndNote&gt;</w:instrText>
      </w:r>
      <w:r w:rsidRPr="00221992">
        <w:rPr>
          <w:lang w:val="en-GB"/>
        </w:rPr>
        <w:fldChar w:fldCharType="separate"/>
      </w:r>
      <w:r w:rsidR="00112E71">
        <w:rPr>
          <w:noProof/>
          <w:lang w:val="en-GB"/>
        </w:rPr>
        <w:t>[62-63]</w:t>
      </w:r>
      <w:r w:rsidRPr="00221992">
        <w:rPr>
          <w:lang w:val="en-GB"/>
        </w:rPr>
        <w:fldChar w:fldCharType="end"/>
      </w:r>
      <w:r w:rsidRPr="00221992">
        <w:rPr>
          <w:lang w:val="en-GB"/>
        </w:rPr>
        <w:t>. In 2014,</w:t>
      </w:r>
      <w:r w:rsidR="008A6310">
        <w:rPr>
          <w:lang w:val="en-GB"/>
        </w:rPr>
        <w:t xml:space="preserve"> </w:t>
      </w:r>
      <w:r w:rsidRPr="00221992">
        <w:rPr>
          <w:lang w:val="en-GB"/>
        </w:rPr>
        <w:t xml:space="preserve">Byron et al. identified the need to evaluate co-dependent technologies together, and many countries, including Australia, now have processes in place for combined evaluation </w:t>
      </w:r>
      <w:r w:rsidRPr="00221992">
        <w:rPr>
          <w:lang w:val="en-GB"/>
        </w:rPr>
        <w:fldChar w:fldCharType="begin">
          <w:fldData xml:space="preserve">PEVuZE5vdGU+PENpdGU+PEF1dGhvcj5CeXJvbjwvQXV0aG9yPjxZZWFyPjIwMTQ8L1llYXI+PFJl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==
</w:fldData>
        </w:fldChar>
      </w:r>
      <w:r w:rsidR="000F3524">
        <w:rPr>
          <w:lang w:val="en-GB"/>
        </w:rPr>
        <w:instrText xml:space="preserve"> ADDIN EN.CITE </w:instrText>
      </w:r>
      <w:r w:rsidR="000F3524">
        <w:rPr>
          <w:lang w:val="en-GB"/>
        </w:rPr>
        <w:fldChar w:fldCharType="begin">
          <w:fldData xml:space="preserve">PEVuZE5vdGU+PENpdGU+PEF1dGhvcj5CeXJvbjwvQXV0aG9yPjxZZWFyPjIwMTQ8L1llYXI+PFJl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==
</w:fldData>
        </w:fldChar>
      </w:r>
      <w:r w:rsidR="000F3524">
        <w:rPr>
          <w:lang w:val="en-GB"/>
        </w:rPr>
        <w:instrText xml:space="preserve"> ADDIN EN.CITE.DATA </w:instrText>
      </w:r>
      <w:r w:rsidR="000F3524">
        <w:rPr>
          <w:lang w:val="en-GB"/>
        </w:rPr>
      </w:r>
      <w:r w:rsidR="000F3524">
        <w:rPr>
          <w:lang w:val="en-GB"/>
        </w:rPr>
        <w:fldChar w:fldCharType="end"/>
      </w:r>
      <w:r w:rsidRPr="00221992">
        <w:rPr>
          <w:lang w:val="en-GB"/>
        </w:rPr>
      </w:r>
      <w:r w:rsidRPr="00221992">
        <w:rPr>
          <w:lang w:val="en-GB"/>
        </w:rPr>
        <w:fldChar w:fldCharType="separate"/>
      </w:r>
      <w:r w:rsidR="000F3524">
        <w:rPr>
          <w:noProof/>
          <w:lang w:val="en-GB"/>
        </w:rPr>
        <w:t>[64]</w:t>
      </w:r>
      <w:r w:rsidRPr="00221992">
        <w:rPr>
          <w:lang w:val="en-GB"/>
        </w:rPr>
        <w:fldChar w:fldCharType="end"/>
      </w:r>
      <w:r w:rsidRPr="00221992">
        <w:rPr>
          <w:lang w:val="en-GB"/>
        </w:rPr>
        <w:t>. A scoping review (2019) found 83 articles (published between 2014 and 2017) related to the economic evaluation of co-dependent technologies. Of these, 43% explored cancer treatments, 28% cardiovascular therapies, and 11% adverse drug reactions. The majority of studies (71%) concluded that the co-dependent intervention was at least as cost-effective as usual care, though willingness-to-pay thresholds varied widely, from US</w:t>
      </w:r>
      <w:r w:rsidR="00E704E3">
        <w:rPr>
          <w:lang w:val="en-GB"/>
        </w:rPr>
        <w:t>D</w:t>
      </w:r>
      <w:r w:rsidRPr="00221992">
        <w:rPr>
          <w:lang w:val="en-GB"/>
        </w:rPr>
        <w:t>$20,000/QALY (mainly in studies from the UK or Europe), to US</w:t>
      </w:r>
      <w:r w:rsidR="00E704E3">
        <w:rPr>
          <w:lang w:val="en-GB"/>
        </w:rPr>
        <w:t>D</w:t>
      </w:r>
      <w:r w:rsidRPr="00221992">
        <w:rPr>
          <w:lang w:val="en-GB"/>
        </w:rPr>
        <w:t xml:space="preserve">$200,000/QALY (in studies conducted in the US). Co-dependent interventions considered cost-effective in the US may therefore not necessarily reflect equivalent value in Europe </w:t>
      </w:r>
      <w:r w:rsidRPr="00221992">
        <w:rPr>
          <w:lang w:val="en-GB"/>
        </w:rPr>
        <w:fldChar w:fldCharType="begin">
          <w:fldData xml:space="preserve">PEVuZE5vdGU+PENpdGU+PEF1dGhvcj5LYXN6dHVyYTwvQXV0aG9yPjxZZWFyPjIwMTk8L1llYXI+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</w:fldData>
        </w:fldChar>
      </w:r>
      <w:r w:rsidR="000F3524">
        <w:rPr>
          <w:lang w:val="en-GB"/>
        </w:rPr>
        <w:instrText xml:space="preserve"> ADDIN EN.CITE </w:instrText>
      </w:r>
      <w:r w:rsidR="000F3524">
        <w:rPr>
          <w:lang w:val="en-GB"/>
        </w:rPr>
        <w:fldChar w:fldCharType="begin">
          <w:fldData xml:space="preserve">PEVuZE5vdGU+PENpdGU+PEF1dGhvcj5LYXN6dHVyYTwvQXV0aG9yPjxZZWFyPjIwMTk8L1llYXI+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</w:fldData>
        </w:fldChar>
      </w:r>
      <w:r w:rsidR="000F3524">
        <w:rPr>
          <w:lang w:val="en-GB"/>
        </w:rPr>
        <w:instrText xml:space="preserve"> ADDIN EN.CITE.DATA </w:instrText>
      </w:r>
      <w:r w:rsidR="000F3524">
        <w:rPr>
          <w:lang w:val="en-GB"/>
        </w:rPr>
      </w:r>
      <w:r w:rsidR="000F3524">
        <w:rPr>
          <w:lang w:val="en-GB"/>
        </w:rPr>
        <w:fldChar w:fldCharType="end"/>
      </w:r>
      <w:r w:rsidRPr="00221992">
        <w:rPr>
          <w:lang w:val="en-GB"/>
        </w:rPr>
      </w:r>
      <w:r w:rsidRPr="00221992">
        <w:rPr>
          <w:lang w:val="en-GB"/>
        </w:rPr>
        <w:fldChar w:fldCharType="separate"/>
      </w:r>
      <w:r w:rsidR="000F3524">
        <w:rPr>
          <w:noProof/>
          <w:lang w:val="en-GB"/>
        </w:rPr>
        <w:t>[65]</w:t>
      </w:r>
      <w:r w:rsidRPr="00221992">
        <w:rPr>
          <w:lang w:val="en-GB"/>
        </w:rPr>
        <w:fldChar w:fldCharType="end"/>
      </w:r>
      <w:r w:rsidRPr="00221992">
        <w:rPr>
          <w:lang w:val="en-GB"/>
        </w:rPr>
        <w:t>.</w:t>
      </w:r>
    </w:p>
    <w:p w14:paraId="095B87FB" w14:textId="7C603C4E" w:rsidR="00760665" w:rsidRPr="00221992" w:rsidRDefault="00760665" w:rsidP="00760665">
      <w:pPr>
        <w:rPr>
          <w:lang w:val="en-GB"/>
        </w:rPr>
      </w:pPr>
      <w:r w:rsidRPr="00221992">
        <w:rPr>
          <w:lang w:val="en-GB"/>
        </w:rPr>
        <w:t xml:space="preserve">The success of precision medicine depends on the proper identification of patients that may benefit from a targeted therapy </w:t>
      </w:r>
      <w:r w:rsidRPr="00221992">
        <w:rPr>
          <w:lang w:val="en-GB"/>
        </w:rPr>
        <w:fldChar w:fldCharType="begin"/>
      </w:r>
      <w:r w:rsidR="00112E71">
        <w:rPr>
          <w:lang w:val="en-GB"/>
        </w:rPr>
        <w:instrText xml:space="preserve"> ADDIN EN.CITE &lt;EndNote&gt;&lt;Cite&gt;&lt;Author&gt;Gomez Montero&lt;/Author&gt;&lt;Year&gt;2022&lt;/Year&gt;&lt;RecNum&gt;657&lt;/RecNum&gt;&lt;DisplayText&gt;[66]&lt;/DisplayText&gt;&lt;record&gt;&lt;rec-number&gt;657&lt;/rec-number&gt;&lt;foreign-keys&gt;&lt;key app="EN" db-id="wzwwsfxe4peesxef95cxvrwjxts9rreasarf" timestamp="1693188493"&gt;657&lt;/key&gt;&lt;/foreign-keys&gt;&lt;ref-type name="Journal Article"&gt;17&lt;/ref-type&gt;&lt;contributors&gt;&lt;authors&gt;&lt;author&gt;Gomez Montero, Melissa&lt;/author&gt;&lt;author&gt;El Alili, Houcine&lt;/author&gt;&lt;author&gt;Hashim, Mahmoud&lt;/author&gt;&lt;author&gt;Wigfield, Peter&lt;/author&gt;&lt;author&gt;Dimova, Mariya&lt;/author&gt;&lt;author&gt;Riley, Ralph&lt;/author&gt;&lt;author&gt;Pascoe, Katie&lt;/author&gt;&lt;/authors&gt;&lt;/contributors&gt;&lt;titles&gt;&lt;title&gt;How are Companion Diagnostics Considered in Economic Evaluations of Oncology Treatments? A Review of Health Technology Assessments&lt;/title&gt;&lt;secondary-title&gt;PharmacoEconomics - Open&lt;/secondary-title&gt;&lt;/titles&gt;&lt;periodical&gt;&lt;full-title&gt;PharmacoEconomics - Open&lt;/full-title&gt;&lt;/periodical&gt;&lt;pages&gt;637-646&lt;/pages&gt;&lt;volume&gt;6&lt;/volume&gt;&lt;number&gt;5&lt;/number&gt;&lt;dates&gt;&lt;year&gt;2022&lt;/year&gt;&lt;pub-dates&gt;&lt;date&gt;2022/09/01&lt;/date&gt;&lt;/pub-dates&gt;&lt;/dates&gt;&lt;isbn&gt;2509-4254&lt;/isbn&gt;&lt;urls&gt;&lt;related-urls&gt;&lt;url&gt;https://doi.org/10.1007/s41669-022-00350-6&lt;/url&gt;&lt;/related-urls&gt;&lt;/urls&gt;&lt;electronic-resource-num&gt;10.1007/s41669-022-00350-6&lt;/electronic-resource-num&gt;&lt;/record&gt;&lt;/Cite&gt;&lt;/EndNote&gt;</w:instrText>
      </w:r>
      <w:r w:rsidRPr="00221992">
        <w:rPr>
          <w:lang w:val="en-GB"/>
        </w:rPr>
        <w:fldChar w:fldCharType="separate"/>
      </w:r>
      <w:r w:rsidR="00112E71">
        <w:rPr>
          <w:noProof/>
          <w:lang w:val="en-GB"/>
        </w:rPr>
        <w:t>[66]</w:t>
      </w:r>
      <w:r w:rsidRPr="00221992">
        <w:rPr>
          <w:lang w:val="en-GB"/>
        </w:rPr>
        <w:fldChar w:fldCharType="end"/>
      </w:r>
      <w:r w:rsidRPr="00221992">
        <w:rPr>
          <w:lang w:val="en-GB"/>
        </w:rPr>
        <w:t xml:space="preserve">. Co-dependent technologies can be simple to evaluate, such as when a single test is available and used to demonstrate efficacy in a clinical trial. However, co-dependent technologies also often present unique challenges to HTA, as the cost-effectiveness of the proposed intervention can be heavily influenced by the sensitivity/specificity of the proposed companion test and the size of the target population (generally due to variations in false-positive and false-negative rates). For example, trastuzumab has been demonstrated to be an effective treatment for breast cancer in patients who have the human epidermal growth factor receptor 2 (HER2) proteins, which can be </w:t>
      </w:r>
      <w:r w:rsidR="00551786">
        <w:rPr>
          <w:lang w:val="en-GB"/>
        </w:rPr>
        <w:t>‘</w:t>
      </w:r>
      <w:r w:rsidRPr="00221992">
        <w:rPr>
          <w:lang w:val="en-GB"/>
        </w:rPr>
        <w:t>weakly positive</w:t>
      </w:r>
      <w:r w:rsidR="00551786">
        <w:rPr>
          <w:lang w:val="en-GB"/>
        </w:rPr>
        <w:t>’</w:t>
      </w:r>
      <w:r w:rsidRPr="00221992">
        <w:rPr>
          <w:lang w:val="en-GB"/>
        </w:rPr>
        <w:t xml:space="preserve"> (2+) or </w:t>
      </w:r>
      <w:r w:rsidR="00551786">
        <w:rPr>
          <w:lang w:val="en-GB"/>
        </w:rPr>
        <w:t>‘</w:t>
      </w:r>
      <w:r w:rsidRPr="00221992">
        <w:rPr>
          <w:lang w:val="en-GB"/>
        </w:rPr>
        <w:t xml:space="preserve">strongly positive (3+). The gold-standard test for this protein is performed through fluorescence in situ hybridisation (FISH) (sensitivity and specificity assumed to be 100%). However, FISH is expensive and a cheaper immunohistochemistry antibody assay has been developed </w:t>
      </w:r>
      <w:r w:rsidRPr="00221992">
        <w:rPr>
          <w:lang w:val="en-GB"/>
        </w:rPr>
        <w:fldChar w:fldCharType="begin">
          <w:fldData xml:space="preserve">PEVuZE5vdGU+PENpdGU+PEF1dGhvcj5Kw7hyZ2Vuc2VuPC9BdXRob3I+PFllYXI+MjAyMTwvWWVh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</w:fldData>
        </w:fldChar>
      </w:r>
      <w:r w:rsidR="000F3524">
        <w:rPr>
          <w:lang w:val="en-GB"/>
        </w:rPr>
        <w:instrText xml:space="preserve"> ADDIN EN.CITE </w:instrText>
      </w:r>
      <w:r w:rsidR="000F3524">
        <w:rPr>
          <w:lang w:val="en-GB"/>
        </w:rPr>
        <w:fldChar w:fldCharType="begin">
          <w:fldData xml:space="preserve">PEVuZE5vdGU+PENpdGU+PEF1dGhvcj5Kw7hyZ2Vuc2VuPC9BdXRob3I+PFllYXI+MjAyMTwvWWVh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</w:fldData>
        </w:fldChar>
      </w:r>
      <w:r w:rsidR="000F3524">
        <w:rPr>
          <w:lang w:val="en-GB"/>
        </w:rPr>
        <w:instrText xml:space="preserve"> ADDIN EN.CITE.DATA </w:instrText>
      </w:r>
      <w:r w:rsidR="000F3524">
        <w:rPr>
          <w:lang w:val="en-GB"/>
        </w:rPr>
      </w:r>
      <w:r w:rsidR="000F3524">
        <w:rPr>
          <w:lang w:val="en-GB"/>
        </w:rPr>
        <w:fldChar w:fldCharType="end"/>
      </w:r>
      <w:r w:rsidRPr="00221992">
        <w:rPr>
          <w:lang w:val="en-GB"/>
        </w:rPr>
      </w:r>
      <w:r w:rsidRPr="00221992">
        <w:rPr>
          <w:lang w:val="en-GB"/>
        </w:rPr>
        <w:fldChar w:fldCharType="separate"/>
      </w:r>
      <w:r w:rsidR="000F3524">
        <w:rPr>
          <w:noProof/>
          <w:lang w:val="en-GB"/>
        </w:rPr>
        <w:t>[67]</w:t>
      </w:r>
      <w:r w:rsidRPr="00221992">
        <w:rPr>
          <w:lang w:val="en-GB"/>
        </w:rPr>
        <w:fldChar w:fldCharType="end"/>
      </w:r>
      <w:r w:rsidRPr="00221992">
        <w:rPr>
          <w:lang w:val="en-GB"/>
        </w:rPr>
        <w:t xml:space="preserve">. The IHC test has a demonstrated sensitivity of 96.2% and specificity of 88.3%, leading to two possible approaches to testing </w:t>
      </w:r>
      <w:r w:rsidRPr="00221992">
        <w:rPr>
          <w:lang w:val="en-GB"/>
        </w:rPr>
        <w:fldChar w:fldCharType="begin">
          <w:fldData xml:space="preserve">PEVuZE5vdGU+PENpdGU+PEF1dGhvcj5TYW4gTWlndWVsPC9BdXRob3I+PFllYXI+MjAxNTwvWWVh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</w:fldData>
        </w:fldChar>
      </w:r>
      <w:r w:rsidR="000F3524">
        <w:rPr>
          <w:lang w:val="en-GB"/>
        </w:rPr>
        <w:instrText xml:space="preserve"> ADDIN EN.CITE </w:instrText>
      </w:r>
      <w:r w:rsidR="000F3524">
        <w:rPr>
          <w:lang w:val="en-GB"/>
        </w:rPr>
        <w:fldChar w:fldCharType="begin">
          <w:fldData xml:space="preserve">PEVuZE5vdGU+PENpdGU+PEF1dGhvcj5TYW4gTWlndWVsPC9BdXRob3I+PFllYXI+MjAxNTwvWWVh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</w:fldData>
        </w:fldChar>
      </w:r>
      <w:r w:rsidR="000F3524">
        <w:rPr>
          <w:lang w:val="en-GB"/>
        </w:rPr>
        <w:instrText xml:space="preserve"> ADDIN EN.CITE.DATA </w:instrText>
      </w:r>
      <w:r w:rsidR="000F3524">
        <w:rPr>
          <w:lang w:val="en-GB"/>
        </w:rPr>
      </w:r>
      <w:r w:rsidR="000F3524">
        <w:rPr>
          <w:lang w:val="en-GB"/>
        </w:rPr>
        <w:fldChar w:fldCharType="end"/>
      </w:r>
      <w:r w:rsidRPr="00221992">
        <w:rPr>
          <w:lang w:val="en-GB"/>
        </w:rPr>
      </w:r>
      <w:r w:rsidRPr="00221992">
        <w:rPr>
          <w:lang w:val="en-GB"/>
        </w:rPr>
        <w:fldChar w:fldCharType="separate"/>
      </w:r>
      <w:r w:rsidR="000F3524">
        <w:rPr>
          <w:noProof/>
          <w:lang w:val="en-GB"/>
        </w:rPr>
        <w:t>[68]</w:t>
      </w:r>
      <w:r w:rsidRPr="00221992">
        <w:rPr>
          <w:lang w:val="en-GB"/>
        </w:rPr>
        <w:fldChar w:fldCharType="end"/>
      </w:r>
      <w:r w:rsidRPr="00221992">
        <w:rPr>
          <w:lang w:val="en-GB"/>
        </w:rPr>
        <w:t>:</w:t>
      </w:r>
    </w:p>
    <w:p w14:paraId="177C70CB" w14:textId="77777777" w:rsidR="00760665" w:rsidRPr="00221992" w:rsidRDefault="00760665" w:rsidP="00957584">
      <w:pPr>
        <w:pStyle w:val="ListParagraph"/>
        <w:numPr>
          <w:ilvl w:val="0"/>
          <w:numId w:val="44"/>
        </w:numPr>
        <w:rPr>
          <w:lang w:val="en-GB"/>
        </w:rPr>
      </w:pPr>
      <w:r w:rsidRPr="00221992">
        <w:rPr>
          <w:lang w:val="en-GB"/>
        </w:rPr>
        <w:t xml:space="preserve">Selection of patients who had a 2+ or 3+ rating based on IHC result and treatment with trastuzumab </w:t>
      </w:r>
    </w:p>
    <w:p w14:paraId="1BFFCF99" w14:textId="77777777" w:rsidR="00760665" w:rsidRPr="00221992" w:rsidRDefault="00760665" w:rsidP="00957584">
      <w:pPr>
        <w:pStyle w:val="ListParagraph"/>
        <w:numPr>
          <w:ilvl w:val="0"/>
          <w:numId w:val="44"/>
        </w:numPr>
        <w:rPr>
          <w:lang w:val="en-GB"/>
        </w:rPr>
      </w:pPr>
      <w:r w:rsidRPr="00221992">
        <w:rPr>
          <w:lang w:val="en-GB"/>
        </w:rPr>
        <w:t>Confirmatory FISH test on patients who had a 2+ or 3+ rating based on the IHC test</w:t>
      </w:r>
    </w:p>
    <w:p w14:paraId="3FCBEEBC" w14:textId="51BB7231" w:rsidR="00760665" w:rsidRPr="00221992" w:rsidRDefault="00760665" w:rsidP="00760665">
      <w:pPr>
        <w:rPr>
          <w:lang w:val="en-GB"/>
        </w:rPr>
      </w:pPr>
      <w:r w:rsidRPr="00221992">
        <w:rPr>
          <w:lang w:val="en-GB"/>
        </w:rPr>
        <w:t>In Belgium, the former approach to testing yielded an ICER of €25,473; the latter an ICER of €14,726 (se</w:t>
      </w:r>
      <w:r w:rsidR="00E07AFE" w:rsidRPr="00221992">
        <w:rPr>
          <w:lang w:val="en-GB"/>
        </w:rPr>
        <w:t xml:space="preserve">e Appendix 3, </w:t>
      </w:r>
      <w:r w:rsidR="00E07AFE" w:rsidRPr="00221992">
        <w:rPr>
          <w:lang w:val="en-GB"/>
        </w:rPr>
        <w:fldChar w:fldCharType="begin"/>
      </w:r>
      <w:r w:rsidR="00E07AFE">
        <w:instrText xml:space="preserve"> REF _Ref144117618 \h </w:instrText>
      </w:r>
      <w:r w:rsidR="00E07AFE" w:rsidRPr="00221992">
        <w:rPr>
          <w:lang w:val="en-GB"/>
        </w:rPr>
      </w:r>
      <w:r w:rsidR="00E07AFE" w:rsidRPr="00221992">
        <w:rPr>
          <w:lang w:val="en-GB"/>
        </w:rPr>
        <w:fldChar w:fldCharType="separate"/>
      </w:r>
      <w:r w:rsidR="000E11E7" w:rsidRPr="00221992">
        <w:rPr>
          <w:lang w:val="en-GB"/>
        </w:rPr>
        <w:t xml:space="preserve">Table </w:t>
      </w:r>
      <w:r w:rsidR="000E11E7">
        <w:rPr>
          <w:noProof/>
        </w:rPr>
        <w:t>22</w:t>
      </w:r>
      <w:r w:rsidR="00E07AFE" w:rsidRPr="00221992">
        <w:rPr>
          <w:lang w:val="en-GB"/>
        </w:rPr>
        <w:fldChar w:fldCharType="end"/>
      </w:r>
      <w:r w:rsidRPr="00221992">
        <w:rPr>
          <w:lang w:val="en-GB"/>
        </w:rPr>
        <w:t>).</w:t>
      </w:r>
    </w:p>
    <w:p w14:paraId="0D926716" w14:textId="54E7B946" w:rsidR="00760665" w:rsidRPr="00221992" w:rsidRDefault="00760665" w:rsidP="0012257A">
      <w:pPr>
        <w:pStyle w:val="NbrHeading3"/>
        <w:rPr>
          <w:lang w:val="en-GB"/>
        </w:rPr>
      </w:pPr>
      <w:bookmarkStart w:id="99" w:name="_Toc162950873"/>
      <w:r w:rsidRPr="00221992">
        <w:rPr>
          <w:lang w:val="en-GB"/>
        </w:rPr>
        <w:t>Reimbursement decision</w:t>
      </w:r>
      <w:r w:rsidR="00E07AFE" w:rsidRPr="00221992">
        <w:rPr>
          <w:lang w:val="en-GB"/>
        </w:rPr>
        <w:t>-</w:t>
      </w:r>
      <w:r w:rsidRPr="00221992">
        <w:rPr>
          <w:lang w:val="en-GB"/>
        </w:rPr>
        <w:t xml:space="preserve">making </w:t>
      </w:r>
      <w:r w:rsidR="00E07AFE" w:rsidRPr="00221992">
        <w:rPr>
          <w:lang w:val="en-GB"/>
        </w:rPr>
        <w:t>for</w:t>
      </w:r>
      <w:r w:rsidRPr="00221992">
        <w:rPr>
          <w:lang w:val="en-GB"/>
        </w:rPr>
        <w:t xml:space="preserve"> medicines and co-dependent tests</w:t>
      </w:r>
      <w:bookmarkEnd w:id="99"/>
    </w:p>
    <w:p w14:paraId="448960BA" w14:textId="7D0EE487" w:rsidR="00760665" w:rsidRPr="00221992" w:rsidRDefault="00760665" w:rsidP="00760665">
      <w:pPr>
        <w:rPr>
          <w:lang w:val="en-GB"/>
        </w:rPr>
      </w:pPr>
      <w:r w:rsidRPr="00221992">
        <w:rPr>
          <w:lang w:val="en-GB"/>
        </w:rPr>
        <w:t xml:space="preserve">The synchronisation of reimbursement decisions for medicines and co-dependent tests is not supported by many current reimbursement policies in Europe, due to historically discordant pathways for </w:t>
      </w:r>
      <w:r w:rsidR="00DF41F6">
        <w:rPr>
          <w:lang w:val="en-GB"/>
        </w:rPr>
        <w:t xml:space="preserve">the </w:t>
      </w:r>
      <w:r w:rsidRPr="00221992">
        <w:rPr>
          <w:lang w:val="en-GB"/>
        </w:rPr>
        <w:t xml:space="preserve">reimbursement </w:t>
      </w:r>
      <w:r w:rsidR="00DF41F6">
        <w:rPr>
          <w:lang w:val="en-GB"/>
        </w:rPr>
        <w:t>of</w:t>
      </w:r>
      <w:r w:rsidRPr="00221992">
        <w:rPr>
          <w:lang w:val="en-GB"/>
        </w:rPr>
        <w:t xml:space="preserve"> </w:t>
      </w:r>
      <w:r w:rsidR="00DF41F6">
        <w:rPr>
          <w:lang w:val="en-GB"/>
        </w:rPr>
        <w:t xml:space="preserve">medicines and their </w:t>
      </w:r>
      <w:r w:rsidRPr="00221992">
        <w:rPr>
          <w:lang w:val="en-GB"/>
        </w:rPr>
        <w:t xml:space="preserve">co-dependent tests </w:t>
      </w:r>
      <w:r w:rsidRPr="00221992">
        <w:rPr>
          <w:lang w:val="en-GB"/>
        </w:rPr>
        <w:fldChar w:fldCharType="begin">
          <w:fldData xml:space="preserve">PEVuZE5vdGU+PENpdGU+PEF1dGhvcj5Hb3ZhZXJ0czwvQXV0aG9yPjxZZWFyPjIwMjA8L1llYXI+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</w:fldData>
        </w:fldChar>
      </w:r>
      <w:r w:rsidR="000F3524">
        <w:rPr>
          <w:lang w:val="en-GB"/>
        </w:rPr>
        <w:instrText xml:space="preserve"> ADDIN EN.CITE </w:instrText>
      </w:r>
      <w:r w:rsidR="000F3524">
        <w:rPr>
          <w:lang w:val="en-GB"/>
        </w:rPr>
        <w:fldChar w:fldCharType="begin">
          <w:fldData xml:space="preserve">PEVuZE5vdGU+PENpdGU+PEF1dGhvcj5Hb3ZhZXJ0czwvQXV0aG9yPjxZZWFyPjIwMjA8L1llYXI+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</w:fldData>
        </w:fldChar>
      </w:r>
      <w:r w:rsidR="000F3524">
        <w:rPr>
          <w:lang w:val="en-GB"/>
        </w:rPr>
        <w:instrText xml:space="preserve"> ADDIN EN.CITE.DATA </w:instrText>
      </w:r>
      <w:r w:rsidR="000F3524">
        <w:rPr>
          <w:lang w:val="en-GB"/>
        </w:rPr>
      </w:r>
      <w:r w:rsidR="000F3524">
        <w:rPr>
          <w:lang w:val="en-GB"/>
        </w:rPr>
        <w:fldChar w:fldCharType="end"/>
      </w:r>
      <w:r w:rsidRPr="00221992">
        <w:rPr>
          <w:lang w:val="en-GB"/>
        </w:rPr>
      </w:r>
      <w:r w:rsidRPr="00221992">
        <w:rPr>
          <w:lang w:val="en-GB"/>
        </w:rPr>
        <w:fldChar w:fldCharType="separate"/>
      </w:r>
      <w:r w:rsidR="000F3524">
        <w:rPr>
          <w:noProof/>
          <w:lang w:val="en-GB"/>
        </w:rPr>
        <w:t>[69]</w:t>
      </w:r>
      <w:r w:rsidRPr="00221992">
        <w:rPr>
          <w:lang w:val="en-GB"/>
        </w:rPr>
        <w:fldChar w:fldCharType="end"/>
      </w:r>
      <w:r w:rsidRPr="00221992">
        <w:rPr>
          <w:lang w:val="en-GB"/>
        </w:rPr>
        <w:t xml:space="preserve">. For example, in Belgium, crizotinib (a lung cancer treatment) was approved for reimbursement in 2013, </w:t>
      </w:r>
      <w:r w:rsidR="00DF41F6">
        <w:rPr>
          <w:lang w:val="en-GB"/>
        </w:rPr>
        <w:t>yet</w:t>
      </w:r>
      <w:r w:rsidRPr="00221992">
        <w:rPr>
          <w:lang w:val="en-GB"/>
        </w:rPr>
        <w:t xml:space="preserve"> approva</w:t>
      </w:r>
      <w:r w:rsidR="00DF41F6">
        <w:rPr>
          <w:lang w:val="en-GB"/>
        </w:rPr>
        <w:t xml:space="preserve">l </w:t>
      </w:r>
      <w:r w:rsidRPr="00221992">
        <w:rPr>
          <w:lang w:val="en-GB"/>
        </w:rPr>
        <w:t xml:space="preserve">for reimbursement of the companion diagnostic test </w:t>
      </w:r>
      <w:r w:rsidR="00DF41F6">
        <w:rPr>
          <w:lang w:val="en-GB"/>
        </w:rPr>
        <w:t>(</w:t>
      </w:r>
      <w:r w:rsidRPr="00221992">
        <w:rPr>
          <w:lang w:val="en-GB"/>
        </w:rPr>
        <w:t xml:space="preserve">for identification of the </w:t>
      </w:r>
      <w:r w:rsidRPr="00221992">
        <w:rPr>
          <w:i/>
          <w:lang w:val="en-GB"/>
        </w:rPr>
        <w:t xml:space="preserve">ALK </w:t>
      </w:r>
      <w:r w:rsidRPr="00221992">
        <w:rPr>
          <w:lang w:val="en-GB"/>
        </w:rPr>
        <w:t>fusion gene</w:t>
      </w:r>
      <w:r w:rsidR="00DF41F6">
        <w:rPr>
          <w:lang w:val="en-GB"/>
        </w:rPr>
        <w:t>)</w:t>
      </w:r>
      <w:r w:rsidRPr="00221992">
        <w:rPr>
          <w:lang w:val="en-GB"/>
        </w:rPr>
        <w:t xml:space="preserve"> was only granted in 2019</w:t>
      </w:r>
      <w:r w:rsidR="00DF41F6">
        <w:rPr>
          <w:lang w:val="en-GB"/>
        </w:rPr>
        <w:t>.</w:t>
      </w:r>
      <w:r w:rsidRPr="00221992">
        <w:rPr>
          <w:lang w:val="en-GB"/>
        </w:rPr>
        <w:t xml:space="preserve"> </w:t>
      </w:r>
      <w:r w:rsidR="00026D9A">
        <w:rPr>
          <w:lang w:val="en-GB"/>
        </w:rPr>
        <w:t>Research suggests that a lack of</w:t>
      </w:r>
      <w:r w:rsidRPr="00221992">
        <w:rPr>
          <w:lang w:val="en-GB"/>
        </w:rPr>
        <w:t xml:space="preserve"> simultaneous reimbursement decisions</w:t>
      </w:r>
      <w:r w:rsidR="00026D9A">
        <w:rPr>
          <w:lang w:val="en-GB"/>
        </w:rPr>
        <w:t xml:space="preserve"> may</w:t>
      </w:r>
      <w:r w:rsidRPr="00221992">
        <w:rPr>
          <w:lang w:val="en-GB"/>
        </w:rPr>
        <w:t xml:space="preserve"> </w:t>
      </w:r>
      <w:r w:rsidR="00026D9A">
        <w:rPr>
          <w:lang w:val="en-GB"/>
        </w:rPr>
        <w:t>have led to</w:t>
      </w:r>
      <w:r w:rsidR="00026D9A" w:rsidRPr="00221992">
        <w:rPr>
          <w:lang w:val="en-GB"/>
        </w:rPr>
        <w:t xml:space="preserve"> </w:t>
      </w:r>
      <w:r w:rsidRPr="00221992">
        <w:rPr>
          <w:lang w:val="en-GB"/>
        </w:rPr>
        <w:t>suboptimal clinical decision</w:t>
      </w:r>
      <w:r w:rsidR="00026D9A">
        <w:rPr>
          <w:lang w:val="en-GB"/>
        </w:rPr>
        <w:t xml:space="preserve"> making in some circumstances </w:t>
      </w:r>
      <w:r w:rsidRPr="00221992">
        <w:rPr>
          <w:lang w:val="en-GB"/>
        </w:rPr>
        <w:fldChar w:fldCharType="begin">
          <w:fldData xml:space="preserve">PEVuZE5vdGU+PENpdGU+PEF1dGhvcj5LYXN6dHVyYTwvQXV0aG9yPjxZZWFyPjIwMTk8L1llYXI+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</w:fldData>
        </w:fldChar>
      </w:r>
      <w:r w:rsidR="000F3524">
        <w:rPr>
          <w:lang w:val="en-GB"/>
        </w:rPr>
        <w:instrText xml:space="preserve"> ADDIN EN.CITE </w:instrText>
      </w:r>
      <w:r w:rsidR="000F3524">
        <w:rPr>
          <w:lang w:val="en-GB"/>
        </w:rPr>
        <w:fldChar w:fldCharType="begin">
          <w:fldData xml:space="preserve">PEVuZE5vdGU+PENpdGU+PEF1dGhvcj5LYXN6dHVyYTwvQXV0aG9yPjxZZWFyPjIwMTk8L1llYXI+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</w:fldData>
        </w:fldChar>
      </w:r>
      <w:r w:rsidR="000F3524">
        <w:rPr>
          <w:lang w:val="en-GB"/>
        </w:rPr>
        <w:instrText xml:space="preserve"> ADDIN EN.CITE.DATA </w:instrText>
      </w:r>
      <w:r w:rsidR="000F3524">
        <w:rPr>
          <w:lang w:val="en-GB"/>
        </w:rPr>
      </w:r>
      <w:r w:rsidR="000F3524">
        <w:rPr>
          <w:lang w:val="en-GB"/>
        </w:rPr>
        <w:fldChar w:fldCharType="end"/>
      </w:r>
      <w:r w:rsidRPr="00221992">
        <w:rPr>
          <w:lang w:val="en-GB"/>
        </w:rPr>
      </w:r>
      <w:r w:rsidRPr="00221992">
        <w:rPr>
          <w:lang w:val="en-GB"/>
        </w:rPr>
        <w:fldChar w:fldCharType="separate"/>
      </w:r>
      <w:r w:rsidR="000F3524">
        <w:rPr>
          <w:noProof/>
          <w:lang w:val="en-GB"/>
        </w:rPr>
        <w:t>[65]</w:t>
      </w:r>
      <w:r w:rsidRPr="00221992">
        <w:rPr>
          <w:lang w:val="en-GB"/>
        </w:rPr>
        <w:fldChar w:fldCharType="end"/>
      </w:r>
      <w:r w:rsidRPr="00221992">
        <w:rPr>
          <w:lang w:val="en-GB"/>
        </w:rPr>
        <w:t xml:space="preserve">. </w:t>
      </w:r>
    </w:p>
    <w:p w14:paraId="6550A013" w14:textId="2CDEF8DE" w:rsidR="00760665" w:rsidRPr="00221992" w:rsidRDefault="00760665" w:rsidP="00760665">
      <w:pPr>
        <w:rPr>
          <w:lang w:val="en-GB"/>
        </w:rPr>
      </w:pPr>
      <w:r w:rsidRPr="00221992">
        <w:rPr>
          <w:lang w:val="en-GB"/>
        </w:rPr>
        <w:t xml:space="preserve">In Australia, co-dependent technologies fall under the purview of two advisory committees: the MSAC, which evaluates the efficacy and cost-effectiveness of the diagnostic test, and the PBAC, which evaluates the pharmaceutical. Co-dependent technologies may be evaluated through two processes </w:t>
      </w:r>
      <w:r w:rsidRPr="00221992">
        <w:rPr>
          <w:lang w:val="en-GB"/>
        </w:rPr>
        <w:fldChar w:fldCharType="begin"/>
      </w:r>
      <w:r w:rsidR="00112E71">
        <w:rPr>
          <w:lang w:val="en-GB"/>
        </w:rPr>
        <w:instrText xml:space="preserve"> ADDIN EN.CITE &lt;EndNote&gt;&lt;Cite&gt;&lt;Author&gt;Department of Health and Aged Care&lt;/Author&gt;&lt;Year&gt;2016&lt;/Year&gt;&lt;RecNum&gt;661&lt;/RecNum&gt;&lt;DisplayText&gt;[70]&lt;/DisplayText&gt;&lt;record&gt;&lt;rec-number&gt;661&lt;/rec-number&gt;&lt;foreign-keys&gt;&lt;key app="EN" db-id="wzwwsfxe4peesxef95cxvrwjxts9rreasarf" timestamp="1693188493"&gt;661&lt;/key&gt;&lt;/foreign-keys&gt;&lt;ref-type name="Web Page"&gt;12&lt;/ref-type&gt;&lt;contributors&gt;&lt;authors&gt;&lt;author&gt;Department of Health and Aged Care,&lt;/author&gt;&lt;/authors&gt;&lt;/contributors&gt;&lt;titles&gt;&lt;title&gt;Product type 4 – Codependent technologies&lt;/title&gt;&lt;/titles&gt;&lt;number&gt;23 August 2023&lt;/number&gt;&lt;dates&gt;&lt;year&gt;2016&lt;/year&gt;&lt;/dates&gt;&lt;pub-location&gt;Canberra&lt;/pub-location&gt;&lt;publisher&gt;Australian Government, Department of Health and Aged Care&lt;/publisher&gt;&lt;urls&gt;&lt;related-urls&gt;&lt;url&gt;https://pbac.pbs.gov.au/product-type-4-codependent-technologies.html&lt;/url&gt;&lt;/related-urls&gt;&lt;/urls&gt;&lt;/record&gt;&lt;/Cite&gt;&lt;/EndNote&gt;</w:instrText>
      </w:r>
      <w:r w:rsidRPr="00221992">
        <w:rPr>
          <w:lang w:val="en-GB"/>
        </w:rPr>
        <w:fldChar w:fldCharType="separate"/>
      </w:r>
      <w:r w:rsidR="00112E71">
        <w:rPr>
          <w:noProof/>
          <w:lang w:val="en-GB"/>
        </w:rPr>
        <w:t>[70]</w:t>
      </w:r>
      <w:r w:rsidRPr="00221992">
        <w:rPr>
          <w:lang w:val="en-GB"/>
        </w:rPr>
        <w:fldChar w:fldCharType="end"/>
      </w:r>
      <w:r w:rsidRPr="00221992">
        <w:rPr>
          <w:lang w:val="en-GB"/>
        </w:rPr>
        <w:t>:</w:t>
      </w:r>
    </w:p>
    <w:p w14:paraId="6119F74E" w14:textId="00FE1C31" w:rsidR="00760665" w:rsidRPr="00221992" w:rsidRDefault="00760665" w:rsidP="00957584">
      <w:pPr>
        <w:pStyle w:val="ListParagraph"/>
        <w:numPr>
          <w:ilvl w:val="0"/>
          <w:numId w:val="46"/>
        </w:numPr>
        <w:rPr>
          <w:lang w:val="en-GB"/>
        </w:rPr>
      </w:pPr>
      <w:r w:rsidRPr="00221992">
        <w:rPr>
          <w:lang w:val="en-GB"/>
        </w:rPr>
        <w:t>Integrated co</w:t>
      </w:r>
      <w:r w:rsidR="00EB7094" w:rsidRPr="00221992">
        <w:rPr>
          <w:lang w:val="en-GB"/>
        </w:rPr>
        <w:t>-</w:t>
      </w:r>
      <w:r w:rsidRPr="00221992">
        <w:rPr>
          <w:lang w:val="en-GB"/>
        </w:rPr>
        <w:t>dependent submission—a combined submission for the two technologies is prepared and considered jointly by the MSAC and PBAC</w:t>
      </w:r>
    </w:p>
    <w:p w14:paraId="3C315596" w14:textId="2F8C387A" w:rsidR="00760665" w:rsidRPr="00221992" w:rsidRDefault="00760665" w:rsidP="00957584">
      <w:pPr>
        <w:pStyle w:val="ListParagraph"/>
        <w:numPr>
          <w:ilvl w:val="0"/>
          <w:numId w:val="46"/>
        </w:numPr>
        <w:rPr>
          <w:lang w:val="en-GB"/>
        </w:rPr>
      </w:pPr>
      <w:r w:rsidRPr="00221992">
        <w:rPr>
          <w:lang w:val="en-GB"/>
        </w:rPr>
        <w:t>Streamlined co</w:t>
      </w:r>
      <w:r w:rsidR="00EB7094" w:rsidRPr="00221992">
        <w:rPr>
          <w:lang w:val="en-GB"/>
        </w:rPr>
        <w:t>-</w:t>
      </w:r>
      <w:r w:rsidRPr="00221992">
        <w:rPr>
          <w:lang w:val="en-GB"/>
        </w:rPr>
        <w:t xml:space="preserve">dependent submissions—individual submissions for each technology (i.e., one for the test and one for the medicine) are lodged at the same time and are considered by </w:t>
      </w:r>
      <w:r w:rsidR="00532444">
        <w:rPr>
          <w:lang w:val="en-GB"/>
        </w:rPr>
        <w:t xml:space="preserve">the </w:t>
      </w:r>
      <w:r w:rsidRPr="00221992">
        <w:rPr>
          <w:lang w:val="en-GB"/>
        </w:rPr>
        <w:t xml:space="preserve">MSAC and PBAC, respectively, in parallel. </w:t>
      </w:r>
    </w:p>
    <w:p w14:paraId="4BAD24B2" w14:textId="6348A775" w:rsidR="00760665" w:rsidRPr="00221992" w:rsidRDefault="00760665" w:rsidP="00760665">
      <w:pPr>
        <w:rPr>
          <w:lang w:val="en-GB"/>
        </w:rPr>
      </w:pPr>
      <w:r w:rsidRPr="00221992">
        <w:rPr>
          <w:lang w:val="en-GB"/>
        </w:rPr>
        <w:t xml:space="preserve">The classification of integrated and streamlined co-dependent submissions is summarised in </w:t>
      </w:r>
      <w:r w:rsidRPr="00221992">
        <w:rPr>
          <w:lang w:val="en-GB"/>
        </w:rPr>
        <w:fldChar w:fldCharType="begin"/>
      </w:r>
      <w:r w:rsidRPr="00221992">
        <w:rPr>
          <w:lang w:val="en-GB"/>
        </w:rPr>
        <w:instrText xml:space="preserve"> REF _Ref143769273 \h </w:instrText>
      </w:r>
      <w:r w:rsidRPr="00221992">
        <w:rPr>
          <w:lang w:val="en-GB"/>
        </w:rPr>
      </w:r>
      <w:r w:rsidRPr="00221992">
        <w:rPr>
          <w:lang w:val="en-GB"/>
        </w:rPr>
        <w:fldChar w:fldCharType="separate"/>
      </w:r>
      <w:r w:rsidR="000E11E7" w:rsidRPr="00221992">
        <w:rPr>
          <w:lang w:val="en-GB"/>
        </w:rPr>
        <w:t xml:space="preserve">Figure </w:t>
      </w:r>
      <w:r w:rsidR="000E11E7">
        <w:rPr>
          <w:noProof/>
          <w:lang w:val="en-GB"/>
        </w:rPr>
        <w:t>17</w:t>
      </w:r>
      <w:r w:rsidRPr="00221992">
        <w:rPr>
          <w:lang w:val="en-GB"/>
        </w:rPr>
        <w:fldChar w:fldCharType="end"/>
      </w:r>
      <w:r w:rsidRPr="00221992">
        <w:rPr>
          <w:lang w:val="en-GB"/>
        </w:rPr>
        <w:t>.</w:t>
      </w:r>
    </w:p>
    <w:p w14:paraId="4C65AC43" w14:textId="7720AAAF" w:rsidR="00760665" w:rsidRPr="00221992" w:rsidRDefault="00760665" w:rsidP="001721AB">
      <w:pPr>
        <w:pStyle w:val="Caption"/>
        <w:rPr>
          <w:lang w:val="en-GB"/>
        </w:rPr>
      </w:pPr>
      <w:bookmarkStart w:id="100" w:name="_Ref143769273"/>
      <w:bookmarkStart w:id="101" w:name="_Toc162950924"/>
      <w:r w:rsidRPr="00221992">
        <w:rPr>
          <w:lang w:val="en-GB"/>
        </w:rPr>
        <w:t xml:space="preserve">Figure </w:t>
      </w:r>
      <w:r w:rsidR="003F72DF" w:rsidRPr="00221992">
        <w:rPr>
          <w:lang w:val="en-GB"/>
        </w:rPr>
        <w:fldChar w:fldCharType="begin"/>
      </w:r>
      <w:r w:rsidR="003F72DF" w:rsidRPr="00221992">
        <w:rPr>
          <w:lang w:val="en-GB"/>
        </w:rPr>
        <w:instrText xml:space="preserve"> SEQ Figure \* ARABIC </w:instrText>
      </w:r>
      <w:r w:rsidR="003F72DF" w:rsidRPr="00221992">
        <w:rPr>
          <w:lang w:val="en-GB"/>
        </w:rPr>
        <w:fldChar w:fldCharType="separate"/>
      </w:r>
      <w:r w:rsidR="000E11E7">
        <w:rPr>
          <w:noProof/>
          <w:lang w:val="en-GB"/>
        </w:rPr>
        <w:t>17</w:t>
      </w:r>
      <w:r w:rsidR="003F72DF" w:rsidRPr="00221992">
        <w:rPr>
          <w:noProof/>
          <w:lang w:val="en-GB"/>
        </w:rPr>
        <w:fldChar w:fldCharType="end"/>
      </w:r>
      <w:bookmarkEnd w:id="100"/>
      <w:r w:rsidRPr="00221992">
        <w:rPr>
          <w:lang w:val="en-GB"/>
        </w:rPr>
        <w:t xml:space="preserve"> Classification of integrated and streamlined co</w:t>
      </w:r>
      <w:r w:rsidR="00EB7094" w:rsidRPr="00221992">
        <w:rPr>
          <w:lang w:val="en-GB"/>
        </w:rPr>
        <w:t>-</w:t>
      </w:r>
      <w:r w:rsidRPr="00221992">
        <w:rPr>
          <w:lang w:val="en-GB"/>
        </w:rPr>
        <w:t>dependent submissions</w:t>
      </w:r>
      <w:bookmarkEnd w:id="101"/>
    </w:p>
    <w:p w14:paraId="738E59E2" w14:textId="77777777" w:rsidR="00760665" w:rsidRPr="00221992" w:rsidRDefault="00760665" w:rsidP="00760665">
      <w:pPr>
        <w:rPr>
          <w:lang w:val="en-GB"/>
        </w:rPr>
      </w:pPr>
      <w:r w:rsidRPr="00221992">
        <w:rPr>
          <w:noProof/>
          <w:lang w:val="en-GB"/>
        </w:rPr>
        <w:drawing>
          <wp:inline distT="0" distB="0" distL="0" distR="0" wp14:anchorId="7F0BD937" wp14:editId="0498FF68">
            <wp:extent cx="5731510" cy="7399020"/>
            <wp:effectExtent l="0" t="0" r="0" b="0"/>
            <wp:docPr id="392825305" name="Picture 392825305" descr="Flowchart P4.1 Classification of integrated and streamlined codependent submiss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lowchart P4.1 Classification of integrated and streamlined codependent submissions"/>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31510" cy="7399020"/>
                    </a:xfrm>
                    <a:prstGeom prst="rect">
                      <a:avLst/>
                    </a:prstGeom>
                    <a:noFill/>
                    <a:ln>
                      <a:noFill/>
                    </a:ln>
                  </pic:spPr>
                </pic:pic>
              </a:graphicData>
            </a:graphic>
          </wp:inline>
        </w:drawing>
      </w:r>
    </w:p>
    <w:p w14:paraId="35433673" w14:textId="77777777" w:rsidR="009E6A9F" w:rsidRPr="00221992" w:rsidRDefault="00760665" w:rsidP="00533CF1">
      <w:pPr>
        <w:pStyle w:val="TableNotes"/>
        <w:rPr>
          <w:lang w:val="en-GB"/>
        </w:rPr>
      </w:pPr>
      <w:r w:rsidRPr="00221992">
        <w:rPr>
          <w:lang w:val="en-GB"/>
        </w:rPr>
        <w:t>Source:</w:t>
      </w:r>
      <w:r w:rsidR="00E07AFE" w:rsidRPr="00221992">
        <w:rPr>
          <w:lang w:val="en-GB"/>
        </w:rPr>
        <w:tab/>
      </w:r>
      <w:r w:rsidRPr="00221992">
        <w:rPr>
          <w:lang w:val="en-GB"/>
        </w:rPr>
        <w:t>Flowchart P4.1, Pharmaceutical Benefits Scheme (2016)</w:t>
      </w:r>
    </w:p>
    <w:p w14:paraId="371B213F" w14:textId="665AFB0F" w:rsidR="00760665" w:rsidRPr="00221992" w:rsidRDefault="009E6A9F" w:rsidP="00533CF1">
      <w:pPr>
        <w:pStyle w:val="TableNotes"/>
        <w:rPr>
          <w:lang w:val="en-GB"/>
        </w:rPr>
      </w:pPr>
      <w:r w:rsidRPr="00221992">
        <w:rPr>
          <w:lang w:val="en-GB"/>
        </w:rPr>
        <w:t>Acronyms</w:t>
      </w:r>
      <w:r w:rsidR="00760665" w:rsidRPr="00221992">
        <w:rPr>
          <w:lang w:val="en-GB"/>
        </w:rPr>
        <w:t>:</w:t>
      </w:r>
      <w:r w:rsidRPr="00221992">
        <w:rPr>
          <w:lang w:val="en-GB"/>
        </w:rPr>
        <w:tab/>
      </w:r>
      <w:r w:rsidR="00760665" w:rsidRPr="00221992">
        <w:rPr>
          <w:lang w:val="en-GB"/>
        </w:rPr>
        <w:t>MBS</w:t>
      </w:r>
      <w:r w:rsidR="00416CA2" w:rsidRPr="00221992">
        <w:rPr>
          <w:lang w:val="en-GB"/>
        </w:rPr>
        <w:t>,</w:t>
      </w:r>
      <w:r w:rsidR="00760665" w:rsidRPr="00221992">
        <w:rPr>
          <w:lang w:val="en-GB"/>
        </w:rPr>
        <w:t xml:space="preserve"> Medicare Benefits Schedule; MSAC</w:t>
      </w:r>
      <w:r w:rsidR="00416CA2" w:rsidRPr="00221992">
        <w:rPr>
          <w:lang w:val="en-GB"/>
        </w:rPr>
        <w:t>,</w:t>
      </w:r>
      <w:r w:rsidR="00760665" w:rsidRPr="00221992">
        <w:rPr>
          <w:lang w:val="en-GB"/>
        </w:rPr>
        <w:t xml:space="preserve"> Medical Services Advisory Committee; PBAC</w:t>
      </w:r>
      <w:r w:rsidR="00416CA2" w:rsidRPr="00221992">
        <w:rPr>
          <w:lang w:val="en-GB"/>
        </w:rPr>
        <w:t>,</w:t>
      </w:r>
      <w:r w:rsidR="00760665" w:rsidRPr="00221992">
        <w:rPr>
          <w:lang w:val="en-GB"/>
        </w:rPr>
        <w:t xml:space="preserve"> Pharmaceutical</w:t>
      </w:r>
      <w:r w:rsidRPr="00221992">
        <w:rPr>
          <w:lang w:val="en-GB"/>
        </w:rPr>
        <w:t xml:space="preserve"> </w:t>
      </w:r>
      <w:r w:rsidR="00760665" w:rsidRPr="00221992">
        <w:rPr>
          <w:lang w:val="en-GB"/>
        </w:rPr>
        <w:t>Benefits</w:t>
      </w:r>
      <w:r w:rsidR="00F71182" w:rsidRPr="00221992">
        <w:rPr>
          <w:lang w:val="en-GB"/>
        </w:rPr>
        <w:t xml:space="preserve"> </w:t>
      </w:r>
      <w:r w:rsidR="00760665" w:rsidRPr="00221992">
        <w:rPr>
          <w:lang w:val="en-GB"/>
        </w:rPr>
        <w:t>Advisory Committee</w:t>
      </w:r>
    </w:p>
    <w:p w14:paraId="26D7482D" w14:textId="315F6E66" w:rsidR="00760665" w:rsidRPr="00221992" w:rsidRDefault="00760665" w:rsidP="00760665">
      <w:pPr>
        <w:rPr>
          <w:lang w:val="en-GB"/>
        </w:rPr>
      </w:pPr>
      <w:r w:rsidRPr="00221992">
        <w:rPr>
          <w:lang w:val="en-GB"/>
        </w:rPr>
        <w:t xml:space="preserve">A review of co-dependent submissions in Australia from March 2011 to December 2018 investigated the average number of submissions required to obtain a PBAC recommendation, and the average time from date of registration to date of PBS listing </w:t>
      </w:r>
      <w:r w:rsidRPr="00221992">
        <w:rPr>
          <w:lang w:val="en-GB"/>
        </w:rPr>
        <w:fldChar w:fldCharType="begin"/>
      </w:r>
      <w:r w:rsidR="00112E71">
        <w:rPr>
          <w:lang w:val="en-GB"/>
        </w:rPr>
        <w:instrText xml:space="preserve"> ADDIN EN.CITE &lt;EndNote&gt;&lt;Cite&gt;&lt;Author&gt;Tran&lt;/Author&gt;&lt;Year&gt;2019&lt;/Year&gt;&lt;RecNum&gt;662&lt;/RecNum&gt;&lt;DisplayText&gt;[71]&lt;/DisplayText&gt;&lt;record&gt;&lt;rec-number&gt;662&lt;/rec-number&gt;&lt;foreign-keys&gt;&lt;key app="EN" db-id="wzwwsfxe4peesxef95cxvrwjxts9rreasarf" timestamp="1693188493"&gt;662&lt;/key&gt;&lt;/foreign-keys&gt;&lt;ref-type name="Journal Article"&gt;17&lt;/ref-type&gt;&lt;contributors&gt;&lt;authors&gt;&lt;author&gt;Tran, G.&lt;/author&gt;&lt;author&gt;Underwood, B.&lt;/author&gt;&lt;author&gt;Wonder, M.&lt;/author&gt;&lt;/authors&gt;&lt;/contributors&gt;&lt;titles&gt;&lt;title&gt;Are cancer drugs associated with a companion diagnostic test taking longer to be reimbursed in Australia?&lt;/title&gt;&lt;secondary-title&gt;Value in Health&lt;/secondary-title&gt;&lt;/titles&gt;&lt;periodical&gt;&lt;full-title&gt;Value in Health&lt;/full-title&gt;&lt;/periodical&gt;&lt;pages&gt;S505&lt;/pages&gt;&lt;volume&gt;22&lt;/volume&gt;&lt;dates&gt;&lt;year&gt;2019&lt;/year&gt;&lt;/dates&gt;&lt;publisher&gt;Elsevier&lt;/publisher&gt;&lt;isbn&gt;1098-3015&lt;/isbn&gt;&lt;urls&gt;&lt;related-urls&gt;&lt;url&gt;https://doi.org/10.1016/j.jval.2019.09.551&lt;/url&gt;&lt;/related-urls&gt;&lt;/urls&gt;&lt;electronic-resource-num&gt;10.1016/j.jval.2019.09.551&lt;/electronic-resource-num&gt;&lt;access-date&gt;2023/08/23&lt;/access-date&gt;&lt;/record&gt;&lt;/Cite&gt;&lt;/EndNote&gt;</w:instrText>
      </w:r>
      <w:r w:rsidRPr="00221992">
        <w:rPr>
          <w:lang w:val="en-GB"/>
        </w:rPr>
        <w:fldChar w:fldCharType="separate"/>
      </w:r>
      <w:r w:rsidR="00112E71">
        <w:rPr>
          <w:noProof/>
          <w:lang w:val="en-GB"/>
        </w:rPr>
        <w:t>[71]</w:t>
      </w:r>
      <w:r w:rsidRPr="00221992">
        <w:rPr>
          <w:lang w:val="en-GB"/>
        </w:rPr>
        <w:fldChar w:fldCharType="end"/>
      </w:r>
      <w:r w:rsidRPr="00221992">
        <w:rPr>
          <w:lang w:val="en-GB"/>
        </w:rPr>
        <w:t>. Findings indicate that co-dependent submissions generally required a higher number of PBAC submissions: cancer medicines with an associated MSAC submission took, on average, 2.27 PBAC submissions to obtain a PBAC recommendation; cancer medicines with no MSAC submission required an average 2.03 PBAC submissions. Cancer medicines with an associated MSAC submission also took longer, on average, to be listed on the PBS after registration (1,493 days versus 717 days). The study authors, who were affiliated with Biogen Australia and Wonder Drug Consulting Pty. Ltd., did not clarify which medicines were included and advised caution with respect to the interpretation of results, “given the inclusion of some medicines with a complex history” (Tran et al., 2019, p. S505).</w:t>
      </w:r>
    </w:p>
    <w:p w14:paraId="2BF8BB78" w14:textId="49F6DDFD" w:rsidR="00760665" w:rsidRPr="00221992" w:rsidRDefault="00760665" w:rsidP="00760665">
      <w:pPr>
        <w:rPr>
          <w:lang w:val="en-GB"/>
        </w:rPr>
      </w:pPr>
      <w:r w:rsidRPr="00221992">
        <w:rPr>
          <w:lang w:val="en-GB"/>
        </w:rPr>
        <w:t xml:space="preserve">In Canada, co-dependent technologies often go through separate regulatory and reimbursement pathways. Some regulatory processes are federal, while others—such as lab-developed diagnostic tests and services—have provincial oversight. Similarly, reimbursement may be at the provincial, regional health authority or hospital level, depending on the technology and jurisdiction. These system fragmentations lead to challenges in the funding and reimbursement of precision medicine technologies, and new evaluative approaches will be needed to help balance the need for evaluation and timely access for patients </w:t>
      </w:r>
      <w:r w:rsidRPr="00221992">
        <w:rPr>
          <w:lang w:val="en-GB"/>
        </w:rPr>
        <w:fldChar w:fldCharType="begin"/>
      </w:r>
      <w:r w:rsidR="00502639">
        <w:rPr>
          <w:lang w:val="en-GB"/>
        </w:rPr>
        <w:instrText xml:space="preserve"> ADDIN EN.CITE &lt;EndNote&gt;&lt;Cite&gt;&lt;Author&gt;Canadian Agency for Drugs and Technologies in Health (CADTH)&lt;/Author&gt;&lt;Year&gt;2023&lt;/Year&gt;&lt;RecNum&gt;663&lt;/RecNum&gt;&lt;DisplayText&gt;[72]&lt;/DisplayText&gt;&lt;record&gt;&lt;rec-number&gt;663&lt;/rec-number&gt;&lt;foreign-keys&gt;&lt;key app="EN" db-id="wzwwsfxe4peesxef95cxvrwjxts9rreasarf" timestamp="1693188493"&gt;663&lt;/key&gt;&lt;/foreign-keys&gt;&lt;ref-type name="Report"&gt;27&lt;/ref-type&gt;&lt;contributors&gt;&lt;authors&gt;&lt;author&gt;Canadian Agency for Drugs and Technologies in Health (CADTH),&lt;/author&gt;&lt;/authors&gt;&lt;tertiary-authors&gt;&lt;author&gt;Canadian Agency for Drugs and Technologies in Health (CADTH),&lt;/author&gt;&lt;/tertiary-authors&gt;&lt;/contributors&gt;&lt;titles&gt;&lt;title&gt;Challenges in Regulating and Evaluating Precision Medicine Technologies&lt;/title&gt;&lt;/titles&gt;&lt;dates&gt;&lt;year&gt;2023&lt;/year&gt;&lt;/dates&gt;&lt;pub-location&gt;Ottowa&lt;/pub-location&gt;&lt;urls&gt;&lt;related-urls&gt;&lt;url&gt;https://www.cadth.ca/challenges-regulating-and-evaluating-precision-medicine-technologies&lt;/url&gt;&lt;/related-urls&gt;&lt;/urls&gt;&lt;/record&gt;&lt;/Cite&gt;&lt;/EndNote&gt;</w:instrText>
      </w:r>
      <w:r w:rsidRPr="00221992">
        <w:rPr>
          <w:lang w:val="en-GB"/>
        </w:rPr>
        <w:fldChar w:fldCharType="separate"/>
      </w:r>
      <w:r w:rsidR="00502639">
        <w:rPr>
          <w:noProof/>
          <w:lang w:val="en-GB"/>
        </w:rPr>
        <w:t>[72]</w:t>
      </w:r>
      <w:r w:rsidRPr="00221992">
        <w:rPr>
          <w:lang w:val="en-GB"/>
        </w:rPr>
        <w:fldChar w:fldCharType="end"/>
      </w:r>
      <w:r w:rsidRPr="00221992">
        <w:rPr>
          <w:lang w:val="en-GB"/>
        </w:rPr>
        <w:t>. Typically, co-dependent technologies are reviewed as a CADTH Common Drug Review or pan-Canadian Oncology Drug Review, after which the CADTH Canadian Drug Expert Committee or pCODR Expert Review Committee will deliberate before a recommendation is issued. This process should take less than 10 months.</w:t>
      </w:r>
    </w:p>
    <w:p w14:paraId="003CAB43" w14:textId="5306AC64" w:rsidR="00760665" w:rsidRPr="00221992" w:rsidRDefault="00760665" w:rsidP="00760665">
      <w:pPr>
        <w:rPr>
          <w:lang w:val="en-GB"/>
        </w:rPr>
      </w:pPr>
      <w:r w:rsidRPr="00221992">
        <w:rPr>
          <w:lang w:val="en-GB"/>
        </w:rPr>
        <w:t xml:space="preserve">A brief description of the procedures for including co-dependant tests within the benefit catalogue in </w:t>
      </w:r>
      <w:r w:rsidR="00164C04" w:rsidRPr="00221992">
        <w:rPr>
          <w:lang w:val="en-GB"/>
        </w:rPr>
        <w:t xml:space="preserve">European countries and </w:t>
      </w:r>
      <w:r w:rsidR="00213502" w:rsidRPr="00221992">
        <w:rPr>
          <w:lang w:val="en-GB"/>
        </w:rPr>
        <w:t>England/Wales</w:t>
      </w:r>
      <w:r w:rsidRPr="00221992" w:rsidDel="00164C04">
        <w:rPr>
          <w:lang w:val="en-GB"/>
        </w:rPr>
        <w:t xml:space="preserve"> </w:t>
      </w:r>
      <w:r w:rsidRPr="00221992">
        <w:rPr>
          <w:lang w:val="en-GB"/>
        </w:rPr>
        <w:t xml:space="preserve">is provided below, based on a published summary of translated government documents </w:t>
      </w:r>
      <w:r w:rsidRPr="00221992">
        <w:rPr>
          <w:lang w:val="en-GB"/>
        </w:rPr>
        <w:fldChar w:fldCharType="begin">
          <w:fldData xml:space="preserve">PEVuZE5vdGU+PENpdGU+PEF1dGhvcj5Hb3ZhZXJ0czwvQXV0aG9yPjxZZWFyPjIwMjA8L1llYXI+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</w:fldData>
        </w:fldChar>
      </w:r>
      <w:r w:rsidR="000F3524">
        <w:rPr>
          <w:lang w:val="en-GB"/>
        </w:rPr>
        <w:instrText xml:space="preserve"> ADDIN EN.CITE </w:instrText>
      </w:r>
      <w:r w:rsidR="000F3524">
        <w:rPr>
          <w:lang w:val="en-GB"/>
        </w:rPr>
        <w:fldChar w:fldCharType="begin">
          <w:fldData xml:space="preserve">PEVuZE5vdGU+PENpdGU+PEF1dGhvcj5Hb3ZhZXJ0czwvQXV0aG9yPjxZZWFyPjIwMjA8L1llYXI+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</w:fldData>
        </w:fldChar>
      </w:r>
      <w:r w:rsidR="000F3524">
        <w:rPr>
          <w:lang w:val="en-GB"/>
        </w:rPr>
        <w:instrText xml:space="preserve"> ADDIN EN.CITE.DATA </w:instrText>
      </w:r>
      <w:r w:rsidR="000F3524">
        <w:rPr>
          <w:lang w:val="en-GB"/>
        </w:rPr>
      </w:r>
      <w:r w:rsidR="000F3524">
        <w:rPr>
          <w:lang w:val="en-GB"/>
        </w:rPr>
        <w:fldChar w:fldCharType="end"/>
      </w:r>
      <w:r w:rsidRPr="00221992">
        <w:rPr>
          <w:lang w:val="en-GB"/>
        </w:rPr>
      </w:r>
      <w:r w:rsidRPr="00221992">
        <w:rPr>
          <w:lang w:val="en-GB"/>
        </w:rPr>
        <w:fldChar w:fldCharType="separate"/>
      </w:r>
      <w:r w:rsidR="000F3524">
        <w:rPr>
          <w:noProof/>
          <w:lang w:val="en-GB"/>
        </w:rPr>
        <w:t>[69]</w:t>
      </w:r>
      <w:r w:rsidRPr="00221992">
        <w:rPr>
          <w:lang w:val="en-GB"/>
        </w:rPr>
        <w:fldChar w:fldCharType="end"/>
      </w:r>
      <w:r w:rsidRPr="00221992">
        <w:rPr>
          <w:lang w:val="en-GB"/>
        </w:rPr>
        <w:t>.</w:t>
      </w:r>
      <w:r w:rsidR="00164C04" w:rsidRPr="00221992">
        <w:rPr>
          <w:lang w:val="en-GB"/>
        </w:rPr>
        <w:t xml:space="preserve"> </w:t>
      </w:r>
    </w:p>
    <w:p w14:paraId="5FF6BFC3" w14:textId="351B085F" w:rsidR="00760665" w:rsidRPr="00221992" w:rsidRDefault="00760665" w:rsidP="00760665">
      <w:pPr>
        <w:rPr>
          <w:lang w:val="en-GB"/>
        </w:rPr>
      </w:pPr>
      <w:r w:rsidRPr="00221992">
        <w:rPr>
          <w:lang w:val="en-GB"/>
        </w:rPr>
        <w:t>Belgium</w:t>
      </w:r>
      <w:r w:rsidR="00551786">
        <w:rPr>
          <w:lang w:val="en-GB"/>
        </w:rPr>
        <w:t>’</w:t>
      </w:r>
      <w:r w:rsidRPr="00221992">
        <w:rPr>
          <w:lang w:val="en-GB"/>
        </w:rPr>
        <w:t>s national HTA agency</w:t>
      </w:r>
      <w:r w:rsidR="0067528A" w:rsidRPr="00221992">
        <w:rPr>
          <w:lang w:val="en-GB"/>
        </w:rPr>
        <w:t>,</w:t>
      </w:r>
      <w:r w:rsidRPr="00221992">
        <w:rPr>
          <w:lang w:val="en-GB"/>
        </w:rPr>
        <w:t xml:space="preserve"> </w:t>
      </w:r>
      <w:r w:rsidR="0067528A" w:rsidRPr="00221992">
        <w:rPr>
          <w:lang w:val="en-GB"/>
        </w:rPr>
        <w:t>t</w:t>
      </w:r>
      <w:r w:rsidR="00114F1B" w:rsidRPr="00221992">
        <w:rPr>
          <w:lang w:val="en-GB"/>
        </w:rPr>
        <w:t xml:space="preserve">he Belgian Health Care Knowledge Centre </w:t>
      </w:r>
      <w:r w:rsidR="0067528A" w:rsidRPr="00221992">
        <w:rPr>
          <w:lang w:val="en-GB"/>
        </w:rPr>
        <w:t>(</w:t>
      </w:r>
      <w:r w:rsidR="00114F1B" w:rsidRPr="00221992">
        <w:rPr>
          <w:lang w:val="en-GB"/>
        </w:rPr>
        <w:t>KCE</w:t>
      </w:r>
      <w:r w:rsidR="0067528A" w:rsidRPr="00221992">
        <w:rPr>
          <w:lang w:val="en-GB"/>
        </w:rPr>
        <w:t>),</w:t>
      </w:r>
      <w:r w:rsidR="00114F1B" w:rsidRPr="00221992">
        <w:rPr>
          <w:lang w:val="en-GB"/>
        </w:rPr>
        <w:t xml:space="preserve"> </w:t>
      </w:r>
      <w:r w:rsidRPr="00221992">
        <w:rPr>
          <w:lang w:val="en-GB"/>
        </w:rPr>
        <w:t xml:space="preserve">and the Belgian Cancer Centre proposed a joint procedure at the level of the </w:t>
      </w:r>
      <w:r w:rsidR="00164C04" w:rsidRPr="00221992">
        <w:rPr>
          <w:lang w:val="en-GB"/>
        </w:rPr>
        <w:t xml:space="preserve">National Institute for Health and Disability Insurance (RIZIV) </w:t>
      </w:r>
      <w:r w:rsidRPr="00221992">
        <w:rPr>
          <w:lang w:val="en-GB"/>
        </w:rPr>
        <w:t xml:space="preserve">for the inclusion of medicines and their respective companion diagnostics within the </w:t>
      </w:r>
      <w:r w:rsidR="00551786">
        <w:rPr>
          <w:lang w:val="en-GB"/>
        </w:rPr>
        <w:t>‘</w:t>
      </w:r>
      <w:r w:rsidRPr="00221992">
        <w:rPr>
          <w:lang w:val="en-GB"/>
        </w:rPr>
        <w:t>benefit basket</w:t>
      </w:r>
      <w:r w:rsidR="00551786">
        <w:rPr>
          <w:lang w:val="en-GB"/>
        </w:rPr>
        <w:t>’</w:t>
      </w:r>
      <w:r w:rsidR="00702B8D" w:rsidRPr="00221992">
        <w:rPr>
          <w:lang w:val="en-GB"/>
        </w:rPr>
        <w:t xml:space="preserve"> to be considered</w:t>
      </w:r>
      <w:r w:rsidR="009D0041" w:rsidRPr="00221992">
        <w:rPr>
          <w:lang w:val="en-GB"/>
        </w:rPr>
        <w:t xml:space="preserve"> during HTA</w:t>
      </w:r>
      <w:r w:rsidRPr="00221992">
        <w:rPr>
          <w:lang w:val="en-GB"/>
        </w:rPr>
        <w:t xml:space="preserve">. Factors motivating this recommendation included the asynchronous decision-making for inclusion of medicines and their companion diagnostics. A (2019) royal decree established a novel article in the Belgian benefit package (Article 33ter) linked to an annex in the benefit basket containing biomarkers eligible for reimbursement, which can be updated at the request of the pharmaceutical reimbursement commission to include novel companion diagnostic medical </w:t>
      </w:r>
      <w:r w:rsidR="00BB1D21" w:rsidRPr="00221992">
        <w:rPr>
          <w:lang w:val="en-GB"/>
        </w:rPr>
        <w:t>tests</w:t>
      </w:r>
      <w:r w:rsidRPr="00221992">
        <w:rPr>
          <w:lang w:val="en-GB"/>
        </w:rPr>
        <w:t xml:space="preserve">. In principle, this annex can be updated each month in concert with the respective medicine, effectively creating a joint assessment and decision-making procedure </w:t>
      </w:r>
      <w:r w:rsidR="009E17A0">
        <w:rPr>
          <w:lang w:val="en-GB"/>
        </w:rPr>
        <w:t>for</w:t>
      </w:r>
      <w:r w:rsidR="009E17A0" w:rsidRPr="00221992">
        <w:rPr>
          <w:lang w:val="en-GB"/>
        </w:rPr>
        <w:t xml:space="preserve"> </w:t>
      </w:r>
      <w:r w:rsidRPr="00221992">
        <w:rPr>
          <w:lang w:val="en-GB"/>
        </w:rPr>
        <w:t>inclusion in the benefit package.</w:t>
      </w:r>
    </w:p>
    <w:p w14:paraId="18279407" w14:textId="1802C793" w:rsidR="00760665" w:rsidRPr="00221992" w:rsidRDefault="00760665" w:rsidP="001721AB">
      <w:pPr>
        <w:pStyle w:val="Caption"/>
        <w:rPr>
          <w:lang w:val="en-GB"/>
        </w:rPr>
      </w:pPr>
      <w:bookmarkStart w:id="102" w:name="_Toc162950925"/>
      <w:r w:rsidRPr="00221992">
        <w:rPr>
          <w:lang w:val="en-GB"/>
        </w:rPr>
        <w:t xml:space="preserve">Figure </w:t>
      </w:r>
      <w:r w:rsidR="003F72DF" w:rsidRPr="00221992">
        <w:rPr>
          <w:lang w:val="en-GB"/>
        </w:rPr>
        <w:fldChar w:fldCharType="begin"/>
      </w:r>
      <w:r w:rsidR="003F72DF" w:rsidRPr="00221992">
        <w:rPr>
          <w:lang w:val="en-GB"/>
        </w:rPr>
        <w:instrText xml:space="preserve"> SEQ Figure \* ARABIC </w:instrText>
      </w:r>
      <w:r w:rsidR="003F72DF" w:rsidRPr="00221992">
        <w:rPr>
          <w:lang w:val="en-GB"/>
        </w:rPr>
        <w:fldChar w:fldCharType="separate"/>
      </w:r>
      <w:r w:rsidR="000E11E7">
        <w:rPr>
          <w:noProof/>
          <w:lang w:val="en-GB"/>
        </w:rPr>
        <w:t>18</w:t>
      </w:r>
      <w:r w:rsidR="003F72DF" w:rsidRPr="00221992">
        <w:rPr>
          <w:noProof/>
          <w:lang w:val="en-GB"/>
        </w:rPr>
        <w:fldChar w:fldCharType="end"/>
      </w:r>
      <w:r w:rsidRPr="00221992">
        <w:rPr>
          <w:lang w:val="en-GB"/>
        </w:rPr>
        <w:t xml:space="preserve"> Companion diagnostic reimbursement procedure in Belgium</w:t>
      </w:r>
      <w:bookmarkEnd w:id="102"/>
    </w:p>
    <w:p w14:paraId="41669182" w14:textId="77777777" w:rsidR="00760665" w:rsidRPr="00221992" w:rsidRDefault="00760665" w:rsidP="00760665">
      <w:pPr>
        <w:rPr>
          <w:lang w:val="en-GB"/>
        </w:rPr>
      </w:pPr>
      <w:r w:rsidRPr="00221992">
        <w:rPr>
          <w:noProof/>
          <w:lang w:val="en-GB"/>
        </w:rPr>
        <w:drawing>
          <wp:inline distT="0" distB="0" distL="0" distR="0" wp14:anchorId="7C8AE5F6" wp14:editId="46FB9C68">
            <wp:extent cx="5731510" cy="2122170"/>
            <wp:effectExtent l="0" t="0" r="0" b="0"/>
            <wp:docPr id="83622332" name="Picture 83622332" descr="a flow chart of the companion diagnostic reimbursement procedure in Belgi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622332"/>
                    <pic:cNvPicPr/>
                  </pic:nvPicPr>
                  <pic:blipFill>
                    <a:blip r:embed="rId36">
                      <a:extLst>
                        <a:ext uri="{28A0092B-C50C-407E-A947-70E740481C1C}">
                          <a14:useLocalDpi xmlns:a14="http://schemas.microsoft.com/office/drawing/2010/main" val="0"/>
                        </a:ext>
                      </a:extLst>
                    </a:blip>
                    <a:stretch>
                      <a:fillRect/>
                    </a:stretch>
                  </pic:blipFill>
                  <pic:spPr>
                    <a:xfrm>
                      <a:off x="0" y="0"/>
                      <a:ext cx="5731510" cy="2122170"/>
                    </a:xfrm>
                    <a:prstGeom prst="rect">
                      <a:avLst/>
                    </a:prstGeom>
                  </pic:spPr>
                </pic:pic>
              </a:graphicData>
            </a:graphic>
          </wp:inline>
        </w:drawing>
      </w:r>
      <w:r w:rsidRPr="00221992">
        <w:rPr>
          <w:lang w:val="en-GB"/>
        </w:rPr>
        <w:t xml:space="preserve"> </w:t>
      </w:r>
    </w:p>
    <w:p w14:paraId="1324C077" w14:textId="54D4A613" w:rsidR="0025720B" w:rsidRPr="00221992" w:rsidRDefault="00760665" w:rsidP="00533CF1">
      <w:pPr>
        <w:pStyle w:val="TableNotes"/>
        <w:rPr>
          <w:lang w:val="en-GB"/>
        </w:rPr>
      </w:pPr>
      <w:r w:rsidRPr="00221992">
        <w:rPr>
          <w:lang w:val="en-GB"/>
        </w:rPr>
        <w:t xml:space="preserve">Source: </w:t>
      </w:r>
      <w:r w:rsidR="00D15D82" w:rsidRPr="00221992">
        <w:rPr>
          <w:lang w:val="en-GB"/>
        </w:rPr>
        <w:tab/>
      </w:r>
      <w:r w:rsidRPr="00221992">
        <w:rPr>
          <w:lang w:val="en-GB"/>
        </w:rPr>
        <w:t>Figure 1, p</w:t>
      </w:r>
      <w:r w:rsidR="00416CA2" w:rsidRPr="00221992">
        <w:rPr>
          <w:lang w:val="en-GB"/>
        </w:rPr>
        <w:t>.</w:t>
      </w:r>
      <w:r w:rsidRPr="00221992">
        <w:rPr>
          <w:lang w:val="en-GB"/>
        </w:rPr>
        <w:t xml:space="preserve"> 612, Govaerts et al. (2020)</w:t>
      </w:r>
    </w:p>
    <w:p w14:paraId="16E8EE36" w14:textId="708CDE1A" w:rsidR="00760665" w:rsidRPr="00221992" w:rsidRDefault="00D15D82" w:rsidP="00533CF1">
      <w:pPr>
        <w:pStyle w:val="TableNotes"/>
        <w:rPr>
          <w:lang w:val="en-GB"/>
        </w:rPr>
      </w:pPr>
      <w:r w:rsidRPr="00221992">
        <w:rPr>
          <w:lang w:val="en-GB"/>
        </w:rPr>
        <w:t>Notes:</w:t>
      </w:r>
      <w:r w:rsidRPr="00221992">
        <w:rPr>
          <w:lang w:val="en-GB"/>
        </w:rPr>
        <w:tab/>
      </w:r>
      <w:r w:rsidR="00760665" w:rsidRPr="00221992">
        <w:rPr>
          <w:lang w:val="en-GB"/>
        </w:rPr>
        <w:t>Oranges boxes = entities (institution/Persons/Committees); Grey boxes = Umbrella entities; White Boxes = Actions (Assessment,</w:t>
      </w:r>
      <w:r w:rsidR="003A1087" w:rsidRPr="00221992">
        <w:rPr>
          <w:lang w:val="en-GB"/>
        </w:rPr>
        <w:t xml:space="preserve"> </w:t>
      </w:r>
      <w:r w:rsidR="00760665" w:rsidRPr="00221992">
        <w:rPr>
          <w:lang w:val="en-GB"/>
        </w:rPr>
        <w:t>Appraisal, Decision (&amp; Publication) and tariffing); Arrows = Flow of information; Dashed Arrows = Conditional flow of</w:t>
      </w:r>
      <w:r w:rsidR="0025720B" w:rsidRPr="00221992">
        <w:rPr>
          <w:lang w:val="en-GB"/>
        </w:rPr>
        <w:t xml:space="preserve"> </w:t>
      </w:r>
      <w:r w:rsidR="00760665" w:rsidRPr="00221992">
        <w:rPr>
          <w:lang w:val="en-GB"/>
        </w:rPr>
        <w:t>information (not necessary).</w:t>
      </w:r>
    </w:p>
    <w:p w14:paraId="01075A20" w14:textId="691D0761" w:rsidR="00760665" w:rsidRPr="00221992" w:rsidRDefault="00760665" w:rsidP="00760665">
      <w:pPr>
        <w:rPr>
          <w:lang w:val="en-GB"/>
        </w:rPr>
      </w:pPr>
      <w:r w:rsidRPr="00221992">
        <w:rPr>
          <w:lang w:val="en-GB"/>
        </w:rPr>
        <w:t>England</w:t>
      </w:r>
      <w:r w:rsidR="00213502" w:rsidRPr="00221992">
        <w:rPr>
          <w:lang w:val="en-GB"/>
        </w:rPr>
        <w:t>/</w:t>
      </w:r>
      <w:r w:rsidRPr="00221992">
        <w:rPr>
          <w:lang w:val="en-GB"/>
        </w:rPr>
        <w:t>Wales—Assessment and appraisal is performed by NICE. Three pathways apply:</w:t>
      </w:r>
    </w:p>
    <w:p w14:paraId="12191C33" w14:textId="6E127B3A" w:rsidR="00760665" w:rsidRPr="00221992" w:rsidRDefault="00760665" w:rsidP="00957584">
      <w:pPr>
        <w:pStyle w:val="ListParagraph"/>
        <w:numPr>
          <w:ilvl w:val="0"/>
          <w:numId w:val="45"/>
        </w:numPr>
        <w:rPr>
          <w:lang w:val="en-GB"/>
        </w:rPr>
      </w:pPr>
      <w:r w:rsidRPr="00221992">
        <w:rPr>
          <w:lang w:val="en-GB"/>
        </w:rPr>
        <w:t xml:space="preserve">Technology Appraisal Programme (TAP) (guidance recommends the diagnostic)—Evidence </w:t>
      </w:r>
      <w:r w:rsidR="001F541A" w:rsidRPr="00221992">
        <w:rPr>
          <w:lang w:val="en-GB"/>
        </w:rPr>
        <w:t xml:space="preserve">submitted </w:t>
      </w:r>
      <w:r w:rsidRPr="00221992">
        <w:rPr>
          <w:lang w:val="en-GB"/>
        </w:rPr>
        <w:t xml:space="preserve">by </w:t>
      </w:r>
      <w:r w:rsidR="001F541A" w:rsidRPr="00221992">
        <w:rPr>
          <w:lang w:val="en-GB"/>
        </w:rPr>
        <w:t xml:space="preserve">the </w:t>
      </w:r>
      <w:r w:rsidRPr="00221992">
        <w:rPr>
          <w:lang w:val="en-GB"/>
        </w:rPr>
        <w:t>applicant is reviewed by the evidence review group, with assessment by the technical team. The assessment report is appraised by the appraisal committee. Evaluates clinical effectiveness and cost-effectiveness</w:t>
      </w:r>
      <w:r w:rsidR="00DC29E8">
        <w:rPr>
          <w:lang w:val="en-GB"/>
        </w:rPr>
        <w:t>.</w:t>
      </w:r>
    </w:p>
    <w:p w14:paraId="685B8833" w14:textId="52349C52" w:rsidR="00760665" w:rsidRPr="00221992" w:rsidRDefault="00760665" w:rsidP="00957584">
      <w:pPr>
        <w:pStyle w:val="ListParagraph"/>
        <w:numPr>
          <w:ilvl w:val="0"/>
          <w:numId w:val="45"/>
        </w:numPr>
        <w:rPr>
          <w:lang w:val="en-GB"/>
        </w:rPr>
      </w:pPr>
      <w:r w:rsidRPr="00221992">
        <w:rPr>
          <w:lang w:val="en-GB"/>
        </w:rPr>
        <w:t>Diagnostic assessment program (DAP)—The assessment is carried out via an academic partner, whereas the appraisal can be attributed to the Diagnostic Advisory Committee. Evaluates clinical effectiveness, cost-effectiveness, and quality of evidence</w:t>
      </w:r>
      <w:r w:rsidR="00A21B0D" w:rsidRPr="00221992">
        <w:rPr>
          <w:lang w:val="en-GB"/>
        </w:rPr>
        <w:t xml:space="preserve"> (see Appendix 3, </w:t>
      </w:r>
      <w:r w:rsidR="00A21B0D" w:rsidRPr="00221992">
        <w:rPr>
          <w:lang w:val="en-GB"/>
        </w:rPr>
        <w:fldChar w:fldCharType="begin"/>
      </w:r>
      <w:r w:rsidR="00A21B0D" w:rsidRPr="00FC2972">
        <w:instrText xml:space="preserve"> REF _Ref142993138 \h  \* MERGEFORMAT </w:instrText>
      </w:r>
      <w:r w:rsidR="00A21B0D" w:rsidRPr="00221992">
        <w:rPr>
          <w:lang w:val="en-GB"/>
        </w:rPr>
      </w:r>
      <w:r w:rsidR="00A21B0D" w:rsidRPr="00221992">
        <w:rPr>
          <w:lang w:val="en-GB"/>
        </w:rPr>
        <w:fldChar w:fldCharType="separate"/>
      </w:r>
      <w:r w:rsidR="000E11E7" w:rsidRPr="00221992">
        <w:rPr>
          <w:lang w:val="en-GB"/>
        </w:rPr>
        <w:t xml:space="preserve">Figure </w:t>
      </w:r>
      <w:r w:rsidR="000E11E7">
        <w:rPr>
          <w:noProof/>
        </w:rPr>
        <w:t>38</w:t>
      </w:r>
      <w:r w:rsidR="00A21B0D" w:rsidRPr="00221992">
        <w:rPr>
          <w:lang w:val="en-GB"/>
        </w:rPr>
        <w:fldChar w:fldCharType="end"/>
      </w:r>
      <w:r w:rsidR="00A21B0D" w:rsidRPr="00221992">
        <w:rPr>
          <w:lang w:val="en-GB"/>
        </w:rPr>
        <w:t xml:space="preserve"> for an elaboration on the </w:t>
      </w:r>
      <w:r w:rsidR="00BB14D3" w:rsidRPr="00221992">
        <w:rPr>
          <w:lang w:val="en-GB"/>
        </w:rPr>
        <w:t xml:space="preserve">distinction between </w:t>
      </w:r>
      <w:r w:rsidR="00551786">
        <w:rPr>
          <w:lang w:val="en-GB"/>
        </w:rPr>
        <w:t>‘</w:t>
      </w:r>
      <w:r w:rsidR="00BB14D3" w:rsidRPr="00221992">
        <w:rPr>
          <w:lang w:val="en-GB"/>
        </w:rPr>
        <w:t>assessment</w:t>
      </w:r>
      <w:r w:rsidR="00551786">
        <w:rPr>
          <w:lang w:val="en-GB"/>
        </w:rPr>
        <w:t>’</w:t>
      </w:r>
      <w:r w:rsidR="00BB14D3" w:rsidRPr="00221992">
        <w:rPr>
          <w:lang w:val="en-GB"/>
        </w:rPr>
        <w:t xml:space="preserve"> and </w:t>
      </w:r>
      <w:r w:rsidR="00551786">
        <w:rPr>
          <w:lang w:val="en-GB"/>
        </w:rPr>
        <w:t>‘</w:t>
      </w:r>
      <w:r w:rsidR="00BB14D3" w:rsidRPr="00221992">
        <w:rPr>
          <w:lang w:val="en-GB"/>
        </w:rPr>
        <w:t>appraisal</w:t>
      </w:r>
      <w:r w:rsidR="00551786">
        <w:rPr>
          <w:lang w:val="en-GB"/>
        </w:rPr>
        <w:t>’</w:t>
      </w:r>
      <w:r w:rsidR="00A21B0D" w:rsidRPr="00221992">
        <w:rPr>
          <w:lang w:val="en-GB"/>
        </w:rPr>
        <w:t>)</w:t>
      </w:r>
      <w:r w:rsidR="00DC29E8">
        <w:rPr>
          <w:lang w:val="en-GB"/>
        </w:rPr>
        <w:t>.</w:t>
      </w:r>
    </w:p>
    <w:p w14:paraId="1A84F04C" w14:textId="19B0F4C9" w:rsidR="00760665" w:rsidRPr="00221992" w:rsidRDefault="00760665" w:rsidP="00957584">
      <w:pPr>
        <w:pStyle w:val="ListParagraph"/>
        <w:numPr>
          <w:ilvl w:val="0"/>
          <w:numId w:val="45"/>
        </w:numPr>
        <w:rPr>
          <w:lang w:val="en-GB"/>
        </w:rPr>
      </w:pPr>
      <w:r w:rsidRPr="00221992">
        <w:rPr>
          <w:lang w:val="en-GB"/>
        </w:rPr>
        <w:t>The Medical Technology Evaluation programme (MTEG) runs similarly to DAP. Evaluates benefits to patients and the NHS, determined by reduction of burden and use of resources</w:t>
      </w:r>
      <w:r w:rsidR="00DC29E8">
        <w:rPr>
          <w:lang w:val="en-GB"/>
        </w:rPr>
        <w:t>.</w:t>
      </w:r>
    </w:p>
    <w:p w14:paraId="790354B8" w14:textId="34AB8B67" w:rsidR="00760665" w:rsidRPr="00221992" w:rsidRDefault="00760665" w:rsidP="00760665">
      <w:pPr>
        <w:rPr>
          <w:lang w:val="en-GB"/>
        </w:rPr>
      </w:pPr>
      <w:r w:rsidRPr="00221992">
        <w:rPr>
          <w:lang w:val="en-GB"/>
        </w:rPr>
        <w:t>The time-frame can vary from 37 to 63 weeks. If a topic selection applies (DAP), the process is completed in 12 additional weeks. The appraisal committee/diagnostic advisory committee formulates guidance on the use of the technology, which should be adopted by the local clinical commissioning groups through means of funding and facilitating the implementation of the technology in daily practice. A public consultation is also carried out (for TAP only if the decision is negative). Tariffing of medical acts is conducted between local clinical commissioning groups and providers via a tendering process.</w:t>
      </w:r>
    </w:p>
    <w:p w14:paraId="0FD61121" w14:textId="7B4EBD9D" w:rsidR="00760665" w:rsidRPr="00221992" w:rsidRDefault="00760665" w:rsidP="001721AB">
      <w:pPr>
        <w:pStyle w:val="Caption"/>
        <w:rPr>
          <w:lang w:val="en-GB"/>
        </w:rPr>
      </w:pPr>
      <w:bookmarkStart w:id="103" w:name="_Toc162950926"/>
      <w:r w:rsidRPr="00221992">
        <w:rPr>
          <w:lang w:val="en-GB"/>
        </w:rPr>
        <w:t xml:space="preserve">Figure </w:t>
      </w:r>
      <w:r w:rsidR="003F72DF" w:rsidRPr="00221992">
        <w:rPr>
          <w:lang w:val="en-GB"/>
        </w:rPr>
        <w:fldChar w:fldCharType="begin"/>
      </w:r>
      <w:r w:rsidR="003F72DF" w:rsidRPr="00221992">
        <w:rPr>
          <w:lang w:val="en-GB"/>
        </w:rPr>
        <w:instrText xml:space="preserve"> SEQ Figure \* ARABIC </w:instrText>
      </w:r>
      <w:r w:rsidR="003F72DF" w:rsidRPr="00221992">
        <w:rPr>
          <w:lang w:val="en-GB"/>
        </w:rPr>
        <w:fldChar w:fldCharType="separate"/>
      </w:r>
      <w:r w:rsidR="000E11E7">
        <w:rPr>
          <w:noProof/>
          <w:lang w:val="en-GB"/>
        </w:rPr>
        <w:t>19</w:t>
      </w:r>
      <w:r w:rsidR="003F72DF" w:rsidRPr="00221992">
        <w:rPr>
          <w:noProof/>
          <w:lang w:val="en-GB"/>
        </w:rPr>
        <w:fldChar w:fldCharType="end"/>
      </w:r>
      <w:r w:rsidRPr="00221992">
        <w:rPr>
          <w:lang w:val="en-GB"/>
        </w:rPr>
        <w:t xml:space="preserve"> Companion diagnostic reimbursement procedure in England &amp; Wales</w:t>
      </w:r>
      <w:bookmarkEnd w:id="103"/>
    </w:p>
    <w:p w14:paraId="225BE340" w14:textId="77777777" w:rsidR="00760665" w:rsidRPr="00221992" w:rsidRDefault="00760665" w:rsidP="00760665">
      <w:pPr>
        <w:rPr>
          <w:lang w:val="en-GB"/>
        </w:rPr>
      </w:pPr>
      <w:r w:rsidRPr="00221992">
        <w:rPr>
          <w:noProof/>
          <w:lang w:val="en-GB"/>
        </w:rPr>
        <w:drawing>
          <wp:inline distT="0" distB="0" distL="0" distR="0" wp14:anchorId="0F7807E2" wp14:editId="2B4CA717">
            <wp:extent cx="5731510" cy="1323340"/>
            <wp:effectExtent l="0" t="0" r="0" b="0"/>
            <wp:docPr id="1356373031" name="Picture 1356373031" descr="A flow chart of companion diagnostic reimbursement procedure in England and Wal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6373031"/>
                    <pic:cNvPicPr/>
                  </pic:nvPicPr>
                  <pic:blipFill>
                    <a:blip r:embed="rId37">
                      <a:extLst>
                        <a:ext uri="{28A0092B-C50C-407E-A947-70E740481C1C}">
                          <a14:useLocalDpi xmlns:a14="http://schemas.microsoft.com/office/drawing/2010/main" val="0"/>
                        </a:ext>
                      </a:extLst>
                    </a:blip>
                    <a:stretch>
                      <a:fillRect/>
                    </a:stretch>
                  </pic:blipFill>
                  <pic:spPr>
                    <a:xfrm>
                      <a:off x="0" y="0"/>
                      <a:ext cx="5731510" cy="1323340"/>
                    </a:xfrm>
                    <a:prstGeom prst="rect">
                      <a:avLst/>
                    </a:prstGeom>
                  </pic:spPr>
                </pic:pic>
              </a:graphicData>
            </a:graphic>
          </wp:inline>
        </w:drawing>
      </w:r>
    </w:p>
    <w:p w14:paraId="313A205D" w14:textId="727ECEA1" w:rsidR="0025720B" w:rsidRPr="00221992" w:rsidRDefault="00760665" w:rsidP="00533CF1">
      <w:pPr>
        <w:pStyle w:val="TableNotes"/>
        <w:rPr>
          <w:lang w:val="en-GB"/>
        </w:rPr>
      </w:pPr>
      <w:r w:rsidRPr="00221992">
        <w:rPr>
          <w:lang w:val="en-GB"/>
        </w:rPr>
        <w:t xml:space="preserve">Source: </w:t>
      </w:r>
      <w:r w:rsidR="00AA5F12" w:rsidRPr="00221992">
        <w:rPr>
          <w:lang w:val="en-GB"/>
        </w:rPr>
        <w:tab/>
      </w:r>
      <w:r w:rsidRPr="00221992">
        <w:rPr>
          <w:lang w:val="en-GB"/>
        </w:rPr>
        <w:t>Supplementary information, Govaerts et al. (2020)</w:t>
      </w:r>
    </w:p>
    <w:p w14:paraId="3A29D3EF" w14:textId="00DB42D3" w:rsidR="00760665" w:rsidRPr="00221992" w:rsidRDefault="00AA5F12" w:rsidP="00533CF1">
      <w:pPr>
        <w:pStyle w:val="TableNotes"/>
        <w:rPr>
          <w:lang w:val="en-GB"/>
        </w:rPr>
      </w:pPr>
      <w:r w:rsidRPr="00221992">
        <w:rPr>
          <w:lang w:val="en-GB"/>
        </w:rPr>
        <w:t>Notes:</w:t>
      </w:r>
      <w:r w:rsidRPr="00221992">
        <w:rPr>
          <w:lang w:val="en-GB"/>
        </w:rPr>
        <w:tab/>
      </w:r>
      <w:r w:rsidR="00760665" w:rsidRPr="00221992">
        <w:rPr>
          <w:lang w:val="en-GB"/>
        </w:rPr>
        <w:t>Oranges boxes = entities (institution/Persons/Committees); Grey boxes = Umbrella entities; White Boxes = Actions (Assessment, Appraisal, Decision (&amp; Publication) and tariffing); Arrows = Flow of information; Dashed Arrows = Conditional flow of information (not necessary).</w:t>
      </w:r>
    </w:p>
    <w:p w14:paraId="71B44ED0" w14:textId="4DA7DD55" w:rsidR="00760665" w:rsidRPr="00221992" w:rsidRDefault="00760665" w:rsidP="00760665">
      <w:pPr>
        <w:rPr>
          <w:lang w:val="en-GB"/>
        </w:rPr>
      </w:pPr>
      <w:r w:rsidRPr="00221992">
        <w:rPr>
          <w:lang w:val="en-GB"/>
        </w:rPr>
        <w:t xml:space="preserve">France—Assessment of the </w:t>
      </w:r>
      <w:r w:rsidR="00DC29E8">
        <w:rPr>
          <w:lang w:val="en-GB"/>
        </w:rPr>
        <w:t>companion</w:t>
      </w:r>
      <w:r w:rsidR="00DC29E8" w:rsidRPr="00221992" w:rsidDel="00CD062B">
        <w:rPr>
          <w:lang w:val="en-GB"/>
        </w:rPr>
        <w:t xml:space="preserve"> </w:t>
      </w:r>
      <w:r w:rsidR="00CD062B" w:rsidRPr="00221992">
        <w:rPr>
          <w:lang w:val="en-GB"/>
        </w:rPr>
        <w:t xml:space="preserve">test </w:t>
      </w:r>
      <w:r w:rsidRPr="00221992">
        <w:rPr>
          <w:lang w:val="en-GB"/>
        </w:rPr>
        <w:t>is conducted by the committee for evaluation of medical procedures of HAS. The appraisal and evaluation of the assessment is carried out by the Commission for Evaluation of Medical devices and Health Technologies of HAS. Technologies are evaluated for efficiency, safety, effectiveness and public health interest. The HAS college formulates advice to the Union Nationale des Caisses d</w:t>
      </w:r>
      <w:r w:rsidR="00551786">
        <w:rPr>
          <w:lang w:val="en-GB"/>
        </w:rPr>
        <w:t>’</w:t>
      </w:r>
      <w:r w:rsidRPr="00221992">
        <w:rPr>
          <w:lang w:val="en-GB"/>
        </w:rPr>
        <w:t xml:space="preserve">Assurance Maladie (UNCAM), who makes the final decision. UNCAM is not obliged to adhere to the advice of HAS. The minister of health can object to the decision. HAS schedules </w:t>
      </w:r>
      <w:r w:rsidR="00DC29E8">
        <w:rPr>
          <w:lang w:val="en-GB"/>
        </w:rPr>
        <w:t>its</w:t>
      </w:r>
      <w:r w:rsidR="00DC29E8" w:rsidRPr="00221992">
        <w:rPr>
          <w:lang w:val="en-GB"/>
        </w:rPr>
        <w:t xml:space="preserve"> </w:t>
      </w:r>
      <w:r w:rsidRPr="00221992">
        <w:rPr>
          <w:lang w:val="en-GB"/>
        </w:rPr>
        <w:t>activities on a yearly basis, with no formal legally binding time frame. Tariffing is conducted at the level of the Committee of Hierarchy on Biological Medical Acts</w:t>
      </w:r>
      <w:r w:rsidR="00DC29E8">
        <w:rPr>
          <w:lang w:val="en-GB"/>
        </w:rPr>
        <w:t xml:space="preserve"> (</w:t>
      </w:r>
      <w:r w:rsidR="00DC29E8" w:rsidRPr="00221992">
        <w:rPr>
          <w:lang w:val="en-GB"/>
        </w:rPr>
        <w:t>UNCAM</w:t>
      </w:r>
      <w:r w:rsidRPr="00221992">
        <w:rPr>
          <w:lang w:val="en-GB"/>
        </w:rPr>
        <w:t>) in</w:t>
      </w:r>
      <w:r w:rsidR="008A6310">
        <w:rPr>
          <w:lang w:val="en-GB"/>
        </w:rPr>
        <w:t xml:space="preserve"> </w:t>
      </w:r>
      <w:r w:rsidRPr="00221992">
        <w:rPr>
          <w:lang w:val="en-GB"/>
        </w:rPr>
        <w:t>consultation with provider organizations.</w:t>
      </w:r>
    </w:p>
    <w:p w14:paraId="2D407D58" w14:textId="3BE2D77A" w:rsidR="00760665" w:rsidRPr="00221992" w:rsidRDefault="00760665" w:rsidP="00760665">
      <w:pPr>
        <w:rPr>
          <w:lang w:val="en-GB"/>
        </w:rPr>
      </w:pPr>
      <w:r w:rsidRPr="00221992">
        <w:rPr>
          <w:lang w:val="en-GB"/>
        </w:rPr>
        <w:t xml:space="preserve">The coverage with evidence development (CED) </w:t>
      </w:r>
      <w:r w:rsidR="001630BA" w:rsidRPr="00221992">
        <w:rPr>
          <w:lang w:val="en-GB"/>
        </w:rPr>
        <w:t>catalogue</w:t>
      </w:r>
      <w:r w:rsidRPr="00221992">
        <w:rPr>
          <w:lang w:val="en-GB"/>
        </w:rPr>
        <w:t xml:space="preserve"> (Le référentiel des actes innovants hors nomenclature de biologie et d</w:t>
      </w:r>
      <w:r w:rsidR="00551786">
        <w:rPr>
          <w:lang w:val="en-GB"/>
        </w:rPr>
        <w:t>’</w:t>
      </w:r>
      <w:r w:rsidRPr="00221992">
        <w:rPr>
          <w:lang w:val="en-GB"/>
        </w:rPr>
        <w:t xml:space="preserve">anatomopathologie), consists of </w:t>
      </w:r>
      <w:r w:rsidRPr="00221992">
        <w:rPr>
          <w:i/>
          <w:lang w:val="en-GB"/>
        </w:rPr>
        <w:t>in vitro</w:t>
      </w:r>
      <w:r w:rsidRPr="00221992">
        <w:rPr>
          <w:lang w:val="en-GB"/>
        </w:rPr>
        <w:t xml:space="preserve"> diagnostic medical tests with an </w:t>
      </w:r>
      <w:r w:rsidR="00551786">
        <w:rPr>
          <w:lang w:val="en-GB"/>
        </w:rPr>
        <w:t>‘</w:t>
      </w:r>
      <w:r w:rsidRPr="00221992">
        <w:rPr>
          <w:lang w:val="en-GB"/>
        </w:rPr>
        <w:t>innovative character,</w:t>
      </w:r>
      <w:r w:rsidR="00551786">
        <w:rPr>
          <w:lang w:val="en-GB"/>
        </w:rPr>
        <w:t>’</w:t>
      </w:r>
      <w:r w:rsidRPr="00221992">
        <w:rPr>
          <w:lang w:val="en-GB"/>
        </w:rPr>
        <w:t xml:space="preserve"> some of which may be considered companion diagnostics. These are conditionally reimbursed with the request to perform further prospective and comparative data collection to validate their efficacy and evaluate their clinical and cost-effectiveness. This is done to facilitate the eventual HAS assessment of these IVD medical acts for their inclusion </w:t>
      </w:r>
      <w:r w:rsidR="00DC29E8">
        <w:rPr>
          <w:lang w:val="en-GB"/>
        </w:rPr>
        <w:t>within</w:t>
      </w:r>
      <w:r w:rsidR="00DC29E8" w:rsidRPr="00221992">
        <w:rPr>
          <w:lang w:val="en-GB"/>
        </w:rPr>
        <w:t xml:space="preserve"> </w:t>
      </w:r>
      <w:r w:rsidRPr="00221992">
        <w:rPr>
          <w:lang w:val="en-GB"/>
        </w:rPr>
        <w:t>the benefit basket at a later date. HAS have provided detailed guidance as to how the agency assesses companion diagnostics and informs reimbursement.</w:t>
      </w:r>
    </w:p>
    <w:p w14:paraId="1E157582" w14:textId="1D0FA360" w:rsidR="00760665" w:rsidRPr="00221992" w:rsidRDefault="00760665" w:rsidP="001721AB">
      <w:pPr>
        <w:pStyle w:val="Caption"/>
        <w:rPr>
          <w:lang w:val="en-GB"/>
        </w:rPr>
      </w:pPr>
      <w:bookmarkStart w:id="104" w:name="_Toc162950927"/>
      <w:r w:rsidRPr="00221992">
        <w:rPr>
          <w:lang w:val="en-GB"/>
        </w:rPr>
        <w:t xml:space="preserve">Figure </w:t>
      </w:r>
      <w:r w:rsidR="003F72DF" w:rsidRPr="00221992">
        <w:rPr>
          <w:lang w:val="en-GB"/>
        </w:rPr>
        <w:fldChar w:fldCharType="begin"/>
      </w:r>
      <w:r w:rsidR="003F72DF" w:rsidRPr="00221992">
        <w:rPr>
          <w:lang w:val="en-GB"/>
        </w:rPr>
        <w:instrText xml:space="preserve"> SEQ Figure \* ARABIC </w:instrText>
      </w:r>
      <w:r w:rsidR="003F72DF" w:rsidRPr="00221992">
        <w:rPr>
          <w:lang w:val="en-GB"/>
        </w:rPr>
        <w:fldChar w:fldCharType="separate"/>
      </w:r>
      <w:r w:rsidR="000E11E7">
        <w:rPr>
          <w:noProof/>
          <w:lang w:val="en-GB"/>
        </w:rPr>
        <w:t>20</w:t>
      </w:r>
      <w:r w:rsidR="003F72DF" w:rsidRPr="00221992">
        <w:rPr>
          <w:noProof/>
          <w:lang w:val="en-GB"/>
        </w:rPr>
        <w:fldChar w:fldCharType="end"/>
      </w:r>
      <w:r w:rsidRPr="00221992">
        <w:rPr>
          <w:lang w:val="en-GB"/>
        </w:rPr>
        <w:t xml:space="preserve"> Companion diagnostic reimbursement procedure in France</w:t>
      </w:r>
      <w:bookmarkEnd w:id="104"/>
    </w:p>
    <w:p w14:paraId="53B43797" w14:textId="0DD3EF73" w:rsidR="00760665" w:rsidRPr="00221992" w:rsidRDefault="00760665" w:rsidP="00533CF1">
      <w:pPr>
        <w:pStyle w:val="TableNotes"/>
        <w:rPr>
          <w:lang w:val="en-GB"/>
        </w:rPr>
      </w:pPr>
      <w:r w:rsidRPr="00221992">
        <w:rPr>
          <w:noProof/>
          <w:lang w:val="en-GB"/>
        </w:rPr>
        <w:drawing>
          <wp:inline distT="0" distB="0" distL="0" distR="0" wp14:anchorId="5F49F374" wp14:editId="5A79E1F9">
            <wp:extent cx="5731510" cy="1129030"/>
            <wp:effectExtent l="0" t="0" r="0" b="0"/>
            <wp:docPr id="892025223" name="Picture 892025223" descr="A flow chart of the Companion diagnostic reimbursement procedure in Franc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2025223"/>
                    <pic:cNvPicPr/>
                  </pic:nvPicPr>
                  <pic:blipFill>
                    <a:blip r:embed="rId38">
                      <a:extLst>
                        <a:ext uri="{28A0092B-C50C-407E-A947-70E740481C1C}">
                          <a14:useLocalDpi xmlns:a14="http://schemas.microsoft.com/office/drawing/2010/main" val="0"/>
                        </a:ext>
                      </a:extLst>
                    </a:blip>
                    <a:stretch>
                      <a:fillRect/>
                    </a:stretch>
                  </pic:blipFill>
                  <pic:spPr>
                    <a:xfrm>
                      <a:off x="0" y="0"/>
                      <a:ext cx="5731510" cy="1129030"/>
                    </a:xfrm>
                    <a:prstGeom prst="rect">
                      <a:avLst/>
                    </a:prstGeom>
                  </pic:spPr>
                </pic:pic>
              </a:graphicData>
            </a:graphic>
          </wp:inline>
        </w:drawing>
      </w:r>
    </w:p>
    <w:p w14:paraId="39CFA4E2" w14:textId="05C9DEB8" w:rsidR="00760665" w:rsidRPr="00221992" w:rsidRDefault="00760665" w:rsidP="00533CF1">
      <w:pPr>
        <w:pStyle w:val="TableNotes"/>
        <w:rPr>
          <w:lang w:val="en-GB"/>
        </w:rPr>
      </w:pPr>
      <w:r w:rsidRPr="00221992">
        <w:rPr>
          <w:lang w:val="en-GB"/>
        </w:rPr>
        <w:t xml:space="preserve">Source: </w:t>
      </w:r>
      <w:r w:rsidR="00272D8B" w:rsidRPr="00221992">
        <w:rPr>
          <w:lang w:val="en-GB"/>
        </w:rPr>
        <w:tab/>
      </w:r>
      <w:r w:rsidRPr="00221992">
        <w:rPr>
          <w:lang w:val="en-GB"/>
        </w:rPr>
        <w:t>Supplementary information, Govaerts et al. (2020)</w:t>
      </w:r>
    </w:p>
    <w:p w14:paraId="3849BC37" w14:textId="2C97EB57" w:rsidR="00760665" w:rsidRPr="00221992" w:rsidRDefault="00272D8B" w:rsidP="00533CF1">
      <w:pPr>
        <w:pStyle w:val="TableNotes"/>
        <w:rPr>
          <w:lang w:val="en-GB"/>
        </w:rPr>
      </w:pPr>
      <w:r w:rsidRPr="00221992">
        <w:rPr>
          <w:lang w:val="en-GB"/>
        </w:rPr>
        <w:t>Notes:</w:t>
      </w:r>
      <w:r w:rsidRPr="00221992">
        <w:rPr>
          <w:lang w:val="en-GB"/>
        </w:rPr>
        <w:tab/>
      </w:r>
      <w:r w:rsidR="00760665" w:rsidRPr="00221992">
        <w:rPr>
          <w:lang w:val="en-GB"/>
        </w:rPr>
        <w:t>Oranges boxes = entities (institution/Persons/Committees); Grey boxes = Umbrella entities; White Boxes = Actions (Assessment, Appraisal, Decision (&amp; Publication) and tariffing); Arrows = Flow of information; Dashed Arrows = Conditional flow of information (not necessary).</w:t>
      </w:r>
    </w:p>
    <w:p w14:paraId="7FC66876" w14:textId="77777777" w:rsidR="00760665" w:rsidRPr="00221992" w:rsidRDefault="00760665" w:rsidP="00760665">
      <w:pPr>
        <w:rPr>
          <w:lang w:val="en-GB"/>
        </w:rPr>
      </w:pPr>
      <w:r w:rsidRPr="00221992">
        <w:rPr>
          <w:lang w:val="en-GB"/>
        </w:rPr>
        <w:t>Germany—An internal assessment by the methods assessment subcommittee of the G-BA is performed, with appraisals performed by the plenary session of the G-BA. Technologies are evaluated for medical need, cost-effectiveness and effectiveness. IQWiG may only be involved upon request by the G-BA. Assessments must be completed within three years; once completed, the G-BA has six months to make a decision. The listing in the Einheitlicher Bewertungsmassstab must be completed six months after the decision of the G-BA. Tariffing is conducted by the Institut des Bewertungsausschusses. The institute facilitates tariffing practices and negotiations between care providers and insurers.</w:t>
      </w:r>
    </w:p>
    <w:p w14:paraId="79A278F1" w14:textId="4C3C76A1" w:rsidR="00760665" w:rsidRPr="00221992" w:rsidRDefault="00760665" w:rsidP="00760665">
      <w:pPr>
        <w:rPr>
          <w:lang w:val="en-GB"/>
        </w:rPr>
      </w:pPr>
      <w:r w:rsidRPr="00221992">
        <w:rPr>
          <w:lang w:val="en-GB"/>
        </w:rPr>
        <w:t xml:space="preserve">The Entwurf eines Gesetzes zur Stärkung der Arzneimittelversorgung in der GKV (AMVSG) sought to ensure access to innovative beneficial medicines through legal reform, which came into effect in 2019. The law states that the decision to update the Einheitlicher Bewertungsmassstab (EBM) with a companion diagnostic medical act should be made at the same time as the decision for reimbursement of novel medicinal products. The G-BA must request that the Institut des Bewertungsausschusses examine the necessity of updating the EBM, and the institute informs the G-BA of the possible adjustments necessary to the EBM and takes appropriate measures to facilitate reimbursement if the medicine is to be reimbursed. In addition, the institute also specifies two procedures related to genomic testing for the inclusion of new laboratory medical or human/tumour genetic IVD acts into the EBM. There are a number of noteworthy changes. </w:t>
      </w:r>
      <w:r w:rsidR="003D2C9E">
        <w:rPr>
          <w:lang w:val="en-GB"/>
        </w:rPr>
        <w:t>T</w:t>
      </w:r>
      <w:r w:rsidRPr="00221992">
        <w:rPr>
          <w:lang w:val="en-GB"/>
        </w:rPr>
        <w:t>he Institut des Bewertungsausschusses is the governing institute</w:t>
      </w:r>
      <w:r w:rsidR="003D2C9E">
        <w:rPr>
          <w:lang w:val="en-GB"/>
        </w:rPr>
        <w:t xml:space="preserve"> and final decision maker. It first</w:t>
      </w:r>
      <w:r w:rsidRPr="00221992">
        <w:rPr>
          <w:lang w:val="en-GB"/>
        </w:rPr>
        <w:t xml:space="preserve"> conducts the assessment and appraisal procedure by means of an internal workgroup. </w:t>
      </w:r>
      <w:r w:rsidR="003D2C9E">
        <w:rPr>
          <w:lang w:val="en-GB"/>
        </w:rPr>
        <w:t>T</w:t>
      </w:r>
      <w:r w:rsidRPr="00221992">
        <w:rPr>
          <w:lang w:val="en-GB"/>
        </w:rPr>
        <w:t xml:space="preserve">he national associations of IVD and medical device manufacturers can </w:t>
      </w:r>
      <w:r w:rsidR="003D2C9E">
        <w:rPr>
          <w:lang w:val="en-GB"/>
        </w:rPr>
        <w:t xml:space="preserve">then </w:t>
      </w:r>
      <w:r w:rsidRPr="00221992">
        <w:rPr>
          <w:lang w:val="en-GB"/>
        </w:rPr>
        <w:t xml:space="preserve">file applications. </w:t>
      </w:r>
      <w:r w:rsidR="003D2C9E">
        <w:rPr>
          <w:lang w:val="en-GB"/>
        </w:rPr>
        <w:t>T</w:t>
      </w:r>
      <w:r w:rsidRPr="00221992">
        <w:rPr>
          <w:lang w:val="en-GB"/>
        </w:rPr>
        <w:t xml:space="preserve">he entire procedure </w:t>
      </w:r>
      <w:r w:rsidR="003D2C9E">
        <w:rPr>
          <w:lang w:val="en-GB"/>
        </w:rPr>
        <w:t>must</w:t>
      </w:r>
      <w:r w:rsidRPr="00221992">
        <w:rPr>
          <w:lang w:val="en-GB"/>
        </w:rPr>
        <w:t xml:space="preserve"> be completed within 24 months, with the possibility of a six-month extension.</w:t>
      </w:r>
    </w:p>
    <w:p w14:paraId="69069BFA" w14:textId="60BD1AE4" w:rsidR="00760665" w:rsidRPr="00221992" w:rsidRDefault="00760665" w:rsidP="001721AB">
      <w:pPr>
        <w:pStyle w:val="Caption"/>
        <w:rPr>
          <w:lang w:val="en-GB"/>
        </w:rPr>
      </w:pPr>
      <w:bookmarkStart w:id="105" w:name="_Toc162950928"/>
      <w:r w:rsidRPr="00221992">
        <w:rPr>
          <w:lang w:val="en-GB"/>
        </w:rPr>
        <w:t xml:space="preserve">Figure </w:t>
      </w:r>
      <w:r w:rsidR="003F72DF" w:rsidRPr="00221992">
        <w:rPr>
          <w:lang w:val="en-GB"/>
        </w:rPr>
        <w:fldChar w:fldCharType="begin"/>
      </w:r>
      <w:r w:rsidR="003F72DF" w:rsidRPr="00221992">
        <w:rPr>
          <w:lang w:val="en-GB"/>
        </w:rPr>
        <w:instrText xml:space="preserve"> SEQ Figure \* ARABIC </w:instrText>
      </w:r>
      <w:r w:rsidR="003F72DF" w:rsidRPr="00221992">
        <w:rPr>
          <w:lang w:val="en-GB"/>
        </w:rPr>
        <w:fldChar w:fldCharType="separate"/>
      </w:r>
      <w:r w:rsidR="000E11E7">
        <w:rPr>
          <w:noProof/>
          <w:lang w:val="en-GB"/>
        </w:rPr>
        <w:t>21</w:t>
      </w:r>
      <w:r w:rsidR="003F72DF" w:rsidRPr="00221992">
        <w:rPr>
          <w:noProof/>
          <w:lang w:val="en-GB"/>
        </w:rPr>
        <w:fldChar w:fldCharType="end"/>
      </w:r>
      <w:r w:rsidRPr="00221992">
        <w:rPr>
          <w:lang w:val="en-GB"/>
        </w:rPr>
        <w:t xml:space="preserve"> Companion diagnostic reimbursement procedure in Germany</w:t>
      </w:r>
      <w:bookmarkEnd w:id="105"/>
    </w:p>
    <w:p w14:paraId="72D0F273" w14:textId="77777777" w:rsidR="008400BF" w:rsidRPr="00221992" w:rsidRDefault="00760665" w:rsidP="00533CF1">
      <w:pPr>
        <w:pStyle w:val="TableNotes"/>
        <w:rPr>
          <w:lang w:val="en-GB"/>
        </w:rPr>
      </w:pPr>
      <w:r w:rsidRPr="00221992">
        <w:rPr>
          <w:noProof/>
          <w:lang w:val="en-GB"/>
        </w:rPr>
        <w:drawing>
          <wp:inline distT="0" distB="0" distL="0" distR="0" wp14:anchorId="2C20FDEC" wp14:editId="6EBEF04F">
            <wp:extent cx="5731510" cy="1472565"/>
            <wp:effectExtent l="0" t="0" r="0" b="0"/>
            <wp:docPr id="351010612" name="Picture 351010612" descr="A flow chart of the companion diagnostic reimbursement procedure in German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010612"/>
                    <pic:cNvPicPr/>
                  </pic:nvPicPr>
                  <pic:blipFill>
                    <a:blip r:embed="rId39">
                      <a:extLst>
                        <a:ext uri="{28A0092B-C50C-407E-A947-70E740481C1C}">
                          <a14:useLocalDpi xmlns:a14="http://schemas.microsoft.com/office/drawing/2010/main" val="0"/>
                        </a:ext>
                      </a:extLst>
                    </a:blip>
                    <a:stretch>
                      <a:fillRect/>
                    </a:stretch>
                  </pic:blipFill>
                  <pic:spPr>
                    <a:xfrm>
                      <a:off x="0" y="0"/>
                      <a:ext cx="5731510" cy="1472565"/>
                    </a:xfrm>
                    <a:prstGeom prst="rect">
                      <a:avLst/>
                    </a:prstGeom>
                  </pic:spPr>
                </pic:pic>
              </a:graphicData>
            </a:graphic>
          </wp:inline>
        </w:drawing>
      </w:r>
      <w:r w:rsidRPr="00221992">
        <w:rPr>
          <w:lang w:val="en-GB"/>
        </w:rPr>
        <w:br/>
      </w:r>
    </w:p>
    <w:p w14:paraId="0787BB11" w14:textId="2A9E7E10" w:rsidR="00760665" w:rsidRPr="00221992" w:rsidRDefault="00760665" w:rsidP="00533CF1">
      <w:pPr>
        <w:pStyle w:val="TableNotes"/>
        <w:rPr>
          <w:lang w:val="en-GB"/>
        </w:rPr>
      </w:pPr>
      <w:r w:rsidRPr="00221992">
        <w:rPr>
          <w:lang w:val="en-GB"/>
        </w:rPr>
        <w:t xml:space="preserve">Source: </w:t>
      </w:r>
      <w:r w:rsidR="005A4622" w:rsidRPr="00221992">
        <w:rPr>
          <w:lang w:val="en-GB"/>
        </w:rPr>
        <w:tab/>
      </w:r>
      <w:r w:rsidRPr="00221992">
        <w:rPr>
          <w:lang w:val="en-GB"/>
        </w:rPr>
        <w:t>Supplementary information, Govaerts et al. (2020)</w:t>
      </w:r>
    </w:p>
    <w:p w14:paraId="3D9AAB59" w14:textId="40EF04CC" w:rsidR="00760665" w:rsidRPr="00221992" w:rsidRDefault="005A4622" w:rsidP="00533CF1">
      <w:pPr>
        <w:pStyle w:val="TableNotes"/>
        <w:rPr>
          <w:lang w:val="en-GB"/>
        </w:rPr>
      </w:pPr>
      <w:r w:rsidRPr="00221992">
        <w:rPr>
          <w:lang w:val="en-GB"/>
        </w:rPr>
        <w:t>Notes:</w:t>
      </w:r>
      <w:r w:rsidRPr="00221992">
        <w:rPr>
          <w:lang w:val="en-GB"/>
        </w:rPr>
        <w:tab/>
      </w:r>
      <w:r w:rsidR="00760665" w:rsidRPr="00221992">
        <w:rPr>
          <w:lang w:val="en-GB"/>
        </w:rPr>
        <w:t>Oranges boxes = entities (institution/Persons/Committees); Grey boxes = Umbrella entities; White Boxes = Actions (Assessment, Appraisal, Decision (&amp; Publication) and tariffing); Arrows = Flow of information; Dashed Arrows = Conditional flow of information (not necessary).</w:t>
      </w:r>
    </w:p>
    <w:p w14:paraId="71AC53E4" w14:textId="7E62F2DD" w:rsidR="00760665" w:rsidRPr="00221992" w:rsidRDefault="00760665" w:rsidP="00760665">
      <w:pPr>
        <w:rPr>
          <w:lang w:val="en-GB"/>
        </w:rPr>
      </w:pPr>
      <w:r w:rsidRPr="00221992">
        <w:rPr>
          <w:lang w:val="en-GB"/>
        </w:rPr>
        <w:t>Italy—Assessment is carried out with the support of the technical scientific secretariat of the directorate general of health planning, Ministry of Health, with a focus on human dignity, effectiveness, need for access assistance, quality of care, appropriateness and efficiency. The appraisal is conducted by the Commissione Nazionale per l</w:t>
      </w:r>
      <w:r w:rsidR="00551786">
        <w:rPr>
          <w:lang w:val="en-GB"/>
        </w:rPr>
        <w:t>’</w:t>
      </w:r>
      <w:r w:rsidRPr="00221992">
        <w:rPr>
          <w:lang w:val="en-GB"/>
        </w:rPr>
        <w:t xml:space="preserve">aggiornamento dei Livelli Essenziali di Assistenza (CNALEA), who advises the minister of health on the final decision. There is no legal time frame, and the updating procedure depends on the priority of the application </w:t>
      </w:r>
      <w:r w:rsidR="003D2C9E" w:rsidRPr="00221992">
        <w:rPr>
          <w:lang w:val="en-GB"/>
        </w:rPr>
        <w:t xml:space="preserve">assigned </w:t>
      </w:r>
      <w:r w:rsidRPr="00221992">
        <w:rPr>
          <w:lang w:val="en-GB"/>
        </w:rPr>
        <w:t xml:space="preserve">by the committee. A maximum tariff is determined by </w:t>
      </w:r>
      <w:r w:rsidR="003D2C9E">
        <w:rPr>
          <w:lang w:val="en-GB"/>
        </w:rPr>
        <w:t xml:space="preserve">decree by </w:t>
      </w:r>
      <w:r w:rsidRPr="00221992">
        <w:rPr>
          <w:lang w:val="en-GB"/>
        </w:rPr>
        <w:t>the minister of health.</w:t>
      </w:r>
    </w:p>
    <w:p w14:paraId="7B1B3481" w14:textId="5361F480" w:rsidR="00760665" w:rsidRPr="00221992" w:rsidRDefault="00760665" w:rsidP="001721AB">
      <w:pPr>
        <w:pStyle w:val="Caption"/>
        <w:rPr>
          <w:lang w:val="en-GB"/>
        </w:rPr>
      </w:pPr>
      <w:bookmarkStart w:id="106" w:name="_Toc162950929"/>
      <w:r w:rsidRPr="00221992">
        <w:rPr>
          <w:lang w:val="en-GB"/>
        </w:rPr>
        <w:t xml:space="preserve">Figure </w:t>
      </w:r>
      <w:r w:rsidR="003F72DF" w:rsidRPr="00221992">
        <w:rPr>
          <w:lang w:val="en-GB"/>
        </w:rPr>
        <w:fldChar w:fldCharType="begin"/>
      </w:r>
      <w:r w:rsidR="003F72DF" w:rsidRPr="00221992">
        <w:rPr>
          <w:lang w:val="en-GB"/>
        </w:rPr>
        <w:instrText xml:space="preserve"> SEQ Figure \* ARABIC </w:instrText>
      </w:r>
      <w:r w:rsidR="003F72DF" w:rsidRPr="00221992">
        <w:rPr>
          <w:lang w:val="en-GB"/>
        </w:rPr>
        <w:fldChar w:fldCharType="separate"/>
      </w:r>
      <w:r w:rsidR="000E11E7">
        <w:rPr>
          <w:noProof/>
          <w:lang w:val="en-GB"/>
        </w:rPr>
        <w:t>22</w:t>
      </w:r>
      <w:r w:rsidR="003F72DF" w:rsidRPr="00221992">
        <w:rPr>
          <w:noProof/>
          <w:lang w:val="en-GB"/>
        </w:rPr>
        <w:fldChar w:fldCharType="end"/>
      </w:r>
      <w:r w:rsidRPr="00221992">
        <w:rPr>
          <w:lang w:val="en-GB"/>
        </w:rPr>
        <w:t xml:space="preserve"> Companion diagnostic reimbursement procedure in Italy</w:t>
      </w:r>
      <w:bookmarkEnd w:id="106"/>
    </w:p>
    <w:p w14:paraId="4426E9A1" w14:textId="77777777" w:rsidR="00415417" w:rsidRPr="00221992" w:rsidRDefault="00760665" w:rsidP="00533CF1">
      <w:pPr>
        <w:pStyle w:val="TableNotes"/>
        <w:rPr>
          <w:lang w:val="en-GB"/>
        </w:rPr>
      </w:pPr>
      <w:r w:rsidRPr="00221992">
        <w:rPr>
          <w:noProof/>
          <w:lang w:val="en-GB"/>
        </w:rPr>
        <w:drawing>
          <wp:inline distT="0" distB="0" distL="0" distR="0" wp14:anchorId="639DE5D2" wp14:editId="094187B3">
            <wp:extent cx="5731510" cy="2811145"/>
            <wp:effectExtent l="0" t="0" r="0" b="0"/>
            <wp:docPr id="1351550732" name="Picture 1351550732" descr="a flowchart of the companion diagnostic reimbursement procedure in Ita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1550732"/>
                    <pic:cNvPicPr/>
                  </pic:nvPicPr>
                  <pic:blipFill>
                    <a:blip r:embed="rId40">
                      <a:extLst>
                        <a:ext uri="{28A0092B-C50C-407E-A947-70E740481C1C}">
                          <a14:useLocalDpi xmlns:a14="http://schemas.microsoft.com/office/drawing/2010/main" val="0"/>
                        </a:ext>
                      </a:extLst>
                    </a:blip>
                    <a:stretch>
                      <a:fillRect/>
                    </a:stretch>
                  </pic:blipFill>
                  <pic:spPr>
                    <a:xfrm>
                      <a:off x="0" y="0"/>
                      <a:ext cx="5731510" cy="2811145"/>
                    </a:xfrm>
                    <a:prstGeom prst="rect">
                      <a:avLst/>
                    </a:prstGeom>
                  </pic:spPr>
                </pic:pic>
              </a:graphicData>
            </a:graphic>
          </wp:inline>
        </w:drawing>
      </w:r>
      <w:r w:rsidRPr="00221992">
        <w:rPr>
          <w:lang w:val="en-GB"/>
        </w:rPr>
        <w:br/>
      </w:r>
    </w:p>
    <w:p w14:paraId="0A3AFB9C" w14:textId="12EDE733" w:rsidR="00760665" w:rsidRPr="00221992" w:rsidRDefault="00760665" w:rsidP="00533CF1">
      <w:pPr>
        <w:pStyle w:val="TableNotes"/>
        <w:rPr>
          <w:lang w:val="en-GB"/>
        </w:rPr>
      </w:pPr>
      <w:r w:rsidRPr="00221992">
        <w:rPr>
          <w:lang w:val="en-GB"/>
        </w:rPr>
        <w:t>Source:</w:t>
      </w:r>
      <w:r w:rsidR="005A4622" w:rsidRPr="00221992">
        <w:rPr>
          <w:lang w:val="en-GB"/>
        </w:rPr>
        <w:tab/>
      </w:r>
      <w:r w:rsidRPr="00221992">
        <w:rPr>
          <w:lang w:val="en-GB"/>
        </w:rPr>
        <w:t>Supplementary information, Govaerts et al. (2020)</w:t>
      </w:r>
    </w:p>
    <w:p w14:paraId="5DBA419B" w14:textId="0AA0411F" w:rsidR="00760665" w:rsidRPr="00221992" w:rsidRDefault="005A4622" w:rsidP="00533CF1">
      <w:pPr>
        <w:pStyle w:val="TableNotes"/>
        <w:rPr>
          <w:lang w:val="en-GB"/>
        </w:rPr>
      </w:pPr>
      <w:r w:rsidRPr="00221992">
        <w:rPr>
          <w:lang w:val="en-GB"/>
        </w:rPr>
        <w:t>Notes:</w:t>
      </w:r>
      <w:r w:rsidRPr="00221992">
        <w:rPr>
          <w:lang w:val="en-GB"/>
        </w:rPr>
        <w:tab/>
      </w:r>
      <w:r w:rsidR="00760665" w:rsidRPr="00221992">
        <w:rPr>
          <w:lang w:val="en-GB"/>
        </w:rPr>
        <w:t>Oranges boxes = entities (institution/Persons/Committees); Grey boxes = Umbrella entities; White Boxes = Actions (Assessment, Appraisal, Decision (&amp; Publication) and tariffing); Arrows = Flow of information; Dashed Arrows = Conditional flow of information (not necessary).</w:t>
      </w:r>
    </w:p>
    <w:p w14:paraId="4D73C42E" w14:textId="350C0591" w:rsidR="00760665" w:rsidRPr="00221992" w:rsidRDefault="00760665" w:rsidP="00760665">
      <w:pPr>
        <w:rPr>
          <w:lang w:val="en-GB"/>
        </w:rPr>
      </w:pPr>
      <w:r w:rsidRPr="00221992">
        <w:rPr>
          <w:lang w:val="en-GB"/>
        </w:rPr>
        <w:t>The Netherlands—The care division of Zorginstituut Nederland (ZIN) conducts the assessment of the medical act; the assessment is then validated by the scientific council of ZIN. The appraisal is conducted by the benefit package advice council of ZIN. Technologies must adhere to the principles of evidence</w:t>
      </w:r>
      <w:r w:rsidR="009A3DDA">
        <w:rPr>
          <w:lang w:val="en-GB"/>
        </w:rPr>
        <w:t>-</w:t>
      </w:r>
      <w:r w:rsidRPr="00221992">
        <w:rPr>
          <w:lang w:val="en-GB"/>
        </w:rPr>
        <w:t xml:space="preserve">based medicine (Stand van Wetenschap en Praktijk), further determined by effectiveness, cost effectiveness, feasibility of implementation, and medical necessity. On the basis of the advice formulated in the appraisal process of the advice council of ZIN, the executive committee of ZIN makes their final recommendation to the minister of health affairs for inclusion in the benefit package. The minister is the final decision maker. There is no legally binding time-frame for this process. Nederlandse Zorgautoriteit (NZA) formulates a maximum tariff for specialist outpatient care of which co-dependent tests are part of via </w:t>
      </w:r>
      <w:r w:rsidRPr="00221992">
        <w:rPr>
          <w:i/>
          <w:lang w:val="en-GB"/>
        </w:rPr>
        <w:t>zorgproducte</w:t>
      </w:r>
      <w:r w:rsidRPr="00221992">
        <w:rPr>
          <w:lang w:val="en-GB"/>
        </w:rPr>
        <w:t>.</w:t>
      </w:r>
    </w:p>
    <w:p w14:paraId="6D39EFA0" w14:textId="353E2F88" w:rsidR="00760665" w:rsidRPr="00221992" w:rsidRDefault="00760665" w:rsidP="001721AB">
      <w:pPr>
        <w:pStyle w:val="Caption"/>
        <w:rPr>
          <w:lang w:val="en-GB"/>
        </w:rPr>
      </w:pPr>
      <w:bookmarkStart w:id="107" w:name="_Toc162950930"/>
      <w:r w:rsidRPr="00221992">
        <w:rPr>
          <w:lang w:val="en-GB"/>
        </w:rPr>
        <w:t xml:space="preserve">Figure </w:t>
      </w:r>
      <w:r w:rsidR="003F72DF" w:rsidRPr="00221992">
        <w:rPr>
          <w:lang w:val="en-GB"/>
        </w:rPr>
        <w:fldChar w:fldCharType="begin"/>
      </w:r>
      <w:r w:rsidR="003F72DF" w:rsidRPr="00221992">
        <w:rPr>
          <w:lang w:val="en-GB"/>
        </w:rPr>
        <w:instrText xml:space="preserve"> SEQ Figure \* ARABIC </w:instrText>
      </w:r>
      <w:r w:rsidR="003F72DF" w:rsidRPr="00221992">
        <w:rPr>
          <w:lang w:val="en-GB"/>
        </w:rPr>
        <w:fldChar w:fldCharType="separate"/>
      </w:r>
      <w:r w:rsidR="000E11E7">
        <w:rPr>
          <w:noProof/>
          <w:lang w:val="en-GB"/>
        </w:rPr>
        <w:t>23</w:t>
      </w:r>
      <w:r w:rsidR="003F72DF" w:rsidRPr="00221992">
        <w:rPr>
          <w:noProof/>
          <w:lang w:val="en-GB"/>
        </w:rPr>
        <w:fldChar w:fldCharType="end"/>
      </w:r>
      <w:r w:rsidRPr="00221992">
        <w:rPr>
          <w:lang w:val="en-GB"/>
        </w:rPr>
        <w:t xml:space="preserve"> Companion diagnostic reimbursement procedure in the Netherlands</w:t>
      </w:r>
      <w:bookmarkEnd w:id="107"/>
    </w:p>
    <w:p w14:paraId="30365BF5" w14:textId="77777777" w:rsidR="008115CC" w:rsidRPr="00221992" w:rsidRDefault="00760665" w:rsidP="00533CF1">
      <w:pPr>
        <w:pStyle w:val="TableNotes"/>
        <w:rPr>
          <w:lang w:val="en-GB"/>
        </w:rPr>
      </w:pPr>
      <w:r w:rsidRPr="00221992">
        <w:rPr>
          <w:noProof/>
          <w:lang w:val="en-GB"/>
        </w:rPr>
        <w:drawing>
          <wp:inline distT="0" distB="0" distL="0" distR="0" wp14:anchorId="33475051" wp14:editId="56055060">
            <wp:extent cx="5731510" cy="519430"/>
            <wp:effectExtent l="0" t="0" r="0" b="0"/>
            <wp:docPr id="1085808649" name="Picture 1085808649" descr="a flowchart of the companion diagnostic reimbursement procedure in the Netherla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5808649"/>
                    <pic:cNvPicPr/>
                  </pic:nvPicPr>
                  <pic:blipFill>
                    <a:blip r:embed="rId41">
                      <a:extLst>
                        <a:ext uri="{28A0092B-C50C-407E-A947-70E740481C1C}">
                          <a14:useLocalDpi xmlns:a14="http://schemas.microsoft.com/office/drawing/2010/main" val="0"/>
                        </a:ext>
                      </a:extLst>
                    </a:blip>
                    <a:stretch>
                      <a:fillRect/>
                    </a:stretch>
                  </pic:blipFill>
                  <pic:spPr>
                    <a:xfrm>
                      <a:off x="0" y="0"/>
                      <a:ext cx="5731510" cy="519430"/>
                    </a:xfrm>
                    <a:prstGeom prst="rect">
                      <a:avLst/>
                    </a:prstGeom>
                  </pic:spPr>
                </pic:pic>
              </a:graphicData>
            </a:graphic>
          </wp:inline>
        </w:drawing>
      </w:r>
      <w:r w:rsidRPr="00221992">
        <w:rPr>
          <w:lang w:val="en-GB"/>
        </w:rPr>
        <w:br/>
      </w:r>
    </w:p>
    <w:p w14:paraId="02CB9198" w14:textId="4AB3122B" w:rsidR="00760665" w:rsidRPr="00221992" w:rsidRDefault="00760665" w:rsidP="00533CF1">
      <w:pPr>
        <w:pStyle w:val="TableNotes"/>
        <w:rPr>
          <w:lang w:val="en-GB"/>
        </w:rPr>
      </w:pPr>
      <w:r w:rsidRPr="00221992">
        <w:rPr>
          <w:lang w:val="en-GB"/>
        </w:rPr>
        <w:t xml:space="preserve">Source: </w:t>
      </w:r>
      <w:r w:rsidR="005A4622" w:rsidRPr="00221992">
        <w:rPr>
          <w:lang w:val="en-GB"/>
        </w:rPr>
        <w:tab/>
      </w:r>
      <w:r w:rsidRPr="00221992">
        <w:rPr>
          <w:lang w:val="en-GB"/>
        </w:rPr>
        <w:t>Supplementary information, Govaerts et al. (2020)</w:t>
      </w:r>
    </w:p>
    <w:p w14:paraId="62AAC1F0" w14:textId="4885A90C" w:rsidR="00760665" w:rsidRPr="00221992" w:rsidRDefault="005A4622" w:rsidP="00533CF1">
      <w:pPr>
        <w:pStyle w:val="TableNotes"/>
        <w:rPr>
          <w:lang w:val="en-GB"/>
        </w:rPr>
      </w:pPr>
      <w:r w:rsidRPr="00221992">
        <w:rPr>
          <w:lang w:val="en-GB"/>
        </w:rPr>
        <w:t>Notes:</w:t>
      </w:r>
      <w:r w:rsidRPr="00221992">
        <w:rPr>
          <w:lang w:val="en-GB"/>
        </w:rPr>
        <w:tab/>
      </w:r>
      <w:r w:rsidR="00760665" w:rsidRPr="00221992">
        <w:rPr>
          <w:lang w:val="en-GB"/>
        </w:rPr>
        <w:t>Oranges boxes = entities (institution/Persons/Committees); Grey boxes = Umbrella entities; White Boxes = Actions (Assessment, Appraisal, Decision (&amp; Publication) and tariffing); Arrows = Flow of information; Dashed Arrows = Conditional flow of information (not necessary).</w:t>
      </w:r>
    </w:p>
    <w:p w14:paraId="4BDEF4EB" w14:textId="4A1D6B60" w:rsidR="00760665" w:rsidRPr="00221992" w:rsidRDefault="00760665" w:rsidP="00760665">
      <w:pPr>
        <w:rPr>
          <w:lang w:val="en-GB"/>
        </w:rPr>
      </w:pPr>
      <w:r w:rsidRPr="00221992">
        <w:rPr>
          <w:lang w:val="en-GB"/>
        </w:rPr>
        <w:t xml:space="preserve">Spain—Assessment by the Carlos III Health Institute in collaboration with evaluating bodies proposed by the autonomous communities. The performance, insurance and financing commission conducts the appraisal, which is ratified by the Consejo Interterritorial del Servicio Nacional de Salud de España (CISNS). If the budgetary impact is high, the budgetary commission will assess its impact. Emphasis is placed on improvements </w:t>
      </w:r>
      <w:r w:rsidR="004C72E0">
        <w:rPr>
          <w:lang w:val="en-GB"/>
        </w:rPr>
        <w:t>to</w:t>
      </w:r>
      <w:r w:rsidR="004C72E0" w:rsidRPr="00221992">
        <w:rPr>
          <w:lang w:val="en-GB"/>
        </w:rPr>
        <w:t xml:space="preserve"> </w:t>
      </w:r>
      <w:r w:rsidRPr="00221992">
        <w:rPr>
          <w:lang w:val="en-GB"/>
        </w:rPr>
        <w:t xml:space="preserve">safety, effectiveness, efficacy, efficiency, or demonstrated utility over alternatives and contribution to prevention, diagnosis, treatment of disease, </w:t>
      </w:r>
      <w:r w:rsidR="004C72E0">
        <w:rPr>
          <w:lang w:val="en-GB"/>
        </w:rPr>
        <w:t>and</w:t>
      </w:r>
      <w:r w:rsidRPr="00221992">
        <w:rPr>
          <w:lang w:val="en-GB"/>
        </w:rPr>
        <w:t xml:space="preserve"> quality of life. The CISNS agrees on the content within the benefit basket, which is then ratified by the Ministry of Health and Consumption (the minister is president of the CISNS). There is no legally binding time-frame for this process. Tariffing of the medical tests is performed by the autonomous communities of Spain via contracting negotiations with providers.</w:t>
      </w:r>
    </w:p>
    <w:p w14:paraId="4366C851" w14:textId="47C9488B" w:rsidR="00760665" w:rsidRPr="00221992" w:rsidRDefault="00760665" w:rsidP="001721AB">
      <w:pPr>
        <w:pStyle w:val="Caption"/>
        <w:rPr>
          <w:lang w:val="en-GB"/>
        </w:rPr>
      </w:pPr>
      <w:bookmarkStart w:id="108" w:name="_Toc162950931"/>
      <w:r w:rsidRPr="00221992">
        <w:rPr>
          <w:lang w:val="en-GB"/>
        </w:rPr>
        <w:t xml:space="preserve">Figure </w:t>
      </w:r>
      <w:r w:rsidR="003F72DF" w:rsidRPr="00221992">
        <w:rPr>
          <w:lang w:val="en-GB"/>
        </w:rPr>
        <w:fldChar w:fldCharType="begin"/>
      </w:r>
      <w:r w:rsidR="003F72DF" w:rsidRPr="00221992">
        <w:rPr>
          <w:lang w:val="en-GB"/>
        </w:rPr>
        <w:instrText xml:space="preserve"> SEQ Figure \* ARABIC </w:instrText>
      </w:r>
      <w:r w:rsidR="003F72DF" w:rsidRPr="00221992">
        <w:rPr>
          <w:lang w:val="en-GB"/>
        </w:rPr>
        <w:fldChar w:fldCharType="separate"/>
      </w:r>
      <w:r w:rsidR="000E11E7">
        <w:rPr>
          <w:noProof/>
          <w:lang w:val="en-GB"/>
        </w:rPr>
        <w:t>24</w:t>
      </w:r>
      <w:r w:rsidR="003F72DF" w:rsidRPr="00221992">
        <w:rPr>
          <w:noProof/>
          <w:lang w:val="en-GB"/>
        </w:rPr>
        <w:fldChar w:fldCharType="end"/>
      </w:r>
      <w:r w:rsidRPr="00221992">
        <w:rPr>
          <w:lang w:val="en-GB"/>
        </w:rPr>
        <w:t xml:space="preserve"> Companion diagnostic reimbursement procedure in Spain</w:t>
      </w:r>
      <w:bookmarkEnd w:id="108"/>
    </w:p>
    <w:p w14:paraId="591FA94F" w14:textId="77777777" w:rsidR="00760665" w:rsidRPr="00221992" w:rsidRDefault="00760665" w:rsidP="00760665">
      <w:pPr>
        <w:rPr>
          <w:lang w:val="en-GB"/>
        </w:rPr>
      </w:pPr>
      <w:r w:rsidRPr="00221992">
        <w:rPr>
          <w:noProof/>
          <w:lang w:val="en-GB"/>
        </w:rPr>
        <w:drawing>
          <wp:inline distT="0" distB="0" distL="0" distR="0" wp14:anchorId="3E4BA377" wp14:editId="635289DD">
            <wp:extent cx="5731510" cy="1414780"/>
            <wp:effectExtent l="0" t="0" r="0" b="0"/>
            <wp:docPr id="982711885" name="Picture 982711885" descr="a flowchart of the Companion diagnostic reimbursement procedure in Sp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2711885"/>
                    <pic:cNvPicPr/>
                  </pic:nvPicPr>
                  <pic:blipFill>
                    <a:blip r:embed="rId42">
                      <a:extLst>
                        <a:ext uri="{28A0092B-C50C-407E-A947-70E740481C1C}">
                          <a14:useLocalDpi xmlns:a14="http://schemas.microsoft.com/office/drawing/2010/main" val="0"/>
                        </a:ext>
                      </a:extLst>
                    </a:blip>
                    <a:stretch>
                      <a:fillRect/>
                    </a:stretch>
                  </pic:blipFill>
                  <pic:spPr>
                    <a:xfrm>
                      <a:off x="0" y="0"/>
                      <a:ext cx="5731510" cy="1414780"/>
                    </a:xfrm>
                    <a:prstGeom prst="rect">
                      <a:avLst/>
                    </a:prstGeom>
                  </pic:spPr>
                </pic:pic>
              </a:graphicData>
            </a:graphic>
          </wp:inline>
        </w:drawing>
      </w:r>
    </w:p>
    <w:p w14:paraId="4A1301EC" w14:textId="311AC285" w:rsidR="00760665" w:rsidRPr="00221992" w:rsidRDefault="00760665" w:rsidP="00533CF1">
      <w:pPr>
        <w:pStyle w:val="TableNotes"/>
        <w:rPr>
          <w:lang w:val="en-GB"/>
        </w:rPr>
      </w:pPr>
      <w:r w:rsidRPr="00221992">
        <w:rPr>
          <w:lang w:val="en-GB"/>
        </w:rPr>
        <w:t xml:space="preserve">Source: </w:t>
      </w:r>
      <w:r w:rsidR="005A4622" w:rsidRPr="00221992">
        <w:rPr>
          <w:lang w:val="en-GB"/>
        </w:rPr>
        <w:tab/>
      </w:r>
      <w:r w:rsidRPr="00221992">
        <w:rPr>
          <w:lang w:val="en-GB"/>
        </w:rPr>
        <w:t>Supplementary information, Govaerts et al. (2020)</w:t>
      </w:r>
    </w:p>
    <w:p w14:paraId="2EAF2C65" w14:textId="60974DD3" w:rsidR="00760665" w:rsidRPr="00221992" w:rsidRDefault="005A4622" w:rsidP="00533CF1">
      <w:pPr>
        <w:pStyle w:val="TableNotes"/>
        <w:rPr>
          <w:lang w:val="en-GB"/>
        </w:rPr>
      </w:pPr>
      <w:r w:rsidRPr="00221992">
        <w:rPr>
          <w:lang w:val="en-GB"/>
        </w:rPr>
        <w:t>Notes:</w:t>
      </w:r>
      <w:r w:rsidRPr="00221992">
        <w:rPr>
          <w:lang w:val="en-GB"/>
        </w:rPr>
        <w:tab/>
      </w:r>
      <w:r w:rsidR="00760665" w:rsidRPr="00221992">
        <w:rPr>
          <w:lang w:val="en-GB"/>
        </w:rPr>
        <w:t>Oranges boxes = entities (institution/Persons/Committees); Grey boxes = Umbrella entities; White Boxes = Actions (Assessment, Appraisal, Decision (&amp; Publication) and tariffing); Arrows = Flow of information; Dashed Arrows = Conditional flow of information (not necessary).</w:t>
      </w:r>
    </w:p>
    <w:p w14:paraId="1146D95D" w14:textId="30A2142C" w:rsidR="00760665" w:rsidRPr="00221992" w:rsidRDefault="00AB467F" w:rsidP="0012257A">
      <w:pPr>
        <w:pStyle w:val="NbrHeading3"/>
        <w:rPr>
          <w:lang w:val="en-GB"/>
        </w:rPr>
      </w:pPr>
      <w:bookmarkStart w:id="109" w:name="_Toc162950874"/>
      <w:r w:rsidRPr="00221992">
        <w:rPr>
          <w:lang w:val="en-GB"/>
        </w:rPr>
        <w:t>C</w:t>
      </w:r>
      <w:r w:rsidR="00760665" w:rsidRPr="00221992">
        <w:rPr>
          <w:lang w:val="en-GB"/>
        </w:rPr>
        <w:t>o-dependent evaluation recommendations</w:t>
      </w:r>
      <w:r w:rsidRPr="00221992">
        <w:rPr>
          <w:lang w:val="en-GB"/>
        </w:rPr>
        <w:t>—</w:t>
      </w:r>
      <w:r w:rsidR="00760665" w:rsidRPr="00221992">
        <w:rPr>
          <w:lang w:val="en-GB"/>
        </w:rPr>
        <w:t>peer countr</w:t>
      </w:r>
      <w:r w:rsidRPr="00221992">
        <w:rPr>
          <w:lang w:val="en-GB"/>
        </w:rPr>
        <w:t>y comparison</w:t>
      </w:r>
      <w:bookmarkEnd w:id="109"/>
    </w:p>
    <w:p w14:paraId="660D80E0" w14:textId="3EA81AA9" w:rsidR="00760665" w:rsidRPr="00221992" w:rsidRDefault="00760665" w:rsidP="00760665">
      <w:pPr>
        <w:rPr>
          <w:lang w:val="en-GB"/>
        </w:rPr>
      </w:pPr>
      <w:r w:rsidRPr="00221992">
        <w:rPr>
          <w:lang w:val="en-GB"/>
        </w:rPr>
        <w:t xml:space="preserve">A recent review of companion diagnostics in economic evaluations of oncology treatments identified 27 NICE appraisals requiring companion diagnostics between 2016 and 2019, 15 of which considered companion diagnostics (12 did not, as testing had already been established for the comparators within the same class or from a prior treatment line) </w:t>
      </w:r>
      <w:r w:rsidRPr="00221992">
        <w:rPr>
          <w:lang w:val="en-GB"/>
        </w:rPr>
        <w:fldChar w:fldCharType="begin"/>
      </w:r>
      <w:r w:rsidR="00112E71">
        <w:rPr>
          <w:lang w:val="en-GB"/>
        </w:rPr>
        <w:instrText xml:space="preserve"> ADDIN EN.CITE &lt;EndNote&gt;&lt;Cite&gt;&lt;Author&gt;Gomez Montero&lt;/Author&gt;&lt;Year&gt;2022&lt;/Year&gt;&lt;RecNum&gt;657&lt;/RecNum&gt;&lt;DisplayText&gt;[66]&lt;/DisplayText&gt;&lt;record&gt;&lt;rec-number&gt;657&lt;/rec-number&gt;&lt;foreign-keys&gt;&lt;key app="EN" db-id="wzwwsfxe4peesxef95cxvrwjxts9rreasarf" timestamp="1693188493"&gt;657&lt;/key&gt;&lt;/foreign-keys&gt;&lt;ref-type name="Journal Article"&gt;17&lt;/ref-type&gt;&lt;contributors&gt;&lt;authors&gt;&lt;author&gt;Gomez Montero, Melissa&lt;/author&gt;&lt;author&gt;El Alili, Houcine&lt;/author&gt;&lt;author&gt;Hashim, Mahmoud&lt;/author&gt;&lt;author&gt;Wigfield, Peter&lt;/author&gt;&lt;author&gt;Dimova, Mariya&lt;/author&gt;&lt;author&gt;Riley, Ralph&lt;/author&gt;&lt;author&gt;Pascoe, Katie&lt;/author&gt;&lt;/authors&gt;&lt;/contributors&gt;&lt;titles&gt;&lt;title&gt;How are Companion Diagnostics Considered in Economic Evaluations of Oncology Treatments? A Review of Health Technology Assessments&lt;/title&gt;&lt;secondary-title&gt;PharmacoEconomics - Open&lt;/secondary-title&gt;&lt;/titles&gt;&lt;periodical&gt;&lt;full-title&gt;PharmacoEconomics - Open&lt;/full-title&gt;&lt;/periodical&gt;&lt;pages&gt;637-646&lt;/pages&gt;&lt;volume&gt;6&lt;/volume&gt;&lt;number&gt;5&lt;/number&gt;&lt;dates&gt;&lt;year&gt;2022&lt;/year&gt;&lt;pub-dates&gt;&lt;date&gt;2022/09/01&lt;/date&gt;&lt;/pub-dates&gt;&lt;/dates&gt;&lt;isbn&gt;2509-4254&lt;/isbn&gt;&lt;urls&gt;&lt;related-urls&gt;&lt;url&gt;https://doi.org/10.1007/s41669-022-00350-6&lt;/url&gt;&lt;/related-urls&gt;&lt;/urls&gt;&lt;electronic-resource-num&gt;10.1007/s41669-022-00350-6&lt;/electronic-resource-num&gt;&lt;/record&gt;&lt;/Cite&gt;&lt;/EndNote&gt;</w:instrText>
      </w:r>
      <w:r w:rsidRPr="00221992">
        <w:rPr>
          <w:lang w:val="en-GB"/>
        </w:rPr>
        <w:fldChar w:fldCharType="separate"/>
      </w:r>
      <w:r w:rsidR="00112E71">
        <w:rPr>
          <w:noProof/>
          <w:lang w:val="en-GB"/>
        </w:rPr>
        <w:t>[66]</w:t>
      </w:r>
      <w:r w:rsidRPr="00221992">
        <w:rPr>
          <w:lang w:val="en-GB"/>
        </w:rPr>
        <w:fldChar w:fldCharType="end"/>
      </w:r>
      <w:r w:rsidRPr="00221992">
        <w:rPr>
          <w:lang w:val="en-GB"/>
        </w:rPr>
        <w:t xml:space="preserve">. The remaining 15 tests had their evaluation process compared </w:t>
      </w:r>
      <w:r w:rsidR="00394CCB">
        <w:rPr>
          <w:lang w:val="en-GB"/>
        </w:rPr>
        <w:t xml:space="preserve">those of </w:t>
      </w:r>
      <w:r w:rsidRPr="00221992">
        <w:rPr>
          <w:lang w:val="en-GB"/>
        </w:rPr>
        <w:t>HTA agencies</w:t>
      </w:r>
      <w:r w:rsidR="00394CCB">
        <w:rPr>
          <w:lang w:val="en-GB"/>
        </w:rPr>
        <w:t xml:space="preserve"> elsewhere</w:t>
      </w:r>
      <w:r w:rsidRPr="00221992">
        <w:rPr>
          <w:lang w:val="en-GB"/>
        </w:rPr>
        <w:t xml:space="preserve">. </w:t>
      </w:r>
    </w:p>
    <w:p w14:paraId="2F160524" w14:textId="2552FDA7" w:rsidR="00760665" w:rsidRPr="00221992" w:rsidRDefault="00760665" w:rsidP="00760665">
      <w:pPr>
        <w:rPr>
          <w:lang w:val="en-GB"/>
        </w:rPr>
      </w:pPr>
      <w:r w:rsidRPr="00221992">
        <w:rPr>
          <w:lang w:val="en-GB"/>
        </w:rPr>
        <w:t xml:space="preserve">The number of assessments per cancer group are described in </w:t>
      </w:r>
      <w:r w:rsidRPr="00221992">
        <w:rPr>
          <w:lang w:val="en-GB"/>
        </w:rPr>
        <w:fldChar w:fldCharType="begin"/>
      </w:r>
      <w:r w:rsidRPr="00221992">
        <w:rPr>
          <w:lang w:val="en-GB"/>
        </w:rPr>
        <w:instrText xml:space="preserve"> REF _Ref143771323 \h </w:instrText>
      </w:r>
      <w:r w:rsidRPr="00221992">
        <w:rPr>
          <w:lang w:val="en-GB"/>
        </w:rPr>
      </w:r>
      <w:r w:rsidRPr="00221992">
        <w:rPr>
          <w:lang w:val="en-GB"/>
        </w:rPr>
        <w:fldChar w:fldCharType="separate"/>
      </w:r>
      <w:r w:rsidR="000E11E7" w:rsidRPr="00221992">
        <w:rPr>
          <w:lang w:val="en-GB"/>
        </w:rPr>
        <w:t xml:space="preserve">Figure </w:t>
      </w:r>
      <w:r w:rsidR="000E11E7">
        <w:rPr>
          <w:noProof/>
          <w:lang w:val="en-GB"/>
        </w:rPr>
        <w:t>25</w:t>
      </w:r>
      <w:r w:rsidRPr="00221992">
        <w:rPr>
          <w:lang w:val="en-GB"/>
        </w:rPr>
        <w:fldChar w:fldCharType="end"/>
      </w:r>
      <w:r w:rsidRPr="00221992">
        <w:rPr>
          <w:lang w:val="en-GB"/>
        </w:rPr>
        <w:t>, showing a predominance of non-small cell lung cancer (NSCLC) treatments.</w:t>
      </w:r>
    </w:p>
    <w:p w14:paraId="7AD001E7" w14:textId="1F0684A6" w:rsidR="00760665" w:rsidRPr="00221992" w:rsidRDefault="00760665" w:rsidP="001721AB">
      <w:pPr>
        <w:pStyle w:val="Caption"/>
        <w:rPr>
          <w:lang w:val="en-GB"/>
        </w:rPr>
      </w:pPr>
      <w:bookmarkStart w:id="110" w:name="_Ref143771323"/>
      <w:bookmarkStart w:id="111" w:name="_Toc162950932"/>
      <w:r w:rsidRPr="00221992">
        <w:rPr>
          <w:lang w:val="en-GB"/>
        </w:rPr>
        <w:t xml:space="preserve">Figure </w:t>
      </w:r>
      <w:r w:rsidR="003F72DF" w:rsidRPr="00221992">
        <w:rPr>
          <w:lang w:val="en-GB"/>
        </w:rPr>
        <w:fldChar w:fldCharType="begin"/>
      </w:r>
      <w:r w:rsidR="003F72DF" w:rsidRPr="00221992">
        <w:rPr>
          <w:lang w:val="en-GB"/>
        </w:rPr>
        <w:instrText xml:space="preserve"> SEQ Figure \* ARABIC </w:instrText>
      </w:r>
      <w:r w:rsidR="003F72DF" w:rsidRPr="00221992">
        <w:rPr>
          <w:lang w:val="en-GB"/>
        </w:rPr>
        <w:fldChar w:fldCharType="separate"/>
      </w:r>
      <w:r w:rsidR="000E11E7">
        <w:rPr>
          <w:noProof/>
          <w:lang w:val="en-GB"/>
        </w:rPr>
        <w:t>25</w:t>
      </w:r>
      <w:r w:rsidR="003F72DF" w:rsidRPr="00221992">
        <w:rPr>
          <w:noProof/>
          <w:lang w:val="en-GB"/>
        </w:rPr>
        <w:fldChar w:fldCharType="end"/>
      </w:r>
      <w:bookmarkEnd w:id="110"/>
      <w:r w:rsidRPr="00221992">
        <w:rPr>
          <w:lang w:val="en-GB"/>
        </w:rPr>
        <w:t xml:space="preserve"> Number of assessments identified per cancer group</w:t>
      </w:r>
      <w:bookmarkEnd w:id="111"/>
    </w:p>
    <w:p w14:paraId="18E5F43B" w14:textId="77777777" w:rsidR="00760665" w:rsidRPr="00221992" w:rsidRDefault="00760665" w:rsidP="00760665">
      <w:pPr>
        <w:rPr>
          <w:lang w:val="en-GB"/>
        </w:rPr>
      </w:pPr>
      <w:r w:rsidRPr="00221992">
        <w:rPr>
          <w:noProof/>
          <w:lang w:val="en-GB"/>
        </w:rPr>
        <w:drawing>
          <wp:inline distT="0" distB="0" distL="0" distR="0" wp14:anchorId="62927F12" wp14:editId="70F61DE2">
            <wp:extent cx="5731510" cy="3460750"/>
            <wp:effectExtent l="0" t="0" r="0" b="0"/>
            <wp:docPr id="1941899441" name="Picture 1941899441" descr="a graph of the Number of assessments identified per cancer group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1899441"/>
                    <pic:cNvPicPr/>
                  </pic:nvPicPr>
                  <pic:blipFill>
                    <a:blip r:embed="rId43">
                      <a:extLst>
                        <a:ext uri="{28A0092B-C50C-407E-A947-70E740481C1C}">
                          <a14:useLocalDpi xmlns:a14="http://schemas.microsoft.com/office/drawing/2010/main" val="0"/>
                        </a:ext>
                      </a:extLst>
                    </a:blip>
                    <a:stretch>
                      <a:fillRect/>
                    </a:stretch>
                  </pic:blipFill>
                  <pic:spPr>
                    <a:xfrm>
                      <a:off x="0" y="0"/>
                      <a:ext cx="5731510" cy="3460750"/>
                    </a:xfrm>
                    <a:prstGeom prst="rect">
                      <a:avLst/>
                    </a:prstGeom>
                  </pic:spPr>
                </pic:pic>
              </a:graphicData>
            </a:graphic>
          </wp:inline>
        </w:drawing>
      </w:r>
    </w:p>
    <w:p w14:paraId="17CA6469" w14:textId="28F042A8" w:rsidR="00760665" w:rsidRPr="00221992" w:rsidRDefault="00760665" w:rsidP="00533CF1">
      <w:pPr>
        <w:pStyle w:val="TableNotes"/>
        <w:rPr>
          <w:lang w:val="en-GB"/>
        </w:rPr>
      </w:pPr>
      <w:r w:rsidRPr="00221992">
        <w:rPr>
          <w:lang w:val="en-GB"/>
        </w:rPr>
        <w:t xml:space="preserve">Source: </w:t>
      </w:r>
      <w:r w:rsidR="007F6F18" w:rsidRPr="00221992">
        <w:rPr>
          <w:lang w:val="en-GB"/>
        </w:rPr>
        <w:tab/>
      </w:r>
      <w:r w:rsidRPr="00221992">
        <w:rPr>
          <w:lang w:val="en-GB"/>
        </w:rPr>
        <w:t>Figure 1, p</w:t>
      </w:r>
      <w:r w:rsidR="00E61600" w:rsidRPr="00221992">
        <w:rPr>
          <w:lang w:val="en-GB"/>
        </w:rPr>
        <w:t>.</w:t>
      </w:r>
      <w:r w:rsidRPr="00221992">
        <w:rPr>
          <w:lang w:val="en-GB"/>
        </w:rPr>
        <w:t xml:space="preserve"> 640, Gomez Montero, M., et al. (2022)</w:t>
      </w:r>
    </w:p>
    <w:p w14:paraId="48D731E8" w14:textId="42983E00" w:rsidR="00760665" w:rsidRPr="00221992" w:rsidRDefault="007F4AA4" w:rsidP="00533CF1">
      <w:pPr>
        <w:pStyle w:val="TableNotes"/>
        <w:rPr>
          <w:lang w:val="en-GB"/>
        </w:rPr>
      </w:pPr>
      <w:r w:rsidRPr="00221992">
        <w:rPr>
          <w:lang w:val="en-GB"/>
        </w:rPr>
        <w:t>Acronyms</w:t>
      </w:r>
      <w:r w:rsidR="007F6F18" w:rsidRPr="00221992">
        <w:rPr>
          <w:lang w:val="en-GB"/>
        </w:rPr>
        <w:t>:</w:t>
      </w:r>
      <w:r w:rsidR="007F6F18" w:rsidRPr="00221992">
        <w:rPr>
          <w:lang w:val="en-GB"/>
        </w:rPr>
        <w:tab/>
      </w:r>
      <w:r w:rsidR="00760665" w:rsidRPr="00221992">
        <w:rPr>
          <w:lang w:val="en-GB"/>
        </w:rPr>
        <w:t>CADTH</w:t>
      </w:r>
      <w:r w:rsidR="00E61600" w:rsidRPr="00221992">
        <w:rPr>
          <w:lang w:val="en-GB"/>
        </w:rPr>
        <w:t>,</w:t>
      </w:r>
      <w:r w:rsidR="00760665" w:rsidRPr="00221992">
        <w:rPr>
          <w:lang w:val="en-GB"/>
        </w:rPr>
        <w:t xml:space="preserve"> Canadian Agency for Drugs and Technologies in Health; CONITEC</w:t>
      </w:r>
      <w:r w:rsidR="00E61600" w:rsidRPr="00221992">
        <w:rPr>
          <w:lang w:val="en-GB"/>
        </w:rPr>
        <w:t>,</w:t>
      </w:r>
      <w:r w:rsidR="00760665" w:rsidRPr="00221992">
        <w:rPr>
          <w:lang w:val="en-GB"/>
        </w:rPr>
        <w:t xml:space="preserve"> Comissão Nacional de Incorporação de Tecnologias no SUS; GENCAT</w:t>
      </w:r>
      <w:r w:rsidR="00E61600" w:rsidRPr="00221992">
        <w:rPr>
          <w:lang w:val="en-GB"/>
        </w:rPr>
        <w:t>,</w:t>
      </w:r>
      <w:r w:rsidR="00760665" w:rsidRPr="00221992">
        <w:rPr>
          <w:lang w:val="en-GB"/>
        </w:rPr>
        <w:t xml:space="preserve"> Generalitat de Catalunya; HAS</w:t>
      </w:r>
      <w:r w:rsidR="00E61600" w:rsidRPr="00221992">
        <w:rPr>
          <w:lang w:val="en-GB"/>
        </w:rPr>
        <w:t>,</w:t>
      </w:r>
      <w:r w:rsidR="00760665" w:rsidRPr="00221992">
        <w:rPr>
          <w:lang w:val="en-GB"/>
        </w:rPr>
        <w:t xml:space="preserve"> Haute Autorité de Santé; ICER</w:t>
      </w:r>
      <w:r w:rsidR="00E61600" w:rsidRPr="00221992">
        <w:rPr>
          <w:lang w:val="en-GB"/>
        </w:rPr>
        <w:t>,</w:t>
      </w:r>
      <w:r w:rsidR="00760665" w:rsidRPr="00221992">
        <w:rPr>
          <w:lang w:val="en-GB"/>
        </w:rPr>
        <w:t xml:space="preserve"> Institute for Clinical and Economic Review; NICE</w:t>
      </w:r>
      <w:r w:rsidR="00E61600" w:rsidRPr="00221992">
        <w:rPr>
          <w:lang w:val="en-GB"/>
        </w:rPr>
        <w:t>,</w:t>
      </w:r>
      <w:r w:rsidR="00760665" w:rsidRPr="00221992">
        <w:rPr>
          <w:lang w:val="en-GB"/>
        </w:rPr>
        <w:t xml:space="preserve"> National Institute for Health and Care Excellence; NSCLC</w:t>
      </w:r>
      <w:r w:rsidR="00E61600" w:rsidRPr="00221992">
        <w:rPr>
          <w:lang w:val="en-GB"/>
        </w:rPr>
        <w:t>,</w:t>
      </w:r>
      <w:r w:rsidR="00760665" w:rsidRPr="00221992">
        <w:rPr>
          <w:lang w:val="en-GB"/>
        </w:rPr>
        <w:t xml:space="preserve"> non-small-cell lung cancer; PBAC</w:t>
      </w:r>
      <w:r w:rsidR="00E61600" w:rsidRPr="00221992">
        <w:rPr>
          <w:lang w:val="en-GB"/>
        </w:rPr>
        <w:t>,</w:t>
      </w:r>
      <w:r w:rsidR="00760665" w:rsidRPr="00221992">
        <w:rPr>
          <w:lang w:val="en-GB"/>
        </w:rPr>
        <w:t xml:space="preserve"> Pharmaceutical Benefits Advisory Committee; SMC</w:t>
      </w:r>
      <w:r w:rsidR="00E61600" w:rsidRPr="00221992">
        <w:rPr>
          <w:lang w:val="en-GB"/>
        </w:rPr>
        <w:t>,</w:t>
      </w:r>
      <w:r w:rsidR="00760665" w:rsidRPr="00221992">
        <w:rPr>
          <w:lang w:val="en-GB"/>
        </w:rPr>
        <w:t xml:space="preserve"> Scottish Medicine Consortium; TLV</w:t>
      </w:r>
      <w:r w:rsidR="00E61600" w:rsidRPr="00221992">
        <w:rPr>
          <w:lang w:val="en-GB"/>
        </w:rPr>
        <w:t>,</w:t>
      </w:r>
      <w:r w:rsidR="00760665" w:rsidRPr="00221992">
        <w:rPr>
          <w:lang w:val="en-GB"/>
        </w:rPr>
        <w:t xml:space="preserve"> Tandvårds-och läkemedelsförmånsverket; ZIN</w:t>
      </w:r>
      <w:r w:rsidR="00E61600" w:rsidRPr="00221992">
        <w:rPr>
          <w:lang w:val="en-GB"/>
        </w:rPr>
        <w:t>,</w:t>
      </w:r>
      <w:r w:rsidR="00760665" w:rsidRPr="00221992">
        <w:rPr>
          <w:lang w:val="en-GB"/>
        </w:rPr>
        <w:t xml:space="preserve"> Zorginstituut Nederland</w:t>
      </w:r>
    </w:p>
    <w:p w14:paraId="02A26D26" w14:textId="7B800DA8" w:rsidR="00760665" w:rsidRPr="00221992" w:rsidRDefault="00394CCB" w:rsidP="00760665">
      <w:pPr>
        <w:rPr>
          <w:lang w:val="en-GB"/>
        </w:rPr>
      </w:pPr>
      <w:r>
        <w:rPr>
          <w:lang w:val="en-GB"/>
        </w:rPr>
        <w:t>M</w:t>
      </w:r>
      <w:r w:rsidR="00A51EB3" w:rsidRPr="00221992">
        <w:rPr>
          <w:lang w:val="en-GB"/>
        </w:rPr>
        <w:t>inor</w:t>
      </w:r>
      <w:r w:rsidR="00760665" w:rsidRPr="00221992">
        <w:rPr>
          <w:lang w:val="en-GB"/>
        </w:rPr>
        <w:t xml:space="preserve"> variations in the final recommendations made by HTA bodies </w:t>
      </w:r>
      <w:r w:rsidR="009E6BA3" w:rsidRPr="00221992">
        <w:rPr>
          <w:lang w:val="en-GB"/>
        </w:rPr>
        <w:t xml:space="preserve">did not appear to correlate with the inclusion/exclusion of companion diagnostic testing in </w:t>
      </w:r>
      <w:r w:rsidR="00333E5D" w:rsidRPr="00221992">
        <w:rPr>
          <w:lang w:val="en-GB"/>
        </w:rPr>
        <w:t>cost-effectiveness models</w:t>
      </w:r>
      <w:r w:rsidR="00A51EB3" w:rsidRPr="00221992">
        <w:rPr>
          <w:lang w:val="en-GB"/>
        </w:rPr>
        <w:t xml:space="preserve">, as described in </w:t>
      </w:r>
      <w:r w:rsidR="00A51EB3" w:rsidRPr="00221992">
        <w:rPr>
          <w:lang w:val="en-GB"/>
        </w:rPr>
        <w:fldChar w:fldCharType="begin"/>
      </w:r>
      <w:r w:rsidR="00A51EB3" w:rsidRPr="00221992">
        <w:rPr>
          <w:lang w:val="en-GB"/>
        </w:rPr>
        <w:instrText xml:space="preserve"> REF _Ref143852661 \h </w:instrText>
      </w:r>
      <w:r w:rsidR="00A51EB3" w:rsidRPr="00221992">
        <w:rPr>
          <w:lang w:val="en-GB"/>
        </w:rPr>
      </w:r>
      <w:r w:rsidR="00A51EB3" w:rsidRPr="00221992">
        <w:rPr>
          <w:lang w:val="en-GB"/>
        </w:rPr>
        <w:fldChar w:fldCharType="separate"/>
      </w:r>
      <w:r w:rsidR="000E11E7" w:rsidRPr="00221992">
        <w:rPr>
          <w:lang w:val="en-GB"/>
        </w:rPr>
        <w:t xml:space="preserve">Figure </w:t>
      </w:r>
      <w:r w:rsidR="000E11E7">
        <w:rPr>
          <w:noProof/>
          <w:lang w:val="en-GB"/>
        </w:rPr>
        <w:t>26</w:t>
      </w:r>
      <w:r w:rsidR="00A51EB3" w:rsidRPr="00221992">
        <w:rPr>
          <w:lang w:val="en-GB"/>
        </w:rPr>
        <w:fldChar w:fldCharType="end"/>
      </w:r>
      <w:r w:rsidR="00760665" w:rsidRPr="00221992">
        <w:rPr>
          <w:lang w:val="en-GB"/>
        </w:rPr>
        <w:t>.</w:t>
      </w:r>
    </w:p>
    <w:p w14:paraId="2C41F271" w14:textId="25C9F8BE" w:rsidR="00760665" w:rsidRPr="00221992" w:rsidRDefault="00760665" w:rsidP="001721AB">
      <w:pPr>
        <w:pStyle w:val="Caption"/>
        <w:rPr>
          <w:lang w:val="en-GB"/>
        </w:rPr>
      </w:pPr>
      <w:bookmarkStart w:id="112" w:name="_Ref143852661"/>
      <w:bookmarkStart w:id="113" w:name="_Toc162950933"/>
      <w:r w:rsidRPr="00221992">
        <w:rPr>
          <w:lang w:val="en-GB"/>
        </w:rPr>
        <w:t xml:space="preserve">Figure </w:t>
      </w:r>
      <w:r w:rsidR="003F72DF" w:rsidRPr="00221992">
        <w:rPr>
          <w:lang w:val="en-GB"/>
        </w:rPr>
        <w:fldChar w:fldCharType="begin"/>
      </w:r>
      <w:r w:rsidR="003F72DF" w:rsidRPr="00221992">
        <w:rPr>
          <w:lang w:val="en-GB"/>
        </w:rPr>
        <w:instrText xml:space="preserve"> SEQ Figure \* ARABIC </w:instrText>
      </w:r>
      <w:r w:rsidR="003F72DF" w:rsidRPr="00221992">
        <w:rPr>
          <w:lang w:val="en-GB"/>
        </w:rPr>
        <w:fldChar w:fldCharType="separate"/>
      </w:r>
      <w:r w:rsidR="000E11E7">
        <w:rPr>
          <w:noProof/>
          <w:lang w:val="en-GB"/>
        </w:rPr>
        <w:t>26</w:t>
      </w:r>
      <w:r w:rsidR="003F72DF" w:rsidRPr="00221992">
        <w:rPr>
          <w:noProof/>
          <w:lang w:val="en-GB"/>
        </w:rPr>
        <w:fldChar w:fldCharType="end"/>
      </w:r>
      <w:bookmarkEnd w:id="112"/>
      <w:r w:rsidR="00EE7990" w:rsidRPr="00221992">
        <w:rPr>
          <w:noProof/>
          <w:lang w:val="en-GB"/>
        </w:rPr>
        <w:t>.</w:t>
      </w:r>
      <w:r w:rsidRPr="00221992">
        <w:rPr>
          <w:lang w:val="en-GB"/>
        </w:rPr>
        <w:t xml:space="preserve"> </w:t>
      </w:r>
      <w:r w:rsidR="00EE7990" w:rsidRPr="00221992">
        <w:rPr>
          <w:lang w:val="en-GB"/>
        </w:rPr>
        <w:t>C</w:t>
      </w:r>
      <w:r w:rsidRPr="00221992">
        <w:rPr>
          <w:lang w:val="en-GB"/>
        </w:rPr>
        <w:t>ompanion diagnostic testing in cost-effectiveness models and final recommendations</w:t>
      </w:r>
      <w:bookmarkEnd w:id="113"/>
    </w:p>
    <w:p w14:paraId="4AE08667" w14:textId="77777777" w:rsidR="008115CC" w:rsidRPr="00221992" w:rsidRDefault="00760665" w:rsidP="00533CF1">
      <w:pPr>
        <w:pStyle w:val="TableNotes"/>
        <w:rPr>
          <w:lang w:val="en-GB"/>
        </w:rPr>
      </w:pPr>
      <w:r w:rsidRPr="00221992">
        <w:rPr>
          <w:noProof/>
          <w:lang w:val="en-GB"/>
        </w:rPr>
        <w:drawing>
          <wp:inline distT="0" distB="0" distL="0" distR="0" wp14:anchorId="0CD627F7" wp14:editId="69A50DB6">
            <wp:extent cx="5731510" cy="6482081"/>
            <wp:effectExtent l="0" t="0" r="0" b="0"/>
            <wp:docPr id="1785184926" name="Picture 1785184926" descr="A chart of the Incorporation of companion diagnostic testing in cost-effectiveness models and final recommendation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5184926"/>
                    <pic:cNvPicPr/>
                  </pic:nvPicPr>
                  <pic:blipFill>
                    <a:blip r:embed="rId44">
                      <a:extLst>
                        <a:ext uri="{28A0092B-C50C-407E-A947-70E740481C1C}">
                          <a14:useLocalDpi xmlns:a14="http://schemas.microsoft.com/office/drawing/2010/main" val="0"/>
                        </a:ext>
                      </a:extLst>
                    </a:blip>
                    <a:stretch>
                      <a:fillRect/>
                    </a:stretch>
                  </pic:blipFill>
                  <pic:spPr>
                    <a:xfrm>
                      <a:off x="0" y="0"/>
                      <a:ext cx="5731510" cy="6482081"/>
                    </a:xfrm>
                    <a:prstGeom prst="rect">
                      <a:avLst/>
                    </a:prstGeom>
                  </pic:spPr>
                </pic:pic>
              </a:graphicData>
            </a:graphic>
          </wp:inline>
        </w:drawing>
      </w:r>
      <w:r w:rsidRPr="00221992">
        <w:rPr>
          <w:lang w:val="en-GB"/>
        </w:rPr>
        <w:t xml:space="preserve"> </w:t>
      </w:r>
      <w:r w:rsidRPr="00221992">
        <w:rPr>
          <w:lang w:val="en-GB"/>
        </w:rPr>
        <w:br/>
      </w:r>
    </w:p>
    <w:p w14:paraId="50D93FF8" w14:textId="12C3ABF5" w:rsidR="00760665" w:rsidRPr="00221992" w:rsidRDefault="00760665" w:rsidP="00533CF1">
      <w:pPr>
        <w:pStyle w:val="TableNotes"/>
        <w:rPr>
          <w:lang w:val="en-GB"/>
        </w:rPr>
      </w:pPr>
      <w:r w:rsidRPr="00221992">
        <w:rPr>
          <w:lang w:val="en-GB"/>
        </w:rPr>
        <w:t xml:space="preserve">Source: </w:t>
      </w:r>
      <w:r w:rsidR="007106D9" w:rsidRPr="00221992">
        <w:rPr>
          <w:lang w:val="en-GB"/>
        </w:rPr>
        <w:tab/>
      </w:r>
      <w:r w:rsidRPr="00221992">
        <w:rPr>
          <w:lang w:val="en-GB"/>
        </w:rPr>
        <w:t>Table 1, p</w:t>
      </w:r>
      <w:r w:rsidR="00E61600" w:rsidRPr="00221992">
        <w:rPr>
          <w:lang w:val="en-GB"/>
        </w:rPr>
        <w:t>.</w:t>
      </w:r>
      <w:r w:rsidRPr="00221992">
        <w:rPr>
          <w:lang w:val="en-GB"/>
        </w:rPr>
        <w:t xml:space="preserve"> 641, Gomez Montero, M., et al. (2022)</w:t>
      </w:r>
    </w:p>
    <w:p w14:paraId="78FEB643" w14:textId="5D7A610B" w:rsidR="00760665" w:rsidRPr="00221992" w:rsidRDefault="007106D9" w:rsidP="00533CF1">
      <w:pPr>
        <w:pStyle w:val="TableNotes"/>
        <w:rPr>
          <w:lang w:val="en-GB"/>
        </w:rPr>
      </w:pPr>
      <w:r w:rsidRPr="00221992">
        <w:rPr>
          <w:lang w:val="en-GB"/>
        </w:rPr>
        <w:t>Acronyms:</w:t>
      </w:r>
      <w:r w:rsidR="00394CCB">
        <w:rPr>
          <w:lang w:val="en-GB"/>
        </w:rPr>
        <w:tab/>
      </w:r>
      <w:r w:rsidR="00760665" w:rsidRPr="00221992">
        <w:rPr>
          <w:lang w:val="en-GB"/>
        </w:rPr>
        <w:t>CADTH</w:t>
      </w:r>
      <w:r w:rsidR="00FB52C9" w:rsidRPr="00221992">
        <w:rPr>
          <w:lang w:val="en-GB"/>
        </w:rPr>
        <w:t>,</w:t>
      </w:r>
      <w:r w:rsidR="00760665" w:rsidRPr="00221992">
        <w:rPr>
          <w:lang w:val="en-GB"/>
        </w:rPr>
        <w:t xml:space="preserve"> Canadian Agency for Drugs and Technologies in Health; CONITEC</w:t>
      </w:r>
      <w:r w:rsidR="00FB52C9" w:rsidRPr="00221992">
        <w:rPr>
          <w:lang w:val="en-GB"/>
        </w:rPr>
        <w:t>,</w:t>
      </w:r>
      <w:r w:rsidR="008A6310">
        <w:rPr>
          <w:lang w:val="en-GB"/>
        </w:rPr>
        <w:t xml:space="preserve"> </w:t>
      </w:r>
      <w:r w:rsidR="00760665" w:rsidRPr="00221992">
        <w:rPr>
          <w:lang w:val="en-GB"/>
        </w:rPr>
        <w:t>Comissão Nacional de Incorporação de Tecnologias no SUS; GENCAT</w:t>
      </w:r>
      <w:r w:rsidR="00FB52C9" w:rsidRPr="00221992">
        <w:rPr>
          <w:lang w:val="en-GB"/>
        </w:rPr>
        <w:t>,</w:t>
      </w:r>
      <w:r w:rsidR="008A6310">
        <w:rPr>
          <w:lang w:val="en-GB"/>
        </w:rPr>
        <w:t xml:space="preserve"> </w:t>
      </w:r>
      <w:r w:rsidR="00760665" w:rsidRPr="00221992">
        <w:rPr>
          <w:lang w:val="en-GB"/>
        </w:rPr>
        <w:t>Generalitat de Catalunya; HAS</w:t>
      </w:r>
      <w:r w:rsidR="00172B1B" w:rsidRPr="00221992">
        <w:rPr>
          <w:lang w:val="en-GB"/>
        </w:rPr>
        <w:t>,</w:t>
      </w:r>
      <w:r w:rsidR="00760665" w:rsidRPr="00221992">
        <w:rPr>
          <w:lang w:val="en-GB"/>
        </w:rPr>
        <w:t xml:space="preserve"> Haute Autorité de Santé; ICER</w:t>
      </w:r>
      <w:r w:rsidR="00FB52C9" w:rsidRPr="00221992">
        <w:rPr>
          <w:lang w:val="en-GB"/>
        </w:rPr>
        <w:t>,</w:t>
      </w:r>
      <w:r w:rsidR="008A6310">
        <w:rPr>
          <w:lang w:val="en-GB"/>
        </w:rPr>
        <w:t xml:space="preserve"> </w:t>
      </w:r>
      <w:r w:rsidR="00760665" w:rsidRPr="00221992">
        <w:rPr>
          <w:lang w:val="en-GB"/>
        </w:rPr>
        <w:t>Institute for Clinical and Economic Review; NICE</w:t>
      </w:r>
      <w:r w:rsidR="00FB52C9" w:rsidRPr="00221992">
        <w:rPr>
          <w:lang w:val="en-GB"/>
        </w:rPr>
        <w:t>,</w:t>
      </w:r>
      <w:r w:rsidR="008A6310">
        <w:rPr>
          <w:lang w:val="en-GB"/>
        </w:rPr>
        <w:t xml:space="preserve"> </w:t>
      </w:r>
      <w:r w:rsidR="00760665" w:rsidRPr="00221992">
        <w:rPr>
          <w:lang w:val="en-GB"/>
        </w:rPr>
        <w:t>National Institute for Health and Care Excellence; NSCLC</w:t>
      </w:r>
      <w:r w:rsidR="00FB52C9" w:rsidRPr="00221992">
        <w:rPr>
          <w:lang w:val="en-GB"/>
        </w:rPr>
        <w:t>,</w:t>
      </w:r>
      <w:r w:rsidR="008A6310">
        <w:rPr>
          <w:lang w:val="en-GB"/>
        </w:rPr>
        <w:t xml:space="preserve"> </w:t>
      </w:r>
      <w:r w:rsidR="00760665" w:rsidRPr="00221992">
        <w:rPr>
          <w:lang w:val="en-GB"/>
        </w:rPr>
        <w:t>non-small-cell lung cancer; PBAC</w:t>
      </w:r>
      <w:r w:rsidR="00172B1B" w:rsidRPr="00221992">
        <w:rPr>
          <w:lang w:val="en-GB"/>
        </w:rPr>
        <w:t xml:space="preserve">, </w:t>
      </w:r>
      <w:r w:rsidR="00760665" w:rsidRPr="00221992">
        <w:rPr>
          <w:lang w:val="en-GB"/>
        </w:rPr>
        <w:t>Pharmaceutical Benefits Advisory Committee; SMC</w:t>
      </w:r>
      <w:r w:rsidR="00172B1B" w:rsidRPr="00221992">
        <w:rPr>
          <w:lang w:val="en-GB"/>
        </w:rPr>
        <w:t xml:space="preserve">, </w:t>
      </w:r>
      <w:r w:rsidR="00760665" w:rsidRPr="00221992">
        <w:rPr>
          <w:lang w:val="en-GB"/>
        </w:rPr>
        <w:t>Scottish Medicine Consortium; TLV</w:t>
      </w:r>
      <w:r w:rsidR="00FB52C9" w:rsidRPr="00221992">
        <w:rPr>
          <w:lang w:val="en-GB"/>
        </w:rPr>
        <w:t>,</w:t>
      </w:r>
      <w:r w:rsidR="008A6310">
        <w:rPr>
          <w:lang w:val="en-GB"/>
        </w:rPr>
        <w:t xml:space="preserve"> </w:t>
      </w:r>
      <w:r w:rsidR="00760665" w:rsidRPr="00221992">
        <w:rPr>
          <w:lang w:val="en-GB"/>
        </w:rPr>
        <w:t>Tandvårds-och läkemedelsförmånsverket; ZIN</w:t>
      </w:r>
      <w:r w:rsidR="00FB52C9" w:rsidRPr="00221992">
        <w:rPr>
          <w:lang w:val="en-GB"/>
        </w:rPr>
        <w:t>,</w:t>
      </w:r>
      <w:r w:rsidR="008A6310">
        <w:rPr>
          <w:lang w:val="en-GB"/>
        </w:rPr>
        <w:t xml:space="preserve"> </w:t>
      </w:r>
      <w:r w:rsidR="00760665" w:rsidRPr="00221992">
        <w:rPr>
          <w:lang w:val="en-GB"/>
        </w:rPr>
        <w:t>Zorginstituut Nederland</w:t>
      </w:r>
    </w:p>
    <w:p w14:paraId="761C5585" w14:textId="75D90731" w:rsidR="00FE3CFA" w:rsidRPr="00221992" w:rsidRDefault="00FE3CFA" w:rsidP="00533CF1">
      <w:pPr>
        <w:pStyle w:val="TableNotes"/>
        <w:rPr>
          <w:lang w:val="en-GB"/>
        </w:rPr>
      </w:pPr>
      <w:r w:rsidRPr="00221992">
        <w:rPr>
          <w:lang w:val="en-GB"/>
        </w:rPr>
        <w:t>Note:</w:t>
      </w:r>
      <w:r w:rsidRPr="00221992">
        <w:rPr>
          <w:lang w:val="en-GB"/>
        </w:rPr>
        <w:tab/>
        <w:t xml:space="preserve">Tick marks indicate </w:t>
      </w:r>
      <w:r w:rsidR="00412427" w:rsidRPr="00221992">
        <w:rPr>
          <w:lang w:val="en-GB"/>
        </w:rPr>
        <w:t>companion diagnostic testing was included in cost-effectiveness models; cross marks indicate testing was excluded from the cost-effectiveness models.</w:t>
      </w:r>
      <w:r w:rsidR="005F61F8">
        <w:rPr>
          <w:lang w:val="en-GB"/>
        </w:rPr>
        <w:t xml:space="preserve"> Asterisk not defined by source.</w:t>
      </w:r>
    </w:p>
    <w:p w14:paraId="5EA317AF" w14:textId="0BC04AE4" w:rsidR="00760665" w:rsidRPr="00221992" w:rsidRDefault="00760665" w:rsidP="00760665">
      <w:pPr>
        <w:rPr>
          <w:lang w:val="en-GB"/>
        </w:rPr>
      </w:pPr>
      <w:r w:rsidRPr="00221992">
        <w:rPr>
          <w:lang w:val="en-GB"/>
        </w:rPr>
        <w:t xml:space="preserve">Of the submissions included in this study, 26 (96%) received a positive recommendation from NICE. The only therapy not recommended by NICE was cobimetinib in combination with vemurafenib for adult patients with unresectable or metastatic melanoma, which had an ICER far exceeding the </w:t>
      </w:r>
      <w:r w:rsidR="00394CCB">
        <w:rPr>
          <w:lang w:val="en-GB"/>
        </w:rPr>
        <w:t xml:space="preserve">UK’s </w:t>
      </w:r>
      <w:r w:rsidRPr="00221992">
        <w:rPr>
          <w:lang w:val="en-GB"/>
        </w:rPr>
        <w:t xml:space="preserve">nationally accepted threshold. The authors noted that recommendations made by other HTA bodies were mostly consistent with those of NICE, and the inclusion or exclusion of companion diagnostic characteristics in economic models seemed to have minimal impact on the final decisions made; no recommendations were found to be conditional on the use of a companion diagnostic product. Likewise, non-recommendations and deferred recommendations were not attributed to companion diagnostic testing inclusion or exclusion criteria, but rather uncertainties in survival estimates in cost-effectiveness models, high ICERs, and insufficient evidence. The authors concluded that neither the decision to recommend a treatment nor the time from regulatory approval to decision were impacted by specific </w:t>
      </w:r>
      <w:r w:rsidR="00924C94" w:rsidRPr="00221992">
        <w:rPr>
          <w:lang w:val="en-GB"/>
        </w:rPr>
        <w:t xml:space="preserve">companion diagnostic </w:t>
      </w:r>
      <w:r w:rsidRPr="00221992">
        <w:rPr>
          <w:lang w:val="en-GB"/>
        </w:rPr>
        <w:t xml:space="preserve">characteristics in cost-effectiveness models of targeted therapies </w:t>
      </w:r>
      <w:r w:rsidRPr="00221992">
        <w:rPr>
          <w:lang w:val="en-GB"/>
        </w:rPr>
        <w:fldChar w:fldCharType="begin"/>
      </w:r>
      <w:r w:rsidR="00112E71">
        <w:rPr>
          <w:lang w:val="en-GB"/>
        </w:rPr>
        <w:instrText xml:space="preserve"> ADDIN EN.CITE &lt;EndNote&gt;&lt;Cite&gt;&lt;Author&gt;Gomez Montero&lt;/Author&gt;&lt;Year&gt;2022&lt;/Year&gt;&lt;RecNum&gt;657&lt;/RecNum&gt;&lt;DisplayText&gt;[66]&lt;/DisplayText&gt;&lt;record&gt;&lt;rec-number&gt;657&lt;/rec-number&gt;&lt;foreign-keys&gt;&lt;key app="EN" db-id="wzwwsfxe4peesxef95cxvrwjxts9rreasarf" timestamp="1693188493"&gt;657&lt;/key&gt;&lt;/foreign-keys&gt;&lt;ref-type name="Journal Article"&gt;17&lt;/ref-type&gt;&lt;contributors&gt;&lt;authors&gt;&lt;author&gt;Gomez Montero, Melissa&lt;/author&gt;&lt;author&gt;El Alili, Houcine&lt;/author&gt;&lt;author&gt;Hashim, Mahmoud&lt;/author&gt;&lt;author&gt;Wigfield, Peter&lt;/author&gt;&lt;author&gt;Dimova, Mariya&lt;/author&gt;&lt;author&gt;Riley, Ralph&lt;/author&gt;&lt;author&gt;Pascoe, Katie&lt;/author&gt;&lt;/authors&gt;&lt;/contributors&gt;&lt;titles&gt;&lt;title&gt;How are Companion Diagnostics Considered in Economic Evaluations of Oncology Treatments? A Review of Health Technology Assessments&lt;/title&gt;&lt;secondary-title&gt;PharmacoEconomics - Open&lt;/secondary-title&gt;&lt;/titles&gt;&lt;periodical&gt;&lt;full-title&gt;PharmacoEconomics - Open&lt;/full-title&gt;&lt;/periodical&gt;&lt;pages&gt;637-646&lt;/pages&gt;&lt;volume&gt;6&lt;/volume&gt;&lt;number&gt;5&lt;/number&gt;&lt;dates&gt;&lt;year&gt;2022&lt;/year&gt;&lt;pub-dates&gt;&lt;date&gt;2022/09/01&lt;/date&gt;&lt;/pub-dates&gt;&lt;/dates&gt;&lt;isbn&gt;2509-4254&lt;/isbn&gt;&lt;urls&gt;&lt;related-urls&gt;&lt;url&gt;https://doi.org/10.1007/s41669-022-00350-6&lt;/url&gt;&lt;/related-urls&gt;&lt;/urls&gt;&lt;electronic-resource-num&gt;10.1007/s41669-022-00350-6&lt;/electronic-resource-num&gt;&lt;/record&gt;&lt;/Cite&gt;&lt;/EndNote&gt;</w:instrText>
      </w:r>
      <w:r w:rsidRPr="00221992">
        <w:rPr>
          <w:lang w:val="en-GB"/>
        </w:rPr>
        <w:fldChar w:fldCharType="separate"/>
      </w:r>
      <w:r w:rsidR="00112E71">
        <w:rPr>
          <w:noProof/>
          <w:lang w:val="en-GB"/>
        </w:rPr>
        <w:t>[66]</w:t>
      </w:r>
      <w:r w:rsidRPr="00221992">
        <w:rPr>
          <w:lang w:val="en-GB"/>
        </w:rPr>
        <w:fldChar w:fldCharType="end"/>
      </w:r>
      <w:r w:rsidRPr="00221992">
        <w:rPr>
          <w:lang w:val="en-GB"/>
        </w:rPr>
        <w:t>.</w:t>
      </w:r>
    </w:p>
    <w:p w14:paraId="31D06B44" w14:textId="4515617F" w:rsidR="00760665" w:rsidRPr="00221992" w:rsidRDefault="007F48FC" w:rsidP="00760665">
      <w:pPr>
        <w:rPr>
          <w:lang w:val="en-GB"/>
        </w:rPr>
      </w:pPr>
      <w:r w:rsidRPr="00221992">
        <w:rPr>
          <w:lang w:val="en-GB"/>
        </w:rPr>
        <w:t>Australia</w:t>
      </w:r>
      <w:r w:rsidR="00551786">
        <w:rPr>
          <w:lang w:val="en-GB"/>
        </w:rPr>
        <w:t>’</w:t>
      </w:r>
      <w:r w:rsidRPr="00221992">
        <w:rPr>
          <w:lang w:val="en-GB"/>
        </w:rPr>
        <w:t>s approach to co-dependent technologies w</w:t>
      </w:r>
      <w:r w:rsidR="00164C04" w:rsidRPr="00221992">
        <w:rPr>
          <w:lang w:val="en-GB"/>
        </w:rPr>
        <w:t>as</w:t>
      </w:r>
      <w:r w:rsidRPr="00221992">
        <w:rPr>
          <w:lang w:val="en-GB"/>
        </w:rPr>
        <w:t xml:space="preserve"> found to be consistent with international practices</w:t>
      </w:r>
      <w:r w:rsidR="00907F2E" w:rsidRPr="00221992">
        <w:rPr>
          <w:lang w:val="en-GB"/>
        </w:rPr>
        <w:t>, and</w:t>
      </w:r>
      <w:r w:rsidR="00AE2D61" w:rsidRPr="00221992">
        <w:rPr>
          <w:lang w:val="en-GB"/>
        </w:rPr>
        <w:t xml:space="preserve"> Australia</w:t>
      </w:r>
      <w:r w:rsidR="00551786">
        <w:rPr>
          <w:lang w:val="en-GB"/>
        </w:rPr>
        <w:t>’</w:t>
      </w:r>
      <w:r w:rsidR="00AE2D61" w:rsidRPr="00221992">
        <w:rPr>
          <w:lang w:val="en-GB"/>
        </w:rPr>
        <w:t xml:space="preserve">s ability to combine evaluation </w:t>
      </w:r>
      <w:r w:rsidR="00E614F5" w:rsidRPr="00221992">
        <w:rPr>
          <w:lang w:val="en-GB"/>
        </w:rPr>
        <w:t>and funding</w:t>
      </w:r>
      <w:r w:rsidR="00AE2D61" w:rsidRPr="00221992">
        <w:rPr>
          <w:lang w:val="en-GB"/>
        </w:rPr>
        <w:t xml:space="preserve"> of medicines and their companion testing in concert is </w:t>
      </w:r>
      <w:r w:rsidR="00DD1591" w:rsidRPr="00221992">
        <w:rPr>
          <w:lang w:val="en-GB"/>
        </w:rPr>
        <w:t>the</w:t>
      </w:r>
      <w:r w:rsidR="00EC6E73" w:rsidRPr="00221992">
        <w:rPr>
          <w:lang w:val="en-GB"/>
        </w:rPr>
        <w:t xml:space="preserve"> preferred approach</w:t>
      </w:r>
      <w:r w:rsidR="0043775A">
        <w:rPr>
          <w:lang w:val="en-GB"/>
        </w:rPr>
        <w:t xml:space="preserve"> (</w:t>
      </w:r>
      <w:r w:rsidR="00EC6E73" w:rsidRPr="00221992">
        <w:rPr>
          <w:lang w:val="en-GB"/>
        </w:rPr>
        <w:t xml:space="preserve">yet to be implemented in Canada </w:t>
      </w:r>
      <w:r w:rsidR="00FE1F2D" w:rsidRPr="00221992">
        <w:rPr>
          <w:lang w:val="en-GB"/>
        </w:rPr>
        <w:t xml:space="preserve">and only </w:t>
      </w:r>
      <w:r w:rsidR="0043775A">
        <w:rPr>
          <w:lang w:val="en-GB"/>
        </w:rPr>
        <w:t>available</w:t>
      </w:r>
      <w:r w:rsidR="00CF100A" w:rsidRPr="00221992">
        <w:rPr>
          <w:lang w:val="en-GB"/>
        </w:rPr>
        <w:t xml:space="preserve"> </w:t>
      </w:r>
      <w:r w:rsidR="00FE1F2D" w:rsidRPr="00221992">
        <w:rPr>
          <w:lang w:val="en-GB"/>
        </w:rPr>
        <w:t>in Belgium</w:t>
      </w:r>
      <w:r w:rsidR="00CF100A" w:rsidRPr="00221992">
        <w:rPr>
          <w:lang w:val="en-GB"/>
        </w:rPr>
        <w:t xml:space="preserve"> </w:t>
      </w:r>
      <w:r w:rsidR="0043775A">
        <w:rPr>
          <w:lang w:val="en-GB"/>
        </w:rPr>
        <w:t>since</w:t>
      </w:r>
      <w:r w:rsidR="0043775A" w:rsidRPr="00221992">
        <w:rPr>
          <w:lang w:val="en-GB"/>
        </w:rPr>
        <w:t xml:space="preserve"> </w:t>
      </w:r>
      <w:r w:rsidR="00CF100A" w:rsidRPr="00221992">
        <w:rPr>
          <w:lang w:val="en-GB"/>
        </w:rPr>
        <w:t>2019</w:t>
      </w:r>
      <w:r w:rsidR="0043775A">
        <w:rPr>
          <w:lang w:val="en-GB"/>
        </w:rPr>
        <w:t>)</w:t>
      </w:r>
      <w:r w:rsidR="00293C9F" w:rsidRPr="00221992">
        <w:rPr>
          <w:lang w:val="en-GB"/>
        </w:rPr>
        <w:t xml:space="preserve">. </w:t>
      </w:r>
      <w:r w:rsidR="000F1693" w:rsidRPr="00221992">
        <w:rPr>
          <w:lang w:val="en-GB"/>
        </w:rPr>
        <w:t>One</w:t>
      </w:r>
      <w:r w:rsidR="00907F2E" w:rsidRPr="00221992">
        <w:rPr>
          <w:lang w:val="en-GB"/>
        </w:rPr>
        <w:t xml:space="preserve"> local study found Australia</w:t>
      </w:r>
      <w:r w:rsidR="00551786">
        <w:rPr>
          <w:lang w:val="en-GB"/>
        </w:rPr>
        <w:t>’</w:t>
      </w:r>
      <w:r w:rsidR="00907F2E" w:rsidRPr="00221992">
        <w:rPr>
          <w:lang w:val="en-GB"/>
        </w:rPr>
        <w:t>s co-dependent HTA was slow</w:t>
      </w:r>
      <w:r w:rsidR="009F517B" w:rsidRPr="00221992">
        <w:rPr>
          <w:lang w:val="en-GB"/>
        </w:rPr>
        <w:t>er</w:t>
      </w:r>
      <w:r w:rsidR="00750565" w:rsidRPr="00221992">
        <w:rPr>
          <w:lang w:val="en-GB"/>
        </w:rPr>
        <w:t xml:space="preserve"> compared to standard PBAC submissions</w:t>
      </w:r>
      <w:r w:rsidR="00907F2E" w:rsidRPr="00221992">
        <w:rPr>
          <w:lang w:val="en-GB"/>
        </w:rPr>
        <w:t xml:space="preserve"> </w:t>
      </w:r>
      <w:r w:rsidR="009751DF" w:rsidRPr="00221992">
        <w:rPr>
          <w:lang w:val="en-GB"/>
        </w:rPr>
        <w:fldChar w:fldCharType="begin"/>
      </w:r>
      <w:r w:rsidR="00112E71">
        <w:rPr>
          <w:lang w:val="en-GB"/>
        </w:rPr>
        <w:instrText xml:space="preserve"> ADDIN EN.CITE &lt;EndNote&gt;&lt;Cite&gt;&lt;Author&gt;Tran&lt;/Author&gt;&lt;Year&gt;2019&lt;/Year&gt;&lt;RecNum&gt;662&lt;/RecNum&gt;&lt;DisplayText&gt;[71]&lt;/DisplayText&gt;&lt;record&gt;&lt;rec-number&gt;662&lt;/rec-number&gt;&lt;foreign-keys&gt;&lt;key app="EN" db-id="wzwwsfxe4peesxef95cxvrwjxts9rreasarf" timestamp="1693188493"&gt;662&lt;/key&gt;&lt;/foreign-keys&gt;&lt;ref-type name="Journal Article"&gt;17&lt;/ref-type&gt;&lt;contributors&gt;&lt;authors&gt;&lt;author&gt;Tran, G.&lt;/author&gt;&lt;author&gt;Underwood, B.&lt;/author&gt;&lt;author&gt;Wonder, M.&lt;/author&gt;&lt;/authors&gt;&lt;/contributors&gt;&lt;titles&gt;&lt;title&gt;Are cancer drugs associated with a companion diagnostic test taking longer to be reimbursed in Australia?&lt;/title&gt;&lt;secondary-title&gt;Value in Health&lt;/secondary-title&gt;&lt;/titles&gt;&lt;periodical&gt;&lt;full-title&gt;Value in Health&lt;/full-title&gt;&lt;/periodical&gt;&lt;pages&gt;S505&lt;/pages&gt;&lt;volume&gt;22&lt;/volume&gt;&lt;dates&gt;&lt;year&gt;2019&lt;/year&gt;&lt;/dates&gt;&lt;publisher&gt;Elsevier&lt;/publisher&gt;&lt;isbn&gt;1098-3015&lt;/isbn&gt;&lt;urls&gt;&lt;related-urls&gt;&lt;url&gt;https://doi.org/10.1016/j.jval.2019.09.551&lt;/url&gt;&lt;/related-urls&gt;&lt;/urls&gt;&lt;electronic-resource-num&gt;10.1016/j.jval.2019.09.551&lt;/electronic-resource-num&gt;&lt;access-date&gt;2023/08/23&lt;/access-date&gt;&lt;/record&gt;&lt;/Cite&gt;&lt;/EndNote&gt;</w:instrText>
      </w:r>
      <w:r w:rsidR="009751DF" w:rsidRPr="00221992">
        <w:rPr>
          <w:lang w:val="en-GB"/>
        </w:rPr>
        <w:fldChar w:fldCharType="separate"/>
      </w:r>
      <w:r w:rsidR="00112E71">
        <w:rPr>
          <w:noProof/>
          <w:lang w:val="en-GB"/>
        </w:rPr>
        <w:t>[71]</w:t>
      </w:r>
      <w:r w:rsidR="009751DF" w:rsidRPr="00221992">
        <w:rPr>
          <w:lang w:val="en-GB"/>
        </w:rPr>
        <w:fldChar w:fldCharType="end"/>
      </w:r>
      <w:r w:rsidR="009751DF" w:rsidRPr="00221992">
        <w:rPr>
          <w:lang w:val="en-GB"/>
        </w:rPr>
        <w:t>.</w:t>
      </w:r>
    </w:p>
    <w:p w14:paraId="3095C35E" w14:textId="2214416E" w:rsidR="00170FAC" w:rsidRDefault="00170FAC" w:rsidP="00146C04">
      <w:pPr>
        <w:pStyle w:val="NbrHeading2"/>
        <w:rPr>
          <w:lang w:val="en-GB"/>
        </w:rPr>
      </w:pPr>
      <w:bookmarkStart w:id="114" w:name="_Toc162950875"/>
      <w:r>
        <w:rPr>
          <w:lang w:val="en-GB"/>
        </w:rPr>
        <w:t>The National Health Reform Agreement</w:t>
      </w:r>
      <w:bookmarkEnd w:id="114"/>
    </w:p>
    <w:p w14:paraId="42589806" w14:textId="30CA2263" w:rsidR="00EF5B9A" w:rsidRPr="00EF5B9A" w:rsidRDefault="00EF5B9A" w:rsidP="00EF5B9A">
      <w:pPr>
        <w:rPr>
          <w:lang w:val="en-GB"/>
        </w:rPr>
      </w:pPr>
      <w:r w:rsidRPr="00EF5B9A">
        <w:rPr>
          <w:lang w:val="en-GB"/>
        </w:rPr>
        <w:t>In Australia, the National Health Reform Agreement (NHRA) between the Australian Government and all states and territories outlines how governments work together to improve health outcomes and ensure the sustainability of the Australian health system. The NHRA is a key mechanism to ensure public hospital funding is sustainable and transparent in the delivery of safe, high-quality services.</w:t>
      </w:r>
    </w:p>
    <w:p w14:paraId="5BCD03B5" w14:textId="7D5B97C5" w:rsidR="00EF5B9A" w:rsidRPr="00EF5B9A" w:rsidRDefault="00EF5B9A" w:rsidP="00EF5B9A">
      <w:pPr>
        <w:rPr>
          <w:lang w:val="en-GB"/>
        </w:rPr>
      </w:pPr>
      <w:r w:rsidRPr="00EF5B9A">
        <w:rPr>
          <w:lang w:val="en-GB"/>
        </w:rPr>
        <w:t xml:space="preserve">The 2020-25 Addendum to the NHRA sets out the current funding contributions of the Australian Government for public hospital services </w:t>
      </w:r>
      <w:r w:rsidR="00E5265C">
        <w:rPr>
          <w:lang w:val="en-GB"/>
        </w:rPr>
        <w:fldChar w:fldCharType="begin"/>
      </w:r>
      <w:r w:rsidR="00E5265C">
        <w:rPr>
          <w:lang w:val="en-GB"/>
        </w:rPr>
        <w:instrText xml:space="preserve"> ADDIN EN.CITE &lt;EndNote&gt;&lt;Cite&gt;&lt;Author&gt;Department of Health and Aged Care&lt;/Author&gt;&lt;Year&gt;2020&lt;/Year&gt;&lt;RecNum&gt;712&lt;/RecNum&gt;&lt;DisplayText&gt;[73]&lt;/DisplayText&gt;&lt;record&gt;&lt;rec-number&gt;712&lt;/rec-number&gt;&lt;foreign-keys&gt;&lt;key app="EN" db-id="wzwwsfxe4peesxef95cxvrwjxts9rreasarf" timestamp="1712003846"&gt;712&lt;/key&gt;&lt;/foreign-keys&gt;&lt;ref-type name="Report"&gt;27&lt;/ref-type&gt;&lt;contributors&gt;&lt;authors&gt;&lt;author&gt;Department of Health and Aged Care,&lt;/author&gt;&lt;/authors&gt;&lt;tertiary-authors&gt;&lt;author&gt;Australian Government,, Department of Health and Aged Care&lt;/author&gt;&lt;/tertiary-authors&gt;&lt;/contributors&gt;&lt;titles&gt;&lt;title&gt;2020–25 National Health Reform Agreement (NHRA)&lt;/title&gt;&lt;/titles&gt;&lt;dates&gt;&lt;year&gt;2020&lt;/year&gt;&lt;/dates&gt;&lt;pub-location&gt;Canberra&lt;/pub-location&gt;&lt;urls&gt;&lt;/urls&gt;&lt;/record&gt;&lt;/Cite&gt;&lt;/EndNote&gt;</w:instrText>
      </w:r>
      <w:r w:rsidR="00E5265C">
        <w:rPr>
          <w:lang w:val="en-GB"/>
        </w:rPr>
        <w:fldChar w:fldCharType="separate"/>
      </w:r>
      <w:r w:rsidR="00E5265C">
        <w:rPr>
          <w:noProof/>
          <w:lang w:val="en-GB"/>
        </w:rPr>
        <w:t>[73]</w:t>
      </w:r>
      <w:r w:rsidR="00E5265C">
        <w:rPr>
          <w:lang w:val="en-GB"/>
        </w:rPr>
        <w:fldChar w:fldCharType="end"/>
      </w:r>
      <w:r w:rsidRPr="00EF5B9A">
        <w:rPr>
          <w:lang w:val="en-GB"/>
        </w:rPr>
        <w:t>. The 2020-25 NHRA Addendum also introduced seven long</w:t>
      </w:r>
      <w:r w:rsidRPr="00EF5B9A">
        <w:rPr>
          <w:rFonts w:ascii="Cambria Math" w:hAnsi="Cambria Math" w:cs="Cambria Math"/>
          <w:lang w:val="en-GB"/>
        </w:rPr>
        <w:t>‑</w:t>
      </w:r>
      <w:r w:rsidRPr="00EF5B9A">
        <w:rPr>
          <w:lang w:val="en-GB"/>
        </w:rPr>
        <w:t>term health reforms (under Schedule C) to provide the opportunity for states and territories to trial new funding models and care delivery approaches, and commit to a shared vision for long-term health reform. One of these agreed priority areas is reform of Nationally Cohesive Health Technology Assessment (NCHTA).</w:t>
      </w:r>
    </w:p>
    <w:p w14:paraId="63141550" w14:textId="77777777" w:rsidR="00EF5B9A" w:rsidRPr="00EF5B9A" w:rsidRDefault="00EF5B9A" w:rsidP="00EF5B9A">
      <w:pPr>
        <w:rPr>
          <w:lang w:val="en-GB"/>
        </w:rPr>
      </w:pPr>
    </w:p>
    <w:p w14:paraId="6D91DB54" w14:textId="6500C832" w:rsidR="00EF5B9A" w:rsidRPr="00EF5B9A" w:rsidRDefault="00EF5B9A" w:rsidP="00EF5B9A">
      <w:pPr>
        <w:rPr>
          <w:lang w:val="en-GB"/>
        </w:rPr>
      </w:pPr>
      <w:r w:rsidRPr="00EF5B9A">
        <w:rPr>
          <w:lang w:val="en-GB"/>
        </w:rPr>
        <w:t xml:space="preserve">The aim of the NCHTA reform is to ensure HTA is guided by a systematic, cohesive, efficient and responsive national framework for decision making across all levels of the health system, to increase the consistency, timeliness, efficiency and value of HTA processes nationally. Implementation of the long-term reform activities, committed to by Commonwealth, state and territory governments, is detailed in the NHRA Long-term Health Reforms Roadmap </w:t>
      </w:r>
      <w:r w:rsidR="00E5265C">
        <w:rPr>
          <w:lang w:val="en-GB"/>
        </w:rPr>
        <w:fldChar w:fldCharType="begin"/>
      </w:r>
      <w:r w:rsidR="00E5265C">
        <w:rPr>
          <w:lang w:val="en-GB"/>
        </w:rPr>
        <w:instrText xml:space="preserve"> ADDIN EN.CITE &lt;EndNote&gt;&lt;Cite&gt;&lt;Author&gt;Department of Health and Aged Care&lt;/Author&gt;&lt;Year&gt;2021&lt;/Year&gt;&lt;RecNum&gt;713&lt;/RecNum&gt;&lt;DisplayText&gt;[74]&lt;/DisplayText&gt;&lt;record&gt;&lt;rec-number&gt;713&lt;/rec-number&gt;&lt;foreign-keys&gt;&lt;key app="EN" db-id="wzwwsfxe4peesxef95cxvrwjxts9rreasarf" timestamp="1712007676"&gt;713&lt;/key&gt;&lt;/foreign-keys&gt;&lt;ref-type name="Report"&gt;27&lt;/ref-type&gt;&lt;contributors&gt;&lt;authors&gt;&lt;author&gt;Department of Health and Aged Care,&lt;/author&gt;&lt;/authors&gt;&lt;tertiary-authors&gt;&lt;author&gt;Australian Government,, Department of Health and Aged Care&lt;/author&gt;&lt;/tertiary-authors&gt;&lt;/contributors&gt;&lt;titles&gt;&lt;title&gt;National Health Reform Agreement (NHRA) – Long-term health reforms roadmap&lt;/title&gt;&lt;/titles&gt;&lt;dates&gt;&lt;year&gt;2021&lt;/year&gt;&lt;/dates&gt;&lt;pub-location&gt;Canberra&lt;/pub-location&gt;&lt;urls&gt;&lt;/urls&gt;&lt;/record&gt;&lt;/Cite&gt;&lt;/EndNote&gt;</w:instrText>
      </w:r>
      <w:r w:rsidR="00E5265C">
        <w:rPr>
          <w:lang w:val="en-GB"/>
        </w:rPr>
        <w:fldChar w:fldCharType="separate"/>
      </w:r>
      <w:r w:rsidR="00E5265C">
        <w:rPr>
          <w:noProof/>
          <w:lang w:val="en-GB"/>
        </w:rPr>
        <w:t>[74]</w:t>
      </w:r>
      <w:r w:rsidR="00E5265C">
        <w:rPr>
          <w:lang w:val="en-GB"/>
        </w:rPr>
        <w:fldChar w:fldCharType="end"/>
      </w:r>
      <w:r w:rsidRPr="00EF5B9A">
        <w:rPr>
          <w:lang w:val="en-GB"/>
        </w:rPr>
        <w:t>.</w:t>
      </w:r>
    </w:p>
    <w:p w14:paraId="56F8031D" w14:textId="7E58B552" w:rsidR="00EF5B9A" w:rsidRPr="00EF5B9A" w:rsidRDefault="00EF5B9A" w:rsidP="00EF5B9A">
      <w:pPr>
        <w:rPr>
          <w:lang w:val="en-GB"/>
        </w:rPr>
      </w:pPr>
      <w:r w:rsidRPr="00EF5B9A">
        <w:rPr>
          <w:lang w:val="en-GB"/>
        </w:rPr>
        <w:t>Under this reform commitment, the 2020-25 NHRA Addendum (Schedule C, Clause 12) sets out specific funding arrangements and conditions for the assessment of high-cost, Highly Specialised Therapies (HSTs) jointly funded by the Commonwealth, state and territory governments, and delivered in public hospitals. HSTs include emerging therapies such as CAR T-cell therapies and other high-cost cell and gene therapies. Under these arrangements, the conditions for the health technology assessment of the HST, funding contributions and governance processes are agreed and detailed in the Addendum.</w:t>
      </w:r>
    </w:p>
    <w:p w14:paraId="74718368" w14:textId="049CA7BA" w:rsidR="00EF5B9A" w:rsidRDefault="00EF5B9A" w:rsidP="00EF5B9A">
      <w:pPr>
        <w:rPr>
          <w:lang w:val="en-GB"/>
        </w:rPr>
      </w:pPr>
      <w:r w:rsidRPr="00EF5B9A">
        <w:rPr>
          <w:lang w:val="en-GB"/>
        </w:rPr>
        <w:t xml:space="preserve">The 2020-25 NHRA Addendum stipulated an external review of the Addendum be undertaken at its midpoint. The Mid-Term Review of the National Health Reform Agreement Addendum 2020-2025 made several recommendations related to HTA and high-cost </w:t>
      </w:r>
      <w:r w:rsidR="00F91A68">
        <w:rPr>
          <w:lang w:val="en-GB"/>
        </w:rPr>
        <w:t>HSTs</w:t>
      </w:r>
      <w:r w:rsidRPr="00EF5B9A">
        <w:rPr>
          <w:lang w:val="en-GB"/>
        </w:rPr>
        <w:t>, including</w:t>
      </w:r>
      <w:r>
        <w:rPr>
          <w:lang w:val="en-GB"/>
        </w:rPr>
        <w:t xml:space="preserve"> </w:t>
      </w:r>
      <w:r w:rsidR="00E5265C">
        <w:rPr>
          <w:lang w:val="en-GB"/>
        </w:rPr>
        <w:fldChar w:fldCharType="begin"/>
      </w:r>
      <w:r w:rsidR="00E5265C">
        <w:rPr>
          <w:lang w:val="en-GB"/>
        </w:rPr>
        <w:instrText xml:space="preserve"> ADDIN EN.CITE &lt;EndNote&gt;&lt;Cite&gt;&lt;Author&gt;Department of Health and Aged Care&lt;/Author&gt;&lt;Year&gt;2023&lt;/Year&gt;&lt;RecNum&gt;714&lt;/RecNum&gt;&lt;DisplayText&gt;[75]&lt;/DisplayText&gt;&lt;record&gt;&lt;rec-number&gt;714&lt;/rec-number&gt;&lt;foreign-keys&gt;&lt;key app="EN" db-id="wzwwsfxe4peesxef95cxvrwjxts9rreasarf" timestamp="1712007949"&gt;714&lt;/key&gt;&lt;/foreign-keys&gt;&lt;ref-type name="Report"&gt;27&lt;/ref-type&gt;&lt;contributors&gt;&lt;authors&gt;&lt;author&gt;Department of Health and Aged Care,&lt;/author&gt;&lt;/authors&gt;&lt;tertiary-authors&gt;&lt;author&gt;Australian Government Department,, of Health and Aged Care&lt;/author&gt;&lt;/tertiary-authors&gt;&lt;/contributors&gt;&lt;titles&gt;&lt;title&gt;NHRA Mid-term Review Final Report&lt;/title&gt;&lt;/titles&gt;&lt;dates&gt;&lt;year&gt;2023&lt;/year&gt;&lt;/dates&gt;&lt;pub-location&gt;Canberra&lt;/pub-location&gt;&lt;urls&gt;&lt;/urls&gt;&lt;/record&gt;&lt;/Cite&gt;&lt;/EndNote&gt;</w:instrText>
      </w:r>
      <w:r w:rsidR="00E5265C">
        <w:rPr>
          <w:lang w:val="en-GB"/>
        </w:rPr>
        <w:fldChar w:fldCharType="separate"/>
      </w:r>
      <w:r w:rsidR="00E5265C">
        <w:rPr>
          <w:noProof/>
          <w:lang w:val="en-GB"/>
        </w:rPr>
        <w:t>[75]</w:t>
      </w:r>
      <w:r w:rsidR="00E5265C">
        <w:rPr>
          <w:lang w:val="en-GB"/>
        </w:rPr>
        <w:fldChar w:fldCharType="end"/>
      </w:r>
      <w:r w:rsidRPr="00EF5B9A">
        <w:rPr>
          <w:lang w:val="en-GB"/>
        </w:rPr>
        <w:t>:</w:t>
      </w:r>
    </w:p>
    <w:p w14:paraId="2744C610" w14:textId="5B5F3EA2" w:rsidR="00B57011" w:rsidRPr="00C34F7F" w:rsidRDefault="00B57011" w:rsidP="00957584">
      <w:pPr>
        <w:pStyle w:val="ListParagraph"/>
        <w:numPr>
          <w:ilvl w:val="0"/>
          <w:numId w:val="81"/>
        </w:numPr>
        <w:rPr>
          <w:lang w:val="en-GB"/>
        </w:rPr>
      </w:pPr>
      <w:r w:rsidRPr="00C34F7F">
        <w:rPr>
          <w:lang w:val="en-GB"/>
        </w:rPr>
        <w:t xml:space="preserve">A structured horizon scanning process should be established for high-cost </w:t>
      </w:r>
      <w:r w:rsidR="004156E3">
        <w:rPr>
          <w:lang w:val="en-GB"/>
        </w:rPr>
        <w:t>HSTs</w:t>
      </w:r>
      <w:r w:rsidRPr="00C34F7F">
        <w:rPr>
          <w:lang w:val="en-GB"/>
        </w:rPr>
        <w:t xml:space="preserve">, with the involvement of all jurisdictions, and with input from relevant stakeholders, including but not limited to the National Blood Authority, Organ and Tissue Donation Authority, </w:t>
      </w:r>
      <w:r w:rsidR="00B147B6">
        <w:rPr>
          <w:lang w:val="en-GB"/>
        </w:rPr>
        <w:t>PBAC</w:t>
      </w:r>
      <w:r w:rsidRPr="00C34F7F">
        <w:rPr>
          <w:lang w:val="en-GB"/>
        </w:rPr>
        <w:t xml:space="preserve"> and </w:t>
      </w:r>
      <w:r w:rsidR="00B147B6">
        <w:rPr>
          <w:lang w:val="en-GB"/>
        </w:rPr>
        <w:t>MSAC</w:t>
      </w:r>
      <w:r w:rsidRPr="00C34F7F">
        <w:rPr>
          <w:lang w:val="en-GB"/>
        </w:rPr>
        <w:t xml:space="preserve"> to support forward planning and priority setting</w:t>
      </w:r>
      <w:r w:rsidR="00682EE3">
        <w:rPr>
          <w:lang w:val="en-GB"/>
        </w:rPr>
        <w:t>;</w:t>
      </w:r>
    </w:p>
    <w:p w14:paraId="3C221245" w14:textId="4FB18F44" w:rsidR="00C34F7F" w:rsidRDefault="00B57011" w:rsidP="00957584">
      <w:pPr>
        <w:pStyle w:val="ListParagraph"/>
        <w:numPr>
          <w:ilvl w:val="0"/>
          <w:numId w:val="81"/>
        </w:numPr>
        <w:rPr>
          <w:lang w:val="en-GB"/>
        </w:rPr>
      </w:pPr>
      <w:r w:rsidRPr="00C34F7F">
        <w:rPr>
          <w:lang w:val="en-GB"/>
        </w:rPr>
        <w:t>A unified national HTA process for the assessment and delivery of high-cost</w:t>
      </w:r>
      <w:r w:rsidR="00B147B6">
        <w:rPr>
          <w:lang w:val="en-GB"/>
        </w:rPr>
        <w:t xml:space="preserve"> HSTs</w:t>
      </w:r>
      <w:r w:rsidRPr="00C34F7F">
        <w:rPr>
          <w:lang w:val="en-GB"/>
        </w:rPr>
        <w:t xml:space="preserve"> under the NHRA should be progressed that addresses issues of national consistency, risk sharing, access (including the potential for private sector delivery), affordability, timeliness and information sharing</w:t>
      </w:r>
      <w:r w:rsidR="00682EE3">
        <w:rPr>
          <w:lang w:val="en-GB"/>
        </w:rPr>
        <w:t>;</w:t>
      </w:r>
    </w:p>
    <w:p w14:paraId="411450BA" w14:textId="71889620" w:rsidR="00B57011" w:rsidRPr="00C34F7F" w:rsidRDefault="00B147B6" w:rsidP="00957584">
      <w:pPr>
        <w:pStyle w:val="ListParagraph"/>
        <w:numPr>
          <w:ilvl w:val="0"/>
          <w:numId w:val="81"/>
        </w:numPr>
        <w:rPr>
          <w:lang w:val="en-GB"/>
        </w:rPr>
      </w:pPr>
      <w:r>
        <w:rPr>
          <w:lang w:val="en-GB"/>
        </w:rPr>
        <w:t>T</w:t>
      </w:r>
      <w:r w:rsidR="00B57011" w:rsidRPr="00C34F7F">
        <w:rPr>
          <w:lang w:val="en-GB"/>
        </w:rPr>
        <w:t>he unified HTA framework and methodology should:</w:t>
      </w:r>
      <w:r w:rsidR="00FA2B84">
        <w:rPr>
          <w:lang w:val="en-GB"/>
        </w:rPr>
        <w:t xml:space="preserve"> a) </w:t>
      </w:r>
      <w:r>
        <w:rPr>
          <w:lang w:val="en-GB"/>
        </w:rPr>
        <w:t>d</w:t>
      </w:r>
      <w:r w:rsidR="00FA2B84" w:rsidRPr="00C34F7F">
        <w:rPr>
          <w:lang w:val="en-GB"/>
        </w:rPr>
        <w:t xml:space="preserve">rive consistency in identification of all costs associated with delivery (Commonwealth, </w:t>
      </w:r>
      <w:r>
        <w:rPr>
          <w:lang w:val="en-GB"/>
        </w:rPr>
        <w:t>s</w:t>
      </w:r>
      <w:r w:rsidR="00FA2B84" w:rsidRPr="00C34F7F">
        <w:rPr>
          <w:lang w:val="en-GB"/>
        </w:rPr>
        <w:t xml:space="preserve">tate and </w:t>
      </w:r>
      <w:r>
        <w:rPr>
          <w:lang w:val="en-GB"/>
        </w:rPr>
        <w:t>t</w:t>
      </w:r>
      <w:r w:rsidR="00FA2B84" w:rsidRPr="00C34F7F">
        <w:rPr>
          <w:lang w:val="en-GB"/>
        </w:rPr>
        <w:t>erritory funded), but also lifetime potential avoided health system costs, through strengthened data collection and analysis</w:t>
      </w:r>
      <w:r w:rsidR="00FA2B84">
        <w:rPr>
          <w:lang w:val="en-GB"/>
        </w:rPr>
        <w:t>; and b) t</w:t>
      </w:r>
      <w:r w:rsidR="00FA2B84" w:rsidRPr="00C34F7F">
        <w:rPr>
          <w:lang w:val="en-GB"/>
        </w:rPr>
        <w:t>ake a cross-modal approach that compares new high-cost</w:t>
      </w:r>
      <w:r>
        <w:rPr>
          <w:lang w:val="en-GB"/>
        </w:rPr>
        <w:t xml:space="preserve"> HSTs</w:t>
      </w:r>
      <w:r w:rsidR="00FA2B84" w:rsidRPr="00C34F7F">
        <w:rPr>
          <w:lang w:val="en-GB"/>
        </w:rPr>
        <w:t xml:space="preserve"> to the range of treatments/technologies for the same indication (e.g., medicines, devices</w:t>
      </w:r>
      <w:r>
        <w:rPr>
          <w:lang w:val="en-GB"/>
        </w:rPr>
        <w:t xml:space="preserve"> and</w:t>
      </w:r>
      <w:r w:rsidR="00FA2B84" w:rsidRPr="00C34F7F">
        <w:rPr>
          <w:lang w:val="en-GB"/>
        </w:rPr>
        <w:t xml:space="preserve"> surgery)</w:t>
      </w:r>
      <w:r w:rsidR="00C34F7F" w:rsidRPr="00C34F7F">
        <w:rPr>
          <w:lang w:val="en-GB"/>
        </w:rPr>
        <w:t>.</w:t>
      </w:r>
    </w:p>
    <w:p w14:paraId="13751D5D" w14:textId="7618C997" w:rsidR="00C34F7F" w:rsidRPr="00EA0C14" w:rsidRDefault="00FA2B84" w:rsidP="00B57011">
      <w:pPr>
        <w:rPr>
          <w:lang w:val="en-GB"/>
        </w:rPr>
      </w:pPr>
      <w:r w:rsidRPr="00C34F7F">
        <w:rPr>
          <w:lang w:val="en-GB"/>
        </w:rPr>
        <w:t>Health Ministers have commenced the renegotiation of the NHRA Addendum to embed long-term, system-wide structural health reforms, including consideration of the NHRA Mid-Term Review finding</w:t>
      </w:r>
      <w:r>
        <w:rPr>
          <w:lang w:val="en-GB"/>
        </w:rPr>
        <w:t>s.</w:t>
      </w:r>
    </w:p>
    <w:p w14:paraId="7F670D00" w14:textId="027F0BE6" w:rsidR="00165681" w:rsidRPr="00221992" w:rsidRDefault="00115B9A" w:rsidP="00146C04">
      <w:pPr>
        <w:pStyle w:val="NbrHeading2"/>
        <w:rPr>
          <w:lang w:val="en-GB"/>
        </w:rPr>
      </w:pPr>
      <w:bookmarkStart w:id="115" w:name="_Toc162950876"/>
      <w:r w:rsidRPr="00221992">
        <w:rPr>
          <w:lang w:val="en-GB"/>
        </w:rPr>
        <w:t>E</w:t>
      </w:r>
      <w:r w:rsidR="00165681" w:rsidRPr="00221992">
        <w:rPr>
          <w:lang w:val="en-GB"/>
        </w:rPr>
        <w:t>quity</w:t>
      </w:r>
      <w:r w:rsidRPr="00221992">
        <w:rPr>
          <w:lang w:val="en-GB"/>
        </w:rPr>
        <w:t xml:space="preserve"> considerations</w:t>
      </w:r>
      <w:r w:rsidR="0054112E" w:rsidRPr="00221992">
        <w:rPr>
          <w:lang w:val="en-GB"/>
        </w:rPr>
        <w:t xml:space="preserve"> </w:t>
      </w:r>
      <w:r w:rsidR="003C5D45" w:rsidRPr="00221992">
        <w:rPr>
          <w:lang w:val="en-GB"/>
        </w:rPr>
        <w:t>in</w:t>
      </w:r>
      <w:r w:rsidR="0054112E" w:rsidRPr="00221992">
        <w:rPr>
          <w:lang w:val="en-GB"/>
        </w:rPr>
        <w:t xml:space="preserve"> HTA</w:t>
      </w:r>
      <w:bookmarkEnd w:id="97"/>
      <w:bookmarkEnd w:id="115"/>
    </w:p>
    <w:p w14:paraId="21A4110C" w14:textId="226F5D06" w:rsidR="00165681" w:rsidRPr="00221992" w:rsidRDefault="00165681" w:rsidP="00702C58">
      <w:pPr>
        <w:rPr>
          <w:lang w:val="en-GB"/>
        </w:rPr>
      </w:pPr>
      <w:r w:rsidRPr="00221992">
        <w:rPr>
          <w:lang w:val="en-GB"/>
        </w:rPr>
        <w:t xml:space="preserve">The World Health </w:t>
      </w:r>
      <w:r w:rsidR="52F0B16E" w:rsidRPr="00221992">
        <w:rPr>
          <w:lang w:val="en-GB"/>
        </w:rPr>
        <w:t>Organi</w:t>
      </w:r>
      <w:r w:rsidR="5F6B983C" w:rsidRPr="00221992">
        <w:rPr>
          <w:lang w:val="en-GB"/>
        </w:rPr>
        <w:t>z</w:t>
      </w:r>
      <w:r w:rsidR="52F0B16E" w:rsidRPr="00221992">
        <w:rPr>
          <w:lang w:val="en-GB"/>
        </w:rPr>
        <w:t>ation</w:t>
      </w:r>
      <w:r w:rsidRPr="00221992">
        <w:rPr>
          <w:lang w:val="en-GB"/>
        </w:rPr>
        <w:t xml:space="preserve"> defines health equity as the absence of unfair, avoidable or remediable differences among groups of people, whether those groups are defined socially, economically, demographically, or geographically or by other dimensions of inequality (e.g.</w:t>
      </w:r>
      <w:r w:rsidR="00AE1A87" w:rsidRPr="00221992">
        <w:rPr>
          <w:lang w:val="en-GB"/>
        </w:rPr>
        <w:t>,</w:t>
      </w:r>
      <w:r w:rsidRPr="00221992">
        <w:rPr>
          <w:lang w:val="en-GB"/>
        </w:rPr>
        <w:t xml:space="preserve"> sex, gender, ethnicity, disability, or sexual orientation) </w:t>
      </w:r>
      <w:r w:rsidRPr="00221992">
        <w:rPr>
          <w:lang w:val="en-GB"/>
        </w:rPr>
        <w:fldChar w:fldCharType="begin"/>
      </w:r>
      <w:r w:rsidR="00E5265C">
        <w:rPr>
          <w:lang w:val="en-GB"/>
        </w:rPr>
        <w:instrText xml:space="preserve"> ADDIN EN.CITE &lt;EndNote&gt;&lt;Cite&gt;&lt;Author&gt;World Health Organization&lt;/Author&gt;&lt;Year&gt;2021&lt;/Year&gt;&lt;RecNum&gt;485&lt;/RecNum&gt;&lt;DisplayText&gt;[76]&lt;/DisplayText&gt;&lt;record&gt;&lt;rec-number&gt;485&lt;/rec-number&gt;&lt;foreign-keys&gt;&lt;key app="EN" db-id="wzwwsfxe4peesxef95cxvrwjxts9rreasarf" timestamp="1692654671"&gt;485&lt;/key&gt;&lt;/foreign-keys&gt;&lt;ref-type name="Web Page"&gt;12&lt;/ref-type&gt;&lt;contributors&gt;&lt;authors&gt;&lt;author&gt;World Health Organization,&lt;/author&gt;&lt;/authors&gt;&lt;tertiary-authors&gt;&lt;author&gt;World Health Organization,&lt;/author&gt;&lt;/tertiary-authors&gt;&lt;/contributors&gt;&lt;titles&gt;&lt;title&gt;Health Equity&lt;/title&gt;&lt;/titles&gt;&lt;dates&gt;&lt;year&gt;2021&lt;/year&gt;&lt;/dates&gt;&lt;pub-location&gt;Geneva&lt;/pub-location&gt;&lt;urls&gt;&lt;related-urls&gt;&lt;url&gt;https://www.who.int/health-topics/health-equity#tab=tab_1&lt;/url&gt;&lt;/related-urls&gt;&lt;/urls&gt;&lt;access-date&gt;16 August 2023&lt;/access-date&gt;&lt;/record&gt;&lt;/Cite&gt;&lt;/EndNote&gt;</w:instrText>
      </w:r>
      <w:r w:rsidRPr="00221992">
        <w:rPr>
          <w:lang w:val="en-GB"/>
        </w:rPr>
        <w:fldChar w:fldCharType="separate"/>
      </w:r>
      <w:r w:rsidR="00E5265C">
        <w:rPr>
          <w:noProof/>
          <w:lang w:val="en-GB"/>
        </w:rPr>
        <w:t>[76]</w:t>
      </w:r>
      <w:r w:rsidRPr="00221992">
        <w:rPr>
          <w:lang w:val="en-GB"/>
        </w:rPr>
        <w:fldChar w:fldCharType="end"/>
      </w:r>
      <w:r w:rsidRPr="00221992">
        <w:rPr>
          <w:lang w:val="en-GB"/>
        </w:rPr>
        <w:t xml:space="preserve">. Notwithstanding common emphasis on equity in the articulation and design of health systems internationally, </w:t>
      </w:r>
      <w:r w:rsidR="00071EF7">
        <w:rPr>
          <w:lang w:val="en-GB"/>
        </w:rPr>
        <w:t>observers note</w:t>
      </w:r>
      <w:r w:rsidRPr="00221992">
        <w:rPr>
          <w:lang w:val="en-GB"/>
        </w:rPr>
        <w:t xml:space="preserve"> a lack of practical tools for the systematic consideration of equity in HTA </w:t>
      </w:r>
      <w:r w:rsidRPr="00221992">
        <w:rPr>
          <w:lang w:val="en-GB"/>
        </w:rPr>
        <w:fldChar w:fldCharType="begin">
          <w:fldData xml:space="preserve">PEVuZE5vdGU+PENpdGU+PEF1dGhvcj5DdWx5ZXI8L0F1dGhvcj48WWVhcj4yMDEyPC9ZZWFyPjxS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</w:fldData>
        </w:fldChar>
      </w:r>
      <w:r w:rsidR="00E5265C">
        <w:rPr>
          <w:lang w:val="en-GB"/>
        </w:rPr>
        <w:instrText xml:space="preserve"> ADDIN EN.CITE </w:instrText>
      </w:r>
      <w:r w:rsidR="00E5265C">
        <w:rPr>
          <w:lang w:val="en-GB"/>
        </w:rPr>
        <w:fldChar w:fldCharType="begin">
          <w:fldData xml:space="preserve">PEVuZE5vdGU+PENpdGU+PEF1dGhvcj5DdWx5ZXI8L0F1dGhvcj48WWVhcj4yMDEyPC9ZZWFyPjxS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</w:fldData>
        </w:fldChar>
      </w:r>
      <w:r w:rsidR="00E5265C">
        <w:rPr>
          <w:lang w:val="en-GB"/>
        </w:rPr>
        <w:instrText xml:space="preserve"> ADDIN EN.CITE.DATA </w:instrText>
      </w:r>
      <w:r w:rsidR="00E5265C">
        <w:rPr>
          <w:lang w:val="en-GB"/>
        </w:rPr>
      </w:r>
      <w:r w:rsidR="00E5265C">
        <w:rPr>
          <w:lang w:val="en-GB"/>
        </w:rPr>
        <w:fldChar w:fldCharType="end"/>
      </w:r>
      <w:r w:rsidRPr="00221992">
        <w:rPr>
          <w:lang w:val="en-GB"/>
        </w:rPr>
      </w:r>
      <w:r w:rsidRPr="00221992">
        <w:rPr>
          <w:lang w:val="en-GB"/>
        </w:rPr>
        <w:fldChar w:fldCharType="separate"/>
      </w:r>
      <w:r w:rsidR="00E5265C">
        <w:rPr>
          <w:noProof/>
          <w:lang w:val="en-GB"/>
        </w:rPr>
        <w:t>[77]</w:t>
      </w:r>
      <w:r w:rsidRPr="00221992">
        <w:rPr>
          <w:lang w:val="en-GB"/>
        </w:rPr>
        <w:fldChar w:fldCharType="end"/>
      </w:r>
      <w:r w:rsidRPr="00221992">
        <w:rPr>
          <w:lang w:val="en-GB"/>
        </w:rPr>
        <w:t xml:space="preserve">. Nonetheless, as observed by Cookson et al. (2017) </w:t>
      </w:r>
      <w:r w:rsidRPr="00221992">
        <w:rPr>
          <w:lang w:val="en-GB"/>
        </w:rPr>
        <w:fldChar w:fldCharType="begin">
          <w:fldData xml:space="preserve">PEVuZE5vdGU+PENpdGU+PEF1dGhvcj5Db29rc29uPC9BdXRob3I+PFllYXI+MjAxNzwvWWVhcj48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=
</w:fldData>
        </w:fldChar>
      </w:r>
      <w:r w:rsidR="00E5265C">
        <w:rPr>
          <w:lang w:val="en-GB"/>
        </w:rPr>
        <w:instrText xml:space="preserve"> ADDIN EN.CITE </w:instrText>
      </w:r>
      <w:r w:rsidR="00E5265C">
        <w:rPr>
          <w:lang w:val="en-GB"/>
        </w:rPr>
        <w:fldChar w:fldCharType="begin">
          <w:fldData xml:space="preserve">PEVuZE5vdGU+PENpdGU+PEF1dGhvcj5Db29rc29uPC9BdXRob3I+PFllYXI+MjAxNzwvWWVhcj48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=
</w:fldData>
        </w:fldChar>
      </w:r>
      <w:r w:rsidR="00E5265C">
        <w:rPr>
          <w:lang w:val="en-GB"/>
        </w:rPr>
        <w:instrText xml:space="preserve"> ADDIN EN.CITE.DATA </w:instrText>
      </w:r>
      <w:r w:rsidR="00E5265C">
        <w:rPr>
          <w:lang w:val="en-GB"/>
        </w:rPr>
      </w:r>
      <w:r w:rsidR="00E5265C">
        <w:rPr>
          <w:lang w:val="en-GB"/>
        </w:rPr>
        <w:fldChar w:fldCharType="end"/>
      </w:r>
      <w:r w:rsidRPr="00221992">
        <w:rPr>
          <w:lang w:val="en-GB"/>
        </w:rPr>
      </w:r>
      <w:r w:rsidRPr="00221992">
        <w:rPr>
          <w:lang w:val="en-GB"/>
        </w:rPr>
        <w:fldChar w:fldCharType="separate"/>
      </w:r>
      <w:r w:rsidR="00E5265C">
        <w:rPr>
          <w:noProof/>
          <w:lang w:val="en-GB"/>
        </w:rPr>
        <w:t>[78]</w:t>
      </w:r>
      <w:r w:rsidRPr="00221992">
        <w:rPr>
          <w:lang w:val="en-GB"/>
        </w:rPr>
        <w:fldChar w:fldCharType="end"/>
      </w:r>
      <w:r w:rsidRPr="00221992">
        <w:rPr>
          <w:lang w:val="en-GB"/>
        </w:rPr>
        <w:t xml:space="preserve">, </w:t>
      </w:r>
    </w:p>
    <w:p w14:paraId="5110AF3F" w14:textId="44C3A70B" w:rsidR="00165681" w:rsidRPr="00221992" w:rsidRDefault="00165681" w:rsidP="003C5D45">
      <w:pPr>
        <w:ind w:left="567"/>
        <w:rPr>
          <w:lang w:val="en-GB"/>
        </w:rPr>
      </w:pPr>
      <w:r w:rsidRPr="00221992">
        <w:rPr>
          <w:lang w:val="en-GB"/>
        </w:rPr>
        <w:t xml:space="preserve">Implicitly or explicitly, all [cost-effectiveness analyses] already incorporate social value judgements about equity—for example, in scoping and methodologic decisions about the relevant policy options and comparators, which costs and effects to measure, how to compare costs and effects of different kinds, how to aggregate costs and effects for different people and organisations, </w:t>
      </w:r>
      <w:r w:rsidR="00AE1A87" w:rsidRPr="00221992">
        <w:rPr>
          <w:lang w:val="en-GB"/>
        </w:rPr>
        <w:t xml:space="preserve">and </w:t>
      </w:r>
      <w:r w:rsidRPr="00221992">
        <w:rPr>
          <w:lang w:val="en-GB"/>
        </w:rPr>
        <w:t>how to value future costs and effects. (p. 206)</w:t>
      </w:r>
    </w:p>
    <w:p w14:paraId="4CC2F520" w14:textId="2FFB59C5" w:rsidR="00165681" w:rsidRPr="00221992" w:rsidRDefault="00165681" w:rsidP="00702C58">
      <w:pPr>
        <w:rPr>
          <w:lang w:val="en-GB"/>
        </w:rPr>
      </w:pPr>
      <w:r w:rsidRPr="00221992">
        <w:rPr>
          <w:lang w:val="en-GB"/>
        </w:rPr>
        <w:t>While there is a strong degree of alignment internationally with respect to methods for the assessment of clinical and cost-effectiveness, there is marked heterogeneity in how ethical principles are incorporated within individual countries</w:t>
      </w:r>
      <w:r w:rsidR="00551786">
        <w:rPr>
          <w:lang w:val="en-GB"/>
        </w:rPr>
        <w:t>’</w:t>
      </w:r>
      <w:r w:rsidRPr="00221992">
        <w:rPr>
          <w:lang w:val="en-GB"/>
        </w:rPr>
        <w:t xml:space="preserve"> legislated approaches to HTA decision-making. </w:t>
      </w:r>
    </w:p>
    <w:p w14:paraId="3D2AE351" w14:textId="6741501B" w:rsidR="00851ABF" w:rsidRPr="00221992" w:rsidRDefault="00165681" w:rsidP="003C5D45">
      <w:pPr>
        <w:rPr>
          <w:lang w:val="en-GB"/>
        </w:rPr>
      </w:pPr>
      <w:r w:rsidRPr="00221992">
        <w:rPr>
          <w:lang w:val="en-GB"/>
        </w:rPr>
        <w:t xml:space="preserve">With respect to the </w:t>
      </w:r>
      <w:r w:rsidR="00AE1A87" w:rsidRPr="00221992">
        <w:rPr>
          <w:lang w:val="en-GB"/>
        </w:rPr>
        <w:t>inclusion</w:t>
      </w:r>
      <w:r w:rsidRPr="00221992">
        <w:rPr>
          <w:lang w:val="en-GB"/>
        </w:rPr>
        <w:t xml:space="preserve"> of equity in HTA deliberative processes, </w:t>
      </w:r>
      <w:r w:rsidR="00F73543" w:rsidRPr="00221992">
        <w:rPr>
          <w:lang w:val="en-GB"/>
        </w:rPr>
        <w:t>equity</w:t>
      </w:r>
      <w:r w:rsidRPr="00221992">
        <w:rPr>
          <w:lang w:val="en-GB"/>
        </w:rPr>
        <w:t xml:space="preserve"> considerations are informed—to varying degrees—by countries</w:t>
      </w:r>
      <w:r w:rsidR="00551786">
        <w:rPr>
          <w:lang w:val="en-GB"/>
        </w:rPr>
        <w:t>’</w:t>
      </w:r>
      <w:r w:rsidRPr="00221992">
        <w:rPr>
          <w:lang w:val="en-GB"/>
        </w:rPr>
        <w:t xml:space="preserve"> underlying social ethos and </w:t>
      </w:r>
      <w:r w:rsidR="001A63B6" w:rsidRPr="00221992">
        <w:rPr>
          <w:lang w:val="en-GB"/>
        </w:rPr>
        <w:t>legislative</w:t>
      </w:r>
      <w:r w:rsidRPr="00221992">
        <w:rPr>
          <w:lang w:val="en-GB"/>
        </w:rPr>
        <w:t xml:space="preserve"> principles. </w:t>
      </w:r>
    </w:p>
    <w:p w14:paraId="23EEC1A6" w14:textId="3F9CCBB2" w:rsidR="008D7741" w:rsidRPr="00221992" w:rsidRDefault="00165681" w:rsidP="003C5D45">
      <w:pPr>
        <w:rPr>
          <w:lang w:val="en-GB"/>
        </w:rPr>
      </w:pPr>
      <w:r w:rsidRPr="00221992">
        <w:rPr>
          <w:lang w:val="en-GB"/>
        </w:rPr>
        <w:t>In the Netherlands, constitutive principles include solidarity (i.e., public health insurance funded through the taxation of income) and egalitarianism (i.e., universal and equal access to health care), as well as a “broad consensus” on the use of proportional shortfall (</w:t>
      </w:r>
      <w:r w:rsidR="001A63B6" w:rsidRPr="00221992">
        <w:rPr>
          <w:lang w:val="en-GB"/>
        </w:rPr>
        <w:t>reflecting</w:t>
      </w:r>
      <w:r w:rsidRPr="00221992">
        <w:rPr>
          <w:lang w:val="en-GB"/>
        </w:rPr>
        <w:t xml:space="preserve"> the normative value that priority should be given to patients whose illness threatens the greatest proportion of their remaining life expectancy) (p. 108) </w:t>
      </w:r>
      <w:r w:rsidRPr="00221992">
        <w:rPr>
          <w:lang w:val="en-GB"/>
        </w:rPr>
        <w:fldChar w:fldCharType="begin"/>
      </w:r>
      <w:r w:rsidR="00E5265C">
        <w:rPr>
          <w:lang w:val="en-GB"/>
        </w:rPr>
        <w:instrText xml:space="preserve"> ADDIN EN.CITE &lt;EndNote&gt;&lt;Cite&gt;&lt;Author&gt;Van de Wetering&lt;/Author&gt;&lt;Year&gt;2013&lt;/Year&gt;&lt;RecNum&gt;458&lt;/RecNum&gt;&lt;DisplayText&gt;[79]&lt;/DisplayText&gt;&lt;record&gt;&lt;rec-number&gt;458&lt;/rec-number&gt;&lt;foreign-keys&gt;&lt;key app="EN" db-id="wzwwsfxe4peesxef95cxvrwjxts9rreasarf" timestamp="1692654670"&gt;458&lt;/key&gt;&lt;/foreign-keys&gt;&lt;ref-type name="Journal Article"&gt;17&lt;/ref-type&gt;&lt;contributors&gt;&lt;authors&gt;&lt;author&gt;Van de Wetering, EJ&lt;/author&gt;&lt;author&gt;Stolk, EA&lt;/author&gt;&lt;author&gt;Van Exel, NJA&lt;/author&gt;&lt;author&gt;Brouwer, Werner BF&lt;/author&gt;&lt;/authors&gt;&lt;/contributors&gt;&lt;titles&gt;&lt;title&gt;Balancing equity and efficiency in the Dutch basic benefits package using the principle of proportional shortfall&lt;/title&gt;&lt;secondary-title&gt;The European journal of health economics&lt;/secondary-title&gt;&lt;/titles&gt;&lt;periodical&gt;&lt;full-title&gt;The European journal of health economics&lt;/full-title&gt;&lt;/periodical&gt;&lt;pages&gt;107-115&lt;/pages&gt;&lt;volume&gt;14&lt;/volume&gt;&lt;dates&gt;&lt;year&gt;2013&lt;/year&gt;&lt;/dates&gt;&lt;isbn&gt;1618-7598&lt;/isbn&gt;&lt;urls&gt;&lt;/urls&gt;&lt;/record&gt;&lt;/Cite&gt;&lt;/EndNote&gt;</w:instrText>
      </w:r>
      <w:r w:rsidRPr="00221992">
        <w:rPr>
          <w:lang w:val="en-GB"/>
        </w:rPr>
        <w:fldChar w:fldCharType="separate"/>
      </w:r>
      <w:r w:rsidR="00E5265C">
        <w:rPr>
          <w:noProof/>
          <w:lang w:val="en-GB"/>
        </w:rPr>
        <w:t>[79]</w:t>
      </w:r>
      <w:r w:rsidRPr="00221992">
        <w:rPr>
          <w:lang w:val="en-GB"/>
        </w:rPr>
        <w:fldChar w:fldCharType="end"/>
      </w:r>
      <w:r w:rsidRPr="00221992">
        <w:rPr>
          <w:lang w:val="en-GB"/>
        </w:rPr>
        <w:t xml:space="preserve">. In Sweden, the flexible consideration of equity in HTA decision-making is explicitly informed by the underlying principles of human dignity (i.e., that all people have equal value and rights); needs-solidarity (i.e., that individuals with greater medical needs should be given a greater share of health system resources); and cost-effectiveness (i.e., a reasonable relationship between costs and the improvement of health and wellbeing) </w:t>
      </w:r>
      <w:r w:rsidRPr="00221992">
        <w:rPr>
          <w:lang w:val="en-GB"/>
        </w:rPr>
        <w:fldChar w:fldCharType="begin"/>
      </w:r>
      <w:r w:rsidR="00E5265C">
        <w:rPr>
          <w:lang w:val="en-GB"/>
        </w:rPr>
        <w:instrText xml:space="preserve"> ADDIN EN.CITE &lt;EndNote&gt;&lt;Cite&gt;&lt;Author&gt;Adkins&lt;/Author&gt;&lt;Year&gt;2017&lt;/Year&gt;&lt;RecNum&gt;18433&lt;/RecNum&gt;&lt;DisplayText&gt;[80]&lt;/DisplayText&gt;&lt;record&gt;&lt;rec-number&gt;18433&lt;/rec-number&gt;&lt;foreign-keys&gt;&lt;key app="EN" db-id="etpte9adcdfve1eerz5pws2fvps522ds5svf" timestamp="1685420382" guid="163d04aa-3f45-4099-aedb-e58bd785b1d8"&gt;18433&lt;/key&gt;&lt;/foreign-keys&gt;&lt;ref-type name="Journal Article"&gt;17&lt;/ref-type&gt;&lt;contributors&gt;&lt;authors&gt;&lt;author&gt;Adkins, Elizabeth M.&lt;/author&gt;&lt;author&gt;Nicholson, Lindsay&lt;/author&gt;&lt;author&gt;Floyd, David&lt;/author&gt;&lt;author&gt;Ratcliffe, Mark&lt;/author&gt;&lt;author&gt;Chevrou-Severac, Helene&lt;/author&gt;&lt;/authors&gt;&lt;/contributors&gt;&lt;titles&gt;&lt;title&gt;Oncology drugs for orphan indications: how are HTA processes evolving for this specific drug category?&lt;/title&gt;&lt;secondary-title&gt;ClinicoEconomics and outcomes research : CEOR&lt;/secondary-title&gt;&lt;/titles&gt;&lt;pages&gt;327-342&lt;/pages&gt;&lt;volume&gt;9&lt;/volume&gt;&lt;section&gt;Adkins, Elizabeth M. PHMR, London, UK.&amp;#xD;Nicholson, Lindsay. PHMR, London, UK.&amp;#xD;Floyd, David. PHMR, London, UK.&amp;#xD;Ratcliffe, Mark. PHMR, London, UK.&amp;#xD;Chevrou-Severac, Helene. Takeda Pharmaceuticals AG, Zurich, Switzerland.&lt;/section&gt;&lt;dates&gt;&lt;year&gt;2017&lt;/year&gt;&lt;/dates&gt;&lt;pub-location&gt;New Zealand&lt;/pub-location&gt;&lt;isbn&gt;1178-6981&lt;/isbn&gt;&lt;urls&gt;&lt;related-urls&gt;&lt;url&gt;http://ovidsp.ovid.com/ovidweb.cgi?T=JS&amp;amp;PAGE=reference&amp;amp;D=pmnm4&amp;amp;NEWS=N&amp;amp;AN=28652787&lt;/url&gt;&lt;url&gt;https://www.ncbi.nlm.nih.gov/pmc/articles/PMC5473500/pdf/ceor-9-327.pdf&lt;/url&gt;&lt;/related-urls&gt;&lt;/urls&gt;&lt;electronic-resource-num&gt;https://dx.doi.org/10.2147/CEOR.S134230&lt;/electronic-resource-num&gt;&lt;remote-database-name&gt;Ovid MEDLINE(R) PubMed-not-MEDLINE &amp;lt;2017 to 2019&amp;gt;&lt;/remote-database-name&gt;&lt;research-notes&gt;IN&lt;/research-notes&gt;&lt;access-date&gt;20170610//&lt;/access-date&gt;&lt;/record&gt;&lt;/Cite&gt;&lt;/EndNote&gt;</w:instrText>
      </w:r>
      <w:r w:rsidRPr="00221992">
        <w:rPr>
          <w:lang w:val="en-GB"/>
        </w:rPr>
        <w:fldChar w:fldCharType="separate"/>
      </w:r>
      <w:r w:rsidR="00E5265C">
        <w:rPr>
          <w:noProof/>
          <w:lang w:val="en-GB"/>
        </w:rPr>
        <w:t>[80]</w:t>
      </w:r>
      <w:r w:rsidRPr="00221992">
        <w:rPr>
          <w:lang w:val="en-GB"/>
        </w:rPr>
        <w:fldChar w:fldCharType="end"/>
      </w:r>
      <w:r w:rsidRPr="00221992">
        <w:rPr>
          <w:lang w:val="en-GB"/>
        </w:rPr>
        <w:t xml:space="preserve">. </w:t>
      </w:r>
    </w:p>
    <w:p w14:paraId="071F9C88" w14:textId="05ABF915" w:rsidR="00165681" w:rsidRPr="00221992" w:rsidRDefault="00165681" w:rsidP="003C5D45">
      <w:pPr>
        <w:rPr>
          <w:lang w:val="en-GB"/>
        </w:rPr>
      </w:pPr>
      <w:r w:rsidRPr="00221992">
        <w:rPr>
          <w:lang w:val="en-GB"/>
        </w:rPr>
        <w:t>HTA frameworks may also be informed by overarching</w:t>
      </w:r>
      <w:r w:rsidR="52F0B16E" w:rsidRPr="00221992">
        <w:rPr>
          <w:lang w:val="en-GB"/>
        </w:rPr>
        <w:t xml:space="preserve"> </w:t>
      </w:r>
      <w:r w:rsidR="76592479" w:rsidRPr="00221992">
        <w:rPr>
          <w:lang w:val="en-GB"/>
        </w:rPr>
        <w:t>equity</w:t>
      </w:r>
      <w:r w:rsidRPr="00221992">
        <w:rPr>
          <w:lang w:val="en-GB"/>
        </w:rPr>
        <w:t xml:space="preserve"> priorities laid out in health </w:t>
      </w:r>
      <w:r w:rsidR="00AE1A87" w:rsidRPr="00221992">
        <w:rPr>
          <w:lang w:val="en-GB"/>
        </w:rPr>
        <w:t xml:space="preserve">legislation and policy </w:t>
      </w:r>
      <w:r w:rsidRPr="00221992">
        <w:rPr>
          <w:lang w:val="en-GB"/>
        </w:rPr>
        <w:t xml:space="preserve">(e.g., in Australia, an intergovernmental commitment to </w:t>
      </w:r>
      <w:r w:rsidR="00551786">
        <w:rPr>
          <w:lang w:val="en-GB"/>
        </w:rPr>
        <w:t>‘</w:t>
      </w:r>
      <w:r w:rsidRPr="00221992">
        <w:rPr>
          <w:lang w:val="en-GB"/>
        </w:rPr>
        <w:t>Close the Gap</w:t>
      </w:r>
      <w:r w:rsidR="00551786">
        <w:rPr>
          <w:lang w:val="en-GB"/>
        </w:rPr>
        <w:t>’</w:t>
      </w:r>
      <w:r w:rsidRPr="00221992">
        <w:rPr>
          <w:lang w:val="en-GB"/>
        </w:rPr>
        <w:t xml:space="preserve"> between First Nations and non-Indigenous peoples). Practically, the discretion of HTA decision-makers to modify decisions based on ethical considerations may be legally constrained, for example via laws that prevent discrimination (favourable or otherwise) on the basis of age, gender, sexual orientation, race, health or socioeconomic status </w:t>
      </w:r>
      <w:r w:rsidRPr="00221992">
        <w:rPr>
          <w:lang w:val="en-GB"/>
        </w:rPr>
        <w:fldChar w:fldCharType="begin">
          <w:fldData xml:space="preserve">PEVuZE5vdGU+PENpdGU+PEF1dGhvcj5DdWx5ZXI8L0F1dGhvcj48WWVhcj4yMDEyPC9ZZWFyPjxS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</w:fldData>
        </w:fldChar>
      </w:r>
      <w:r w:rsidR="00E5265C">
        <w:rPr>
          <w:lang w:val="en-GB"/>
        </w:rPr>
        <w:instrText xml:space="preserve"> ADDIN EN.CITE </w:instrText>
      </w:r>
      <w:r w:rsidR="00E5265C">
        <w:rPr>
          <w:lang w:val="en-GB"/>
        </w:rPr>
        <w:fldChar w:fldCharType="begin">
          <w:fldData xml:space="preserve">PEVuZE5vdGU+PENpdGU+PEF1dGhvcj5DdWx5ZXI8L0F1dGhvcj48WWVhcj4yMDEyPC9ZZWFyPjxS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</w:fldData>
        </w:fldChar>
      </w:r>
      <w:r w:rsidR="00E5265C">
        <w:rPr>
          <w:lang w:val="en-GB"/>
        </w:rPr>
        <w:instrText xml:space="preserve"> ADDIN EN.CITE.DATA </w:instrText>
      </w:r>
      <w:r w:rsidR="00E5265C">
        <w:rPr>
          <w:lang w:val="en-GB"/>
        </w:rPr>
      </w:r>
      <w:r w:rsidR="00E5265C">
        <w:rPr>
          <w:lang w:val="en-GB"/>
        </w:rPr>
        <w:fldChar w:fldCharType="end"/>
      </w:r>
      <w:r w:rsidRPr="00221992">
        <w:rPr>
          <w:lang w:val="en-GB"/>
        </w:rPr>
      </w:r>
      <w:r w:rsidRPr="00221992">
        <w:rPr>
          <w:lang w:val="en-GB"/>
        </w:rPr>
        <w:fldChar w:fldCharType="separate"/>
      </w:r>
      <w:r w:rsidR="00E5265C">
        <w:rPr>
          <w:noProof/>
          <w:lang w:val="en-GB"/>
        </w:rPr>
        <w:t>[77]</w:t>
      </w:r>
      <w:r w:rsidRPr="00221992">
        <w:rPr>
          <w:lang w:val="en-GB"/>
        </w:rPr>
        <w:fldChar w:fldCharType="end"/>
      </w:r>
      <w:r w:rsidRPr="00221992">
        <w:rPr>
          <w:lang w:val="en-GB"/>
        </w:rPr>
        <w:t>.</w:t>
      </w:r>
    </w:p>
    <w:p w14:paraId="2F42A5A1" w14:textId="7F0B5E8D" w:rsidR="00165681" w:rsidRPr="00221992" w:rsidRDefault="00165681" w:rsidP="003C5D45">
      <w:pPr>
        <w:rPr>
          <w:lang w:val="en-GB"/>
        </w:rPr>
      </w:pPr>
      <w:r w:rsidRPr="00221992">
        <w:rPr>
          <w:lang w:val="en-GB"/>
        </w:rPr>
        <w:t xml:space="preserve">Making the frameworks that inform considerations of equity in HTA </w:t>
      </w:r>
      <w:r w:rsidR="00AE1A87" w:rsidRPr="00221992">
        <w:rPr>
          <w:lang w:val="en-GB"/>
        </w:rPr>
        <w:t xml:space="preserve">explicit </w:t>
      </w:r>
      <w:r w:rsidRPr="00221992">
        <w:rPr>
          <w:lang w:val="en-GB"/>
        </w:rPr>
        <w:t xml:space="preserve">is important to ensuring these assessment frameworks remain fit for purpose, reflecting both evolving societal preferences and the underlying determinants of health. Where social determinants of health inequality have been empirically substantiated (e.g., the detrimental impacts of socioeconomic disadvantage on health service access), it may be warranted to aggregate the equity consideration across identified subgroups of the broader population (e.g., children, the elderly, </w:t>
      </w:r>
      <w:r w:rsidR="00AE1A87" w:rsidRPr="00221992">
        <w:rPr>
          <w:lang w:val="en-GB"/>
        </w:rPr>
        <w:t xml:space="preserve">people with </w:t>
      </w:r>
      <w:r w:rsidRPr="00221992">
        <w:rPr>
          <w:lang w:val="en-GB"/>
        </w:rPr>
        <w:t>disab</w:t>
      </w:r>
      <w:r w:rsidR="00AE1A87" w:rsidRPr="00221992">
        <w:rPr>
          <w:lang w:val="en-GB"/>
        </w:rPr>
        <w:t xml:space="preserve">ilities </w:t>
      </w:r>
      <w:r w:rsidRPr="00221992">
        <w:rPr>
          <w:lang w:val="en-GB"/>
        </w:rPr>
        <w:t xml:space="preserve">or, more broadly, </w:t>
      </w:r>
      <w:r w:rsidR="00AE1A87" w:rsidRPr="00221992">
        <w:rPr>
          <w:lang w:val="en-GB"/>
        </w:rPr>
        <w:t xml:space="preserve">communities of </w:t>
      </w:r>
      <w:r w:rsidRPr="00221992">
        <w:rPr>
          <w:lang w:val="en-GB"/>
        </w:rPr>
        <w:t>socio-economic disadvantage, including migrants and First Nations peoples). The decision to do so—and formalise processes to systematically account for the underlying, systemic causes of health inequalities—requires normative judgements about what is socially desirable and politically and economically feasible.</w:t>
      </w:r>
    </w:p>
    <w:p w14:paraId="2B85B198" w14:textId="7A982C5E" w:rsidR="003C5D45" w:rsidRPr="00221992" w:rsidRDefault="00165681" w:rsidP="003C5D45">
      <w:pPr>
        <w:rPr>
          <w:lang w:val="en-GB"/>
        </w:rPr>
      </w:pPr>
      <w:r w:rsidRPr="00221992">
        <w:rPr>
          <w:lang w:val="en-GB"/>
        </w:rPr>
        <w:t xml:space="preserve">Cookson et al. (2017) discuss the frequent trade-off between increasing total health in a society and enhancing equity of health outcomes among identified population subgroups, observing that cost-effectiveness analyses rarely provide information about the distributional effects (i.e., who wins and who loses) of health interventions </w:t>
      </w:r>
      <w:r w:rsidRPr="00221992">
        <w:rPr>
          <w:lang w:val="en-GB"/>
        </w:rPr>
        <w:fldChar w:fldCharType="begin">
          <w:fldData xml:space="preserve">PEVuZE5vdGU+PENpdGU+PEF1dGhvcj5Db29rc29uPC9BdXRob3I+PFllYXI+MjAxNzwvWWVhcj48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=
</w:fldData>
        </w:fldChar>
      </w:r>
      <w:r w:rsidR="00E5265C">
        <w:rPr>
          <w:lang w:val="en-GB"/>
        </w:rPr>
        <w:instrText xml:space="preserve"> ADDIN EN.CITE </w:instrText>
      </w:r>
      <w:r w:rsidR="00E5265C">
        <w:rPr>
          <w:lang w:val="en-GB"/>
        </w:rPr>
        <w:fldChar w:fldCharType="begin">
          <w:fldData xml:space="preserve">PEVuZE5vdGU+PENpdGU+PEF1dGhvcj5Db29rc29uPC9BdXRob3I+PFllYXI+MjAxNzwvWWVhcj48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=
</w:fldData>
        </w:fldChar>
      </w:r>
      <w:r w:rsidR="00E5265C">
        <w:rPr>
          <w:lang w:val="en-GB"/>
        </w:rPr>
        <w:instrText xml:space="preserve"> ADDIN EN.CITE.DATA </w:instrText>
      </w:r>
      <w:r w:rsidR="00E5265C">
        <w:rPr>
          <w:lang w:val="en-GB"/>
        </w:rPr>
      </w:r>
      <w:r w:rsidR="00E5265C">
        <w:rPr>
          <w:lang w:val="en-GB"/>
        </w:rPr>
        <w:fldChar w:fldCharType="end"/>
      </w:r>
      <w:r w:rsidRPr="00221992">
        <w:rPr>
          <w:lang w:val="en-GB"/>
        </w:rPr>
      </w:r>
      <w:r w:rsidRPr="00221992">
        <w:rPr>
          <w:lang w:val="en-GB"/>
        </w:rPr>
        <w:fldChar w:fldCharType="separate"/>
      </w:r>
      <w:r w:rsidR="00E5265C">
        <w:rPr>
          <w:noProof/>
          <w:lang w:val="en-GB"/>
        </w:rPr>
        <w:t>[78]</w:t>
      </w:r>
      <w:r w:rsidRPr="00221992">
        <w:rPr>
          <w:lang w:val="en-GB"/>
        </w:rPr>
        <w:fldChar w:fldCharType="end"/>
      </w:r>
      <w:r w:rsidRPr="00221992">
        <w:rPr>
          <w:lang w:val="en-GB"/>
        </w:rPr>
        <w:t>. Importantly, they note,</w:t>
      </w:r>
    </w:p>
    <w:p w14:paraId="7B42530A" w14:textId="6E18A085" w:rsidR="00165681" w:rsidRPr="00221992" w:rsidRDefault="00165681" w:rsidP="003C5D45">
      <w:pPr>
        <w:ind w:left="567"/>
        <w:rPr>
          <w:lang w:val="en-GB"/>
        </w:rPr>
      </w:pPr>
      <w:r w:rsidRPr="00221992">
        <w:rPr>
          <w:lang w:val="en-GB"/>
        </w:rPr>
        <w:t>The distribution of opportunity costs will depend crucially on how a program is funded. [...] If a program is funded by reducing public expenditure on other health [...] services, the opportunity costs in terms of losses in health and well-being may be borne disproportionally by poorer individuals who rely more heavily on public services. (p. 208)</w:t>
      </w:r>
      <w:r w:rsidR="008A6310">
        <w:rPr>
          <w:color w:val="000000" w:themeColor="text1"/>
          <w:lang w:val="en-GB"/>
        </w:rPr>
        <w:t xml:space="preserve"> </w:t>
      </w:r>
    </w:p>
    <w:p w14:paraId="414095F1" w14:textId="6F3EBB64" w:rsidR="00165681" w:rsidRDefault="00165681" w:rsidP="003C5D45">
      <w:pPr>
        <w:rPr>
          <w:lang w:val="en-GB"/>
        </w:rPr>
      </w:pPr>
      <w:r w:rsidRPr="00221992">
        <w:rPr>
          <w:lang w:val="en-GB"/>
        </w:rPr>
        <w:t xml:space="preserve">It is important, therefore, to illuminate such trade-offs in HTA deliberative processes and make </w:t>
      </w:r>
      <w:r w:rsidR="001E7C07" w:rsidRPr="00221992">
        <w:rPr>
          <w:lang w:val="en-GB"/>
        </w:rPr>
        <w:t>explicit</w:t>
      </w:r>
      <w:r w:rsidRPr="00221992">
        <w:rPr>
          <w:lang w:val="en-GB"/>
        </w:rPr>
        <w:t xml:space="preserve"> how particular factors inform reimbursement recommendations. More than a decade ago, Culyer and Bombard (2012) observed a lack of consensus regarding the scope and significance of equity in HTA, as well as process</w:t>
      </w:r>
      <w:r w:rsidR="000F420A" w:rsidRPr="00221992">
        <w:rPr>
          <w:lang w:val="en-GB"/>
        </w:rPr>
        <w:t>es</w:t>
      </w:r>
      <w:r w:rsidRPr="00221992">
        <w:rPr>
          <w:lang w:val="en-GB"/>
        </w:rPr>
        <w:t xml:space="preserve"> </w:t>
      </w:r>
      <w:r w:rsidR="000F420A" w:rsidRPr="00221992">
        <w:rPr>
          <w:lang w:val="en-GB"/>
        </w:rPr>
        <w:t>to</w:t>
      </w:r>
      <w:r w:rsidRPr="00221992">
        <w:rPr>
          <w:lang w:val="en-GB"/>
        </w:rPr>
        <w:t xml:space="preserve"> enable t</w:t>
      </w:r>
      <w:r w:rsidR="000F420A" w:rsidRPr="00221992">
        <w:rPr>
          <w:lang w:val="en-GB"/>
        </w:rPr>
        <w:t>he</w:t>
      </w:r>
      <w:r w:rsidRPr="00221992">
        <w:rPr>
          <w:lang w:val="en-GB"/>
        </w:rPr>
        <w:t xml:space="preserve"> systematic incorpora</w:t>
      </w:r>
      <w:r w:rsidR="000F420A" w:rsidRPr="00221992">
        <w:rPr>
          <w:lang w:val="en-GB"/>
        </w:rPr>
        <w:t>tion of equity</w:t>
      </w:r>
      <w:r w:rsidRPr="00221992">
        <w:rPr>
          <w:lang w:val="en-GB"/>
        </w:rPr>
        <w:t xml:space="preserve"> considerations alongside cost-effectiveness (p.428) </w:t>
      </w:r>
      <w:r w:rsidRPr="00221992">
        <w:rPr>
          <w:lang w:val="en-GB"/>
        </w:rPr>
        <w:fldChar w:fldCharType="begin">
          <w:fldData xml:space="preserve">PEVuZE5vdGU+PENpdGU+PEF1dGhvcj5DdWx5ZXI8L0F1dGhvcj48WWVhcj4yMDEyPC9ZZWFyPjxS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</w:fldData>
        </w:fldChar>
      </w:r>
      <w:r w:rsidR="00E5265C">
        <w:rPr>
          <w:lang w:val="en-GB"/>
        </w:rPr>
        <w:instrText xml:space="preserve"> ADDIN EN.CITE </w:instrText>
      </w:r>
      <w:r w:rsidR="00E5265C">
        <w:rPr>
          <w:lang w:val="en-GB"/>
        </w:rPr>
        <w:fldChar w:fldCharType="begin">
          <w:fldData xml:space="preserve">PEVuZE5vdGU+PENpdGU+PEF1dGhvcj5DdWx5ZXI8L0F1dGhvcj48WWVhcj4yMDEyPC9ZZWFyPjxS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</w:fldData>
        </w:fldChar>
      </w:r>
      <w:r w:rsidR="00E5265C">
        <w:rPr>
          <w:lang w:val="en-GB"/>
        </w:rPr>
        <w:instrText xml:space="preserve"> ADDIN EN.CITE.DATA </w:instrText>
      </w:r>
      <w:r w:rsidR="00E5265C">
        <w:rPr>
          <w:lang w:val="en-GB"/>
        </w:rPr>
      </w:r>
      <w:r w:rsidR="00E5265C">
        <w:rPr>
          <w:lang w:val="en-GB"/>
        </w:rPr>
        <w:fldChar w:fldCharType="end"/>
      </w:r>
      <w:r w:rsidRPr="00221992">
        <w:rPr>
          <w:lang w:val="en-GB"/>
        </w:rPr>
      </w:r>
      <w:r w:rsidRPr="00221992">
        <w:rPr>
          <w:lang w:val="en-GB"/>
        </w:rPr>
        <w:fldChar w:fldCharType="separate"/>
      </w:r>
      <w:r w:rsidR="00E5265C">
        <w:rPr>
          <w:noProof/>
          <w:lang w:val="en-GB"/>
        </w:rPr>
        <w:t>[77]</w:t>
      </w:r>
      <w:r w:rsidRPr="00221992">
        <w:rPr>
          <w:lang w:val="en-GB"/>
        </w:rPr>
        <w:fldChar w:fldCharType="end"/>
      </w:r>
      <w:r w:rsidRPr="00221992">
        <w:rPr>
          <w:lang w:val="en-GB"/>
        </w:rPr>
        <w:t>. In the main, equity considerations in HTA have been considered either methodologically</w:t>
      </w:r>
      <w:r w:rsidR="000F420A" w:rsidRPr="00221992">
        <w:rPr>
          <w:lang w:val="en-GB"/>
        </w:rPr>
        <w:t>—</w:t>
      </w:r>
      <w:r w:rsidRPr="00221992">
        <w:rPr>
          <w:lang w:val="en-GB"/>
        </w:rPr>
        <w:t>within frameworks for the assessment of cost-effectiveness (e.g., via the application of prescribed weights)</w:t>
      </w:r>
      <w:r w:rsidR="000F420A" w:rsidRPr="00221992">
        <w:rPr>
          <w:lang w:val="en-GB"/>
        </w:rPr>
        <w:t>—</w:t>
      </w:r>
      <w:r w:rsidRPr="00221992">
        <w:rPr>
          <w:lang w:val="en-GB"/>
        </w:rPr>
        <w:t>or through bypassing standard HTA processes altogether via special pathways for reimbursement not based on technologies</w:t>
      </w:r>
      <w:r w:rsidR="00551786">
        <w:rPr>
          <w:lang w:val="en-GB"/>
        </w:rPr>
        <w:t>’</w:t>
      </w:r>
      <w:r w:rsidRPr="00221992">
        <w:rPr>
          <w:lang w:val="en-GB"/>
        </w:rPr>
        <w:t xml:space="preserve"> estimated cost-effectiveness (e.g., funding schemes specifically for cancer or rare disease therapies). While the quantitative assessment of health equity impacts (see, for example, distributional cost-effectiveness analyses </w:t>
      </w:r>
      <w:r w:rsidRPr="00221992">
        <w:rPr>
          <w:lang w:val="en-GB"/>
        </w:rPr>
        <w:fldChar w:fldCharType="begin">
          <w:fldData xml:space="preserve">PEVuZE5vdGU+PENpdGU+PEF1dGhvcj5KYW5zZW48L0F1dGhvcj48WWVhcj4yMDIyPC9ZZWFyPjxS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</w:fldData>
        </w:fldChar>
      </w:r>
      <w:r w:rsidR="00E5265C">
        <w:rPr>
          <w:lang w:val="en-GB"/>
        </w:rPr>
        <w:instrText xml:space="preserve"> ADDIN EN.CITE </w:instrText>
      </w:r>
      <w:r w:rsidR="00E5265C">
        <w:rPr>
          <w:lang w:val="en-GB"/>
        </w:rPr>
        <w:fldChar w:fldCharType="begin">
          <w:fldData xml:space="preserve">PEVuZE5vdGU+PENpdGU+PEF1dGhvcj5KYW5zZW48L0F1dGhvcj48WWVhcj4yMDIyPC9ZZWFyPjxS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</w:fldData>
        </w:fldChar>
      </w:r>
      <w:r w:rsidR="00E5265C">
        <w:rPr>
          <w:lang w:val="en-GB"/>
        </w:rPr>
        <w:instrText xml:space="preserve"> ADDIN EN.CITE.DATA </w:instrText>
      </w:r>
      <w:r w:rsidR="00E5265C">
        <w:rPr>
          <w:lang w:val="en-GB"/>
        </w:rPr>
      </w:r>
      <w:r w:rsidR="00E5265C">
        <w:rPr>
          <w:lang w:val="en-GB"/>
        </w:rPr>
        <w:fldChar w:fldCharType="end"/>
      </w:r>
      <w:r w:rsidRPr="00221992">
        <w:rPr>
          <w:lang w:val="en-GB"/>
        </w:rPr>
      </w:r>
      <w:r w:rsidRPr="00221992">
        <w:rPr>
          <w:lang w:val="en-GB"/>
        </w:rPr>
        <w:fldChar w:fldCharType="separate"/>
      </w:r>
      <w:r w:rsidR="00E5265C">
        <w:rPr>
          <w:noProof/>
          <w:lang w:val="en-GB"/>
        </w:rPr>
        <w:t>[81]</w:t>
      </w:r>
      <w:r w:rsidRPr="00221992">
        <w:rPr>
          <w:lang w:val="en-GB"/>
        </w:rPr>
        <w:fldChar w:fldCharType="end"/>
      </w:r>
      <w:r w:rsidRPr="00221992">
        <w:rPr>
          <w:lang w:val="en-GB"/>
        </w:rPr>
        <w:t xml:space="preserve">) can assist in making the health equity impacts of funding decisions explicit and shed light on such considerations in HTA deliberative processes, Cookson et al. (2017) caution that equity-informative economic evaluation should serve as an input into decision-making processes, rather than a formula for determining decision outcomes (p. 207). </w:t>
      </w:r>
    </w:p>
    <w:tbl>
      <w:tblPr>
        <w:tblStyle w:val="GridTable4-Accent39"/>
        <w:tblW w:w="8490" w:type="dxa"/>
        <w:tblBorders>
          <w:top w:val="single" w:sz="12" w:space="0" w:color="0F4BEB"/>
          <w:left w:val="single" w:sz="12" w:space="0" w:color="0F4BEB"/>
          <w:bottom w:val="single" w:sz="12" w:space="0" w:color="0F4BEB"/>
          <w:right w:val="single" w:sz="12" w:space="0" w:color="0F4BEB"/>
          <w:insideH w:val="single" w:sz="4" w:space="0" w:color="A5A5A5"/>
          <w:insideV w:val="single" w:sz="4" w:space="0" w:color="A5A5A5"/>
        </w:tblBorders>
        <w:tblLook w:val="04A0" w:firstRow="1" w:lastRow="0" w:firstColumn="1" w:lastColumn="0" w:noHBand="0" w:noVBand="1"/>
      </w:tblPr>
      <w:tblGrid>
        <w:gridCol w:w="8490"/>
      </w:tblGrid>
      <w:tr w:rsidR="00FD7822" w:rsidRPr="00944857" w14:paraId="4740FFE7" w14:textId="77777777" w:rsidTr="00FD782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90" w:type="dxa"/>
          </w:tcPr>
          <w:p w14:paraId="50DCF21C" w14:textId="77777777" w:rsidR="00FD7822" w:rsidRPr="00944857" w:rsidRDefault="00FD7822">
            <w:pPr>
              <w:spacing w:after="0" w:line="240" w:lineRule="auto"/>
              <w:jc w:val="center"/>
              <w:rPr>
                <w:rFonts w:ascii="Calibri" w:eastAsia="Calibri" w:hAnsi="Calibri"/>
                <w:sz w:val="22"/>
                <w:szCs w:val="22"/>
                <w:lang w:eastAsia="en-US"/>
              </w:rPr>
            </w:pPr>
            <w:r w:rsidRPr="00944857">
              <w:rPr>
                <w:rFonts w:ascii="Calibri" w:eastAsia="Calibri" w:hAnsi="Calibri"/>
                <w:sz w:val="22"/>
                <w:szCs w:val="22"/>
                <w:lang w:eastAsia="en-US"/>
              </w:rPr>
              <w:t>Why this matters</w:t>
            </w:r>
          </w:p>
        </w:tc>
      </w:tr>
      <w:tr w:rsidR="00FD7822" w:rsidRPr="00944857" w14:paraId="642768DA" w14:textId="77777777" w:rsidTr="009952E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90" w:type="dxa"/>
          </w:tcPr>
          <w:p w14:paraId="1676BC6D" w14:textId="7DE6AFC5" w:rsidR="00FD7822" w:rsidRPr="009952E8" w:rsidRDefault="00FD7822" w:rsidP="00FD7822">
            <w:pPr>
              <w:spacing w:after="0" w:line="240" w:lineRule="auto"/>
              <w:rPr>
                <w:rFonts w:eastAsia="Calibri" w:cs="Calibri Light"/>
                <w:b w:val="0"/>
                <w:bCs w:val="0"/>
                <w:sz w:val="22"/>
                <w:szCs w:val="22"/>
                <w:lang w:eastAsia="en-US"/>
              </w:rPr>
            </w:pPr>
            <w:r>
              <w:rPr>
                <w:rFonts w:eastAsia="Calibri" w:cs="Calibri Light"/>
                <w:b w:val="0"/>
                <w:bCs w:val="0"/>
                <w:sz w:val="22"/>
                <w:szCs w:val="22"/>
                <w:lang w:eastAsia="en-US"/>
              </w:rPr>
              <w:t xml:space="preserve">Internationally, there is variation regarding the </w:t>
            </w:r>
            <w:r w:rsidR="00D22141">
              <w:rPr>
                <w:rFonts w:eastAsia="Calibri" w:cs="Calibri Light"/>
                <w:b w:val="0"/>
                <w:bCs w:val="0"/>
                <w:sz w:val="22"/>
                <w:szCs w:val="22"/>
                <w:lang w:eastAsia="en-US"/>
              </w:rPr>
              <w:t xml:space="preserve">formal </w:t>
            </w:r>
            <w:r w:rsidR="003C42BB">
              <w:rPr>
                <w:rFonts w:eastAsia="Calibri" w:cs="Calibri Light"/>
                <w:b w:val="0"/>
                <w:bCs w:val="0"/>
                <w:sz w:val="22"/>
                <w:szCs w:val="22"/>
                <w:lang w:eastAsia="en-US"/>
              </w:rPr>
              <w:t>consideration</w:t>
            </w:r>
            <w:r>
              <w:rPr>
                <w:rFonts w:eastAsia="Calibri" w:cs="Calibri Light"/>
                <w:b w:val="0"/>
                <w:bCs w:val="0"/>
                <w:sz w:val="22"/>
                <w:szCs w:val="22"/>
                <w:lang w:eastAsia="en-US"/>
              </w:rPr>
              <w:t xml:space="preserve"> of equity in HTA decision-making</w:t>
            </w:r>
            <w:r w:rsidRPr="00944857">
              <w:rPr>
                <w:rFonts w:eastAsia="Calibri" w:cs="Calibri Light"/>
                <w:b w:val="0"/>
                <w:bCs w:val="0"/>
                <w:sz w:val="22"/>
                <w:szCs w:val="22"/>
                <w:lang w:eastAsia="en-US"/>
              </w:rPr>
              <w:t xml:space="preserve">. </w:t>
            </w:r>
            <w:r>
              <w:rPr>
                <w:rFonts w:eastAsia="Calibri" w:cs="Calibri Light"/>
                <w:b w:val="0"/>
                <w:bCs w:val="0"/>
                <w:sz w:val="22"/>
                <w:szCs w:val="22"/>
                <w:lang w:eastAsia="en-US"/>
              </w:rPr>
              <w:t xml:space="preserve">Formal incorporation of </w:t>
            </w:r>
            <w:r w:rsidR="001F3232">
              <w:rPr>
                <w:rFonts w:eastAsia="Calibri" w:cs="Calibri Light"/>
                <w:b w:val="0"/>
                <w:bCs w:val="0"/>
                <w:sz w:val="22"/>
                <w:szCs w:val="22"/>
                <w:lang w:eastAsia="en-US"/>
              </w:rPr>
              <w:t xml:space="preserve">equity considerations in Australian HTA processes may be required </w:t>
            </w:r>
            <w:r w:rsidR="00D20608">
              <w:rPr>
                <w:rFonts w:eastAsia="Calibri" w:cs="Calibri Light"/>
                <w:b w:val="0"/>
                <w:bCs w:val="0"/>
                <w:sz w:val="22"/>
                <w:szCs w:val="22"/>
                <w:lang w:eastAsia="en-US"/>
              </w:rPr>
              <w:t>(e.g., Closing the Gap)</w:t>
            </w:r>
            <w:r w:rsidR="00B3131B">
              <w:rPr>
                <w:rFonts w:eastAsia="Calibri" w:cs="Calibri Light"/>
                <w:b w:val="0"/>
                <w:bCs w:val="0"/>
                <w:sz w:val="22"/>
                <w:szCs w:val="22"/>
                <w:lang w:eastAsia="en-US"/>
              </w:rPr>
              <w:t xml:space="preserve"> and/or constrained (e.g., principles of non-discrimination) by Commonwealth legislation.</w:t>
            </w:r>
            <w:r w:rsidR="00DB78D7">
              <w:rPr>
                <w:rFonts w:eastAsia="Calibri" w:cs="Calibri Light"/>
                <w:b w:val="0"/>
                <w:bCs w:val="0"/>
                <w:sz w:val="22"/>
                <w:szCs w:val="22"/>
                <w:lang w:eastAsia="en-US"/>
              </w:rPr>
              <w:t xml:space="preserve"> Making the impact of these frameworks explicit in HTA reporting may help promote transparency</w:t>
            </w:r>
            <w:r w:rsidR="009F09D7">
              <w:rPr>
                <w:rFonts w:eastAsia="Calibri" w:cs="Calibri Light"/>
                <w:b w:val="0"/>
                <w:bCs w:val="0"/>
                <w:sz w:val="22"/>
                <w:szCs w:val="22"/>
                <w:lang w:eastAsia="en-US"/>
              </w:rPr>
              <w:t>.</w:t>
            </w:r>
          </w:p>
        </w:tc>
      </w:tr>
    </w:tbl>
    <w:p w14:paraId="321A0E5E" w14:textId="77777777" w:rsidR="00FD7822" w:rsidRPr="00221992" w:rsidRDefault="00FD7822" w:rsidP="003C5D45">
      <w:pPr>
        <w:rPr>
          <w:lang w:val="en-GB"/>
        </w:rPr>
      </w:pPr>
    </w:p>
    <w:p w14:paraId="65C50EB9" w14:textId="381E165B" w:rsidR="00165681" w:rsidRPr="00221992" w:rsidRDefault="00165681" w:rsidP="0012257A">
      <w:pPr>
        <w:pStyle w:val="NbrHeading3"/>
        <w:rPr>
          <w:lang w:val="en-GB"/>
        </w:rPr>
      </w:pPr>
      <w:bookmarkStart w:id="116" w:name="_Toc162950877"/>
      <w:r w:rsidRPr="00221992">
        <w:rPr>
          <w:lang w:val="en-GB"/>
        </w:rPr>
        <w:t>International approaches to equity in HTA</w:t>
      </w:r>
      <w:bookmarkEnd w:id="116"/>
    </w:p>
    <w:p w14:paraId="55B72B7E" w14:textId="013741B7" w:rsidR="00165681" w:rsidRPr="00221992" w:rsidRDefault="00165681" w:rsidP="00702C58">
      <w:pPr>
        <w:rPr>
          <w:lang w:val="en-GB"/>
        </w:rPr>
      </w:pPr>
      <w:r w:rsidRPr="00221992">
        <w:rPr>
          <w:lang w:val="en-GB"/>
        </w:rPr>
        <w:t>A number of countries preserve HTA bodies</w:t>
      </w:r>
      <w:r w:rsidR="00551786">
        <w:rPr>
          <w:lang w:val="en-GB"/>
        </w:rPr>
        <w:t>’</w:t>
      </w:r>
      <w:r w:rsidRPr="00221992">
        <w:rPr>
          <w:lang w:val="en-GB"/>
        </w:rPr>
        <w:t xml:space="preserve"> discretion to incorporate </w:t>
      </w:r>
      <w:r w:rsidR="002C0A27" w:rsidRPr="00221992">
        <w:rPr>
          <w:lang w:val="en-GB"/>
        </w:rPr>
        <w:t>equity</w:t>
      </w:r>
      <w:r w:rsidRPr="00221992">
        <w:rPr>
          <w:lang w:val="en-GB"/>
        </w:rPr>
        <w:t xml:space="preserve"> considerations, though the extent to which such considerations inform final outcomes is </w:t>
      </w:r>
      <w:r w:rsidR="00AA4515" w:rsidRPr="00221992">
        <w:rPr>
          <w:lang w:val="en-GB"/>
        </w:rPr>
        <w:t>often</w:t>
      </w:r>
      <w:r w:rsidRPr="00221992">
        <w:rPr>
          <w:lang w:val="en-GB"/>
        </w:rPr>
        <w:t xml:space="preserve"> difficult to determine.</w:t>
      </w:r>
    </w:p>
    <w:p w14:paraId="0E6B12D9" w14:textId="7FFA844D" w:rsidR="0021042D" w:rsidRPr="00221992" w:rsidRDefault="0021042D" w:rsidP="0021042D">
      <w:pPr>
        <w:rPr>
          <w:lang w:val="en-GB"/>
        </w:rPr>
      </w:pPr>
      <w:r w:rsidRPr="00221992">
        <w:rPr>
          <w:lang w:val="en-GB"/>
        </w:rPr>
        <w:t xml:space="preserve">In Australia, the promotion of equity is expressly laid out as a key pillar of the National Medicines Policy (NMP), which defines equity as access for all Australians to safe, effective and high-quality medicines, culturally appropriate medicines-related services and medicines-related information irrespective of diversity, background, age, disability, location or personal circumstance </w:t>
      </w:r>
      <w:r w:rsidRPr="00221992">
        <w:rPr>
          <w:lang w:val="en-GB"/>
        </w:rPr>
        <w:fldChar w:fldCharType="begin"/>
      </w:r>
      <w:r w:rsidR="00E5265C">
        <w:rPr>
          <w:lang w:val="en-GB"/>
        </w:rPr>
        <w:instrText xml:space="preserve"> ADDIN EN.CITE &lt;EndNote&gt;&lt;Cite&gt;&lt;Author&gt;Department of Health and Aged Care&lt;/Author&gt;&lt;Year&gt;2022&lt;/Year&gt;&lt;RecNum&gt;667&lt;/RecNum&gt;&lt;DisplayText&gt;[82]&lt;/DisplayText&gt;&lt;record&gt;&lt;rec-number&gt;667&lt;/rec-number&gt;&lt;foreign-keys&gt;&lt;key app="EN" db-id="wzwwsfxe4peesxef95cxvrwjxts9rreasarf" timestamp="1694407649"&gt;667&lt;/key&gt;&lt;/foreign-keys&gt;&lt;ref-type name="Report"&gt;27&lt;/ref-type&gt;&lt;contributors&gt;&lt;authors&gt;&lt;author&gt;Department of Health and Aged Care,&lt;/author&gt;&lt;/authors&gt;&lt;tertiary-authors&gt;&lt;author&gt;Australian Government,, Department of Health and Aged Care&lt;/author&gt;&lt;/tertiary-authors&gt;&lt;/contributors&gt;&lt;titles&gt;&lt;title&gt;National Medicines Policy&lt;/title&gt;&lt;/titles&gt;&lt;dates&gt;&lt;year&gt;2022&lt;/year&gt;&lt;/dates&gt;&lt;pub-location&gt;Canberra&lt;/pub-location&gt;&lt;urls&gt;&lt;/urls&gt;&lt;/record&gt;&lt;/Cite&gt;&lt;/EndNote&gt;</w:instrText>
      </w:r>
      <w:r w:rsidRPr="00221992">
        <w:rPr>
          <w:lang w:val="en-GB"/>
        </w:rPr>
        <w:fldChar w:fldCharType="separate"/>
      </w:r>
      <w:r w:rsidR="00E5265C">
        <w:rPr>
          <w:noProof/>
          <w:lang w:val="en-GB"/>
        </w:rPr>
        <w:t>[82]</w:t>
      </w:r>
      <w:r w:rsidRPr="00221992">
        <w:rPr>
          <w:lang w:val="en-GB"/>
        </w:rPr>
        <w:fldChar w:fldCharType="end"/>
      </w:r>
      <w:r w:rsidRPr="00221992">
        <w:rPr>
          <w:lang w:val="en-GB"/>
        </w:rPr>
        <w:t xml:space="preserve">. The NMP is actioned via national programs that provide subsidised access to medicines—including but not limited to the Pharmaceutical Benefits Scheme (PBS), supported by the PBAC and MSAC, the Repatriation Pharmaceutical Benefits Scheme (RPBS), and the National Immunisation Program (NIP)—as well as the provision of medicines through public and private hospitals, clinical trials, compassionate access programs, and private purchase (including non-prescription medicines), supported by access arrangements between federal, state and territory governments. The equity pillar of the NMP focuses on eliminating health inequities experienced by vulnerable population groups, and aims to </w:t>
      </w:r>
      <w:r w:rsidRPr="00221992">
        <w:rPr>
          <w:lang w:val="en-GB"/>
        </w:rPr>
        <w:fldChar w:fldCharType="begin"/>
      </w:r>
      <w:r w:rsidR="00E5265C">
        <w:rPr>
          <w:lang w:val="en-GB"/>
        </w:rPr>
        <w:instrText xml:space="preserve"> ADDIN EN.CITE &lt;EndNote&gt;&lt;Cite&gt;&lt;Author&gt;Department of Health and Aged Care&lt;/Author&gt;&lt;Year&gt;2022&lt;/Year&gt;&lt;RecNum&gt;667&lt;/RecNum&gt;&lt;DisplayText&gt;[82]&lt;/DisplayText&gt;&lt;record&gt;&lt;rec-number&gt;667&lt;/rec-number&gt;&lt;foreign-keys&gt;&lt;key app="EN" db-id="wzwwsfxe4peesxef95cxvrwjxts9rreasarf" timestamp="1694407649"&gt;667&lt;/key&gt;&lt;/foreign-keys&gt;&lt;ref-type name="Report"&gt;27&lt;/ref-type&gt;&lt;contributors&gt;&lt;authors&gt;&lt;author&gt;Department of Health and Aged Care,&lt;/author&gt;&lt;/authors&gt;&lt;tertiary-authors&gt;&lt;author&gt;Australian Government,, Department of Health and Aged Care&lt;/author&gt;&lt;/tertiary-authors&gt;&lt;/contributors&gt;&lt;titles&gt;&lt;title&gt;National Medicines Policy&lt;/title&gt;&lt;/titles&gt;&lt;dates&gt;&lt;year&gt;2022&lt;/year&gt;&lt;/dates&gt;&lt;pub-location&gt;Canberra&lt;/pub-location&gt;&lt;urls&gt;&lt;/urls&gt;&lt;/record&gt;&lt;/Cite&gt;&lt;/EndNote&gt;</w:instrText>
      </w:r>
      <w:r w:rsidRPr="00221992">
        <w:rPr>
          <w:lang w:val="en-GB"/>
        </w:rPr>
        <w:fldChar w:fldCharType="separate"/>
      </w:r>
      <w:r w:rsidR="00E5265C">
        <w:rPr>
          <w:noProof/>
          <w:lang w:val="en-GB"/>
        </w:rPr>
        <w:t>[82]</w:t>
      </w:r>
      <w:r w:rsidRPr="00221992">
        <w:rPr>
          <w:lang w:val="en-GB"/>
        </w:rPr>
        <w:fldChar w:fldCharType="end"/>
      </w:r>
      <w:r w:rsidRPr="00221992">
        <w:rPr>
          <w:lang w:val="en-GB"/>
        </w:rPr>
        <w:t>:</w:t>
      </w:r>
    </w:p>
    <w:p w14:paraId="3CBEBAF7" w14:textId="77777777" w:rsidR="0021042D" w:rsidRPr="00221992" w:rsidRDefault="0021042D" w:rsidP="00957584">
      <w:pPr>
        <w:pStyle w:val="ListParagraph"/>
        <w:numPr>
          <w:ilvl w:val="0"/>
          <w:numId w:val="56"/>
        </w:numPr>
        <w:rPr>
          <w:lang w:val="en-GB"/>
        </w:rPr>
      </w:pPr>
      <w:r w:rsidRPr="00221992">
        <w:rPr>
          <w:lang w:val="en-GB"/>
        </w:rPr>
        <w:t>Ensure Aboriginal and Torres Strait Islander leadership and self-determination in all partnerships to enable shared decision-making in identifying priorities and to drive solutions given the substantial needs and barriers experienced by Aboriginal and Torres Strait Islander people;</w:t>
      </w:r>
    </w:p>
    <w:p w14:paraId="7C176F0B" w14:textId="77777777" w:rsidR="0021042D" w:rsidRPr="00221992" w:rsidRDefault="0021042D" w:rsidP="00957584">
      <w:pPr>
        <w:pStyle w:val="ListParagraph"/>
        <w:numPr>
          <w:ilvl w:val="0"/>
          <w:numId w:val="56"/>
        </w:numPr>
        <w:rPr>
          <w:lang w:val="en-GB"/>
        </w:rPr>
      </w:pPr>
      <w:r w:rsidRPr="00221992">
        <w:rPr>
          <w:lang w:val="en-GB"/>
        </w:rPr>
        <w:t>Include people from culturally and linguistically diverse backgrounds in partnerships to co-design solutions to increase access to medicines, culturally appropriate medicines information and medicines-related services;</w:t>
      </w:r>
    </w:p>
    <w:p w14:paraId="2A0BE69E" w14:textId="6F249938" w:rsidR="0021042D" w:rsidRPr="00221992" w:rsidRDefault="0021042D" w:rsidP="00957584">
      <w:pPr>
        <w:pStyle w:val="ListParagraph"/>
        <w:numPr>
          <w:ilvl w:val="0"/>
          <w:numId w:val="56"/>
        </w:numPr>
        <w:rPr>
          <w:lang w:val="en-GB"/>
        </w:rPr>
      </w:pPr>
      <w:r w:rsidRPr="00221992">
        <w:rPr>
          <w:lang w:val="en-GB"/>
        </w:rPr>
        <w:t xml:space="preserve">Provide access to people living with disability to necessary medicines formulations and medicine reviews, </w:t>
      </w:r>
      <w:r w:rsidR="009F0844">
        <w:rPr>
          <w:lang w:val="en-GB"/>
        </w:rPr>
        <w:t xml:space="preserve">ensuring they </w:t>
      </w:r>
      <w:r w:rsidRPr="00221992">
        <w:rPr>
          <w:lang w:val="en-GB"/>
        </w:rPr>
        <w:t>are able to communicate with health professionals, and have access to easy-to-read written information about their medicines;</w:t>
      </w:r>
    </w:p>
    <w:p w14:paraId="259B0B59" w14:textId="77777777" w:rsidR="0021042D" w:rsidRPr="00221992" w:rsidRDefault="0021042D" w:rsidP="00957584">
      <w:pPr>
        <w:pStyle w:val="ListParagraph"/>
        <w:numPr>
          <w:ilvl w:val="0"/>
          <w:numId w:val="56"/>
        </w:numPr>
        <w:rPr>
          <w:lang w:val="en-GB"/>
        </w:rPr>
      </w:pPr>
      <w:r w:rsidRPr="00221992">
        <w:rPr>
          <w:lang w:val="en-GB"/>
        </w:rPr>
        <w:t>Address barriers experienced by people living in rural and remote communities with respect to the cost, supply and distance to access medicines and health services;</w:t>
      </w:r>
    </w:p>
    <w:p w14:paraId="480F27E7" w14:textId="77777777" w:rsidR="0021042D" w:rsidRPr="00221992" w:rsidRDefault="0021042D" w:rsidP="00957584">
      <w:pPr>
        <w:pStyle w:val="ListParagraph"/>
        <w:numPr>
          <w:ilvl w:val="0"/>
          <w:numId w:val="56"/>
        </w:numPr>
        <w:rPr>
          <w:lang w:val="en-GB"/>
        </w:rPr>
      </w:pPr>
      <w:r w:rsidRPr="00221992">
        <w:rPr>
          <w:lang w:val="en-GB"/>
        </w:rPr>
        <w:t>Ensure that people living with rare and under-recognised diseases, including children, do not experience inequities due to the scientific and technical complexities of data and its collection, or the absence of evidence for the evaluation and subsidisation of treatments for rare conditions.</w:t>
      </w:r>
    </w:p>
    <w:p w14:paraId="2D1C0B8B" w14:textId="64A5DAE6" w:rsidR="0021042D" w:rsidRPr="00221992" w:rsidRDefault="0021042D" w:rsidP="00031480">
      <w:pPr>
        <w:rPr>
          <w:lang w:val="en-GB"/>
        </w:rPr>
      </w:pPr>
      <w:r w:rsidRPr="00221992">
        <w:rPr>
          <w:lang w:val="en-GB"/>
        </w:rPr>
        <w:t>The NMP further specifies that the location and setting of care delivery should not impact safe access to medicines.</w:t>
      </w:r>
    </w:p>
    <w:p w14:paraId="4A80EDBD" w14:textId="2F9C6D1C" w:rsidR="00165681" w:rsidRPr="00221992" w:rsidRDefault="00165681" w:rsidP="00702C58">
      <w:pPr>
        <w:rPr>
          <w:lang w:val="en-GB"/>
        </w:rPr>
      </w:pPr>
      <w:r w:rsidRPr="00221992">
        <w:rPr>
          <w:lang w:val="en-GB"/>
        </w:rPr>
        <w:t>In England</w:t>
      </w:r>
      <w:r w:rsidR="00213502" w:rsidRPr="00221992">
        <w:rPr>
          <w:lang w:val="en-GB"/>
        </w:rPr>
        <w:t>/</w:t>
      </w:r>
      <w:r w:rsidRPr="00221992">
        <w:rPr>
          <w:lang w:val="en-GB"/>
        </w:rPr>
        <w:t xml:space="preserve">Wales, NICE is explicitly required under the Health and Social Care Act (2012) to give </w:t>
      </w:r>
      <w:r w:rsidR="00551786">
        <w:rPr>
          <w:lang w:val="en-GB"/>
        </w:rPr>
        <w:t>‘</w:t>
      </w:r>
      <w:r w:rsidRPr="00221992">
        <w:rPr>
          <w:lang w:val="en-GB"/>
        </w:rPr>
        <w:t>due regard</w:t>
      </w:r>
      <w:r w:rsidR="00551786">
        <w:rPr>
          <w:lang w:val="en-GB"/>
        </w:rPr>
        <w:t>’</w:t>
      </w:r>
      <w:r w:rsidRPr="00221992">
        <w:rPr>
          <w:lang w:val="en-GB"/>
        </w:rPr>
        <w:t xml:space="preserve"> to the reduction of inequalities, with particular emphasis on the provision of benefits to the most disadvantaged </w:t>
      </w:r>
      <w:r w:rsidRPr="00221992">
        <w:rPr>
          <w:lang w:val="en-GB"/>
        </w:rPr>
        <w:fldChar w:fldCharType="begin"/>
      </w:r>
      <w:r w:rsidR="00E5265C">
        <w:rPr>
          <w:lang w:val="en-GB"/>
        </w:rPr>
        <w:instrText xml:space="preserve"> ADDIN EN.CITE &lt;EndNote&gt;&lt;Cite&gt;&lt;Author&gt;National Institute for Health and Care Excellence (NICE)&lt;/Author&gt;&lt;Year&gt;2023&lt;/Year&gt;&lt;RecNum&gt;342&lt;/RecNum&gt;&lt;DisplayText&gt;[83]&lt;/DisplayText&gt;&lt;record&gt;&lt;rec-number&gt;342&lt;/rec-number&gt;&lt;foreign-keys&gt;&lt;key app="EN" db-id="wzwwsfxe4peesxef95cxvrwjxts9rreasarf" timestamp="1692654670"&gt;342&lt;/key&gt;&lt;/foreign-keys&gt;&lt;ref-type name="Web Page"&gt;12&lt;/ref-type&gt;&lt;contributors&gt;&lt;authors&gt;&lt;author&gt;National Institute for Health and Care Excellence (NICE),&lt;/author&gt;&lt;/authors&gt;&lt;/contributors&gt;&lt;titles&gt;&lt;title&gt;Our principles: The principles that guide the development of NICE guidance and standards&lt;/title&gt;&lt;/titles&gt;&lt;number&gt;16 August 2023&lt;/number&gt;&lt;dates&gt;&lt;year&gt;2023&lt;/year&gt;&lt;/dates&gt;&lt;pub-location&gt;Manchester&lt;/pub-location&gt;&lt;publisher&gt;2023&lt;/publisher&gt;&lt;urls&gt;&lt;related-urls&gt;&lt;url&gt;https://www.nice.org.uk/about/who-we-are/our-principles&lt;/url&gt;&lt;/related-urls&gt;&lt;/urls&gt;&lt;/record&gt;&lt;/Cite&gt;&lt;/EndNote&gt;</w:instrText>
      </w:r>
      <w:r w:rsidRPr="00221992">
        <w:rPr>
          <w:lang w:val="en-GB"/>
        </w:rPr>
        <w:fldChar w:fldCharType="separate"/>
      </w:r>
      <w:r w:rsidR="00E5265C">
        <w:rPr>
          <w:noProof/>
          <w:lang w:val="en-GB"/>
        </w:rPr>
        <w:t>[83]</w:t>
      </w:r>
      <w:r w:rsidRPr="00221992">
        <w:rPr>
          <w:lang w:val="en-GB"/>
        </w:rPr>
        <w:fldChar w:fldCharType="end"/>
      </w:r>
      <w:r w:rsidRPr="00221992">
        <w:rPr>
          <w:lang w:val="en-GB"/>
        </w:rPr>
        <w:t xml:space="preserve">. NICE is thus empowered to take into account inequalities with respect to the </w:t>
      </w:r>
      <w:r w:rsidR="00551786">
        <w:rPr>
          <w:lang w:val="en-GB"/>
        </w:rPr>
        <w:t>‘</w:t>
      </w:r>
      <w:r w:rsidRPr="00221992">
        <w:rPr>
          <w:lang w:val="en-GB"/>
        </w:rPr>
        <w:t>protected characteristics</w:t>
      </w:r>
      <w:r w:rsidR="00551786">
        <w:rPr>
          <w:lang w:val="en-GB"/>
        </w:rPr>
        <w:t>’</w:t>
      </w:r>
      <w:r w:rsidRPr="00221992">
        <w:rPr>
          <w:lang w:val="en-GB"/>
        </w:rPr>
        <w:t xml:space="preserve"> of age, disability, gender reassignment, marriage, civil partnership, pregnancy, maternity, race, religion, belief, sex and sexual orientation </w:t>
      </w:r>
      <w:r w:rsidRPr="00221992">
        <w:rPr>
          <w:lang w:val="en-GB"/>
        </w:rPr>
        <w:fldChar w:fldCharType="begin"/>
      </w:r>
      <w:r w:rsidR="00E5265C">
        <w:rPr>
          <w:lang w:val="en-GB"/>
        </w:rPr>
        <w:instrText xml:space="preserve"> ADDIN EN.CITE &lt;EndNote&gt;&lt;Cite&gt;&lt;Author&gt;National Institute for Health and Care Excellence (NICE)&lt;/Author&gt;&lt;Year&gt;2023&lt;/Year&gt;&lt;RecNum&gt;342&lt;/RecNum&gt;&lt;DisplayText&gt;[83]&lt;/DisplayText&gt;&lt;record&gt;&lt;rec-number&gt;342&lt;/rec-number&gt;&lt;foreign-keys&gt;&lt;key app="EN" db-id="wzwwsfxe4peesxef95cxvrwjxts9rreasarf" timestamp="1692654670"&gt;342&lt;/key&gt;&lt;/foreign-keys&gt;&lt;ref-type name="Web Page"&gt;12&lt;/ref-type&gt;&lt;contributors&gt;&lt;authors&gt;&lt;author&gt;National Institute for Health and Care Excellence (NICE),&lt;/author&gt;&lt;/authors&gt;&lt;/contributors&gt;&lt;titles&gt;&lt;title&gt;Our principles: The principles that guide the development of NICE guidance and standards&lt;/title&gt;&lt;/titles&gt;&lt;number&gt;16 August 2023&lt;/number&gt;&lt;dates&gt;&lt;year&gt;2023&lt;/year&gt;&lt;/dates&gt;&lt;pub-location&gt;Manchester&lt;/pub-location&gt;&lt;publisher&gt;2023&lt;/publisher&gt;&lt;urls&gt;&lt;related-urls&gt;&lt;url&gt;https://www.nice.org.uk/about/who-we-are/our-principles&lt;/url&gt;&lt;/related-urls&gt;&lt;/urls&gt;&lt;/record&gt;&lt;/Cite&gt;&lt;/EndNote&gt;</w:instrText>
      </w:r>
      <w:r w:rsidRPr="00221992">
        <w:rPr>
          <w:lang w:val="en-GB"/>
        </w:rPr>
        <w:fldChar w:fldCharType="separate"/>
      </w:r>
      <w:r w:rsidR="00E5265C">
        <w:rPr>
          <w:noProof/>
          <w:lang w:val="en-GB"/>
        </w:rPr>
        <w:t>[83]</w:t>
      </w:r>
      <w:r w:rsidRPr="00221992">
        <w:rPr>
          <w:lang w:val="en-GB"/>
        </w:rPr>
        <w:fldChar w:fldCharType="end"/>
      </w:r>
      <w:r w:rsidRPr="00221992">
        <w:rPr>
          <w:lang w:val="en-GB"/>
        </w:rPr>
        <w:t xml:space="preserve">. NICE also specifies </w:t>
      </w:r>
      <w:r w:rsidR="00551786">
        <w:rPr>
          <w:lang w:val="en-GB"/>
        </w:rPr>
        <w:t>‘</w:t>
      </w:r>
      <w:r w:rsidRPr="00221992">
        <w:rPr>
          <w:lang w:val="en-GB"/>
        </w:rPr>
        <w:t>decision modifiers</w:t>
      </w:r>
      <w:r w:rsidR="00551786">
        <w:rPr>
          <w:lang w:val="en-GB"/>
        </w:rPr>
        <w:t>’</w:t>
      </w:r>
      <w:r w:rsidRPr="00221992">
        <w:rPr>
          <w:lang w:val="en-GB"/>
        </w:rPr>
        <w:t xml:space="preserve"> for the additional consideration of disease severity (using prescribed QALY weights based on absolute and proportional shortfall) and size of benefit for highly specialised technologies (using prescribed QALY weights based on the size of the relative incremental QALY gain needed for the cost-effectivenes</w:t>
      </w:r>
      <w:r w:rsidR="001E7C07" w:rsidRPr="00221992">
        <w:rPr>
          <w:lang w:val="en-GB"/>
        </w:rPr>
        <w:t>s</w:t>
      </w:r>
      <w:r w:rsidRPr="00221992">
        <w:rPr>
          <w:lang w:val="en-GB"/>
        </w:rPr>
        <w:t xml:space="preserve"> of the technology to fall within the highly specialised technologies ICER threshold of £100,000 per QALY) </w:t>
      </w:r>
      <w:r w:rsidRPr="00221992">
        <w:rPr>
          <w:lang w:val="en-GB"/>
        </w:rPr>
        <w:fldChar w:fldCharType="begin"/>
      </w:r>
      <w:r w:rsidR="00E5265C">
        <w:rPr>
          <w:lang w:val="en-GB"/>
        </w:rPr>
        <w:instrText xml:space="preserve"> ADDIN EN.CITE &lt;EndNote&gt;&lt;Cite&gt;&lt;Author&gt;National Institute for Health and Care Excellence (NICE)&lt;/Author&gt;&lt;Year&gt;2022&lt;/Year&gt;&lt;RecNum&gt;625&lt;/RecNum&gt;&lt;DisplayText&gt;[84]&lt;/DisplayText&gt;&lt;record&gt;&lt;rec-number&gt;625&lt;/rec-number&gt;&lt;foreign-keys&gt;&lt;key app="EN" db-id="wzwwsfxe4peesxef95cxvrwjxts9rreasarf" timestamp="1693186424"&gt;625&lt;/key&gt;&lt;/foreign-keys&gt;&lt;ref-type name="Report"&gt;27&lt;/ref-type&gt;&lt;contributors&gt;&lt;authors&gt;&lt;author&gt;National Institute for Health and Care Excellence (NICE),&lt;/author&gt;&lt;/authors&gt;&lt;tertiary-authors&gt;&lt;author&gt;NICE&lt;/author&gt;&lt;/tertiary-authors&gt;&lt;/contributors&gt;&lt;titles&gt;&lt;title&gt;NICE health technology evaluations: the manual&lt;/title&gt;&lt;/titles&gt;&lt;dates&gt;&lt;year&gt;2022&lt;/year&gt;&lt;/dates&gt;&lt;pub-location&gt;London&lt;/pub-location&gt;&lt;publisher&gt;NICE&lt;/publisher&gt;&lt;urls&gt;&lt;/urls&gt;&lt;/record&gt;&lt;/Cite&gt;&lt;/EndNote&gt;</w:instrText>
      </w:r>
      <w:r w:rsidRPr="00221992">
        <w:rPr>
          <w:lang w:val="en-GB"/>
        </w:rPr>
        <w:fldChar w:fldCharType="separate"/>
      </w:r>
      <w:r w:rsidR="00E5265C">
        <w:rPr>
          <w:noProof/>
          <w:lang w:val="en-GB"/>
        </w:rPr>
        <w:t>[84]</w:t>
      </w:r>
      <w:r w:rsidRPr="00221992">
        <w:rPr>
          <w:lang w:val="en-GB"/>
        </w:rPr>
        <w:fldChar w:fldCharType="end"/>
      </w:r>
      <w:r w:rsidRPr="00221992">
        <w:rPr>
          <w:lang w:val="en-GB"/>
        </w:rPr>
        <w:t>.</w:t>
      </w:r>
    </w:p>
    <w:p w14:paraId="1662D617" w14:textId="1B90C4CC" w:rsidR="00165681" w:rsidRPr="00221992" w:rsidRDefault="00165681" w:rsidP="00702C58">
      <w:pPr>
        <w:rPr>
          <w:lang w:val="en-GB"/>
        </w:rPr>
      </w:pPr>
      <w:r w:rsidRPr="00221992">
        <w:rPr>
          <w:lang w:val="en-GB"/>
        </w:rPr>
        <w:t>An HTA expert familiar with NICE</w:t>
      </w:r>
      <w:r w:rsidR="00551786">
        <w:rPr>
          <w:lang w:val="en-GB"/>
        </w:rPr>
        <w:t>’</w:t>
      </w:r>
      <w:r w:rsidRPr="00221992">
        <w:rPr>
          <w:lang w:val="en-GB"/>
        </w:rPr>
        <w:t>s methods interviewed for the Review, however, voiced concern over the potential trajectory of weights in the consideration of equity</w:t>
      </w:r>
      <w:r w:rsidR="009D55E9" w:rsidRPr="00221992">
        <w:rPr>
          <w:lang w:val="en-GB"/>
        </w:rPr>
        <w:t xml:space="preserve"> in</w:t>
      </w:r>
      <w:r w:rsidRPr="00221992">
        <w:rPr>
          <w:lang w:val="en-GB"/>
        </w:rPr>
        <w:t xml:space="preserve"> HTA. “I</w:t>
      </w:r>
      <w:r w:rsidR="00551786">
        <w:rPr>
          <w:lang w:val="en-GB"/>
        </w:rPr>
        <w:t>’</w:t>
      </w:r>
      <w:r w:rsidRPr="00221992">
        <w:rPr>
          <w:lang w:val="en-GB"/>
        </w:rPr>
        <w:t xml:space="preserve">m becoming a bit more of a </w:t>
      </w:r>
      <w:r w:rsidR="52F0B16E" w:rsidRPr="00221992">
        <w:rPr>
          <w:lang w:val="en-GB"/>
        </w:rPr>
        <w:t>s</w:t>
      </w:r>
      <w:r w:rsidR="7B0E2F2F" w:rsidRPr="00221992">
        <w:rPr>
          <w:lang w:val="en-GB"/>
        </w:rPr>
        <w:t>c</w:t>
      </w:r>
      <w:r w:rsidR="52F0B16E" w:rsidRPr="00221992">
        <w:rPr>
          <w:lang w:val="en-GB"/>
        </w:rPr>
        <w:t>eptic</w:t>
      </w:r>
      <w:r w:rsidRPr="00221992">
        <w:rPr>
          <w:lang w:val="en-GB"/>
        </w:rPr>
        <w:t xml:space="preserve"> about how many things we can realistically layer on the QALY,” he stated.</w:t>
      </w:r>
    </w:p>
    <w:p w14:paraId="6F60942C" w14:textId="6E293CC2" w:rsidR="00165681" w:rsidRPr="00221992" w:rsidRDefault="00165681" w:rsidP="009751DF">
      <w:pPr>
        <w:ind w:left="567"/>
        <w:rPr>
          <w:lang w:val="en-GB"/>
        </w:rPr>
      </w:pPr>
      <w:r w:rsidRPr="00221992">
        <w:rPr>
          <w:lang w:val="en-GB"/>
        </w:rPr>
        <w:t xml:space="preserve">We have rarity weights. We have severity weights. We have a natural inclination to say, </w:t>
      </w:r>
      <w:r w:rsidR="00551786">
        <w:rPr>
          <w:lang w:val="en-GB"/>
        </w:rPr>
        <w:t>‘</w:t>
      </w:r>
      <w:r w:rsidRPr="00221992">
        <w:rPr>
          <w:lang w:val="en-GB"/>
        </w:rPr>
        <w:t>Well, children should take priority over older people,</w:t>
      </w:r>
      <w:r w:rsidR="00551786">
        <w:rPr>
          <w:lang w:val="en-GB"/>
        </w:rPr>
        <w:t>’</w:t>
      </w:r>
      <w:r w:rsidRPr="00221992">
        <w:rPr>
          <w:lang w:val="en-GB"/>
        </w:rPr>
        <w:t xml:space="preserve"> in a kind of </w:t>
      </w:r>
      <w:r w:rsidR="00551786">
        <w:rPr>
          <w:lang w:val="en-GB"/>
        </w:rPr>
        <w:t>‘</w:t>
      </w:r>
      <w:r w:rsidRPr="00221992">
        <w:rPr>
          <w:lang w:val="en-GB"/>
        </w:rPr>
        <w:t>fair innings</w:t>
      </w:r>
      <w:r w:rsidR="00551786">
        <w:rPr>
          <w:lang w:val="en-GB"/>
        </w:rPr>
        <w:t>’</w:t>
      </w:r>
      <w:r w:rsidRPr="00221992">
        <w:rPr>
          <w:lang w:val="en-GB"/>
        </w:rPr>
        <w:t>-type view of the world. In theory, we can come up with independent weights for each of those things and layer them on to the life-year in the same way we layer quality on. But at some point, even I</w:t>
      </w:r>
      <w:r w:rsidR="00551786">
        <w:rPr>
          <w:lang w:val="en-GB"/>
        </w:rPr>
        <w:t>’</w:t>
      </w:r>
      <w:r w:rsidRPr="00221992">
        <w:rPr>
          <w:lang w:val="en-GB"/>
        </w:rPr>
        <w:t>m starting to think we reach a point of absurdity of having so many specific value modifiers that everyone has their own personal QALY threshold. […] I completely accept that society sees some QALYs as more valuable than others. But more and more […], I</w:t>
      </w:r>
      <w:r w:rsidR="00551786">
        <w:rPr>
          <w:lang w:val="en-GB"/>
        </w:rPr>
        <w:t>’</w:t>
      </w:r>
      <w:r w:rsidRPr="00221992">
        <w:rPr>
          <w:lang w:val="en-GB"/>
        </w:rPr>
        <w:t>m just getting concerned that we</w:t>
      </w:r>
      <w:r w:rsidR="00551786">
        <w:rPr>
          <w:lang w:val="en-GB"/>
        </w:rPr>
        <w:t>’</w:t>
      </w:r>
      <w:r w:rsidRPr="00221992">
        <w:rPr>
          <w:lang w:val="en-GB"/>
        </w:rPr>
        <w:t xml:space="preserve">re going down a road of </w:t>
      </w:r>
      <w:r w:rsidR="00551786">
        <w:rPr>
          <w:lang w:val="en-GB"/>
        </w:rPr>
        <w:t>‘</w:t>
      </w:r>
      <w:r w:rsidRPr="00221992">
        <w:rPr>
          <w:lang w:val="en-GB"/>
        </w:rPr>
        <w:t>personalized HTA,</w:t>
      </w:r>
      <w:r w:rsidR="00551786">
        <w:rPr>
          <w:lang w:val="en-GB"/>
        </w:rPr>
        <w:t>’</w:t>
      </w:r>
      <w:r w:rsidRPr="00221992">
        <w:rPr>
          <w:lang w:val="en-GB"/>
        </w:rPr>
        <w:t xml:space="preserve"> which does not seem like a desirable outcome. (HTA expert</w:t>
      </w:r>
      <w:r w:rsidR="00F424CA" w:rsidRPr="00221992">
        <w:rPr>
          <w:lang w:val="en-GB"/>
        </w:rPr>
        <w:t>, UK</w:t>
      </w:r>
      <w:r w:rsidR="52F0B16E" w:rsidRPr="00221992">
        <w:rPr>
          <w:lang w:val="en-GB"/>
        </w:rPr>
        <w:t>)</w:t>
      </w:r>
    </w:p>
    <w:p w14:paraId="67215E0F" w14:textId="2B894508" w:rsidR="00165681" w:rsidRPr="00221992" w:rsidRDefault="00165681" w:rsidP="00702C58">
      <w:pPr>
        <w:rPr>
          <w:lang w:val="en-GB"/>
        </w:rPr>
      </w:pPr>
      <w:r w:rsidRPr="00221992">
        <w:rPr>
          <w:lang w:val="en-GB"/>
        </w:rPr>
        <w:t xml:space="preserve">In Canada, CADTH recommends the equal weighting of all QALYs, regardless of the characteristics of the population(s) impacted by the intervention, </w:t>
      </w:r>
      <w:r w:rsidR="00B26C3F" w:rsidRPr="00221992">
        <w:rPr>
          <w:lang w:val="en-GB"/>
        </w:rPr>
        <w:t xml:space="preserve">though </w:t>
      </w:r>
      <w:r w:rsidRPr="00221992">
        <w:rPr>
          <w:lang w:val="en-GB"/>
        </w:rPr>
        <w:t xml:space="preserve">these may be disaggregated to highlight distributional issues </w:t>
      </w:r>
      <w:r w:rsidRPr="00221992">
        <w:rPr>
          <w:lang w:val="en-GB"/>
        </w:rPr>
        <w:fldChar w:fldCharType="begin"/>
      </w:r>
      <w:r w:rsidR="00E5265C">
        <w:rPr>
          <w:lang w:val="en-GB"/>
        </w:rPr>
        <w:instrText xml:space="preserve"> ADDIN EN.CITE &lt;EndNote&gt;&lt;Cite&gt;&lt;Author&gt;Canadian Agency for Drugs and Technologies in Health (CADTH)&lt;/Author&gt;&lt;Year&gt;2017&lt;/Year&gt;&lt;RecNum&gt;70&lt;/RecNum&gt;&lt;DisplayText&gt;[85]&lt;/DisplayText&gt;&lt;record&gt;&lt;rec-number&gt;70&lt;/rec-number&gt;&lt;foreign-keys&gt;&lt;key app="EN" db-id="wzwwsfxe4peesxef95cxvrwjxts9rreasarf" timestamp="1692654670"&gt;70&lt;/key&gt;&lt;/foreign-keys&gt;&lt;ref-type name="Report"&gt;27&lt;/ref-type&gt;&lt;contributors&gt;&lt;authors&gt;&lt;author&gt;Canadian Agency for Drugs and Technologies in Health (CADTH),&lt;/author&gt;&lt;/authors&gt;&lt;/contributors&gt;&lt;titles&gt;&lt;title&gt;Guidelines for the Economic Evaluation of Health Technologies: Canada 4th Edition.&lt;/title&gt;&lt;/titles&gt;&lt;dates&gt;&lt;year&gt;2017&lt;/year&gt;&lt;/dates&gt;&lt;pub-location&gt;Ottowa&lt;/pub-location&gt;&lt;publisher&gt;Canadian Agency for Drugs and Technologies in Health&lt;/publisher&gt;&lt;urls&gt;&lt;/urls&gt;&lt;/record&gt;&lt;/Cite&gt;&lt;/EndNote&gt;</w:instrText>
      </w:r>
      <w:r w:rsidRPr="00221992">
        <w:rPr>
          <w:lang w:val="en-GB"/>
        </w:rPr>
        <w:fldChar w:fldCharType="separate"/>
      </w:r>
      <w:r w:rsidR="00E5265C">
        <w:rPr>
          <w:noProof/>
          <w:lang w:val="en-GB"/>
        </w:rPr>
        <w:t>[85]</w:t>
      </w:r>
      <w:r w:rsidRPr="00221992">
        <w:rPr>
          <w:lang w:val="en-GB"/>
        </w:rPr>
        <w:fldChar w:fldCharType="end"/>
      </w:r>
      <w:r w:rsidRPr="00221992">
        <w:rPr>
          <w:lang w:val="en-GB"/>
        </w:rPr>
        <w:t xml:space="preserve">. CADTH also recommends a full description of the relevant populations to facilitate consideration of distributional and other equity-related concerns. Stratified subgroup analyses must be clearly explained and justified, with particular attention to the promotion of horizontal equity (i.e., equal treatment of equals) associated with any proposed positions impacting vertical equity (i.e., unequal treatment of unequals) </w:t>
      </w:r>
      <w:r w:rsidRPr="00221992">
        <w:rPr>
          <w:lang w:val="en-GB"/>
        </w:rPr>
        <w:fldChar w:fldCharType="begin"/>
      </w:r>
      <w:r w:rsidR="00E5265C">
        <w:rPr>
          <w:lang w:val="en-GB"/>
        </w:rPr>
        <w:instrText xml:space="preserve"> ADDIN EN.CITE &lt;EndNote&gt;&lt;Cite&gt;&lt;Author&gt;Canadian Agency for Drugs and Technologies in Health (CADTH)&lt;/Author&gt;&lt;Year&gt;2017&lt;/Year&gt;&lt;RecNum&gt;70&lt;/RecNum&gt;&lt;DisplayText&gt;[85]&lt;/DisplayText&gt;&lt;record&gt;&lt;rec-number&gt;70&lt;/rec-number&gt;&lt;foreign-keys&gt;&lt;key app="EN" db-id="wzwwsfxe4peesxef95cxvrwjxts9rreasarf" timestamp="1692654670"&gt;70&lt;/key&gt;&lt;/foreign-keys&gt;&lt;ref-type name="Report"&gt;27&lt;/ref-type&gt;&lt;contributors&gt;&lt;authors&gt;&lt;author&gt;Canadian Agency for Drugs and Technologies in Health (CADTH),&lt;/author&gt;&lt;/authors&gt;&lt;/contributors&gt;&lt;titles&gt;&lt;title&gt;Guidelines for the Economic Evaluation of Health Technologies: Canada 4th Edition.&lt;/title&gt;&lt;/titles&gt;&lt;dates&gt;&lt;year&gt;2017&lt;/year&gt;&lt;/dates&gt;&lt;pub-location&gt;Ottowa&lt;/pub-location&gt;&lt;publisher&gt;Canadian Agency for Drugs and Technologies in Health&lt;/publisher&gt;&lt;urls&gt;&lt;/urls&gt;&lt;/record&gt;&lt;/Cite&gt;&lt;/EndNote&gt;</w:instrText>
      </w:r>
      <w:r w:rsidRPr="00221992">
        <w:rPr>
          <w:lang w:val="en-GB"/>
        </w:rPr>
        <w:fldChar w:fldCharType="separate"/>
      </w:r>
      <w:r w:rsidR="00E5265C">
        <w:rPr>
          <w:noProof/>
          <w:lang w:val="en-GB"/>
        </w:rPr>
        <w:t>[85]</w:t>
      </w:r>
      <w:r w:rsidRPr="00221992">
        <w:rPr>
          <w:lang w:val="en-GB"/>
        </w:rPr>
        <w:fldChar w:fldCharType="end"/>
      </w:r>
      <w:r w:rsidRPr="00221992">
        <w:rPr>
          <w:lang w:val="en-GB"/>
        </w:rPr>
        <w:t>.</w:t>
      </w:r>
    </w:p>
    <w:p w14:paraId="6CC5B5D3" w14:textId="2E4EFCA2" w:rsidR="00165681" w:rsidRPr="00221992" w:rsidRDefault="00165681" w:rsidP="00702C58">
      <w:pPr>
        <w:rPr>
          <w:lang w:val="en-GB"/>
        </w:rPr>
      </w:pPr>
      <w:r w:rsidRPr="00221992">
        <w:rPr>
          <w:lang w:val="en-GB"/>
        </w:rPr>
        <w:t xml:space="preserve">With respect to equity considerations in the reimbursement of pharmaceuticals in Canada, drug therapies administered within Canadian hospitals are insured and publicly funded; beyond the hospital setting, provincial and territorial governments administer their own publicly funded prescription benefit programs. There are hundreds of public drug plans across Canada, many of which explicitly provide for the targeted reimbursement of benefits for identified equity groups. Alongside so-called </w:t>
      </w:r>
      <w:r w:rsidR="00551786">
        <w:rPr>
          <w:lang w:val="en-GB"/>
        </w:rPr>
        <w:t>‘</w:t>
      </w:r>
      <w:r w:rsidRPr="00221992">
        <w:rPr>
          <w:lang w:val="en-GB"/>
        </w:rPr>
        <w:t>universal plans</w:t>
      </w:r>
      <w:r w:rsidR="00551786">
        <w:rPr>
          <w:lang w:val="en-GB"/>
        </w:rPr>
        <w:t>’</w:t>
      </w:r>
      <w:r w:rsidRPr="00221992">
        <w:rPr>
          <w:lang w:val="en-GB"/>
        </w:rPr>
        <w:t xml:space="preserve"> based on residency, federal programs provide drug benefits </w:t>
      </w:r>
      <w:r w:rsidR="00E538A0" w:rsidRPr="00221992">
        <w:rPr>
          <w:lang w:val="en-GB"/>
        </w:rPr>
        <w:t xml:space="preserve">specifically </w:t>
      </w:r>
      <w:r w:rsidRPr="00221992">
        <w:rPr>
          <w:lang w:val="en-GB"/>
        </w:rPr>
        <w:t>to First Nations and Inuit peoples, military personnel, police and veterans, and inmates in federal penitentiaries. Seniors, individuals on social assistance and patients requiring high-cost therapies are generally covered by tailored programs administered by</w:t>
      </w:r>
      <w:r w:rsidR="001266A6" w:rsidRPr="00221992">
        <w:rPr>
          <w:lang w:val="en-GB"/>
        </w:rPr>
        <w:t xml:space="preserve"> the</w:t>
      </w:r>
      <w:r w:rsidRPr="00221992">
        <w:rPr>
          <w:lang w:val="en-GB"/>
        </w:rPr>
        <w:t xml:space="preserve"> provinces </w:t>
      </w:r>
      <w:r w:rsidRPr="00221992">
        <w:rPr>
          <w:lang w:val="en-GB"/>
        </w:rPr>
        <w:fldChar w:fldCharType="begin"/>
      </w:r>
      <w:r w:rsidR="00E5265C">
        <w:rPr>
          <w:lang w:val="en-GB"/>
        </w:rPr>
        <w:instrText xml:space="preserve"> ADDIN EN.CITE &lt;EndNote&gt;&lt;Cite&gt;&lt;Author&gt;Drinkwater&lt;/Author&gt;&lt;Year&gt;2022&lt;/Year&gt;&lt;RecNum&gt;626&lt;/RecNum&gt;&lt;DisplayText&gt;[86-87]&lt;/DisplayText&gt;&lt;record&gt;&lt;rec-number&gt;626&lt;/rec-number&gt;&lt;foreign-keys&gt;&lt;key app="EN" db-id="wzwwsfxe4peesxef95cxvrwjxts9rreasarf" timestamp="1693186424"&gt;626&lt;/key&gt;&lt;/foreign-keys&gt;&lt;ref-type name="Journal Article"&gt;17&lt;/ref-type&gt;&lt;contributors&gt;&lt;authors&gt;&lt;author&gt;Drinkwater, A.&lt;/author&gt;&lt;/authors&gt;&lt;/contributors&gt;&lt;titles&gt;&lt;title&gt;The drug reimbursement environment in Canada: An overview&lt;/title&gt;&lt;secondary-title&gt;HTA Quarterly&lt;/secondary-title&gt;&lt;/titles&gt;&lt;periodical&gt;&lt;full-title&gt;HTA Quarterly&lt;/full-title&gt;&lt;/periodical&gt;&lt;volume&gt;Spring 2022&lt;/volume&gt;&lt;dates&gt;&lt;year&gt;2022&lt;/year&gt;&lt;/dates&gt;&lt;urls&gt;&lt;/urls&gt;&lt;/record&gt;&lt;/Cite&gt;&lt;Cite&gt;&lt;Author&gt;Jospé&lt;/Author&gt;&lt;Year&gt;2019&lt;/Year&gt;&lt;RecNum&gt;627&lt;/RecNum&gt;&lt;record&gt;&lt;rec-number&gt;627&lt;/rec-number&gt;&lt;foreign-keys&gt;&lt;key app="EN" db-id="wzwwsfxe4peesxef95cxvrwjxts9rreasarf" timestamp="1693186424"&gt;627&lt;/key&gt;&lt;/foreign-keys&gt;&lt;ref-type name="Book"&gt;6&lt;/ref-type&gt;&lt;contributors&gt;&lt;authors&gt;&lt;author&gt;Jospé, D.&lt;/author&gt;&lt;author&gt;Champagne, J-R.&lt;/author&gt;&lt;author&gt;Lafleur, M.&lt;/author&gt;&lt;/authors&gt;&lt;/contributors&gt;&lt;titles&gt;&lt;title&gt;The Pharma Legal Handbook, Canada&lt;/title&gt;&lt;/titles&gt;&lt;dates&gt;&lt;year&gt;2019&lt;/year&gt;&lt;/dates&gt;&lt;pub-location&gt;Norwich&lt;/pub-location&gt;&lt;publisher&gt;PharmaBoardroom Ltd.&lt;/publisher&gt;&lt;urls&gt;&lt;/urls&gt;&lt;/record&gt;&lt;/Cite&gt;&lt;/EndNote&gt;</w:instrText>
      </w:r>
      <w:r w:rsidRPr="00221992">
        <w:rPr>
          <w:lang w:val="en-GB"/>
        </w:rPr>
        <w:fldChar w:fldCharType="separate"/>
      </w:r>
      <w:r w:rsidR="00E5265C">
        <w:rPr>
          <w:noProof/>
          <w:lang w:val="en-GB"/>
        </w:rPr>
        <w:t>[86-87]</w:t>
      </w:r>
      <w:r w:rsidRPr="00221992">
        <w:rPr>
          <w:lang w:val="en-GB"/>
        </w:rPr>
        <w:fldChar w:fldCharType="end"/>
      </w:r>
      <w:r w:rsidRPr="00221992">
        <w:rPr>
          <w:lang w:val="en-GB"/>
        </w:rPr>
        <w:t>.</w:t>
      </w:r>
    </w:p>
    <w:p w14:paraId="025CEA30" w14:textId="07717023" w:rsidR="00165681" w:rsidRPr="00221992" w:rsidRDefault="006E5953" w:rsidP="00702C58">
      <w:pPr>
        <w:rPr>
          <w:lang w:val="en-GB"/>
        </w:rPr>
      </w:pPr>
      <w:r w:rsidRPr="00221992">
        <w:rPr>
          <w:lang w:val="en-GB"/>
        </w:rPr>
        <w:t>Speaking about consumer engagement in HTA decision-making i</w:t>
      </w:r>
      <w:r w:rsidR="00165681" w:rsidRPr="00221992">
        <w:rPr>
          <w:lang w:val="en-GB"/>
        </w:rPr>
        <w:t xml:space="preserve">n Germany, an expert consulted for the Review stated that while decision makers in Germany look at a range of outcomes, they do not use </w:t>
      </w:r>
      <w:r w:rsidR="00551786">
        <w:rPr>
          <w:lang w:val="en-GB"/>
        </w:rPr>
        <w:t>‘</w:t>
      </w:r>
      <w:r w:rsidR="00165681" w:rsidRPr="00221992">
        <w:rPr>
          <w:lang w:val="en-GB"/>
        </w:rPr>
        <w:t>anecdotal</w:t>
      </w:r>
      <w:r w:rsidR="00551786">
        <w:rPr>
          <w:lang w:val="en-GB"/>
        </w:rPr>
        <w:t>’</w:t>
      </w:r>
      <w:r w:rsidR="00165681" w:rsidRPr="00221992">
        <w:rPr>
          <w:lang w:val="en-GB"/>
        </w:rPr>
        <w:t xml:space="preserve"> </w:t>
      </w:r>
      <w:r w:rsidRPr="00221992">
        <w:rPr>
          <w:lang w:val="en-GB"/>
        </w:rPr>
        <w:t xml:space="preserve">forms of </w:t>
      </w:r>
      <w:r w:rsidR="00165681" w:rsidRPr="00221992">
        <w:rPr>
          <w:lang w:val="en-GB"/>
        </w:rPr>
        <w:t>evidence not captured through validated instrument</w:t>
      </w:r>
      <w:r w:rsidRPr="00221992">
        <w:rPr>
          <w:lang w:val="en-GB"/>
        </w:rPr>
        <w:t>s</w:t>
      </w:r>
      <w:r w:rsidR="00165681" w:rsidRPr="00221992">
        <w:rPr>
          <w:lang w:val="en-GB"/>
        </w:rPr>
        <w:t>:</w:t>
      </w:r>
    </w:p>
    <w:p w14:paraId="713C168E" w14:textId="42A7BF13" w:rsidR="00165681" w:rsidRPr="00221992" w:rsidRDefault="00165681" w:rsidP="004C7AEC">
      <w:pPr>
        <w:ind w:left="567"/>
        <w:rPr>
          <w:lang w:val="en-GB"/>
        </w:rPr>
      </w:pPr>
      <w:r w:rsidRPr="00221992">
        <w:rPr>
          <w:lang w:val="en-GB"/>
        </w:rPr>
        <w:t>It</w:t>
      </w:r>
      <w:r w:rsidR="00551786">
        <w:rPr>
          <w:lang w:val="en-GB"/>
        </w:rPr>
        <w:t>’</w:t>
      </w:r>
      <w:r w:rsidRPr="00221992">
        <w:rPr>
          <w:lang w:val="en-GB"/>
        </w:rPr>
        <w:t xml:space="preserve">s very quantitative, absolutely. […] In the oral </w:t>
      </w:r>
      <w:r w:rsidR="001833DB" w:rsidRPr="00221992">
        <w:rPr>
          <w:lang w:val="en-GB"/>
        </w:rPr>
        <w:t>hearings</w:t>
      </w:r>
      <w:r w:rsidRPr="00221992">
        <w:rPr>
          <w:lang w:val="en-GB"/>
        </w:rPr>
        <w:t>, they could ask the experts, which could also be patients, just to describe [the patient experience] to us. But it is more to understand the quantitative data. (HTA expert</w:t>
      </w:r>
      <w:r w:rsidR="00F424CA" w:rsidRPr="00221992">
        <w:rPr>
          <w:lang w:val="en-GB"/>
        </w:rPr>
        <w:t>, Germany</w:t>
      </w:r>
      <w:r w:rsidR="52F0B16E" w:rsidRPr="00221992">
        <w:rPr>
          <w:lang w:val="en-GB"/>
        </w:rPr>
        <w:t>)</w:t>
      </w:r>
    </w:p>
    <w:p w14:paraId="3AF04F6D" w14:textId="3DFB814A" w:rsidR="00165681" w:rsidRPr="00221992" w:rsidRDefault="00165681" w:rsidP="00702C58">
      <w:pPr>
        <w:rPr>
          <w:lang w:val="en-GB"/>
        </w:rPr>
      </w:pPr>
      <w:r w:rsidRPr="00221992">
        <w:rPr>
          <w:lang w:val="en-GB"/>
        </w:rPr>
        <w:t>Regarding coverage, assignment to a sickness fund</w:t>
      </w:r>
      <w:r w:rsidR="00986231">
        <w:rPr>
          <w:lang w:val="en-GB"/>
        </w:rPr>
        <w:t xml:space="preserve"> (</w:t>
      </w:r>
      <w:r w:rsidR="00726DC4">
        <w:rPr>
          <w:lang w:val="en-GB"/>
        </w:rPr>
        <w:t xml:space="preserve">i.e., a </w:t>
      </w:r>
      <w:r w:rsidR="00986231" w:rsidRPr="00986231">
        <w:rPr>
          <w:lang w:val="en-GB"/>
        </w:rPr>
        <w:t>competitive</w:t>
      </w:r>
      <w:r w:rsidR="00F17B88">
        <w:rPr>
          <w:lang w:val="en-GB"/>
        </w:rPr>
        <w:t>, private</w:t>
      </w:r>
      <w:r w:rsidR="00986231" w:rsidRPr="00986231">
        <w:rPr>
          <w:lang w:val="en-GB"/>
        </w:rPr>
        <w:t xml:space="preserve"> not-for-profit health insurance plan</w:t>
      </w:r>
      <w:r w:rsidR="00030075">
        <w:rPr>
          <w:lang w:val="en-GB"/>
        </w:rPr>
        <w:t>, collectively referred to as ‘</w:t>
      </w:r>
      <w:r w:rsidR="00030075" w:rsidRPr="00030075">
        <w:rPr>
          <w:lang w:val="en-GB"/>
        </w:rPr>
        <w:t>Statutory Health Insurance</w:t>
      </w:r>
      <w:r w:rsidR="00726DC4">
        <w:rPr>
          <w:lang w:val="en-GB"/>
        </w:rPr>
        <w:t>’</w:t>
      </w:r>
      <w:r w:rsidR="00030075" w:rsidRPr="00030075">
        <w:rPr>
          <w:lang w:val="en-GB"/>
        </w:rPr>
        <w:t xml:space="preserve"> (SHI)</w:t>
      </w:r>
      <w:r w:rsidR="00726DC4">
        <w:rPr>
          <w:lang w:val="en-GB"/>
        </w:rPr>
        <w:t>,</w:t>
      </w:r>
      <w:r w:rsidR="00030075">
        <w:rPr>
          <w:lang w:val="en-GB"/>
        </w:rPr>
        <w:t xml:space="preserve"> as distinct from </w:t>
      </w:r>
      <w:r w:rsidR="008D04EF" w:rsidRPr="008D04EF">
        <w:rPr>
          <w:lang w:val="en-GB"/>
        </w:rPr>
        <w:t>private health insurance (PHI)</w:t>
      </w:r>
      <w:r w:rsidR="00F17B88">
        <w:rPr>
          <w:lang w:val="en-GB"/>
        </w:rPr>
        <w:t>)</w:t>
      </w:r>
      <w:r w:rsidRPr="00221992">
        <w:rPr>
          <w:lang w:val="en-GB"/>
        </w:rPr>
        <w:t xml:space="preserve"> has historically been based on occupational status</w:t>
      </w:r>
      <w:r w:rsidR="007156F7">
        <w:rPr>
          <w:lang w:val="en-GB"/>
        </w:rPr>
        <w:t xml:space="preserve"> </w:t>
      </w:r>
      <w:r w:rsidR="000D0E46">
        <w:rPr>
          <w:lang w:val="en-GB"/>
        </w:rPr>
        <w:fldChar w:fldCharType="begin"/>
      </w:r>
      <w:r w:rsidR="00E5265C">
        <w:rPr>
          <w:lang w:val="en-GB"/>
        </w:rPr>
        <w:instrText xml:space="preserve"> ADDIN EN.CITE &lt;EndNote&gt;&lt;Cite&gt;&lt;Author&gt;University&lt;/Author&gt;&lt;Year&gt;2023&lt;/Year&gt;&lt;RecNum&gt;700&lt;/RecNum&gt;&lt;DisplayText&gt;[88]&lt;/DisplayText&gt;&lt;record&gt;&lt;rec-number&gt;700&lt;/rec-number&gt;&lt;foreign-keys&gt;&lt;key app="EN" db-id="wzwwsfxe4peesxef95cxvrwjxts9rreasarf" timestamp="1699839653"&gt;700&lt;/key&gt;&lt;/foreign-keys&gt;&lt;ref-type name="Web Page"&gt;12&lt;/ref-type&gt;&lt;contributors&gt;&lt;authors&gt;&lt;author&gt;Columbia University&lt;/author&gt;&lt;/authors&gt;&lt;/contributors&gt;&lt;titles&gt;&lt;title&gt;Germany, Summary&lt;/title&gt;&lt;/titles&gt;&lt;number&gt;13 November 2023&lt;/number&gt;&lt;dates&gt;&lt;year&gt;2023&lt;/year&gt;&lt;/dates&gt;&lt;pub-location&gt;New York&lt;/pub-location&gt;&lt;publisher&gt;Columbia University&lt;/publisher&gt;&lt;urls&gt;&lt;related-urls&gt;&lt;url&gt;https://www.publichealth.columbia.edu/research/others/comparative-health-policy-library/germany-summary&lt;/url&gt;&lt;/related-urls&gt;&lt;/urls&gt;&lt;/record&gt;&lt;/Cite&gt;&lt;/EndNote&gt;</w:instrText>
      </w:r>
      <w:r w:rsidR="000D0E46">
        <w:rPr>
          <w:lang w:val="en-GB"/>
        </w:rPr>
        <w:fldChar w:fldCharType="separate"/>
      </w:r>
      <w:r w:rsidR="00E5265C">
        <w:rPr>
          <w:noProof/>
          <w:lang w:val="en-GB"/>
        </w:rPr>
        <w:t>[88]</w:t>
      </w:r>
      <w:r w:rsidR="000D0E46">
        <w:rPr>
          <w:lang w:val="en-GB"/>
        </w:rPr>
        <w:fldChar w:fldCharType="end"/>
      </w:r>
      <w:r w:rsidRPr="00221992">
        <w:rPr>
          <w:lang w:val="en-GB"/>
        </w:rPr>
        <w:t>; however, contemporary reforms in the post-reunification period now allow consumers to choose their own fund</w:t>
      </w:r>
      <w:r w:rsidR="007156F7">
        <w:rPr>
          <w:lang w:val="en-GB"/>
        </w:rPr>
        <w:t xml:space="preserve"> </w:t>
      </w:r>
      <w:r w:rsidRPr="00221992">
        <w:rPr>
          <w:lang w:val="en-GB"/>
        </w:rPr>
        <w:fldChar w:fldCharType="begin"/>
      </w:r>
      <w:r w:rsidR="00E5265C">
        <w:rPr>
          <w:lang w:val="en-GB"/>
        </w:rPr>
        <w:instrText xml:space="preserve"> ADDIN EN.CITE &lt;EndNote&gt;&lt;Cite&gt;&lt;Author&gt;Blümel&lt;/Author&gt;&lt;Year&gt;2020&lt;/Year&gt;&lt;RecNum&gt;628&lt;/RecNum&gt;&lt;DisplayText&gt;[89]&lt;/DisplayText&gt;&lt;record&gt;&lt;rec-number&gt;628&lt;/rec-number&gt;&lt;foreign-keys&gt;&lt;key app="EN" db-id="wzwwsfxe4peesxef95cxvrwjxts9rreasarf" timestamp="1693186424"&gt;628&lt;/key&gt;&lt;/foreign-keys&gt;&lt;ref-type name="Report"&gt;27&lt;/ref-type&gt;&lt;contributors&gt;&lt;authors&gt;&lt;author&gt;Blümel, M.&lt;/author&gt;&lt;author&gt;Spranger, A.&lt;/author&gt;&lt;author&gt;Achstetter, K.&lt;/author&gt;&lt;author&gt;Maresso, A.&lt;/author&gt;&lt;author&gt;Busse, R.&lt;/author&gt;&lt;/authors&gt;&lt;tertiary-authors&gt;&lt;author&gt;WHO Regional Office for Europe,&lt;/author&gt;&lt;/tertiary-authors&gt;&lt;/contributors&gt;&lt;titles&gt;&lt;title&gt;Germany: Health system review&lt;/title&gt;&lt;/titles&gt;&lt;pages&gt;i-273&lt;/pages&gt;&lt;volume&gt;22&lt;/volume&gt;&lt;number&gt;6&lt;/number&gt;&lt;dates&gt;&lt;year&gt;2020&lt;/year&gt;&lt;/dates&gt;&lt;pub-location&gt;Coppenhagen&lt;/pub-location&gt;&lt;urls&gt;&lt;/urls&gt;&lt;/record&gt;&lt;/Cite&gt;&lt;/EndNote&gt;</w:instrText>
      </w:r>
      <w:r w:rsidRPr="00221992">
        <w:rPr>
          <w:lang w:val="en-GB"/>
        </w:rPr>
        <w:fldChar w:fldCharType="separate"/>
      </w:r>
      <w:r w:rsidR="00E5265C">
        <w:rPr>
          <w:noProof/>
          <w:lang w:val="en-GB"/>
        </w:rPr>
        <w:t>[89]</w:t>
      </w:r>
      <w:r w:rsidRPr="00221992">
        <w:rPr>
          <w:lang w:val="en-GB"/>
        </w:rPr>
        <w:fldChar w:fldCharType="end"/>
      </w:r>
      <w:r w:rsidRPr="00221992">
        <w:rPr>
          <w:lang w:val="en-GB"/>
        </w:rPr>
        <w:t>. As the German benefit package is broadly standardised, competition between sickness funds is limited to price and customer service, without differentiation on the basis of members</w:t>
      </w:r>
      <w:r w:rsidR="00551786">
        <w:rPr>
          <w:lang w:val="en-GB"/>
        </w:rPr>
        <w:t>’</w:t>
      </w:r>
      <w:r w:rsidRPr="00221992">
        <w:rPr>
          <w:lang w:val="en-GB"/>
        </w:rPr>
        <w:t xml:space="preserve"> characteristics </w:t>
      </w:r>
      <w:r w:rsidRPr="00221992">
        <w:rPr>
          <w:lang w:val="en-GB"/>
        </w:rPr>
        <w:fldChar w:fldCharType="begin"/>
      </w:r>
      <w:r w:rsidR="00E5265C">
        <w:rPr>
          <w:lang w:val="en-GB"/>
        </w:rPr>
        <w:instrText xml:space="preserve"> ADDIN EN.CITE &lt;EndNote&gt;&lt;Cite&gt;&lt;Author&gt;Kifmann&lt;/Author&gt;&lt;Year&gt;2016&lt;/Year&gt;&lt;RecNum&gt;254&lt;/RecNum&gt;&lt;DisplayText&gt;[90]&lt;/DisplayText&gt;&lt;record&gt;&lt;rec-number&gt;254&lt;/rec-number&gt;&lt;foreign-keys&gt;&lt;key app="EN" db-id="wzwwsfxe4peesxef95cxvrwjxts9rreasarf" timestamp="1692654670"&gt;254&lt;/key&gt;&lt;/foreign-keys&gt;&lt;ref-type name="Journal Article"&gt;17&lt;/ref-type&gt;&lt;contributors&gt;&lt;authors&gt;&lt;author&gt;Kifmann, M.&lt;/author&gt;&lt;/authors&gt;&lt;/contributors&gt;&lt;titles&gt;&lt;title&gt;Competition policy for health care provision in Germany&lt;/title&gt;&lt;secondary-title&gt;Health Policy&lt;/secondary-title&gt;&lt;/titles&gt;&lt;periodical&gt;&lt;full-title&gt;Health Policy&lt;/full-title&gt;&lt;abbr-1&gt;Health Policy&lt;/abbr-1&gt;&lt;/periodical&gt;&lt;pages&gt;119-125&lt;/pages&gt;&lt;volume&gt;121&lt;/volume&gt;&lt;number&gt;2&lt;/number&gt;&lt;dates&gt;&lt;year&gt;2016&lt;/year&gt;&lt;/dates&gt;&lt;urls&gt;&lt;/urls&gt;&lt;/record&gt;&lt;/Cite&gt;&lt;/EndNote&gt;</w:instrText>
      </w:r>
      <w:r w:rsidRPr="00221992">
        <w:rPr>
          <w:lang w:val="en-GB"/>
        </w:rPr>
        <w:fldChar w:fldCharType="separate"/>
      </w:r>
      <w:r w:rsidR="00E5265C">
        <w:rPr>
          <w:noProof/>
          <w:lang w:val="en-GB"/>
        </w:rPr>
        <w:t>[90]</w:t>
      </w:r>
      <w:r w:rsidRPr="00221992">
        <w:rPr>
          <w:lang w:val="en-GB"/>
        </w:rPr>
        <w:fldChar w:fldCharType="end"/>
      </w:r>
      <w:r w:rsidRPr="00221992">
        <w:rPr>
          <w:lang w:val="en-GB"/>
        </w:rPr>
        <w:t xml:space="preserve">. </w:t>
      </w:r>
    </w:p>
    <w:p w14:paraId="6C568CFC" w14:textId="029142A9" w:rsidR="00165681" w:rsidRPr="00221992" w:rsidRDefault="00165681" w:rsidP="00702C58">
      <w:pPr>
        <w:rPr>
          <w:lang w:val="en-GB"/>
        </w:rPr>
      </w:pPr>
      <w:r w:rsidRPr="00221992">
        <w:rPr>
          <w:lang w:val="en-GB"/>
        </w:rPr>
        <w:t xml:space="preserve">In Korea, an HTA expert interviewed for the Review clarified that while co-insurance rates vary depending on patient characteristics, the process of determining coverage remains unchanged. There is a system in place that exempts certain medications from the submission of an economic evaluation in the presence of high unmet need and clinical uncertainty. A criterion for this process is the number of patients, with medications used for ultra-rare diseases and </w:t>
      </w:r>
      <w:r w:rsidR="52F0B16E" w:rsidRPr="00221992">
        <w:rPr>
          <w:lang w:val="en-GB"/>
        </w:rPr>
        <w:t>p</w:t>
      </w:r>
      <w:r w:rsidR="0C9D8D4A" w:rsidRPr="00221992">
        <w:rPr>
          <w:lang w:val="en-GB"/>
        </w:rPr>
        <w:t>a</w:t>
      </w:r>
      <w:r w:rsidR="52F0B16E" w:rsidRPr="00221992">
        <w:rPr>
          <w:lang w:val="en-GB"/>
        </w:rPr>
        <w:t>ediatric</w:t>
      </w:r>
      <w:r w:rsidRPr="00221992">
        <w:rPr>
          <w:lang w:val="en-GB"/>
        </w:rPr>
        <w:t xml:space="preserve"> patients with high unmet needs more likely to qualify for this track.</w:t>
      </w:r>
    </w:p>
    <w:p w14:paraId="6E160358" w14:textId="5BCBFB43" w:rsidR="00165681" w:rsidRPr="00221992" w:rsidRDefault="00165681" w:rsidP="00702C58">
      <w:pPr>
        <w:rPr>
          <w:lang w:val="en-GB"/>
        </w:rPr>
      </w:pPr>
      <w:r w:rsidRPr="00221992">
        <w:rPr>
          <w:lang w:val="en-GB"/>
        </w:rPr>
        <w:t xml:space="preserve">In Scotland, an HTA expert interviewed for the Review stated that the SMC declined to incorporate the use of QALY weights for specified equity groups, citing an insufficient empirical basis upon which to base such weights. </w:t>
      </w:r>
      <w:r w:rsidR="001833DB" w:rsidRPr="00221992">
        <w:rPr>
          <w:lang w:val="en-GB"/>
        </w:rPr>
        <w:t xml:space="preserve">They </w:t>
      </w:r>
      <w:r w:rsidRPr="00221992">
        <w:rPr>
          <w:lang w:val="en-GB"/>
        </w:rPr>
        <w:t>noted, however, the SMC</w:t>
      </w:r>
      <w:r w:rsidR="00551786">
        <w:rPr>
          <w:lang w:val="en-GB"/>
        </w:rPr>
        <w:t>’</w:t>
      </w:r>
      <w:r w:rsidRPr="00221992">
        <w:rPr>
          <w:lang w:val="en-GB"/>
        </w:rPr>
        <w:t xml:space="preserve">s Patient and Clinician Engagement (PACE) process, whereby the added value of medicines not captured in the economic case can be explored qualitatively. </w:t>
      </w:r>
    </w:p>
    <w:p w14:paraId="4EE46492" w14:textId="3ED120B7" w:rsidR="001A66C4" w:rsidRPr="00221992" w:rsidRDefault="00165681" w:rsidP="001A66C4">
      <w:pPr>
        <w:rPr>
          <w:lang w:val="en-GB"/>
        </w:rPr>
      </w:pPr>
      <w:r w:rsidRPr="00221992">
        <w:rPr>
          <w:lang w:val="en-GB"/>
        </w:rPr>
        <w:t>In Thailand, an HTA expert interviewed for the Review noted that equity considerations that “deviate from major concepts” are generally considered through secondary sensitivity analyses.</w:t>
      </w:r>
    </w:p>
    <w:p w14:paraId="1105A79C" w14:textId="619F5328" w:rsidR="00A16B4A" w:rsidRDefault="00A16B4A" w:rsidP="00A16B4A">
      <w:pPr>
        <w:rPr>
          <w:lang w:val="en-GB"/>
        </w:rPr>
      </w:pPr>
      <w:r>
        <w:rPr>
          <w:lang w:val="en-GB"/>
        </w:rPr>
        <w:t>In Norway, NoMA provide a compassionate use program (CUP) which allows manufacturers to make a medicinal product available for a group of patients prior to obtaining marketing authorisation</w:t>
      </w:r>
      <w:r w:rsidR="009F7700">
        <w:rPr>
          <w:lang w:val="en-GB"/>
        </w:rPr>
        <w:t xml:space="preserve"> </w:t>
      </w:r>
      <w:r w:rsidR="009F7700">
        <w:rPr>
          <w:lang w:val="en-GB"/>
        </w:rPr>
        <w:fldChar w:fldCharType="begin"/>
      </w:r>
      <w:r w:rsidR="00E5265C">
        <w:rPr>
          <w:lang w:val="en-GB"/>
        </w:rPr>
        <w:instrText xml:space="preserve"> ADDIN EN.CITE &lt;EndNote&gt;&lt;Cite&gt;&lt;Author&gt;Norwegian Medical Products Agency&lt;/Author&gt;&lt;Year&gt;2023&lt;/Year&gt;&lt;RecNum&gt;710&lt;/RecNum&gt;&lt;DisplayText&gt;[91]&lt;/DisplayText&gt;&lt;record&gt;&lt;rec-number&gt;710&lt;/rec-number&gt;&lt;foreign-keys&gt;&lt;key app="EN" db-id="wzwwsfxe4peesxef95cxvrwjxts9rreasarf" timestamp="1710892015"&gt;710&lt;/key&gt;&lt;/foreign-keys&gt;&lt;ref-type name="Web Page"&gt;12&lt;/ref-type&gt;&lt;contributors&gt;&lt;authors&gt;&lt;author&gt;Norwegian Medical Products Agency,&lt;/author&gt;&lt;/authors&gt;&lt;/contributors&gt;&lt;titles&gt;&lt;title&gt;Compassionate Use Program&lt;/title&gt;&lt;/titles&gt;&lt;number&gt;20 March 2024&lt;/number&gt;&lt;dates&gt;&lt;year&gt;2023&lt;/year&gt;&lt;/dates&gt;&lt;publisher&gt;Norwegian Medical Products Agency,&lt;/publisher&gt;&lt;urls&gt;&lt;related-urls&gt;&lt;url&gt;https://www.dmp.no/en/approval-of-medicines/clinical-trials/compassionate-use-program&lt;/url&gt;&lt;/related-urls&gt;&lt;/urls&gt;&lt;/record&gt;&lt;/Cite&gt;&lt;/EndNote&gt;</w:instrText>
      </w:r>
      <w:r w:rsidR="009F7700">
        <w:rPr>
          <w:lang w:val="en-GB"/>
        </w:rPr>
        <w:fldChar w:fldCharType="separate"/>
      </w:r>
      <w:r w:rsidR="00E5265C">
        <w:rPr>
          <w:noProof/>
          <w:lang w:val="en-GB"/>
        </w:rPr>
        <w:t>[91]</w:t>
      </w:r>
      <w:r w:rsidR="009F7700">
        <w:rPr>
          <w:lang w:val="en-GB"/>
        </w:rPr>
        <w:fldChar w:fldCharType="end"/>
      </w:r>
      <w:r>
        <w:rPr>
          <w:lang w:val="en-GB"/>
        </w:rPr>
        <w:t>. Currently, only one CUP, approved in 2016, is available for patients</w:t>
      </w:r>
      <w:r w:rsidR="009F7700">
        <w:rPr>
          <w:lang w:val="en-GB"/>
        </w:rPr>
        <w:t xml:space="preserve"> </w:t>
      </w:r>
      <w:r w:rsidR="009F7700">
        <w:rPr>
          <w:lang w:val="en-GB"/>
        </w:rPr>
        <w:fldChar w:fldCharType="begin"/>
      </w:r>
      <w:r w:rsidR="00E5265C">
        <w:rPr>
          <w:lang w:val="en-GB"/>
        </w:rPr>
        <w:instrText xml:space="preserve"> ADDIN EN.CITE &lt;EndNote&gt;&lt;Cite&gt;&lt;Author&gt;Norwegian Medical Products Agency&lt;/Author&gt;&lt;Year&gt;2024&lt;/Year&gt;&lt;RecNum&gt;711&lt;/RecNum&gt;&lt;DisplayText&gt;[92]&lt;/DisplayText&gt;&lt;record&gt;&lt;rec-number&gt;711&lt;/rec-number&gt;&lt;foreign-keys&gt;&lt;key app="EN" db-id="wzwwsfxe4peesxef95cxvrwjxts9rreasarf" timestamp="1710892173"&gt;711&lt;/key&gt;&lt;/foreign-keys&gt;&lt;ref-type name="Web Page"&gt;12&lt;/ref-type&gt;&lt;contributors&gt;&lt;authors&gt;&lt;author&gt;Norwegian Medical Products Agency,&lt;/author&gt;&lt;/authors&gt;&lt;/contributors&gt;&lt;titles&gt;&lt;title&gt;Compassionate Use Program (CUP) Approved by The Norwegian Medicinal Products Agency&lt;/title&gt;&lt;/titles&gt;&lt;number&gt;20 March 2024&lt;/number&gt;&lt;dates&gt;&lt;year&gt;2024&lt;/year&gt;&lt;/dates&gt;&lt;publisher&gt;Norwegian Medical Products Agency,&lt;/publisher&gt;&lt;urls&gt;&lt;related-urls&gt;&lt;url&gt;https://www.dmp.no/contentassets/b71d6f2f34264dd7a22822deab47c201/compassionate-use-program_eng_2024-01-12.pdf&lt;/url&gt;&lt;/related-urls&gt;&lt;/urls&gt;&lt;/record&gt;&lt;/Cite&gt;&lt;/EndNote&gt;</w:instrText>
      </w:r>
      <w:r w:rsidR="009F7700">
        <w:rPr>
          <w:lang w:val="en-GB"/>
        </w:rPr>
        <w:fldChar w:fldCharType="separate"/>
      </w:r>
      <w:r w:rsidR="00E5265C">
        <w:rPr>
          <w:noProof/>
          <w:lang w:val="en-GB"/>
        </w:rPr>
        <w:t>[92]</w:t>
      </w:r>
      <w:r w:rsidR="009F7700">
        <w:rPr>
          <w:lang w:val="en-GB"/>
        </w:rPr>
        <w:fldChar w:fldCharType="end"/>
      </w:r>
      <w:r>
        <w:rPr>
          <w:lang w:val="en-GB"/>
        </w:rPr>
        <w:t xml:space="preserve">. </w:t>
      </w:r>
      <w:r w:rsidRPr="00733A3E">
        <w:rPr>
          <w:lang w:val="en-GB"/>
        </w:rPr>
        <w:t>For a CUP application to be approved, the following requirements must be met:</w:t>
      </w:r>
    </w:p>
    <w:p w14:paraId="20FBC392" w14:textId="77777777" w:rsidR="00A16B4A" w:rsidRPr="00306A42" w:rsidRDefault="00A16B4A" w:rsidP="00957584">
      <w:pPr>
        <w:pStyle w:val="ListParagraph"/>
        <w:numPr>
          <w:ilvl w:val="0"/>
          <w:numId w:val="80"/>
        </w:numPr>
        <w:rPr>
          <w:rFonts w:eastAsiaTheme="minorHAnsi"/>
          <w:lang w:val="en-GB"/>
        </w:rPr>
      </w:pPr>
      <w:r w:rsidRPr="00306A42">
        <w:rPr>
          <w:rFonts w:eastAsiaTheme="minorHAnsi"/>
          <w:lang w:val="en-GB"/>
        </w:rPr>
        <w:t>CUP is only for patients with chronic, life-threatening, long-lasting or serious disabling diseases</w:t>
      </w:r>
    </w:p>
    <w:p w14:paraId="758A7ED8" w14:textId="77777777" w:rsidR="00A16B4A" w:rsidRPr="00306A42" w:rsidRDefault="00A16B4A" w:rsidP="00957584">
      <w:pPr>
        <w:pStyle w:val="ListParagraph"/>
        <w:numPr>
          <w:ilvl w:val="0"/>
          <w:numId w:val="80"/>
        </w:numPr>
        <w:rPr>
          <w:rFonts w:eastAsiaTheme="minorHAnsi"/>
          <w:lang w:val="en-GB"/>
        </w:rPr>
      </w:pPr>
      <w:r w:rsidRPr="00306A42">
        <w:rPr>
          <w:rFonts w:eastAsiaTheme="minorHAnsi"/>
          <w:lang w:val="en-GB"/>
        </w:rPr>
        <w:t xml:space="preserve">CUP is only for patients that cannot be included in ongoing clinical trials and that do not benefit from the use of medicinal products with </w:t>
      </w:r>
      <w:r>
        <w:rPr>
          <w:rFonts w:eastAsiaTheme="minorHAnsi"/>
          <w:lang w:val="en-GB"/>
        </w:rPr>
        <w:t>marketing authorisation</w:t>
      </w:r>
    </w:p>
    <w:p w14:paraId="5D311742" w14:textId="77777777" w:rsidR="00A16B4A" w:rsidRPr="00306A42" w:rsidRDefault="00A16B4A" w:rsidP="00957584">
      <w:pPr>
        <w:pStyle w:val="ListParagraph"/>
        <w:numPr>
          <w:ilvl w:val="0"/>
          <w:numId w:val="80"/>
        </w:numPr>
        <w:rPr>
          <w:rFonts w:eastAsiaTheme="minorHAnsi"/>
          <w:lang w:val="en-GB"/>
        </w:rPr>
      </w:pPr>
      <w:r w:rsidRPr="00306A42">
        <w:rPr>
          <w:rFonts w:eastAsiaTheme="minorHAnsi"/>
          <w:lang w:val="en-GB"/>
        </w:rPr>
        <w:t>The benefit-risk ratio for the patient population of interest must be positive, supported by sufficient evidence on the effect and safety of the medicinal product</w:t>
      </w:r>
    </w:p>
    <w:p w14:paraId="3F56234E" w14:textId="77777777" w:rsidR="00A16B4A" w:rsidRPr="00306A42" w:rsidRDefault="00A16B4A" w:rsidP="00957584">
      <w:pPr>
        <w:pStyle w:val="ListParagraph"/>
        <w:numPr>
          <w:ilvl w:val="0"/>
          <w:numId w:val="80"/>
        </w:numPr>
        <w:rPr>
          <w:rFonts w:eastAsiaTheme="minorHAnsi"/>
          <w:lang w:val="en-GB"/>
        </w:rPr>
      </w:pPr>
      <w:r w:rsidRPr="00306A42">
        <w:rPr>
          <w:rFonts w:eastAsiaTheme="minorHAnsi"/>
          <w:lang w:val="en-GB"/>
        </w:rPr>
        <w:t xml:space="preserve">The applicant has submitted an application for </w:t>
      </w:r>
      <w:r>
        <w:rPr>
          <w:rFonts w:eastAsiaTheme="minorHAnsi"/>
          <w:lang w:val="en-GB"/>
        </w:rPr>
        <w:t>marketing authorisation</w:t>
      </w:r>
      <w:r w:rsidRPr="00306A42">
        <w:rPr>
          <w:rFonts w:eastAsiaTheme="minorHAnsi"/>
          <w:lang w:val="en-GB"/>
        </w:rPr>
        <w:t xml:space="preserve"> and/or has ongoing clinical trials with the medicinal product in question</w:t>
      </w:r>
    </w:p>
    <w:p w14:paraId="69CC71A3" w14:textId="492591C3" w:rsidR="003C5D45" w:rsidRPr="00221992" w:rsidRDefault="00B71332" w:rsidP="00200525">
      <w:pPr>
        <w:rPr>
          <w:lang w:val="en-GB"/>
        </w:rPr>
      </w:pPr>
      <w:r w:rsidRPr="00221992">
        <w:rPr>
          <w:lang w:val="en-GB"/>
        </w:rPr>
        <w:t>In the US, the</w:t>
      </w:r>
      <w:r w:rsidR="001A66C4" w:rsidRPr="00221992">
        <w:rPr>
          <w:lang w:val="en-GB"/>
        </w:rPr>
        <w:t xml:space="preserve"> </w:t>
      </w:r>
      <w:r w:rsidR="00165681" w:rsidRPr="00221992">
        <w:rPr>
          <w:lang w:val="en-GB"/>
        </w:rPr>
        <w:t>Institute for Clinical and Economic Review (ICER) recently released a white paper on health equity concepts in HTA</w:t>
      </w:r>
      <w:r w:rsidR="00D866CB" w:rsidRPr="00221992">
        <w:rPr>
          <w:lang w:val="en-GB"/>
        </w:rPr>
        <w:t xml:space="preserve"> </w:t>
      </w:r>
      <w:r w:rsidR="00D866CB" w:rsidRPr="00221992">
        <w:rPr>
          <w:lang w:val="en-GB"/>
        </w:rPr>
        <w:fldChar w:fldCharType="begin"/>
      </w:r>
      <w:r w:rsidR="00E5265C">
        <w:rPr>
          <w:lang w:val="en-GB"/>
        </w:rPr>
        <w:instrText xml:space="preserve"> ADDIN EN.CITE &lt;EndNote&gt;&lt;Cite&gt;&lt;Author&gt;Agboola&lt;/Author&gt;&lt;Year&gt;2023&lt;/Year&gt;&lt;RecNum&gt;665&lt;/RecNum&gt;&lt;DisplayText&gt;[93]&lt;/DisplayText&gt;&lt;record&gt;&lt;rec-number&gt;665&lt;/rec-number&gt;&lt;foreign-keys&gt;&lt;key app="EN" db-id="wzwwsfxe4peesxef95cxvrwjxts9rreasarf" timestamp="1693200470"&gt;665&lt;/key&gt;&lt;/foreign-keys&gt;&lt;ref-type name="Report"&gt;27&lt;/ref-type&gt;&lt;contributors&gt;&lt;authors&gt;&lt;author&gt;Agboola, F.&lt;/author&gt;&lt;author&gt;Whittington, M.&lt;/author&gt;&lt;author&gt;Pearson, S.&lt;/author&gt;&lt;/authors&gt;&lt;tertiary-authors&gt;&lt;author&gt;Institute for Clinical and Economic Review (ICER),&lt;/author&gt;&lt;/tertiary-authors&gt;&lt;/contributors&gt;&lt;titles&gt;&lt;title&gt;Advancing Health Technology Assessment Methods that Support Health Equity&lt;/title&gt;&lt;/titles&gt;&lt;dates&gt;&lt;year&gt;2023&lt;/year&gt;&lt;/dates&gt;&lt;pub-location&gt;Boston&lt;/pub-location&gt;&lt;urls&gt;&lt;related-urls&gt;&lt;url&gt;https://icer.org/wp-content/uploads/2022/07/ICER_Advancing-Health-Technology-Assessment-Methods-that-Support-Health-Equity_040523.pdf&lt;/url&gt;&lt;/related-urls&gt;&lt;/urls&gt;&lt;/record&gt;&lt;/Cite&gt;&lt;/EndNote&gt;</w:instrText>
      </w:r>
      <w:r w:rsidR="00D866CB" w:rsidRPr="00221992">
        <w:rPr>
          <w:lang w:val="en-GB"/>
        </w:rPr>
        <w:fldChar w:fldCharType="separate"/>
      </w:r>
      <w:r w:rsidR="00E5265C">
        <w:rPr>
          <w:noProof/>
          <w:lang w:val="en-GB"/>
        </w:rPr>
        <w:t>[93]</w:t>
      </w:r>
      <w:r w:rsidR="00D866CB" w:rsidRPr="00221992">
        <w:rPr>
          <w:lang w:val="en-GB"/>
        </w:rPr>
        <w:fldChar w:fldCharType="end"/>
      </w:r>
      <w:r w:rsidR="00165681" w:rsidRPr="00221992">
        <w:rPr>
          <w:lang w:val="en-GB"/>
        </w:rPr>
        <w:t xml:space="preserve">. Health economic analyses stratified by race or ethnicity, </w:t>
      </w:r>
      <w:r w:rsidR="00726DC4">
        <w:rPr>
          <w:lang w:val="en-GB"/>
        </w:rPr>
        <w:t>ICER</w:t>
      </w:r>
      <w:r w:rsidR="00165681" w:rsidRPr="00221992">
        <w:rPr>
          <w:lang w:val="en-GB"/>
        </w:rPr>
        <w:t xml:space="preserve"> cautions, may indicate lower cost-effectiveness in disadvantaged population groups (owing to social determinants of health). </w:t>
      </w:r>
      <w:r w:rsidR="0872713B" w:rsidRPr="00221992">
        <w:rPr>
          <w:lang w:val="en-GB"/>
        </w:rPr>
        <w:t xml:space="preserve">Attempts to stratify analyses to reflect equity concerns </w:t>
      </w:r>
      <w:r w:rsidR="559984EB" w:rsidRPr="00221992">
        <w:rPr>
          <w:lang w:val="en-GB"/>
        </w:rPr>
        <w:t xml:space="preserve">may </w:t>
      </w:r>
      <w:r w:rsidR="0872713B" w:rsidRPr="00221992">
        <w:rPr>
          <w:lang w:val="en-GB"/>
        </w:rPr>
        <w:t xml:space="preserve">therefore result in </w:t>
      </w:r>
      <w:r w:rsidR="1D5B361E" w:rsidRPr="00221992">
        <w:rPr>
          <w:lang w:val="en-GB"/>
        </w:rPr>
        <w:t xml:space="preserve">identified equity groups being further disadvantaged by the resulting HTA outcomes. </w:t>
      </w:r>
      <w:r w:rsidR="140FCE6C" w:rsidRPr="00221992">
        <w:rPr>
          <w:lang w:val="en-GB"/>
        </w:rPr>
        <w:t>The s</w:t>
      </w:r>
      <w:r w:rsidR="52F0B16E" w:rsidRPr="00221992">
        <w:rPr>
          <w:lang w:val="en-GB"/>
        </w:rPr>
        <w:t>tandard</w:t>
      </w:r>
      <w:r w:rsidR="65F1015A" w:rsidRPr="00221992">
        <w:rPr>
          <w:lang w:val="en-GB"/>
        </w:rPr>
        <w:t>ised</w:t>
      </w:r>
      <w:r w:rsidR="00165681" w:rsidRPr="00221992">
        <w:rPr>
          <w:lang w:val="en-GB"/>
        </w:rPr>
        <w:t xml:space="preserve"> incorporation of distributional cost-effectiveness analyses or other health outcome disaggregations may </w:t>
      </w:r>
      <w:r w:rsidR="00A44D86" w:rsidRPr="00221992">
        <w:rPr>
          <w:lang w:val="en-GB"/>
        </w:rPr>
        <w:t>therefore serve to</w:t>
      </w:r>
      <w:r w:rsidR="00165681" w:rsidRPr="00221992">
        <w:rPr>
          <w:lang w:val="en-GB"/>
        </w:rPr>
        <w:t xml:space="preserve"> undermine the promotion of equity in established HTA processes. A qualitative discussion of equity considerations, </w:t>
      </w:r>
      <w:r w:rsidR="289A66FC" w:rsidRPr="00221992">
        <w:rPr>
          <w:lang w:val="en-GB"/>
        </w:rPr>
        <w:t xml:space="preserve">ICER </w:t>
      </w:r>
      <w:r w:rsidR="52F0B16E" w:rsidRPr="00221992">
        <w:rPr>
          <w:lang w:val="en-GB"/>
        </w:rPr>
        <w:t>advise</w:t>
      </w:r>
      <w:r w:rsidR="35B219D9" w:rsidRPr="00221992">
        <w:rPr>
          <w:lang w:val="en-GB"/>
        </w:rPr>
        <w:t>s</w:t>
      </w:r>
      <w:r w:rsidR="00165681" w:rsidRPr="00221992">
        <w:rPr>
          <w:lang w:val="en-GB"/>
        </w:rPr>
        <w:t>, may be a more appropriate approach to addressing equity considerations in policy guidance.</w:t>
      </w:r>
    </w:p>
    <w:p w14:paraId="0706A798" w14:textId="634E38F3" w:rsidR="00AB364E" w:rsidRPr="00221992" w:rsidRDefault="008F783B" w:rsidP="008B3F43">
      <w:pPr>
        <w:rPr>
          <w:lang w:val="en-GB"/>
        </w:rPr>
      </w:pPr>
      <w:r w:rsidRPr="00221992">
        <w:rPr>
          <w:lang w:val="en-GB"/>
        </w:rPr>
        <w:t xml:space="preserve">The </w:t>
      </w:r>
      <w:r w:rsidR="00CA39CB" w:rsidRPr="00221992">
        <w:rPr>
          <w:lang w:val="en-GB"/>
        </w:rPr>
        <w:t>contributions</w:t>
      </w:r>
      <w:r w:rsidRPr="00221992">
        <w:rPr>
          <w:lang w:val="en-GB"/>
        </w:rPr>
        <w:t xml:space="preserve"> of HTA processes </w:t>
      </w:r>
      <w:r w:rsidR="00CA39CB" w:rsidRPr="00221992">
        <w:rPr>
          <w:lang w:val="en-GB"/>
        </w:rPr>
        <w:t>to</w:t>
      </w:r>
      <w:r w:rsidRPr="00221992">
        <w:rPr>
          <w:lang w:val="en-GB"/>
        </w:rPr>
        <w:t xml:space="preserve"> r</w:t>
      </w:r>
      <w:r w:rsidR="009B19E8" w:rsidRPr="00221992">
        <w:rPr>
          <w:lang w:val="en-GB"/>
        </w:rPr>
        <w:t>acial and health</w:t>
      </w:r>
      <w:r w:rsidR="00BE5FD5" w:rsidRPr="00221992">
        <w:rPr>
          <w:lang w:val="en-GB"/>
        </w:rPr>
        <w:t xml:space="preserve"> </w:t>
      </w:r>
      <w:r w:rsidR="00CA39CB" w:rsidRPr="00221992">
        <w:rPr>
          <w:lang w:val="en-GB"/>
        </w:rPr>
        <w:t>in</w:t>
      </w:r>
      <w:r w:rsidR="00BE5FD5" w:rsidRPr="00221992">
        <w:rPr>
          <w:lang w:val="en-GB"/>
        </w:rPr>
        <w:t>equity</w:t>
      </w:r>
      <w:r w:rsidR="00CA39CB" w:rsidRPr="00221992">
        <w:rPr>
          <w:lang w:val="en-GB"/>
        </w:rPr>
        <w:t xml:space="preserve"> in the US</w:t>
      </w:r>
      <w:r w:rsidR="00E77F75" w:rsidRPr="00221992">
        <w:rPr>
          <w:lang w:val="en-GB"/>
        </w:rPr>
        <w:t xml:space="preserve"> were further</w:t>
      </w:r>
      <w:r w:rsidR="00BF0BEA" w:rsidRPr="00221992">
        <w:rPr>
          <w:lang w:val="en-GB"/>
        </w:rPr>
        <w:t xml:space="preserve"> explored by Linthicum et al. (2022), who </w:t>
      </w:r>
      <w:r w:rsidR="006C41BD" w:rsidRPr="00221992">
        <w:rPr>
          <w:lang w:val="en-GB"/>
        </w:rPr>
        <w:t>identified three key areas for improvement: 1)</w:t>
      </w:r>
      <w:r w:rsidR="007B2F39" w:rsidRPr="00221992">
        <w:rPr>
          <w:lang w:val="en-GB"/>
        </w:rPr>
        <w:t xml:space="preserve"> </w:t>
      </w:r>
      <w:r w:rsidR="00242414" w:rsidRPr="00221992">
        <w:rPr>
          <w:lang w:val="en-GB"/>
        </w:rPr>
        <w:t>black, Indigenous and people of colour communities must have meaningful voice and power in HTA processes; 2) the evidence base and methods of HTA must be improved to remove implicit biases; and 3) HTA must be understood as a product of and contributor to systems of inequity and bias</w:t>
      </w:r>
      <w:r w:rsidR="006C41BD" w:rsidRPr="00221992">
        <w:rPr>
          <w:lang w:val="en-GB"/>
        </w:rPr>
        <w:t xml:space="preserve"> </w:t>
      </w:r>
      <w:r w:rsidR="00D605E5" w:rsidRPr="00221992">
        <w:rPr>
          <w:lang w:val="en-GB"/>
        </w:rPr>
        <w:fldChar w:fldCharType="begin"/>
      </w:r>
      <w:r w:rsidR="00E5265C">
        <w:rPr>
          <w:lang w:val="en-GB"/>
        </w:rPr>
        <w:instrText xml:space="preserve"> ADDIN EN.CITE &lt;EndNote&gt;&lt;Cite&gt;&lt;Author&gt;Linthicum&lt;/Author&gt;&lt;Year&gt;2022&lt;/Year&gt;&lt;RecNum&gt;668&lt;/RecNum&gt;&lt;DisplayText&gt;[94]&lt;/DisplayText&gt;&lt;record&gt;&lt;rec-number&gt;668&lt;/rec-number&gt;&lt;foreign-keys&gt;&lt;key app="EN" db-id="wzwwsfxe4peesxef95cxvrwjxts9rreasarf" timestamp="1694650132"&gt;668&lt;/key&gt;&lt;/foreign-keys&gt;&lt;ref-type name="Report"&gt;27&lt;/ref-type&gt;&lt;contributors&gt;&lt;authors&gt;&lt;author&gt;Linthicum, M.&lt;/author&gt;&lt;author&gt;Jalowsky, M.&lt;/author&gt;&lt;author&gt;Valentine, A.&lt;/author&gt;&lt;author&gt;Ahmed, R.&lt;/author&gt;&lt;author&gt;Bright, J. &lt;/author&gt;&lt;author&gt;Chapman, R.&lt;/author&gt;&lt;/authors&gt;&lt;tertiary-authors&gt;&lt;author&gt;Innovation and Value Initiative,&lt;/author&gt;&lt;/tertiary-authors&gt;&lt;/contributors&gt;&lt;titles&gt;&lt;title&gt;Finding Equity in Value. Racial and Health Equity Implications of U.S. HTA Processes&lt;/title&gt;&lt;/titles&gt;&lt;dates&gt;&lt;year&gt;2022&lt;/year&gt;&lt;/dates&gt;&lt;pub-location&gt;Alexandria&lt;/pub-location&gt;&lt;urls&gt;&lt;/urls&gt;&lt;/record&gt;&lt;/Cite&gt;&lt;/EndNote&gt;</w:instrText>
      </w:r>
      <w:r w:rsidR="00D605E5" w:rsidRPr="00221992">
        <w:rPr>
          <w:lang w:val="en-GB"/>
        </w:rPr>
        <w:fldChar w:fldCharType="separate"/>
      </w:r>
      <w:r w:rsidR="00E5265C">
        <w:rPr>
          <w:noProof/>
          <w:lang w:val="en-GB"/>
        </w:rPr>
        <w:t>[94]</w:t>
      </w:r>
      <w:r w:rsidR="00D605E5" w:rsidRPr="00221992">
        <w:rPr>
          <w:lang w:val="en-GB"/>
        </w:rPr>
        <w:fldChar w:fldCharType="end"/>
      </w:r>
      <w:r w:rsidR="007D39E4" w:rsidRPr="00221992">
        <w:rPr>
          <w:lang w:val="en-GB"/>
        </w:rPr>
        <w:t>.</w:t>
      </w:r>
    </w:p>
    <w:p w14:paraId="78D6EC75" w14:textId="194AE8AA" w:rsidR="00165681" w:rsidRPr="00221992" w:rsidRDefault="00165681" w:rsidP="0012257A">
      <w:pPr>
        <w:pStyle w:val="NbrHeading3"/>
        <w:rPr>
          <w:lang w:val="en-GB"/>
        </w:rPr>
      </w:pPr>
      <w:bookmarkStart w:id="117" w:name="_Toc162950878"/>
      <w:r w:rsidRPr="00221992">
        <w:rPr>
          <w:lang w:val="en-GB"/>
        </w:rPr>
        <w:t>First Nations health</w:t>
      </w:r>
      <w:bookmarkEnd w:id="117"/>
    </w:p>
    <w:p w14:paraId="05F97DE5" w14:textId="34A14462" w:rsidR="00922D2D" w:rsidRPr="00221992" w:rsidRDefault="00922D2D" w:rsidP="00702C58">
      <w:pPr>
        <w:rPr>
          <w:rFonts w:ascii="Calibri" w:hAnsi="Calibri" w:cs="Calibri"/>
          <w:b/>
          <w:lang w:val="en-GB"/>
        </w:rPr>
      </w:pPr>
      <w:r w:rsidRPr="00221992">
        <w:rPr>
          <w:rFonts w:ascii="Calibri" w:hAnsi="Calibri" w:cs="Calibri"/>
          <w:b/>
          <w:lang w:val="en-GB"/>
        </w:rPr>
        <w:t>Australia</w:t>
      </w:r>
    </w:p>
    <w:p w14:paraId="683A4C1F" w14:textId="671E0D6B" w:rsidR="00165681" w:rsidRPr="00221992" w:rsidRDefault="00165681" w:rsidP="00702C58">
      <w:pPr>
        <w:rPr>
          <w:lang w:val="en-GB"/>
        </w:rPr>
      </w:pPr>
      <w:r w:rsidRPr="00221992">
        <w:rPr>
          <w:lang w:val="en-GB"/>
        </w:rPr>
        <w:t>In Australia, a number of key policy drivers inform Government</w:t>
      </w:r>
      <w:r w:rsidR="00551786">
        <w:rPr>
          <w:lang w:val="en-GB"/>
        </w:rPr>
        <w:t>’</w:t>
      </w:r>
      <w:r w:rsidRPr="00221992">
        <w:rPr>
          <w:lang w:val="en-GB"/>
        </w:rPr>
        <w:t xml:space="preserve">s approach to ensuring health equity among First Nations people, including the National Agreement on Closing the Gap and the National Aboriginal and Torres Strait Islander Health Plan 2021–2031 </w:t>
      </w:r>
      <w:r w:rsidRPr="00221992">
        <w:rPr>
          <w:lang w:val="en-GB"/>
        </w:rPr>
        <w:fldChar w:fldCharType="begin"/>
      </w:r>
      <w:r w:rsidR="00E5265C">
        <w:rPr>
          <w:lang w:val="en-GB"/>
        </w:rPr>
        <w:instrText xml:space="preserve"> ADDIN EN.CITE &lt;EndNote&gt;&lt;Cite&gt;&lt;Author&gt;Australian Government&lt;/Author&gt;&lt;Year&gt;2020&lt;/Year&gt;&lt;RecNum&gt;38&lt;/RecNum&gt;&lt;DisplayText&gt;[95-96]&lt;/DisplayText&gt;&lt;record&gt;&lt;rec-number&gt;38&lt;/rec-number&gt;&lt;foreign-keys&gt;&lt;key app="EN" db-id="wzwwsfxe4peesxef95cxvrwjxts9rreasarf" timestamp="1692654670"&gt;38&lt;/key&gt;&lt;/foreign-keys&gt;&lt;ref-type name="Report"&gt;27&lt;/ref-type&gt;&lt;contributors&gt;&lt;authors&gt;&lt;author&gt;Australian Government,&lt;/author&gt;&lt;/authors&gt;&lt;tertiary-authors&gt;&lt;author&gt;Australian Government,&lt;/author&gt;&lt;/tertiary-authors&gt;&lt;/contributors&gt;&lt;titles&gt;&lt;title&gt;National Agreement on Closing the Gap&lt;/title&gt;&lt;/titles&gt;&lt;dates&gt;&lt;year&gt;2020&lt;/year&gt;&lt;/dates&gt;&lt;pub-location&gt;Canberra&lt;/pub-location&gt;&lt;urls&gt;&lt;/urls&gt;&lt;/record&gt;&lt;/Cite&gt;&lt;Cite&gt;&lt;Author&gt;Department of Health and Aged Care&lt;/Author&gt;&lt;Year&gt;2021&lt;/Year&gt;&lt;RecNum&gt;116&lt;/RecNum&gt;&lt;record&gt;&lt;rec-number&gt;116&lt;/rec-number&gt;&lt;foreign-keys&gt;&lt;key app="EN" db-id="wzwwsfxe4peesxef95cxvrwjxts9rreasarf" timestamp="1692654670"&gt;116&lt;/key&gt;&lt;/foreign-keys&gt;&lt;ref-type name="Report"&gt;27&lt;/ref-type&gt;&lt;contributors&gt;&lt;authors&gt;&lt;author&gt;Department of Health and Aged Care,&lt;/author&gt;&lt;/authors&gt;&lt;tertiary-authors&gt;&lt;author&gt;Australian Government,, Department of Health and Aged Care&lt;/author&gt;&lt;/tertiary-authors&gt;&lt;/contributors&gt;&lt;titles&gt;&lt;title&gt;The National Aboriginal and Torres Strait Islander Health Plan 2021–2031&lt;/title&gt;&lt;/titles&gt;&lt;dates&gt;&lt;year&gt;2021&lt;/year&gt;&lt;/dates&gt;&lt;pub-location&gt;Canberra&lt;/pub-location&gt;&lt;urls&gt;&lt;/urls&gt;&lt;/record&gt;&lt;/Cite&gt;&lt;/EndNote&gt;</w:instrText>
      </w:r>
      <w:r w:rsidRPr="00221992">
        <w:rPr>
          <w:lang w:val="en-GB"/>
        </w:rPr>
        <w:fldChar w:fldCharType="separate"/>
      </w:r>
      <w:r w:rsidR="00E5265C">
        <w:rPr>
          <w:noProof/>
          <w:lang w:val="en-GB"/>
        </w:rPr>
        <w:t>[95-96]</w:t>
      </w:r>
      <w:r w:rsidRPr="00221992">
        <w:rPr>
          <w:lang w:val="en-GB"/>
        </w:rPr>
        <w:fldChar w:fldCharType="end"/>
      </w:r>
      <w:r w:rsidRPr="00221992">
        <w:rPr>
          <w:lang w:val="en-GB"/>
        </w:rPr>
        <w:t>. The objective of the former is to overcome the entrenched inequality faced by Aboriginal and Torres Strait Islander people, specifying targets for the improvement of Aboriginal and Torres Strait Islander health. The latter document explicates the State/Territory and Commonwealth governments</w:t>
      </w:r>
      <w:r w:rsidR="00551786">
        <w:rPr>
          <w:lang w:val="en-GB"/>
        </w:rPr>
        <w:t>’</w:t>
      </w:r>
      <w:r w:rsidRPr="00221992">
        <w:rPr>
          <w:lang w:val="en-GB"/>
        </w:rPr>
        <w:t xml:space="preserve"> obligations to improve health outcomes for Aboriginal and Torres Strait Islander people, with specific attention to the interdependent socio-cultural determinants of First Nations health in Australia.</w:t>
      </w:r>
    </w:p>
    <w:p w14:paraId="2194132A" w14:textId="7CD43D10" w:rsidR="00165681" w:rsidRPr="00221992" w:rsidRDefault="00165681" w:rsidP="00702C58">
      <w:pPr>
        <w:rPr>
          <w:lang w:val="en-GB"/>
        </w:rPr>
      </w:pPr>
      <w:r w:rsidRPr="00221992">
        <w:rPr>
          <w:lang w:val="en-GB"/>
        </w:rPr>
        <w:t xml:space="preserve">These frameworks inform priority-setting for HTA deliberative processes and are reflected in the explicit centring of Aboriginal and Torres Strait Islander health outcomes in the consideration of cost-effectiveness (e.g., MSAC Application—Integrating Pharmacists within Aboriginal Community Controlled Health Services to Improve Chronic Disease Management (IPAC Project), March 2022; PBAC Application—Multicomponent Meningococcal Group B Vaccine, November 2019 </w:t>
      </w:r>
      <w:r w:rsidRPr="00221992">
        <w:rPr>
          <w:lang w:val="en-GB"/>
        </w:rPr>
        <w:fldChar w:fldCharType="begin"/>
      </w:r>
      <w:r w:rsidR="00E5265C">
        <w:rPr>
          <w:lang w:val="en-GB"/>
        </w:rPr>
        <w:instrText xml:space="preserve"> ADDIN EN.CITE &lt;EndNote&gt;&lt;Cite&gt;&lt;Author&gt;Medical Services Advisory Committee (MSAC)&lt;/Author&gt;&lt;Year&gt;2023&lt;/Year&gt;&lt;RecNum&gt;320&lt;/RecNum&gt;&lt;DisplayText&gt;[97-98]&lt;/DisplayText&gt;&lt;record&gt;&lt;rec-number&gt;320&lt;/rec-number&gt;&lt;foreign-keys&gt;&lt;key app="EN" db-id="wzwwsfxe4peesxef95cxvrwjxts9rreasarf" timestamp="1692654670"&gt;320&lt;/key&gt;&lt;/foreign-keys&gt;&lt;ref-type name="Report"&gt;27&lt;/ref-type&gt;&lt;contributors&gt;&lt;authors&gt;&lt;author&gt;Medical Services Advisory Committee (MSAC),&lt;/author&gt;&lt;/authors&gt;&lt;tertiary-authors&gt;&lt;author&gt;Australian Government,, Department of Health and Aged Care&lt;/author&gt;&lt;/tertiary-authors&gt;&lt;/contributors&gt;&lt;titles&gt;&lt;title&gt;Public Summary Document: Integrating Pharmacists within Aboriginal Community Controlled Health Services to improve Chronic Disease Management (IPAC) Project&lt;/title&gt;&lt;/titles&gt;&lt;dates&gt;&lt;year&gt;2023&lt;/year&gt;&lt;/dates&gt;&lt;pub-location&gt;Canberra&lt;/pub-location&gt;&lt;urls&gt;&lt;/urls&gt;&lt;/record&gt;&lt;/Cite&gt;&lt;Cite&gt;&lt;Author&gt;Pharmaceutical Benefits Advisory Committee (PBAC)&lt;/Author&gt;&lt;Year&gt;2019&lt;/Year&gt;&lt;RecNum&gt;381&lt;/RecNum&gt;&lt;record&gt;&lt;rec-number&gt;381&lt;/rec-number&gt;&lt;foreign-keys&gt;&lt;key app="EN" db-id="wzwwsfxe4peesxef95cxvrwjxts9rreasarf" timestamp="1692654670"&gt;381&lt;/key&gt;&lt;/foreign-keys&gt;&lt;ref-type name="Report"&gt;27&lt;/ref-type&gt;&lt;contributors&gt;&lt;authors&gt;&lt;author&gt;Pharmaceutical Benefits Advisory Committee (PBAC),&lt;/author&gt;&lt;/authors&gt;&lt;tertiary-authors&gt;&lt;author&gt;Australian Government,, Department of Health and Aged Care&lt;/author&gt;&lt;/tertiary-authors&gt;&lt;/contributors&gt;&lt;titles&gt;&lt;title&gt;Public Summary Document: Multicomponent Meningococcal Group B Vaccine&lt;/title&gt;&lt;/titles&gt;&lt;dates&gt;&lt;year&gt;2019&lt;/year&gt;&lt;/dates&gt;&lt;pub-location&gt;Canberra&lt;/pub-location&gt;&lt;urls&gt;&lt;/urls&gt;&lt;/record&gt;&lt;/Cite&gt;&lt;/EndNote&gt;</w:instrText>
      </w:r>
      <w:r w:rsidRPr="00221992">
        <w:rPr>
          <w:lang w:val="en-GB"/>
        </w:rPr>
        <w:fldChar w:fldCharType="separate"/>
      </w:r>
      <w:r w:rsidR="00E5265C">
        <w:rPr>
          <w:noProof/>
          <w:lang w:val="en-GB"/>
        </w:rPr>
        <w:t>[97-98]</w:t>
      </w:r>
      <w:r w:rsidRPr="00221992">
        <w:rPr>
          <w:lang w:val="en-GB"/>
        </w:rPr>
        <w:fldChar w:fldCharType="end"/>
      </w:r>
      <w:r w:rsidRPr="00221992">
        <w:rPr>
          <w:lang w:val="en-GB"/>
        </w:rPr>
        <w:t>.</w:t>
      </w:r>
    </w:p>
    <w:p w14:paraId="22DE8300" w14:textId="724CA7CA" w:rsidR="00165681" w:rsidRPr="00221992" w:rsidRDefault="00165681" w:rsidP="00702C58">
      <w:pPr>
        <w:rPr>
          <w:lang w:val="en-GB"/>
        </w:rPr>
      </w:pPr>
      <w:r w:rsidRPr="00221992">
        <w:rPr>
          <w:lang w:val="en-GB"/>
        </w:rPr>
        <w:t xml:space="preserve">The PBS also lists </w:t>
      </w:r>
      <w:r w:rsidR="546A9806" w:rsidRPr="00221992">
        <w:rPr>
          <w:lang w:val="en-GB"/>
        </w:rPr>
        <w:t>2</w:t>
      </w:r>
      <w:r w:rsidR="008B564A" w:rsidRPr="00221992">
        <w:rPr>
          <w:lang w:val="en-GB"/>
        </w:rPr>
        <w:t>5 medications</w:t>
      </w:r>
      <w:r w:rsidR="546A9806" w:rsidRPr="00221992">
        <w:rPr>
          <w:lang w:val="en-GB"/>
        </w:rPr>
        <w:t xml:space="preserve"> </w:t>
      </w:r>
      <w:r w:rsidR="008B564A" w:rsidRPr="00221992">
        <w:rPr>
          <w:lang w:val="en-GB"/>
        </w:rPr>
        <w:t xml:space="preserve">(covering 44 </w:t>
      </w:r>
      <w:r w:rsidR="546A9806" w:rsidRPr="00221992">
        <w:rPr>
          <w:lang w:val="en-GB"/>
        </w:rPr>
        <w:t>specific restrictions</w:t>
      </w:r>
      <w:r w:rsidR="008B564A" w:rsidRPr="00221992">
        <w:rPr>
          <w:lang w:val="en-GB"/>
        </w:rPr>
        <w:t>)</w:t>
      </w:r>
      <w:r w:rsidR="00EB38A1" w:rsidRPr="00221992">
        <w:rPr>
          <w:lang w:val="en-GB"/>
        </w:rPr>
        <w:t xml:space="preserve"> and a number of vaccines</w:t>
      </w:r>
      <w:r w:rsidRPr="00221992">
        <w:rPr>
          <w:lang w:val="en-GB"/>
        </w:rPr>
        <w:t xml:space="preserve"> for Aboriginal and Torres Strait Islander people</w:t>
      </w:r>
      <w:r w:rsidR="008B564A" w:rsidRPr="00221992">
        <w:rPr>
          <w:lang w:val="en-GB"/>
        </w:rPr>
        <w:t xml:space="preserve"> </w:t>
      </w:r>
      <w:r w:rsidRPr="00221992">
        <w:rPr>
          <w:lang w:val="en-GB"/>
        </w:rPr>
        <w:t>(see https://www.pbs.gov.au/info/publication/factsheets/shared/pbs-listings-for-aboriginal-and-torres-strait-islander-people</w:t>
      </w:r>
      <w:r w:rsidR="00AE3DAB" w:rsidRPr="00221992">
        <w:rPr>
          <w:lang w:val="en-GB"/>
        </w:rPr>
        <w:t xml:space="preserve"> and https://www.health.gov.au/topics/immunisation/when-to-get-vaccinated/immunisation-for-aboriginal-and-torres-strait-islander-people</w:t>
      </w:r>
      <w:r w:rsidR="00550D5E" w:rsidRPr="00221992">
        <w:rPr>
          <w:lang w:val="en-GB"/>
        </w:rPr>
        <w:t>, respectively</w:t>
      </w:r>
      <w:r w:rsidR="00AE3DAB" w:rsidRPr="00221992">
        <w:rPr>
          <w:lang w:val="en-GB"/>
        </w:rPr>
        <w:t>)</w:t>
      </w:r>
      <w:r w:rsidRPr="00221992">
        <w:rPr>
          <w:lang w:val="en-GB"/>
        </w:rPr>
        <w:t>.</w:t>
      </w:r>
    </w:p>
    <w:p w14:paraId="38661D37" w14:textId="0728F354" w:rsidR="00165681" w:rsidRPr="00221992" w:rsidRDefault="00165681" w:rsidP="00702C58">
      <w:pPr>
        <w:rPr>
          <w:lang w:val="en-GB"/>
        </w:rPr>
      </w:pPr>
      <w:r w:rsidRPr="00221992">
        <w:rPr>
          <w:lang w:val="en-GB"/>
        </w:rPr>
        <w:t xml:space="preserve">With respect to reimbursement, a suite of Government programs aim to reduce financial barriers and enhance access to medicines for First Nations people at the point of service. Key initiatives include: </w:t>
      </w:r>
      <w:r w:rsidR="00627B98" w:rsidRPr="00221992">
        <w:rPr>
          <w:lang w:val="en-GB"/>
        </w:rPr>
        <w:t xml:space="preserve">the </w:t>
      </w:r>
      <w:r w:rsidRPr="00221992">
        <w:rPr>
          <w:lang w:val="en-GB"/>
        </w:rPr>
        <w:t>Closing the Gap (CTG) PBS Co-payment Program—eligible general patients who would normally pay the full PBS co-payment instead pay the concessional rate and those eligible patients who would normally pay the concessional rate receive their PBS medicines without being required to pay a PBS co</w:t>
      </w:r>
      <w:r w:rsidRPr="00221992">
        <w:rPr>
          <w:rFonts w:ascii="Cambria Math" w:hAnsi="Cambria Math" w:cs="Cambria Math"/>
          <w:lang w:val="en-GB"/>
        </w:rPr>
        <w:t>‑</w:t>
      </w:r>
      <w:r w:rsidRPr="00221992">
        <w:rPr>
          <w:lang w:val="en-GB"/>
        </w:rPr>
        <w:t>payment (</w:t>
      </w:r>
      <w:r w:rsidR="7D9104E4" w:rsidRPr="00221992">
        <w:rPr>
          <w:lang w:val="en-GB"/>
        </w:rPr>
        <w:t xml:space="preserve">the CTG subsidy is restricted to medicines dispensed via (Section 94) private hospital pharmacies and (Section 85) community pharmacies; </w:t>
      </w:r>
      <w:r w:rsidRPr="00221992">
        <w:rPr>
          <w:lang w:val="en-GB"/>
        </w:rPr>
        <w:t>see https://www.pbs.gov.au/info/publication/factsheets/closing-the-gap-pbs-co-payment-measure); and the Remote Area Aboriginal Health Services (RAAHS) Program—clients of approved RAAHSs are able to receive a range of essential, cost-effective medicines</w:t>
      </w:r>
      <w:r w:rsidR="00735DEA" w:rsidRPr="00221992">
        <w:rPr>
          <w:lang w:val="en-GB"/>
        </w:rPr>
        <w:t xml:space="preserve"> free of charge</w:t>
      </w:r>
      <w:r w:rsidRPr="00221992">
        <w:rPr>
          <w:lang w:val="en-GB"/>
        </w:rPr>
        <w:t xml:space="preserve"> directly from the Aboriginal Health Service at the time of consultation, without the need for a normal PBS prescription form (see https://www.health.gov.au/our-work/raahs-program).</w:t>
      </w:r>
    </w:p>
    <w:p w14:paraId="5E82903D" w14:textId="36D86284" w:rsidR="00165681" w:rsidRPr="00221992" w:rsidRDefault="00165681" w:rsidP="00702C58">
      <w:pPr>
        <w:rPr>
          <w:color w:val="000000" w:themeColor="text1"/>
          <w:lang w:val="en-GB"/>
        </w:rPr>
      </w:pPr>
      <w:r w:rsidRPr="00221992">
        <w:rPr>
          <w:lang w:val="en-GB"/>
        </w:rPr>
        <w:t xml:space="preserve">While these programs address affordability and wider access at the patient level, they do not explicitly address broadening the pool of available therapies explicitly targeting First Nations people. To sustainably address this shortfall, stakeholders have consistently advocated a holistic, system-wide approach to reform that recognises the social determinants of First Nations health and its dynamic interdependencies across a broad spectrum of public policy areas, including, among others, education, housing, employment and the environment </w:t>
      </w:r>
      <w:r w:rsidRPr="00221992">
        <w:rPr>
          <w:lang w:val="en-GB"/>
        </w:rPr>
        <w:fldChar w:fldCharType="begin"/>
      </w:r>
      <w:r w:rsidR="00E5265C">
        <w:rPr>
          <w:lang w:val="en-GB"/>
        </w:rPr>
        <w:instrText xml:space="preserve"> ADDIN EN.CITE &lt;EndNote&gt;&lt;Cite&gt;&lt;Author&gt;Marmot&lt;/Author&gt;&lt;Year&gt;2011&lt;/Year&gt;&lt;RecNum&gt;314&lt;/RecNum&gt;&lt;DisplayText&gt;[99]&lt;/DisplayText&gt;&lt;record&gt;&lt;rec-number&gt;314&lt;/rec-number&gt;&lt;foreign-keys&gt;&lt;key app="EN" db-id="wzwwsfxe4peesxef95cxvrwjxts9rreasarf" timestamp="1692654670"&gt;314&lt;/key&gt;&lt;/foreign-keys&gt;&lt;ref-type name="Journal Article"&gt;17&lt;/ref-type&gt;&lt;contributors&gt;&lt;authors&gt;&lt;author&gt;Marmot, Michael&lt;/author&gt;&lt;/authors&gt;&lt;/contributors&gt;&lt;titles&gt;&lt;title&gt;Social determinants and the health of Indigenous Australians&lt;/title&gt;&lt;secondary-title&gt;Med J Aust&lt;/secondary-title&gt;&lt;/titles&gt;&lt;periodical&gt;&lt;full-title&gt;Med J Aust&lt;/full-title&gt;&lt;/periodical&gt;&lt;pages&gt;512-513&lt;/pages&gt;&lt;volume&gt;194&lt;/volume&gt;&lt;number&gt;10&lt;/number&gt;&lt;dates&gt;&lt;year&gt;2011&lt;/year&gt;&lt;/dates&gt;&lt;isbn&gt;1326-5377&lt;/isbn&gt;&lt;urls&gt;&lt;/urls&gt;&lt;/record&gt;&lt;/Cite&gt;&lt;/EndNote&gt;</w:instrText>
      </w:r>
      <w:r w:rsidRPr="00221992">
        <w:rPr>
          <w:lang w:val="en-GB"/>
        </w:rPr>
        <w:fldChar w:fldCharType="separate"/>
      </w:r>
      <w:r w:rsidR="00E5265C">
        <w:rPr>
          <w:noProof/>
          <w:lang w:val="en-GB"/>
        </w:rPr>
        <w:t>[99]</w:t>
      </w:r>
      <w:r w:rsidRPr="00221992">
        <w:rPr>
          <w:lang w:val="en-GB"/>
        </w:rPr>
        <w:fldChar w:fldCharType="end"/>
      </w:r>
      <w:r w:rsidRPr="00221992">
        <w:rPr>
          <w:lang w:val="en-GB"/>
        </w:rPr>
        <w:t>.</w:t>
      </w:r>
      <w:r w:rsidR="00E234ED" w:rsidRPr="00221992">
        <w:rPr>
          <w:lang w:val="en-GB"/>
        </w:rPr>
        <w:t xml:space="preserve"> </w:t>
      </w:r>
    </w:p>
    <w:p w14:paraId="334F33E5" w14:textId="7F66DB7E" w:rsidR="00805A82" w:rsidRPr="00221992" w:rsidRDefault="007C2B91" w:rsidP="00805A82">
      <w:pPr>
        <w:rPr>
          <w:color w:val="000000" w:themeColor="text1"/>
          <w:lang w:val="en-GB"/>
        </w:rPr>
      </w:pPr>
      <w:r w:rsidRPr="00221992">
        <w:rPr>
          <w:color w:val="000000" w:themeColor="text1"/>
          <w:lang w:val="en-GB"/>
        </w:rPr>
        <w:t>In its stakeholder submission to the HTA Review, the National Aboriginal Community Controlled Health Organisation (NACCHO)</w:t>
      </w:r>
      <w:r w:rsidR="00805A82" w:rsidRPr="00221992">
        <w:rPr>
          <w:color w:val="000000" w:themeColor="text1"/>
          <w:lang w:val="en-GB"/>
        </w:rPr>
        <w:t xml:space="preserve"> recognised the presence of</w:t>
      </w:r>
      <w:r w:rsidR="00BD04D9" w:rsidRPr="00221992">
        <w:rPr>
          <w:color w:val="000000" w:themeColor="text1"/>
          <w:lang w:val="en-GB"/>
        </w:rPr>
        <w:t xml:space="preserve"> a number of positive factors at work within the HTA space, including </w:t>
      </w:r>
    </w:p>
    <w:p w14:paraId="466B59AA" w14:textId="5C908E24" w:rsidR="00805A82" w:rsidRPr="00221992" w:rsidRDefault="00805A82" w:rsidP="00805A82">
      <w:pPr>
        <w:ind w:left="567"/>
        <w:rPr>
          <w:color w:val="000000" w:themeColor="text1"/>
          <w:lang w:val="en-GB"/>
        </w:rPr>
      </w:pPr>
      <w:r w:rsidRPr="00221992">
        <w:rPr>
          <w:color w:val="000000" w:themeColor="text1"/>
          <w:lang w:val="en-GB"/>
        </w:rPr>
        <w:t>dedicated in</w:t>
      </w:r>
      <w:r w:rsidR="00700B3E" w:rsidRPr="00221992">
        <w:rPr>
          <w:color w:val="000000" w:themeColor="text1"/>
          <w:lang w:val="en-GB"/>
        </w:rPr>
        <w:t>divid</w:t>
      </w:r>
      <w:r w:rsidRPr="00221992">
        <w:rPr>
          <w:color w:val="000000" w:themeColor="text1"/>
          <w:lang w:val="en-GB"/>
        </w:rPr>
        <w:t>uals within the HTA system (e.g., PBAC members, Department of Health and Aged Care staff) who have taken time to support peak organisations, including NACCHO, to navigate the current HTA processes and support listings of technologies.</w:t>
      </w:r>
      <w:r w:rsidR="001A03D3" w:rsidRPr="00221992">
        <w:rPr>
          <w:color w:val="000000" w:themeColor="text1"/>
          <w:lang w:val="en-GB"/>
        </w:rPr>
        <w:t xml:space="preserve"> (p. </w:t>
      </w:r>
      <w:r w:rsidR="00E756DE" w:rsidRPr="00221992">
        <w:rPr>
          <w:color w:val="000000" w:themeColor="text1"/>
          <w:lang w:val="en-GB"/>
        </w:rPr>
        <w:t>2)</w:t>
      </w:r>
    </w:p>
    <w:p w14:paraId="5AFDC6A3" w14:textId="5504FC6B" w:rsidR="00BD04D9" w:rsidRPr="00221992" w:rsidRDefault="00805A82" w:rsidP="00805A82">
      <w:pPr>
        <w:rPr>
          <w:color w:val="000000" w:themeColor="text1"/>
          <w:lang w:val="en-GB"/>
        </w:rPr>
      </w:pPr>
      <w:r w:rsidRPr="00221992">
        <w:rPr>
          <w:color w:val="000000" w:themeColor="text1"/>
          <w:lang w:val="en-GB"/>
        </w:rPr>
        <w:t xml:space="preserve">The organisation noted that </w:t>
      </w:r>
      <w:r w:rsidR="00551786">
        <w:rPr>
          <w:color w:val="000000" w:themeColor="text1"/>
          <w:lang w:val="en-GB"/>
        </w:rPr>
        <w:t>‘</w:t>
      </w:r>
      <w:r w:rsidRPr="00221992">
        <w:rPr>
          <w:color w:val="000000" w:themeColor="text1"/>
          <w:lang w:val="en-GB"/>
        </w:rPr>
        <w:t>structural elements</w:t>
      </w:r>
      <w:r w:rsidR="00551786">
        <w:rPr>
          <w:color w:val="000000" w:themeColor="text1"/>
          <w:lang w:val="en-GB"/>
        </w:rPr>
        <w:t>’</w:t>
      </w:r>
      <w:r w:rsidRPr="00221992">
        <w:rPr>
          <w:color w:val="000000" w:themeColor="text1"/>
          <w:lang w:val="en-GB"/>
        </w:rPr>
        <w:t xml:space="preserve"> to foster such relationships would be welcome. NACCHO also acknowledged the ability of Government to waive some listing fees in consideration of equity, though it noted that the discretionary</w:t>
      </w:r>
      <w:r w:rsidR="00700B3E" w:rsidRPr="00221992">
        <w:rPr>
          <w:color w:val="000000" w:themeColor="text1"/>
          <w:lang w:val="en-GB"/>
        </w:rPr>
        <w:t xml:space="preserve"> </w:t>
      </w:r>
      <w:r w:rsidRPr="00221992">
        <w:rPr>
          <w:color w:val="000000" w:themeColor="text1"/>
          <w:lang w:val="en-GB"/>
        </w:rPr>
        <w:t xml:space="preserve">nature of </w:t>
      </w:r>
      <w:r w:rsidR="00BD04D9" w:rsidRPr="00221992">
        <w:rPr>
          <w:color w:val="000000" w:themeColor="text1"/>
          <w:lang w:val="en-GB"/>
        </w:rPr>
        <w:t xml:space="preserve">such arrangements </w:t>
      </w:r>
      <w:r w:rsidRPr="00221992">
        <w:rPr>
          <w:color w:val="000000" w:themeColor="text1"/>
          <w:lang w:val="en-GB"/>
        </w:rPr>
        <w:t xml:space="preserve">was a </w:t>
      </w:r>
      <w:r w:rsidR="00BD04D9" w:rsidRPr="00221992">
        <w:rPr>
          <w:color w:val="000000" w:themeColor="text1"/>
          <w:lang w:val="en-GB"/>
        </w:rPr>
        <w:t>source of “uncertainty and hesitancy for sponsors”</w:t>
      </w:r>
      <w:r w:rsidR="00DD6CEA" w:rsidRPr="00221992">
        <w:rPr>
          <w:color w:val="000000" w:themeColor="text1"/>
          <w:lang w:val="en-GB"/>
        </w:rPr>
        <w:t xml:space="preserve"> </w:t>
      </w:r>
      <w:r w:rsidR="00830C52" w:rsidRPr="00221992">
        <w:rPr>
          <w:color w:val="000000" w:themeColor="text1"/>
          <w:lang w:val="en-GB"/>
        </w:rPr>
        <w:t>(p. 2)</w:t>
      </w:r>
      <w:r w:rsidR="00DD6CEA" w:rsidRPr="00221992">
        <w:rPr>
          <w:color w:val="000000" w:themeColor="text1"/>
          <w:lang w:val="en-GB"/>
        </w:rPr>
        <w:t>.</w:t>
      </w:r>
      <w:r w:rsidR="00BD04D9" w:rsidRPr="00221992">
        <w:rPr>
          <w:color w:val="000000" w:themeColor="text1"/>
          <w:lang w:val="en-GB"/>
        </w:rPr>
        <w:t xml:space="preserve"> With respect to PBS listings for </w:t>
      </w:r>
      <w:r w:rsidR="00700B3E" w:rsidRPr="00221992">
        <w:rPr>
          <w:color w:val="000000" w:themeColor="text1"/>
          <w:lang w:val="en-GB"/>
        </w:rPr>
        <w:t>Aboriginal</w:t>
      </w:r>
      <w:r w:rsidR="00BD04D9" w:rsidRPr="00221992">
        <w:rPr>
          <w:color w:val="000000" w:themeColor="text1"/>
          <w:lang w:val="en-GB"/>
        </w:rPr>
        <w:t xml:space="preserve"> and Torres Strait Islander people, NACCHO expressed concern with “the gross lack of oversight and coordination of this list”</w:t>
      </w:r>
      <w:r w:rsidR="00830C52" w:rsidRPr="00221992">
        <w:rPr>
          <w:color w:val="000000" w:themeColor="text1"/>
          <w:lang w:val="en-GB"/>
        </w:rPr>
        <w:t xml:space="preserve"> </w:t>
      </w:r>
      <w:r w:rsidR="002F6E6C" w:rsidRPr="00221992">
        <w:rPr>
          <w:color w:val="000000" w:themeColor="text1"/>
          <w:lang w:val="en-GB"/>
        </w:rPr>
        <w:t>(p. 2)</w:t>
      </w:r>
      <w:r w:rsidR="00830C52" w:rsidRPr="00221992">
        <w:rPr>
          <w:color w:val="000000" w:themeColor="text1"/>
          <w:lang w:val="en-GB"/>
        </w:rPr>
        <w:t>.</w:t>
      </w:r>
      <w:r w:rsidR="00BD04D9" w:rsidRPr="00221992">
        <w:rPr>
          <w:color w:val="000000" w:themeColor="text1"/>
          <w:lang w:val="en-GB"/>
        </w:rPr>
        <w:t xml:space="preserve"> NACCHO welcomed the inclusion of </w:t>
      </w:r>
      <w:r w:rsidR="00551786">
        <w:rPr>
          <w:color w:val="000000" w:themeColor="text1"/>
          <w:lang w:val="en-GB"/>
        </w:rPr>
        <w:t>‘</w:t>
      </w:r>
      <w:r w:rsidR="00BD04D9" w:rsidRPr="00221992">
        <w:rPr>
          <w:color w:val="000000" w:themeColor="text1"/>
          <w:lang w:val="en-GB"/>
        </w:rPr>
        <w:t>remoteness</w:t>
      </w:r>
      <w:r w:rsidR="00551786">
        <w:rPr>
          <w:color w:val="000000" w:themeColor="text1"/>
          <w:lang w:val="en-GB"/>
        </w:rPr>
        <w:t>’</w:t>
      </w:r>
      <w:r w:rsidR="00BD04D9" w:rsidRPr="00221992">
        <w:rPr>
          <w:color w:val="000000" w:themeColor="text1"/>
          <w:lang w:val="en-GB"/>
        </w:rPr>
        <w:t xml:space="preserve"> as an eligibility criterion for Covid-19 antivirals as an example of an equity-informed approach to coverage decision-making. NACCHO approved of </w:t>
      </w:r>
    </w:p>
    <w:p w14:paraId="078C4083" w14:textId="4EE5F051" w:rsidR="00BD04D9" w:rsidRPr="00221992" w:rsidRDefault="00BD04D9" w:rsidP="00BD04D9">
      <w:pPr>
        <w:ind w:left="567"/>
        <w:rPr>
          <w:color w:val="000000" w:themeColor="text1"/>
          <w:lang w:val="en-GB"/>
        </w:rPr>
      </w:pPr>
      <w:r w:rsidRPr="00221992">
        <w:rPr>
          <w:color w:val="000000" w:themeColor="text1"/>
          <w:lang w:val="en-GB"/>
        </w:rPr>
        <w:t xml:space="preserve">Aboriginal and Torres Strait Islander representation on some HTA related committees and sub-committees, including MSAC, a Post Market Review, and on the Health Technology Assessment Policy and Methods Review Reference Committee itself </w:t>
      </w:r>
    </w:p>
    <w:p w14:paraId="3C7E3EB4" w14:textId="75841A64" w:rsidR="00805A82" w:rsidRPr="00221992" w:rsidRDefault="00BD04D9" w:rsidP="00BD04D9">
      <w:pPr>
        <w:rPr>
          <w:color w:val="000000" w:themeColor="text1"/>
          <w:lang w:val="en-GB"/>
        </w:rPr>
      </w:pPr>
      <w:r w:rsidRPr="00221992">
        <w:rPr>
          <w:color w:val="000000" w:themeColor="text1"/>
          <w:lang w:val="en-GB"/>
        </w:rPr>
        <w:t>and called for additional “structured guidance to those assembling committees to include Aboriginal and Torres Strait Islander participation/chairing”</w:t>
      </w:r>
      <w:r w:rsidR="002F6E6C" w:rsidRPr="00221992">
        <w:rPr>
          <w:color w:val="000000" w:themeColor="text1"/>
          <w:lang w:val="en-GB"/>
        </w:rPr>
        <w:t xml:space="preserve"> </w:t>
      </w:r>
      <w:r w:rsidR="00684382" w:rsidRPr="00221992">
        <w:rPr>
          <w:color w:val="000000" w:themeColor="text1"/>
          <w:lang w:val="en-GB"/>
        </w:rPr>
        <w:t>(p. 2)</w:t>
      </w:r>
      <w:r w:rsidR="002F6E6C" w:rsidRPr="00221992">
        <w:rPr>
          <w:color w:val="000000" w:themeColor="text1"/>
          <w:lang w:val="en-GB"/>
        </w:rPr>
        <w:t>.</w:t>
      </w:r>
      <w:r w:rsidRPr="00221992">
        <w:rPr>
          <w:color w:val="000000" w:themeColor="text1"/>
          <w:lang w:val="en-GB"/>
        </w:rPr>
        <w:t xml:space="preserve"> Finally, NACCHO reflected positively on its recent collaboration with the Consumer Evidence and Engagement Unit, with whom the organisation has worked to deliver</w:t>
      </w:r>
      <w:r w:rsidR="009B691F" w:rsidRPr="00221992">
        <w:rPr>
          <w:color w:val="000000" w:themeColor="text1"/>
          <w:lang w:val="en-GB"/>
        </w:rPr>
        <w:t xml:space="preserve"> webinars to member affiliates.</w:t>
      </w:r>
    </w:p>
    <w:p w14:paraId="206C12BC" w14:textId="34F961D2" w:rsidR="009B691F" w:rsidRPr="00221992" w:rsidRDefault="00700B3E" w:rsidP="009B691F">
      <w:pPr>
        <w:rPr>
          <w:color w:val="000000" w:themeColor="text1"/>
          <w:lang w:val="en-GB"/>
        </w:rPr>
      </w:pPr>
      <w:r w:rsidRPr="00221992">
        <w:rPr>
          <w:color w:val="000000" w:themeColor="text1"/>
          <w:lang w:val="en-GB"/>
        </w:rPr>
        <w:t>Notwithstanding</w:t>
      </w:r>
      <w:r w:rsidR="009B691F" w:rsidRPr="00221992">
        <w:rPr>
          <w:color w:val="000000" w:themeColor="text1"/>
          <w:lang w:val="en-GB"/>
        </w:rPr>
        <w:t xml:space="preserve"> these positive developments, NACCHO also identified a number of structural obstacles at play in Australia</w:t>
      </w:r>
      <w:r w:rsidR="00551786">
        <w:rPr>
          <w:color w:val="000000" w:themeColor="text1"/>
          <w:lang w:val="en-GB"/>
        </w:rPr>
        <w:t>’</w:t>
      </w:r>
      <w:r w:rsidR="009B691F" w:rsidRPr="00221992">
        <w:rPr>
          <w:color w:val="000000" w:themeColor="text1"/>
          <w:lang w:val="en-GB"/>
        </w:rPr>
        <w:t>s HTA system. With respect to early access, NACCHO cited a sector survey highlighting “around 40 evidence-based priority medicines not currently listed on the PBS” due to</w:t>
      </w:r>
      <w:r w:rsidR="00B433EF" w:rsidRPr="00221992">
        <w:rPr>
          <w:color w:val="000000" w:themeColor="text1"/>
          <w:lang w:val="en-GB"/>
        </w:rPr>
        <w:t xml:space="preserve"> (p. </w:t>
      </w:r>
      <w:r w:rsidR="00146732" w:rsidRPr="00221992">
        <w:rPr>
          <w:color w:val="000000" w:themeColor="text1"/>
          <w:lang w:val="en-GB"/>
        </w:rPr>
        <w:t>2)</w:t>
      </w:r>
      <w:r w:rsidR="009B691F" w:rsidRPr="00221992">
        <w:rPr>
          <w:color w:val="000000" w:themeColor="text1"/>
          <w:lang w:val="en-GB"/>
        </w:rPr>
        <w:t>:</w:t>
      </w:r>
    </w:p>
    <w:p w14:paraId="4512B758" w14:textId="1F5E411A" w:rsidR="009B691F" w:rsidRPr="00221992" w:rsidRDefault="009B691F" w:rsidP="00957584">
      <w:pPr>
        <w:pStyle w:val="ListParagraph"/>
        <w:numPr>
          <w:ilvl w:val="0"/>
          <w:numId w:val="54"/>
        </w:numPr>
        <w:rPr>
          <w:lang w:val="en-GB"/>
        </w:rPr>
      </w:pPr>
      <w:r w:rsidRPr="00221992">
        <w:rPr>
          <w:lang w:val="en-GB"/>
        </w:rPr>
        <w:t>small population size limiting commercial viability;</w:t>
      </w:r>
    </w:p>
    <w:p w14:paraId="5B55E8DB" w14:textId="77777777" w:rsidR="009B691F" w:rsidRPr="00221992" w:rsidRDefault="009B691F" w:rsidP="00957584">
      <w:pPr>
        <w:pStyle w:val="ListParagraph"/>
        <w:numPr>
          <w:ilvl w:val="0"/>
          <w:numId w:val="54"/>
        </w:numPr>
        <w:rPr>
          <w:lang w:val="en-GB"/>
        </w:rPr>
      </w:pPr>
      <w:r w:rsidRPr="00221992">
        <w:rPr>
          <w:lang w:val="en-GB"/>
        </w:rPr>
        <w:t>apparent historical PBAC bias against over-the-counter items;</w:t>
      </w:r>
    </w:p>
    <w:p w14:paraId="64AD95EF" w14:textId="77777777" w:rsidR="009B691F" w:rsidRPr="00221992" w:rsidRDefault="009B691F" w:rsidP="00957584">
      <w:pPr>
        <w:pStyle w:val="ListParagraph"/>
        <w:numPr>
          <w:ilvl w:val="0"/>
          <w:numId w:val="54"/>
        </w:numPr>
        <w:rPr>
          <w:lang w:val="en-GB"/>
        </w:rPr>
      </w:pPr>
      <w:r w:rsidRPr="00221992">
        <w:rPr>
          <w:lang w:val="en-GB"/>
        </w:rPr>
        <w:t>a lack of mechanisms/relationship to compel manufacturers to identify the needs of sub-populations;</w:t>
      </w:r>
    </w:p>
    <w:p w14:paraId="66FCDC0C" w14:textId="64748DC5" w:rsidR="009B691F" w:rsidRPr="00221992" w:rsidRDefault="009B691F" w:rsidP="00957584">
      <w:pPr>
        <w:pStyle w:val="ListParagraph"/>
        <w:numPr>
          <w:ilvl w:val="0"/>
          <w:numId w:val="54"/>
        </w:numPr>
        <w:rPr>
          <w:lang w:val="en-GB"/>
        </w:rPr>
      </w:pPr>
      <w:r w:rsidRPr="00221992">
        <w:rPr>
          <w:lang w:val="en-GB"/>
        </w:rPr>
        <w:t>complexity with multiple sponsors of one product</w:t>
      </w:r>
      <w:r w:rsidR="00C11C9D" w:rsidRPr="00221992">
        <w:rPr>
          <w:lang w:val="en-GB"/>
        </w:rPr>
        <w:t>.</w:t>
      </w:r>
    </w:p>
    <w:p w14:paraId="1D00923A" w14:textId="320C9809" w:rsidR="009B691F" w:rsidRPr="00221992" w:rsidRDefault="009B691F" w:rsidP="009B691F">
      <w:pPr>
        <w:rPr>
          <w:color w:val="000000" w:themeColor="text1"/>
          <w:lang w:val="en-GB"/>
        </w:rPr>
      </w:pPr>
      <w:r w:rsidRPr="00221992">
        <w:rPr>
          <w:color w:val="000000" w:themeColor="text1"/>
          <w:lang w:val="en-GB"/>
        </w:rPr>
        <w:t xml:space="preserve">NACCHO considered that current PBS processes </w:t>
      </w:r>
      <w:r w:rsidR="00197F39" w:rsidRPr="00221992">
        <w:rPr>
          <w:color w:val="000000" w:themeColor="text1"/>
          <w:lang w:val="en-GB"/>
        </w:rPr>
        <w:t xml:space="preserve">are </w:t>
      </w:r>
      <w:r w:rsidRPr="00221992">
        <w:rPr>
          <w:color w:val="000000" w:themeColor="text1"/>
          <w:lang w:val="en-GB"/>
        </w:rPr>
        <w:t xml:space="preserve">inadequate for the timely consideration of health technologies for Aboriginal and Torres Strait Islander people as a distinct and demonstrably smaller population group and called for </w:t>
      </w:r>
      <w:r w:rsidR="00C11C9D" w:rsidRPr="00221992">
        <w:rPr>
          <w:color w:val="000000" w:themeColor="text1"/>
          <w:lang w:val="en-GB"/>
        </w:rPr>
        <w:t xml:space="preserve">a distinct, </w:t>
      </w:r>
      <w:r w:rsidRPr="00221992">
        <w:rPr>
          <w:color w:val="000000" w:themeColor="text1"/>
          <w:lang w:val="en-GB"/>
        </w:rPr>
        <w:t>alternative pathway for the consideration</w:t>
      </w:r>
      <w:r w:rsidR="00C11C9D" w:rsidRPr="00221992">
        <w:rPr>
          <w:color w:val="000000" w:themeColor="text1"/>
          <w:lang w:val="en-GB"/>
        </w:rPr>
        <w:t xml:space="preserve"> and funding</w:t>
      </w:r>
      <w:r w:rsidRPr="00221992">
        <w:rPr>
          <w:color w:val="000000" w:themeColor="text1"/>
          <w:lang w:val="en-GB"/>
        </w:rPr>
        <w:t xml:space="preserve"> of </w:t>
      </w:r>
      <w:r w:rsidR="00D10CC9" w:rsidRPr="00221992">
        <w:rPr>
          <w:color w:val="000000" w:themeColor="text1"/>
          <w:lang w:val="en-GB"/>
        </w:rPr>
        <w:t xml:space="preserve">therapies for </w:t>
      </w:r>
      <w:r w:rsidRPr="00221992">
        <w:rPr>
          <w:color w:val="000000" w:themeColor="text1"/>
          <w:lang w:val="en-GB"/>
        </w:rPr>
        <w:t>Aboriginal and Torres Strait Islander people as a priority population.</w:t>
      </w:r>
    </w:p>
    <w:p w14:paraId="59C879EA" w14:textId="250D48E1" w:rsidR="00DE0DC8" w:rsidRPr="00221992" w:rsidRDefault="00E25302" w:rsidP="00F66718">
      <w:pPr>
        <w:rPr>
          <w:color w:val="000000" w:themeColor="text1"/>
          <w:lang w:val="en-GB"/>
        </w:rPr>
      </w:pPr>
      <w:r w:rsidRPr="00221992">
        <w:rPr>
          <w:color w:val="000000" w:themeColor="text1"/>
          <w:lang w:val="en-GB"/>
        </w:rPr>
        <w:t xml:space="preserve">NACCHO cited </w:t>
      </w:r>
      <w:r w:rsidR="00DE0DC8" w:rsidRPr="00221992">
        <w:rPr>
          <w:color w:val="000000" w:themeColor="text1"/>
          <w:lang w:val="en-GB"/>
        </w:rPr>
        <w:t>drawn-out price negotiati</w:t>
      </w:r>
      <w:r w:rsidR="002F68A0" w:rsidRPr="00221992">
        <w:rPr>
          <w:color w:val="000000" w:themeColor="text1"/>
          <w:lang w:val="en-GB"/>
        </w:rPr>
        <w:t>on</w:t>
      </w:r>
      <w:r w:rsidR="00DE0DC8" w:rsidRPr="00221992">
        <w:rPr>
          <w:color w:val="000000" w:themeColor="text1"/>
          <w:lang w:val="en-GB"/>
        </w:rPr>
        <w:t xml:space="preserve"> and a lack of stakeholder consultation in these processes as potentially leading to delayed access, particularly for people in rural and remote localities. The organisation also noted that </w:t>
      </w:r>
      <w:r w:rsidR="00551786">
        <w:rPr>
          <w:color w:val="000000" w:themeColor="text1"/>
          <w:lang w:val="en-GB"/>
        </w:rPr>
        <w:t>‘</w:t>
      </w:r>
      <w:r w:rsidR="00DE0DC8" w:rsidRPr="00221992">
        <w:rPr>
          <w:color w:val="000000" w:themeColor="text1"/>
          <w:lang w:val="en-GB"/>
        </w:rPr>
        <w:t>catch-up statutory price reductions</w:t>
      </w:r>
      <w:r w:rsidR="00551786">
        <w:rPr>
          <w:color w:val="000000" w:themeColor="text1"/>
          <w:lang w:val="en-GB"/>
        </w:rPr>
        <w:t>’</w:t>
      </w:r>
      <w:r w:rsidR="00DE0DC8" w:rsidRPr="00221992">
        <w:rPr>
          <w:color w:val="000000" w:themeColor="text1"/>
          <w:lang w:val="en-GB"/>
        </w:rPr>
        <w:t xml:space="preserve"> risk the viability of many low-cost PBS items, such as nicotine replacement therapies, whose delisting would result in consumers currently receiving these drugs at no or reduced cost under CTG arrangements facing increased out-of-pocket expenses to purchase them over the counter. NACCHO thus called for</w:t>
      </w:r>
      <w:r w:rsidR="003A3BF9" w:rsidRPr="00221992">
        <w:rPr>
          <w:color w:val="000000" w:themeColor="text1"/>
          <w:lang w:val="en-GB"/>
        </w:rPr>
        <w:t xml:space="preserve"> greater Departmental resourcing to support stakeholder engagement </w:t>
      </w:r>
      <w:r w:rsidR="00760EEE" w:rsidRPr="00221992">
        <w:rPr>
          <w:color w:val="000000" w:themeColor="text1"/>
          <w:lang w:val="en-GB"/>
        </w:rPr>
        <w:t>at all stages of</w:t>
      </w:r>
      <w:r w:rsidR="003A3BF9" w:rsidRPr="00221992">
        <w:rPr>
          <w:color w:val="000000" w:themeColor="text1"/>
          <w:lang w:val="en-GB"/>
        </w:rPr>
        <w:t xml:space="preserve"> the HTA process</w:t>
      </w:r>
      <w:r w:rsidR="00DE0DC8" w:rsidRPr="00221992">
        <w:rPr>
          <w:color w:val="000000" w:themeColor="text1"/>
          <w:lang w:val="en-GB"/>
        </w:rPr>
        <w:t>.</w:t>
      </w:r>
    </w:p>
    <w:p w14:paraId="0AE9B7FC" w14:textId="09B1B04A" w:rsidR="00F66718" w:rsidRPr="00221992" w:rsidRDefault="00F66718" w:rsidP="00F66718">
      <w:pPr>
        <w:rPr>
          <w:color w:val="000000" w:themeColor="text1"/>
          <w:lang w:val="en-GB"/>
        </w:rPr>
      </w:pPr>
      <w:r w:rsidRPr="00221992">
        <w:rPr>
          <w:color w:val="000000" w:themeColor="text1"/>
          <w:lang w:val="en-GB"/>
        </w:rPr>
        <w:t xml:space="preserve">NACCHO observed that </w:t>
      </w:r>
      <w:r w:rsidR="00B9058D" w:rsidRPr="00221992">
        <w:rPr>
          <w:color w:val="000000" w:themeColor="text1"/>
          <w:lang w:val="en-GB"/>
        </w:rPr>
        <w:t xml:space="preserve">as </w:t>
      </w:r>
      <w:r w:rsidRPr="00221992">
        <w:rPr>
          <w:color w:val="000000" w:themeColor="text1"/>
          <w:lang w:val="en-GB"/>
        </w:rPr>
        <w:t>PBAC submissions are sponsor-led</w:t>
      </w:r>
      <w:r w:rsidR="00B9058D" w:rsidRPr="00221992">
        <w:rPr>
          <w:color w:val="000000" w:themeColor="text1"/>
          <w:lang w:val="en-GB"/>
        </w:rPr>
        <w:t>,</w:t>
      </w:r>
      <w:r w:rsidRPr="00221992">
        <w:rPr>
          <w:color w:val="000000" w:themeColor="text1"/>
          <w:lang w:val="en-GB"/>
        </w:rPr>
        <w:t xml:space="preserve"> there are limited opportunities for the Department of Health and Aged Care, peak bodies </w:t>
      </w:r>
      <w:r w:rsidR="00EB1BD8">
        <w:rPr>
          <w:color w:val="000000" w:themeColor="text1"/>
          <w:lang w:val="en-GB"/>
        </w:rPr>
        <w:t>and</w:t>
      </w:r>
      <w:r w:rsidR="00EB1BD8" w:rsidRPr="00221992">
        <w:rPr>
          <w:color w:val="000000" w:themeColor="text1"/>
          <w:lang w:val="en-GB"/>
        </w:rPr>
        <w:t xml:space="preserve"> </w:t>
      </w:r>
      <w:r w:rsidRPr="00221992">
        <w:rPr>
          <w:color w:val="000000" w:themeColor="text1"/>
          <w:lang w:val="en-GB"/>
        </w:rPr>
        <w:t xml:space="preserve">other non-commercial stakeholder groups to initiate submissions. Further, the organisation asserted, PBS listing decisions do not </w:t>
      </w:r>
      <w:r w:rsidR="0017550E" w:rsidRPr="00221992">
        <w:rPr>
          <w:color w:val="000000" w:themeColor="text1"/>
          <w:lang w:val="en-GB"/>
        </w:rPr>
        <w:t xml:space="preserve">sufficiently </w:t>
      </w:r>
      <w:r w:rsidRPr="00221992">
        <w:rPr>
          <w:color w:val="000000" w:themeColor="text1"/>
          <w:lang w:val="en-GB"/>
        </w:rPr>
        <w:t xml:space="preserve">reflect a prioritisation based on </w:t>
      </w:r>
      <w:r w:rsidR="0017550E" w:rsidRPr="00221992">
        <w:rPr>
          <w:color w:val="000000" w:themeColor="text1"/>
          <w:lang w:val="en-GB"/>
        </w:rPr>
        <w:t>need, despite Aboriginal and Torres Strait Islander people having proportional</w:t>
      </w:r>
      <w:r w:rsidR="00B9058D" w:rsidRPr="00221992">
        <w:rPr>
          <w:color w:val="000000" w:themeColor="text1"/>
          <w:lang w:val="en-GB"/>
        </w:rPr>
        <w:t>ly</w:t>
      </w:r>
      <w:r w:rsidR="0017550E" w:rsidRPr="00221992">
        <w:rPr>
          <w:color w:val="000000" w:themeColor="text1"/>
          <w:lang w:val="en-GB"/>
        </w:rPr>
        <w:t xml:space="preserve"> higher disease prevalence and </w:t>
      </w:r>
      <w:r w:rsidR="00B9058D" w:rsidRPr="00221992">
        <w:rPr>
          <w:color w:val="000000" w:themeColor="text1"/>
          <w:lang w:val="en-GB"/>
        </w:rPr>
        <w:t xml:space="preserve">more </w:t>
      </w:r>
      <w:r w:rsidR="0017550E" w:rsidRPr="00221992">
        <w:rPr>
          <w:color w:val="000000" w:themeColor="text1"/>
          <w:lang w:val="en-GB"/>
        </w:rPr>
        <w:t>negative outcomes relative to non-Indigenous Australians.</w:t>
      </w:r>
    </w:p>
    <w:p w14:paraId="386867B7" w14:textId="78A1CEF2" w:rsidR="00E61D4B" w:rsidRPr="00221992" w:rsidRDefault="00E61D4B" w:rsidP="00F66718">
      <w:pPr>
        <w:rPr>
          <w:color w:val="000000" w:themeColor="text1"/>
          <w:lang w:val="en-GB"/>
        </w:rPr>
      </w:pPr>
      <w:r w:rsidRPr="00221992">
        <w:rPr>
          <w:color w:val="000000" w:themeColor="text1"/>
          <w:lang w:val="en-GB"/>
        </w:rPr>
        <w:t>Further barriers to equitable access identified by NACCHO included a lack of involvement with service providers, peak bodies and key stakeholders as part of price negotiations, a lack of support for the use of real-world evidence</w:t>
      </w:r>
      <w:r w:rsidR="00020EF2" w:rsidRPr="00221992">
        <w:rPr>
          <w:color w:val="000000" w:themeColor="text1"/>
          <w:lang w:val="en-GB"/>
        </w:rPr>
        <w:t xml:space="preserve"> (RWE)</w:t>
      </w:r>
      <w:r w:rsidRPr="00221992">
        <w:rPr>
          <w:color w:val="000000" w:themeColor="text1"/>
          <w:lang w:val="en-GB"/>
        </w:rPr>
        <w:t xml:space="preserve"> in lieu of clinical trial data, and </w:t>
      </w:r>
      <w:r w:rsidR="004A611A" w:rsidRPr="00221992">
        <w:rPr>
          <w:color w:val="000000" w:themeColor="text1"/>
          <w:lang w:val="en-GB"/>
        </w:rPr>
        <w:t xml:space="preserve">ostensibly </w:t>
      </w:r>
      <w:r w:rsidRPr="00221992">
        <w:rPr>
          <w:color w:val="000000" w:themeColor="text1"/>
          <w:lang w:val="en-GB"/>
        </w:rPr>
        <w:t xml:space="preserve">limited flexibility </w:t>
      </w:r>
      <w:r w:rsidR="004A611A" w:rsidRPr="00221992">
        <w:rPr>
          <w:color w:val="000000" w:themeColor="text1"/>
          <w:lang w:val="en-GB"/>
        </w:rPr>
        <w:t>of</w:t>
      </w:r>
      <w:r w:rsidRPr="00221992">
        <w:rPr>
          <w:color w:val="000000" w:themeColor="text1"/>
          <w:lang w:val="en-GB"/>
        </w:rPr>
        <w:t xml:space="preserve"> the PBAC executive to consider community-level benefits in funding decisions.</w:t>
      </w:r>
    </w:p>
    <w:p w14:paraId="55E8A06E" w14:textId="05C386C3" w:rsidR="00AB0B60" w:rsidRPr="00221992" w:rsidRDefault="00AB0B60" w:rsidP="00AB0B60">
      <w:pPr>
        <w:rPr>
          <w:color w:val="000000" w:themeColor="text1"/>
          <w:lang w:val="en-GB"/>
        </w:rPr>
      </w:pPr>
      <w:r w:rsidRPr="00221992">
        <w:rPr>
          <w:color w:val="000000" w:themeColor="text1"/>
          <w:lang w:val="en-GB"/>
        </w:rPr>
        <w:t>NACCHO enumerated a range of recommendations to ensure timely access to health technologies specifically for First Nations people, including</w:t>
      </w:r>
      <w:r w:rsidR="001A03D3" w:rsidRPr="00221992">
        <w:rPr>
          <w:color w:val="000000" w:themeColor="text1"/>
          <w:lang w:val="en-GB"/>
        </w:rPr>
        <w:t xml:space="preserve"> (p. 3)</w:t>
      </w:r>
      <w:r w:rsidRPr="00221992">
        <w:rPr>
          <w:color w:val="000000" w:themeColor="text1"/>
          <w:lang w:val="en-GB"/>
        </w:rPr>
        <w:t>:</w:t>
      </w:r>
    </w:p>
    <w:p w14:paraId="585F8635" w14:textId="77777777" w:rsidR="00AB0B60" w:rsidRPr="00221992" w:rsidRDefault="00AB0B60" w:rsidP="00957584">
      <w:pPr>
        <w:pStyle w:val="ListParagraph"/>
        <w:numPr>
          <w:ilvl w:val="0"/>
          <w:numId w:val="60"/>
        </w:numPr>
        <w:rPr>
          <w:lang w:val="en-GB"/>
        </w:rPr>
      </w:pPr>
      <w:r w:rsidRPr="00221992">
        <w:rPr>
          <w:lang w:val="en-GB"/>
        </w:rPr>
        <w:t>Automatic or streamlined PBS listing approval of equivalent medications that have received s19A approval;</w:t>
      </w:r>
    </w:p>
    <w:p w14:paraId="63AC8ED2" w14:textId="77777777" w:rsidR="00AB0B60" w:rsidRPr="00221992" w:rsidRDefault="00AB0B60" w:rsidP="00957584">
      <w:pPr>
        <w:pStyle w:val="ListParagraph"/>
        <w:numPr>
          <w:ilvl w:val="0"/>
          <w:numId w:val="60"/>
        </w:numPr>
        <w:rPr>
          <w:lang w:val="en-GB"/>
        </w:rPr>
      </w:pPr>
      <w:r w:rsidRPr="00221992">
        <w:rPr>
          <w:lang w:val="en-GB"/>
        </w:rPr>
        <w:t>Greater consideration of equity in HTA processes, including greater PBAC and Government flexibility in novel and niche medicines (e.g., more Department-led/NACCHO-supported PBAC submissions);</w:t>
      </w:r>
    </w:p>
    <w:p w14:paraId="6DEFF9E2" w14:textId="77777777" w:rsidR="00AB0B60" w:rsidRPr="00221992" w:rsidRDefault="00AB0B60" w:rsidP="00957584">
      <w:pPr>
        <w:pStyle w:val="ListParagraph"/>
        <w:numPr>
          <w:ilvl w:val="0"/>
          <w:numId w:val="60"/>
        </w:numPr>
        <w:rPr>
          <w:lang w:val="en-GB"/>
        </w:rPr>
      </w:pPr>
      <w:r w:rsidRPr="00221992">
        <w:rPr>
          <w:lang w:val="en-GB"/>
        </w:rPr>
        <w:t>Increased transparency and probity of committees and sub-committees and robust sector consultation;</w:t>
      </w:r>
    </w:p>
    <w:p w14:paraId="2A524D03" w14:textId="77777777" w:rsidR="00AB0B60" w:rsidRPr="00221992" w:rsidRDefault="00AB0B60" w:rsidP="00957584">
      <w:pPr>
        <w:pStyle w:val="ListParagraph"/>
        <w:numPr>
          <w:ilvl w:val="0"/>
          <w:numId w:val="60"/>
        </w:numPr>
        <w:rPr>
          <w:lang w:val="en-GB"/>
        </w:rPr>
      </w:pPr>
      <w:r w:rsidRPr="00221992">
        <w:rPr>
          <w:lang w:val="en-GB"/>
        </w:rPr>
        <w:t>Early consultation with NACCHO to discern the potential impact of PBAC/MSAC submissions on Aboriginal and Torres Strait Islander people;</w:t>
      </w:r>
    </w:p>
    <w:p w14:paraId="326133F2" w14:textId="77777777" w:rsidR="00AB0B60" w:rsidRPr="00221992" w:rsidRDefault="00AB0B60" w:rsidP="00957584">
      <w:pPr>
        <w:pStyle w:val="ListParagraph"/>
        <w:numPr>
          <w:ilvl w:val="0"/>
          <w:numId w:val="60"/>
        </w:numPr>
        <w:rPr>
          <w:lang w:val="en-GB"/>
        </w:rPr>
      </w:pPr>
      <w:r w:rsidRPr="00221992">
        <w:rPr>
          <w:lang w:val="en-GB"/>
        </w:rPr>
        <w:t>Expedited provisional listing of therapies for Aboriginal and Torres Strait Islander people, to be informed by RWE;</w:t>
      </w:r>
    </w:p>
    <w:p w14:paraId="5612AC2C" w14:textId="503C0A3A" w:rsidR="00AB0B60" w:rsidRPr="00221992" w:rsidRDefault="00AB0B60" w:rsidP="00957584">
      <w:pPr>
        <w:pStyle w:val="ListParagraph"/>
        <w:numPr>
          <w:ilvl w:val="0"/>
          <w:numId w:val="60"/>
        </w:numPr>
        <w:rPr>
          <w:lang w:val="en-GB"/>
        </w:rPr>
      </w:pPr>
      <w:r w:rsidRPr="00221992">
        <w:rPr>
          <w:lang w:val="en-GB"/>
        </w:rPr>
        <w:t>Increased clarity and visibility of PBS medications to be de-listed, consideration of impact on priority populations as a de-listing criterion, engagement of impacted communities as part of decision</w:t>
      </w:r>
      <w:r w:rsidR="00756B32">
        <w:rPr>
          <w:lang w:val="en-GB"/>
        </w:rPr>
        <w:t>-</w:t>
      </w:r>
      <w:r w:rsidRPr="00221992">
        <w:rPr>
          <w:lang w:val="en-GB"/>
        </w:rPr>
        <w:t>making process</w:t>
      </w:r>
      <w:r w:rsidR="00756B32">
        <w:rPr>
          <w:lang w:val="en-GB"/>
        </w:rPr>
        <w:t>es</w:t>
      </w:r>
      <w:r w:rsidRPr="00221992">
        <w:rPr>
          <w:lang w:val="en-GB"/>
        </w:rPr>
        <w:t>, and measures to ensure ongoing access where there is a clinical need for priority population groups;</w:t>
      </w:r>
    </w:p>
    <w:p w14:paraId="2563E4FC" w14:textId="77777777" w:rsidR="00AB0B60" w:rsidRPr="00221992" w:rsidRDefault="00AB0B60" w:rsidP="00957584">
      <w:pPr>
        <w:pStyle w:val="ListParagraph"/>
        <w:numPr>
          <w:ilvl w:val="0"/>
          <w:numId w:val="60"/>
        </w:numPr>
        <w:rPr>
          <w:lang w:val="en-GB"/>
        </w:rPr>
      </w:pPr>
      <w:r w:rsidRPr="00221992">
        <w:rPr>
          <w:lang w:val="en-GB"/>
        </w:rPr>
        <w:t>Involvement of service providers, peak bodies and stakeholders as part of price negotiations;</w:t>
      </w:r>
    </w:p>
    <w:p w14:paraId="04545897" w14:textId="77777777" w:rsidR="00AB0B60" w:rsidRPr="00221992" w:rsidRDefault="00AB0B60" w:rsidP="00957584">
      <w:pPr>
        <w:pStyle w:val="ListParagraph"/>
        <w:numPr>
          <w:ilvl w:val="0"/>
          <w:numId w:val="60"/>
        </w:numPr>
        <w:rPr>
          <w:lang w:val="en-GB"/>
        </w:rPr>
      </w:pPr>
      <w:r w:rsidRPr="00221992">
        <w:rPr>
          <w:lang w:val="en-GB"/>
        </w:rPr>
        <w:t>Provision of preferential access to life saving and essential ongoing medications for Aboriginal and Torres Strait Islander people;</w:t>
      </w:r>
    </w:p>
    <w:p w14:paraId="32D73F72" w14:textId="77777777" w:rsidR="00AB0B60" w:rsidRPr="00221992" w:rsidRDefault="00AB0B60" w:rsidP="00957584">
      <w:pPr>
        <w:pStyle w:val="ListParagraph"/>
        <w:numPr>
          <w:ilvl w:val="0"/>
          <w:numId w:val="60"/>
        </w:numPr>
        <w:rPr>
          <w:lang w:val="en-GB"/>
        </w:rPr>
      </w:pPr>
      <w:r w:rsidRPr="00221992">
        <w:rPr>
          <w:lang w:val="en-GB"/>
        </w:rPr>
        <w:t>Initiation of a commissioning approach (i.e., in lieu of a sponsor-driven approach) for medicines with an identified need;</w:t>
      </w:r>
    </w:p>
    <w:p w14:paraId="7514EFEC" w14:textId="668F936A" w:rsidR="00C36171" w:rsidRPr="00221992" w:rsidRDefault="00AB0B60" w:rsidP="00957584">
      <w:pPr>
        <w:pStyle w:val="ListParagraph"/>
        <w:numPr>
          <w:ilvl w:val="0"/>
          <w:numId w:val="60"/>
        </w:numPr>
        <w:rPr>
          <w:lang w:val="en-GB"/>
        </w:rPr>
      </w:pPr>
      <w:r w:rsidRPr="00221992">
        <w:rPr>
          <w:lang w:val="en-GB"/>
        </w:rPr>
        <w:t>Increased PBAC executive decision-making powers to include consideration of requests with a clear benefit to community</w:t>
      </w:r>
      <w:r w:rsidR="005E5C08" w:rsidRPr="00221992">
        <w:rPr>
          <w:lang w:val="en-GB"/>
        </w:rPr>
        <w:t>.</w:t>
      </w:r>
    </w:p>
    <w:p w14:paraId="269A9CFE" w14:textId="39FA5526" w:rsidR="00922D2D" w:rsidRPr="00221992" w:rsidRDefault="00922D2D" w:rsidP="009B691F">
      <w:pPr>
        <w:rPr>
          <w:rFonts w:ascii="Calibri" w:hAnsi="Calibri" w:cs="Calibri"/>
          <w:b/>
          <w:lang w:val="en-GB"/>
        </w:rPr>
      </w:pPr>
      <w:r w:rsidRPr="00221992">
        <w:rPr>
          <w:rFonts w:ascii="Calibri" w:hAnsi="Calibri" w:cs="Calibri"/>
          <w:b/>
          <w:lang w:val="en-GB"/>
        </w:rPr>
        <w:t>New Zealand</w:t>
      </w:r>
    </w:p>
    <w:p w14:paraId="4314B3AF" w14:textId="0F120BD7" w:rsidR="00165681" w:rsidRPr="00221992" w:rsidRDefault="00165681" w:rsidP="009B691F">
      <w:pPr>
        <w:rPr>
          <w:lang w:val="en-GB"/>
        </w:rPr>
      </w:pPr>
      <w:r w:rsidRPr="00221992">
        <w:rPr>
          <w:lang w:val="en-GB"/>
        </w:rPr>
        <w:t>In 2022, New Zealand</w:t>
      </w:r>
      <w:r w:rsidR="00551786">
        <w:rPr>
          <w:lang w:val="en-GB"/>
        </w:rPr>
        <w:t>’</w:t>
      </w:r>
      <w:r w:rsidRPr="00221992">
        <w:rPr>
          <w:lang w:val="en-GB"/>
        </w:rPr>
        <w:t xml:space="preserve">s </w:t>
      </w:r>
      <w:r w:rsidR="0033348E" w:rsidRPr="00221992">
        <w:rPr>
          <w:lang w:val="en-GB"/>
        </w:rPr>
        <w:t>PHARMAC</w:t>
      </w:r>
      <w:r w:rsidRPr="00221992">
        <w:rPr>
          <w:lang w:val="en-GB"/>
        </w:rPr>
        <w:t xml:space="preserve"> established a dedicated Māori directorate tasked with ensuring that Māori are the priority population for all equity work as a Te Tiriti o Waitangi (Treaty of Waitangi) partner; the elimination of inequity in access to medicines for Māori; the building of trust between </w:t>
      </w:r>
      <w:r w:rsidR="007F4AA4">
        <w:rPr>
          <w:lang w:val="en-GB"/>
        </w:rPr>
        <w:t>PHARMAC</w:t>
      </w:r>
      <w:r w:rsidRPr="00221992">
        <w:rPr>
          <w:lang w:val="en-GB"/>
        </w:rPr>
        <w:t xml:space="preserve"> and the Māori community—deemed essential for the acceptance of medicines, medicines information and medicine</w:t>
      </w:r>
      <w:r w:rsidR="00940D2A">
        <w:rPr>
          <w:lang w:val="en-GB"/>
        </w:rPr>
        <w:t>s</w:t>
      </w:r>
      <w:r w:rsidRPr="00221992">
        <w:rPr>
          <w:lang w:val="en-GB"/>
        </w:rPr>
        <w:t xml:space="preserve"> literacy; and the routine and transparent reporting of Māori access to hospital medical devices and medicines </w:t>
      </w:r>
      <w:r w:rsidRPr="00221992">
        <w:rPr>
          <w:lang w:val="en-GB"/>
        </w:rPr>
        <w:fldChar w:fldCharType="begin"/>
      </w:r>
      <w:r w:rsidR="00E5265C">
        <w:rPr>
          <w:lang w:val="en-GB"/>
        </w:rPr>
        <w:instrText xml:space="preserve"> ADDIN EN.CITE &lt;EndNote&gt;&lt;Cite&gt;&lt;Author&gt;Pharmac&lt;/Author&gt;&lt;Year&gt;2022&lt;/Year&gt;&lt;RecNum&gt;380&lt;/RecNum&gt;&lt;DisplayText&gt;[100]&lt;/DisplayText&gt;&lt;record&gt;&lt;rec-number&gt;380&lt;/rec-number&gt;&lt;foreign-keys&gt;&lt;key app="EN" db-id="wzwwsfxe4peesxef95cxvrwjxts9rreasarf" timestamp="1692654670"&gt;380&lt;/key&gt;&lt;/foreign-keys&gt;&lt;ref-type name="Web Page"&gt;12&lt;/ref-type&gt;&lt;contributors&gt;&lt;authors&gt;&lt;author&gt;Pharmac&lt;/author&gt;&lt;/authors&gt;&lt;/contributors&gt;&lt;titles&gt;&lt;title&gt;Priority - Equity for Māori&lt;/title&gt;&lt;/titles&gt;&lt;number&gt;21 August 2023&lt;/number&gt;&lt;dates&gt;&lt;year&gt;2022&lt;/year&gt;&lt;/dates&gt;&lt;pub-location&gt;Wellington&lt;/pub-location&gt;&lt;publisher&gt;Pharmac, New Zealand Ministry of Health&lt;/publisher&gt;&lt;urls&gt;&lt;related-urls&gt;&lt;url&gt;https://pharmac.govt.nz/te-tiriti-o-waitangi/te-whaioranga/te-rautaki-te-whaioranga/priority-equity-for-maori/&lt;/url&gt;&lt;/related-urls&gt;&lt;/urls&gt;&lt;/record&gt;&lt;/Cite&gt;&lt;/EndNote&gt;</w:instrText>
      </w:r>
      <w:r w:rsidRPr="00221992">
        <w:rPr>
          <w:lang w:val="en-GB"/>
        </w:rPr>
        <w:fldChar w:fldCharType="separate"/>
      </w:r>
      <w:r w:rsidR="00E5265C">
        <w:rPr>
          <w:noProof/>
          <w:lang w:val="en-GB"/>
        </w:rPr>
        <w:t>[100]</w:t>
      </w:r>
      <w:r w:rsidRPr="00221992">
        <w:rPr>
          <w:lang w:val="en-GB"/>
        </w:rPr>
        <w:fldChar w:fldCharType="end"/>
      </w:r>
      <w:r w:rsidRPr="00221992">
        <w:rPr>
          <w:lang w:val="en-GB"/>
        </w:rPr>
        <w:t xml:space="preserve">. As of 2022, the directorate had adopted a special authority ethnicity criteria for some medicines (with greater use of this tool expected to enhance access and uptake); piloted an equity capability self-assessment tool with the Pharmacology and Therapeutics Advisory Committee (PTAC); adopted a lower age threshold for Māori and Pacific people to access </w:t>
      </w:r>
      <w:r w:rsidR="009F5593" w:rsidRPr="00221992">
        <w:rPr>
          <w:lang w:val="en-GB"/>
        </w:rPr>
        <w:t xml:space="preserve">the </w:t>
      </w:r>
      <w:r w:rsidRPr="00221992">
        <w:rPr>
          <w:lang w:val="en-GB"/>
        </w:rPr>
        <w:t xml:space="preserve">influenza vaccine; and published insights on the impact of gout on Māori people </w:t>
      </w:r>
      <w:r w:rsidRPr="00221992">
        <w:rPr>
          <w:lang w:val="en-GB"/>
        </w:rPr>
        <w:fldChar w:fldCharType="begin"/>
      </w:r>
      <w:r w:rsidR="00E5265C">
        <w:rPr>
          <w:lang w:val="en-GB"/>
        </w:rPr>
        <w:instrText xml:space="preserve"> ADDIN EN.CITE &lt;EndNote&gt;&lt;Cite&gt;&lt;Author&gt;Pharmac&lt;/Author&gt;&lt;Year&gt;2022&lt;/Year&gt;&lt;RecNum&gt;380&lt;/RecNum&gt;&lt;DisplayText&gt;[100]&lt;/DisplayText&gt;&lt;record&gt;&lt;rec-number&gt;380&lt;/rec-number&gt;&lt;foreign-keys&gt;&lt;key app="EN" db-id="wzwwsfxe4peesxef95cxvrwjxts9rreasarf" timestamp="1692654670"&gt;380&lt;/key&gt;&lt;/foreign-keys&gt;&lt;ref-type name="Web Page"&gt;12&lt;/ref-type&gt;&lt;contributors&gt;&lt;authors&gt;&lt;author&gt;Pharmac&lt;/author&gt;&lt;/authors&gt;&lt;/contributors&gt;&lt;titles&gt;&lt;title&gt;Priority - Equity for Māori&lt;/title&gt;&lt;/titles&gt;&lt;number&gt;21 August 2023&lt;/number&gt;&lt;dates&gt;&lt;year&gt;2022&lt;/year&gt;&lt;/dates&gt;&lt;pub-location&gt;Wellington&lt;/pub-location&gt;&lt;publisher&gt;Pharmac, New Zealand Ministry of Health&lt;/publisher&gt;&lt;urls&gt;&lt;related-urls&gt;&lt;url&gt;https://pharmac.govt.nz/te-tiriti-o-waitangi/te-whaioranga/te-rautaki-te-whaioranga/priority-equity-for-maori/&lt;/url&gt;&lt;/related-urls&gt;&lt;/urls&gt;&lt;/record&gt;&lt;/Cite&gt;&lt;/EndNote&gt;</w:instrText>
      </w:r>
      <w:r w:rsidRPr="00221992">
        <w:rPr>
          <w:lang w:val="en-GB"/>
        </w:rPr>
        <w:fldChar w:fldCharType="separate"/>
      </w:r>
      <w:r w:rsidR="00E5265C">
        <w:rPr>
          <w:noProof/>
          <w:lang w:val="en-GB"/>
        </w:rPr>
        <w:t>[100]</w:t>
      </w:r>
      <w:r w:rsidRPr="00221992">
        <w:rPr>
          <w:lang w:val="en-GB"/>
        </w:rPr>
        <w:fldChar w:fldCharType="end"/>
      </w:r>
      <w:r w:rsidRPr="00221992">
        <w:rPr>
          <w:lang w:val="en-GB"/>
        </w:rPr>
        <w:t>. Moving forward, objectives of the directorate include strengthening the partnership with the Te Aka Whai Ora Māori Health Authority; updating its Māori health areas of focus; implementation of an Equity Policy to guide Māori equity initiatives; resourcing a team to continue building Māori equity capability across the organisation; and improved rates of Māori accessing funded medicines and related products (i.e</w:t>
      </w:r>
      <w:r w:rsidR="009F5593" w:rsidRPr="00221992">
        <w:rPr>
          <w:lang w:val="en-GB"/>
        </w:rPr>
        <w:t>.</w:t>
      </w:r>
      <w:r w:rsidRPr="00221992">
        <w:rPr>
          <w:lang w:val="en-GB"/>
        </w:rPr>
        <w:t>,</w:t>
      </w:r>
      <w:r w:rsidR="009F5593" w:rsidRPr="00221992">
        <w:rPr>
          <w:lang w:val="en-GB"/>
        </w:rPr>
        <w:t xml:space="preserve"> the</w:t>
      </w:r>
      <w:r w:rsidRPr="00221992">
        <w:rPr>
          <w:lang w:val="en-GB"/>
        </w:rPr>
        <w:t xml:space="preserve"> elimination of equity gaps) </w:t>
      </w:r>
      <w:r w:rsidRPr="00221992">
        <w:rPr>
          <w:lang w:val="en-GB"/>
        </w:rPr>
        <w:fldChar w:fldCharType="begin"/>
      </w:r>
      <w:r w:rsidR="00E5265C">
        <w:rPr>
          <w:lang w:val="en-GB"/>
        </w:rPr>
        <w:instrText xml:space="preserve"> ADDIN EN.CITE &lt;EndNote&gt;&lt;Cite&gt;&lt;Author&gt;Pharmac&lt;/Author&gt;&lt;Year&gt;2022&lt;/Year&gt;&lt;RecNum&gt;380&lt;/RecNum&gt;&lt;DisplayText&gt;[100]&lt;/DisplayText&gt;&lt;record&gt;&lt;rec-number&gt;380&lt;/rec-number&gt;&lt;foreign-keys&gt;&lt;key app="EN" db-id="wzwwsfxe4peesxef95cxvrwjxts9rreasarf" timestamp="1692654670"&gt;380&lt;/key&gt;&lt;/foreign-keys&gt;&lt;ref-type name="Web Page"&gt;12&lt;/ref-type&gt;&lt;contributors&gt;&lt;authors&gt;&lt;author&gt;Pharmac&lt;/author&gt;&lt;/authors&gt;&lt;/contributors&gt;&lt;titles&gt;&lt;title&gt;Priority - Equity for Māori&lt;/title&gt;&lt;/titles&gt;&lt;number&gt;21 August 2023&lt;/number&gt;&lt;dates&gt;&lt;year&gt;2022&lt;/year&gt;&lt;/dates&gt;&lt;pub-location&gt;Wellington&lt;/pub-location&gt;&lt;publisher&gt;Pharmac, New Zealand Ministry of Health&lt;/publisher&gt;&lt;urls&gt;&lt;related-urls&gt;&lt;url&gt;https://pharmac.govt.nz/te-tiriti-o-waitangi/te-whaioranga/te-rautaki-te-whaioranga/priority-equity-for-maori/&lt;/url&gt;&lt;/related-urls&gt;&lt;/urls&gt;&lt;/record&gt;&lt;/Cite&gt;&lt;/EndNote&gt;</w:instrText>
      </w:r>
      <w:r w:rsidRPr="00221992">
        <w:rPr>
          <w:lang w:val="en-GB"/>
        </w:rPr>
        <w:fldChar w:fldCharType="separate"/>
      </w:r>
      <w:r w:rsidR="00E5265C">
        <w:rPr>
          <w:noProof/>
          <w:lang w:val="en-GB"/>
        </w:rPr>
        <w:t>[100]</w:t>
      </w:r>
      <w:r w:rsidRPr="00221992">
        <w:rPr>
          <w:lang w:val="en-GB"/>
        </w:rPr>
        <w:fldChar w:fldCharType="end"/>
      </w:r>
      <w:r w:rsidRPr="00221992">
        <w:rPr>
          <w:lang w:val="en-GB"/>
        </w:rPr>
        <w:t>.</w:t>
      </w:r>
    </w:p>
    <w:p w14:paraId="6F8D4D3F" w14:textId="73637151" w:rsidR="00922D2D" w:rsidRPr="00221992" w:rsidRDefault="00922D2D" w:rsidP="00702C58">
      <w:pPr>
        <w:rPr>
          <w:rFonts w:ascii="Calibri" w:hAnsi="Calibri" w:cs="Calibri"/>
          <w:b/>
          <w:lang w:val="en-GB"/>
        </w:rPr>
      </w:pPr>
      <w:r w:rsidRPr="00221992">
        <w:rPr>
          <w:rFonts w:ascii="Calibri" w:hAnsi="Calibri" w:cs="Calibri"/>
          <w:b/>
          <w:lang w:val="en-GB"/>
        </w:rPr>
        <w:t>Canada</w:t>
      </w:r>
    </w:p>
    <w:p w14:paraId="4468B31D" w14:textId="14E23AA0" w:rsidR="00165681" w:rsidRPr="00221992" w:rsidRDefault="00165681" w:rsidP="00702C58">
      <w:pPr>
        <w:rPr>
          <w:lang w:val="en-GB"/>
        </w:rPr>
      </w:pPr>
      <w:r w:rsidRPr="00221992">
        <w:rPr>
          <w:lang w:val="en-GB"/>
        </w:rPr>
        <w:t xml:space="preserve">In Canada, CADTH has explicitly acknowledged its </w:t>
      </w:r>
      <w:r w:rsidR="00940D2A">
        <w:rPr>
          <w:lang w:val="en-GB"/>
        </w:rPr>
        <w:t xml:space="preserve">own </w:t>
      </w:r>
      <w:r w:rsidRPr="00221992">
        <w:rPr>
          <w:lang w:val="en-GB"/>
        </w:rPr>
        <w:t>role in the harmful practices of colonisation and perpetuation of health inequities among First Nations peoples. The organisation</w:t>
      </w:r>
      <w:r w:rsidR="00551786">
        <w:rPr>
          <w:lang w:val="en-GB"/>
        </w:rPr>
        <w:t>’</w:t>
      </w:r>
      <w:r w:rsidRPr="00221992">
        <w:rPr>
          <w:lang w:val="en-GB"/>
        </w:rPr>
        <w:t xml:space="preserve">s internal </w:t>
      </w:r>
      <w:r w:rsidR="00551786">
        <w:rPr>
          <w:lang w:val="en-GB"/>
        </w:rPr>
        <w:t>‘</w:t>
      </w:r>
      <w:r w:rsidRPr="00221992">
        <w:rPr>
          <w:lang w:val="en-GB"/>
        </w:rPr>
        <w:t>Settler Initiatives</w:t>
      </w:r>
      <w:r w:rsidR="00551786">
        <w:rPr>
          <w:lang w:val="en-GB"/>
        </w:rPr>
        <w:t>’</w:t>
      </w:r>
      <w:r w:rsidRPr="00221992">
        <w:rPr>
          <w:lang w:val="en-GB"/>
        </w:rPr>
        <w:t xml:space="preserve"> project aimed to help CADTH understand its past efforts in this space and identify cultural awareness needs for staff. The project also delivered recommendations and a roadmap to help the organisation move forward in partnership with Indigenous people. CADTH has also partnered with the Indigenous consultancy, pipikwan pêhtâkwan, to co-develop an organizational land acknowledgement and a statement of reconciliation with Indigenous Peoples, communities, organizations, and governments. The statement acknowledges the historical and ongoing ways Indigenous Peoples and communities have been harmed by racism and prejudice in Canada</w:t>
      </w:r>
      <w:r w:rsidR="00551786">
        <w:rPr>
          <w:lang w:val="en-GB"/>
        </w:rPr>
        <w:t>’</w:t>
      </w:r>
      <w:r w:rsidRPr="00221992">
        <w:rPr>
          <w:lang w:val="en-GB"/>
        </w:rPr>
        <w:t>s health care system and affirms CADTH</w:t>
      </w:r>
      <w:r w:rsidR="00551786">
        <w:rPr>
          <w:lang w:val="en-GB"/>
        </w:rPr>
        <w:t>’</w:t>
      </w:r>
      <w:r w:rsidRPr="00221992">
        <w:rPr>
          <w:lang w:val="en-GB"/>
        </w:rPr>
        <w:t>s commitment to reconciliation. Moving forward, CADTH is developing an Indigenous relations and engagement strategy to foster equitable relationships and incorporate Indigenous knowledge systems within the agency</w:t>
      </w:r>
      <w:r w:rsidR="00551786">
        <w:rPr>
          <w:lang w:val="en-GB"/>
        </w:rPr>
        <w:t>’</w:t>
      </w:r>
      <w:r w:rsidRPr="00221992">
        <w:rPr>
          <w:lang w:val="en-GB"/>
        </w:rPr>
        <w:t xml:space="preserve">s work, including the adaptation of processes to include Indigenous perspectives and voices </w:t>
      </w:r>
      <w:r w:rsidRPr="00221992">
        <w:rPr>
          <w:lang w:val="en-GB"/>
        </w:rPr>
        <w:fldChar w:fldCharType="begin"/>
      </w:r>
      <w:r w:rsidR="00E5265C">
        <w:rPr>
          <w:lang w:val="en-GB"/>
        </w:rPr>
        <w:instrText xml:space="preserve"> ADDIN EN.CITE &lt;EndNote&gt;&lt;Cite&gt;&lt;Author&gt;Canadian Agency for Drugs and Technologies in Health (CADTH)&lt;/Author&gt;&lt;Year&gt;2022&lt;/Year&gt;&lt;RecNum&gt;71&lt;/RecNum&gt;&lt;DisplayText&gt;[101]&lt;/DisplayText&gt;&lt;record&gt;&lt;rec-number&gt;71&lt;/rec-number&gt;&lt;foreign-keys&gt;&lt;key app="EN" db-id="wzwwsfxe4peesxef95cxvrwjxts9rreasarf" timestamp="1692654670"&gt;71&lt;/key&gt;&lt;/foreign-keys&gt;&lt;ref-type name="Web Page"&gt;12&lt;/ref-type&gt;&lt;contributors&gt;&lt;authors&gt;&lt;author&gt;Canadian Agency for Drugs and Technologies in Health (CADTH),&lt;/author&gt;&lt;/authors&gt;&lt;/contributors&gt;&lt;titles&gt;&lt;title&gt;Reflections on the Path to Reconciliation&lt;/title&gt;&lt;/titles&gt;&lt;number&gt;21 August 2023&lt;/number&gt;&lt;dates&gt;&lt;year&gt;2022&lt;/year&gt;&lt;/dates&gt;&lt;publisher&gt;Canadian Agency for Drugs and Technologies in Health (CADTH)&lt;/publisher&gt;&lt;urls&gt;&lt;related-urls&gt;&lt;url&gt;https://www.cadth.ca/annual-report-path-reconciliation&lt;/url&gt;&lt;/related-urls&gt;&lt;/urls&gt;&lt;/record&gt;&lt;/Cite&gt;&lt;/EndNote&gt;</w:instrText>
      </w:r>
      <w:r w:rsidRPr="00221992">
        <w:rPr>
          <w:lang w:val="en-GB"/>
        </w:rPr>
        <w:fldChar w:fldCharType="separate"/>
      </w:r>
      <w:r w:rsidR="00E5265C">
        <w:rPr>
          <w:noProof/>
          <w:lang w:val="en-GB"/>
        </w:rPr>
        <w:t>[101]</w:t>
      </w:r>
      <w:r w:rsidRPr="00221992">
        <w:rPr>
          <w:lang w:val="en-GB"/>
        </w:rPr>
        <w:fldChar w:fldCharType="end"/>
      </w:r>
      <w:r w:rsidRPr="00221992">
        <w:rPr>
          <w:lang w:val="en-GB"/>
        </w:rPr>
        <w:t>.</w:t>
      </w:r>
    </w:p>
    <w:p w14:paraId="0B953B66" w14:textId="77777777" w:rsidR="00165681" w:rsidRPr="00221992" w:rsidRDefault="00165681" w:rsidP="0012257A">
      <w:pPr>
        <w:pStyle w:val="NbrHeading3"/>
        <w:rPr>
          <w:lang w:val="en-GB"/>
        </w:rPr>
      </w:pPr>
      <w:bookmarkStart w:id="118" w:name="_Toc162950879"/>
      <w:r w:rsidRPr="00221992">
        <w:rPr>
          <w:lang w:val="en-GB"/>
        </w:rPr>
        <w:t>Severity</w:t>
      </w:r>
      <w:bookmarkEnd w:id="118"/>
    </w:p>
    <w:p w14:paraId="7B20BE2A" w14:textId="066C5E17" w:rsidR="003C5D45" w:rsidRPr="00221992" w:rsidRDefault="00165681" w:rsidP="003C5D45">
      <w:pPr>
        <w:rPr>
          <w:lang w:val="en-GB"/>
        </w:rPr>
      </w:pPr>
      <w:r w:rsidRPr="00221992">
        <w:rPr>
          <w:lang w:val="en-GB"/>
        </w:rPr>
        <w:t>There is qualified evidence in the academic literature of public support for exceptional consideration of disease severity in HTA deliberations. In a survey of Australian public attitudes towards funding high-cost cancer medicines, Ghinea et al</w:t>
      </w:r>
      <w:r w:rsidR="009F5593" w:rsidRPr="00221992">
        <w:rPr>
          <w:lang w:val="en-GB"/>
        </w:rPr>
        <w:t>.</w:t>
      </w:r>
      <w:r w:rsidRPr="00221992">
        <w:rPr>
          <w:lang w:val="en-GB"/>
        </w:rPr>
        <w:t xml:space="preserve"> (2021) found broad support (96%) for the public funding of these therapies, citing equity of access (98%), unmet clinical need (98%) and promoting research and development in this space</w:t>
      </w:r>
      <w:r w:rsidR="009F5593" w:rsidRPr="00221992">
        <w:rPr>
          <w:lang w:val="en-GB"/>
        </w:rPr>
        <w:t xml:space="preserve"> </w:t>
      </w:r>
      <w:r w:rsidRPr="00221992">
        <w:rPr>
          <w:lang w:val="en-GB"/>
        </w:rPr>
        <w:t>(87%)</w:t>
      </w:r>
      <w:r w:rsidR="009F5593" w:rsidRPr="00221992">
        <w:rPr>
          <w:lang w:val="en-GB"/>
        </w:rPr>
        <w:t xml:space="preserve"> as key drivers</w:t>
      </w:r>
      <w:r w:rsidRPr="00221992">
        <w:rPr>
          <w:lang w:val="en-GB"/>
        </w:rPr>
        <w:t xml:space="preserve">. A majority (69%) also supported creation of a separate fund for cancer medicines in Australia </w:t>
      </w:r>
      <w:r w:rsidRPr="00221992">
        <w:rPr>
          <w:lang w:val="en-GB"/>
        </w:rPr>
        <w:fldChar w:fldCharType="begin">
          <w:fldData xml:space="preserve">PEVuZE5vdGU+PENpdGU+PEF1dGhvcj5HaGluZWE8L0F1dGhvcj48WWVhcj4yMDIxPC9ZZWFyPjxS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</w:fldData>
        </w:fldChar>
      </w:r>
      <w:r w:rsidR="00E5265C">
        <w:rPr>
          <w:lang w:val="en-GB"/>
        </w:rPr>
        <w:instrText xml:space="preserve"> ADDIN EN.CITE </w:instrText>
      </w:r>
      <w:r w:rsidR="00E5265C">
        <w:rPr>
          <w:lang w:val="en-GB"/>
        </w:rPr>
        <w:fldChar w:fldCharType="begin">
          <w:fldData xml:space="preserve">PEVuZE5vdGU+PENpdGU+PEF1dGhvcj5HaGluZWE8L0F1dGhvcj48WWVhcj4yMDIxPC9ZZWFyPjxS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</w:fldData>
        </w:fldChar>
      </w:r>
      <w:r w:rsidR="00E5265C">
        <w:rPr>
          <w:lang w:val="en-GB"/>
        </w:rPr>
        <w:instrText xml:space="preserve"> ADDIN EN.CITE.DATA </w:instrText>
      </w:r>
      <w:r w:rsidR="00E5265C">
        <w:rPr>
          <w:lang w:val="en-GB"/>
        </w:rPr>
      </w:r>
      <w:r w:rsidR="00E5265C">
        <w:rPr>
          <w:lang w:val="en-GB"/>
        </w:rPr>
        <w:fldChar w:fldCharType="end"/>
      </w:r>
      <w:r w:rsidRPr="00221992">
        <w:rPr>
          <w:lang w:val="en-GB"/>
        </w:rPr>
      </w:r>
      <w:r w:rsidRPr="00221992">
        <w:rPr>
          <w:lang w:val="en-GB"/>
        </w:rPr>
        <w:fldChar w:fldCharType="separate"/>
      </w:r>
      <w:r w:rsidR="00E5265C">
        <w:rPr>
          <w:noProof/>
          <w:lang w:val="en-GB"/>
        </w:rPr>
        <w:t>[102]</w:t>
      </w:r>
      <w:r w:rsidRPr="00221992">
        <w:rPr>
          <w:lang w:val="en-GB"/>
        </w:rPr>
        <w:fldChar w:fldCharType="end"/>
      </w:r>
      <w:r w:rsidRPr="00221992">
        <w:rPr>
          <w:lang w:val="en-GB"/>
        </w:rPr>
        <w:t xml:space="preserve">. With respect to pricing, most respondents (81%) maintained that access should not be delayed by price negotiations, though only a small minority (28%) maintained that the government should accept prices set unilaterally by manufacturers, indicating </w:t>
      </w:r>
      <w:r w:rsidR="009F5593" w:rsidRPr="00221992">
        <w:rPr>
          <w:lang w:val="en-GB"/>
        </w:rPr>
        <w:t>public</w:t>
      </w:r>
      <w:r w:rsidRPr="00221992">
        <w:rPr>
          <w:lang w:val="en-GB"/>
        </w:rPr>
        <w:t xml:space="preserve"> consideration of value for public expenditure </w:t>
      </w:r>
      <w:r w:rsidRPr="00221992">
        <w:rPr>
          <w:lang w:val="en-GB"/>
        </w:rPr>
        <w:fldChar w:fldCharType="begin">
          <w:fldData xml:space="preserve">PEVuZE5vdGU+PENpdGU+PEF1dGhvcj5HaGluZWE8L0F1dGhvcj48WWVhcj4yMDIxPC9ZZWFyPjxS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</w:fldData>
        </w:fldChar>
      </w:r>
      <w:r w:rsidR="00E5265C">
        <w:rPr>
          <w:lang w:val="en-GB"/>
        </w:rPr>
        <w:instrText xml:space="preserve"> ADDIN EN.CITE </w:instrText>
      </w:r>
      <w:r w:rsidR="00E5265C">
        <w:rPr>
          <w:lang w:val="en-GB"/>
        </w:rPr>
        <w:fldChar w:fldCharType="begin">
          <w:fldData xml:space="preserve">PEVuZE5vdGU+PENpdGU+PEF1dGhvcj5HaGluZWE8L0F1dGhvcj48WWVhcj4yMDIxPC9ZZWFyPjxS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</w:fldData>
        </w:fldChar>
      </w:r>
      <w:r w:rsidR="00E5265C">
        <w:rPr>
          <w:lang w:val="en-GB"/>
        </w:rPr>
        <w:instrText xml:space="preserve"> ADDIN EN.CITE.DATA </w:instrText>
      </w:r>
      <w:r w:rsidR="00E5265C">
        <w:rPr>
          <w:lang w:val="en-GB"/>
        </w:rPr>
      </w:r>
      <w:r w:rsidR="00E5265C">
        <w:rPr>
          <w:lang w:val="en-GB"/>
        </w:rPr>
        <w:fldChar w:fldCharType="end"/>
      </w:r>
      <w:r w:rsidRPr="00221992">
        <w:rPr>
          <w:lang w:val="en-GB"/>
        </w:rPr>
      </w:r>
      <w:r w:rsidRPr="00221992">
        <w:rPr>
          <w:lang w:val="en-GB"/>
        </w:rPr>
        <w:fldChar w:fldCharType="separate"/>
      </w:r>
      <w:r w:rsidR="00E5265C">
        <w:rPr>
          <w:noProof/>
          <w:lang w:val="en-GB"/>
        </w:rPr>
        <w:t>[102]</w:t>
      </w:r>
      <w:r w:rsidRPr="00221992">
        <w:rPr>
          <w:lang w:val="en-GB"/>
        </w:rPr>
        <w:fldChar w:fldCharType="end"/>
      </w:r>
      <w:r w:rsidRPr="00221992">
        <w:rPr>
          <w:lang w:val="en-GB"/>
        </w:rPr>
        <w:t>. With respect to public engagement, a majority of respondents supported the inclusion of input from cancer experts within funding decisions (86%), but only around half (55%) supported the inclusion of patient perspectives</w:t>
      </w:r>
      <w:r w:rsidR="006029A6">
        <w:rPr>
          <w:lang w:val="en-GB"/>
        </w:rPr>
        <w:t xml:space="preserve"> </w:t>
      </w:r>
      <w:r w:rsidR="006029A6" w:rsidRPr="00221992">
        <w:rPr>
          <w:lang w:val="en-GB"/>
        </w:rPr>
        <w:fldChar w:fldCharType="begin">
          <w:fldData xml:space="preserve">PEVuZE5vdGU+PENpdGU+PEF1dGhvcj5HaGluZWE8L0F1dGhvcj48WWVhcj4yMDIxPC9ZZWFyPjxS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</w:fldData>
        </w:fldChar>
      </w:r>
      <w:r w:rsidR="00E5265C">
        <w:rPr>
          <w:lang w:val="en-GB"/>
        </w:rPr>
        <w:instrText xml:space="preserve"> ADDIN EN.CITE </w:instrText>
      </w:r>
      <w:r w:rsidR="00E5265C">
        <w:rPr>
          <w:lang w:val="en-GB"/>
        </w:rPr>
        <w:fldChar w:fldCharType="begin">
          <w:fldData xml:space="preserve">PEVuZE5vdGU+PENpdGU+PEF1dGhvcj5HaGluZWE8L0F1dGhvcj48WWVhcj4yMDIxPC9ZZWFyPjxS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</w:fldData>
        </w:fldChar>
      </w:r>
      <w:r w:rsidR="00E5265C">
        <w:rPr>
          <w:lang w:val="en-GB"/>
        </w:rPr>
        <w:instrText xml:space="preserve"> ADDIN EN.CITE.DATA </w:instrText>
      </w:r>
      <w:r w:rsidR="00E5265C">
        <w:rPr>
          <w:lang w:val="en-GB"/>
        </w:rPr>
      </w:r>
      <w:r w:rsidR="00E5265C">
        <w:rPr>
          <w:lang w:val="en-GB"/>
        </w:rPr>
        <w:fldChar w:fldCharType="end"/>
      </w:r>
      <w:r w:rsidR="006029A6" w:rsidRPr="00221992">
        <w:rPr>
          <w:lang w:val="en-GB"/>
        </w:rPr>
      </w:r>
      <w:r w:rsidR="006029A6" w:rsidRPr="00221992">
        <w:rPr>
          <w:lang w:val="en-GB"/>
        </w:rPr>
        <w:fldChar w:fldCharType="separate"/>
      </w:r>
      <w:r w:rsidR="00E5265C">
        <w:rPr>
          <w:noProof/>
          <w:lang w:val="en-GB"/>
        </w:rPr>
        <w:t>[102]</w:t>
      </w:r>
      <w:r w:rsidR="006029A6" w:rsidRPr="00221992">
        <w:rPr>
          <w:lang w:val="en-GB"/>
        </w:rPr>
        <w:fldChar w:fldCharType="end"/>
      </w:r>
      <w:r w:rsidRPr="00221992">
        <w:rPr>
          <w:lang w:val="en-GB"/>
        </w:rPr>
        <w:t>.</w:t>
      </w:r>
    </w:p>
    <w:p w14:paraId="620F81CA" w14:textId="27334E36" w:rsidR="00165681" w:rsidRPr="00221992" w:rsidRDefault="00165681" w:rsidP="003C5D45">
      <w:pPr>
        <w:rPr>
          <w:lang w:val="en-GB"/>
        </w:rPr>
      </w:pPr>
      <w:r w:rsidRPr="00221992">
        <w:rPr>
          <w:lang w:val="en-GB"/>
        </w:rPr>
        <w:t>In a study of revealed and stated preferences in HTA deliberations</w:t>
      </w:r>
      <w:r w:rsidR="003323D2" w:rsidRPr="00221992">
        <w:rPr>
          <w:lang w:val="en-GB"/>
        </w:rPr>
        <w:t>,</w:t>
      </w:r>
      <w:r w:rsidRPr="00221992">
        <w:rPr>
          <w:lang w:val="en-GB"/>
        </w:rPr>
        <w:t xml:space="preserve"> Ghijben et al. (2018) found that while committee members at PBAC, NICE and the All Wales Medicines Strategy Group </w:t>
      </w:r>
      <w:r w:rsidR="0E757437" w:rsidRPr="00221992">
        <w:rPr>
          <w:lang w:val="en-GB"/>
        </w:rPr>
        <w:t>all</w:t>
      </w:r>
      <w:r w:rsidRPr="00221992">
        <w:rPr>
          <w:lang w:val="en-GB"/>
        </w:rPr>
        <w:t xml:space="preserve"> considered disease severity alongside clinical efficacy and cost-effectiveness, in practice, only the PBAC was </w:t>
      </w:r>
      <w:r w:rsidR="003323D2" w:rsidRPr="00221992">
        <w:rPr>
          <w:lang w:val="en-GB"/>
        </w:rPr>
        <w:t xml:space="preserve">empirically </w:t>
      </w:r>
      <w:r w:rsidRPr="00221992">
        <w:rPr>
          <w:lang w:val="en-GB"/>
        </w:rPr>
        <w:t>more likely to recommend technologies on the basis of greater disease severity.</w:t>
      </w:r>
    </w:p>
    <w:p w14:paraId="12524AE5" w14:textId="77777777" w:rsidR="00165681" w:rsidRPr="00221992" w:rsidRDefault="00165681" w:rsidP="0012257A">
      <w:pPr>
        <w:pStyle w:val="NbrHeading3"/>
        <w:rPr>
          <w:lang w:val="en-GB"/>
        </w:rPr>
      </w:pPr>
      <w:bookmarkStart w:id="119" w:name="_Toc162950880"/>
      <w:r w:rsidRPr="00221992">
        <w:rPr>
          <w:lang w:val="en-GB"/>
        </w:rPr>
        <w:t>Children</w:t>
      </w:r>
      <w:bookmarkEnd w:id="119"/>
    </w:p>
    <w:p w14:paraId="51EB1EF2" w14:textId="30D0A7CC" w:rsidR="00165681" w:rsidRPr="00221992" w:rsidRDefault="00165681" w:rsidP="00702C58">
      <w:pPr>
        <w:rPr>
          <w:lang w:val="en-GB"/>
        </w:rPr>
      </w:pPr>
      <w:r w:rsidRPr="00221992">
        <w:rPr>
          <w:lang w:val="en-GB"/>
        </w:rPr>
        <w:t>Denburg et al. (2017) observe</w:t>
      </w:r>
      <w:r w:rsidR="002B667E" w:rsidRPr="00221992">
        <w:rPr>
          <w:lang w:val="en-GB"/>
        </w:rPr>
        <w:t>d</w:t>
      </w:r>
      <w:r w:rsidRPr="00221992">
        <w:rPr>
          <w:lang w:val="en-GB"/>
        </w:rPr>
        <w:t xml:space="preserve"> that due to lower total disease burden, relatively limited economic impact, and gaps in clinical and economic evidence, children</w:t>
      </w:r>
      <w:r w:rsidR="00551786">
        <w:rPr>
          <w:lang w:val="en-GB"/>
        </w:rPr>
        <w:t>’</w:t>
      </w:r>
      <w:r w:rsidRPr="00221992">
        <w:rPr>
          <w:lang w:val="en-GB"/>
        </w:rPr>
        <w:t xml:space="preserve">s health has been marginalised in HTA, leading to disparate coverage internationally </w:t>
      </w:r>
      <w:r w:rsidRPr="00221992">
        <w:rPr>
          <w:lang w:val="en-GB"/>
        </w:rPr>
        <w:fldChar w:fldCharType="begin">
          <w:fldData xml:space="preserve">PEVuZE5vdGU+PENpdGU+PEF1dGhvcj5EZW5idXJnPC9BdXRob3I+PFllYXI+MjAxNzwvWWVhcj48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</w:fldData>
        </w:fldChar>
      </w:r>
      <w:r w:rsidR="00E5265C">
        <w:rPr>
          <w:lang w:val="en-GB"/>
        </w:rPr>
        <w:instrText xml:space="preserve"> ADDIN EN.CITE </w:instrText>
      </w:r>
      <w:r w:rsidR="00E5265C">
        <w:rPr>
          <w:lang w:val="en-GB"/>
        </w:rPr>
        <w:fldChar w:fldCharType="begin">
          <w:fldData xml:space="preserve">PEVuZE5vdGU+PENpdGU+PEF1dGhvcj5EZW5idXJnPC9BdXRob3I+PFllYXI+MjAxNzwvWWVhcj48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</w:fldData>
        </w:fldChar>
      </w:r>
      <w:r w:rsidR="00E5265C">
        <w:rPr>
          <w:lang w:val="en-GB"/>
        </w:rPr>
        <w:instrText xml:space="preserve"> ADDIN EN.CITE.DATA </w:instrText>
      </w:r>
      <w:r w:rsidR="00E5265C">
        <w:rPr>
          <w:lang w:val="en-GB"/>
        </w:rPr>
      </w:r>
      <w:r w:rsidR="00E5265C">
        <w:rPr>
          <w:lang w:val="en-GB"/>
        </w:rPr>
        <w:fldChar w:fldCharType="end"/>
      </w:r>
      <w:r w:rsidRPr="00221992">
        <w:rPr>
          <w:lang w:val="en-GB"/>
        </w:rPr>
      </w:r>
      <w:r w:rsidRPr="00221992">
        <w:rPr>
          <w:lang w:val="en-GB"/>
        </w:rPr>
        <w:fldChar w:fldCharType="separate"/>
      </w:r>
      <w:r w:rsidR="00E5265C">
        <w:rPr>
          <w:noProof/>
          <w:lang w:val="en-GB"/>
        </w:rPr>
        <w:t>[103]</w:t>
      </w:r>
      <w:r w:rsidRPr="00221992">
        <w:rPr>
          <w:lang w:val="en-GB"/>
        </w:rPr>
        <w:fldChar w:fldCharType="end"/>
      </w:r>
      <w:r w:rsidRPr="00221992">
        <w:rPr>
          <w:lang w:val="en-GB"/>
        </w:rPr>
        <w:t>. Notwithstanding this exclusion, evidence suggests that society may indeed place greater relative value on health gains for children, relating to notions of foregone social and economic opportunity</w:t>
      </w:r>
      <w:r w:rsidR="00F62568" w:rsidRPr="00221992">
        <w:rPr>
          <w:lang w:val="en-GB"/>
        </w:rPr>
        <w:t>; a belief</w:t>
      </w:r>
      <w:r w:rsidRPr="00221992">
        <w:rPr>
          <w:lang w:val="en-GB"/>
        </w:rPr>
        <w:t xml:space="preserve"> that all individuals are equally entitled to a full, healthy life</w:t>
      </w:r>
      <w:r w:rsidR="00F62568" w:rsidRPr="00221992">
        <w:rPr>
          <w:lang w:val="en-GB"/>
        </w:rPr>
        <w:t>;</w:t>
      </w:r>
      <w:r w:rsidRPr="00221992">
        <w:rPr>
          <w:lang w:val="en-GB"/>
        </w:rPr>
        <w:t xml:space="preserve"> impacts on the family</w:t>
      </w:r>
      <w:r w:rsidR="00F62568" w:rsidRPr="00221992">
        <w:rPr>
          <w:lang w:val="en-GB"/>
        </w:rPr>
        <w:t>;</w:t>
      </w:r>
      <w:r w:rsidRPr="00221992">
        <w:rPr>
          <w:lang w:val="en-GB"/>
        </w:rPr>
        <w:t xml:space="preserve"> and the intrinsic value of childhood itself </w:t>
      </w:r>
      <w:r w:rsidRPr="00221992">
        <w:rPr>
          <w:lang w:val="en-GB"/>
        </w:rPr>
        <w:fldChar w:fldCharType="begin">
          <w:fldData xml:space="preserve">PEVuZE5vdGU+PENpdGU+PEF1dGhvcj5EZW5idXJnPC9BdXRob3I+PFllYXI+MjAxNzwvWWVhcj48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</w:fldData>
        </w:fldChar>
      </w:r>
      <w:r w:rsidR="00E5265C">
        <w:rPr>
          <w:lang w:val="en-GB"/>
        </w:rPr>
        <w:instrText xml:space="preserve"> ADDIN EN.CITE </w:instrText>
      </w:r>
      <w:r w:rsidR="00E5265C">
        <w:rPr>
          <w:lang w:val="en-GB"/>
        </w:rPr>
        <w:fldChar w:fldCharType="begin">
          <w:fldData xml:space="preserve">PEVuZE5vdGU+PENpdGU+PEF1dGhvcj5EZW5idXJnPC9BdXRob3I+PFllYXI+MjAxNzwvWWVhcj48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</w:fldData>
        </w:fldChar>
      </w:r>
      <w:r w:rsidR="00E5265C">
        <w:rPr>
          <w:lang w:val="en-GB"/>
        </w:rPr>
        <w:instrText xml:space="preserve"> ADDIN EN.CITE.DATA </w:instrText>
      </w:r>
      <w:r w:rsidR="00E5265C">
        <w:rPr>
          <w:lang w:val="en-GB"/>
        </w:rPr>
      </w:r>
      <w:r w:rsidR="00E5265C">
        <w:rPr>
          <w:lang w:val="en-GB"/>
        </w:rPr>
        <w:fldChar w:fldCharType="end"/>
      </w:r>
      <w:r w:rsidRPr="00221992">
        <w:rPr>
          <w:lang w:val="en-GB"/>
        </w:rPr>
      </w:r>
      <w:r w:rsidRPr="00221992">
        <w:rPr>
          <w:lang w:val="en-GB"/>
        </w:rPr>
        <w:fldChar w:fldCharType="separate"/>
      </w:r>
      <w:r w:rsidR="00E5265C">
        <w:rPr>
          <w:noProof/>
          <w:lang w:val="en-GB"/>
        </w:rPr>
        <w:t>[103-104]</w:t>
      </w:r>
      <w:r w:rsidRPr="00221992">
        <w:rPr>
          <w:lang w:val="en-GB"/>
        </w:rPr>
        <w:fldChar w:fldCharType="end"/>
      </w:r>
      <w:r w:rsidRPr="00221992">
        <w:rPr>
          <w:lang w:val="en-GB"/>
        </w:rPr>
        <w:t xml:space="preserve">. Nonetheless, formal mechanisms for the assessment and reimbursement of drugs specifically for children remain exceedingly rare internationally. Denburg et al. (2020) </w:t>
      </w:r>
      <w:r w:rsidR="002B667E" w:rsidRPr="00221992">
        <w:rPr>
          <w:lang w:val="en-GB"/>
        </w:rPr>
        <w:t>underscore</w:t>
      </w:r>
      <w:r w:rsidRPr="00221992">
        <w:rPr>
          <w:lang w:val="en-GB"/>
        </w:rPr>
        <w:t xml:space="preserve"> the role of market considerations in the downstream access to paediatric drugs, and advocate that HTA bodies do more to promote research and development of paediatric therapies, including financial incentives, requirements for paediatric indications, horizon scanning and decision-support for the collection and interpretation of evidence </w:t>
      </w:r>
      <w:r w:rsidRPr="00221992">
        <w:rPr>
          <w:lang w:val="en-GB"/>
        </w:rPr>
        <w:fldChar w:fldCharType="begin">
          <w:fldData xml:space="preserve">PEVuZE5vdGU+PENpdGU+PEF1dGhvcj5EZW5idXJnPC9BdXRob3I+PFllYXI+MjAyMDwvWWVhcj48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</w:fldData>
        </w:fldChar>
      </w:r>
      <w:r w:rsidR="00E5265C">
        <w:rPr>
          <w:lang w:val="en-GB"/>
        </w:rPr>
        <w:instrText xml:space="preserve"> ADDIN EN.CITE </w:instrText>
      </w:r>
      <w:r w:rsidR="00E5265C">
        <w:rPr>
          <w:lang w:val="en-GB"/>
        </w:rPr>
        <w:fldChar w:fldCharType="begin">
          <w:fldData xml:space="preserve">PEVuZE5vdGU+PENpdGU+PEF1dGhvcj5EZW5idXJnPC9BdXRob3I+PFllYXI+MjAyMDwvWWVhcj48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</w:fldData>
        </w:fldChar>
      </w:r>
      <w:r w:rsidR="00E5265C">
        <w:rPr>
          <w:lang w:val="en-GB"/>
        </w:rPr>
        <w:instrText xml:space="preserve"> ADDIN EN.CITE.DATA </w:instrText>
      </w:r>
      <w:r w:rsidR="00E5265C">
        <w:rPr>
          <w:lang w:val="en-GB"/>
        </w:rPr>
      </w:r>
      <w:r w:rsidR="00E5265C">
        <w:rPr>
          <w:lang w:val="en-GB"/>
        </w:rPr>
        <w:fldChar w:fldCharType="end"/>
      </w:r>
      <w:r w:rsidRPr="00221992">
        <w:rPr>
          <w:lang w:val="en-GB"/>
        </w:rPr>
      </w:r>
      <w:r w:rsidRPr="00221992">
        <w:rPr>
          <w:lang w:val="en-GB"/>
        </w:rPr>
        <w:fldChar w:fldCharType="separate"/>
      </w:r>
      <w:r w:rsidR="00E5265C">
        <w:rPr>
          <w:noProof/>
          <w:lang w:val="en-GB"/>
        </w:rPr>
        <w:t>[105]</w:t>
      </w:r>
      <w:r w:rsidRPr="00221992">
        <w:rPr>
          <w:lang w:val="en-GB"/>
        </w:rPr>
        <w:fldChar w:fldCharType="end"/>
      </w:r>
      <w:r w:rsidRPr="00221992">
        <w:rPr>
          <w:lang w:val="en-GB"/>
        </w:rPr>
        <w:t>.</w:t>
      </w:r>
    </w:p>
    <w:p w14:paraId="142A778D" w14:textId="77777777" w:rsidR="00165681" w:rsidRPr="00221992" w:rsidRDefault="00165681" w:rsidP="0012257A">
      <w:pPr>
        <w:pStyle w:val="NbrHeading3"/>
        <w:rPr>
          <w:lang w:val="en-GB"/>
        </w:rPr>
      </w:pPr>
      <w:bookmarkStart w:id="120" w:name="_Toc162950881"/>
      <w:r w:rsidRPr="00221992">
        <w:rPr>
          <w:lang w:val="en-GB"/>
        </w:rPr>
        <w:t>Rare disease</w:t>
      </w:r>
      <w:bookmarkEnd w:id="120"/>
    </w:p>
    <w:p w14:paraId="777A70E6" w14:textId="4CBF474C" w:rsidR="00165681" w:rsidRPr="00221992" w:rsidRDefault="008B02B0" w:rsidP="008B02B0">
      <w:pPr>
        <w:rPr>
          <w:lang w:val="en-GB"/>
        </w:rPr>
      </w:pPr>
      <w:r w:rsidRPr="00221992">
        <w:rPr>
          <w:lang w:val="en-GB"/>
        </w:rPr>
        <w:t>There is considerable overlap between the areas of children</w:t>
      </w:r>
      <w:r w:rsidR="00551786">
        <w:rPr>
          <w:lang w:val="en-GB"/>
        </w:rPr>
        <w:t>’</w:t>
      </w:r>
      <w:r w:rsidRPr="00221992">
        <w:rPr>
          <w:lang w:val="en-GB"/>
        </w:rPr>
        <w:t xml:space="preserve">s and rare diseases, particularly in the area of paediatric oncology, as all childhood cancers may be defined as rare diseases </w:t>
      </w:r>
      <w:r w:rsidRPr="00221992">
        <w:rPr>
          <w:lang w:val="en-GB"/>
        </w:rPr>
        <w:fldChar w:fldCharType="begin"/>
      </w:r>
      <w:r w:rsidR="00E5265C">
        <w:rPr>
          <w:lang w:val="en-GB"/>
        </w:rPr>
        <w:instrText xml:space="preserve"> ADDIN EN.CITE &lt;EndNote&gt;&lt;Cite&gt;&lt;Author&gt;Adkins&lt;/Author&gt;&lt;Year&gt;2017&lt;/Year&gt;&lt;RecNum&gt;18433&lt;/RecNum&gt;&lt;DisplayText&gt;[80]&lt;/DisplayText&gt;&lt;record&gt;&lt;rec-number&gt;18433&lt;/rec-number&gt;&lt;foreign-keys&gt;&lt;key app="EN" db-id="etpte9adcdfve1eerz5pws2fvps522ds5svf" timestamp="1685420382" guid="163d04aa-3f45-4099-aedb-e58bd785b1d8"&gt;18433&lt;/key&gt;&lt;/foreign-keys&gt;&lt;ref-type name="Journal Article"&gt;17&lt;/ref-type&gt;&lt;contributors&gt;&lt;authors&gt;&lt;author&gt;Adkins, Elizabeth M.&lt;/author&gt;&lt;author&gt;Nicholson, Lindsay&lt;/author&gt;&lt;author&gt;Floyd, David&lt;/author&gt;&lt;author&gt;Ratcliffe, Mark&lt;/author&gt;&lt;author&gt;Chevrou-Severac, Helene&lt;/author&gt;&lt;/authors&gt;&lt;/contributors&gt;&lt;titles&gt;&lt;title&gt;Oncology drugs for orphan indications: how are HTA processes evolving for this specific drug category?&lt;/title&gt;&lt;secondary-title&gt;ClinicoEconomics and outcomes research : CEOR&lt;/secondary-title&gt;&lt;/titles&gt;&lt;pages&gt;327-342&lt;/pages&gt;&lt;volume&gt;9&lt;/volume&gt;&lt;section&gt;Adkins, Elizabeth M. PHMR, London, UK.&amp;#xD;Nicholson, Lindsay. PHMR, London, UK.&amp;#xD;Floyd, David. PHMR, London, UK.&amp;#xD;Ratcliffe, Mark. PHMR, London, UK.&amp;#xD;Chevrou-Severac, Helene. Takeda Pharmaceuticals AG, Zurich, Switzerland.&lt;/section&gt;&lt;dates&gt;&lt;year&gt;2017&lt;/year&gt;&lt;/dates&gt;&lt;pub-location&gt;New Zealand&lt;/pub-location&gt;&lt;isbn&gt;1178-6981&lt;/isbn&gt;&lt;urls&gt;&lt;related-urls&gt;&lt;url&gt;http://ovidsp.ovid.com/ovidweb.cgi?T=JS&amp;amp;PAGE=reference&amp;amp;D=pmnm4&amp;amp;NEWS=N&amp;amp;AN=28652787&lt;/url&gt;&lt;url&gt;https://www.ncbi.nlm.nih.gov/pmc/articles/PMC5473500/pdf/ceor-9-327.pdf&lt;/url&gt;&lt;/related-urls&gt;&lt;/urls&gt;&lt;electronic-resource-num&gt;https://dx.doi.org/10.2147/CEOR.S134230&lt;/electronic-resource-num&gt;&lt;remote-database-name&gt;Ovid MEDLINE(R) PubMed-not-MEDLINE &amp;lt;2017 to 2019&amp;gt;&lt;/remote-database-name&gt;&lt;research-notes&gt;IN&lt;/research-notes&gt;&lt;access-date&gt;20170610//&lt;/access-date&gt;&lt;/record&gt;&lt;/Cite&gt;&lt;/EndNote&gt;</w:instrText>
      </w:r>
      <w:r w:rsidRPr="00221992">
        <w:rPr>
          <w:lang w:val="en-GB"/>
        </w:rPr>
        <w:fldChar w:fldCharType="separate"/>
      </w:r>
      <w:r w:rsidR="00E5265C">
        <w:rPr>
          <w:noProof/>
          <w:lang w:val="en-GB"/>
        </w:rPr>
        <w:t>[80]</w:t>
      </w:r>
      <w:r w:rsidRPr="00221992">
        <w:rPr>
          <w:lang w:val="en-GB"/>
        </w:rPr>
        <w:fldChar w:fldCharType="end"/>
      </w:r>
      <w:r w:rsidRPr="00221992">
        <w:rPr>
          <w:lang w:val="en-GB"/>
        </w:rPr>
        <w:t xml:space="preserve">. </w:t>
      </w:r>
      <w:r w:rsidR="007F5FF8" w:rsidRPr="00221992">
        <w:rPr>
          <w:lang w:val="en-GB"/>
        </w:rPr>
        <w:t xml:space="preserve">As </w:t>
      </w:r>
      <w:r w:rsidR="00B52E01" w:rsidRPr="00221992">
        <w:rPr>
          <w:lang w:val="en-GB"/>
        </w:rPr>
        <w:t>discussed</w:t>
      </w:r>
      <w:r w:rsidR="007F5FF8" w:rsidRPr="00221992">
        <w:rPr>
          <w:lang w:val="en-GB"/>
        </w:rPr>
        <w:t xml:space="preserve"> in Section </w:t>
      </w:r>
      <w:r w:rsidR="007F5FF8" w:rsidRPr="00221992">
        <w:rPr>
          <w:lang w:val="en-GB"/>
        </w:rPr>
        <w:fldChar w:fldCharType="begin"/>
      </w:r>
      <w:r w:rsidR="007F5FF8">
        <w:instrText xml:space="preserve"> REF _Ref143764702 \n \h </w:instrText>
      </w:r>
      <w:r w:rsidR="007F5FF8" w:rsidRPr="00221992">
        <w:rPr>
          <w:lang w:val="en-GB"/>
        </w:rPr>
      </w:r>
      <w:r w:rsidR="007F5FF8" w:rsidRPr="00221992">
        <w:rPr>
          <w:lang w:val="en-GB"/>
        </w:rPr>
        <w:fldChar w:fldCharType="separate"/>
      </w:r>
      <w:r w:rsidR="000E11E7">
        <w:t>4.5</w:t>
      </w:r>
      <w:r w:rsidR="007F5FF8" w:rsidRPr="00221992">
        <w:rPr>
          <w:lang w:val="en-GB"/>
        </w:rPr>
        <w:fldChar w:fldCharType="end"/>
      </w:r>
      <w:r w:rsidR="007F5FF8" w:rsidRPr="00221992">
        <w:rPr>
          <w:lang w:val="en-GB"/>
        </w:rPr>
        <w:t>, r</w:t>
      </w:r>
      <w:r w:rsidR="00165681" w:rsidRPr="00221992">
        <w:rPr>
          <w:lang w:val="en-GB"/>
        </w:rPr>
        <w:t>are diseases pose a challenge for HTA, as there is often a lack of evidence and greater degree of uncertainty concerning emerging treatments</w:t>
      </w:r>
      <w:r w:rsidR="00551786">
        <w:rPr>
          <w:lang w:val="en-GB"/>
        </w:rPr>
        <w:t>’</w:t>
      </w:r>
      <w:r w:rsidR="00165681" w:rsidRPr="00221992">
        <w:rPr>
          <w:lang w:val="en-GB"/>
        </w:rPr>
        <w:t xml:space="preserve"> clinical efficacy and cost-effectiveness </w:t>
      </w:r>
      <w:r w:rsidR="00165681" w:rsidRPr="00221992">
        <w:rPr>
          <w:lang w:val="en-GB"/>
        </w:rPr>
        <w:fldChar w:fldCharType="begin"/>
      </w:r>
      <w:r w:rsidR="00E5265C">
        <w:rPr>
          <w:lang w:val="en-GB"/>
        </w:rPr>
        <w:instrText xml:space="preserve"> ADDIN EN.CITE &lt;EndNote&gt;&lt;Cite&gt;&lt;Author&gt;Morel&lt;/Author&gt;&lt;Year&gt;2013&lt;/Year&gt;&lt;RecNum&gt;20387&lt;/RecNum&gt;&lt;DisplayText&gt;[106-107]&lt;/DisplayText&gt;&lt;record&gt;&lt;rec-number&gt;20387&lt;/rec-number&gt;&lt;foreign-keys&gt;&lt;key app="EN" db-id="etpte9adcdfve1eerz5pws2fvps522ds5svf" timestamp="1692576232" guid="2011298a-2dc0-4257-8108-54cd060a44c7"&gt;20387&lt;/key&gt;&lt;/foreign-keys&gt;&lt;ref-type name="Journal Article"&gt;17&lt;/ref-type&gt;&lt;contributors&gt;&lt;authors&gt;&lt;author&gt;Morel, Thomas&lt;/author&gt;&lt;author&gt;Arickx, Francis&lt;/author&gt;&lt;author&gt;Befrits, Gustaf&lt;/author&gt;&lt;author&gt;Siviero, Paolo&lt;/author&gt;&lt;author&gt;van der Meijden, Caroline&lt;/author&gt;&lt;author&gt;Xoxi, Entela&lt;/author&gt;&lt;author&gt;Simoens, Steven&lt;/author&gt;&lt;/authors&gt;&lt;/contributors&gt;&lt;titles&gt;&lt;title&gt;Reconciling uncertainty of costs and outcomes with the need for access to orphan medicinal products: a comparative study of managed entry agreements across seven European countries&lt;/title&gt;&lt;secondary-title&gt;Orphanet journal of rare diseases&lt;/secondary-title&gt;&lt;/titles&gt;&lt;pages&gt;1-15&lt;/pages&gt;&lt;volume&gt;8&lt;/volume&gt;&lt;dates&gt;&lt;year&gt;2013&lt;/year&gt;&lt;/dates&gt;&lt;urls&gt;&lt;/urls&gt;&lt;/record&gt;&lt;/Cite&gt;&lt;Cite&gt;&lt;Author&gt;Kesselheim&lt;/Author&gt;&lt;Year&gt;2011&lt;/Year&gt;&lt;RecNum&gt;250&lt;/RecNum&gt;&lt;record&gt;&lt;rec-number&gt;250&lt;/rec-number&gt;&lt;foreign-keys&gt;&lt;key app="EN" db-id="wzwwsfxe4peesxef95cxvrwjxts9rreasarf" timestamp="1692654670"&gt;250&lt;/key&gt;&lt;/foreign-keys&gt;&lt;ref-type name="Journal Article"&gt;17&lt;/ref-type&gt;&lt;contributors&gt;&lt;authors&gt;&lt;author&gt;Kesselheim, Aaron S&lt;/author&gt;&lt;author&gt;Myers, Jessica A&lt;/author&gt;&lt;author&gt;Avorn, Jerry&lt;/author&gt;&lt;/authors&gt;&lt;/contributors&gt;&lt;titles&gt;&lt;title&gt;Characteristics of clinical trials to support approval of orphan vs nonorphan drugs for cancer&lt;/title&gt;&lt;secondary-title&gt;Jama&lt;/secondary-title&gt;&lt;/titles&gt;&lt;periodical&gt;&lt;full-title&gt;Jama&lt;/full-title&gt;&lt;/periodical&gt;&lt;pages&gt;2320-2326&lt;/pages&gt;&lt;volume&gt;305&lt;/volume&gt;&lt;number&gt;22&lt;/number&gt;&lt;dates&gt;&lt;year&gt;2011&lt;/year&gt;&lt;/dates&gt;&lt;isbn&gt;0098-7484&lt;/isbn&gt;&lt;urls&gt;&lt;/urls&gt;&lt;/record&gt;&lt;/Cite&gt;&lt;/EndNote&gt;</w:instrText>
      </w:r>
      <w:r w:rsidR="00165681" w:rsidRPr="00221992">
        <w:rPr>
          <w:lang w:val="en-GB"/>
        </w:rPr>
        <w:fldChar w:fldCharType="separate"/>
      </w:r>
      <w:r w:rsidR="00E5265C">
        <w:rPr>
          <w:noProof/>
          <w:lang w:val="en-GB"/>
        </w:rPr>
        <w:t>[106-107]</w:t>
      </w:r>
      <w:r w:rsidR="00165681" w:rsidRPr="00221992">
        <w:rPr>
          <w:lang w:val="en-GB"/>
        </w:rPr>
        <w:fldChar w:fldCharType="end"/>
      </w:r>
      <w:r w:rsidR="00165681" w:rsidRPr="00221992">
        <w:rPr>
          <w:lang w:val="en-GB"/>
        </w:rPr>
        <w:t xml:space="preserve">. Special accommodation of rare disease in HTA is underpinned by the ethical principle that all individuals should have equitable access to treatment, regardless of the rarity of their condition </w:t>
      </w:r>
      <w:r w:rsidR="00165681" w:rsidRPr="00221992">
        <w:rPr>
          <w:lang w:val="en-GB"/>
        </w:rPr>
        <w:fldChar w:fldCharType="begin"/>
      </w:r>
      <w:r w:rsidR="00E5265C">
        <w:rPr>
          <w:lang w:val="en-GB"/>
        </w:rPr>
        <w:instrText xml:space="preserve"> ADDIN EN.CITE &lt;EndNote&gt;&lt;Cite&gt;&lt;Author&gt;Drummond&lt;/Author&gt;&lt;Year&gt;2007&lt;/Year&gt;&lt;RecNum&gt;125&lt;/RecNum&gt;&lt;DisplayText&gt;[108]&lt;/DisplayText&gt;&lt;record&gt;&lt;rec-number&gt;125&lt;/rec-number&gt;&lt;foreign-keys&gt;&lt;key app="EN" db-id="wzwwsfxe4peesxef95cxvrwjxts9rreasarf" timestamp="1692654670"&gt;125&lt;/key&gt;&lt;/foreign-keys&gt;&lt;ref-type name="Journal Article"&gt;17&lt;/ref-type&gt;&lt;contributors&gt;&lt;authors&gt;&lt;author&gt;Drummond, Michael F&lt;/author&gt;&lt;author&gt;Wilson, David A&lt;/author&gt;&lt;author&gt;Kanavos, Panos&lt;/author&gt;&lt;author&gt;Ubel, Peter&lt;/author&gt;&lt;author&gt;Rovira, Joan&lt;/author&gt;&lt;/authors&gt;&lt;/contributors&gt;&lt;titles&gt;&lt;title&gt;Assessing the economic challenges posed by orphan drugs&lt;/title&gt;&lt;secondary-title&gt;International journal of technology assessment in health care&lt;/secondary-title&gt;&lt;/titles&gt;&lt;pages&gt;36-42&lt;/pages&gt;&lt;volume&gt;23&lt;/volume&gt;&lt;number&gt;1&lt;/number&gt;&lt;dates&gt;&lt;year&gt;2007&lt;/year&gt;&lt;/dates&gt;&lt;isbn&gt;1471-6348&lt;/isbn&gt;&lt;urls&gt;&lt;/urls&gt;&lt;/record&gt;&lt;/Cite&gt;&lt;/EndNote&gt;</w:instrText>
      </w:r>
      <w:r w:rsidR="00165681" w:rsidRPr="00221992">
        <w:rPr>
          <w:lang w:val="en-GB"/>
        </w:rPr>
        <w:fldChar w:fldCharType="separate"/>
      </w:r>
      <w:r w:rsidR="00E5265C">
        <w:rPr>
          <w:noProof/>
          <w:lang w:val="en-GB"/>
        </w:rPr>
        <w:t>[108]</w:t>
      </w:r>
      <w:r w:rsidR="00165681" w:rsidRPr="00221992">
        <w:rPr>
          <w:lang w:val="en-GB"/>
        </w:rPr>
        <w:fldChar w:fldCharType="end"/>
      </w:r>
      <w:r w:rsidR="00165681" w:rsidRPr="00221992">
        <w:rPr>
          <w:lang w:val="en-GB"/>
        </w:rPr>
        <w:t>. Blonda et al</w:t>
      </w:r>
      <w:r w:rsidR="007F5FF8" w:rsidRPr="00221992">
        <w:rPr>
          <w:lang w:val="en-GB"/>
        </w:rPr>
        <w:t>.</w:t>
      </w:r>
      <w:r w:rsidR="00165681" w:rsidRPr="00221992">
        <w:rPr>
          <w:lang w:val="en-GB"/>
        </w:rPr>
        <w:t xml:space="preserve"> (2021) also observe a need to balance consideration of cost-effectiveness against the imperative to incentivise industry investments in the development of rare-disease therapies </w:t>
      </w:r>
      <w:r w:rsidR="00165681" w:rsidRPr="00221992">
        <w:rPr>
          <w:lang w:val="en-GB"/>
        </w:rPr>
        <w:fldChar w:fldCharType="begin"/>
      </w:r>
      <w:r w:rsidR="00E5265C">
        <w:rPr>
          <w:lang w:val="en-GB"/>
        </w:rPr>
        <w:instrText xml:space="preserve"> ADDIN EN.CITE &lt;EndNote&gt;&lt;Cite&gt;&lt;Author&gt;Blonda&lt;/Author&gt;&lt;Year&gt;2021&lt;/Year&gt;&lt;RecNum&gt;56&lt;/RecNum&gt;&lt;DisplayText&gt;[109]&lt;/DisplayText&gt;&lt;record&gt;&lt;rec-number&gt;56&lt;/rec-number&gt;&lt;foreign-keys&gt;&lt;key app="EN" db-id="wzwwsfxe4peesxef95cxvrwjxts9rreasarf" timestamp="1692654670"&gt;56&lt;/key&gt;&lt;/foreign-keys&gt;&lt;ref-type name="Journal Article"&gt;17&lt;/ref-type&gt;&lt;contributors&gt;&lt;authors&gt;&lt;author&gt;Blonda, Alessandra&lt;/author&gt;&lt;author&gt;Denier, Yvonne&lt;/author&gt;&lt;author&gt;Huys, Isabelle&lt;/author&gt;&lt;author&gt;Simoens, Steven&lt;/author&gt;&lt;/authors&gt;&lt;/contributors&gt;&lt;titles&gt;&lt;title&gt;How to value orphan drugs? A review of European value assessment frameworks&lt;/title&gt;&lt;secondary-title&gt;Frontiers in Pharmacology&lt;/secondary-title&gt;&lt;/titles&gt;&lt;periodical&gt;&lt;full-title&gt;Frontiers in Pharmacology&lt;/full-title&gt;&lt;/periodical&gt;&lt;pages&gt;631527&lt;/pages&gt;&lt;volume&gt;12&lt;/volume&gt;&lt;dates&gt;&lt;year&gt;2021&lt;/year&gt;&lt;/dates&gt;&lt;isbn&gt;1663-9812&lt;/isbn&gt;&lt;urls&gt;&lt;/urls&gt;&lt;/record&gt;&lt;/Cite&gt;&lt;/EndNote&gt;</w:instrText>
      </w:r>
      <w:r w:rsidR="00165681" w:rsidRPr="00221992">
        <w:rPr>
          <w:lang w:val="en-GB"/>
        </w:rPr>
        <w:fldChar w:fldCharType="separate"/>
      </w:r>
      <w:r w:rsidR="00E5265C">
        <w:rPr>
          <w:noProof/>
          <w:lang w:val="en-GB"/>
        </w:rPr>
        <w:t>[109]</w:t>
      </w:r>
      <w:r w:rsidR="00165681" w:rsidRPr="00221992">
        <w:rPr>
          <w:lang w:val="en-GB"/>
        </w:rPr>
        <w:fldChar w:fldCharType="end"/>
      </w:r>
      <w:r w:rsidR="00165681" w:rsidRPr="00221992">
        <w:rPr>
          <w:lang w:val="en-GB"/>
        </w:rPr>
        <w:t>.</w:t>
      </w:r>
      <w:r w:rsidR="00B44D2C" w:rsidRPr="00221992">
        <w:rPr>
          <w:lang w:val="en-GB"/>
        </w:rPr>
        <w:t xml:space="preserve"> </w:t>
      </w:r>
      <w:r w:rsidR="00885672" w:rsidRPr="00221992">
        <w:rPr>
          <w:lang w:val="en-GB"/>
        </w:rPr>
        <w:t xml:space="preserve">International HTA bodies have variously addressed these challenges through the implementation of special considerations to the approval process. </w:t>
      </w:r>
      <w:r w:rsidR="00B44D2C" w:rsidRPr="00221992">
        <w:rPr>
          <w:lang w:val="en-GB"/>
        </w:rPr>
        <w:t>A detailed discussion of individual countries</w:t>
      </w:r>
      <w:r w:rsidR="00551786">
        <w:rPr>
          <w:lang w:val="en-GB"/>
        </w:rPr>
        <w:t>’</w:t>
      </w:r>
      <w:r w:rsidR="00B44D2C" w:rsidRPr="00221992">
        <w:rPr>
          <w:lang w:val="en-GB"/>
        </w:rPr>
        <w:t xml:space="preserve"> approaches to rare diseases is provided in Section </w:t>
      </w:r>
      <w:r w:rsidR="00B44D2C" w:rsidRPr="00221992">
        <w:rPr>
          <w:lang w:val="en-GB"/>
        </w:rPr>
        <w:fldChar w:fldCharType="begin"/>
      </w:r>
      <w:r w:rsidR="00B44D2C">
        <w:instrText xml:space="preserve"> REF _Ref143764702 \n \h </w:instrText>
      </w:r>
      <w:r w:rsidR="00B44D2C" w:rsidRPr="00221992">
        <w:rPr>
          <w:lang w:val="en-GB"/>
        </w:rPr>
      </w:r>
      <w:r w:rsidR="00B44D2C" w:rsidRPr="00221992">
        <w:rPr>
          <w:lang w:val="en-GB"/>
        </w:rPr>
        <w:fldChar w:fldCharType="separate"/>
      </w:r>
      <w:r w:rsidR="000E11E7">
        <w:t>4.5</w:t>
      </w:r>
      <w:r w:rsidR="00B44D2C" w:rsidRPr="00221992">
        <w:rPr>
          <w:lang w:val="en-GB"/>
        </w:rPr>
        <w:fldChar w:fldCharType="end"/>
      </w:r>
      <w:r w:rsidR="00B44D2C" w:rsidRPr="00221992">
        <w:rPr>
          <w:lang w:val="en-GB"/>
        </w:rPr>
        <w:t>.</w:t>
      </w:r>
    </w:p>
    <w:p w14:paraId="35CB606C" w14:textId="19E7A172" w:rsidR="00165681" w:rsidRPr="00221992" w:rsidRDefault="00165681" w:rsidP="0012257A">
      <w:pPr>
        <w:pStyle w:val="NbrHeading3"/>
        <w:rPr>
          <w:lang w:val="en-GB"/>
        </w:rPr>
      </w:pPr>
      <w:bookmarkStart w:id="121" w:name="_Toc162950882"/>
      <w:r w:rsidRPr="00221992">
        <w:rPr>
          <w:lang w:val="en-GB"/>
        </w:rPr>
        <w:t>Consumer engagement</w:t>
      </w:r>
      <w:bookmarkEnd w:id="121"/>
    </w:p>
    <w:p w14:paraId="29638795" w14:textId="78E820CF" w:rsidR="00BB4962" w:rsidRPr="00221992" w:rsidRDefault="00BB4962" w:rsidP="007D1F68">
      <w:pPr>
        <w:rPr>
          <w:lang w:val="en-GB"/>
        </w:rPr>
      </w:pPr>
      <w:r w:rsidRPr="00221992">
        <w:rPr>
          <w:lang w:val="en-GB"/>
        </w:rPr>
        <w:t xml:space="preserve">Consumer engagement in HTA has been recognised as contributing to democratic, technocratic, scientific and instrumental goals </w:t>
      </w:r>
      <w:r w:rsidR="00B90428" w:rsidRPr="00221992">
        <w:rPr>
          <w:lang w:val="en-GB"/>
        </w:rPr>
        <w:fldChar w:fldCharType="begin"/>
      </w:r>
      <w:r w:rsidR="00E5265C">
        <w:rPr>
          <w:lang w:val="en-GB"/>
        </w:rPr>
        <w:instrText xml:space="preserve"> ADDIN EN.CITE &lt;EndNote&gt;&lt;Cite&gt;&lt;Author&gt;Wagner&lt;/Author&gt;&lt;Year&gt;2015&lt;/Year&gt;&lt;RecNum&gt;669&lt;/RecNum&gt;&lt;DisplayText&gt;[110]&lt;/DisplayText&gt;&lt;record&gt;&lt;rec-number&gt;669&lt;/rec-number&gt;&lt;foreign-keys&gt;&lt;key app="EN" db-id="wzwwsfxe4peesxef95cxvrwjxts9rreasarf" timestamp="1694651178"&gt;669&lt;/key&gt;&lt;/foreign-keys&gt;&lt;ref-type name="Report"&gt;27&lt;/ref-type&gt;&lt;contributors&gt;&lt;authors&gt;&lt;author&gt;Wagner, Frank&lt;/author&gt;&lt;author&gt;Wright, Charles&lt;/author&gt;&lt;author&gt;Pringle, Dorothy&lt;/author&gt;&lt;author&gt;Abelson, Julia&lt;/author&gt;&lt;author&gt;Krahn, M.&lt;/author&gt;&lt;author&gt;Campbell, Pat&lt;/author&gt;&lt;author&gt;Axler, Renata&lt;/author&gt;&lt;author&gt;Bean, Sally&lt;/author&gt;&lt;author&gt;Sharkey, Shirlee&lt;/author&gt;&lt;author&gt;Easty, Anthony&lt;/author&gt;&lt;/authors&gt;&lt;tertiary-authors&gt;&lt;author&gt;Health Quality Ontario,&lt;/author&gt;&lt;/tertiary-authors&gt;&lt;/contributors&gt;&lt;titles&gt;&lt;title&gt;Public Engagement for Health Technology Assessment at Health Quality Ontario—Final Report From the Ontario Health Technology Advisory Committee Public Engagement Subcommittee&lt;/title&gt;&lt;/titles&gt;&lt;dates&gt;&lt;year&gt;2015&lt;/year&gt;&lt;/dates&gt;&lt;pub-location&gt;Ontario&lt;/pub-location&gt;&lt;urls&gt;&lt;/urls&gt;&lt;/record&gt;&lt;/Cite&gt;&lt;/EndNote&gt;</w:instrText>
      </w:r>
      <w:r w:rsidR="00B90428" w:rsidRPr="00221992">
        <w:rPr>
          <w:lang w:val="en-GB"/>
        </w:rPr>
        <w:fldChar w:fldCharType="separate"/>
      </w:r>
      <w:r w:rsidR="00E5265C">
        <w:rPr>
          <w:noProof/>
          <w:lang w:val="en-GB"/>
        </w:rPr>
        <w:t>[110]</w:t>
      </w:r>
      <w:r w:rsidR="00B90428" w:rsidRPr="00221992">
        <w:rPr>
          <w:lang w:val="en-GB"/>
        </w:rPr>
        <w:fldChar w:fldCharType="end"/>
      </w:r>
      <w:r w:rsidRPr="00221992">
        <w:rPr>
          <w:lang w:val="en-GB"/>
        </w:rPr>
        <w:t>.</w:t>
      </w:r>
      <w:r w:rsidR="004A0C0D" w:rsidRPr="00221992">
        <w:rPr>
          <w:lang w:val="en-GB"/>
        </w:rPr>
        <w:t xml:space="preserve"> Specifically</w:t>
      </w:r>
      <w:r w:rsidR="00E36B01" w:rsidRPr="00221992">
        <w:rPr>
          <w:lang w:val="en-GB"/>
        </w:rPr>
        <w:t>,</w:t>
      </w:r>
      <w:r w:rsidR="004A0C0D" w:rsidRPr="00221992">
        <w:rPr>
          <w:lang w:val="en-GB"/>
        </w:rPr>
        <w:t xml:space="preserve"> it is reported to provide insights into gaps and uncertainties in the evidence</w:t>
      </w:r>
      <w:r w:rsidR="00E36B01" w:rsidRPr="00221992">
        <w:rPr>
          <w:lang w:val="en-GB"/>
        </w:rPr>
        <w:t>,</w:t>
      </w:r>
      <w:r w:rsidR="004A0C0D" w:rsidRPr="00221992">
        <w:rPr>
          <w:lang w:val="en-GB"/>
        </w:rPr>
        <w:t xml:space="preserve"> and information about the local settings gained from lived experience</w:t>
      </w:r>
      <w:r w:rsidR="003C4DE9" w:rsidRPr="00221992">
        <w:rPr>
          <w:lang w:val="en-GB"/>
        </w:rPr>
        <w:t xml:space="preserve"> </w:t>
      </w:r>
      <w:r w:rsidR="0024668B" w:rsidRPr="00221992">
        <w:rPr>
          <w:lang w:val="en-GB"/>
        </w:rPr>
        <w:fldChar w:fldCharType="begin">
          <w:fldData xml:space="preserve">PEVuZE5vdGU+PENpdGU+PEF1dGhvcj5CZXJnbGFzPC9BdXRob3I+PFllYXI+MjAxNjwvWWVhcj48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=
</w:fldData>
        </w:fldChar>
      </w:r>
      <w:r w:rsidR="00E5265C">
        <w:rPr>
          <w:lang w:val="en-GB"/>
        </w:rPr>
        <w:instrText xml:space="preserve"> ADDIN EN.CITE </w:instrText>
      </w:r>
      <w:r w:rsidR="00E5265C">
        <w:rPr>
          <w:lang w:val="en-GB"/>
        </w:rPr>
        <w:fldChar w:fldCharType="begin">
          <w:fldData xml:space="preserve">PEVuZE5vdGU+PENpdGU+PEF1dGhvcj5CZXJnbGFzPC9BdXRob3I+PFllYXI+MjAxNjwvWWVhcj48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=
</w:fldData>
        </w:fldChar>
      </w:r>
      <w:r w:rsidR="00E5265C">
        <w:rPr>
          <w:lang w:val="en-GB"/>
        </w:rPr>
        <w:instrText xml:space="preserve"> ADDIN EN.CITE.DATA </w:instrText>
      </w:r>
      <w:r w:rsidR="00E5265C">
        <w:rPr>
          <w:lang w:val="en-GB"/>
        </w:rPr>
      </w:r>
      <w:r w:rsidR="00E5265C">
        <w:rPr>
          <w:lang w:val="en-GB"/>
        </w:rPr>
        <w:fldChar w:fldCharType="end"/>
      </w:r>
      <w:r w:rsidR="0024668B" w:rsidRPr="00221992">
        <w:rPr>
          <w:lang w:val="en-GB"/>
        </w:rPr>
      </w:r>
      <w:r w:rsidR="0024668B" w:rsidRPr="00221992">
        <w:rPr>
          <w:lang w:val="en-GB"/>
        </w:rPr>
        <w:fldChar w:fldCharType="separate"/>
      </w:r>
      <w:r w:rsidR="00E5265C">
        <w:rPr>
          <w:noProof/>
          <w:lang w:val="en-GB"/>
        </w:rPr>
        <w:t>[111-114]</w:t>
      </w:r>
      <w:r w:rsidR="0024668B" w:rsidRPr="00221992">
        <w:rPr>
          <w:lang w:val="en-GB"/>
        </w:rPr>
        <w:fldChar w:fldCharType="end"/>
      </w:r>
      <w:r w:rsidR="00E36B01" w:rsidRPr="00221992">
        <w:rPr>
          <w:lang w:val="en-GB"/>
        </w:rPr>
        <w:t>.</w:t>
      </w:r>
      <w:r w:rsidR="00226AA6" w:rsidRPr="00221992">
        <w:rPr>
          <w:lang w:val="en-GB"/>
        </w:rPr>
        <w:t xml:space="preserve"> </w:t>
      </w:r>
      <w:r w:rsidR="00654400" w:rsidRPr="00221992">
        <w:rPr>
          <w:lang w:val="en-GB"/>
        </w:rPr>
        <w:t xml:space="preserve">As HTA is </w:t>
      </w:r>
      <w:r w:rsidR="004C1C4C" w:rsidRPr="00221992">
        <w:rPr>
          <w:lang w:val="en-GB"/>
        </w:rPr>
        <w:t xml:space="preserve">strongly </w:t>
      </w:r>
      <w:r w:rsidR="00654400" w:rsidRPr="00221992">
        <w:rPr>
          <w:lang w:val="en-GB"/>
        </w:rPr>
        <w:t>informed by normative conceptions of value</w:t>
      </w:r>
      <w:r w:rsidR="00102C36" w:rsidRPr="00221992">
        <w:rPr>
          <w:lang w:val="en-GB"/>
        </w:rPr>
        <w:t xml:space="preserve">—i.e., value judgements are influenced by </w:t>
      </w:r>
      <w:r w:rsidR="00E51DCB" w:rsidRPr="00221992">
        <w:rPr>
          <w:lang w:val="en-GB"/>
        </w:rPr>
        <w:t>the perspectives of those involved—</w:t>
      </w:r>
      <w:r w:rsidR="004C1C4C" w:rsidRPr="00221992">
        <w:rPr>
          <w:lang w:val="en-GB"/>
        </w:rPr>
        <w:t>patients</w:t>
      </w:r>
      <w:r w:rsidR="00551786">
        <w:rPr>
          <w:lang w:val="en-GB"/>
        </w:rPr>
        <w:t>’</w:t>
      </w:r>
      <w:r w:rsidR="005F4A59" w:rsidRPr="00221992">
        <w:rPr>
          <w:lang w:val="en-GB"/>
        </w:rPr>
        <w:t xml:space="preserve"> unique knowledge play</w:t>
      </w:r>
      <w:r w:rsidR="00654400" w:rsidRPr="00221992">
        <w:rPr>
          <w:lang w:val="en-GB"/>
        </w:rPr>
        <w:t>s</w:t>
      </w:r>
      <w:r w:rsidR="005F4A59" w:rsidRPr="00221992">
        <w:rPr>
          <w:lang w:val="en-GB"/>
        </w:rPr>
        <w:t xml:space="preserve"> a</w:t>
      </w:r>
      <w:r w:rsidR="00654400" w:rsidRPr="00221992">
        <w:rPr>
          <w:lang w:val="en-GB"/>
        </w:rPr>
        <w:t>n important</w:t>
      </w:r>
      <w:r w:rsidR="005F4A59" w:rsidRPr="00221992">
        <w:rPr>
          <w:lang w:val="en-GB"/>
        </w:rPr>
        <w:t xml:space="preserve"> role in ensuring the relevance </w:t>
      </w:r>
      <w:r w:rsidR="004C1C4C" w:rsidRPr="00221992">
        <w:rPr>
          <w:lang w:val="en-GB"/>
        </w:rPr>
        <w:t xml:space="preserve">of HTA to society </w:t>
      </w:r>
      <w:r w:rsidR="00D436B4" w:rsidRPr="00221992">
        <w:rPr>
          <w:lang w:val="en-GB"/>
        </w:rPr>
        <w:fldChar w:fldCharType="begin"/>
      </w:r>
      <w:r w:rsidR="00E5265C">
        <w:rPr>
          <w:lang w:val="en-GB"/>
        </w:rPr>
        <w:instrText xml:space="preserve"> ADDIN EN.CITE &lt;EndNote&gt;&lt;Cite&gt;&lt;Author&gt;Health Technology Assessment International (HTAi)&lt;/Author&gt;&lt;Year&gt;2022&lt;/Year&gt;&lt;RecNum&gt;674&lt;/RecNum&gt;&lt;DisplayText&gt;[115-116]&lt;/DisplayText&gt;&lt;record&gt;&lt;rec-number&gt;674&lt;/rec-number&gt;&lt;foreign-keys&gt;&lt;key app="EN" db-id="wzwwsfxe4peesxef95cxvrwjxts9rreasarf" timestamp="1694652257"&gt;674&lt;/key&gt;&lt;/foreign-keys&gt;&lt;ref-type name="Report"&gt;27&lt;/ref-type&gt;&lt;contributors&gt;&lt;authors&gt;&lt;author&gt;Health Technology Assessment International (HTAi),&lt;/author&gt;&lt;/authors&gt;&lt;tertiary-authors&gt;&lt;author&gt;Health Technology Assessment International,&lt;/author&gt;&lt;/tertiary-authors&gt;&lt;/contributors&gt;&lt;titles&gt;&lt;title&gt;Values and Standards for Patient Involvement in HTA&lt;/title&gt;&lt;/titles&gt;&lt;dates&gt;&lt;year&gt;2022&lt;/year&gt;&lt;/dates&gt;&lt;pub-location&gt;Edmonton&lt;/pub-location&gt;&lt;urls&gt;&lt;/urls&gt;&lt;/record&gt;&lt;/Cite&gt;&lt;Cite&gt;&lt;Author&gt;O&amp;apos;Rourke&lt;/Author&gt;&lt;Year&gt;2020&lt;/Year&gt;&lt;RecNum&gt;675&lt;/RecNum&gt;&lt;record&gt;&lt;rec-number&gt;675&lt;/rec-number&gt;&lt;foreign-keys&gt;&lt;key app="EN" db-id="wzwwsfxe4peesxef95cxvrwjxts9rreasarf" timestamp="1694652289"&gt;675&lt;/key&gt;&lt;/foreign-keys&gt;&lt;ref-type name="Journal Article"&gt;17&lt;/ref-type&gt;&lt;contributors&gt;&lt;authors&gt;&lt;author&gt;O&amp;apos;Rourke, Brian&lt;/author&gt;&lt;author&gt;Oortwijn, Wija&lt;/author&gt;&lt;author&gt;Schuller, Tara&lt;/author&gt;&lt;/authors&gt;&lt;/contributors&gt;&lt;titles&gt;&lt;title&gt;The new definition of health technology assessment: A milestone in international collaboration&lt;/title&gt;&lt;secondary-title&gt;International journal of technology assessment in health care&lt;/secondary-title&gt;&lt;/titles&gt;&lt;pages&gt;187-190&lt;/pages&gt;&lt;volume&gt;36&lt;/volume&gt;&lt;number&gt;3&lt;/number&gt;&lt;dates&gt;&lt;year&gt;2020&lt;/year&gt;&lt;/dates&gt;&lt;isbn&gt;0266-4623&lt;/isbn&gt;&lt;urls&gt;&lt;/urls&gt;&lt;/record&gt;&lt;/Cite&gt;&lt;/EndNote&gt;</w:instrText>
      </w:r>
      <w:r w:rsidR="00D436B4" w:rsidRPr="00221992">
        <w:rPr>
          <w:lang w:val="en-GB"/>
        </w:rPr>
        <w:fldChar w:fldCharType="separate"/>
      </w:r>
      <w:r w:rsidR="00E5265C">
        <w:rPr>
          <w:noProof/>
          <w:lang w:val="en-GB"/>
        </w:rPr>
        <w:t>[115-116]</w:t>
      </w:r>
      <w:r w:rsidR="00D436B4" w:rsidRPr="00221992">
        <w:rPr>
          <w:lang w:val="en-GB"/>
        </w:rPr>
        <w:fldChar w:fldCharType="end"/>
      </w:r>
      <w:r w:rsidR="001272D2" w:rsidRPr="00221992">
        <w:rPr>
          <w:lang w:val="en-GB"/>
        </w:rPr>
        <w:t>.</w:t>
      </w:r>
    </w:p>
    <w:p w14:paraId="44D402D8" w14:textId="2C2B8B92" w:rsidR="00165681" w:rsidRPr="00221992" w:rsidRDefault="00BB4962" w:rsidP="007D1F68">
      <w:pPr>
        <w:rPr>
          <w:lang w:val="en-GB"/>
        </w:rPr>
      </w:pPr>
      <w:r w:rsidRPr="00221992">
        <w:rPr>
          <w:lang w:val="en-GB"/>
        </w:rPr>
        <w:t>C</w:t>
      </w:r>
      <w:r w:rsidR="00165681" w:rsidRPr="00221992">
        <w:rPr>
          <w:lang w:val="en-GB"/>
        </w:rPr>
        <w:t>onsumer engagement in HTA deliberative processes has been—to varying degrees—formally institutionalised in a number of national contexts, including Canada</w:t>
      </w:r>
      <w:r w:rsidR="00551786">
        <w:rPr>
          <w:lang w:val="en-GB"/>
        </w:rPr>
        <w:t>’</w:t>
      </w:r>
      <w:r w:rsidR="00165681" w:rsidRPr="00221992">
        <w:rPr>
          <w:lang w:val="en-GB"/>
        </w:rPr>
        <w:t>s pan-Canadian Oncology Drug Review process, NHS statutory guidance on patient and public participation in the UK, and the Department of Health and Aged Care</w:t>
      </w:r>
      <w:r w:rsidR="00551786">
        <w:rPr>
          <w:lang w:val="en-GB"/>
        </w:rPr>
        <w:t>’</w:t>
      </w:r>
      <w:r w:rsidR="00165681" w:rsidRPr="00221992">
        <w:rPr>
          <w:lang w:val="en-GB"/>
        </w:rPr>
        <w:t xml:space="preserve">s Consumer Consultative Committee in Australia </w:t>
      </w:r>
      <w:r w:rsidR="00165681" w:rsidRPr="00221992">
        <w:rPr>
          <w:lang w:val="en-GB"/>
        </w:rPr>
        <w:fldChar w:fldCharType="begin">
          <w:fldData xml:space="preserve">PEVuZE5vdGU+PENpdGU+PEF1dGhvcj5HaGluZWE8L0F1dGhvcj48WWVhcj4yMDIwPC9ZZWFyPjxS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</w:fldData>
        </w:fldChar>
      </w:r>
      <w:r w:rsidR="00E5265C">
        <w:rPr>
          <w:lang w:val="en-GB"/>
        </w:rPr>
        <w:instrText xml:space="preserve"> ADDIN EN.CITE </w:instrText>
      </w:r>
      <w:r w:rsidR="00E5265C">
        <w:rPr>
          <w:lang w:val="en-GB"/>
        </w:rPr>
        <w:fldChar w:fldCharType="begin">
          <w:fldData xml:space="preserve">PEVuZE5vdGU+PENpdGU+PEF1dGhvcj5HaGluZWE8L0F1dGhvcj48WWVhcj4yMDIwPC9ZZWFyPjxS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</w:fldData>
        </w:fldChar>
      </w:r>
      <w:r w:rsidR="00E5265C">
        <w:rPr>
          <w:lang w:val="en-GB"/>
        </w:rPr>
        <w:instrText xml:space="preserve"> ADDIN EN.CITE.DATA </w:instrText>
      </w:r>
      <w:r w:rsidR="00E5265C">
        <w:rPr>
          <w:lang w:val="en-GB"/>
        </w:rPr>
      </w:r>
      <w:r w:rsidR="00E5265C">
        <w:rPr>
          <w:lang w:val="en-GB"/>
        </w:rPr>
        <w:fldChar w:fldCharType="end"/>
      </w:r>
      <w:r w:rsidR="00165681" w:rsidRPr="00221992">
        <w:rPr>
          <w:lang w:val="en-GB"/>
        </w:rPr>
      </w:r>
      <w:r w:rsidR="00165681" w:rsidRPr="00221992">
        <w:rPr>
          <w:lang w:val="en-GB"/>
        </w:rPr>
        <w:fldChar w:fldCharType="separate"/>
      </w:r>
      <w:r w:rsidR="00E5265C">
        <w:rPr>
          <w:noProof/>
          <w:lang w:val="en-GB"/>
        </w:rPr>
        <w:t>[117]</w:t>
      </w:r>
      <w:r w:rsidR="00165681" w:rsidRPr="00221992">
        <w:rPr>
          <w:lang w:val="en-GB"/>
        </w:rPr>
        <w:fldChar w:fldCharType="end"/>
      </w:r>
      <w:r w:rsidR="00165681" w:rsidRPr="00221992">
        <w:rPr>
          <w:lang w:val="en-GB"/>
        </w:rPr>
        <w:t xml:space="preserve">. </w:t>
      </w:r>
      <w:r w:rsidR="00F16FE5" w:rsidRPr="00221992">
        <w:rPr>
          <w:lang w:val="en-GB"/>
        </w:rPr>
        <w:t>Notwithstanding</w:t>
      </w:r>
      <w:r w:rsidR="00165681" w:rsidRPr="00221992">
        <w:rPr>
          <w:lang w:val="en-GB"/>
        </w:rPr>
        <w:t xml:space="preserve"> such initiatives, however, researchers maintain that consumer engagement in HTA </w:t>
      </w:r>
      <w:r w:rsidR="003A531A" w:rsidRPr="00221992">
        <w:rPr>
          <w:lang w:val="en-GB"/>
        </w:rPr>
        <w:t>has historically been</w:t>
      </w:r>
      <w:r w:rsidR="00165681" w:rsidRPr="00221992">
        <w:rPr>
          <w:lang w:val="en-GB"/>
        </w:rPr>
        <w:t xml:space="preserve"> “sporadic, inconsistent and lacking in transparency</w:t>
      </w:r>
      <w:r w:rsidR="007625CE" w:rsidRPr="00221992">
        <w:rPr>
          <w:lang w:val="en-GB"/>
        </w:rPr>
        <w:t>,”</w:t>
      </w:r>
      <w:r w:rsidR="00165681" w:rsidRPr="00221992">
        <w:rPr>
          <w:lang w:val="en-GB"/>
        </w:rPr>
        <w:t xml:space="preserve"> </w:t>
      </w:r>
      <w:r w:rsidR="007625CE" w:rsidRPr="00221992">
        <w:rPr>
          <w:lang w:val="en-GB"/>
        </w:rPr>
        <w:t>with</w:t>
      </w:r>
      <w:r w:rsidR="00165681" w:rsidRPr="00221992">
        <w:rPr>
          <w:lang w:val="en-GB"/>
        </w:rPr>
        <w:t xml:space="preserve"> uncertainty among stakeholders about </w:t>
      </w:r>
      <w:r w:rsidR="007625CE" w:rsidRPr="00221992">
        <w:rPr>
          <w:lang w:val="en-GB"/>
        </w:rPr>
        <w:t xml:space="preserve">best-practice </w:t>
      </w:r>
      <w:r w:rsidR="00165681" w:rsidRPr="00221992">
        <w:rPr>
          <w:lang w:val="en-GB"/>
        </w:rPr>
        <w:t>design, implement</w:t>
      </w:r>
      <w:r w:rsidR="007625CE" w:rsidRPr="00221992">
        <w:rPr>
          <w:lang w:val="en-GB"/>
        </w:rPr>
        <w:t>ation</w:t>
      </w:r>
      <w:r w:rsidR="00165681" w:rsidRPr="00221992">
        <w:rPr>
          <w:lang w:val="en-GB"/>
        </w:rPr>
        <w:t xml:space="preserve"> and evaluat</w:t>
      </w:r>
      <w:r w:rsidR="007625CE" w:rsidRPr="00221992">
        <w:rPr>
          <w:lang w:val="en-GB"/>
        </w:rPr>
        <w:t>ion</w:t>
      </w:r>
      <w:r w:rsidR="00165681" w:rsidRPr="00221992">
        <w:rPr>
          <w:lang w:val="en-GB"/>
        </w:rPr>
        <w:t xml:space="preserve"> (Abelson et al. 2016; Gagnon et al. 2011; Gauvin et al. 2011; Hailey et al. 2013; Wortley et al. 2017) (in Ghinea et al.</w:t>
      </w:r>
      <w:r w:rsidR="00E8781B" w:rsidRPr="00221992">
        <w:rPr>
          <w:lang w:val="en-GB"/>
        </w:rPr>
        <w:t xml:space="preserve"> </w:t>
      </w:r>
      <w:r w:rsidR="00EA5F69" w:rsidRPr="00221992">
        <w:rPr>
          <w:lang w:val="en-GB"/>
        </w:rPr>
        <w:t>2020,</w:t>
      </w:r>
      <w:r w:rsidR="00165681" w:rsidRPr="00221992">
        <w:rPr>
          <w:lang w:val="en-GB"/>
        </w:rPr>
        <w:t xml:space="preserve"> p. 87) </w:t>
      </w:r>
      <w:r w:rsidR="00165681" w:rsidRPr="00221992">
        <w:rPr>
          <w:lang w:val="en-GB"/>
        </w:rPr>
        <w:fldChar w:fldCharType="begin">
          <w:fldData xml:space="preserve">PEVuZE5vdGU+PENpdGU+PEF1dGhvcj5HaGluZWE8L0F1dGhvcj48WWVhcj4yMDIwPC9ZZWFyPjxS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</w:fldData>
        </w:fldChar>
      </w:r>
      <w:r w:rsidR="00E5265C">
        <w:rPr>
          <w:lang w:val="en-GB"/>
        </w:rPr>
        <w:instrText xml:space="preserve"> ADDIN EN.CITE </w:instrText>
      </w:r>
      <w:r w:rsidR="00E5265C">
        <w:rPr>
          <w:lang w:val="en-GB"/>
        </w:rPr>
        <w:fldChar w:fldCharType="begin">
          <w:fldData xml:space="preserve">PEVuZE5vdGU+PENpdGU+PEF1dGhvcj5HaGluZWE8L0F1dGhvcj48WWVhcj4yMDIwPC9ZZWFyPjxS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</w:fldData>
        </w:fldChar>
      </w:r>
      <w:r w:rsidR="00E5265C">
        <w:rPr>
          <w:lang w:val="en-GB"/>
        </w:rPr>
        <w:instrText xml:space="preserve"> ADDIN EN.CITE.DATA </w:instrText>
      </w:r>
      <w:r w:rsidR="00E5265C">
        <w:rPr>
          <w:lang w:val="en-GB"/>
        </w:rPr>
      </w:r>
      <w:r w:rsidR="00E5265C">
        <w:rPr>
          <w:lang w:val="en-GB"/>
        </w:rPr>
        <w:fldChar w:fldCharType="end"/>
      </w:r>
      <w:r w:rsidR="00165681" w:rsidRPr="00221992">
        <w:rPr>
          <w:lang w:val="en-GB"/>
        </w:rPr>
      </w:r>
      <w:r w:rsidR="00165681" w:rsidRPr="00221992">
        <w:rPr>
          <w:lang w:val="en-GB"/>
        </w:rPr>
        <w:fldChar w:fldCharType="separate"/>
      </w:r>
      <w:r w:rsidR="00E5265C">
        <w:rPr>
          <w:noProof/>
          <w:lang w:val="en-GB"/>
        </w:rPr>
        <w:t>[117]</w:t>
      </w:r>
      <w:r w:rsidR="00165681" w:rsidRPr="00221992">
        <w:rPr>
          <w:lang w:val="en-GB"/>
        </w:rPr>
        <w:fldChar w:fldCharType="end"/>
      </w:r>
      <w:r w:rsidR="00165681" w:rsidRPr="00221992">
        <w:rPr>
          <w:lang w:val="en-GB"/>
        </w:rPr>
        <w:t xml:space="preserve">. </w:t>
      </w:r>
      <w:r w:rsidR="00001002" w:rsidRPr="00221992">
        <w:rPr>
          <w:lang w:val="en-GB"/>
        </w:rPr>
        <w:t xml:space="preserve">To address this gap, </w:t>
      </w:r>
      <w:r w:rsidR="00CE3D84" w:rsidRPr="00221992">
        <w:rPr>
          <w:lang w:val="en-GB"/>
        </w:rPr>
        <w:t xml:space="preserve">Facey and colleagues (2017, </w:t>
      </w:r>
      <w:r w:rsidR="003037BC" w:rsidRPr="00221992">
        <w:rPr>
          <w:lang w:val="en-GB"/>
        </w:rPr>
        <w:t>updated edition forthcoming</w:t>
      </w:r>
      <w:r w:rsidR="00CE3D84" w:rsidRPr="00221992">
        <w:rPr>
          <w:lang w:val="en-GB"/>
        </w:rPr>
        <w:t xml:space="preserve">) have compiled </w:t>
      </w:r>
      <w:r w:rsidR="00001002" w:rsidRPr="00221992">
        <w:rPr>
          <w:lang w:val="en-GB"/>
        </w:rPr>
        <w:t xml:space="preserve">a comprehensive guide to the </w:t>
      </w:r>
      <w:r w:rsidR="003C705D" w:rsidRPr="00221992">
        <w:rPr>
          <w:lang w:val="en-GB"/>
        </w:rPr>
        <w:t xml:space="preserve">inclusion of </w:t>
      </w:r>
      <w:r w:rsidR="001B13E3" w:rsidRPr="00221992">
        <w:rPr>
          <w:lang w:val="en-GB"/>
        </w:rPr>
        <w:t>patient</w:t>
      </w:r>
      <w:r w:rsidR="003C705D" w:rsidRPr="00221992">
        <w:rPr>
          <w:lang w:val="en-GB"/>
        </w:rPr>
        <w:t xml:space="preserve"> perspectives in HTA</w:t>
      </w:r>
      <w:r w:rsidR="00CE3D84" w:rsidRPr="00221992">
        <w:rPr>
          <w:lang w:val="en-GB"/>
        </w:rPr>
        <w:t>, including in-depth</w:t>
      </w:r>
      <w:r w:rsidR="003037BC" w:rsidRPr="00221992">
        <w:rPr>
          <w:lang w:val="en-GB"/>
        </w:rPr>
        <w:t xml:space="preserve"> perspectives on the underlying rationale for consumer engagement, best-practice methods and </w:t>
      </w:r>
      <w:r w:rsidR="00B35D83" w:rsidRPr="00221992">
        <w:rPr>
          <w:lang w:val="en-GB"/>
        </w:rPr>
        <w:t xml:space="preserve">international case-studies </w:t>
      </w:r>
      <w:r w:rsidR="00C8346A" w:rsidRPr="00221992">
        <w:rPr>
          <w:lang w:val="en-GB"/>
        </w:rPr>
        <w:fldChar w:fldCharType="begin"/>
      </w:r>
      <w:r w:rsidR="00E5265C">
        <w:rPr>
          <w:lang w:val="en-GB"/>
        </w:rPr>
        <w:instrText xml:space="preserve"> ADDIN EN.CITE &lt;EndNote&gt;&lt;Cite&gt;&lt;Author&gt;Facey&lt;/Author&gt;&lt;Year&gt;2017&lt;/Year&gt;&lt;RecNum&gt;676&lt;/RecNum&gt;&lt;DisplayText&gt;[118]&lt;/DisplayText&gt;&lt;record&gt;&lt;rec-number&gt;676&lt;/rec-number&gt;&lt;foreign-keys&gt;&lt;key app="EN" db-id="wzwwsfxe4peesxef95cxvrwjxts9rreasarf" timestamp="1694652883"&gt;676&lt;/key&gt;&lt;/foreign-keys&gt;&lt;ref-type name="Edited Book"&gt;28&lt;/ref-type&gt;&lt;contributors&gt;&lt;authors&gt;&lt;author&gt;Facey, K.&lt;/author&gt;&lt;author&gt;Ploug Hansen, H.&lt;/author&gt;&lt;author&gt;Single, A.&lt;/author&gt;&lt;/authors&gt;&lt;/contributors&gt;&lt;titles&gt;&lt;title&gt;Patient Involvement in Health Technology Assessment&lt;/title&gt;&lt;/titles&gt;&lt;dates&gt;&lt;year&gt;2017&lt;/year&gt;&lt;/dates&gt;&lt;pub-location&gt;Singapore&lt;/pub-location&gt;&lt;publisher&gt;Adis Singapore&lt;/publisher&gt;&lt;urls&gt;&lt;/urls&gt;&lt;/record&gt;&lt;/Cite&gt;&lt;/EndNote&gt;</w:instrText>
      </w:r>
      <w:r w:rsidR="00C8346A" w:rsidRPr="00221992">
        <w:rPr>
          <w:lang w:val="en-GB"/>
        </w:rPr>
        <w:fldChar w:fldCharType="separate"/>
      </w:r>
      <w:r w:rsidR="00E5265C">
        <w:rPr>
          <w:noProof/>
          <w:lang w:val="en-GB"/>
        </w:rPr>
        <w:t>[118]</w:t>
      </w:r>
      <w:r w:rsidR="00C8346A" w:rsidRPr="00221992">
        <w:rPr>
          <w:lang w:val="en-GB"/>
        </w:rPr>
        <w:fldChar w:fldCharType="end"/>
      </w:r>
      <w:r w:rsidR="00B35D83" w:rsidRPr="00221992">
        <w:rPr>
          <w:lang w:val="en-GB"/>
        </w:rPr>
        <w:t>.</w:t>
      </w:r>
    </w:p>
    <w:p w14:paraId="147DF216" w14:textId="56888B55" w:rsidR="00165681" w:rsidRPr="00221992" w:rsidRDefault="00165681" w:rsidP="00702C58">
      <w:pPr>
        <w:rPr>
          <w:lang w:val="en-GB"/>
        </w:rPr>
      </w:pPr>
      <w:r w:rsidRPr="00221992">
        <w:rPr>
          <w:lang w:val="en-GB"/>
        </w:rPr>
        <w:t xml:space="preserve">Despite </w:t>
      </w:r>
      <w:r w:rsidR="00031A75" w:rsidRPr="00221992">
        <w:rPr>
          <w:lang w:val="en-GB"/>
        </w:rPr>
        <w:t>broad</w:t>
      </w:r>
      <w:r w:rsidRPr="00221992">
        <w:rPr>
          <w:lang w:val="en-GB"/>
        </w:rPr>
        <w:t xml:space="preserve"> consensus that consumer engagement is critical to effective HTA, particularly with respect to mitigating uncertainty and ensuring that funding decisions reflect </w:t>
      </w:r>
      <w:r w:rsidR="00744C58" w:rsidRPr="00221992">
        <w:rPr>
          <w:lang w:val="en-GB"/>
        </w:rPr>
        <w:t>patient</w:t>
      </w:r>
      <w:r w:rsidR="00D813E7" w:rsidRPr="00221992">
        <w:rPr>
          <w:lang w:val="en-GB"/>
        </w:rPr>
        <w:t xml:space="preserve"> perspectives</w:t>
      </w:r>
      <w:r w:rsidRPr="00221992">
        <w:rPr>
          <w:lang w:val="en-GB"/>
        </w:rPr>
        <w:t xml:space="preserve">, scholars have also highlighted a number of ways in which some forms of consumer engagement may actually undermine equity, namely, when such </w:t>
      </w:r>
      <w:r w:rsidR="00E879A4" w:rsidRPr="00221992">
        <w:rPr>
          <w:lang w:val="en-GB"/>
        </w:rPr>
        <w:t>engagement</w:t>
      </w:r>
      <w:r w:rsidRPr="00221992">
        <w:rPr>
          <w:lang w:val="en-GB"/>
        </w:rPr>
        <w:t xml:space="preserve"> comprises narrow advocacy for a particular group; when consumers do not consider costs; when the purpose of HTA—i.e., maximisation of health across society—is conflated with </w:t>
      </w:r>
      <w:r w:rsidR="00551786">
        <w:rPr>
          <w:lang w:val="en-GB"/>
        </w:rPr>
        <w:t>‘</w:t>
      </w:r>
      <w:r w:rsidRPr="00221992">
        <w:rPr>
          <w:lang w:val="en-GB"/>
        </w:rPr>
        <w:t>access</w:t>
      </w:r>
      <w:r w:rsidR="00551786">
        <w:rPr>
          <w:lang w:val="en-GB"/>
        </w:rPr>
        <w:t>’</w:t>
      </w:r>
      <w:r w:rsidRPr="00221992">
        <w:rPr>
          <w:lang w:val="en-GB"/>
        </w:rPr>
        <w:t xml:space="preserve"> to decision-making processes or health technologies; and when values that cannot be distributed (e.g., hope or compassion) are confused with goods that can be (e.g., health resources) (p. 90) </w:t>
      </w:r>
      <w:r w:rsidRPr="00221992">
        <w:rPr>
          <w:lang w:val="en-GB"/>
        </w:rPr>
        <w:fldChar w:fldCharType="begin">
          <w:fldData xml:space="preserve">PEVuZE5vdGU+PENpdGU+PEF1dGhvcj5HaGluZWE8L0F1dGhvcj48WWVhcj4yMDIwPC9ZZWFyPjxS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</w:fldData>
        </w:fldChar>
      </w:r>
      <w:r w:rsidR="00E5265C">
        <w:rPr>
          <w:lang w:val="en-GB"/>
        </w:rPr>
        <w:instrText xml:space="preserve"> ADDIN EN.CITE </w:instrText>
      </w:r>
      <w:r w:rsidR="00E5265C">
        <w:rPr>
          <w:lang w:val="en-GB"/>
        </w:rPr>
        <w:fldChar w:fldCharType="begin">
          <w:fldData xml:space="preserve">PEVuZE5vdGU+PENpdGU+PEF1dGhvcj5HaGluZWE8L0F1dGhvcj48WWVhcj4yMDIwPC9ZZWFyPjxS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</w:fldData>
        </w:fldChar>
      </w:r>
      <w:r w:rsidR="00E5265C">
        <w:rPr>
          <w:lang w:val="en-GB"/>
        </w:rPr>
        <w:instrText xml:space="preserve"> ADDIN EN.CITE.DATA </w:instrText>
      </w:r>
      <w:r w:rsidR="00E5265C">
        <w:rPr>
          <w:lang w:val="en-GB"/>
        </w:rPr>
      </w:r>
      <w:r w:rsidR="00E5265C">
        <w:rPr>
          <w:lang w:val="en-GB"/>
        </w:rPr>
        <w:fldChar w:fldCharType="end"/>
      </w:r>
      <w:r w:rsidRPr="00221992">
        <w:rPr>
          <w:lang w:val="en-GB"/>
        </w:rPr>
      </w:r>
      <w:r w:rsidRPr="00221992">
        <w:rPr>
          <w:lang w:val="en-GB"/>
        </w:rPr>
        <w:fldChar w:fldCharType="separate"/>
      </w:r>
      <w:r w:rsidR="00E5265C">
        <w:rPr>
          <w:noProof/>
          <w:lang w:val="en-GB"/>
        </w:rPr>
        <w:t>[117]</w:t>
      </w:r>
      <w:r w:rsidRPr="00221992">
        <w:rPr>
          <w:lang w:val="en-GB"/>
        </w:rPr>
        <w:fldChar w:fldCharType="end"/>
      </w:r>
      <w:r w:rsidRPr="00221992">
        <w:rPr>
          <w:lang w:val="en-GB"/>
        </w:rPr>
        <w:t xml:space="preserve">. Ghinea et al. (2020) contend that such engagement should be framed in terms of health, rather than access, and that consumers should be encouraged to contribute to decisions in the greater interest of society, rather than of particular individuals or interest groups. To enable this, the authors advocate supporting consumers to identify commercial drivers and potential conflicts of interest, and disclose and manage their engagement with industry </w:t>
      </w:r>
      <w:r w:rsidRPr="00221992">
        <w:rPr>
          <w:lang w:val="en-GB"/>
        </w:rPr>
        <w:fldChar w:fldCharType="begin">
          <w:fldData xml:space="preserve">PEVuZE5vdGU+PENpdGU+PEF1dGhvcj5HaGluZWE8L0F1dGhvcj48WWVhcj4yMDIwPC9ZZWFyPjxS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</w:fldData>
        </w:fldChar>
      </w:r>
      <w:r w:rsidR="00E5265C">
        <w:rPr>
          <w:lang w:val="en-GB"/>
        </w:rPr>
        <w:instrText xml:space="preserve"> ADDIN EN.CITE </w:instrText>
      </w:r>
      <w:r w:rsidR="00E5265C">
        <w:rPr>
          <w:lang w:val="en-GB"/>
        </w:rPr>
        <w:fldChar w:fldCharType="begin">
          <w:fldData xml:space="preserve">PEVuZE5vdGU+PENpdGU+PEF1dGhvcj5HaGluZWE8L0F1dGhvcj48WWVhcj4yMDIwPC9ZZWFyPjxS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</w:fldData>
        </w:fldChar>
      </w:r>
      <w:r w:rsidR="00E5265C">
        <w:rPr>
          <w:lang w:val="en-GB"/>
        </w:rPr>
        <w:instrText xml:space="preserve"> ADDIN EN.CITE.DATA </w:instrText>
      </w:r>
      <w:r w:rsidR="00E5265C">
        <w:rPr>
          <w:lang w:val="en-GB"/>
        </w:rPr>
      </w:r>
      <w:r w:rsidR="00E5265C">
        <w:rPr>
          <w:lang w:val="en-GB"/>
        </w:rPr>
        <w:fldChar w:fldCharType="end"/>
      </w:r>
      <w:r w:rsidRPr="00221992">
        <w:rPr>
          <w:lang w:val="en-GB"/>
        </w:rPr>
      </w:r>
      <w:r w:rsidRPr="00221992">
        <w:rPr>
          <w:lang w:val="en-GB"/>
        </w:rPr>
        <w:fldChar w:fldCharType="separate"/>
      </w:r>
      <w:r w:rsidR="00E5265C">
        <w:rPr>
          <w:noProof/>
          <w:lang w:val="en-GB"/>
        </w:rPr>
        <w:t>[117]</w:t>
      </w:r>
      <w:r w:rsidRPr="00221992">
        <w:rPr>
          <w:lang w:val="en-GB"/>
        </w:rPr>
        <w:fldChar w:fldCharType="end"/>
      </w:r>
      <w:r w:rsidRPr="00221992">
        <w:rPr>
          <w:lang w:val="en-GB"/>
        </w:rPr>
        <w:t>.</w:t>
      </w:r>
      <w:r w:rsidR="00F410F8" w:rsidRPr="00221992">
        <w:rPr>
          <w:rStyle w:val="FootnoteReference"/>
          <w:lang w:val="en-GB"/>
        </w:rPr>
        <w:footnoteReference w:id="4"/>
      </w:r>
      <w:r w:rsidR="00B42D1A" w:rsidRPr="00221992">
        <w:rPr>
          <w:vertAlign w:val="superscript"/>
          <w:lang w:val="en-GB"/>
        </w:rPr>
        <w:t>,</w:t>
      </w:r>
      <w:r w:rsidR="00B42D1A" w:rsidRPr="00221992">
        <w:rPr>
          <w:rStyle w:val="FootnoteReference"/>
          <w:lang w:val="en-GB"/>
        </w:rPr>
        <w:footnoteReference w:id="5"/>
      </w:r>
      <w:r w:rsidR="008C2EC9" w:rsidRPr="00221992">
        <w:rPr>
          <w:lang w:val="en-GB"/>
        </w:rPr>
        <w:t xml:space="preserve"> </w:t>
      </w:r>
    </w:p>
    <w:p w14:paraId="71B9E23A" w14:textId="056F4FF8" w:rsidR="00165681" w:rsidRPr="00221992" w:rsidRDefault="00165681" w:rsidP="00702C58">
      <w:pPr>
        <w:rPr>
          <w:lang w:val="en-GB"/>
        </w:rPr>
      </w:pPr>
      <w:r w:rsidRPr="00221992">
        <w:rPr>
          <w:lang w:val="en-GB"/>
        </w:rPr>
        <w:t>An HTA expert based in the UK interviewed for the Review concurred, stating that in his experience, lay members of NICE</w:t>
      </w:r>
      <w:r w:rsidR="00551786">
        <w:rPr>
          <w:lang w:val="en-GB"/>
        </w:rPr>
        <w:t>’</w:t>
      </w:r>
      <w:r w:rsidR="2B70E53C" w:rsidRPr="00221992">
        <w:rPr>
          <w:lang w:val="en-GB"/>
        </w:rPr>
        <w:t>s</w:t>
      </w:r>
      <w:r w:rsidRPr="00221992">
        <w:rPr>
          <w:lang w:val="en-GB"/>
        </w:rPr>
        <w:t xml:space="preserve"> appraisal committe</w:t>
      </w:r>
      <w:r w:rsidR="00E879A4" w:rsidRPr="00221992">
        <w:rPr>
          <w:lang w:val="en-GB"/>
        </w:rPr>
        <w:t>e</w:t>
      </w:r>
      <w:r w:rsidRPr="00221992">
        <w:rPr>
          <w:lang w:val="en-GB"/>
        </w:rPr>
        <w:t xml:space="preserve"> tend to view their remit as representing the point of view of recipient patients and are not encouraged (or supported) to think about the decision problem in terms of opportunity costs. “We can say,” he asserted,</w:t>
      </w:r>
    </w:p>
    <w:p w14:paraId="4D226429" w14:textId="7D86A20D" w:rsidR="00165681" w:rsidRPr="00221992" w:rsidRDefault="00E879A4" w:rsidP="00293A36">
      <w:pPr>
        <w:ind w:left="567"/>
        <w:rPr>
          <w:lang w:val="en-GB"/>
        </w:rPr>
      </w:pPr>
      <w:r w:rsidRPr="00221992">
        <w:rPr>
          <w:lang w:val="en-GB"/>
        </w:rPr>
        <w:t>W</w:t>
      </w:r>
      <w:r w:rsidR="00165681" w:rsidRPr="00221992">
        <w:rPr>
          <w:lang w:val="en-GB"/>
        </w:rPr>
        <w:t>hat a certain amount of additional spend on a new drug will mean in terms of the QALY</w:t>
      </w:r>
      <w:r w:rsidR="48E40AE4" w:rsidRPr="00221992">
        <w:rPr>
          <w:lang w:val="en-GB"/>
        </w:rPr>
        <w:t>s</w:t>
      </w:r>
      <w:r w:rsidR="00165681" w:rsidRPr="00221992">
        <w:rPr>
          <w:lang w:val="en-GB"/>
        </w:rPr>
        <w:t xml:space="preserve"> other patients will give up. But we don</w:t>
      </w:r>
      <w:r w:rsidR="00551786">
        <w:rPr>
          <w:lang w:val="en-GB"/>
        </w:rPr>
        <w:t>’</w:t>
      </w:r>
      <w:r w:rsidR="00165681" w:rsidRPr="00221992">
        <w:rPr>
          <w:lang w:val="en-GB"/>
        </w:rPr>
        <w:t>t know an awful lot about whose QALYs they</w:t>
      </w:r>
      <w:r w:rsidR="00551786">
        <w:rPr>
          <w:lang w:val="en-GB"/>
        </w:rPr>
        <w:t>’</w:t>
      </w:r>
      <w:r w:rsidR="00165681" w:rsidRPr="00221992">
        <w:rPr>
          <w:lang w:val="en-GB"/>
        </w:rPr>
        <w:t xml:space="preserve">ll be. [...] I think how we square that is by making sure we think about </w:t>
      </w:r>
      <w:r w:rsidR="00551786">
        <w:rPr>
          <w:lang w:val="en-GB"/>
        </w:rPr>
        <w:t>‘</w:t>
      </w:r>
      <w:r w:rsidR="00165681" w:rsidRPr="00221992">
        <w:rPr>
          <w:lang w:val="en-GB"/>
        </w:rPr>
        <w:t>patients</w:t>
      </w:r>
      <w:r w:rsidR="00551786">
        <w:rPr>
          <w:lang w:val="en-GB"/>
        </w:rPr>
        <w:t>’</w:t>
      </w:r>
      <w:r w:rsidR="00165681" w:rsidRPr="00221992">
        <w:rPr>
          <w:lang w:val="en-GB"/>
        </w:rPr>
        <w:t xml:space="preserve"> in the fullest sense of the term. (HTA expert</w:t>
      </w:r>
      <w:r w:rsidR="00F424CA" w:rsidRPr="00221992">
        <w:rPr>
          <w:lang w:val="en-GB"/>
        </w:rPr>
        <w:t>,</w:t>
      </w:r>
      <w:r w:rsidR="00165681" w:rsidRPr="00221992">
        <w:rPr>
          <w:lang w:val="en-GB"/>
        </w:rPr>
        <w:t xml:space="preserve"> </w:t>
      </w:r>
      <w:r w:rsidR="00F424CA" w:rsidRPr="00221992">
        <w:rPr>
          <w:lang w:val="en-GB"/>
        </w:rPr>
        <w:t>UK</w:t>
      </w:r>
      <w:r w:rsidR="00165681" w:rsidRPr="00221992">
        <w:rPr>
          <w:lang w:val="en-GB"/>
        </w:rPr>
        <w:t>)</w:t>
      </w:r>
    </w:p>
    <w:p w14:paraId="34B61DAB" w14:textId="766F9928" w:rsidR="00BC3E44" w:rsidRPr="00221992" w:rsidRDefault="00324B26" w:rsidP="007C2271">
      <w:pPr>
        <w:rPr>
          <w:lang w:val="en-GB"/>
        </w:rPr>
      </w:pPr>
      <w:r w:rsidRPr="00221992">
        <w:rPr>
          <w:lang w:val="en-GB"/>
        </w:rPr>
        <w:t xml:space="preserve">Here, it is </w:t>
      </w:r>
      <w:r w:rsidR="00A92783" w:rsidRPr="00221992">
        <w:rPr>
          <w:lang w:val="en-GB"/>
        </w:rPr>
        <w:t>important</w:t>
      </w:r>
      <w:r w:rsidRPr="00221992">
        <w:rPr>
          <w:lang w:val="en-GB"/>
        </w:rPr>
        <w:t xml:space="preserve"> to </w:t>
      </w:r>
      <w:r w:rsidR="00FA52EA" w:rsidRPr="00221992">
        <w:rPr>
          <w:lang w:val="en-GB"/>
        </w:rPr>
        <w:t>distinguish</w:t>
      </w:r>
      <w:r w:rsidRPr="00221992">
        <w:rPr>
          <w:lang w:val="en-GB"/>
        </w:rPr>
        <w:t xml:space="preserve"> between inclu</w:t>
      </w:r>
      <w:r w:rsidR="00804D3B" w:rsidRPr="00221992">
        <w:rPr>
          <w:lang w:val="en-GB"/>
        </w:rPr>
        <w:t>ding</w:t>
      </w:r>
      <w:r w:rsidRPr="00221992">
        <w:rPr>
          <w:lang w:val="en-GB"/>
        </w:rPr>
        <w:t xml:space="preserve"> </w:t>
      </w:r>
      <w:r w:rsidR="00F87F96" w:rsidRPr="00221992">
        <w:rPr>
          <w:lang w:val="en-GB"/>
        </w:rPr>
        <w:t xml:space="preserve">the perspectives of </w:t>
      </w:r>
      <w:r w:rsidRPr="00221992">
        <w:rPr>
          <w:lang w:val="en-GB"/>
        </w:rPr>
        <w:t>patient</w:t>
      </w:r>
      <w:r w:rsidR="00F87F96" w:rsidRPr="00221992">
        <w:rPr>
          <w:lang w:val="en-GB"/>
        </w:rPr>
        <w:t>s</w:t>
      </w:r>
      <w:r w:rsidR="00252412" w:rsidRPr="00221992">
        <w:rPr>
          <w:lang w:val="en-GB"/>
        </w:rPr>
        <w:t xml:space="preserve"> and carers</w:t>
      </w:r>
      <w:r w:rsidR="00F87F96" w:rsidRPr="00221992">
        <w:rPr>
          <w:lang w:val="en-GB"/>
        </w:rPr>
        <w:t xml:space="preserve">—as the </w:t>
      </w:r>
      <w:r w:rsidR="008E1662" w:rsidRPr="00221992">
        <w:rPr>
          <w:lang w:val="en-GB"/>
        </w:rPr>
        <w:t>past or potential</w:t>
      </w:r>
      <w:r w:rsidR="00F87F96" w:rsidRPr="00221992">
        <w:rPr>
          <w:lang w:val="en-GB"/>
        </w:rPr>
        <w:t xml:space="preserve"> direct beneficiaries of a health technology within a specific context of disease—and the perspectives of </w:t>
      </w:r>
      <w:r w:rsidR="00A55C1C" w:rsidRPr="00221992">
        <w:rPr>
          <w:lang w:val="en-GB"/>
        </w:rPr>
        <w:t>lay</w:t>
      </w:r>
      <w:r w:rsidR="005939BC" w:rsidRPr="00221992">
        <w:rPr>
          <w:lang w:val="en-GB"/>
        </w:rPr>
        <w:t xml:space="preserve"> individuals</w:t>
      </w:r>
      <w:r w:rsidR="00F87F96" w:rsidRPr="00221992">
        <w:rPr>
          <w:lang w:val="en-GB"/>
        </w:rPr>
        <w:t xml:space="preserve"> more broadly, which</w:t>
      </w:r>
      <w:r w:rsidR="00E5105F" w:rsidRPr="00221992">
        <w:rPr>
          <w:lang w:val="en-GB"/>
        </w:rPr>
        <w:t xml:space="preserve"> may be understood to reflect </w:t>
      </w:r>
      <w:r w:rsidR="00CC48BE" w:rsidRPr="00221992">
        <w:rPr>
          <w:lang w:val="en-GB"/>
        </w:rPr>
        <w:t xml:space="preserve">more </w:t>
      </w:r>
      <w:r w:rsidR="00E5105F" w:rsidRPr="00221992">
        <w:rPr>
          <w:lang w:val="en-GB"/>
        </w:rPr>
        <w:t xml:space="preserve">generalised perspectives on </w:t>
      </w:r>
      <w:r w:rsidR="00816AC8" w:rsidRPr="00221992">
        <w:rPr>
          <w:lang w:val="en-GB"/>
        </w:rPr>
        <w:t xml:space="preserve">need, access and preference from </w:t>
      </w:r>
      <w:r w:rsidR="005150D7" w:rsidRPr="00221992">
        <w:rPr>
          <w:lang w:val="en-GB"/>
        </w:rPr>
        <w:t>a societal, rather than commercial or technocratic</w:t>
      </w:r>
      <w:r w:rsidR="00CC48BE" w:rsidRPr="00221992">
        <w:rPr>
          <w:lang w:val="en-GB"/>
        </w:rPr>
        <w:t>,</w:t>
      </w:r>
      <w:r w:rsidR="005150D7" w:rsidRPr="00221992">
        <w:rPr>
          <w:lang w:val="en-GB"/>
        </w:rPr>
        <w:t xml:space="preserve"> point-of-view.</w:t>
      </w:r>
      <w:r w:rsidR="00271179" w:rsidRPr="00221992">
        <w:rPr>
          <w:lang w:val="en-GB"/>
        </w:rPr>
        <w:t xml:space="preserve"> </w:t>
      </w:r>
      <w:r w:rsidR="00580128" w:rsidRPr="00221992">
        <w:rPr>
          <w:lang w:val="en-GB"/>
        </w:rPr>
        <w:t xml:space="preserve">With respect to the former, the </w:t>
      </w:r>
      <w:r w:rsidR="00702F3F" w:rsidRPr="00221992">
        <w:rPr>
          <w:lang w:val="en-GB"/>
        </w:rPr>
        <w:t xml:space="preserve">underlying </w:t>
      </w:r>
      <w:r w:rsidR="00580128" w:rsidRPr="00221992">
        <w:rPr>
          <w:lang w:val="en-GB"/>
        </w:rPr>
        <w:t xml:space="preserve">goal is to </w:t>
      </w:r>
      <w:r w:rsidR="00702F3F" w:rsidRPr="00221992">
        <w:rPr>
          <w:lang w:val="en-GB"/>
        </w:rPr>
        <w:t xml:space="preserve">ensure that decisions about a health technology reflect </w:t>
      </w:r>
      <w:r w:rsidR="00580128" w:rsidRPr="00221992">
        <w:rPr>
          <w:lang w:val="en-GB"/>
        </w:rPr>
        <w:t xml:space="preserve">the lived experience of people </w:t>
      </w:r>
      <w:r w:rsidR="0015521D" w:rsidRPr="00221992">
        <w:rPr>
          <w:lang w:val="en-GB"/>
        </w:rPr>
        <w:t>impacted by a condition</w:t>
      </w:r>
      <w:r w:rsidR="00712A8E" w:rsidRPr="00221992">
        <w:rPr>
          <w:lang w:val="en-GB"/>
        </w:rPr>
        <w:t xml:space="preserve"> and are not impeded</w:t>
      </w:r>
      <w:r w:rsidR="00A450D8" w:rsidRPr="00221992">
        <w:rPr>
          <w:lang w:val="en-GB"/>
        </w:rPr>
        <w:t xml:space="preserve"> by gaps in traditional (quantitative) forms of evidence</w:t>
      </w:r>
      <w:r w:rsidR="00580128" w:rsidRPr="00221992">
        <w:rPr>
          <w:lang w:val="en-GB"/>
        </w:rPr>
        <w:t xml:space="preserve">. </w:t>
      </w:r>
      <w:r w:rsidR="00A269A5" w:rsidRPr="00221992">
        <w:rPr>
          <w:lang w:val="en-GB"/>
        </w:rPr>
        <w:t xml:space="preserve">However, </w:t>
      </w:r>
      <w:r w:rsidR="00A927A8" w:rsidRPr="00221992">
        <w:rPr>
          <w:lang w:val="en-GB"/>
        </w:rPr>
        <w:t>lay</w:t>
      </w:r>
      <w:r w:rsidR="00A269A5" w:rsidRPr="00221992">
        <w:rPr>
          <w:lang w:val="en-GB"/>
        </w:rPr>
        <w:t xml:space="preserve"> representatives </w:t>
      </w:r>
      <w:r w:rsidR="00B0516C" w:rsidRPr="00221992">
        <w:rPr>
          <w:lang w:val="en-GB"/>
        </w:rPr>
        <w:t>are</w:t>
      </w:r>
      <w:r w:rsidR="00897C7B" w:rsidRPr="00221992">
        <w:rPr>
          <w:lang w:val="en-GB"/>
        </w:rPr>
        <w:t xml:space="preserve"> also</w:t>
      </w:r>
      <w:r w:rsidR="00A269A5" w:rsidRPr="00221992">
        <w:rPr>
          <w:lang w:val="en-GB"/>
        </w:rPr>
        <w:t xml:space="preserve"> </w:t>
      </w:r>
      <w:r w:rsidR="00B0516C" w:rsidRPr="00221992">
        <w:rPr>
          <w:lang w:val="en-GB"/>
        </w:rPr>
        <w:t>frequently</w:t>
      </w:r>
      <w:r w:rsidR="00A269A5" w:rsidRPr="00221992">
        <w:rPr>
          <w:lang w:val="en-GB"/>
        </w:rPr>
        <w:t xml:space="preserve"> included in HTA deliberative processes with</w:t>
      </w:r>
      <w:r w:rsidR="002D0D82" w:rsidRPr="00221992">
        <w:rPr>
          <w:lang w:val="en-GB"/>
        </w:rPr>
        <w:t xml:space="preserve"> the goal of improving equity more broadly</w:t>
      </w:r>
      <w:r w:rsidR="00A269A5" w:rsidRPr="00221992">
        <w:rPr>
          <w:lang w:val="en-GB"/>
        </w:rPr>
        <w:t xml:space="preserve">. </w:t>
      </w:r>
      <w:r w:rsidR="001C666A" w:rsidRPr="00221992">
        <w:rPr>
          <w:lang w:val="en-GB"/>
        </w:rPr>
        <w:t>This inclusion</w:t>
      </w:r>
      <w:r w:rsidR="00BE6DBE" w:rsidRPr="00221992">
        <w:rPr>
          <w:lang w:val="en-GB"/>
        </w:rPr>
        <w:t xml:space="preserve"> is </w:t>
      </w:r>
      <w:r w:rsidR="001C666A" w:rsidRPr="00221992">
        <w:rPr>
          <w:lang w:val="en-GB"/>
        </w:rPr>
        <w:t>impacted</w:t>
      </w:r>
      <w:r w:rsidR="0089643D" w:rsidRPr="00221992">
        <w:rPr>
          <w:lang w:val="en-GB"/>
        </w:rPr>
        <w:t xml:space="preserve"> by</w:t>
      </w:r>
      <w:r w:rsidR="006B79A5" w:rsidRPr="00221992">
        <w:rPr>
          <w:lang w:val="en-GB"/>
        </w:rPr>
        <w:t>, inter alia,</w:t>
      </w:r>
      <w:r w:rsidR="00BE6DBE" w:rsidRPr="00221992">
        <w:rPr>
          <w:lang w:val="en-GB"/>
        </w:rPr>
        <w:t xml:space="preserve"> </w:t>
      </w:r>
      <w:r w:rsidR="006B79A5" w:rsidRPr="00221992">
        <w:rPr>
          <w:lang w:val="en-GB"/>
        </w:rPr>
        <w:t xml:space="preserve">overarching </w:t>
      </w:r>
      <w:r w:rsidR="00A4056E" w:rsidRPr="00221992">
        <w:rPr>
          <w:lang w:val="en-GB"/>
        </w:rPr>
        <w:t xml:space="preserve">power relations </w:t>
      </w:r>
      <w:r w:rsidR="006155FA" w:rsidRPr="00221992">
        <w:rPr>
          <w:lang w:val="en-GB"/>
        </w:rPr>
        <w:t xml:space="preserve">that </w:t>
      </w:r>
      <w:r w:rsidR="00A4056E" w:rsidRPr="00221992">
        <w:rPr>
          <w:lang w:val="en-GB"/>
        </w:rPr>
        <w:t>sha</w:t>
      </w:r>
      <w:r w:rsidR="006155FA" w:rsidRPr="00221992">
        <w:rPr>
          <w:lang w:val="en-GB"/>
        </w:rPr>
        <w:t>pe</w:t>
      </w:r>
      <w:r w:rsidR="00A4056E" w:rsidRPr="00221992">
        <w:rPr>
          <w:lang w:val="en-GB"/>
        </w:rPr>
        <w:t xml:space="preserve"> </w:t>
      </w:r>
      <w:r w:rsidR="002D0D82" w:rsidRPr="00221992">
        <w:rPr>
          <w:lang w:val="en-GB"/>
        </w:rPr>
        <w:t xml:space="preserve">the </w:t>
      </w:r>
      <w:r w:rsidR="000F352F" w:rsidRPr="00221992">
        <w:rPr>
          <w:lang w:val="en-GB"/>
        </w:rPr>
        <w:t>HTA process</w:t>
      </w:r>
      <w:r w:rsidR="00B818A3" w:rsidRPr="00221992">
        <w:rPr>
          <w:lang w:val="en-GB"/>
        </w:rPr>
        <w:t>, determine</w:t>
      </w:r>
      <w:r w:rsidR="0077327A" w:rsidRPr="00221992">
        <w:rPr>
          <w:lang w:val="en-GB"/>
        </w:rPr>
        <w:t xml:space="preserve"> </w:t>
      </w:r>
      <w:r w:rsidR="00A23A11" w:rsidRPr="00221992">
        <w:rPr>
          <w:lang w:val="en-GB"/>
        </w:rPr>
        <w:t>membership</w:t>
      </w:r>
      <w:r w:rsidR="00A4056E" w:rsidRPr="00221992">
        <w:rPr>
          <w:lang w:val="en-GB"/>
        </w:rPr>
        <w:t xml:space="preserve"> on deliberative committees</w:t>
      </w:r>
      <w:r w:rsidR="00B818A3" w:rsidRPr="00221992">
        <w:rPr>
          <w:lang w:val="en-GB"/>
        </w:rPr>
        <w:t>,</w:t>
      </w:r>
      <w:r w:rsidR="00A4056E" w:rsidRPr="00221992">
        <w:rPr>
          <w:lang w:val="en-GB"/>
        </w:rPr>
        <w:t xml:space="preserve"> </w:t>
      </w:r>
      <w:r w:rsidR="00A23A11" w:rsidRPr="00221992">
        <w:rPr>
          <w:lang w:val="en-GB"/>
        </w:rPr>
        <w:t>and validate particular forms of</w:t>
      </w:r>
      <w:r w:rsidR="0077327A" w:rsidRPr="00221992">
        <w:rPr>
          <w:lang w:val="en-GB"/>
        </w:rPr>
        <w:t xml:space="preserve"> </w:t>
      </w:r>
      <w:r w:rsidR="002D0D82" w:rsidRPr="00221992">
        <w:rPr>
          <w:lang w:val="en-GB"/>
        </w:rPr>
        <w:t>evidence.</w:t>
      </w:r>
      <w:r w:rsidR="007C2271" w:rsidRPr="00221992">
        <w:rPr>
          <w:lang w:val="en-GB"/>
        </w:rPr>
        <w:t xml:space="preserve"> </w:t>
      </w:r>
      <w:r w:rsidR="00E157C4" w:rsidRPr="00221992">
        <w:rPr>
          <w:lang w:val="en-GB"/>
        </w:rPr>
        <w:t xml:space="preserve">Many HTA bodies have guidelines </w:t>
      </w:r>
      <w:r w:rsidR="006A1205" w:rsidRPr="00221992">
        <w:rPr>
          <w:lang w:val="en-GB"/>
        </w:rPr>
        <w:t>to address these issues</w:t>
      </w:r>
      <w:r w:rsidR="007C2271" w:rsidRPr="00221992">
        <w:rPr>
          <w:lang w:val="en-GB"/>
        </w:rPr>
        <w:t>,</w:t>
      </w:r>
      <w:r w:rsidR="006A1205" w:rsidRPr="00221992">
        <w:rPr>
          <w:lang w:val="en-GB"/>
        </w:rPr>
        <w:t xml:space="preserve"> and </w:t>
      </w:r>
      <w:r w:rsidR="00C07086" w:rsidRPr="00221992">
        <w:rPr>
          <w:lang w:val="en-GB"/>
        </w:rPr>
        <w:t>consumer and lay members o</w:t>
      </w:r>
      <w:r w:rsidR="007C2271" w:rsidRPr="00221992">
        <w:rPr>
          <w:lang w:val="en-GB"/>
        </w:rPr>
        <w:t>f</w:t>
      </w:r>
      <w:r w:rsidR="00C07086" w:rsidRPr="00221992">
        <w:rPr>
          <w:lang w:val="en-GB"/>
        </w:rPr>
        <w:t xml:space="preserve"> HTA committees </w:t>
      </w:r>
      <w:r w:rsidR="00833C05" w:rsidRPr="00221992">
        <w:rPr>
          <w:lang w:val="en-GB"/>
        </w:rPr>
        <w:t xml:space="preserve">commonly </w:t>
      </w:r>
      <w:r w:rsidR="00C07086" w:rsidRPr="00221992">
        <w:rPr>
          <w:lang w:val="en-GB"/>
        </w:rPr>
        <w:t>receive</w:t>
      </w:r>
      <w:r w:rsidR="00390796" w:rsidRPr="00221992">
        <w:rPr>
          <w:lang w:val="en-GB"/>
        </w:rPr>
        <w:t xml:space="preserve"> support,</w:t>
      </w:r>
      <w:r w:rsidR="00C07086" w:rsidRPr="00221992">
        <w:rPr>
          <w:lang w:val="en-GB"/>
        </w:rPr>
        <w:t xml:space="preserve"> training and</w:t>
      </w:r>
      <w:r w:rsidR="00833C05" w:rsidRPr="00221992">
        <w:rPr>
          <w:lang w:val="en-GB"/>
        </w:rPr>
        <w:t>/</w:t>
      </w:r>
      <w:r w:rsidR="00C07086" w:rsidRPr="00221992">
        <w:rPr>
          <w:lang w:val="en-GB"/>
        </w:rPr>
        <w:t>or mentoring</w:t>
      </w:r>
      <w:r w:rsidR="00833C05" w:rsidRPr="00221992">
        <w:rPr>
          <w:lang w:val="en-GB"/>
        </w:rPr>
        <w:t>,</w:t>
      </w:r>
      <w:r w:rsidR="00C07086" w:rsidRPr="00221992">
        <w:rPr>
          <w:lang w:val="en-GB"/>
        </w:rPr>
        <w:t xml:space="preserve"> which includes raising issues of equity</w:t>
      </w:r>
      <w:r w:rsidR="00E14CAB" w:rsidRPr="00221992">
        <w:rPr>
          <w:lang w:val="en-GB"/>
        </w:rPr>
        <w:t xml:space="preserve"> (see, for example, NICE</w:t>
      </w:r>
      <w:r w:rsidR="00551786">
        <w:rPr>
          <w:lang w:val="en-GB"/>
        </w:rPr>
        <w:t>’</w:t>
      </w:r>
      <w:r w:rsidR="00E14CAB" w:rsidRPr="00221992">
        <w:rPr>
          <w:lang w:val="en-GB"/>
        </w:rPr>
        <w:t>s Public Involvement Programme</w:t>
      </w:r>
      <w:r w:rsidR="00D26001" w:rsidRPr="00221992">
        <w:rPr>
          <w:lang w:val="en-GB"/>
        </w:rPr>
        <w:t xml:space="preserve"> </w:t>
      </w:r>
      <w:r w:rsidR="00390796" w:rsidRPr="00221992">
        <w:rPr>
          <w:lang w:val="en-GB"/>
        </w:rPr>
        <w:t>https://www.nice.org.uk/about/nice-communities/nice-and-the-public/public-involvement)</w:t>
      </w:r>
      <w:r w:rsidR="00C07086" w:rsidRPr="00221992">
        <w:rPr>
          <w:lang w:val="en-GB"/>
        </w:rPr>
        <w:t xml:space="preserve">. </w:t>
      </w:r>
    </w:p>
    <w:p w14:paraId="2EDD9EE0" w14:textId="6FC6EA2A" w:rsidR="0076159A" w:rsidRPr="00221992" w:rsidRDefault="00DE2847" w:rsidP="0076159A">
      <w:pPr>
        <w:rPr>
          <w:lang w:val="en-GB"/>
        </w:rPr>
      </w:pPr>
      <w:r w:rsidRPr="00221992">
        <w:rPr>
          <w:lang w:val="en-GB"/>
        </w:rPr>
        <w:t>W</w:t>
      </w:r>
      <w:r w:rsidR="0076159A" w:rsidRPr="00221992">
        <w:rPr>
          <w:lang w:val="en-GB"/>
        </w:rPr>
        <w:t xml:space="preserve">hile </w:t>
      </w:r>
      <w:r w:rsidRPr="00221992">
        <w:rPr>
          <w:lang w:val="en-GB"/>
        </w:rPr>
        <w:t xml:space="preserve">firmly </w:t>
      </w:r>
      <w:r w:rsidR="0076159A" w:rsidRPr="00221992">
        <w:rPr>
          <w:lang w:val="en-GB"/>
        </w:rPr>
        <w:t xml:space="preserve">committed to the idea that </w:t>
      </w:r>
      <w:r w:rsidR="00A454B5" w:rsidRPr="00221992">
        <w:rPr>
          <w:lang w:val="en-GB"/>
        </w:rPr>
        <w:t>consumer</w:t>
      </w:r>
      <w:r w:rsidR="0076159A" w:rsidRPr="00221992">
        <w:rPr>
          <w:lang w:val="en-GB"/>
        </w:rPr>
        <w:t xml:space="preserve"> engagement strengthen</w:t>
      </w:r>
      <w:r w:rsidR="00A454B5" w:rsidRPr="00221992">
        <w:rPr>
          <w:lang w:val="en-GB"/>
        </w:rPr>
        <w:t>s</w:t>
      </w:r>
      <w:r w:rsidR="0076159A" w:rsidRPr="00221992">
        <w:rPr>
          <w:lang w:val="en-GB"/>
        </w:rPr>
        <w:t xml:space="preserve"> the findings, relevance, and legitimacy of health technology policy, Vanstone et al. (2019) </w:t>
      </w:r>
      <w:r w:rsidR="00A454B5" w:rsidRPr="00221992">
        <w:rPr>
          <w:lang w:val="en-GB"/>
        </w:rPr>
        <w:t xml:space="preserve">have </w:t>
      </w:r>
      <w:r w:rsidR="00BC74AA" w:rsidRPr="00221992">
        <w:rPr>
          <w:lang w:val="en-GB"/>
        </w:rPr>
        <w:t xml:space="preserve">also </w:t>
      </w:r>
      <w:r w:rsidR="0076159A" w:rsidRPr="00221992">
        <w:rPr>
          <w:lang w:val="en-GB"/>
        </w:rPr>
        <w:t xml:space="preserve">identified </w:t>
      </w:r>
      <w:r w:rsidR="00BC74AA" w:rsidRPr="00221992">
        <w:rPr>
          <w:lang w:val="en-GB"/>
        </w:rPr>
        <w:t>potential harms to which</w:t>
      </w:r>
      <w:r w:rsidR="0076159A" w:rsidRPr="00221992">
        <w:rPr>
          <w:lang w:val="en-GB"/>
        </w:rPr>
        <w:t xml:space="preserve"> </w:t>
      </w:r>
      <w:r w:rsidR="00A454B5" w:rsidRPr="00221992">
        <w:rPr>
          <w:lang w:val="en-GB"/>
        </w:rPr>
        <w:t>patient</w:t>
      </w:r>
      <w:r w:rsidR="00BC74AA" w:rsidRPr="00221992">
        <w:rPr>
          <w:lang w:val="en-GB"/>
        </w:rPr>
        <w:t>s</w:t>
      </w:r>
      <w:r w:rsidR="0076159A" w:rsidRPr="00221992">
        <w:rPr>
          <w:lang w:val="en-GB"/>
        </w:rPr>
        <w:t xml:space="preserve"> engage</w:t>
      </w:r>
      <w:r w:rsidR="00BC74AA" w:rsidRPr="00221992">
        <w:rPr>
          <w:lang w:val="en-GB"/>
        </w:rPr>
        <w:t>d</w:t>
      </w:r>
      <w:r w:rsidR="0076159A" w:rsidRPr="00221992">
        <w:rPr>
          <w:lang w:val="en-GB"/>
        </w:rPr>
        <w:t xml:space="preserve"> in HTA</w:t>
      </w:r>
      <w:r w:rsidR="00BC74AA" w:rsidRPr="00221992">
        <w:rPr>
          <w:lang w:val="en-GB"/>
        </w:rPr>
        <w:t xml:space="preserve"> processes may be exposed</w:t>
      </w:r>
      <w:r w:rsidR="0076159A" w:rsidRPr="00221992">
        <w:rPr>
          <w:lang w:val="en-GB"/>
        </w:rPr>
        <w:t xml:space="preserve"> </w:t>
      </w:r>
      <w:r w:rsidR="00E01F1C" w:rsidRPr="00221992">
        <w:rPr>
          <w:lang w:val="en-GB"/>
        </w:rPr>
        <w:fldChar w:fldCharType="begin"/>
      </w:r>
      <w:r w:rsidR="00E5265C">
        <w:rPr>
          <w:lang w:val="en-GB"/>
        </w:rPr>
        <w:instrText xml:space="preserve"> ADDIN EN.CITE &lt;EndNote&gt;&lt;Cite&gt;&lt;Author&gt;Vanstone&lt;/Author&gt;&lt;Year&gt;2019&lt;/Year&gt;&lt;RecNum&gt;677&lt;/RecNum&gt;&lt;DisplayText&gt;[119]&lt;/DisplayText&gt;&lt;record&gt;&lt;rec-number&gt;677&lt;/rec-number&gt;&lt;foreign-keys&gt;&lt;key app="EN" db-id="wzwwsfxe4peesxef95cxvrwjxts9rreasarf" timestamp="1694653256"&gt;677&lt;/key&gt;&lt;/foreign-keys&gt;&lt;ref-type name="Journal Article"&gt;17&lt;/ref-type&gt;&lt;contributors&gt;&lt;authors&gt;&lt;author&gt;Vanstone, Meredith&lt;/author&gt;&lt;author&gt;Abelson, Julia&lt;/author&gt;&lt;author&gt;Bidonde, Julia&lt;/author&gt;&lt;author&gt;Bond, Kenneth&lt;/author&gt;&lt;author&gt;Burgess, Raquel&lt;/author&gt;&lt;author&gt;Canfield, Carolyn&lt;/author&gt;&lt;author&gt;Schwartz, Lisa&lt;/author&gt;&lt;author&gt;Tripp, Laura&lt;/author&gt;&lt;/authors&gt;&lt;/contributors&gt;&lt;titles&gt;&lt;title&gt;Ethical challenges related to patient involvement in health technology assessment&lt;/title&gt;&lt;secondary-title&gt;International journal of technology assessment in health care&lt;/secondary-title&gt;&lt;/titles&gt;&lt;pages&gt;253-256&lt;/pages&gt;&lt;volume&gt;35&lt;/volume&gt;&lt;number&gt;4&lt;/number&gt;&lt;dates&gt;&lt;year&gt;2019&lt;/year&gt;&lt;/dates&gt;&lt;isbn&gt;0266-4623&lt;/isbn&gt;&lt;urls&gt;&lt;/urls&gt;&lt;/record&gt;&lt;/Cite&gt;&lt;/EndNote&gt;</w:instrText>
      </w:r>
      <w:r w:rsidR="00E01F1C" w:rsidRPr="00221992">
        <w:rPr>
          <w:lang w:val="en-GB"/>
        </w:rPr>
        <w:fldChar w:fldCharType="separate"/>
      </w:r>
      <w:r w:rsidR="00E5265C">
        <w:rPr>
          <w:noProof/>
          <w:lang w:val="en-GB"/>
        </w:rPr>
        <w:t>[119]</w:t>
      </w:r>
      <w:r w:rsidR="00E01F1C" w:rsidRPr="00221992">
        <w:rPr>
          <w:lang w:val="en-GB"/>
        </w:rPr>
        <w:fldChar w:fldCharType="end"/>
      </w:r>
      <w:r w:rsidR="0076159A" w:rsidRPr="00221992">
        <w:rPr>
          <w:lang w:val="en-GB"/>
        </w:rPr>
        <w:t>.</w:t>
      </w:r>
      <w:r w:rsidR="00E01F1C" w:rsidRPr="00221992">
        <w:rPr>
          <w:lang w:val="en-GB"/>
        </w:rPr>
        <w:t xml:space="preserve"> Patient engagement, the authors </w:t>
      </w:r>
      <w:r w:rsidR="00F16FE5" w:rsidRPr="00221992">
        <w:rPr>
          <w:lang w:val="en-GB"/>
        </w:rPr>
        <w:t>argue</w:t>
      </w:r>
      <w:r w:rsidR="00E01F1C" w:rsidRPr="00221992">
        <w:rPr>
          <w:lang w:val="en-GB"/>
        </w:rPr>
        <w:t xml:space="preserve">, </w:t>
      </w:r>
      <w:r w:rsidR="00297D68" w:rsidRPr="00221992">
        <w:rPr>
          <w:lang w:val="en-GB"/>
        </w:rPr>
        <w:t>is increasingly undertaken as a form of</w:t>
      </w:r>
      <w:r w:rsidR="00E01F1C" w:rsidRPr="00221992">
        <w:rPr>
          <w:lang w:val="en-GB"/>
        </w:rPr>
        <w:t xml:space="preserve"> research, with the conceptual framing, collection, synthesis and reporting of informants</w:t>
      </w:r>
      <w:r w:rsidR="00551786">
        <w:rPr>
          <w:lang w:val="en-GB"/>
        </w:rPr>
        <w:t>’</w:t>
      </w:r>
      <w:r w:rsidR="00E01F1C" w:rsidRPr="00221992">
        <w:rPr>
          <w:lang w:val="en-GB"/>
        </w:rPr>
        <w:t xml:space="preserve"> contributions often</w:t>
      </w:r>
      <w:r w:rsidR="00A454B5" w:rsidRPr="00221992">
        <w:rPr>
          <w:lang w:val="en-GB"/>
        </w:rPr>
        <w:t xml:space="preserve"> </w:t>
      </w:r>
      <w:r w:rsidR="00297D68" w:rsidRPr="00221992">
        <w:rPr>
          <w:lang w:val="en-GB"/>
        </w:rPr>
        <w:t xml:space="preserve">lacking </w:t>
      </w:r>
      <w:r w:rsidR="00AE316A" w:rsidRPr="00221992">
        <w:rPr>
          <w:lang w:val="en-GB"/>
        </w:rPr>
        <w:t>informed</w:t>
      </w:r>
      <w:r w:rsidR="00977464" w:rsidRPr="00221992">
        <w:rPr>
          <w:lang w:val="en-GB"/>
        </w:rPr>
        <w:t xml:space="preserve"> input from patients</w:t>
      </w:r>
      <w:r w:rsidR="00D75F38" w:rsidRPr="00221992">
        <w:rPr>
          <w:lang w:val="en-GB"/>
        </w:rPr>
        <w:t xml:space="preserve"> </w:t>
      </w:r>
      <w:r w:rsidR="00A8289C" w:rsidRPr="00221992">
        <w:rPr>
          <w:lang w:val="en-GB"/>
        </w:rPr>
        <w:fldChar w:fldCharType="begin">
          <w:fldData xml:space="preserve">PEVuZE5vdGU+PENpdGU+PEF1dGhvcj5LaWJlbDwvQXV0aG9yPjxZZWFyPjIwMTc8L1llYXI+PFJl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</w:fldData>
        </w:fldChar>
      </w:r>
      <w:r w:rsidR="00E5265C">
        <w:rPr>
          <w:lang w:val="en-GB"/>
        </w:rPr>
        <w:instrText xml:space="preserve"> ADDIN EN.CITE </w:instrText>
      </w:r>
      <w:r w:rsidR="00E5265C">
        <w:rPr>
          <w:lang w:val="en-GB"/>
        </w:rPr>
        <w:fldChar w:fldCharType="begin">
          <w:fldData xml:space="preserve">PEVuZE5vdGU+PENpdGU+PEF1dGhvcj5LaWJlbDwvQXV0aG9yPjxZZWFyPjIwMTc8L1llYXI+PFJl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</w:fldData>
        </w:fldChar>
      </w:r>
      <w:r w:rsidR="00E5265C">
        <w:rPr>
          <w:lang w:val="en-GB"/>
        </w:rPr>
        <w:instrText xml:space="preserve"> ADDIN EN.CITE.DATA </w:instrText>
      </w:r>
      <w:r w:rsidR="00E5265C">
        <w:rPr>
          <w:lang w:val="en-GB"/>
        </w:rPr>
      </w:r>
      <w:r w:rsidR="00E5265C">
        <w:rPr>
          <w:lang w:val="en-GB"/>
        </w:rPr>
        <w:fldChar w:fldCharType="end"/>
      </w:r>
      <w:r w:rsidR="00A8289C" w:rsidRPr="00221992">
        <w:rPr>
          <w:lang w:val="en-GB"/>
        </w:rPr>
      </w:r>
      <w:r w:rsidR="00A8289C" w:rsidRPr="00221992">
        <w:rPr>
          <w:lang w:val="en-GB"/>
        </w:rPr>
        <w:fldChar w:fldCharType="separate"/>
      </w:r>
      <w:r w:rsidR="00E5265C">
        <w:rPr>
          <w:noProof/>
          <w:lang w:val="en-GB"/>
        </w:rPr>
        <w:t>[120]</w:t>
      </w:r>
      <w:r w:rsidR="00A8289C" w:rsidRPr="00221992">
        <w:rPr>
          <w:lang w:val="en-GB"/>
        </w:rPr>
        <w:fldChar w:fldCharType="end"/>
      </w:r>
      <w:r w:rsidR="00D75F38" w:rsidRPr="00221992">
        <w:rPr>
          <w:lang w:val="en-GB"/>
        </w:rPr>
        <w:t>.</w:t>
      </w:r>
      <w:r w:rsidR="00317613" w:rsidRPr="00221992">
        <w:rPr>
          <w:lang w:val="en-GB"/>
        </w:rPr>
        <w:t xml:space="preserve"> The authors argue that greater attention is needed to ensure that patients are selected ethically (i.e., recognising </w:t>
      </w:r>
      <w:r w:rsidR="002226EB" w:rsidRPr="00221992">
        <w:rPr>
          <w:lang w:val="en-GB"/>
        </w:rPr>
        <w:t>a diversity of motivations and agency among patients who may wish to participate in HTA processes)</w:t>
      </w:r>
      <w:r w:rsidR="00BC74AA" w:rsidRPr="00221992">
        <w:rPr>
          <w:lang w:val="en-GB"/>
        </w:rPr>
        <w:t xml:space="preserve"> and</w:t>
      </w:r>
      <w:r w:rsidR="002226EB" w:rsidRPr="00221992">
        <w:rPr>
          <w:lang w:val="en-GB"/>
        </w:rPr>
        <w:t xml:space="preserve"> </w:t>
      </w:r>
      <w:r w:rsidR="00BC74AA" w:rsidRPr="00221992">
        <w:rPr>
          <w:lang w:val="en-GB"/>
        </w:rPr>
        <w:t>that power differentials between patients and experts are minimised</w:t>
      </w:r>
      <w:r w:rsidR="00D80D72" w:rsidRPr="00221992">
        <w:rPr>
          <w:lang w:val="en-GB"/>
        </w:rPr>
        <w:t xml:space="preserve"> </w:t>
      </w:r>
      <w:r w:rsidR="00D80D72" w:rsidRPr="00221992">
        <w:rPr>
          <w:lang w:val="en-GB"/>
        </w:rPr>
        <w:fldChar w:fldCharType="begin">
          <w:fldData xml:space="preserve">PEVuZE5vdGU+PENpdGU+PEF1dGhvcj5LaWJlbDwvQXV0aG9yPjxZZWFyPjIwMTc8L1llYXI+PFJl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</w:fldData>
        </w:fldChar>
      </w:r>
      <w:r w:rsidR="00E5265C">
        <w:rPr>
          <w:lang w:val="en-GB"/>
        </w:rPr>
        <w:instrText xml:space="preserve"> ADDIN EN.CITE </w:instrText>
      </w:r>
      <w:r w:rsidR="00E5265C">
        <w:rPr>
          <w:lang w:val="en-GB"/>
        </w:rPr>
        <w:fldChar w:fldCharType="begin">
          <w:fldData xml:space="preserve">PEVuZE5vdGU+PENpdGU+PEF1dGhvcj5LaWJlbDwvQXV0aG9yPjxZZWFyPjIwMTc8L1llYXI+PFJl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</w:fldData>
        </w:fldChar>
      </w:r>
      <w:r w:rsidR="00E5265C">
        <w:rPr>
          <w:lang w:val="en-GB"/>
        </w:rPr>
        <w:instrText xml:space="preserve"> ADDIN EN.CITE.DATA </w:instrText>
      </w:r>
      <w:r w:rsidR="00E5265C">
        <w:rPr>
          <w:lang w:val="en-GB"/>
        </w:rPr>
      </w:r>
      <w:r w:rsidR="00E5265C">
        <w:rPr>
          <w:lang w:val="en-GB"/>
        </w:rPr>
        <w:fldChar w:fldCharType="end"/>
      </w:r>
      <w:r w:rsidR="00D80D72" w:rsidRPr="00221992">
        <w:rPr>
          <w:lang w:val="en-GB"/>
        </w:rPr>
      </w:r>
      <w:r w:rsidR="00D80D72" w:rsidRPr="00221992">
        <w:rPr>
          <w:lang w:val="en-GB"/>
        </w:rPr>
        <w:fldChar w:fldCharType="separate"/>
      </w:r>
      <w:r w:rsidR="00E5265C">
        <w:rPr>
          <w:noProof/>
          <w:lang w:val="en-GB"/>
        </w:rPr>
        <w:t>[120]</w:t>
      </w:r>
      <w:r w:rsidR="00D80D72" w:rsidRPr="00221992">
        <w:rPr>
          <w:lang w:val="en-GB"/>
        </w:rPr>
        <w:fldChar w:fldCharType="end"/>
      </w:r>
      <w:r w:rsidR="00D80D72" w:rsidRPr="00221992">
        <w:rPr>
          <w:lang w:val="en-GB"/>
        </w:rPr>
        <w:t>.</w:t>
      </w:r>
    </w:p>
    <w:tbl>
      <w:tblPr>
        <w:tblStyle w:val="GridTable4-Accent39"/>
        <w:tblW w:w="8490" w:type="dxa"/>
        <w:tblBorders>
          <w:top w:val="single" w:sz="12" w:space="0" w:color="0F4BEB"/>
          <w:left w:val="single" w:sz="12" w:space="0" w:color="0F4BEB"/>
          <w:bottom w:val="single" w:sz="12" w:space="0" w:color="0F4BEB"/>
          <w:right w:val="single" w:sz="12" w:space="0" w:color="0F4BEB"/>
          <w:insideH w:val="single" w:sz="4" w:space="0" w:color="A5A5A5"/>
          <w:insideV w:val="single" w:sz="4" w:space="0" w:color="A5A5A5"/>
        </w:tblBorders>
        <w:tblLook w:val="04A0" w:firstRow="1" w:lastRow="0" w:firstColumn="1" w:lastColumn="0" w:noHBand="0" w:noVBand="1"/>
      </w:tblPr>
      <w:tblGrid>
        <w:gridCol w:w="8490"/>
      </w:tblGrid>
      <w:tr w:rsidR="008D5F96" w:rsidRPr="008D5F96" w14:paraId="64815EEE"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90" w:type="dxa"/>
          </w:tcPr>
          <w:p w14:paraId="543DDE2E" w14:textId="77777777" w:rsidR="008D5F96" w:rsidRPr="008D5F96" w:rsidRDefault="008D5F96">
            <w:pPr>
              <w:spacing w:after="0" w:line="240" w:lineRule="auto"/>
              <w:jc w:val="center"/>
              <w:rPr>
                <w:rFonts w:ascii="Calibri" w:eastAsia="Calibri" w:hAnsi="Calibri"/>
                <w:sz w:val="22"/>
                <w:szCs w:val="22"/>
                <w:lang w:eastAsia="en-US"/>
              </w:rPr>
            </w:pPr>
            <w:r w:rsidRPr="008D5F96">
              <w:rPr>
                <w:rFonts w:ascii="Calibri" w:eastAsia="Calibri" w:hAnsi="Calibri"/>
                <w:sz w:val="22"/>
                <w:szCs w:val="22"/>
                <w:lang w:eastAsia="en-US"/>
              </w:rPr>
              <w:t>Why this matters</w:t>
            </w:r>
          </w:p>
        </w:tc>
      </w:tr>
      <w:tr w:rsidR="008D5F96" w:rsidRPr="008D5F96" w14:paraId="3E3A92C8" w14:textId="77777777" w:rsidTr="009952E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90" w:type="dxa"/>
          </w:tcPr>
          <w:p w14:paraId="62E1A3E1" w14:textId="24AAE117" w:rsidR="008D5F96" w:rsidRDefault="008D5F96">
            <w:pPr>
              <w:spacing w:after="0" w:line="240" w:lineRule="auto"/>
              <w:rPr>
                <w:sz w:val="22"/>
                <w:szCs w:val="22"/>
                <w:lang w:val="en-GB"/>
              </w:rPr>
            </w:pPr>
            <w:r>
              <w:rPr>
                <w:b w:val="0"/>
                <w:bCs w:val="0"/>
                <w:sz w:val="22"/>
                <w:szCs w:val="22"/>
                <w:lang w:val="en-GB"/>
              </w:rPr>
              <w:t>Evidence from international experience</w:t>
            </w:r>
            <w:r w:rsidRPr="008D5F96">
              <w:rPr>
                <w:b w:val="0"/>
                <w:bCs w:val="0"/>
                <w:sz w:val="22"/>
                <w:szCs w:val="22"/>
                <w:lang w:val="en-GB"/>
              </w:rPr>
              <w:t xml:space="preserve"> suggests that </w:t>
            </w:r>
            <w:r w:rsidR="00522955">
              <w:rPr>
                <w:b w:val="0"/>
                <w:bCs w:val="0"/>
                <w:sz w:val="22"/>
                <w:szCs w:val="22"/>
                <w:lang w:val="en-GB"/>
              </w:rPr>
              <w:t>flexibility is paramount in</w:t>
            </w:r>
            <w:r w:rsidRPr="008D5F96">
              <w:rPr>
                <w:b w:val="0"/>
                <w:bCs w:val="0"/>
                <w:sz w:val="22"/>
                <w:szCs w:val="22"/>
                <w:lang w:val="en-GB"/>
              </w:rPr>
              <w:t xml:space="preserve"> the consideration of equity in HTA. </w:t>
            </w:r>
            <w:r w:rsidR="000C274F">
              <w:rPr>
                <w:b w:val="0"/>
                <w:bCs w:val="0"/>
                <w:sz w:val="22"/>
                <w:szCs w:val="22"/>
                <w:lang w:val="en-GB"/>
              </w:rPr>
              <w:t>T</w:t>
            </w:r>
            <w:r w:rsidRPr="008D5F96">
              <w:rPr>
                <w:b w:val="0"/>
                <w:bCs w:val="0"/>
                <w:sz w:val="22"/>
                <w:szCs w:val="22"/>
                <w:lang w:val="en-GB"/>
              </w:rPr>
              <w:t>he strict parameterisation of equity domains (</w:t>
            </w:r>
            <w:r w:rsidR="00EC5FFA">
              <w:rPr>
                <w:b w:val="0"/>
                <w:bCs w:val="0"/>
                <w:sz w:val="22"/>
                <w:szCs w:val="22"/>
                <w:lang w:val="en-GB"/>
              </w:rPr>
              <w:t>e.g.,</w:t>
            </w:r>
            <w:r w:rsidRPr="008D5F96">
              <w:rPr>
                <w:b w:val="0"/>
                <w:bCs w:val="0"/>
                <w:sz w:val="22"/>
                <w:szCs w:val="22"/>
                <w:lang w:val="en-GB"/>
              </w:rPr>
              <w:t xml:space="preserve"> </w:t>
            </w:r>
            <w:r w:rsidR="000C274F">
              <w:rPr>
                <w:b w:val="0"/>
                <w:bCs w:val="0"/>
                <w:sz w:val="22"/>
                <w:szCs w:val="22"/>
                <w:lang w:val="en-GB"/>
              </w:rPr>
              <w:t>through prescribed</w:t>
            </w:r>
            <w:r w:rsidRPr="008D5F96">
              <w:rPr>
                <w:b w:val="0"/>
                <w:bCs w:val="0"/>
                <w:sz w:val="22"/>
                <w:szCs w:val="22"/>
                <w:lang w:val="en-GB"/>
              </w:rPr>
              <w:t xml:space="preserve"> </w:t>
            </w:r>
            <w:r w:rsidR="00EC5FFA">
              <w:rPr>
                <w:b w:val="0"/>
                <w:bCs w:val="0"/>
                <w:sz w:val="22"/>
                <w:szCs w:val="22"/>
                <w:lang w:val="en-GB"/>
              </w:rPr>
              <w:t>weighting of QALYs</w:t>
            </w:r>
            <w:r w:rsidRPr="008D5F96">
              <w:rPr>
                <w:b w:val="0"/>
                <w:bCs w:val="0"/>
                <w:sz w:val="22"/>
                <w:szCs w:val="22"/>
                <w:lang w:val="en-GB"/>
              </w:rPr>
              <w:t xml:space="preserve">) </w:t>
            </w:r>
            <w:r w:rsidR="000C274F">
              <w:rPr>
                <w:b w:val="0"/>
                <w:bCs w:val="0"/>
                <w:sz w:val="22"/>
                <w:szCs w:val="22"/>
                <w:lang w:val="en-GB"/>
              </w:rPr>
              <w:t xml:space="preserve">may be </w:t>
            </w:r>
            <w:r w:rsidRPr="008D5F96">
              <w:rPr>
                <w:b w:val="0"/>
                <w:bCs w:val="0"/>
                <w:sz w:val="22"/>
                <w:szCs w:val="22"/>
                <w:lang w:val="en-GB"/>
              </w:rPr>
              <w:t>problematic for a range of reasons. Namely, parameterisation cannot be fully inclusive of all factors relevant to the equity consideration; cut-off points for mutually exclusive categorisation may be arbitrarily rigid or fail to reflect nuance at the margins; and there is a lack of empirical data to consistently enumerate societal preferences, including the prioritisation of small population subgroups.</w:t>
            </w:r>
          </w:p>
          <w:p w14:paraId="6BDFB11F" w14:textId="77777777" w:rsidR="008B3F43" w:rsidRDefault="008B3F43">
            <w:pPr>
              <w:spacing w:after="0" w:line="240" w:lineRule="auto"/>
              <w:rPr>
                <w:rFonts w:eastAsia="Calibri" w:cs="Calibri Light"/>
                <w:sz w:val="22"/>
                <w:szCs w:val="22"/>
              </w:rPr>
            </w:pPr>
          </w:p>
          <w:p w14:paraId="5223B098" w14:textId="15352333" w:rsidR="008B3F43" w:rsidRPr="009952E8" w:rsidRDefault="008B3F43">
            <w:pPr>
              <w:spacing w:after="0" w:line="240" w:lineRule="auto"/>
              <w:rPr>
                <w:rFonts w:eastAsia="Calibri" w:cs="Calibri Light"/>
                <w:b w:val="0"/>
                <w:bCs w:val="0"/>
                <w:sz w:val="22"/>
                <w:szCs w:val="22"/>
                <w:lang w:eastAsia="en-US"/>
              </w:rPr>
            </w:pPr>
            <w:r>
              <w:rPr>
                <w:rFonts w:eastAsia="Calibri" w:cs="Calibri Light"/>
                <w:b w:val="0"/>
                <w:bCs w:val="0"/>
                <w:sz w:val="22"/>
                <w:szCs w:val="22"/>
                <w:lang w:eastAsia="en-US"/>
              </w:rPr>
              <w:t xml:space="preserve">While the impact of equity considerations may be made more explicit in </w:t>
            </w:r>
            <w:r w:rsidR="000C274F">
              <w:rPr>
                <w:rFonts w:eastAsia="Calibri" w:cs="Calibri Light"/>
                <w:b w:val="0"/>
                <w:bCs w:val="0"/>
                <w:sz w:val="22"/>
                <w:szCs w:val="22"/>
                <w:lang w:eastAsia="en-US"/>
              </w:rPr>
              <w:t xml:space="preserve">HTA </w:t>
            </w:r>
            <w:r>
              <w:rPr>
                <w:rFonts w:eastAsia="Calibri" w:cs="Calibri Light"/>
                <w:b w:val="0"/>
                <w:bCs w:val="0"/>
                <w:sz w:val="22"/>
                <w:szCs w:val="22"/>
                <w:lang w:eastAsia="en-US"/>
              </w:rPr>
              <w:t>reporting, Australia</w:t>
            </w:r>
            <w:r w:rsidR="000C274F">
              <w:rPr>
                <w:rFonts w:eastAsia="Calibri" w:cs="Calibri Light"/>
                <w:b w:val="0"/>
                <w:bCs w:val="0"/>
                <w:sz w:val="22"/>
                <w:szCs w:val="22"/>
                <w:lang w:eastAsia="en-US"/>
              </w:rPr>
              <w:t>’s</w:t>
            </w:r>
            <w:r>
              <w:rPr>
                <w:rFonts w:eastAsia="Calibri" w:cs="Calibri Light"/>
                <w:b w:val="0"/>
                <w:bCs w:val="0"/>
                <w:sz w:val="22"/>
                <w:szCs w:val="22"/>
                <w:lang w:eastAsia="en-US"/>
              </w:rPr>
              <w:t xml:space="preserve"> approach generally accords with the principle of flexibility.</w:t>
            </w:r>
          </w:p>
        </w:tc>
      </w:tr>
    </w:tbl>
    <w:p w14:paraId="751E3C53" w14:textId="77777777" w:rsidR="008D5F96" w:rsidRDefault="008D5F96" w:rsidP="00702C58">
      <w:pPr>
        <w:rPr>
          <w:lang w:val="en-GB"/>
        </w:rPr>
      </w:pPr>
    </w:p>
    <w:p w14:paraId="3EB4D35F" w14:textId="4FEAFBAF" w:rsidR="00D65012" w:rsidRPr="00221992" w:rsidRDefault="00D33F43" w:rsidP="00146C04">
      <w:pPr>
        <w:pStyle w:val="NbrHeading2"/>
        <w:rPr>
          <w:lang w:val="en-GB"/>
        </w:rPr>
      </w:pPr>
      <w:bookmarkStart w:id="122" w:name="_Ref143764702"/>
      <w:bookmarkStart w:id="123" w:name="_Toc162950883"/>
      <w:bookmarkEnd w:id="5"/>
      <w:r w:rsidRPr="00221992">
        <w:rPr>
          <w:lang w:val="en-GB"/>
        </w:rPr>
        <w:t>International approaches to rare disease in HTA</w:t>
      </w:r>
      <w:bookmarkEnd w:id="122"/>
      <w:bookmarkEnd w:id="123"/>
    </w:p>
    <w:p w14:paraId="2B441279" w14:textId="7D9DAE8A" w:rsidR="00930FD4" w:rsidRPr="00221992" w:rsidRDefault="00D65012" w:rsidP="0046642D">
      <w:pPr>
        <w:rPr>
          <w:lang w:val="en-GB"/>
        </w:rPr>
      </w:pPr>
      <w:r w:rsidRPr="00221992">
        <w:rPr>
          <w:lang w:val="en-GB"/>
        </w:rPr>
        <w:t xml:space="preserve">Healthcare systems are </w:t>
      </w:r>
      <w:r w:rsidR="00D508F4">
        <w:rPr>
          <w:lang w:val="en-GB"/>
        </w:rPr>
        <w:t>strained to provide</w:t>
      </w:r>
      <w:r w:rsidRPr="00221992">
        <w:rPr>
          <w:lang w:val="en-GB"/>
        </w:rPr>
        <w:t xml:space="preserve"> access to novel and often expensive medications, which increasingly include drugs for rare diseases. </w:t>
      </w:r>
      <w:r w:rsidR="00930FD4" w:rsidRPr="00221992">
        <w:rPr>
          <w:lang w:val="en-GB"/>
        </w:rPr>
        <w:t>R</w:t>
      </w:r>
      <w:r w:rsidRPr="00221992">
        <w:rPr>
          <w:lang w:val="en-GB"/>
        </w:rPr>
        <w:t xml:space="preserve">are </w:t>
      </w:r>
      <w:r w:rsidR="00930FD4" w:rsidRPr="00221992">
        <w:rPr>
          <w:lang w:val="en-GB"/>
        </w:rPr>
        <w:t>diseases</w:t>
      </w:r>
      <w:r w:rsidRPr="00221992">
        <w:rPr>
          <w:lang w:val="en-GB"/>
        </w:rPr>
        <w:t xml:space="preserve"> impact </w:t>
      </w:r>
      <w:r w:rsidR="00D508F4">
        <w:rPr>
          <w:lang w:val="en-GB"/>
        </w:rPr>
        <w:t>relatively</w:t>
      </w:r>
      <w:r w:rsidRPr="00221992">
        <w:rPr>
          <w:lang w:val="en-GB"/>
        </w:rPr>
        <w:t xml:space="preserve"> </w:t>
      </w:r>
      <w:r w:rsidR="00652D6D" w:rsidRPr="00221992">
        <w:rPr>
          <w:lang w:val="en-GB"/>
        </w:rPr>
        <w:t>few patients in a population</w:t>
      </w:r>
      <w:r w:rsidRPr="00221992">
        <w:rPr>
          <w:lang w:val="en-GB"/>
        </w:rPr>
        <w:t>, are generally severe (</w:t>
      </w:r>
      <w:r w:rsidR="00D508F4">
        <w:rPr>
          <w:lang w:val="en-GB"/>
        </w:rPr>
        <w:t xml:space="preserve">i.e., </w:t>
      </w:r>
      <w:r w:rsidRPr="00221992">
        <w:rPr>
          <w:lang w:val="en-GB"/>
        </w:rPr>
        <w:t xml:space="preserve">potentially life-threatening and/or lead to significant disability), are hard to diagnose and are heterogenous in nature. </w:t>
      </w:r>
      <w:r w:rsidR="00930FD4" w:rsidRPr="00221992">
        <w:rPr>
          <w:lang w:val="en-GB"/>
        </w:rPr>
        <w:t>A</w:t>
      </w:r>
      <w:r w:rsidRPr="00221992">
        <w:rPr>
          <w:lang w:val="en-GB"/>
        </w:rPr>
        <w:t xml:space="preserve">round 80% </w:t>
      </w:r>
      <w:r w:rsidR="00930FD4" w:rsidRPr="00221992">
        <w:rPr>
          <w:lang w:val="en-GB"/>
        </w:rPr>
        <w:t xml:space="preserve">of rare diseases </w:t>
      </w:r>
      <w:r w:rsidRPr="00221992">
        <w:rPr>
          <w:lang w:val="en-GB"/>
        </w:rPr>
        <w:t>have a genetic origin and 50% occur in children</w:t>
      </w:r>
      <w:r w:rsidR="00351856" w:rsidRPr="00221992">
        <w:rPr>
          <w:lang w:val="en-GB"/>
        </w:rPr>
        <w:t xml:space="preserve"> </w:t>
      </w:r>
      <w:r w:rsidR="00351856" w:rsidRPr="00221992">
        <w:rPr>
          <w:lang w:val="en-GB"/>
        </w:rPr>
        <w:fldChar w:fldCharType="begin"/>
      </w:r>
      <w:r w:rsidR="00E5265C">
        <w:rPr>
          <w:lang w:val="en-GB"/>
        </w:rPr>
        <w:instrText xml:space="preserve"> ADDIN EN.CITE &lt;EndNote&gt;&lt;Cite&gt;&lt;Author&gt;The Lancet&lt;/Author&gt;&lt;Year&gt;2019&lt;/Year&gt;&lt;RecNum&gt;680&lt;/RecNum&gt;&lt;DisplayText&gt;[121]&lt;/DisplayText&gt;&lt;record&gt;&lt;rec-number&gt;680&lt;/rec-number&gt;&lt;foreign-keys&gt;&lt;key app="EN" db-id="wzwwsfxe4peesxef95cxvrwjxts9rreasarf" timestamp="1695176996"&gt;680&lt;/key&gt;&lt;/foreign-keys&gt;&lt;ref-type name="Journal Article"&gt;17&lt;/ref-type&gt;&lt;contributors&gt;&lt;authors&gt;&lt;author&gt;The Lancet,, Diabetes &amp;amp; Endocrinology&lt;/author&gt;&lt;/authors&gt;&lt;/contributors&gt;&lt;titles&gt;&lt;title&gt;Spotlight on rare diseases&lt;/title&gt;&lt;secondary-title&gt;The Lancet Diabetes &amp;amp; Endocrinology&lt;/secondary-title&gt;&lt;/titles&gt;&lt;periodical&gt;&lt;full-title&gt;The Lancet Diabetes &amp;amp; Endocrinology&lt;/full-title&gt;&lt;/periodical&gt;&lt;pages&gt;75&lt;/pages&gt;&lt;volume&gt;7&lt;/volume&gt;&lt;number&gt;2&lt;/number&gt;&lt;dates&gt;&lt;year&gt;2019&lt;/year&gt;&lt;/dates&gt;&lt;publisher&gt;Elsevier&lt;/publisher&gt;&lt;isbn&gt;2213-8587&lt;/isbn&gt;&lt;urls&gt;&lt;related-urls&gt;&lt;url&gt;https://doi.org/10.1016/S2213-8587(19)30006-3&lt;/url&gt;&lt;/related-urls&gt;&lt;/urls&gt;&lt;electronic-resource-num&gt;10.1016/S2213-8587(19)30006-3&lt;/electronic-resource-num&gt;&lt;access-date&gt;2023/09/19&lt;/access-date&gt;&lt;/record&gt;&lt;/Cite&gt;&lt;/EndNote&gt;</w:instrText>
      </w:r>
      <w:r w:rsidR="00351856" w:rsidRPr="00221992">
        <w:rPr>
          <w:lang w:val="en-GB"/>
        </w:rPr>
        <w:fldChar w:fldCharType="separate"/>
      </w:r>
      <w:r w:rsidR="00E5265C">
        <w:rPr>
          <w:noProof/>
          <w:lang w:val="en-GB"/>
        </w:rPr>
        <w:t>[121]</w:t>
      </w:r>
      <w:r w:rsidR="00351856" w:rsidRPr="00221992">
        <w:rPr>
          <w:lang w:val="en-GB"/>
        </w:rPr>
        <w:fldChar w:fldCharType="end"/>
      </w:r>
      <w:r w:rsidRPr="00221992">
        <w:rPr>
          <w:lang w:val="en-GB"/>
        </w:rPr>
        <w:t xml:space="preserve">. </w:t>
      </w:r>
    </w:p>
    <w:p w14:paraId="3A1DB82E" w14:textId="7D60EEBF" w:rsidR="00D65012" w:rsidRPr="00221992" w:rsidRDefault="00E52166" w:rsidP="0046642D">
      <w:pPr>
        <w:rPr>
          <w:lang w:val="en-GB"/>
        </w:rPr>
      </w:pPr>
      <w:r>
        <w:rPr>
          <w:lang w:val="en-GB"/>
        </w:rPr>
        <w:t>There are a number of challenges to enabling access to o</w:t>
      </w:r>
      <w:r w:rsidR="00BC35AB">
        <w:rPr>
          <w:lang w:val="en-GB"/>
        </w:rPr>
        <w:t>rphan d</w:t>
      </w:r>
      <w:r w:rsidR="00D65012" w:rsidRPr="00221992">
        <w:rPr>
          <w:lang w:val="en-GB"/>
        </w:rPr>
        <w:t>rugs</w:t>
      </w:r>
      <w:r w:rsidR="00930FD4" w:rsidRPr="00221992">
        <w:rPr>
          <w:lang w:val="en-GB"/>
        </w:rPr>
        <w:t xml:space="preserve"> </w:t>
      </w:r>
      <w:r w:rsidR="00BC35AB">
        <w:rPr>
          <w:lang w:val="en-GB"/>
        </w:rPr>
        <w:t xml:space="preserve">(i.e., drugs that target </w:t>
      </w:r>
      <w:r w:rsidR="00930FD4" w:rsidRPr="00221992">
        <w:rPr>
          <w:lang w:val="en-GB"/>
        </w:rPr>
        <w:t>rare diseases</w:t>
      </w:r>
      <w:r w:rsidR="00BC35AB">
        <w:rPr>
          <w:lang w:val="en-GB"/>
        </w:rPr>
        <w:t>)</w:t>
      </w:r>
      <w:r w:rsidR="00D508F4">
        <w:rPr>
          <w:lang w:val="en-GB"/>
        </w:rPr>
        <w:t>, including</w:t>
      </w:r>
      <w:r w:rsidR="00D65012" w:rsidRPr="00221992">
        <w:rPr>
          <w:lang w:val="en-GB"/>
        </w:rPr>
        <w:t xml:space="preserve">: </w:t>
      </w:r>
      <w:r w:rsidR="00930FD4" w:rsidRPr="00221992">
        <w:rPr>
          <w:lang w:val="en-GB"/>
        </w:rPr>
        <w:t xml:space="preserve">a </w:t>
      </w:r>
      <w:r w:rsidR="00D65012" w:rsidRPr="00221992">
        <w:rPr>
          <w:lang w:val="en-GB"/>
        </w:rPr>
        <w:t xml:space="preserve">lack of research and development due to </w:t>
      </w:r>
      <w:r w:rsidR="00D508F4">
        <w:rPr>
          <w:lang w:val="en-GB"/>
        </w:rPr>
        <w:t>poor</w:t>
      </w:r>
      <w:r w:rsidR="00D65012" w:rsidRPr="00221992">
        <w:rPr>
          <w:lang w:val="en-GB"/>
        </w:rPr>
        <w:t xml:space="preserve"> incentives to develop drug</w:t>
      </w:r>
      <w:r w:rsidR="00D508F4">
        <w:rPr>
          <w:lang w:val="en-GB"/>
        </w:rPr>
        <w:t>s</w:t>
      </w:r>
      <w:r w:rsidR="00D65012" w:rsidRPr="00221992">
        <w:rPr>
          <w:lang w:val="en-GB"/>
        </w:rPr>
        <w:t xml:space="preserve"> </w:t>
      </w:r>
      <w:r w:rsidR="00D508F4">
        <w:rPr>
          <w:lang w:val="en-GB"/>
        </w:rPr>
        <w:t>for</w:t>
      </w:r>
      <w:r w:rsidR="00D65012" w:rsidRPr="00221992">
        <w:rPr>
          <w:lang w:val="en-GB"/>
        </w:rPr>
        <w:t xml:space="preserve"> a limited number of patients</w:t>
      </w:r>
      <w:r w:rsidR="00930FD4" w:rsidRPr="00221992">
        <w:rPr>
          <w:lang w:val="en-GB"/>
        </w:rPr>
        <w:t>;</w:t>
      </w:r>
      <w:r w:rsidR="00D65012" w:rsidRPr="00221992">
        <w:rPr>
          <w:lang w:val="en-GB"/>
        </w:rPr>
        <w:t xml:space="preserve"> lack of availability of treatments</w:t>
      </w:r>
      <w:r w:rsidR="00930FD4" w:rsidRPr="00221992">
        <w:rPr>
          <w:lang w:val="en-GB"/>
        </w:rPr>
        <w:t xml:space="preserve">; and </w:t>
      </w:r>
      <w:r w:rsidR="00D508F4">
        <w:rPr>
          <w:lang w:val="en-GB"/>
        </w:rPr>
        <w:t>constrained</w:t>
      </w:r>
      <w:r w:rsidR="00D65012" w:rsidRPr="00221992">
        <w:rPr>
          <w:lang w:val="en-GB"/>
        </w:rPr>
        <w:t xml:space="preserve"> access due to high cost </w:t>
      </w:r>
      <w:r w:rsidR="00796403">
        <w:rPr>
          <w:lang w:val="en-GB"/>
        </w:rPr>
        <w:t xml:space="preserve">and unfavourable cost-effectiveness </w:t>
      </w:r>
      <w:r w:rsidR="00930FD4" w:rsidRPr="00221992">
        <w:rPr>
          <w:lang w:val="en-GB"/>
        </w:rPr>
        <w:t xml:space="preserve">making them </w:t>
      </w:r>
      <w:r w:rsidR="00D65012" w:rsidRPr="00221992">
        <w:rPr>
          <w:lang w:val="en-GB"/>
        </w:rPr>
        <w:t xml:space="preserve">generally unaffordable </w:t>
      </w:r>
      <w:r w:rsidR="00D508F4">
        <w:rPr>
          <w:lang w:val="en-GB"/>
        </w:rPr>
        <w:t>without</w:t>
      </w:r>
      <w:r w:rsidR="00930FD4" w:rsidRPr="00221992">
        <w:rPr>
          <w:lang w:val="en-GB"/>
        </w:rPr>
        <w:t xml:space="preserve"> public subsid</w:t>
      </w:r>
      <w:r w:rsidR="00D508F4">
        <w:rPr>
          <w:lang w:val="en-GB"/>
        </w:rPr>
        <w:t>y</w:t>
      </w:r>
      <w:r w:rsidR="00930FD4" w:rsidRPr="00221992">
        <w:rPr>
          <w:lang w:val="en-GB"/>
        </w:rPr>
        <w:t xml:space="preserve">. </w:t>
      </w:r>
    </w:p>
    <w:p w14:paraId="3B252015" w14:textId="366E1CAB" w:rsidR="00D65012" w:rsidRPr="00221992" w:rsidRDefault="00D65012" w:rsidP="0046642D">
      <w:pPr>
        <w:rPr>
          <w:lang w:val="en-GB"/>
        </w:rPr>
      </w:pPr>
      <w:r w:rsidRPr="00221992">
        <w:rPr>
          <w:lang w:val="en-GB"/>
        </w:rPr>
        <w:t xml:space="preserve">Many countries have </w:t>
      </w:r>
      <w:r w:rsidR="00D508F4">
        <w:rPr>
          <w:lang w:val="en-GB"/>
        </w:rPr>
        <w:t>enacted</w:t>
      </w:r>
      <w:r w:rsidR="00D508F4" w:rsidRPr="00221992">
        <w:rPr>
          <w:lang w:val="en-GB"/>
        </w:rPr>
        <w:t xml:space="preserve"> </w:t>
      </w:r>
      <w:r w:rsidRPr="00221992">
        <w:rPr>
          <w:lang w:val="en-GB"/>
        </w:rPr>
        <w:t xml:space="preserve">legislation to incentivise research and </w:t>
      </w:r>
      <w:r w:rsidR="00D508F4">
        <w:rPr>
          <w:lang w:val="en-GB"/>
        </w:rPr>
        <w:t>implement</w:t>
      </w:r>
      <w:r w:rsidR="00D508F4" w:rsidRPr="00221992">
        <w:rPr>
          <w:lang w:val="en-GB"/>
        </w:rPr>
        <w:t xml:space="preserve"> </w:t>
      </w:r>
      <w:r w:rsidRPr="00221992">
        <w:rPr>
          <w:lang w:val="en-GB"/>
        </w:rPr>
        <w:t>funding to facilitate access to drugs</w:t>
      </w:r>
      <w:r w:rsidR="00930FD4" w:rsidRPr="00221992">
        <w:rPr>
          <w:lang w:val="en-GB"/>
        </w:rPr>
        <w:t xml:space="preserve"> for rare diseases</w:t>
      </w:r>
      <w:r w:rsidRPr="00221992">
        <w:rPr>
          <w:lang w:val="en-GB"/>
        </w:rPr>
        <w:t xml:space="preserve">. </w:t>
      </w:r>
      <w:r w:rsidR="00D508F4">
        <w:rPr>
          <w:lang w:val="en-GB"/>
        </w:rPr>
        <w:t>Notwithstanding such initiatives, however</w:t>
      </w:r>
      <w:r w:rsidR="00930FD4" w:rsidRPr="00221992">
        <w:rPr>
          <w:lang w:val="en-GB"/>
        </w:rPr>
        <w:t>, of</w:t>
      </w:r>
      <w:r w:rsidRPr="00221992">
        <w:rPr>
          <w:lang w:val="en-GB"/>
        </w:rPr>
        <w:t xml:space="preserve"> </w:t>
      </w:r>
      <w:r w:rsidR="00930FD4" w:rsidRPr="00221992">
        <w:rPr>
          <w:lang w:val="en-GB"/>
        </w:rPr>
        <w:t xml:space="preserve">the approximately </w:t>
      </w:r>
      <w:r w:rsidRPr="00221992">
        <w:rPr>
          <w:lang w:val="en-GB"/>
        </w:rPr>
        <w:t>7,000 rare diseases identified, only 10% have an associated treatment</w:t>
      </w:r>
      <w:r w:rsidR="00930FD4" w:rsidRPr="00221992">
        <w:rPr>
          <w:lang w:val="en-GB"/>
        </w:rPr>
        <w:t>.</w:t>
      </w:r>
      <w:r w:rsidR="008A6310">
        <w:rPr>
          <w:lang w:val="en-GB"/>
        </w:rPr>
        <w:t xml:space="preserve"> </w:t>
      </w:r>
    </w:p>
    <w:p w14:paraId="6538B3C2" w14:textId="046C8223" w:rsidR="00071218" w:rsidRPr="00221992" w:rsidRDefault="00D508F4" w:rsidP="0046642D">
      <w:pPr>
        <w:rPr>
          <w:lang w:val="en-GB"/>
        </w:rPr>
      </w:pPr>
      <w:r>
        <w:rPr>
          <w:lang w:val="en-GB"/>
        </w:rPr>
        <w:t>Funding</w:t>
      </w:r>
      <w:r w:rsidR="00071218" w:rsidRPr="00221992">
        <w:rPr>
          <w:lang w:val="en-GB"/>
        </w:rPr>
        <w:t xml:space="preserve"> </w:t>
      </w:r>
      <w:r w:rsidR="00265B97">
        <w:rPr>
          <w:lang w:val="en-GB"/>
        </w:rPr>
        <w:t>of orphan drugs</w:t>
      </w:r>
      <w:r w:rsidR="00071218" w:rsidRPr="00221992">
        <w:rPr>
          <w:lang w:val="en-GB"/>
        </w:rPr>
        <w:t xml:space="preserve"> </w:t>
      </w:r>
      <w:r>
        <w:rPr>
          <w:lang w:val="en-GB"/>
        </w:rPr>
        <w:t xml:space="preserve">therefore </w:t>
      </w:r>
      <w:r w:rsidR="00071218" w:rsidRPr="00221992">
        <w:rPr>
          <w:lang w:val="en-GB"/>
        </w:rPr>
        <w:t>introduces a moral and ethical dilemma for decision makers</w:t>
      </w:r>
      <w:r>
        <w:rPr>
          <w:lang w:val="en-GB"/>
        </w:rPr>
        <w:t>—</w:t>
      </w:r>
      <w:r w:rsidR="00071218" w:rsidRPr="00221992">
        <w:rPr>
          <w:lang w:val="en-GB"/>
        </w:rPr>
        <w:t xml:space="preserve">allocating resources for these drugs involves balancing principles of fairness </w:t>
      </w:r>
      <w:r>
        <w:rPr>
          <w:lang w:val="en-GB"/>
        </w:rPr>
        <w:t>against these therapies’</w:t>
      </w:r>
      <w:r w:rsidR="00071218" w:rsidRPr="00221992">
        <w:rPr>
          <w:lang w:val="en-GB"/>
        </w:rPr>
        <w:t xml:space="preserve"> opportunity cost </w:t>
      </w:r>
      <w:r>
        <w:rPr>
          <w:lang w:val="en-GB"/>
        </w:rPr>
        <w:t xml:space="preserve">(i.e., </w:t>
      </w:r>
      <w:r w:rsidR="00071218" w:rsidRPr="00221992">
        <w:rPr>
          <w:lang w:val="en-GB"/>
        </w:rPr>
        <w:t>forgone alternatives/health gains</w:t>
      </w:r>
      <w:r>
        <w:rPr>
          <w:lang w:val="en-GB"/>
        </w:rPr>
        <w:t xml:space="preserve">, discussed </w:t>
      </w:r>
      <w:r w:rsidR="00071218" w:rsidRPr="00221992">
        <w:rPr>
          <w:lang w:val="en-GB"/>
        </w:rPr>
        <w:t xml:space="preserve">further in Section 4.2.5). Ultimately, </w:t>
      </w:r>
      <w:r>
        <w:rPr>
          <w:lang w:val="en-GB"/>
        </w:rPr>
        <w:t>the</w:t>
      </w:r>
      <w:r w:rsidR="00071218" w:rsidRPr="00221992">
        <w:rPr>
          <w:lang w:val="en-GB"/>
        </w:rPr>
        <w:t xml:space="preserve"> allocat</w:t>
      </w:r>
      <w:r>
        <w:rPr>
          <w:lang w:val="en-GB"/>
        </w:rPr>
        <w:t>ion of</w:t>
      </w:r>
      <w:r w:rsidR="00071218" w:rsidRPr="00221992">
        <w:rPr>
          <w:lang w:val="en-GB"/>
        </w:rPr>
        <w:t xml:space="preserve"> resources to therapies for rare diseases remains </w:t>
      </w:r>
      <w:r>
        <w:rPr>
          <w:lang w:val="en-GB"/>
        </w:rPr>
        <w:t>subject</w:t>
      </w:r>
      <w:r w:rsidRPr="00221992">
        <w:rPr>
          <w:lang w:val="en-GB"/>
        </w:rPr>
        <w:t xml:space="preserve"> </w:t>
      </w:r>
      <w:r w:rsidR="00071218" w:rsidRPr="00221992">
        <w:rPr>
          <w:lang w:val="en-GB"/>
        </w:rPr>
        <w:t xml:space="preserve">to a multitude of </w:t>
      </w:r>
      <w:r>
        <w:rPr>
          <w:lang w:val="en-GB"/>
        </w:rPr>
        <w:t xml:space="preserve">often </w:t>
      </w:r>
      <w:r w:rsidR="00071218" w:rsidRPr="00221992">
        <w:rPr>
          <w:lang w:val="en-GB"/>
        </w:rPr>
        <w:t>conflicting ethical arguments (</w:t>
      </w:r>
      <w:r w:rsidR="008A3C46">
        <w:rPr>
          <w:lang w:val="en-GB"/>
        </w:rPr>
        <w:t>e.</w:t>
      </w:r>
      <w:r>
        <w:rPr>
          <w:lang w:val="en-GB"/>
        </w:rPr>
        <w:t>g.</w:t>
      </w:r>
      <w:r w:rsidR="008A3C46">
        <w:rPr>
          <w:lang w:val="en-GB"/>
        </w:rPr>
        <w:t xml:space="preserve">, </w:t>
      </w:r>
      <w:r w:rsidR="00071218" w:rsidRPr="00221992">
        <w:rPr>
          <w:lang w:val="en-GB"/>
        </w:rPr>
        <w:t>equality, fairness, ethical obligation to preserve lives irrespective of costs, among others)</w:t>
      </w:r>
      <w:r>
        <w:rPr>
          <w:lang w:val="en-GB"/>
        </w:rPr>
        <w:t>.</w:t>
      </w:r>
      <w:r w:rsidR="00071218" w:rsidRPr="00221992">
        <w:rPr>
          <w:lang w:val="en-GB"/>
        </w:rPr>
        <w:t xml:space="preserve"> </w:t>
      </w:r>
      <w:r>
        <w:rPr>
          <w:lang w:val="en-GB"/>
        </w:rPr>
        <w:t>M</w:t>
      </w:r>
      <w:r w:rsidR="00071218" w:rsidRPr="00221992">
        <w:rPr>
          <w:lang w:val="en-GB"/>
        </w:rPr>
        <w:t>any countries have</w:t>
      </w:r>
      <w:r>
        <w:rPr>
          <w:lang w:val="en-GB"/>
        </w:rPr>
        <w:t xml:space="preserve"> addressed these concerns</w:t>
      </w:r>
      <w:r w:rsidR="00071218" w:rsidRPr="00221992">
        <w:rPr>
          <w:lang w:val="en-GB"/>
        </w:rPr>
        <w:t xml:space="preserve">, to </w:t>
      </w:r>
      <w:r>
        <w:rPr>
          <w:lang w:val="en-GB"/>
        </w:rPr>
        <w:t>varying degrees</w:t>
      </w:r>
      <w:r w:rsidR="00071218" w:rsidRPr="00221992">
        <w:rPr>
          <w:lang w:val="en-GB"/>
        </w:rPr>
        <w:t>, by introducing special consideration</w:t>
      </w:r>
      <w:r w:rsidR="00796403">
        <w:rPr>
          <w:lang w:val="en-GB"/>
        </w:rPr>
        <w:t>s</w:t>
      </w:r>
      <w:r w:rsidR="00071218" w:rsidRPr="00221992">
        <w:rPr>
          <w:lang w:val="en-GB"/>
        </w:rPr>
        <w:t xml:space="preserve"> </w:t>
      </w:r>
      <w:r>
        <w:rPr>
          <w:lang w:val="en-GB"/>
        </w:rPr>
        <w:t>for</w:t>
      </w:r>
      <w:r w:rsidRPr="00221992">
        <w:rPr>
          <w:lang w:val="en-GB"/>
        </w:rPr>
        <w:t xml:space="preserve"> </w:t>
      </w:r>
      <w:r w:rsidR="00071218" w:rsidRPr="00221992">
        <w:rPr>
          <w:lang w:val="en-GB"/>
        </w:rPr>
        <w:t xml:space="preserve">the evaluation </w:t>
      </w:r>
      <w:r>
        <w:rPr>
          <w:lang w:val="en-GB"/>
        </w:rPr>
        <w:t xml:space="preserve">of </w:t>
      </w:r>
      <w:r w:rsidR="00265B97">
        <w:rPr>
          <w:lang w:val="en-GB"/>
        </w:rPr>
        <w:t>orphan drugs</w:t>
      </w:r>
      <w:r w:rsidR="00071218" w:rsidRPr="00221992">
        <w:rPr>
          <w:lang w:val="en-GB"/>
        </w:rPr>
        <w:t xml:space="preserve">. The aim of this </w:t>
      </w:r>
      <w:r w:rsidR="003F5A26" w:rsidRPr="00221992">
        <w:rPr>
          <w:lang w:val="en-GB"/>
        </w:rPr>
        <w:t>s</w:t>
      </w:r>
      <w:r w:rsidR="00071218" w:rsidRPr="00221992">
        <w:rPr>
          <w:lang w:val="en-GB"/>
        </w:rPr>
        <w:t xml:space="preserve">ection is to describe </w:t>
      </w:r>
      <w:r w:rsidR="00265B97">
        <w:rPr>
          <w:lang w:val="en-GB"/>
        </w:rPr>
        <w:t>such</w:t>
      </w:r>
      <w:r w:rsidR="00071218" w:rsidRPr="00221992">
        <w:rPr>
          <w:lang w:val="en-GB"/>
        </w:rPr>
        <w:t xml:space="preserve"> practice</w:t>
      </w:r>
      <w:r>
        <w:rPr>
          <w:lang w:val="en-GB"/>
        </w:rPr>
        <w:t>s</w:t>
      </w:r>
      <w:r w:rsidR="00071218" w:rsidRPr="00221992">
        <w:rPr>
          <w:lang w:val="en-GB"/>
        </w:rPr>
        <w:t xml:space="preserve"> </w:t>
      </w:r>
      <w:r w:rsidR="00265B97">
        <w:rPr>
          <w:lang w:val="en-GB"/>
        </w:rPr>
        <w:t>in comparable jurisdictions internationally</w:t>
      </w:r>
      <w:r w:rsidR="00071218" w:rsidRPr="00221992">
        <w:rPr>
          <w:lang w:val="en-GB"/>
        </w:rPr>
        <w:t xml:space="preserve">. </w:t>
      </w:r>
    </w:p>
    <w:p w14:paraId="1A4CA05F" w14:textId="77777777" w:rsidR="00D65012" w:rsidRPr="00221992" w:rsidRDefault="00D65012" w:rsidP="0012257A">
      <w:pPr>
        <w:pStyle w:val="NbrHeading3"/>
        <w:rPr>
          <w:lang w:val="en-GB"/>
        </w:rPr>
      </w:pPr>
      <w:bookmarkStart w:id="124" w:name="_Toc142742666"/>
      <w:bookmarkStart w:id="125" w:name="_Toc162950884"/>
      <w:r w:rsidRPr="00221992">
        <w:rPr>
          <w:lang w:val="en-GB"/>
        </w:rPr>
        <w:t>Definition of rare and target population</w:t>
      </w:r>
      <w:bookmarkEnd w:id="124"/>
      <w:bookmarkEnd w:id="125"/>
    </w:p>
    <w:p w14:paraId="08B10EB8" w14:textId="6C7E8C8E" w:rsidR="00D65012" w:rsidRPr="00221992" w:rsidRDefault="00D65012" w:rsidP="0046642D">
      <w:pPr>
        <w:rPr>
          <w:lang w:val="en-GB"/>
        </w:rPr>
      </w:pPr>
      <w:bookmarkStart w:id="126" w:name="_Hlk149051832"/>
      <w:r w:rsidRPr="00221992">
        <w:rPr>
          <w:lang w:val="en-GB"/>
        </w:rPr>
        <w:t xml:space="preserve">Rare diseases are commonly characterized by their low prevalence, often defined as affecting fewer than </w:t>
      </w:r>
      <w:r w:rsidR="00215005" w:rsidRPr="00221992">
        <w:rPr>
          <w:lang w:val="en-GB"/>
        </w:rPr>
        <w:t>five</w:t>
      </w:r>
      <w:r w:rsidRPr="00221992">
        <w:rPr>
          <w:lang w:val="en-GB"/>
        </w:rPr>
        <w:t xml:space="preserve"> cases per 10,000 individuals, though </w:t>
      </w:r>
      <w:r w:rsidR="00BC35AB">
        <w:rPr>
          <w:lang w:val="en-GB"/>
        </w:rPr>
        <w:t xml:space="preserve">particular </w:t>
      </w:r>
      <w:r w:rsidRPr="00221992">
        <w:rPr>
          <w:lang w:val="en-GB"/>
        </w:rPr>
        <w:t xml:space="preserve">thresholds vary across countries. The prevalence threshold of </w:t>
      </w:r>
      <w:r w:rsidR="00215005" w:rsidRPr="00221992">
        <w:rPr>
          <w:lang w:val="en-GB"/>
        </w:rPr>
        <w:t xml:space="preserve">fewer than five per </w:t>
      </w:r>
      <w:r w:rsidRPr="00221992">
        <w:rPr>
          <w:lang w:val="en-GB"/>
        </w:rPr>
        <w:t>10,000 is aligned to the regulatory definition attached to rare diseases</w:t>
      </w:r>
      <w:r w:rsidR="00BC35AB">
        <w:rPr>
          <w:lang w:val="en-GB"/>
        </w:rPr>
        <w:t>,</w:t>
      </w:r>
      <w:r w:rsidRPr="00221992">
        <w:rPr>
          <w:lang w:val="en-GB"/>
        </w:rPr>
        <w:t xml:space="preserve"> which mainly </w:t>
      </w:r>
      <w:r w:rsidR="00BC35AB">
        <w:rPr>
          <w:lang w:val="en-GB"/>
        </w:rPr>
        <w:t>pertains</w:t>
      </w:r>
      <w:r w:rsidR="00BC35AB" w:rsidRPr="00221992">
        <w:rPr>
          <w:lang w:val="en-GB"/>
        </w:rPr>
        <w:t xml:space="preserve"> </w:t>
      </w:r>
      <w:r w:rsidR="00BC35AB">
        <w:rPr>
          <w:lang w:val="en-GB"/>
        </w:rPr>
        <w:t>to</w:t>
      </w:r>
      <w:r w:rsidRPr="00221992">
        <w:rPr>
          <w:lang w:val="en-GB"/>
        </w:rPr>
        <w:t xml:space="preserve"> legislation </w:t>
      </w:r>
      <w:r w:rsidR="00BC35AB">
        <w:rPr>
          <w:lang w:val="en-GB"/>
        </w:rPr>
        <w:t>to</w:t>
      </w:r>
      <w:r w:rsidR="00BC35AB" w:rsidRPr="00221992">
        <w:rPr>
          <w:lang w:val="en-GB"/>
        </w:rPr>
        <w:t xml:space="preserve"> </w:t>
      </w:r>
      <w:r w:rsidRPr="00221992">
        <w:rPr>
          <w:lang w:val="en-GB"/>
        </w:rPr>
        <w:t xml:space="preserve">promote and incentivise </w:t>
      </w:r>
      <w:r w:rsidR="00BC35AB">
        <w:rPr>
          <w:lang w:val="en-GB"/>
        </w:rPr>
        <w:t xml:space="preserve">orphan drug </w:t>
      </w:r>
      <w:r w:rsidRPr="00221992">
        <w:rPr>
          <w:lang w:val="en-GB"/>
        </w:rPr>
        <w:t xml:space="preserve">research. </w:t>
      </w:r>
      <w:bookmarkEnd w:id="126"/>
      <w:r w:rsidRPr="00221992">
        <w:rPr>
          <w:lang w:val="en-GB"/>
        </w:rPr>
        <w:t xml:space="preserve">In addition to low </w:t>
      </w:r>
      <w:r w:rsidR="00652D6D" w:rsidRPr="00221992">
        <w:rPr>
          <w:lang w:val="en-GB"/>
        </w:rPr>
        <w:t>prevalence</w:t>
      </w:r>
      <w:r w:rsidRPr="00221992">
        <w:rPr>
          <w:lang w:val="en-GB"/>
        </w:rPr>
        <w:t>, these conditions are characterised by their complexity</w:t>
      </w:r>
      <w:r w:rsidR="00DA50C2">
        <w:rPr>
          <w:lang w:val="en-GB"/>
        </w:rPr>
        <w:t>,</w:t>
      </w:r>
      <w:r w:rsidRPr="00221992">
        <w:rPr>
          <w:lang w:val="en-GB"/>
        </w:rPr>
        <w:t xml:space="preserve"> </w:t>
      </w:r>
      <w:r w:rsidR="006759EA">
        <w:rPr>
          <w:lang w:val="en-GB"/>
        </w:rPr>
        <w:t xml:space="preserve">and </w:t>
      </w:r>
      <w:r w:rsidRPr="00221992">
        <w:rPr>
          <w:lang w:val="en-GB"/>
        </w:rPr>
        <w:t>difficult (or lacking) diagnoses and treatment due to limited therapeutic</w:t>
      </w:r>
      <w:r w:rsidR="006759EA">
        <w:rPr>
          <w:lang w:val="en-GB"/>
        </w:rPr>
        <w:t xml:space="preserve"> options,</w:t>
      </w:r>
      <w:r w:rsidRPr="00221992">
        <w:rPr>
          <w:lang w:val="en-GB"/>
        </w:rPr>
        <w:t xml:space="preserve"> resulting in significant unmet clinical need</w:t>
      </w:r>
      <w:r w:rsidR="002A3763" w:rsidRPr="00221992">
        <w:rPr>
          <w:lang w:val="en-GB"/>
        </w:rPr>
        <w:t xml:space="preserve"> </w:t>
      </w:r>
      <w:r w:rsidR="002A3763" w:rsidRPr="00221992">
        <w:rPr>
          <w:lang w:val="en-GB"/>
        </w:rPr>
        <w:fldChar w:fldCharType="begin"/>
      </w:r>
      <w:r w:rsidR="00E5265C">
        <w:rPr>
          <w:lang w:val="en-GB"/>
        </w:rPr>
        <w:instrText xml:space="preserve"> ADDIN EN.CITE &lt;EndNote&gt;&lt;Cite&gt;&lt;Author&gt;Rare Voices Australia (RVA)&lt;/Author&gt;&lt;Year&gt;2020&lt;/Year&gt;&lt;RecNum&gt;646&lt;/RecNum&gt;&lt;DisplayText&gt;[122]&lt;/DisplayText&gt;&lt;record&gt;&lt;rec-number&gt;646&lt;/rec-number&gt;&lt;foreign-keys&gt;&lt;key app="EN" db-id="wzwwsfxe4peesxef95cxvrwjxts9rreasarf" timestamp="1693187668"&gt;646&lt;/key&gt;&lt;/foreign-keys&gt;&lt;ref-type name="Government Document"&gt;46&lt;/ref-type&gt;&lt;contributors&gt;&lt;authors&gt;&lt;author&gt;Rare Voices Australia (RVA), &lt;/author&gt;&lt;/authors&gt;&lt;secondary-authors&gt;&lt;author&gt;Department of Health and Aged Care,&lt;/author&gt;&lt;/secondary-authors&gt;&lt;/contributors&gt;&lt;titles&gt;&lt;title&gt;National Strategic Action Plan for Rare Diseases&lt;/title&gt;&lt;/titles&gt;&lt;pages&gt;64&lt;/pages&gt;&lt;dates&gt;&lt;year&gt;2020&lt;/year&gt;&lt;/dates&gt;&lt;pub-location&gt;Canberra&lt;/pub-location&gt;&lt;urls&gt;&lt;related-urls&gt;&lt;url&gt;https://rarevoices.org.au/wp-content/uploads/2020/08/NationalStrategicAPRD.pdf&lt;/url&gt;&lt;/related-urls&gt;&lt;/urls&gt;&lt;/record&gt;&lt;/Cite&gt;&lt;/EndNote&gt;</w:instrText>
      </w:r>
      <w:r w:rsidR="002A3763" w:rsidRPr="00221992">
        <w:rPr>
          <w:lang w:val="en-GB"/>
        </w:rPr>
        <w:fldChar w:fldCharType="separate"/>
      </w:r>
      <w:r w:rsidR="00E5265C">
        <w:rPr>
          <w:noProof/>
          <w:lang w:val="en-GB"/>
        </w:rPr>
        <w:t>[122]</w:t>
      </w:r>
      <w:r w:rsidR="002A3763" w:rsidRPr="00221992">
        <w:rPr>
          <w:lang w:val="en-GB"/>
        </w:rPr>
        <w:fldChar w:fldCharType="end"/>
      </w:r>
      <w:r w:rsidRPr="00221992">
        <w:rPr>
          <w:lang w:val="en-GB"/>
        </w:rPr>
        <w:t>.</w:t>
      </w:r>
      <w:r w:rsidR="002A3763" w:rsidRPr="00221992">
        <w:rPr>
          <w:rStyle w:val="FootnoteReference"/>
          <w:lang w:val="en-GB"/>
        </w:rPr>
        <w:footnoteReference w:id="6"/>
      </w:r>
      <w:r w:rsidRPr="00221992">
        <w:rPr>
          <w:lang w:val="en-GB"/>
        </w:rPr>
        <w:t xml:space="preserve"> For the purpose of this review, </w:t>
      </w:r>
      <w:bookmarkStart w:id="127" w:name="_Hlk149051853"/>
      <w:r w:rsidRPr="00221992">
        <w:rPr>
          <w:lang w:val="en-GB"/>
        </w:rPr>
        <w:t xml:space="preserve">unmet clinical need relates to a condition </w:t>
      </w:r>
      <w:r w:rsidR="00930FD4" w:rsidRPr="00221992">
        <w:rPr>
          <w:lang w:val="en-GB"/>
        </w:rPr>
        <w:t xml:space="preserve">in </w:t>
      </w:r>
      <w:r w:rsidRPr="00221992">
        <w:rPr>
          <w:lang w:val="en-GB"/>
        </w:rPr>
        <w:t>which there exists no</w:t>
      </w:r>
      <w:r w:rsidR="00A82A58" w:rsidRPr="00221992">
        <w:rPr>
          <w:lang w:val="en-GB"/>
        </w:rPr>
        <w:t xml:space="preserve"> or limited</w:t>
      </w:r>
      <w:r w:rsidRPr="00221992">
        <w:rPr>
          <w:lang w:val="en-GB"/>
        </w:rPr>
        <w:t xml:space="preserve"> satisfactory method of diagnosis, prevention </w:t>
      </w:r>
      <w:r w:rsidR="002A4C8E">
        <w:rPr>
          <w:lang w:val="en-GB"/>
        </w:rPr>
        <w:t>and</w:t>
      </w:r>
      <w:r w:rsidR="002A4C8E" w:rsidRPr="00221992">
        <w:rPr>
          <w:lang w:val="en-GB"/>
        </w:rPr>
        <w:t xml:space="preserve"> </w:t>
      </w:r>
      <w:r w:rsidRPr="00221992">
        <w:rPr>
          <w:lang w:val="en-GB"/>
        </w:rPr>
        <w:t>treatme</w:t>
      </w:r>
      <w:bookmarkEnd w:id="127"/>
      <w:r w:rsidRPr="00221992">
        <w:rPr>
          <w:lang w:val="en-GB"/>
        </w:rPr>
        <w:t xml:space="preserve">nt. </w:t>
      </w:r>
    </w:p>
    <w:p w14:paraId="545F6138" w14:textId="2377AB4E" w:rsidR="00C16991" w:rsidRPr="00221992" w:rsidRDefault="00D65012" w:rsidP="0046642D">
      <w:pPr>
        <w:rPr>
          <w:lang w:val="en-GB"/>
        </w:rPr>
      </w:pPr>
      <w:r w:rsidRPr="00221992">
        <w:rPr>
          <w:lang w:val="en-GB"/>
        </w:rPr>
        <w:t>When countries define a rare disease, it is generally for either regulatory purposes (</w:t>
      </w:r>
      <w:r w:rsidR="00240425">
        <w:rPr>
          <w:lang w:val="en-GB"/>
        </w:rPr>
        <w:t xml:space="preserve">i.e., </w:t>
      </w:r>
      <w:r w:rsidRPr="00221992">
        <w:rPr>
          <w:lang w:val="en-GB"/>
        </w:rPr>
        <w:t>orphan drug designations)</w:t>
      </w:r>
      <w:r w:rsidR="00240425">
        <w:rPr>
          <w:lang w:val="en-GB"/>
        </w:rPr>
        <w:t xml:space="preserve"> and/or</w:t>
      </w:r>
      <w:r w:rsidRPr="00221992">
        <w:rPr>
          <w:lang w:val="en-GB"/>
        </w:rPr>
        <w:t xml:space="preserve"> pricing and reimbursement. Definitions may or may not be aligned across the</w:t>
      </w:r>
      <w:r w:rsidR="00240425">
        <w:rPr>
          <w:lang w:val="en-GB"/>
        </w:rPr>
        <w:t>se</w:t>
      </w:r>
      <w:r w:rsidRPr="00221992">
        <w:rPr>
          <w:lang w:val="en-GB"/>
        </w:rPr>
        <w:t xml:space="preserve"> processes. For example, many European countries utilise the EMA definition of rare disease—life-threatening or chronic condition (long-term condition that </w:t>
      </w:r>
      <w:r w:rsidR="00240425">
        <w:rPr>
          <w:lang w:val="en-GB"/>
        </w:rPr>
        <w:t>has</w:t>
      </w:r>
      <w:r w:rsidR="00240425" w:rsidRPr="00221992">
        <w:rPr>
          <w:lang w:val="en-GB"/>
        </w:rPr>
        <w:t xml:space="preserve"> </w:t>
      </w:r>
      <w:r w:rsidRPr="00221992">
        <w:rPr>
          <w:lang w:val="en-GB"/>
        </w:rPr>
        <w:t xml:space="preserve">a significant impact on daily living) </w:t>
      </w:r>
      <w:r w:rsidR="00930FD4" w:rsidRPr="00221992">
        <w:rPr>
          <w:lang w:val="en-GB"/>
        </w:rPr>
        <w:t xml:space="preserve">that </w:t>
      </w:r>
      <w:r w:rsidRPr="00221992">
        <w:rPr>
          <w:lang w:val="en-GB"/>
        </w:rPr>
        <w:t>affect</w:t>
      </w:r>
      <w:r w:rsidR="00240425">
        <w:rPr>
          <w:lang w:val="en-GB"/>
        </w:rPr>
        <w:t>s</w:t>
      </w:r>
      <w:r w:rsidRPr="00221992">
        <w:rPr>
          <w:lang w:val="en-GB"/>
        </w:rPr>
        <w:t xml:space="preserve"> no more than </w:t>
      </w:r>
      <w:r w:rsidR="00DA50C2">
        <w:rPr>
          <w:lang w:val="en-GB"/>
        </w:rPr>
        <w:t>five</w:t>
      </w:r>
      <w:r w:rsidRPr="00221992">
        <w:rPr>
          <w:lang w:val="en-GB"/>
        </w:rPr>
        <w:t xml:space="preserve"> in 10,000 people in the </w:t>
      </w:r>
      <w:r w:rsidR="00652D6D" w:rsidRPr="00221992">
        <w:rPr>
          <w:lang w:val="en-GB"/>
        </w:rPr>
        <w:t>European Union (</w:t>
      </w:r>
      <w:r w:rsidRPr="00221992">
        <w:rPr>
          <w:lang w:val="en-GB"/>
        </w:rPr>
        <w:t>EU</w:t>
      </w:r>
      <w:r w:rsidR="00652D6D" w:rsidRPr="00221992">
        <w:rPr>
          <w:lang w:val="en-GB"/>
        </w:rPr>
        <w:t>)</w:t>
      </w:r>
      <w:r w:rsidRPr="00221992">
        <w:rPr>
          <w:lang w:val="en-GB"/>
        </w:rPr>
        <w:t xml:space="preserve">. </w:t>
      </w:r>
      <w:r w:rsidR="00240425">
        <w:rPr>
          <w:lang w:val="en-GB"/>
        </w:rPr>
        <w:t>A similar</w:t>
      </w:r>
      <w:r w:rsidR="00240425" w:rsidRPr="00221992">
        <w:rPr>
          <w:lang w:val="en-GB"/>
        </w:rPr>
        <w:t xml:space="preserve"> </w:t>
      </w:r>
      <w:r w:rsidRPr="00221992">
        <w:rPr>
          <w:lang w:val="en-GB"/>
        </w:rPr>
        <w:t xml:space="preserve">definition </w:t>
      </w:r>
      <w:r w:rsidR="00240425">
        <w:rPr>
          <w:lang w:val="en-GB"/>
        </w:rPr>
        <w:t>has been</w:t>
      </w:r>
      <w:r w:rsidR="00240425" w:rsidRPr="00221992">
        <w:rPr>
          <w:lang w:val="en-GB"/>
        </w:rPr>
        <w:t xml:space="preserve"> </w:t>
      </w:r>
      <w:r w:rsidR="00930FD4" w:rsidRPr="00221992">
        <w:rPr>
          <w:lang w:val="en-GB"/>
        </w:rPr>
        <w:t>adopted by</w:t>
      </w:r>
      <w:r w:rsidR="00023541" w:rsidRPr="00221992">
        <w:rPr>
          <w:lang w:val="en-GB"/>
        </w:rPr>
        <w:t xml:space="preserve"> the</w:t>
      </w:r>
      <w:r w:rsidRPr="00221992">
        <w:rPr>
          <w:lang w:val="en-GB"/>
        </w:rPr>
        <w:t xml:space="preserve"> TGA</w:t>
      </w:r>
      <w:r w:rsidR="00023541" w:rsidRPr="00221992">
        <w:rPr>
          <w:lang w:val="en-GB"/>
        </w:rPr>
        <w:t>,</w:t>
      </w:r>
      <w:r w:rsidRPr="00221992">
        <w:rPr>
          <w:lang w:val="en-GB"/>
        </w:rPr>
        <w:t xml:space="preserve"> </w:t>
      </w:r>
      <w:r w:rsidR="00930FD4" w:rsidRPr="00221992">
        <w:rPr>
          <w:lang w:val="en-GB"/>
        </w:rPr>
        <w:t>with the addition of a criterion that such drugs lack financial viability</w:t>
      </w:r>
      <w:r w:rsidR="00A653CD" w:rsidRPr="00221992">
        <w:rPr>
          <w:lang w:val="en-GB"/>
        </w:rPr>
        <w:t xml:space="preserve"> </w:t>
      </w:r>
      <w:r w:rsidR="00BD5581" w:rsidRPr="00221992">
        <w:rPr>
          <w:lang w:val="en-GB"/>
        </w:rPr>
        <w:fldChar w:fldCharType="begin"/>
      </w:r>
      <w:r w:rsidR="00E5265C">
        <w:rPr>
          <w:lang w:val="en-GB"/>
        </w:rPr>
        <w:instrText xml:space="preserve"> ADDIN EN.CITE &lt;EndNote&gt;&lt;Cite&gt;&lt;Author&gt;Therapeutic Goods Administration (TGA)&lt;/Author&gt;&lt;Year&gt;2021&lt;/Year&gt;&lt;RecNum&gt;647&lt;/RecNum&gt;&lt;DisplayText&gt;[123]&lt;/DisplayText&gt;&lt;record&gt;&lt;rec-number&gt;647&lt;/rec-number&gt;&lt;foreign-keys&gt;&lt;key app="EN" db-id="wzwwsfxe4peesxef95cxvrwjxts9rreasarf" timestamp="1693187668"&gt;647&lt;/key&gt;&lt;/foreign-keys&gt;&lt;ref-type name="Web Page"&gt;12&lt;/ref-type&gt;&lt;contributors&gt;&lt;authors&gt;&lt;author&gt;Therapeutic Goods Administration (TGA),&lt;/author&gt;&lt;/authors&gt;&lt;/contributors&gt;&lt;titles&gt;&lt;title&gt;Orphan drug designation eligibility criteria&lt;/title&gt;&lt;secondary-title&gt;Guidance on eligibility criteria and supporting documentation when preparing an application for orphan drug designation.&lt;/secondary-title&gt;&lt;/titles&gt;&lt;number&gt;25/8/2023&lt;/number&gt;&lt;dates&gt;&lt;year&gt;2021&lt;/year&gt;&lt;/dates&gt;&lt;urls&gt;&lt;related-urls&gt;&lt;url&gt;https://www.tga.gov.au/resources/resource/guidance/orphan-drug-designation-eligibility-criteria&lt;/url&gt;&lt;/related-urls&gt;&lt;/urls&gt;&lt;/record&gt;&lt;/Cite&gt;&lt;/EndNote&gt;</w:instrText>
      </w:r>
      <w:r w:rsidR="00BD5581" w:rsidRPr="00221992">
        <w:rPr>
          <w:lang w:val="en-GB"/>
        </w:rPr>
        <w:fldChar w:fldCharType="separate"/>
      </w:r>
      <w:r w:rsidR="00E5265C">
        <w:rPr>
          <w:noProof/>
          <w:lang w:val="en-GB"/>
        </w:rPr>
        <w:t>[123]</w:t>
      </w:r>
      <w:r w:rsidR="00BD5581" w:rsidRPr="00221992">
        <w:rPr>
          <w:lang w:val="en-GB"/>
        </w:rPr>
        <w:fldChar w:fldCharType="end"/>
      </w:r>
      <w:r w:rsidRPr="00221992">
        <w:rPr>
          <w:lang w:val="en-GB"/>
        </w:rPr>
        <w:t xml:space="preserve">. </w:t>
      </w:r>
      <w:r w:rsidR="00C16991" w:rsidRPr="00221992">
        <w:rPr>
          <w:lang w:val="en-GB"/>
        </w:rPr>
        <w:t xml:space="preserve">For the purpose of this review, an </w:t>
      </w:r>
      <w:bookmarkStart w:id="128" w:name="_Hlk149051925"/>
      <w:r w:rsidR="00C16991" w:rsidRPr="00221992">
        <w:rPr>
          <w:lang w:val="en-GB"/>
        </w:rPr>
        <w:t>orphan drug is a medicine, vaccine or diagnostic that meets the requirement</w:t>
      </w:r>
      <w:r w:rsidR="00240425">
        <w:rPr>
          <w:lang w:val="en-GB"/>
        </w:rPr>
        <w:t>s</w:t>
      </w:r>
      <w:r w:rsidR="00C16991" w:rsidRPr="00221992">
        <w:rPr>
          <w:lang w:val="en-GB"/>
        </w:rPr>
        <w:t xml:space="preserve"> of the TGA</w:t>
      </w:r>
      <w:bookmarkEnd w:id="128"/>
      <w:r w:rsidR="00C16991" w:rsidRPr="00221992">
        <w:rPr>
          <w:lang w:val="en-GB"/>
        </w:rPr>
        <w:t>. In general, an orphan drug:</w:t>
      </w:r>
    </w:p>
    <w:p w14:paraId="1ACFB66C" w14:textId="7C8918A0" w:rsidR="00C16991" w:rsidRPr="00221992" w:rsidRDefault="00240425" w:rsidP="00957584">
      <w:pPr>
        <w:pStyle w:val="ListParagraph"/>
        <w:numPr>
          <w:ilvl w:val="0"/>
          <w:numId w:val="47"/>
        </w:numPr>
        <w:rPr>
          <w:lang w:val="en-GB"/>
        </w:rPr>
      </w:pPr>
      <w:r>
        <w:rPr>
          <w:lang w:val="en-GB"/>
        </w:rPr>
        <w:t xml:space="preserve">is </w:t>
      </w:r>
      <w:r w:rsidRPr="00221992">
        <w:rPr>
          <w:lang w:val="en-GB"/>
        </w:rPr>
        <w:t xml:space="preserve">used to treat, prevent or diagnose </w:t>
      </w:r>
      <w:r w:rsidR="00C16991" w:rsidRPr="00221992">
        <w:rPr>
          <w:lang w:val="en-GB"/>
        </w:rPr>
        <w:t>a life-threatening or seriously debilitating condition;</w:t>
      </w:r>
    </w:p>
    <w:p w14:paraId="239D789A" w14:textId="67CE6AA3" w:rsidR="00C16991" w:rsidRPr="00221992" w:rsidRDefault="00240425" w:rsidP="00957584">
      <w:pPr>
        <w:pStyle w:val="ListParagraph"/>
        <w:numPr>
          <w:ilvl w:val="0"/>
          <w:numId w:val="47"/>
        </w:numPr>
        <w:rPr>
          <w:lang w:val="en-GB"/>
        </w:rPr>
      </w:pPr>
      <w:r>
        <w:rPr>
          <w:lang w:val="en-GB"/>
        </w:rPr>
        <w:t xml:space="preserve">is </w:t>
      </w:r>
      <w:r w:rsidR="00C16991" w:rsidRPr="00221992">
        <w:rPr>
          <w:lang w:val="en-GB"/>
        </w:rPr>
        <w:t>effective</w:t>
      </w:r>
      <w:r>
        <w:rPr>
          <w:lang w:val="en-GB"/>
        </w:rPr>
        <w:t xml:space="preserve"> and </w:t>
      </w:r>
      <w:r w:rsidR="00C16991" w:rsidRPr="00221992">
        <w:rPr>
          <w:lang w:val="en-GB"/>
        </w:rPr>
        <w:t>medical</w:t>
      </w:r>
      <w:r>
        <w:rPr>
          <w:lang w:val="en-GB"/>
        </w:rPr>
        <w:t>ly</w:t>
      </w:r>
      <w:r w:rsidR="00C16991" w:rsidRPr="00221992">
        <w:rPr>
          <w:lang w:val="en-GB"/>
        </w:rPr>
        <w:t xml:space="preserve"> plausib</w:t>
      </w:r>
      <w:r>
        <w:rPr>
          <w:lang w:val="en-GB"/>
        </w:rPr>
        <w:t>le</w:t>
      </w:r>
      <w:r w:rsidR="00C16991" w:rsidRPr="00221992">
        <w:rPr>
          <w:lang w:val="en-GB"/>
        </w:rPr>
        <w:t xml:space="preserve">; </w:t>
      </w:r>
    </w:p>
    <w:p w14:paraId="7F9692EC" w14:textId="74D6DDA1" w:rsidR="00C16991" w:rsidRPr="00221992" w:rsidRDefault="00C16991" w:rsidP="00957584">
      <w:pPr>
        <w:pStyle w:val="ListParagraph"/>
        <w:numPr>
          <w:ilvl w:val="0"/>
          <w:numId w:val="47"/>
        </w:numPr>
        <w:rPr>
          <w:lang w:val="en-GB"/>
        </w:rPr>
      </w:pPr>
      <w:r w:rsidRPr="00221992">
        <w:rPr>
          <w:lang w:val="en-GB"/>
        </w:rPr>
        <w:t>affects &lt;5/10,000 people in Australia or</w:t>
      </w:r>
      <w:r w:rsidR="00240425">
        <w:rPr>
          <w:lang w:val="en-GB"/>
        </w:rPr>
        <w:t>,</w:t>
      </w:r>
      <w:r w:rsidRPr="00221992">
        <w:rPr>
          <w:lang w:val="en-GB"/>
        </w:rPr>
        <w:t xml:space="preserve"> if the drug is intended to diagnose or prevent</w:t>
      </w:r>
      <w:r w:rsidR="00240425">
        <w:rPr>
          <w:lang w:val="en-GB"/>
        </w:rPr>
        <w:t>,</w:t>
      </w:r>
      <w:r w:rsidRPr="00221992">
        <w:rPr>
          <w:lang w:val="en-GB"/>
        </w:rPr>
        <w:t xml:space="preserve"> would be supplied to </w:t>
      </w:r>
      <w:r w:rsidR="00240425">
        <w:rPr>
          <w:lang w:val="en-GB"/>
        </w:rPr>
        <w:t>&lt;</w:t>
      </w:r>
      <w:r w:rsidRPr="00221992">
        <w:rPr>
          <w:lang w:val="en-GB"/>
        </w:rPr>
        <w:t xml:space="preserve">5/10,000; or </w:t>
      </w:r>
      <w:r w:rsidR="00240425">
        <w:rPr>
          <w:lang w:val="en-GB"/>
        </w:rPr>
        <w:t>would</w:t>
      </w:r>
      <w:r w:rsidRPr="00221992">
        <w:rPr>
          <w:lang w:val="en-GB"/>
        </w:rPr>
        <w:t xml:space="preserve"> not </w:t>
      </w:r>
      <w:r w:rsidR="00240425">
        <w:rPr>
          <w:lang w:val="en-GB"/>
        </w:rPr>
        <w:t xml:space="preserve">be </w:t>
      </w:r>
      <w:r w:rsidR="006E127E" w:rsidRPr="00221992">
        <w:rPr>
          <w:lang w:val="en-GB"/>
        </w:rPr>
        <w:t>financially</w:t>
      </w:r>
      <w:r w:rsidRPr="00221992">
        <w:rPr>
          <w:lang w:val="en-GB"/>
        </w:rPr>
        <w:t xml:space="preserve"> viable </w:t>
      </w:r>
      <w:r w:rsidR="006E127E" w:rsidRPr="00221992">
        <w:rPr>
          <w:lang w:val="en-GB"/>
        </w:rPr>
        <w:t xml:space="preserve">for the manufacturer to supply the drug in the Australian market; </w:t>
      </w:r>
    </w:p>
    <w:p w14:paraId="18A5BC72" w14:textId="3D573A55" w:rsidR="006E127E" w:rsidRPr="00221992" w:rsidRDefault="00240425" w:rsidP="00957584">
      <w:pPr>
        <w:pStyle w:val="ListParagraph"/>
        <w:numPr>
          <w:ilvl w:val="0"/>
          <w:numId w:val="47"/>
        </w:numPr>
        <w:rPr>
          <w:lang w:val="en-GB"/>
        </w:rPr>
      </w:pPr>
      <w:r>
        <w:rPr>
          <w:lang w:val="en-GB"/>
        </w:rPr>
        <w:t>h</w:t>
      </w:r>
      <w:r w:rsidR="006E127E" w:rsidRPr="00221992">
        <w:rPr>
          <w:lang w:val="en-GB"/>
        </w:rPr>
        <w:t xml:space="preserve">as not been refused by </w:t>
      </w:r>
      <w:r>
        <w:rPr>
          <w:lang w:val="en-GB"/>
        </w:rPr>
        <w:t>a</w:t>
      </w:r>
      <w:r w:rsidR="006E127E" w:rsidRPr="00221992">
        <w:rPr>
          <w:lang w:val="en-GB"/>
        </w:rPr>
        <w:t xml:space="preserve"> recognised regulatory agenc</w:t>
      </w:r>
      <w:r>
        <w:rPr>
          <w:lang w:val="en-GB"/>
        </w:rPr>
        <w:t>y</w:t>
      </w:r>
      <w:r w:rsidR="006E127E" w:rsidRPr="00221992">
        <w:rPr>
          <w:lang w:val="en-GB"/>
        </w:rPr>
        <w:t xml:space="preserve"> (</w:t>
      </w:r>
      <w:r>
        <w:rPr>
          <w:lang w:val="en-GB"/>
        </w:rPr>
        <w:t>e</w:t>
      </w:r>
      <w:r w:rsidR="008A3C46">
        <w:rPr>
          <w:lang w:val="en-GB"/>
        </w:rPr>
        <w:t>.</w:t>
      </w:r>
      <w:r>
        <w:rPr>
          <w:lang w:val="en-GB"/>
        </w:rPr>
        <w:t>g.</w:t>
      </w:r>
      <w:r w:rsidR="008A3C46">
        <w:rPr>
          <w:lang w:val="en-GB"/>
        </w:rPr>
        <w:t xml:space="preserve">, </w:t>
      </w:r>
      <w:r w:rsidR="00D04608">
        <w:rPr>
          <w:lang w:val="en-GB"/>
        </w:rPr>
        <w:t>TGA</w:t>
      </w:r>
      <w:r w:rsidR="006E127E" w:rsidRPr="00221992">
        <w:rPr>
          <w:lang w:val="en-GB"/>
        </w:rPr>
        <w:t>);</w:t>
      </w:r>
    </w:p>
    <w:p w14:paraId="7F770D5C" w14:textId="1681DB73" w:rsidR="006E127E" w:rsidRPr="00221992" w:rsidRDefault="006E127E" w:rsidP="00957584">
      <w:pPr>
        <w:pStyle w:val="ListParagraph"/>
        <w:numPr>
          <w:ilvl w:val="0"/>
          <w:numId w:val="47"/>
        </w:numPr>
        <w:rPr>
          <w:lang w:val="en-GB"/>
        </w:rPr>
      </w:pPr>
      <w:r w:rsidRPr="00221992">
        <w:rPr>
          <w:lang w:val="en-GB"/>
        </w:rPr>
        <w:t>provides significant benefit (</w:t>
      </w:r>
      <w:r w:rsidR="00240425">
        <w:rPr>
          <w:lang w:val="en-GB"/>
        </w:rPr>
        <w:t xml:space="preserve">i.e., </w:t>
      </w:r>
      <w:r w:rsidRPr="00221992">
        <w:rPr>
          <w:lang w:val="en-GB"/>
        </w:rPr>
        <w:t xml:space="preserve">efficacy/safety) compared to alternatives. </w:t>
      </w:r>
    </w:p>
    <w:p w14:paraId="02923931" w14:textId="2E2421A0" w:rsidR="00D65012" w:rsidRPr="00221992" w:rsidRDefault="00D65012" w:rsidP="0046642D">
      <w:pPr>
        <w:rPr>
          <w:lang w:val="en-GB"/>
        </w:rPr>
      </w:pPr>
      <w:r w:rsidRPr="00221992">
        <w:rPr>
          <w:lang w:val="en-GB"/>
        </w:rPr>
        <w:t xml:space="preserve">For the purposes of drug access following HTA, special considerations are in place if the condition </w:t>
      </w:r>
      <w:r w:rsidR="00652D6D" w:rsidRPr="00221992">
        <w:rPr>
          <w:lang w:val="en-GB"/>
        </w:rPr>
        <w:t xml:space="preserve">and/or technology </w:t>
      </w:r>
      <w:r w:rsidRPr="00221992">
        <w:rPr>
          <w:lang w:val="en-GB"/>
        </w:rPr>
        <w:t>meets</w:t>
      </w:r>
      <w:r w:rsidR="00652D6D" w:rsidRPr="00221992">
        <w:rPr>
          <w:lang w:val="en-GB"/>
        </w:rPr>
        <w:t xml:space="preserve"> other more restrictive eligibility criteria</w:t>
      </w:r>
      <w:r w:rsidRPr="00221992">
        <w:rPr>
          <w:lang w:val="en-GB"/>
        </w:rPr>
        <w:t xml:space="preserve">. For example, orphan drugs </w:t>
      </w:r>
      <w:r w:rsidR="00003493">
        <w:rPr>
          <w:lang w:val="en-GB"/>
        </w:rPr>
        <w:t>for ultra</w:t>
      </w:r>
      <w:r w:rsidR="005F7200">
        <w:rPr>
          <w:lang w:val="en-GB"/>
        </w:rPr>
        <w:t>-</w:t>
      </w:r>
      <w:r w:rsidR="00003493">
        <w:rPr>
          <w:lang w:val="en-GB"/>
        </w:rPr>
        <w:t xml:space="preserve">rare diseases </w:t>
      </w:r>
      <w:r w:rsidRPr="00221992">
        <w:rPr>
          <w:lang w:val="en-GB"/>
        </w:rPr>
        <w:t>may be considered for public subsid</w:t>
      </w:r>
      <w:r w:rsidR="00D04608">
        <w:rPr>
          <w:lang w:val="en-GB"/>
        </w:rPr>
        <w:t>y</w:t>
      </w:r>
      <w:r w:rsidRPr="00221992">
        <w:rPr>
          <w:lang w:val="en-GB"/>
        </w:rPr>
        <w:t xml:space="preserve"> under Australia</w:t>
      </w:r>
      <w:r w:rsidR="00551786">
        <w:rPr>
          <w:lang w:val="en-GB"/>
        </w:rPr>
        <w:t>’</w:t>
      </w:r>
      <w:r w:rsidRPr="00221992">
        <w:rPr>
          <w:lang w:val="en-GB"/>
        </w:rPr>
        <w:t>s Life Saving Drugs Program (LSDP) if the TGA has approved the drug to treat an ultra-rare disease</w:t>
      </w:r>
      <w:r w:rsidR="006E127E" w:rsidRPr="00221992">
        <w:rPr>
          <w:lang w:val="en-GB"/>
        </w:rPr>
        <w:t xml:space="preserve">. </w:t>
      </w:r>
      <w:r w:rsidR="00F96234">
        <w:rPr>
          <w:lang w:val="en-GB"/>
        </w:rPr>
        <w:t xml:space="preserve">For the purposes of the LSDP, </w:t>
      </w:r>
      <w:r w:rsidR="00504423">
        <w:rPr>
          <w:lang w:val="en-GB"/>
        </w:rPr>
        <w:t>a</w:t>
      </w:r>
      <w:r w:rsidR="006E127E" w:rsidRPr="00221992">
        <w:rPr>
          <w:lang w:val="en-GB"/>
        </w:rPr>
        <w:t xml:space="preserve"> drug treats an ultra-rare disease if it</w:t>
      </w:r>
      <w:r w:rsidRPr="00221992">
        <w:rPr>
          <w:lang w:val="en-GB"/>
        </w:rPr>
        <w:t xml:space="preserve"> affects fewer than 1/50,000 people (approx. 500 people in Australia) and</w:t>
      </w:r>
      <w:r w:rsidR="00F96234">
        <w:rPr>
          <w:lang w:val="en-GB"/>
        </w:rPr>
        <w:t xml:space="preserve"> </w:t>
      </w:r>
      <w:r w:rsidRPr="00221992">
        <w:rPr>
          <w:lang w:val="en-GB"/>
        </w:rPr>
        <w:t>meets the following criteria:</w:t>
      </w:r>
    </w:p>
    <w:p w14:paraId="2795E019" w14:textId="3B2AC700" w:rsidR="00D65012" w:rsidRPr="00221992" w:rsidRDefault="00A37919" w:rsidP="00957584">
      <w:pPr>
        <w:pStyle w:val="ListParagraph"/>
        <w:numPr>
          <w:ilvl w:val="0"/>
          <w:numId w:val="31"/>
        </w:numPr>
        <w:rPr>
          <w:lang w:val="en-GB"/>
        </w:rPr>
      </w:pPr>
      <w:r>
        <w:rPr>
          <w:lang w:val="en-GB"/>
        </w:rPr>
        <w:t>the d</w:t>
      </w:r>
      <w:r w:rsidR="00F96234">
        <w:rPr>
          <w:lang w:val="en-GB"/>
        </w:rPr>
        <w:t xml:space="preserve">isease has </w:t>
      </w:r>
      <w:r w:rsidR="00D65012" w:rsidRPr="00221992">
        <w:rPr>
          <w:lang w:val="en-GB"/>
        </w:rPr>
        <w:t>reasonable diagnostic precision and reduces patients</w:t>
      </w:r>
      <w:r w:rsidR="00551786">
        <w:rPr>
          <w:lang w:val="en-GB"/>
        </w:rPr>
        <w:t>’</w:t>
      </w:r>
      <w:r w:rsidR="00D65012" w:rsidRPr="00221992">
        <w:rPr>
          <w:lang w:val="en-GB"/>
        </w:rPr>
        <w:t xml:space="preserve"> age-specific life expectancy;</w:t>
      </w:r>
    </w:p>
    <w:p w14:paraId="3BC2DA0D" w14:textId="7321169A" w:rsidR="00D65012" w:rsidRPr="00221992" w:rsidRDefault="00A37919" w:rsidP="00957584">
      <w:pPr>
        <w:pStyle w:val="ListParagraph"/>
        <w:numPr>
          <w:ilvl w:val="0"/>
          <w:numId w:val="31"/>
        </w:numPr>
        <w:rPr>
          <w:lang w:val="en-GB"/>
        </w:rPr>
      </w:pPr>
      <w:r>
        <w:rPr>
          <w:lang w:val="en-GB"/>
        </w:rPr>
        <w:t>t</w:t>
      </w:r>
      <w:r w:rsidR="00CE51AE">
        <w:rPr>
          <w:lang w:val="en-GB"/>
        </w:rPr>
        <w:t>reatment is expected to e</w:t>
      </w:r>
      <w:r w:rsidR="00D65012" w:rsidRPr="00221992">
        <w:rPr>
          <w:lang w:val="en-GB"/>
        </w:rPr>
        <w:t>xtend patient</w:t>
      </w:r>
      <w:r w:rsidR="00CE51AE">
        <w:rPr>
          <w:lang w:val="en-GB"/>
        </w:rPr>
        <w:t>’s</w:t>
      </w:r>
      <w:r w:rsidR="00D65012" w:rsidRPr="00221992">
        <w:rPr>
          <w:lang w:val="en-GB"/>
        </w:rPr>
        <w:t xml:space="preserve"> life;</w:t>
      </w:r>
    </w:p>
    <w:p w14:paraId="3D33FCB0" w14:textId="576CF659" w:rsidR="00D65012" w:rsidRPr="00221992" w:rsidRDefault="00A37919" w:rsidP="00957584">
      <w:pPr>
        <w:pStyle w:val="ListParagraph"/>
        <w:numPr>
          <w:ilvl w:val="0"/>
          <w:numId w:val="31"/>
        </w:numPr>
        <w:rPr>
          <w:lang w:val="en-GB"/>
        </w:rPr>
      </w:pPr>
      <w:r>
        <w:rPr>
          <w:lang w:val="en-GB"/>
        </w:rPr>
        <w:t>t</w:t>
      </w:r>
      <w:r w:rsidR="00CE51AE">
        <w:rPr>
          <w:lang w:val="en-GB"/>
        </w:rPr>
        <w:t>reatment is</w:t>
      </w:r>
      <w:r w:rsidR="00D65012" w:rsidRPr="00221992">
        <w:rPr>
          <w:lang w:val="en-GB"/>
        </w:rPr>
        <w:t xml:space="preserve"> considered clinically effective but </w:t>
      </w:r>
      <w:r w:rsidR="00CE51AE">
        <w:rPr>
          <w:lang w:val="en-GB"/>
        </w:rPr>
        <w:t>has not been recommended by the PBAC</w:t>
      </w:r>
      <w:r w:rsidR="00D65012" w:rsidRPr="00221992">
        <w:rPr>
          <w:lang w:val="en-GB"/>
        </w:rPr>
        <w:t xml:space="preserve"> on the grounds of</w:t>
      </w:r>
      <w:r w:rsidR="00CE51AE">
        <w:rPr>
          <w:lang w:val="en-GB"/>
        </w:rPr>
        <w:t xml:space="preserve"> not being</w:t>
      </w:r>
      <w:r w:rsidR="00D65012" w:rsidRPr="00221992">
        <w:rPr>
          <w:lang w:val="en-GB"/>
        </w:rPr>
        <w:t xml:space="preserve"> cost-effective;</w:t>
      </w:r>
    </w:p>
    <w:p w14:paraId="0E71CF39" w14:textId="0A339D76" w:rsidR="00D65012" w:rsidRPr="00221992" w:rsidRDefault="00A37919" w:rsidP="00957584">
      <w:pPr>
        <w:pStyle w:val="ListParagraph"/>
        <w:numPr>
          <w:ilvl w:val="0"/>
          <w:numId w:val="31"/>
        </w:numPr>
        <w:rPr>
          <w:lang w:val="en-GB"/>
        </w:rPr>
      </w:pPr>
      <w:r>
        <w:rPr>
          <w:lang w:val="en-GB"/>
        </w:rPr>
        <w:t>n</w:t>
      </w:r>
      <w:r w:rsidR="00D674A6">
        <w:rPr>
          <w:lang w:val="en-GB"/>
        </w:rPr>
        <w:t>o</w:t>
      </w:r>
      <w:r w:rsidR="00D65012" w:rsidRPr="00221992">
        <w:rPr>
          <w:lang w:val="en-GB"/>
        </w:rPr>
        <w:t xml:space="preserve"> other PBS</w:t>
      </w:r>
      <w:r w:rsidR="00D674A6">
        <w:rPr>
          <w:lang w:val="en-GB"/>
        </w:rPr>
        <w:t>-</w:t>
      </w:r>
      <w:r w:rsidR="00D65012" w:rsidRPr="00221992">
        <w:rPr>
          <w:lang w:val="en-GB"/>
        </w:rPr>
        <w:t xml:space="preserve">listed treatment </w:t>
      </w:r>
      <w:r w:rsidR="00D674A6">
        <w:rPr>
          <w:lang w:val="en-GB"/>
        </w:rPr>
        <w:t xml:space="preserve">is available; </w:t>
      </w:r>
      <w:r>
        <w:rPr>
          <w:lang w:val="en-GB"/>
        </w:rPr>
        <w:t xml:space="preserve">is </w:t>
      </w:r>
      <w:r w:rsidR="00D674A6">
        <w:rPr>
          <w:lang w:val="en-GB"/>
        </w:rPr>
        <w:t>not</w:t>
      </w:r>
      <w:r w:rsidR="00D65012" w:rsidRPr="00221992">
        <w:rPr>
          <w:lang w:val="en-GB"/>
        </w:rPr>
        <w:t xml:space="preserve"> available for hospital inpatient use;</w:t>
      </w:r>
    </w:p>
    <w:p w14:paraId="3F2764AC" w14:textId="792C6545" w:rsidR="00D65012" w:rsidRPr="00221992" w:rsidRDefault="00A37919" w:rsidP="00957584">
      <w:pPr>
        <w:pStyle w:val="ListParagraph"/>
        <w:numPr>
          <w:ilvl w:val="0"/>
          <w:numId w:val="31"/>
        </w:numPr>
        <w:rPr>
          <w:lang w:val="en-GB"/>
        </w:rPr>
      </w:pPr>
      <w:r>
        <w:rPr>
          <w:lang w:val="en-GB"/>
        </w:rPr>
        <w:t>n</w:t>
      </w:r>
      <w:r w:rsidR="00506A65">
        <w:rPr>
          <w:lang w:val="en-GB"/>
        </w:rPr>
        <w:t>o</w:t>
      </w:r>
      <w:r w:rsidR="00D65012" w:rsidRPr="00221992">
        <w:rPr>
          <w:lang w:val="en-GB"/>
        </w:rPr>
        <w:t xml:space="preserve"> other </w:t>
      </w:r>
      <w:r w:rsidR="00F96234">
        <w:rPr>
          <w:lang w:val="en-GB"/>
        </w:rPr>
        <w:t>suitable and cost</w:t>
      </w:r>
      <w:r w:rsidR="005F7200">
        <w:rPr>
          <w:lang w:val="en-GB"/>
        </w:rPr>
        <w:t>-</w:t>
      </w:r>
      <w:r w:rsidR="00F96234">
        <w:rPr>
          <w:lang w:val="en-GB"/>
        </w:rPr>
        <w:t>effective</w:t>
      </w:r>
      <w:r w:rsidR="00D65012" w:rsidRPr="00221992">
        <w:rPr>
          <w:lang w:val="en-GB"/>
        </w:rPr>
        <w:t xml:space="preserve"> treatment</w:t>
      </w:r>
      <w:r w:rsidR="00506A65">
        <w:rPr>
          <w:lang w:val="en-GB"/>
        </w:rPr>
        <w:t xml:space="preserve"> is</w:t>
      </w:r>
      <w:r w:rsidR="00D65012" w:rsidRPr="00221992">
        <w:rPr>
          <w:lang w:val="en-GB"/>
        </w:rPr>
        <w:t xml:space="preserve"> available (non-drugs);</w:t>
      </w:r>
    </w:p>
    <w:p w14:paraId="654DDF57" w14:textId="2F554BE6" w:rsidR="00D65012" w:rsidRPr="00221992" w:rsidRDefault="00A37919" w:rsidP="00957584">
      <w:pPr>
        <w:pStyle w:val="ListParagraph"/>
        <w:numPr>
          <w:ilvl w:val="0"/>
          <w:numId w:val="31"/>
        </w:numPr>
        <w:rPr>
          <w:lang w:val="en-GB"/>
        </w:rPr>
      </w:pPr>
      <w:r>
        <w:rPr>
          <w:lang w:val="en-GB"/>
        </w:rPr>
        <w:t>i</w:t>
      </w:r>
      <w:r w:rsidR="00506A65">
        <w:rPr>
          <w:lang w:val="en-GB"/>
        </w:rPr>
        <w:t>s</w:t>
      </w:r>
      <w:r w:rsidR="00D65012" w:rsidRPr="00221992">
        <w:rPr>
          <w:lang w:val="en-GB"/>
        </w:rPr>
        <w:t xml:space="preserve"> associated with an unreasonable financial burden for the patient </w:t>
      </w:r>
      <w:r>
        <w:rPr>
          <w:lang w:val="en-GB"/>
        </w:rPr>
        <w:t>or</w:t>
      </w:r>
      <w:r w:rsidRPr="00221992">
        <w:rPr>
          <w:lang w:val="en-GB"/>
        </w:rPr>
        <w:t xml:space="preserve"> </w:t>
      </w:r>
      <w:r w:rsidR="00D65012" w:rsidRPr="00221992">
        <w:rPr>
          <w:lang w:val="en-GB"/>
        </w:rPr>
        <w:t xml:space="preserve">carer. </w:t>
      </w:r>
    </w:p>
    <w:p w14:paraId="3953D7A8" w14:textId="4B83BC8E" w:rsidR="00D65012" w:rsidRPr="00221992" w:rsidRDefault="00D65012" w:rsidP="0046642D">
      <w:pPr>
        <w:rPr>
          <w:lang w:val="en-GB"/>
        </w:rPr>
      </w:pPr>
      <w:r w:rsidRPr="00221992">
        <w:rPr>
          <w:lang w:val="en-GB"/>
        </w:rPr>
        <w:t xml:space="preserve">However, </w:t>
      </w:r>
      <w:r w:rsidR="00A811D9">
        <w:rPr>
          <w:lang w:val="en-GB"/>
        </w:rPr>
        <w:t>rare disease populations differ internationally</w:t>
      </w:r>
      <w:r w:rsidRPr="00221992">
        <w:rPr>
          <w:lang w:val="en-GB"/>
        </w:rPr>
        <w:t>. While some countries have an access pathway designed for patients affected by an ultra-rare disease, generally defined as &lt;1/50,000 (</w:t>
      </w:r>
      <w:r w:rsidR="008A3C46">
        <w:rPr>
          <w:lang w:val="en-GB"/>
        </w:rPr>
        <w:t xml:space="preserve">i.e., </w:t>
      </w:r>
      <w:r w:rsidRPr="00221992">
        <w:rPr>
          <w:lang w:val="en-GB"/>
        </w:rPr>
        <w:t xml:space="preserve">Australia, </w:t>
      </w:r>
      <w:r w:rsidR="00652D6D" w:rsidRPr="00221992">
        <w:rPr>
          <w:lang w:val="en-GB"/>
        </w:rPr>
        <w:t xml:space="preserve">New Zealand, </w:t>
      </w:r>
      <w:r w:rsidR="00213502" w:rsidRPr="00221992">
        <w:rPr>
          <w:lang w:val="en-GB"/>
        </w:rPr>
        <w:t>England/Wales</w:t>
      </w:r>
      <w:r w:rsidRPr="00221992">
        <w:rPr>
          <w:lang w:val="en-GB"/>
        </w:rPr>
        <w:t xml:space="preserve"> and Scotland), others would consider a broader population like that suggested by the EMA (&lt;5/10,000). A summary of international definitions of rare disease is presented in </w:t>
      </w:r>
      <w:r w:rsidR="00D33F43" w:rsidRPr="00221992">
        <w:rPr>
          <w:lang w:val="en-GB"/>
        </w:rPr>
        <w:fldChar w:fldCharType="begin"/>
      </w:r>
      <w:r w:rsidR="00D33F43">
        <w:instrText xml:space="preserve"> REF _Ref143595770 \h </w:instrText>
      </w:r>
      <w:r w:rsidR="00D33F43" w:rsidRPr="00221992">
        <w:rPr>
          <w:lang w:val="en-GB"/>
        </w:rPr>
      </w:r>
      <w:r w:rsidR="00D33F43" w:rsidRPr="00221992">
        <w:rPr>
          <w:lang w:val="en-GB"/>
        </w:rPr>
        <w:fldChar w:fldCharType="separate"/>
      </w:r>
      <w:r w:rsidR="000E11E7" w:rsidRPr="00221992">
        <w:rPr>
          <w:lang w:val="en-GB"/>
        </w:rPr>
        <w:t xml:space="preserve">Table </w:t>
      </w:r>
      <w:r w:rsidR="000E11E7">
        <w:rPr>
          <w:noProof/>
        </w:rPr>
        <w:t>12</w:t>
      </w:r>
      <w:r w:rsidR="00D33F43" w:rsidRPr="00221992">
        <w:rPr>
          <w:lang w:val="en-GB"/>
        </w:rPr>
        <w:fldChar w:fldCharType="end"/>
      </w:r>
      <w:r w:rsidR="00D33F43" w:rsidRPr="00221992">
        <w:rPr>
          <w:lang w:val="en-GB"/>
        </w:rPr>
        <w:t>.</w:t>
      </w:r>
      <w:r w:rsidRPr="00221992">
        <w:rPr>
          <w:lang w:val="en-GB"/>
        </w:rPr>
        <w:t xml:space="preserve"> </w:t>
      </w:r>
    </w:p>
    <w:p w14:paraId="78290F4C" w14:textId="0884989E" w:rsidR="00652D6D" w:rsidRPr="00221992" w:rsidRDefault="00D33F43" w:rsidP="001721AB">
      <w:pPr>
        <w:pStyle w:val="Caption"/>
        <w:rPr>
          <w:lang w:val="en-GB"/>
        </w:rPr>
      </w:pPr>
      <w:bookmarkStart w:id="129" w:name="_Ref143595770"/>
      <w:bookmarkStart w:id="130" w:name="_Toc162950959"/>
      <w:r w:rsidRPr="00221992">
        <w:rPr>
          <w:lang w:val="en-GB"/>
        </w:rPr>
        <w:t xml:space="preserve">Table </w:t>
      </w:r>
      <w:r w:rsidRPr="00221992">
        <w:rPr>
          <w:lang w:val="en-GB"/>
        </w:rPr>
        <w:fldChar w:fldCharType="begin"/>
      </w:r>
      <w:r>
        <w:instrText>SEQ Table \* ARABIC</w:instrText>
      </w:r>
      <w:r w:rsidRPr="00221992">
        <w:rPr>
          <w:lang w:val="en-GB"/>
        </w:rPr>
        <w:fldChar w:fldCharType="separate"/>
      </w:r>
      <w:r w:rsidR="000E11E7">
        <w:rPr>
          <w:noProof/>
        </w:rPr>
        <w:t>12</w:t>
      </w:r>
      <w:r w:rsidRPr="00221992">
        <w:rPr>
          <w:lang w:val="en-GB"/>
        </w:rPr>
        <w:fldChar w:fldCharType="end"/>
      </w:r>
      <w:bookmarkEnd w:id="129"/>
      <w:r w:rsidRPr="00221992">
        <w:rPr>
          <w:lang w:val="en-GB"/>
        </w:rPr>
        <w:t xml:space="preserve">. Rare disease definitions by </w:t>
      </w:r>
      <w:r w:rsidR="00652D6D" w:rsidRPr="00221992">
        <w:rPr>
          <w:lang w:val="en-GB"/>
        </w:rPr>
        <w:t>regulatory authorit</w:t>
      </w:r>
      <w:r w:rsidR="007A4EA8" w:rsidRPr="00221992">
        <w:rPr>
          <w:lang w:val="en-GB"/>
        </w:rPr>
        <w:t>y/</w:t>
      </w:r>
      <w:r w:rsidR="00652D6D" w:rsidRPr="00221992">
        <w:rPr>
          <w:lang w:val="en-GB"/>
        </w:rPr>
        <w:t>HTA agenc</w:t>
      </w:r>
      <w:r w:rsidR="007A4EA8" w:rsidRPr="00221992">
        <w:rPr>
          <w:lang w:val="en-GB"/>
        </w:rPr>
        <w:t>y</w:t>
      </w:r>
      <w:r w:rsidR="00652D6D" w:rsidRPr="00221992">
        <w:rPr>
          <w:lang w:val="en-GB"/>
        </w:rPr>
        <w:t xml:space="preserve"> </w:t>
      </w:r>
      <w:r w:rsidR="007A4EA8" w:rsidRPr="00221992">
        <w:rPr>
          <w:lang w:val="en-GB"/>
        </w:rPr>
        <w:t>(</w:t>
      </w:r>
      <w:r w:rsidR="00652D6D" w:rsidRPr="00221992">
        <w:rPr>
          <w:lang w:val="en-GB"/>
        </w:rPr>
        <w:t>pricing and reimbursement</w:t>
      </w:r>
      <w:r w:rsidR="007A4EA8" w:rsidRPr="00221992">
        <w:rPr>
          <w:lang w:val="en-GB"/>
        </w:rPr>
        <w:t>)</w:t>
      </w:r>
      <w:bookmarkEnd w:id="130"/>
    </w:p>
    <w:tbl>
      <w:tblPr>
        <w:tblStyle w:val="LinedBlueTable"/>
        <w:tblW w:w="0" w:type="auto"/>
        <w:tblLook w:val="04A0" w:firstRow="1" w:lastRow="0" w:firstColumn="1" w:lastColumn="0" w:noHBand="0" w:noVBand="1"/>
        <w:tblCaption w:val="Rare disease definitions by regulatory authorities and HTA agencies for pricing and reimbursement purposes "/>
      </w:tblPr>
      <w:tblGrid>
        <w:gridCol w:w="2842"/>
        <w:gridCol w:w="2808"/>
        <w:gridCol w:w="2854"/>
      </w:tblGrid>
      <w:tr w:rsidR="00D65012" w:rsidRPr="00221992" w14:paraId="5EAC7961" w14:textId="77777777" w:rsidTr="00B5600E">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061" w:type="dxa"/>
            <w:shd w:val="clear" w:color="auto" w:fill="000000" w:themeFill="text1"/>
          </w:tcPr>
          <w:p w14:paraId="60852085" w14:textId="77777777" w:rsidR="00D65012" w:rsidRPr="00221992" w:rsidRDefault="00D65012" w:rsidP="00A96D42">
            <w:pPr>
              <w:pStyle w:val="TableHeading"/>
              <w:keepNext/>
              <w:keepLines/>
              <w:spacing w:before="0" w:after="0" w:line="240" w:lineRule="auto"/>
              <w:rPr>
                <w:rFonts w:ascii="Calibri" w:hAnsi="Calibri" w:cs="Calibri"/>
                <w:sz w:val="20"/>
                <w:szCs w:val="20"/>
                <w:lang w:val="en-GB"/>
              </w:rPr>
            </w:pPr>
            <w:r w:rsidRPr="00221992">
              <w:rPr>
                <w:rFonts w:ascii="Calibri" w:hAnsi="Calibri" w:cs="Calibri"/>
                <w:sz w:val="20"/>
                <w:szCs w:val="20"/>
                <w:lang w:val="en-GB"/>
              </w:rPr>
              <w:t>Country</w:t>
            </w:r>
          </w:p>
        </w:tc>
        <w:tc>
          <w:tcPr>
            <w:tcW w:w="3061" w:type="dxa"/>
            <w:shd w:val="clear" w:color="auto" w:fill="0074C0"/>
          </w:tcPr>
          <w:p w14:paraId="6E3D7C02" w14:textId="77777777" w:rsidR="00D65012" w:rsidRPr="00221992" w:rsidRDefault="00D65012" w:rsidP="00A96D42">
            <w:pPr>
              <w:pStyle w:val="TableHeading"/>
              <w:keepNext/>
              <w:keepLines/>
              <w:spacing w:before="0" w:after="0" w:line="240" w:lineRule="auto"/>
              <w:cnfStyle w:val="100000000000" w:firstRow="1" w:lastRow="0" w:firstColumn="0" w:lastColumn="0" w:oddVBand="0" w:evenVBand="0" w:oddHBand="0" w:evenHBand="0" w:firstRowFirstColumn="0" w:firstRowLastColumn="0" w:lastRowFirstColumn="0" w:lastRowLastColumn="0"/>
              <w:rPr>
                <w:rFonts w:ascii="Calibri" w:hAnsi="Calibri" w:cs="Calibri"/>
                <w:sz w:val="20"/>
                <w:szCs w:val="20"/>
                <w:lang w:val="en-GB"/>
              </w:rPr>
            </w:pPr>
            <w:r w:rsidRPr="00221992">
              <w:rPr>
                <w:rFonts w:ascii="Calibri" w:hAnsi="Calibri" w:cs="Calibri"/>
                <w:sz w:val="20"/>
                <w:szCs w:val="20"/>
                <w:lang w:val="en-GB"/>
              </w:rPr>
              <w:t>Regulatory definition</w:t>
            </w:r>
          </w:p>
        </w:tc>
        <w:tc>
          <w:tcPr>
            <w:tcW w:w="3062" w:type="dxa"/>
            <w:shd w:val="clear" w:color="auto" w:fill="0074C0"/>
          </w:tcPr>
          <w:p w14:paraId="47CB55EE" w14:textId="1BDE32AF" w:rsidR="00D65012" w:rsidRPr="00221992" w:rsidRDefault="00D65012" w:rsidP="00A96D42">
            <w:pPr>
              <w:pStyle w:val="TableHeading"/>
              <w:keepNext/>
              <w:keepLines/>
              <w:spacing w:before="0" w:after="0" w:line="240" w:lineRule="auto"/>
              <w:cnfStyle w:val="100000000000" w:firstRow="1" w:lastRow="0" w:firstColumn="0" w:lastColumn="0" w:oddVBand="0" w:evenVBand="0" w:oddHBand="0" w:evenHBand="0" w:firstRowFirstColumn="0" w:firstRowLastColumn="0" w:lastRowFirstColumn="0" w:lastRowLastColumn="0"/>
              <w:rPr>
                <w:rFonts w:ascii="Calibri" w:hAnsi="Calibri" w:cs="Calibri"/>
                <w:sz w:val="20"/>
                <w:szCs w:val="20"/>
                <w:lang w:val="en-GB"/>
              </w:rPr>
            </w:pPr>
            <w:r w:rsidRPr="00221992">
              <w:rPr>
                <w:rFonts w:ascii="Calibri" w:hAnsi="Calibri" w:cs="Calibri"/>
                <w:sz w:val="20"/>
                <w:szCs w:val="20"/>
                <w:lang w:val="en-GB"/>
              </w:rPr>
              <w:t>Pricing and reimbursement</w:t>
            </w:r>
          </w:p>
        </w:tc>
      </w:tr>
      <w:tr w:rsidR="00D65012" w:rsidRPr="00221992" w14:paraId="40567474" w14:textId="77777777" w:rsidTr="00B5600E">
        <w:trPr>
          <w:trHeight w:val="20"/>
        </w:trPr>
        <w:tc>
          <w:tcPr>
            <w:cnfStyle w:val="001000000000" w:firstRow="0" w:lastRow="0" w:firstColumn="1" w:lastColumn="0" w:oddVBand="0" w:evenVBand="0" w:oddHBand="0" w:evenHBand="0" w:firstRowFirstColumn="0" w:firstRowLastColumn="0" w:lastRowFirstColumn="0" w:lastRowLastColumn="0"/>
            <w:tcW w:w="0" w:type="dxa"/>
            <w:shd w:val="clear" w:color="auto" w:fill="0076C0"/>
          </w:tcPr>
          <w:p w14:paraId="19B969FD" w14:textId="5E2A9C4E" w:rsidR="00D65012" w:rsidRPr="00221992" w:rsidRDefault="00D65012" w:rsidP="00A96D42">
            <w:pPr>
              <w:pStyle w:val="TableText"/>
              <w:keepNext/>
              <w:keepLines/>
              <w:spacing w:before="0" w:after="0" w:line="240" w:lineRule="auto"/>
              <w:rPr>
                <w:sz w:val="20"/>
                <w:szCs w:val="20"/>
                <w:lang w:val="en-GB"/>
              </w:rPr>
            </w:pPr>
            <w:r w:rsidRPr="00221992">
              <w:rPr>
                <w:sz w:val="20"/>
                <w:szCs w:val="20"/>
                <w:lang w:val="en-GB"/>
              </w:rPr>
              <w:t>Australia</w:t>
            </w:r>
            <w:r w:rsidR="00A96D42" w:rsidRPr="00221992">
              <w:rPr>
                <w:sz w:val="20"/>
                <w:szCs w:val="20"/>
                <w:lang w:val="en-GB"/>
              </w:rPr>
              <w:t xml:space="preserve"> </w:t>
            </w:r>
            <w:r w:rsidRPr="00221992">
              <w:rPr>
                <w:sz w:val="20"/>
                <w:szCs w:val="20"/>
                <w:lang w:val="en-GB"/>
              </w:rPr>
              <w:fldChar w:fldCharType="begin"/>
            </w:r>
            <w:r w:rsidR="00E5265C">
              <w:rPr>
                <w:sz w:val="20"/>
                <w:szCs w:val="20"/>
                <w:lang w:val="en-GB"/>
              </w:rPr>
              <w:instrText xml:space="preserve"> ADDIN EN.CITE &lt;EndNote&gt;&lt;Cite&gt;&lt;Author&gt;Therapeutic Goods Administration (TGA)&lt;/Author&gt;&lt;Year&gt;2015&lt;/Year&gt;&lt;RecNum&gt;515&lt;/RecNum&gt;&lt;DisplayText&gt;[124]&lt;/DisplayText&gt;&lt;record&gt;&lt;rec-number&gt;515&lt;/rec-number&gt;&lt;foreign-keys&gt;&lt;key app="EN" db-id="wzwwsfxe4peesxef95cxvrwjxts9rreasarf" timestamp="1692751953"&gt;515&lt;/key&gt;&lt;/foreign-keys&gt;&lt;ref-type name="Report"&gt;27&lt;/ref-type&gt;&lt;contributors&gt;&lt;authors&gt;&lt;author&gt;Therapeutic Goods Administration (TGA),&lt;/author&gt;&lt;/authors&gt;&lt;secondary-authors&gt;&lt;author&gt;TGA&lt;/author&gt;&lt;/secondary-authors&gt;&lt;tertiary-authors&gt;&lt;author&gt;Australian Government,, Department of Health and Aged Care&lt;/author&gt;&lt;/tertiary-authors&gt;&lt;/contributors&gt;&lt;titles&gt;&lt;title&gt;Orphan drugs program&lt;/title&gt;&lt;/titles&gt;&lt;pages&gt;1-25&lt;/pages&gt;&lt;dates&gt;&lt;year&gt;2015&lt;/year&gt;&lt;/dates&gt;&lt;pub-location&gt;Canberra&lt;/pub-location&gt;&lt;urls&gt;&lt;related-urls&gt;&lt;url&gt;https://www.tga.gov.au/sites/default/files/consultation-orphan-drugs-program.pdf&lt;/url&gt;&lt;/related-urls&gt;&lt;/urls&gt;&lt;access-date&gt;22/07/2023&lt;/access-date&gt;&lt;/record&gt;&lt;/Cite&gt;&lt;/EndNote&gt;</w:instrText>
            </w:r>
            <w:r w:rsidRPr="00221992">
              <w:rPr>
                <w:sz w:val="20"/>
                <w:szCs w:val="20"/>
                <w:lang w:val="en-GB"/>
              </w:rPr>
              <w:fldChar w:fldCharType="separate"/>
            </w:r>
            <w:r w:rsidR="00E5265C">
              <w:rPr>
                <w:noProof/>
                <w:sz w:val="20"/>
                <w:szCs w:val="20"/>
                <w:lang w:val="en-GB"/>
              </w:rPr>
              <w:t>[124]</w:t>
            </w:r>
            <w:r w:rsidRPr="00221992">
              <w:rPr>
                <w:sz w:val="20"/>
                <w:szCs w:val="20"/>
                <w:lang w:val="en-GB"/>
              </w:rPr>
              <w:fldChar w:fldCharType="end"/>
            </w:r>
          </w:p>
        </w:tc>
        <w:tc>
          <w:tcPr>
            <w:tcW w:w="0" w:type="dxa"/>
          </w:tcPr>
          <w:p w14:paraId="7923CA07" w14:textId="77777777" w:rsidR="00D65012" w:rsidRPr="00221992" w:rsidRDefault="00D65012" w:rsidP="00A96D42">
            <w:pPr>
              <w:pStyle w:val="TableText"/>
              <w:keepNext/>
              <w:keepLines/>
              <w:spacing w:before="0" w:after="0" w:line="240" w:lineRule="auto"/>
              <w:cnfStyle w:val="000000000000" w:firstRow="0" w:lastRow="0" w:firstColumn="0" w:lastColumn="0" w:oddVBand="0" w:evenVBand="0" w:oddHBand="0" w:evenHBand="0" w:firstRowFirstColumn="0" w:firstRowLastColumn="0" w:lastRowFirstColumn="0" w:lastRowLastColumn="0"/>
              <w:rPr>
                <w:sz w:val="20"/>
                <w:szCs w:val="20"/>
                <w:lang w:val="en-GB"/>
              </w:rPr>
            </w:pPr>
            <w:r w:rsidRPr="00221992">
              <w:rPr>
                <w:sz w:val="20"/>
                <w:szCs w:val="20"/>
                <w:lang w:val="en-GB"/>
              </w:rPr>
              <w:t>Disease, or condition, likely to affect not more than 2,000 individuals in Australia at any time.</w:t>
            </w:r>
          </w:p>
        </w:tc>
        <w:tc>
          <w:tcPr>
            <w:tcW w:w="0" w:type="dxa"/>
          </w:tcPr>
          <w:p w14:paraId="6D0A5471" w14:textId="28FD6392" w:rsidR="00D65012" w:rsidRPr="00221992" w:rsidRDefault="00D65012" w:rsidP="00A96D42">
            <w:pPr>
              <w:pStyle w:val="TableText"/>
              <w:keepNext/>
              <w:keepLines/>
              <w:spacing w:before="0" w:after="0" w:line="240" w:lineRule="auto"/>
              <w:cnfStyle w:val="000000000000" w:firstRow="0" w:lastRow="0" w:firstColumn="0" w:lastColumn="0" w:oddVBand="0" w:evenVBand="0" w:oddHBand="0" w:evenHBand="0" w:firstRowFirstColumn="0" w:firstRowLastColumn="0" w:lastRowFirstColumn="0" w:lastRowLastColumn="0"/>
              <w:rPr>
                <w:sz w:val="20"/>
                <w:szCs w:val="20"/>
                <w:lang w:val="en-GB"/>
              </w:rPr>
            </w:pPr>
            <w:r w:rsidRPr="00221992">
              <w:rPr>
                <w:sz w:val="20"/>
                <w:szCs w:val="20"/>
                <w:lang w:val="en-GB"/>
              </w:rPr>
              <w:t xml:space="preserve">LSDP: Life threatening and </w:t>
            </w:r>
            <w:r w:rsidR="00C161FA">
              <w:rPr>
                <w:sz w:val="20"/>
                <w:szCs w:val="20"/>
                <w:lang w:val="en-GB"/>
              </w:rPr>
              <w:t>ultra-</w:t>
            </w:r>
            <w:r w:rsidRPr="00221992">
              <w:rPr>
                <w:sz w:val="20"/>
                <w:szCs w:val="20"/>
                <w:lang w:val="en-GB"/>
              </w:rPr>
              <w:t>rare conditions (&lt;1/50,000 people)</w:t>
            </w:r>
            <w:r w:rsidR="00A96D42" w:rsidRPr="00221992">
              <w:rPr>
                <w:sz w:val="20"/>
                <w:szCs w:val="20"/>
                <w:lang w:val="en-GB"/>
              </w:rPr>
              <w:t xml:space="preserve"> </w:t>
            </w:r>
            <w:r w:rsidRPr="00221992">
              <w:rPr>
                <w:sz w:val="20"/>
                <w:szCs w:val="20"/>
                <w:lang w:val="en-GB"/>
              </w:rPr>
              <w:fldChar w:fldCharType="begin"/>
            </w:r>
            <w:r w:rsidR="00E5265C">
              <w:rPr>
                <w:sz w:val="20"/>
                <w:szCs w:val="20"/>
                <w:lang w:val="en-GB"/>
              </w:rPr>
              <w:instrText xml:space="preserve"> ADDIN EN.CITE &lt;EndNote&gt;&lt;Cite&gt;&lt;Author&gt;Parliament of Australia&lt;/Author&gt;&lt;RecNum&gt;537&lt;/RecNum&gt;&lt;DisplayText&gt;[125]&lt;/DisplayText&gt;&lt;record&gt;&lt;rec-number&gt;537&lt;/rec-number&gt;&lt;foreign-keys&gt;&lt;key app="EN" db-id="wzwwsfxe4peesxef95cxvrwjxts9rreasarf" timestamp="1692751953"&gt;537&lt;/key&gt;&lt;/foreign-keys&gt;&lt;ref-type name="Web Page"&gt;12&lt;/ref-type&gt;&lt;contributors&gt;&lt;authors&gt;&lt;author&gt;Parliament of Australia, &lt;/author&gt;&lt;/authors&gt;&lt;/contributors&gt;&lt;titles&gt;&lt;title&gt;Rare diseases&lt;/title&gt;&lt;/titles&gt;&lt;number&gt;20/07/2023&lt;/number&gt;&lt;dates&gt;&lt;/dates&gt;&lt;urls&gt;&lt;related-urls&gt;&lt;url&gt;https://www.aph.gov.au/Parliamentary_Business/Committees/House/Health_Aged_Care_and_Sport/Newdrugs/Report/section?id=committees%2Freportrep%2F024755%2F77601#:~:text=The%20LSDP%20covers%20medicines%20if,fewer%20in%20the%20Australian%20population)&lt;/url&gt;&lt;/related-urls&gt;&lt;/urls&gt;&lt;/record&gt;&lt;/Cite&gt;&lt;/EndNote&gt;</w:instrText>
            </w:r>
            <w:r w:rsidRPr="00221992">
              <w:rPr>
                <w:sz w:val="20"/>
                <w:szCs w:val="20"/>
                <w:lang w:val="en-GB"/>
              </w:rPr>
              <w:fldChar w:fldCharType="separate"/>
            </w:r>
            <w:r w:rsidR="00E5265C">
              <w:rPr>
                <w:noProof/>
                <w:sz w:val="20"/>
                <w:szCs w:val="20"/>
                <w:lang w:val="en-GB"/>
              </w:rPr>
              <w:t>[125]</w:t>
            </w:r>
            <w:r w:rsidRPr="00221992">
              <w:rPr>
                <w:sz w:val="20"/>
                <w:szCs w:val="20"/>
                <w:lang w:val="en-GB"/>
              </w:rPr>
              <w:fldChar w:fldCharType="end"/>
            </w:r>
            <w:r w:rsidRPr="00221992">
              <w:rPr>
                <w:sz w:val="20"/>
                <w:szCs w:val="20"/>
                <w:lang w:val="en-GB"/>
              </w:rPr>
              <w:t xml:space="preserve"> </w:t>
            </w:r>
          </w:p>
        </w:tc>
      </w:tr>
      <w:tr w:rsidR="00D65012" w:rsidRPr="00221992" w14:paraId="4F86B101" w14:textId="77777777" w:rsidTr="00B5600E">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061" w:type="dxa"/>
            <w:shd w:val="clear" w:color="auto" w:fill="0076C0"/>
          </w:tcPr>
          <w:p w14:paraId="4FBE544A" w14:textId="77777777" w:rsidR="00D65012" w:rsidRPr="00221992" w:rsidRDefault="00D65012" w:rsidP="00A96D42">
            <w:pPr>
              <w:pStyle w:val="TableText"/>
              <w:spacing w:before="0" w:after="0" w:line="240" w:lineRule="auto"/>
              <w:rPr>
                <w:sz w:val="20"/>
                <w:szCs w:val="20"/>
                <w:lang w:val="en-GB"/>
              </w:rPr>
            </w:pPr>
            <w:r w:rsidRPr="00221992">
              <w:rPr>
                <w:sz w:val="20"/>
                <w:szCs w:val="20"/>
                <w:lang w:val="en-GB"/>
              </w:rPr>
              <w:t xml:space="preserve">Belgium </w:t>
            </w:r>
          </w:p>
        </w:tc>
        <w:tc>
          <w:tcPr>
            <w:tcW w:w="6123" w:type="dxa"/>
            <w:gridSpan w:val="2"/>
            <w:shd w:val="clear" w:color="auto" w:fill="EFEFEF" w:themeFill="text2" w:themeFillTint="33"/>
          </w:tcPr>
          <w:p w14:paraId="53B48608" w14:textId="77777777" w:rsidR="00D65012" w:rsidRPr="00221992" w:rsidRDefault="00D65012" w:rsidP="00A96D42">
            <w:pPr>
              <w:pStyle w:val="TableText"/>
              <w:spacing w:before="0" w:after="0" w:line="240" w:lineRule="auto"/>
              <w:cnfStyle w:val="000000010000" w:firstRow="0" w:lastRow="0" w:firstColumn="0" w:lastColumn="0" w:oddVBand="0" w:evenVBand="0" w:oddHBand="0" w:evenHBand="1" w:firstRowFirstColumn="0" w:firstRowLastColumn="0" w:lastRowFirstColumn="0" w:lastRowLastColumn="0"/>
              <w:rPr>
                <w:sz w:val="20"/>
                <w:szCs w:val="20"/>
                <w:lang w:val="en-GB"/>
              </w:rPr>
            </w:pPr>
            <w:r w:rsidRPr="00221992">
              <w:rPr>
                <w:sz w:val="20"/>
                <w:szCs w:val="20"/>
                <w:lang w:val="en-GB"/>
              </w:rPr>
              <w:t>&lt;5/10,000 people as per EMA</w:t>
            </w:r>
            <w:r w:rsidRPr="00221992">
              <w:rPr>
                <w:sz w:val="20"/>
                <w:szCs w:val="20"/>
                <w:vertAlign w:val="superscript"/>
                <w:lang w:val="en-GB"/>
              </w:rPr>
              <w:t>1</w:t>
            </w:r>
          </w:p>
        </w:tc>
      </w:tr>
      <w:tr w:rsidR="00D65012" w:rsidRPr="00221992" w14:paraId="042B1F89" w14:textId="77777777" w:rsidTr="00B5600E">
        <w:trPr>
          <w:trHeight w:val="20"/>
        </w:trPr>
        <w:tc>
          <w:tcPr>
            <w:cnfStyle w:val="001000000000" w:firstRow="0" w:lastRow="0" w:firstColumn="1" w:lastColumn="0" w:oddVBand="0" w:evenVBand="0" w:oddHBand="0" w:evenHBand="0" w:firstRowFirstColumn="0" w:firstRowLastColumn="0" w:lastRowFirstColumn="0" w:lastRowLastColumn="0"/>
            <w:tcW w:w="3061" w:type="dxa"/>
            <w:shd w:val="clear" w:color="auto" w:fill="0076C0"/>
          </w:tcPr>
          <w:p w14:paraId="7D4153DE" w14:textId="77777777" w:rsidR="00D65012" w:rsidRPr="00221992" w:rsidRDefault="00D65012" w:rsidP="00A96D42">
            <w:pPr>
              <w:pStyle w:val="TableText"/>
              <w:spacing w:before="0" w:after="0" w:line="240" w:lineRule="auto"/>
              <w:rPr>
                <w:sz w:val="20"/>
                <w:szCs w:val="20"/>
                <w:lang w:val="en-GB"/>
              </w:rPr>
            </w:pPr>
            <w:r w:rsidRPr="00221992">
              <w:rPr>
                <w:sz w:val="20"/>
                <w:szCs w:val="20"/>
                <w:lang w:val="en-GB"/>
              </w:rPr>
              <w:t>Canada</w:t>
            </w:r>
          </w:p>
        </w:tc>
        <w:tc>
          <w:tcPr>
            <w:tcW w:w="3061" w:type="dxa"/>
          </w:tcPr>
          <w:p w14:paraId="4E3B6A0D" w14:textId="77777777" w:rsidR="00D65012" w:rsidRPr="00221992" w:rsidRDefault="00D65012" w:rsidP="00A96D42">
            <w:pPr>
              <w:pStyle w:val="TableText"/>
              <w:spacing w:before="0" w:after="0" w:line="240" w:lineRule="auto"/>
              <w:cnfStyle w:val="000000000000" w:firstRow="0" w:lastRow="0" w:firstColumn="0" w:lastColumn="0" w:oddVBand="0" w:evenVBand="0" w:oddHBand="0" w:evenHBand="0" w:firstRowFirstColumn="0" w:firstRowLastColumn="0" w:lastRowFirstColumn="0" w:lastRowLastColumn="0"/>
              <w:rPr>
                <w:sz w:val="20"/>
                <w:szCs w:val="20"/>
                <w:lang w:val="en-GB"/>
              </w:rPr>
            </w:pPr>
            <w:r w:rsidRPr="00221992">
              <w:rPr>
                <w:sz w:val="20"/>
                <w:szCs w:val="20"/>
                <w:lang w:val="en-GB"/>
              </w:rPr>
              <w:t>No definition</w:t>
            </w:r>
          </w:p>
        </w:tc>
        <w:tc>
          <w:tcPr>
            <w:tcW w:w="3062" w:type="dxa"/>
          </w:tcPr>
          <w:p w14:paraId="58605F0B" w14:textId="62CBE3C6" w:rsidR="00D65012" w:rsidRPr="00221992" w:rsidRDefault="00D65012" w:rsidP="00A96D42">
            <w:pPr>
              <w:pStyle w:val="TableText"/>
              <w:spacing w:before="0" w:after="0" w:line="240" w:lineRule="auto"/>
              <w:cnfStyle w:val="000000000000" w:firstRow="0" w:lastRow="0" w:firstColumn="0" w:lastColumn="0" w:oddVBand="0" w:evenVBand="0" w:oddHBand="0" w:evenHBand="0" w:firstRowFirstColumn="0" w:firstRowLastColumn="0" w:lastRowFirstColumn="0" w:lastRowLastColumn="0"/>
              <w:rPr>
                <w:sz w:val="20"/>
                <w:szCs w:val="20"/>
                <w:lang w:val="en-GB"/>
              </w:rPr>
            </w:pPr>
            <w:r w:rsidRPr="00221992">
              <w:rPr>
                <w:sz w:val="20"/>
                <w:szCs w:val="20"/>
                <w:lang w:val="en-GB"/>
              </w:rPr>
              <w:t xml:space="preserve">Determined by each provincial jurisdiction. </w:t>
            </w:r>
            <w:r w:rsidR="005F7200">
              <w:rPr>
                <w:sz w:val="20"/>
                <w:szCs w:val="20"/>
                <w:lang w:val="en-GB"/>
              </w:rPr>
              <w:t xml:space="preserve">No consistency across provinces was identified. </w:t>
            </w:r>
          </w:p>
        </w:tc>
      </w:tr>
      <w:tr w:rsidR="00D65012" w:rsidRPr="00221992" w14:paraId="15F7EFBD" w14:textId="77777777" w:rsidTr="00B5600E">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dxa"/>
            <w:shd w:val="clear" w:color="auto" w:fill="0076C0"/>
          </w:tcPr>
          <w:p w14:paraId="05658BE3" w14:textId="1EF2E39F" w:rsidR="00D65012" w:rsidRPr="00221992" w:rsidRDefault="00213502" w:rsidP="00A96D42">
            <w:pPr>
              <w:pStyle w:val="TableText"/>
              <w:spacing w:before="0" w:after="0" w:line="240" w:lineRule="auto"/>
              <w:rPr>
                <w:sz w:val="20"/>
                <w:szCs w:val="20"/>
                <w:lang w:val="en-GB"/>
              </w:rPr>
            </w:pPr>
            <w:r w:rsidRPr="00221992">
              <w:rPr>
                <w:sz w:val="20"/>
                <w:szCs w:val="20"/>
                <w:lang w:val="en-GB"/>
              </w:rPr>
              <w:t>England/Wales</w:t>
            </w:r>
          </w:p>
        </w:tc>
        <w:tc>
          <w:tcPr>
            <w:tcW w:w="0" w:type="dxa"/>
            <w:shd w:val="clear" w:color="auto" w:fill="EFEFEF" w:themeFill="text2" w:themeFillTint="33"/>
          </w:tcPr>
          <w:p w14:paraId="23B43106" w14:textId="77777777" w:rsidR="00D65012" w:rsidRPr="00221992" w:rsidRDefault="00D65012" w:rsidP="00A96D42">
            <w:pPr>
              <w:pStyle w:val="TableText"/>
              <w:spacing w:before="0" w:after="0" w:line="240" w:lineRule="auto"/>
              <w:cnfStyle w:val="000000010000" w:firstRow="0" w:lastRow="0" w:firstColumn="0" w:lastColumn="0" w:oddVBand="0" w:evenVBand="0" w:oddHBand="0" w:evenHBand="1" w:firstRowFirstColumn="0" w:firstRowLastColumn="0" w:lastRowFirstColumn="0" w:lastRowLastColumn="0"/>
              <w:rPr>
                <w:sz w:val="20"/>
                <w:szCs w:val="20"/>
                <w:lang w:val="en-GB"/>
              </w:rPr>
            </w:pPr>
            <w:r w:rsidRPr="00221992">
              <w:rPr>
                <w:sz w:val="20"/>
                <w:szCs w:val="20"/>
                <w:lang w:val="en-GB"/>
              </w:rPr>
              <w:t>NR, but likely &lt;1/2,000</w:t>
            </w:r>
          </w:p>
        </w:tc>
        <w:tc>
          <w:tcPr>
            <w:tcW w:w="0" w:type="dxa"/>
            <w:shd w:val="clear" w:color="auto" w:fill="EFEFEF" w:themeFill="text2" w:themeFillTint="33"/>
          </w:tcPr>
          <w:p w14:paraId="52C97770" w14:textId="77777777" w:rsidR="00D65012" w:rsidRPr="00221992" w:rsidRDefault="00D65012" w:rsidP="00A96D42">
            <w:pPr>
              <w:pStyle w:val="TableText"/>
              <w:spacing w:before="0" w:after="0" w:line="240" w:lineRule="auto"/>
              <w:cnfStyle w:val="000000010000" w:firstRow="0" w:lastRow="0" w:firstColumn="0" w:lastColumn="0" w:oddVBand="0" w:evenVBand="0" w:oddHBand="0" w:evenHBand="1" w:firstRowFirstColumn="0" w:firstRowLastColumn="0" w:lastRowFirstColumn="0" w:lastRowLastColumn="0"/>
              <w:rPr>
                <w:sz w:val="20"/>
                <w:szCs w:val="20"/>
                <w:lang w:val="en-GB"/>
              </w:rPr>
            </w:pPr>
            <w:r w:rsidRPr="00221992">
              <w:rPr>
                <w:sz w:val="20"/>
                <w:szCs w:val="20"/>
                <w:lang w:val="en-GB"/>
              </w:rPr>
              <w:t>Ultra-orphan drug products are defined as those for a chronic and severely disabling condition affecting less than 1 in 50,000 individuals</w:t>
            </w:r>
          </w:p>
        </w:tc>
      </w:tr>
      <w:tr w:rsidR="00D65012" w:rsidRPr="00221992" w14:paraId="74CB2882" w14:textId="77777777" w:rsidTr="00B5600E">
        <w:trPr>
          <w:trHeight w:val="20"/>
        </w:trPr>
        <w:tc>
          <w:tcPr>
            <w:cnfStyle w:val="001000000000" w:firstRow="0" w:lastRow="0" w:firstColumn="1" w:lastColumn="0" w:oddVBand="0" w:evenVBand="0" w:oddHBand="0" w:evenHBand="0" w:firstRowFirstColumn="0" w:firstRowLastColumn="0" w:lastRowFirstColumn="0" w:lastRowLastColumn="0"/>
            <w:tcW w:w="3061" w:type="dxa"/>
            <w:shd w:val="clear" w:color="auto" w:fill="0076C0"/>
          </w:tcPr>
          <w:p w14:paraId="63B4D649" w14:textId="77777777" w:rsidR="00D65012" w:rsidRPr="00221992" w:rsidRDefault="00D65012" w:rsidP="00A96D42">
            <w:pPr>
              <w:pStyle w:val="TableText"/>
              <w:spacing w:before="0" w:after="0" w:line="240" w:lineRule="auto"/>
              <w:rPr>
                <w:sz w:val="20"/>
                <w:szCs w:val="20"/>
                <w:lang w:val="en-GB"/>
              </w:rPr>
            </w:pPr>
            <w:r w:rsidRPr="00221992">
              <w:rPr>
                <w:sz w:val="20"/>
                <w:szCs w:val="20"/>
                <w:lang w:val="en-GB"/>
              </w:rPr>
              <w:t>France</w:t>
            </w:r>
          </w:p>
        </w:tc>
        <w:tc>
          <w:tcPr>
            <w:tcW w:w="6123" w:type="dxa"/>
            <w:gridSpan w:val="2"/>
          </w:tcPr>
          <w:p w14:paraId="2B8DAA4D" w14:textId="77777777" w:rsidR="00D65012" w:rsidRPr="00221992" w:rsidRDefault="00D65012" w:rsidP="00A96D42">
            <w:pPr>
              <w:pStyle w:val="TableText"/>
              <w:spacing w:before="0" w:after="0" w:line="240" w:lineRule="auto"/>
              <w:cnfStyle w:val="000000000000" w:firstRow="0" w:lastRow="0" w:firstColumn="0" w:lastColumn="0" w:oddVBand="0" w:evenVBand="0" w:oddHBand="0" w:evenHBand="0" w:firstRowFirstColumn="0" w:firstRowLastColumn="0" w:lastRowFirstColumn="0" w:lastRowLastColumn="0"/>
              <w:rPr>
                <w:sz w:val="20"/>
                <w:szCs w:val="20"/>
                <w:lang w:val="en-GB"/>
              </w:rPr>
            </w:pPr>
            <w:r w:rsidRPr="00221992">
              <w:rPr>
                <w:sz w:val="20"/>
                <w:szCs w:val="20"/>
                <w:lang w:val="en-GB"/>
              </w:rPr>
              <w:t>&lt;5/10,000 people as per EMA</w:t>
            </w:r>
            <w:r w:rsidRPr="00221992">
              <w:rPr>
                <w:sz w:val="20"/>
                <w:szCs w:val="20"/>
                <w:vertAlign w:val="superscript"/>
                <w:lang w:val="en-GB"/>
              </w:rPr>
              <w:t>1</w:t>
            </w:r>
          </w:p>
        </w:tc>
      </w:tr>
      <w:tr w:rsidR="00D65012" w:rsidRPr="00221992" w14:paraId="34DABFF7" w14:textId="77777777" w:rsidTr="00B5600E">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061" w:type="dxa"/>
            <w:shd w:val="clear" w:color="auto" w:fill="0076C0"/>
          </w:tcPr>
          <w:p w14:paraId="30DDE994" w14:textId="77777777" w:rsidR="00D65012" w:rsidRPr="00221992" w:rsidRDefault="00D65012" w:rsidP="00A96D42">
            <w:pPr>
              <w:pStyle w:val="TableText"/>
              <w:spacing w:before="0" w:after="0" w:line="240" w:lineRule="auto"/>
              <w:rPr>
                <w:sz w:val="20"/>
                <w:szCs w:val="20"/>
                <w:lang w:val="en-GB"/>
              </w:rPr>
            </w:pPr>
            <w:r w:rsidRPr="00221992">
              <w:rPr>
                <w:sz w:val="20"/>
                <w:szCs w:val="20"/>
                <w:lang w:val="en-GB"/>
              </w:rPr>
              <w:t>Germany</w:t>
            </w:r>
          </w:p>
        </w:tc>
        <w:tc>
          <w:tcPr>
            <w:tcW w:w="6123" w:type="dxa"/>
            <w:gridSpan w:val="2"/>
            <w:shd w:val="clear" w:color="auto" w:fill="EFEFEF" w:themeFill="text2" w:themeFillTint="33"/>
          </w:tcPr>
          <w:p w14:paraId="4C56B140" w14:textId="77777777" w:rsidR="00D65012" w:rsidRPr="00221992" w:rsidRDefault="00D65012" w:rsidP="00A96D42">
            <w:pPr>
              <w:pStyle w:val="TableText"/>
              <w:spacing w:before="0" w:after="0" w:line="240" w:lineRule="auto"/>
              <w:cnfStyle w:val="000000010000" w:firstRow="0" w:lastRow="0" w:firstColumn="0" w:lastColumn="0" w:oddVBand="0" w:evenVBand="0" w:oddHBand="0" w:evenHBand="1" w:firstRowFirstColumn="0" w:firstRowLastColumn="0" w:lastRowFirstColumn="0" w:lastRowLastColumn="0"/>
              <w:rPr>
                <w:sz w:val="20"/>
                <w:szCs w:val="20"/>
                <w:lang w:val="en-GB"/>
              </w:rPr>
            </w:pPr>
            <w:r w:rsidRPr="00221992">
              <w:rPr>
                <w:sz w:val="20"/>
                <w:szCs w:val="20"/>
                <w:lang w:val="en-GB"/>
              </w:rPr>
              <w:t>&lt;</w:t>
            </w:r>
            <w:r w:rsidRPr="00221992">
              <w:rPr>
                <w:sz w:val="20"/>
                <w:szCs w:val="20"/>
                <w:shd w:val="clear" w:color="auto" w:fill="E0E0E0" w:themeFill="text2" w:themeFillTint="66"/>
                <w:lang w:val="en-GB"/>
              </w:rPr>
              <w:t>5/10,000 people as per EMA</w:t>
            </w:r>
            <w:r w:rsidRPr="00221992">
              <w:rPr>
                <w:sz w:val="20"/>
                <w:szCs w:val="20"/>
                <w:shd w:val="clear" w:color="auto" w:fill="E0E0E0" w:themeFill="text2" w:themeFillTint="66"/>
                <w:vertAlign w:val="superscript"/>
                <w:lang w:val="en-GB"/>
              </w:rPr>
              <w:t>1</w:t>
            </w:r>
          </w:p>
        </w:tc>
      </w:tr>
      <w:tr w:rsidR="00D65012" w:rsidRPr="00221992" w14:paraId="565DBF1E" w14:textId="77777777" w:rsidTr="00B5600E">
        <w:trPr>
          <w:trHeight w:val="20"/>
        </w:trPr>
        <w:tc>
          <w:tcPr>
            <w:cnfStyle w:val="001000000000" w:firstRow="0" w:lastRow="0" w:firstColumn="1" w:lastColumn="0" w:oddVBand="0" w:evenVBand="0" w:oddHBand="0" w:evenHBand="0" w:firstRowFirstColumn="0" w:firstRowLastColumn="0" w:lastRowFirstColumn="0" w:lastRowLastColumn="0"/>
            <w:tcW w:w="3061" w:type="dxa"/>
            <w:shd w:val="clear" w:color="auto" w:fill="0076C0"/>
          </w:tcPr>
          <w:p w14:paraId="470326CB" w14:textId="77777777" w:rsidR="00D65012" w:rsidRPr="00221992" w:rsidRDefault="00D65012" w:rsidP="00A96D42">
            <w:pPr>
              <w:pStyle w:val="TableText"/>
              <w:spacing w:before="0" w:after="0" w:line="240" w:lineRule="auto"/>
              <w:rPr>
                <w:sz w:val="20"/>
                <w:szCs w:val="20"/>
                <w:lang w:val="en-GB"/>
              </w:rPr>
            </w:pPr>
            <w:r w:rsidRPr="00221992">
              <w:rPr>
                <w:sz w:val="20"/>
                <w:szCs w:val="20"/>
                <w:lang w:val="en-GB"/>
              </w:rPr>
              <w:t>Italy</w:t>
            </w:r>
          </w:p>
        </w:tc>
        <w:tc>
          <w:tcPr>
            <w:tcW w:w="6123" w:type="dxa"/>
            <w:gridSpan w:val="2"/>
          </w:tcPr>
          <w:p w14:paraId="5EF41F33" w14:textId="77777777" w:rsidR="00D65012" w:rsidRPr="00221992" w:rsidRDefault="00D65012" w:rsidP="00A96D42">
            <w:pPr>
              <w:pStyle w:val="TableText"/>
              <w:spacing w:before="0" w:after="0" w:line="240" w:lineRule="auto"/>
              <w:cnfStyle w:val="000000000000" w:firstRow="0" w:lastRow="0" w:firstColumn="0" w:lastColumn="0" w:oddVBand="0" w:evenVBand="0" w:oddHBand="0" w:evenHBand="0" w:firstRowFirstColumn="0" w:firstRowLastColumn="0" w:lastRowFirstColumn="0" w:lastRowLastColumn="0"/>
              <w:rPr>
                <w:sz w:val="20"/>
                <w:szCs w:val="20"/>
                <w:lang w:val="en-GB"/>
              </w:rPr>
            </w:pPr>
            <w:r w:rsidRPr="00221992">
              <w:rPr>
                <w:sz w:val="20"/>
                <w:szCs w:val="20"/>
                <w:lang w:val="en-GB"/>
              </w:rPr>
              <w:t>&lt;5/10,000 people as per EMA</w:t>
            </w:r>
            <w:r w:rsidRPr="00221992">
              <w:rPr>
                <w:sz w:val="20"/>
                <w:szCs w:val="20"/>
                <w:vertAlign w:val="superscript"/>
                <w:lang w:val="en-GB"/>
              </w:rPr>
              <w:t>1</w:t>
            </w:r>
          </w:p>
        </w:tc>
      </w:tr>
      <w:tr w:rsidR="00D65012" w:rsidRPr="00221992" w14:paraId="2A9C0C5B" w14:textId="77777777" w:rsidTr="00B5600E">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dxa"/>
            <w:shd w:val="clear" w:color="auto" w:fill="0076C0"/>
          </w:tcPr>
          <w:p w14:paraId="6579C8B3" w14:textId="77777777" w:rsidR="00D65012" w:rsidRPr="00221992" w:rsidRDefault="00D65012" w:rsidP="00A96D42">
            <w:pPr>
              <w:pStyle w:val="TableText"/>
              <w:spacing w:before="0" w:after="0" w:line="240" w:lineRule="auto"/>
              <w:rPr>
                <w:sz w:val="20"/>
                <w:szCs w:val="20"/>
                <w:lang w:val="en-GB"/>
              </w:rPr>
            </w:pPr>
            <w:r w:rsidRPr="00221992">
              <w:rPr>
                <w:sz w:val="20"/>
                <w:szCs w:val="20"/>
                <w:lang w:val="en-GB"/>
              </w:rPr>
              <w:t>Japan</w:t>
            </w:r>
          </w:p>
        </w:tc>
        <w:tc>
          <w:tcPr>
            <w:tcW w:w="0" w:type="dxa"/>
            <w:gridSpan w:val="2"/>
            <w:shd w:val="clear" w:color="auto" w:fill="EFEFEF" w:themeFill="text2" w:themeFillTint="33"/>
          </w:tcPr>
          <w:p w14:paraId="0C155CF6" w14:textId="77777777" w:rsidR="00D65012" w:rsidRPr="00221992" w:rsidRDefault="00D65012" w:rsidP="00A96D42">
            <w:pPr>
              <w:pStyle w:val="TableText"/>
              <w:spacing w:before="0" w:after="0" w:line="240" w:lineRule="auto"/>
              <w:cnfStyle w:val="000000010000" w:firstRow="0" w:lastRow="0" w:firstColumn="0" w:lastColumn="0" w:oddVBand="0" w:evenVBand="0" w:oddHBand="0" w:evenHBand="1" w:firstRowFirstColumn="0" w:firstRowLastColumn="0" w:lastRowFirstColumn="0" w:lastRowLastColumn="0"/>
              <w:rPr>
                <w:sz w:val="20"/>
                <w:szCs w:val="20"/>
                <w:lang w:val="en-GB"/>
              </w:rPr>
            </w:pPr>
            <w:r w:rsidRPr="00221992">
              <w:rPr>
                <w:sz w:val="20"/>
                <w:szCs w:val="20"/>
                <w:lang w:val="en-GB"/>
              </w:rPr>
              <w:t>Fulfil the following criteria: (1) rarity (&lt;50,000 people or &lt;4/10,000 of the population, (2) unknown aetiology, (3) lack of effective treatment, (4) need of long-term treatment, and (5) existence of objective diagnostic criteria.</w:t>
            </w:r>
          </w:p>
        </w:tc>
      </w:tr>
      <w:tr w:rsidR="00D65012" w:rsidRPr="00221992" w14:paraId="397EC5CB" w14:textId="77777777" w:rsidTr="00B5600E">
        <w:trPr>
          <w:trHeight w:val="20"/>
        </w:trPr>
        <w:tc>
          <w:tcPr>
            <w:cnfStyle w:val="001000000000" w:firstRow="0" w:lastRow="0" w:firstColumn="1" w:lastColumn="0" w:oddVBand="0" w:evenVBand="0" w:oddHBand="0" w:evenHBand="0" w:firstRowFirstColumn="0" w:firstRowLastColumn="0" w:lastRowFirstColumn="0" w:lastRowLastColumn="0"/>
            <w:tcW w:w="3061" w:type="dxa"/>
            <w:shd w:val="clear" w:color="auto" w:fill="0076C0"/>
          </w:tcPr>
          <w:p w14:paraId="3F92C15F" w14:textId="77777777" w:rsidR="00D65012" w:rsidRPr="00221992" w:rsidRDefault="00D65012" w:rsidP="00A96D42">
            <w:pPr>
              <w:pStyle w:val="TableText"/>
              <w:spacing w:before="0" w:after="0" w:line="240" w:lineRule="auto"/>
              <w:rPr>
                <w:sz w:val="20"/>
                <w:szCs w:val="20"/>
                <w:lang w:val="en-GB"/>
              </w:rPr>
            </w:pPr>
            <w:r w:rsidRPr="00221992">
              <w:rPr>
                <w:sz w:val="20"/>
                <w:szCs w:val="20"/>
                <w:lang w:val="en-GB"/>
              </w:rPr>
              <w:t>Korea</w:t>
            </w:r>
          </w:p>
        </w:tc>
        <w:tc>
          <w:tcPr>
            <w:tcW w:w="6123" w:type="dxa"/>
            <w:gridSpan w:val="2"/>
          </w:tcPr>
          <w:p w14:paraId="7C1129D5" w14:textId="5F8982DB" w:rsidR="00D65012" w:rsidRPr="00221992" w:rsidRDefault="00652D6D" w:rsidP="00A96D42">
            <w:pPr>
              <w:pStyle w:val="TableText"/>
              <w:spacing w:before="0" w:after="0" w:line="240" w:lineRule="auto"/>
              <w:cnfStyle w:val="000000000000" w:firstRow="0" w:lastRow="0" w:firstColumn="0" w:lastColumn="0" w:oddVBand="0" w:evenVBand="0" w:oddHBand="0" w:evenHBand="0" w:firstRowFirstColumn="0" w:firstRowLastColumn="0" w:lastRowFirstColumn="0" w:lastRowLastColumn="0"/>
              <w:rPr>
                <w:sz w:val="20"/>
                <w:szCs w:val="20"/>
                <w:lang w:val="en-GB"/>
              </w:rPr>
            </w:pPr>
            <w:r w:rsidRPr="00221992">
              <w:rPr>
                <w:sz w:val="20"/>
                <w:szCs w:val="20"/>
                <w:lang w:val="en-GB"/>
              </w:rPr>
              <w:t>D</w:t>
            </w:r>
            <w:r w:rsidR="00D65012" w:rsidRPr="00221992">
              <w:rPr>
                <w:sz w:val="20"/>
                <w:szCs w:val="20"/>
                <w:lang w:val="en-GB"/>
              </w:rPr>
              <w:t>iseases for which there are fewer than 20,000 patients in Korea.</w:t>
            </w:r>
          </w:p>
        </w:tc>
      </w:tr>
      <w:tr w:rsidR="00D65012" w:rsidRPr="00221992" w14:paraId="02C40335" w14:textId="77777777" w:rsidTr="00B5600E">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061" w:type="dxa"/>
            <w:shd w:val="clear" w:color="auto" w:fill="0076C0"/>
          </w:tcPr>
          <w:p w14:paraId="4F76C87F" w14:textId="77777777" w:rsidR="00D65012" w:rsidRPr="00221992" w:rsidRDefault="00D65012" w:rsidP="00A96D42">
            <w:pPr>
              <w:pStyle w:val="TableText"/>
              <w:spacing w:before="0" w:after="0" w:line="240" w:lineRule="auto"/>
              <w:rPr>
                <w:sz w:val="20"/>
                <w:szCs w:val="20"/>
                <w:lang w:val="en-GB"/>
              </w:rPr>
            </w:pPr>
            <w:r w:rsidRPr="00221992">
              <w:rPr>
                <w:sz w:val="20"/>
                <w:szCs w:val="20"/>
                <w:lang w:val="en-GB"/>
              </w:rPr>
              <w:t>Netherlands</w:t>
            </w:r>
          </w:p>
        </w:tc>
        <w:tc>
          <w:tcPr>
            <w:tcW w:w="6123" w:type="dxa"/>
            <w:gridSpan w:val="2"/>
            <w:shd w:val="clear" w:color="auto" w:fill="EFEFEF" w:themeFill="text2" w:themeFillTint="33"/>
          </w:tcPr>
          <w:p w14:paraId="1AF6A27B" w14:textId="77777777" w:rsidR="00D65012" w:rsidRPr="00221992" w:rsidRDefault="00D65012" w:rsidP="00A96D42">
            <w:pPr>
              <w:pStyle w:val="TableText"/>
              <w:spacing w:before="0" w:after="0" w:line="240" w:lineRule="auto"/>
              <w:cnfStyle w:val="000000010000" w:firstRow="0" w:lastRow="0" w:firstColumn="0" w:lastColumn="0" w:oddVBand="0" w:evenVBand="0" w:oddHBand="0" w:evenHBand="1" w:firstRowFirstColumn="0" w:firstRowLastColumn="0" w:lastRowFirstColumn="0" w:lastRowLastColumn="0"/>
              <w:rPr>
                <w:sz w:val="20"/>
                <w:szCs w:val="20"/>
                <w:lang w:val="en-GB"/>
              </w:rPr>
            </w:pPr>
            <w:r w:rsidRPr="00221992">
              <w:rPr>
                <w:sz w:val="20"/>
                <w:szCs w:val="20"/>
                <w:lang w:val="en-GB"/>
              </w:rPr>
              <w:t>&lt;</w:t>
            </w:r>
            <w:r w:rsidRPr="00221992">
              <w:rPr>
                <w:sz w:val="20"/>
                <w:szCs w:val="20"/>
                <w:shd w:val="clear" w:color="auto" w:fill="E0E0E0" w:themeFill="text2" w:themeFillTint="66"/>
                <w:lang w:val="en-GB"/>
              </w:rPr>
              <w:t>5/10,000 people as per EMA</w:t>
            </w:r>
            <w:r w:rsidRPr="00221992">
              <w:rPr>
                <w:sz w:val="20"/>
                <w:szCs w:val="20"/>
                <w:shd w:val="clear" w:color="auto" w:fill="E0E0E0" w:themeFill="text2" w:themeFillTint="66"/>
                <w:vertAlign w:val="superscript"/>
                <w:lang w:val="en-GB"/>
              </w:rPr>
              <w:t>1</w:t>
            </w:r>
          </w:p>
        </w:tc>
      </w:tr>
      <w:tr w:rsidR="00D65012" w:rsidRPr="00221992" w14:paraId="20EB3828" w14:textId="77777777" w:rsidTr="00B5600E">
        <w:trPr>
          <w:trHeight w:val="20"/>
        </w:trPr>
        <w:tc>
          <w:tcPr>
            <w:cnfStyle w:val="001000000000" w:firstRow="0" w:lastRow="0" w:firstColumn="1" w:lastColumn="0" w:oddVBand="0" w:evenVBand="0" w:oddHBand="0" w:evenHBand="0" w:firstRowFirstColumn="0" w:firstRowLastColumn="0" w:lastRowFirstColumn="0" w:lastRowLastColumn="0"/>
            <w:tcW w:w="0" w:type="dxa"/>
            <w:shd w:val="clear" w:color="auto" w:fill="0076C0"/>
          </w:tcPr>
          <w:p w14:paraId="34BBB669" w14:textId="77777777" w:rsidR="00D65012" w:rsidRPr="00221992" w:rsidRDefault="00D65012" w:rsidP="00A96D42">
            <w:pPr>
              <w:pStyle w:val="TableText"/>
              <w:spacing w:before="0" w:after="0" w:line="240" w:lineRule="auto"/>
              <w:rPr>
                <w:sz w:val="20"/>
                <w:szCs w:val="20"/>
                <w:lang w:val="en-GB"/>
              </w:rPr>
            </w:pPr>
            <w:r w:rsidRPr="00221992">
              <w:rPr>
                <w:sz w:val="20"/>
                <w:szCs w:val="20"/>
                <w:lang w:val="en-GB"/>
              </w:rPr>
              <w:t>New Zealand</w:t>
            </w:r>
          </w:p>
        </w:tc>
        <w:tc>
          <w:tcPr>
            <w:tcW w:w="0" w:type="dxa"/>
          </w:tcPr>
          <w:p w14:paraId="2051AFCB" w14:textId="354F6E10" w:rsidR="00652D6D" w:rsidRPr="00221992" w:rsidRDefault="00D65012" w:rsidP="00A96D42">
            <w:pPr>
              <w:pStyle w:val="TableText"/>
              <w:spacing w:before="0" w:after="0" w:line="240" w:lineRule="auto"/>
              <w:cnfStyle w:val="000000000000" w:firstRow="0" w:lastRow="0" w:firstColumn="0" w:lastColumn="0" w:oddVBand="0" w:evenVBand="0" w:oddHBand="0" w:evenHBand="0" w:firstRowFirstColumn="0" w:firstRowLastColumn="0" w:lastRowFirstColumn="0" w:lastRowLastColumn="0"/>
              <w:rPr>
                <w:sz w:val="20"/>
                <w:szCs w:val="20"/>
                <w:lang w:val="en-GB"/>
              </w:rPr>
            </w:pPr>
            <w:r w:rsidRPr="00221992">
              <w:rPr>
                <w:sz w:val="20"/>
                <w:szCs w:val="20"/>
                <w:lang w:val="en-GB"/>
              </w:rPr>
              <w:t>Not identified</w:t>
            </w:r>
            <w:r w:rsidR="00A653CD" w:rsidRPr="00221992">
              <w:rPr>
                <w:sz w:val="20"/>
                <w:szCs w:val="20"/>
                <w:lang w:val="en-GB"/>
              </w:rPr>
              <w:t xml:space="preserve">; In 2022, a rare disease strategy was announced. Discussions over definitions are ongoing </w:t>
            </w:r>
            <w:r w:rsidR="00BD5581" w:rsidRPr="00221992">
              <w:rPr>
                <w:sz w:val="20"/>
                <w:szCs w:val="20"/>
                <w:lang w:val="en-GB"/>
              </w:rPr>
              <w:fldChar w:fldCharType="begin"/>
            </w:r>
            <w:r w:rsidR="00E5265C">
              <w:rPr>
                <w:sz w:val="20"/>
                <w:szCs w:val="20"/>
                <w:lang w:val="en-GB"/>
              </w:rPr>
              <w:instrText xml:space="preserve"> ADDIN EN.CITE &lt;EndNote&gt;&lt;Cite&gt;&lt;Author&gt;Rare Disorders NZ&lt;/Author&gt;&lt;Year&gt;2023&lt;/Year&gt;&lt;RecNum&gt;648&lt;/RecNum&gt;&lt;DisplayText&gt;[126]&lt;/DisplayText&gt;&lt;record&gt;&lt;rec-number&gt;648&lt;/rec-number&gt;&lt;foreign-keys&gt;&lt;key app="EN" db-id="wzwwsfxe4peesxef95cxvrwjxts9rreasarf" timestamp="1693187668"&gt;648&lt;/key&gt;&lt;/foreign-keys&gt;&lt;ref-type name="Web Page"&gt;12&lt;/ref-type&gt;&lt;contributors&gt;&lt;authors&gt;&lt;author&gt;Rare Disorders NZ, &lt;/author&gt;&lt;/authors&gt;&lt;/contributors&gt;&lt;titles&gt;&lt;title&gt;Rare Disorders Strategy progress&lt;/title&gt;&lt;/titles&gt;&lt;number&gt;25/8/2023&lt;/number&gt;&lt;dates&gt;&lt;year&gt;2023&lt;/year&gt;&lt;/dates&gt;&lt;urls&gt;&lt;related-urls&gt;&lt;url&gt;https://www.raredisorders.org.nz/about-rare-disorders/rare-disorders-in-new-zealand/rare-disorders-strategy-progress/&lt;/url&gt;&lt;/related-urls&gt;&lt;/urls&gt;&lt;/record&gt;&lt;/Cite&gt;&lt;/EndNote&gt;</w:instrText>
            </w:r>
            <w:r w:rsidR="00BD5581" w:rsidRPr="00221992">
              <w:rPr>
                <w:sz w:val="20"/>
                <w:szCs w:val="20"/>
                <w:lang w:val="en-GB"/>
              </w:rPr>
              <w:fldChar w:fldCharType="separate"/>
            </w:r>
            <w:r w:rsidR="00E5265C">
              <w:rPr>
                <w:noProof/>
                <w:sz w:val="20"/>
                <w:szCs w:val="20"/>
                <w:lang w:val="en-GB"/>
              </w:rPr>
              <w:t>[126]</w:t>
            </w:r>
            <w:r w:rsidR="00BD5581" w:rsidRPr="00221992">
              <w:rPr>
                <w:sz w:val="20"/>
                <w:szCs w:val="20"/>
                <w:lang w:val="en-GB"/>
              </w:rPr>
              <w:fldChar w:fldCharType="end"/>
            </w:r>
            <w:r w:rsidR="00652D6D" w:rsidRPr="00221992">
              <w:rPr>
                <w:sz w:val="20"/>
                <w:szCs w:val="20"/>
                <w:lang w:val="en-GB"/>
              </w:rPr>
              <w:t>.</w:t>
            </w:r>
            <w:r w:rsidR="008A6310">
              <w:rPr>
                <w:sz w:val="20"/>
                <w:szCs w:val="20"/>
                <w:lang w:val="en-GB"/>
              </w:rPr>
              <w:t xml:space="preserve"> </w:t>
            </w:r>
          </w:p>
        </w:tc>
        <w:tc>
          <w:tcPr>
            <w:tcW w:w="0" w:type="dxa"/>
          </w:tcPr>
          <w:p w14:paraId="78D1BA76" w14:textId="77777777" w:rsidR="00D65012" w:rsidRPr="00221992" w:rsidRDefault="00D65012" w:rsidP="00A96D42">
            <w:pPr>
              <w:pStyle w:val="TableText"/>
              <w:spacing w:before="0" w:after="0" w:line="240" w:lineRule="auto"/>
              <w:cnfStyle w:val="000000000000" w:firstRow="0" w:lastRow="0" w:firstColumn="0" w:lastColumn="0" w:oddVBand="0" w:evenVBand="0" w:oddHBand="0" w:evenHBand="0" w:firstRowFirstColumn="0" w:firstRowLastColumn="0" w:lastRowFirstColumn="0" w:lastRowLastColumn="0"/>
              <w:rPr>
                <w:sz w:val="20"/>
                <w:szCs w:val="20"/>
                <w:lang w:val="en-GB"/>
              </w:rPr>
            </w:pPr>
            <w:r w:rsidRPr="00221992">
              <w:rPr>
                <w:sz w:val="20"/>
                <w:szCs w:val="20"/>
                <w:lang w:val="en-GB"/>
              </w:rPr>
              <w:t>clinically defined disorder that affects an identifiable and measurable patient population of &lt;1/50,000 in New Zealand</w:t>
            </w:r>
          </w:p>
        </w:tc>
      </w:tr>
      <w:tr w:rsidR="00D65012" w:rsidRPr="00221992" w14:paraId="79177CD5" w14:textId="77777777" w:rsidTr="00B5600E">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dxa"/>
            <w:shd w:val="clear" w:color="auto" w:fill="0076C0"/>
          </w:tcPr>
          <w:p w14:paraId="7AD61099" w14:textId="77777777" w:rsidR="00D65012" w:rsidRPr="00221992" w:rsidRDefault="00D65012" w:rsidP="00A96D42">
            <w:pPr>
              <w:pStyle w:val="TableText"/>
              <w:spacing w:before="0" w:after="0" w:line="240" w:lineRule="auto"/>
              <w:rPr>
                <w:sz w:val="20"/>
                <w:szCs w:val="20"/>
                <w:lang w:val="en-GB"/>
              </w:rPr>
            </w:pPr>
            <w:r w:rsidRPr="00221992">
              <w:rPr>
                <w:sz w:val="20"/>
                <w:szCs w:val="20"/>
                <w:lang w:val="en-GB"/>
              </w:rPr>
              <w:t>Norway</w:t>
            </w:r>
          </w:p>
        </w:tc>
        <w:tc>
          <w:tcPr>
            <w:tcW w:w="0" w:type="dxa"/>
            <w:shd w:val="clear" w:color="auto" w:fill="EFEFEF" w:themeFill="text2" w:themeFillTint="33"/>
          </w:tcPr>
          <w:p w14:paraId="0147B506" w14:textId="77777777" w:rsidR="00D65012" w:rsidRPr="00221992" w:rsidRDefault="00D65012" w:rsidP="00A96D42">
            <w:pPr>
              <w:pStyle w:val="TableText"/>
              <w:spacing w:before="0" w:after="0" w:line="240" w:lineRule="auto"/>
              <w:cnfStyle w:val="000000010000" w:firstRow="0" w:lastRow="0" w:firstColumn="0" w:lastColumn="0" w:oddVBand="0" w:evenVBand="0" w:oddHBand="0" w:evenHBand="1" w:firstRowFirstColumn="0" w:firstRowLastColumn="0" w:lastRowFirstColumn="0" w:lastRowLastColumn="0"/>
              <w:rPr>
                <w:sz w:val="20"/>
                <w:szCs w:val="20"/>
                <w:lang w:val="en-GB"/>
              </w:rPr>
            </w:pPr>
            <w:r w:rsidRPr="00221992">
              <w:rPr>
                <w:sz w:val="20"/>
                <w:szCs w:val="20"/>
                <w:lang w:val="en-GB"/>
              </w:rPr>
              <w:t>&lt;5/10,000 people as per EMA</w:t>
            </w:r>
            <w:r w:rsidRPr="00221992">
              <w:rPr>
                <w:sz w:val="20"/>
                <w:szCs w:val="20"/>
                <w:vertAlign w:val="superscript"/>
                <w:lang w:val="en-GB"/>
              </w:rPr>
              <w:t>1</w:t>
            </w:r>
          </w:p>
        </w:tc>
        <w:tc>
          <w:tcPr>
            <w:tcW w:w="0" w:type="dxa"/>
            <w:shd w:val="clear" w:color="auto" w:fill="EFEFEF" w:themeFill="text2" w:themeFillTint="33"/>
          </w:tcPr>
          <w:p w14:paraId="36F848D3" w14:textId="77777777" w:rsidR="00D65012" w:rsidRPr="00221992" w:rsidRDefault="00D65012" w:rsidP="00A96D42">
            <w:pPr>
              <w:pStyle w:val="TableText"/>
              <w:spacing w:before="0" w:after="0" w:line="240" w:lineRule="auto"/>
              <w:cnfStyle w:val="000000010000" w:firstRow="0" w:lastRow="0" w:firstColumn="0" w:lastColumn="0" w:oddVBand="0" w:evenVBand="0" w:oddHBand="0" w:evenHBand="1" w:firstRowFirstColumn="0" w:firstRowLastColumn="0" w:lastRowFirstColumn="0" w:lastRowLastColumn="0"/>
              <w:rPr>
                <w:sz w:val="20"/>
                <w:szCs w:val="20"/>
                <w:lang w:val="en-GB"/>
              </w:rPr>
            </w:pPr>
            <w:r w:rsidRPr="00221992">
              <w:rPr>
                <w:sz w:val="20"/>
                <w:szCs w:val="20"/>
                <w:lang w:val="en-GB"/>
              </w:rPr>
              <w:t>&lt;1/100,000 or fewer than 50 patients.</w:t>
            </w:r>
          </w:p>
          <w:p w14:paraId="6E0E8F7B" w14:textId="77777777" w:rsidR="00D65012" w:rsidRPr="00221992" w:rsidRDefault="00D65012" w:rsidP="00A96D42">
            <w:pPr>
              <w:pStyle w:val="TableText"/>
              <w:spacing w:before="0" w:after="0" w:line="240" w:lineRule="auto"/>
              <w:cnfStyle w:val="000000010000" w:firstRow="0" w:lastRow="0" w:firstColumn="0" w:lastColumn="0" w:oddVBand="0" w:evenVBand="0" w:oddHBand="0" w:evenHBand="1" w:firstRowFirstColumn="0" w:firstRowLastColumn="0" w:lastRowFirstColumn="0" w:lastRowLastColumn="0"/>
              <w:rPr>
                <w:sz w:val="20"/>
                <w:szCs w:val="20"/>
                <w:lang w:val="en-GB"/>
              </w:rPr>
            </w:pPr>
            <w:r w:rsidRPr="00221992">
              <w:rPr>
                <w:sz w:val="20"/>
                <w:szCs w:val="20"/>
                <w:lang w:val="en-GB"/>
              </w:rPr>
              <w:t xml:space="preserve">Extremely severe condition: absolute shortfall equals </w:t>
            </w:r>
            <w:r w:rsidRPr="00221992">
              <w:rPr>
                <w:rFonts w:cs="Calibri Light"/>
                <w:sz w:val="20"/>
                <w:szCs w:val="20"/>
                <w:lang w:val="en-GB"/>
              </w:rPr>
              <w:t>≥</w:t>
            </w:r>
            <w:r w:rsidRPr="00221992">
              <w:rPr>
                <w:sz w:val="20"/>
                <w:szCs w:val="20"/>
                <w:lang w:val="en-GB"/>
              </w:rPr>
              <w:t xml:space="preserve"> 30 good life years.</w:t>
            </w:r>
          </w:p>
          <w:p w14:paraId="3FA35C44" w14:textId="77777777" w:rsidR="00D65012" w:rsidRPr="00221992" w:rsidRDefault="00D65012" w:rsidP="00A96D42">
            <w:pPr>
              <w:pStyle w:val="TableText"/>
              <w:spacing w:before="0" w:after="0" w:line="240" w:lineRule="auto"/>
              <w:cnfStyle w:val="000000010000" w:firstRow="0" w:lastRow="0" w:firstColumn="0" w:lastColumn="0" w:oddVBand="0" w:evenVBand="0" w:oddHBand="0" w:evenHBand="1" w:firstRowFirstColumn="0" w:firstRowLastColumn="0" w:lastRowFirstColumn="0" w:lastRowLastColumn="0"/>
              <w:rPr>
                <w:sz w:val="20"/>
                <w:szCs w:val="20"/>
                <w:lang w:val="en-GB"/>
              </w:rPr>
            </w:pPr>
            <w:r w:rsidRPr="00221992">
              <w:rPr>
                <w:sz w:val="20"/>
                <w:szCs w:val="20"/>
                <w:lang w:val="en-GB"/>
              </w:rPr>
              <w:t xml:space="preserve">Considerable benefit of </w:t>
            </w:r>
            <w:r w:rsidRPr="00221992">
              <w:rPr>
                <w:rFonts w:cs="Calibri Light"/>
                <w:sz w:val="20"/>
                <w:szCs w:val="20"/>
                <w:lang w:val="en-GB"/>
              </w:rPr>
              <w:t>≥</w:t>
            </w:r>
            <w:r w:rsidRPr="00221992">
              <w:rPr>
                <w:sz w:val="20"/>
                <w:szCs w:val="20"/>
                <w:lang w:val="en-GB"/>
              </w:rPr>
              <w:t>2 gained good life years compared to standard treatment.</w:t>
            </w:r>
          </w:p>
        </w:tc>
      </w:tr>
      <w:tr w:rsidR="00D65012" w:rsidRPr="00221992" w14:paraId="38D4AE2D" w14:textId="77777777" w:rsidTr="00B5600E">
        <w:trPr>
          <w:trHeight w:val="20"/>
        </w:trPr>
        <w:tc>
          <w:tcPr>
            <w:cnfStyle w:val="001000000000" w:firstRow="0" w:lastRow="0" w:firstColumn="1" w:lastColumn="0" w:oddVBand="0" w:evenVBand="0" w:oddHBand="0" w:evenHBand="0" w:firstRowFirstColumn="0" w:firstRowLastColumn="0" w:lastRowFirstColumn="0" w:lastRowLastColumn="0"/>
            <w:tcW w:w="0" w:type="dxa"/>
            <w:shd w:val="clear" w:color="auto" w:fill="0076C0"/>
          </w:tcPr>
          <w:p w14:paraId="151CF94F" w14:textId="77777777" w:rsidR="00D65012" w:rsidRPr="00221992" w:rsidRDefault="00D65012" w:rsidP="00A96D42">
            <w:pPr>
              <w:pStyle w:val="TableText"/>
              <w:spacing w:before="0" w:after="0" w:line="240" w:lineRule="auto"/>
              <w:rPr>
                <w:sz w:val="20"/>
                <w:szCs w:val="20"/>
                <w:lang w:val="en-GB"/>
              </w:rPr>
            </w:pPr>
            <w:r w:rsidRPr="00221992">
              <w:rPr>
                <w:sz w:val="20"/>
                <w:szCs w:val="20"/>
                <w:lang w:val="en-GB"/>
              </w:rPr>
              <w:t xml:space="preserve">Scotland </w:t>
            </w:r>
          </w:p>
        </w:tc>
        <w:tc>
          <w:tcPr>
            <w:tcW w:w="0" w:type="dxa"/>
          </w:tcPr>
          <w:p w14:paraId="1394FDD4" w14:textId="77777777" w:rsidR="00D65012" w:rsidRPr="00221992" w:rsidRDefault="00D65012" w:rsidP="00A96D42">
            <w:pPr>
              <w:pStyle w:val="TableText"/>
              <w:spacing w:before="0" w:after="0" w:line="240" w:lineRule="auto"/>
              <w:cnfStyle w:val="000000000000" w:firstRow="0" w:lastRow="0" w:firstColumn="0" w:lastColumn="0" w:oddVBand="0" w:evenVBand="0" w:oddHBand="0" w:evenHBand="0" w:firstRowFirstColumn="0" w:firstRowLastColumn="0" w:lastRowFirstColumn="0" w:lastRowLastColumn="0"/>
              <w:rPr>
                <w:sz w:val="20"/>
                <w:szCs w:val="20"/>
                <w:lang w:val="en-GB"/>
              </w:rPr>
            </w:pPr>
            <w:r w:rsidRPr="00221992">
              <w:rPr>
                <w:sz w:val="20"/>
                <w:szCs w:val="20"/>
                <w:lang w:val="en-GB"/>
              </w:rPr>
              <w:t>NR, but likely &lt;1/2,000</w:t>
            </w:r>
          </w:p>
        </w:tc>
        <w:tc>
          <w:tcPr>
            <w:tcW w:w="0" w:type="dxa"/>
          </w:tcPr>
          <w:p w14:paraId="55DA7559" w14:textId="77777777" w:rsidR="00D65012" w:rsidRPr="00221992" w:rsidRDefault="00D65012" w:rsidP="00A96D42">
            <w:pPr>
              <w:pStyle w:val="TableText"/>
              <w:spacing w:before="0" w:after="0" w:line="240" w:lineRule="auto"/>
              <w:cnfStyle w:val="000000000000" w:firstRow="0" w:lastRow="0" w:firstColumn="0" w:lastColumn="0" w:oddVBand="0" w:evenVBand="0" w:oddHBand="0" w:evenHBand="0" w:firstRowFirstColumn="0" w:firstRowLastColumn="0" w:lastRowFirstColumn="0" w:lastRowLastColumn="0"/>
              <w:rPr>
                <w:sz w:val="20"/>
                <w:szCs w:val="20"/>
                <w:lang w:val="en-GB"/>
              </w:rPr>
            </w:pPr>
            <w:r w:rsidRPr="00221992">
              <w:rPr>
                <w:sz w:val="20"/>
                <w:szCs w:val="20"/>
                <w:lang w:val="en-GB"/>
              </w:rPr>
              <w:t>Ultra-orphan drug products are defined as those for a chronic and severely disabling condition affecting &lt;1/50,000 individuals</w:t>
            </w:r>
          </w:p>
        </w:tc>
      </w:tr>
      <w:tr w:rsidR="00D65012" w:rsidRPr="00221992" w14:paraId="3016895A" w14:textId="77777777" w:rsidTr="00B5600E">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061" w:type="dxa"/>
            <w:shd w:val="clear" w:color="auto" w:fill="0076C0"/>
          </w:tcPr>
          <w:p w14:paraId="522ABBD4" w14:textId="77777777" w:rsidR="00D65012" w:rsidRPr="00221992" w:rsidRDefault="00D65012" w:rsidP="00A96D42">
            <w:pPr>
              <w:pStyle w:val="TableText"/>
              <w:spacing w:before="0" w:after="0" w:line="240" w:lineRule="auto"/>
              <w:rPr>
                <w:sz w:val="20"/>
                <w:szCs w:val="20"/>
                <w:lang w:val="en-GB"/>
              </w:rPr>
            </w:pPr>
            <w:r w:rsidRPr="00221992">
              <w:rPr>
                <w:sz w:val="20"/>
                <w:szCs w:val="20"/>
                <w:lang w:val="en-GB"/>
              </w:rPr>
              <w:t>Singapore</w:t>
            </w:r>
          </w:p>
        </w:tc>
        <w:tc>
          <w:tcPr>
            <w:tcW w:w="6123" w:type="dxa"/>
            <w:gridSpan w:val="2"/>
            <w:shd w:val="clear" w:color="auto" w:fill="EFEFEF" w:themeFill="text2" w:themeFillTint="33"/>
          </w:tcPr>
          <w:p w14:paraId="4C7498CB" w14:textId="396DFEF3" w:rsidR="00D65012" w:rsidRPr="00221992" w:rsidRDefault="00652D6D" w:rsidP="00A96D42">
            <w:pPr>
              <w:pStyle w:val="TableText"/>
              <w:spacing w:before="0" w:after="0" w:line="240" w:lineRule="auto"/>
              <w:cnfStyle w:val="000000010000" w:firstRow="0" w:lastRow="0" w:firstColumn="0" w:lastColumn="0" w:oddVBand="0" w:evenVBand="0" w:oddHBand="0" w:evenHBand="1" w:firstRowFirstColumn="0" w:firstRowLastColumn="0" w:lastRowFirstColumn="0" w:lastRowLastColumn="0"/>
              <w:rPr>
                <w:sz w:val="20"/>
                <w:szCs w:val="20"/>
                <w:lang w:val="en-GB"/>
              </w:rPr>
            </w:pPr>
            <w:r w:rsidRPr="00221992">
              <w:rPr>
                <w:sz w:val="20"/>
                <w:szCs w:val="20"/>
                <w:lang w:val="en-GB"/>
              </w:rPr>
              <w:t>C</w:t>
            </w:r>
            <w:r w:rsidR="00D65012" w:rsidRPr="00221992">
              <w:rPr>
                <w:sz w:val="20"/>
                <w:szCs w:val="20"/>
                <w:lang w:val="en-GB"/>
              </w:rPr>
              <w:t>ondition that affects &lt;1/2,000 people</w:t>
            </w:r>
          </w:p>
        </w:tc>
      </w:tr>
      <w:tr w:rsidR="00D65012" w:rsidRPr="00221992" w14:paraId="692A0F5D" w14:textId="77777777" w:rsidTr="00B5600E">
        <w:trPr>
          <w:trHeight w:val="20"/>
        </w:trPr>
        <w:tc>
          <w:tcPr>
            <w:cnfStyle w:val="001000000000" w:firstRow="0" w:lastRow="0" w:firstColumn="1" w:lastColumn="0" w:oddVBand="0" w:evenVBand="0" w:oddHBand="0" w:evenHBand="0" w:firstRowFirstColumn="0" w:firstRowLastColumn="0" w:lastRowFirstColumn="0" w:lastRowLastColumn="0"/>
            <w:tcW w:w="3061" w:type="dxa"/>
            <w:shd w:val="clear" w:color="auto" w:fill="0076C0"/>
          </w:tcPr>
          <w:p w14:paraId="6BA000DC" w14:textId="77777777" w:rsidR="00D65012" w:rsidRPr="00221992" w:rsidRDefault="00D65012" w:rsidP="00A96D42">
            <w:pPr>
              <w:pStyle w:val="TableText"/>
              <w:spacing w:before="0" w:after="0" w:line="240" w:lineRule="auto"/>
              <w:rPr>
                <w:sz w:val="20"/>
                <w:szCs w:val="20"/>
                <w:lang w:val="en-GB"/>
              </w:rPr>
            </w:pPr>
            <w:r w:rsidRPr="00221992">
              <w:rPr>
                <w:sz w:val="20"/>
                <w:szCs w:val="20"/>
                <w:lang w:val="en-GB"/>
              </w:rPr>
              <w:t>Spain</w:t>
            </w:r>
          </w:p>
        </w:tc>
        <w:tc>
          <w:tcPr>
            <w:tcW w:w="6123" w:type="dxa"/>
            <w:gridSpan w:val="2"/>
          </w:tcPr>
          <w:p w14:paraId="744DD67A" w14:textId="77777777" w:rsidR="00D65012" w:rsidRPr="00221992" w:rsidRDefault="00D65012" w:rsidP="00A96D42">
            <w:pPr>
              <w:pStyle w:val="TableText"/>
              <w:spacing w:before="0" w:after="0" w:line="240" w:lineRule="auto"/>
              <w:cnfStyle w:val="000000000000" w:firstRow="0" w:lastRow="0" w:firstColumn="0" w:lastColumn="0" w:oddVBand="0" w:evenVBand="0" w:oddHBand="0" w:evenHBand="0" w:firstRowFirstColumn="0" w:firstRowLastColumn="0" w:lastRowFirstColumn="0" w:lastRowLastColumn="0"/>
              <w:rPr>
                <w:sz w:val="20"/>
                <w:szCs w:val="20"/>
                <w:lang w:val="en-GB"/>
              </w:rPr>
            </w:pPr>
            <w:r w:rsidRPr="00221992">
              <w:rPr>
                <w:sz w:val="20"/>
                <w:szCs w:val="20"/>
                <w:lang w:val="en-GB"/>
              </w:rPr>
              <w:t>&lt;5/10,000 people as per EMA</w:t>
            </w:r>
            <w:r w:rsidRPr="00221992">
              <w:rPr>
                <w:sz w:val="20"/>
                <w:szCs w:val="20"/>
                <w:vertAlign w:val="superscript"/>
                <w:lang w:val="en-GB"/>
              </w:rPr>
              <w:t>1</w:t>
            </w:r>
          </w:p>
        </w:tc>
      </w:tr>
      <w:tr w:rsidR="00D65012" w:rsidRPr="00221992" w14:paraId="197321D8" w14:textId="77777777" w:rsidTr="00B5600E">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dxa"/>
            <w:shd w:val="clear" w:color="auto" w:fill="0076C0"/>
          </w:tcPr>
          <w:p w14:paraId="0D9C452B" w14:textId="77777777" w:rsidR="00D65012" w:rsidRPr="00221992" w:rsidRDefault="00D65012" w:rsidP="00E2727C">
            <w:pPr>
              <w:pStyle w:val="TableText"/>
              <w:keepNext/>
              <w:keepLines/>
              <w:spacing w:before="0" w:after="0" w:line="240" w:lineRule="auto"/>
              <w:rPr>
                <w:sz w:val="20"/>
                <w:szCs w:val="20"/>
                <w:lang w:val="en-GB"/>
              </w:rPr>
            </w:pPr>
            <w:r w:rsidRPr="00221992">
              <w:rPr>
                <w:sz w:val="20"/>
                <w:szCs w:val="20"/>
                <w:lang w:val="en-GB"/>
              </w:rPr>
              <w:t>Sweden</w:t>
            </w:r>
          </w:p>
        </w:tc>
        <w:tc>
          <w:tcPr>
            <w:tcW w:w="0" w:type="dxa"/>
            <w:shd w:val="clear" w:color="auto" w:fill="EFEFEF" w:themeFill="text2" w:themeFillTint="33"/>
          </w:tcPr>
          <w:p w14:paraId="3F16490E" w14:textId="77777777" w:rsidR="00D65012" w:rsidRPr="00221992" w:rsidRDefault="00D65012" w:rsidP="00E2727C">
            <w:pPr>
              <w:pStyle w:val="TableText"/>
              <w:keepNext/>
              <w:keepLines/>
              <w:spacing w:before="0" w:after="0" w:line="240" w:lineRule="auto"/>
              <w:cnfStyle w:val="000000010000" w:firstRow="0" w:lastRow="0" w:firstColumn="0" w:lastColumn="0" w:oddVBand="0" w:evenVBand="0" w:oddHBand="0" w:evenHBand="1" w:firstRowFirstColumn="0" w:firstRowLastColumn="0" w:lastRowFirstColumn="0" w:lastRowLastColumn="0"/>
              <w:rPr>
                <w:sz w:val="20"/>
                <w:szCs w:val="20"/>
                <w:lang w:val="en-GB"/>
              </w:rPr>
            </w:pPr>
            <w:r w:rsidRPr="00221992">
              <w:rPr>
                <w:sz w:val="20"/>
                <w:szCs w:val="20"/>
                <w:lang w:val="en-GB"/>
              </w:rPr>
              <w:t>&lt;5/10,000 people as per EMA</w:t>
            </w:r>
            <w:r w:rsidRPr="00221992">
              <w:rPr>
                <w:sz w:val="20"/>
                <w:szCs w:val="20"/>
                <w:vertAlign w:val="superscript"/>
                <w:lang w:val="en-GB"/>
              </w:rPr>
              <w:t>1</w:t>
            </w:r>
          </w:p>
        </w:tc>
        <w:tc>
          <w:tcPr>
            <w:tcW w:w="0" w:type="dxa"/>
            <w:shd w:val="clear" w:color="auto" w:fill="EFEFEF" w:themeFill="text2" w:themeFillTint="33"/>
          </w:tcPr>
          <w:p w14:paraId="54FD6E09" w14:textId="77777777" w:rsidR="00D65012" w:rsidRPr="00221992" w:rsidRDefault="00D65012" w:rsidP="00E2727C">
            <w:pPr>
              <w:pStyle w:val="TableText"/>
              <w:keepNext/>
              <w:keepLines/>
              <w:spacing w:before="0" w:after="0" w:line="240" w:lineRule="auto"/>
              <w:cnfStyle w:val="000000010000" w:firstRow="0" w:lastRow="0" w:firstColumn="0" w:lastColumn="0" w:oddVBand="0" w:evenVBand="0" w:oddHBand="0" w:evenHBand="1" w:firstRowFirstColumn="0" w:firstRowLastColumn="0" w:lastRowFirstColumn="0" w:lastRowLastColumn="0"/>
              <w:rPr>
                <w:sz w:val="20"/>
                <w:szCs w:val="20"/>
                <w:lang w:val="en-GB"/>
              </w:rPr>
            </w:pPr>
            <w:r w:rsidRPr="00221992">
              <w:rPr>
                <w:sz w:val="20"/>
                <w:szCs w:val="20"/>
                <w:lang w:val="en-GB"/>
              </w:rPr>
              <w:t>&lt;1/10,000 people</w:t>
            </w:r>
          </w:p>
        </w:tc>
      </w:tr>
      <w:tr w:rsidR="00D65012" w:rsidRPr="00221992" w14:paraId="3FB4857B" w14:textId="77777777" w:rsidTr="00B5600E">
        <w:trPr>
          <w:trHeight w:val="20"/>
        </w:trPr>
        <w:tc>
          <w:tcPr>
            <w:cnfStyle w:val="001000000000" w:firstRow="0" w:lastRow="0" w:firstColumn="1" w:lastColumn="0" w:oddVBand="0" w:evenVBand="0" w:oddHBand="0" w:evenHBand="0" w:firstRowFirstColumn="0" w:firstRowLastColumn="0" w:lastRowFirstColumn="0" w:lastRowLastColumn="0"/>
            <w:tcW w:w="0" w:type="dxa"/>
            <w:shd w:val="clear" w:color="auto" w:fill="0076C0"/>
          </w:tcPr>
          <w:p w14:paraId="70E61563" w14:textId="77777777" w:rsidR="00D65012" w:rsidRPr="00221992" w:rsidRDefault="00D65012" w:rsidP="00E2727C">
            <w:pPr>
              <w:pStyle w:val="TableText"/>
              <w:keepNext/>
              <w:keepLines/>
              <w:spacing w:before="0" w:after="0" w:line="240" w:lineRule="auto"/>
              <w:rPr>
                <w:sz w:val="20"/>
                <w:szCs w:val="20"/>
                <w:lang w:val="en-GB"/>
              </w:rPr>
            </w:pPr>
            <w:r w:rsidRPr="00221992">
              <w:rPr>
                <w:sz w:val="20"/>
                <w:szCs w:val="20"/>
                <w:lang w:val="en-GB"/>
              </w:rPr>
              <w:t>Taiwan</w:t>
            </w:r>
          </w:p>
        </w:tc>
        <w:tc>
          <w:tcPr>
            <w:tcW w:w="0" w:type="dxa"/>
            <w:gridSpan w:val="2"/>
          </w:tcPr>
          <w:p w14:paraId="45CF6077" w14:textId="36DD5510" w:rsidR="00D65012" w:rsidRPr="00221992" w:rsidRDefault="00D65012" w:rsidP="00E2727C">
            <w:pPr>
              <w:pStyle w:val="TableText"/>
              <w:keepNext/>
              <w:keepLines/>
              <w:spacing w:before="0" w:after="0" w:line="240" w:lineRule="auto"/>
              <w:cnfStyle w:val="000000000000" w:firstRow="0" w:lastRow="0" w:firstColumn="0" w:lastColumn="0" w:oddVBand="0" w:evenVBand="0" w:oddHBand="0" w:evenHBand="0" w:firstRowFirstColumn="0" w:firstRowLastColumn="0" w:lastRowFirstColumn="0" w:lastRowLastColumn="0"/>
              <w:rPr>
                <w:sz w:val="20"/>
                <w:szCs w:val="20"/>
                <w:lang w:val="en-GB"/>
              </w:rPr>
            </w:pPr>
            <w:r w:rsidRPr="00221992">
              <w:rPr>
                <w:sz w:val="20"/>
                <w:szCs w:val="20"/>
                <w:lang w:val="en-GB"/>
              </w:rPr>
              <w:t>Taiwan rare disease and orphan drug act: (a) life-threatening or chronically debilitating condition affecting &lt;5/10,000 people (a) serious and chronic condition unlikely to generate sufficient return to justify the investment; AND (b) no other active treatment available.</w:t>
            </w:r>
            <w:r w:rsidR="008A6310">
              <w:rPr>
                <w:sz w:val="20"/>
                <w:szCs w:val="20"/>
                <w:lang w:val="en-GB"/>
              </w:rPr>
              <w:t xml:space="preserve"> </w:t>
            </w:r>
            <w:r w:rsidRPr="00221992">
              <w:rPr>
                <w:sz w:val="20"/>
                <w:szCs w:val="20"/>
                <w:lang w:val="en-GB"/>
              </w:rPr>
              <w:t>Excludes diseases caused by external factors, acquired factors or cancer.</w:t>
            </w:r>
            <w:r w:rsidR="008A6310">
              <w:rPr>
                <w:sz w:val="20"/>
                <w:szCs w:val="20"/>
                <w:lang w:val="en-GB"/>
              </w:rPr>
              <w:t xml:space="preserve"> </w:t>
            </w:r>
          </w:p>
        </w:tc>
      </w:tr>
    </w:tbl>
    <w:p w14:paraId="0B7187C5" w14:textId="7CBC26A5" w:rsidR="00D65012" w:rsidRPr="00221992" w:rsidRDefault="00D33F43" w:rsidP="00533CF1">
      <w:pPr>
        <w:pStyle w:val="TableNotes"/>
        <w:rPr>
          <w:lang w:val="en-GB"/>
        </w:rPr>
      </w:pPr>
      <w:r w:rsidRPr="00221992">
        <w:rPr>
          <w:lang w:val="en-GB"/>
        </w:rPr>
        <w:t>Acronyms:</w:t>
      </w:r>
      <w:r w:rsidRPr="00221992">
        <w:rPr>
          <w:lang w:val="en-GB"/>
        </w:rPr>
        <w:tab/>
      </w:r>
      <w:r w:rsidR="00D65012" w:rsidRPr="00221992">
        <w:rPr>
          <w:lang w:val="en-GB"/>
        </w:rPr>
        <w:t>EMA, European Medicine Agency</w:t>
      </w:r>
      <w:r w:rsidR="00B5600E" w:rsidRPr="00221992">
        <w:rPr>
          <w:lang w:val="en-GB"/>
        </w:rPr>
        <w:t>;</w:t>
      </w:r>
      <w:r w:rsidR="00D65012" w:rsidRPr="00221992">
        <w:rPr>
          <w:lang w:val="en-GB"/>
        </w:rPr>
        <w:t xml:space="preserve"> </w:t>
      </w:r>
      <w:r w:rsidR="006E127E" w:rsidRPr="00221992">
        <w:rPr>
          <w:lang w:val="en-GB"/>
        </w:rPr>
        <w:t xml:space="preserve">LSDP, Life Saving Drug Program; </w:t>
      </w:r>
      <w:r w:rsidR="00D65012" w:rsidRPr="00221992">
        <w:rPr>
          <w:lang w:val="en-GB"/>
        </w:rPr>
        <w:t>NR, not reported</w:t>
      </w:r>
    </w:p>
    <w:p w14:paraId="1D723A01" w14:textId="11A31CB6" w:rsidR="00D65012" w:rsidRPr="00221992" w:rsidRDefault="00D33F43" w:rsidP="00533CF1">
      <w:pPr>
        <w:pStyle w:val="TableNotes"/>
        <w:rPr>
          <w:lang w:val="en-GB"/>
        </w:rPr>
      </w:pPr>
      <w:r w:rsidRPr="00221992">
        <w:rPr>
          <w:lang w:val="en-GB"/>
        </w:rPr>
        <w:t>Notes:</w:t>
      </w:r>
      <w:r w:rsidRPr="00221992">
        <w:rPr>
          <w:lang w:val="en-GB"/>
        </w:rPr>
        <w:tab/>
      </w:r>
      <w:r w:rsidR="00D65012" w:rsidRPr="00221992">
        <w:rPr>
          <w:vertAlign w:val="superscript"/>
          <w:lang w:val="en-GB"/>
        </w:rPr>
        <w:t xml:space="preserve">1 </w:t>
      </w:r>
      <w:r w:rsidR="00D65012" w:rsidRPr="00221992">
        <w:rPr>
          <w:lang w:val="en-GB"/>
        </w:rPr>
        <w:t>Rare diseases are defined as life-threatening or chronic conditions (long-term conditions that have a significant impact on daily living). They affect no more than 5 in 10,000 people in the EU.</w:t>
      </w:r>
    </w:p>
    <w:p w14:paraId="4227FCFF" w14:textId="301A1CEE" w:rsidR="00D65012" w:rsidRPr="00221992" w:rsidRDefault="00D65012" w:rsidP="0046642D">
      <w:pPr>
        <w:rPr>
          <w:lang w:val="en-GB"/>
        </w:rPr>
      </w:pPr>
      <w:r w:rsidRPr="00221992">
        <w:rPr>
          <w:lang w:val="en-GB"/>
        </w:rPr>
        <w:t xml:space="preserve">In Singapore and New Zealand, eligibility criteria for </w:t>
      </w:r>
      <w:r w:rsidR="00A811D9">
        <w:rPr>
          <w:lang w:val="en-GB"/>
        </w:rPr>
        <w:t>orphan drug designation</w:t>
      </w:r>
      <w:r w:rsidRPr="00221992">
        <w:rPr>
          <w:lang w:val="en-GB"/>
        </w:rPr>
        <w:t xml:space="preserve"> are very similar, namely: </w:t>
      </w:r>
      <w:r w:rsidR="00652D6D" w:rsidRPr="00221992">
        <w:rPr>
          <w:lang w:val="en-GB"/>
        </w:rPr>
        <w:t xml:space="preserve">1) </w:t>
      </w:r>
      <w:r w:rsidR="00A811D9">
        <w:rPr>
          <w:lang w:val="en-GB"/>
        </w:rPr>
        <w:t xml:space="preserve">treatment has </w:t>
      </w:r>
      <w:r w:rsidRPr="00221992">
        <w:rPr>
          <w:lang w:val="en-GB"/>
        </w:rPr>
        <w:t xml:space="preserve">local or international regulatory approval </w:t>
      </w:r>
      <w:r w:rsidR="00A811D9">
        <w:rPr>
          <w:lang w:val="en-GB"/>
        </w:rPr>
        <w:t>(</w:t>
      </w:r>
      <w:r w:rsidRPr="00221992">
        <w:rPr>
          <w:lang w:val="en-GB"/>
        </w:rPr>
        <w:t>noting that New Zealand requires Medsafe approval prior to listing</w:t>
      </w:r>
      <w:r w:rsidR="00A811D9">
        <w:rPr>
          <w:lang w:val="en-GB"/>
        </w:rPr>
        <w:t>)</w:t>
      </w:r>
      <w:r w:rsidRPr="00221992">
        <w:rPr>
          <w:lang w:val="en-GB"/>
        </w:rPr>
        <w:t>; 2</w:t>
      </w:r>
      <w:r w:rsidR="00086332" w:rsidRPr="00221992">
        <w:rPr>
          <w:lang w:val="en-GB"/>
        </w:rPr>
        <w:t>)</w:t>
      </w:r>
      <w:r w:rsidRPr="00221992">
        <w:rPr>
          <w:lang w:val="en-GB"/>
        </w:rPr>
        <w:t xml:space="preserve"> disorder is clinically defined affecting an identifiable and measurable patient population of &lt;1/ 50,000 in New Zealand or &lt;1,600 people in Singapore; </w:t>
      </w:r>
      <w:r w:rsidR="00086332" w:rsidRPr="00221992">
        <w:rPr>
          <w:lang w:val="en-GB"/>
        </w:rPr>
        <w:t xml:space="preserve">and </w:t>
      </w:r>
      <w:r w:rsidRPr="00221992">
        <w:rPr>
          <w:lang w:val="en-GB"/>
        </w:rPr>
        <w:t>3</w:t>
      </w:r>
      <w:r w:rsidR="00086332" w:rsidRPr="00221992">
        <w:rPr>
          <w:lang w:val="en-GB"/>
        </w:rPr>
        <w:t>)</w:t>
      </w:r>
      <w:r w:rsidRPr="00221992">
        <w:rPr>
          <w:lang w:val="en-GB"/>
        </w:rPr>
        <w:t xml:space="preserve"> if regulatory approval is granted for a different indication (or is part of phase three clinical trials for other disorders), the cumulative prevalence falls below the threshold. In addition, </w:t>
      </w:r>
      <w:r w:rsidR="006E127E" w:rsidRPr="00221992">
        <w:rPr>
          <w:lang w:val="en-GB"/>
        </w:rPr>
        <w:t xml:space="preserve">this includes </w:t>
      </w:r>
      <w:r w:rsidRPr="00221992">
        <w:rPr>
          <w:lang w:val="en-GB"/>
        </w:rPr>
        <w:t>diseases</w:t>
      </w:r>
      <w:r w:rsidR="006E127E" w:rsidRPr="00221992">
        <w:rPr>
          <w:lang w:val="en-GB"/>
        </w:rPr>
        <w:t xml:space="preserve"> that</w:t>
      </w:r>
      <w:r w:rsidRPr="00221992">
        <w:rPr>
          <w:lang w:val="en-GB"/>
        </w:rPr>
        <w:t xml:space="preserve"> reduce life expectancy or quality of life </w:t>
      </w:r>
      <w:r w:rsidR="00D34600">
        <w:rPr>
          <w:lang w:val="en-GB"/>
        </w:rPr>
        <w:t xml:space="preserve">(QoL) </w:t>
      </w:r>
      <w:r w:rsidRPr="00221992">
        <w:rPr>
          <w:lang w:val="en-GB"/>
        </w:rPr>
        <w:t xml:space="preserve">and the drug shows substantial improvement in life expectancy or QoL in a patient population with no other treatment available. </w:t>
      </w:r>
      <w:r w:rsidR="006E127E" w:rsidRPr="00221992">
        <w:rPr>
          <w:lang w:val="en-GB"/>
        </w:rPr>
        <w:t>A</w:t>
      </w:r>
      <w:r w:rsidRPr="00221992">
        <w:rPr>
          <w:lang w:val="en-GB"/>
        </w:rPr>
        <w:t>s in New Zealand, Australia, Scotland and England</w:t>
      </w:r>
      <w:r w:rsidR="00213502" w:rsidRPr="00221992">
        <w:rPr>
          <w:lang w:val="en-GB"/>
        </w:rPr>
        <w:t>/</w:t>
      </w:r>
      <w:r w:rsidRPr="00221992">
        <w:rPr>
          <w:lang w:val="en-GB"/>
        </w:rPr>
        <w:t>Wales have access pathway</w:t>
      </w:r>
      <w:r w:rsidR="00D34600">
        <w:rPr>
          <w:lang w:val="en-GB"/>
        </w:rPr>
        <w:t>s</w:t>
      </w:r>
      <w:r w:rsidRPr="00221992">
        <w:rPr>
          <w:lang w:val="en-GB"/>
        </w:rPr>
        <w:t xml:space="preserve"> designed for ultra-rare conditions </w:t>
      </w:r>
      <w:r w:rsidR="00D34600">
        <w:rPr>
          <w:lang w:val="en-GB"/>
        </w:rPr>
        <w:t>with</w:t>
      </w:r>
      <w:r w:rsidRPr="00221992">
        <w:rPr>
          <w:lang w:val="en-GB"/>
        </w:rPr>
        <w:t xml:space="preserve"> a prevalence of &lt;1/50,000 people. A more restrictive definition was identified in Norway (&lt;1/100,000 people) and less restrictive definition</w:t>
      </w:r>
      <w:r w:rsidR="006E127E" w:rsidRPr="00221992">
        <w:rPr>
          <w:lang w:val="en-GB"/>
        </w:rPr>
        <w:t>s</w:t>
      </w:r>
      <w:r w:rsidRPr="00221992">
        <w:rPr>
          <w:lang w:val="en-GB"/>
        </w:rPr>
        <w:t xml:space="preserve"> in Sweden (&lt;1/10,000 people) and in Japan (&lt;4/10,000 people) compared to Australia. </w:t>
      </w:r>
      <w:r w:rsidR="00793EE5" w:rsidRPr="00793EE5">
        <w:rPr>
          <w:lang w:val="en-GB"/>
        </w:rPr>
        <w:t xml:space="preserve">Internationally, the criteria used to determine eligibility for accessing therapies for ultra-rare diseases vary </w:t>
      </w:r>
      <w:r w:rsidR="00037458">
        <w:rPr>
          <w:lang w:val="en-GB"/>
        </w:rPr>
        <w:t xml:space="preserve">by jurisdiction </w:t>
      </w:r>
      <w:r w:rsidR="00793EE5" w:rsidRPr="00793EE5">
        <w:rPr>
          <w:lang w:val="en-GB"/>
        </w:rPr>
        <w:t xml:space="preserve">and are not </w:t>
      </w:r>
      <w:r w:rsidR="00037458">
        <w:rPr>
          <w:lang w:val="en-GB"/>
        </w:rPr>
        <w:t>necessarily</w:t>
      </w:r>
      <w:r w:rsidR="00793EE5" w:rsidRPr="00793EE5">
        <w:rPr>
          <w:lang w:val="en-GB"/>
        </w:rPr>
        <w:t xml:space="preserve"> limited to low </w:t>
      </w:r>
      <w:r w:rsidR="00037458">
        <w:rPr>
          <w:lang w:val="en-GB"/>
        </w:rPr>
        <w:t xml:space="preserve">disease </w:t>
      </w:r>
      <w:r w:rsidR="00793EE5" w:rsidRPr="00793EE5">
        <w:rPr>
          <w:lang w:val="en-GB"/>
        </w:rPr>
        <w:t xml:space="preserve">prevalence. In contrast to </w:t>
      </w:r>
      <w:r w:rsidR="00037458">
        <w:rPr>
          <w:lang w:val="en-GB"/>
        </w:rPr>
        <w:t>pathways available in</w:t>
      </w:r>
      <w:r w:rsidR="00793EE5" w:rsidRPr="00793EE5">
        <w:rPr>
          <w:lang w:val="en-GB"/>
        </w:rPr>
        <w:t xml:space="preserve"> New Zealand, England and Scotland,</w:t>
      </w:r>
      <w:r w:rsidR="00037458">
        <w:rPr>
          <w:lang w:val="en-GB"/>
        </w:rPr>
        <w:t xml:space="preserve"> for example, Australia’s</w:t>
      </w:r>
      <w:r w:rsidR="00793EE5" w:rsidRPr="00793EE5">
        <w:rPr>
          <w:lang w:val="en-GB"/>
        </w:rPr>
        <w:t xml:space="preserve"> LSDP require</w:t>
      </w:r>
      <w:r w:rsidR="00037458">
        <w:rPr>
          <w:lang w:val="en-GB"/>
        </w:rPr>
        <w:t>s</w:t>
      </w:r>
      <w:r w:rsidR="00793EE5" w:rsidRPr="00793EE5">
        <w:rPr>
          <w:lang w:val="en-GB"/>
        </w:rPr>
        <w:t xml:space="preserve"> that the treatment be considered </w:t>
      </w:r>
      <w:r w:rsidR="00037458">
        <w:rPr>
          <w:lang w:val="en-GB"/>
        </w:rPr>
        <w:t xml:space="preserve">both </w:t>
      </w:r>
      <w:r w:rsidR="00793EE5" w:rsidRPr="00793EE5">
        <w:rPr>
          <w:lang w:val="en-GB"/>
        </w:rPr>
        <w:t xml:space="preserve">clinically effective </w:t>
      </w:r>
      <w:r w:rsidR="00037458">
        <w:rPr>
          <w:lang w:val="en-GB"/>
        </w:rPr>
        <w:t xml:space="preserve">and </w:t>
      </w:r>
      <w:r w:rsidR="00793EE5" w:rsidRPr="00793EE5">
        <w:rPr>
          <w:lang w:val="en-GB"/>
        </w:rPr>
        <w:t>likely to extend the patient</w:t>
      </w:r>
      <w:r w:rsidR="00037458">
        <w:rPr>
          <w:lang w:val="en-GB"/>
        </w:rPr>
        <w:t>’</w:t>
      </w:r>
      <w:r w:rsidR="00793EE5" w:rsidRPr="00793EE5">
        <w:rPr>
          <w:lang w:val="en-GB"/>
        </w:rPr>
        <w:t xml:space="preserve">s lifespan. </w:t>
      </w:r>
      <w:r w:rsidR="00037458">
        <w:rPr>
          <w:lang w:val="en-GB"/>
        </w:rPr>
        <w:t>In this regard, the LSDP may be considered a more restrictive pathway relative to its corollaries in some comparable international jurisdictions</w:t>
      </w:r>
      <w:r w:rsidR="00793EE5" w:rsidRPr="00793EE5">
        <w:rPr>
          <w:lang w:val="en-GB"/>
        </w:rPr>
        <w:t>.</w:t>
      </w:r>
    </w:p>
    <w:p w14:paraId="5911A87B" w14:textId="24D7ACF3" w:rsidR="002E3198" w:rsidRPr="00221992" w:rsidRDefault="00D65012" w:rsidP="0046642D">
      <w:pPr>
        <w:rPr>
          <w:lang w:val="en-GB"/>
        </w:rPr>
      </w:pPr>
      <w:r w:rsidRPr="00221992">
        <w:rPr>
          <w:lang w:val="en-GB"/>
        </w:rPr>
        <w:t>In Taiwan, the target population eligible for funds specifically dedicated for rare diseases is defined in the Taiwan rare disease and orphan drug act (2000)</w:t>
      </w:r>
      <w:r w:rsidR="002852DD" w:rsidRPr="00221992">
        <w:rPr>
          <w:lang w:val="en-GB"/>
        </w:rPr>
        <w:t xml:space="preserve"> </w:t>
      </w:r>
      <w:r w:rsidR="002852DD" w:rsidRPr="00221992">
        <w:rPr>
          <w:lang w:val="en-GB"/>
        </w:rPr>
        <w:fldChar w:fldCharType="begin"/>
      </w:r>
      <w:r w:rsidR="00E5265C">
        <w:rPr>
          <w:lang w:val="en-GB"/>
        </w:rPr>
        <w:instrText xml:space="preserve"> ADDIN EN.CITE &lt;EndNote&gt;&lt;Cite&gt;&lt;Author&gt;Hsiang&lt;/Author&gt;&lt;Year&gt;2021&lt;/Year&gt;&lt;RecNum&gt;613&lt;/RecNum&gt;&lt;DisplayText&gt;[127]&lt;/DisplayText&gt;&lt;record&gt;&lt;rec-number&gt;613&lt;/rec-number&gt;&lt;foreign-keys&gt;&lt;key app="EN" db-id="wzwwsfxe4peesxef95cxvrwjxts9rreasarf" timestamp="1692754380"&gt;613&lt;/key&gt;&lt;/foreign-keys&gt;&lt;ref-type name="Journal Article"&gt;17&lt;/ref-type&gt;&lt;contributors&gt;&lt;authors&gt;&lt;author&gt;Hsiang, Ning-Chun&lt;/author&gt;&lt;author&gt;Huang, Weng-Foung&lt;/author&gt;&lt;author&gt;Gau, Churn-Shiouh&lt;/author&gt;&lt;author&gt;Tsai, Teng-Wen&lt;/author&gt;&lt;author&gt;Chang, Lin-Chau&lt;/author&gt;&lt;/authors&gt;&lt;/contributors&gt;&lt;titles&gt;&lt;title&gt;The impact of the rare disease and Orphan Drug Act in Taiwan&lt;/title&gt;&lt;secondary-title&gt;Journal of Food and Drug Analysis&lt;/secondary-title&gt;&lt;/titles&gt;&lt;periodical&gt;&lt;full-title&gt;Journal of Food and Drug Analysis&lt;/full-title&gt;&lt;/periodical&gt;&lt;pages&gt;717&lt;/pages&gt;&lt;volume&gt;29&lt;/volume&gt;&lt;number&gt;4&lt;/number&gt;&lt;dates&gt;&lt;year&gt;2021&lt;/year&gt;&lt;/dates&gt;&lt;urls&gt;&lt;/urls&gt;&lt;/record&gt;&lt;/Cite&gt;&lt;/EndNote&gt;</w:instrText>
      </w:r>
      <w:r w:rsidR="002852DD" w:rsidRPr="00221992">
        <w:rPr>
          <w:lang w:val="en-GB"/>
        </w:rPr>
        <w:fldChar w:fldCharType="separate"/>
      </w:r>
      <w:r w:rsidR="00E5265C">
        <w:rPr>
          <w:noProof/>
          <w:lang w:val="en-GB"/>
        </w:rPr>
        <w:t>[127]</w:t>
      </w:r>
      <w:r w:rsidR="002852DD" w:rsidRPr="00221992">
        <w:rPr>
          <w:lang w:val="en-GB"/>
        </w:rPr>
        <w:fldChar w:fldCharType="end"/>
      </w:r>
      <w:r w:rsidR="002852DD" w:rsidRPr="00221992">
        <w:rPr>
          <w:lang w:val="en-GB"/>
        </w:rPr>
        <w:t>.</w:t>
      </w:r>
      <w:r w:rsidRPr="00221992">
        <w:rPr>
          <w:lang w:val="en-GB"/>
        </w:rPr>
        <w:t xml:space="preserve"> The condition must be life-threatening or chronically debilitating</w:t>
      </w:r>
      <w:r w:rsidR="00386657">
        <w:rPr>
          <w:lang w:val="en-GB"/>
        </w:rPr>
        <w:t>,</w:t>
      </w:r>
      <w:r w:rsidRPr="00221992">
        <w:rPr>
          <w:lang w:val="en-GB"/>
        </w:rPr>
        <w:t xml:space="preserve"> affecting &lt;5/10,000 people </w:t>
      </w:r>
      <w:r w:rsidR="00386657">
        <w:rPr>
          <w:lang w:val="en-GB"/>
        </w:rPr>
        <w:t xml:space="preserve">and </w:t>
      </w:r>
      <w:r w:rsidRPr="00221992">
        <w:rPr>
          <w:lang w:val="en-GB"/>
        </w:rPr>
        <w:t>(a)</w:t>
      </w:r>
      <w:r w:rsidR="00386657">
        <w:rPr>
          <w:lang w:val="en-GB"/>
        </w:rPr>
        <w:t xml:space="preserve"> be</w:t>
      </w:r>
      <w:r w:rsidRPr="00221992">
        <w:rPr>
          <w:lang w:val="en-GB"/>
        </w:rPr>
        <w:t xml:space="preserve"> unlikely to generate sufficient </w:t>
      </w:r>
      <w:r w:rsidR="00386657">
        <w:rPr>
          <w:lang w:val="en-GB"/>
        </w:rPr>
        <w:t xml:space="preserve">financial </w:t>
      </w:r>
      <w:r w:rsidRPr="00221992">
        <w:rPr>
          <w:lang w:val="en-GB"/>
        </w:rPr>
        <w:t xml:space="preserve">return to justify investment; AND (b) </w:t>
      </w:r>
      <w:r w:rsidR="00386657">
        <w:rPr>
          <w:lang w:val="en-GB"/>
        </w:rPr>
        <w:t xml:space="preserve">have </w:t>
      </w:r>
      <w:r w:rsidRPr="00221992">
        <w:rPr>
          <w:lang w:val="en-GB"/>
        </w:rPr>
        <w:t>no other active treatment available. The act excludes diseases/harm due to external factors (</w:t>
      </w:r>
      <w:r w:rsidR="00386657">
        <w:rPr>
          <w:lang w:val="en-GB"/>
        </w:rPr>
        <w:t xml:space="preserve">e.g., </w:t>
      </w:r>
      <w:r w:rsidRPr="00221992">
        <w:rPr>
          <w:lang w:val="en-GB"/>
        </w:rPr>
        <w:t>traffic accidents, public hazards</w:t>
      </w:r>
      <w:r w:rsidR="00386657">
        <w:rPr>
          <w:lang w:val="en-GB"/>
        </w:rPr>
        <w:t>,</w:t>
      </w:r>
      <w:r w:rsidRPr="00221992">
        <w:rPr>
          <w:lang w:val="en-GB"/>
        </w:rPr>
        <w:t xml:space="preserve"> food poisoning) </w:t>
      </w:r>
      <w:r w:rsidR="00386657">
        <w:rPr>
          <w:lang w:val="en-GB"/>
        </w:rPr>
        <w:t>and</w:t>
      </w:r>
      <w:r w:rsidR="00386657" w:rsidRPr="00221992">
        <w:rPr>
          <w:lang w:val="en-GB"/>
        </w:rPr>
        <w:t xml:space="preserve"> </w:t>
      </w:r>
      <w:r w:rsidRPr="00221992">
        <w:rPr>
          <w:lang w:val="en-GB"/>
        </w:rPr>
        <w:t>acquired factors (</w:t>
      </w:r>
      <w:r w:rsidR="008A3C46">
        <w:rPr>
          <w:lang w:val="en-GB"/>
        </w:rPr>
        <w:t>e.</w:t>
      </w:r>
      <w:r w:rsidR="00386657">
        <w:rPr>
          <w:lang w:val="en-GB"/>
        </w:rPr>
        <w:t>g.</w:t>
      </w:r>
      <w:r w:rsidR="008A3C46">
        <w:rPr>
          <w:lang w:val="en-GB"/>
        </w:rPr>
        <w:t xml:space="preserve">, </w:t>
      </w:r>
      <w:r w:rsidRPr="00221992">
        <w:rPr>
          <w:lang w:val="en-GB"/>
        </w:rPr>
        <w:t>infectious diseases, acquired immune diseases) and cancers</w:t>
      </w:r>
      <w:r w:rsidR="000136CF" w:rsidRPr="00221992">
        <w:rPr>
          <w:lang w:val="en-GB"/>
        </w:rPr>
        <w:t xml:space="preserve"> </w:t>
      </w:r>
      <w:r w:rsidRPr="00221992">
        <w:rPr>
          <w:lang w:val="en-GB"/>
        </w:rPr>
        <w:fldChar w:fldCharType="begin"/>
      </w:r>
      <w:r w:rsidR="00E5265C">
        <w:rPr>
          <w:lang w:val="en-GB"/>
        </w:rPr>
        <w:instrText xml:space="preserve"> ADDIN EN.CITE &lt;EndNote&gt;&lt;Cite ExcludeYear="1"&gt;&lt;Author&gt;Taiwan Foundation for rare diseases&lt;/Author&gt;&lt;RecNum&gt;517&lt;/RecNum&gt;&lt;DisplayText&gt;[128]&lt;/DisplayText&gt;&lt;record&gt;&lt;rec-number&gt;517&lt;/rec-number&gt;&lt;foreign-keys&gt;&lt;key app="EN" db-id="wzwwsfxe4peesxef95cxvrwjxts9rreasarf" timestamp="1692751953"&gt;517&lt;/key&gt;&lt;/foreign-keys&gt;&lt;ref-type name="Web Page"&gt;12&lt;/ref-type&gt;&lt;contributors&gt;&lt;authors&gt;&lt;author&gt;Taiwan Foundation for rare diseases,&lt;/author&gt;&lt;/authors&gt;&lt;/contributors&gt;&lt;titles&gt;&lt;title&gt;Rare Diseases&lt;/title&gt;&lt;/titles&gt;&lt;volume&gt;2023&lt;/volume&gt;&lt;number&gt;25/07/2023&lt;/number&gt;&lt;dates&gt;&lt;/dates&gt;&lt;urls&gt;&lt;related-urls&gt;&lt;url&gt;https://www.tfrd2.org.tw/tfrd_eng/index.php/rd1&lt;/url&gt;&lt;/related-urls&gt;&lt;/urls&gt;&lt;/record&gt;&lt;/Cite&gt;&lt;/EndNote&gt;</w:instrText>
      </w:r>
      <w:r w:rsidRPr="00221992">
        <w:rPr>
          <w:lang w:val="en-GB"/>
        </w:rPr>
        <w:fldChar w:fldCharType="separate"/>
      </w:r>
      <w:r w:rsidR="00E5265C">
        <w:rPr>
          <w:noProof/>
          <w:lang w:val="en-GB"/>
        </w:rPr>
        <w:t>[128]</w:t>
      </w:r>
      <w:r w:rsidRPr="00221992">
        <w:rPr>
          <w:lang w:val="en-GB"/>
        </w:rPr>
        <w:fldChar w:fldCharType="end"/>
      </w:r>
      <w:r w:rsidRPr="00221992">
        <w:rPr>
          <w:lang w:val="en-GB"/>
        </w:rPr>
        <w:t xml:space="preserve">. </w:t>
      </w:r>
      <w:r w:rsidR="006E127E" w:rsidRPr="00221992">
        <w:rPr>
          <w:lang w:val="en-GB"/>
        </w:rPr>
        <w:t>I</w:t>
      </w:r>
      <w:r w:rsidRPr="00221992">
        <w:rPr>
          <w:lang w:val="en-GB"/>
        </w:rPr>
        <w:t>n Korea</w:t>
      </w:r>
      <w:r w:rsidR="006E127E" w:rsidRPr="00221992">
        <w:rPr>
          <w:lang w:val="en-GB"/>
        </w:rPr>
        <w:t xml:space="preserve">, rare diseases are those </w:t>
      </w:r>
      <w:r w:rsidR="00386657">
        <w:rPr>
          <w:lang w:val="en-GB"/>
        </w:rPr>
        <w:t>that</w:t>
      </w:r>
      <w:r w:rsidR="00386657" w:rsidRPr="00221992">
        <w:rPr>
          <w:lang w:val="en-GB"/>
        </w:rPr>
        <w:t xml:space="preserve"> </w:t>
      </w:r>
      <w:r w:rsidRPr="00221992">
        <w:rPr>
          <w:lang w:val="en-GB"/>
        </w:rPr>
        <w:t xml:space="preserve">affect &lt;20,000 people. </w:t>
      </w:r>
      <w:r w:rsidR="006E127E" w:rsidRPr="00221992">
        <w:rPr>
          <w:lang w:val="en-GB"/>
        </w:rPr>
        <w:t>Many</w:t>
      </w:r>
      <w:r w:rsidRPr="00221992">
        <w:rPr>
          <w:lang w:val="en-GB"/>
        </w:rPr>
        <w:t xml:space="preserve"> European countries (</w:t>
      </w:r>
      <w:r w:rsidR="00386657">
        <w:rPr>
          <w:lang w:val="en-GB"/>
        </w:rPr>
        <w:t xml:space="preserve">e.g., </w:t>
      </w:r>
      <w:r w:rsidRPr="00221992">
        <w:rPr>
          <w:lang w:val="en-GB"/>
        </w:rPr>
        <w:t xml:space="preserve">Belgium, France, Germany, Italy, </w:t>
      </w:r>
      <w:r w:rsidR="00386657">
        <w:rPr>
          <w:lang w:val="en-GB"/>
        </w:rPr>
        <w:t xml:space="preserve">the </w:t>
      </w:r>
      <w:r w:rsidRPr="00221992">
        <w:rPr>
          <w:lang w:val="en-GB"/>
        </w:rPr>
        <w:t xml:space="preserve">Netherlands and Spain) </w:t>
      </w:r>
      <w:r w:rsidR="006E127E" w:rsidRPr="00221992">
        <w:rPr>
          <w:lang w:val="en-GB"/>
        </w:rPr>
        <w:t xml:space="preserve">apply </w:t>
      </w:r>
      <w:r w:rsidRPr="00221992">
        <w:rPr>
          <w:lang w:val="en-GB"/>
        </w:rPr>
        <w:t xml:space="preserve">the EMA definition for rare disease. </w:t>
      </w:r>
    </w:p>
    <w:tbl>
      <w:tblPr>
        <w:tblStyle w:val="GridTable4-Accent3"/>
        <w:tblW w:w="8490" w:type="dxa"/>
        <w:tblBorders>
          <w:top w:val="single" w:sz="12" w:space="0" w:color="0F4BEB" w:themeColor="accent1"/>
          <w:left w:val="single" w:sz="12" w:space="0" w:color="0F4BEB" w:themeColor="accent1"/>
          <w:bottom w:val="single" w:sz="12" w:space="0" w:color="0F4BEB" w:themeColor="accent1"/>
          <w:right w:val="single" w:sz="12" w:space="0" w:color="0F4BEB" w:themeColor="accent1"/>
          <w:insideH w:val="none" w:sz="0" w:space="0" w:color="auto"/>
          <w:insideV w:val="single" w:sz="4" w:space="0" w:color="49C0E2" w:themeColor="accent3"/>
        </w:tblBorders>
        <w:tblLook w:val="04A0" w:firstRow="1" w:lastRow="0" w:firstColumn="1" w:lastColumn="0" w:noHBand="0" w:noVBand="1"/>
      </w:tblPr>
      <w:tblGrid>
        <w:gridCol w:w="8490"/>
      </w:tblGrid>
      <w:tr w:rsidR="006A5720" w14:paraId="5F1B6719" w14:textId="77777777" w:rsidTr="009952E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90" w:type="dxa"/>
            <w:tcBorders>
              <w:top w:val="single" w:sz="12" w:space="0" w:color="0F4BEB" w:themeColor="accent1"/>
              <w:left w:val="single" w:sz="12" w:space="0" w:color="0F4BEB" w:themeColor="accent1"/>
              <w:bottom w:val="nil"/>
              <w:right w:val="single" w:sz="12" w:space="0" w:color="0F4BEB" w:themeColor="accent1"/>
            </w:tcBorders>
            <w:shd w:val="clear" w:color="auto" w:fill="B2B2B2" w:themeFill="text2"/>
            <w:hideMark/>
          </w:tcPr>
          <w:p w14:paraId="4151183B" w14:textId="74D4E29C" w:rsidR="006A5720" w:rsidRDefault="006A5720" w:rsidP="006A5720">
            <w:pPr>
              <w:spacing w:after="0" w:line="240" w:lineRule="auto"/>
              <w:jc w:val="center"/>
              <w:rPr>
                <w:rFonts w:ascii="Calibri" w:hAnsi="Calibri" w:cs="Calibri"/>
                <w:b w:val="0"/>
                <w:bCs w:val="0"/>
                <w:lang w:eastAsia="en-US"/>
              </w:rPr>
            </w:pPr>
            <w:r>
              <w:rPr>
                <w:rFonts w:ascii="Calibri" w:hAnsi="Calibri" w:cs="Calibri"/>
                <w:lang w:eastAsia="en-US"/>
              </w:rPr>
              <w:t>Why this matters</w:t>
            </w:r>
          </w:p>
        </w:tc>
      </w:tr>
      <w:tr w:rsidR="006A5720" w14:paraId="7E93951B" w14:textId="77777777" w:rsidTr="009952E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90" w:type="dxa"/>
            <w:tcBorders>
              <w:top w:val="nil"/>
              <w:left w:val="single" w:sz="12" w:space="0" w:color="0F4BEB" w:themeColor="accent1"/>
              <w:bottom w:val="single" w:sz="12" w:space="0" w:color="0F4BEB" w:themeColor="accent1"/>
              <w:right w:val="single" w:sz="12" w:space="0" w:color="0F4BEB" w:themeColor="accent1"/>
            </w:tcBorders>
            <w:shd w:val="clear" w:color="auto" w:fill="EFEFEF" w:themeFill="text2" w:themeFillTint="33"/>
          </w:tcPr>
          <w:p w14:paraId="394F17DA" w14:textId="556413F1" w:rsidR="006A5720" w:rsidRPr="00944857" w:rsidRDefault="006A5720" w:rsidP="006A5720">
            <w:pPr>
              <w:spacing w:after="0" w:line="240" w:lineRule="auto"/>
              <w:rPr>
                <w:rFonts w:cs="Calibri Light"/>
                <w:b w:val="0"/>
                <w:bCs w:val="0"/>
                <w:lang w:eastAsia="en-US"/>
              </w:rPr>
            </w:pPr>
            <w:r w:rsidRPr="00944857">
              <w:rPr>
                <w:rFonts w:cs="Calibri Light"/>
                <w:b w:val="0"/>
                <w:bCs w:val="0"/>
                <w:lang w:eastAsia="en-US"/>
              </w:rPr>
              <w:t xml:space="preserve">When special considerations apply to facilitate access </w:t>
            </w:r>
            <w:r w:rsidR="005E5D48">
              <w:rPr>
                <w:rFonts w:cs="Calibri Light"/>
                <w:b w:val="0"/>
                <w:bCs w:val="0"/>
                <w:lang w:eastAsia="en-US"/>
              </w:rPr>
              <w:t xml:space="preserve">to </w:t>
            </w:r>
            <w:r w:rsidRPr="00944857">
              <w:rPr>
                <w:rFonts w:cs="Calibri Light"/>
                <w:b w:val="0"/>
                <w:bCs w:val="0"/>
                <w:lang w:eastAsia="en-US"/>
              </w:rPr>
              <w:t>new technologies for rare</w:t>
            </w:r>
            <w:r w:rsidR="005E5D48">
              <w:rPr>
                <w:rFonts w:cs="Calibri Light"/>
                <w:b w:val="0"/>
                <w:bCs w:val="0"/>
                <w:lang w:eastAsia="en-US"/>
              </w:rPr>
              <w:t>/ultra-rare</w:t>
            </w:r>
            <w:r w:rsidRPr="00944857">
              <w:rPr>
                <w:rFonts w:cs="Calibri Light"/>
                <w:b w:val="0"/>
                <w:bCs w:val="0"/>
                <w:lang w:eastAsia="en-US"/>
              </w:rPr>
              <w:t xml:space="preserve"> diseases, </w:t>
            </w:r>
            <w:r w:rsidR="007E074D">
              <w:rPr>
                <w:rFonts w:cs="Calibri Light"/>
                <w:b w:val="0"/>
                <w:bCs w:val="0"/>
                <w:lang w:eastAsia="en-US"/>
              </w:rPr>
              <w:t>each country’s</w:t>
            </w:r>
            <w:r w:rsidR="007E074D" w:rsidRPr="00944857">
              <w:rPr>
                <w:rFonts w:cs="Calibri Light"/>
                <w:b w:val="0"/>
                <w:bCs w:val="0"/>
                <w:lang w:eastAsia="en-US"/>
              </w:rPr>
              <w:t xml:space="preserve"> </w:t>
            </w:r>
            <w:r w:rsidR="00A46719">
              <w:rPr>
                <w:rFonts w:cs="Calibri Light"/>
                <w:b w:val="0"/>
                <w:bCs w:val="0"/>
                <w:lang w:eastAsia="en-US"/>
              </w:rPr>
              <w:t xml:space="preserve">accepted </w:t>
            </w:r>
            <w:r w:rsidRPr="00944857">
              <w:rPr>
                <w:rFonts w:cs="Calibri Light"/>
                <w:b w:val="0"/>
                <w:bCs w:val="0"/>
                <w:lang w:eastAsia="en-US"/>
              </w:rPr>
              <w:t xml:space="preserve">definition </w:t>
            </w:r>
            <w:r w:rsidR="00A46719">
              <w:rPr>
                <w:rFonts w:cs="Calibri Light"/>
                <w:b w:val="0"/>
                <w:bCs w:val="0"/>
                <w:lang w:eastAsia="en-US"/>
              </w:rPr>
              <w:t>of</w:t>
            </w:r>
            <w:r w:rsidRPr="00944857">
              <w:rPr>
                <w:rFonts w:cs="Calibri Light"/>
                <w:b w:val="0"/>
                <w:bCs w:val="0"/>
                <w:lang w:eastAsia="en-US"/>
              </w:rPr>
              <w:t xml:space="preserve"> </w:t>
            </w:r>
            <w:r w:rsidR="008A427E">
              <w:rPr>
                <w:rFonts w:cs="Calibri Light"/>
                <w:b w:val="0"/>
                <w:bCs w:val="0"/>
                <w:lang w:eastAsia="en-US"/>
              </w:rPr>
              <w:t>‘</w:t>
            </w:r>
            <w:r w:rsidR="001D6C51" w:rsidRPr="00944857">
              <w:rPr>
                <w:rFonts w:cs="Calibri Light"/>
                <w:b w:val="0"/>
                <w:bCs w:val="0"/>
                <w:lang w:eastAsia="en-US"/>
              </w:rPr>
              <w:t>rare</w:t>
            </w:r>
            <w:r w:rsidR="008A427E">
              <w:rPr>
                <w:rFonts w:cs="Calibri Light"/>
                <w:b w:val="0"/>
                <w:bCs w:val="0"/>
                <w:lang w:eastAsia="en-US"/>
              </w:rPr>
              <w:t>’</w:t>
            </w:r>
            <w:r w:rsidR="001D6C51">
              <w:rPr>
                <w:rFonts w:cs="Calibri Light"/>
                <w:b w:val="0"/>
                <w:bCs w:val="0"/>
                <w:lang w:eastAsia="en-US"/>
              </w:rPr>
              <w:t>/</w:t>
            </w:r>
            <w:r w:rsidR="008A427E">
              <w:rPr>
                <w:rFonts w:cs="Calibri Light"/>
                <w:b w:val="0"/>
                <w:bCs w:val="0"/>
                <w:lang w:eastAsia="en-US"/>
              </w:rPr>
              <w:t>’</w:t>
            </w:r>
            <w:r w:rsidR="001D6C51">
              <w:rPr>
                <w:rFonts w:cs="Calibri Light"/>
                <w:b w:val="0"/>
                <w:bCs w:val="0"/>
                <w:lang w:eastAsia="en-US"/>
              </w:rPr>
              <w:t>ultra-rare</w:t>
            </w:r>
            <w:r w:rsidR="008A427E">
              <w:rPr>
                <w:rFonts w:cs="Calibri Light"/>
                <w:b w:val="0"/>
                <w:bCs w:val="0"/>
                <w:lang w:eastAsia="en-US"/>
              </w:rPr>
              <w:t>’</w:t>
            </w:r>
            <w:r w:rsidR="001D6C51" w:rsidRPr="00944857">
              <w:rPr>
                <w:rFonts w:cs="Calibri Light"/>
                <w:b w:val="0"/>
                <w:bCs w:val="0"/>
                <w:lang w:eastAsia="en-US"/>
              </w:rPr>
              <w:t xml:space="preserve"> </w:t>
            </w:r>
            <w:r w:rsidRPr="00944857">
              <w:rPr>
                <w:rFonts w:cs="Calibri Light"/>
                <w:b w:val="0"/>
                <w:bCs w:val="0"/>
                <w:lang w:eastAsia="en-US"/>
              </w:rPr>
              <w:t xml:space="preserve">plays a critical role. </w:t>
            </w:r>
          </w:p>
          <w:p w14:paraId="2A52E402" w14:textId="77777777" w:rsidR="006A5720" w:rsidRPr="00944857" w:rsidRDefault="006A5720" w:rsidP="006A5720">
            <w:pPr>
              <w:spacing w:after="0" w:line="240" w:lineRule="auto"/>
              <w:rPr>
                <w:rFonts w:cs="Calibri Light"/>
                <w:b w:val="0"/>
                <w:bCs w:val="0"/>
                <w:lang w:eastAsia="en-US"/>
              </w:rPr>
            </w:pPr>
          </w:p>
          <w:p w14:paraId="4901E416" w14:textId="188ABCD9" w:rsidR="006A5720" w:rsidRPr="00944857" w:rsidRDefault="005E5D48" w:rsidP="006A5720">
            <w:pPr>
              <w:spacing w:after="0" w:line="240" w:lineRule="auto"/>
              <w:rPr>
                <w:rFonts w:cs="Calibri Light"/>
                <w:b w:val="0"/>
                <w:bCs w:val="0"/>
                <w:lang w:eastAsia="en-US"/>
              </w:rPr>
            </w:pPr>
            <w:r>
              <w:rPr>
                <w:rFonts w:cs="Calibri Light"/>
                <w:b w:val="0"/>
                <w:bCs w:val="0"/>
                <w:lang w:eastAsia="en-US"/>
              </w:rPr>
              <w:t>In general, t</w:t>
            </w:r>
            <w:r w:rsidR="006A5720" w:rsidRPr="00944857">
              <w:rPr>
                <w:rFonts w:cs="Calibri Light"/>
                <w:b w:val="0"/>
                <w:bCs w:val="0"/>
                <w:lang w:eastAsia="en-US"/>
              </w:rPr>
              <w:t xml:space="preserve">he definition of </w:t>
            </w:r>
            <w:r w:rsidR="008A427E">
              <w:rPr>
                <w:rFonts w:cs="Calibri Light"/>
                <w:b w:val="0"/>
                <w:bCs w:val="0"/>
                <w:lang w:eastAsia="en-US"/>
              </w:rPr>
              <w:t xml:space="preserve">a </w:t>
            </w:r>
            <w:r w:rsidR="006A5720" w:rsidRPr="00944857">
              <w:rPr>
                <w:rFonts w:cs="Calibri Light"/>
                <w:b w:val="0"/>
                <w:bCs w:val="0"/>
                <w:lang w:eastAsia="en-US"/>
              </w:rPr>
              <w:t>rare</w:t>
            </w:r>
            <w:r>
              <w:rPr>
                <w:rFonts w:cs="Calibri Light"/>
                <w:b w:val="0"/>
                <w:bCs w:val="0"/>
                <w:lang w:eastAsia="en-US"/>
              </w:rPr>
              <w:t>/ultra-</w:t>
            </w:r>
            <w:r w:rsidR="006A5720" w:rsidRPr="00944857">
              <w:rPr>
                <w:rFonts w:cs="Calibri Light"/>
                <w:b w:val="0"/>
                <w:bCs w:val="0"/>
                <w:lang w:eastAsia="en-US"/>
              </w:rPr>
              <w:t xml:space="preserve">rare disease </w:t>
            </w:r>
            <w:r w:rsidR="00955C95">
              <w:rPr>
                <w:rFonts w:cs="Calibri Light"/>
                <w:b w:val="0"/>
                <w:bCs w:val="0"/>
                <w:lang w:eastAsia="en-US"/>
              </w:rPr>
              <w:t>is</w:t>
            </w:r>
            <w:r w:rsidR="00955C95" w:rsidRPr="00944857">
              <w:rPr>
                <w:rFonts w:cs="Calibri Light"/>
                <w:b w:val="0"/>
                <w:bCs w:val="0"/>
                <w:lang w:eastAsia="en-US"/>
              </w:rPr>
              <w:t xml:space="preserve"> </w:t>
            </w:r>
            <w:r w:rsidR="006A5720" w:rsidRPr="00944857">
              <w:rPr>
                <w:rFonts w:cs="Calibri Light"/>
                <w:b w:val="0"/>
                <w:bCs w:val="0"/>
                <w:lang w:eastAsia="en-US"/>
              </w:rPr>
              <w:t>either aligned with the orphan drug designation as defined by the corresponding regulatory agency</w:t>
            </w:r>
            <w:r w:rsidR="00974621">
              <w:rPr>
                <w:rFonts w:cs="Calibri Light"/>
                <w:b w:val="0"/>
                <w:bCs w:val="0"/>
                <w:lang w:eastAsia="en-US"/>
              </w:rPr>
              <w:t>,</w:t>
            </w:r>
            <w:r w:rsidR="006A5720" w:rsidRPr="00944857">
              <w:rPr>
                <w:rFonts w:cs="Calibri Light"/>
                <w:b w:val="0"/>
                <w:bCs w:val="0"/>
                <w:lang w:eastAsia="en-US"/>
              </w:rPr>
              <w:t xml:space="preserve"> or </w:t>
            </w:r>
            <w:r w:rsidR="00386657">
              <w:rPr>
                <w:rFonts w:cs="Calibri Light"/>
                <w:b w:val="0"/>
                <w:bCs w:val="0"/>
                <w:lang w:eastAsia="en-US"/>
              </w:rPr>
              <w:t xml:space="preserve">is </w:t>
            </w:r>
            <w:r w:rsidR="006A5720" w:rsidRPr="00944857">
              <w:rPr>
                <w:rFonts w:cs="Calibri Light"/>
                <w:b w:val="0"/>
                <w:bCs w:val="0"/>
                <w:lang w:eastAsia="en-US"/>
              </w:rPr>
              <w:t xml:space="preserve">a specific definition for pricing and reimbursement purposes. </w:t>
            </w:r>
          </w:p>
          <w:p w14:paraId="68980525" w14:textId="77777777" w:rsidR="006A5720" w:rsidRPr="00944857" w:rsidRDefault="006A5720" w:rsidP="006A5720">
            <w:pPr>
              <w:spacing w:after="0" w:line="240" w:lineRule="auto"/>
              <w:rPr>
                <w:rFonts w:cs="Calibri Light"/>
                <w:b w:val="0"/>
                <w:bCs w:val="0"/>
                <w:lang w:eastAsia="en-US"/>
              </w:rPr>
            </w:pPr>
          </w:p>
          <w:p w14:paraId="74E5D360" w14:textId="10B060E2" w:rsidR="006A5720" w:rsidRPr="00944857" w:rsidRDefault="006A5720" w:rsidP="006A5720">
            <w:pPr>
              <w:spacing w:after="0" w:line="240" w:lineRule="auto"/>
              <w:rPr>
                <w:rFonts w:cs="Calibri Light"/>
                <w:b w:val="0"/>
                <w:bCs w:val="0"/>
                <w:lang w:eastAsia="en-US"/>
              </w:rPr>
            </w:pPr>
            <w:r w:rsidRPr="00944857">
              <w:rPr>
                <w:rFonts w:cs="Calibri Light"/>
                <w:b w:val="0"/>
                <w:bCs w:val="0"/>
                <w:lang w:eastAsia="en-US"/>
              </w:rPr>
              <w:t xml:space="preserve">In Australia, access to drugs via the LSDP is restricted to ultra-rare diseases that meet the prevalence threshold of </w:t>
            </w:r>
            <w:r w:rsidR="00386657">
              <w:rPr>
                <w:rFonts w:cs="Calibri Light"/>
                <w:b w:val="0"/>
                <w:bCs w:val="0"/>
                <w:lang w:eastAsia="en-US"/>
              </w:rPr>
              <w:t>&lt;</w:t>
            </w:r>
            <w:r w:rsidRPr="00944857">
              <w:rPr>
                <w:rFonts w:cs="Calibri Light"/>
                <w:b w:val="0"/>
                <w:bCs w:val="0"/>
                <w:lang w:eastAsia="en-US"/>
              </w:rPr>
              <w:t>1/50,000 people</w:t>
            </w:r>
            <w:r w:rsidR="00CA3035">
              <w:rPr>
                <w:rFonts w:cs="Calibri Light"/>
                <w:b w:val="0"/>
                <w:bCs w:val="0"/>
                <w:lang w:eastAsia="en-US"/>
              </w:rPr>
              <w:t>;</w:t>
            </w:r>
            <w:r w:rsidRPr="00944857">
              <w:rPr>
                <w:rFonts w:cs="Calibri Light"/>
                <w:b w:val="0"/>
                <w:bCs w:val="0"/>
                <w:lang w:eastAsia="en-US"/>
              </w:rPr>
              <w:t xml:space="preserve"> </w:t>
            </w:r>
            <w:r w:rsidR="00CA3035">
              <w:rPr>
                <w:rFonts w:cs="Calibri Light"/>
                <w:b w:val="0"/>
                <w:bCs w:val="0"/>
                <w:lang w:eastAsia="en-US"/>
              </w:rPr>
              <w:t>treatments for</w:t>
            </w:r>
            <w:r w:rsidRPr="00944857">
              <w:rPr>
                <w:rFonts w:cs="Calibri Light"/>
                <w:b w:val="0"/>
                <w:bCs w:val="0"/>
                <w:lang w:eastAsia="en-US"/>
              </w:rPr>
              <w:t xml:space="preserve"> less rare diseases </w:t>
            </w:r>
            <w:r w:rsidR="003A6377">
              <w:rPr>
                <w:rFonts w:cs="Calibri Light"/>
                <w:b w:val="0"/>
                <w:bCs w:val="0"/>
                <w:lang w:eastAsia="en-US"/>
              </w:rPr>
              <w:t>are limited to</w:t>
            </w:r>
            <w:r w:rsidR="003A6377" w:rsidRPr="00944857">
              <w:rPr>
                <w:rFonts w:cs="Calibri Light"/>
                <w:b w:val="0"/>
                <w:bCs w:val="0"/>
                <w:lang w:eastAsia="en-US"/>
              </w:rPr>
              <w:t xml:space="preserve"> </w:t>
            </w:r>
            <w:r w:rsidRPr="00944857">
              <w:rPr>
                <w:rFonts w:cs="Calibri Light"/>
                <w:b w:val="0"/>
                <w:bCs w:val="0"/>
                <w:lang w:eastAsia="en-US"/>
              </w:rPr>
              <w:t xml:space="preserve">the </w:t>
            </w:r>
            <w:r w:rsidR="005E5D48">
              <w:rPr>
                <w:rFonts w:cs="Calibri Light"/>
                <w:b w:val="0"/>
                <w:bCs w:val="0"/>
                <w:lang w:eastAsia="en-US"/>
              </w:rPr>
              <w:t xml:space="preserve">standard </w:t>
            </w:r>
            <w:r w:rsidRPr="00944857">
              <w:rPr>
                <w:rFonts w:cs="Calibri Light"/>
                <w:b w:val="0"/>
                <w:bCs w:val="0"/>
                <w:lang w:eastAsia="en-US"/>
              </w:rPr>
              <w:t xml:space="preserve">PBAC pathway only. A drug that follows </w:t>
            </w:r>
            <w:r w:rsidR="0059197D">
              <w:rPr>
                <w:rFonts w:cs="Calibri Light"/>
                <w:b w:val="0"/>
                <w:bCs w:val="0"/>
                <w:lang w:eastAsia="en-US"/>
              </w:rPr>
              <w:t>the LSDP</w:t>
            </w:r>
            <w:r w:rsidR="005E5D48">
              <w:rPr>
                <w:rFonts w:cs="Calibri Light"/>
                <w:b w:val="0"/>
                <w:bCs w:val="0"/>
                <w:lang w:eastAsia="en-US"/>
              </w:rPr>
              <w:t xml:space="preserve"> pathway can,</w:t>
            </w:r>
            <w:r w:rsidRPr="00944857">
              <w:rPr>
                <w:rFonts w:cs="Calibri Light"/>
                <w:b w:val="0"/>
                <w:bCs w:val="0"/>
                <w:lang w:eastAsia="en-US"/>
              </w:rPr>
              <w:t xml:space="preserve"> under exceptional circumstances</w:t>
            </w:r>
            <w:r w:rsidR="00386657">
              <w:rPr>
                <w:rFonts w:cs="Calibri Light"/>
                <w:b w:val="0"/>
                <w:bCs w:val="0"/>
                <w:lang w:eastAsia="en-US"/>
              </w:rPr>
              <w:t>—</w:t>
            </w:r>
            <w:r w:rsidRPr="00944857">
              <w:rPr>
                <w:rFonts w:cs="Calibri Light"/>
                <w:b w:val="0"/>
                <w:bCs w:val="0"/>
                <w:lang w:eastAsia="en-US"/>
              </w:rPr>
              <w:t>includ</w:t>
            </w:r>
            <w:r w:rsidR="00C577E1">
              <w:rPr>
                <w:rFonts w:cs="Calibri Light"/>
                <w:b w:val="0"/>
                <w:bCs w:val="0"/>
                <w:lang w:eastAsia="en-US"/>
              </w:rPr>
              <w:t>ing</w:t>
            </w:r>
            <w:r w:rsidRPr="00944857">
              <w:rPr>
                <w:rFonts w:cs="Calibri Light"/>
                <w:b w:val="0"/>
                <w:bCs w:val="0"/>
                <w:lang w:eastAsia="en-US"/>
              </w:rPr>
              <w:t xml:space="preserve"> that the disease affects ‘only a very small number of patients’</w:t>
            </w:r>
            <w:r w:rsidR="00386657">
              <w:rPr>
                <w:rFonts w:cs="Calibri Light"/>
                <w:b w:val="0"/>
                <w:bCs w:val="0"/>
                <w:lang w:eastAsia="en-US"/>
              </w:rPr>
              <w:t>—</w:t>
            </w:r>
            <w:r w:rsidR="005E5D48">
              <w:rPr>
                <w:rFonts w:cs="Calibri Light"/>
                <w:b w:val="0"/>
                <w:bCs w:val="0"/>
                <w:lang w:eastAsia="en-US"/>
              </w:rPr>
              <w:t xml:space="preserve">be assessed applying </w:t>
            </w:r>
            <w:r w:rsidRPr="00944857">
              <w:rPr>
                <w:rFonts w:cs="Calibri Light"/>
                <w:b w:val="0"/>
                <w:bCs w:val="0"/>
                <w:lang w:eastAsia="en-US"/>
              </w:rPr>
              <w:t xml:space="preserve">the rule of rescue </w:t>
            </w:r>
            <w:r w:rsidR="005E5D48">
              <w:rPr>
                <w:rFonts w:cs="Calibri Light"/>
                <w:b w:val="0"/>
                <w:bCs w:val="0"/>
                <w:lang w:eastAsia="en-US"/>
              </w:rPr>
              <w:t>criteria</w:t>
            </w:r>
            <w:r w:rsidRPr="00944857">
              <w:rPr>
                <w:rFonts w:cs="Calibri Light"/>
                <w:b w:val="0"/>
                <w:bCs w:val="0"/>
                <w:lang w:eastAsia="en-US"/>
              </w:rPr>
              <w:t xml:space="preserve">. These circumstances are particularly influential in favour of listing, noting that the criteria </w:t>
            </w:r>
            <w:r w:rsidR="006A624A">
              <w:rPr>
                <w:rFonts w:cs="Calibri Light"/>
                <w:b w:val="0"/>
                <w:bCs w:val="0"/>
                <w:lang w:eastAsia="en-US"/>
              </w:rPr>
              <w:t>relating to</w:t>
            </w:r>
            <w:r w:rsidR="00646054">
              <w:rPr>
                <w:rFonts w:cs="Calibri Light"/>
                <w:b w:val="0"/>
                <w:bCs w:val="0"/>
                <w:lang w:eastAsia="en-US"/>
              </w:rPr>
              <w:t xml:space="preserve"> a</w:t>
            </w:r>
            <w:r w:rsidR="006A624A" w:rsidRPr="00944857">
              <w:rPr>
                <w:rFonts w:cs="Calibri Light"/>
                <w:b w:val="0"/>
                <w:bCs w:val="0"/>
                <w:lang w:eastAsia="en-US"/>
              </w:rPr>
              <w:t xml:space="preserve"> </w:t>
            </w:r>
            <w:r w:rsidRPr="00944857">
              <w:rPr>
                <w:rFonts w:cs="Calibri Light"/>
                <w:b w:val="0"/>
                <w:bCs w:val="0"/>
                <w:lang w:eastAsia="en-US"/>
              </w:rPr>
              <w:t>‘very small number of patients’ is not provided in the PBAC guideline</w:t>
            </w:r>
            <w:r w:rsidR="00646054">
              <w:rPr>
                <w:rFonts w:cs="Calibri Light"/>
                <w:b w:val="0"/>
                <w:bCs w:val="0"/>
                <w:lang w:eastAsia="en-US"/>
              </w:rPr>
              <w:t>s</w:t>
            </w:r>
            <w:r w:rsidRPr="00944857">
              <w:rPr>
                <w:rFonts w:cs="Calibri Light"/>
                <w:b w:val="0"/>
                <w:bCs w:val="0"/>
                <w:lang w:eastAsia="en-US"/>
              </w:rPr>
              <w:t xml:space="preserve">. </w:t>
            </w:r>
          </w:p>
          <w:p w14:paraId="2FEB0150" w14:textId="77777777" w:rsidR="006A5720" w:rsidRPr="00944857" w:rsidRDefault="006A5720" w:rsidP="006A5720">
            <w:pPr>
              <w:spacing w:after="0" w:line="240" w:lineRule="auto"/>
              <w:rPr>
                <w:rFonts w:cs="Calibri Light"/>
                <w:b w:val="0"/>
                <w:bCs w:val="0"/>
                <w:lang w:eastAsia="en-US"/>
              </w:rPr>
            </w:pPr>
          </w:p>
          <w:p w14:paraId="659E2237" w14:textId="77777777" w:rsidR="006A5720" w:rsidRDefault="006A5720" w:rsidP="006A5720">
            <w:pPr>
              <w:spacing w:after="0" w:line="240" w:lineRule="auto"/>
              <w:rPr>
                <w:rFonts w:ascii="Calibri" w:hAnsi="Calibri" w:cs="Calibri"/>
                <w:b w:val="0"/>
                <w:bCs w:val="0"/>
                <w:lang w:eastAsia="en-US"/>
              </w:rPr>
            </w:pPr>
            <w:r w:rsidRPr="00944857">
              <w:rPr>
                <w:rFonts w:cs="Calibri Light"/>
                <w:b w:val="0"/>
                <w:bCs w:val="0"/>
                <w:lang w:eastAsia="en-US"/>
              </w:rPr>
              <w:t>Australia may wish to reconsider the definition used for pricing and reimbursement within the LSDP and/or include a definition for drugs that follow the standard PBAC process.</w:t>
            </w:r>
            <w:r>
              <w:rPr>
                <w:rFonts w:ascii="Calibri" w:hAnsi="Calibri" w:cs="Calibri"/>
                <w:lang w:eastAsia="en-US"/>
              </w:rPr>
              <w:t xml:space="preserve">  </w:t>
            </w:r>
          </w:p>
        </w:tc>
      </w:tr>
    </w:tbl>
    <w:p w14:paraId="0DB02CA6" w14:textId="6C91EE32" w:rsidR="00D65012" w:rsidRPr="00221992" w:rsidRDefault="00D33F43" w:rsidP="0012257A">
      <w:pPr>
        <w:pStyle w:val="NbrHeading3"/>
        <w:rPr>
          <w:lang w:val="en-GB"/>
        </w:rPr>
      </w:pPr>
      <w:bookmarkStart w:id="131" w:name="_Toc162950885"/>
      <w:r w:rsidRPr="00221992">
        <w:rPr>
          <w:lang w:val="en-GB"/>
        </w:rPr>
        <w:t>A</w:t>
      </w:r>
      <w:r w:rsidR="00D65012" w:rsidRPr="00221992">
        <w:rPr>
          <w:lang w:val="en-GB"/>
        </w:rPr>
        <w:t xml:space="preserve">ccess pathways for </w:t>
      </w:r>
      <w:r w:rsidRPr="00221992">
        <w:rPr>
          <w:lang w:val="en-GB"/>
        </w:rPr>
        <w:t xml:space="preserve">orphan </w:t>
      </w:r>
      <w:r w:rsidR="00D65012" w:rsidRPr="00221992">
        <w:rPr>
          <w:lang w:val="en-GB"/>
        </w:rPr>
        <w:t>drugs</w:t>
      </w:r>
      <w:bookmarkEnd w:id="131"/>
    </w:p>
    <w:p w14:paraId="3AAD8D3C" w14:textId="58DAA2EC" w:rsidR="00D65012" w:rsidRPr="00221992" w:rsidRDefault="00D65012" w:rsidP="0046642D">
      <w:pPr>
        <w:rPr>
          <w:lang w:val="en-GB"/>
        </w:rPr>
      </w:pPr>
      <w:r w:rsidRPr="00221992">
        <w:rPr>
          <w:lang w:val="en-GB"/>
        </w:rPr>
        <w:t>Most countries consider</w:t>
      </w:r>
      <w:r w:rsidR="008F08C1">
        <w:rPr>
          <w:lang w:val="en-GB"/>
        </w:rPr>
        <w:t>—</w:t>
      </w:r>
      <w:r w:rsidR="00652D6D" w:rsidRPr="00221992">
        <w:rPr>
          <w:lang w:val="en-GB"/>
        </w:rPr>
        <w:t>to some extent</w:t>
      </w:r>
      <w:r w:rsidR="008F08C1">
        <w:rPr>
          <w:lang w:val="en-GB"/>
        </w:rPr>
        <w:t>—</w:t>
      </w:r>
      <w:r w:rsidR="00652D6D" w:rsidRPr="00221992">
        <w:rPr>
          <w:lang w:val="en-GB"/>
        </w:rPr>
        <w:t>special considerations for rare diseases</w:t>
      </w:r>
      <w:r w:rsidRPr="00221992">
        <w:rPr>
          <w:lang w:val="en-GB"/>
        </w:rPr>
        <w:t xml:space="preserve"> in their pricing and reimbursement processes. </w:t>
      </w:r>
      <w:r w:rsidR="00E35FCF">
        <w:rPr>
          <w:lang w:val="en-GB"/>
        </w:rPr>
        <w:t>S</w:t>
      </w:r>
      <w:r w:rsidR="006E127E" w:rsidRPr="00221992">
        <w:rPr>
          <w:lang w:val="en-GB"/>
        </w:rPr>
        <w:t>ome countries</w:t>
      </w:r>
      <w:r w:rsidR="00E35FCF">
        <w:rPr>
          <w:lang w:val="en-GB"/>
        </w:rPr>
        <w:t xml:space="preserve"> maintain</w:t>
      </w:r>
      <w:r w:rsidR="006E127E" w:rsidRPr="00221992">
        <w:rPr>
          <w:lang w:val="en-GB"/>
        </w:rPr>
        <w:t xml:space="preserve"> </w:t>
      </w:r>
      <w:r w:rsidRPr="00221992">
        <w:rPr>
          <w:lang w:val="en-GB"/>
        </w:rPr>
        <w:t>distinct pathway</w:t>
      </w:r>
      <w:r w:rsidR="00E35FCF">
        <w:rPr>
          <w:lang w:val="en-GB"/>
        </w:rPr>
        <w:t>s</w:t>
      </w:r>
      <w:r w:rsidRPr="00221992">
        <w:rPr>
          <w:lang w:val="en-GB"/>
        </w:rPr>
        <w:t xml:space="preserve"> </w:t>
      </w:r>
      <w:r w:rsidR="00B542BA" w:rsidRPr="00221992">
        <w:rPr>
          <w:lang w:val="en-GB"/>
        </w:rPr>
        <w:t xml:space="preserve">for rare </w:t>
      </w:r>
      <w:r w:rsidRPr="00221992">
        <w:rPr>
          <w:lang w:val="en-GB"/>
        </w:rPr>
        <w:t>disease</w:t>
      </w:r>
      <w:r w:rsidR="00E35FCF">
        <w:rPr>
          <w:lang w:val="en-GB"/>
        </w:rPr>
        <w:t xml:space="preserve"> therapies</w:t>
      </w:r>
      <w:r w:rsidRPr="00221992">
        <w:rPr>
          <w:lang w:val="en-GB"/>
        </w:rPr>
        <w:t xml:space="preserve">, </w:t>
      </w:r>
      <w:r w:rsidR="00E35FCF">
        <w:rPr>
          <w:lang w:val="en-GB"/>
        </w:rPr>
        <w:t>though</w:t>
      </w:r>
      <w:r w:rsidR="00E35FCF" w:rsidRPr="00221992">
        <w:rPr>
          <w:lang w:val="en-GB"/>
        </w:rPr>
        <w:t xml:space="preserve"> </w:t>
      </w:r>
      <w:r w:rsidR="00B542BA" w:rsidRPr="00221992">
        <w:rPr>
          <w:lang w:val="en-GB"/>
        </w:rPr>
        <w:t xml:space="preserve">in the majority, </w:t>
      </w:r>
      <w:r w:rsidR="00E35FCF">
        <w:rPr>
          <w:lang w:val="en-GB"/>
        </w:rPr>
        <w:t>orphan drugs</w:t>
      </w:r>
      <w:r w:rsidR="00B542BA" w:rsidRPr="00221992">
        <w:rPr>
          <w:lang w:val="en-GB"/>
        </w:rPr>
        <w:t xml:space="preserve"> are </w:t>
      </w:r>
      <w:r w:rsidR="00E35FCF">
        <w:rPr>
          <w:lang w:val="en-GB"/>
        </w:rPr>
        <w:t xml:space="preserve">simply </w:t>
      </w:r>
      <w:r w:rsidR="00B542BA" w:rsidRPr="00221992">
        <w:rPr>
          <w:lang w:val="en-GB"/>
        </w:rPr>
        <w:t xml:space="preserve">considered via </w:t>
      </w:r>
      <w:r w:rsidRPr="00221992">
        <w:rPr>
          <w:lang w:val="en-GB"/>
        </w:rPr>
        <w:t>exceptions to standard process</w:t>
      </w:r>
      <w:r w:rsidR="00E35FCF">
        <w:rPr>
          <w:lang w:val="en-GB"/>
        </w:rPr>
        <w:t>es</w:t>
      </w:r>
      <w:r w:rsidRPr="00221992">
        <w:rPr>
          <w:lang w:val="en-GB"/>
        </w:rPr>
        <w:t xml:space="preserve"> </w:t>
      </w:r>
      <w:r w:rsidR="00B542BA" w:rsidRPr="00221992">
        <w:rPr>
          <w:lang w:val="en-GB"/>
        </w:rPr>
        <w:t>for pricing and reimbursement</w:t>
      </w:r>
      <w:r w:rsidRPr="00221992">
        <w:rPr>
          <w:lang w:val="en-GB"/>
        </w:rPr>
        <w:t xml:space="preserve">. Canada and Spain, </w:t>
      </w:r>
      <w:r w:rsidR="00E35FCF">
        <w:rPr>
          <w:lang w:val="en-GB"/>
        </w:rPr>
        <w:t>for the most part,</w:t>
      </w:r>
      <w:r w:rsidRPr="00221992">
        <w:rPr>
          <w:lang w:val="en-GB"/>
        </w:rPr>
        <w:t xml:space="preserve"> </w:t>
      </w:r>
      <w:r w:rsidR="00B542BA" w:rsidRPr="00221992">
        <w:rPr>
          <w:lang w:val="en-GB"/>
        </w:rPr>
        <w:t xml:space="preserve">do not </w:t>
      </w:r>
      <w:r w:rsidR="00E35FCF">
        <w:rPr>
          <w:lang w:val="en-GB"/>
        </w:rPr>
        <w:t>give</w:t>
      </w:r>
      <w:r w:rsidR="00E35FCF" w:rsidRPr="00221992">
        <w:rPr>
          <w:lang w:val="en-GB"/>
        </w:rPr>
        <w:t xml:space="preserve"> </w:t>
      </w:r>
      <w:r w:rsidR="00E35FCF">
        <w:rPr>
          <w:lang w:val="en-GB"/>
        </w:rPr>
        <w:t>special</w:t>
      </w:r>
      <w:r w:rsidR="00E35FCF" w:rsidRPr="00221992">
        <w:rPr>
          <w:lang w:val="en-GB"/>
        </w:rPr>
        <w:t xml:space="preserve"> </w:t>
      </w:r>
      <w:r w:rsidR="00B542BA" w:rsidRPr="00221992">
        <w:rPr>
          <w:lang w:val="en-GB"/>
        </w:rPr>
        <w:t xml:space="preserve">consideration </w:t>
      </w:r>
      <w:r w:rsidR="00E35FCF">
        <w:rPr>
          <w:lang w:val="en-GB"/>
        </w:rPr>
        <w:t>to</w:t>
      </w:r>
      <w:r w:rsidR="00E35FCF" w:rsidRPr="00221992">
        <w:rPr>
          <w:lang w:val="en-GB"/>
        </w:rPr>
        <w:t xml:space="preserve"> </w:t>
      </w:r>
      <w:r w:rsidR="00E35FCF">
        <w:rPr>
          <w:lang w:val="en-GB"/>
        </w:rPr>
        <w:t>orphan drugs</w:t>
      </w:r>
      <w:r w:rsidR="00B542BA" w:rsidRPr="00221992">
        <w:rPr>
          <w:lang w:val="en-GB"/>
        </w:rPr>
        <w:t xml:space="preserve"> </w:t>
      </w:r>
      <w:r w:rsidR="00E35FCF">
        <w:rPr>
          <w:lang w:val="en-GB"/>
        </w:rPr>
        <w:t>through</w:t>
      </w:r>
      <w:r w:rsidR="00E35FCF" w:rsidRPr="00221992">
        <w:rPr>
          <w:lang w:val="en-GB"/>
        </w:rPr>
        <w:t xml:space="preserve"> </w:t>
      </w:r>
      <w:r w:rsidR="00B542BA" w:rsidRPr="00221992">
        <w:rPr>
          <w:lang w:val="en-GB"/>
        </w:rPr>
        <w:t>their HTA processes</w:t>
      </w:r>
      <w:r w:rsidR="00C3136C" w:rsidRPr="00221992">
        <w:rPr>
          <w:lang w:val="en-GB"/>
        </w:rPr>
        <w:t xml:space="preserve"> (see Section 4.4.4)</w:t>
      </w:r>
      <w:r w:rsidR="00B542BA" w:rsidRPr="00221992">
        <w:rPr>
          <w:lang w:val="en-GB"/>
        </w:rPr>
        <w:t xml:space="preserve">. In general, country approaches to rare diseases may be categorised as: </w:t>
      </w:r>
    </w:p>
    <w:p w14:paraId="2F1001BA" w14:textId="02B69C11" w:rsidR="00D65012" w:rsidRPr="00221992" w:rsidRDefault="00D65012" w:rsidP="00957584">
      <w:pPr>
        <w:pStyle w:val="ListParagraph"/>
        <w:numPr>
          <w:ilvl w:val="0"/>
          <w:numId w:val="32"/>
        </w:numPr>
        <w:rPr>
          <w:lang w:val="en-GB"/>
        </w:rPr>
      </w:pPr>
      <w:r w:rsidRPr="00221992">
        <w:rPr>
          <w:lang w:val="en-GB"/>
        </w:rPr>
        <w:t>Special considerations for rare diseases</w:t>
      </w:r>
      <w:r w:rsidR="00164C04" w:rsidRPr="00221992">
        <w:rPr>
          <w:lang w:val="en-GB"/>
        </w:rPr>
        <w:t xml:space="preserve"> </w:t>
      </w:r>
      <w:r w:rsidR="00E35FCF">
        <w:rPr>
          <w:lang w:val="en-GB"/>
        </w:rPr>
        <w:t>via</w:t>
      </w:r>
      <w:r w:rsidRPr="00221992">
        <w:rPr>
          <w:lang w:val="en-GB"/>
        </w:rPr>
        <w:t>:</w:t>
      </w:r>
    </w:p>
    <w:p w14:paraId="141F08A0" w14:textId="3BD33ADE" w:rsidR="00D65012" w:rsidRPr="00221992" w:rsidRDefault="00551786" w:rsidP="00957584">
      <w:pPr>
        <w:pStyle w:val="ListParagraph"/>
        <w:numPr>
          <w:ilvl w:val="1"/>
          <w:numId w:val="32"/>
        </w:numPr>
        <w:rPr>
          <w:lang w:val="en-GB"/>
        </w:rPr>
      </w:pPr>
      <w:r>
        <w:rPr>
          <w:lang w:val="en-GB"/>
        </w:rPr>
        <w:t>‘</w:t>
      </w:r>
      <w:r w:rsidR="00D65012" w:rsidRPr="00221992">
        <w:rPr>
          <w:lang w:val="en-GB"/>
        </w:rPr>
        <w:t>Separate process</w:t>
      </w:r>
      <w:r>
        <w:rPr>
          <w:lang w:val="en-GB"/>
        </w:rPr>
        <w:t>’</w:t>
      </w:r>
      <w:r w:rsidR="00D65012" w:rsidRPr="00221992">
        <w:rPr>
          <w:lang w:val="en-GB"/>
        </w:rPr>
        <w:t xml:space="preserve"> </w:t>
      </w:r>
      <w:r w:rsidR="00E35FCF">
        <w:rPr>
          <w:lang w:val="en-GB"/>
        </w:rPr>
        <w:t>(</w:t>
      </w:r>
      <w:r w:rsidR="00D65012" w:rsidRPr="00221992">
        <w:rPr>
          <w:lang w:val="en-GB"/>
        </w:rPr>
        <w:t xml:space="preserve">if the access and reimbursement pathway </w:t>
      </w:r>
      <w:r w:rsidR="00E35FCF">
        <w:rPr>
          <w:lang w:val="en-GB"/>
        </w:rPr>
        <w:t>is</w:t>
      </w:r>
      <w:r w:rsidR="00E35FCF" w:rsidRPr="00221992">
        <w:rPr>
          <w:lang w:val="en-GB"/>
        </w:rPr>
        <w:t xml:space="preserve"> </w:t>
      </w:r>
      <w:r w:rsidR="00D65012" w:rsidRPr="00221992">
        <w:rPr>
          <w:lang w:val="en-GB"/>
        </w:rPr>
        <w:t xml:space="preserve">distinct from </w:t>
      </w:r>
      <w:r w:rsidR="00E35FCF">
        <w:rPr>
          <w:lang w:val="en-GB"/>
        </w:rPr>
        <w:t xml:space="preserve">that of </w:t>
      </w:r>
      <w:r w:rsidR="00D65012" w:rsidRPr="00221992">
        <w:rPr>
          <w:lang w:val="en-GB"/>
        </w:rPr>
        <w:t xml:space="preserve">non-rare diseases and </w:t>
      </w:r>
      <w:r w:rsidR="00E35FCF">
        <w:rPr>
          <w:lang w:val="en-GB"/>
        </w:rPr>
        <w:t>is</w:t>
      </w:r>
      <w:r w:rsidR="00E35FCF" w:rsidRPr="00221992">
        <w:rPr>
          <w:lang w:val="en-GB"/>
        </w:rPr>
        <w:t xml:space="preserve"> </w:t>
      </w:r>
      <w:r w:rsidR="00D65012" w:rsidRPr="00221992">
        <w:rPr>
          <w:lang w:val="en-GB"/>
        </w:rPr>
        <w:t xml:space="preserve">acknowledged and/or presented </w:t>
      </w:r>
      <w:r w:rsidR="00E35FCF">
        <w:rPr>
          <w:lang w:val="en-GB"/>
        </w:rPr>
        <w:t>as such)</w:t>
      </w:r>
      <w:r w:rsidR="00D65012" w:rsidRPr="00221992">
        <w:rPr>
          <w:lang w:val="en-GB"/>
        </w:rPr>
        <w:t>;</w:t>
      </w:r>
    </w:p>
    <w:p w14:paraId="059AA39E" w14:textId="31861D9B" w:rsidR="00D65012" w:rsidRPr="00221992" w:rsidRDefault="00551786" w:rsidP="00957584">
      <w:pPr>
        <w:pStyle w:val="ListParagraph"/>
        <w:numPr>
          <w:ilvl w:val="1"/>
          <w:numId w:val="32"/>
        </w:numPr>
        <w:rPr>
          <w:lang w:val="en-GB"/>
        </w:rPr>
      </w:pPr>
      <w:r>
        <w:rPr>
          <w:lang w:val="en-GB"/>
        </w:rPr>
        <w:t>‘</w:t>
      </w:r>
      <w:r w:rsidR="00D65012" w:rsidRPr="00221992">
        <w:rPr>
          <w:lang w:val="en-GB"/>
        </w:rPr>
        <w:t>Exception to standard process</w:t>
      </w:r>
      <w:r>
        <w:rPr>
          <w:lang w:val="en-GB"/>
        </w:rPr>
        <w:t>’</w:t>
      </w:r>
      <w:r w:rsidR="00D65012" w:rsidRPr="00221992">
        <w:rPr>
          <w:lang w:val="en-GB"/>
        </w:rPr>
        <w:t xml:space="preserve"> </w:t>
      </w:r>
      <w:r w:rsidR="00E35FCF">
        <w:rPr>
          <w:lang w:val="en-GB"/>
        </w:rPr>
        <w:t>(</w:t>
      </w:r>
      <w:r w:rsidR="00D65012" w:rsidRPr="00221992">
        <w:rPr>
          <w:lang w:val="en-GB"/>
        </w:rPr>
        <w:t xml:space="preserve">if the access and reimbursement pathway </w:t>
      </w:r>
      <w:r w:rsidR="00E35FCF">
        <w:rPr>
          <w:lang w:val="en-GB"/>
        </w:rPr>
        <w:t>is</w:t>
      </w:r>
      <w:r w:rsidR="00E35FCF" w:rsidRPr="00221992">
        <w:rPr>
          <w:lang w:val="en-GB"/>
        </w:rPr>
        <w:t xml:space="preserve"> </w:t>
      </w:r>
      <w:r w:rsidR="00D65012" w:rsidRPr="00221992">
        <w:rPr>
          <w:lang w:val="en-GB"/>
        </w:rPr>
        <w:t>the same for all drugs, but with identified exceptions to improve access for drugs for rare diseases</w:t>
      </w:r>
      <w:r w:rsidR="00E35FCF">
        <w:rPr>
          <w:lang w:val="en-GB"/>
        </w:rPr>
        <w:t>)</w:t>
      </w:r>
      <w:r w:rsidR="00D65012" w:rsidRPr="00221992">
        <w:rPr>
          <w:lang w:val="en-GB"/>
        </w:rPr>
        <w:t>;</w:t>
      </w:r>
    </w:p>
    <w:p w14:paraId="18838E70" w14:textId="5AEFAB92" w:rsidR="00D65012" w:rsidRPr="00221992" w:rsidRDefault="00551786" w:rsidP="00957584">
      <w:pPr>
        <w:pStyle w:val="ListParagraph"/>
        <w:numPr>
          <w:ilvl w:val="0"/>
          <w:numId w:val="32"/>
        </w:numPr>
        <w:rPr>
          <w:lang w:val="en-GB"/>
        </w:rPr>
      </w:pPr>
      <w:r>
        <w:rPr>
          <w:lang w:val="en-GB"/>
        </w:rPr>
        <w:t>‘</w:t>
      </w:r>
      <w:r w:rsidR="00D65012" w:rsidRPr="00221992">
        <w:rPr>
          <w:lang w:val="en-GB"/>
        </w:rPr>
        <w:t>Standard process with no change</w:t>
      </w:r>
      <w:r>
        <w:rPr>
          <w:lang w:val="en-GB"/>
        </w:rPr>
        <w:t>’</w:t>
      </w:r>
      <w:r w:rsidR="00D65012" w:rsidRPr="00221992">
        <w:rPr>
          <w:lang w:val="en-GB"/>
        </w:rPr>
        <w:t xml:space="preserve"> </w:t>
      </w:r>
      <w:r w:rsidR="00E35FCF">
        <w:rPr>
          <w:lang w:val="en-GB"/>
        </w:rPr>
        <w:t>with</w:t>
      </w:r>
      <w:r w:rsidR="00E35FCF" w:rsidRPr="00221992">
        <w:rPr>
          <w:lang w:val="en-GB"/>
        </w:rPr>
        <w:t xml:space="preserve"> </w:t>
      </w:r>
      <w:r w:rsidR="00D65012" w:rsidRPr="00221992">
        <w:rPr>
          <w:lang w:val="en-GB"/>
        </w:rPr>
        <w:t>no special considerations for rare diseases</w:t>
      </w:r>
    </w:p>
    <w:p w14:paraId="09FC0E58" w14:textId="15EC76CE" w:rsidR="00D65012" w:rsidRPr="00221992" w:rsidRDefault="00551786" w:rsidP="00957584">
      <w:pPr>
        <w:pStyle w:val="ListParagraph"/>
        <w:numPr>
          <w:ilvl w:val="0"/>
          <w:numId w:val="32"/>
        </w:numPr>
        <w:rPr>
          <w:lang w:val="en-GB"/>
        </w:rPr>
      </w:pPr>
      <w:r>
        <w:rPr>
          <w:lang w:val="en-GB"/>
        </w:rPr>
        <w:t>‘</w:t>
      </w:r>
      <w:r w:rsidR="00D65012" w:rsidRPr="00221992">
        <w:rPr>
          <w:lang w:val="en-GB"/>
        </w:rPr>
        <w:t>Alternative process</w:t>
      </w:r>
      <w:r>
        <w:rPr>
          <w:lang w:val="en-GB"/>
        </w:rPr>
        <w:t>’</w:t>
      </w:r>
      <w:r w:rsidR="00D65012" w:rsidRPr="00221992">
        <w:rPr>
          <w:lang w:val="en-GB"/>
        </w:rPr>
        <w:t xml:space="preserve"> </w:t>
      </w:r>
      <w:r w:rsidR="00E35FCF">
        <w:rPr>
          <w:lang w:val="en-GB"/>
        </w:rPr>
        <w:t>(</w:t>
      </w:r>
      <w:r w:rsidR="00D65012" w:rsidRPr="00221992">
        <w:rPr>
          <w:lang w:val="en-GB"/>
        </w:rPr>
        <w:t xml:space="preserve">if the pathway </w:t>
      </w:r>
      <w:r w:rsidR="00E35FCF">
        <w:rPr>
          <w:lang w:val="en-GB"/>
        </w:rPr>
        <w:t>is</w:t>
      </w:r>
      <w:r w:rsidR="00E35FCF" w:rsidRPr="00221992">
        <w:rPr>
          <w:lang w:val="en-GB"/>
        </w:rPr>
        <w:t xml:space="preserve"> </w:t>
      </w:r>
      <w:r w:rsidR="00D65012" w:rsidRPr="00221992">
        <w:rPr>
          <w:lang w:val="en-GB"/>
        </w:rPr>
        <w:t xml:space="preserve">for individual patients, drugs with no </w:t>
      </w:r>
      <w:r w:rsidR="00E35FCF">
        <w:rPr>
          <w:lang w:val="en-GB"/>
        </w:rPr>
        <w:t>marketing authorisation</w:t>
      </w:r>
      <w:r w:rsidR="00E35FCF" w:rsidRPr="00221992">
        <w:rPr>
          <w:lang w:val="en-GB"/>
        </w:rPr>
        <w:t xml:space="preserve"> </w:t>
      </w:r>
      <w:r w:rsidR="00D65012" w:rsidRPr="00221992">
        <w:rPr>
          <w:lang w:val="en-GB"/>
        </w:rPr>
        <w:t>or off label use</w:t>
      </w:r>
      <w:r w:rsidR="00E35FCF">
        <w:rPr>
          <w:lang w:val="en-GB"/>
        </w:rPr>
        <w:t>,</w:t>
      </w:r>
      <w:r w:rsidR="00D65012" w:rsidRPr="00221992">
        <w:rPr>
          <w:lang w:val="en-GB"/>
        </w:rPr>
        <w:t xml:space="preserve"> and </w:t>
      </w:r>
      <w:r w:rsidR="00E35FCF">
        <w:rPr>
          <w:lang w:val="en-GB"/>
        </w:rPr>
        <w:t>the drug may be accessed with</w:t>
      </w:r>
      <w:r w:rsidR="00D65012" w:rsidRPr="00221992">
        <w:rPr>
          <w:lang w:val="en-GB"/>
        </w:rPr>
        <w:t>in the country</w:t>
      </w:r>
      <w:r w:rsidR="00E35FCF">
        <w:rPr>
          <w:lang w:val="en-GB"/>
        </w:rPr>
        <w:t>)</w:t>
      </w:r>
      <w:r w:rsidR="00D65012" w:rsidRPr="00221992">
        <w:rPr>
          <w:lang w:val="en-GB"/>
        </w:rPr>
        <w:t xml:space="preserve"> </w:t>
      </w:r>
    </w:p>
    <w:p w14:paraId="282CFBD7" w14:textId="084C6B69" w:rsidR="0068020E" w:rsidRPr="00221992" w:rsidRDefault="0068020E" w:rsidP="00001D39">
      <w:pPr>
        <w:rPr>
          <w:lang w:val="en-GB"/>
        </w:rPr>
      </w:pPr>
      <w:r w:rsidRPr="00221992">
        <w:rPr>
          <w:lang w:val="en-GB"/>
        </w:rPr>
        <w:t>In a (2022) study exploring models of access for orphan drugs in Belgium, experts from the Belgian Drug Reimbursement Committee</w:t>
      </w:r>
      <w:r w:rsidR="00C3136C" w:rsidRPr="00221992">
        <w:rPr>
          <w:lang w:val="en-GB"/>
        </w:rPr>
        <w:t xml:space="preserve"> (DRC)</w:t>
      </w:r>
      <w:r w:rsidRPr="00221992">
        <w:rPr>
          <w:lang w:val="en-GB"/>
        </w:rPr>
        <w:t>, the Colleges for Orphan Drugs, the pharmaceutical industry, physicians, ethicists and pharmacists stakeholders were generally not in favour of a separate, insulated fund for orphan drugs, stating this would not align with the country</w:t>
      </w:r>
      <w:r w:rsidR="00551786">
        <w:rPr>
          <w:lang w:val="en-GB"/>
        </w:rPr>
        <w:t>’</w:t>
      </w:r>
      <w:r w:rsidRPr="00221992">
        <w:rPr>
          <w:lang w:val="en-GB"/>
        </w:rPr>
        <w:t>s foundational principle of solidarity</w:t>
      </w:r>
      <w:r w:rsidR="00632813" w:rsidRPr="00221992">
        <w:rPr>
          <w:lang w:val="en-GB"/>
        </w:rPr>
        <w:t xml:space="preserve"> </w:t>
      </w:r>
      <w:r w:rsidR="00632813" w:rsidRPr="00221992">
        <w:rPr>
          <w:lang w:val="en-GB"/>
        </w:rPr>
        <w:fldChar w:fldCharType="begin"/>
      </w:r>
      <w:r w:rsidR="00E5265C">
        <w:rPr>
          <w:lang w:val="en-GB"/>
        </w:rPr>
        <w:instrText xml:space="preserve"> ADDIN EN.CITE &lt;EndNote&gt;&lt;Cite&gt;&lt;Author&gt;Therapeutic Goods Administration (TGA)&lt;/Author&gt;&lt;Year&gt;2021&lt;/Year&gt;&lt;RecNum&gt;647&lt;/RecNum&gt;&lt;DisplayText&gt;[123]&lt;/DisplayText&gt;&lt;record&gt;&lt;rec-number&gt;647&lt;/rec-number&gt;&lt;foreign-keys&gt;&lt;key app="EN" db-id="wzwwsfxe4peesxef95cxvrwjxts9rreasarf" timestamp="1693187668"&gt;647&lt;/key&gt;&lt;/foreign-keys&gt;&lt;ref-type name="Web Page"&gt;12&lt;/ref-type&gt;&lt;contributors&gt;&lt;authors&gt;&lt;author&gt;Therapeutic Goods Administration (TGA),&lt;/author&gt;&lt;/authors&gt;&lt;/contributors&gt;&lt;titles&gt;&lt;title&gt;Orphan drug designation eligibility criteria&lt;/title&gt;&lt;secondary-title&gt;Guidance on eligibility criteria and supporting documentation when preparing an application for orphan drug designation.&lt;/secondary-title&gt;&lt;/titles&gt;&lt;number&gt;25/8/2023&lt;/number&gt;&lt;dates&gt;&lt;year&gt;2021&lt;/year&gt;&lt;/dates&gt;&lt;urls&gt;&lt;related-urls&gt;&lt;url&gt;https://www.tga.gov.au/resources/resource/guidance/orphan-drug-designation-eligibility-criteria&lt;/url&gt;&lt;/related-urls&gt;&lt;/urls&gt;&lt;/record&gt;&lt;/Cite&gt;&lt;/EndNote&gt;</w:instrText>
      </w:r>
      <w:r w:rsidR="00632813" w:rsidRPr="00221992">
        <w:rPr>
          <w:lang w:val="en-GB"/>
        </w:rPr>
        <w:fldChar w:fldCharType="separate"/>
      </w:r>
      <w:r w:rsidR="00E5265C">
        <w:rPr>
          <w:noProof/>
          <w:lang w:val="en-GB"/>
        </w:rPr>
        <w:t>[123]</w:t>
      </w:r>
      <w:r w:rsidR="00632813" w:rsidRPr="00221992">
        <w:rPr>
          <w:lang w:val="en-GB"/>
        </w:rPr>
        <w:fldChar w:fldCharType="end"/>
      </w:r>
      <w:r w:rsidRPr="00221992">
        <w:rPr>
          <w:lang w:val="en-GB"/>
        </w:rPr>
        <w:t xml:space="preserve">. Consensus was that sustainable, expedited access to orphan drugs in Belgium would be better facilitated by refining current financing models and early access schemes by eliminating inadequacies, including via enhanced collaboration, transparency, data digitalisation and the development of robust </w:t>
      </w:r>
      <w:r w:rsidR="00EE5347" w:rsidRPr="00221992">
        <w:rPr>
          <w:lang w:val="en-GB"/>
        </w:rPr>
        <w:t>RWE</w:t>
      </w:r>
      <w:r w:rsidRPr="00221992">
        <w:rPr>
          <w:lang w:val="en-GB"/>
        </w:rPr>
        <w:t xml:space="preserve"> to inform ongoing reimbursement considerations </w:t>
      </w:r>
      <w:r w:rsidR="00876B4D" w:rsidRPr="00221992">
        <w:rPr>
          <w:lang w:val="en-GB"/>
        </w:rPr>
        <w:fldChar w:fldCharType="begin"/>
      </w:r>
      <w:r w:rsidR="00E5265C">
        <w:rPr>
          <w:lang w:val="en-GB"/>
        </w:rPr>
        <w:instrText xml:space="preserve"> ADDIN EN.CITE &lt;EndNote&gt;&lt;Cite&gt;&lt;Author&gt;Therapeutic Goods Administration (TGA)&lt;/Author&gt;&lt;Year&gt;2021&lt;/Year&gt;&lt;RecNum&gt;647&lt;/RecNum&gt;&lt;DisplayText&gt;[123]&lt;/DisplayText&gt;&lt;record&gt;&lt;rec-number&gt;647&lt;/rec-number&gt;&lt;foreign-keys&gt;&lt;key app="EN" db-id="wzwwsfxe4peesxef95cxvrwjxts9rreasarf" timestamp="1693187668"&gt;647&lt;/key&gt;&lt;/foreign-keys&gt;&lt;ref-type name="Web Page"&gt;12&lt;/ref-type&gt;&lt;contributors&gt;&lt;authors&gt;&lt;author&gt;Therapeutic Goods Administration (TGA),&lt;/author&gt;&lt;/authors&gt;&lt;/contributors&gt;&lt;titles&gt;&lt;title&gt;Orphan drug designation eligibility criteria&lt;/title&gt;&lt;secondary-title&gt;Guidance on eligibility criteria and supporting documentation when preparing an application for orphan drug designation.&lt;/secondary-title&gt;&lt;/titles&gt;&lt;number&gt;25/8/2023&lt;/number&gt;&lt;dates&gt;&lt;year&gt;2021&lt;/year&gt;&lt;/dates&gt;&lt;urls&gt;&lt;related-urls&gt;&lt;url&gt;https://www.tga.gov.au/resources/resource/guidance/orphan-drug-designation-eligibility-criteria&lt;/url&gt;&lt;/related-urls&gt;&lt;/urls&gt;&lt;/record&gt;&lt;/Cite&gt;&lt;/EndNote&gt;</w:instrText>
      </w:r>
      <w:r w:rsidR="00876B4D" w:rsidRPr="00221992">
        <w:rPr>
          <w:lang w:val="en-GB"/>
        </w:rPr>
        <w:fldChar w:fldCharType="separate"/>
      </w:r>
      <w:r w:rsidR="00E5265C">
        <w:rPr>
          <w:noProof/>
          <w:lang w:val="en-GB"/>
        </w:rPr>
        <w:t>[123]</w:t>
      </w:r>
      <w:r w:rsidR="00876B4D" w:rsidRPr="00221992">
        <w:rPr>
          <w:lang w:val="en-GB"/>
        </w:rPr>
        <w:fldChar w:fldCharType="end"/>
      </w:r>
      <w:r w:rsidRPr="00221992">
        <w:rPr>
          <w:lang w:val="en-GB"/>
        </w:rPr>
        <w:t xml:space="preserve">. </w:t>
      </w:r>
    </w:p>
    <w:p w14:paraId="2D76B96E" w14:textId="4F609865" w:rsidR="00D65012" w:rsidRPr="00221992" w:rsidRDefault="00D65012" w:rsidP="00001D39">
      <w:pPr>
        <w:rPr>
          <w:lang w:val="en-GB"/>
        </w:rPr>
      </w:pPr>
      <w:r w:rsidRPr="00221992">
        <w:rPr>
          <w:lang w:val="en-GB"/>
        </w:rPr>
        <w:t>A summary of international funding models for rare disease therapies is provided i</w:t>
      </w:r>
      <w:r w:rsidR="00D84C90" w:rsidRPr="00221992">
        <w:rPr>
          <w:lang w:val="en-GB"/>
        </w:rPr>
        <w:t xml:space="preserve">n </w:t>
      </w:r>
      <w:r w:rsidR="00D84C90" w:rsidRPr="00221992">
        <w:rPr>
          <w:lang w:val="en-GB"/>
        </w:rPr>
        <w:fldChar w:fldCharType="begin"/>
      </w:r>
      <w:r w:rsidR="00D84C90">
        <w:instrText xml:space="preserve"> REF _Ref143595874 \h </w:instrText>
      </w:r>
      <w:r w:rsidR="00D84C90" w:rsidRPr="00221992">
        <w:rPr>
          <w:lang w:val="en-GB"/>
        </w:rPr>
      </w:r>
      <w:r w:rsidR="00D84C90" w:rsidRPr="00221992">
        <w:rPr>
          <w:lang w:val="en-GB"/>
        </w:rPr>
        <w:fldChar w:fldCharType="separate"/>
      </w:r>
      <w:r w:rsidR="000E11E7" w:rsidRPr="00221992">
        <w:rPr>
          <w:lang w:val="en-GB"/>
        </w:rPr>
        <w:t xml:space="preserve">Table </w:t>
      </w:r>
      <w:r w:rsidR="000E11E7">
        <w:rPr>
          <w:noProof/>
        </w:rPr>
        <w:t>13</w:t>
      </w:r>
      <w:r w:rsidR="00D84C90" w:rsidRPr="00221992">
        <w:rPr>
          <w:lang w:val="en-GB"/>
        </w:rPr>
        <w:fldChar w:fldCharType="end"/>
      </w:r>
      <w:r w:rsidRPr="00221992">
        <w:rPr>
          <w:lang w:val="en-GB"/>
        </w:rPr>
        <w:t>.</w:t>
      </w:r>
      <w:r w:rsidR="00652D6D" w:rsidRPr="00221992">
        <w:rPr>
          <w:lang w:val="en-GB"/>
        </w:rPr>
        <w:t xml:space="preserve"> </w:t>
      </w:r>
      <w:r w:rsidR="009952E8">
        <w:rPr>
          <w:lang w:val="en-GB"/>
        </w:rPr>
        <w:t>Most examined countries have more than one pathway available for the access of drugs for rare diseases and in a</w:t>
      </w:r>
      <w:r w:rsidR="000D440C">
        <w:rPr>
          <w:lang w:val="en-GB"/>
        </w:rPr>
        <w:t xml:space="preserve">ll countries </w:t>
      </w:r>
      <w:r w:rsidR="009952E8">
        <w:rPr>
          <w:lang w:val="en-GB"/>
        </w:rPr>
        <w:t xml:space="preserve">with </w:t>
      </w:r>
      <w:r w:rsidR="000D440C">
        <w:rPr>
          <w:lang w:val="en-GB"/>
        </w:rPr>
        <w:t>standard process</w:t>
      </w:r>
      <w:r w:rsidR="009952E8">
        <w:rPr>
          <w:lang w:val="en-GB"/>
        </w:rPr>
        <w:t>es</w:t>
      </w:r>
      <w:r w:rsidR="000D440C">
        <w:rPr>
          <w:lang w:val="en-GB"/>
        </w:rPr>
        <w:t xml:space="preserve"> </w:t>
      </w:r>
      <w:r w:rsidR="009952E8">
        <w:rPr>
          <w:lang w:val="en-GB"/>
        </w:rPr>
        <w:t>to which</w:t>
      </w:r>
      <w:r w:rsidR="000D440C">
        <w:rPr>
          <w:lang w:val="en-GB"/>
        </w:rPr>
        <w:t xml:space="preserve"> specific </w:t>
      </w:r>
      <w:r w:rsidR="009952E8">
        <w:rPr>
          <w:lang w:val="en-GB"/>
        </w:rPr>
        <w:t>exemptions f</w:t>
      </w:r>
      <w:r w:rsidR="000D440C">
        <w:rPr>
          <w:lang w:val="en-GB"/>
        </w:rPr>
        <w:t>o</w:t>
      </w:r>
      <w:r w:rsidR="009952E8">
        <w:rPr>
          <w:lang w:val="en-GB"/>
        </w:rPr>
        <w:t>r</w:t>
      </w:r>
      <w:r w:rsidR="000D440C">
        <w:rPr>
          <w:lang w:val="en-GB"/>
        </w:rPr>
        <w:t xml:space="preserve"> rare diseases </w:t>
      </w:r>
      <w:r w:rsidR="009952E8">
        <w:rPr>
          <w:lang w:val="en-GB"/>
        </w:rPr>
        <w:t xml:space="preserve">may </w:t>
      </w:r>
      <w:r w:rsidR="000D440C">
        <w:rPr>
          <w:lang w:val="en-GB"/>
        </w:rPr>
        <w:t xml:space="preserve">apply, </w:t>
      </w:r>
      <w:r w:rsidR="009952E8">
        <w:rPr>
          <w:lang w:val="en-GB"/>
        </w:rPr>
        <w:t>orphan drugs may</w:t>
      </w:r>
      <w:r w:rsidR="000D440C">
        <w:rPr>
          <w:lang w:val="en-GB"/>
        </w:rPr>
        <w:t xml:space="preserve"> </w:t>
      </w:r>
      <w:r w:rsidR="00032D8B">
        <w:rPr>
          <w:lang w:val="en-GB"/>
        </w:rPr>
        <w:t xml:space="preserve">still </w:t>
      </w:r>
      <w:r w:rsidR="000D440C">
        <w:rPr>
          <w:lang w:val="en-GB"/>
        </w:rPr>
        <w:t xml:space="preserve">follow the standard </w:t>
      </w:r>
      <w:r w:rsidR="009952E8">
        <w:rPr>
          <w:lang w:val="en-GB"/>
        </w:rPr>
        <w:t xml:space="preserve">evaluation </w:t>
      </w:r>
      <w:r w:rsidR="000D440C">
        <w:rPr>
          <w:lang w:val="en-GB"/>
        </w:rPr>
        <w:t xml:space="preserve">process. </w:t>
      </w:r>
      <w:r w:rsidR="00873C0E">
        <w:rPr>
          <w:lang w:val="en-GB"/>
        </w:rPr>
        <w:t xml:space="preserve">In Australia, for example, </w:t>
      </w:r>
      <w:r w:rsidR="00713823">
        <w:rPr>
          <w:lang w:val="en-GB"/>
        </w:rPr>
        <w:t xml:space="preserve">all </w:t>
      </w:r>
      <w:r w:rsidR="00873C0E">
        <w:rPr>
          <w:lang w:val="en-GB"/>
        </w:rPr>
        <w:t xml:space="preserve">drugs </w:t>
      </w:r>
      <w:r w:rsidR="00C75788">
        <w:rPr>
          <w:lang w:val="en-GB"/>
        </w:rPr>
        <w:t>may be submitted via</w:t>
      </w:r>
      <w:r w:rsidR="00873C0E">
        <w:rPr>
          <w:lang w:val="en-GB"/>
        </w:rPr>
        <w:t xml:space="preserve"> the</w:t>
      </w:r>
      <w:r w:rsidR="00B03C3A">
        <w:rPr>
          <w:lang w:val="en-GB"/>
        </w:rPr>
        <w:t xml:space="preserve"> standard PBAC </w:t>
      </w:r>
      <w:r w:rsidR="00C75788">
        <w:rPr>
          <w:lang w:val="en-GB"/>
        </w:rPr>
        <w:t>evaluation pathway regardless of orphan status.</w:t>
      </w:r>
      <w:r w:rsidR="00B03C3A">
        <w:rPr>
          <w:lang w:val="en-GB"/>
        </w:rPr>
        <w:t xml:space="preserve"> </w:t>
      </w:r>
      <w:r w:rsidR="00C75788">
        <w:rPr>
          <w:lang w:val="en-GB"/>
        </w:rPr>
        <w:t>Alternatively, if a drug</w:t>
      </w:r>
      <w:r w:rsidR="00C25881">
        <w:rPr>
          <w:lang w:val="en-GB"/>
        </w:rPr>
        <w:t xml:space="preserve"> targets an ultra</w:t>
      </w:r>
      <w:r w:rsidR="00A719FB">
        <w:rPr>
          <w:lang w:val="en-GB"/>
        </w:rPr>
        <w:t xml:space="preserve">-rare condition and meets the </w:t>
      </w:r>
      <w:r w:rsidR="00C75788">
        <w:rPr>
          <w:lang w:val="en-GB"/>
        </w:rPr>
        <w:t xml:space="preserve">relevant </w:t>
      </w:r>
      <w:r w:rsidR="00A719FB">
        <w:rPr>
          <w:lang w:val="en-GB"/>
        </w:rPr>
        <w:t xml:space="preserve">eligibility criteria, it </w:t>
      </w:r>
      <w:r w:rsidR="00C75788">
        <w:rPr>
          <w:lang w:val="en-GB"/>
        </w:rPr>
        <w:t>may be submitted for consideration through the LSDP</w:t>
      </w:r>
      <w:r w:rsidR="00A719FB">
        <w:rPr>
          <w:lang w:val="en-GB"/>
        </w:rPr>
        <w:t>.</w:t>
      </w:r>
      <w:r w:rsidR="00B03C3A">
        <w:rPr>
          <w:lang w:val="en-GB"/>
        </w:rPr>
        <w:t xml:space="preserve"> </w:t>
      </w:r>
      <w:r w:rsidR="00652D6D" w:rsidRPr="00221992">
        <w:rPr>
          <w:lang w:val="en-GB"/>
        </w:rPr>
        <w:t xml:space="preserve">From the table below, Germany and Japan are the two countries with the fastest access to patients </w:t>
      </w:r>
      <w:r w:rsidR="00C0451B">
        <w:rPr>
          <w:lang w:val="en-GB"/>
        </w:rPr>
        <w:t>from</w:t>
      </w:r>
      <w:r w:rsidR="00C0451B" w:rsidRPr="00221992">
        <w:rPr>
          <w:lang w:val="en-GB"/>
        </w:rPr>
        <w:t xml:space="preserve"> </w:t>
      </w:r>
      <w:r w:rsidR="00652D6D" w:rsidRPr="00221992">
        <w:rPr>
          <w:lang w:val="en-GB"/>
        </w:rPr>
        <w:t xml:space="preserve">marketing </w:t>
      </w:r>
      <w:r w:rsidR="00C0451B">
        <w:rPr>
          <w:lang w:val="en-GB"/>
        </w:rPr>
        <w:t>authorisation</w:t>
      </w:r>
      <w:r w:rsidR="00C0451B" w:rsidRPr="00221992">
        <w:rPr>
          <w:lang w:val="en-GB"/>
        </w:rPr>
        <w:t xml:space="preserve"> </w:t>
      </w:r>
      <w:r w:rsidR="00692F07" w:rsidRPr="00221992">
        <w:rPr>
          <w:lang w:val="en-GB"/>
        </w:rPr>
        <w:t xml:space="preserve">with a median time to availability of 45 and </w:t>
      </w:r>
      <w:r w:rsidR="00C0451B">
        <w:rPr>
          <w:lang w:val="en-GB"/>
        </w:rPr>
        <w:t>~</w:t>
      </w:r>
      <w:r w:rsidR="00692F07" w:rsidRPr="00221992">
        <w:rPr>
          <w:lang w:val="en-GB"/>
        </w:rPr>
        <w:t>100 days, respectively</w:t>
      </w:r>
      <w:r w:rsidR="00652D6D" w:rsidRPr="00221992">
        <w:rPr>
          <w:lang w:val="en-GB"/>
        </w:rPr>
        <w:t>. In these two countries</w:t>
      </w:r>
      <w:r w:rsidR="003C10A5">
        <w:rPr>
          <w:lang w:val="en-GB"/>
        </w:rPr>
        <w:t>,</w:t>
      </w:r>
      <w:r w:rsidR="00652D6D" w:rsidRPr="00221992">
        <w:rPr>
          <w:lang w:val="en-GB"/>
        </w:rPr>
        <w:t xml:space="preserve"> reimbursement and pricing decision</w:t>
      </w:r>
      <w:r w:rsidR="00C0451B">
        <w:rPr>
          <w:lang w:val="en-GB"/>
        </w:rPr>
        <w:t>s</w:t>
      </w:r>
      <w:r w:rsidR="00652D6D" w:rsidRPr="00221992">
        <w:rPr>
          <w:lang w:val="en-GB"/>
        </w:rPr>
        <w:t xml:space="preserve"> occur almost simultaneously.</w:t>
      </w:r>
      <w:r w:rsidR="00692F07" w:rsidRPr="00221992">
        <w:rPr>
          <w:lang w:val="en-GB"/>
        </w:rPr>
        <w:t xml:space="preserve"> </w:t>
      </w:r>
    </w:p>
    <w:p w14:paraId="5B688142" w14:textId="160642AD" w:rsidR="00D84C90" w:rsidRPr="00221992" w:rsidRDefault="00D84C90" w:rsidP="001721AB">
      <w:pPr>
        <w:pStyle w:val="Caption"/>
        <w:rPr>
          <w:lang w:val="en-GB"/>
        </w:rPr>
      </w:pPr>
      <w:bookmarkStart w:id="132" w:name="_Ref143595874"/>
      <w:bookmarkStart w:id="133" w:name="_Toc162950960"/>
      <w:r w:rsidRPr="00221992">
        <w:rPr>
          <w:lang w:val="en-GB"/>
        </w:rPr>
        <w:t xml:space="preserve">Table </w:t>
      </w:r>
      <w:r w:rsidRPr="00221992">
        <w:rPr>
          <w:lang w:val="en-GB"/>
        </w:rPr>
        <w:fldChar w:fldCharType="begin"/>
      </w:r>
      <w:r>
        <w:instrText>SEQ Table \* ARABIC</w:instrText>
      </w:r>
      <w:r w:rsidRPr="00221992">
        <w:rPr>
          <w:lang w:val="en-GB"/>
        </w:rPr>
        <w:fldChar w:fldCharType="separate"/>
      </w:r>
      <w:r w:rsidR="000E11E7">
        <w:rPr>
          <w:noProof/>
        </w:rPr>
        <w:t>13</w:t>
      </w:r>
      <w:r w:rsidRPr="00221992">
        <w:rPr>
          <w:lang w:val="en-GB"/>
        </w:rPr>
        <w:fldChar w:fldCharType="end"/>
      </w:r>
      <w:bookmarkEnd w:id="132"/>
      <w:r w:rsidRPr="00221992">
        <w:rPr>
          <w:lang w:val="en-GB"/>
        </w:rPr>
        <w:t>. Rare disease funding models by country</w:t>
      </w:r>
      <w:bookmarkEnd w:id="133"/>
    </w:p>
    <w:tbl>
      <w:tblPr>
        <w:tblStyle w:val="LinedBlueTable"/>
        <w:tblW w:w="0" w:type="auto"/>
        <w:tblLayout w:type="fixed"/>
        <w:tblLook w:val="04A0" w:firstRow="1" w:lastRow="0" w:firstColumn="1" w:lastColumn="0" w:noHBand="0" w:noVBand="1"/>
        <w:tblCaption w:val="Rare disease funding models by country "/>
      </w:tblPr>
      <w:tblGrid>
        <w:gridCol w:w="1696"/>
        <w:gridCol w:w="1134"/>
        <w:gridCol w:w="1276"/>
        <w:gridCol w:w="1134"/>
        <w:gridCol w:w="1418"/>
        <w:gridCol w:w="1559"/>
        <w:gridCol w:w="987"/>
      </w:tblGrid>
      <w:tr w:rsidR="0027396E" w:rsidRPr="00221992" w14:paraId="39F9E0D3" w14:textId="77777777" w:rsidTr="5668A86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vMerge w:val="restart"/>
            <w:shd w:val="clear" w:color="auto" w:fill="000000" w:themeFill="text1"/>
          </w:tcPr>
          <w:p w14:paraId="3EB46C14" w14:textId="77777777" w:rsidR="00D65012" w:rsidRPr="00221992" w:rsidRDefault="00D65012" w:rsidP="00450FCE">
            <w:pPr>
              <w:pStyle w:val="TableText"/>
              <w:spacing w:before="0" w:after="0" w:line="240" w:lineRule="auto"/>
              <w:rPr>
                <w:rFonts w:ascii="Calibri" w:hAnsi="Calibri" w:cs="Calibri"/>
                <w:sz w:val="20"/>
                <w:szCs w:val="20"/>
                <w:lang w:val="en-GB"/>
              </w:rPr>
            </w:pPr>
            <w:r w:rsidRPr="00221992">
              <w:rPr>
                <w:rFonts w:ascii="Calibri" w:hAnsi="Calibri" w:cs="Calibri"/>
                <w:b/>
                <w:sz w:val="20"/>
                <w:szCs w:val="20"/>
                <w:lang w:val="en-GB"/>
              </w:rPr>
              <w:t>Country</w:t>
            </w:r>
          </w:p>
          <w:p w14:paraId="2AA3212B" w14:textId="77777777" w:rsidR="00D65012" w:rsidRPr="00221992" w:rsidRDefault="00D65012" w:rsidP="00450FCE">
            <w:pPr>
              <w:pStyle w:val="TableText"/>
              <w:spacing w:before="0" w:after="0" w:line="240" w:lineRule="auto"/>
              <w:rPr>
                <w:sz w:val="20"/>
                <w:szCs w:val="20"/>
                <w:lang w:val="en-GB"/>
              </w:rPr>
            </w:pPr>
          </w:p>
        </w:tc>
        <w:tc>
          <w:tcPr>
            <w:tcW w:w="2410" w:type="dxa"/>
            <w:gridSpan w:val="2"/>
            <w:shd w:val="clear" w:color="auto" w:fill="1E8BCD"/>
          </w:tcPr>
          <w:p w14:paraId="4F3C49A9" w14:textId="77777777" w:rsidR="00D65012" w:rsidRPr="00221992" w:rsidRDefault="00D65012" w:rsidP="00450FCE">
            <w:pPr>
              <w:pStyle w:val="TableHeading"/>
              <w:spacing w:before="0" w:after="0" w:line="240" w:lineRule="auto"/>
              <w:ind w:left="0" w:right="0"/>
              <w:jc w:val="center"/>
              <w:cnfStyle w:val="100000000000" w:firstRow="1" w:lastRow="0" w:firstColumn="0" w:lastColumn="0" w:oddVBand="0" w:evenVBand="0" w:oddHBand="0" w:evenHBand="0" w:firstRowFirstColumn="0" w:firstRowLastColumn="0" w:lastRowFirstColumn="0" w:lastRowLastColumn="0"/>
              <w:rPr>
                <w:rFonts w:ascii="Calibri" w:hAnsi="Calibri" w:cs="Calibri"/>
                <w:sz w:val="20"/>
                <w:szCs w:val="20"/>
                <w:lang w:val="en-GB"/>
              </w:rPr>
            </w:pPr>
            <w:r w:rsidRPr="00221992">
              <w:rPr>
                <w:rFonts w:ascii="Calibri" w:hAnsi="Calibri" w:cs="Calibri"/>
                <w:sz w:val="20"/>
                <w:szCs w:val="20"/>
                <w:lang w:val="en-GB"/>
              </w:rPr>
              <w:t>Special considerations for rare diseases</w:t>
            </w:r>
          </w:p>
        </w:tc>
        <w:tc>
          <w:tcPr>
            <w:tcW w:w="1134" w:type="dxa"/>
            <w:vMerge w:val="restart"/>
            <w:shd w:val="clear" w:color="auto" w:fill="1E8BCD"/>
          </w:tcPr>
          <w:p w14:paraId="56E2A678" w14:textId="77777777" w:rsidR="00D65012" w:rsidRPr="00221992" w:rsidRDefault="00D65012" w:rsidP="00450FCE">
            <w:pPr>
              <w:pStyle w:val="TableHeading"/>
              <w:spacing w:before="0" w:after="0" w:line="240" w:lineRule="auto"/>
              <w:ind w:left="0" w:right="0"/>
              <w:jc w:val="center"/>
              <w:cnfStyle w:val="100000000000" w:firstRow="1" w:lastRow="0" w:firstColumn="0" w:lastColumn="0" w:oddVBand="0" w:evenVBand="0" w:oddHBand="0" w:evenHBand="0" w:firstRowFirstColumn="0" w:firstRowLastColumn="0" w:lastRowFirstColumn="0" w:lastRowLastColumn="0"/>
              <w:rPr>
                <w:rFonts w:ascii="Calibri" w:hAnsi="Calibri" w:cs="Calibri"/>
                <w:sz w:val="20"/>
                <w:szCs w:val="20"/>
                <w:lang w:val="en-GB"/>
              </w:rPr>
            </w:pPr>
            <w:r w:rsidRPr="00221992">
              <w:rPr>
                <w:rFonts w:ascii="Calibri" w:hAnsi="Calibri" w:cs="Calibri"/>
                <w:sz w:val="20"/>
                <w:szCs w:val="20"/>
                <w:lang w:val="en-GB"/>
              </w:rPr>
              <w:t>Standard process with no change</w:t>
            </w:r>
          </w:p>
        </w:tc>
        <w:tc>
          <w:tcPr>
            <w:tcW w:w="1418" w:type="dxa"/>
            <w:vMerge w:val="restart"/>
            <w:shd w:val="clear" w:color="auto" w:fill="1E8BCD"/>
          </w:tcPr>
          <w:p w14:paraId="50192DC6" w14:textId="77777777" w:rsidR="00D65012" w:rsidRPr="00221992" w:rsidRDefault="00D65012" w:rsidP="00450FCE">
            <w:pPr>
              <w:pStyle w:val="TableHeading"/>
              <w:spacing w:before="0" w:after="0" w:line="240" w:lineRule="auto"/>
              <w:ind w:left="0" w:right="0"/>
              <w:jc w:val="center"/>
              <w:cnfStyle w:val="100000000000" w:firstRow="1" w:lastRow="0" w:firstColumn="0" w:lastColumn="0" w:oddVBand="0" w:evenVBand="0" w:oddHBand="0" w:evenHBand="0" w:firstRowFirstColumn="0" w:firstRowLastColumn="0" w:lastRowFirstColumn="0" w:lastRowLastColumn="0"/>
              <w:rPr>
                <w:rFonts w:ascii="Calibri" w:hAnsi="Calibri" w:cs="Calibri"/>
                <w:sz w:val="20"/>
                <w:szCs w:val="20"/>
                <w:lang w:val="en-GB"/>
              </w:rPr>
            </w:pPr>
            <w:r w:rsidRPr="00221992">
              <w:rPr>
                <w:rFonts w:ascii="Calibri" w:hAnsi="Calibri" w:cs="Calibri"/>
                <w:sz w:val="20"/>
                <w:szCs w:val="20"/>
                <w:lang w:val="en-GB"/>
              </w:rPr>
              <w:t>Alternative process</w:t>
            </w:r>
          </w:p>
        </w:tc>
        <w:tc>
          <w:tcPr>
            <w:tcW w:w="1559" w:type="dxa"/>
            <w:vMerge w:val="restart"/>
            <w:shd w:val="clear" w:color="auto" w:fill="1E8BCD"/>
          </w:tcPr>
          <w:p w14:paraId="70FDD925" w14:textId="77777777" w:rsidR="00D65012" w:rsidRPr="00221992" w:rsidRDefault="00D65012" w:rsidP="00450FCE">
            <w:pPr>
              <w:pStyle w:val="TableText"/>
              <w:spacing w:before="0" w:after="0" w:line="240" w:lineRule="auto"/>
              <w:ind w:left="0" w:right="0"/>
              <w:jc w:val="center"/>
              <w:cnfStyle w:val="100000000000" w:firstRow="1" w:lastRow="0" w:firstColumn="0" w:lastColumn="0" w:oddVBand="0" w:evenVBand="0" w:oddHBand="0" w:evenHBand="0" w:firstRowFirstColumn="0" w:firstRowLastColumn="0" w:lastRowFirstColumn="0" w:lastRowLastColumn="0"/>
              <w:rPr>
                <w:rFonts w:ascii="Calibri" w:hAnsi="Calibri" w:cs="Calibri"/>
                <w:b/>
                <w:sz w:val="20"/>
                <w:szCs w:val="20"/>
                <w:lang w:val="en-GB"/>
              </w:rPr>
            </w:pPr>
            <w:r w:rsidRPr="00221992">
              <w:rPr>
                <w:rFonts w:ascii="Calibri" w:hAnsi="Calibri" w:cs="Calibri"/>
                <w:b/>
                <w:sz w:val="20"/>
                <w:szCs w:val="20"/>
                <w:lang w:val="en-GB"/>
              </w:rPr>
              <w:t>Median time to availability (days)</w:t>
            </w:r>
            <w:r w:rsidRPr="00221992">
              <w:rPr>
                <w:rFonts w:ascii="Calibri" w:hAnsi="Calibri" w:cs="Calibri"/>
                <w:b/>
                <w:sz w:val="20"/>
                <w:szCs w:val="20"/>
                <w:vertAlign w:val="superscript"/>
                <w:lang w:val="en-GB"/>
              </w:rPr>
              <w:t>*</w:t>
            </w:r>
          </w:p>
        </w:tc>
        <w:tc>
          <w:tcPr>
            <w:tcW w:w="987" w:type="dxa"/>
            <w:vMerge w:val="restart"/>
            <w:shd w:val="clear" w:color="auto" w:fill="1E8BCD"/>
          </w:tcPr>
          <w:p w14:paraId="558066F0" w14:textId="17EF2D16" w:rsidR="00D65012" w:rsidRPr="00221992" w:rsidRDefault="00D65012" w:rsidP="00450FCE">
            <w:pPr>
              <w:pStyle w:val="TableText"/>
              <w:spacing w:before="0" w:after="0" w:line="240" w:lineRule="auto"/>
              <w:ind w:left="0" w:right="0"/>
              <w:jc w:val="center"/>
              <w:cnfStyle w:val="100000000000" w:firstRow="1" w:lastRow="0" w:firstColumn="0" w:lastColumn="0" w:oddVBand="0" w:evenVBand="0" w:oddHBand="0" w:evenHBand="0" w:firstRowFirstColumn="0" w:firstRowLastColumn="0" w:lastRowFirstColumn="0" w:lastRowLastColumn="0"/>
              <w:rPr>
                <w:rFonts w:ascii="Calibri" w:hAnsi="Calibri" w:cs="Calibri"/>
                <w:b/>
                <w:sz w:val="20"/>
                <w:szCs w:val="20"/>
                <w:vertAlign w:val="superscript"/>
                <w:lang w:val="en-GB"/>
              </w:rPr>
            </w:pPr>
            <w:r w:rsidRPr="00221992">
              <w:rPr>
                <w:rFonts w:ascii="Calibri" w:hAnsi="Calibri" w:cs="Calibri"/>
                <w:b/>
                <w:sz w:val="20"/>
                <w:szCs w:val="20"/>
                <w:lang w:val="en-GB"/>
              </w:rPr>
              <w:t>N</w:t>
            </w:r>
            <w:r w:rsidR="00B542BA" w:rsidRPr="00221992">
              <w:rPr>
                <w:rFonts w:ascii="Calibri" w:hAnsi="Calibri" w:cs="Calibri"/>
                <w:b/>
                <w:sz w:val="20"/>
                <w:szCs w:val="20"/>
                <w:lang w:val="en-GB"/>
              </w:rPr>
              <w:t>umber of</w:t>
            </w:r>
            <w:r w:rsidRPr="00221992">
              <w:rPr>
                <w:rFonts w:ascii="Calibri" w:hAnsi="Calibri" w:cs="Calibri"/>
                <w:b/>
                <w:sz w:val="20"/>
                <w:szCs w:val="20"/>
                <w:lang w:val="en-GB"/>
              </w:rPr>
              <w:t xml:space="preserve"> drugs</w:t>
            </w:r>
            <w:r w:rsidR="00B542BA" w:rsidRPr="00221992">
              <w:rPr>
                <w:rFonts w:ascii="Calibri" w:hAnsi="Calibri" w:cs="Calibri"/>
                <w:b/>
                <w:sz w:val="20"/>
                <w:szCs w:val="20"/>
                <w:lang w:val="en-GB"/>
              </w:rPr>
              <w:t xml:space="preserve"> available</w:t>
            </w:r>
          </w:p>
        </w:tc>
      </w:tr>
      <w:tr w:rsidR="00692F07" w:rsidRPr="00221992" w14:paraId="63827AF9" w14:textId="77777777" w:rsidTr="07C936EB">
        <w:tc>
          <w:tcPr>
            <w:cnfStyle w:val="001000000000" w:firstRow="0" w:lastRow="0" w:firstColumn="1" w:lastColumn="0" w:oddVBand="0" w:evenVBand="0" w:oddHBand="0" w:evenHBand="0" w:firstRowFirstColumn="0" w:firstRowLastColumn="0" w:lastRowFirstColumn="0" w:lastRowLastColumn="0"/>
            <w:tcW w:w="1696" w:type="dxa"/>
            <w:vMerge/>
          </w:tcPr>
          <w:p w14:paraId="4232DE1C" w14:textId="77777777" w:rsidR="00D65012" w:rsidRPr="00221992" w:rsidRDefault="00D65012" w:rsidP="00450FCE">
            <w:pPr>
              <w:pStyle w:val="TableText"/>
              <w:spacing w:before="0" w:after="0" w:line="240" w:lineRule="auto"/>
              <w:rPr>
                <w:sz w:val="20"/>
                <w:szCs w:val="20"/>
                <w:lang w:val="en-GB"/>
              </w:rPr>
            </w:pPr>
          </w:p>
        </w:tc>
        <w:tc>
          <w:tcPr>
            <w:tcW w:w="1134" w:type="dxa"/>
          </w:tcPr>
          <w:p w14:paraId="347FC1BF" w14:textId="45730F0A" w:rsidR="00D65012" w:rsidRPr="00221992" w:rsidRDefault="00D65012" w:rsidP="00450FCE">
            <w:pPr>
              <w:pStyle w:val="TableHeading"/>
              <w:spacing w:before="0" w:after="0" w:line="240" w:lineRule="auto"/>
              <w:ind w:left="0" w:right="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lang w:val="en-GB"/>
              </w:rPr>
            </w:pPr>
            <w:r w:rsidRPr="00221992">
              <w:rPr>
                <w:rFonts w:ascii="Calibri" w:hAnsi="Calibri" w:cs="Calibri"/>
                <w:sz w:val="20"/>
                <w:szCs w:val="20"/>
                <w:lang w:val="en-GB"/>
              </w:rPr>
              <w:t>Separate process</w:t>
            </w:r>
            <w:r w:rsidR="00551786">
              <w:rPr>
                <w:rFonts w:ascii="Calibri" w:hAnsi="Calibri" w:cs="Calibri"/>
                <w:sz w:val="20"/>
                <w:szCs w:val="20"/>
                <w:lang w:val="en-GB"/>
              </w:rPr>
              <w:t>’</w:t>
            </w:r>
          </w:p>
        </w:tc>
        <w:tc>
          <w:tcPr>
            <w:tcW w:w="1276" w:type="dxa"/>
          </w:tcPr>
          <w:p w14:paraId="2438939B" w14:textId="77777777" w:rsidR="00D65012" w:rsidRPr="00221992" w:rsidRDefault="00D65012" w:rsidP="00450FCE">
            <w:pPr>
              <w:pStyle w:val="TableHeading"/>
              <w:spacing w:before="0" w:after="0" w:line="240" w:lineRule="auto"/>
              <w:ind w:left="0" w:right="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lang w:val="en-GB"/>
              </w:rPr>
            </w:pPr>
            <w:r w:rsidRPr="00221992">
              <w:rPr>
                <w:rFonts w:ascii="Calibri" w:hAnsi="Calibri" w:cs="Calibri"/>
                <w:sz w:val="20"/>
                <w:szCs w:val="20"/>
                <w:lang w:val="en-GB"/>
              </w:rPr>
              <w:t>Exception to standard process</w:t>
            </w:r>
          </w:p>
        </w:tc>
        <w:tc>
          <w:tcPr>
            <w:tcW w:w="1134" w:type="dxa"/>
            <w:vMerge/>
          </w:tcPr>
          <w:p w14:paraId="29836545" w14:textId="77777777" w:rsidR="00D65012" w:rsidRPr="00221992" w:rsidRDefault="00D65012" w:rsidP="00450FCE">
            <w:pPr>
              <w:pStyle w:val="TableText"/>
              <w:spacing w:before="0" w:after="0" w:line="240" w:lineRule="auto"/>
              <w:ind w:left="0" w:right="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lang w:val="en-GB"/>
              </w:rPr>
            </w:pPr>
          </w:p>
        </w:tc>
        <w:tc>
          <w:tcPr>
            <w:tcW w:w="1418" w:type="dxa"/>
            <w:vMerge/>
          </w:tcPr>
          <w:p w14:paraId="30D0D83E" w14:textId="77777777" w:rsidR="00D65012" w:rsidRPr="00221992" w:rsidRDefault="00D65012" w:rsidP="00450FCE">
            <w:pPr>
              <w:pStyle w:val="TableText"/>
              <w:spacing w:before="0" w:after="0" w:line="240" w:lineRule="auto"/>
              <w:ind w:left="0" w:right="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lang w:val="en-GB"/>
              </w:rPr>
            </w:pPr>
          </w:p>
        </w:tc>
        <w:tc>
          <w:tcPr>
            <w:tcW w:w="1559" w:type="dxa"/>
            <w:vMerge/>
          </w:tcPr>
          <w:p w14:paraId="570483A3" w14:textId="77777777" w:rsidR="00D65012" w:rsidRPr="00221992" w:rsidRDefault="00D65012" w:rsidP="00450FCE">
            <w:pPr>
              <w:pStyle w:val="TableText"/>
              <w:spacing w:before="0" w:after="0" w:line="240" w:lineRule="auto"/>
              <w:ind w:left="0" w:right="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lang w:val="en-GB"/>
              </w:rPr>
            </w:pPr>
          </w:p>
        </w:tc>
        <w:tc>
          <w:tcPr>
            <w:tcW w:w="987" w:type="dxa"/>
            <w:vMerge/>
          </w:tcPr>
          <w:p w14:paraId="633AD822" w14:textId="77777777" w:rsidR="00D65012" w:rsidRPr="00221992" w:rsidRDefault="00D65012" w:rsidP="00450FCE">
            <w:pPr>
              <w:pStyle w:val="TableText"/>
              <w:spacing w:before="0" w:after="0" w:line="240" w:lineRule="auto"/>
              <w:ind w:left="0" w:right="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lang w:val="en-GB"/>
              </w:rPr>
            </w:pPr>
          </w:p>
        </w:tc>
      </w:tr>
      <w:tr w:rsidR="00313425" w:rsidRPr="00221992" w14:paraId="37FAF7F5" w14:textId="77777777" w:rsidTr="43D3FA4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shd w:val="clear" w:color="auto" w:fill="1E8BCD"/>
          </w:tcPr>
          <w:p w14:paraId="1FB48E82" w14:textId="77777777" w:rsidR="00652D6D" w:rsidRPr="00221992" w:rsidRDefault="00652D6D" w:rsidP="00450FCE">
            <w:pPr>
              <w:pStyle w:val="TableText"/>
              <w:spacing w:before="0" w:after="0" w:line="240" w:lineRule="auto"/>
              <w:rPr>
                <w:sz w:val="20"/>
                <w:szCs w:val="20"/>
                <w:lang w:val="en-GB"/>
              </w:rPr>
            </w:pPr>
            <w:r w:rsidRPr="00221992">
              <w:rPr>
                <w:sz w:val="20"/>
                <w:szCs w:val="20"/>
                <w:lang w:val="en-GB"/>
              </w:rPr>
              <w:t>Australia</w:t>
            </w:r>
          </w:p>
        </w:tc>
        <w:tc>
          <w:tcPr>
            <w:tcW w:w="1134" w:type="dxa"/>
            <w:vAlign w:val="center"/>
          </w:tcPr>
          <w:p w14:paraId="6CCBC1DA" w14:textId="77777777" w:rsidR="00652D6D" w:rsidRPr="00221992" w:rsidRDefault="00652D6D" w:rsidP="00450FCE">
            <w:pPr>
              <w:pStyle w:val="TableText"/>
              <w:spacing w:before="0" w:after="0" w:line="240" w:lineRule="auto"/>
              <w:ind w:left="0" w:right="0"/>
              <w:jc w:val="center"/>
              <w:cnfStyle w:val="000000010000" w:firstRow="0" w:lastRow="0" w:firstColumn="0" w:lastColumn="0" w:oddVBand="0" w:evenVBand="0" w:oddHBand="0" w:evenHBand="1" w:firstRowFirstColumn="0" w:firstRowLastColumn="0" w:lastRowFirstColumn="0" w:lastRowLastColumn="0"/>
              <w:rPr>
                <w:rFonts w:ascii="Calibri" w:hAnsi="Calibri" w:cs="Calibri"/>
                <w:sz w:val="20"/>
                <w:szCs w:val="20"/>
                <w:lang w:val="en-GB"/>
              </w:rPr>
            </w:pPr>
            <w:r w:rsidRPr="00221992">
              <w:rPr>
                <w:rFonts w:ascii="Wingdings" w:eastAsia="Wingdings" w:hAnsi="Wingdings" w:cs="Wingdings"/>
                <w:sz w:val="20"/>
                <w:szCs w:val="20"/>
                <w:lang w:val="en-GB"/>
              </w:rPr>
              <w:t></w:t>
            </w:r>
          </w:p>
        </w:tc>
        <w:tc>
          <w:tcPr>
            <w:tcW w:w="1276" w:type="dxa"/>
            <w:vAlign w:val="center"/>
          </w:tcPr>
          <w:p w14:paraId="5FD8C3FA" w14:textId="77777777" w:rsidR="00652D6D" w:rsidRPr="00221992" w:rsidRDefault="00652D6D" w:rsidP="00450FCE">
            <w:pPr>
              <w:pStyle w:val="TableText"/>
              <w:spacing w:before="0" w:after="0" w:line="240" w:lineRule="auto"/>
              <w:ind w:left="0" w:right="0"/>
              <w:jc w:val="center"/>
              <w:cnfStyle w:val="000000010000" w:firstRow="0" w:lastRow="0" w:firstColumn="0" w:lastColumn="0" w:oddVBand="0" w:evenVBand="0" w:oddHBand="0" w:evenHBand="1" w:firstRowFirstColumn="0" w:firstRowLastColumn="0" w:lastRowFirstColumn="0" w:lastRowLastColumn="0"/>
              <w:rPr>
                <w:rFonts w:ascii="Calibri" w:hAnsi="Calibri" w:cs="Calibri"/>
                <w:sz w:val="20"/>
                <w:szCs w:val="20"/>
                <w:lang w:val="en-GB"/>
              </w:rPr>
            </w:pPr>
            <w:r w:rsidRPr="00221992">
              <w:rPr>
                <w:rFonts w:ascii="Wingdings" w:eastAsia="Wingdings" w:hAnsi="Wingdings" w:cs="Wingdings"/>
                <w:sz w:val="20"/>
                <w:szCs w:val="20"/>
                <w:lang w:val="en-GB"/>
              </w:rPr>
              <w:t></w:t>
            </w:r>
          </w:p>
        </w:tc>
        <w:tc>
          <w:tcPr>
            <w:tcW w:w="1134" w:type="dxa"/>
            <w:vAlign w:val="center"/>
          </w:tcPr>
          <w:p w14:paraId="19E32A5C" w14:textId="77777777" w:rsidR="00652D6D" w:rsidRPr="00221992" w:rsidRDefault="00652D6D" w:rsidP="00450FCE">
            <w:pPr>
              <w:pStyle w:val="TableText"/>
              <w:spacing w:before="0" w:after="0" w:line="240" w:lineRule="auto"/>
              <w:ind w:left="0" w:right="0"/>
              <w:jc w:val="center"/>
              <w:cnfStyle w:val="000000010000" w:firstRow="0" w:lastRow="0" w:firstColumn="0" w:lastColumn="0" w:oddVBand="0" w:evenVBand="0" w:oddHBand="0" w:evenHBand="1" w:firstRowFirstColumn="0" w:firstRowLastColumn="0" w:lastRowFirstColumn="0" w:lastRowLastColumn="0"/>
              <w:rPr>
                <w:rFonts w:ascii="Calibri" w:hAnsi="Calibri" w:cs="Calibri"/>
                <w:sz w:val="20"/>
                <w:szCs w:val="20"/>
                <w:lang w:val="en-GB"/>
              </w:rPr>
            </w:pPr>
          </w:p>
        </w:tc>
        <w:tc>
          <w:tcPr>
            <w:tcW w:w="1418" w:type="dxa"/>
            <w:vAlign w:val="center"/>
          </w:tcPr>
          <w:p w14:paraId="3ADCCB69" w14:textId="77777777" w:rsidR="00652D6D" w:rsidRPr="00221992" w:rsidRDefault="00652D6D" w:rsidP="00450FCE">
            <w:pPr>
              <w:pStyle w:val="TableText"/>
              <w:spacing w:before="0" w:after="0" w:line="240" w:lineRule="auto"/>
              <w:ind w:left="0" w:right="0"/>
              <w:jc w:val="center"/>
              <w:cnfStyle w:val="000000010000" w:firstRow="0" w:lastRow="0" w:firstColumn="0" w:lastColumn="0" w:oddVBand="0" w:evenVBand="0" w:oddHBand="0" w:evenHBand="1" w:firstRowFirstColumn="0" w:firstRowLastColumn="0" w:lastRowFirstColumn="0" w:lastRowLastColumn="0"/>
              <w:rPr>
                <w:rFonts w:ascii="Calibri" w:hAnsi="Calibri" w:cs="Calibri"/>
                <w:sz w:val="20"/>
                <w:szCs w:val="20"/>
                <w:lang w:val="en-GB"/>
              </w:rPr>
            </w:pPr>
            <w:r w:rsidRPr="00221992">
              <w:rPr>
                <w:rFonts w:ascii="Calibri" w:hAnsi="Calibri" w:cs="Calibri"/>
                <w:sz w:val="20"/>
                <w:szCs w:val="20"/>
                <w:lang w:val="en-GB"/>
              </w:rPr>
              <w:t>NI</w:t>
            </w:r>
          </w:p>
        </w:tc>
        <w:tc>
          <w:tcPr>
            <w:tcW w:w="1559" w:type="dxa"/>
            <w:vAlign w:val="center"/>
          </w:tcPr>
          <w:p w14:paraId="437459A1" w14:textId="6C0AB0D8" w:rsidR="00652D6D" w:rsidRPr="00221992" w:rsidRDefault="00652D6D" w:rsidP="00450FCE">
            <w:pPr>
              <w:pStyle w:val="TableText"/>
              <w:spacing w:before="0" w:after="0" w:line="240" w:lineRule="auto"/>
              <w:ind w:left="0" w:right="0"/>
              <w:jc w:val="center"/>
              <w:cnfStyle w:val="000000010000" w:firstRow="0" w:lastRow="0" w:firstColumn="0" w:lastColumn="0" w:oddVBand="0" w:evenVBand="0" w:oddHBand="0" w:evenHBand="1" w:firstRowFirstColumn="0" w:firstRowLastColumn="0" w:lastRowFirstColumn="0" w:lastRowLastColumn="0"/>
              <w:rPr>
                <w:rFonts w:ascii="Calibri" w:hAnsi="Calibri" w:cs="Calibri"/>
                <w:sz w:val="20"/>
                <w:szCs w:val="20"/>
                <w:lang w:val="en-GB"/>
              </w:rPr>
            </w:pPr>
            <w:r w:rsidRPr="00221992">
              <w:rPr>
                <w:rFonts w:ascii="Calibri" w:hAnsi="Calibri" w:cs="Calibri"/>
                <w:sz w:val="20"/>
                <w:szCs w:val="20"/>
                <w:lang w:val="en-GB"/>
              </w:rPr>
              <w:t>NI</w:t>
            </w:r>
          </w:p>
        </w:tc>
        <w:tc>
          <w:tcPr>
            <w:tcW w:w="987" w:type="dxa"/>
            <w:vAlign w:val="center"/>
          </w:tcPr>
          <w:p w14:paraId="619F5133" w14:textId="712F2CCD" w:rsidR="00652D6D" w:rsidRPr="00221992" w:rsidRDefault="00652D6D" w:rsidP="00450FCE">
            <w:pPr>
              <w:pStyle w:val="TableText"/>
              <w:spacing w:before="0" w:after="0" w:line="240" w:lineRule="auto"/>
              <w:ind w:left="0" w:right="0"/>
              <w:jc w:val="center"/>
              <w:cnfStyle w:val="000000010000" w:firstRow="0" w:lastRow="0" w:firstColumn="0" w:lastColumn="0" w:oddVBand="0" w:evenVBand="0" w:oddHBand="0" w:evenHBand="1" w:firstRowFirstColumn="0" w:firstRowLastColumn="0" w:lastRowFirstColumn="0" w:lastRowLastColumn="0"/>
              <w:rPr>
                <w:rFonts w:ascii="Calibri" w:hAnsi="Calibri" w:cs="Calibri"/>
                <w:sz w:val="20"/>
                <w:szCs w:val="20"/>
                <w:lang w:val="en-GB"/>
              </w:rPr>
            </w:pPr>
            <w:r w:rsidRPr="00221992">
              <w:rPr>
                <w:rFonts w:ascii="Calibri" w:hAnsi="Calibri" w:cs="Calibri"/>
                <w:sz w:val="20"/>
                <w:szCs w:val="20"/>
                <w:lang w:val="en-GB"/>
              </w:rPr>
              <w:t>17</w:t>
            </w:r>
          </w:p>
        </w:tc>
      </w:tr>
      <w:tr w:rsidR="00313425" w:rsidRPr="00221992" w14:paraId="0C14E895" w14:textId="77777777" w:rsidTr="43D3FA45">
        <w:tc>
          <w:tcPr>
            <w:cnfStyle w:val="001000000000" w:firstRow="0" w:lastRow="0" w:firstColumn="1" w:lastColumn="0" w:oddVBand="0" w:evenVBand="0" w:oddHBand="0" w:evenHBand="0" w:firstRowFirstColumn="0" w:firstRowLastColumn="0" w:lastRowFirstColumn="0" w:lastRowLastColumn="0"/>
            <w:tcW w:w="1696" w:type="dxa"/>
            <w:shd w:val="clear" w:color="auto" w:fill="1E8BCD"/>
          </w:tcPr>
          <w:p w14:paraId="32073118" w14:textId="16CCE09C" w:rsidR="00652D6D" w:rsidRPr="00221992" w:rsidRDefault="00652D6D" w:rsidP="00450FCE">
            <w:pPr>
              <w:pStyle w:val="TableText"/>
              <w:spacing w:before="0" w:after="0" w:line="240" w:lineRule="auto"/>
              <w:rPr>
                <w:sz w:val="20"/>
                <w:szCs w:val="20"/>
                <w:lang w:val="en-GB"/>
              </w:rPr>
            </w:pPr>
            <w:r w:rsidRPr="00221992">
              <w:rPr>
                <w:sz w:val="20"/>
                <w:szCs w:val="20"/>
                <w:lang w:val="en-GB"/>
              </w:rPr>
              <w:t>Belgium</w:t>
            </w:r>
          </w:p>
        </w:tc>
        <w:tc>
          <w:tcPr>
            <w:tcW w:w="1134" w:type="dxa"/>
            <w:vAlign w:val="center"/>
          </w:tcPr>
          <w:p w14:paraId="58F33D4F" w14:textId="77777777" w:rsidR="00652D6D" w:rsidRPr="00221992" w:rsidRDefault="00652D6D" w:rsidP="00450FCE">
            <w:pPr>
              <w:pStyle w:val="TableText"/>
              <w:spacing w:before="0" w:after="0" w:line="240" w:lineRule="auto"/>
              <w:ind w:left="0" w:right="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lang w:val="en-GB"/>
              </w:rPr>
            </w:pPr>
          </w:p>
        </w:tc>
        <w:tc>
          <w:tcPr>
            <w:tcW w:w="1276" w:type="dxa"/>
            <w:vAlign w:val="center"/>
          </w:tcPr>
          <w:p w14:paraId="0683E681" w14:textId="77777777" w:rsidR="00652D6D" w:rsidRPr="00221992" w:rsidRDefault="00652D6D" w:rsidP="00450FCE">
            <w:pPr>
              <w:pStyle w:val="TableText"/>
              <w:spacing w:before="0" w:after="0" w:line="240" w:lineRule="auto"/>
              <w:ind w:left="0" w:right="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lang w:val="en-GB"/>
              </w:rPr>
            </w:pPr>
            <w:r w:rsidRPr="00221992">
              <w:rPr>
                <w:rFonts w:ascii="Wingdings" w:eastAsia="Wingdings" w:hAnsi="Wingdings" w:cs="Wingdings"/>
                <w:sz w:val="20"/>
                <w:szCs w:val="20"/>
                <w:lang w:val="en-GB"/>
              </w:rPr>
              <w:t></w:t>
            </w:r>
          </w:p>
        </w:tc>
        <w:tc>
          <w:tcPr>
            <w:tcW w:w="1134" w:type="dxa"/>
            <w:vAlign w:val="center"/>
          </w:tcPr>
          <w:p w14:paraId="0D2E9E6F" w14:textId="77777777" w:rsidR="00652D6D" w:rsidRPr="00221992" w:rsidRDefault="00652D6D" w:rsidP="00450FCE">
            <w:pPr>
              <w:pStyle w:val="TableText"/>
              <w:spacing w:before="0" w:after="0" w:line="240" w:lineRule="auto"/>
              <w:ind w:left="0" w:right="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lang w:val="en-GB"/>
              </w:rPr>
            </w:pPr>
          </w:p>
        </w:tc>
        <w:tc>
          <w:tcPr>
            <w:tcW w:w="1418" w:type="dxa"/>
            <w:vAlign w:val="center"/>
          </w:tcPr>
          <w:p w14:paraId="5080CB4F" w14:textId="77777777" w:rsidR="00652D6D" w:rsidRPr="00221992" w:rsidRDefault="00652D6D" w:rsidP="00450FCE">
            <w:pPr>
              <w:pStyle w:val="TableText"/>
              <w:spacing w:before="0" w:after="0" w:line="240" w:lineRule="auto"/>
              <w:ind w:left="0" w:right="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lang w:val="en-GB"/>
              </w:rPr>
            </w:pPr>
            <w:r w:rsidRPr="00221992">
              <w:rPr>
                <w:rFonts w:ascii="Wingdings" w:eastAsia="Wingdings" w:hAnsi="Wingdings" w:cs="Wingdings"/>
                <w:sz w:val="20"/>
                <w:szCs w:val="20"/>
                <w:lang w:val="en-GB"/>
              </w:rPr>
              <w:t></w:t>
            </w:r>
          </w:p>
        </w:tc>
        <w:tc>
          <w:tcPr>
            <w:tcW w:w="1559" w:type="dxa"/>
            <w:vAlign w:val="center"/>
          </w:tcPr>
          <w:p w14:paraId="78047E5F" w14:textId="77777777" w:rsidR="00652D6D" w:rsidRPr="00221992" w:rsidRDefault="00652D6D" w:rsidP="00450FCE">
            <w:pPr>
              <w:pStyle w:val="TableText"/>
              <w:spacing w:before="0" w:after="0" w:line="240" w:lineRule="auto"/>
              <w:ind w:left="0" w:right="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lang w:val="en-GB"/>
              </w:rPr>
            </w:pPr>
            <w:r w:rsidRPr="00221992">
              <w:rPr>
                <w:rFonts w:ascii="Calibri" w:hAnsi="Calibri" w:cs="Calibri"/>
                <w:sz w:val="20"/>
                <w:szCs w:val="20"/>
                <w:lang w:val="en-GB"/>
              </w:rPr>
              <w:t>558</w:t>
            </w:r>
          </w:p>
        </w:tc>
        <w:tc>
          <w:tcPr>
            <w:tcW w:w="987" w:type="dxa"/>
            <w:vAlign w:val="center"/>
          </w:tcPr>
          <w:p w14:paraId="5F70F932" w14:textId="77777777" w:rsidR="00652D6D" w:rsidRPr="00221992" w:rsidRDefault="00652D6D" w:rsidP="00450FCE">
            <w:pPr>
              <w:pStyle w:val="TableText"/>
              <w:spacing w:before="0" w:after="0" w:line="240" w:lineRule="auto"/>
              <w:ind w:left="0" w:right="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lang w:val="en-GB"/>
              </w:rPr>
            </w:pPr>
            <w:r w:rsidRPr="00221992">
              <w:rPr>
                <w:rFonts w:ascii="Calibri" w:hAnsi="Calibri" w:cs="Calibri"/>
                <w:sz w:val="20"/>
                <w:szCs w:val="20"/>
                <w:lang w:val="en-GB"/>
              </w:rPr>
              <w:t>22</w:t>
            </w:r>
          </w:p>
        </w:tc>
      </w:tr>
      <w:tr w:rsidR="00313425" w:rsidRPr="00221992" w14:paraId="7DFEBF99" w14:textId="77777777" w:rsidTr="43D3FA4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shd w:val="clear" w:color="auto" w:fill="1E8BCD"/>
          </w:tcPr>
          <w:p w14:paraId="192B4172" w14:textId="77777777" w:rsidR="00652D6D" w:rsidRPr="00221992" w:rsidRDefault="00652D6D" w:rsidP="00450FCE">
            <w:pPr>
              <w:pStyle w:val="TableText"/>
              <w:spacing w:before="0" w:after="0" w:line="240" w:lineRule="auto"/>
              <w:rPr>
                <w:sz w:val="20"/>
                <w:szCs w:val="20"/>
                <w:lang w:val="en-GB"/>
              </w:rPr>
            </w:pPr>
            <w:r w:rsidRPr="00221992">
              <w:rPr>
                <w:sz w:val="20"/>
                <w:szCs w:val="20"/>
                <w:lang w:val="en-GB"/>
              </w:rPr>
              <w:t>Canada</w:t>
            </w:r>
          </w:p>
        </w:tc>
        <w:tc>
          <w:tcPr>
            <w:tcW w:w="1134" w:type="dxa"/>
            <w:vAlign w:val="center"/>
          </w:tcPr>
          <w:p w14:paraId="2B7A776D" w14:textId="77777777" w:rsidR="00652D6D" w:rsidRPr="00221992" w:rsidRDefault="00652D6D" w:rsidP="00450FCE">
            <w:pPr>
              <w:pStyle w:val="TableText"/>
              <w:spacing w:before="0" w:after="0" w:line="240" w:lineRule="auto"/>
              <w:ind w:left="0" w:right="0"/>
              <w:jc w:val="center"/>
              <w:cnfStyle w:val="000000010000" w:firstRow="0" w:lastRow="0" w:firstColumn="0" w:lastColumn="0" w:oddVBand="0" w:evenVBand="0" w:oddHBand="0" w:evenHBand="1" w:firstRowFirstColumn="0" w:firstRowLastColumn="0" w:lastRowFirstColumn="0" w:lastRowLastColumn="0"/>
              <w:rPr>
                <w:rFonts w:ascii="Calibri" w:hAnsi="Calibri" w:cs="Calibri"/>
                <w:sz w:val="20"/>
                <w:szCs w:val="20"/>
                <w:lang w:val="en-GB"/>
              </w:rPr>
            </w:pPr>
          </w:p>
        </w:tc>
        <w:tc>
          <w:tcPr>
            <w:tcW w:w="1276" w:type="dxa"/>
            <w:vAlign w:val="center"/>
          </w:tcPr>
          <w:p w14:paraId="14444F3E" w14:textId="77777777" w:rsidR="00652D6D" w:rsidRPr="00221992" w:rsidRDefault="00652D6D" w:rsidP="00450FCE">
            <w:pPr>
              <w:pStyle w:val="TableText"/>
              <w:spacing w:before="0" w:after="0" w:line="240" w:lineRule="auto"/>
              <w:ind w:left="0" w:right="0"/>
              <w:jc w:val="center"/>
              <w:cnfStyle w:val="000000010000" w:firstRow="0" w:lastRow="0" w:firstColumn="0" w:lastColumn="0" w:oddVBand="0" w:evenVBand="0" w:oddHBand="0" w:evenHBand="1" w:firstRowFirstColumn="0" w:firstRowLastColumn="0" w:lastRowFirstColumn="0" w:lastRowLastColumn="0"/>
              <w:rPr>
                <w:rFonts w:ascii="Calibri" w:hAnsi="Calibri" w:cs="Calibri"/>
                <w:sz w:val="20"/>
                <w:szCs w:val="20"/>
                <w:lang w:val="en-GB"/>
              </w:rPr>
            </w:pPr>
          </w:p>
        </w:tc>
        <w:tc>
          <w:tcPr>
            <w:tcW w:w="1134" w:type="dxa"/>
            <w:vAlign w:val="center"/>
          </w:tcPr>
          <w:p w14:paraId="1BA0AB4F" w14:textId="77777777" w:rsidR="00652D6D" w:rsidRPr="00221992" w:rsidRDefault="00652D6D" w:rsidP="00450FCE">
            <w:pPr>
              <w:pStyle w:val="TableText"/>
              <w:spacing w:before="0" w:after="0" w:line="240" w:lineRule="auto"/>
              <w:ind w:left="0" w:right="0"/>
              <w:jc w:val="center"/>
              <w:cnfStyle w:val="000000010000" w:firstRow="0" w:lastRow="0" w:firstColumn="0" w:lastColumn="0" w:oddVBand="0" w:evenVBand="0" w:oddHBand="0" w:evenHBand="1" w:firstRowFirstColumn="0" w:firstRowLastColumn="0" w:lastRowFirstColumn="0" w:lastRowLastColumn="0"/>
              <w:rPr>
                <w:rFonts w:ascii="Calibri" w:hAnsi="Calibri" w:cs="Calibri"/>
                <w:sz w:val="20"/>
                <w:szCs w:val="20"/>
                <w:vertAlign w:val="superscript"/>
                <w:lang w:val="en-GB"/>
              </w:rPr>
            </w:pPr>
            <w:r w:rsidRPr="00221992">
              <w:rPr>
                <w:rFonts w:ascii="Wingdings" w:eastAsia="Wingdings" w:hAnsi="Wingdings" w:cs="Wingdings"/>
                <w:sz w:val="20"/>
                <w:szCs w:val="20"/>
                <w:lang w:val="en-GB"/>
              </w:rPr>
              <w:t></w:t>
            </w:r>
            <w:r w:rsidRPr="00221992">
              <w:rPr>
                <w:rFonts w:ascii="Calibri" w:hAnsi="Calibri" w:cs="Calibri"/>
                <w:sz w:val="20"/>
                <w:szCs w:val="20"/>
                <w:vertAlign w:val="superscript"/>
                <w:lang w:val="en-GB"/>
              </w:rPr>
              <w:t>1</w:t>
            </w:r>
          </w:p>
        </w:tc>
        <w:tc>
          <w:tcPr>
            <w:tcW w:w="1418" w:type="dxa"/>
            <w:vAlign w:val="center"/>
          </w:tcPr>
          <w:p w14:paraId="7DD8A87F" w14:textId="77777777" w:rsidR="00652D6D" w:rsidRPr="00221992" w:rsidRDefault="00652D6D" w:rsidP="00450FCE">
            <w:pPr>
              <w:pStyle w:val="TableText"/>
              <w:spacing w:before="0" w:after="0" w:line="240" w:lineRule="auto"/>
              <w:ind w:left="0" w:right="0"/>
              <w:jc w:val="center"/>
              <w:cnfStyle w:val="000000010000" w:firstRow="0" w:lastRow="0" w:firstColumn="0" w:lastColumn="0" w:oddVBand="0" w:evenVBand="0" w:oddHBand="0" w:evenHBand="1" w:firstRowFirstColumn="0" w:firstRowLastColumn="0" w:lastRowFirstColumn="0" w:lastRowLastColumn="0"/>
              <w:rPr>
                <w:rFonts w:ascii="Calibri" w:hAnsi="Calibri" w:cs="Calibri"/>
                <w:sz w:val="20"/>
                <w:szCs w:val="20"/>
                <w:lang w:val="en-GB"/>
              </w:rPr>
            </w:pPr>
            <w:r w:rsidRPr="00221992">
              <w:rPr>
                <w:rFonts w:ascii="Wingdings" w:eastAsia="Wingdings" w:hAnsi="Wingdings" w:cs="Wingdings"/>
                <w:sz w:val="20"/>
                <w:szCs w:val="20"/>
                <w:lang w:val="en-GB"/>
              </w:rPr>
              <w:t></w:t>
            </w:r>
          </w:p>
        </w:tc>
        <w:tc>
          <w:tcPr>
            <w:tcW w:w="1559" w:type="dxa"/>
            <w:vAlign w:val="center"/>
          </w:tcPr>
          <w:p w14:paraId="7BC5162E" w14:textId="77777777" w:rsidR="00652D6D" w:rsidRPr="00221992" w:rsidRDefault="00652D6D" w:rsidP="00450FCE">
            <w:pPr>
              <w:pStyle w:val="TableText"/>
              <w:spacing w:before="0" w:after="0" w:line="240" w:lineRule="auto"/>
              <w:ind w:left="0" w:right="0"/>
              <w:jc w:val="center"/>
              <w:cnfStyle w:val="000000010000" w:firstRow="0" w:lastRow="0" w:firstColumn="0" w:lastColumn="0" w:oddVBand="0" w:evenVBand="0" w:oddHBand="0" w:evenHBand="1" w:firstRowFirstColumn="0" w:firstRowLastColumn="0" w:lastRowFirstColumn="0" w:lastRowLastColumn="0"/>
              <w:rPr>
                <w:rFonts w:ascii="Calibri" w:hAnsi="Calibri" w:cs="Calibri"/>
                <w:sz w:val="20"/>
                <w:szCs w:val="20"/>
                <w:lang w:val="en-GB"/>
              </w:rPr>
            </w:pPr>
            <w:r w:rsidRPr="00221992">
              <w:rPr>
                <w:rFonts w:ascii="Calibri" w:hAnsi="Calibri" w:cs="Calibri"/>
                <w:sz w:val="20"/>
                <w:szCs w:val="20"/>
                <w:lang w:val="en-GB"/>
              </w:rPr>
              <w:t>733</w:t>
            </w:r>
          </w:p>
        </w:tc>
        <w:tc>
          <w:tcPr>
            <w:tcW w:w="987" w:type="dxa"/>
            <w:vAlign w:val="center"/>
          </w:tcPr>
          <w:p w14:paraId="52F0E144" w14:textId="700CE21F" w:rsidR="00652D6D" w:rsidRPr="00221992" w:rsidRDefault="00652D6D" w:rsidP="00450FCE">
            <w:pPr>
              <w:pStyle w:val="TableText"/>
              <w:spacing w:before="0" w:after="0" w:line="240" w:lineRule="auto"/>
              <w:ind w:left="0" w:right="0"/>
              <w:jc w:val="center"/>
              <w:cnfStyle w:val="000000010000" w:firstRow="0" w:lastRow="0" w:firstColumn="0" w:lastColumn="0" w:oddVBand="0" w:evenVBand="0" w:oddHBand="0" w:evenHBand="1" w:firstRowFirstColumn="0" w:firstRowLastColumn="0" w:lastRowFirstColumn="0" w:lastRowLastColumn="0"/>
              <w:rPr>
                <w:rFonts w:ascii="Calibri" w:hAnsi="Calibri" w:cs="Calibri"/>
                <w:sz w:val="20"/>
                <w:szCs w:val="20"/>
                <w:lang w:val="en-GB"/>
              </w:rPr>
            </w:pPr>
            <w:r w:rsidRPr="00221992">
              <w:rPr>
                <w:rFonts w:ascii="Calibri" w:hAnsi="Calibri" w:cs="Calibri"/>
                <w:sz w:val="20"/>
                <w:szCs w:val="20"/>
                <w:lang w:val="en-GB"/>
              </w:rPr>
              <w:t>NI</w:t>
            </w:r>
          </w:p>
        </w:tc>
      </w:tr>
      <w:tr w:rsidR="00313425" w:rsidRPr="00221992" w14:paraId="33121E5E" w14:textId="77777777" w:rsidTr="43D3FA45">
        <w:tc>
          <w:tcPr>
            <w:cnfStyle w:val="001000000000" w:firstRow="0" w:lastRow="0" w:firstColumn="1" w:lastColumn="0" w:oddVBand="0" w:evenVBand="0" w:oddHBand="0" w:evenHBand="0" w:firstRowFirstColumn="0" w:firstRowLastColumn="0" w:lastRowFirstColumn="0" w:lastRowLastColumn="0"/>
            <w:tcW w:w="1696" w:type="dxa"/>
            <w:shd w:val="clear" w:color="auto" w:fill="1E8BCD"/>
          </w:tcPr>
          <w:p w14:paraId="31093EE1" w14:textId="0112139B" w:rsidR="00652D6D" w:rsidRPr="00221992" w:rsidRDefault="00652D6D" w:rsidP="00450FCE">
            <w:pPr>
              <w:pStyle w:val="TableText"/>
              <w:spacing w:before="0" w:after="0" w:line="240" w:lineRule="auto"/>
              <w:rPr>
                <w:sz w:val="20"/>
                <w:szCs w:val="20"/>
                <w:lang w:val="en-GB"/>
              </w:rPr>
            </w:pPr>
            <w:r w:rsidRPr="00221992">
              <w:rPr>
                <w:sz w:val="20"/>
                <w:szCs w:val="20"/>
                <w:lang w:val="en-GB"/>
              </w:rPr>
              <w:t>England</w:t>
            </w:r>
            <w:r w:rsidR="00213502" w:rsidRPr="00221992">
              <w:rPr>
                <w:sz w:val="20"/>
                <w:szCs w:val="20"/>
                <w:lang w:val="en-GB"/>
              </w:rPr>
              <w:t>/Wales</w:t>
            </w:r>
          </w:p>
        </w:tc>
        <w:tc>
          <w:tcPr>
            <w:tcW w:w="1134" w:type="dxa"/>
            <w:vAlign w:val="center"/>
          </w:tcPr>
          <w:p w14:paraId="4ABDFF9A" w14:textId="77777777" w:rsidR="00652D6D" w:rsidRPr="00221992" w:rsidRDefault="00652D6D" w:rsidP="00450FCE">
            <w:pPr>
              <w:pStyle w:val="TableText"/>
              <w:spacing w:before="0" w:after="0" w:line="240" w:lineRule="auto"/>
              <w:ind w:left="0" w:right="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lang w:val="en-GB"/>
              </w:rPr>
            </w:pPr>
            <w:r w:rsidRPr="00221992">
              <w:rPr>
                <w:rFonts w:ascii="Wingdings" w:eastAsia="Wingdings" w:hAnsi="Wingdings" w:cs="Wingdings"/>
                <w:sz w:val="20"/>
                <w:szCs w:val="20"/>
                <w:lang w:val="en-GB"/>
              </w:rPr>
              <w:t></w:t>
            </w:r>
          </w:p>
        </w:tc>
        <w:tc>
          <w:tcPr>
            <w:tcW w:w="1276" w:type="dxa"/>
            <w:vAlign w:val="center"/>
          </w:tcPr>
          <w:p w14:paraId="760383D2" w14:textId="77777777" w:rsidR="00652D6D" w:rsidRPr="00221992" w:rsidRDefault="00652D6D" w:rsidP="00450FCE">
            <w:pPr>
              <w:pStyle w:val="TableText"/>
              <w:spacing w:before="0" w:after="0" w:line="240" w:lineRule="auto"/>
              <w:ind w:left="0" w:right="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lang w:val="en-GB"/>
              </w:rPr>
            </w:pPr>
            <w:r w:rsidRPr="00221992">
              <w:rPr>
                <w:rFonts w:ascii="Wingdings" w:eastAsia="Wingdings" w:hAnsi="Wingdings" w:cs="Wingdings"/>
                <w:sz w:val="20"/>
                <w:szCs w:val="20"/>
                <w:lang w:val="en-GB"/>
              </w:rPr>
              <w:t></w:t>
            </w:r>
          </w:p>
        </w:tc>
        <w:tc>
          <w:tcPr>
            <w:tcW w:w="1134" w:type="dxa"/>
            <w:vAlign w:val="center"/>
          </w:tcPr>
          <w:p w14:paraId="7FE4F710" w14:textId="77777777" w:rsidR="00652D6D" w:rsidRPr="00221992" w:rsidRDefault="00652D6D" w:rsidP="00450FCE">
            <w:pPr>
              <w:pStyle w:val="TableText"/>
              <w:spacing w:before="0" w:after="0" w:line="240" w:lineRule="auto"/>
              <w:ind w:left="0" w:right="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lang w:val="en-GB"/>
              </w:rPr>
            </w:pPr>
          </w:p>
        </w:tc>
        <w:tc>
          <w:tcPr>
            <w:tcW w:w="1418" w:type="dxa"/>
            <w:vAlign w:val="center"/>
          </w:tcPr>
          <w:p w14:paraId="0DE710AF" w14:textId="77777777" w:rsidR="00652D6D" w:rsidRPr="00221992" w:rsidRDefault="00652D6D" w:rsidP="00450FCE">
            <w:pPr>
              <w:pStyle w:val="TableText"/>
              <w:spacing w:before="0" w:after="0" w:line="240" w:lineRule="auto"/>
              <w:ind w:left="0" w:right="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lang w:val="en-GB"/>
              </w:rPr>
            </w:pPr>
            <w:r w:rsidRPr="00221992">
              <w:rPr>
                <w:rFonts w:ascii="Wingdings" w:eastAsia="Wingdings" w:hAnsi="Wingdings" w:cs="Wingdings"/>
                <w:sz w:val="20"/>
                <w:szCs w:val="20"/>
                <w:lang w:val="en-GB"/>
              </w:rPr>
              <w:t></w:t>
            </w:r>
          </w:p>
        </w:tc>
        <w:tc>
          <w:tcPr>
            <w:tcW w:w="1559" w:type="dxa"/>
            <w:vAlign w:val="center"/>
          </w:tcPr>
          <w:p w14:paraId="7477C464" w14:textId="77777777" w:rsidR="00652D6D" w:rsidRPr="00221992" w:rsidRDefault="00652D6D" w:rsidP="00450FCE">
            <w:pPr>
              <w:pStyle w:val="TableText"/>
              <w:spacing w:before="0" w:after="0" w:line="240" w:lineRule="auto"/>
              <w:ind w:left="0" w:right="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lang w:val="en-GB"/>
              </w:rPr>
            </w:pPr>
            <w:r w:rsidRPr="00221992">
              <w:rPr>
                <w:rFonts w:ascii="Calibri" w:hAnsi="Calibri" w:cs="Calibri"/>
                <w:sz w:val="20"/>
                <w:szCs w:val="20"/>
                <w:lang w:val="en-GB"/>
              </w:rPr>
              <w:t>317</w:t>
            </w:r>
          </w:p>
        </w:tc>
        <w:tc>
          <w:tcPr>
            <w:tcW w:w="987" w:type="dxa"/>
            <w:vAlign w:val="center"/>
          </w:tcPr>
          <w:p w14:paraId="31B620B9" w14:textId="77777777" w:rsidR="00652D6D" w:rsidRPr="00221992" w:rsidRDefault="00652D6D" w:rsidP="00450FCE">
            <w:pPr>
              <w:pStyle w:val="TableText"/>
              <w:spacing w:before="0" w:after="0" w:line="240" w:lineRule="auto"/>
              <w:ind w:left="0" w:right="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lang w:val="en-GB"/>
              </w:rPr>
            </w:pPr>
            <w:r w:rsidRPr="00221992">
              <w:rPr>
                <w:rFonts w:ascii="Calibri" w:hAnsi="Calibri" w:cs="Calibri"/>
                <w:sz w:val="20"/>
                <w:szCs w:val="20"/>
                <w:lang w:val="en-GB"/>
              </w:rPr>
              <w:t>36</w:t>
            </w:r>
          </w:p>
        </w:tc>
      </w:tr>
      <w:tr w:rsidR="00313425" w:rsidRPr="00221992" w14:paraId="56933EC5" w14:textId="77777777" w:rsidTr="43D3FA4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shd w:val="clear" w:color="auto" w:fill="1E8BCD"/>
          </w:tcPr>
          <w:p w14:paraId="5923C8B9" w14:textId="77777777" w:rsidR="00652D6D" w:rsidRPr="00221992" w:rsidRDefault="00652D6D" w:rsidP="00450FCE">
            <w:pPr>
              <w:pStyle w:val="TableText"/>
              <w:spacing w:before="0" w:after="0" w:line="240" w:lineRule="auto"/>
              <w:rPr>
                <w:sz w:val="20"/>
                <w:szCs w:val="20"/>
                <w:lang w:val="en-GB"/>
              </w:rPr>
            </w:pPr>
            <w:r w:rsidRPr="00221992">
              <w:rPr>
                <w:sz w:val="20"/>
                <w:szCs w:val="20"/>
                <w:lang w:val="en-GB"/>
              </w:rPr>
              <w:t>France</w:t>
            </w:r>
          </w:p>
        </w:tc>
        <w:tc>
          <w:tcPr>
            <w:tcW w:w="1134" w:type="dxa"/>
            <w:vAlign w:val="center"/>
          </w:tcPr>
          <w:p w14:paraId="4CD85379" w14:textId="77777777" w:rsidR="00652D6D" w:rsidRPr="00221992" w:rsidRDefault="00652D6D" w:rsidP="00450FCE">
            <w:pPr>
              <w:pStyle w:val="TableText"/>
              <w:spacing w:before="0" w:after="0" w:line="240" w:lineRule="auto"/>
              <w:ind w:left="0" w:right="0"/>
              <w:jc w:val="center"/>
              <w:cnfStyle w:val="000000010000" w:firstRow="0" w:lastRow="0" w:firstColumn="0" w:lastColumn="0" w:oddVBand="0" w:evenVBand="0" w:oddHBand="0" w:evenHBand="1" w:firstRowFirstColumn="0" w:firstRowLastColumn="0" w:lastRowFirstColumn="0" w:lastRowLastColumn="0"/>
              <w:rPr>
                <w:rFonts w:ascii="Calibri" w:hAnsi="Calibri" w:cs="Calibri"/>
                <w:sz w:val="20"/>
                <w:szCs w:val="20"/>
                <w:lang w:val="en-GB"/>
              </w:rPr>
            </w:pPr>
          </w:p>
        </w:tc>
        <w:tc>
          <w:tcPr>
            <w:tcW w:w="1276" w:type="dxa"/>
            <w:vAlign w:val="center"/>
          </w:tcPr>
          <w:p w14:paraId="220722E0" w14:textId="77777777" w:rsidR="00652D6D" w:rsidRPr="00221992" w:rsidRDefault="00652D6D" w:rsidP="00450FCE">
            <w:pPr>
              <w:pStyle w:val="TableText"/>
              <w:spacing w:before="0" w:after="0" w:line="240" w:lineRule="auto"/>
              <w:ind w:left="0" w:right="0"/>
              <w:jc w:val="center"/>
              <w:cnfStyle w:val="000000010000" w:firstRow="0" w:lastRow="0" w:firstColumn="0" w:lastColumn="0" w:oddVBand="0" w:evenVBand="0" w:oddHBand="0" w:evenHBand="1" w:firstRowFirstColumn="0" w:firstRowLastColumn="0" w:lastRowFirstColumn="0" w:lastRowLastColumn="0"/>
              <w:rPr>
                <w:rFonts w:ascii="Calibri" w:hAnsi="Calibri" w:cs="Calibri"/>
                <w:sz w:val="20"/>
                <w:szCs w:val="20"/>
                <w:lang w:val="en-GB"/>
              </w:rPr>
            </w:pPr>
            <w:r w:rsidRPr="00221992">
              <w:rPr>
                <w:rFonts w:ascii="Wingdings" w:eastAsia="Wingdings" w:hAnsi="Wingdings" w:cs="Wingdings"/>
                <w:sz w:val="20"/>
                <w:szCs w:val="20"/>
                <w:lang w:val="en-GB"/>
              </w:rPr>
              <w:t></w:t>
            </w:r>
          </w:p>
        </w:tc>
        <w:tc>
          <w:tcPr>
            <w:tcW w:w="1134" w:type="dxa"/>
            <w:vAlign w:val="center"/>
          </w:tcPr>
          <w:p w14:paraId="06D19DA8" w14:textId="77777777" w:rsidR="00652D6D" w:rsidRPr="00221992" w:rsidRDefault="00652D6D" w:rsidP="00450FCE">
            <w:pPr>
              <w:pStyle w:val="TableText"/>
              <w:spacing w:before="0" w:after="0" w:line="240" w:lineRule="auto"/>
              <w:ind w:left="0" w:right="0"/>
              <w:jc w:val="center"/>
              <w:cnfStyle w:val="000000010000" w:firstRow="0" w:lastRow="0" w:firstColumn="0" w:lastColumn="0" w:oddVBand="0" w:evenVBand="0" w:oddHBand="0" w:evenHBand="1" w:firstRowFirstColumn="0" w:firstRowLastColumn="0" w:lastRowFirstColumn="0" w:lastRowLastColumn="0"/>
              <w:rPr>
                <w:rFonts w:ascii="Calibri" w:hAnsi="Calibri" w:cs="Calibri"/>
                <w:sz w:val="20"/>
                <w:szCs w:val="20"/>
                <w:lang w:val="en-GB"/>
              </w:rPr>
            </w:pPr>
          </w:p>
        </w:tc>
        <w:tc>
          <w:tcPr>
            <w:tcW w:w="1418" w:type="dxa"/>
            <w:vAlign w:val="center"/>
          </w:tcPr>
          <w:p w14:paraId="3299E4F0" w14:textId="77777777" w:rsidR="00652D6D" w:rsidRPr="00221992" w:rsidRDefault="00652D6D" w:rsidP="00450FCE">
            <w:pPr>
              <w:pStyle w:val="TableText"/>
              <w:spacing w:before="0" w:after="0" w:line="240" w:lineRule="auto"/>
              <w:ind w:left="0" w:right="0"/>
              <w:jc w:val="center"/>
              <w:cnfStyle w:val="000000010000" w:firstRow="0" w:lastRow="0" w:firstColumn="0" w:lastColumn="0" w:oddVBand="0" w:evenVBand="0" w:oddHBand="0" w:evenHBand="1" w:firstRowFirstColumn="0" w:firstRowLastColumn="0" w:lastRowFirstColumn="0" w:lastRowLastColumn="0"/>
              <w:rPr>
                <w:rFonts w:ascii="Calibri" w:hAnsi="Calibri" w:cs="Calibri"/>
                <w:sz w:val="20"/>
                <w:szCs w:val="20"/>
                <w:lang w:val="en-GB"/>
              </w:rPr>
            </w:pPr>
            <w:r w:rsidRPr="00221992">
              <w:rPr>
                <w:rFonts w:ascii="Wingdings" w:eastAsia="Wingdings" w:hAnsi="Wingdings" w:cs="Wingdings"/>
                <w:sz w:val="20"/>
                <w:szCs w:val="20"/>
                <w:lang w:val="en-GB"/>
              </w:rPr>
              <w:t></w:t>
            </w:r>
          </w:p>
        </w:tc>
        <w:tc>
          <w:tcPr>
            <w:tcW w:w="1559" w:type="dxa"/>
            <w:vAlign w:val="center"/>
          </w:tcPr>
          <w:p w14:paraId="54F099C9" w14:textId="77777777" w:rsidR="00652D6D" w:rsidRPr="00221992" w:rsidRDefault="00652D6D" w:rsidP="00450FCE">
            <w:pPr>
              <w:pStyle w:val="TableText"/>
              <w:spacing w:before="0" w:after="0" w:line="240" w:lineRule="auto"/>
              <w:ind w:left="0" w:right="0"/>
              <w:jc w:val="center"/>
              <w:cnfStyle w:val="000000010000" w:firstRow="0" w:lastRow="0" w:firstColumn="0" w:lastColumn="0" w:oddVBand="0" w:evenVBand="0" w:oddHBand="0" w:evenHBand="1" w:firstRowFirstColumn="0" w:firstRowLastColumn="0" w:lastRowFirstColumn="0" w:lastRowLastColumn="0"/>
              <w:rPr>
                <w:rFonts w:ascii="Calibri" w:hAnsi="Calibri" w:cs="Calibri"/>
                <w:sz w:val="20"/>
                <w:szCs w:val="20"/>
                <w:lang w:val="en-GB"/>
              </w:rPr>
            </w:pPr>
            <w:r w:rsidRPr="00221992">
              <w:rPr>
                <w:rFonts w:ascii="Calibri" w:hAnsi="Calibri" w:cs="Calibri"/>
                <w:sz w:val="20"/>
                <w:szCs w:val="20"/>
                <w:lang w:val="en-GB"/>
              </w:rPr>
              <w:t>593</w:t>
            </w:r>
          </w:p>
        </w:tc>
        <w:tc>
          <w:tcPr>
            <w:tcW w:w="987" w:type="dxa"/>
            <w:vAlign w:val="center"/>
          </w:tcPr>
          <w:p w14:paraId="2D48A29D" w14:textId="77777777" w:rsidR="00652D6D" w:rsidRPr="00221992" w:rsidRDefault="00652D6D" w:rsidP="00450FCE">
            <w:pPr>
              <w:pStyle w:val="TableText"/>
              <w:spacing w:before="0" w:after="0" w:line="240" w:lineRule="auto"/>
              <w:ind w:left="0" w:right="0"/>
              <w:jc w:val="center"/>
              <w:cnfStyle w:val="000000010000" w:firstRow="0" w:lastRow="0" w:firstColumn="0" w:lastColumn="0" w:oddVBand="0" w:evenVBand="0" w:oddHBand="0" w:evenHBand="1" w:firstRowFirstColumn="0" w:firstRowLastColumn="0" w:lastRowFirstColumn="0" w:lastRowLastColumn="0"/>
              <w:rPr>
                <w:rFonts w:ascii="Calibri" w:hAnsi="Calibri" w:cs="Calibri"/>
                <w:sz w:val="20"/>
                <w:szCs w:val="20"/>
                <w:lang w:val="en-GB"/>
              </w:rPr>
            </w:pPr>
            <w:r w:rsidRPr="00221992">
              <w:rPr>
                <w:rFonts w:ascii="Calibri" w:hAnsi="Calibri" w:cs="Calibri"/>
                <w:sz w:val="20"/>
                <w:szCs w:val="20"/>
                <w:lang w:val="en-GB"/>
              </w:rPr>
              <w:t>48</w:t>
            </w:r>
          </w:p>
        </w:tc>
      </w:tr>
      <w:tr w:rsidR="00313425" w:rsidRPr="00221992" w14:paraId="250E78CA" w14:textId="77777777" w:rsidTr="43D3FA45">
        <w:tc>
          <w:tcPr>
            <w:cnfStyle w:val="001000000000" w:firstRow="0" w:lastRow="0" w:firstColumn="1" w:lastColumn="0" w:oddVBand="0" w:evenVBand="0" w:oddHBand="0" w:evenHBand="0" w:firstRowFirstColumn="0" w:firstRowLastColumn="0" w:lastRowFirstColumn="0" w:lastRowLastColumn="0"/>
            <w:tcW w:w="1696" w:type="dxa"/>
            <w:shd w:val="clear" w:color="auto" w:fill="1E8BCD"/>
          </w:tcPr>
          <w:p w14:paraId="69DBEE52" w14:textId="77777777" w:rsidR="00652D6D" w:rsidRPr="00221992" w:rsidRDefault="00652D6D" w:rsidP="00450FCE">
            <w:pPr>
              <w:pStyle w:val="TableText"/>
              <w:spacing w:before="0" w:after="0" w:line="240" w:lineRule="auto"/>
              <w:rPr>
                <w:sz w:val="20"/>
                <w:szCs w:val="20"/>
                <w:lang w:val="en-GB"/>
              </w:rPr>
            </w:pPr>
            <w:r w:rsidRPr="00221992">
              <w:rPr>
                <w:sz w:val="20"/>
                <w:szCs w:val="20"/>
                <w:lang w:val="en-GB"/>
              </w:rPr>
              <w:t>Germany</w:t>
            </w:r>
          </w:p>
        </w:tc>
        <w:tc>
          <w:tcPr>
            <w:tcW w:w="1134" w:type="dxa"/>
            <w:vAlign w:val="center"/>
          </w:tcPr>
          <w:p w14:paraId="3552A910" w14:textId="77777777" w:rsidR="00652D6D" w:rsidRPr="00221992" w:rsidRDefault="00652D6D" w:rsidP="00450FCE">
            <w:pPr>
              <w:pStyle w:val="TableText"/>
              <w:spacing w:before="0" w:after="0" w:line="240" w:lineRule="auto"/>
              <w:ind w:left="0" w:right="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lang w:val="en-GB"/>
              </w:rPr>
            </w:pPr>
          </w:p>
        </w:tc>
        <w:tc>
          <w:tcPr>
            <w:tcW w:w="1276" w:type="dxa"/>
            <w:vAlign w:val="center"/>
          </w:tcPr>
          <w:p w14:paraId="3F2CAC85" w14:textId="77777777" w:rsidR="00652D6D" w:rsidRPr="00221992" w:rsidRDefault="00652D6D" w:rsidP="00450FCE">
            <w:pPr>
              <w:pStyle w:val="TableText"/>
              <w:spacing w:before="0" w:after="0" w:line="240" w:lineRule="auto"/>
              <w:ind w:left="0" w:right="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lang w:val="en-GB"/>
              </w:rPr>
            </w:pPr>
            <w:r w:rsidRPr="00221992">
              <w:rPr>
                <w:rFonts w:ascii="Wingdings" w:eastAsia="Wingdings" w:hAnsi="Wingdings" w:cs="Wingdings"/>
                <w:sz w:val="20"/>
                <w:szCs w:val="20"/>
                <w:lang w:val="en-GB"/>
              </w:rPr>
              <w:t></w:t>
            </w:r>
          </w:p>
        </w:tc>
        <w:tc>
          <w:tcPr>
            <w:tcW w:w="1134" w:type="dxa"/>
            <w:vAlign w:val="center"/>
          </w:tcPr>
          <w:p w14:paraId="2FE33EC3" w14:textId="77777777" w:rsidR="00652D6D" w:rsidRPr="00221992" w:rsidRDefault="00652D6D" w:rsidP="00450FCE">
            <w:pPr>
              <w:pStyle w:val="TableText"/>
              <w:spacing w:before="0" w:after="0" w:line="240" w:lineRule="auto"/>
              <w:ind w:left="0" w:right="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lang w:val="en-GB"/>
              </w:rPr>
            </w:pPr>
          </w:p>
        </w:tc>
        <w:tc>
          <w:tcPr>
            <w:tcW w:w="1418" w:type="dxa"/>
            <w:vAlign w:val="center"/>
          </w:tcPr>
          <w:p w14:paraId="3BEB8D84" w14:textId="77777777" w:rsidR="00652D6D" w:rsidRPr="00221992" w:rsidRDefault="00652D6D" w:rsidP="00450FCE">
            <w:pPr>
              <w:pStyle w:val="TableText"/>
              <w:spacing w:before="0" w:after="0" w:line="240" w:lineRule="auto"/>
              <w:ind w:left="0" w:right="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lang w:val="en-GB"/>
              </w:rPr>
            </w:pPr>
            <w:r w:rsidRPr="00221992">
              <w:rPr>
                <w:rFonts w:ascii="Calibri" w:hAnsi="Calibri" w:cs="Calibri"/>
                <w:sz w:val="20"/>
                <w:szCs w:val="20"/>
                <w:lang w:val="en-GB"/>
              </w:rPr>
              <w:t>NI</w:t>
            </w:r>
          </w:p>
        </w:tc>
        <w:tc>
          <w:tcPr>
            <w:tcW w:w="1559" w:type="dxa"/>
            <w:vAlign w:val="center"/>
          </w:tcPr>
          <w:p w14:paraId="56A0D027" w14:textId="77777777" w:rsidR="00652D6D" w:rsidRPr="00221992" w:rsidRDefault="00652D6D" w:rsidP="00450FCE">
            <w:pPr>
              <w:pStyle w:val="TableText"/>
              <w:spacing w:before="0" w:after="0" w:line="240" w:lineRule="auto"/>
              <w:ind w:left="0" w:right="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lang w:val="en-GB"/>
              </w:rPr>
            </w:pPr>
            <w:r w:rsidRPr="00221992">
              <w:rPr>
                <w:rFonts w:ascii="Calibri" w:hAnsi="Calibri" w:cs="Calibri"/>
                <w:sz w:val="20"/>
                <w:szCs w:val="20"/>
                <w:lang w:val="en-GB"/>
              </w:rPr>
              <w:t>45</w:t>
            </w:r>
          </w:p>
        </w:tc>
        <w:tc>
          <w:tcPr>
            <w:tcW w:w="987" w:type="dxa"/>
            <w:vAlign w:val="center"/>
          </w:tcPr>
          <w:p w14:paraId="725E41C8" w14:textId="77777777" w:rsidR="00652D6D" w:rsidRPr="00221992" w:rsidRDefault="00652D6D" w:rsidP="00450FCE">
            <w:pPr>
              <w:pStyle w:val="TableText"/>
              <w:spacing w:before="0" w:after="0" w:line="240" w:lineRule="auto"/>
              <w:ind w:left="0" w:right="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lang w:val="en-GB"/>
              </w:rPr>
            </w:pPr>
            <w:r w:rsidRPr="00221992">
              <w:rPr>
                <w:rFonts w:ascii="Calibri" w:hAnsi="Calibri" w:cs="Calibri"/>
                <w:sz w:val="20"/>
                <w:szCs w:val="20"/>
                <w:lang w:val="en-GB"/>
              </w:rPr>
              <w:t>55</w:t>
            </w:r>
          </w:p>
        </w:tc>
      </w:tr>
      <w:tr w:rsidR="00313425" w:rsidRPr="00221992" w14:paraId="281FD35D" w14:textId="77777777" w:rsidTr="43D3FA4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shd w:val="clear" w:color="auto" w:fill="1E8BCD"/>
          </w:tcPr>
          <w:p w14:paraId="373C9CD9" w14:textId="77777777" w:rsidR="00652D6D" w:rsidRPr="00221992" w:rsidRDefault="00652D6D" w:rsidP="00450FCE">
            <w:pPr>
              <w:pStyle w:val="TableText"/>
              <w:spacing w:before="0" w:after="0" w:line="240" w:lineRule="auto"/>
              <w:rPr>
                <w:sz w:val="20"/>
                <w:szCs w:val="20"/>
                <w:lang w:val="en-GB"/>
              </w:rPr>
            </w:pPr>
            <w:r w:rsidRPr="00221992">
              <w:rPr>
                <w:sz w:val="20"/>
                <w:szCs w:val="20"/>
                <w:lang w:val="en-GB"/>
              </w:rPr>
              <w:t>Italy</w:t>
            </w:r>
          </w:p>
        </w:tc>
        <w:tc>
          <w:tcPr>
            <w:tcW w:w="1134" w:type="dxa"/>
            <w:vAlign w:val="center"/>
          </w:tcPr>
          <w:p w14:paraId="2B5A04E7" w14:textId="26F19C3C" w:rsidR="00652D6D" w:rsidRPr="00221992" w:rsidRDefault="00652D6D" w:rsidP="00450FCE">
            <w:pPr>
              <w:pStyle w:val="TableText"/>
              <w:spacing w:before="0" w:after="0" w:line="240" w:lineRule="auto"/>
              <w:ind w:left="0" w:right="0"/>
              <w:jc w:val="center"/>
              <w:cnfStyle w:val="000000010000" w:firstRow="0" w:lastRow="0" w:firstColumn="0" w:lastColumn="0" w:oddVBand="0" w:evenVBand="0" w:oddHBand="0" w:evenHBand="1" w:firstRowFirstColumn="0" w:firstRowLastColumn="0" w:lastRowFirstColumn="0" w:lastRowLastColumn="0"/>
              <w:rPr>
                <w:rFonts w:ascii="Calibri" w:hAnsi="Calibri" w:cs="Calibri"/>
                <w:sz w:val="20"/>
                <w:szCs w:val="20"/>
                <w:lang w:val="en-GB"/>
              </w:rPr>
            </w:pPr>
            <w:r w:rsidRPr="00221992">
              <w:rPr>
                <w:rFonts w:ascii="Wingdings" w:eastAsia="Wingdings" w:hAnsi="Wingdings" w:cs="Wingdings"/>
                <w:sz w:val="20"/>
                <w:szCs w:val="20"/>
                <w:lang w:val="en-GB"/>
              </w:rPr>
              <w:t></w:t>
            </w:r>
          </w:p>
        </w:tc>
        <w:tc>
          <w:tcPr>
            <w:tcW w:w="1276" w:type="dxa"/>
            <w:vAlign w:val="center"/>
          </w:tcPr>
          <w:p w14:paraId="377AE41D" w14:textId="77777777" w:rsidR="00652D6D" w:rsidRPr="00221992" w:rsidRDefault="00652D6D" w:rsidP="00450FCE">
            <w:pPr>
              <w:pStyle w:val="TableText"/>
              <w:spacing w:before="0" w:after="0" w:line="240" w:lineRule="auto"/>
              <w:ind w:left="0" w:right="0"/>
              <w:jc w:val="center"/>
              <w:cnfStyle w:val="000000010000" w:firstRow="0" w:lastRow="0" w:firstColumn="0" w:lastColumn="0" w:oddVBand="0" w:evenVBand="0" w:oddHBand="0" w:evenHBand="1" w:firstRowFirstColumn="0" w:firstRowLastColumn="0" w:lastRowFirstColumn="0" w:lastRowLastColumn="0"/>
              <w:rPr>
                <w:rFonts w:ascii="Calibri" w:hAnsi="Calibri" w:cs="Calibri"/>
                <w:sz w:val="20"/>
                <w:szCs w:val="20"/>
                <w:lang w:val="en-GB"/>
              </w:rPr>
            </w:pPr>
          </w:p>
        </w:tc>
        <w:tc>
          <w:tcPr>
            <w:tcW w:w="1134" w:type="dxa"/>
            <w:vAlign w:val="center"/>
          </w:tcPr>
          <w:p w14:paraId="008E1058" w14:textId="77777777" w:rsidR="00652D6D" w:rsidRPr="00221992" w:rsidRDefault="00652D6D" w:rsidP="00450FCE">
            <w:pPr>
              <w:pStyle w:val="TableText"/>
              <w:spacing w:before="0" w:after="0" w:line="240" w:lineRule="auto"/>
              <w:ind w:left="0" w:right="0"/>
              <w:jc w:val="center"/>
              <w:cnfStyle w:val="000000010000" w:firstRow="0" w:lastRow="0" w:firstColumn="0" w:lastColumn="0" w:oddVBand="0" w:evenVBand="0" w:oddHBand="0" w:evenHBand="1" w:firstRowFirstColumn="0" w:firstRowLastColumn="0" w:lastRowFirstColumn="0" w:lastRowLastColumn="0"/>
              <w:rPr>
                <w:rFonts w:ascii="Calibri" w:hAnsi="Calibri" w:cs="Calibri"/>
                <w:sz w:val="20"/>
                <w:szCs w:val="20"/>
                <w:lang w:val="en-GB"/>
              </w:rPr>
            </w:pPr>
          </w:p>
        </w:tc>
        <w:tc>
          <w:tcPr>
            <w:tcW w:w="1418" w:type="dxa"/>
            <w:vAlign w:val="center"/>
          </w:tcPr>
          <w:p w14:paraId="6515B158" w14:textId="77777777" w:rsidR="00652D6D" w:rsidRPr="00221992" w:rsidRDefault="00652D6D" w:rsidP="00450FCE">
            <w:pPr>
              <w:pStyle w:val="TableText"/>
              <w:spacing w:before="0" w:after="0" w:line="240" w:lineRule="auto"/>
              <w:ind w:left="0" w:right="0"/>
              <w:jc w:val="center"/>
              <w:cnfStyle w:val="000000010000" w:firstRow="0" w:lastRow="0" w:firstColumn="0" w:lastColumn="0" w:oddVBand="0" w:evenVBand="0" w:oddHBand="0" w:evenHBand="1" w:firstRowFirstColumn="0" w:firstRowLastColumn="0" w:lastRowFirstColumn="0" w:lastRowLastColumn="0"/>
              <w:rPr>
                <w:rFonts w:ascii="Calibri" w:hAnsi="Calibri" w:cs="Calibri"/>
                <w:sz w:val="20"/>
                <w:szCs w:val="20"/>
                <w:lang w:val="en-GB"/>
              </w:rPr>
            </w:pPr>
            <w:r w:rsidRPr="00221992">
              <w:rPr>
                <w:rFonts w:ascii="Wingdings" w:eastAsia="Wingdings" w:hAnsi="Wingdings" w:cs="Wingdings"/>
                <w:sz w:val="20"/>
                <w:szCs w:val="20"/>
                <w:lang w:val="en-GB"/>
              </w:rPr>
              <w:t></w:t>
            </w:r>
          </w:p>
        </w:tc>
        <w:tc>
          <w:tcPr>
            <w:tcW w:w="1559" w:type="dxa"/>
            <w:vAlign w:val="center"/>
          </w:tcPr>
          <w:p w14:paraId="0C4171B6" w14:textId="77777777" w:rsidR="00652D6D" w:rsidRPr="00221992" w:rsidRDefault="00652D6D" w:rsidP="00450FCE">
            <w:pPr>
              <w:pStyle w:val="TableText"/>
              <w:spacing w:before="0" w:after="0" w:line="240" w:lineRule="auto"/>
              <w:ind w:left="0" w:right="0"/>
              <w:jc w:val="center"/>
              <w:cnfStyle w:val="000000010000" w:firstRow="0" w:lastRow="0" w:firstColumn="0" w:lastColumn="0" w:oddVBand="0" w:evenVBand="0" w:oddHBand="0" w:evenHBand="1" w:firstRowFirstColumn="0" w:firstRowLastColumn="0" w:lastRowFirstColumn="0" w:lastRowLastColumn="0"/>
              <w:rPr>
                <w:rFonts w:ascii="Calibri" w:hAnsi="Calibri" w:cs="Calibri"/>
                <w:sz w:val="20"/>
                <w:szCs w:val="20"/>
                <w:lang w:val="en-GB"/>
              </w:rPr>
            </w:pPr>
            <w:r w:rsidRPr="00221992">
              <w:rPr>
                <w:rFonts w:ascii="Calibri" w:hAnsi="Calibri" w:cs="Calibri"/>
                <w:sz w:val="20"/>
                <w:szCs w:val="20"/>
                <w:lang w:val="en-GB"/>
              </w:rPr>
              <w:t>457</w:t>
            </w:r>
          </w:p>
        </w:tc>
        <w:tc>
          <w:tcPr>
            <w:tcW w:w="987" w:type="dxa"/>
            <w:vAlign w:val="center"/>
          </w:tcPr>
          <w:p w14:paraId="45B411E8" w14:textId="77777777" w:rsidR="00652D6D" w:rsidRPr="00221992" w:rsidRDefault="00652D6D" w:rsidP="00450FCE">
            <w:pPr>
              <w:pStyle w:val="TableText"/>
              <w:spacing w:before="0" w:after="0" w:line="240" w:lineRule="auto"/>
              <w:ind w:left="0" w:right="0"/>
              <w:jc w:val="center"/>
              <w:cnfStyle w:val="000000010000" w:firstRow="0" w:lastRow="0" w:firstColumn="0" w:lastColumn="0" w:oddVBand="0" w:evenVBand="0" w:oddHBand="0" w:evenHBand="1" w:firstRowFirstColumn="0" w:firstRowLastColumn="0" w:lastRowFirstColumn="0" w:lastRowLastColumn="0"/>
              <w:rPr>
                <w:rFonts w:ascii="Calibri" w:hAnsi="Calibri" w:cs="Calibri"/>
                <w:sz w:val="20"/>
                <w:szCs w:val="20"/>
                <w:lang w:val="en-GB"/>
              </w:rPr>
            </w:pPr>
            <w:r w:rsidRPr="00221992">
              <w:rPr>
                <w:rFonts w:ascii="Calibri" w:hAnsi="Calibri" w:cs="Calibri"/>
                <w:sz w:val="20"/>
                <w:szCs w:val="20"/>
                <w:lang w:val="en-GB"/>
              </w:rPr>
              <w:t>50</w:t>
            </w:r>
          </w:p>
        </w:tc>
      </w:tr>
      <w:tr w:rsidR="00313425" w:rsidRPr="00221992" w14:paraId="541D68AE" w14:textId="77777777" w:rsidTr="43D3FA45">
        <w:tc>
          <w:tcPr>
            <w:cnfStyle w:val="001000000000" w:firstRow="0" w:lastRow="0" w:firstColumn="1" w:lastColumn="0" w:oddVBand="0" w:evenVBand="0" w:oddHBand="0" w:evenHBand="0" w:firstRowFirstColumn="0" w:firstRowLastColumn="0" w:lastRowFirstColumn="0" w:lastRowLastColumn="0"/>
            <w:tcW w:w="1696" w:type="dxa"/>
            <w:shd w:val="clear" w:color="auto" w:fill="1E8BCD"/>
          </w:tcPr>
          <w:p w14:paraId="67FC67B5" w14:textId="77777777" w:rsidR="00652D6D" w:rsidRPr="00221992" w:rsidRDefault="00652D6D" w:rsidP="00450FCE">
            <w:pPr>
              <w:pStyle w:val="TableText"/>
              <w:spacing w:before="0" w:after="0" w:line="240" w:lineRule="auto"/>
              <w:rPr>
                <w:sz w:val="20"/>
                <w:szCs w:val="20"/>
                <w:lang w:val="en-GB"/>
              </w:rPr>
            </w:pPr>
            <w:r w:rsidRPr="00221992">
              <w:rPr>
                <w:sz w:val="20"/>
                <w:szCs w:val="20"/>
                <w:lang w:val="en-GB"/>
              </w:rPr>
              <w:t>Japan</w:t>
            </w:r>
          </w:p>
        </w:tc>
        <w:tc>
          <w:tcPr>
            <w:tcW w:w="1134" w:type="dxa"/>
            <w:vAlign w:val="center"/>
          </w:tcPr>
          <w:p w14:paraId="59236B2F" w14:textId="77777777" w:rsidR="00652D6D" w:rsidRPr="00221992" w:rsidRDefault="00652D6D" w:rsidP="00450FCE">
            <w:pPr>
              <w:pStyle w:val="TableText"/>
              <w:spacing w:before="0" w:after="0" w:line="240" w:lineRule="auto"/>
              <w:ind w:left="0" w:right="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lang w:val="en-GB"/>
              </w:rPr>
            </w:pPr>
          </w:p>
        </w:tc>
        <w:tc>
          <w:tcPr>
            <w:tcW w:w="1276" w:type="dxa"/>
            <w:vAlign w:val="center"/>
          </w:tcPr>
          <w:p w14:paraId="3ED3E183" w14:textId="77777777" w:rsidR="00652D6D" w:rsidRPr="00221992" w:rsidRDefault="00652D6D" w:rsidP="00450FCE">
            <w:pPr>
              <w:pStyle w:val="TableText"/>
              <w:spacing w:before="0" w:after="0" w:line="240" w:lineRule="auto"/>
              <w:ind w:left="0" w:right="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lang w:val="en-GB"/>
              </w:rPr>
            </w:pPr>
            <w:r w:rsidRPr="00221992">
              <w:rPr>
                <w:rFonts w:ascii="Wingdings" w:eastAsia="Wingdings" w:hAnsi="Wingdings" w:cs="Wingdings"/>
                <w:sz w:val="20"/>
                <w:szCs w:val="20"/>
                <w:lang w:val="en-GB"/>
              </w:rPr>
              <w:t></w:t>
            </w:r>
          </w:p>
        </w:tc>
        <w:tc>
          <w:tcPr>
            <w:tcW w:w="1134" w:type="dxa"/>
            <w:vAlign w:val="center"/>
          </w:tcPr>
          <w:p w14:paraId="617F2698" w14:textId="77777777" w:rsidR="00652D6D" w:rsidRPr="00221992" w:rsidRDefault="00652D6D" w:rsidP="00450FCE">
            <w:pPr>
              <w:pStyle w:val="TableText"/>
              <w:spacing w:before="0" w:after="0" w:line="240" w:lineRule="auto"/>
              <w:ind w:left="0" w:right="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lang w:val="en-GB"/>
              </w:rPr>
            </w:pPr>
          </w:p>
        </w:tc>
        <w:tc>
          <w:tcPr>
            <w:tcW w:w="1418" w:type="dxa"/>
            <w:vAlign w:val="center"/>
          </w:tcPr>
          <w:p w14:paraId="65F88469" w14:textId="77777777" w:rsidR="00652D6D" w:rsidRPr="00221992" w:rsidRDefault="00652D6D" w:rsidP="00450FCE">
            <w:pPr>
              <w:pStyle w:val="TableText"/>
              <w:spacing w:before="0" w:after="0" w:line="240" w:lineRule="auto"/>
              <w:ind w:left="0" w:right="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lang w:val="en-GB"/>
              </w:rPr>
            </w:pPr>
            <w:r w:rsidRPr="00221992">
              <w:rPr>
                <w:rFonts w:ascii="Calibri" w:hAnsi="Calibri" w:cs="Calibri"/>
                <w:sz w:val="20"/>
                <w:szCs w:val="20"/>
                <w:lang w:val="en-GB"/>
              </w:rPr>
              <w:t>NI</w:t>
            </w:r>
          </w:p>
        </w:tc>
        <w:tc>
          <w:tcPr>
            <w:tcW w:w="1559" w:type="dxa"/>
            <w:vAlign w:val="center"/>
          </w:tcPr>
          <w:p w14:paraId="09FC9F44" w14:textId="39077B58" w:rsidR="00652D6D" w:rsidRPr="00221992" w:rsidRDefault="003C10A5" w:rsidP="00450FCE">
            <w:pPr>
              <w:pStyle w:val="TableText"/>
              <w:spacing w:before="0" w:after="0" w:line="240" w:lineRule="auto"/>
              <w:ind w:left="0" w:right="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lang w:val="en-GB"/>
              </w:rPr>
            </w:pPr>
            <w:r>
              <w:rPr>
                <w:rFonts w:ascii="Calibri" w:hAnsi="Calibri" w:cs="Calibri"/>
                <w:sz w:val="20"/>
                <w:szCs w:val="20"/>
                <w:lang w:val="en-GB"/>
              </w:rPr>
              <w:t>~</w:t>
            </w:r>
            <w:r w:rsidR="00652D6D" w:rsidRPr="00221992">
              <w:rPr>
                <w:rFonts w:ascii="Calibri" w:hAnsi="Calibri" w:cs="Calibri"/>
                <w:sz w:val="20"/>
                <w:szCs w:val="20"/>
                <w:lang w:val="en-GB"/>
              </w:rPr>
              <w:t>100</w:t>
            </w:r>
          </w:p>
        </w:tc>
        <w:tc>
          <w:tcPr>
            <w:tcW w:w="987" w:type="dxa"/>
            <w:vAlign w:val="center"/>
          </w:tcPr>
          <w:p w14:paraId="3B76B57E" w14:textId="7EFF185C" w:rsidR="00652D6D" w:rsidRPr="00221992" w:rsidRDefault="00652D6D" w:rsidP="00450FCE">
            <w:pPr>
              <w:pStyle w:val="TableText"/>
              <w:spacing w:before="0" w:after="0" w:line="240" w:lineRule="auto"/>
              <w:ind w:left="0" w:right="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lang w:val="en-GB"/>
              </w:rPr>
            </w:pPr>
            <w:r w:rsidRPr="00221992">
              <w:rPr>
                <w:rFonts w:ascii="Calibri" w:hAnsi="Calibri" w:cs="Calibri"/>
                <w:sz w:val="20"/>
                <w:szCs w:val="20"/>
                <w:lang w:val="en-GB"/>
              </w:rPr>
              <w:t>NI</w:t>
            </w:r>
          </w:p>
        </w:tc>
      </w:tr>
      <w:tr w:rsidR="00313425" w:rsidRPr="00221992" w14:paraId="3AC8D4F1" w14:textId="77777777" w:rsidTr="43D3FA4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shd w:val="clear" w:color="auto" w:fill="1E8BCD"/>
          </w:tcPr>
          <w:p w14:paraId="0745C71D" w14:textId="77777777" w:rsidR="00652D6D" w:rsidRPr="00221992" w:rsidRDefault="00652D6D" w:rsidP="00450FCE">
            <w:pPr>
              <w:pStyle w:val="TableText"/>
              <w:spacing w:before="0" w:after="0" w:line="240" w:lineRule="auto"/>
              <w:rPr>
                <w:sz w:val="20"/>
                <w:szCs w:val="20"/>
                <w:lang w:val="en-GB"/>
              </w:rPr>
            </w:pPr>
            <w:r w:rsidRPr="00221992">
              <w:rPr>
                <w:sz w:val="20"/>
                <w:szCs w:val="20"/>
                <w:lang w:val="en-GB"/>
              </w:rPr>
              <w:t>Korea</w:t>
            </w:r>
          </w:p>
        </w:tc>
        <w:tc>
          <w:tcPr>
            <w:tcW w:w="1134" w:type="dxa"/>
            <w:vAlign w:val="center"/>
          </w:tcPr>
          <w:p w14:paraId="1AF4463B" w14:textId="77777777" w:rsidR="00652D6D" w:rsidRPr="00221992" w:rsidRDefault="00652D6D" w:rsidP="00450FCE">
            <w:pPr>
              <w:pStyle w:val="TableText"/>
              <w:spacing w:before="0" w:after="0" w:line="240" w:lineRule="auto"/>
              <w:ind w:left="0" w:right="0"/>
              <w:jc w:val="center"/>
              <w:cnfStyle w:val="000000010000" w:firstRow="0" w:lastRow="0" w:firstColumn="0" w:lastColumn="0" w:oddVBand="0" w:evenVBand="0" w:oddHBand="0" w:evenHBand="1" w:firstRowFirstColumn="0" w:firstRowLastColumn="0" w:lastRowFirstColumn="0" w:lastRowLastColumn="0"/>
              <w:rPr>
                <w:rFonts w:ascii="Calibri" w:hAnsi="Calibri" w:cs="Calibri"/>
                <w:sz w:val="20"/>
                <w:szCs w:val="20"/>
                <w:lang w:val="en-GB"/>
              </w:rPr>
            </w:pPr>
          </w:p>
        </w:tc>
        <w:tc>
          <w:tcPr>
            <w:tcW w:w="1276" w:type="dxa"/>
            <w:vAlign w:val="center"/>
          </w:tcPr>
          <w:p w14:paraId="2836FCBC" w14:textId="77777777" w:rsidR="00652D6D" w:rsidRPr="00221992" w:rsidRDefault="00652D6D" w:rsidP="00450FCE">
            <w:pPr>
              <w:pStyle w:val="TableText"/>
              <w:spacing w:before="0" w:after="0" w:line="240" w:lineRule="auto"/>
              <w:ind w:left="0" w:right="0"/>
              <w:jc w:val="center"/>
              <w:cnfStyle w:val="000000010000" w:firstRow="0" w:lastRow="0" w:firstColumn="0" w:lastColumn="0" w:oddVBand="0" w:evenVBand="0" w:oddHBand="0" w:evenHBand="1" w:firstRowFirstColumn="0" w:firstRowLastColumn="0" w:lastRowFirstColumn="0" w:lastRowLastColumn="0"/>
              <w:rPr>
                <w:rFonts w:ascii="Calibri" w:hAnsi="Calibri" w:cs="Calibri"/>
                <w:sz w:val="20"/>
                <w:szCs w:val="20"/>
                <w:lang w:val="en-GB"/>
              </w:rPr>
            </w:pPr>
            <w:r w:rsidRPr="00221992">
              <w:rPr>
                <w:rFonts w:ascii="Wingdings" w:eastAsia="Wingdings" w:hAnsi="Wingdings" w:cs="Wingdings"/>
                <w:sz w:val="20"/>
                <w:szCs w:val="20"/>
                <w:lang w:val="en-GB"/>
              </w:rPr>
              <w:t></w:t>
            </w:r>
          </w:p>
        </w:tc>
        <w:tc>
          <w:tcPr>
            <w:tcW w:w="1134" w:type="dxa"/>
            <w:vAlign w:val="center"/>
          </w:tcPr>
          <w:p w14:paraId="608A6DB8" w14:textId="77777777" w:rsidR="00652D6D" w:rsidRPr="00221992" w:rsidRDefault="00652D6D" w:rsidP="00450FCE">
            <w:pPr>
              <w:pStyle w:val="TableText"/>
              <w:spacing w:before="0" w:after="0" w:line="240" w:lineRule="auto"/>
              <w:ind w:left="0" w:right="0"/>
              <w:jc w:val="center"/>
              <w:cnfStyle w:val="000000010000" w:firstRow="0" w:lastRow="0" w:firstColumn="0" w:lastColumn="0" w:oddVBand="0" w:evenVBand="0" w:oddHBand="0" w:evenHBand="1" w:firstRowFirstColumn="0" w:firstRowLastColumn="0" w:lastRowFirstColumn="0" w:lastRowLastColumn="0"/>
              <w:rPr>
                <w:rFonts w:ascii="Calibri" w:hAnsi="Calibri" w:cs="Calibri"/>
                <w:sz w:val="20"/>
                <w:szCs w:val="20"/>
                <w:lang w:val="en-GB"/>
              </w:rPr>
            </w:pPr>
          </w:p>
        </w:tc>
        <w:tc>
          <w:tcPr>
            <w:tcW w:w="1418" w:type="dxa"/>
            <w:vAlign w:val="center"/>
          </w:tcPr>
          <w:p w14:paraId="39A0193D" w14:textId="77777777" w:rsidR="00652D6D" w:rsidRPr="00221992" w:rsidRDefault="00652D6D" w:rsidP="00450FCE">
            <w:pPr>
              <w:pStyle w:val="TableText"/>
              <w:spacing w:before="0" w:after="0" w:line="240" w:lineRule="auto"/>
              <w:ind w:left="0" w:right="0"/>
              <w:jc w:val="center"/>
              <w:cnfStyle w:val="000000010000" w:firstRow="0" w:lastRow="0" w:firstColumn="0" w:lastColumn="0" w:oddVBand="0" w:evenVBand="0" w:oddHBand="0" w:evenHBand="1" w:firstRowFirstColumn="0" w:firstRowLastColumn="0" w:lastRowFirstColumn="0" w:lastRowLastColumn="0"/>
              <w:rPr>
                <w:rFonts w:ascii="Calibri" w:hAnsi="Calibri" w:cs="Calibri"/>
                <w:sz w:val="20"/>
                <w:szCs w:val="20"/>
                <w:lang w:val="en-GB"/>
              </w:rPr>
            </w:pPr>
            <w:r w:rsidRPr="00221992">
              <w:rPr>
                <w:rFonts w:ascii="Calibri" w:hAnsi="Calibri" w:cs="Calibri"/>
                <w:sz w:val="20"/>
                <w:szCs w:val="20"/>
                <w:lang w:val="en-GB"/>
              </w:rPr>
              <w:t>NI</w:t>
            </w:r>
          </w:p>
        </w:tc>
        <w:tc>
          <w:tcPr>
            <w:tcW w:w="1559" w:type="dxa"/>
            <w:vAlign w:val="center"/>
          </w:tcPr>
          <w:p w14:paraId="4DF51A7E" w14:textId="5EC11B60" w:rsidR="00652D6D" w:rsidRPr="00221992" w:rsidRDefault="00652D6D" w:rsidP="00450FCE">
            <w:pPr>
              <w:pStyle w:val="TableText"/>
              <w:spacing w:before="0" w:after="0" w:line="240" w:lineRule="auto"/>
              <w:ind w:left="0" w:right="0"/>
              <w:jc w:val="center"/>
              <w:cnfStyle w:val="000000010000" w:firstRow="0" w:lastRow="0" w:firstColumn="0" w:lastColumn="0" w:oddVBand="0" w:evenVBand="0" w:oddHBand="0" w:evenHBand="1" w:firstRowFirstColumn="0" w:firstRowLastColumn="0" w:lastRowFirstColumn="0" w:lastRowLastColumn="0"/>
              <w:rPr>
                <w:rFonts w:ascii="Calibri" w:hAnsi="Calibri" w:cs="Calibri"/>
                <w:sz w:val="20"/>
                <w:szCs w:val="20"/>
                <w:lang w:val="en-GB"/>
              </w:rPr>
            </w:pPr>
            <w:r w:rsidRPr="00221992">
              <w:rPr>
                <w:rFonts w:ascii="Calibri" w:hAnsi="Calibri" w:cs="Calibri"/>
                <w:sz w:val="20"/>
                <w:szCs w:val="20"/>
                <w:lang w:val="en-GB"/>
              </w:rPr>
              <w:t>561</w:t>
            </w:r>
            <w:r w:rsidRPr="00221992">
              <w:rPr>
                <w:rFonts w:ascii="Calibri" w:hAnsi="Calibri" w:cs="Calibri"/>
                <w:sz w:val="20"/>
                <w:szCs w:val="20"/>
                <w:vertAlign w:val="superscript"/>
                <w:lang w:val="en-GB"/>
              </w:rPr>
              <w:t>4</w:t>
            </w:r>
          </w:p>
        </w:tc>
        <w:tc>
          <w:tcPr>
            <w:tcW w:w="987" w:type="dxa"/>
            <w:vAlign w:val="center"/>
          </w:tcPr>
          <w:p w14:paraId="4F062BBD" w14:textId="2AB8DA6C" w:rsidR="00652D6D" w:rsidRPr="00221992" w:rsidRDefault="00652D6D" w:rsidP="00450FCE">
            <w:pPr>
              <w:pStyle w:val="TableText"/>
              <w:spacing w:before="0" w:after="0" w:line="240" w:lineRule="auto"/>
              <w:ind w:left="0" w:right="0"/>
              <w:jc w:val="center"/>
              <w:cnfStyle w:val="000000010000" w:firstRow="0" w:lastRow="0" w:firstColumn="0" w:lastColumn="0" w:oddVBand="0" w:evenVBand="0" w:oddHBand="0" w:evenHBand="1" w:firstRowFirstColumn="0" w:firstRowLastColumn="0" w:lastRowFirstColumn="0" w:lastRowLastColumn="0"/>
              <w:rPr>
                <w:rFonts w:ascii="Calibri" w:hAnsi="Calibri" w:cs="Calibri"/>
                <w:sz w:val="20"/>
                <w:szCs w:val="20"/>
                <w:lang w:val="en-GB"/>
              </w:rPr>
            </w:pPr>
            <w:r w:rsidRPr="00221992">
              <w:rPr>
                <w:rFonts w:ascii="Calibri" w:hAnsi="Calibri" w:cs="Calibri"/>
                <w:sz w:val="20"/>
                <w:szCs w:val="20"/>
                <w:lang w:val="en-GB"/>
              </w:rPr>
              <w:t>88</w:t>
            </w:r>
            <w:r w:rsidRPr="00221992">
              <w:rPr>
                <w:rFonts w:ascii="Calibri" w:hAnsi="Calibri" w:cs="Calibri"/>
                <w:sz w:val="20"/>
                <w:szCs w:val="20"/>
                <w:vertAlign w:val="superscript"/>
                <w:lang w:val="en-GB"/>
              </w:rPr>
              <w:t>5</w:t>
            </w:r>
          </w:p>
        </w:tc>
      </w:tr>
      <w:tr w:rsidR="00313425" w:rsidRPr="00221992" w14:paraId="0F3FDA74" w14:textId="77777777" w:rsidTr="43D3FA45">
        <w:tc>
          <w:tcPr>
            <w:cnfStyle w:val="001000000000" w:firstRow="0" w:lastRow="0" w:firstColumn="1" w:lastColumn="0" w:oddVBand="0" w:evenVBand="0" w:oddHBand="0" w:evenHBand="0" w:firstRowFirstColumn="0" w:firstRowLastColumn="0" w:lastRowFirstColumn="0" w:lastRowLastColumn="0"/>
            <w:tcW w:w="1696" w:type="dxa"/>
            <w:shd w:val="clear" w:color="auto" w:fill="1E8BCD"/>
          </w:tcPr>
          <w:p w14:paraId="459DEEE0" w14:textId="77777777" w:rsidR="00652D6D" w:rsidRPr="00221992" w:rsidRDefault="00652D6D" w:rsidP="00450FCE">
            <w:pPr>
              <w:pStyle w:val="TableText"/>
              <w:spacing w:before="0" w:after="0" w:line="240" w:lineRule="auto"/>
              <w:rPr>
                <w:sz w:val="20"/>
                <w:szCs w:val="20"/>
                <w:lang w:val="en-GB"/>
              </w:rPr>
            </w:pPr>
            <w:r w:rsidRPr="00221992">
              <w:rPr>
                <w:sz w:val="20"/>
                <w:szCs w:val="20"/>
                <w:lang w:val="en-GB"/>
              </w:rPr>
              <w:t>Netherlands</w:t>
            </w:r>
          </w:p>
        </w:tc>
        <w:tc>
          <w:tcPr>
            <w:tcW w:w="1134" w:type="dxa"/>
            <w:vAlign w:val="center"/>
          </w:tcPr>
          <w:p w14:paraId="56E1F299" w14:textId="77777777" w:rsidR="00652D6D" w:rsidRPr="00221992" w:rsidRDefault="00652D6D" w:rsidP="00450FCE">
            <w:pPr>
              <w:pStyle w:val="TableText"/>
              <w:spacing w:before="0" w:after="0" w:line="240" w:lineRule="auto"/>
              <w:ind w:left="0" w:right="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lang w:val="en-GB"/>
              </w:rPr>
            </w:pPr>
            <w:r w:rsidRPr="00221992">
              <w:rPr>
                <w:rFonts w:ascii="Wingdings" w:eastAsia="Wingdings" w:hAnsi="Wingdings" w:cs="Wingdings"/>
                <w:sz w:val="20"/>
                <w:szCs w:val="20"/>
                <w:lang w:val="en-GB"/>
              </w:rPr>
              <w:t></w:t>
            </w:r>
          </w:p>
        </w:tc>
        <w:tc>
          <w:tcPr>
            <w:tcW w:w="1276" w:type="dxa"/>
            <w:vAlign w:val="center"/>
          </w:tcPr>
          <w:p w14:paraId="3524AEA6" w14:textId="77777777" w:rsidR="00652D6D" w:rsidRPr="00221992" w:rsidRDefault="00652D6D" w:rsidP="00450FCE">
            <w:pPr>
              <w:pStyle w:val="TableText"/>
              <w:spacing w:before="0" w:after="0" w:line="240" w:lineRule="auto"/>
              <w:ind w:left="0" w:right="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lang w:val="en-GB"/>
              </w:rPr>
            </w:pPr>
          </w:p>
        </w:tc>
        <w:tc>
          <w:tcPr>
            <w:tcW w:w="1134" w:type="dxa"/>
            <w:vAlign w:val="center"/>
          </w:tcPr>
          <w:p w14:paraId="5B4CF2B1" w14:textId="77777777" w:rsidR="00652D6D" w:rsidRPr="00221992" w:rsidRDefault="00652D6D" w:rsidP="00450FCE">
            <w:pPr>
              <w:pStyle w:val="TableText"/>
              <w:spacing w:before="0" w:after="0" w:line="240" w:lineRule="auto"/>
              <w:ind w:left="0" w:right="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lang w:val="en-GB"/>
              </w:rPr>
            </w:pPr>
          </w:p>
        </w:tc>
        <w:tc>
          <w:tcPr>
            <w:tcW w:w="1418" w:type="dxa"/>
            <w:vAlign w:val="center"/>
          </w:tcPr>
          <w:p w14:paraId="320748B8" w14:textId="77777777" w:rsidR="00652D6D" w:rsidRPr="00221992" w:rsidRDefault="00652D6D" w:rsidP="00450FCE">
            <w:pPr>
              <w:pStyle w:val="TableText"/>
              <w:spacing w:before="0" w:after="0" w:line="240" w:lineRule="auto"/>
              <w:ind w:left="0" w:right="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lang w:val="en-GB"/>
              </w:rPr>
            </w:pPr>
            <w:r w:rsidRPr="00221992">
              <w:rPr>
                <w:rFonts w:ascii="Calibri" w:hAnsi="Calibri" w:cs="Calibri"/>
                <w:sz w:val="20"/>
                <w:szCs w:val="20"/>
                <w:lang w:val="en-GB"/>
              </w:rPr>
              <w:t>NI</w:t>
            </w:r>
          </w:p>
        </w:tc>
        <w:tc>
          <w:tcPr>
            <w:tcW w:w="1559" w:type="dxa"/>
            <w:vAlign w:val="center"/>
          </w:tcPr>
          <w:p w14:paraId="5C7D7B35" w14:textId="77777777" w:rsidR="00652D6D" w:rsidRPr="00221992" w:rsidRDefault="00652D6D" w:rsidP="00450FCE">
            <w:pPr>
              <w:pStyle w:val="TableText"/>
              <w:spacing w:before="0" w:after="0" w:line="240" w:lineRule="auto"/>
              <w:ind w:left="0" w:right="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lang w:val="en-GB"/>
              </w:rPr>
            </w:pPr>
            <w:r w:rsidRPr="00221992">
              <w:rPr>
                <w:rFonts w:ascii="Calibri" w:hAnsi="Calibri" w:cs="Calibri"/>
                <w:sz w:val="20"/>
                <w:szCs w:val="20"/>
                <w:lang w:val="en-GB"/>
              </w:rPr>
              <w:t>393</w:t>
            </w:r>
          </w:p>
        </w:tc>
        <w:tc>
          <w:tcPr>
            <w:tcW w:w="987" w:type="dxa"/>
            <w:vAlign w:val="center"/>
          </w:tcPr>
          <w:p w14:paraId="54EC7B37" w14:textId="77777777" w:rsidR="00652D6D" w:rsidRPr="00221992" w:rsidRDefault="00652D6D" w:rsidP="00450FCE">
            <w:pPr>
              <w:pStyle w:val="TableText"/>
              <w:spacing w:before="0" w:after="0" w:line="240" w:lineRule="auto"/>
              <w:ind w:left="0" w:right="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lang w:val="en-GB"/>
              </w:rPr>
            </w:pPr>
            <w:r w:rsidRPr="00221992">
              <w:rPr>
                <w:rFonts w:ascii="Calibri" w:hAnsi="Calibri" w:cs="Calibri"/>
                <w:sz w:val="20"/>
                <w:szCs w:val="20"/>
                <w:lang w:val="en-GB"/>
              </w:rPr>
              <w:t>28</w:t>
            </w:r>
          </w:p>
        </w:tc>
      </w:tr>
      <w:tr w:rsidR="00313425" w:rsidRPr="00221992" w14:paraId="50FD2D86" w14:textId="77777777" w:rsidTr="5668A86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shd w:val="clear" w:color="auto" w:fill="1E8BCD"/>
          </w:tcPr>
          <w:p w14:paraId="1FAC5614" w14:textId="77777777" w:rsidR="00652D6D" w:rsidRPr="00221992" w:rsidRDefault="00652D6D" w:rsidP="00450FCE">
            <w:pPr>
              <w:pStyle w:val="TableText"/>
              <w:spacing w:before="0" w:after="0" w:line="240" w:lineRule="auto"/>
              <w:rPr>
                <w:sz w:val="20"/>
                <w:szCs w:val="20"/>
                <w:lang w:val="en-GB"/>
              </w:rPr>
            </w:pPr>
            <w:r w:rsidRPr="00221992">
              <w:rPr>
                <w:sz w:val="20"/>
                <w:szCs w:val="20"/>
                <w:lang w:val="en-GB"/>
              </w:rPr>
              <w:t>New Zealand</w:t>
            </w:r>
          </w:p>
        </w:tc>
        <w:tc>
          <w:tcPr>
            <w:tcW w:w="1134" w:type="dxa"/>
            <w:vAlign w:val="center"/>
          </w:tcPr>
          <w:p w14:paraId="316F111D" w14:textId="77777777" w:rsidR="00652D6D" w:rsidRPr="00221992" w:rsidRDefault="00652D6D" w:rsidP="00450FCE">
            <w:pPr>
              <w:pStyle w:val="TableText"/>
              <w:spacing w:before="0" w:after="0" w:line="240" w:lineRule="auto"/>
              <w:ind w:left="0" w:right="0"/>
              <w:jc w:val="center"/>
              <w:cnfStyle w:val="000000010000" w:firstRow="0" w:lastRow="0" w:firstColumn="0" w:lastColumn="0" w:oddVBand="0" w:evenVBand="0" w:oddHBand="0" w:evenHBand="1" w:firstRowFirstColumn="0" w:firstRowLastColumn="0" w:lastRowFirstColumn="0" w:lastRowLastColumn="0"/>
              <w:rPr>
                <w:rFonts w:ascii="Calibri" w:hAnsi="Calibri" w:cs="Calibri"/>
                <w:sz w:val="20"/>
                <w:szCs w:val="20"/>
                <w:lang w:val="en-GB"/>
              </w:rPr>
            </w:pPr>
            <w:r w:rsidRPr="00221992">
              <w:rPr>
                <w:rFonts w:ascii="Wingdings" w:eastAsia="Wingdings" w:hAnsi="Wingdings" w:cs="Wingdings"/>
                <w:sz w:val="20"/>
                <w:szCs w:val="20"/>
                <w:lang w:val="en-GB"/>
              </w:rPr>
              <w:t></w:t>
            </w:r>
          </w:p>
        </w:tc>
        <w:tc>
          <w:tcPr>
            <w:tcW w:w="1276" w:type="dxa"/>
            <w:vAlign w:val="center"/>
          </w:tcPr>
          <w:p w14:paraId="0CF042D4" w14:textId="77777777" w:rsidR="00652D6D" w:rsidRPr="00221992" w:rsidRDefault="00652D6D" w:rsidP="00450FCE">
            <w:pPr>
              <w:pStyle w:val="TableText"/>
              <w:spacing w:before="0" w:after="0" w:line="240" w:lineRule="auto"/>
              <w:ind w:left="0" w:right="0"/>
              <w:jc w:val="center"/>
              <w:cnfStyle w:val="000000010000" w:firstRow="0" w:lastRow="0" w:firstColumn="0" w:lastColumn="0" w:oddVBand="0" w:evenVBand="0" w:oddHBand="0" w:evenHBand="1" w:firstRowFirstColumn="0" w:firstRowLastColumn="0" w:lastRowFirstColumn="0" w:lastRowLastColumn="0"/>
              <w:rPr>
                <w:rFonts w:ascii="Calibri" w:hAnsi="Calibri" w:cs="Calibri"/>
                <w:sz w:val="20"/>
                <w:szCs w:val="20"/>
                <w:lang w:val="en-GB"/>
              </w:rPr>
            </w:pPr>
          </w:p>
        </w:tc>
        <w:tc>
          <w:tcPr>
            <w:tcW w:w="1134" w:type="dxa"/>
            <w:vAlign w:val="center"/>
          </w:tcPr>
          <w:p w14:paraId="784088D1" w14:textId="77777777" w:rsidR="00652D6D" w:rsidRPr="00221992" w:rsidRDefault="00652D6D" w:rsidP="00450FCE">
            <w:pPr>
              <w:pStyle w:val="TableText"/>
              <w:spacing w:before="0" w:after="0" w:line="240" w:lineRule="auto"/>
              <w:ind w:left="0" w:right="0"/>
              <w:jc w:val="center"/>
              <w:cnfStyle w:val="000000010000" w:firstRow="0" w:lastRow="0" w:firstColumn="0" w:lastColumn="0" w:oddVBand="0" w:evenVBand="0" w:oddHBand="0" w:evenHBand="1" w:firstRowFirstColumn="0" w:firstRowLastColumn="0" w:lastRowFirstColumn="0" w:lastRowLastColumn="0"/>
              <w:rPr>
                <w:rFonts w:ascii="Calibri" w:hAnsi="Calibri" w:cs="Calibri"/>
                <w:sz w:val="20"/>
                <w:szCs w:val="20"/>
                <w:lang w:val="en-GB"/>
              </w:rPr>
            </w:pPr>
          </w:p>
        </w:tc>
        <w:tc>
          <w:tcPr>
            <w:tcW w:w="1418" w:type="dxa"/>
            <w:vAlign w:val="center"/>
          </w:tcPr>
          <w:p w14:paraId="5ECDB6E8" w14:textId="77777777" w:rsidR="00652D6D" w:rsidRPr="00221992" w:rsidRDefault="00652D6D" w:rsidP="00450FCE">
            <w:pPr>
              <w:pStyle w:val="TableText"/>
              <w:spacing w:before="0" w:after="0" w:line="240" w:lineRule="auto"/>
              <w:ind w:left="0" w:right="0"/>
              <w:jc w:val="center"/>
              <w:cnfStyle w:val="000000010000" w:firstRow="0" w:lastRow="0" w:firstColumn="0" w:lastColumn="0" w:oddVBand="0" w:evenVBand="0" w:oddHBand="0" w:evenHBand="1" w:firstRowFirstColumn="0" w:firstRowLastColumn="0" w:lastRowFirstColumn="0" w:lastRowLastColumn="0"/>
              <w:rPr>
                <w:rFonts w:ascii="Calibri" w:hAnsi="Calibri" w:cs="Calibri"/>
                <w:sz w:val="20"/>
                <w:szCs w:val="20"/>
                <w:lang w:val="en-GB"/>
              </w:rPr>
            </w:pPr>
            <w:r w:rsidRPr="00221992">
              <w:rPr>
                <w:rFonts w:ascii="Wingdings" w:eastAsia="Wingdings" w:hAnsi="Wingdings" w:cs="Wingdings"/>
                <w:sz w:val="20"/>
                <w:szCs w:val="20"/>
                <w:lang w:val="en-GB"/>
              </w:rPr>
              <w:t></w:t>
            </w:r>
          </w:p>
        </w:tc>
        <w:tc>
          <w:tcPr>
            <w:tcW w:w="1559" w:type="dxa"/>
            <w:vAlign w:val="center"/>
          </w:tcPr>
          <w:p w14:paraId="14EEBB39" w14:textId="69A8644A" w:rsidR="00652D6D" w:rsidRPr="00221992" w:rsidRDefault="00652D6D" w:rsidP="00450FCE">
            <w:pPr>
              <w:pStyle w:val="TableText"/>
              <w:spacing w:before="0" w:after="0" w:line="240" w:lineRule="auto"/>
              <w:ind w:left="0" w:right="0"/>
              <w:jc w:val="center"/>
              <w:cnfStyle w:val="000000010000" w:firstRow="0" w:lastRow="0" w:firstColumn="0" w:lastColumn="0" w:oddVBand="0" w:evenVBand="0" w:oddHBand="0" w:evenHBand="1" w:firstRowFirstColumn="0" w:firstRowLastColumn="0" w:lastRowFirstColumn="0" w:lastRowLastColumn="0"/>
              <w:rPr>
                <w:rFonts w:ascii="Calibri" w:hAnsi="Calibri" w:cs="Calibri"/>
                <w:sz w:val="20"/>
                <w:szCs w:val="20"/>
                <w:lang w:val="en-GB"/>
              </w:rPr>
            </w:pPr>
            <w:r w:rsidRPr="00221992">
              <w:rPr>
                <w:rFonts w:ascii="Calibri" w:hAnsi="Calibri" w:cs="Calibri"/>
                <w:sz w:val="20"/>
                <w:szCs w:val="20"/>
                <w:lang w:val="en-GB"/>
              </w:rPr>
              <w:t>NI</w:t>
            </w:r>
          </w:p>
        </w:tc>
        <w:tc>
          <w:tcPr>
            <w:tcW w:w="987" w:type="dxa"/>
            <w:vAlign w:val="center"/>
          </w:tcPr>
          <w:p w14:paraId="2591447D" w14:textId="7C1C4C36" w:rsidR="00652D6D" w:rsidRPr="00221992" w:rsidRDefault="00652D6D" w:rsidP="00450FCE">
            <w:pPr>
              <w:pStyle w:val="TableText"/>
              <w:spacing w:before="0" w:after="0" w:line="240" w:lineRule="auto"/>
              <w:ind w:left="0" w:right="0"/>
              <w:jc w:val="center"/>
              <w:cnfStyle w:val="000000010000" w:firstRow="0" w:lastRow="0" w:firstColumn="0" w:lastColumn="0" w:oddVBand="0" w:evenVBand="0" w:oddHBand="0" w:evenHBand="1" w:firstRowFirstColumn="0" w:firstRowLastColumn="0" w:lastRowFirstColumn="0" w:lastRowLastColumn="0"/>
              <w:rPr>
                <w:rFonts w:ascii="Calibri" w:hAnsi="Calibri" w:cs="Calibri"/>
                <w:sz w:val="20"/>
                <w:szCs w:val="20"/>
                <w:lang w:val="en-GB"/>
              </w:rPr>
            </w:pPr>
            <w:r w:rsidRPr="00221992">
              <w:rPr>
                <w:rFonts w:ascii="Calibri" w:hAnsi="Calibri" w:cs="Calibri"/>
                <w:sz w:val="20"/>
                <w:szCs w:val="20"/>
                <w:lang w:val="en-GB"/>
              </w:rPr>
              <w:t>10 (2019)</w:t>
            </w:r>
          </w:p>
        </w:tc>
      </w:tr>
      <w:tr w:rsidR="00313425" w:rsidRPr="00221992" w14:paraId="141FB47B" w14:textId="77777777" w:rsidTr="5668A862">
        <w:tc>
          <w:tcPr>
            <w:cnfStyle w:val="001000000000" w:firstRow="0" w:lastRow="0" w:firstColumn="1" w:lastColumn="0" w:oddVBand="0" w:evenVBand="0" w:oddHBand="0" w:evenHBand="0" w:firstRowFirstColumn="0" w:firstRowLastColumn="0" w:lastRowFirstColumn="0" w:lastRowLastColumn="0"/>
            <w:tcW w:w="1696" w:type="dxa"/>
            <w:shd w:val="clear" w:color="auto" w:fill="1E8BCD"/>
          </w:tcPr>
          <w:p w14:paraId="1BC85DC6" w14:textId="77777777" w:rsidR="00652D6D" w:rsidRPr="00221992" w:rsidRDefault="00652D6D" w:rsidP="00450FCE">
            <w:pPr>
              <w:pStyle w:val="TableText"/>
              <w:spacing w:before="0" w:after="0" w:line="240" w:lineRule="auto"/>
              <w:rPr>
                <w:sz w:val="20"/>
                <w:szCs w:val="20"/>
                <w:lang w:val="en-GB"/>
              </w:rPr>
            </w:pPr>
            <w:r w:rsidRPr="00221992">
              <w:rPr>
                <w:sz w:val="20"/>
                <w:szCs w:val="20"/>
                <w:lang w:val="en-GB"/>
              </w:rPr>
              <w:t>Norway</w:t>
            </w:r>
          </w:p>
        </w:tc>
        <w:tc>
          <w:tcPr>
            <w:tcW w:w="1134" w:type="dxa"/>
            <w:vAlign w:val="center"/>
          </w:tcPr>
          <w:p w14:paraId="70C24493" w14:textId="77777777" w:rsidR="00652D6D" w:rsidRPr="00221992" w:rsidRDefault="00652D6D" w:rsidP="00450FCE">
            <w:pPr>
              <w:pStyle w:val="TableText"/>
              <w:spacing w:before="0" w:after="0" w:line="240" w:lineRule="auto"/>
              <w:ind w:left="0" w:right="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lang w:val="en-GB"/>
              </w:rPr>
            </w:pPr>
          </w:p>
        </w:tc>
        <w:tc>
          <w:tcPr>
            <w:tcW w:w="1276" w:type="dxa"/>
            <w:vAlign w:val="center"/>
          </w:tcPr>
          <w:p w14:paraId="67CDBED3" w14:textId="77777777" w:rsidR="00652D6D" w:rsidRPr="00221992" w:rsidRDefault="00652D6D" w:rsidP="00450FCE">
            <w:pPr>
              <w:pStyle w:val="TableText"/>
              <w:spacing w:before="0" w:after="0" w:line="240" w:lineRule="auto"/>
              <w:ind w:left="0" w:right="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lang w:val="en-GB"/>
              </w:rPr>
            </w:pPr>
            <w:r w:rsidRPr="00221992">
              <w:rPr>
                <w:rFonts w:ascii="Wingdings" w:eastAsia="Wingdings" w:hAnsi="Wingdings" w:cs="Wingdings"/>
                <w:sz w:val="20"/>
                <w:szCs w:val="20"/>
                <w:lang w:val="en-GB"/>
              </w:rPr>
              <w:t></w:t>
            </w:r>
          </w:p>
        </w:tc>
        <w:tc>
          <w:tcPr>
            <w:tcW w:w="1134" w:type="dxa"/>
            <w:vAlign w:val="center"/>
          </w:tcPr>
          <w:p w14:paraId="5B1E956B" w14:textId="77777777" w:rsidR="00652D6D" w:rsidRPr="00221992" w:rsidRDefault="00652D6D" w:rsidP="00450FCE">
            <w:pPr>
              <w:pStyle w:val="TableText"/>
              <w:spacing w:before="0" w:after="0" w:line="240" w:lineRule="auto"/>
              <w:ind w:left="0" w:right="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lang w:val="en-GB"/>
              </w:rPr>
            </w:pPr>
          </w:p>
        </w:tc>
        <w:tc>
          <w:tcPr>
            <w:tcW w:w="1418" w:type="dxa"/>
            <w:vAlign w:val="center"/>
          </w:tcPr>
          <w:p w14:paraId="3F5711DF" w14:textId="77777777" w:rsidR="00652D6D" w:rsidRPr="00221992" w:rsidRDefault="00652D6D" w:rsidP="00450FCE">
            <w:pPr>
              <w:pStyle w:val="TableText"/>
              <w:spacing w:before="0" w:after="0" w:line="240" w:lineRule="auto"/>
              <w:ind w:left="0" w:right="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lang w:val="en-GB"/>
              </w:rPr>
            </w:pPr>
            <w:r w:rsidRPr="00221992">
              <w:rPr>
                <w:rFonts w:ascii="Wingdings" w:eastAsia="Wingdings" w:hAnsi="Wingdings" w:cs="Wingdings"/>
                <w:sz w:val="20"/>
                <w:szCs w:val="20"/>
                <w:lang w:val="en-GB"/>
              </w:rPr>
              <w:t></w:t>
            </w:r>
          </w:p>
        </w:tc>
        <w:tc>
          <w:tcPr>
            <w:tcW w:w="1559" w:type="dxa"/>
            <w:vAlign w:val="center"/>
          </w:tcPr>
          <w:p w14:paraId="0A55765A" w14:textId="77777777" w:rsidR="00652D6D" w:rsidRPr="00221992" w:rsidRDefault="00652D6D" w:rsidP="00450FCE">
            <w:pPr>
              <w:pStyle w:val="TableText"/>
              <w:spacing w:before="0" w:after="0" w:line="240" w:lineRule="auto"/>
              <w:ind w:left="0" w:right="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lang w:val="en-GB"/>
              </w:rPr>
            </w:pPr>
            <w:r w:rsidRPr="00221992">
              <w:rPr>
                <w:rFonts w:ascii="Calibri" w:hAnsi="Calibri" w:cs="Calibri"/>
                <w:sz w:val="20"/>
                <w:szCs w:val="20"/>
                <w:lang w:val="en-GB"/>
              </w:rPr>
              <w:t>586</w:t>
            </w:r>
          </w:p>
        </w:tc>
        <w:tc>
          <w:tcPr>
            <w:tcW w:w="987" w:type="dxa"/>
            <w:vAlign w:val="center"/>
          </w:tcPr>
          <w:p w14:paraId="0BAA021C" w14:textId="77777777" w:rsidR="00652D6D" w:rsidRPr="00221992" w:rsidRDefault="00652D6D" w:rsidP="00450FCE">
            <w:pPr>
              <w:pStyle w:val="TableText"/>
              <w:spacing w:before="0" w:after="0" w:line="240" w:lineRule="auto"/>
              <w:ind w:left="0" w:right="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lang w:val="en-GB"/>
              </w:rPr>
            </w:pPr>
            <w:r w:rsidRPr="00221992">
              <w:rPr>
                <w:rFonts w:ascii="Calibri" w:hAnsi="Calibri" w:cs="Calibri"/>
                <w:sz w:val="20"/>
                <w:szCs w:val="20"/>
                <w:lang w:val="en-GB"/>
              </w:rPr>
              <w:t>21</w:t>
            </w:r>
          </w:p>
        </w:tc>
      </w:tr>
      <w:tr w:rsidR="00313425" w:rsidRPr="00221992" w14:paraId="543CA77D" w14:textId="77777777" w:rsidTr="5668A86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shd w:val="clear" w:color="auto" w:fill="1E8BCD"/>
          </w:tcPr>
          <w:p w14:paraId="1F5B9107" w14:textId="4CD1756C" w:rsidR="00652D6D" w:rsidRPr="00221992" w:rsidRDefault="00652D6D" w:rsidP="00450FCE">
            <w:pPr>
              <w:pStyle w:val="TableText"/>
              <w:spacing w:before="0" w:after="0" w:line="240" w:lineRule="auto"/>
              <w:rPr>
                <w:sz w:val="20"/>
                <w:szCs w:val="20"/>
                <w:lang w:val="en-GB"/>
              </w:rPr>
            </w:pPr>
            <w:r w:rsidRPr="00221992">
              <w:rPr>
                <w:sz w:val="20"/>
                <w:szCs w:val="20"/>
                <w:lang w:val="en-GB"/>
              </w:rPr>
              <w:t>Scotland</w:t>
            </w:r>
          </w:p>
        </w:tc>
        <w:tc>
          <w:tcPr>
            <w:tcW w:w="1134" w:type="dxa"/>
            <w:vAlign w:val="center"/>
          </w:tcPr>
          <w:p w14:paraId="16D771D1" w14:textId="77777777" w:rsidR="00652D6D" w:rsidRPr="00221992" w:rsidRDefault="00652D6D" w:rsidP="00450FCE">
            <w:pPr>
              <w:pStyle w:val="TableText"/>
              <w:spacing w:before="0" w:after="0" w:line="240" w:lineRule="auto"/>
              <w:ind w:left="0" w:right="0"/>
              <w:jc w:val="center"/>
              <w:cnfStyle w:val="000000010000" w:firstRow="0" w:lastRow="0" w:firstColumn="0" w:lastColumn="0" w:oddVBand="0" w:evenVBand="0" w:oddHBand="0" w:evenHBand="1" w:firstRowFirstColumn="0" w:firstRowLastColumn="0" w:lastRowFirstColumn="0" w:lastRowLastColumn="0"/>
              <w:rPr>
                <w:rFonts w:ascii="Calibri" w:hAnsi="Calibri" w:cs="Calibri"/>
                <w:sz w:val="20"/>
                <w:szCs w:val="20"/>
                <w:lang w:val="en-GB"/>
              </w:rPr>
            </w:pPr>
            <w:r w:rsidRPr="00221992">
              <w:rPr>
                <w:rFonts w:ascii="Wingdings" w:eastAsia="Wingdings" w:hAnsi="Wingdings" w:cs="Wingdings"/>
                <w:sz w:val="20"/>
                <w:szCs w:val="20"/>
                <w:lang w:val="en-GB"/>
              </w:rPr>
              <w:t></w:t>
            </w:r>
          </w:p>
        </w:tc>
        <w:tc>
          <w:tcPr>
            <w:tcW w:w="1276" w:type="dxa"/>
            <w:vAlign w:val="center"/>
          </w:tcPr>
          <w:p w14:paraId="62362236" w14:textId="77777777" w:rsidR="00652D6D" w:rsidRPr="00221992" w:rsidRDefault="00652D6D" w:rsidP="00450FCE">
            <w:pPr>
              <w:pStyle w:val="TableText"/>
              <w:spacing w:before="0" w:after="0" w:line="240" w:lineRule="auto"/>
              <w:ind w:left="0" w:right="0"/>
              <w:jc w:val="center"/>
              <w:cnfStyle w:val="000000010000" w:firstRow="0" w:lastRow="0" w:firstColumn="0" w:lastColumn="0" w:oddVBand="0" w:evenVBand="0" w:oddHBand="0" w:evenHBand="1" w:firstRowFirstColumn="0" w:firstRowLastColumn="0" w:lastRowFirstColumn="0" w:lastRowLastColumn="0"/>
              <w:rPr>
                <w:rFonts w:ascii="Calibri" w:hAnsi="Calibri" w:cs="Calibri"/>
                <w:sz w:val="20"/>
                <w:szCs w:val="20"/>
                <w:lang w:val="en-GB"/>
              </w:rPr>
            </w:pPr>
            <w:r w:rsidRPr="00221992">
              <w:rPr>
                <w:rFonts w:ascii="Wingdings" w:eastAsia="Wingdings" w:hAnsi="Wingdings" w:cs="Wingdings"/>
                <w:sz w:val="20"/>
                <w:szCs w:val="20"/>
                <w:lang w:val="en-GB"/>
              </w:rPr>
              <w:t></w:t>
            </w:r>
          </w:p>
        </w:tc>
        <w:tc>
          <w:tcPr>
            <w:tcW w:w="1134" w:type="dxa"/>
            <w:vAlign w:val="center"/>
          </w:tcPr>
          <w:p w14:paraId="51CB4FCD" w14:textId="77777777" w:rsidR="00652D6D" w:rsidRPr="00221992" w:rsidRDefault="00652D6D" w:rsidP="00450FCE">
            <w:pPr>
              <w:pStyle w:val="TableText"/>
              <w:spacing w:before="0" w:after="0" w:line="240" w:lineRule="auto"/>
              <w:ind w:left="0" w:right="0"/>
              <w:jc w:val="center"/>
              <w:cnfStyle w:val="000000010000" w:firstRow="0" w:lastRow="0" w:firstColumn="0" w:lastColumn="0" w:oddVBand="0" w:evenVBand="0" w:oddHBand="0" w:evenHBand="1" w:firstRowFirstColumn="0" w:firstRowLastColumn="0" w:lastRowFirstColumn="0" w:lastRowLastColumn="0"/>
              <w:rPr>
                <w:rFonts w:ascii="Calibri" w:hAnsi="Calibri" w:cs="Calibri"/>
                <w:sz w:val="20"/>
                <w:szCs w:val="20"/>
                <w:lang w:val="en-GB"/>
              </w:rPr>
            </w:pPr>
          </w:p>
        </w:tc>
        <w:tc>
          <w:tcPr>
            <w:tcW w:w="1418" w:type="dxa"/>
            <w:vAlign w:val="center"/>
          </w:tcPr>
          <w:p w14:paraId="7FC151AC" w14:textId="77777777" w:rsidR="00652D6D" w:rsidRPr="00221992" w:rsidRDefault="00652D6D" w:rsidP="00450FCE">
            <w:pPr>
              <w:pStyle w:val="TableText"/>
              <w:spacing w:before="0" w:after="0" w:line="240" w:lineRule="auto"/>
              <w:ind w:left="0" w:right="0"/>
              <w:jc w:val="center"/>
              <w:cnfStyle w:val="000000010000" w:firstRow="0" w:lastRow="0" w:firstColumn="0" w:lastColumn="0" w:oddVBand="0" w:evenVBand="0" w:oddHBand="0" w:evenHBand="1" w:firstRowFirstColumn="0" w:firstRowLastColumn="0" w:lastRowFirstColumn="0" w:lastRowLastColumn="0"/>
              <w:rPr>
                <w:rFonts w:ascii="Calibri" w:hAnsi="Calibri" w:cs="Calibri"/>
                <w:sz w:val="20"/>
                <w:szCs w:val="20"/>
                <w:lang w:val="en-GB"/>
              </w:rPr>
            </w:pPr>
            <w:r w:rsidRPr="00221992">
              <w:rPr>
                <w:rFonts w:ascii="Wingdings" w:eastAsia="Wingdings" w:hAnsi="Wingdings" w:cs="Wingdings"/>
                <w:sz w:val="20"/>
                <w:szCs w:val="20"/>
                <w:lang w:val="en-GB"/>
              </w:rPr>
              <w:t></w:t>
            </w:r>
          </w:p>
        </w:tc>
        <w:tc>
          <w:tcPr>
            <w:tcW w:w="1559" w:type="dxa"/>
            <w:vAlign w:val="center"/>
          </w:tcPr>
          <w:p w14:paraId="36672A66" w14:textId="77777777" w:rsidR="00652D6D" w:rsidRPr="00221992" w:rsidRDefault="00652D6D" w:rsidP="00450FCE">
            <w:pPr>
              <w:pStyle w:val="TableText"/>
              <w:spacing w:before="0" w:after="0" w:line="240" w:lineRule="auto"/>
              <w:ind w:left="0" w:right="0"/>
              <w:jc w:val="center"/>
              <w:cnfStyle w:val="000000010000" w:firstRow="0" w:lastRow="0" w:firstColumn="0" w:lastColumn="0" w:oddVBand="0" w:evenVBand="0" w:oddHBand="0" w:evenHBand="1" w:firstRowFirstColumn="0" w:firstRowLastColumn="0" w:lastRowFirstColumn="0" w:lastRowLastColumn="0"/>
              <w:rPr>
                <w:rFonts w:ascii="Calibri" w:hAnsi="Calibri" w:cs="Calibri"/>
                <w:sz w:val="20"/>
                <w:szCs w:val="20"/>
                <w:lang w:val="en-GB"/>
              </w:rPr>
            </w:pPr>
            <w:r w:rsidRPr="00221992">
              <w:rPr>
                <w:rFonts w:ascii="Calibri" w:hAnsi="Calibri" w:cs="Calibri"/>
                <w:sz w:val="20"/>
                <w:szCs w:val="20"/>
                <w:lang w:val="en-GB"/>
              </w:rPr>
              <w:t>403</w:t>
            </w:r>
          </w:p>
        </w:tc>
        <w:tc>
          <w:tcPr>
            <w:tcW w:w="987" w:type="dxa"/>
            <w:vAlign w:val="center"/>
          </w:tcPr>
          <w:p w14:paraId="2ED248B9" w14:textId="77777777" w:rsidR="00652D6D" w:rsidRPr="00221992" w:rsidRDefault="00652D6D" w:rsidP="00450FCE">
            <w:pPr>
              <w:pStyle w:val="TableText"/>
              <w:spacing w:before="0" w:after="0" w:line="240" w:lineRule="auto"/>
              <w:ind w:left="0" w:right="0"/>
              <w:jc w:val="center"/>
              <w:cnfStyle w:val="000000010000" w:firstRow="0" w:lastRow="0" w:firstColumn="0" w:lastColumn="0" w:oddVBand="0" w:evenVBand="0" w:oddHBand="0" w:evenHBand="1" w:firstRowFirstColumn="0" w:firstRowLastColumn="0" w:lastRowFirstColumn="0" w:lastRowLastColumn="0"/>
              <w:rPr>
                <w:rFonts w:ascii="Calibri" w:hAnsi="Calibri" w:cs="Calibri"/>
                <w:sz w:val="20"/>
                <w:szCs w:val="20"/>
                <w:lang w:val="en-GB"/>
              </w:rPr>
            </w:pPr>
            <w:r w:rsidRPr="00221992">
              <w:rPr>
                <w:rFonts w:ascii="Calibri" w:hAnsi="Calibri" w:cs="Calibri"/>
                <w:sz w:val="20"/>
                <w:szCs w:val="20"/>
                <w:lang w:val="en-GB"/>
              </w:rPr>
              <w:t>33</w:t>
            </w:r>
          </w:p>
        </w:tc>
      </w:tr>
      <w:tr w:rsidR="00313425" w:rsidRPr="00221992" w14:paraId="4A843DD0" w14:textId="77777777" w:rsidTr="5668A862">
        <w:tc>
          <w:tcPr>
            <w:cnfStyle w:val="001000000000" w:firstRow="0" w:lastRow="0" w:firstColumn="1" w:lastColumn="0" w:oddVBand="0" w:evenVBand="0" w:oddHBand="0" w:evenHBand="0" w:firstRowFirstColumn="0" w:firstRowLastColumn="0" w:lastRowFirstColumn="0" w:lastRowLastColumn="0"/>
            <w:tcW w:w="1696" w:type="dxa"/>
            <w:shd w:val="clear" w:color="auto" w:fill="1E8BCD"/>
          </w:tcPr>
          <w:p w14:paraId="35F24EC9" w14:textId="77777777" w:rsidR="00652D6D" w:rsidRPr="00221992" w:rsidRDefault="00652D6D" w:rsidP="00450FCE">
            <w:pPr>
              <w:pStyle w:val="TableText"/>
              <w:spacing w:before="0" w:after="0" w:line="240" w:lineRule="auto"/>
              <w:rPr>
                <w:sz w:val="20"/>
                <w:szCs w:val="20"/>
                <w:lang w:val="en-GB"/>
              </w:rPr>
            </w:pPr>
            <w:r w:rsidRPr="00221992">
              <w:rPr>
                <w:sz w:val="20"/>
                <w:szCs w:val="20"/>
                <w:lang w:val="en-GB"/>
              </w:rPr>
              <w:t>Singapore</w:t>
            </w:r>
          </w:p>
        </w:tc>
        <w:tc>
          <w:tcPr>
            <w:tcW w:w="1134" w:type="dxa"/>
            <w:vAlign w:val="center"/>
          </w:tcPr>
          <w:p w14:paraId="2BC54FD6" w14:textId="77777777" w:rsidR="00652D6D" w:rsidRPr="00221992" w:rsidRDefault="00652D6D" w:rsidP="00450FCE">
            <w:pPr>
              <w:pStyle w:val="TableText"/>
              <w:spacing w:before="0" w:after="0" w:line="240" w:lineRule="auto"/>
              <w:ind w:left="0" w:right="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lang w:val="en-GB"/>
              </w:rPr>
            </w:pPr>
            <w:r w:rsidRPr="00221992">
              <w:rPr>
                <w:rFonts w:ascii="Wingdings" w:eastAsia="Wingdings" w:hAnsi="Wingdings" w:cs="Wingdings"/>
                <w:sz w:val="20"/>
                <w:szCs w:val="20"/>
                <w:lang w:val="en-GB"/>
              </w:rPr>
              <w:t></w:t>
            </w:r>
          </w:p>
        </w:tc>
        <w:tc>
          <w:tcPr>
            <w:tcW w:w="1276" w:type="dxa"/>
            <w:vAlign w:val="center"/>
          </w:tcPr>
          <w:p w14:paraId="4B947DE9" w14:textId="77777777" w:rsidR="00652D6D" w:rsidRPr="00221992" w:rsidRDefault="00652D6D" w:rsidP="00450FCE">
            <w:pPr>
              <w:pStyle w:val="TableText"/>
              <w:spacing w:before="0" w:after="0" w:line="240" w:lineRule="auto"/>
              <w:ind w:left="0" w:right="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lang w:val="en-GB"/>
              </w:rPr>
            </w:pPr>
          </w:p>
        </w:tc>
        <w:tc>
          <w:tcPr>
            <w:tcW w:w="1134" w:type="dxa"/>
            <w:vAlign w:val="center"/>
          </w:tcPr>
          <w:p w14:paraId="1AAF4430" w14:textId="77777777" w:rsidR="00652D6D" w:rsidRPr="00221992" w:rsidRDefault="00652D6D" w:rsidP="00450FCE">
            <w:pPr>
              <w:pStyle w:val="TableText"/>
              <w:spacing w:before="0" w:after="0" w:line="240" w:lineRule="auto"/>
              <w:ind w:left="0" w:right="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lang w:val="en-GB"/>
              </w:rPr>
            </w:pPr>
          </w:p>
        </w:tc>
        <w:tc>
          <w:tcPr>
            <w:tcW w:w="1418" w:type="dxa"/>
            <w:vAlign w:val="center"/>
          </w:tcPr>
          <w:p w14:paraId="50D7B888" w14:textId="77777777" w:rsidR="00652D6D" w:rsidRPr="00221992" w:rsidRDefault="00652D6D" w:rsidP="00450FCE">
            <w:pPr>
              <w:pStyle w:val="TableText"/>
              <w:spacing w:before="0" w:after="0" w:line="240" w:lineRule="auto"/>
              <w:ind w:left="0" w:right="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vertAlign w:val="superscript"/>
                <w:lang w:val="en-GB"/>
              </w:rPr>
            </w:pPr>
            <w:r w:rsidRPr="00221992">
              <w:rPr>
                <w:rFonts w:ascii="Wingdings" w:eastAsia="Wingdings" w:hAnsi="Wingdings" w:cs="Wingdings"/>
                <w:sz w:val="20"/>
                <w:szCs w:val="20"/>
                <w:lang w:val="en-GB"/>
              </w:rPr>
              <w:t></w:t>
            </w:r>
            <w:r w:rsidRPr="00221992">
              <w:rPr>
                <w:rFonts w:ascii="Calibri" w:hAnsi="Calibri" w:cs="Calibri"/>
                <w:sz w:val="20"/>
                <w:szCs w:val="20"/>
                <w:vertAlign w:val="superscript"/>
                <w:lang w:val="en-GB"/>
              </w:rPr>
              <w:t>2</w:t>
            </w:r>
          </w:p>
        </w:tc>
        <w:tc>
          <w:tcPr>
            <w:tcW w:w="1559" w:type="dxa"/>
            <w:vAlign w:val="center"/>
          </w:tcPr>
          <w:p w14:paraId="7ECF241A" w14:textId="5014204B" w:rsidR="00652D6D" w:rsidRPr="00221992" w:rsidRDefault="00652D6D" w:rsidP="00450FCE">
            <w:pPr>
              <w:pStyle w:val="TableText"/>
              <w:spacing w:before="0" w:after="0" w:line="240" w:lineRule="auto"/>
              <w:ind w:left="0" w:right="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lang w:val="en-GB"/>
              </w:rPr>
            </w:pPr>
            <w:r w:rsidRPr="00221992">
              <w:rPr>
                <w:rFonts w:ascii="Calibri" w:hAnsi="Calibri" w:cs="Calibri"/>
                <w:sz w:val="20"/>
                <w:szCs w:val="20"/>
                <w:lang w:val="en-GB"/>
              </w:rPr>
              <w:t>NI</w:t>
            </w:r>
          </w:p>
        </w:tc>
        <w:tc>
          <w:tcPr>
            <w:tcW w:w="987" w:type="dxa"/>
            <w:vAlign w:val="center"/>
          </w:tcPr>
          <w:p w14:paraId="6BA8EC75" w14:textId="2F27C6AC" w:rsidR="00652D6D" w:rsidRPr="00221992" w:rsidRDefault="00652D6D" w:rsidP="00450FCE">
            <w:pPr>
              <w:pStyle w:val="TableText"/>
              <w:spacing w:before="0" w:after="0" w:line="240" w:lineRule="auto"/>
              <w:ind w:left="0" w:right="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lang w:val="en-GB"/>
              </w:rPr>
            </w:pPr>
            <w:r w:rsidRPr="00221992">
              <w:rPr>
                <w:rFonts w:ascii="Calibri" w:hAnsi="Calibri" w:cs="Calibri"/>
                <w:sz w:val="20"/>
                <w:szCs w:val="20"/>
                <w:lang w:val="en-GB"/>
              </w:rPr>
              <w:t>NI</w:t>
            </w:r>
          </w:p>
        </w:tc>
      </w:tr>
      <w:tr w:rsidR="00313425" w:rsidRPr="00221992" w14:paraId="3CCCC9C8" w14:textId="77777777" w:rsidTr="5668A86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shd w:val="clear" w:color="auto" w:fill="1E8BCD"/>
          </w:tcPr>
          <w:p w14:paraId="4E443166" w14:textId="77777777" w:rsidR="00652D6D" w:rsidRPr="00221992" w:rsidRDefault="00652D6D" w:rsidP="00450FCE">
            <w:pPr>
              <w:pStyle w:val="TableText"/>
              <w:spacing w:before="0" w:after="0" w:line="240" w:lineRule="auto"/>
              <w:rPr>
                <w:sz w:val="20"/>
                <w:szCs w:val="20"/>
                <w:lang w:val="en-GB"/>
              </w:rPr>
            </w:pPr>
            <w:r w:rsidRPr="00221992">
              <w:rPr>
                <w:sz w:val="20"/>
                <w:szCs w:val="20"/>
                <w:lang w:val="en-GB"/>
              </w:rPr>
              <w:t>Spain</w:t>
            </w:r>
          </w:p>
        </w:tc>
        <w:tc>
          <w:tcPr>
            <w:tcW w:w="1134" w:type="dxa"/>
            <w:vAlign w:val="center"/>
          </w:tcPr>
          <w:p w14:paraId="2927F1EB" w14:textId="77777777" w:rsidR="00652D6D" w:rsidRPr="00221992" w:rsidRDefault="00652D6D" w:rsidP="00450FCE">
            <w:pPr>
              <w:pStyle w:val="TableText"/>
              <w:spacing w:before="0" w:after="0" w:line="240" w:lineRule="auto"/>
              <w:ind w:left="0" w:right="0"/>
              <w:jc w:val="center"/>
              <w:cnfStyle w:val="000000010000" w:firstRow="0" w:lastRow="0" w:firstColumn="0" w:lastColumn="0" w:oddVBand="0" w:evenVBand="0" w:oddHBand="0" w:evenHBand="1" w:firstRowFirstColumn="0" w:firstRowLastColumn="0" w:lastRowFirstColumn="0" w:lastRowLastColumn="0"/>
              <w:rPr>
                <w:rFonts w:ascii="Calibri" w:hAnsi="Calibri" w:cs="Calibri"/>
                <w:sz w:val="20"/>
                <w:szCs w:val="20"/>
                <w:lang w:val="en-GB"/>
              </w:rPr>
            </w:pPr>
          </w:p>
        </w:tc>
        <w:tc>
          <w:tcPr>
            <w:tcW w:w="1276" w:type="dxa"/>
            <w:vAlign w:val="center"/>
          </w:tcPr>
          <w:p w14:paraId="7C78925E" w14:textId="77777777" w:rsidR="00652D6D" w:rsidRPr="00221992" w:rsidRDefault="00652D6D" w:rsidP="00450FCE">
            <w:pPr>
              <w:pStyle w:val="TableText"/>
              <w:spacing w:before="0" w:after="0" w:line="240" w:lineRule="auto"/>
              <w:ind w:left="0" w:right="0"/>
              <w:jc w:val="center"/>
              <w:cnfStyle w:val="000000010000" w:firstRow="0" w:lastRow="0" w:firstColumn="0" w:lastColumn="0" w:oddVBand="0" w:evenVBand="0" w:oddHBand="0" w:evenHBand="1" w:firstRowFirstColumn="0" w:firstRowLastColumn="0" w:lastRowFirstColumn="0" w:lastRowLastColumn="0"/>
              <w:rPr>
                <w:rFonts w:ascii="Calibri" w:hAnsi="Calibri" w:cs="Calibri"/>
                <w:sz w:val="20"/>
                <w:szCs w:val="20"/>
                <w:lang w:val="en-GB"/>
              </w:rPr>
            </w:pPr>
          </w:p>
        </w:tc>
        <w:tc>
          <w:tcPr>
            <w:tcW w:w="1134" w:type="dxa"/>
            <w:vAlign w:val="center"/>
          </w:tcPr>
          <w:p w14:paraId="389423B9" w14:textId="77777777" w:rsidR="00652D6D" w:rsidRPr="00221992" w:rsidRDefault="00652D6D" w:rsidP="00450FCE">
            <w:pPr>
              <w:pStyle w:val="TableText"/>
              <w:spacing w:before="0" w:after="0" w:line="240" w:lineRule="auto"/>
              <w:ind w:left="0" w:right="0"/>
              <w:jc w:val="center"/>
              <w:cnfStyle w:val="000000010000" w:firstRow="0" w:lastRow="0" w:firstColumn="0" w:lastColumn="0" w:oddVBand="0" w:evenVBand="0" w:oddHBand="0" w:evenHBand="1" w:firstRowFirstColumn="0" w:firstRowLastColumn="0" w:lastRowFirstColumn="0" w:lastRowLastColumn="0"/>
              <w:rPr>
                <w:rFonts w:ascii="Calibri" w:hAnsi="Calibri" w:cs="Calibri"/>
                <w:sz w:val="20"/>
                <w:szCs w:val="20"/>
                <w:vertAlign w:val="superscript"/>
                <w:lang w:val="en-GB"/>
              </w:rPr>
            </w:pPr>
            <w:r w:rsidRPr="00221992">
              <w:rPr>
                <w:rFonts w:ascii="Wingdings" w:eastAsia="Wingdings" w:hAnsi="Wingdings" w:cs="Wingdings"/>
                <w:sz w:val="20"/>
                <w:szCs w:val="20"/>
                <w:lang w:val="en-GB"/>
              </w:rPr>
              <w:t></w:t>
            </w:r>
            <w:r w:rsidRPr="00221992">
              <w:rPr>
                <w:rFonts w:ascii="Calibri" w:hAnsi="Calibri" w:cs="Calibri"/>
                <w:sz w:val="20"/>
                <w:szCs w:val="20"/>
                <w:vertAlign w:val="superscript"/>
                <w:lang w:val="en-GB"/>
              </w:rPr>
              <w:t>1</w:t>
            </w:r>
          </w:p>
        </w:tc>
        <w:tc>
          <w:tcPr>
            <w:tcW w:w="1418" w:type="dxa"/>
            <w:vAlign w:val="center"/>
          </w:tcPr>
          <w:p w14:paraId="262B488D" w14:textId="77777777" w:rsidR="00652D6D" w:rsidRPr="00221992" w:rsidRDefault="00652D6D" w:rsidP="00450FCE">
            <w:pPr>
              <w:pStyle w:val="TableText"/>
              <w:spacing w:before="0" w:after="0" w:line="240" w:lineRule="auto"/>
              <w:ind w:left="0" w:right="0"/>
              <w:jc w:val="center"/>
              <w:cnfStyle w:val="000000010000" w:firstRow="0" w:lastRow="0" w:firstColumn="0" w:lastColumn="0" w:oddVBand="0" w:evenVBand="0" w:oddHBand="0" w:evenHBand="1" w:firstRowFirstColumn="0" w:firstRowLastColumn="0" w:lastRowFirstColumn="0" w:lastRowLastColumn="0"/>
              <w:rPr>
                <w:rFonts w:ascii="Calibri" w:hAnsi="Calibri" w:cs="Calibri"/>
                <w:sz w:val="20"/>
                <w:szCs w:val="20"/>
                <w:vertAlign w:val="superscript"/>
                <w:lang w:val="en-GB"/>
              </w:rPr>
            </w:pPr>
            <w:r w:rsidRPr="00221992">
              <w:rPr>
                <w:rFonts w:ascii="Wingdings" w:eastAsia="Wingdings" w:hAnsi="Wingdings" w:cs="Wingdings"/>
                <w:sz w:val="20"/>
                <w:szCs w:val="20"/>
                <w:lang w:val="en-GB"/>
              </w:rPr>
              <w:t></w:t>
            </w:r>
            <w:r w:rsidRPr="00221992">
              <w:rPr>
                <w:rFonts w:ascii="Calibri" w:hAnsi="Calibri" w:cs="Calibri"/>
                <w:sz w:val="20"/>
                <w:szCs w:val="20"/>
                <w:vertAlign w:val="superscript"/>
                <w:lang w:val="en-GB"/>
              </w:rPr>
              <w:t>3</w:t>
            </w:r>
          </w:p>
        </w:tc>
        <w:tc>
          <w:tcPr>
            <w:tcW w:w="1559" w:type="dxa"/>
            <w:vAlign w:val="center"/>
          </w:tcPr>
          <w:p w14:paraId="658B029E" w14:textId="77777777" w:rsidR="00652D6D" w:rsidRPr="00221992" w:rsidRDefault="00652D6D" w:rsidP="00450FCE">
            <w:pPr>
              <w:pStyle w:val="TableText"/>
              <w:spacing w:before="0" w:after="0" w:line="240" w:lineRule="auto"/>
              <w:ind w:left="0" w:right="0"/>
              <w:jc w:val="center"/>
              <w:cnfStyle w:val="000000010000" w:firstRow="0" w:lastRow="0" w:firstColumn="0" w:lastColumn="0" w:oddVBand="0" w:evenVBand="0" w:oddHBand="0" w:evenHBand="1" w:firstRowFirstColumn="0" w:firstRowLastColumn="0" w:lastRowFirstColumn="0" w:lastRowLastColumn="0"/>
              <w:rPr>
                <w:rFonts w:ascii="Calibri" w:hAnsi="Calibri" w:cs="Calibri"/>
                <w:sz w:val="20"/>
                <w:szCs w:val="20"/>
                <w:lang w:val="en-GB"/>
              </w:rPr>
            </w:pPr>
            <w:r w:rsidRPr="00221992">
              <w:rPr>
                <w:rFonts w:ascii="Calibri" w:hAnsi="Calibri" w:cs="Calibri"/>
                <w:sz w:val="20"/>
                <w:szCs w:val="20"/>
                <w:lang w:val="en-GB"/>
              </w:rPr>
              <w:t>713</w:t>
            </w:r>
          </w:p>
        </w:tc>
        <w:tc>
          <w:tcPr>
            <w:tcW w:w="987" w:type="dxa"/>
            <w:vAlign w:val="center"/>
          </w:tcPr>
          <w:p w14:paraId="20F0467C" w14:textId="77777777" w:rsidR="00652D6D" w:rsidRPr="00221992" w:rsidRDefault="00652D6D" w:rsidP="00450FCE">
            <w:pPr>
              <w:pStyle w:val="TableText"/>
              <w:spacing w:before="0" w:after="0" w:line="240" w:lineRule="auto"/>
              <w:ind w:left="0" w:right="0"/>
              <w:jc w:val="center"/>
              <w:cnfStyle w:val="000000010000" w:firstRow="0" w:lastRow="0" w:firstColumn="0" w:lastColumn="0" w:oddVBand="0" w:evenVBand="0" w:oddHBand="0" w:evenHBand="1" w:firstRowFirstColumn="0" w:firstRowLastColumn="0" w:lastRowFirstColumn="0" w:lastRowLastColumn="0"/>
              <w:rPr>
                <w:rFonts w:ascii="Calibri" w:hAnsi="Calibri" w:cs="Calibri"/>
                <w:sz w:val="20"/>
                <w:szCs w:val="20"/>
                <w:lang w:val="en-GB"/>
              </w:rPr>
            </w:pPr>
            <w:r w:rsidRPr="00221992">
              <w:rPr>
                <w:rFonts w:ascii="Calibri" w:hAnsi="Calibri" w:cs="Calibri"/>
                <w:sz w:val="20"/>
                <w:szCs w:val="20"/>
                <w:lang w:val="en-GB"/>
              </w:rPr>
              <w:t>31</w:t>
            </w:r>
          </w:p>
        </w:tc>
      </w:tr>
      <w:tr w:rsidR="00313425" w:rsidRPr="00221992" w14:paraId="76E9BAA1" w14:textId="77777777" w:rsidTr="5668A862">
        <w:tc>
          <w:tcPr>
            <w:cnfStyle w:val="001000000000" w:firstRow="0" w:lastRow="0" w:firstColumn="1" w:lastColumn="0" w:oddVBand="0" w:evenVBand="0" w:oddHBand="0" w:evenHBand="0" w:firstRowFirstColumn="0" w:firstRowLastColumn="0" w:lastRowFirstColumn="0" w:lastRowLastColumn="0"/>
            <w:tcW w:w="1696" w:type="dxa"/>
            <w:shd w:val="clear" w:color="auto" w:fill="1E8BCD"/>
          </w:tcPr>
          <w:p w14:paraId="1765C31E" w14:textId="77777777" w:rsidR="00652D6D" w:rsidRPr="00221992" w:rsidRDefault="00652D6D" w:rsidP="00450FCE">
            <w:pPr>
              <w:pStyle w:val="TableText"/>
              <w:spacing w:before="0" w:after="0" w:line="240" w:lineRule="auto"/>
              <w:rPr>
                <w:sz w:val="20"/>
                <w:szCs w:val="20"/>
                <w:lang w:val="en-GB"/>
              </w:rPr>
            </w:pPr>
            <w:r w:rsidRPr="00221992">
              <w:rPr>
                <w:sz w:val="20"/>
                <w:szCs w:val="20"/>
                <w:lang w:val="en-GB"/>
              </w:rPr>
              <w:t>Sweden</w:t>
            </w:r>
          </w:p>
        </w:tc>
        <w:tc>
          <w:tcPr>
            <w:tcW w:w="1134" w:type="dxa"/>
            <w:vAlign w:val="center"/>
          </w:tcPr>
          <w:p w14:paraId="35FB17FC" w14:textId="77777777" w:rsidR="00652D6D" w:rsidRPr="00221992" w:rsidRDefault="00652D6D" w:rsidP="00450FCE">
            <w:pPr>
              <w:pStyle w:val="TableText"/>
              <w:spacing w:before="0" w:after="0" w:line="240" w:lineRule="auto"/>
              <w:ind w:left="0" w:right="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lang w:val="en-GB"/>
              </w:rPr>
            </w:pPr>
          </w:p>
        </w:tc>
        <w:tc>
          <w:tcPr>
            <w:tcW w:w="1276" w:type="dxa"/>
            <w:vAlign w:val="center"/>
          </w:tcPr>
          <w:p w14:paraId="7CD40053" w14:textId="77777777" w:rsidR="00652D6D" w:rsidRPr="00221992" w:rsidRDefault="00652D6D" w:rsidP="00450FCE">
            <w:pPr>
              <w:pStyle w:val="TableText"/>
              <w:spacing w:before="0" w:after="0" w:line="240" w:lineRule="auto"/>
              <w:ind w:left="0" w:right="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lang w:val="en-GB"/>
              </w:rPr>
            </w:pPr>
            <w:r w:rsidRPr="00221992">
              <w:rPr>
                <w:rFonts w:ascii="Wingdings" w:eastAsia="Wingdings" w:hAnsi="Wingdings" w:cs="Wingdings"/>
                <w:sz w:val="20"/>
                <w:szCs w:val="20"/>
                <w:lang w:val="en-GB"/>
              </w:rPr>
              <w:t></w:t>
            </w:r>
          </w:p>
        </w:tc>
        <w:tc>
          <w:tcPr>
            <w:tcW w:w="1134" w:type="dxa"/>
            <w:vAlign w:val="center"/>
          </w:tcPr>
          <w:p w14:paraId="6C1D71ED" w14:textId="77777777" w:rsidR="00652D6D" w:rsidRPr="00221992" w:rsidRDefault="00652D6D" w:rsidP="00450FCE">
            <w:pPr>
              <w:pStyle w:val="TableText"/>
              <w:spacing w:before="0" w:after="0" w:line="240" w:lineRule="auto"/>
              <w:ind w:left="0" w:right="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lang w:val="en-GB"/>
              </w:rPr>
            </w:pPr>
          </w:p>
        </w:tc>
        <w:tc>
          <w:tcPr>
            <w:tcW w:w="1418" w:type="dxa"/>
            <w:vAlign w:val="center"/>
          </w:tcPr>
          <w:p w14:paraId="40A88204" w14:textId="77777777" w:rsidR="00652D6D" w:rsidRPr="00221992" w:rsidRDefault="00652D6D" w:rsidP="00450FCE">
            <w:pPr>
              <w:pStyle w:val="TableText"/>
              <w:spacing w:before="0" w:after="0" w:line="240" w:lineRule="auto"/>
              <w:ind w:left="0" w:right="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lang w:val="en-GB"/>
              </w:rPr>
            </w:pPr>
            <w:r w:rsidRPr="00221992">
              <w:rPr>
                <w:rFonts w:ascii="Calibri" w:hAnsi="Calibri" w:cs="Calibri"/>
                <w:sz w:val="20"/>
                <w:szCs w:val="20"/>
                <w:lang w:val="en-GB"/>
              </w:rPr>
              <w:t>NI</w:t>
            </w:r>
          </w:p>
        </w:tc>
        <w:tc>
          <w:tcPr>
            <w:tcW w:w="1559" w:type="dxa"/>
            <w:vAlign w:val="center"/>
          </w:tcPr>
          <w:p w14:paraId="1B90A31B" w14:textId="77777777" w:rsidR="00652D6D" w:rsidRPr="00221992" w:rsidRDefault="00652D6D" w:rsidP="00450FCE">
            <w:pPr>
              <w:pStyle w:val="TableText"/>
              <w:spacing w:before="0" w:after="0" w:line="240" w:lineRule="auto"/>
              <w:ind w:left="0" w:right="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lang w:val="en-GB"/>
              </w:rPr>
            </w:pPr>
            <w:r w:rsidRPr="00221992">
              <w:rPr>
                <w:rFonts w:ascii="Calibri" w:hAnsi="Calibri" w:cs="Calibri"/>
                <w:sz w:val="20"/>
                <w:szCs w:val="20"/>
                <w:lang w:val="en-GB"/>
              </w:rPr>
              <w:t>480</w:t>
            </w:r>
          </w:p>
        </w:tc>
        <w:tc>
          <w:tcPr>
            <w:tcW w:w="987" w:type="dxa"/>
            <w:vAlign w:val="center"/>
          </w:tcPr>
          <w:p w14:paraId="16CDF982" w14:textId="77777777" w:rsidR="00652D6D" w:rsidRPr="00221992" w:rsidRDefault="00652D6D" w:rsidP="00450FCE">
            <w:pPr>
              <w:pStyle w:val="TableText"/>
              <w:spacing w:before="0" w:after="0" w:line="240" w:lineRule="auto"/>
              <w:ind w:left="0" w:right="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lang w:val="en-GB"/>
              </w:rPr>
            </w:pPr>
            <w:r w:rsidRPr="00221992">
              <w:rPr>
                <w:rFonts w:ascii="Calibri" w:hAnsi="Calibri" w:cs="Calibri"/>
                <w:sz w:val="20"/>
                <w:szCs w:val="20"/>
                <w:lang w:val="en-GB"/>
              </w:rPr>
              <w:t>25</w:t>
            </w:r>
          </w:p>
        </w:tc>
      </w:tr>
      <w:tr w:rsidR="00692F07" w:rsidRPr="00221992" w14:paraId="761F89AB" w14:textId="77777777" w:rsidTr="5668A86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shd w:val="clear" w:color="auto" w:fill="1E8BCD"/>
          </w:tcPr>
          <w:p w14:paraId="7FA99A7C" w14:textId="77777777" w:rsidR="00652D6D" w:rsidRPr="00221992" w:rsidRDefault="00652D6D" w:rsidP="00450FCE">
            <w:pPr>
              <w:pStyle w:val="TableText"/>
              <w:spacing w:before="0" w:after="0" w:line="240" w:lineRule="auto"/>
              <w:rPr>
                <w:sz w:val="20"/>
                <w:szCs w:val="20"/>
                <w:lang w:val="en-GB"/>
              </w:rPr>
            </w:pPr>
            <w:r w:rsidRPr="00221992">
              <w:rPr>
                <w:sz w:val="20"/>
                <w:szCs w:val="20"/>
                <w:lang w:val="en-GB"/>
              </w:rPr>
              <w:t>Taiwan</w:t>
            </w:r>
          </w:p>
        </w:tc>
        <w:tc>
          <w:tcPr>
            <w:tcW w:w="1134" w:type="dxa"/>
            <w:vAlign w:val="center"/>
          </w:tcPr>
          <w:p w14:paraId="28988BBF" w14:textId="77777777" w:rsidR="00652D6D" w:rsidRPr="00221992" w:rsidRDefault="00652D6D" w:rsidP="00450FCE">
            <w:pPr>
              <w:pStyle w:val="TableText"/>
              <w:spacing w:before="0" w:after="0" w:line="240" w:lineRule="auto"/>
              <w:ind w:left="0" w:right="0"/>
              <w:jc w:val="center"/>
              <w:cnfStyle w:val="000000010000" w:firstRow="0" w:lastRow="0" w:firstColumn="0" w:lastColumn="0" w:oddVBand="0" w:evenVBand="0" w:oddHBand="0" w:evenHBand="1" w:firstRowFirstColumn="0" w:firstRowLastColumn="0" w:lastRowFirstColumn="0" w:lastRowLastColumn="0"/>
              <w:rPr>
                <w:rFonts w:ascii="Calibri" w:hAnsi="Calibri" w:cs="Calibri"/>
                <w:sz w:val="20"/>
                <w:szCs w:val="20"/>
                <w:lang w:val="en-GB"/>
              </w:rPr>
            </w:pPr>
          </w:p>
        </w:tc>
        <w:tc>
          <w:tcPr>
            <w:tcW w:w="1276" w:type="dxa"/>
            <w:vAlign w:val="center"/>
          </w:tcPr>
          <w:p w14:paraId="7F35EC3C" w14:textId="77777777" w:rsidR="00652D6D" w:rsidRPr="00221992" w:rsidRDefault="00652D6D" w:rsidP="00450FCE">
            <w:pPr>
              <w:pStyle w:val="TableText"/>
              <w:spacing w:before="0" w:after="0" w:line="240" w:lineRule="auto"/>
              <w:ind w:left="0" w:right="0"/>
              <w:jc w:val="center"/>
              <w:cnfStyle w:val="000000010000" w:firstRow="0" w:lastRow="0" w:firstColumn="0" w:lastColumn="0" w:oddVBand="0" w:evenVBand="0" w:oddHBand="0" w:evenHBand="1" w:firstRowFirstColumn="0" w:firstRowLastColumn="0" w:lastRowFirstColumn="0" w:lastRowLastColumn="0"/>
              <w:rPr>
                <w:rFonts w:ascii="Calibri" w:hAnsi="Calibri" w:cs="Calibri"/>
                <w:sz w:val="20"/>
                <w:szCs w:val="20"/>
                <w:lang w:val="en-GB"/>
              </w:rPr>
            </w:pPr>
            <w:r w:rsidRPr="00221992">
              <w:rPr>
                <w:rFonts w:ascii="Wingdings" w:eastAsia="Wingdings" w:hAnsi="Wingdings" w:cs="Wingdings"/>
                <w:sz w:val="20"/>
                <w:szCs w:val="20"/>
                <w:lang w:val="en-GB"/>
              </w:rPr>
              <w:t></w:t>
            </w:r>
          </w:p>
        </w:tc>
        <w:tc>
          <w:tcPr>
            <w:tcW w:w="1134" w:type="dxa"/>
            <w:vAlign w:val="center"/>
          </w:tcPr>
          <w:p w14:paraId="52B4AF6F" w14:textId="77777777" w:rsidR="00652D6D" w:rsidRPr="00221992" w:rsidRDefault="00652D6D" w:rsidP="00450FCE">
            <w:pPr>
              <w:pStyle w:val="TableText"/>
              <w:spacing w:before="0" w:after="0" w:line="240" w:lineRule="auto"/>
              <w:ind w:left="0" w:right="0"/>
              <w:jc w:val="center"/>
              <w:cnfStyle w:val="000000010000" w:firstRow="0" w:lastRow="0" w:firstColumn="0" w:lastColumn="0" w:oddVBand="0" w:evenVBand="0" w:oddHBand="0" w:evenHBand="1" w:firstRowFirstColumn="0" w:firstRowLastColumn="0" w:lastRowFirstColumn="0" w:lastRowLastColumn="0"/>
              <w:rPr>
                <w:rFonts w:ascii="Calibri" w:hAnsi="Calibri" w:cs="Calibri"/>
                <w:sz w:val="20"/>
                <w:szCs w:val="20"/>
                <w:lang w:val="en-GB"/>
              </w:rPr>
            </w:pPr>
          </w:p>
        </w:tc>
        <w:tc>
          <w:tcPr>
            <w:tcW w:w="1418" w:type="dxa"/>
            <w:vAlign w:val="center"/>
          </w:tcPr>
          <w:p w14:paraId="78BB15E7" w14:textId="77777777" w:rsidR="00652D6D" w:rsidRPr="00221992" w:rsidRDefault="00652D6D" w:rsidP="00450FCE">
            <w:pPr>
              <w:pStyle w:val="TableText"/>
              <w:spacing w:before="0" w:after="0" w:line="240" w:lineRule="auto"/>
              <w:ind w:left="0" w:right="0"/>
              <w:jc w:val="center"/>
              <w:cnfStyle w:val="000000010000" w:firstRow="0" w:lastRow="0" w:firstColumn="0" w:lastColumn="0" w:oddVBand="0" w:evenVBand="0" w:oddHBand="0" w:evenHBand="1" w:firstRowFirstColumn="0" w:firstRowLastColumn="0" w:lastRowFirstColumn="0" w:lastRowLastColumn="0"/>
              <w:rPr>
                <w:rFonts w:ascii="Calibri" w:hAnsi="Calibri" w:cs="Calibri"/>
                <w:sz w:val="20"/>
                <w:szCs w:val="20"/>
                <w:lang w:val="en-GB"/>
              </w:rPr>
            </w:pPr>
            <w:r w:rsidRPr="00221992">
              <w:rPr>
                <w:rFonts w:ascii="Calibri" w:hAnsi="Calibri" w:cs="Calibri"/>
                <w:sz w:val="20"/>
                <w:szCs w:val="20"/>
                <w:lang w:val="en-GB"/>
              </w:rPr>
              <w:t>NI</w:t>
            </w:r>
          </w:p>
        </w:tc>
        <w:tc>
          <w:tcPr>
            <w:tcW w:w="1559" w:type="dxa"/>
            <w:vAlign w:val="center"/>
          </w:tcPr>
          <w:p w14:paraId="3C44444A" w14:textId="213C3D7E" w:rsidR="00652D6D" w:rsidRPr="00221992" w:rsidRDefault="00652D6D" w:rsidP="00450FCE">
            <w:pPr>
              <w:pStyle w:val="TableText"/>
              <w:spacing w:before="0" w:after="0" w:line="240" w:lineRule="auto"/>
              <w:ind w:left="0" w:right="0"/>
              <w:jc w:val="center"/>
              <w:cnfStyle w:val="000000010000" w:firstRow="0" w:lastRow="0" w:firstColumn="0" w:lastColumn="0" w:oddVBand="0" w:evenVBand="0" w:oddHBand="0" w:evenHBand="1" w:firstRowFirstColumn="0" w:firstRowLastColumn="0" w:lastRowFirstColumn="0" w:lastRowLastColumn="0"/>
              <w:rPr>
                <w:rFonts w:ascii="Calibri" w:hAnsi="Calibri" w:cs="Calibri"/>
                <w:sz w:val="20"/>
                <w:szCs w:val="20"/>
                <w:lang w:val="en-GB"/>
              </w:rPr>
            </w:pPr>
            <w:r w:rsidRPr="00221992">
              <w:rPr>
                <w:rFonts w:ascii="Calibri" w:hAnsi="Calibri" w:cs="Calibri"/>
                <w:sz w:val="20"/>
                <w:szCs w:val="20"/>
                <w:lang w:val="en-GB"/>
              </w:rPr>
              <w:t>NI</w:t>
            </w:r>
          </w:p>
        </w:tc>
        <w:tc>
          <w:tcPr>
            <w:tcW w:w="987" w:type="dxa"/>
            <w:vAlign w:val="center"/>
          </w:tcPr>
          <w:p w14:paraId="21FCB103" w14:textId="1F0FD807" w:rsidR="00652D6D" w:rsidRPr="00221992" w:rsidRDefault="00652D6D" w:rsidP="00450FCE">
            <w:pPr>
              <w:pStyle w:val="TableText"/>
              <w:spacing w:before="0" w:after="0" w:line="240" w:lineRule="auto"/>
              <w:ind w:left="0" w:right="0"/>
              <w:jc w:val="center"/>
              <w:cnfStyle w:val="000000010000" w:firstRow="0" w:lastRow="0" w:firstColumn="0" w:lastColumn="0" w:oddVBand="0" w:evenVBand="0" w:oddHBand="0" w:evenHBand="1" w:firstRowFirstColumn="0" w:firstRowLastColumn="0" w:lastRowFirstColumn="0" w:lastRowLastColumn="0"/>
              <w:rPr>
                <w:rFonts w:ascii="Calibri" w:hAnsi="Calibri" w:cs="Calibri"/>
                <w:sz w:val="20"/>
                <w:szCs w:val="20"/>
                <w:lang w:val="en-GB"/>
              </w:rPr>
            </w:pPr>
            <w:r w:rsidRPr="00221992">
              <w:rPr>
                <w:rFonts w:ascii="Calibri" w:hAnsi="Calibri" w:cs="Calibri"/>
                <w:sz w:val="20"/>
                <w:szCs w:val="20"/>
                <w:lang w:val="en-GB"/>
              </w:rPr>
              <w:t>NI</w:t>
            </w:r>
          </w:p>
        </w:tc>
      </w:tr>
    </w:tbl>
    <w:p w14:paraId="0E0A4D03" w14:textId="499FC114" w:rsidR="00652D6D" w:rsidRPr="00221992" w:rsidRDefault="00652D6D" w:rsidP="00533CF1">
      <w:pPr>
        <w:pStyle w:val="TableNotes"/>
        <w:rPr>
          <w:lang w:val="en-GB"/>
        </w:rPr>
      </w:pPr>
      <w:r w:rsidRPr="00221992">
        <w:rPr>
          <w:lang w:val="en-GB"/>
        </w:rPr>
        <w:t>Source:</w:t>
      </w:r>
      <w:r w:rsidRPr="00221992">
        <w:rPr>
          <w:lang w:val="en-GB"/>
        </w:rPr>
        <w:tab/>
        <w:t xml:space="preserve">IQVIA </w:t>
      </w:r>
      <w:r w:rsidR="00852F0E" w:rsidRPr="00221992">
        <w:rPr>
          <w:lang w:val="en-GB"/>
        </w:rPr>
        <w:t>(</w:t>
      </w:r>
      <w:r w:rsidR="000A1447" w:rsidRPr="00221992">
        <w:rPr>
          <w:lang w:val="en-GB"/>
        </w:rPr>
        <w:t xml:space="preserve">2021, </w:t>
      </w:r>
      <w:r w:rsidRPr="00221992">
        <w:rPr>
          <w:lang w:val="en-GB"/>
        </w:rPr>
        <w:t>2023</w:t>
      </w:r>
      <w:r w:rsidR="000A1447" w:rsidRPr="00221992">
        <w:rPr>
          <w:lang w:val="en-GB"/>
        </w:rPr>
        <w:t>)</w:t>
      </w:r>
      <w:r w:rsidR="00071CE9" w:rsidRPr="00221992">
        <w:rPr>
          <w:lang w:val="en-GB"/>
        </w:rPr>
        <w:t xml:space="preserve"> </w:t>
      </w:r>
      <w:r w:rsidR="009773A6" w:rsidRPr="00221992">
        <w:rPr>
          <w:lang w:val="en-GB"/>
        </w:rPr>
        <w:fldChar w:fldCharType="begin"/>
      </w:r>
      <w:r w:rsidR="005D638E" w:rsidRPr="00221992">
        <w:rPr>
          <w:lang w:val="en-GB"/>
        </w:rPr>
        <w:instrText xml:space="preserve"> ADDIN EN.CITE &lt;EndNote&gt;&lt;Cite&gt;&lt;Author&gt;IQVIA&lt;/Author&gt;&lt;Year&gt;2023&lt;/Year&gt;&lt;RecNum&gt;221&lt;/RecNum&gt;&lt;DisplayText&gt;[3-4]&lt;/DisplayText&gt;&lt;record&gt;&lt;rec-number&gt;221&lt;/rec-number&gt;&lt;foreign-keys&gt;&lt;key app="EN" db-id="wzwwsfxe4peesxef95cxvrwjxts9rreasarf" timestamp="1692654670"&gt;221&lt;/key&gt;&lt;/foreign-keys&gt;&lt;ref-type name="Online Multimedia"&gt;48&lt;/ref-type&gt;&lt;contributors&gt;&lt;authors&gt;&lt;author&gt;IQVIA&lt;/author&gt;&lt;/authors&gt;&lt;/contributors&gt;&lt;titles&gt;&lt;title&gt;EFPIA Patients W.A.I.T. Indicator 2022 Survey&lt;/title&gt;&lt;/titles&gt;&lt;dates&gt;&lt;year&gt;2023&lt;/year&gt;&lt;/dates&gt;&lt;pub-location&gt;European Federation of Pharmaceutical Industries and Associations (EFPIA)&lt;/pub-location&gt;&lt;urls&gt;&lt;related-urls&gt;&lt;url&gt;https://www.efpia.eu/media/s4qf1eqo/efpia_patient_wait_indicator_final_report.pdf&lt;/url&gt;&lt;/related-urls&gt;&lt;/urls&gt;&lt;/record&gt;&lt;/Cite&gt;&lt;Cite&gt;&lt;Author&gt;IQVIA&lt;/Author&gt;&lt;Year&gt;2021&lt;/Year&gt;&lt;RecNum&gt;623&lt;/RecNum&gt;&lt;record&gt;&lt;rec-number&gt;623&lt;/rec-number&gt;&lt;foreign-keys&gt;&lt;key app="EN" db-id="wzwwsfxe4peesxef95cxvrwjxts9rreasarf" timestamp="1693186424"&gt;623&lt;/key&gt;&lt;/foreign-keys&gt;&lt;ref-type name="Online Multimedia"&gt;48&lt;/ref-type&gt;&lt;contributors&gt;&lt;authors&gt;&lt;author&gt;IQVIA&lt;/author&gt;&lt;/authors&gt;&lt;/contributors&gt;&lt;titles&gt;&lt;title&gt;EFPIA Patients W.A.I.T. Indicator 2020 Survey&lt;/title&gt;&lt;/titles&gt;&lt;dates&gt;&lt;year&gt;2021&lt;/year&gt;&lt;/dates&gt;&lt;pub-location&gt;European Federation of Pharmaceutical Industries and Associations (EFPIA)&lt;/pub-location&gt;&lt;urls&gt;&lt;related-urls&gt;&lt;url&gt;https://www.efpia.eu/media/602652/efpia-patient-wait-indicator-final-250521.pdf&lt;/url&gt;&lt;/related-urls&gt;&lt;/urls&gt;&lt;/record&gt;&lt;/Cite&gt;&lt;/EndNote&gt;</w:instrText>
      </w:r>
      <w:r w:rsidR="009773A6" w:rsidRPr="00221992">
        <w:rPr>
          <w:lang w:val="en-GB"/>
        </w:rPr>
        <w:fldChar w:fldCharType="separate"/>
      </w:r>
      <w:r w:rsidR="005D638E" w:rsidRPr="00221992">
        <w:rPr>
          <w:noProof/>
          <w:lang w:val="en-GB"/>
        </w:rPr>
        <w:t>[3-4]</w:t>
      </w:r>
      <w:r w:rsidR="009773A6" w:rsidRPr="00221992">
        <w:rPr>
          <w:lang w:val="en-GB"/>
        </w:rPr>
        <w:fldChar w:fldCharType="end"/>
      </w:r>
    </w:p>
    <w:p w14:paraId="462DB115" w14:textId="0035C230" w:rsidR="00D84C90" w:rsidRPr="00221992" w:rsidRDefault="00D84C90" w:rsidP="00533CF1">
      <w:pPr>
        <w:pStyle w:val="TableNotes"/>
        <w:rPr>
          <w:lang w:val="en-GB"/>
        </w:rPr>
      </w:pPr>
      <w:r w:rsidRPr="00221992">
        <w:rPr>
          <w:lang w:val="en-GB"/>
        </w:rPr>
        <w:t>Acronyms:</w:t>
      </w:r>
      <w:r w:rsidRPr="00221992">
        <w:rPr>
          <w:lang w:val="en-GB"/>
        </w:rPr>
        <w:tab/>
      </w:r>
      <w:r w:rsidR="00652D6D" w:rsidRPr="00221992">
        <w:rPr>
          <w:lang w:val="en-GB"/>
        </w:rPr>
        <w:t xml:space="preserve">MA, marketing authorisation; </w:t>
      </w:r>
      <w:r w:rsidR="00D65012" w:rsidRPr="00221992">
        <w:rPr>
          <w:lang w:val="en-GB"/>
        </w:rPr>
        <w:t xml:space="preserve">NI, none identified. </w:t>
      </w:r>
    </w:p>
    <w:p w14:paraId="2009D7D9" w14:textId="6F13BB34" w:rsidR="00D65012" w:rsidRPr="00221992" w:rsidRDefault="00D84C90" w:rsidP="00533CF1">
      <w:pPr>
        <w:pStyle w:val="TableNotes"/>
        <w:rPr>
          <w:lang w:val="en-GB"/>
        </w:rPr>
      </w:pPr>
      <w:r w:rsidRPr="00221992">
        <w:rPr>
          <w:lang w:val="en-GB"/>
        </w:rPr>
        <w:t>Notes:</w:t>
      </w:r>
      <w:r w:rsidRPr="00221992">
        <w:rPr>
          <w:lang w:val="en-GB"/>
        </w:rPr>
        <w:tab/>
      </w:r>
      <w:r w:rsidR="00652D6D" w:rsidRPr="00221992">
        <w:rPr>
          <w:lang w:val="en-GB"/>
        </w:rPr>
        <w:t>For all European countries the median time to availability reflects the period from 2018-2021.</w:t>
      </w:r>
      <w:r w:rsidR="00652D6D" w:rsidRPr="00221992">
        <w:rPr>
          <w:b/>
          <w:lang w:val="en-GB"/>
        </w:rPr>
        <w:t xml:space="preserve"> </w:t>
      </w:r>
      <w:r w:rsidR="00D65012" w:rsidRPr="00221992">
        <w:rPr>
          <w:vertAlign w:val="superscript"/>
          <w:lang w:val="en-GB"/>
        </w:rPr>
        <w:t xml:space="preserve">1 </w:t>
      </w:r>
      <w:r w:rsidR="00D65012" w:rsidRPr="00221992">
        <w:rPr>
          <w:lang w:val="en-GB"/>
        </w:rPr>
        <w:t>Access to drugs for rare diseases differed across the different regions.</w:t>
      </w:r>
      <w:r w:rsidRPr="00221992">
        <w:rPr>
          <w:b/>
          <w:lang w:val="en-GB"/>
        </w:rPr>
        <w:t xml:space="preserve"> </w:t>
      </w:r>
      <w:r w:rsidR="00D65012" w:rsidRPr="00221992">
        <w:rPr>
          <w:vertAlign w:val="superscript"/>
          <w:lang w:val="en-GB"/>
        </w:rPr>
        <w:t xml:space="preserve">2 </w:t>
      </w:r>
      <w:r w:rsidR="00D65012" w:rsidRPr="00221992">
        <w:rPr>
          <w:lang w:val="en-GB"/>
        </w:rPr>
        <w:t xml:space="preserve">All applications are assessed on a case-by case basis. </w:t>
      </w:r>
      <w:r w:rsidR="00D65012" w:rsidRPr="00221992">
        <w:rPr>
          <w:vertAlign w:val="superscript"/>
          <w:lang w:val="en-GB"/>
        </w:rPr>
        <w:t xml:space="preserve">3 </w:t>
      </w:r>
      <w:r w:rsidR="00D65012" w:rsidRPr="00221992">
        <w:rPr>
          <w:lang w:val="en-GB"/>
        </w:rPr>
        <w:t xml:space="preserve">Royal decree 1015/2009 currently under review. </w:t>
      </w:r>
      <w:r w:rsidR="00652D6D" w:rsidRPr="00221992">
        <w:rPr>
          <w:vertAlign w:val="superscript"/>
          <w:lang w:val="en-GB"/>
        </w:rPr>
        <w:t xml:space="preserve">4 </w:t>
      </w:r>
      <w:r w:rsidR="00652D6D" w:rsidRPr="00221992">
        <w:rPr>
          <w:lang w:val="en-GB"/>
        </w:rPr>
        <w:t xml:space="preserve">The median time for listing since marketing </w:t>
      </w:r>
      <w:r w:rsidR="008D2637">
        <w:rPr>
          <w:lang w:val="en-GB"/>
        </w:rPr>
        <w:t>authorisation</w:t>
      </w:r>
      <w:r w:rsidR="008D2637" w:rsidRPr="00221992">
        <w:rPr>
          <w:lang w:val="en-GB"/>
        </w:rPr>
        <w:t xml:space="preserve"> </w:t>
      </w:r>
      <w:r w:rsidR="00652D6D" w:rsidRPr="00221992">
        <w:rPr>
          <w:lang w:val="en-GB"/>
        </w:rPr>
        <w:t xml:space="preserve">for drugs that followed the pharmacoeconomic waiver pathway (for orphan drugs). </w:t>
      </w:r>
      <w:r w:rsidR="00652D6D" w:rsidRPr="00221992">
        <w:rPr>
          <w:vertAlign w:val="superscript"/>
          <w:lang w:val="en-GB"/>
        </w:rPr>
        <w:t xml:space="preserve">5 </w:t>
      </w:r>
      <w:r w:rsidR="00652D6D" w:rsidRPr="00221992">
        <w:rPr>
          <w:lang w:val="en-GB"/>
        </w:rPr>
        <w:t>88/156 approved orphan drug designations are reimbursed in Korea to 2019.</w:t>
      </w:r>
      <w:r w:rsidR="008A6310">
        <w:rPr>
          <w:lang w:val="en-GB"/>
        </w:rPr>
        <w:t xml:space="preserve"> </w:t>
      </w:r>
    </w:p>
    <w:p w14:paraId="34AA6657" w14:textId="77777777" w:rsidR="00D65012" w:rsidRPr="00221992" w:rsidRDefault="00D65012" w:rsidP="00407BA7">
      <w:pPr>
        <w:pStyle w:val="NbrHeading3"/>
        <w:rPr>
          <w:lang w:val="en-GB"/>
        </w:rPr>
      </w:pPr>
      <w:bookmarkStart w:id="134" w:name="_Toc142742667"/>
      <w:bookmarkStart w:id="135" w:name="_Toc162950886"/>
      <w:r w:rsidRPr="00221992">
        <w:rPr>
          <w:lang w:val="en-GB"/>
        </w:rPr>
        <w:t>Special considerations for rare diseases</w:t>
      </w:r>
      <w:bookmarkEnd w:id="134"/>
      <w:bookmarkEnd w:id="135"/>
    </w:p>
    <w:p w14:paraId="0824EE87" w14:textId="66D06DA5" w:rsidR="00D65012" w:rsidRPr="00221992" w:rsidRDefault="00D65012" w:rsidP="00001D39">
      <w:pPr>
        <w:rPr>
          <w:lang w:val="en-GB"/>
        </w:rPr>
      </w:pPr>
      <w:r w:rsidRPr="00221992">
        <w:rPr>
          <w:lang w:val="en-GB"/>
        </w:rPr>
        <w:t xml:space="preserve">Considering the type of special considerations </w:t>
      </w:r>
      <w:r w:rsidR="00164C04" w:rsidRPr="00221992">
        <w:rPr>
          <w:lang w:val="en-GB"/>
        </w:rPr>
        <w:t xml:space="preserve">for funding </w:t>
      </w:r>
      <w:r w:rsidR="008840C9">
        <w:rPr>
          <w:lang w:val="en-GB"/>
        </w:rPr>
        <w:t xml:space="preserve">orphan </w:t>
      </w:r>
      <w:r w:rsidR="00164C04" w:rsidRPr="00221992">
        <w:rPr>
          <w:lang w:val="en-GB"/>
        </w:rPr>
        <w:t xml:space="preserve">drugs </w:t>
      </w:r>
      <w:r w:rsidRPr="00221992">
        <w:rPr>
          <w:lang w:val="en-GB"/>
        </w:rPr>
        <w:t xml:space="preserve">in each country, </w:t>
      </w:r>
      <w:r w:rsidR="008840C9">
        <w:rPr>
          <w:lang w:val="en-GB"/>
        </w:rPr>
        <w:t xml:space="preserve">this review addressed </w:t>
      </w:r>
      <w:r w:rsidRPr="00221992">
        <w:rPr>
          <w:lang w:val="en-GB"/>
        </w:rPr>
        <w:t>three main questions:</w:t>
      </w:r>
    </w:p>
    <w:p w14:paraId="0BDF5922" w14:textId="77777777" w:rsidR="00D65012" w:rsidRPr="00221992" w:rsidRDefault="00D65012" w:rsidP="00957584">
      <w:pPr>
        <w:pStyle w:val="ListParagraph"/>
        <w:numPr>
          <w:ilvl w:val="0"/>
          <w:numId w:val="33"/>
        </w:numPr>
        <w:rPr>
          <w:lang w:val="en-GB"/>
        </w:rPr>
      </w:pPr>
      <w:r w:rsidRPr="00221992">
        <w:rPr>
          <w:lang w:val="en-GB"/>
        </w:rPr>
        <w:t>Where are the resources coming from?</w:t>
      </w:r>
    </w:p>
    <w:p w14:paraId="126B27A6" w14:textId="3BF34525" w:rsidR="00D65012" w:rsidRPr="00221992" w:rsidRDefault="00D65012" w:rsidP="00957584">
      <w:pPr>
        <w:pStyle w:val="ListParagraph"/>
        <w:numPr>
          <w:ilvl w:val="0"/>
          <w:numId w:val="33"/>
        </w:numPr>
        <w:rPr>
          <w:lang w:val="en-GB"/>
        </w:rPr>
      </w:pPr>
      <w:r w:rsidRPr="00221992">
        <w:rPr>
          <w:lang w:val="en-GB"/>
        </w:rPr>
        <w:t>How are resource allocat</w:t>
      </w:r>
      <w:r w:rsidR="00A42973" w:rsidRPr="00221992">
        <w:rPr>
          <w:lang w:val="en-GB"/>
        </w:rPr>
        <w:t>ions determined</w:t>
      </w:r>
      <w:r w:rsidRPr="00221992">
        <w:rPr>
          <w:lang w:val="en-GB"/>
        </w:rPr>
        <w:t>?</w:t>
      </w:r>
    </w:p>
    <w:p w14:paraId="33DCCAEB" w14:textId="77777777" w:rsidR="00D65012" w:rsidRPr="00221992" w:rsidRDefault="00D65012" w:rsidP="00957584">
      <w:pPr>
        <w:pStyle w:val="ListParagraph"/>
        <w:numPr>
          <w:ilvl w:val="0"/>
          <w:numId w:val="33"/>
        </w:numPr>
        <w:rPr>
          <w:lang w:val="en-GB"/>
        </w:rPr>
      </w:pPr>
      <w:r w:rsidRPr="00221992">
        <w:rPr>
          <w:lang w:val="en-GB"/>
        </w:rPr>
        <w:t>What are the mechanisms available to establish the price of drugs for rare diseases?</w:t>
      </w:r>
    </w:p>
    <w:p w14:paraId="38617B61" w14:textId="6923DE8E" w:rsidR="00D65012" w:rsidRPr="00221992" w:rsidRDefault="00D65012" w:rsidP="00D84C90">
      <w:pPr>
        <w:pStyle w:val="Heading4"/>
        <w:rPr>
          <w:lang w:val="en-GB"/>
        </w:rPr>
      </w:pPr>
      <w:bookmarkStart w:id="136" w:name="_Toc142742668"/>
      <w:r w:rsidRPr="00221992">
        <w:rPr>
          <w:lang w:val="en-GB"/>
        </w:rPr>
        <w:t>Where are the resources coming from?</w:t>
      </w:r>
      <w:bookmarkEnd w:id="136"/>
    </w:p>
    <w:p w14:paraId="31388B29" w14:textId="3F19090A" w:rsidR="0039706F" w:rsidRDefault="00C040CB" w:rsidP="00302B0D">
      <w:pPr>
        <w:rPr>
          <w:lang w:val="en-GB"/>
        </w:rPr>
      </w:pPr>
      <w:r>
        <w:rPr>
          <w:lang w:val="en-GB"/>
        </w:rPr>
        <w:t>Among</w:t>
      </w:r>
      <w:r w:rsidRPr="00221992">
        <w:rPr>
          <w:lang w:val="en-GB"/>
        </w:rPr>
        <w:t xml:space="preserve"> </w:t>
      </w:r>
      <w:r w:rsidR="00D65012" w:rsidRPr="00221992">
        <w:rPr>
          <w:lang w:val="en-GB"/>
        </w:rPr>
        <w:t>countries with a separate process for rare diseases</w:t>
      </w:r>
      <w:r>
        <w:rPr>
          <w:lang w:val="en-GB"/>
        </w:rPr>
        <w:t>, a majority</w:t>
      </w:r>
      <w:r w:rsidR="00D65012" w:rsidRPr="00221992">
        <w:rPr>
          <w:lang w:val="en-GB"/>
        </w:rPr>
        <w:t xml:space="preserve"> also </w:t>
      </w:r>
      <w:r>
        <w:rPr>
          <w:lang w:val="en-GB"/>
        </w:rPr>
        <w:t>maintained</w:t>
      </w:r>
      <w:r w:rsidRPr="00221992">
        <w:rPr>
          <w:lang w:val="en-GB"/>
        </w:rPr>
        <w:t xml:space="preserve"> </w:t>
      </w:r>
      <w:r w:rsidR="00D65012" w:rsidRPr="00221992">
        <w:rPr>
          <w:lang w:val="en-GB"/>
        </w:rPr>
        <w:t>a separate pool of funds (England</w:t>
      </w:r>
      <w:r w:rsidR="00E93AD5" w:rsidRPr="00221992">
        <w:rPr>
          <w:lang w:val="en-GB"/>
        </w:rPr>
        <w:t>/</w:t>
      </w:r>
      <w:r w:rsidR="00652D6D" w:rsidRPr="00221992">
        <w:rPr>
          <w:lang w:val="en-GB"/>
        </w:rPr>
        <w:t>Wales</w:t>
      </w:r>
      <w:r w:rsidR="00D65012" w:rsidRPr="00221992">
        <w:rPr>
          <w:lang w:val="en-GB"/>
        </w:rPr>
        <w:t>, Scotland, Netherlands, New Zealand</w:t>
      </w:r>
      <w:r w:rsidR="00652D6D" w:rsidRPr="00221992">
        <w:rPr>
          <w:lang w:val="en-GB"/>
        </w:rPr>
        <w:t>, Italy</w:t>
      </w:r>
      <w:r w:rsidR="00D65012" w:rsidRPr="00221992">
        <w:rPr>
          <w:lang w:val="en-GB"/>
        </w:rPr>
        <w:t xml:space="preserve"> and Singapore) compared to those who had exceptions in place for rare diseases. </w:t>
      </w:r>
      <w:r w:rsidR="00693495">
        <w:rPr>
          <w:lang w:val="en-GB"/>
        </w:rPr>
        <w:t>In a</w:t>
      </w:r>
      <w:r w:rsidR="00D65012" w:rsidRPr="00221992">
        <w:rPr>
          <w:lang w:val="en-GB"/>
        </w:rPr>
        <w:t>ll countries with a specific pool of funding for drugs for rare diseases, total expenditure was capped.</w:t>
      </w:r>
    </w:p>
    <w:p w14:paraId="21AE4CCA" w14:textId="231EF02E" w:rsidR="0039706F" w:rsidRDefault="000B2E6E" w:rsidP="00302B0D">
      <w:pPr>
        <w:rPr>
          <w:lang w:val="en-GB"/>
        </w:rPr>
      </w:pPr>
      <w:r>
        <w:rPr>
          <w:lang w:val="en-GB"/>
        </w:rPr>
        <w:t xml:space="preserve">In Australia, the LSDP is funded by an annual appropriations item approved by the parliament and therefore sits outside the PBS </w:t>
      </w:r>
      <w:r w:rsidR="003C40CC">
        <w:rPr>
          <w:lang w:val="en-GB"/>
        </w:rPr>
        <w:fldChar w:fldCharType="begin"/>
      </w:r>
      <w:r w:rsidR="00E5265C">
        <w:rPr>
          <w:lang w:val="en-GB"/>
        </w:rPr>
        <w:instrText xml:space="preserve"> ADDIN EN.CITE &lt;EndNote&gt;&lt;Cite&gt;&lt;Author&gt;Parliament of Australia&lt;/Author&gt;&lt;Year&gt;2015&lt;/Year&gt;&lt;RecNum&gt;706&lt;/RecNum&gt;&lt;DisplayText&gt;[129]&lt;/DisplayText&gt;&lt;record&gt;&lt;rec-number&gt;706&lt;/rec-number&gt;&lt;foreign-keys&gt;&lt;key app="EN" db-id="wzwwsfxe4peesxef95cxvrwjxts9rreasarf" timestamp="1702947706"&gt;706&lt;/key&gt;&lt;/foreign-keys&gt;&lt;ref-type name="Report"&gt;27&lt;/ref-type&gt;&lt;contributors&gt;&lt;authors&gt;&lt;author&gt;Parliament of Australia,&lt;/author&gt;&lt;/authors&gt;&lt;tertiary-authors&gt;&lt;author&gt;Parliament of Australia,&lt;/author&gt;&lt;/tertiary-authors&gt;&lt;/contributors&gt;&lt;titles&gt;&lt;title&gt;Growth in expenditure on high cost drugs in Australia. Research Paper Series, 2014-15&lt;/title&gt;&lt;/titles&gt;&lt;dates&gt;&lt;year&gt;2015&lt;/year&gt;&lt;/dates&gt;&lt;pub-location&gt;Canberra&lt;/pub-location&gt;&lt;urls&gt;&lt;/urls&gt;&lt;/record&gt;&lt;/Cite&gt;&lt;/EndNote&gt;</w:instrText>
      </w:r>
      <w:r w:rsidR="003C40CC">
        <w:rPr>
          <w:lang w:val="en-GB"/>
        </w:rPr>
        <w:fldChar w:fldCharType="separate"/>
      </w:r>
      <w:r w:rsidR="00E5265C">
        <w:rPr>
          <w:noProof/>
          <w:lang w:val="en-GB"/>
        </w:rPr>
        <w:t>[129]</w:t>
      </w:r>
      <w:r w:rsidR="003C40CC">
        <w:rPr>
          <w:lang w:val="en-GB"/>
        </w:rPr>
        <w:fldChar w:fldCharType="end"/>
      </w:r>
      <w:r w:rsidR="000D0E68">
        <w:rPr>
          <w:lang w:val="en-GB"/>
        </w:rPr>
        <w:t xml:space="preserve">. </w:t>
      </w:r>
      <w:r>
        <w:rPr>
          <w:lang w:val="en-GB"/>
        </w:rPr>
        <w:t xml:space="preserve">Funds for the LSDP come from the Commonwealth’s Consolidated Revenue Fund (CRF), from which funds can only be used, by law, under an appropriation </w:t>
      </w:r>
      <w:r w:rsidR="006E1FCA">
        <w:rPr>
          <w:lang w:val="en-GB"/>
        </w:rPr>
        <w:fldChar w:fldCharType="begin"/>
      </w:r>
      <w:r w:rsidR="00E5265C">
        <w:rPr>
          <w:lang w:val="en-GB"/>
        </w:rPr>
        <w:instrText xml:space="preserve"> ADDIN EN.CITE &lt;EndNote&gt;&lt;Cite&gt;&lt;Author&gt;Department of Finannce&lt;/Author&gt;&lt;Year&gt;2023&lt;/Year&gt;&lt;RecNum&gt;707&lt;/RecNum&gt;&lt;DisplayText&gt;[130]&lt;/DisplayText&gt;&lt;record&gt;&lt;rec-number&gt;707&lt;/rec-number&gt;&lt;foreign-keys&gt;&lt;key app="EN" db-id="wzwwsfxe4peesxef95cxvrwjxts9rreasarf" timestamp="1702951365"&gt;707&lt;/key&gt;&lt;/foreign-keys&gt;&lt;ref-type name="Web Page"&gt;12&lt;/ref-type&gt;&lt;contributors&gt;&lt;authors&gt;&lt;author&gt;Department of Finannce,&lt;/author&gt;&lt;/authors&gt;&lt;/contributors&gt;&lt;titles&gt;&lt;title&gt;Guide to Appropriations (RMG 100)&lt;/title&gt;&lt;/titles&gt;&lt;number&gt;19 December 2023&lt;/number&gt;&lt;dates&gt;&lt;year&gt;2023&lt;/year&gt;&lt;/dates&gt;&lt;pub-location&gt;Canberra&lt;/pub-location&gt;&lt;publisher&gt;Australian Government, Department of Finance&lt;/publisher&gt;&lt;urls&gt;&lt;related-urls&gt;&lt;url&gt;https://www.finance.gov.au/publications/resource-management-guides/guide-appropriations-rmg-100#:~:text=annual%20appropriations%20%2D%20a%20provision%20within,ongoing%20government%20activities%20and%20programs&lt;/url&gt;&lt;/related-urls&gt;&lt;/urls&gt;&lt;/record&gt;&lt;/Cite&gt;&lt;/EndNote&gt;</w:instrText>
      </w:r>
      <w:r w:rsidR="006E1FCA">
        <w:rPr>
          <w:lang w:val="en-GB"/>
        </w:rPr>
        <w:fldChar w:fldCharType="separate"/>
      </w:r>
      <w:r w:rsidR="00E5265C">
        <w:rPr>
          <w:noProof/>
          <w:lang w:val="en-GB"/>
        </w:rPr>
        <w:t>[130]</w:t>
      </w:r>
      <w:r w:rsidR="006E1FCA">
        <w:rPr>
          <w:lang w:val="en-GB"/>
        </w:rPr>
        <w:fldChar w:fldCharType="end"/>
      </w:r>
      <w:r w:rsidR="000D0E68">
        <w:rPr>
          <w:lang w:val="en-GB"/>
        </w:rPr>
        <w:t xml:space="preserve">. </w:t>
      </w:r>
      <w:r>
        <w:rPr>
          <w:lang w:val="en-GB"/>
        </w:rPr>
        <w:t>In this sense, funding for the LSDP is uncapped as there is no fixed budget attached to its use. However, all new drug listings on the LSDP require prior parliamentary approval as a condition of the appropriation of funds.</w:t>
      </w:r>
    </w:p>
    <w:p w14:paraId="0EC70232" w14:textId="1BA90A43" w:rsidR="00D65012" w:rsidRPr="00221992" w:rsidRDefault="00D65012" w:rsidP="00302B0D">
      <w:pPr>
        <w:rPr>
          <w:lang w:val="en-GB"/>
        </w:rPr>
      </w:pPr>
      <w:r w:rsidRPr="00221992">
        <w:rPr>
          <w:lang w:val="en-GB"/>
        </w:rPr>
        <w:t xml:space="preserve">In Taiwan, funds </w:t>
      </w:r>
      <w:r w:rsidR="00BA28CF">
        <w:rPr>
          <w:lang w:val="en-GB"/>
        </w:rPr>
        <w:t>are</w:t>
      </w:r>
      <w:r w:rsidR="00BA28CF" w:rsidRPr="00221992">
        <w:rPr>
          <w:lang w:val="en-GB"/>
        </w:rPr>
        <w:t xml:space="preserve"> </w:t>
      </w:r>
      <w:r w:rsidRPr="00221992">
        <w:rPr>
          <w:lang w:val="en-GB"/>
        </w:rPr>
        <w:t>negotiated on a yearly basis</w:t>
      </w:r>
      <w:r w:rsidR="00BA28CF">
        <w:rPr>
          <w:lang w:val="en-GB"/>
        </w:rPr>
        <w:t>,</w:t>
      </w:r>
      <w:r w:rsidRPr="00221992">
        <w:rPr>
          <w:lang w:val="en-GB"/>
        </w:rPr>
        <w:t xml:space="preserve"> while in England</w:t>
      </w:r>
      <w:r w:rsidR="00E93AD5" w:rsidRPr="00221992">
        <w:rPr>
          <w:lang w:val="en-GB"/>
        </w:rPr>
        <w:t>/</w:t>
      </w:r>
      <w:r w:rsidR="00652D6D" w:rsidRPr="00221992">
        <w:rPr>
          <w:lang w:val="en-GB"/>
        </w:rPr>
        <w:t>Wales</w:t>
      </w:r>
      <w:r w:rsidRPr="00221992">
        <w:rPr>
          <w:lang w:val="en-GB"/>
        </w:rPr>
        <w:t xml:space="preserve">, the annual budget for the innovative medicine fund (IMF) is fixed at </w:t>
      </w:r>
      <w:r w:rsidRPr="00221992">
        <w:rPr>
          <w:rFonts w:cs="Calibri Light"/>
          <w:lang w:val="en-GB"/>
        </w:rPr>
        <w:t>£</w:t>
      </w:r>
      <w:r w:rsidRPr="00221992">
        <w:rPr>
          <w:lang w:val="en-GB"/>
        </w:rPr>
        <w:t>340 million. The IMF is interim funding</w:t>
      </w:r>
      <w:r w:rsidR="00BA28CF">
        <w:rPr>
          <w:lang w:val="en-GB"/>
        </w:rPr>
        <w:t>;</w:t>
      </w:r>
      <w:r w:rsidRPr="00221992">
        <w:rPr>
          <w:lang w:val="en-GB"/>
        </w:rPr>
        <w:t xml:space="preserve"> to ensure </w:t>
      </w:r>
      <w:r w:rsidR="00BA28CF">
        <w:rPr>
          <w:lang w:val="en-GB"/>
        </w:rPr>
        <w:t xml:space="preserve">the fund </w:t>
      </w:r>
      <w:r w:rsidRPr="00221992">
        <w:rPr>
          <w:lang w:val="en-GB"/>
        </w:rPr>
        <w:t xml:space="preserve">is not exhausted or overspent, manufacturers that pursue funding through this pathway </w:t>
      </w:r>
      <w:r w:rsidR="00BA28CF">
        <w:rPr>
          <w:lang w:val="en-GB"/>
        </w:rPr>
        <w:t>must</w:t>
      </w:r>
      <w:r w:rsidRPr="00221992">
        <w:rPr>
          <w:lang w:val="en-GB"/>
        </w:rPr>
        <w:t xml:space="preserve"> agree </w:t>
      </w:r>
      <w:r w:rsidR="00BA28CF">
        <w:rPr>
          <w:lang w:val="en-GB"/>
        </w:rPr>
        <w:t>to</w:t>
      </w:r>
      <w:r w:rsidR="00BA28CF" w:rsidRPr="00221992">
        <w:rPr>
          <w:lang w:val="en-GB"/>
        </w:rPr>
        <w:t xml:space="preserve"> </w:t>
      </w:r>
      <w:r w:rsidRPr="00221992">
        <w:rPr>
          <w:lang w:val="en-GB"/>
        </w:rPr>
        <w:t>an Expenditure Control Mechanism (ECM). The ECM encourages companies to develop a competitive commercial access agreement (CAA) which is part of the managed access agreement (MAA), and provides incentives for short</w:t>
      </w:r>
      <w:r w:rsidR="00BA28CF">
        <w:rPr>
          <w:lang w:val="en-GB"/>
        </w:rPr>
        <w:t>-term</w:t>
      </w:r>
      <w:r w:rsidRPr="00221992">
        <w:rPr>
          <w:lang w:val="en-GB"/>
        </w:rPr>
        <w:t xml:space="preserve"> data collection (</w:t>
      </w:r>
      <w:r w:rsidR="00BA28CF">
        <w:rPr>
          <w:lang w:val="en-GB"/>
        </w:rPr>
        <w:t>where</w:t>
      </w:r>
      <w:r w:rsidR="00BA28CF" w:rsidRPr="00221992">
        <w:rPr>
          <w:lang w:val="en-GB"/>
        </w:rPr>
        <w:t xml:space="preserve"> </w:t>
      </w:r>
      <w:r w:rsidRPr="00221992">
        <w:rPr>
          <w:lang w:val="en-GB"/>
        </w:rPr>
        <w:t xml:space="preserve">possible). In the case that the fund is overspent, a proportional rebate </w:t>
      </w:r>
      <w:r w:rsidR="00BA28CF">
        <w:rPr>
          <w:lang w:val="en-GB"/>
        </w:rPr>
        <w:t>is</w:t>
      </w:r>
      <w:r w:rsidRPr="00221992">
        <w:rPr>
          <w:lang w:val="en-GB"/>
        </w:rPr>
        <w:t xml:space="preserve"> paid by the manufacturers. This proportion corresponds to a pro-rata calculation of the spending on each drug in the IMF. Furthermore, </w:t>
      </w:r>
      <w:r w:rsidR="00BA28CF">
        <w:rPr>
          <w:lang w:val="en-GB"/>
        </w:rPr>
        <w:t>as</w:t>
      </w:r>
      <w:r w:rsidRPr="00221992">
        <w:rPr>
          <w:lang w:val="en-GB"/>
        </w:rPr>
        <w:t xml:space="preserve"> a managed access fund, </w:t>
      </w:r>
      <w:r w:rsidR="00BA28CF">
        <w:rPr>
          <w:lang w:val="en-GB"/>
        </w:rPr>
        <w:t>the IMF</w:t>
      </w:r>
      <w:r w:rsidR="00BA28CF" w:rsidRPr="00221992">
        <w:rPr>
          <w:lang w:val="en-GB"/>
        </w:rPr>
        <w:t xml:space="preserve"> </w:t>
      </w:r>
      <w:r w:rsidRPr="00221992">
        <w:rPr>
          <w:lang w:val="en-GB"/>
        </w:rPr>
        <w:t>only pays for the cost of the reimbursed medicine and only 2% of the fund can be used for administration purposes</w:t>
      </w:r>
      <w:r w:rsidR="00EF311C" w:rsidRPr="00221992">
        <w:rPr>
          <w:lang w:val="en-GB"/>
        </w:rPr>
        <w:t xml:space="preserve"> </w:t>
      </w:r>
      <w:r w:rsidRPr="00221992">
        <w:rPr>
          <w:lang w:val="en-GB"/>
        </w:rPr>
        <w:fldChar w:fldCharType="begin"/>
      </w:r>
      <w:r w:rsidR="00E5265C">
        <w:rPr>
          <w:lang w:val="en-GB"/>
        </w:rPr>
        <w:instrText xml:space="preserve"> ADDIN EN.CITE &lt;EndNote&gt;&lt;Cite&gt;&lt;Author&gt;National Institute for Health and Care Excellence (NICE)&lt;/Author&gt;&lt;Year&gt;2022&lt;/Year&gt;&lt;RecNum&gt;543&lt;/RecNum&gt;&lt;DisplayText&gt;[131]&lt;/DisplayText&gt;&lt;record&gt;&lt;rec-number&gt;543&lt;/rec-number&gt;&lt;foreign-keys&gt;&lt;key app="EN" db-id="wzwwsfxe4peesxef95cxvrwjxts9rreasarf" timestamp="1692751953"&gt;543&lt;/key&gt;&lt;/foreign-keys&gt;&lt;ref-type name="Report"&gt;27&lt;/ref-type&gt;&lt;contributors&gt;&lt;authors&gt;&lt;author&gt;National Institute for Health and Care Excellence (NICE),&lt;/author&gt;&lt;/authors&gt;&lt;tertiary-authors&gt;&lt;author&gt;National Institute for Health and Care Excellence (NICE),&lt;/author&gt;&lt;/tertiary-authors&gt;&lt;/contributors&gt;&lt;titles&gt;&lt;title&gt;The Innovative Medicines Fund Principles&lt;/title&gt;&lt;/titles&gt;&lt;dates&gt;&lt;year&gt;2022&lt;/year&gt;&lt;/dates&gt;&lt;pub-location&gt;London&lt;/pub-location&gt;&lt;urls&gt;&lt;related-urls&gt;&lt;url&gt;https://www.england.nhs.uk/wp-content/uploads/2022/06/B1686-the-innovate-medicines-fund-principles-june-2022.pdf&lt;/url&gt;&lt;/related-urls&gt;&lt;/urls&gt;&lt;/record&gt;&lt;/Cite&gt;&lt;/EndNote&gt;</w:instrText>
      </w:r>
      <w:r w:rsidRPr="00221992">
        <w:rPr>
          <w:lang w:val="en-GB"/>
        </w:rPr>
        <w:fldChar w:fldCharType="separate"/>
      </w:r>
      <w:r w:rsidR="00E5265C">
        <w:rPr>
          <w:noProof/>
          <w:lang w:val="en-GB"/>
        </w:rPr>
        <w:t>[131]</w:t>
      </w:r>
      <w:r w:rsidRPr="00221992">
        <w:rPr>
          <w:lang w:val="en-GB"/>
        </w:rPr>
        <w:fldChar w:fldCharType="end"/>
      </w:r>
      <w:r w:rsidRPr="00221992">
        <w:rPr>
          <w:lang w:val="en-GB"/>
        </w:rPr>
        <w:t xml:space="preserve">. In New Zealand, since 2014 up to </w:t>
      </w:r>
      <w:r w:rsidR="00E704E3">
        <w:rPr>
          <w:lang w:val="en-GB"/>
        </w:rPr>
        <w:t>NZD</w:t>
      </w:r>
      <w:r w:rsidRPr="00221992">
        <w:rPr>
          <w:lang w:val="en-GB"/>
        </w:rPr>
        <w:t>$5 million is available each year to fund drugs for rare diseases</w:t>
      </w:r>
      <w:r w:rsidR="00EF311C" w:rsidRPr="00221992">
        <w:rPr>
          <w:lang w:val="en-GB"/>
        </w:rPr>
        <w:t xml:space="preserve"> </w:t>
      </w:r>
      <w:r w:rsidRPr="00221992">
        <w:rPr>
          <w:lang w:val="en-GB"/>
        </w:rPr>
        <w:fldChar w:fldCharType="begin"/>
      </w:r>
      <w:r w:rsidR="00E5265C">
        <w:rPr>
          <w:lang w:val="en-GB"/>
        </w:rPr>
        <w:instrText xml:space="preserve"> ADDIN EN.CITE &lt;EndNote&gt;&lt;Cite&gt;&lt;Author&gt;PHARMAC&lt;/Author&gt;&lt;Year&gt;2014&lt;/Year&gt;&lt;RecNum&gt;532&lt;/RecNum&gt;&lt;DisplayText&gt;[132]&lt;/DisplayText&gt;&lt;record&gt;&lt;rec-number&gt;532&lt;/rec-number&gt;&lt;foreign-keys&gt;&lt;key app="EN" db-id="wzwwsfxe4peesxef95cxvrwjxts9rreasarf" timestamp="1692751953"&gt;532&lt;/key&gt;&lt;/foreign-keys&gt;&lt;ref-type name="Web Page"&gt;12&lt;/ref-type&gt;&lt;contributors&gt;&lt;authors&gt;&lt;author&gt;PHARMAC&lt;/author&gt;&lt;/authors&gt;&lt;/contributors&gt;&lt;titles&gt;&lt;title&gt;Contestable fund for medicines for rare disorders&lt;/title&gt;&lt;/titles&gt;&lt;number&gt;20/07/2023&lt;/number&gt;&lt;dates&gt;&lt;year&gt;2014&lt;/year&gt;&lt;/dates&gt;&lt;urls&gt;&lt;related-urls&gt;&lt;url&gt;https://pharmac.govt.nz/news-and-resources/consultations-and-decisions/contestable-fund-for-medicines-for-rare-disorders/&lt;/url&gt;&lt;/related-urls&gt;&lt;/urls&gt;&lt;/record&gt;&lt;/Cite&gt;&lt;/EndNote&gt;</w:instrText>
      </w:r>
      <w:r w:rsidRPr="00221992">
        <w:rPr>
          <w:lang w:val="en-GB"/>
        </w:rPr>
        <w:fldChar w:fldCharType="separate"/>
      </w:r>
      <w:r w:rsidR="00E5265C">
        <w:rPr>
          <w:noProof/>
          <w:lang w:val="en-GB"/>
        </w:rPr>
        <w:t>[132]</w:t>
      </w:r>
      <w:r w:rsidRPr="00221992">
        <w:rPr>
          <w:lang w:val="en-GB"/>
        </w:rPr>
        <w:fldChar w:fldCharType="end"/>
      </w:r>
      <w:r w:rsidRPr="00221992">
        <w:rPr>
          <w:lang w:val="en-GB"/>
        </w:rPr>
        <w:t xml:space="preserve">. </w:t>
      </w:r>
    </w:p>
    <w:p w14:paraId="68FA8FFE" w14:textId="409D0B36" w:rsidR="005276D2" w:rsidRPr="00221992" w:rsidRDefault="00D65012" w:rsidP="00302B0D">
      <w:pPr>
        <w:rPr>
          <w:lang w:val="en-GB"/>
        </w:rPr>
      </w:pPr>
      <w:r w:rsidRPr="00221992">
        <w:rPr>
          <w:lang w:val="en-GB"/>
        </w:rPr>
        <w:t>Singapore has also implemented a separate pool of funds</w:t>
      </w:r>
      <w:r w:rsidR="00BA28CF">
        <w:rPr>
          <w:lang w:val="en-GB"/>
        </w:rPr>
        <w:t>,</w:t>
      </w:r>
      <w:r w:rsidRPr="00221992">
        <w:rPr>
          <w:lang w:val="en-GB"/>
        </w:rPr>
        <w:t xml:space="preserve"> but </w:t>
      </w:r>
      <w:r w:rsidR="00BA28CF">
        <w:rPr>
          <w:lang w:val="en-GB"/>
        </w:rPr>
        <w:t xml:space="preserve">this fund </w:t>
      </w:r>
      <w:r w:rsidRPr="00221992">
        <w:rPr>
          <w:lang w:val="en-GB"/>
        </w:rPr>
        <w:t xml:space="preserve">runs separate to the HTA process for pricing and reimbursement for all other drugs. In fact, the process does not follow an HTA approach. Singapore has implemented a combined government and charity fund to build a </w:t>
      </w:r>
      <w:r w:rsidR="00BA28CF">
        <w:rPr>
          <w:lang w:val="en-GB"/>
        </w:rPr>
        <w:t xml:space="preserve">capped </w:t>
      </w:r>
      <w:r w:rsidRPr="00221992">
        <w:rPr>
          <w:lang w:val="en-GB"/>
        </w:rPr>
        <w:t>pool of funds specific for rare diseases. The Rare Disease Fund (RDF) is a charity fund managed by the KKH Health Fund (KKHHF), which is part of the SingHealth Fund supported by the Ministry of Health. The fund combines community donations and government matching contribution (3</w:t>
      </w:r>
      <w:r w:rsidR="00BA28CF">
        <w:rPr>
          <w:lang w:val="en-GB"/>
        </w:rPr>
        <w:t>:</w:t>
      </w:r>
      <w:r w:rsidRPr="00221992">
        <w:rPr>
          <w:lang w:val="en-GB"/>
        </w:rPr>
        <w:t xml:space="preserve">1) to support specific rare diseases that require life-long treatment with high-cost medicines. For every </w:t>
      </w:r>
      <w:r w:rsidR="00B822FC" w:rsidRPr="00221992">
        <w:rPr>
          <w:lang w:val="en-GB"/>
        </w:rPr>
        <w:t>dollar</w:t>
      </w:r>
      <w:r w:rsidRPr="00221992">
        <w:rPr>
          <w:lang w:val="en-GB"/>
        </w:rPr>
        <w:t xml:space="preserve"> in public donation, the government will provide </w:t>
      </w:r>
      <w:r w:rsidR="00B822FC" w:rsidRPr="00221992">
        <w:rPr>
          <w:lang w:val="en-GB"/>
        </w:rPr>
        <w:t xml:space="preserve">three dollars </w:t>
      </w:r>
      <w:r w:rsidRPr="00221992">
        <w:rPr>
          <w:lang w:val="en-GB"/>
        </w:rPr>
        <w:t xml:space="preserve">in matching contributions to the RDF. As a way to incentivise donations to the RDF, all donations </w:t>
      </w:r>
      <w:r w:rsidR="00413B2E" w:rsidRPr="00221992">
        <w:rPr>
          <w:lang w:val="en-GB"/>
        </w:rPr>
        <w:t>are</w:t>
      </w:r>
      <w:r w:rsidRPr="00221992">
        <w:rPr>
          <w:lang w:val="en-GB"/>
        </w:rPr>
        <w:t xml:space="preserve"> eligible for a 250% tax deduction</w:t>
      </w:r>
      <w:r w:rsidR="002D3987">
        <w:rPr>
          <w:lang w:val="en-GB"/>
        </w:rPr>
        <w:t xml:space="preserve"> </w:t>
      </w:r>
      <w:r w:rsidRPr="00221992">
        <w:rPr>
          <w:lang w:val="en-GB"/>
        </w:rPr>
        <w:fldChar w:fldCharType="begin"/>
      </w:r>
      <w:r w:rsidR="00E5265C">
        <w:rPr>
          <w:lang w:val="en-GB"/>
        </w:rPr>
        <w:instrText xml:space="preserve"> ADDIN EN.CITE &lt;EndNote&gt;&lt;Cite&gt;&lt;Author&gt;Rare Disease Fund&lt;/Author&gt;&lt;Year&gt;2023&lt;/Year&gt;&lt;RecNum&gt;530&lt;/RecNum&gt;&lt;DisplayText&gt;[133-134]&lt;/DisplayText&gt;&lt;record&gt;&lt;rec-number&gt;530&lt;/rec-number&gt;&lt;foreign-keys&gt;&lt;key app="EN" db-id="wzwwsfxe4peesxef95cxvrwjxts9rreasarf" timestamp="1692751953"&gt;530&lt;/key&gt;&lt;/foreign-keys&gt;&lt;ref-type name="Web Page"&gt;12&lt;/ref-type&gt;&lt;contributors&gt;&lt;authors&gt;&lt;author&gt;Rare Disease Fund, &lt;/author&gt;&lt;/authors&gt;&lt;/contributors&gt;&lt;titles&gt;&lt;title&gt;What is the Rare Disease Fund?&lt;/title&gt;&lt;/titles&gt;&lt;number&gt;20/07/2023&lt;/number&gt;&lt;dates&gt;&lt;year&gt;2023&lt;/year&gt;&lt;/dates&gt;&lt;urls&gt;&lt;related-urls&gt;&lt;url&gt;https://www.kkh.com.sg/giving/Documents/Rare-Disease-Fund/index.html&lt;/url&gt;&lt;/related-urls&gt;&lt;/urls&gt;&lt;/record&gt;&lt;/Cite&gt;&lt;Cite&gt;&lt;Author&gt;Ministry of Health&lt;/Author&gt;&lt;RecNum&gt;555&lt;/RecNum&gt;&lt;record&gt;&lt;rec-number&gt;555&lt;/rec-number&gt;&lt;foreign-keys&gt;&lt;key app="EN" db-id="wzwwsfxe4peesxef95cxvrwjxts9rreasarf" timestamp="1692751953"&gt;555&lt;/key&gt;&lt;/foreign-keys&gt;&lt;ref-type name="Government Document"&gt;46&lt;/ref-type&gt;&lt;contributors&gt;&lt;authors&gt;&lt;author&gt;Ministry of Health,&lt;/author&gt;&lt;/authors&gt;&lt;/contributors&gt;&lt;titles&gt;&lt;title&gt;Criteria for inclusion of medicines in the RDF&lt;/title&gt;&lt;/titles&gt;&lt;dates&gt;&lt;/dates&gt;&lt;pub-location&gt;Singapore&lt;/pub-location&gt;&lt;urls&gt;&lt;related-urls&gt;&lt;url&gt;https://www.moh.gov.sg/docs/librariesprovider5/default-document-library/annex-c.pdf&lt;/url&gt;&lt;/related-urls&gt;&lt;/urls&gt;&lt;/record&gt;&lt;/Cite&gt;&lt;/EndNote&gt;</w:instrText>
      </w:r>
      <w:r w:rsidRPr="00221992">
        <w:rPr>
          <w:lang w:val="en-GB"/>
        </w:rPr>
        <w:fldChar w:fldCharType="separate"/>
      </w:r>
      <w:r w:rsidR="00E5265C">
        <w:rPr>
          <w:noProof/>
          <w:lang w:val="en-GB"/>
        </w:rPr>
        <w:t>[133-134]</w:t>
      </w:r>
      <w:r w:rsidRPr="00221992">
        <w:rPr>
          <w:lang w:val="en-GB"/>
        </w:rPr>
        <w:fldChar w:fldCharType="end"/>
      </w:r>
      <w:r w:rsidRPr="00221992">
        <w:rPr>
          <w:lang w:val="en-GB"/>
        </w:rPr>
        <w:t>. As the RDF increases, new drugs will be considered for coverage. For a drug to be funded via this pathway</w:t>
      </w:r>
      <w:r w:rsidR="00BA28CF">
        <w:rPr>
          <w:lang w:val="en-GB"/>
        </w:rPr>
        <w:t>,</w:t>
      </w:r>
      <w:r w:rsidRPr="00221992">
        <w:rPr>
          <w:lang w:val="en-GB"/>
        </w:rPr>
        <w:t xml:space="preserve"> it must meet the following criteria: </w:t>
      </w:r>
      <w:r w:rsidR="00652D6D" w:rsidRPr="00221992">
        <w:rPr>
          <w:lang w:val="en-GB"/>
        </w:rPr>
        <w:t xml:space="preserve">1) </w:t>
      </w:r>
      <w:r w:rsidR="00BA28CF">
        <w:rPr>
          <w:lang w:val="en-GB"/>
        </w:rPr>
        <w:t xml:space="preserve">drug is </w:t>
      </w:r>
      <w:r w:rsidRPr="00221992">
        <w:rPr>
          <w:lang w:val="en-GB"/>
        </w:rPr>
        <w:t xml:space="preserve">registered by Health Sciences Authority (HSA) or a reputed international regulatory authority (FDA) and/or EMA) for the condition assessed; </w:t>
      </w:r>
      <w:r w:rsidR="00652D6D" w:rsidRPr="00221992">
        <w:rPr>
          <w:lang w:val="en-GB"/>
        </w:rPr>
        <w:t>2)</w:t>
      </w:r>
      <w:r w:rsidRPr="00221992">
        <w:rPr>
          <w:lang w:val="en-GB"/>
        </w:rPr>
        <w:t xml:space="preserve"> </w:t>
      </w:r>
      <w:r w:rsidR="00BA28CF">
        <w:rPr>
          <w:lang w:val="en-GB"/>
        </w:rPr>
        <w:t>d</w:t>
      </w:r>
      <w:r w:rsidRPr="00221992">
        <w:rPr>
          <w:lang w:val="en-GB"/>
        </w:rPr>
        <w:t xml:space="preserve">isease is a clinically defined genetic condition that is chronically debilitating or life-threatening; </w:t>
      </w:r>
      <w:r w:rsidR="00652D6D" w:rsidRPr="00221992">
        <w:rPr>
          <w:lang w:val="en-GB"/>
        </w:rPr>
        <w:t>3)</w:t>
      </w:r>
      <w:r w:rsidRPr="00221992">
        <w:rPr>
          <w:lang w:val="en-GB"/>
        </w:rPr>
        <w:t xml:space="preserve"> drug is likely to substantially increase life expectancy and quality of life; </w:t>
      </w:r>
      <w:r w:rsidR="00652D6D" w:rsidRPr="00221992">
        <w:rPr>
          <w:lang w:val="en-GB"/>
        </w:rPr>
        <w:t>4)</w:t>
      </w:r>
      <w:r w:rsidRPr="00221992">
        <w:rPr>
          <w:lang w:val="en-GB"/>
        </w:rPr>
        <w:t xml:space="preserve"> </w:t>
      </w:r>
      <w:r w:rsidR="00BA28CF">
        <w:rPr>
          <w:lang w:val="en-GB"/>
        </w:rPr>
        <w:t xml:space="preserve">there is </w:t>
      </w:r>
      <w:r w:rsidRPr="00221992">
        <w:rPr>
          <w:lang w:val="en-GB"/>
        </w:rPr>
        <w:t xml:space="preserve">no cheaper alternative (including non-drug therapy); </w:t>
      </w:r>
      <w:r w:rsidR="00652D6D" w:rsidRPr="00221992">
        <w:rPr>
          <w:lang w:val="en-GB"/>
        </w:rPr>
        <w:t>5)</w:t>
      </w:r>
      <w:r w:rsidRPr="00221992">
        <w:rPr>
          <w:lang w:val="en-GB"/>
        </w:rPr>
        <w:t xml:space="preserve"> </w:t>
      </w:r>
      <w:r w:rsidR="00BA28CF">
        <w:rPr>
          <w:lang w:val="en-GB"/>
        </w:rPr>
        <w:t xml:space="preserve">there are </w:t>
      </w:r>
      <w:r w:rsidRPr="00221992">
        <w:rPr>
          <w:lang w:val="en-GB"/>
        </w:rPr>
        <w:t>no other indication</w:t>
      </w:r>
      <w:r w:rsidR="00BA28CF">
        <w:rPr>
          <w:lang w:val="en-GB"/>
        </w:rPr>
        <w:t>s, or</w:t>
      </w:r>
      <w:r w:rsidRPr="00221992">
        <w:rPr>
          <w:lang w:val="en-GB"/>
        </w:rPr>
        <w:t xml:space="preserve"> the cumulative prevalence across all indications falls within the definition of rare (1,600 patients across all indications); </w:t>
      </w:r>
      <w:r w:rsidR="007804BF" w:rsidRPr="00221992">
        <w:rPr>
          <w:lang w:val="en-GB"/>
        </w:rPr>
        <w:t xml:space="preserve">and </w:t>
      </w:r>
      <w:r w:rsidR="00652D6D" w:rsidRPr="00221992">
        <w:rPr>
          <w:lang w:val="en-GB"/>
        </w:rPr>
        <w:t>6)</w:t>
      </w:r>
      <w:r w:rsidRPr="00221992">
        <w:rPr>
          <w:lang w:val="en-GB"/>
        </w:rPr>
        <w:t xml:space="preserve"> </w:t>
      </w:r>
      <w:r w:rsidR="00BA28CF">
        <w:rPr>
          <w:lang w:val="en-GB"/>
        </w:rPr>
        <w:t xml:space="preserve">there would be a </w:t>
      </w:r>
      <w:r w:rsidR="00652D6D" w:rsidRPr="00221992">
        <w:rPr>
          <w:lang w:val="en-GB"/>
        </w:rPr>
        <w:t>h</w:t>
      </w:r>
      <w:r w:rsidRPr="00221992">
        <w:rPr>
          <w:lang w:val="en-GB"/>
        </w:rPr>
        <w:t xml:space="preserve">igh financial burden on the patient and/or their family or carer. </w:t>
      </w:r>
      <w:r w:rsidR="00BA28CF">
        <w:rPr>
          <w:lang w:val="en-GB"/>
        </w:rPr>
        <w:t>An</w:t>
      </w:r>
      <w:r w:rsidR="00BA28CF" w:rsidRPr="00221992">
        <w:rPr>
          <w:lang w:val="en-GB"/>
        </w:rPr>
        <w:t xml:space="preserve"> </w:t>
      </w:r>
      <w:r w:rsidR="00DB157F" w:rsidRPr="00221992">
        <w:rPr>
          <w:lang w:val="en-GB"/>
        </w:rPr>
        <w:t>evaluation framework for cell and gene therapies and high cost intervention</w:t>
      </w:r>
      <w:r w:rsidR="00BA28CF">
        <w:rPr>
          <w:lang w:val="en-GB"/>
        </w:rPr>
        <w:t>s</w:t>
      </w:r>
      <w:r w:rsidR="00DB157F" w:rsidRPr="00221992">
        <w:rPr>
          <w:lang w:val="en-GB"/>
        </w:rPr>
        <w:t xml:space="preserve"> is currently </w:t>
      </w:r>
      <w:r w:rsidR="00BA28CF">
        <w:rPr>
          <w:lang w:val="en-GB"/>
        </w:rPr>
        <w:t>under</w:t>
      </w:r>
      <w:r w:rsidR="00BA28CF" w:rsidRPr="00221992">
        <w:rPr>
          <w:lang w:val="en-GB"/>
        </w:rPr>
        <w:t xml:space="preserve"> </w:t>
      </w:r>
      <w:r w:rsidR="00DB157F" w:rsidRPr="00221992">
        <w:rPr>
          <w:lang w:val="en-GB"/>
        </w:rPr>
        <w:t>develop</w:t>
      </w:r>
      <w:r w:rsidR="00BA28CF">
        <w:rPr>
          <w:lang w:val="en-GB"/>
        </w:rPr>
        <w:t>ment</w:t>
      </w:r>
      <w:r w:rsidR="00DB157F" w:rsidRPr="00221992">
        <w:rPr>
          <w:lang w:val="en-GB"/>
        </w:rPr>
        <w:t xml:space="preserve"> in Singapore. An HTA expert familiar with Singapore</w:t>
      </w:r>
      <w:r w:rsidR="00551786">
        <w:rPr>
          <w:lang w:val="en-GB"/>
        </w:rPr>
        <w:t>’</w:t>
      </w:r>
      <w:r w:rsidR="00DB157F" w:rsidRPr="00221992">
        <w:rPr>
          <w:lang w:val="en-GB"/>
        </w:rPr>
        <w:t>s HTA process interviewed for the purpose of this review stated that</w:t>
      </w:r>
      <w:r w:rsidR="00BA28CF">
        <w:rPr>
          <w:lang w:val="en-GB"/>
        </w:rPr>
        <w:t>,</w:t>
      </w:r>
    </w:p>
    <w:p w14:paraId="1FD44B34" w14:textId="77777777" w:rsidR="00882B8A" w:rsidRDefault="001F7D75" w:rsidP="005276D2">
      <w:pPr>
        <w:ind w:left="567"/>
        <w:rPr>
          <w:lang w:val="en-GB"/>
        </w:rPr>
      </w:pPr>
      <w:r w:rsidRPr="00221992">
        <w:rPr>
          <w:lang w:val="en-GB"/>
        </w:rPr>
        <w:t>W</w:t>
      </w:r>
      <w:r w:rsidR="00DB157F" w:rsidRPr="00221992">
        <w:rPr>
          <w:lang w:val="en-GB"/>
        </w:rPr>
        <w:t xml:space="preserve">ith cell and gene therapies, we are still finalizing the financing framework how to fund these things. </w:t>
      </w:r>
    </w:p>
    <w:p w14:paraId="5CD48E08" w14:textId="70AFFA79" w:rsidR="00DB157F" w:rsidRPr="00221992" w:rsidRDefault="00711556" w:rsidP="005276D2">
      <w:pPr>
        <w:ind w:left="567"/>
        <w:rPr>
          <w:lang w:val="en-GB"/>
        </w:rPr>
      </w:pPr>
      <w:r>
        <w:rPr>
          <w:lang w:val="en-GB"/>
        </w:rPr>
        <w:t>(HTA expert, Singapore)</w:t>
      </w:r>
    </w:p>
    <w:p w14:paraId="7716D1C1" w14:textId="33BFC802" w:rsidR="00D65012" w:rsidRPr="00221992" w:rsidRDefault="00D65012" w:rsidP="00302B0D">
      <w:pPr>
        <w:rPr>
          <w:lang w:val="en-GB"/>
        </w:rPr>
      </w:pPr>
      <w:r w:rsidRPr="00221992">
        <w:rPr>
          <w:lang w:val="en-GB"/>
        </w:rPr>
        <w:t xml:space="preserve">In the Netherlands, a capped budget </w:t>
      </w:r>
      <w:r w:rsidR="00BA28CF">
        <w:rPr>
          <w:lang w:val="en-GB"/>
        </w:rPr>
        <w:t>has been</w:t>
      </w:r>
      <w:r w:rsidR="00BA28CF" w:rsidRPr="00221992">
        <w:rPr>
          <w:lang w:val="en-GB"/>
        </w:rPr>
        <w:t xml:space="preserve"> </w:t>
      </w:r>
      <w:r w:rsidRPr="00221992">
        <w:rPr>
          <w:lang w:val="en-GB"/>
        </w:rPr>
        <w:t xml:space="preserve">available </w:t>
      </w:r>
      <w:r w:rsidR="00BA28CF" w:rsidRPr="00221992">
        <w:rPr>
          <w:lang w:val="en-GB"/>
        </w:rPr>
        <w:t>since 2019</w:t>
      </w:r>
      <w:r w:rsidR="00BA28CF">
        <w:rPr>
          <w:lang w:val="en-GB"/>
        </w:rPr>
        <w:t xml:space="preserve"> </w:t>
      </w:r>
      <w:r w:rsidRPr="00221992">
        <w:rPr>
          <w:lang w:val="en-GB"/>
        </w:rPr>
        <w:t xml:space="preserve">for </w:t>
      </w:r>
      <w:r w:rsidR="00BA28CF">
        <w:rPr>
          <w:lang w:val="en-GB"/>
        </w:rPr>
        <w:t xml:space="preserve">orphan </w:t>
      </w:r>
      <w:r w:rsidRPr="00221992">
        <w:rPr>
          <w:lang w:val="en-GB"/>
        </w:rPr>
        <w:t xml:space="preserve">drugs eligible for funding under the conditional listing process. </w:t>
      </w:r>
      <w:r w:rsidR="00BA28CF">
        <w:rPr>
          <w:lang w:val="en-GB"/>
        </w:rPr>
        <w:t>N</w:t>
      </w:r>
      <w:r w:rsidRPr="00221992">
        <w:rPr>
          <w:lang w:val="en-GB"/>
        </w:rPr>
        <w:t>egotiated each year</w:t>
      </w:r>
      <w:r w:rsidR="00BA28CF">
        <w:rPr>
          <w:lang w:val="en-GB"/>
        </w:rPr>
        <w:t xml:space="preserve">, the budget </w:t>
      </w:r>
      <w:r w:rsidR="00BA28CF" w:rsidRPr="00221992">
        <w:rPr>
          <w:lang w:val="en-GB"/>
        </w:rPr>
        <w:t xml:space="preserve">reached </w:t>
      </w:r>
      <w:r w:rsidR="00BA28CF" w:rsidRPr="00221992">
        <w:rPr>
          <w:rFonts w:cs="Calibri Light"/>
          <w:lang w:val="en-GB"/>
        </w:rPr>
        <w:t>€</w:t>
      </w:r>
      <w:r w:rsidR="00BA28CF" w:rsidRPr="00221992">
        <w:rPr>
          <w:lang w:val="en-GB"/>
        </w:rPr>
        <w:t>26.8 million</w:t>
      </w:r>
      <w:r w:rsidR="00BA28CF">
        <w:rPr>
          <w:lang w:val="en-GB"/>
        </w:rPr>
        <w:t xml:space="preserve"> </w:t>
      </w:r>
      <w:r w:rsidRPr="00221992">
        <w:rPr>
          <w:lang w:val="en-GB"/>
        </w:rPr>
        <w:t xml:space="preserve">in 2021. Once the cap is reached, new applications are placed on a waiting list. It </w:t>
      </w:r>
      <w:r w:rsidR="00BA28CF">
        <w:rPr>
          <w:lang w:val="en-GB"/>
        </w:rPr>
        <w:t>is</w:t>
      </w:r>
      <w:r w:rsidR="00BA28CF" w:rsidRPr="00221992">
        <w:rPr>
          <w:lang w:val="en-GB"/>
        </w:rPr>
        <w:t xml:space="preserve"> </w:t>
      </w:r>
      <w:r w:rsidRPr="00221992">
        <w:rPr>
          <w:lang w:val="en-GB"/>
        </w:rPr>
        <w:t>anticipated that under this pathway</w:t>
      </w:r>
      <w:r w:rsidR="00BA28CF">
        <w:rPr>
          <w:lang w:val="en-GB"/>
        </w:rPr>
        <w:t>,</w:t>
      </w:r>
      <w:r w:rsidRPr="00221992">
        <w:rPr>
          <w:lang w:val="en-GB"/>
        </w:rPr>
        <w:t xml:space="preserve"> approximately </w:t>
      </w:r>
      <w:r w:rsidR="00BA28CF">
        <w:rPr>
          <w:lang w:val="en-GB"/>
        </w:rPr>
        <w:t>two</w:t>
      </w:r>
      <w:r w:rsidRPr="00221992">
        <w:rPr>
          <w:lang w:val="en-GB"/>
        </w:rPr>
        <w:t xml:space="preserve"> to </w:t>
      </w:r>
      <w:r w:rsidR="00BA28CF">
        <w:rPr>
          <w:lang w:val="en-GB"/>
        </w:rPr>
        <w:t>three</w:t>
      </w:r>
      <w:r w:rsidRPr="00221992">
        <w:rPr>
          <w:lang w:val="en-GB"/>
        </w:rPr>
        <w:t xml:space="preserve"> new drugs may receive funding per year.</w:t>
      </w:r>
    </w:p>
    <w:p w14:paraId="4179CB01" w14:textId="118337F8" w:rsidR="00D65012" w:rsidRPr="00221992" w:rsidRDefault="00E67E78" w:rsidP="00302B0D">
      <w:pPr>
        <w:rPr>
          <w:lang w:val="en-GB"/>
        </w:rPr>
      </w:pPr>
      <w:r>
        <w:rPr>
          <w:lang w:val="en-GB"/>
        </w:rPr>
        <w:t>F</w:t>
      </w:r>
      <w:r w:rsidR="00D65012" w:rsidRPr="00221992">
        <w:rPr>
          <w:lang w:val="en-GB"/>
        </w:rPr>
        <w:t xml:space="preserve">unding </w:t>
      </w:r>
      <w:r>
        <w:rPr>
          <w:lang w:val="en-GB"/>
        </w:rPr>
        <w:t>for</w:t>
      </w:r>
      <w:r w:rsidR="00D65012" w:rsidRPr="00221992">
        <w:rPr>
          <w:lang w:val="en-GB"/>
        </w:rPr>
        <w:t xml:space="preserve"> Italy</w:t>
      </w:r>
      <w:r>
        <w:rPr>
          <w:lang w:val="en-GB"/>
        </w:rPr>
        <w:t>’s</w:t>
      </w:r>
      <w:r w:rsidR="00D65012" w:rsidRPr="00221992">
        <w:rPr>
          <w:lang w:val="en-GB"/>
        </w:rPr>
        <w:t xml:space="preserve"> AIFA</w:t>
      </w:r>
      <w:r w:rsidR="00951341" w:rsidRPr="00221992">
        <w:rPr>
          <w:lang w:val="en-GB"/>
        </w:rPr>
        <w:t xml:space="preserve"> 5% Fund </w:t>
      </w:r>
      <w:r w:rsidR="00D65012" w:rsidRPr="00221992">
        <w:rPr>
          <w:lang w:val="en-GB"/>
        </w:rPr>
        <w:t xml:space="preserve">is unique in that the resources are obtained from a 5% tax on commercial expenses from all pharmaceutical companies. Half of the fund is allocated to providing access to orphan drugs and off-label treatments. </w:t>
      </w:r>
      <w:r w:rsidR="00553A79">
        <w:rPr>
          <w:lang w:val="en-GB"/>
        </w:rPr>
        <w:t>The fund aims</w:t>
      </w:r>
      <w:r w:rsidR="00B542BA" w:rsidRPr="00221992">
        <w:rPr>
          <w:lang w:val="en-GB"/>
        </w:rPr>
        <w:t xml:space="preserve"> </w:t>
      </w:r>
      <w:r w:rsidR="00D65012" w:rsidRPr="00221992">
        <w:rPr>
          <w:lang w:val="en-GB"/>
        </w:rPr>
        <w:t>to provide access to drugs for rare and severe diseases after approval by the EMA but before AIFA authorisation and reimbursement for the specific indication. The fund is administered by AIFA and access is request</w:t>
      </w:r>
      <w:r w:rsidR="00553A79">
        <w:rPr>
          <w:lang w:val="en-GB"/>
        </w:rPr>
        <w:t>ed</w:t>
      </w:r>
      <w:r w:rsidR="00D65012" w:rsidRPr="00221992">
        <w:rPr>
          <w:lang w:val="en-GB"/>
        </w:rPr>
        <w:t xml:space="preserve"> on an individual basis</w:t>
      </w:r>
      <w:r w:rsidR="002D3987">
        <w:rPr>
          <w:lang w:val="en-GB"/>
        </w:rPr>
        <w:t xml:space="preserve"> </w:t>
      </w:r>
      <w:r w:rsidR="00D65012" w:rsidRPr="00221992">
        <w:rPr>
          <w:lang w:val="en-GB"/>
        </w:rPr>
        <w:fldChar w:fldCharType="begin">
          <w:fldData xml:space="preserve">PEVuZE5vdGU+PENpdGU+PEF1dGhvcj5UYXJhbnRvbGE8L0F1dGhvcj48WWVhcj4yMDIzPC9ZZWFy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</w:fldData>
        </w:fldChar>
      </w:r>
      <w:r w:rsidR="00E5265C">
        <w:rPr>
          <w:lang w:val="en-GB"/>
        </w:rPr>
        <w:instrText xml:space="preserve"> ADDIN EN.CITE </w:instrText>
      </w:r>
      <w:r w:rsidR="00E5265C">
        <w:rPr>
          <w:lang w:val="en-GB"/>
        </w:rPr>
        <w:fldChar w:fldCharType="begin">
          <w:fldData xml:space="preserve">PEVuZE5vdGU+PENpdGU+PEF1dGhvcj5UYXJhbnRvbGE8L0F1dGhvcj48WWVhcj4yMDIzPC9ZZWFy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</w:fldData>
        </w:fldChar>
      </w:r>
      <w:r w:rsidR="00E5265C">
        <w:rPr>
          <w:lang w:val="en-GB"/>
        </w:rPr>
        <w:instrText xml:space="preserve"> ADDIN EN.CITE.DATA </w:instrText>
      </w:r>
      <w:r w:rsidR="00E5265C">
        <w:rPr>
          <w:lang w:val="en-GB"/>
        </w:rPr>
      </w:r>
      <w:r w:rsidR="00E5265C">
        <w:rPr>
          <w:lang w:val="en-GB"/>
        </w:rPr>
        <w:fldChar w:fldCharType="end"/>
      </w:r>
      <w:r w:rsidR="00D65012" w:rsidRPr="00221992">
        <w:rPr>
          <w:lang w:val="en-GB"/>
        </w:rPr>
      </w:r>
      <w:r w:rsidR="00D65012" w:rsidRPr="00221992">
        <w:rPr>
          <w:lang w:val="en-GB"/>
        </w:rPr>
        <w:fldChar w:fldCharType="separate"/>
      </w:r>
      <w:r w:rsidR="00E5265C">
        <w:rPr>
          <w:noProof/>
          <w:lang w:val="en-GB"/>
        </w:rPr>
        <w:t>[135-136]</w:t>
      </w:r>
      <w:r w:rsidR="00D65012" w:rsidRPr="00221992">
        <w:rPr>
          <w:lang w:val="en-GB"/>
        </w:rPr>
        <w:fldChar w:fldCharType="end"/>
      </w:r>
      <w:r w:rsidR="00D65012" w:rsidRPr="00221992">
        <w:rPr>
          <w:lang w:val="en-GB"/>
        </w:rPr>
        <w:t xml:space="preserve">. The fund was temporarily suspended </w:t>
      </w:r>
      <w:r w:rsidR="00483C38" w:rsidRPr="00221992">
        <w:rPr>
          <w:lang w:val="en-GB"/>
        </w:rPr>
        <w:t xml:space="preserve">at </w:t>
      </w:r>
      <w:r w:rsidR="00D65012" w:rsidRPr="00221992">
        <w:rPr>
          <w:lang w:val="en-GB"/>
        </w:rPr>
        <w:t>the end of 2021 as it was considered inadequate to meet the increased number of applications a</w:t>
      </w:r>
      <w:r w:rsidR="00553A79">
        <w:rPr>
          <w:lang w:val="en-GB"/>
        </w:rPr>
        <w:t>mid a</w:t>
      </w:r>
      <w:r w:rsidR="00D65012" w:rsidRPr="00221992">
        <w:rPr>
          <w:lang w:val="en-GB"/>
        </w:rPr>
        <w:t xml:space="preserve"> </w:t>
      </w:r>
      <w:r w:rsidR="00553A79" w:rsidRPr="00221992">
        <w:rPr>
          <w:lang w:val="en-GB"/>
        </w:rPr>
        <w:t xml:space="preserve"> </w:t>
      </w:r>
      <w:r w:rsidR="00D65012" w:rsidRPr="00221992">
        <w:rPr>
          <w:lang w:val="en-GB"/>
        </w:rPr>
        <w:t>reduc</w:t>
      </w:r>
      <w:r w:rsidR="00553A79">
        <w:rPr>
          <w:lang w:val="en-GB"/>
        </w:rPr>
        <w:t>tion of</w:t>
      </w:r>
      <w:r w:rsidR="00D65012" w:rsidRPr="00221992">
        <w:rPr>
          <w:lang w:val="en-GB"/>
        </w:rPr>
        <w:t xml:space="preserve"> </w:t>
      </w:r>
      <w:r w:rsidR="00553A79">
        <w:rPr>
          <w:lang w:val="en-GB"/>
        </w:rPr>
        <w:t>revenue</w:t>
      </w:r>
      <w:r w:rsidR="00553A79" w:rsidRPr="00221992">
        <w:rPr>
          <w:lang w:val="en-GB"/>
        </w:rPr>
        <w:t xml:space="preserve"> </w:t>
      </w:r>
      <w:r w:rsidR="00D65012" w:rsidRPr="00221992">
        <w:rPr>
          <w:lang w:val="en-GB"/>
        </w:rPr>
        <w:t xml:space="preserve">over the </w:t>
      </w:r>
      <w:r w:rsidR="00553A79">
        <w:rPr>
          <w:lang w:val="en-GB"/>
        </w:rPr>
        <w:t>previous</w:t>
      </w:r>
      <w:r w:rsidR="00553A79" w:rsidRPr="00221992">
        <w:rPr>
          <w:lang w:val="en-GB"/>
        </w:rPr>
        <w:t xml:space="preserve"> </w:t>
      </w:r>
      <w:r w:rsidR="00D65012" w:rsidRPr="00221992">
        <w:rPr>
          <w:lang w:val="en-GB"/>
        </w:rPr>
        <w:t xml:space="preserve">decade (from €20 million in 2010 to €10.5 million in 2021). </w:t>
      </w:r>
      <w:r w:rsidR="00553A79">
        <w:rPr>
          <w:lang w:val="en-GB"/>
        </w:rPr>
        <w:t>T</w:t>
      </w:r>
      <w:r w:rsidR="00483C38" w:rsidRPr="00221992">
        <w:rPr>
          <w:lang w:val="en-GB"/>
        </w:rPr>
        <w:t>o</w:t>
      </w:r>
      <w:r w:rsidR="00D65012" w:rsidRPr="00221992">
        <w:rPr>
          <w:lang w:val="en-GB"/>
        </w:rPr>
        <w:t xml:space="preserve"> reinstate the fund, eligibility criteria </w:t>
      </w:r>
      <w:r w:rsidR="00483C38" w:rsidRPr="00221992">
        <w:rPr>
          <w:lang w:val="en-GB"/>
        </w:rPr>
        <w:t xml:space="preserve">were </w:t>
      </w:r>
      <w:r w:rsidR="00D65012" w:rsidRPr="00221992">
        <w:rPr>
          <w:lang w:val="en-GB"/>
        </w:rPr>
        <w:t xml:space="preserve">redefined as follows: </w:t>
      </w:r>
    </w:p>
    <w:p w14:paraId="786DC2CC" w14:textId="77777777" w:rsidR="00D65012" w:rsidRPr="00221992" w:rsidRDefault="00D65012" w:rsidP="00957584">
      <w:pPr>
        <w:pStyle w:val="ListParagraph"/>
        <w:numPr>
          <w:ilvl w:val="0"/>
          <w:numId w:val="34"/>
        </w:numPr>
        <w:rPr>
          <w:lang w:val="en-GB"/>
        </w:rPr>
      </w:pPr>
      <w:r w:rsidRPr="00221992">
        <w:rPr>
          <w:lang w:val="en-GB"/>
        </w:rPr>
        <w:t>Drugs for rare and serious conditions must be requested on an individual basis in urgent conditions;</w:t>
      </w:r>
    </w:p>
    <w:p w14:paraId="25D6F95B" w14:textId="3A2E50ED" w:rsidR="00D65012" w:rsidRPr="00221992" w:rsidRDefault="00D65012" w:rsidP="00957584">
      <w:pPr>
        <w:pStyle w:val="ListParagraph"/>
        <w:numPr>
          <w:ilvl w:val="0"/>
          <w:numId w:val="34"/>
        </w:numPr>
        <w:rPr>
          <w:lang w:val="en-GB"/>
        </w:rPr>
      </w:pPr>
      <w:r w:rsidRPr="00221992">
        <w:rPr>
          <w:lang w:val="en-GB"/>
        </w:rPr>
        <w:t xml:space="preserve">No other treatment options </w:t>
      </w:r>
      <w:r w:rsidR="00553A79">
        <w:rPr>
          <w:lang w:val="en-GB"/>
        </w:rPr>
        <w:t xml:space="preserve">are </w:t>
      </w:r>
      <w:r w:rsidRPr="00221992">
        <w:rPr>
          <w:lang w:val="en-GB"/>
        </w:rPr>
        <w:t>available for a condition of significant therapeutic need;</w:t>
      </w:r>
    </w:p>
    <w:p w14:paraId="4328EB74" w14:textId="5EFB2B2D" w:rsidR="00D65012" w:rsidRPr="00221992" w:rsidRDefault="00D65012" w:rsidP="00957584">
      <w:pPr>
        <w:pStyle w:val="ListParagraph"/>
        <w:numPr>
          <w:ilvl w:val="0"/>
          <w:numId w:val="34"/>
        </w:numPr>
        <w:rPr>
          <w:lang w:val="en-GB"/>
        </w:rPr>
      </w:pPr>
      <w:r w:rsidRPr="00221992">
        <w:rPr>
          <w:lang w:val="en-GB"/>
        </w:rPr>
        <w:t xml:space="preserve">Clinical evidence must be available to justify </w:t>
      </w:r>
      <w:r w:rsidR="00413B2E" w:rsidRPr="00221992">
        <w:rPr>
          <w:lang w:val="en-GB"/>
        </w:rPr>
        <w:t>its</w:t>
      </w:r>
      <w:r w:rsidRPr="00221992">
        <w:rPr>
          <w:lang w:val="en-GB"/>
        </w:rPr>
        <w:t xml:space="preserve"> use (phase II or of similar relevance in the case of rare diseases);</w:t>
      </w:r>
    </w:p>
    <w:p w14:paraId="13DDA15A" w14:textId="64B43815" w:rsidR="00D65012" w:rsidRPr="00221992" w:rsidRDefault="00D65012" w:rsidP="00957584">
      <w:pPr>
        <w:pStyle w:val="ListParagraph"/>
        <w:numPr>
          <w:ilvl w:val="0"/>
          <w:numId w:val="34"/>
        </w:numPr>
        <w:rPr>
          <w:lang w:val="en-GB"/>
        </w:rPr>
      </w:pPr>
      <w:r w:rsidRPr="00221992">
        <w:rPr>
          <w:lang w:val="en-GB"/>
        </w:rPr>
        <w:t xml:space="preserve">Denial and/or inability to provide compassionate use or </w:t>
      </w:r>
      <w:r w:rsidR="00553A79">
        <w:rPr>
          <w:lang w:val="en-GB"/>
        </w:rPr>
        <w:t xml:space="preserve">access via </w:t>
      </w:r>
      <w:r w:rsidRPr="00221992">
        <w:rPr>
          <w:lang w:val="en-GB"/>
        </w:rPr>
        <w:t xml:space="preserve">clinical trial </w:t>
      </w:r>
    </w:p>
    <w:p w14:paraId="7755F100" w14:textId="1C4C12E5" w:rsidR="009E648B" w:rsidRPr="00221992" w:rsidRDefault="009E648B" w:rsidP="00302B0D">
      <w:pPr>
        <w:rPr>
          <w:lang w:val="en-GB"/>
        </w:rPr>
      </w:pPr>
      <w:r w:rsidRPr="00221992">
        <w:rPr>
          <w:lang w:val="en-GB"/>
        </w:rPr>
        <w:t>In addition to the AIFA 5%</w:t>
      </w:r>
      <w:r w:rsidR="001902E8" w:rsidRPr="00221992">
        <w:rPr>
          <w:lang w:val="en-GB"/>
        </w:rPr>
        <w:t xml:space="preserve"> fund</w:t>
      </w:r>
      <w:r w:rsidRPr="00221992">
        <w:rPr>
          <w:lang w:val="en-GB"/>
        </w:rPr>
        <w:t xml:space="preserve">, </w:t>
      </w:r>
      <w:r w:rsidR="008D6C4E">
        <w:rPr>
          <w:lang w:val="en-GB"/>
        </w:rPr>
        <w:t xml:space="preserve">in 2017, </w:t>
      </w:r>
      <w:r w:rsidRPr="00221992">
        <w:rPr>
          <w:lang w:val="en-GB"/>
        </w:rPr>
        <w:t xml:space="preserve">Italy implemented a dedicated innovative drug fund </w:t>
      </w:r>
      <w:r w:rsidR="00313425" w:rsidRPr="00221992">
        <w:rPr>
          <w:lang w:val="en-GB"/>
        </w:rPr>
        <w:t>that</w:t>
      </w:r>
      <w:r w:rsidR="006F7569" w:rsidRPr="00221992">
        <w:rPr>
          <w:lang w:val="en-GB"/>
        </w:rPr>
        <w:t xml:space="preserve"> include</w:t>
      </w:r>
      <w:r w:rsidR="00313425" w:rsidRPr="00221992">
        <w:rPr>
          <w:lang w:val="en-GB"/>
        </w:rPr>
        <w:t>d</w:t>
      </w:r>
      <w:r w:rsidR="006F7569" w:rsidRPr="00221992">
        <w:rPr>
          <w:lang w:val="en-GB"/>
        </w:rPr>
        <w:t xml:space="preserve"> funding for cancer and all other innovative drugs. Initially there were two funds, one specific</w:t>
      </w:r>
      <w:r w:rsidR="008D6C4E">
        <w:rPr>
          <w:lang w:val="en-GB"/>
        </w:rPr>
        <w:t>ally</w:t>
      </w:r>
      <w:r w:rsidR="006F7569" w:rsidRPr="00221992">
        <w:rPr>
          <w:lang w:val="en-GB"/>
        </w:rPr>
        <w:t xml:space="preserve"> for cancer and the other for all other innovative treatments</w:t>
      </w:r>
      <w:r w:rsidR="008D6C4E">
        <w:rPr>
          <w:lang w:val="en-GB"/>
        </w:rPr>
        <w:t>;</w:t>
      </w:r>
      <w:r w:rsidR="006F7569" w:rsidRPr="00221992">
        <w:rPr>
          <w:lang w:val="en-GB"/>
        </w:rPr>
        <w:t xml:space="preserve"> </w:t>
      </w:r>
      <w:r w:rsidR="008D6C4E">
        <w:rPr>
          <w:lang w:val="en-GB"/>
        </w:rPr>
        <w:t>t</w:t>
      </w:r>
      <w:r w:rsidR="006F7569" w:rsidRPr="00221992">
        <w:rPr>
          <w:lang w:val="en-GB"/>
        </w:rPr>
        <w:t xml:space="preserve">hese were </w:t>
      </w:r>
      <w:r w:rsidR="008D6C4E">
        <w:rPr>
          <w:lang w:val="en-GB"/>
        </w:rPr>
        <w:t xml:space="preserve">subsequently </w:t>
      </w:r>
      <w:r w:rsidR="006F7569" w:rsidRPr="00221992">
        <w:rPr>
          <w:lang w:val="en-GB"/>
        </w:rPr>
        <w:t xml:space="preserve">merged to optimize </w:t>
      </w:r>
      <w:r w:rsidR="008D6C4E">
        <w:rPr>
          <w:lang w:val="en-GB"/>
        </w:rPr>
        <w:t>resource</w:t>
      </w:r>
      <w:r w:rsidR="008D6C4E" w:rsidRPr="00221992">
        <w:rPr>
          <w:lang w:val="en-GB"/>
        </w:rPr>
        <w:t xml:space="preserve"> </w:t>
      </w:r>
      <w:r w:rsidR="006F7569" w:rsidRPr="00221992">
        <w:rPr>
          <w:lang w:val="en-GB"/>
        </w:rPr>
        <w:t>use. Listing may occur with conditional or full innovative</w:t>
      </w:r>
      <w:r w:rsidR="008D6C4E">
        <w:rPr>
          <w:lang w:val="en-GB"/>
        </w:rPr>
        <w:t>ness status</w:t>
      </w:r>
      <w:r w:rsidR="006F7569" w:rsidRPr="00221992">
        <w:rPr>
          <w:lang w:val="en-GB"/>
        </w:rPr>
        <w:t xml:space="preserve">. The difference </w:t>
      </w:r>
      <w:r w:rsidR="008D6C4E">
        <w:rPr>
          <w:lang w:val="en-GB"/>
        </w:rPr>
        <w:t>between</w:t>
      </w:r>
      <w:r w:rsidR="008D6C4E" w:rsidRPr="00221992">
        <w:rPr>
          <w:lang w:val="en-GB"/>
        </w:rPr>
        <w:t xml:space="preserve"> </w:t>
      </w:r>
      <w:r w:rsidR="006F7569" w:rsidRPr="00221992">
        <w:rPr>
          <w:lang w:val="en-GB"/>
        </w:rPr>
        <w:t xml:space="preserve">these two options is </w:t>
      </w:r>
      <w:r w:rsidR="00C75788">
        <w:rPr>
          <w:lang w:val="en-GB"/>
        </w:rPr>
        <w:t>the duration for which</w:t>
      </w:r>
      <w:r w:rsidR="006F7569" w:rsidRPr="00221992">
        <w:rPr>
          <w:lang w:val="en-GB"/>
        </w:rPr>
        <w:t xml:space="preserve"> treatment is made available: </w:t>
      </w:r>
      <w:r w:rsidR="00C603CE" w:rsidRPr="00221992">
        <w:rPr>
          <w:lang w:val="en-GB"/>
        </w:rPr>
        <w:t>three</w:t>
      </w:r>
      <w:r w:rsidR="006F7569" w:rsidRPr="00221992">
        <w:rPr>
          <w:lang w:val="en-GB"/>
        </w:rPr>
        <w:t xml:space="preserve"> years in the case of full innovativeness and 18 months in the case of conditional innovativeness. The latter can be converted to full innovativeness if supported by post</w:t>
      </w:r>
      <w:r w:rsidR="00CE0E51">
        <w:rPr>
          <w:lang w:val="en-GB"/>
        </w:rPr>
        <w:t>-</w:t>
      </w:r>
      <w:r w:rsidR="006F7569" w:rsidRPr="00221992">
        <w:rPr>
          <w:lang w:val="en-GB"/>
        </w:rPr>
        <w:t xml:space="preserve">marketing data. </w:t>
      </w:r>
      <w:r w:rsidR="00CE0E51">
        <w:rPr>
          <w:lang w:val="en-GB"/>
        </w:rPr>
        <w:t>Practically,</w:t>
      </w:r>
      <w:r w:rsidR="006F7569" w:rsidRPr="00221992">
        <w:rPr>
          <w:lang w:val="en-GB"/>
        </w:rPr>
        <w:t xml:space="preserve"> immediate patient access occurs at a regional level. A gene therapy (Zolgensma) is one treatment that has been funded via the innovative drug fund</w:t>
      </w:r>
      <w:r w:rsidR="00CE0E51">
        <w:rPr>
          <w:lang w:val="en-GB"/>
        </w:rPr>
        <w:t>,</w:t>
      </w:r>
      <w:r w:rsidR="006F7569" w:rsidRPr="00221992">
        <w:rPr>
          <w:lang w:val="en-GB"/>
        </w:rPr>
        <w:t xml:space="preserve"> which used the patient</w:t>
      </w:r>
      <w:r w:rsidR="00551786">
        <w:rPr>
          <w:lang w:val="en-GB"/>
        </w:rPr>
        <w:t>’</w:t>
      </w:r>
      <w:r w:rsidR="006F7569" w:rsidRPr="00221992">
        <w:rPr>
          <w:lang w:val="en-GB"/>
        </w:rPr>
        <w:t>s weight as the negotiating factor.</w:t>
      </w:r>
    </w:p>
    <w:p w14:paraId="2FE4B3A8" w14:textId="6D063589" w:rsidR="00D65012" w:rsidRPr="00221992" w:rsidRDefault="004C53EF">
      <w:pPr>
        <w:rPr>
          <w:lang w:val="en-GB"/>
        </w:rPr>
      </w:pPr>
      <w:r>
        <w:rPr>
          <w:lang w:val="en-GB"/>
        </w:rPr>
        <w:t xml:space="preserve">Of the countries reviewed, </w:t>
      </w:r>
      <w:r w:rsidR="00D65012" w:rsidRPr="00221992">
        <w:rPr>
          <w:lang w:val="en-GB"/>
        </w:rPr>
        <w:t xml:space="preserve">Taiwan was the only </w:t>
      </w:r>
      <w:r>
        <w:rPr>
          <w:lang w:val="en-GB"/>
        </w:rPr>
        <w:t>jurisdiction with a fund specifically allocated</w:t>
      </w:r>
      <w:r w:rsidRPr="00221992">
        <w:rPr>
          <w:lang w:val="en-GB"/>
        </w:rPr>
        <w:t xml:space="preserve"> </w:t>
      </w:r>
      <w:r>
        <w:rPr>
          <w:lang w:val="en-GB"/>
        </w:rPr>
        <w:t>to orphan drugs</w:t>
      </w:r>
      <w:r w:rsidRPr="00221992">
        <w:rPr>
          <w:lang w:val="en-GB"/>
        </w:rPr>
        <w:t xml:space="preserve"> </w:t>
      </w:r>
      <w:r w:rsidR="00D65012" w:rsidRPr="00221992">
        <w:rPr>
          <w:lang w:val="en-GB"/>
        </w:rPr>
        <w:t>follow</w:t>
      </w:r>
      <w:r>
        <w:rPr>
          <w:lang w:val="en-GB"/>
        </w:rPr>
        <w:t>ing</w:t>
      </w:r>
      <w:r w:rsidR="00D65012" w:rsidRPr="00221992">
        <w:rPr>
          <w:lang w:val="en-GB"/>
        </w:rPr>
        <w:t xml:space="preserve"> the same process for pricing and reimbursement as all other drugs. </w:t>
      </w:r>
      <w:r w:rsidR="00D124C3" w:rsidRPr="00221992">
        <w:rPr>
          <w:lang w:val="en-GB"/>
        </w:rPr>
        <w:t xml:space="preserve">According to </w:t>
      </w:r>
      <w:r>
        <w:rPr>
          <w:lang w:val="en-GB"/>
        </w:rPr>
        <w:t>an</w:t>
      </w:r>
      <w:r w:rsidRPr="00221992">
        <w:rPr>
          <w:lang w:val="en-GB"/>
        </w:rPr>
        <w:t xml:space="preserve"> </w:t>
      </w:r>
      <w:r w:rsidR="00D124C3" w:rsidRPr="00221992">
        <w:rPr>
          <w:lang w:val="en-GB"/>
        </w:rPr>
        <w:t>HTA expert interviewed for this review</w:t>
      </w:r>
      <w:r>
        <w:rPr>
          <w:lang w:val="en-GB"/>
        </w:rPr>
        <w:t>,</w:t>
      </w:r>
      <w:r w:rsidR="00D124C3" w:rsidRPr="00221992">
        <w:rPr>
          <w:lang w:val="en-GB"/>
        </w:rPr>
        <w:t xml:space="preserve"> “</w:t>
      </w:r>
      <w:r>
        <w:rPr>
          <w:lang w:val="en-GB"/>
        </w:rPr>
        <w:t>T</w:t>
      </w:r>
      <w:r w:rsidR="00D124C3" w:rsidRPr="00221992">
        <w:rPr>
          <w:lang w:val="en-GB"/>
        </w:rPr>
        <w:t>he additional funding for rare diseases are negotiable each year</w:t>
      </w:r>
      <w:r>
        <w:rPr>
          <w:lang w:val="en-GB"/>
        </w:rPr>
        <w:t>;</w:t>
      </w:r>
      <w:r w:rsidR="00D124C3" w:rsidRPr="00221992">
        <w:rPr>
          <w:lang w:val="en-GB"/>
        </w:rPr>
        <w:t xml:space="preserve"> they are </w:t>
      </w:r>
      <w:r w:rsidR="0068020E" w:rsidRPr="00221992">
        <w:rPr>
          <w:lang w:val="en-GB"/>
        </w:rPr>
        <w:t xml:space="preserve">not </w:t>
      </w:r>
      <w:r w:rsidR="00D124C3" w:rsidRPr="00221992">
        <w:rPr>
          <w:lang w:val="en-GB"/>
        </w:rPr>
        <w:t>fixed</w:t>
      </w:r>
      <w:r w:rsidR="00B822FC" w:rsidRPr="00221992">
        <w:rPr>
          <w:lang w:val="en-GB"/>
        </w:rPr>
        <w:t>.</w:t>
      </w:r>
      <w:r w:rsidR="00D124C3" w:rsidRPr="00221992">
        <w:rPr>
          <w:lang w:val="en-GB"/>
        </w:rPr>
        <w:t>” In addition, a</w:t>
      </w:r>
      <w:r w:rsidR="00D65012" w:rsidRPr="00221992">
        <w:rPr>
          <w:lang w:val="en-GB"/>
        </w:rPr>
        <w:t>s a way of acknowledging the financial burden that these diseases may have on patients and families, higher subsidy rates apply for orphan drugs (70%)</w:t>
      </w:r>
      <w:r>
        <w:rPr>
          <w:lang w:val="en-GB"/>
        </w:rPr>
        <w:t>,</w:t>
      </w:r>
      <w:r w:rsidR="00D65012" w:rsidRPr="00221992">
        <w:rPr>
          <w:lang w:val="en-GB"/>
        </w:rPr>
        <w:t xml:space="preserve"> which may increase to 100% </w:t>
      </w:r>
      <w:r w:rsidR="00483C38" w:rsidRPr="00221992">
        <w:rPr>
          <w:lang w:val="en-GB"/>
        </w:rPr>
        <w:t xml:space="preserve">for </w:t>
      </w:r>
      <w:r w:rsidR="00D65012" w:rsidRPr="00221992">
        <w:rPr>
          <w:lang w:val="en-GB"/>
        </w:rPr>
        <w:t>lower</w:t>
      </w:r>
      <w:r>
        <w:rPr>
          <w:lang w:val="en-GB"/>
        </w:rPr>
        <w:t>-</w:t>
      </w:r>
      <w:r w:rsidR="00D65012" w:rsidRPr="00221992">
        <w:rPr>
          <w:lang w:val="en-GB"/>
        </w:rPr>
        <w:t>income citizens</w:t>
      </w:r>
      <w:r w:rsidR="005903DF" w:rsidRPr="00221992">
        <w:rPr>
          <w:lang w:val="en-GB"/>
        </w:rPr>
        <w:t xml:space="preserve"> </w:t>
      </w:r>
      <w:r w:rsidR="00D65012" w:rsidRPr="00221992">
        <w:rPr>
          <w:lang w:val="en-GB"/>
        </w:rPr>
        <w:fldChar w:fldCharType="begin">
          <w:fldData xml:space="preserve">PEVuZE5vdGU+PENpdGU+PEF1dGhvcj5TaGFmaWU8L0F1dGhvcj48WWVhcj4yMDE2PC9ZZWFyPjxS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</w:fldData>
        </w:fldChar>
      </w:r>
      <w:r w:rsidR="00E5265C">
        <w:rPr>
          <w:lang w:val="en-GB"/>
        </w:rPr>
        <w:instrText xml:space="preserve"> ADDIN EN.CITE </w:instrText>
      </w:r>
      <w:r w:rsidR="00E5265C">
        <w:rPr>
          <w:lang w:val="en-GB"/>
        </w:rPr>
        <w:fldChar w:fldCharType="begin">
          <w:fldData xml:space="preserve">PEVuZE5vdGU+PENpdGU+PEF1dGhvcj5TaGFmaWU8L0F1dGhvcj48WWVhcj4yMDE2PC9ZZWFyPjxS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</w:fldData>
        </w:fldChar>
      </w:r>
      <w:r w:rsidR="00E5265C">
        <w:rPr>
          <w:lang w:val="en-GB"/>
        </w:rPr>
        <w:instrText xml:space="preserve"> ADDIN EN.CITE.DATA </w:instrText>
      </w:r>
      <w:r w:rsidR="00E5265C">
        <w:rPr>
          <w:lang w:val="en-GB"/>
        </w:rPr>
      </w:r>
      <w:r w:rsidR="00E5265C">
        <w:rPr>
          <w:lang w:val="en-GB"/>
        </w:rPr>
        <w:fldChar w:fldCharType="end"/>
      </w:r>
      <w:r w:rsidR="00D65012" w:rsidRPr="00221992">
        <w:rPr>
          <w:lang w:val="en-GB"/>
        </w:rPr>
      </w:r>
      <w:r w:rsidR="00D65012" w:rsidRPr="00221992">
        <w:rPr>
          <w:lang w:val="en-GB"/>
        </w:rPr>
        <w:fldChar w:fldCharType="separate"/>
      </w:r>
      <w:r w:rsidR="00E5265C">
        <w:rPr>
          <w:noProof/>
          <w:lang w:val="en-GB"/>
        </w:rPr>
        <w:t>[137]</w:t>
      </w:r>
      <w:r w:rsidR="00D65012" w:rsidRPr="00221992">
        <w:rPr>
          <w:lang w:val="en-GB"/>
        </w:rPr>
        <w:fldChar w:fldCharType="end"/>
      </w:r>
      <w:r w:rsidR="00D65012" w:rsidRPr="00221992">
        <w:rPr>
          <w:lang w:val="en-GB"/>
        </w:rPr>
        <w:t>.</w:t>
      </w:r>
      <w:r w:rsidR="008A6310">
        <w:rPr>
          <w:lang w:val="en-GB"/>
        </w:rPr>
        <w:t xml:space="preserve"> </w:t>
      </w:r>
    </w:p>
    <w:p w14:paraId="0A51D094" w14:textId="3625EF96" w:rsidR="00302B0D" w:rsidRPr="00221992" w:rsidRDefault="00302B0D">
      <w:pPr>
        <w:pStyle w:val="Caption"/>
        <w:rPr>
          <w:lang w:val="en-GB"/>
        </w:rPr>
      </w:pPr>
      <w:bookmarkStart w:id="137" w:name="_Toc162950961"/>
      <w:r w:rsidRPr="00221992">
        <w:rPr>
          <w:lang w:val="en-GB"/>
        </w:rPr>
        <w:t xml:space="preserve">Table </w:t>
      </w:r>
      <w:r w:rsidRPr="00221992">
        <w:rPr>
          <w:lang w:val="en-GB"/>
        </w:rPr>
        <w:fldChar w:fldCharType="begin"/>
      </w:r>
      <w:r>
        <w:instrText>SEQ Table \* ARABIC</w:instrText>
      </w:r>
      <w:r w:rsidRPr="00221992">
        <w:rPr>
          <w:lang w:val="en-GB"/>
        </w:rPr>
        <w:fldChar w:fldCharType="separate"/>
      </w:r>
      <w:r w:rsidR="000E11E7">
        <w:rPr>
          <w:noProof/>
        </w:rPr>
        <w:t>14</w:t>
      </w:r>
      <w:r w:rsidRPr="00221992">
        <w:rPr>
          <w:lang w:val="en-GB"/>
        </w:rPr>
        <w:fldChar w:fldCharType="end"/>
      </w:r>
      <w:r w:rsidRPr="00221992">
        <w:rPr>
          <w:lang w:val="en-GB"/>
        </w:rPr>
        <w:t>. Countries with a separate pool of funds</w:t>
      </w:r>
      <w:bookmarkEnd w:id="137"/>
    </w:p>
    <w:tbl>
      <w:tblPr>
        <w:tblStyle w:val="LinedBlueTable"/>
        <w:tblW w:w="8505" w:type="dxa"/>
        <w:tblLook w:val="04A0" w:firstRow="1" w:lastRow="0" w:firstColumn="1" w:lastColumn="0" w:noHBand="0" w:noVBand="1"/>
        <w:tblCaption w:val="Countries with a separate pool of funds"/>
      </w:tblPr>
      <w:tblGrid>
        <w:gridCol w:w="1602"/>
        <w:gridCol w:w="2459"/>
        <w:gridCol w:w="4444"/>
      </w:tblGrid>
      <w:tr w:rsidR="00B907D8" w:rsidRPr="00221992" w14:paraId="7AA5C375" w14:textId="77777777" w:rsidTr="00FB39A6">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dxa"/>
            <w:shd w:val="clear" w:color="auto" w:fill="000000" w:themeFill="text1"/>
          </w:tcPr>
          <w:p w14:paraId="73CCFBBC" w14:textId="77777777" w:rsidR="00B907D8" w:rsidRPr="00221992" w:rsidRDefault="00B907D8" w:rsidP="00C603CE">
            <w:pPr>
              <w:pStyle w:val="TableHeading"/>
              <w:keepNext/>
              <w:keepLines/>
              <w:spacing w:before="0" w:after="0" w:line="240" w:lineRule="auto"/>
              <w:rPr>
                <w:rFonts w:ascii="Calibri" w:hAnsi="Calibri" w:cs="Calibri"/>
                <w:sz w:val="20"/>
                <w:szCs w:val="20"/>
                <w:lang w:val="en-GB"/>
              </w:rPr>
            </w:pPr>
            <w:r w:rsidRPr="00221992">
              <w:rPr>
                <w:rFonts w:ascii="Calibri" w:hAnsi="Calibri" w:cs="Calibri"/>
                <w:sz w:val="20"/>
                <w:szCs w:val="20"/>
                <w:lang w:val="en-GB"/>
              </w:rPr>
              <w:t>Country</w:t>
            </w:r>
          </w:p>
        </w:tc>
        <w:tc>
          <w:tcPr>
            <w:tcW w:w="2196" w:type="dxa"/>
            <w:shd w:val="clear" w:color="auto" w:fill="1E8BCD"/>
          </w:tcPr>
          <w:p w14:paraId="19E254FC" w14:textId="77777777" w:rsidR="00B907D8" w:rsidRPr="00221992" w:rsidRDefault="00B907D8" w:rsidP="00C603CE">
            <w:pPr>
              <w:pStyle w:val="TableHeading"/>
              <w:keepNext/>
              <w:keepLines/>
              <w:spacing w:before="0" w:after="0" w:line="240" w:lineRule="auto"/>
              <w:cnfStyle w:val="100000000000" w:firstRow="1" w:lastRow="0" w:firstColumn="0" w:lastColumn="0" w:oddVBand="0" w:evenVBand="0" w:oddHBand="0" w:evenHBand="0" w:firstRowFirstColumn="0" w:firstRowLastColumn="0" w:lastRowFirstColumn="0" w:lastRowLastColumn="0"/>
              <w:rPr>
                <w:rFonts w:ascii="Calibri" w:hAnsi="Calibri" w:cs="Calibri"/>
                <w:sz w:val="20"/>
                <w:szCs w:val="20"/>
                <w:lang w:val="en-GB"/>
              </w:rPr>
            </w:pPr>
            <w:r w:rsidRPr="00221992">
              <w:rPr>
                <w:rFonts w:ascii="Calibri" w:hAnsi="Calibri" w:cs="Calibri"/>
                <w:sz w:val="20"/>
                <w:szCs w:val="20"/>
                <w:lang w:val="en-GB"/>
              </w:rPr>
              <w:t>Fund</w:t>
            </w:r>
          </w:p>
        </w:tc>
        <w:tc>
          <w:tcPr>
            <w:tcW w:w="3969" w:type="dxa"/>
            <w:shd w:val="clear" w:color="auto" w:fill="1E8BCD"/>
          </w:tcPr>
          <w:p w14:paraId="10ADE7E4" w14:textId="77777777" w:rsidR="00B907D8" w:rsidRPr="00221992" w:rsidRDefault="00B907D8" w:rsidP="00C603CE">
            <w:pPr>
              <w:pStyle w:val="TableHeading"/>
              <w:keepNext/>
              <w:keepLines/>
              <w:spacing w:before="0" w:after="0" w:line="240" w:lineRule="auto"/>
              <w:cnfStyle w:val="100000000000" w:firstRow="1" w:lastRow="0" w:firstColumn="0" w:lastColumn="0" w:oddVBand="0" w:evenVBand="0" w:oddHBand="0" w:evenHBand="0" w:firstRowFirstColumn="0" w:firstRowLastColumn="0" w:lastRowFirstColumn="0" w:lastRowLastColumn="0"/>
              <w:rPr>
                <w:rFonts w:ascii="Calibri" w:hAnsi="Calibri" w:cs="Calibri"/>
                <w:sz w:val="20"/>
                <w:szCs w:val="20"/>
                <w:lang w:val="en-GB"/>
              </w:rPr>
            </w:pPr>
            <w:r w:rsidRPr="00221992">
              <w:rPr>
                <w:rFonts w:ascii="Calibri" w:hAnsi="Calibri" w:cs="Calibri"/>
                <w:sz w:val="20"/>
                <w:szCs w:val="20"/>
                <w:lang w:val="en-GB"/>
              </w:rPr>
              <w:t>Budget</w:t>
            </w:r>
          </w:p>
        </w:tc>
      </w:tr>
      <w:tr w:rsidR="000D0E68" w:rsidRPr="00221992" w14:paraId="2A482307" w14:textId="77777777" w:rsidTr="00FB39A6">
        <w:trPr>
          <w:trHeight w:val="20"/>
        </w:trPr>
        <w:tc>
          <w:tcPr>
            <w:cnfStyle w:val="001000000000" w:firstRow="0" w:lastRow="0" w:firstColumn="1" w:lastColumn="0" w:oddVBand="0" w:evenVBand="0" w:oddHBand="0" w:evenHBand="0" w:firstRowFirstColumn="0" w:firstRowLastColumn="0" w:lastRowFirstColumn="0" w:lastRowLastColumn="0"/>
            <w:tcW w:w="0" w:type="dxa"/>
            <w:shd w:val="clear" w:color="auto" w:fill="1E8BCD"/>
          </w:tcPr>
          <w:p w14:paraId="3220C3CB" w14:textId="4482E0C6" w:rsidR="000D0E68" w:rsidRPr="00221992" w:rsidRDefault="000D0E68" w:rsidP="00C603CE">
            <w:pPr>
              <w:pStyle w:val="TableText"/>
              <w:keepNext/>
              <w:keepLines/>
              <w:spacing w:before="0" w:after="0" w:line="240" w:lineRule="auto"/>
              <w:rPr>
                <w:sz w:val="20"/>
                <w:szCs w:val="20"/>
                <w:lang w:val="en-GB"/>
              </w:rPr>
            </w:pPr>
            <w:r>
              <w:rPr>
                <w:sz w:val="20"/>
                <w:szCs w:val="20"/>
                <w:lang w:val="en-GB"/>
              </w:rPr>
              <w:t>Australia</w:t>
            </w:r>
          </w:p>
        </w:tc>
        <w:tc>
          <w:tcPr>
            <w:tcW w:w="2196" w:type="dxa"/>
          </w:tcPr>
          <w:p w14:paraId="2E04232E" w14:textId="70CC32FD" w:rsidR="000D0E68" w:rsidRPr="00221992" w:rsidRDefault="000D0E68" w:rsidP="00C603CE">
            <w:pPr>
              <w:pStyle w:val="TableText"/>
              <w:keepNext/>
              <w:keepLines/>
              <w:spacing w:before="0" w:after="0" w:line="240" w:lineRule="auto"/>
              <w:cnfStyle w:val="000000000000" w:firstRow="0" w:lastRow="0" w:firstColumn="0" w:lastColumn="0" w:oddVBand="0" w:evenVBand="0" w:oddHBand="0" w:evenHBand="0" w:firstRowFirstColumn="0" w:firstRowLastColumn="0" w:lastRowFirstColumn="0" w:lastRowLastColumn="0"/>
              <w:rPr>
                <w:sz w:val="20"/>
                <w:szCs w:val="20"/>
                <w:lang w:val="en-GB"/>
              </w:rPr>
            </w:pPr>
            <w:r>
              <w:rPr>
                <w:sz w:val="20"/>
                <w:szCs w:val="20"/>
                <w:lang w:val="en-GB"/>
              </w:rPr>
              <w:t>LSDP</w:t>
            </w:r>
          </w:p>
        </w:tc>
        <w:tc>
          <w:tcPr>
            <w:tcW w:w="3969" w:type="dxa"/>
          </w:tcPr>
          <w:p w14:paraId="6FC66CC8" w14:textId="1931CA2F" w:rsidR="000D0E68" w:rsidRPr="00221992" w:rsidRDefault="000D0E68" w:rsidP="00C603CE">
            <w:pPr>
              <w:pStyle w:val="TableText"/>
              <w:keepNext/>
              <w:keepLines/>
              <w:spacing w:before="0" w:after="0" w:line="240" w:lineRule="auto"/>
              <w:cnfStyle w:val="000000000000" w:firstRow="0" w:lastRow="0" w:firstColumn="0" w:lastColumn="0" w:oddVBand="0" w:evenVBand="0" w:oddHBand="0" w:evenHBand="0" w:firstRowFirstColumn="0" w:firstRowLastColumn="0" w:lastRowFirstColumn="0" w:lastRowLastColumn="0"/>
              <w:rPr>
                <w:rFonts w:cs="Calibri Light"/>
                <w:sz w:val="20"/>
                <w:szCs w:val="20"/>
                <w:lang w:val="en-GB"/>
              </w:rPr>
            </w:pPr>
            <w:r>
              <w:rPr>
                <w:rFonts w:cs="Calibri Light"/>
                <w:sz w:val="20"/>
                <w:szCs w:val="20"/>
                <w:lang w:val="en-GB"/>
              </w:rPr>
              <w:t xml:space="preserve">Uncapped, </w:t>
            </w:r>
            <w:r w:rsidR="005A6567">
              <w:rPr>
                <w:rFonts w:cs="Calibri Light"/>
                <w:sz w:val="20"/>
                <w:szCs w:val="20"/>
                <w:lang w:val="en-GB"/>
              </w:rPr>
              <w:t xml:space="preserve">funded through an </w:t>
            </w:r>
            <w:r w:rsidR="005A6567" w:rsidRPr="005A6567">
              <w:rPr>
                <w:rFonts w:cs="Calibri Light"/>
                <w:sz w:val="20"/>
                <w:szCs w:val="20"/>
                <w:lang w:val="en-GB"/>
              </w:rPr>
              <w:t>annual appropriation item</w:t>
            </w:r>
            <w:r w:rsidR="005A6567">
              <w:rPr>
                <w:rFonts w:cs="Calibri Light"/>
                <w:sz w:val="20"/>
                <w:szCs w:val="20"/>
                <w:lang w:val="en-GB"/>
              </w:rPr>
              <w:t xml:space="preserve"> that </w:t>
            </w:r>
            <w:r>
              <w:rPr>
                <w:rFonts w:cs="Calibri Light"/>
                <w:sz w:val="20"/>
                <w:szCs w:val="20"/>
                <w:lang w:val="en-GB"/>
              </w:rPr>
              <w:t>requir</w:t>
            </w:r>
            <w:r w:rsidR="005A6567">
              <w:rPr>
                <w:rFonts w:cs="Calibri Light"/>
                <w:sz w:val="20"/>
                <w:szCs w:val="20"/>
                <w:lang w:val="en-GB"/>
              </w:rPr>
              <w:t>es</w:t>
            </w:r>
            <w:r>
              <w:rPr>
                <w:rFonts w:cs="Calibri Light"/>
                <w:sz w:val="20"/>
                <w:szCs w:val="20"/>
                <w:lang w:val="en-GB"/>
              </w:rPr>
              <w:t xml:space="preserve"> Parliament approval</w:t>
            </w:r>
            <w:r w:rsidR="00235EEB">
              <w:rPr>
                <w:rFonts w:cs="Calibri Light"/>
                <w:sz w:val="20"/>
                <w:szCs w:val="20"/>
                <w:lang w:val="en-GB"/>
              </w:rPr>
              <w:t xml:space="preserve"> each time a new drug is listed</w:t>
            </w:r>
            <w:r>
              <w:rPr>
                <w:rFonts w:cs="Calibri Light"/>
                <w:sz w:val="20"/>
                <w:szCs w:val="20"/>
                <w:lang w:val="en-GB"/>
              </w:rPr>
              <w:t xml:space="preserve">. </w:t>
            </w:r>
          </w:p>
        </w:tc>
      </w:tr>
      <w:tr w:rsidR="00B907D8" w:rsidRPr="00221992" w14:paraId="3A883784" w14:textId="77777777" w:rsidTr="00FB39A6">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dxa"/>
            <w:shd w:val="clear" w:color="auto" w:fill="1E8BCD"/>
          </w:tcPr>
          <w:p w14:paraId="44485118" w14:textId="24E9139F" w:rsidR="00B907D8" w:rsidRPr="00221992" w:rsidRDefault="00B907D8" w:rsidP="00C603CE">
            <w:pPr>
              <w:pStyle w:val="TableText"/>
              <w:keepNext/>
              <w:keepLines/>
              <w:spacing w:before="0" w:after="0" w:line="240" w:lineRule="auto"/>
              <w:rPr>
                <w:sz w:val="20"/>
                <w:szCs w:val="20"/>
                <w:lang w:val="en-GB"/>
              </w:rPr>
            </w:pPr>
            <w:r w:rsidRPr="00221992">
              <w:rPr>
                <w:sz w:val="20"/>
                <w:szCs w:val="20"/>
                <w:lang w:val="en-GB"/>
              </w:rPr>
              <w:t>England/Wales</w:t>
            </w:r>
          </w:p>
        </w:tc>
        <w:tc>
          <w:tcPr>
            <w:tcW w:w="2196" w:type="dxa"/>
          </w:tcPr>
          <w:p w14:paraId="255BEDA5" w14:textId="77777777" w:rsidR="00B907D8" w:rsidRPr="00221992" w:rsidRDefault="00B907D8" w:rsidP="00C603CE">
            <w:pPr>
              <w:pStyle w:val="TableText"/>
              <w:keepNext/>
              <w:keepLines/>
              <w:spacing w:before="0" w:after="0" w:line="240" w:lineRule="auto"/>
              <w:cnfStyle w:val="000000010000" w:firstRow="0" w:lastRow="0" w:firstColumn="0" w:lastColumn="0" w:oddVBand="0" w:evenVBand="0" w:oddHBand="0" w:evenHBand="1" w:firstRowFirstColumn="0" w:firstRowLastColumn="0" w:lastRowFirstColumn="0" w:lastRowLastColumn="0"/>
              <w:rPr>
                <w:sz w:val="20"/>
                <w:szCs w:val="20"/>
                <w:lang w:val="en-GB"/>
              </w:rPr>
            </w:pPr>
            <w:r w:rsidRPr="00221992">
              <w:rPr>
                <w:sz w:val="20"/>
                <w:szCs w:val="20"/>
                <w:lang w:val="en-GB"/>
              </w:rPr>
              <w:t>IMF</w:t>
            </w:r>
          </w:p>
        </w:tc>
        <w:tc>
          <w:tcPr>
            <w:tcW w:w="3969" w:type="dxa"/>
          </w:tcPr>
          <w:p w14:paraId="116A6A99" w14:textId="77777777" w:rsidR="00B907D8" w:rsidRPr="00221992" w:rsidRDefault="00B907D8" w:rsidP="00C603CE">
            <w:pPr>
              <w:pStyle w:val="TableText"/>
              <w:keepNext/>
              <w:keepLines/>
              <w:spacing w:before="0" w:after="0" w:line="240" w:lineRule="auto"/>
              <w:cnfStyle w:val="000000010000" w:firstRow="0" w:lastRow="0" w:firstColumn="0" w:lastColumn="0" w:oddVBand="0" w:evenVBand="0" w:oddHBand="0" w:evenHBand="1" w:firstRowFirstColumn="0" w:firstRowLastColumn="0" w:lastRowFirstColumn="0" w:lastRowLastColumn="0"/>
              <w:rPr>
                <w:sz w:val="20"/>
                <w:szCs w:val="20"/>
                <w:lang w:val="en-GB"/>
              </w:rPr>
            </w:pPr>
            <w:r w:rsidRPr="00221992">
              <w:rPr>
                <w:rFonts w:cs="Calibri Light"/>
                <w:sz w:val="20"/>
                <w:szCs w:val="20"/>
                <w:lang w:val="en-GB"/>
              </w:rPr>
              <w:t>Fixed - £</w:t>
            </w:r>
            <w:r w:rsidRPr="00221992">
              <w:rPr>
                <w:sz w:val="20"/>
                <w:szCs w:val="20"/>
                <w:lang w:val="en-GB"/>
              </w:rPr>
              <w:t>340 million</w:t>
            </w:r>
          </w:p>
        </w:tc>
      </w:tr>
      <w:tr w:rsidR="00B907D8" w:rsidRPr="00221992" w14:paraId="6B868EE0" w14:textId="77777777" w:rsidTr="00FB39A6">
        <w:trPr>
          <w:trHeight w:val="20"/>
        </w:trPr>
        <w:tc>
          <w:tcPr>
            <w:cnfStyle w:val="001000000000" w:firstRow="0" w:lastRow="0" w:firstColumn="1" w:lastColumn="0" w:oddVBand="0" w:evenVBand="0" w:oddHBand="0" w:evenHBand="0" w:firstRowFirstColumn="0" w:firstRowLastColumn="0" w:lastRowFirstColumn="0" w:lastRowLastColumn="0"/>
            <w:tcW w:w="0" w:type="dxa"/>
            <w:shd w:val="clear" w:color="auto" w:fill="1E8BCD"/>
          </w:tcPr>
          <w:p w14:paraId="16C684D1" w14:textId="77777777" w:rsidR="00B907D8" w:rsidRPr="00221992" w:rsidRDefault="00B907D8" w:rsidP="00C603CE">
            <w:pPr>
              <w:pStyle w:val="TableText"/>
              <w:keepNext/>
              <w:keepLines/>
              <w:spacing w:before="0" w:after="0" w:line="240" w:lineRule="auto"/>
              <w:rPr>
                <w:sz w:val="20"/>
                <w:szCs w:val="20"/>
                <w:lang w:val="en-GB"/>
              </w:rPr>
            </w:pPr>
            <w:r w:rsidRPr="00221992">
              <w:rPr>
                <w:sz w:val="20"/>
                <w:szCs w:val="20"/>
                <w:lang w:val="en-GB"/>
              </w:rPr>
              <w:t>Scotland</w:t>
            </w:r>
          </w:p>
        </w:tc>
        <w:tc>
          <w:tcPr>
            <w:tcW w:w="2196" w:type="dxa"/>
            <w:shd w:val="clear" w:color="auto" w:fill="EFEFEF" w:themeFill="text2" w:themeFillTint="33"/>
          </w:tcPr>
          <w:p w14:paraId="58E212CD" w14:textId="77777777" w:rsidR="00B907D8" w:rsidRPr="00221992" w:rsidRDefault="00B907D8" w:rsidP="00C603CE">
            <w:pPr>
              <w:pStyle w:val="TableText"/>
              <w:keepNext/>
              <w:keepLines/>
              <w:spacing w:before="0" w:after="0" w:line="240" w:lineRule="auto"/>
              <w:cnfStyle w:val="000000000000" w:firstRow="0" w:lastRow="0" w:firstColumn="0" w:lastColumn="0" w:oddVBand="0" w:evenVBand="0" w:oddHBand="0" w:evenHBand="0" w:firstRowFirstColumn="0" w:firstRowLastColumn="0" w:lastRowFirstColumn="0" w:lastRowLastColumn="0"/>
              <w:rPr>
                <w:sz w:val="20"/>
                <w:szCs w:val="20"/>
                <w:lang w:val="en-GB"/>
              </w:rPr>
            </w:pPr>
            <w:r w:rsidRPr="00221992">
              <w:rPr>
                <w:sz w:val="20"/>
                <w:szCs w:val="20"/>
                <w:lang w:val="en-GB"/>
              </w:rPr>
              <w:t>NMF</w:t>
            </w:r>
          </w:p>
        </w:tc>
        <w:tc>
          <w:tcPr>
            <w:tcW w:w="3969" w:type="dxa"/>
            <w:shd w:val="clear" w:color="auto" w:fill="EFEFEF" w:themeFill="text2" w:themeFillTint="33"/>
          </w:tcPr>
          <w:p w14:paraId="1279A2AF" w14:textId="003170AA" w:rsidR="00B907D8" w:rsidRPr="00221992" w:rsidRDefault="00B907D8" w:rsidP="00C603CE">
            <w:pPr>
              <w:pStyle w:val="TableText"/>
              <w:keepNext/>
              <w:keepLines/>
              <w:spacing w:before="0" w:after="0" w:line="240" w:lineRule="auto"/>
              <w:cnfStyle w:val="000000000000" w:firstRow="0" w:lastRow="0" w:firstColumn="0" w:lastColumn="0" w:oddVBand="0" w:evenVBand="0" w:oddHBand="0" w:evenHBand="0" w:firstRowFirstColumn="0" w:firstRowLastColumn="0" w:lastRowFirstColumn="0" w:lastRowLastColumn="0"/>
              <w:rPr>
                <w:sz w:val="20"/>
                <w:szCs w:val="20"/>
                <w:lang w:val="en-GB"/>
              </w:rPr>
            </w:pPr>
            <w:r w:rsidRPr="00221992">
              <w:rPr>
                <w:sz w:val="20"/>
                <w:szCs w:val="20"/>
                <w:lang w:val="en-GB"/>
              </w:rPr>
              <w:t>Funded through payments from the pharma industry under the PPRS</w:t>
            </w:r>
            <w:r w:rsidRPr="00221992">
              <w:rPr>
                <w:sz w:val="20"/>
                <w:szCs w:val="20"/>
                <w:vertAlign w:val="superscript"/>
                <w:lang w:val="en-GB"/>
              </w:rPr>
              <w:t>1</w:t>
            </w:r>
            <w:r w:rsidRPr="00221992">
              <w:rPr>
                <w:sz w:val="20"/>
                <w:szCs w:val="20"/>
                <w:lang w:val="en-GB"/>
              </w:rPr>
              <w:t xml:space="preserve">. Budget is allocated on a yearly basis. </w:t>
            </w:r>
          </w:p>
          <w:p w14:paraId="5F62C759" w14:textId="77777777" w:rsidR="00B907D8" w:rsidRPr="00221992" w:rsidRDefault="00B907D8" w:rsidP="00C603CE">
            <w:pPr>
              <w:pStyle w:val="TableText"/>
              <w:keepNext/>
              <w:keepLines/>
              <w:spacing w:before="0" w:after="0" w:line="240" w:lineRule="auto"/>
              <w:cnfStyle w:val="000000000000" w:firstRow="0" w:lastRow="0" w:firstColumn="0" w:lastColumn="0" w:oddVBand="0" w:evenVBand="0" w:oddHBand="0" w:evenHBand="0" w:firstRowFirstColumn="0" w:firstRowLastColumn="0" w:lastRowFirstColumn="0" w:lastRowLastColumn="0"/>
              <w:rPr>
                <w:sz w:val="20"/>
                <w:szCs w:val="20"/>
                <w:lang w:val="en-GB"/>
              </w:rPr>
            </w:pPr>
            <w:r w:rsidRPr="00221992">
              <w:rPr>
                <w:rFonts w:cs="Calibri Light"/>
                <w:sz w:val="20"/>
                <w:szCs w:val="20"/>
                <w:lang w:val="en-GB"/>
              </w:rPr>
              <w:t>£50</w:t>
            </w:r>
            <w:r w:rsidRPr="00221992">
              <w:rPr>
                <w:sz w:val="20"/>
                <w:szCs w:val="20"/>
                <w:lang w:val="en-GB"/>
              </w:rPr>
              <w:t xml:space="preserve"> million (2021-2022)</w:t>
            </w:r>
          </w:p>
        </w:tc>
      </w:tr>
      <w:tr w:rsidR="00B907D8" w:rsidRPr="00221992" w14:paraId="73935968" w14:textId="77777777" w:rsidTr="00FB39A6">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dxa"/>
            <w:shd w:val="clear" w:color="auto" w:fill="1E8BCD"/>
          </w:tcPr>
          <w:p w14:paraId="242416A5" w14:textId="77777777" w:rsidR="00B907D8" w:rsidRPr="00221992" w:rsidRDefault="00B907D8" w:rsidP="00C603CE">
            <w:pPr>
              <w:pStyle w:val="TableText"/>
              <w:keepNext/>
              <w:keepLines/>
              <w:spacing w:before="0" w:after="0" w:line="240" w:lineRule="auto"/>
              <w:rPr>
                <w:sz w:val="20"/>
                <w:szCs w:val="20"/>
                <w:lang w:val="en-GB"/>
              </w:rPr>
            </w:pPr>
            <w:r w:rsidRPr="00221992">
              <w:rPr>
                <w:sz w:val="20"/>
                <w:szCs w:val="20"/>
                <w:lang w:val="en-GB"/>
              </w:rPr>
              <w:t>Netherlands</w:t>
            </w:r>
          </w:p>
        </w:tc>
        <w:tc>
          <w:tcPr>
            <w:tcW w:w="2196" w:type="dxa"/>
          </w:tcPr>
          <w:p w14:paraId="178587BE" w14:textId="77777777" w:rsidR="00B907D8" w:rsidRPr="00221992" w:rsidRDefault="00B907D8" w:rsidP="00C603CE">
            <w:pPr>
              <w:pStyle w:val="TableText"/>
              <w:keepNext/>
              <w:keepLines/>
              <w:spacing w:before="0" w:after="0" w:line="240" w:lineRule="auto"/>
              <w:cnfStyle w:val="000000010000" w:firstRow="0" w:lastRow="0" w:firstColumn="0" w:lastColumn="0" w:oddVBand="0" w:evenVBand="0" w:oddHBand="0" w:evenHBand="1" w:firstRowFirstColumn="0" w:firstRowLastColumn="0" w:lastRowFirstColumn="0" w:lastRowLastColumn="0"/>
              <w:rPr>
                <w:sz w:val="20"/>
                <w:szCs w:val="20"/>
                <w:lang w:val="en-GB"/>
              </w:rPr>
            </w:pPr>
            <w:r w:rsidRPr="00221992">
              <w:rPr>
                <w:sz w:val="20"/>
                <w:szCs w:val="20"/>
                <w:lang w:val="en-GB"/>
              </w:rPr>
              <w:t>Conditional listing fund</w:t>
            </w:r>
          </w:p>
        </w:tc>
        <w:tc>
          <w:tcPr>
            <w:tcW w:w="3969" w:type="dxa"/>
          </w:tcPr>
          <w:p w14:paraId="5DB13D8E" w14:textId="77777777" w:rsidR="00B907D8" w:rsidRPr="00221992" w:rsidRDefault="00B907D8" w:rsidP="00C603CE">
            <w:pPr>
              <w:pStyle w:val="TableText"/>
              <w:keepNext/>
              <w:keepLines/>
              <w:spacing w:before="0" w:after="0" w:line="240" w:lineRule="auto"/>
              <w:cnfStyle w:val="000000010000" w:firstRow="0" w:lastRow="0" w:firstColumn="0" w:lastColumn="0" w:oddVBand="0" w:evenVBand="0" w:oddHBand="0" w:evenHBand="1" w:firstRowFirstColumn="0" w:firstRowLastColumn="0" w:lastRowFirstColumn="0" w:lastRowLastColumn="0"/>
              <w:rPr>
                <w:sz w:val="20"/>
                <w:szCs w:val="20"/>
                <w:lang w:val="en-GB"/>
              </w:rPr>
            </w:pPr>
            <w:r w:rsidRPr="00221992">
              <w:rPr>
                <w:rFonts w:cs="Calibri Light"/>
                <w:sz w:val="20"/>
                <w:szCs w:val="20"/>
                <w:lang w:val="en-GB"/>
              </w:rPr>
              <w:t>€</w:t>
            </w:r>
            <w:r w:rsidRPr="00221992">
              <w:rPr>
                <w:sz w:val="20"/>
                <w:szCs w:val="20"/>
                <w:lang w:val="en-GB"/>
              </w:rPr>
              <w:t>26.8 million (2021)</w:t>
            </w:r>
          </w:p>
        </w:tc>
      </w:tr>
      <w:tr w:rsidR="00B907D8" w:rsidRPr="00221992" w14:paraId="48A09718" w14:textId="77777777" w:rsidTr="00FB39A6">
        <w:trPr>
          <w:trHeight w:val="20"/>
        </w:trPr>
        <w:tc>
          <w:tcPr>
            <w:cnfStyle w:val="001000000000" w:firstRow="0" w:lastRow="0" w:firstColumn="1" w:lastColumn="0" w:oddVBand="0" w:evenVBand="0" w:oddHBand="0" w:evenHBand="0" w:firstRowFirstColumn="0" w:firstRowLastColumn="0" w:lastRowFirstColumn="0" w:lastRowLastColumn="0"/>
            <w:tcW w:w="0" w:type="dxa"/>
            <w:shd w:val="clear" w:color="auto" w:fill="1E8BCD"/>
          </w:tcPr>
          <w:p w14:paraId="76D9EF67" w14:textId="77777777" w:rsidR="00B907D8" w:rsidRPr="00221992" w:rsidRDefault="00B907D8" w:rsidP="00C603CE">
            <w:pPr>
              <w:pStyle w:val="TableText"/>
              <w:keepNext/>
              <w:keepLines/>
              <w:spacing w:before="0" w:after="0" w:line="240" w:lineRule="auto"/>
              <w:rPr>
                <w:sz w:val="20"/>
                <w:szCs w:val="20"/>
                <w:lang w:val="en-GB"/>
              </w:rPr>
            </w:pPr>
            <w:r w:rsidRPr="00221992">
              <w:rPr>
                <w:sz w:val="20"/>
                <w:szCs w:val="20"/>
                <w:lang w:val="en-GB"/>
              </w:rPr>
              <w:t>New Zealand</w:t>
            </w:r>
          </w:p>
        </w:tc>
        <w:tc>
          <w:tcPr>
            <w:tcW w:w="2196" w:type="dxa"/>
          </w:tcPr>
          <w:p w14:paraId="21C22F97" w14:textId="77777777" w:rsidR="00B907D8" w:rsidRPr="00221992" w:rsidRDefault="00B907D8" w:rsidP="00C603CE">
            <w:pPr>
              <w:pStyle w:val="TableText"/>
              <w:keepNext/>
              <w:keepLines/>
              <w:spacing w:before="0" w:after="0" w:line="240" w:lineRule="auto"/>
              <w:cnfStyle w:val="000000000000" w:firstRow="0" w:lastRow="0" w:firstColumn="0" w:lastColumn="0" w:oddVBand="0" w:evenVBand="0" w:oddHBand="0" w:evenHBand="0" w:firstRowFirstColumn="0" w:firstRowLastColumn="0" w:lastRowFirstColumn="0" w:lastRowLastColumn="0"/>
              <w:rPr>
                <w:sz w:val="20"/>
                <w:szCs w:val="20"/>
                <w:lang w:val="en-GB"/>
              </w:rPr>
            </w:pPr>
            <w:r w:rsidRPr="00221992">
              <w:rPr>
                <w:sz w:val="20"/>
                <w:szCs w:val="20"/>
                <w:lang w:val="en-GB"/>
              </w:rPr>
              <w:t>PHARMAC</w:t>
            </w:r>
          </w:p>
        </w:tc>
        <w:tc>
          <w:tcPr>
            <w:tcW w:w="3969" w:type="dxa"/>
          </w:tcPr>
          <w:p w14:paraId="28510E5C" w14:textId="6CA2BDF0" w:rsidR="00B907D8" w:rsidRPr="00221992" w:rsidRDefault="00B907D8" w:rsidP="00C603CE">
            <w:pPr>
              <w:pStyle w:val="TableText"/>
              <w:keepNext/>
              <w:keepLines/>
              <w:spacing w:before="0" w:after="0" w:line="240" w:lineRule="auto"/>
              <w:cnfStyle w:val="000000000000" w:firstRow="0" w:lastRow="0" w:firstColumn="0" w:lastColumn="0" w:oddVBand="0" w:evenVBand="0" w:oddHBand="0" w:evenHBand="0" w:firstRowFirstColumn="0" w:firstRowLastColumn="0" w:lastRowFirstColumn="0" w:lastRowLastColumn="0"/>
              <w:rPr>
                <w:sz w:val="20"/>
                <w:szCs w:val="20"/>
                <w:lang w:val="en-GB"/>
              </w:rPr>
            </w:pPr>
            <w:r w:rsidRPr="00221992">
              <w:rPr>
                <w:sz w:val="20"/>
                <w:szCs w:val="20"/>
                <w:lang w:val="en-GB"/>
              </w:rPr>
              <w:t xml:space="preserve">Allocated budget of up to </w:t>
            </w:r>
            <w:r w:rsidR="00CD5260">
              <w:rPr>
                <w:sz w:val="20"/>
                <w:szCs w:val="20"/>
                <w:lang w:val="en-GB"/>
              </w:rPr>
              <w:t>NZD</w:t>
            </w:r>
            <w:r w:rsidRPr="00221992">
              <w:rPr>
                <w:sz w:val="20"/>
                <w:szCs w:val="20"/>
                <w:lang w:val="en-GB"/>
              </w:rPr>
              <w:t xml:space="preserve">$5 million for the rare disease fund. </w:t>
            </w:r>
          </w:p>
        </w:tc>
      </w:tr>
      <w:tr w:rsidR="00B907D8" w:rsidRPr="00221992" w14:paraId="1A977EB3" w14:textId="77777777" w:rsidTr="00FB39A6">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dxa"/>
            <w:shd w:val="clear" w:color="auto" w:fill="1E8BCD"/>
          </w:tcPr>
          <w:p w14:paraId="53D14BFC" w14:textId="77777777" w:rsidR="00B907D8" w:rsidRPr="00221992" w:rsidRDefault="00B907D8" w:rsidP="00C603CE">
            <w:pPr>
              <w:pStyle w:val="TableText"/>
              <w:keepNext/>
              <w:keepLines/>
              <w:spacing w:before="0" w:after="0" w:line="240" w:lineRule="auto"/>
              <w:rPr>
                <w:sz w:val="20"/>
                <w:szCs w:val="20"/>
                <w:lang w:val="en-GB"/>
              </w:rPr>
            </w:pPr>
            <w:r w:rsidRPr="00221992">
              <w:rPr>
                <w:sz w:val="20"/>
                <w:szCs w:val="20"/>
                <w:lang w:val="en-GB"/>
              </w:rPr>
              <w:t>Singapore</w:t>
            </w:r>
          </w:p>
        </w:tc>
        <w:tc>
          <w:tcPr>
            <w:tcW w:w="2196" w:type="dxa"/>
            <w:shd w:val="clear" w:color="auto" w:fill="EFEFEF" w:themeFill="text2" w:themeFillTint="33"/>
          </w:tcPr>
          <w:p w14:paraId="1F5CDB57" w14:textId="77777777" w:rsidR="00B907D8" w:rsidRPr="00221992" w:rsidRDefault="00B907D8" w:rsidP="00C603CE">
            <w:pPr>
              <w:pStyle w:val="TableText"/>
              <w:keepNext/>
              <w:keepLines/>
              <w:spacing w:before="0" w:after="0" w:line="240" w:lineRule="auto"/>
              <w:cnfStyle w:val="000000010000" w:firstRow="0" w:lastRow="0" w:firstColumn="0" w:lastColumn="0" w:oddVBand="0" w:evenVBand="0" w:oddHBand="0" w:evenHBand="1" w:firstRowFirstColumn="0" w:firstRowLastColumn="0" w:lastRowFirstColumn="0" w:lastRowLastColumn="0"/>
              <w:rPr>
                <w:sz w:val="20"/>
                <w:szCs w:val="20"/>
                <w:lang w:val="en-GB"/>
              </w:rPr>
            </w:pPr>
            <w:r w:rsidRPr="00221992">
              <w:rPr>
                <w:sz w:val="20"/>
                <w:szCs w:val="20"/>
                <w:lang w:val="en-GB"/>
              </w:rPr>
              <w:t>RDF</w:t>
            </w:r>
          </w:p>
        </w:tc>
        <w:tc>
          <w:tcPr>
            <w:tcW w:w="3969" w:type="dxa"/>
            <w:shd w:val="clear" w:color="auto" w:fill="EFEFEF" w:themeFill="text2" w:themeFillTint="33"/>
          </w:tcPr>
          <w:p w14:paraId="5975E322" w14:textId="77777777" w:rsidR="00B907D8" w:rsidRPr="00221992" w:rsidRDefault="00B907D8" w:rsidP="00C603CE">
            <w:pPr>
              <w:pStyle w:val="TableText"/>
              <w:keepNext/>
              <w:keepLines/>
              <w:spacing w:before="0" w:after="0" w:line="240" w:lineRule="auto"/>
              <w:cnfStyle w:val="000000010000" w:firstRow="0" w:lastRow="0" w:firstColumn="0" w:lastColumn="0" w:oddVBand="0" w:evenVBand="0" w:oddHBand="0" w:evenHBand="1" w:firstRowFirstColumn="0" w:firstRowLastColumn="0" w:lastRowFirstColumn="0" w:lastRowLastColumn="0"/>
              <w:rPr>
                <w:sz w:val="20"/>
                <w:szCs w:val="20"/>
                <w:lang w:val="en-GB"/>
              </w:rPr>
            </w:pPr>
            <w:r w:rsidRPr="00221992">
              <w:rPr>
                <w:sz w:val="20"/>
                <w:szCs w:val="20"/>
                <w:lang w:val="en-GB"/>
              </w:rPr>
              <w:t>3:1 matching contribution, government and public, respectively.</w:t>
            </w:r>
          </w:p>
        </w:tc>
      </w:tr>
      <w:tr w:rsidR="00B907D8" w:rsidRPr="00221992" w14:paraId="47BB5584" w14:textId="77777777" w:rsidTr="00FB39A6">
        <w:trPr>
          <w:trHeight w:val="20"/>
        </w:trPr>
        <w:tc>
          <w:tcPr>
            <w:cnfStyle w:val="001000000000" w:firstRow="0" w:lastRow="0" w:firstColumn="1" w:lastColumn="0" w:oddVBand="0" w:evenVBand="0" w:oddHBand="0" w:evenHBand="0" w:firstRowFirstColumn="0" w:firstRowLastColumn="0" w:lastRowFirstColumn="0" w:lastRowLastColumn="0"/>
            <w:tcW w:w="0" w:type="dxa"/>
            <w:shd w:val="clear" w:color="auto" w:fill="1E8BCD"/>
          </w:tcPr>
          <w:p w14:paraId="40E4495B" w14:textId="77777777" w:rsidR="00B907D8" w:rsidRPr="00221992" w:rsidRDefault="00B907D8" w:rsidP="00C603CE">
            <w:pPr>
              <w:pStyle w:val="TableText"/>
              <w:keepNext/>
              <w:keepLines/>
              <w:spacing w:before="0" w:after="0" w:line="240" w:lineRule="auto"/>
              <w:rPr>
                <w:sz w:val="20"/>
                <w:szCs w:val="20"/>
                <w:lang w:val="en-GB"/>
              </w:rPr>
            </w:pPr>
            <w:r w:rsidRPr="00221992">
              <w:rPr>
                <w:sz w:val="20"/>
                <w:szCs w:val="20"/>
                <w:lang w:val="en-GB"/>
              </w:rPr>
              <w:t>Italy</w:t>
            </w:r>
          </w:p>
        </w:tc>
        <w:tc>
          <w:tcPr>
            <w:tcW w:w="2196" w:type="dxa"/>
          </w:tcPr>
          <w:p w14:paraId="75CD410B" w14:textId="77777777" w:rsidR="00B907D8" w:rsidRPr="00221992" w:rsidRDefault="00B907D8" w:rsidP="00C603CE">
            <w:pPr>
              <w:pStyle w:val="TableText"/>
              <w:keepNext/>
              <w:keepLines/>
              <w:spacing w:before="0" w:after="0" w:line="240" w:lineRule="auto"/>
              <w:cnfStyle w:val="000000000000" w:firstRow="0" w:lastRow="0" w:firstColumn="0" w:lastColumn="0" w:oddVBand="0" w:evenVBand="0" w:oddHBand="0" w:evenHBand="0" w:firstRowFirstColumn="0" w:firstRowLastColumn="0" w:lastRowFirstColumn="0" w:lastRowLastColumn="0"/>
              <w:rPr>
                <w:sz w:val="20"/>
                <w:szCs w:val="20"/>
                <w:lang w:val="en-GB"/>
              </w:rPr>
            </w:pPr>
            <w:r w:rsidRPr="00221992">
              <w:rPr>
                <w:sz w:val="20"/>
                <w:szCs w:val="20"/>
                <w:lang w:val="en-GB"/>
              </w:rPr>
              <w:t>AIFA 5%</w:t>
            </w:r>
          </w:p>
          <w:p w14:paraId="205582B1" w14:textId="028DB6BF" w:rsidR="00B907D8" w:rsidRPr="00221992" w:rsidRDefault="00B907D8" w:rsidP="00C603CE">
            <w:pPr>
              <w:pStyle w:val="TableText"/>
              <w:keepNext/>
              <w:keepLines/>
              <w:spacing w:before="0" w:after="0" w:line="240" w:lineRule="auto"/>
              <w:cnfStyle w:val="000000000000" w:firstRow="0" w:lastRow="0" w:firstColumn="0" w:lastColumn="0" w:oddVBand="0" w:evenVBand="0" w:oddHBand="0" w:evenHBand="0" w:firstRowFirstColumn="0" w:firstRowLastColumn="0" w:lastRowFirstColumn="0" w:lastRowLastColumn="0"/>
              <w:rPr>
                <w:sz w:val="20"/>
                <w:szCs w:val="20"/>
                <w:lang w:val="en-GB"/>
              </w:rPr>
            </w:pPr>
          </w:p>
          <w:p w14:paraId="11A87DAE" w14:textId="77777777" w:rsidR="00B907D8" w:rsidRPr="00221992" w:rsidRDefault="00B907D8" w:rsidP="00C603CE">
            <w:pPr>
              <w:pStyle w:val="TableText"/>
              <w:keepNext/>
              <w:keepLines/>
              <w:spacing w:before="0" w:after="0" w:line="240" w:lineRule="auto"/>
              <w:cnfStyle w:val="000000000000" w:firstRow="0" w:lastRow="0" w:firstColumn="0" w:lastColumn="0" w:oddVBand="0" w:evenVBand="0" w:oddHBand="0" w:evenHBand="0" w:firstRowFirstColumn="0" w:firstRowLastColumn="0" w:lastRowFirstColumn="0" w:lastRowLastColumn="0"/>
              <w:rPr>
                <w:sz w:val="20"/>
                <w:szCs w:val="20"/>
                <w:lang w:val="en-GB"/>
              </w:rPr>
            </w:pPr>
          </w:p>
          <w:p w14:paraId="10DF07F8" w14:textId="0B8376B4" w:rsidR="00B907D8" w:rsidRPr="00221992" w:rsidRDefault="00B907D8" w:rsidP="00C603CE">
            <w:pPr>
              <w:pStyle w:val="TableText"/>
              <w:keepNext/>
              <w:keepLines/>
              <w:spacing w:before="0" w:after="0" w:line="240" w:lineRule="auto"/>
              <w:cnfStyle w:val="000000000000" w:firstRow="0" w:lastRow="0" w:firstColumn="0" w:lastColumn="0" w:oddVBand="0" w:evenVBand="0" w:oddHBand="0" w:evenHBand="0" w:firstRowFirstColumn="0" w:firstRowLastColumn="0" w:lastRowFirstColumn="0" w:lastRowLastColumn="0"/>
              <w:rPr>
                <w:sz w:val="20"/>
                <w:szCs w:val="20"/>
                <w:lang w:val="en-GB"/>
              </w:rPr>
            </w:pPr>
            <w:r w:rsidRPr="00221992">
              <w:rPr>
                <w:sz w:val="20"/>
                <w:szCs w:val="20"/>
                <w:lang w:val="en-GB"/>
              </w:rPr>
              <w:t>Innovative drug fund</w:t>
            </w:r>
          </w:p>
        </w:tc>
        <w:tc>
          <w:tcPr>
            <w:tcW w:w="3969" w:type="dxa"/>
          </w:tcPr>
          <w:p w14:paraId="711BB4A0" w14:textId="77777777" w:rsidR="00B907D8" w:rsidRPr="00221992" w:rsidRDefault="00B907D8" w:rsidP="00C603CE">
            <w:pPr>
              <w:pStyle w:val="TableText"/>
              <w:keepNext/>
              <w:keepLines/>
              <w:spacing w:before="0" w:after="0" w:line="240" w:lineRule="auto"/>
              <w:cnfStyle w:val="000000000000" w:firstRow="0" w:lastRow="0" w:firstColumn="0" w:lastColumn="0" w:oddVBand="0" w:evenVBand="0" w:oddHBand="0" w:evenHBand="0" w:firstRowFirstColumn="0" w:firstRowLastColumn="0" w:lastRowFirstColumn="0" w:lastRowLastColumn="0"/>
              <w:rPr>
                <w:sz w:val="20"/>
                <w:szCs w:val="20"/>
                <w:lang w:val="en-GB"/>
              </w:rPr>
            </w:pPr>
            <w:r w:rsidRPr="00221992">
              <w:rPr>
                <w:sz w:val="20"/>
                <w:szCs w:val="20"/>
                <w:lang w:val="en-GB"/>
              </w:rPr>
              <w:t xml:space="preserve">5% tax on commercial expenses from all pharmaceutical companies. €10.5 million in 2021. </w:t>
            </w:r>
          </w:p>
          <w:p w14:paraId="0635599B" w14:textId="4EED5975" w:rsidR="00B907D8" w:rsidRPr="00221992" w:rsidRDefault="00B907D8" w:rsidP="00C603CE">
            <w:pPr>
              <w:pStyle w:val="TableText"/>
              <w:keepNext/>
              <w:keepLines/>
              <w:spacing w:before="0" w:after="0" w:line="240" w:lineRule="auto"/>
              <w:cnfStyle w:val="000000000000" w:firstRow="0" w:lastRow="0" w:firstColumn="0" w:lastColumn="0" w:oddVBand="0" w:evenVBand="0" w:oddHBand="0" w:evenHBand="0" w:firstRowFirstColumn="0" w:firstRowLastColumn="0" w:lastRowFirstColumn="0" w:lastRowLastColumn="0"/>
              <w:rPr>
                <w:sz w:val="20"/>
                <w:szCs w:val="20"/>
                <w:lang w:val="en-GB"/>
              </w:rPr>
            </w:pPr>
            <w:r w:rsidRPr="00221992">
              <w:rPr>
                <w:sz w:val="20"/>
                <w:szCs w:val="20"/>
                <w:lang w:val="en-GB"/>
              </w:rPr>
              <w:t>Dedicated fund for innovative drugs may apply (</w:t>
            </w:r>
            <w:r w:rsidRPr="00221992">
              <w:rPr>
                <w:rFonts w:cs="Calibri Light"/>
                <w:sz w:val="20"/>
                <w:szCs w:val="20"/>
                <w:lang w:val="en-GB"/>
              </w:rPr>
              <w:t>€</w:t>
            </w:r>
            <w:r w:rsidRPr="00221992">
              <w:rPr>
                <w:sz w:val="20"/>
                <w:szCs w:val="20"/>
                <w:lang w:val="en-GB"/>
              </w:rPr>
              <w:t>500 million)</w:t>
            </w:r>
          </w:p>
        </w:tc>
      </w:tr>
      <w:tr w:rsidR="00B907D8" w:rsidRPr="00221992" w14:paraId="5A862596" w14:textId="77777777" w:rsidTr="00FB39A6">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dxa"/>
            <w:shd w:val="clear" w:color="auto" w:fill="1E8BCD"/>
          </w:tcPr>
          <w:p w14:paraId="78CC8A5B" w14:textId="77777777" w:rsidR="00B907D8" w:rsidRPr="00221992" w:rsidRDefault="00B907D8" w:rsidP="00C603CE">
            <w:pPr>
              <w:pStyle w:val="TableText"/>
              <w:keepNext/>
              <w:keepLines/>
              <w:spacing w:before="0" w:after="0" w:line="240" w:lineRule="auto"/>
              <w:rPr>
                <w:sz w:val="20"/>
                <w:szCs w:val="20"/>
                <w:lang w:val="en-GB"/>
              </w:rPr>
            </w:pPr>
            <w:r w:rsidRPr="00221992">
              <w:rPr>
                <w:sz w:val="20"/>
                <w:szCs w:val="20"/>
                <w:lang w:val="en-GB"/>
              </w:rPr>
              <w:t>Taiwan</w:t>
            </w:r>
          </w:p>
        </w:tc>
        <w:tc>
          <w:tcPr>
            <w:tcW w:w="2196" w:type="dxa"/>
            <w:shd w:val="clear" w:color="auto" w:fill="EFEFEF" w:themeFill="text2" w:themeFillTint="33"/>
          </w:tcPr>
          <w:p w14:paraId="59E4CA5B" w14:textId="70B59A0A" w:rsidR="00B907D8" w:rsidRPr="00221992" w:rsidRDefault="00B907D8" w:rsidP="00C603CE">
            <w:pPr>
              <w:pStyle w:val="TableText"/>
              <w:keepNext/>
              <w:keepLines/>
              <w:spacing w:before="0" w:after="0" w:line="240" w:lineRule="auto"/>
              <w:cnfStyle w:val="000000010000" w:firstRow="0" w:lastRow="0" w:firstColumn="0" w:lastColumn="0" w:oddVBand="0" w:evenVBand="0" w:oddHBand="0" w:evenHBand="1" w:firstRowFirstColumn="0" w:firstRowLastColumn="0" w:lastRowFirstColumn="0" w:lastRowLastColumn="0"/>
              <w:rPr>
                <w:sz w:val="20"/>
                <w:szCs w:val="20"/>
                <w:lang w:val="en-GB"/>
              </w:rPr>
            </w:pPr>
            <w:r w:rsidRPr="00221992">
              <w:rPr>
                <w:sz w:val="20"/>
                <w:szCs w:val="20"/>
                <w:lang w:val="en-GB"/>
              </w:rPr>
              <w:t xml:space="preserve">NHI </w:t>
            </w:r>
            <w:r w:rsidR="000C185A" w:rsidRPr="00221992">
              <w:rPr>
                <w:sz w:val="20"/>
                <w:szCs w:val="20"/>
                <w:lang w:val="en-GB"/>
              </w:rPr>
              <w:t>P</w:t>
            </w:r>
            <w:r w:rsidR="00CE08B2" w:rsidRPr="00221992">
              <w:rPr>
                <w:sz w:val="20"/>
                <w:szCs w:val="20"/>
                <w:lang w:val="en-GB"/>
              </w:rPr>
              <w:t>B</w:t>
            </w:r>
            <w:r w:rsidR="000C185A" w:rsidRPr="00221992">
              <w:rPr>
                <w:sz w:val="20"/>
                <w:szCs w:val="20"/>
                <w:lang w:val="en-GB"/>
              </w:rPr>
              <w:t>RS</w:t>
            </w:r>
          </w:p>
        </w:tc>
        <w:tc>
          <w:tcPr>
            <w:tcW w:w="3969" w:type="dxa"/>
            <w:shd w:val="clear" w:color="auto" w:fill="EFEFEF" w:themeFill="text2" w:themeFillTint="33"/>
          </w:tcPr>
          <w:p w14:paraId="16C9E5EB" w14:textId="77777777" w:rsidR="00B907D8" w:rsidRPr="00221992" w:rsidRDefault="00B907D8" w:rsidP="00C603CE">
            <w:pPr>
              <w:pStyle w:val="TableText"/>
              <w:keepNext/>
              <w:keepLines/>
              <w:spacing w:before="0" w:after="0" w:line="240" w:lineRule="auto"/>
              <w:cnfStyle w:val="000000010000" w:firstRow="0" w:lastRow="0" w:firstColumn="0" w:lastColumn="0" w:oddVBand="0" w:evenVBand="0" w:oddHBand="0" w:evenHBand="1" w:firstRowFirstColumn="0" w:firstRowLastColumn="0" w:lastRowFirstColumn="0" w:lastRowLastColumn="0"/>
              <w:rPr>
                <w:sz w:val="20"/>
                <w:szCs w:val="20"/>
                <w:lang w:val="en-GB"/>
              </w:rPr>
            </w:pPr>
            <w:r w:rsidRPr="00221992">
              <w:rPr>
                <w:sz w:val="20"/>
                <w:szCs w:val="20"/>
                <w:lang w:val="en-GB"/>
              </w:rPr>
              <w:t>Negotiated on a yearly basis.</w:t>
            </w:r>
          </w:p>
        </w:tc>
      </w:tr>
    </w:tbl>
    <w:p w14:paraId="675CD4B0" w14:textId="03CB5C40" w:rsidR="00D65012" w:rsidRPr="00221992" w:rsidRDefault="00302B0D" w:rsidP="681A700A">
      <w:pPr>
        <w:pStyle w:val="TableNotes"/>
      </w:pPr>
      <w:r w:rsidRPr="681A700A">
        <w:t>Acronyms:</w:t>
      </w:r>
      <w:r>
        <w:tab/>
      </w:r>
      <w:r w:rsidR="000D0E68" w:rsidRPr="681A700A">
        <w:t xml:space="preserve">AIFA, Agenzia Italiana del Farmaco; </w:t>
      </w:r>
      <w:r w:rsidR="0092765C" w:rsidRPr="681A700A">
        <w:t xml:space="preserve">IMF, Innovative </w:t>
      </w:r>
      <w:r w:rsidR="00F16FE5" w:rsidRPr="681A700A">
        <w:t>medicines</w:t>
      </w:r>
      <w:r w:rsidR="0092765C" w:rsidRPr="681A700A">
        <w:t xml:space="preserve"> Fund; </w:t>
      </w:r>
      <w:r w:rsidR="000D0E68" w:rsidRPr="681A700A">
        <w:t xml:space="preserve">LSDP, Life Savings Drug Program; NHI PBRS, National Health Insurance Pharmaceutical Benefit Reimbursement Scheme; </w:t>
      </w:r>
      <w:r w:rsidR="0092765C" w:rsidRPr="681A700A">
        <w:t xml:space="preserve">NMF, New Medicines Fund; PHARMAC, </w:t>
      </w:r>
      <w:r w:rsidR="00F76F98" w:rsidRPr="681A700A">
        <w:t>Pharmaceutical Management Agency (New Zealand);</w:t>
      </w:r>
      <w:r w:rsidR="00B014D8" w:rsidRPr="681A700A">
        <w:t xml:space="preserve"> RDF, </w:t>
      </w:r>
      <w:r w:rsidR="00E762CF" w:rsidRPr="681A700A">
        <w:t>Rare Disease Fund</w:t>
      </w:r>
      <w:r w:rsidR="000D0E68" w:rsidRPr="681A700A">
        <w:t xml:space="preserve">. </w:t>
      </w:r>
      <w:r w:rsidR="00E762CF" w:rsidRPr="681A700A">
        <w:t xml:space="preserve"> </w:t>
      </w:r>
    </w:p>
    <w:p w14:paraId="5AC105D9" w14:textId="52C381BE" w:rsidR="00144F8E" w:rsidRPr="00221992" w:rsidRDefault="00144F8E" w:rsidP="00533CF1">
      <w:pPr>
        <w:pStyle w:val="TableNotes"/>
        <w:rPr>
          <w:lang w:val="en-GB"/>
        </w:rPr>
      </w:pPr>
      <w:r w:rsidRPr="00221992">
        <w:rPr>
          <w:lang w:val="en-GB"/>
        </w:rPr>
        <w:t>Notes:</w:t>
      </w:r>
      <w:r>
        <w:tab/>
      </w:r>
      <w:r w:rsidRPr="00221992">
        <w:rPr>
          <w:vertAlign w:val="superscript"/>
          <w:lang w:val="en-GB"/>
        </w:rPr>
        <w:t xml:space="preserve">1 </w:t>
      </w:r>
      <w:r w:rsidR="003932AA" w:rsidRPr="00221992">
        <w:rPr>
          <w:lang w:val="en-GB"/>
        </w:rPr>
        <w:t>M</w:t>
      </w:r>
      <w:r w:rsidRPr="00221992">
        <w:rPr>
          <w:lang w:val="en-GB"/>
        </w:rPr>
        <w:t xml:space="preserve">echanism used by the UK Department of Health to ensure that the NHS has access to good quality branded medicines at reasonable prices. </w:t>
      </w:r>
    </w:p>
    <w:p w14:paraId="1F2AEC84" w14:textId="4DDB09E8" w:rsidR="5658EAB1" w:rsidRDefault="5658EAB1">
      <w:r>
        <w:br w:type="page"/>
      </w:r>
    </w:p>
    <w:p w14:paraId="6FFA2742" w14:textId="3110322A" w:rsidR="5658EAB1" w:rsidRDefault="5658EAB1" w:rsidP="00533CF1">
      <w:pPr>
        <w:pStyle w:val="TableNotes"/>
        <w:rPr>
          <w:lang w:val="en-GB"/>
        </w:rPr>
      </w:pPr>
    </w:p>
    <w:tbl>
      <w:tblPr>
        <w:tblStyle w:val="GridTable4-Accent3"/>
        <w:tblW w:w="0" w:type="auto"/>
        <w:tblBorders>
          <w:top w:val="single" w:sz="12" w:space="0" w:color="0F4BEB" w:themeColor="accent1"/>
          <w:left w:val="single" w:sz="12" w:space="0" w:color="0F4BEB" w:themeColor="accent1"/>
          <w:bottom w:val="single" w:sz="12" w:space="0" w:color="0F4BEB" w:themeColor="accent1"/>
          <w:right w:val="single" w:sz="12" w:space="0" w:color="0F4BEB" w:themeColor="accent1"/>
          <w:insideH w:val="none" w:sz="0" w:space="0" w:color="auto"/>
          <w:insideV w:val="single" w:sz="4" w:space="0" w:color="49C0E2" w:themeColor="accent3"/>
        </w:tblBorders>
        <w:tblLook w:val="04A0" w:firstRow="1" w:lastRow="0" w:firstColumn="1" w:lastColumn="0" w:noHBand="0" w:noVBand="1"/>
      </w:tblPr>
      <w:tblGrid>
        <w:gridCol w:w="8065"/>
      </w:tblGrid>
      <w:tr w:rsidR="006A5720" w14:paraId="79A4121F" w14:textId="77777777" w:rsidTr="00C7578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065" w:type="dxa"/>
            <w:tcBorders>
              <w:top w:val="single" w:sz="12" w:space="0" w:color="0F4BEB" w:themeColor="accent1"/>
              <w:left w:val="single" w:sz="12" w:space="0" w:color="0F4BEB" w:themeColor="accent1"/>
              <w:bottom w:val="nil"/>
              <w:right w:val="single" w:sz="12" w:space="0" w:color="0F4BEB" w:themeColor="accent1"/>
            </w:tcBorders>
            <w:shd w:val="clear" w:color="auto" w:fill="B2B2B2" w:themeFill="text2"/>
            <w:hideMark/>
          </w:tcPr>
          <w:p w14:paraId="0B7098D6" w14:textId="0D260E7E" w:rsidR="006A5720" w:rsidRPr="007646FD" w:rsidRDefault="006A5720" w:rsidP="006A5720">
            <w:pPr>
              <w:spacing w:after="0" w:line="240" w:lineRule="auto"/>
              <w:jc w:val="center"/>
              <w:rPr>
                <w:rFonts w:ascii="Calibri" w:hAnsi="Calibri" w:cs="Calibri"/>
                <w:b w:val="0"/>
                <w:bCs w:val="0"/>
                <w:lang w:eastAsia="en-US"/>
              </w:rPr>
            </w:pPr>
            <w:bookmarkStart w:id="138" w:name="_Toc142742669"/>
            <w:r w:rsidRPr="007646FD">
              <w:rPr>
                <w:rFonts w:ascii="Calibri" w:hAnsi="Calibri" w:cs="Calibri" w:hint="cs"/>
                <w:lang w:eastAsia="en-US"/>
              </w:rPr>
              <w:t>Why this matters</w:t>
            </w:r>
          </w:p>
        </w:tc>
      </w:tr>
      <w:tr w:rsidR="006A5720" w14:paraId="22EA852E" w14:textId="77777777" w:rsidTr="00C7578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065" w:type="dxa"/>
            <w:tcBorders>
              <w:top w:val="nil"/>
              <w:left w:val="single" w:sz="12" w:space="0" w:color="0F4BEB" w:themeColor="accent1"/>
              <w:bottom w:val="single" w:sz="12" w:space="0" w:color="0F4BEB" w:themeColor="accent1"/>
              <w:right w:val="single" w:sz="12" w:space="0" w:color="0F4BEB" w:themeColor="accent1"/>
            </w:tcBorders>
            <w:shd w:val="clear" w:color="auto" w:fill="EFEFEF" w:themeFill="text2" w:themeFillTint="33"/>
          </w:tcPr>
          <w:p w14:paraId="418B3623" w14:textId="04B00814" w:rsidR="006A5720" w:rsidRPr="006A5720" w:rsidRDefault="006A5720" w:rsidP="006A5720">
            <w:pPr>
              <w:spacing w:after="0" w:line="240" w:lineRule="auto"/>
              <w:rPr>
                <w:rFonts w:cs="Calibri Light"/>
                <w:b w:val="0"/>
                <w:bCs w:val="0"/>
                <w:lang w:val="en-GB" w:eastAsia="en-US"/>
              </w:rPr>
            </w:pPr>
            <w:bookmarkStart w:id="139" w:name="_Hlk153872126"/>
            <w:r w:rsidRPr="006A5720">
              <w:rPr>
                <w:rFonts w:cs="Calibri Light"/>
                <w:b w:val="0"/>
                <w:lang w:val="en-GB" w:eastAsia="en-US"/>
              </w:rPr>
              <w:t xml:space="preserve">In Australia, </w:t>
            </w:r>
            <w:r w:rsidR="001D6C51">
              <w:rPr>
                <w:rFonts w:cs="Calibri Light"/>
                <w:b w:val="0"/>
                <w:lang w:val="en-GB" w:eastAsia="en-US"/>
              </w:rPr>
              <w:t>the majority of</w:t>
            </w:r>
            <w:r w:rsidR="001D6C51" w:rsidRPr="006A5720">
              <w:rPr>
                <w:rFonts w:cs="Calibri Light"/>
                <w:b w:val="0"/>
                <w:lang w:val="en-GB" w:eastAsia="en-US"/>
              </w:rPr>
              <w:t xml:space="preserve"> </w:t>
            </w:r>
            <w:r w:rsidRPr="006A5720">
              <w:rPr>
                <w:rFonts w:cs="Calibri Light"/>
                <w:b w:val="0"/>
                <w:lang w:val="en-GB" w:eastAsia="en-US"/>
              </w:rPr>
              <w:t>drugs</w:t>
            </w:r>
            <w:r w:rsidR="005A6567">
              <w:rPr>
                <w:rFonts w:cs="Calibri Light"/>
                <w:b w:val="0"/>
                <w:lang w:val="en-GB" w:eastAsia="en-US"/>
              </w:rPr>
              <w:t xml:space="preserve"> </w:t>
            </w:r>
            <w:r w:rsidRPr="006A5720">
              <w:rPr>
                <w:rFonts w:cs="Calibri Light"/>
                <w:b w:val="0"/>
                <w:lang w:val="en-GB" w:eastAsia="en-US"/>
              </w:rPr>
              <w:t xml:space="preserve">are funded by the PBS, </w:t>
            </w:r>
            <w:r w:rsidR="00D673B7">
              <w:rPr>
                <w:rFonts w:cs="Calibri Light"/>
                <w:b w:val="0"/>
                <w:lang w:val="en-GB" w:eastAsia="en-US"/>
              </w:rPr>
              <w:t>whose budget</w:t>
            </w:r>
            <w:r w:rsidRPr="006A5720">
              <w:rPr>
                <w:rFonts w:cs="Calibri Light"/>
                <w:b w:val="0"/>
                <w:lang w:val="en-GB" w:eastAsia="en-US"/>
              </w:rPr>
              <w:t xml:space="preserve"> is uncapped. However, </w:t>
            </w:r>
            <w:r w:rsidR="005A6567">
              <w:rPr>
                <w:rFonts w:cs="Calibri Light"/>
                <w:b w:val="0"/>
                <w:lang w:val="en-GB" w:eastAsia="en-US"/>
              </w:rPr>
              <w:t xml:space="preserve">drugs for the treatment of ultra-rare diseases that meet eligibility criteria of </w:t>
            </w:r>
            <w:r w:rsidR="00ED1776">
              <w:rPr>
                <w:rFonts w:cs="Calibri Light"/>
                <w:b w:val="0"/>
                <w:lang w:val="en-GB" w:eastAsia="en-US"/>
              </w:rPr>
              <w:t>the LSDP</w:t>
            </w:r>
            <w:r w:rsidR="00235EEB">
              <w:rPr>
                <w:rFonts w:cs="Calibri Light"/>
                <w:b w:val="0"/>
                <w:lang w:val="en-GB" w:eastAsia="en-US"/>
              </w:rPr>
              <w:t xml:space="preserve"> program</w:t>
            </w:r>
            <w:r w:rsidR="005A6567">
              <w:rPr>
                <w:rFonts w:cs="Calibri Light"/>
                <w:b w:val="0"/>
                <w:lang w:val="en-GB" w:eastAsia="en-US"/>
              </w:rPr>
              <w:t xml:space="preserve"> are funded by an annual appropriation that requires </w:t>
            </w:r>
            <w:r w:rsidR="006A00CA">
              <w:rPr>
                <w:rFonts w:cs="Calibri Light"/>
                <w:b w:val="0"/>
                <w:lang w:val="en-GB" w:eastAsia="en-US"/>
              </w:rPr>
              <w:t>parliamentary</w:t>
            </w:r>
            <w:r w:rsidR="005A6567">
              <w:rPr>
                <w:rFonts w:cs="Calibri Light"/>
                <w:b w:val="0"/>
                <w:lang w:val="en-GB" w:eastAsia="en-US"/>
              </w:rPr>
              <w:t xml:space="preserve"> approval. </w:t>
            </w:r>
            <w:r w:rsidR="008D3AA0">
              <w:rPr>
                <w:rFonts w:cs="Calibri Light"/>
                <w:b w:val="0"/>
                <w:lang w:val="en-GB" w:eastAsia="en-US"/>
              </w:rPr>
              <w:t>While</w:t>
            </w:r>
            <w:r w:rsidR="005A6567">
              <w:rPr>
                <w:rFonts w:cs="Calibri Light"/>
                <w:b w:val="0"/>
                <w:lang w:val="en-GB" w:eastAsia="en-US"/>
              </w:rPr>
              <w:t xml:space="preserve"> this source of funding may be considered “uncapped</w:t>
            </w:r>
            <w:r w:rsidR="008D3AA0">
              <w:rPr>
                <w:rFonts w:cs="Calibri Light"/>
                <w:b w:val="0"/>
                <w:lang w:val="en-GB" w:eastAsia="en-US"/>
              </w:rPr>
              <w:t>,</w:t>
            </w:r>
            <w:r w:rsidR="005A6567">
              <w:rPr>
                <w:rFonts w:cs="Calibri Light"/>
                <w:b w:val="0"/>
                <w:lang w:val="en-GB" w:eastAsia="en-US"/>
              </w:rPr>
              <w:t>”</w:t>
            </w:r>
            <w:r w:rsidRPr="006A5720">
              <w:rPr>
                <w:rFonts w:cs="Calibri Light"/>
                <w:b w:val="0"/>
                <w:lang w:val="en-GB" w:eastAsia="en-US"/>
              </w:rPr>
              <w:t xml:space="preserve"> </w:t>
            </w:r>
            <w:r w:rsidR="0037640D">
              <w:rPr>
                <w:rFonts w:cs="Calibri Light"/>
                <w:b w:val="0"/>
                <w:lang w:val="en-GB" w:eastAsia="en-US"/>
              </w:rPr>
              <w:t>these</w:t>
            </w:r>
            <w:r w:rsidRPr="006A5720">
              <w:rPr>
                <w:rFonts w:cs="Calibri Light"/>
                <w:b w:val="0"/>
                <w:lang w:val="en-GB" w:eastAsia="en-US"/>
              </w:rPr>
              <w:t xml:space="preserve"> resources are revised and negotiated every time a new drug is listed. </w:t>
            </w:r>
            <w:r w:rsidR="00235EEB">
              <w:rPr>
                <w:rFonts w:cs="Calibri Light"/>
                <w:b w:val="0"/>
                <w:lang w:val="en-GB" w:eastAsia="en-US"/>
              </w:rPr>
              <w:t xml:space="preserve">In this sense, considering the way the LSDP operates, it can be said that the costs of the programs are implicitly contained.     </w:t>
            </w:r>
            <w:r w:rsidRPr="006A5720">
              <w:rPr>
                <w:rFonts w:cs="Calibri Light"/>
                <w:b w:val="0"/>
                <w:lang w:val="en-GB" w:eastAsia="en-US"/>
              </w:rPr>
              <w:t xml:space="preserve">  </w:t>
            </w:r>
          </w:p>
          <w:p w14:paraId="14A8B343" w14:textId="77777777" w:rsidR="006A5720" w:rsidRPr="006A5720" w:rsidRDefault="006A5720" w:rsidP="006A5720">
            <w:pPr>
              <w:spacing w:after="0" w:line="240" w:lineRule="auto"/>
              <w:rPr>
                <w:rFonts w:cs="Calibri Light"/>
                <w:b w:val="0"/>
                <w:bCs w:val="0"/>
                <w:lang w:val="en-GB" w:eastAsia="en-US"/>
              </w:rPr>
            </w:pPr>
            <w:r w:rsidRPr="006A5720">
              <w:rPr>
                <w:rFonts w:cs="Calibri Light"/>
                <w:b w:val="0"/>
                <w:lang w:val="en-GB" w:eastAsia="en-US"/>
              </w:rPr>
              <w:t xml:space="preserve"> </w:t>
            </w:r>
          </w:p>
          <w:p w14:paraId="26F1BCF3" w14:textId="3A95C7AC" w:rsidR="006A5720" w:rsidRDefault="008F4AE2" w:rsidP="00356C05">
            <w:pPr>
              <w:spacing w:after="0" w:line="240" w:lineRule="auto"/>
              <w:rPr>
                <w:rFonts w:cs="Calibri Light"/>
                <w:b w:val="0"/>
                <w:bCs w:val="0"/>
                <w:lang w:eastAsia="en-US"/>
              </w:rPr>
            </w:pPr>
            <w:r>
              <w:rPr>
                <w:rFonts w:cs="Calibri Light"/>
                <w:b w:val="0"/>
                <w:bCs w:val="0"/>
                <w:lang w:eastAsia="en-US"/>
              </w:rPr>
              <w:t>While some</w:t>
            </w:r>
            <w:r w:rsidR="00356C05" w:rsidRPr="007646FD">
              <w:rPr>
                <w:rFonts w:cs="Calibri Light"/>
                <w:b w:val="0"/>
                <w:bCs w:val="0"/>
                <w:lang w:eastAsia="en-US"/>
              </w:rPr>
              <w:t xml:space="preserve"> countries have implemented fixed budgets as a cost containment measure, partly due to increasing </w:t>
            </w:r>
            <w:r w:rsidR="00B76E2D">
              <w:rPr>
                <w:rFonts w:cs="Calibri Light"/>
                <w:b w:val="0"/>
                <w:bCs w:val="0"/>
                <w:lang w:eastAsia="en-US"/>
              </w:rPr>
              <w:t>financial burden</w:t>
            </w:r>
            <w:r w:rsidR="00B76E2D" w:rsidRPr="007646FD">
              <w:rPr>
                <w:rFonts w:cs="Calibri Light"/>
                <w:b w:val="0"/>
                <w:bCs w:val="0"/>
                <w:lang w:eastAsia="en-US"/>
              </w:rPr>
              <w:t xml:space="preserve"> </w:t>
            </w:r>
            <w:r w:rsidR="00356C05" w:rsidRPr="007646FD">
              <w:rPr>
                <w:rFonts w:cs="Calibri Light"/>
                <w:b w:val="0"/>
                <w:bCs w:val="0"/>
                <w:lang w:eastAsia="en-US"/>
              </w:rPr>
              <w:t xml:space="preserve">for drugs for rare </w:t>
            </w:r>
            <w:r w:rsidR="00235EEB">
              <w:rPr>
                <w:rFonts w:cs="Calibri Light"/>
                <w:b w:val="0"/>
                <w:bCs w:val="0"/>
                <w:lang w:eastAsia="en-US"/>
              </w:rPr>
              <w:t xml:space="preserve">and ultra-rare </w:t>
            </w:r>
            <w:r w:rsidR="00356C05" w:rsidRPr="007646FD">
              <w:rPr>
                <w:rFonts w:cs="Calibri Light"/>
                <w:b w:val="0"/>
                <w:bCs w:val="0"/>
                <w:lang w:eastAsia="en-US"/>
              </w:rPr>
              <w:t>diseases</w:t>
            </w:r>
            <w:r>
              <w:rPr>
                <w:rFonts w:cs="Calibri Light"/>
                <w:b w:val="0"/>
                <w:bCs w:val="0"/>
                <w:lang w:eastAsia="en-US"/>
              </w:rPr>
              <w:t>,</w:t>
            </w:r>
            <w:r w:rsidR="00356C05" w:rsidRPr="007646FD">
              <w:rPr>
                <w:rFonts w:cs="Calibri Light"/>
                <w:b w:val="0"/>
                <w:bCs w:val="0"/>
                <w:lang w:eastAsia="en-US"/>
              </w:rPr>
              <w:t xml:space="preserve"> </w:t>
            </w:r>
            <w:r w:rsidR="006A5720" w:rsidRPr="006A5720">
              <w:rPr>
                <w:rFonts w:cs="Calibri Light"/>
                <w:b w:val="0"/>
                <w:lang w:val="en-GB" w:eastAsia="en-US"/>
              </w:rPr>
              <w:t>a</w:t>
            </w:r>
            <w:r w:rsidR="00356C05">
              <w:rPr>
                <w:rFonts w:cs="Calibri Light"/>
                <w:b w:val="0"/>
                <w:lang w:val="en-GB" w:eastAsia="en-US"/>
              </w:rPr>
              <w:t>n explicitly</w:t>
            </w:r>
            <w:r w:rsidR="006A5720" w:rsidRPr="006A5720">
              <w:rPr>
                <w:rFonts w:cs="Calibri Light"/>
                <w:b w:val="0"/>
                <w:lang w:val="en-GB" w:eastAsia="en-US"/>
              </w:rPr>
              <w:t xml:space="preserve"> capped budget may not be </w:t>
            </w:r>
            <w:r w:rsidR="00AE3B67">
              <w:rPr>
                <w:rFonts w:cs="Calibri Light"/>
                <w:b w:val="0"/>
                <w:lang w:val="en-GB" w:eastAsia="en-US"/>
              </w:rPr>
              <w:t>appropriate</w:t>
            </w:r>
            <w:r w:rsidR="006A5720" w:rsidRPr="006A5720">
              <w:rPr>
                <w:rFonts w:cs="Calibri Light"/>
                <w:b w:val="0"/>
                <w:lang w:val="en-GB" w:eastAsia="en-US"/>
              </w:rPr>
              <w:t xml:space="preserve"> in Australia.</w:t>
            </w:r>
            <w:r w:rsidR="006A5720">
              <w:rPr>
                <w:rFonts w:cs="Calibri Light"/>
                <w:lang w:eastAsia="en-US"/>
              </w:rPr>
              <w:t xml:space="preserve">  </w:t>
            </w:r>
            <w:bookmarkEnd w:id="139"/>
          </w:p>
        </w:tc>
      </w:tr>
    </w:tbl>
    <w:p w14:paraId="1A52B7D4" w14:textId="47137B1D" w:rsidR="00D65012" w:rsidRPr="00221992" w:rsidRDefault="00D65012" w:rsidP="00A42973">
      <w:pPr>
        <w:pStyle w:val="Heading4"/>
        <w:rPr>
          <w:lang w:val="en-GB"/>
        </w:rPr>
      </w:pPr>
      <w:r w:rsidRPr="00221992">
        <w:rPr>
          <w:lang w:val="en-GB"/>
        </w:rPr>
        <w:t>How are resource allocat</w:t>
      </w:r>
      <w:r w:rsidR="002B551F" w:rsidRPr="00221992">
        <w:rPr>
          <w:lang w:val="en-GB"/>
        </w:rPr>
        <w:t>ions determined</w:t>
      </w:r>
      <w:r w:rsidRPr="00221992">
        <w:rPr>
          <w:lang w:val="en-GB"/>
        </w:rPr>
        <w:t>?</w:t>
      </w:r>
      <w:bookmarkEnd w:id="138"/>
    </w:p>
    <w:p w14:paraId="683D8773" w14:textId="78F9F5D2" w:rsidR="00A42973" w:rsidRPr="00221992" w:rsidRDefault="008243BD" w:rsidP="00A42973">
      <w:pPr>
        <w:rPr>
          <w:lang w:val="en-GB"/>
        </w:rPr>
      </w:pPr>
      <w:r>
        <w:rPr>
          <w:lang w:val="en-GB"/>
        </w:rPr>
        <w:t>With the exception of Singapore, of the</w:t>
      </w:r>
      <w:r w:rsidR="00D65012" w:rsidRPr="00221992">
        <w:rPr>
          <w:lang w:val="en-GB"/>
        </w:rPr>
        <w:t xml:space="preserve"> countries </w:t>
      </w:r>
      <w:r>
        <w:rPr>
          <w:lang w:val="en-GB"/>
        </w:rPr>
        <w:t>reviewed</w:t>
      </w:r>
      <w:r w:rsidRPr="00221992">
        <w:rPr>
          <w:lang w:val="en-GB"/>
        </w:rPr>
        <w:t xml:space="preserve"> </w:t>
      </w:r>
      <w:r w:rsidR="00D65012" w:rsidRPr="00221992">
        <w:rPr>
          <w:lang w:val="en-GB"/>
        </w:rPr>
        <w:t xml:space="preserve">that follow a separate process, </w:t>
      </w:r>
      <w:r>
        <w:rPr>
          <w:lang w:val="en-GB"/>
        </w:rPr>
        <w:t xml:space="preserve">all </w:t>
      </w:r>
      <w:r w:rsidR="00951341" w:rsidRPr="00221992">
        <w:rPr>
          <w:lang w:val="en-GB"/>
        </w:rPr>
        <w:t>appl</w:t>
      </w:r>
      <w:r w:rsidR="00282B38">
        <w:rPr>
          <w:lang w:val="en-GB"/>
        </w:rPr>
        <w:t>y</w:t>
      </w:r>
      <w:r w:rsidR="00951341" w:rsidRPr="00221992">
        <w:rPr>
          <w:lang w:val="en-GB"/>
        </w:rPr>
        <w:t xml:space="preserve"> </w:t>
      </w:r>
      <w:r w:rsidR="00D65012" w:rsidRPr="00221992">
        <w:rPr>
          <w:lang w:val="en-GB"/>
        </w:rPr>
        <w:t>an HTA</w:t>
      </w:r>
      <w:r>
        <w:rPr>
          <w:lang w:val="en-GB"/>
        </w:rPr>
        <w:t>-</w:t>
      </w:r>
      <w:r w:rsidR="00D65012" w:rsidRPr="00221992">
        <w:rPr>
          <w:lang w:val="en-GB"/>
        </w:rPr>
        <w:t>based process</w:t>
      </w:r>
      <w:r w:rsidR="00951341" w:rsidRPr="00221992">
        <w:rPr>
          <w:lang w:val="en-GB"/>
        </w:rPr>
        <w:t xml:space="preserve"> to the consideration of </w:t>
      </w:r>
      <w:r>
        <w:rPr>
          <w:lang w:val="en-GB"/>
        </w:rPr>
        <w:t xml:space="preserve">orphan </w:t>
      </w:r>
      <w:r w:rsidR="00951341" w:rsidRPr="00221992">
        <w:rPr>
          <w:lang w:val="en-GB"/>
        </w:rPr>
        <w:t>drugs</w:t>
      </w:r>
      <w:r w:rsidR="00282B38">
        <w:rPr>
          <w:lang w:val="en-GB"/>
        </w:rPr>
        <w:t xml:space="preserve">, i.e., </w:t>
      </w:r>
      <w:r w:rsidR="00D65012" w:rsidRPr="00221992">
        <w:rPr>
          <w:lang w:val="en-GB"/>
        </w:rPr>
        <w:t xml:space="preserve">the allocation of resources </w:t>
      </w:r>
      <w:r w:rsidR="00282B38">
        <w:rPr>
          <w:lang w:val="en-GB"/>
        </w:rPr>
        <w:t>is</w:t>
      </w:r>
      <w:r w:rsidR="00A2010E">
        <w:rPr>
          <w:lang w:val="en-GB"/>
        </w:rPr>
        <w:t xml:space="preserve"> informed by the same</w:t>
      </w:r>
      <w:r w:rsidR="00A2010E" w:rsidRPr="00221992">
        <w:rPr>
          <w:lang w:val="en-GB"/>
        </w:rPr>
        <w:t xml:space="preserve"> </w:t>
      </w:r>
      <w:r w:rsidR="00D65012" w:rsidRPr="00221992">
        <w:rPr>
          <w:lang w:val="en-GB"/>
        </w:rPr>
        <w:t xml:space="preserve">evidence-based approach as </w:t>
      </w:r>
      <w:r w:rsidR="00282B38">
        <w:rPr>
          <w:lang w:val="en-GB"/>
        </w:rPr>
        <w:t xml:space="preserve">for </w:t>
      </w:r>
      <w:r w:rsidR="00D65012" w:rsidRPr="00221992">
        <w:rPr>
          <w:lang w:val="en-GB"/>
        </w:rPr>
        <w:t>all other drugs</w:t>
      </w:r>
      <w:r w:rsidR="00A2010E">
        <w:rPr>
          <w:lang w:val="en-GB"/>
        </w:rPr>
        <w:t>, with</w:t>
      </w:r>
      <w:r w:rsidR="00D65012" w:rsidRPr="00221992">
        <w:rPr>
          <w:lang w:val="en-GB"/>
        </w:rPr>
        <w:t xml:space="preserve"> </w:t>
      </w:r>
      <w:r w:rsidR="0024409D">
        <w:rPr>
          <w:lang w:val="en-GB"/>
        </w:rPr>
        <w:t>applicable</w:t>
      </w:r>
      <w:r w:rsidR="00B3488B">
        <w:rPr>
          <w:lang w:val="en-GB"/>
        </w:rPr>
        <w:t xml:space="preserve"> </w:t>
      </w:r>
      <w:r w:rsidR="00A2010E">
        <w:rPr>
          <w:lang w:val="en-GB"/>
        </w:rPr>
        <w:t xml:space="preserve"> </w:t>
      </w:r>
      <w:r w:rsidR="00D65012" w:rsidRPr="00221992">
        <w:rPr>
          <w:lang w:val="en-GB"/>
        </w:rPr>
        <w:t xml:space="preserve">exceptions. </w:t>
      </w:r>
    </w:p>
    <w:p w14:paraId="12018F1D" w14:textId="50AE6BAD" w:rsidR="00A42973" w:rsidRPr="00221992" w:rsidRDefault="00D65012" w:rsidP="00A42973">
      <w:pPr>
        <w:rPr>
          <w:lang w:val="en-GB"/>
        </w:rPr>
      </w:pPr>
      <w:r w:rsidRPr="00221992">
        <w:rPr>
          <w:lang w:val="en-GB"/>
        </w:rPr>
        <w:t>In New Zealand, PHARMAC allocate</w:t>
      </w:r>
      <w:r w:rsidR="00CB4FC5">
        <w:rPr>
          <w:lang w:val="en-GB"/>
        </w:rPr>
        <w:t>s</w:t>
      </w:r>
      <w:r w:rsidRPr="00221992">
        <w:rPr>
          <w:lang w:val="en-GB"/>
        </w:rPr>
        <w:t xml:space="preserve"> funds specific</w:t>
      </w:r>
      <w:r w:rsidR="00282B38">
        <w:rPr>
          <w:lang w:val="en-GB"/>
        </w:rPr>
        <w:t>ally</w:t>
      </w:r>
      <w:r w:rsidRPr="00221992">
        <w:rPr>
          <w:lang w:val="en-GB"/>
        </w:rPr>
        <w:t xml:space="preserve"> for rare diseases </w:t>
      </w:r>
      <w:r w:rsidR="00313425" w:rsidRPr="00221992">
        <w:rPr>
          <w:lang w:val="en-GB"/>
        </w:rPr>
        <w:t>as described above</w:t>
      </w:r>
      <w:r w:rsidRPr="00221992">
        <w:rPr>
          <w:lang w:val="en-GB"/>
        </w:rPr>
        <w:t xml:space="preserve">. A distinctive feature of this funding model is the way resources are allocated. PHARMAC makes regular calls for funding to encourage competition and conducts regular horizon scanning to have a better understanding of the upcoming treatment pipeline. </w:t>
      </w:r>
      <w:r w:rsidR="00CB4FC5">
        <w:rPr>
          <w:lang w:val="en-GB"/>
        </w:rPr>
        <w:t>In t</w:t>
      </w:r>
      <w:r w:rsidRPr="00221992">
        <w:rPr>
          <w:lang w:val="en-GB"/>
        </w:rPr>
        <w:t>h</w:t>
      </w:r>
      <w:r w:rsidR="00CB4FC5">
        <w:rPr>
          <w:lang w:val="en-GB"/>
        </w:rPr>
        <w:t>is process, akin to</w:t>
      </w:r>
      <w:r w:rsidRPr="00221992">
        <w:rPr>
          <w:lang w:val="en-GB"/>
        </w:rPr>
        <w:t xml:space="preserve"> tendering</w:t>
      </w:r>
      <w:r w:rsidR="00CB4FC5">
        <w:rPr>
          <w:lang w:val="en-GB"/>
        </w:rPr>
        <w:t>,</w:t>
      </w:r>
      <w:r w:rsidRPr="00221992">
        <w:rPr>
          <w:lang w:val="en-GB"/>
        </w:rPr>
        <w:t xml:space="preserve"> manufacturers </w:t>
      </w:r>
      <w:r w:rsidR="00CB4FC5">
        <w:rPr>
          <w:lang w:val="en-GB"/>
        </w:rPr>
        <w:t>are</w:t>
      </w:r>
      <w:r w:rsidR="00CB4FC5" w:rsidRPr="00221992">
        <w:rPr>
          <w:lang w:val="en-GB"/>
        </w:rPr>
        <w:t xml:space="preserve"> </w:t>
      </w:r>
      <w:r w:rsidRPr="00221992">
        <w:rPr>
          <w:lang w:val="en-GB"/>
        </w:rPr>
        <w:t xml:space="preserve">invited to request funding for </w:t>
      </w:r>
      <w:r w:rsidR="00CB4FC5">
        <w:rPr>
          <w:lang w:val="en-GB"/>
        </w:rPr>
        <w:t>orphan drugs</w:t>
      </w:r>
      <w:r w:rsidRPr="00221992">
        <w:rPr>
          <w:lang w:val="en-GB"/>
        </w:rPr>
        <w:t xml:space="preserve"> </w:t>
      </w:r>
      <w:r w:rsidR="00CB4FC5">
        <w:rPr>
          <w:lang w:val="en-GB"/>
        </w:rPr>
        <w:t>subject to the following</w:t>
      </w:r>
      <w:r w:rsidRPr="00221992">
        <w:rPr>
          <w:lang w:val="en-GB"/>
        </w:rPr>
        <w:t xml:space="preserve"> </w:t>
      </w:r>
      <w:r w:rsidR="00144F8E" w:rsidRPr="00221992">
        <w:rPr>
          <w:lang w:val="en-GB"/>
        </w:rPr>
        <w:t>principles</w:t>
      </w:r>
      <w:r w:rsidRPr="00221992">
        <w:rPr>
          <w:lang w:val="en-GB"/>
        </w:rPr>
        <w:t xml:space="preserve">: 1) </w:t>
      </w:r>
      <w:r w:rsidR="00CB4FC5">
        <w:rPr>
          <w:lang w:val="en-GB"/>
        </w:rPr>
        <w:t xml:space="preserve">drug is </w:t>
      </w:r>
      <w:r w:rsidRPr="00221992">
        <w:rPr>
          <w:lang w:val="en-GB"/>
        </w:rPr>
        <w:t xml:space="preserve">approved by Medsafe or </w:t>
      </w:r>
      <w:r w:rsidR="00CB4FC5">
        <w:rPr>
          <w:lang w:val="en-GB"/>
        </w:rPr>
        <w:t xml:space="preserve">comparable </w:t>
      </w:r>
      <w:r w:rsidRPr="00221992">
        <w:rPr>
          <w:lang w:val="en-GB"/>
        </w:rPr>
        <w:t xml:space="preserve">international regulatory authority; 2) </w:t>
      </w:r>
      <w:r w:rsidR="00CB4FC5">
        <w:rPr>
          <w:lang w:val="en-GB"/>
        </w:rPr>
        <w:t xml:space="preserve">condition </w:t>
      </w:r>
      <w:r w:rsidRPr="00221992">
        <w:rPr>
          <w:lang w:val="en-GB"/>
        </w:rPr>
        <w:t xml:space="preserve">affects &lt;1/50,000 people and; </w:t>
      </w:r>
      <w:r w:rsidR="00313425" w:rsidRPr="00221992">
        <w:rPr>
          <w:lang w:val="en-GB"/>
        </w:rPr>
        <w:t xml:space="preserve">3) </w:t>
      </w:r>
      <w:r w:rsidRPr="00221992">
        <w:rPr>
          <w:lang w:val="en-GB"/>
        </w:rPr>
        <w:t>approved indication is for rare disease only or</w:t>
      </w:r>
      <w:r w:rsidR="00CB4FC5">
        <w:rPr>
          <w:lang w:val="en-GB"/>
        </w:rPr>
        <w:t>,</w:t>
      </w:r>
      <w:r w:rsidRPr="00221992">
        <w:rPr>
          <w:lang w:val="en-GB"/>
        </w:rPr>
        <w:t xml:space="preserve"> if </w:t>
      </w:r>
      <w:r w:rsidR="00CB4FC5">
        <w:rPr>
          <w:lang w:val="en-GB"/>
        </w:rPr>
        <w:t xml:space="preserve">also </w:t>
      </w:r>
      <w:r w:rsidRPr="00221992">
        <w:rPr>
          <w:lang w:val="en-GB"/>
        </w:rPr>
        <w:t>for other indications, principle 2</w:t>
      </w:r>
      <w:r w:rsidR="00CB4FC5">
        <w:rPr>
          <w:lang w:val="en-GB"/>
        </w:rPr>
        <w:t xml:space="preserve"> remains satisfied</w:t>
      </w:r>
      <w:r w:rsidRPr="00221992">
        <w:rPr>
          <w:lang w:val="en-GB"/>
        </w:rPr>
        <w:t>. PHARMAC uses this approach to encourage competition between suppliers</w:t>
      </w:r>
      <w:r w:rsidR="00483C38" w:rsidRPr="00221992">
        <w:rPr>
          <w:lang w:val="en-GB"/>
        </w:rPr>
        <w:t>, including</w:t>
      </w:r>
      <w:r w:rsidRPr="00221992">
        <w:rPr>
          <w:lang w:val="en-GB"/>
        </w:rPr>
        <w:t xml:space="preserve"> </w:t>
      </w:r>
      <w:r w:rsidR="00551786">
        <w:rPr>
          <w:lang w:val="en-GB"/>
        </w:rPr>
        <w:t>‘</w:t>
      </w:r>
      <w:r w:rsidRPr="00221992">
        <w:rPr>
          <w:lang w:val="en-GB"/>
        </w:rPr>
        <w:t xml:space="preserve">bundling </w:t>
      </w:r>
      <w:r w:rsidR="00483C38" w:rsidRPr="00221992">
        <w:rPr>
          <w:lang w:val="en-GB"/>
        </w:rPr>
        <w:t>offers</w:t>
      </w:r>
      <w:r w:rsidR="00811A00" w:rsidRPr="00221992">
        <w:rPr>
          <w:lang w:val="en-GB"/>
        </w:rPr>
        <w:t>.</w:t>
      </w:r>
      <w:r w:rsidR="00551786">
        <w:rPr>
          <w:lang w:val="en-GB"/>
        </w:rPr>
        <w:t>’</w:t>
      </w:r>
      <w:r w:rsidRPr="00221992">
        <w:rPr>
          <w:lang w:val="en-GB"/>
        </w:rPr>
        <w:t xml:space="preserve"> Bundling may occur when a company has more than one drug to supply from which savings can be derived if the overall cost of the bundle is reduced. All bids </w:t>
      </w:r>
      <w:r w:rsidR="00483C38" w:rsidRPr="00221992">
        <w:rPr>
          <w:lang w:val="en-GB"/>
        </w:rPr>
        <w:t>are</w:t>
      </w:r>
      <w:r w:rsidRPr="00221992">
        <w:rPr>
          <w:lang w:val="en-GB"/>
        </w:rPr>
        <w:t xml:space="preserve"> considered and prioritised by PHARMAC </w:t>
      </w:r>
      <w:r w:rsidR="00CB4FC5">
        <w:rPr>
          <w:lang w:val="en-GB"/>
        </w:rPr>
        <w:t>according to</w:t>
      </w:r>
      <w:r w:rsidR="00CB4FC5" w:rsidRPr="00221992">
        <w:rPr>
          <w:lang w:val="en-GB"/>
        </w:rPr>
        <w:t xml:space="preserve"> </w:t>
      </w:r>
      <w:r w:rsidRPr="00221992">
        <w:rPr>
          <w:lang w:val="en-GB"/>
        </w:rPr>
        <w:t xml:space="preserve">the </w:t>
      </w:r>
      <w:r w:rsidR="00CB4FC5">
        <w:rPr>
          <w:lang w:val="en-GB"/>
        </w:rPr>
        <w:t xml:space="preserve">following </w:t>
      </w:r>
      <w:r w:rsidRPr="00221992">
        <w:rPr>
          <w:lang w:val="en-GB"/>
        </w:rPr>
        <w:t>criteria: 1) health need of the person; 2) availability and suitability of alternative treatments (</w:t>
      </w:r>
      <w:r w:rsidR="008A3C46">
        <w:rPr>
          <w:lang w:val="en-GB"/>
        </w:rPr>
        <w:t xml:space="preserve">i.e., </w:t>
      </w:r>
      <w:r w:rsidRPr="00221992">
        <w:rPr>
          <w:lang w:val="en-GB"/>
        </w:rPr>
        <w:t>drugs or others) and; 3) health needs of others</w:t>
      </w:r>
      <w:r w:rsidR="005903DF" w:rsidRPr="00221992">
        <w:rPr>
          <w:lang w:val="en-GB"/>
        </w:rPr>
        <w:t xml:space="preserve"> </w:t>
      </w:r>
      <w:r w:rsidRPr="00221992">
        <w:rPr>
          <w:lang w:val="en-GB"/>
        </w:rPr>
        <w:fldChar w:fldCharType="begin"/>
      </w:r>
      <w:r w:rsidR="00E5265C">
        <w:rPr>
          <w:lang w:val="en-GB"/>
        </w:rPr>
        <w:instrText xml:space="preserve"> ADDIN EN.CITE &lt;EndNote&gt;&lt;Cite&gt;&lt;Author&gt;PHARMAC&lt;/Author&gt;&lt;Year&gt;2014&lt;/Year&gt;&lt;RecNum&gt;532&lt;/RecNum&gt;&lt;DisplayText&gt;[132]&lt;/DisplayText&gt;&lt;record&gt;&lt;rec-number&gt;532&lt;/rec-number&gt;&lt;foreign-keys&gt;&lt;key app="EN" db-id="wzwwsfxe4peesxef95cxvrwjxts9rreasarf" timestamp="1692751953"&gt;532&lt;/key&gt;&lt;/foreign-keys&gt;&lt;ref-type name="Web Page"&gt;12&lt;/ref-type&gt;&lt;contributors&gt;&lt;authors&gt;&lt;author&gt;PHARMAC&lt;/author&gt;&lt;/authors&gt;&lt;/contributors&gt;&lt;titles&gt;&lt;title&gt;Contestable fund for medicines for rare disorders&lt;/title&gt;&lt;/titles&gt;&lt;number&gt;20/07/2023&lt;/number&gt;&lt;dates&gt;&lt;year&gt;2014&lt;/year&gt;&lt;/dates&gt;&lt;urls&gt;&lt;related-urls&gt;&lt;url&gt;https://pharmac.govt.nz/news-and-resources/consultations-and-decisions/contestable-fund-for-medicines-for-rare-disorders/&lt;/url&gt;&lt;/related-urls&gt;&lt;/urls&gt;&lt;/record&gt;&lt;/Cite&gt;&lt;/EndNote&gt;</w:instrText>
      </w:r>
      <w:r w:rsidRPr="00221992">
        <w:rPr>
          <w:lang w:val="en-GB"/>
        </w:rPr>
        <w:fldChar w:fldCharType="separate"/>
      </w:r>
      <w:r w:rsidR="00E5265C">
        <w:rPr>
          <w:noProof/>
          <w:lang w:val="en-GB"/>
        </w:rPr>
        <w:t>[132]</w:t>
      </w:r>
      <w:r w:rsidRPr="00221992">
        <w:rPr>
          <w:lang w:val="en-GB"/>
        </w:rPr>
        <w:fldChar w:fldCharType="end"/>
      </w:r>
      <w:r w:rsidRPr="00221992">
        <w:rPr>
          <w:lang w:val="en-GB"/>
        </w:rPr>
        <w:t>.</w:t>
      </w:r>
    </w:p>
    <w:p w14:paraId="74FE3D48" w14:textId="046D10E5" w:rsidR="00D65012" w:rsidRPr="00221992" w:rsidRDefault="003C0693" w:rsidP="00A42973">
      <w:pPr>
        <w:rPr>
          <w:lang w:val="en-GB"/>
        </w:rPr>
      </w:pPr>
      <w:r>
        <w:rPr>
          <w:lang w:val="en-GB"/>
        </w:rPr>
        <w:t xml:space="preserve">Internationally, </w:t>
      </w:r>
      <w:r w:rsidR="00D65012" w:rsidRPr="00221992">
        <w:rPr>
          <w:lang w:val="en-GB"/>
        </w:rPr>
        <w:t xml:space="preserve">special considerations </w:t>
      </w:r>
      <w:r>
        <w:rPr>
          <w:lang w:val="en-GB"/>
        </w:rPr>
        <w:t>typically seek to adress</w:t>
      </w:r>
      <w:r w:rsidR="00176FFE" w:rsidRPr="00221992">
        <w:rPr>
          <w:lang w:val="en-GB"/>
        </w:rPr>
        <w:t xml:space="preserve">: 1) </w:t>
      </w:r>
      <w:r w:rsidR="00D65012" w:rsidRPr="00221992">
        <w:rPr>
          <w:lang w:val="en-GB"/>
        </w:rPr>
        <w:t xml:space="preserve">greater uncertainty arising from </w:t>
      </w:r>
      <w:r>
        <w:rPr>
          <w:lang w:val="en-GB"/>
        </w:rPr>
        <w:t>limited</w:t>
      </w:r>
      <w:r w:rsidRPr="00221992">
        <w:rPr>
          <w:lang w:val="en-GB"/>
        </w:rPr>
        <w:t xml:space="preserve"> </w:t>
      </w:r>
      <w:r w:rsidR="00D65012" w:rsidRPr="00221992">
        <w:rPr>
          <w:lang w:val="en-GB"/>
        </w:rPr>
        <w:t>clinical evidence</w:t>
      </w:r>
      <w:r w:rsidR="00176FFE" w:rsidRPr="00221992">
        <w:rPr>
          <w:lang w:val="en-GB"/>
        </w:rPr>
        <w:t>;</w:t>
      </w:r>
      <w:r w:rsidR="00D65012" w:rsidRPr="00221992">
        <w:rPr>
          <w:lang w:val="en-GB"/>
        </w:rPr>
        <w:t xml:space="preserve"> </w:t>
      </w:r>
      <w:r w:rsidR="00176FFE" w:rsidRPr="00221992">
        <w:rPr>
          <w:lang w:val="en-GB"/>
        </w:rPr>
        <w:t>2)</w:t>
      </w:r>
      <w:r w:rsidR="00D65012" w:rsidRPr="00221992">
        <w:rPr>
          <w:lang w:val="en-GB"/>
        </w:rPr>
        <w:t xml:space="preserve"> impact</w:t>
      </w:r>
      <w:r>
        <w:rPr>
          <w:lang w:val="en-GB"/>
        </w:rPr>
        <w:t>s</w:t>
      </w:r>
      <w:r w:rsidR="00D65012" w:rsidRPr="00221992">
        <w:rPr>
          <w:lang w:val="en-GB"/>
        </w:rPr>
        <w:t xml:space="preserve"> beyond health </w:t>
      </w:r>
      <w:r w:rsidR="001D7A9A" w:rsidRPr="00221992">
        <w:rPr>
          <w:lang w:val="en-GB"/>
        </w:rPr>
        <w:t>and efficiency</w:t>
      </w:r>
      <w:r w:rsidR="00D649E3" w:rsidRPr="00221992">
        <w:rPr>
          <w:lang w:val="en-GB"/>
        </w:rPr>
        <w:t>; 3)</w:t>
      </w:r>
      <w:r w:rsidR="00D65012" w:rsidRPr="00221992">
        <w:rPr>
          <w:lang w:val="en-GB"/>
        </w:rPr>
        <w:t xml:space="preserve"> differences in terms of stakeholder involvement in the recommendation phase</w:t>
      </w:r>
      <w:r w:rsidR="00D649E3" w:rsidRPr="00221992">
        <w:rPr>
          <w:lang w:val="en-GB"/>
        </w:rPr>
        <w:t>;</w:t>
      </w:r>
      <w:r w:rsidR="00D65012" w:rsidRPr="00221992">
        <w:rPr>
          <w:lang w:val="en-GB"/>
        </w:rPr>
        <w:t xml:space="preserve"> </w:t>
      </w:r>
      <w:r w:rsidR="00D649E3" w:rsidRPr="00221992">
        <w:rPr>
          <w:lang w:val="en-GB"/>
        </w:rPr>
        <w:t>4) early access;</w:t>
      </w:r>
      <w:r w:rsidR="00D65012" w:rsidRPr="00221992">
        <w:rPr>
          <w:lang w:val="en-GB"/>
        </w:rPr>
        <w:t xml:space="preserve"> and </w:t>
      </w:r>
      <w:r w:rsidR="00D649E3" w:rsidRPr="00221992">
        <w:rPr>
          <w:lang w:val="en-GB"/>
        </w:rPr>
        <w:t xml:space="preserve">5) </w:t>
      </w:r>
      <w:r w:rsidR="00D65012" w:rsidRPr="00221992">
        <w:rPr>
          <w:lang w:val="en-GB"/>
        </w:rPr>
        <w:t>exemption</w:t>
      </w:r>
      <w:r>
        <w:rPr>
          <w:lang w:val="en-GB"/>
        </w:rPr>
        <w:t>s</w:t>
      </w:r>
      <w:r w:rsidR="00D65012" w:rsidRPr="00221992">
        <w:rPr>
          <w:lang w:val="en-GB"/>
        </w:rPr>
        <w:t xml:space="preserve"> </w:t>
      </w:r>
      <w:r>
        <w:rPr>
          <w:lang w:val="en-GB"/>
        </w:rPr>
        <w:t>to</w:t>
      </w:r>
      <w:r w:rsidRPr="00221992">
        <w:rPr>
          <w:lang w:val="en-GB"/>
        </w:rPr>
        <w:t xml:space="preserve"> </w:t>
      </w:r>
      <w:r w:rsidR="00711556">
        <w:rPr>
          <w:lang w:val="en-GB"/>
        </w:rPr>
        <w:t>cost</w:t>
      </w:r>
      <w:r w:rsidR="00CB4FC5">
        <w:rPr>
          <w:lang w:val="en-GB"/>
        </w:rPr>
        <w:t>-</w:t>
      </w:r>
      <w:r w:rsidR="00711556">
        <w:rPr>
          <w:lang w:val="en-GB"/>
        </w:rPr>
        <w:t>effectiveness</w:t>
      </w:r>
      <w:r>
        <w:rPr>
          <w:lang w:val="en-GB"/>
        </w:rPr>
        <w:t xml:space="preserve"> criteria</w:t>
      </w:r>
      <w:r w:rsidR="00D65012" w:rsidRPr="00221992">
        <w:rPr>
          <w:lang w:val="en-GB"/>
        </w:rPr>
        <w:t xml:space="preserve">. </w:t>
      </w:r>
    </w:p>
    <w:p w14:paraId="3896F764" w14:textId="5140D46C" w:rsidR="00C603CE" w:rsidRPr="001828DF" w:rsidRDefault="00D65012" w:rsidP="00957584">
      <w:pPr>
        <w:pStyle w:val="ListParagraph"/>
        <w:numPr>
          <w:ilvl w:val="0"/>
          <w:numId w:val="48"/>
        </w:numPr>
        <w:rPr>
          <w:lang w:val="en-GB"/>
        </w:rPr>
      </w:pPr>
      <w:bookmarkStart w:id="140" w:name="_Toc142742670"/>
      <w:r w:rsidRPr="00221992">
        <w:rPr>
          <w:lang w:val="en-GB"/>
        </w:rPr>
        <w:t>Greater uncertainty</w:t>
      </w:r>
      <w:bookmarkEnd w:id="140"/>
      <w:r w:rsidR="002B551F" w:rsidRPr="00221992">
        <w:rPr>
          <w:lang w:val="en-GB"/>
        </w:rPr>
        <w:t>—</w:t>
      </w:r>
      <w:r w:rsidRPr="00221992">
        <w:rPr>
          <w:lang w:val="en-GB"/>
        </w:rPr>
        <w:t>As a way to tackle the greater uncertainty in the clinical and economic evidence, countries  have implemented less stringent clinical evidence requirements</w:t>
      </w:r>
      <w:r w:rsidR="000E4326">
        <w:rPr>
          <w:lang w:val="en-GB"/>
        </w:rPr>
        <w:t>,</w:t>
      </w:r>
      <w:r w:rsidRPr="00221992">
        <w:rPr>
          <w:lang w:val="en-GB"/>
        </w:rPr>
        <w:t xml:space="preserve"> </w:t>
      </w:r>
      <w:r w:rsidR="000E4326">
        <w:rPr>
          <w:lang w:val="en-GB"/>
        </w:rPr>
        <w:t>allow for</w:t>
      </w:r>
      <w:r w:rsidRPr="00221992">
        <w:rPr>
          <w:lang w:val="en-GB"/>
        </w:rPr>
        <w:t xml:space="preserve"> </w:t>
      </w:r>
      <w:r w:rsidR="000E4326">
        <w:rPr>
          <w:lang w:val="en-GB"/>
        </w:rPr>
        <w:t>greater</w:t>
      </w:r>
      <w:r w:rsidR="000E4326" w:rsidRPr="00221992">
        <w:rPr>
          <w:lang w:val="en-GB"/>
        </w:rPr>
        <w:t xml:space="preserve"> </w:t>
      </w:r>
      <w:r w:rsidRPr="00221992">
        <w:rPr>
          <w:lang w:val="en-GB"/>
        </w:rPr>
        <w:t xml:space="preserve">flexibility in the use of surrogate endpoints </w:t>
      </w:r>
      <w:r w:rsidR="000E4326">
        <w:rPr>
          <w:lang w:val="en-GB"/>
        </w:rPr>
        <w:t xml:space="preserve">and </w:t>
      </w:r>
      <w:r w:rsidR="002E22F2">
        <w:rPr>
          <w:lang w:val="en-GB"/>
        </w:rPr>
        <w:t xml:space="preserve">have implemented </w:t>
      </w:r>
      <w:r w:rsidR="00260B6F">
        <w:rPr>
          <w:lang w:val="en-GB"/>
        </w:rPr>
        <w:t>MEAs</w:t>
      </w:r>
      <w:r w:rsidR="000E4326">
        <w:rPr>
          <w:lang w:val="en-GB"/>
        </w:rPr>
        <w:t>,</w:t>
      </w:r>
      <w:r w:rsidR="002E22F2">
        <w:rPr>
          <w:lang w:val="en-GB"/>
        </w:rPr>
        <w:t xml:space="preserve"> </w:t>
      </w:r>
      <w:r w:rsidR="000E4326">
        <w:rPr>
          <w:lang w:val="en-GB"/>
        </w:rPr>
        <w:t xml:space="preserve">including </w:t>
      </w:r>
      <w:r w:rsidR="002E22F2">
        <w:rPr>
          <w:lang w:val="en-GB"/>
        </w:rPr>
        <w:t>conditional listing with data collection requirements</w:t>
      </w:r>
      <w:r w:rsidRPr="00221992">
        <w:rPr>
          <w:lang w:val="en-GB"/>
        </w:rPr>
        <w:t xml:space="preserve">. </w:t>
      </w:r>
    </w:p>
    <w:p w14:paraId="2DBF930B" w14:textId="2F91B94D" w:rsidR="00E40B65" w:rsidRPr="00221992" w:rsidRDefault="00E40B65" w:rsidP="00AA37EB">
      <w:pPr>
        <w:ind w:left="426"/>
        <w:rPr>
          <w:lang w:val="en-GB"/>
        </w:rPr>
      </w:pPr>
      <w:r w:rsidRPr="00221992">
        <w:rPr>
          <w:u w:val="single"/>
          <w:lang w:val="en-GB"/>
        </w:rPr>
        <w:t>Less stringent evidentiary requirements</w:t>
      </w:r>
      <w:r w:rsidRPr="00221992">
        <w:rPr>
          <w:lang w:val="en-GB"/>
        </w:rPr>
        <w:t xml:space="preserve"> have been made explicit by some countries acknowledging the difficulties of conducting clinical research in rare diseases. Sweden explicitly state</w:t>
      </w:r>
      <w:r w:rsidR="00E5346B">
        <w:rPr>
          <w:lang w:val="en-GB"/>
        </w:rPr>
        <w:t>s</w:t>
      </w:r>
      <w:r w:rsidRPr="00221992">
        <w:rPr>
          <w:lang w:val="en-GB"/>
        </w:rPr>
        <w:t xml:space="preserve"> that greater uncertainty is accepted if there is no possib</w:t>
      </w:r>
      <w:r w:rsidR="00E5346B">
        <w:rPr>
          <w:lang w:val="en-GB"/>
        </w:rPr>
        <w:t>ility</w:t>
      </w:r>
      <w:r w:rsidRPr="00221992">
        <w:rPr>
          <w:lang w:val="en-GB"/>
        </w:rPr>
        <w:t xml:space="preserve"> of acquiring data (</w:t>
      </w:r>
      <w:r w:rsidR="008A3C46">
        <w:rPr>
          <w:lang w:val="en-GB"/>
        </w:rPr>
        <w:t xml:space="preserve">e.g., </w:t>
      </w:r>
      <w:r w:rsidRPr="00221992">
        <w:rPr>
          <w:lang w:val="en-GB"/>
        </w:rPr>
        <w:t>due to a small patient group)</w:t>
      </w:r>
      <w:r w:rsidR="005903DF" w:rsidRPr="00221992">
        <w:rPr>
          <w:lang w:val="en-GB"/>
        </w:rPr>
        <w:t xml:space="preserve"> </w:t>
      </w:r>
      <w:r w:rsidRPr="00221992">
        <w:rPr>
          <w:lang w:val="en-GB"/>
        </w:rPr>
        <w:fldChar w:fldCharType="begin"/>
      </w:r>
      <w:r w:rsidR="00E5265C">
        <w:rPr>
          <w:lang w:val="en-GB"/>
        </w:rPr>
        <w:instrText xml:space="preserve"> ADDIN EN.CITE &lt;EndNote&gt;&lt;Cite&gt;&lt;Author&gt;Adkins&lt;/Author&gt;&lt;Year&gt;2017&lt;/Year&gt;&lt;RecNum&gt;20850&lt;/RecNum&gt;&lt;DisplayText&gt;[138]&lt;/DisplayText&gt;&lt;record&gt;&lt;rec-number&gt;20850&lt;/rec-number&gt;&lt;foreign-keys&gt;&lt;key app="EN" db-id="etpte9adcdfve1eerz5pws2fvps522ds5svf" timestamp="1692751933" guid="e0ffcb7a-6356-43a1-9440-1157ee26670b"&gt;20850&lt;/key&gt;&lt;/foreign-keys&gt;&lt;ref-type name="Journal Article"&gt;17&lt;/ref-type&gt;&lt;contributors&gt;&lt;authors&gt;&lt;author&gt;Adkins, E. M.&lt;/author&gt;&lt;author&gt;Nicholson, L.&lt;/author&gt;&lt;author&gt;Floyd, D.&lt;/author&gt;&lt;author&gt;Ratcliffe, M.&lt;/author&gt;&lt;author&gt;Chevrou-Severac, H.&lt;/author&gt;&lt;/authors&gt;&lt;/contributors&gt;&lt;auth-address&gt;PHMR, London, UK.&amp;#xD;Takeda Pharmaceuticals AG, Zurich, Switzerland.&lt;/auth-address&gt;&lt;titles&gt;&lt;title&gt;Oncology drugs for orphan indications: how are HTA processes evolving for this specific drug category?&lt;/title&gt;&lt;secondary-title&gt;Clinicoecon Outcomes Res&lt;/secondary-title&gt;&lt;/titles&gt;&lt;periodical&gt;&lt;full-title&gt;Clinicoecon Outcomes Res&lt;/full-title&gt;&lt;/periodical&gt;&lt;pages&gt;327-342&lt;/pages&gt;&lt;volume&gt;9&lt;/volume&gt;&lt;edition&gt;2017/06/28&lt;/edition&gt;&lt;keywords&gt;&lt;keyword&gt;health technology assessment&lt;/keyword&gt;&lt;keyword&gt;oncology&lt;/keyword&gt;&lt;keyword&gt;orphan drugs&lt;/keyword&gt;&lt;keyword&gt;rare cancers&lt;/keyword&gt;&lt;/keywords&gt;&lt;dates&gt;&lt;year&gt;2017&lt;/year&gt;&lt;/dates&gt;&lt;isbn&gt;1178-6981 (Print)&amp;#xD;1178-6981&lt;/isbn&gt;&lt;accession-num&gt;28652787&lt;/accession-num&gt;&lt;urls&gt;&lt;/urls&gt;&lt;custom2&gt;PMC5473500&lt;/custom2&gt;&lt;electronic-resource-num&gt;10.2147/ceor.S134230&lt;/electronic-resource-num&gt;&lt;remote-database-provider&gt;NLM&lt;/remote-database-provider&gt;&lt;language&gt;eng&lt;/language&gt;&lt;/record&gt;&lt;/Cite&gt;&lt;/EndNote&gt;</w:instrText>
      </w:r>
      <w:r w:rsidRPr="00221992">
        <w:rPr>
          <w:lang w:val="en-GB"/>
        </w:rPr>
        <w:fldChar w:fldCharType="separate"/>
      </w:r>
      <w:r w:rsidR="00E5265C">
        <w:rPr>
          <w:noProof/>
          <w:lang w:val="en-GB"/>
        </w:rPr>
        <w:t>[138]</w:t>
      </w:r>
      <w:r w:rsidRPr="00221992">
        <w:rPr>
          <w:lang w:val="en-GB"/>
        </w:rPr>
        <w:fldChar w:fldCharType="end"/>
      </w:r>
      <w:r w:rsidRPr="00221992">
        <w:rPr>
          <w:lang w:val="en-GB"/>
        </w:rPr>
        <w:t xml:space="preserve">. Belgium and Germany </w:t>
      </w:r>
      <w:r w:rsidR="00E5346B">
        <w:rPr>
          <w:lang w:val="en-GB"/>
        </w:rPr>
        <w:t xml:space="preserve">do not require </w:t>
      </w:r>
      <w:r w:rsidRPr="00221992">
        <w:rPr>
          <w:lang w:val="en-GB"/>
        </w:rPr>
        <w:t>comparative evidence (</w:t>
      </w:r>
      <w:r w:rsidR="008A3C46">
        <w:rPr>
          <w:lang w:val="en-GB"/>
        </w:rPr>
        <w:t xml:space="preserve">i.e., </w:t>
      </w:r>
      <w:r w:rsidRPr="00221992">
        <w:rPr>
          <w:lang w:val="en-GB"/>
        </w:rPr>
        <w:t>RCTs</w:t>
      </w:r>
      <w:r w:rsidR="00E5346B">
        <w:rPr>
          <w:lang w:val="en-GB"/>
        </w:rPr>
        <w:t>, including with</w:t>
      </w:r>
      <w:r w:rsidR="00B75A46" w:rsidRPr="00221992">
        <w:rPr>
          <w:lang w:val="en-GB"/>
        </w:rPr>
        <w:t xml:space="preserve"> surrogate endpoints)</w:t>
      </w:r>
      <w:r w:rsidRPr="00221992">
        <w:rPr>
          <w:lang w:val="en-GB"/>
        </w:rPr>
        <w:t xml:space="preserve"> in submissions for rare diseases. Norway explicit</w:t>
      </w:r>
      <w:r w:rsidR="00E5346B">
        <w:rPr>
          <w:lang w:val="en-GB"/>
        </w:rPr>
        <w:t>ly</w:t>
      </w:r>
      <w:r w:rsidRPr="00221992">
        <w:rPr>
          <w:lang w:val="en-GB"/>
        </w:rPr>
        <w:t xml:space="preserve"> stat</w:t>
      </w:r>
      <w:r w:rsidR="00E5346B">
        <w:rPr>
          <w:lang w:val="en-GB"/>
        </w:rPr>
        <w:t>es</w:t>
      </w:r>
      <w:r w:rsidRPr="00221992">
        <w:rPr>
          <w:lang w:val="en-GB"/>
        </w:rPr>
        <w:t xml:space="preserve"> that lower level of evidence can be accepted. To ensure that the applicant submits appropriate documentation, NOMA recommends a pre-submission meeting</w:t>
      </w:r>
      <w:r w:rsidR="005903DF" w:rsidRPr="00221992">
        <w:rPr>
          <w:lang w:val="en-GB"/>
        </w:rPr>
        <w:t xml:space="preserve"> </w:t>
      </w:r>
      <w:r w:rsidRPr="00221992">
        <w:rPr>
          <w:lang w:val="en-GB"/>
        </w:rPr>
        <w:fldChar w:fldCharType="begin"/>
      </w:r>
      <w:r w:rsidR="00E5265C">
        <w:rPr>
          <w:lang w:val="en-GB"/>
        </w:rPr>
        <w:instrText xml:space="preserve"> ADDIN EN.CITE &lt;EndNote&gt;&lt;Cite&gt;&lt;Author&gt;Norwegian Medicines Agency&lt;/Author&gt;&lt;Year&gt;2019&lt;/Year&gt;&lt;RecNum&gt;25670&lt;/RecNum&gt;&lt;DisplayText&gt;[139]&lt;/DisplayText&gt;&lt;record&gt;&lt;rec-number&gt;25670&lt;/rec-number&gt;&lt;foreign-keys&gt;&lt;key app="EN" db-id="wvwf2ewpevpr0oer0zmxwpzrwvev5pwf925p" timestamp="1691561441" guid="9eb34c8a-98e1-4d8a-bb04-927e740c3ae6"&gt;25670&lt;/key&gt;&lt;/foreign-keys&gt;&lt;ref-type name="Web Page"&gt;12&lt;/ref-type&gt;&lt;contributors&gt;&lt;authors&gt;&lt;author&gt; Norwegian Medicines Agency, &lt;/author&gt;&lt;/authors&gt;&lt;/contributors&gt;&lt;titles&gt;&lt;title&gt;Access to pharmaceuticals for very small patient groups with extremely severe conditions&lt;/title&gt;&lt;/titles&gt;&lt;number&gt;21/07/2023&lt;/number&gt;&lt;dates&gt;&lt;year&gt;2019&lt;/year&gt;&lt;/dates&gt;&lt;urls&gt;&lt;related-urls&gt;&lt;url&gt;https://legemiddelverket.no/english/public-funding-and-pricing/documentation-for-sta/access-to-pharmaceuticals-for-very-small-patient-groups-with-extremely-severe-conditions&lt;/url&gt;&lt;/related-urls&gt;&lt;/urls&gt;&lt;/record&gt;&lt;/Cite&gt;&lt;/EndNote&gt;</w:instrText>
      </w:r>
      <w:r w:rsidRPr="00221992">
        <w:rPr>
          <w:lang w:val="en-GB"/>
        </w:rPr>
        <w:fldChar w:fldCharType="separate"/>
      </w:r>
      <w:r w:rsidR="00E5265C">
        <w:rPr>
          <w:noProof/>
          <w:lang w:val="en-GB"/>
        </w:rPr>
        <w:t>[139]</w:t>
      </w:r>
      <w:r w:rsidRPr="00221992">
        <w:rPr>
          <w:lang w:val="en-GB"/>
        </w:rPr>
        <w:fldChar w:fldCharType="end"/>
      </w:r>
      <w:r w:rsidRPr="00221992">
        <w:rPr>
          <w:lang w:val="en-GB"/>
        </w:rPr>
        <w:t xml:space="preserve">. </w:t>
      </w:r>
      <w:r w:rsidR="00E5346B">
        <w:rPr>
          <w:lang w:val="en-GB"/>
        </w:rPr>
        <w:t>I</w:t>
      </w:r>
      <w:r w:rsidRPr="00221992">
        <w:rPr>
          <w:lang w:val="en-GB"/>
        </w:rPr>
        <w:t>n the Netherlands</w:t>
      </w:r>
      <w:r w:rsidR="00E5346B">
        <w:rPr>
          <w:lang w:val="en-GB"/>
        </w:rPr>
        <w:t>,</w:t>
      </w:r>
      <w:r w:rsidRPr="00221992">
        <w:rPr>
          <w:lang w:val="en-GB"/>
        </w:rPr>
        <w:t xml:space="preserve"> </w:t>
      </w:r>
      <w:r w:rsidR="00E5346B">
        <w:rPr>
          <w:lang w:val="en-GB"/>
        </w:rPr>
        <w:t>reduced evidentiary requirements and greater</w:t>
      </w:r>
      <w:r w:rsidR="00E5346B" w:rsidRPr="00221992">
        <w:rPr>
          <w:lang w:val="en-GB"/>
        </w:rPr>
        <w:t xml:space="preserve"> </w:t>
      </w:r>
      <w:r w:rsidRPr="00221992">
        <w:rPr>
          <w:lang w:val="en-GB"/>
        </w:rPr>
        <w:t>uncertainty may be accepted if sufficient</w:t>
      </w:r>
      <w:r w:rsidR="00E5346B">
        <w:rPr>
          <w:lang w:val="en-GB"/>
        </w:rPr>
        <w:t>ly</w:t>
      </w:r>
      <w:r w:rsidRPr="00221992">
        <w:rPr>
          <w:lang w:val="en-GB"/>
        </w:rPr>
        <w:t xml:space="preserve"> justifi</w:t>
      </w:r>
      <w:r w:rsidR="00E5346B">
        <w:rPr>
          <w:lang w:val="en-GB"/>
        </w:rPr>
        <w:t xml:space="preserve">ed </w:t>
      </w:r>
      <w:r w:rsidRPr="00221992">
        <w:rPr>
          <w:lang w:val="en-GB"/>
        </w:rPr>
        <w:fldChar w:fldCharType="begin"/>
      </w:r>
      <w:r w:rsidR="00E5265C">
        <w:rPr>
          <w:lang w:val="en-GB"/>
        </w:rPr>
        <w:instrText xml:space="preserve"> ADDIN EN.CITE &lt;EndNote&gt;&lt;Cite&gt;&lt;Author&gt;Whittal&lt;/Author&gt;&lt;Year&gt;2021&lt;/Year&gt;&lt;RecNum&gt;20960&lt;/RecNum&gt;&lt;DisplayText&gt;[140]&lt;/DisplayText&gt;&lt;record&gt;&lt;rec-number&gt;20960&lt;/rec-number&gt;&lt;foreign-keys&gt;&lt;key app="EN" db-id="etpte9adcdfve1eerz5pws2fvps522ds5svf" timestamp="1692751934" guid="cb2e1f31-af9c-4b54-89bf-92570dc2d991"&gt;20960&lt;/key&gt;&lt;/foreign-keys&gt;&lt;ref-type name="Journal Article"&gt;17&lt;/ref-type&gt;&lt;contributors&gt;&lt;authors&gt;&lt;author&gt;Whittal, A.&lt;/author&gt;&lt;author&gt;Nicod, E.&lt;/author&gt;&lt;author&gt;Drummond, M.&lt;/author&gt;&lt;author&gt;Facey, K.&lt;/author&gt;&lt;/authors&gt;&lt;/contributors&gt;&lt;titles&gt;&lt;title&gt;Examining the impact of different country processes for appraising rare disease treatments: a case study analysis&lt;/title&gt;&lt;secondary-title&gt;INTERNATIONAL JOURNAL OF TECHNOLOGY ASSESSMENT IN HEALTH CARE&lt;/secondary-title&gt;&lt;/titles&gt;&lt;periodical&gt;&lt;full-title&gt;Int J Technol Assess Health Care&lt;/full-title&gt;&lt;abbr-1&gt;International journal of technology assessment in health care&lt;/abbr-1&gt;&lt;/periodical&gt;&lt;volume&gt;37&lt;/volume&gt;&lt;number&gt;1&lt;/number&gt;&lt;dates&gt;&lt;year&gt;2021&lt;/year&gt;&lt;pub-dates&gt;&lt;date&gt;MAY 28&lt;/date&gt;&lt;/pub-dates&gt;&lt;/dates&gt;&lt;isbn&gt;0266-4623&amp;#xD;1471-6348&lt;/isbn&gt;&lt;accession-num&gt;WOS:000655594100001&lt;/accession-num&gt;&lt;urls&gt;&lt;/urls&gt;&lt;electronic-resource-num&gt;10.1017/S0266462321000337&lt;/electronic-resource-num&gt;&lt;research-notes&gt;I. R. V. C&lt;/research-notes&gt;&lt;/record&gt;&lt;/Cite&gt;&lt;/EndNote&gt;</w:instrText>
      </w:r>
      <w:r w:rsidRPr="00221992">
        <w:rPr>
          <w:lang w:val="en-GB"/>
        </w:rPr>
        <w:fldChar w:fldCharType="separate"/>
      </w:r>
      <w:r w:rsidR="00E5265C">
        <w:rPr>
          <w:noProof/>
          <w:lang w:val="en-GB"/>
        </w:rPr>
        <w:t>[140]</w:t>
      </w:r>
      <w:r w:rsidRPr="00221992">
        <w:rPr>
          <w:lang w:val="en-GB"/>
        </w:rPr>
        <w:fldChar w:fldCharType="end"/>
      </w:r>
      <w:r w:rsidRPr="00221992">
        <w:rPr>
          <w:lang w:val="en-GB"/>
        </w:rPr>
        <w:t xml:space="preserve">. In Scotland, the evaluation </w:t>
      </w:r>
      <w:r w:rsidR="00E5346B">
        <w:rPr>
          <w:lang w:val="en-GB"/>
        </w:rPr>
        <w:t>of</w:t>
      </w:r>
      <w:r w:rsidRPr="00221992">
        <w:rPr>
          <w:lang w:val="en-GB"/>
        </w:rPr>
        <w:t xml:space="preserve"> ultra-orphan drugs acknowledges the </w:t>
      </w:r>
      <w:r w:rsidR="00E5346B">
        <w:rPr>
          <w:lang w:val="en-GB"/>
        </w:rPr>
        <w:t>paucity</w:t>
      </w:r>
      <w:r w:rsidR="00E5346B" w:rsidRPr="00221992">
        <w:rPr>
          <w:lang w:val="en-GB"/>
        </w:rPr>
        <w:t xml:space="preserve"> </w:t>
      </w:r>
      <w:r w:rsidRPr="00221992">
        <w:rPr>
          <w:lang w:val="en-GB"/>
        </w:rPr>
        <w:t>and lower quality of clinical evidence aris</w:t>
      </w:r>
      <w:r w:rsidR="00E5346B">
        <w:rPr>
          <w:lang w:val="en-GB"/>
        </w:rPr>
        <w:t>ing</w:t>
      </w:r>
      <w:r w:rsidRPr="00221992">
        <w:rPr>
          <w:lang w:val="en-GB"/>
        </w:rPr>
        <w:t xml:space="preserve"> from low patient numbers. </w:t>
      </w:r>
      <w:r w:rsidR="00E5346B">
        <w:rPr>
          <w:lang w:val="en-GB"/>
        </w:rPr>
        <w:t>T</w:t>
      </w:r>
      <w:r w:rsidRPr="00221992">
        <w:rPr>
          <w:lang w:val="en-GB"/>
        </w:rPr>
        <w:t xml:space="preserve">he SMC </w:t>
      </w:r>
      <w:r w:rsidR="00E5346B">
        <w:rPr>
          <w:lang w:val="en-GB"/>
        </w:rPr>
        <w:t xml:space="preserve">therefore </w:t>
      </w:r>
      <w:r w:rsidRPr="00221992">
        <w:rPr>
          <w:lang w:val="en-GB"/>
        </w:rPr>
        <w:t xml:space="preserve">accepts a greater level of uncertainty in the economic evidence </w:t>
      </w:r>
      <w:r w:rsidR="00E5346B">
        <w:rPr>
          <w:lang w:val="en-GB"/>
        </w:rPr>
        <w:t>and</w:t>
      </w:r>
      <w:r w:rsidR="00E5346B" w:rsidRPr="00221992">
        <w:rPr>
          <w:lang w:val="en-GB"/>
        </w:rPr>
        <w:t xml:space="preserve"> </w:t>
      </w:r>
      <w:r w:rsidRPr="00221992">
        <w:rPr>
          <w:lang w:val="en-GB"/>
        </w:rPr>
        <w:t>consider</w:t>
      </w:r>
      <w:r w:rsidR="00E5346B">
        <w:rPr>
          <w:lang w:val="en-GB"/>
        </w:rPr>
        <w:t>ers</w:t>
      </w:r>
      <w:r w:rsidRPr="00221992">
        <w:rPr>
          <w:lang w:val="en-GB"/>
        </w:rPr>
        <w:t xml:space="preserve"> </w:t>
      </w:r>
      <w:r w:rsidR="00E5346B">
        <w:rPr>
          <w:lang w:val="en-GB"/>
        </w:rPr>
        <w:t>additional</w:t>
      </w:r>
      <w:r w:rsidR="00E5346B" w:rsidRPr="00221992">
        <w:rPr>
          <w:lang w:val="en-GB"/>
        </w:rPr>
        <w:t xml:space="preserve"> </w:t>
      </w:r>
      <w:r w:rsidRPr="00221992">
        <w:rPr>
          <w:lang w:val="en-GB"/>
        </w:rPr>
        <w:t>criteria</w:t>
      </w:r>
      <w:r w:rsidR="00E5346B">
        <w:rPr>
          <w:lang w:val="en-GB"/>
        </w:rPr>
        <w:t>,</w:t>
      </w:r>
      <w:r w:rsidRPr="00221992">
        <w:rPr>
          <w:lang w:val="en-GB"/>
        </w:rPr>
        <w:t xml:space="preserve"> </w:t>
      </w:r>
      <w:r w:rsidR="00E5346B">
        <w:rPr>
          <w:lang w:val="en-GB"/>
        </w:rPr>
        <w:t>including</w:t>
      </w:r>
      <w:r w:rsidRPr="00221992">
        <w:rPr>
          <w:lang w:val="en-GB"/>
        </w:rPr>
        <w:t xml:space="preserve">: the life-threatening nature of the condition, the </w:t>
      </w:r>
      <w:r w:rsidR="00E5346B">
        <w:rPr>
          <w:lang w:val="en-GB"/>
        </w:rPr>
        <w:t xml:space="preserve">extent to which the </w:t>
      </w:r>
      <w:r w:rsidRPr="00221992">
        <w:rPr>
          <w:lang w:val="en-GB"/>
        </w:rPr>
        <w:t xml:space="preserve">drug substantially increases life expectancy or quality of life, </w:t>
      </w:r>
      <w:r w:rsidR="00E5346B">
        <w:rPr>
          <w:lang w:val="en-GB"/>
        </w:rPr>
        <w:t xml:space="preserve">ability of </w:t>
      </w:r>
      <w:r w:rsidRPr="00221992">
        <w:rPr>
          <w:lang w:val="en-GB"/>
        </w:rPr>
        <w:t xml:space="preserve">the drug </w:t>
      </w:r>
      <w:r w:rsidR="00E5346B">
        <w:rPr>
          <w:lang w:val="en-GB"/>
        </w:rPr>
        <w:t>to</w:t>
      </w:r>
      <w:r w:rsidR="00E5346B" w:rsidRPr="00221992">
        <w:rPr>
          <w:lang w:val="en-GB"/>
        </w:rPr>
        <w:t xml:space="preserve"> </w:t>
      </w:r>
      <w:r w:rsidRPr="00221992">
        <w:rPr>
          <w:lang w:val="en-GB"/>
        </w:rPr>
        <w:t>reverse</w:t>
      </w:r>
      <w:r w:rsidR="00E5346B">
        <w:rPr>
          <w:lang w:val="en-GB"/>
        </w:rPr>
        <w:t>—</w:t>
      </w:r>
      <w:r w:rsidRPr="00221992">
        <w:rPr>
          <w:lang w:val="en-GB"/>
        </w:rPr>
        <w:t xml:space="preserve">rather than </w:t>
      </w:r>
      <w:r w:rsidR="00E5346B">
        <w:rPr>
          <w:lang w:val="en-GB"/>
        </w:rPr>
        <w:t xml:space="preserve">merely </w:t>
      </w:r>
      <w:r w:rsidRPr="00221992">
        <w:rPr>
          <w:lang w:val="en-GB"/>
        </w:rPr>
        <w:t>stabilise</w:t>
      </w:r>
      <w:r w:rsidR="00E5346B">
        <w:rPr>
          <w:lang w:val="en-GB"/>
        </w:rPr>
        <w:t>—</w:t>
      </w:r>
      <w:r w:rsidRPr="00221992">
        <w:rPr>
          <w:lang w:val="en-GB"/>
        </w:rPr>
        <w:t xml:space="preserve">a condition, </w:t>
      </w:r>
      <w:r w:rsidR="00E5346B">
        <w:rPr>
          <w:lang w:val="en-GB"/>
        </w:rPr>
        <w:t>or</w:t>
      </w:r>
      <w:r w:rsidR="00E5346B" w:rsidRPr="00221992">
        <w:rPr>
          <w:lang w:val="en-GB"/>
        </w:rPr>
        <w:t xml:space="preserve"> </w:t>
      </w:r>
      <w:r w:rsidRPr="00221992">
        <w:rPr>
          <w:lang w:val="en-GB"/>
        </w:rPr>
        <w:t>the drug</w:t>
      </w:r>
      <w:r w:rsidR="00E5346B">
        <w:rPr>
          <w:lang w:val="en-GB"/>
        </w:rPr>
        <w:t>’s</w:t>
      </w:r>
      <w:r w:rsidRPr="00221992">
        <w:rPr>
          <w:lang w:val="en-GB"/>
        </w:rPr>
        <w:t xml:space="preserve"> </w:t>
      </w:r>
      <w:r w:rsidR="00E5346B">
        <w:rPr>
          <w:lang w:val="en-GB"/>
        </w:rPr>
        <w:t xml:space="preserve">potential </w:t>
      </w:r>
      <w:r w:rsidRPr="00221992">
        <w:rPr>
          <w:lang w:val="en-GB"/>
        </w:rPr>
        <w:t>as a bridge to definitive treatment</w:t>
      </w:r>
      <w:r w:rsidR="005903DF" w:rsidRPr="00221992">
        <w:rPr>
          <w:lang w:val="en-GB"/>
        </w:rPr>
        <w:t xml:space="preserve"> </w:t>
      </w:r>
      <w:r w:rsidRPr="00221992">
        <w:rPr>
          <w:lang w:val="en-GB"/>
        </w:rPr>
        <w:fldChar w:fldCharType="begin"/>
      </w:r>
      <w:r w:rsidR="00E5265C">
        <w:rPr>
          <w:lang w:val="en-GB"/>
        </w:rPr>
        <w:instrText xml:space="preserve"> ADDIN EN.CITE &lt;EndNote&gt;&lt;Cite&gt;&lt;Author&gt;Scottish Medicines Consortium&lt;/Author&gt;&lt;Year&gt;2012&lt;/Year&gt;&lt;RecNum&gt;523&lt;/RecNum&gt;&lt;DisplayText&gt;[141]&lt;/DisplayText&gt;&lt;record&gt;&lt;rec-number&gt;523&lt;/rec-number&gt;&lt;foreign-keys&gt;&lt;key app="EN" db-id="wzwwsfxe4peesxef95cxvrwjxts9rreasarf" timestamp="1692751953"&gt;523&lt;/key&gt;&lt;/foreign-keys&gt;&lt;ref-type name="Web Page"&gt;12&lt;/ref-type&gt;&lt;contributors&gt;&lt;authors&gt;&lt;author&gt;Scottish Medicines Consortium,&lt;/author&gt;&lt;/authors&gt;&lt;/contributors&gt;&lt;titles&gt;&lt;title&gt;SMC modifiers used in appraising new medicines&lt;/title&gt;&lt;/titles&gt;&lt;dates&gt;&lt;year&gt;2012&lt;/year&gt;&lt;/dates&gt;&lt;pub-location&gt;Glasgow&lt;/pub-location&gt;&lt;publisher&gt;NHS Scotland, Scottish Medicines Consortium&lt;/publisher&gt;&lt;urls&gt;&lt;related-urls&gt;&lt;url&gt;https://www.scottishmedicines.org.uk/media/3565/modifiers.pdf&lt;/url&gt;&lt;/related-urls&gt;&lt;/urls&gt;&lt;/record&gt;&lt;/Cite&gt;&lt;/EndNote&gt;</w:instrText>
      </w:r>
      <w:r w:rsidRPr="00221992">
        <w:rPr>
          <w:lang w:val="en-GB"/>
        </w:rPr>
        <w:fldChar w:fldCharType="separate"/>
      </w:r>
      <w:r w:rsidR="00E5265C">
        <w:rPr>
          <w:noProof/>
          <w:lang w:val="en-GB"/>
        </w:rPr>
        <w:t>[141]</w:t>
      </w:r>
      <w:r w:rsidRPr="00221992">
        <w:rPr>
          <w:lang w:val="en-GB"/>
        </w:rPr>
        <w:fldChar w:fldCharType="end"/>
      </w:r>
      <w:r w:rsidRPr="00221992">
        <w:rPr>
          <w:lang w:val="en-GB"/>
        </w:rPr>
        <w:t>.</w:t>
      </w:r>
      <w:r w:rsidR="003A604E">
        <w:rPr>
          <w:lang w:val="en-GB"/>
        </w:rPr>
        <w:t xml:space="preserve"> Some HTA agencies </w:t>
      </w:r>
      <w:r w:rsidR="00944759">
        <w:rPr>
          <w:lang w:val="en-GB"/>
        </w:rPr>
        <w:t>(e.g.</w:t>
      </w:r>
      <w:r w:rsidR="00E5346B">
        <w:rPr>
          <w:lang w:val="en-GB"/>
        </w:rPr>
        <w:t>,</w:t>
      </w:r>
      <w:r w:rsidR="00944759">
        <w:rPr>
          <w:lang w:val="en-GB"/>
        </w:rPr>
        <w:t xml:space="preserve"> </w:t>
      </w:r>
      <w:r w:rsidR="0047534A">
        <w:rPr>
          <w:lang w:val="en-GB"/>
        </w:rPr>
        <w:t xml:space="preserve">France, Germany and Sweden) </w:t>
      </w:r>
      <w:r w:rsidR="001C50E1">
        <w:rPr>
          <w:lang w:val="en-GB"/>
        </w:rPr>
        <w:t>accept the use of surrogate endpoints (if validated)</w:t>
      </w:r>
      <w:r w:rsidR="00944759">
        <w:rPr>
          <w:lang w:val="en-GB"/>
        </w:rPr>
        <w:t xml:space="preserve"> to account for clinical efficacy/effectiveness. </w:t>
      </w:r>
      <w:r w:rsidR="00DD6BB9">
        <w:rPr>
          <w:lang w:val="en-GB"/>
        </w:rPr>
        <w:t xml:space="preserve">However, </w:t>
      </w:r>
      <w:r w:rsidR="00E5346B">
        <w:rPr>
          <w:lang w:val="en-GB"/>
        </w:rPr>
        <w:t>it is not clear</w:t>
      </w:r>
      <w:r w:rsidR="00DD6BB9">
        <w:rPr>
          <w:lang w:val="en-GB"/>
        </w:rPr>
        <w:t xml:space="preserve"> how these are approached</w:t>
      </w:r>
      <w:r w:rsidR="003370CA">
        <w:rPr>
          <w:lang w:val="en-GB"/>
        </w:rPr>
        <w:t xml:space="preserve"> </w:t>
      </w:r>
      <w:r w:rsidR="00E5346B">
        <w:rPr>
          <w:lang w:val="en-GB"/>
        </w:rPr>
        <w:t xml:space="preserve">with respect to </w:t>
      </w:r>
      <w:r w:rsidR="00E35622">
        <w:rPr>
          <w:lang w:val="en-GB"/>
        </w:rPr>
        <w:t xml:space="preserve">clinical relevance (e.g. six  minute walking test) or </w:t>
      </w:r>
      <w:r w:rsidR="00B349C8">
        <w:rPr>
          <w:lang w:val="en-GB"/>
        </w:rPr>
        <w:t>validation</w:t>
      </w:r>
      <w:r w:rsidR="00785C22">
        <w:rPr>
          <w:lang w:val="en-GB"/>
        </w:rPr>
        <w:t xml:space="preserve"> </w:t>
      </w:r>
      <w:r w:rsidR="00C63C67">
        <w:rPr>
          <w:lang w:val="en-GB"/>
        </w:rPr>
        <w:fldChar w:fldCharType="begin"/>
      </w:r>
      <w:r w:rsidR="00E5265C">
        <w:rPr>
          <w:lang w:val="en-GB"/>
        </w:rPr>
        <w:instrText xml:space="preserve"> ADDIN EN.CITE &lt;EndNote&gt;&lt;Cite&gt;&lt;Author&gt;Stafinski&lt;/Author&gt;&lt;Year&gt;2022&lt;/Year&gt;&lt;RecNum&gt;701&lt;/RecNum&gt;&lt;DisplayText&gt;[142]&lt;/DisplayText&gt;&lt;record&gt;&lt;rec-number&gt;701&lt;/rec-number&gt;&lt;foreign-keys&gt;&lt;key app="EN" db-id="wzwwsfxe4peesxef95cxvrwjxts9rreasarf" timestamp="1699851374"&gt;701&lt;/key&gt;&lt;/foreign-keys&gt;&lt;ref-type name="Journal Article"&gt;17&lt;/ref-type&gt;&lt;contributors&gt;&lt;authors&gt;&lt;author&gt;Stafinski, Tania&lt;/author&gt;&lt;author&gt;Glennie, Judith&lt;/author&gt;&lt;author&gt;Young, Andrea&lt;/author&gt;&lt;author&gt;Menon, Devidas&lt;/author&gt;&lt;/authors&gt;&lt;/contributors&gt;&lt;titles&gt;&lt;title&gt;HTA decision-making for drugs for rare diseases: comparison of processes across countries&lt;/title&gt;&lt;secondary-title&gt;Orphanet Journal of Rare Diseases&lt;/secondary-title&gt;&lt;/titles&gt;&lt;periodical&gt;&lt;full-title&gt;Orphanet journal of rare diseases&lt;/full-title&gt;&lt;/periodical&gt;&lt;pages&gt;258&lt;/pages&gt;&lt;volume&gt;17&lt;/volume&gt;&lt;number&gt;1&lt;/number&gt;&lt;dates&gt;&lt;year&gt;2022&lt;/year&gt;&lt;pub-dates&gt;&lt;date&gt;2022/07/08&lt;/date&gt;&lt;/pub-dates&gt;&lt;/dates&gt;&lt;isbn&gt;1750-1172&lt;/isbn&gt;&lt;urls&gt;&lt;related-urls&gt;&lt;url&gt;https://doi.org/10.1186/s13023-022-02397-4&lt;/url&gt;&lt;/related-urls&gt;&lt;/urls&gt;&lt;electronic-resource-num&gt;10.1186/s13023-022-02397-4&lt;/electronic-resource-num&gt;&lt;/record&gt;&lt;/Cite&gt;&lt;/EndNote&gt;</w:instrText>
      </w:r>
      <w:r w:rsidR="00C63C67">
        <w:rPr>
          <w:lang w:val="en-GB"/>
        </w:rPr>
        <w:fldChar w:fldCharType="separate"/>
      </w:r>
      <w:r w:rsidR="00E5265C">
        <w:rPr>
          <w:noProof/>
          <w:lang w:val="en-GB"/>
        </w:rPr>
        <w:t>[142]</w:t>
      </w:r>
      <w:r w:rsidR="00C63C67">
        <w:rPr>
          <w:lang w:val="en-GB"/>
        </w:rPr>
        <w:fldChar w:fldCharType="end"/>
      </w:r>
      <w:r w:rsidR="00E35622">
        <w:rPr>
          <w:lang w:val="en-GB"/>
        </w:rPr>
        <w:t xml:space="preserve">. </w:t>
      </w:r>
      <w:r w:rsidR="00014881" w:rsidRPr="006A5720">
        <w:rPr>
          <w:lang w:val="en-GB"/>
        </w:rPr>
        <w:t xml:space="preserve">The available evidence indicates that surrogate endpoints often overestimate the effectiveness of treatments, </w:t>
      </w:r>
      <w:r w:rsidR="002E0F9C" w:rsidRPr="006A5720">
        <w:rPr>
          <w:lang w:val="en-GB"/>
        </w:rPr>
        <w:t>which</w:t>
      </w:r>
      <w:r w:rsidR="00014881" w:rsidRPr="006A5720">
        <w:rPr>
          <w:lang w:val="en-GB"/>
        </w:rPr>
        <w:t xml:space="preserve"> can be </w:t>
      </w:r>
      <w:r w:rsidR="002E0F9C" w:rsidRPr="006A5720">
        <w:rPr>
          <w:lang w:val="en-GB"/>
        </w:rPr>
        <w:t>minimised</w:t>
      </w:r>
      <w:r w:rsidR="00014881" w:rsidRPr="006A5720">
        <w:rPr>
          <w:lang w:val="en-GB"/>
        </w:rPr>
        <w:t xml:space="preserve"> by assessing their </w:t>
      </w:r>
      <w:r w:rsidR="002E0F9C" w:rsidRPr="006A5720">
        <w:rPr>
          <w:lang w:val="en-GB"/>
        </w:rPr>
        <w:t>magnitude</w:t>
      </w:r>
      <w:r w:rsidR="00014881" w:rsidRPr="006A5720">
        <w:rPr>
          <w:lang w:val="en-GB"/>
        </w:rPr>
        <w:t xml:space="preserve"> and </w:t>
      </w:r>
      <w:r w:rsidR="002E0F9C" w:rsidRPr="006A5720">
        <w:rPr>
          <w:lang w:val="en-GB"/>
        </w:rPr>
        <w:t>validat</w:t>
      </w:r>
      <w:r w:rsidR="00E5346B">
        <w:rPr>
          <w:lang w:val="en-GB"/>
        </w:rPr>
        <w:t>ed</w:t>
      </w:r>
      <w:r w:rsidR="00014881" w:rsidRPr="006A5720">
        <w:rPr>
          <w:lang w:val="en-GB"/>
        </w:rPr>
        <w:t xml:space="preserve"> </w:t>
      </w:r>
      <w:r w:rsidR="00F21322" w:rsidRPr="006A5720">
        <w:rPr>
          <w:lang w:val="en-GB"/>
        </w:rPr>
        <w:t>using</w:t>
      </w:r>
      <w:r w:rsidR="00014881" w:rsidRPr="006A5720">
        <w:rPr>
          <w:lang w:val="en-GB"/>
        </w:rPr>
        <w:t xml:space="preserve"> </w:t>
      </w:r>
      <w:r w:rsidR="00E5346B">
        <w:rPr>
          <w:lang w:val="en-GB"/>
        </w:rPr>
        <w:t xml:space="preserve">patient-relevant </w:t>
      </w:r>
      <w:r w:rsidR="00F21322" w:rsidRPr="006A5720">
        <w:rPr>
          <w:lang w:val="en-GB"/>
        </w:rPr>
        <w:t>outcomes</w:t>
      </w:r>
      <w:r w:rsidR="00014881" w:rsidRPr="006A5720">
        <w:rPr>
          <w:lang w:val="en-GB"/>
        </w:rPr>
        <w:t xml:space="preserve">. This concern further highlights the importance of ensuring that </w:t>
      </w:r>
      <w:r w:rsidR="00DB6631" w:rsidRPr="006A5720">
        <w:rPr>
          <w:lang w:val="en-GB"/>
        </w:rPr>
        <w:t xml:space="preserve">outcomes </w:t>
      </w:r>
      <w:r w:rsidR="00B63DC7" w:rsidRPr="006A5720">
        <w:rPr>
          <w:lang w:val="en-GB"/>
        </w:rPr>
        <w:t xml:space="preserve">accounted for </w:t>
      </w:r>
      <w:r w:rsidR="00E5346B">
        <w:rPr>
          <w:lang w:val="en-GB"/>
        </w:rPr>
        <w:t>through</w:t>
      </w:r>
      <w:r w:rsidR="00E5346B" w:rsidRPr="006A5720">
        <w:rPr>
          <w:lang w:val="en-GB"/>
        </w:rPr>
        <w:t xml:space="preserve"> </w:t>
      </w:r>
      <w:r w:rsidR="00B63DC7" w:rsidRPr="006A5720">
        <w:rPr>
          <w:lang w:val="en-GB"/>
        </w:rPr>
        <w:t xml:space="preserve">HTA </w:t>
      </w:r>
      <w:r w:rsidR="00014881" w:rsidRPr="006A5720">
        <w:rPr>
          <w:lang w:val="en-GB"/>
        </w:rPr>
        <w:t>align with patient</w:t>
      </w:r>
      <w:r w:rsidR="00C91D2D" w:rsidRPr="006A5720">
        <w:rPr>
          <w:lang w:val="en-GB"/>
        </w:rPr>
        <w:t>s</w:t>
      </w:r>
      <w:r w:rsidR="00E5346B">
        <w:rPr>
          <w:lang w:val="en-GB"/>
        </w:rPr>
        <w:t>’</w:t>
      </w:r>
      <w:r w:rsidR="00C91D2D" w:rsidRPr="006A5720">
        <w:rPr>
          <w:lang w:val="en-GB"/>
        </w:rPr>
        <w:t xml:space="preserve"> needs and preferences</w:t>
      </w:r>
      <w:r w:rsidR="00E5346B">
        <w:rPr>
          <w:lang w:val="en-GB"/>
        </w:rPr>
        <w:t>,</w:t>
      </w:r>
      <w:r w:rsidR="00C91D2D" w:rsidRPr="006A5720">
        <w:rPr>
          <w:lang w:val="en-GB"/>
        </w:rPr>
        <w:t xml:space="preserve"> which </w:t>
      </w:r>
      <w:r w:rsidR="00E5346B">
        <w:rPr>
          <w:lang w:val="en-GB"/>
        </w:rPr>
        <w:t>may</w:t>
      </w:r>
      <w:r w:rsidR="00E5346B" w:rsidRPr="006A5720">
        <w:rPr>
          <w:lang w:val="en-GB"/>
        </w:rPr>
        <w:t xml:space="preserve"> </w:t>
      </w:r>
      <w:r w:rsidR="00C91D2D" w:rsidRPr="006A5720">
        <w:rPr>
          <w:lang w:val="en-GB"/>
        </w:rPr>
        <w:t xml:space="preserve">be </w:t>
      </w:r>
      <w:r w:rsidR="00E5346B">
        <w:rPr>
          <w:lang w:val="en-GB"/>
        </w:rPr>
        <w:t>fostered</w:t>
      </w:r>
      <w:r w:rsidR="00E5346B" w:rsidRPr="006A5720">
        <w:rPr>
          <w:lang w:val="en-GB"/>
        </w:rPr>
        <w:t xml:space="preserve"> </w:t>
      </w:r>
      <w:r w:rsidR="00014881" w:rsidRPr="006A5720">
        <w:rPr>
          <w:lang w:val="en-GB"/>
        </w:rPr>
        <w:t xml:space="preserve">through </w:t>
      </w:r>
      <w:r w:rsidR="0075512F">
        <w:rPr>
          <w:lang w:val="en-GB"/>
        </w:rPr>
        <w:t xml:space="preserve">systematic </w:t>
      </w:r>
      <w:r w:rsidR="00014881" w:rsidRPr="006A5720">
        <w:rPr>
          <w:lang w:val="en-GB"/>
        </w:rPr>
        <w:t xml:space="preserve">engagement </w:t>
      </w:r>
      <w:r w:rsidR="0075512F">
        <w:rPr>
          <w:lang w:val="en-GB"/>
        </w:rPr>
        <w:t>with patients throughout</w:t>
      </w:r>
      <w:r w:rsidR="0075512F" w:rsidRPr="006A5720">
        <w:rPr>
          <w:lang w:val="en-GB"/>
        </w:rPr>
        <w:t xml:space="preserve"> </w:t>
      </w:r>
      <w:r w:rsidR="00014881" w:rsidRPr="006A5720">
        <w:rPr>
          <w:lang w:val="en-GB"/>
        </w:rPr>
        <w:t>the drug development journey</w:t>
      </w:r>
      <w:r w:rsidR="000C4301">
        <w:rPr>
          <w:lang w:val="en-GB"/>
        </w:rPr>
        <w:t xml:space="preserve"> </w:t>
      </w:r>
      <w:r w:rsidR="00C63C67">
        <w:rPr>
          <w:lang w:val="en-GB"/>
        </w:rPr>
        <w:fldChar w:fldCharType="begin"/>
      </w:r>
      <w:r w:rsidR="00E5265C">
        <w:rPr>
          <w:lang w:val="en-GB"/>
        </w:rPr>
        <w:instrText xml:space="preserve"> ADDIN EN.CITE &lt;EndNote&gt;&lt;Cite&gt;&lt;Author&gt;Nicod&lt;/Author&gt;&lt;Year&gt;2017&lt;/Year&gt;&lt;RecNum&gt;702&lt;/RecNum&gt;&lt;DisplayText&gt;[143]&lt;/DisplayText&gt;&lt;record&gt;&lt;rec-number&gt;702&lt;/rec-number&gt;&lt;foreign-keys&gt;&lt;key app="EN" db-id="wzwwsfxe4peesxef95cxvrwjxts9rreasarf" timestamp="1699851464"&gt;702&lt;/key&gt;&lt;/foreign-keys&gt;&lt;ref-type name="Journal Article"&gt;17&lt;/ref-type&gt;&lt;contributors&gt;&lt;authors&gt;&lt;author&gt;Nicod, Elena&lt;/author&gt;&lt;author&gt;Brigham, Karen Berg&lt;/author&gt;&lt;author&gt;Durand-Zaleski, Isabelle&lt;/author&gt;&lt;author&gt;Kanavos, Panos&lt;/author&gt;&lt;/authors&gt;&lt;/contributors&gt;&lt;titles&gt;&lt;title&gt;Dealing with uncertainty and accounting for social value judgments in assessments of orphan drugs: evidence from four European countries&lt;/title&gt;&lt;secondary-title&gt;Value in Health&lt;/secondary-title&gt;&lt;/titles&gt;&lt;periodical&gt;&lt;full-title&gt;Value in Health&lt;/full-title&gt;&lt;/periodical&gt;&lt;pages&gt;919-926&lt;/pages&gt;&lt;volume&gt;20&lt;/volume&gt;&lt;number&gt;7&lt;/number&gt;&lt;dates&gt;&lt;year&gt;2017&lt;/year&gt;&lt;/dates&gt;&lt;isbn&gt;1098-3015&lt;/isbn&gt;&lt;urls&gt;&lt;/urls&gt;&lt;/record&gt;&lt;/Cite&gt;&lt;/EndNote&gt;</w:instrText>
      </w:r>
      <w:r w:rsidR="00C63C67">
        <w:rPr>
          <w:lang w:val="en-GB"/>
        </w:rPr>
        <w:fldChar w:fldCharType="separate"/>
      </w:r>
      <w:r w:rsidR="00E5265C">
        <w:rPr>
          <w:noProof/>
          <w:lang w:val="en-GB"/>
        </w:rPr>
        <w:t>[143]</w:t>
      </w:r>
      <w:r w:rsidR="00C63C67">
        <w:rPr>
          <w:lang w:val="en-GB"/>
        </w:rPr>
        <w:fldChar w:fldCharType="end"/>
      </w:r>
      <w:r w:rsidR="00014881" w:rsidRPr="006A5720">
        <w:rPr>
          <w:lang w:val="en-GB"/>
        </w:rPr>
        <w:t>.</w:t>
      </w:r>
    </w:p>
    <w:p w14:paraId="2978CEB6" w14:textId="65FD42EA" w:rsidR="00E40B65" w:rsidRPr="00221992" w:rsidRDefault="00E40B65" w:rsidP="001902E8">
      <w:pPr>
        <w:ind w:left="426"/>
        <w:rPr>
          <w:lang w:val="en-GB"/>
        </w:rPr>
      </w:pPr>
      <w:r w:rsidRPr="00221992">
        <w:rPr>
          <w:u w:val="single"/>
          <w:lang w:val="en-GB"/>
        </w:rPr>
        <w:t>Conditional listing with data collection requirements</w:t>
      </w:r>
      <w:r w:rsidRPr="00221992">
        <w:rPr>
          <w:lang w:val="en-GB"/>
        </w:rPr>
        <w:t>—Given that the clinical evidence is subject to substantial uncertainty in rare disease clinical research, some countries have implemented temporary access and/or conditional listing pending data collection. Conditional listing was updated in the Netherlands in 2019 for drugs whose clinical evidence may not be enough to fulfil the criteria of effectiveness with sufficient certainty. In addition, these drugs would have a high budget impact (&gt;</w:t>
      </w:r>
      <w:r w:rsidR="00A428B2" w:rsidRPr="00221992">
        <w:rPr>
          <w:rFonts w:cs="Calibri Light"/>
          <w:lang w:val="en-GB"/>
        </w:rPr>
        <w:t>€</w:t>
      </w:r>
      <w:r w:rsidRPr="00221992">
        <w:rPr>
          <w:lang w:val="en-GB"/>
        </w:rPr>
        <w:t xml:space="preserve">50 million) or a high </w:t>
      </w:r>
      <w:r w:rsidR="00776413">
        <w:rPr>
          <w:lang w:val="en-GB"/>
        </w:rPr>
        <w:t xml:space="preserve">per-patient </w:t>
      </w:r>
      <w:r w:rsidRPr="00221992">
        <w:rPr>
          <w:lang w:val="en-GB"/>
        </w:rPr>
        <w:t xml:space="preserve">cost </w:t>
      </w:r>
      <w:r w:rsidR="00776413">
        <w:rPr>
          <w:lang w:val="en-GB"/>
        </w:rPr>
        <w:t>and</w:t>
      </w:r>
      <w:r w:rsidRPr="00221992">
        <w:rPr>
          <w:lang w:val="en-GB"/>
        </w:rPr>
        <w:t xml:space="preserve"> budget impact (&gt;</w:t>
      </w:r>
      <w:r w:rsidR="00A428B2" w:rsidRPr="00221992">
        <w:rPr>
          <w:rFonts w:cs="Calibri Light"/>
          <w:lang w:val="en-GB"/>
        </w:rPr>
        <w:t>€</w:t>
      </w:r>
      <w:r w:rsidRPr="00221992">
        <w:rPr>
          <w:lang w:val="en-GB"/>
        </w:rPr>
        <w:t>10 million)</w:t>
      </w:r>
      <w:r w:rsidR="002D3987">
        <w:rPr>
          <w:lang w:val="en-GB"/>
        </w:rPr>
        <w:t xml:space="preserve"> </w:t>
      </w:r>
      <w:r w:rsidRPr="00221992">
        <w:rPr>
          <w:lang w:val="en-GB"/>
        </w:rPr>
        <w:fldChar w:fldCharType="begin"/>
      </w:r>
      <w:r w:rsidR="00E5265C">
        <w:rPr>
          <w:lang w:val="en-GB"/>
        </w:rPr>
        <w:instrText xml:space="preserve"> ADDIN EN.CITE &lt;EndNote&gt;&lt;Cite&gt;&lt;Author&gt;Impact HTA&lt;/Author&gt;&lt;Year&gt;2021&lt;/Year&gt;&lt;RecNum&gt;649&lt;/RecNum&gt;&lt;DisplayText&gt;[144]&lt;/DisplayText&gt;&lt;record&gt;&lt;rec-number&gt;649&lt;/rec-number&gt;&lt;foreign-keys&gt;&lt;key app="EN" db-id="wzwwsfxe4peesxef95cxvrwjxts9rreasarf" timestamp="1693187668"&gt;649&lt;/key&gt;&lt;/foreign-keys&gt;&lt;ref-type name="Web Page"&gt;12&lt;/ref-type&gt;&lt;contributors&gt;&lt;authors&gt;&lt;author&gt;Impact HTA, &lt;/author&gt;&lt;/authors&gt;&lt;secondary-authors&gt;&lt;author&gt;Improved methods and actionable rools for enhancing HTA. &lt;/author&gt;&lt;/secondary-authors&gt;&lt;/contributors&gt;&lt;titles&gt;&lt;title&gt;Country Vignettes&lt;/title&gt;&lt;/titles&gt;&lt;number&gt;25/8/2023&lt;/number&gt;&lt;dates&gt;&lt;year&gt;2021&lt;/year&gt;&lt;/dates&gt;&lt;urls&gt;&lt;/urls&gt;&lt;/record&gt;&lt;/Cite&gt;&lt;/EndNote&gt;</w:instrText>
      </w:r>
      <w:r w:rsidRPr="00221992">
        <w:rPr>
          <w:lang w:val="en-GB"/>
        </w:rPr>
        <w:fldChar w:fldCharType="separate"/>
      </w:r>
      <w:r w:rsidR="00E5265C">
        <w:rPr>
          <w:noProof/>
          <w:lang w:val="en-GB"/>
        </w:rPr>
        <w:t>[144]</w:t>
      </w:r>
      <w:r w:rsidRPr="00221992">
        <w:rPr>
          <w:lang w:val="en-GB"/>
        </w:rPr>
        <w:fldChar w:fldCharType="end"/>
      </w:r>
      <w:r w:rsidRPr="00221992">
        <w:rPr>
          <w:lang w:val="en-GB"/>
        </w:rPr>
        <w:t>. Given that these drugs target small patient population</w:t>
      </w:r>
      <w:r w:rsidR="00776413">
        <w:rPr>
          <w:lang w:val="en-GB"/>
        </w:rPr>
        <w:t>s</w:t>
      </w:r>
      <w:r w:rsidRPr="00221992">
        <w:rPr>
          <w:lang w:val="en-GB"/>
        </w:rPr>
        <w:t xml:space="preserve"> suffer</w:t>
      </w:r>
      <w:r w:rsidR="00776413">
        <w:rPr>
          <w:lang w:val="en-GB"/>
        </w:rPr>
        <w:t>ing</w:t>
      </w:r>
      <w:r w:rsidRPr="00221992">
        <w:rPr>
          <w:lang w:val="en-GB"/>
        </w:rPr>
        <w:t xml:space="preserve"> a severe condition for which no other treatment</w:t>
      </w:r>
      <w:r w:rsidR="00776413">
        <w:rPr>
          <w:lang w:val="en-GB"/>
        </w:rPr>
        <w:t>s</w:t>
      </w:r>
      <w:r w:rsidRPr="00221992">
        <w:rPr>
          <w:lang w:val="en-GB"/>
        </w:rPr>
        <w:t xml:space="preserve"> are generally available, conditional listing was considered a way to </w:t>
      </w:r>
      <w:r w:rsidR="00776413">
        <w:rPr>
          <w:lang w:val="en-GB"/>
        </w:rPr>
        <w:t>improve</w:t>
      </w:r>
      <w:r w:rsidR="00776413" w:rsidRPr="00221992">
        <w:rPr>
          <w:lang w:val="en-GB"/>
        </w:rPr>
        <w:t xml:space="preserve"> </w:t>
      </w:r>
      <w:r w:rsidRPr="00221992">
        <w:rPr>
          <w:lang w:val="en-GB"/>
        </w:rPr>
        <w:t xml:space="preserve">access to these therapies. </w:t>
      </w:r>
      <w:r w:rsidR="00776413">
        <w:rPr>
          <w:lang w:val="en-GB"/>
        </w:rPr>
        <w:t>Listing is</w:t>
      </w:r>
      <w:r w:rsidR="00776413" w:rsidRPr="00221992">
        <w:rPr>
          <w:lang w:val="en-GB"/>
        </w:rPr>
        <w:t xml:space="preserve"> </w:t>
      </w:r>
      <w:r w:rsidRPr="00221992">
        <w:rPr>
          <w:lang w:val="en-GB"/>
        </w:rPr>
        <w:t>condition</w:t>
      </w:r>
      <w:r w:rsidR="00776413">
        <w:rPr>
          <w:lang w:val="en-GB"/>
        </w:rPr>
        <w:t>ed</w:t>
      </w:r>
      <w:r w:rsidRPr="00221992">
        <w:rPr>
          <w:lang w:val="en-GB"/>
        </w:rPr>
        <w:t xml:space="preserve"> </w:t>
      </w:r>
      <w:r w:rsidR="00776413">
        <w:rPr>
          <w:lang w:val="en-GB"/>
        </w:rPr>
        <w:t>on subsequent</w:t>
      </w:r>
      <w:r w:rsidRPr="00221992">
        <w:rPr>
          <w:lang w:val="en-GB"/>
        </w:rPr>
        <w:t xml:space="preserve"> data collection</w:t>
      </w:r>
      <w:r w:rsidR="00776413">
        <w:rPr>
          <w:lang w:val="en-GB"/>
        </w:rPr>
        <w:t>,</w:t>
      </w:r>
      <w:r w:rsidRPr="00221992">
        <w:rPr>
          <w:lang w:val="en-GB"/>
        </w:rPr>
        <w:t xml:space="preserve"> which in </w:t>
      </w:r>
      <w:r w:rsidR="00776413">
        <w:rPr>
          <w:lang w:val="en-GB"/>
        </w:rPr>
        <w:t xml:space="preserve">the </w:t>
      </w:r>
      <w:r w:rsidRPr="00221992">
        <w:rPr>
          <w:lang w:val="en-GB"/>
        </w:rPr>
        <w:t>Netherlands is at the expense of the marketing authority holder. The process states that the data collection should include key stakeholders</w:t>
      </w:r>
      <w:r w:rsidR="00776413">
        <w:rPr>
          <w:lang w:val="en-GB"/>
        </w:rPr>
        <w:t>,</w:t>
      </w:r>
      <w:r w:rsidRPr="00221992">
        <w:rPr>
          <w:lang w:val="en-GB"/>
        </w:rPr>
        <w:t xml:space="preserve"> </w:t>
      </w:r>
      <w:r w:rsidR="00776413">
        <w:rPr>
          <w:lang w:val="en-GB"/>
        </w:rPr>
        <w:t>including</w:t>
      </w:r>
      <w:r w:rsidRPr="00221992">
        <w:rPr>
          <w:lang w:val="en-GB"/>
        </w:rPr>
        <w:t xml:space="preserve"> medical professionals, patient associations and an independent research institution. The submitted application requires a proposal stipulat</w:t>
      </w:r>
      <w:r w:rsidR="00776413">
        <w:rPr>
          <w:lang w:val="en-GB"/>
        </w:rPr>
        <w:t>ing</w:t>
      </w:r>
      <w:r w:rsidRPr="00221992">
        <w:rPr>
          <w:lang w:val="en-GB"/>
        </w:rPr>
        <w:t xml:space="preserve"> a specific research period on the basis that the drug must be available the earliest possible</w:t>
      </w:r>
      <w:r w:rsidR="00776413">
        <w:rPr>
          <w:lang w:val="en-GB"/>
        </w:rPr>
        <w:t xml:space="preserve"> date</w:t>
      </w:r>
      <w:r w:rsidRPr="00221992">
        <w:rPr>
          <w:lang w:val="en-GB"/>
        </w:rPr>
        <w:t xml:space="preserve"> or</w:t>
      </w:r>
      <w:r w:rsidR="00776413">
        <w:rPr>
          <w:lang w:val="en-GB"/>
        </w:rPr>
        <w:t>,</w:t>
      </w:r>
      <w:r w:rsidRPr="00221992">
        <w:rPr>
          <w:lang w:val="en-GB"/>
        </w:rPr>
        <w:t xml:space="preserve"> at most</w:t>
      </w:r>
      <w:r w:rsidR="00776413">
        <w:rPr>
          <w:lang w:val="en-GB"/>
        </w:rPr>
        <w:t>,</w:t>
      </w:r>
      <w:r w:rsidRPr="00221992">
        <w:rPr>
          <w:lang w:val="en-GB"/>
        </w:rPr>
        <w:t xml:space="preserve"> within 7 years. Exceptional cases may include a longer period of research but </w:t>
      </w:r>
      <w:r w:rsidR="00776413">
        <w:rPr>
          <w:lang w:val="en-GB"/>
        </w:rPr>
        <w:t>may not exceed</w:t>
      </w:r>
      <w:r w:rsidR="00776413" w:rsidRPr="00221992">
        <w:rPr>
          <w:lang w:val="en-GB"/>
        </w:rPr>
        <w:t xml:space="preserve"> </w:t>
      </w:r>
      <w:r w:rsidRPr="00221992">
        <w:rPr>
          <w:lang w:val="en-GB"/>
        </w:rPr>
        <w:t>14 years. Prior to conditional listing, the price is negotiated and an agreement must occur</w:t>
      </w:r>
      <w:r w:rsidR="00403297">
        <w:rPr>
          <w:lang w:val="en-GB"/>
        </w:rPr>
        <w:t>,</w:t>
      </w:r>
      <w:r w:rsidRPr="00221992">
        <w:rPr>
          <w:lang w:val="en-GB"/>
        </w:rPr>
        <w:t xml:space="preserve"> noting that all costs other than those for the drug itself (</w:t>
      </w:r>
      <w:r w:rsidR="008A3C46">
        <w:rPr>
          <w:lang w:val="en-GB"/>
        </w:rPr>
        <w:t xml:space="preserve">e.g., </w:t>
      </w:r>
      <w:r w:rsidR="00403297">
        <w:rPr>
          <w:lang w:val="en-GB"/>
        </w:rPr>
        <w:t>post-listing</w:t>
      </w:r>
      <w:r w:rsidRPr="00221992">
        <w:rPr>
          <w:lang w:val="en-GB"/>
        </w:rPr>
        <w:t xml:space="preserve"> </w:t>
      </w:r>
      <w:r w:rsidR="00403297">
        <w:rPr>
          <w:lang w:val="en-GB"/>
        </w:rPr>
        <w:t>data collection</w:t>
      </w:r>
      <w:r w:rsidRPr="00221992">
        <w:rPr>
          <w:lang w:val="en-GB"/>
        </w:rPr>
        <w:t>) are paid by the marketing authorisation holder (see section</w:t>
      </w:r>
      <w:r w:rsidR="00403297">
        <w:rPr>
          <w:lang w:val="en-GB"/>
        </w:rPr>
        <w:t>,</w:t>
      </w:r>
      <w:r w:rsidRPr="00221992">
        <w:rPr>
          <w:lang w:val="en-GB"/>
        </w:rPr>
        <w:t xml:space="preserve"> </w:t>
      </w:r>
      <w:r w:rsidR="00403297">
        <w:rPr>
          <w:lang w:val="en-GB"/>
        </w:rPr>
        <w:t>‘</w:t>
      </w:r>
      <w:r w:rsidRPr="00221992">
        <w:rPr>
          <w:lang w:val="en-GB"/>
        </w:rPr>
        <w:fldChar w:fldCharType="begin"/>
      </w:r>
      <w:r w:rsidRPr="00221992">
        <w:rPr>
          <w:lang w:val="en-GB"/>
        </w:rPr>
        <w:instrText xml:space="preserve"> REF _Ref143207585 \h  \* MERGEFORMAT </w:instrText>
      </w:r>
      <w:r w:rsidRPr="00221992">
        <w:rPr>
          <w:lang w:val="en-GB"/>
        </w:rPr>
      </w:r>
      <w:r w:rsidRPr="00221992">
        <w:rPr>
          <w:lang w:val="en-GB"/>
        </w:rPr>
        <w:fldChar w:fldCharType="separate"/>
      </w:r>
      <w:r w:rsidR="000E11E7" w:rsidRPr="00221992">
        <w:rPr>
          <w:lang w:val="en-GB"/>
        </w:rPr>
        <w:t>What are the mechanisms available to establish prices of drugs for rare diseases?</w:t>
      </w:r>
      <w:r w:rsidRPr="00221992">
        <w:rPr>
          <w:lang w:val="en-GB"/>
        </w:rPr>
        <w:fldChar w:fldCharType="end"/>
      </w:r>
      <w:r w:rsidR="00403297">
        <w:rPr>
          <w:lang w:val="en-GB"/>
        </w:rPr>
        <w:t>’</w:t>
      </w:r>
      <w:r w:rsidRPr="00221992">
        <w:rPr>
          <w:lang w:val="en-GB"/>
        </w:rPr>
        <w:t>). An annual report must be submitted with the relevant stakeholders</w:t>
      </w:r>
      <w:r w:rsidR="00403297">
        <w:rPr>
          <w:lang w:val="en-GB"/>
        </w:rPr>
        <w:t>,</w:t>
      </w:r>
      <w:r w:rsidRPr="00221992">
        <w:rPr>
          <w:lang w:val="en-GB"/>
        </w:rPr>
        <w:t xml:space="preserve"> </w:t>
      </w:r>
      <w:r w:rsidR="00403297">
        <w:rPr>
          <w:lang w:val="en-GB"/>
        </w:rPr>
        <w:t xml:space="preserve">at </w:t>
      </w:r>
      <w:r w:rsidRPr="00221992">
        <w:rPr>
          <w:lang w:val="en-GB"/>
        </w:rPr>
        <w:t xml:space="preserve">which progress and interim findings are discussed. The HTA agency in the Netherlands, Zorginstituut (ZIN), assesses the </w:t>
      </w:r>
      <w:r w:rsidR="00403297">
        <w:rPr>
          <w:lang w:val="en-GB"/>
        </w:rPr>
        <w:t xml:space="preserve">feasibility and </w:t>
      </w:r>
      <w:r w:rsidRPr="00221992">
        <w:rPr>
          <w:lang w:val="en-GB"/>
        </w:rPr>
        <w:t xml:space="preserve">progress of the research, and advises the Minister on whether or not to allow the research process to continue. Finally, the marketing authorisation holder must submit a dossier to </w:t>
      </w:r>
      <w:r w:rsidR="00A428B2" w:rsidRPr="00221992">
        <w:rPr>
          <w:lang w:val="en-GB"/>
        </w:rPr>
        <w:t>ZIN</w:t>
      </w:r>
      <w:r w:rsidRPr="00221992">
        <w:rPr>
          <w:lang w:val="en-GB"/>
        </w:rPr>
        <w:t xml:space="preserve"> no later than six months before the end of the conditional inclusion period</w:t>
      </w:r>
      <w:r w:rsidR="002D3987">
        <w:rPr>
          <w:lang w:val="en-GB"/>
        </w:rPr>
        <w:t xml:space="preserve"> </w:t>
      </w:r>
      <w:r w:rsidRPr="00221992">
        <w:rPr>
          <w:lang w:val="en-GB"/>
        </w:rPr>
        <w:fldChar w:fldCharType="begin"/>
      </w:r>
      <w:r w:rsidR="00E5265C">
        <w:rPr>
          <w:lang w:val="en-GB"/>
        </w:rPr>
        <w:instrText xml:space="preserve"> ADDIN EN.CITE &lt;EndNote&gt;&lt;Cite&gt;&lt;Author&gt;National Health Care Institue&lt;/Author&gt;&lt;Year&gt;2022&lt;/Year&gt;&lt;RecNum&gt;552&lt;/RecNum&gt;&lt;DisplayText&gt;[145]&lt;/DisplayText&gt;&lt;record&gt;&lt;rec-number&gt;552&lt;/rec-number&gt;&lt;foreign-keys&gt;&lt;key app="EN" db-id="wzwwsfxe4peesxef95cxvrwjxts9rreasarf" timestamp="1692751953"&gt;552&lt;/key&gt;&lt;/foreign-keys&gt;&lt;ref-type name="Web Page"&gt;12&lt;/ref-type&gt;&lt;contributors&gt;&lt;authors&gt;&lt;author&gt;National Health Care Institue, &lt;/author&gt;&lt;/authors&gt;&lt;/contributors&gt;&lt;titles&gt;&lt;title&gt;Conditional inclusion of orphan drugs, conditionals and exceptionals in basic health care&lt;/title&gt;&lt;/titles&gt;&lt;number&gt;23/07/2023&lt;/number&gt;&lt;dates&gt;&lt;year&gt;2022&lt;/year&gt;&lt;/dates&gt;&lt;pub-location&gt;The Netherlands&lt;/pub-location&gt;&lt;urls&gt;&lt;related-urls&gt;&lt;url&gt;https://english.zorginstituutnederland.nl/about-us/tasks-of-the-national-health-care-institute/conditional-inclusion-of-orphan-drugs-conditionals-and-exceptionals&lt;/url&gt;&lt;/related-urls&gt;&lt;/urls&gt;&lt;/record&gt;&lt;/Cite&gt;&lt;/EndNote&gt;</w:instrText>
      </w:r>
      <w:r w:rsidRPr="00221992">
        <w:rPr>
          <w:lang w:val="en-GB"/>
        </w:rPr>
        <w:fldChar w:fldCharType="separate"/>
      </w:r>
      <w:r w:rsidR="00E5265C">
        <w:rPr>
          <w:noProof/>
          <w:lang w:val="en-GB"/>
        </w:rPr>
        <w:t>[145]</w:t>
      </w:r>
      <w:r w:rsidRPr="00221992">
        <w:rPr>
          <w:lang w:val="en-GB"/>
        </w:rPr>
        <w:fldChar w:fldCharType="end"/>
      </w:r>
      <w:r w:rsidRPr="00221992">
        <w:rPr>
          <w:lang w:val="en-GB"/>
        </w:rPr>
        <w:t xml:space="preserve">. ZIN </w:t>
      </w:r>
      <w:r w:rsidR="00403297">
        <w:rPr>
          <w:lang w:val="en-GB"/>
        </w:rPr>
        <w:t xml:space="preserve">then </w:t>
      </w:r>
      <w:r w:rsidRPr="00221992">
        <w:rPr>
          <w:lang w:val="en-GB"/>
        </w:rPr>
        <w:t>provide</w:t>
      </w:r>
      <w:r w:rsidR="00403297">
        <w:rPr>
          <w:lang w:val="en-GB"/>
        </w:rPr>
        <w:t>s</w:t>
      </w:r>
      <w:r w:rsidRPr="00221992">
        <w:rPr>
          <w:lang w:val="en-GB"/>
        </w:rPr>
        <w:t xml:space="preserve"> </w:t>
      </w:r>
      <w:r w:rsidR="00403297">
        <w:rPr>
          <w:lang w:val="en-GB"/>
        </w:rPr>
        <w:t>its</w:t>
      </w:r>
      <w:r w:rsidRPr="00221992">
        <w:rPr>
          <w:lang w:val="en-GB"/>
        </w:rPr>
        <w:t xml:space="preserve"> recommendation to the Ministry</w:t>
      </w:r>
      <w:r w:rsidR="00403297">
        <w:rPr>
          <w:lang w:val="en-GB"/>
        </w:rPr>
        <w:t>,</w:t>
      </w:r>
      <w:r w:rsidRPr="00221992">
        <w:rPr>
          <w:lang w:val="en-GB"/>
        </w:rPr>
        <w:t xml:space="preserve"> who decide</w:t>
      </w:r>
      <w:r w:rsidR="00403297">
        <w:rPr>
          <w:lang w:val="en-GB"/>
        </w:rPr>
        <w:t>s</w:t>
      </w:r>
      <w:r w:rsidRPr="00221992">
        <w:rPr>
          <w:lang w:val="en-GB"/>
        </w:rPr>
        <w:t xml:space="preserve"> if the drug </w:t>
      </w:r>
      <w:r w:rsidR="00403297">
        <w:rPr>
          <w:lang w:val="en-GB"/>
        </w:rPr>
        <w:t xml:space="preserve">is to be </w:t>
      </w:r>
      <w:r w:rsidRPr="00221992">
        <w:rPr>
          <w:lang w:val="en-GB"/>
        </w:rPr>
        <w:t>exit</w:t>
      </w:r>
      <w:r w:rsidR="00403297">
        <w:rPr>
          <w:lang w:val="en-GB"/>
        </w:rPr>
        <w:t>ed from</w:t>
      </w:r>
      <w:r w:rsidRPr="00221992">
        <w:rPr>
          <w:lang w:val="en-GB"/>
        </w:rPr>
        <w:t xml:space="preserve"> the conditional inclusion process and </w:t>
      </w:r>
      <w:r w:rsidR="00403297">
        <w:rPr>
          <w:lang w:val="en-GB"/>
        </w:rPr>
        <w:t>and/or</w:t>
      </w:r>
      <w:r w:rsidR="00403297" w:rsidRPr="00221992">
        <w:rPr>
          <w:lang w:val="en-GB"/>
        </w:rPr>
        <w:t xml:space="preserve"> </w:t>
      </w:r>
      <w:r w:rsidRPr="00221992">
        <w:rPr>
          <w:lang w:val="en-GB"/>
        </w:rPr>
        <w:t xml:space="preserve">included in the basic health care package. </w:t>
      </w:r>
    </w:p>
    <w:p w14:paraId="1A9EDB0F" w14:textId="21EE9EAE" w:rsidR="00E40B65" w:rsidRPr="00221992" w:rsidRDefault="00E40B65" w:rsidP="001902E8">
      <w:pPr>
        <w:ind w:left="426"/>
        <w:rPr>
          <w:lang w:val="en-GB"/>
        </w:rPr>
      </w:pPr>
      <w:r w:rsidRPr="00221992">
        <w:rPr>
          <w:lang w:val="en-GB"/>
        </w:rPr>
        <w:t>In England/Wales (via the CDF and IMF) and Scotland, listing is also conditional on data collection and</w:t>
      </w:r>
      <w:r w:rsidR="00403297">
        <w:rPr>
          <w:lang w:val="en-GB"/>
        </w:rPr>
        <w:t>, in</w:t>
      </w:r>
      <w:r w:rsidRPr="00221992">
        <w:rPr>
          <w:lang w:val="en-GB"/>
        </w:rPr>
        <w:t xml:space="preserve"> additional</w:t>
      </w:r>
      <w:r w:rsidR="00403297">
        <w:rPr>
          <w:lang w:val="en-GB"/>
        </w:rPr>
        <w:t>,</w:t>
      </w:r>
      <w:r w:rsidRPr="00221992">
        <w:rPr>
          <w:lang w:val="en-GB"/>
        </w:rPr>
        <w:t xml:space="preserve"> attached to the implementation of a managed entry </w:t>
      </w:r>
      <w:r w:rsidR="00270858">
        <w:rPr>
          <w:lang w:val="en-GB"/>
        </w:rPr>
        <w:t>scheme</w:t>
      </w:r>
      <w:r w:rsidR="00270858" w:rsidRPr="00221992">
        <w:rPr>
          <w:lang w:val="en-GB"/>
        </w:rPr>
        <w:t xml:space="preserve"> </w:t>
      </w:r>
      <w:r w:rsidRPr="00221992">
        <w:rPr>
          <w:lang w:val="en-GB"/>
        </w:rPr>
        <w:t xml:space="preserve">(see Section </w:t>
      </w:r>
      <w:r w:rsidR="00F473F6">
        <w:rPr>
          <w:lang w:val="en-GB"/>
        </w:rPr>
        <w:t>4.5</w:t>
      </w:r>
      <w:r w:rsidRPr="00221992">
        <w:rPr>
          <w:lang w:val="en-GB"/>
        </w:rPr>
        <w:t xml:space="preserve">). Further details are provided in </w:t>
      </w:r>
      <w:r w:rsidRPr="00221992">
        <w:rPr>
          <w:lang w:val="en-GB"/>
        </w:rPr>
        <w:fldChar w:fldCharType="begin"/>
      </w:r>
      <w:r w:rsidRPr="00221992">
        <w:rPr>
          <w:lang w:val="en-GB"/>
        </w:rPr>
        <w:instrText xml:space="preserve"> REF _Ref143203456 \h  \* MERGEFORMAT </w:instrText>
      </w:r>
      <w:r w:rsidRPr="00221992">
        <w:rPr>
          <w:lang w:val="en-GB"/>
        </w:rPr>
      </w:r>
      <w:r w:rsidRPr="00221992">
        <w:rPr>
          <w:lang w:val="en-GB"/>
        </w:rPr>
        <w:fldChar w:fldCharType="separate"/>
      </w:r>
      <w:r w:rsidR="000E11E7" w:rsidRPr="000E11E7">
        <w:rPr>
          <w:lang w:val="en-GB"/>
        </w:rPr>
        <w:t>Case study: England/Wales and Scotland—Access to therapies for ultra-rare diseases</w:t>
      </w:r>
      <w:r w:rsidRPr="00221992">
        <w:rPr>
          <w:lang w:val="en-GB"/>
        </w:rPr>
        <w:fldChar w:fldCharType="end"/>
      </w:r>
      <w:r w:rsidRPr="00221992">
        <w:rPr>
          <w:lang w:val="en-GB"/>
        </w:rPr>
        <w:t>.</w:t>
      </w:r>
    </w:p>
    <w:tbl>
      <w:tblPr>
        <w:tblStyle w:val="GridTable4-Accent36"/>
        <w:tblW w:w="0" w:type="auto"/>
        <w:tblInd w:w="0" w:type="dxa"/>
        <w:tblBorders>
          <w:top w:val="single" w:sz="12" w:space="0" w:color="4472C4"/>
          <w:left w:val="single" w:sz="12" w:space="0" w:color="4472C4"/>
          <w:bottom w:val="single" w:sz="12" w:space="0" w:color="4472C4"/>
          <w:right w:val="single" w:sz="12" w:space="0" w:color="4472C4"/>
          <w:insideH w:val="none" w:sz="0" w:space="0" w:color="auto"/>
          <w:insideV w:val="single" w:sz="4" w:space="0" w:color="A5A5A5"/>
        </w:tblBorders>
        <w:tblLook w:val="04A0" w:firstRow="1" w:lastRow="0" w:firstColumn="1" w:lastColumn="0" w:noHBand="0" w:noVBand="1"/>
      </w:tblPr>
      <w:tblGrid>
        <w:gridCol w:w="8474"/>
      </w:tblGrid>
      <w:tr w:rsidR="006A5720" w:rsidRPr="006A5720" w14:paraId="140B40BA" w14:textId="77777777" w:rsidTr="006A572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tcBorders>
              <w:top w:val="single" w:sz="12" w:space="0" w:color="4472C4"/>
              <w:left w:val="single" w:sz="12" w:space="0" w:color="4472C4"/>
              <w:bottom w:val="nil"/>
              <w:right w:val="single" w:sz="12" w:space="0" w:color="4472C4"/>
            </w:tcBorders>
            <w:hideMark/>
          </w:tcPr>
          <w:p w14:paraId="0BBE067B" w14:textId="76967AB0" w:rsidR="006A5720" w:rsidRPr="00944857" w:rsidRDefault="006A5720" w:rsidP="006A5720">
            <w:pPr>
              <w:spacing w:after="0" w:line="240" w:lineRule="auto"/>
              <w:jc w:val="center"/>
              <w:rPr>
                <w:rFonts w:ascii="Calibri" w:eastAsia="Calibri" w:hAnsi="Calibri" w:cs="Calibri"/>
                <w:sz w:val="22"/>
                <w:szCs w:val="22"/>
                <w:lang w:eastAsia="en-US"/>
              </w:rPr>
            </w:pPr>
            <w:r w:rsidRPr="00944857">
              <w:rPr>
                <w:rFonts w:ascii="Calibri" w:hAnsi="Calibri" w:cs="Calibri" w:hint="cs"/>
                <w:sz w:val="22"/>
                <w:szCs w:val="22"/>
                <w:lang w:eastAsia="en-US"/>
              </w:rPr>
              <w:t>Why this matters</w:t>
            </w:r>
          </w:p>
        </w:tc>
      </w:tr>
      <w:tr w:rsidR="006A5720" w:rsidRPr="006A5720" w14:paraId="18A98C6F" w14:textId="77777777" w:rsidTr="006A572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tcBorders>
              <w:top w:val="nil"/>
              <w:left w:val="single" w:sz="12" w:space="0" w:color="4472C4"/>
              <w:bottom w:val="single" w:sz="12" w:space="0" w:color="4472C4"/>
              <w:right w:val="single" w:sz="12" w:space="0" w:color="4472C4"/>
            </w:tcBorders>
          </w:tcPr>
          <w:p w14:paraId="0EBEE136" w14:textId="150FFA24" w:rsidR="006A5720" w:rsidRPr="00944857" w:rsidRDefault="006A5720" w:rsidP="006A5720">
            <w:pPr>
              <w:spacing w:after="0" w:line="240" w:lineRule="auto"/>
              <w:rPr>
                <w:rFonts w:cs="Calibri Light"/>
                <w:b w:val="0"/>
                <w:bCs w:val="0"/>
                <w:sz w:val="22"/>
                <w:szCs w:val="22"/>
                <w:lang w:eastAsia="en-US"/>
              </w:rPr>
            </w:pPr>
            <w:r w:rsidRPr="00944857">
              <w:rPr>
                <w:rFonts w:cs="Calibri Light"/>
                <w:b w:val="0"/>
                <w:bCs w:val="0"/>
                <w:sz w:val="22"/>
                <w:szCs w:val="22"/>
                <w:lang w:eastAsia="en-US"/>
              </w:rPr>
              <w:t>The uncertainty of the clinical evidence in a scenario of high unmet clinical need has motivated countries to use coverage with evidence</w:t>
            </w:r>
            <w:r w:rsidR="00D76AAC">
              <w:rPr>
                <w:rFonts w:cs="Calibri Light"/>
                <w:b w:val="0"/>
                <w:bCs w:val="0"/>
                <w:sz w:val="22"/>
                <w:szCs w:val="22"/>
                <w:lang w:eastAsia="en-US"/>
              </w:rPr>
              <w:t xml:space="preserve"> development</w:t>
            </w:r>
            <w:r w:rsidRPr="00944857">
              <w:rPr>
                <w:rFonts w:cs="Calibri Light"/>
                <w:b w:val="0"/>
                <w:bCs w:val="0"/>
                <w:sz w:val="22"/>
                <w:szCs w:val="22"/>
                <w:lang w:eastAsia="en-US"/>
              </w:rPr>
              <w:t xml:space="preserve"> (CED) strategies, or other managed entry </w:t>
            </w:r>
            <w:r w:rsidR="00FE01EB">
              <w:rPr>
                <w:rFonts w:cs="Calibri Light"/>
                <w:b w:val="0"/>
                <w:bCs w:val="0"/>
                <w:sz w:val="22"/>
                <w:szCs w:val="22"/>
                <w:lang w:eastAsia="en-US"/>
              </w:rPr>
              <w:t>arrangements</w:t>
            </w:r>
            <w:r w:rsidRPr="00944857">
              <w:rPr>
                <w:rFonts w:cs="Calibri Light"/>
                <w:b w:val="0"/>
                <w:bCs w:val="0"/>
                <w:sz w:val="22"/>
                <w:szCs w:val="22"/>
                <w:lang w:eastAsia="en-US"/>
              </w:rPr>
              <w:t xml:space="preserve">, to facilitate access to drugs for rare diseases.  </w:t>
            </w:r>
          </w:p>
          <w:p w14:paraId="4BD28C97" w14:textId="77777777" w:rsidR="006A5720" w:rsidRPr="006A5720" w:rsidRDefault="006A5720" w:rsidP="006A5720">
            <w:pPr>
              <w:spacing w:after="0" w:line="240" w:lineRule="auto"/>
              <w:rPr>
                <w:rFonts w:cs="Calibri Light"/>
                <w:b w:val="0"/>
                <w:sz w:val="22"/>
                <w:szCs w:val="22"/>
                <w:lang w:eastAsia="en-US"/>
              </w:rPr>
            </w:pPr>
          </w:p>
          <w:p w14:paraId="67684AA1" w14:textId="658A658D" w:rsidR="006A5720" w:rsidRPr="006A5720" w:rsidRDefault="006A5720" w:rsidP="006A5720">
            <w:pPr>
              <w:spacing w:after="0" w:line="240" w:lineRule="auto"/>
              <w:rPr>
                <w:rFonts w:cs="Calibri Light"/>
                <w:b w:val="0"/>
                <w:sz w:val="22"/>
                <w:szCs w:val="22"/>
                <w:lang w:eastAsia="en-US"/>
              </w:rPr>
            </w:pPr>
            <w:r w:rsidRPr="006A5720">
              <w:rPr>
                <w:rFonts w:cs="Calibri Light"/>
                <w:b w:val="0"/>
                <w:sz w:val="22"/>
                <w:szCs w:val="22"/>
                <w:lang w:eastAsia="en-US"/>
              </w:rPr>
              <w:t>In Australia, performance</w:t>
            </w:r>
            <w:r w:rsidR="00270858">
              <w:rPr>
                <w:rFonts w:cs="Calibri Light"/>
                <w:b w:val="0"/>
                <w:sz w:val="22"/>
                <w:szCs w:val="22"/>
                <w:lang w:eastAsia="en-US"/>
              </w:rPr>
              <w:t>-</w:t>
            </w:r>
            <w:r w:rsidRPr="006A5720">
              <w:rPr>
                <w:rFonts w:cs="Calibri Light"/>
                <w:b w:val="0"/>
                <w:sz w:val="22"/>
                <w:szCs w:val="22"/>
                <w:lang w:eastAsia="en-US"/>
              </w:rPr>
              <w:t xml:space="preserve">based managed entry </w:t>
            </w:r>
            <w:r w:rsidR="00FE01EB">
              <w:rPr>
                <w:rFonts w:cs="Calibri Light"/>
                <w:b w:val="0"/>
                <w:sz w:val="22"/>
                <w:szCs w:val="22"/>
                <w:lang w:eastAsia="en-US"/>
              </w:rPr>
              <w:t>arrangements</w:t>
            </w:r>
            <w:r w:rsidRPr="006A5720">
              <w:rPr>
                <w:rFonts w:cs="Calibri Light"/>
                <w:b w:val="0"/>
                <w:sz w:val="22"/>
                <w:szCs w:val="22"/>
                <w:lang w:eastAsia="en-US"/>
              </w:rPr>
              <w:t xml:space="preserve"> have been implemented in the past, namely population</w:t>
            </w:r>
            <w:r w:rsidR="00270858">
              <w:rPr>
                <w:rFonts w:cs="Calibri Light"/>
                <w:b w:val="0"/>
                <w:sz w:val="22"/>
                <w:szCs w:val="22"/>
                <w:lang w:eastAsia="en-US"/>
              </w:rPr>
              <w:t>-</w:t>
            </w:r>
            <w:r w:rsidRPr="006A5720">
              <w:rPr>
                <w:rFonts w:cs="Calibri Light"/>
                <w:b w:val="0"/>
                <w:sz w:val="22"/>
                <w:szCs w:val="22"/>
                <w:lang w:eastAsia="en-US"/>
              </w:rPr>
              <w:t>based CED [6]. In the rare disease</w:t>
            </w:r>
            <w:r w:rsidR="00270858">
              <w:rPr>
                <w:rFonts w:cs="Calibri Light"/>
                <w:b w:val="0"/>
                <w:sz w:val="22"/>
                <w:szCs w:val="22"/>
                <w:lang w:eastAsia="en-US"/>
              </w:rPr>
              <w:t>s space</w:t>
            </w:r>
            <w:r w:rsidR="009241B2">
              <w:rPr>
                <w:rFonts w:cs="Calibri Light"/>
                <w:b w:val="0"/>
                <w:sz w:val="22"/>
                <w:szCs w:val="22"/>
                <w:lang w:eastAsia="en-US"/>
              </w:rPr>
              <w:t>,</w:t>
            </w:r>
            <w:r w:rsidRPr="006A5720">
              <w:rPr>
                <w:rFonts w:cs="Calibri Light"/>
                <w:b w:val="0"/>
                <w:sz w:val="22"/>
                <w:szCs w:val="22"/>
                <w:lang w:eastAsia="en-US"/>
              </w:rPr>
              <w:t xml:space="preserve"> where underlying uncertainty is substantial, CED could be considered. </w:t>
            </w:r>
          </w:p>
          <w:p w14:paraId="2703F129" w14:textId="77777777" w:rsidR="006A5720" w:rsidRPr="006A5720" w:rsidRDefault="006A5720" w:rsidP="006A5720">
            <w:pPr>
              <w:spacing w:after="0" w:line="240" w:lineRule="auto"/>
              <w:rPr>
                <w:rFonts w:cs="Calibri Light"/>
                <w:b w:val="0"/>
                <w:sz w:val="22"/>
                <w:szCs w:val="22"/>
                <w:lang w:eastAsia="en-US"/>
              </w:rPr>
            </w:pPr>
          </w:p>
          <w:p w14:paraId="5D47703C" w14:textId="5B118FE0" w:rsidR="006A5720" w:rsidRPr="006A5720" w:rsidRDefault="00986129" w:rsidP="006A5720">
            <w:pPr>
              <w:spacing w:after="0" w:line="240" w:lineRule="auto"/>
              <w:rPr>
                <w:rFonts w:cs="Calibri Light"/>
                <w:sz w:val="22"/>
                <w:szCs w:val="22"/>
                <w:lang w:eastAsia="en-US"/>
              </w:rPr>
            </w:pPr>
            <w:r>
              <w:rPr>
                <w:rFonts w:cs="Calibri Light"/>
                <w:b w:val="0"/>
                <w:sz w:val="22"/>
                <w:szCs w:val="22"/>
                <w:lang w:eastAsia="en-US"/>
              </w:rPr>
              <w:t>Local and i</w:t>
            </w:r>
            <w:r w:rsidR="00042285">
              <w:rPr>
                <w:rFonts w:cs="Calibri Light"/>
                <w:b w:val="0"/>
                <w:sz w:val="22"/>
                <w:szCs w:val="22"/>
                <w:lang w:eastAsia="en-US"/>
              </w:rPr>
              <w:t>nternational</w:t>
            </w:r>
            <w:r w:rsidR="006A5720" w:rsidRPr="006A5720">
              <w:rPr>
                <w:rFonts w:cs="Calibri Light"/>
                <w:b w:val="0"/>
                <w:sz w:val="22"/>
                <w:szCs w:val="22"/>
                <w:lang w:eastAsia="en-US"/>
              </w:rPr>
              <w:t xml:space="preserve"> experience </w:t>
            </w:r>
            <w:r w:rsidR="00042285">
              <w:rPr>
                <w:rFonts w:cs="Calibri Light"/>
                <w:b w:val="0"/>
                <w:sz w:val="22"/>
                <w:szCs w:val="22"/>
                <w:lang w:eastAsia="en-US"/>
              </w:rPr>
              <w:t xml:space="preserve">with </w:t>
            </w:r>
            <w:r w:rsidR="00C57F05">
              <w:rPr>
                <w:rFonts w:cs="Calibri Light"/>
                <w:b w:val="0"/>
                <w:sz w:val="22"/>
                <w:szCs w:val="22"/>
                <w:lang w:eastAsia="en-US"/>
              </w:rPr>
              <w:t xml:space="preserve">conditional listing and data collection </w:t>
            </w:r>
            <w:r w:rsidR="006A5720" w:rsidRPr="006A5720">
              <w:rPr>
                <w:rFonts w:cs="Calibri Light"/>
                <w:b w:val="0"/>
                <w:sz w:val="22"/>
                <w:szCs w:val="22"/>
                <w:lang w:eastAsia="en-US"/>
              </w:rPr>
              <w:t xml:space="preserve">(see Section 4.5) could be used to enhance/improve the use of </w:t>
            </w:r>
            <w:r w:rsidR="00042285">
              <w:rPr>
                <w:rFonts w:cs="Calibri Light"/>
                <w:b w:val="0"/>
                <w:sz w:val="22"/>
                <w:szCs w:val="22"/>
                <w:lang w:eastAsia="en-US"/>
              </w:rPr>
              <w:t>such</w:t>
            </w:r>
            <w:r w:rsidR="006A5720" w:rsidRPr="006A5720">
              <w:rPr>
                <w:rFonts w:cs="Calibri Light"/>
                <w:b w:val="0"/>
                <w:sz w:val="22"/>
                <w:szCs w:val="22"/>
                <w:lang w:eastAsia="en-US"/>
              </w:rPr>
              <w:t xml:space="preserve"> </w:t>
            </w:r>
            <w:r w:rsidR="00D54DDC">
              <w:rPr>
                <w:rFonts w:cs="Calibri Light"/>
                <w:b w:val="0"/>
                <w:sz w:val="22"/>
                <w:szCs w:val="22"/>
                <w:lang w:eastAsia="en-US"/>
              </w:rPr>
              <w:t>schemes with respect</w:t>
            </w:r>
            <w:r w:rsidR="00D54DDC" w:rsidRPr="006A5720">
              <w:rPr>
                <w:rFonts w:cs="Calibri Light"/>
                <w:b w:val="0"/>
                <w:sz w:val="22"/>
                <w:szCs w:val="22"/>
                <w:lang w:eastAsia="en-US"/>
              </w:rPr>
              <w:t xml:space="preserve"> </w:t>
            </w:r>
            <w:r w:rsidR="00D54DDC">
              <w:rPr>
                <w:rFonts w:cs="Calibri Light"/>
                <w:b w:val="0"/>
                <w:sz w:val="22"/>
                <w:szCs w:val="22"/>
                <w:lang w:eastAsia="en-US"/>
              </w:rPr>
              <w:t>to orphan drugs</w:t>
            </w:r>
            <w:r>
              <w:rPr>
                <w:rFonts w:cs="Calibri Light"/>
                <w:b w:val="0"/>
                <w:sz w:val="22"/>
                <w:szCs w:val="22"/>
                <w:lang w:eastAsia="en-US"/>
              </w:rPr>
              <w:t xml:space="preserve"> in Australia</w:t>
            </w:r>
            <w:r w:rsidR="006A5720" w:rsidRPr="006A5720">
              <w:rPr>
                <w:rFonts w:cs="Calibri Light"/>
                <w:b w:val="0"/>
                <w:sz w:val="22"/>
                <w:szCs w:val="22"/>
                <w:lang w:eastAsia="en-US"/>
              </w:rPr>
              <w:t>.</w:t>
            </w:r>
          </w:p>
        </w:tc>
      </w:tr>
    </w:tbl>
    <w:p w14:paraId="66E9E53F" w14:textId="147CA392" w:rsidR="00940043" w:rsidRDefault="00940043" w:rsidP="00957584">
      <w:pPr>
        <w:pStyle w:val="ListParagraph2"/>
        <w:rPr>
          <w:lang w:val="en-GB"/>
        </w:rPr>
      </w:pPr>
    </w:p>
    <w:p w14:paraId="3EA8B051" w14:textId="3E0CC6B1" w:rsidR="001713EA" w:rsidRPr="00221992" w:rsidRDefault="00940043" w:rsidP="00957584">
      <w:pPr>
        <w:pStyle w:val="ListParagraph"/>
        <w:numPr>
          <w:ilvl w:val="0"/>
          <w:numId w:val="48"/>
        </w:numPr>
        <w:rPr>
          <w:lang w:val="en-GB"/>
        </w:rPr>
      </w:pPr>
      <w:r>
        <w:rPr>
          <w:lang w:val="en-GB"/>
        </w:rPr>
        <w:t xml:space="preserve">Impact </w:t>
      </w:r>
      <w:r w:rsidR="001713EA" w:rsidRPr="00710EF3">
        <w:rPr>
          <w:lang w:val="en-GB"/>
        </w:rPr>
        <w:t xml:space="preserve">beyond health </w:t>
      </w:r>
      <w:r w:rsidR="001D7A9A" w:rsidRPr="00710EF3">
        <w:rPr>
          <w:lang w:val="en-GB"/>
        </w:rPr>
        <w:t xml:space="preserve">and efficiency </w:t>
      </w:r>
      <w:r w:rsidR="001713EA" w:rsidRPr="00710EF3">
        <w:rPr>
          <w:lang w:val="en-GB"/>
        </w:rPr>
        <w:t>outcomes</w:t>
      </w:r>
      <w:r w:rsidR="00A21E0D">
        <w:rPr>
          <w:lang w:val="en-GB"/>
        </w:rPr>
        <w:t>—</w:t>
      </w:r>
      <w:r w:rsidR="0085494A">
        <w:rPr>
          <w:lang w:val="en-GB"/>
        </w:rPr>
        <w:t>While</w:t>
      </w:r>
      <w:r w:rsidR="001713EA" w:rsidRPr="00221992">
        <w:rPr>
          <w:lang w:val="en-GB"/>
        </w:rPr>
        <w:t xml:space="preserve"> cost-effectiveness </w:t>
      </w:r>
      <w:r w:rsidR="0085494A">
        <w:rPr>
          <w:lang w:val="en-GB"/>
        </w:rPr>
        <w:t>may be used as</w:t>
      </w:r>
      <w:r w:rsidR="001713EA" w:rsidRPr="00221992">
        <w:rPr>
          <w:lang w:val="en-GB"/>
        </w:rPr>
        <w:t xml:space="preserve"> a criteri</w:t>
      </w:r>
      <w:r w:rsidR="0085494A">
        <w:rPr>
          <w:lang w:val="en-GB"/>
        </w:rPr>
        <w:t>on</w:t>
      </w:r>
      <w:r w:rsidR="001713EA" w:rsidRPr="00221992">
        <w:rPr>
          <w:lang w:val="en-GB"/>
        </w:rPr>
        <w:t xml:space="preserve"> in the evaluation of orphan drugs, failure to demonstrate cost-effectiveness has not necessarily resulted in negative recommendations.</w:t>
      </w:r>
      <w:r w:rsidR="001713EA" w:rsidRPr="00711556">
        <w:rPr>
          <w:lang w:val="en-GB"/>
        </w:rPr>
        <w:t xml:space="preserve"> </w:t>
      </w:r>
      <w:r w:rsidR="00533583">
        <w:rPr>
          <w:lang w:val="en-GB"/>
        </w:rPr>
        <w:t xml:space="preserve">In this </w:t>
      </w:r>
      <w:r w:rsidR="00C8012E">
        <w:rPr>
          <w:lang w:val="en-GB"/>
        </w:rPr>
        <w:t>regard</w:t>
      </w:r>
      <w:r w:rsidR="00533583">
        <w:rPr>
          <w:lang w:val="en-GB"/>
        </w:rPr>
        <w:t xml:space="preserve">, some countries </w:t>
      </w:r>
      <w:r w:rsidR="00533583" w:rsidRPr="00221992">
        <w:rPr>
          <w:lang w:val="en-GB"/>
        </w:rPr>
        <w:t>have accepted higher ICER thresholds (</w:t>
      </w:r>
      <w:r w:rsidR="00533583">
        <w:rPr>
          <w:lang w:val="en-GB"/>
        </w:rPr>
        <w:t xml:space="preserve">e.g., </w:t>
      </w:r>
      <w:r w:rsidR="00533583" w:rsidRPr="00221992">
        <w:rPr>
          <w:lang w:val="en-GB"/>
        </w:rPr>
        <w:t>Korea, England/Wales)</w:t>
      </w:r>
      <w:r w:rsidR="00533583">
        <w:rPr>
          <w:lang w:val="en-GB"/>
        </w:rPr>
        <w:t xml:space="preserve"> for </w:t>
      </w:r>
      <w:r w:rsidR="00740AC2">
        <w:rPr>
          <w:lang w:val="en-GB"/>
        </w:rPr>
        <w:t xml:space="preserve">orphan </w:t>
      </w:r>
      <w:r w:rsidR="00533583">
        <w:rPr>
          <w:lang w:val="en-GB"/>
        </w:rPr>
        <w:t xml:space="preserve">drugs. </w:t>
      </w:r>
      <w:r w:rsidR="001713EA" w:rsidRPr="00221992">
        <w:rPr>
          <w:lang w:val="en-GB"/>
        </w:rPr>
        <w:t xml:space="preserve"> A (2021) review of determinations on the reimbursement of </w:t>
      </w:r>
      <w:r w:rsidR="001A7367" w:rsidRPr="00221992">
        <w:rPr>
          <w:lang w:val="en-GB"/>
        </w:rPr>
        <w:t>n</w:t>
      </w:r>
      <w:r w:rsidR="001713EA" w:rsidRPr="00221992">
        <w:rPr>
          <w:lang w:val="en-GB"/>
        </w:rPr>
        <w:t>usinersen for the treatment of spinal muscular atrophy, for example, found that despite HTA agencies in various countries including Canada, England/Wales, Italy, Scotland, Sweden</w:t>
      </w:r>
      <w:r w:rsidR="00740AC2">
        <w:rPr>
          <w:lang w:val="en-GB"/>
        </w:rPr>
        <w:t xml:space="preserve"> and </w:t>
      </w:r>
      <w:r w:rsidR="001713EA" w:rsidRPr="00221992">
        <w:rPr>
          <w:lang w:val="en-GB"/>
        </w:rPr>
        <w:t>the Netherlands, among others</w:t>
      </w:r>
      <w:r w:rsidR="00740AC2">
        <w:rPr>
          <w:lang w:val="en-GB"/>
        </w:rPr>
        <w:t>,</w:t>
      </w:r>
      <w:r w:rsidR="001713EA" w:rsidRPr="00221992">
        <w:rPr>
          <w:lang w:val="en-GB"/>
        </w:rPr>
        <w:t xml:space="preserve"> conclud</w:t>
      </w:r>
      <w:r w:rsidR="00740AC2">
        <w:rPr>
          <w:lang w:val="en-GB"/>
        </w:rPr>
        <w:t>ing</w:t>
      </w:r>
      <w:r w:rsidR="001713EA" w:rsidRPr="00221992">
        <w:rPr>
          <w:lang w:val="en-GB"/>
        </w:rPr>
        <w:t xml:space="preserve"> that </w:t>
      </w:r>
      <w:r w:rsidR="00F16FE5">
        <w:rPr>
          <w:lang w:val="en-GB"/>
        </w:rPr>
        <w:t>n</w:t>
      </w:r>
      <w:r w:rsidR="001713EA" w:rsidRPr="00221992">
        <w:rPr>
          <w:lang w:val="en-GB"/>
        </w:rPr>
        <w:t xml:space="preserve">usinersen was not cost-effective, reimbursement was nonetheless granted in most countries (most under the terms of a </w:t>
      </w:r>
      <w:r w:rsidR="00740AC2">
        <w:rPr>
          <w:lang w:val="en-GB"/>
        </w:rPr>
        <w:t>m</w:t>
      </w:r>
      <w:r w:rsidR="001713EA" w:rsidRPr="00221992">
        <w:rPr>
          <w:lang w:val="en-GB"/>
        </w:rPr>
        <w:t xml:space="preserve">anaged </w:t>
      </w:r>
      <w:r w:rsidR="00740AC2">
        <w:rPr>
          <w:lang w:val="en-GB"/>
        </w:rPr>
        <w:t>e</w:t>
      </w:r>
      <w:r w:rsidR="001713EA" w:rsidRPr="00221992">
        <w:rPr>
          <w:lang w:val="en-GB"/>
        </w:rPr>
        <w:t xml:space="preserve">ntry </w:t>
      </w:r>
      <w:r w:rsidR="00260B6F">
        <w:rPr>
          <w:lang w:val="en-GB"/>
        </w:rPr>
        <w:t>arrangement</w:t>
      </w:r>
      <w:r w:rsidR="001713EA" w:rsidRPr="00221992">
        <w:rPr>
          <w:lang w:val="en-GB"/>
        </w:rPr>
        <w:t xml:space="preserve">, see Section 4.4.1 </w:t>
      </w:r>
      <w:r w:rsidR="00A36053" w:rsidRPr="00221992">
        <w:rPr>
          <w:lang w:val="en-GB"/>
        </w:rPr>
        <w:fldChar w:fldCharType="begin"/>
      </w:r>
      <w:r w:rsidR="00E5265C">
        <w:rPr>
          <w:lang w:val="en-GB"/>
        </w:rPr>
        <w:instrText xml:space="preserve"> ADDIN EN.CITE &lt;EndNote&gt;&lt;Cite&gt;&lt;Author&gt;Blonda&lt;/Author&gt;&lt;Year&gt;2021&lt;/Year&gt;&lt;RecNum&gt;54&lt;/RecNum&gt;&lt;DisplayText&gt;[146]&lt;/DisplayText&gt;&lt;record&gt;&lt;rec-number&gt;54&lt;/rec-number&gt;&lt;foreign-keys&gt;&lt;key app="EN" db-id="wzwwsfxe4peesxef95cxvrwjxts9rreasarf" timestamp="1692654670"&gt;54&lt;/key&gt;&lt;/foreign-keys&gt;&lt;ref-type name="Journal Article"&gt;17&lt;/ref-type&gt;&lt;contributors&gt;&lt;authors&gt;&lt;author&gt;Blonda, A.&lt;/author&gt;&lt;author&gt;Barcina Lacosta, T.&lt;/author&gt;&lt;author&gt;Toumi, M.&lt;/author&gt;&lt;author&gt;Simoens, S.&lt;/author&gt;&lt;/authors&gt;&lt;/contributors&gt;&lt;auth-address&gt;Department of Pharmaceutical and Pharmacological Sciences, KU Leuven, Leuven, Belgium&amp;#xD;Department of Public Health, Aix-Marseille Université, Marseille, France&lt;/auth-address&gt;&lt;titles&gt;&lt;title&gt;Assessing the Value of Nusinersen for Spinal Muscular Atrophy: A Comparative Analysis of Reimbursement Submission and Appraisal in European Countries&lt;/title&gt;&lt;secondary-title&gt;Front Pharmacol&lt;/secondary-title&gt;&lt;/titles&gt;&lt;periodical&gt;&lt;full-title&gt;Front Pharmacol&lt;/full-title&gt;&lt;/periodical&gt;&lt;volume&gt;12&lt;/volume&gt;&lt;edition&gt;20220121&lt;/edition&gt;&lt;dates&gt;&lt;year&gt;2021&lt;/year&gt;&lt;/dates&gt;&lt;accession-num&gt;35126102&lt;/accession-num&gt;&lt;urls&gt;&lt;/urls&gt;&lt;custom2&gt;PMC8814578&lt;/custom2&gt;&lt;electronic-resource-num&gt;10.3389/fphar.2021.750742&lt;/electronic-resource-num&gt;&lt;language&gt;eng&lt;/language&gt;&lt;/record&gt;&lt;/Cite&gt;&lt;/EndNote&gt;</w:instrText>
      </w:r>
      <w:r w:rsidR="00A36053" w:rsidRPr="00221992">
        <w:rPr>
          <w:lang w:val="en-GB"/>
        </w:rPr>
        <w:fldChar w:fldCharType="separate"/>
      </w:r>
      <w:r w:rsidR="00E5265C">
        <w:rPr>
          <w:noProof/>
          <w:lang w:val="en-GB"/>
        </w:rPr>
        <w:t>[146]</w:t>
      </w:r>
      <w:r w:rsidR="00A36053" w:rsidRPr="00221992">
        <w:rPr>
          <w:lang w:val="en-GB"/>
        </w:rPr>
        <w:fldChar w:fldCharType="end"/>
      </w:r>
      <w:r w:rsidR="001713EA" w:rsidRPr="00221992">
        <w:rPr>
          <w:lang w:val="en-GB"/>
        </w:rPr>
        <w:t xml:space="preserve">. This fact suggests that equity considerations were considered either explicitly (e.g., severity, in all jurisdictions; carer utilities in Ireland) or implicitly (e.g., via disease-modifying criteria that allowed acceptance of greater economic uncertainty in Scotland) </w:t>
      </w:r>
      <w:r w:rsidR="00B935DC" w:rsidRPr="00221992">
        <w:rPr>
          <w:lang w:val="en-GB"/>
        </w:rPr>
        <w:fldChar w:fldCharType="begin"/>
      </w:r>
      <w:r w:rsidR="00E5265C">
        <w:rPr>
          <w:lang w:val="en-GB"/>
        </w:rPr>
        <w:instrText xml:space="preserve"> ADDIN EN.CITE &lt;EndNote&gt;&lt;Cite&gt;&lt;Author&gt;Blonda&lt;/Author&gt;&lt;Year&gt;2021&lt;/Year&gt;&lt;RecNum&gt;54&lt;/RecNum&gt;&lt;DisplayText&gt;[146]&lt;/DisplayText&gt;&lt;record&gt;&lt;rec-number&gt;54&lt;/rec-number&gt;&lt;foreign-keys&gt;&lt;key app="EN" db-id="wzwwsfxe4peesxef95cxvrwjxts9rreasarf" timestamp="1692654670"&gt;54&lt;/key&gt;&lt;/foreign-keys&gt;&lt;ref-type name="Journal Article"&gt;17&lt;/ref-type&gt;&lt;contributors&gt;&lt;authors&gt;&lt;author&gt;Blonda, A.&lt;/author&gt;&lt;author&gt;Barcina Lacosta, T.&lt;/author&gt;&lt;author&gt;Toumi, M.&lt;/author&gt;&lt;author&gt;Simoens, S.&lt;/author&gt;&lt;/authors&gt;&lt;/contributors&gt;&lt;auth-address&gt;Department of Pharmaceutical and Pharmacological Sciences, KU Leuven, Leuven, Belgium&amp;#xD;Department of Public Health, Aix-Marseille Université, Marseille, France&lt;/auth-address&gt;&lt;titles&gt;&lt;title&gt;Assessing the Value of Nusinersen for Spinal Muscular Atrophy: A Comparative Analysis of Reimbursement Submission and Appraisal in European Countries&lt;/title&gt;&lt;secondary-title&gt;Front Pharmacol&lt;/secondary-title&gt;&lt;/titles&gt;&lt;periodical&gt;&lt;full-title&gt;Front Pharmacol&lt;/full-title&gt;&lt;/periodical&gt;&lt;volume&gt;12&lt;/volume&gt;&lt;edition&gt;20220121&lt;/edition&gt;&lt;dates&gt;&lt;year&gt;2021&lt;/year&gt;&lt;/dates&gt;&lt;accession-num&gt;35126102&lt;/accession-num&gt;&lt;urls&gt;&lt;/urls&gt;&lt;custom2&gt;PMC8814578&lt;/custom2&gt;&lt;electronic-resource-num&gt;10.3389/fphar.2021.750742&lt;/electronic-resource-num&gt;&lt;language&gt;eng&lt;/language&gt;&lt;/record&gt;&lt;/Cite&gt;&lt;/EndNote&gt;</w:instrText>
      </w:r>
      <w:r w:rsidR="00B935DC" w:rsidRPr="00221992">
        <w:rPr>
          <w:lang w:val="en-GB"/>
        </w:rPr>
        <w:fldChar w:fldCharType="separate"/>
      </w:r>
      <w:r w:rsidR="00E5265C">
        <w:rPr>
          <w:noProof/>
          <w:lang w:val="en-GB"/>
        </w:rPr>
        <w:t>[146]</w:t>
      </w:r>
      <w:r w:rsidR="00B935DC" w:rsidRPr="00221992">
        <w:rPr>
          <w:lang w:val="en-GB"/>
        </w:rPr>
        <w:fldChar w:fldCharType="end"/>
      </w:r>
      <w:r w:rsidR="001713EA" w:rsidRPr="00221992">
        <w:rPr>
          <w:lang w:val="en-GB"/>
        </w:rPr>
        <w:t xml:space="preserve">. While the consideration of equity criteria is not unique, researchers suggest greater transparency is needed concerning the factors influencing reimbursement decisions after HTA guidance has been issued </w:t>
      </w:r>
      <w:r w:rsidR="00B935DC" w:rsidRPr="00221992">
        <w:rPr>
          <w:lang w:val="en-GB"/>
        </w:rPr>
        <w:fldChar w:fldCharType="begin"/>
      </w:r>
      <w:r w:rsidR="00E5265C">
        <w:rPr>
          <w:lang w:val="en-GB"/>
        </w:rPr>
        <w:instrText xml:space="preserve"> ADDIN EN.CITE &lt;EndNote&gt;&lt;Cite&gt;&lt;Author&gt;Blonda&lt;/Author&gt;&lt;Year&gt;2021&lt;/Year&gt;&lt;RecNum&gt;54&lt;/RecNum&gt;&lt;DisplayText&gt;[146]&lt;/DisplayText&gt;&lt;record&gt;&lt;rec-number&gt;54&lt;/rec-number&gt;&lt;foreign-keys&gt;&lt;key app="EN" db-id="wzwwsfxe4peesxef95cxvrwjxts9rreasarf" timestamp="1692654670"&gt;54&lt;/key&gt;&lt;/foreign-keys&gt;&lt;ref-type name="Journal Article"&gt;17&lt;/ref-type&gt;&lt;contributors&gt;&lt;authors&gt;&lt;author&gt;Blonda, A.&lt;/author&gt;&lt;author&gt;Barcina Lacosta, T.&lt;/author&gt;&lt;author&gt;Toumi, M.&lt;/author&gt;&lt;author&gt;Simoens, S.&lt;/author&gt;&lt;/authors&gt;&lt;/contributors&gt;&lt;auth-address&gt;Department of Pharmaceutical and Pharmacological Sciences, KU Leuven, Leuven, Belgium&amp;#xD;Department of Public Health, Aix-Marseille Université, Marseille, France&lt;/auth-address&gt;&lt;titles&gt;&lt;title&gt;Assessing the Value of Nusinersen for Spinal Muscular Atrophy: A Comparative Analysis of Reimbursement Submission and Appraisal in European Countries&lt;/title&gt;&lt;secondary-title&gt;Front Pharmacol&lt;/secondary-title&gt;&lt;/titles&gt;&lt;periodical&gt;&lt;full-title&gt;Front Pharmacol&lt;/full-title&gt;&lt;/periodical&gt;&lt;volume&gt;12&lt;/volume&gt;&lt;edition&gt;20220121&lt;/edition&gt;&lt;dates&gt;&lt;year&gt;2021&lt;/year&gt;&lt;/dates&gt;&lt;accession-num&gt;35126102&lt;/accession-num&gt;&lt;urls&gt;&lt;/urls&gt;&lt;custom2&gt;PMC8814578&lt;/custom2&gt;&lt;electronic-resource-num&gt;10.3389/fphar.2021.750742&lt;/electronic-resource-num&gt;&lt;language&gt;eng&lt;/language&gt;&lt;/record&gt;&lt;/Cite&gt;&lt;/EndNote&gt;</w:instrText>
      </w:r>
      <w:r w:rsidR="00B935DC" w:rsidRPr="00221992">
        <w:rPr>
          <w:lang w:val="en-GB"/>
        </w:rPr>
        <w:fldChar w:fldCharType="separate"/>
      </w:r>
      <w:r w:rsidR="00E5265C">
        <w:rPr>
          <w:noProof/>
          <w:lang w:val="en-GB"/>
        </w:rPr>
        <w:t>[146]</w:t>
      </w:r>
      <w:r w:rsidR="00B935DC" w:rsidRPr="00221992">
        <w:rPr>
          <w:lang w:val="en-GB"/>
        </w:rPr>
        <w:fldChar w:fldCharType="end"/>
      </w:r>
      <w:r w:rsidR="001713EA" w:rsidRPr="00221992">
        <w:rPr>
          <w:lang w:val="en-GB"/>
        </w:rPr>
        <w:t>.</w:t>
      </w:r>
    </w:p>
    <w:p w14:paraId="690DE7E2" w14:textId="6CA95F34" w:rsidR="001837B5" w:rsidRPr="009B4B43" w:rsidRDefault="00EA5A5C" w:rsidP="000C66C0">
      <w:pPr>
        <w:ind w:left="426"/>
        <w:rPr>
          <w:lang w:val="en-GB"/>
        </w:rPr>
      </w:pPr>
      <w:r>
        <w:rPr>
          <w:lang w:val="en-GB"/>
        </w:rPr>
        <w:t>H</w:t>
      </w:r>
      <w:r w:rsidR="001837B5" w:rsidRPr="00A21E0D">
        <w:rPr>
          <w:lang w:val="en-GB"/>
        </w:rPr>
        <w:t>igher ICER</w:t>
      </w:r>
      <w:r>
        <w:rPr>
          <w:lang w:val="en-GB"/>
        </w:rPr>
        <w:t>s</w:t>
      </w:r>
      <w:r w:rsidR="001837B5" w:rsidRPr="009B4B43">
        <w:rPr>
          <w:lang w:val="en-GB"/>
        </w:rPr>
        <w:t xml:space="preserve"> may be acceptable in England/Wales, Korea, Norway, </w:t>
      </w:r>
      <w:r>
        <w:rPr>
          <w:lang w:val="en-GB"/>
        </w:rPr>
        <w:t xml:space="preserve">Scotland, </w:t>
      </w:r>
      <w:r w:rsidR="001837B5" w:rsidRPr="009B4B43">
        <w:rPr>
          <w:lang w:val="en-GB"/>
        </w:rPr>
        <w:t>Sweden</w:t>
      </w:r>
      <w:r>
        <w:rPr>
          <w:lang w:val="en-GB"/>
        </w:rPr>
        <w:t xml:space="preserve"> and</w:t>
      </w:r>
      <w:r w:rsidR="001837B5" w:rsidRPr="009B4B43">
        <w:rPr>
          <w:lang w:val="en-GB"/>
        </w:rPr>
        <w:t xml:space="preserve"> </w:t>
      </w:r>
      <w:r>
        <w:rPr>
          <w:lang w:val="en-GB"/>
        </w:rPr>
        <w:t xml:space="preserve">the </w:t>
      </w:r>
      <w:r w:rsidR="001837B5" w:rsidRPr="009B4B43">
        <w:rPr>
          <w:lang w:val="en-GB"/>
        </w:rPr>
        <w:t>Netherlands. More specifically,</w:t>
      </w:r>
      <w:r>
        <w:rPr>
          <w:lang w:val="en-GB"/>
        </w:rPr>
        <w:t xml:space="preserve"> in</w:t>
      </w:r>
      <w:r w:rsidR="001837B5" w:rsidRPr="009B4B43">
        <w:rPr>
          <w:lang w:val="en-GB"/>
        </w:rPr>
        <w:t xml:space="preserve"> Sweden, Norway, </w:t>
      </w:r>
      <w:r>
        <w:rPr>
          <w:lang w:val="en-GB"/>
        </w:rPr>
        <w:t xml:space="preserve">the </w:t>
      </w:r>
      <w:r w:rsidR="001837B5" w:rsidRPr="009B4B43">
        <w:rPr>
          <w:lang w:val="en-GB"/>
        </w:rPr>
        <w:t>Netherland</w:t>
      </w:r>
      <w:r>
        <w:rPr>
          <w:lang w:val="en-GB"/>
        </w:rPr>
        <w:t>s</w:t>
      </w:r>
      <w:r w:rsidR="001837B5" w:rsidRPr="009B4B43">
        <w:rPr>
          <w:lang w:val="en-GB"/>
        </w:rPr>
        <w:t xml:space="preserve"> and England/Wales, </w:t>
      </w:r>
      <w:r>
        <w:rPr>
          <w:lang w:val="en-GB"/>
        </w:rPr>
        <w:t>a</w:t>
      </w:r>
      <w:r w:rsidRPr="009B4B43">
        <w:rPr>
          <w:lang w:val="en-GB"/>
        </w:rPr>
        <w:t xml:space="preserve"> </w:t>
      </w:r>
      <w:r w:rsidR="001837B5" w:rsidRPr="009B4B43">
        <w:rPr>
          <w:lang w:val="en-GB"/>
        </w:rPr>
        <w:t xml:space="preserve">higher ICER threshold may be acceptable with more severe diseases following a QALY weighting approach (see Paper </w:t>
      </w:r>
      <w:r w:rsidR="007521A1">
        <w:rPr>
          <w:lang w:val="en-GB"/>
        </w:rPr>
        <w:t>5</w:t>
      </w:r>
      <w:r w:rsidR="001837B5" w:rsidRPr="009B4B43">
        <w:rPr>
          <w:lang w:val="en-GB"/>
        </w:rPr>
        <w:t>: HTA methods and Economic Evaluation). In Norway, this is conditional on the drug being potentially effective. In England/Wales, a higher threshold is acceptable depending on the nature of the condition (</w:t>
      </w:r>
      <w:r>
        <w:rPr>
          <w:lang w:val="en-GB"/>
        </w:rPr>
        <w:t xml:space="preserve">i.e., </w:t>
      </w:r>
      <w:r w:rsidR="001837B5" w:rsidRPr="009B4B43">
        <w:rPr>
          <w:lang w:val="en-GB"/>
        </w:rPr>
        <w:t>morbidity, disability, impact on carers, extent and nature of treatment options), impact</w:t>
      </w:r>
      <w:r>
        <w:rPr>
          <w:lang w:val="en-GB"/>
        </w:rPr>
        <w:t>s</w:t>
      </w:r>
      <w:r w:rsidR="001837B5" w:rsidRPr="009B4B43">
        <w:rPr>
          <w:lang w:val="en-GB"/>
        </w:rPr>
        <w:t xml:space="preserve"> beyond direct health benefits</w:t>
      </w:r>
      <w:r>
        <w:rPr>
          <w:lang w:val="en-GB"/>
        </w:rPr>
        <w:t>,</w:t>
      </w:r>
      <w:r w:rsidR="001837B5" w:rsidRPr="009B4B43">
        <w:rPr>
          <w:lang w:val="en-GB"/>
        </w:rPr>
        <w:t xml:space="preserve"> and the magnitude of benefit when comparing the new technology with its relevant comparator. </w:t>
      </w:r>
      <w:r>
        <w:rPr>
          <w:lang w:val="en-GB"/>
        </w:rPr>
        <w:t>NICE’s current</w:t>
      </w:r>
      <w:r w:rsidR="001837B5" w:rsidRPr="009B4B43">
        <w:rPr>
          <w:lang w:val="en-GB"/>
        </w:rPr>
        <w:t xml:space="preserve"> methods state that the ICER </w:t>
      </w:r>
      <w:r>
        <w:rPr>
          <w:lang w:val="en-GB"/>
        </w:rPr>
        <w:t>may</w:t>
      </w:r>
      <w:r w:rsidRPr="009B4B43">
        <w:rPr>
          <w:lang w:val="en-GB"/>
        </w:rPr>
        <w:t xml:space="preserve"> </w:t>
      </w:r>
      <w:r>
        <w:rPr>
          <w:lang w:val="en-GB"/>
        </w:rPr>
        <w:t>be acceptable</w:t>
      </w:r>
      <w:r w:rsidRPr="009B4B43">
        <w:rPr>
          <w:lang w:val="en-GB"/>
        </w:rPr>
        <w:t xml:space="preserve"> </w:t>
      </w:r>
      <w:r w:rsidR="001837B5" w:rsidRPr="009B4B43">
        <w:rPr>
          <w:lang w:val="en-GB"/>
        </w:rPr>
        <w:t xml:space="preserve">up to a value of £100,000/QALY, increasing to £300,000/QALY if the expected health gain is sufficiently large </w:t>
      </w:r>
      <w:r w:rsidR="001837B5" w:rsidRPr="009B4B43">
        <w:rPr>
          <w:lang w:val="en-GB"/>
        </w:rPr>
        <w:fldChar w:fldCharType="begin"/>
      </w:r>
      <w:r w:rsidR="00E5265C">
        <w:rPr>
          <w:lang w:val="en-GB"/>
        </w:rPr>
        <w:instrText xml:space="preserve"> ADDIN EN.CITE &lt;EndNote&gt;&lt;Cite&gt;&lt;Author&gt;Paulden&lt;/Author&gt;&lt;Year&gt;2017&lt;/Year&gt;&lt;RecNum&gt;372&lt;/RecNum&gt;&lt;DisplayText&gt;[147]&lt;/DisplayText&gt;&lt;record&gt;&lt;rec-number&gt;372&lt;/rec-number&gt;&lt;foreign-keys&gt;&lt;key app="EN" db-id="wzwwsfxe4peesxef95cxvrwjxts9rreasarf" timestamp="1692654670"&gt;372&lt;/key&gt;&lt;/foreign-keys&gt;&lt;ref-type name="Journal Article"&gt;17&lt;/ref-type&gt;&lt;contributors&gt;&lt;authors&gt;&lt;author&gt;Paulden, M.&lt;/author&gt;&lt;/authors&gt;&lt;/contributors&gt;&lt;auth-address&gt;a School of Public Health , University of Alberta , Edmonton , Canada.&lt;/auth-address&gt;&lt;titles&gt;&lt;title&gt;Recent amendments to NICE&amp;apos;s value-based assessment of health technologies: implicitly inequitable?&lt;/title&gt;&lt;secondary-title&gt;Expert Rev Pharmacoecon Outcomes Res&lt;/secondary-title&gt;&lt;/titles&gt;&lt;periodical&gt;&lt;full-title&gt;Expert Rev Pharmacoecon Outcomes Res&lt;/full-title&gt;&lt;/periodical&gt;&lt;pages&gt;239-242&lt;/pages&gt;&lt;volume&gt;17&lt;/volume&gt;&lt;number&gt;3&lt;/number&gt;&lt;edition&gt;20170523&lt;/edition&gt;&lt;keywords&gt;&lt;keyword&gt;Biomedical Technology/economics/*methods&lt;/keyword&gt;&lt;keyword&gt;Cost-Benefit Analysis/*methods&lt;/keyword&gt;&lt;keyword&gt;Humans&lt;/keyword&gt;&lt;keyword&gt;Quality-Adjusted Life Years&lt;/keyword&gt;&lt;keyword&gt;Technology Assessment, Biomedical/*methods&lt;/keyword&gt;&lt;keyword&gt;United Kingdom&lt;/keyword&gt;&lt;keyword&gt;Nice&lt;/keyword&gt;&lt;keyword&gt;equity&lt;/keyword&gt;&lt;keyword&gt;health technology assessment&lt;/keyword&gt;&lt;keyword&gt;opportunity cost&lt;/keyword&gt;&lt;keyword&gt;value&lt;/keyword&gt;&lt;/keywords&gt;&lt;dates&gt;&lt;year&gt;2017&lt;/year&gt;&lt;pub-dates&gt;&lt;date&gt;Jun&lt;/date&gt;&lt;/pub-dates&gt;&lt;/dates&gt;&lt;isbn&gt;1473-7167&lt;/isbn&gt;&lt;accession-num&gt;28490259&lt;/accession-num&gt;&lt;urls&gt;&lt;related-urls&gt;&lt;url&gt;https://www.tandfonline.com/doi/pdf/10.1080/14737167.2017.1330152&lt;/url&gt;&lt;/related-urls&gt;&lt;/urls&gt;&lt;electronic-resource-num&gt;10.1080/14737167.2017.1330152&lt;/electronic-resource-num&gt;&lt;remote-database-provider&gt;NLM&lt;/remote-database-provider&gt;&lt;research-notes&gt;[MT]_IN&lt;/research-notes&gt;&lt;language&gt;eng&lt;/language&gt;&lt;/record&gt;&lt;/Cite&gt;&lt;/EndNote&gt;</w:instrText>
      </w:r>
      <w:r w:rsidR="001837B5" w:rsidRPr="009B4B43">
        <w:rPr>
          <w:lang w:val="en-GB"/>
        </w:rPr>
        <w:fldChar w:fldCharType="separate"/>
      </w:r>
      <w:r w:rsidR="00E5265C">
        <w:rPr>
          <w:noProof/>
          <w:lang w:val="en-GB"/>
        </w:rPr>
        <w:t>[147]</w:t>
      </w:r>
      <w:r w:rsidR="001837B5" w:rsidRPr="009B4B43">
        <w:rPr>
          <w:lang w:val="en-GB"/>
        </w:rPr>
        <w:fldChar w:fldCharType="end"/>
      </w:r>
      <w:r w:rsidR="001837B5" w:rsidRPr="009B4B43">
        <w:rPr>
          <w:lang w:val="en-GB"/>
        </w:rPr>
        <w:t xml:space="preserve">. Under this pathway, a risk sharing agreement is required to cover key areas of clinical uncertainty (further details are provided in Section 4.4). In Australia, </w:t>
      </w:r>
      <w:r w:rsidR="00470BC5">
        <w:rPr>
          <w:lang w:val="en-GB"/>
        </w:rPr>
        <w:t xml:space="preserve">orphan drugs can also follow the standard pathway of access </w:t>
      </w:r>
      <w:r w:rsidR="00432830">
        <w:rPr>
          <w:lang w:val="en-GB"/>
        </w:rPr>
        <w:t xml:space="preserve">as for all other drugs </w:t>
      </w:r>
      <w:r w:rsidR="003B731E">
        <w:rPr>
          <w:lang w:val="en-GB"/>
        </w:rPr>
        <w:t>and in some cases</w:t>
      </w:r>
      <w:r>
        <w:rPr>
          <w:lang w:val="en-GB"/>
        </w:rPr>
        <w:t>,</w:t>
      </w:r>
      <w:r w:rsidR="003B731E">
        <w:rPr>
          <w:lang w:val="en-GB"/>
        </w:rPr>
        <w:t xml:space="preserve"> </w:t>
      </w:r>
      <w:r w:rsidR="001837B5" w:rsidRPr="009B4B43">
        <w:rPr>
          <w:lang w:val="en-GB"/>
        </w:rPr>
        <w:t xml:space="preserve">where the PBAC might </w:t>
      </w:r>
      <w:r>
        <w:rPr>
          <w:lang w:val="en-GB"/>
        </w:rPr>
        <w:t xml:space="preserve">not be </w:t>
      </w:r>
      <w:r w:rsidR="001837B5" w:rsidRPr="009B4B43">
        <w:rPr>
          <w:lang w:val="en-GB"/>
        </w:rPr>
        <w:t xml:space="preserve">otherwise inclined </w:t>
      </w:r>
      <w:r>
        <w:rPr>
          <w:lang w:val="en-GB"/>
        </w:rPr>
        <w:t>to</w:t>
      </w:r>
      <w:r w:rsidR="001837B5" w:rsidRPr="009B4B43">
        <w:rPr>
          <w:lang w:val="en-GB"/>
        </w:rPr>
        <w:t xml:space="preserve"> recommend listing due to </w:t>
      </w:r>
      <w:r>
        <w:rPr>
          <w:lang w:val="en-GB"/>
        </w:rPr>
        <w:t>poor cost-effectiveness</w:t>
      </w:r>
      <w:r w:rsidR="001837B5" w:rsidRPr="009B4B43">
        <w:rPr>
          <w:lang w:val="en-GB"/>
        </w:rPr>
        <w:t xml:space="preserve"> </w:t>
      </w:r>
      <w:r>
        <w:rPr>
          <w:lang w:val="en-GB"/>
        </w:rPr>
        <w:t>and</w:t>
      </w:r>
      <w:r w:rsidR="001837B5" w:rsidRPr="009B4B43">
        <w:rPr>
          <w:lang w:val="en-GB"/>
        </w:rPr>
        <w:t xml:space="preserve"> other relevant factors, the ‘rule of rescue</w:t>
      </w:r>
      <w:r>
        <w:rPr>
          <w:lang w:val="en-GB"/>
        </w:rPr>
        <w:t>’</w:t>
      </w:r>
      <w:r w:rsidR="001837B5" w:rsidRPr="00221992">
        <w:rPr>
          <w:rStyle w:val="FootnoteReference"/>
          <w:lang w:val="en-GB"/>
        </w:rPr>
        <w:footnoteReference w:id="7"/>
      </w:r>
      <w:r w:rsidR="001837B5" w:rsidRPr="009B4B43">
        <w:rPr>
          <w:lang w:val="en-GB"/>
        </w:rPr>
        <w:t xml:space="preserve"> may be invoked </w:t>
      </w:r>
      <w:r w:rsidR="001837B5" w:rsidRPr="009B4B43">
        <w:rPr>
          <w:lang w:val="en-GB"/>
        </w:rPr>
        <w:fldChar w:fldCharType="begin"/>
      </w:r>
      <w:r w:rsidR="00E5265C">
        <w:rPr>
          <w:lang w:val="en-GB"/>
        </w:rPr>
        <w:instrText xml:space="preserve"> ADDIN EN.CITE &lt;EndNote&gt;&lt;Cite&gt;&lt;Author&gt;Department of Health and Aged Care&lt;/Author&gt;&lt;Year&gt;2016&lt;/Year&gt;&lt;RecNum&gt;536&lt;/RecNum&gt;&lt;DisplayText&gt;[148]&lt;/DisplayText&gt;&lt;record&gt;&lt;rec-number&gt;536&lt;/rec-number&gt;&lt;foreign-keys&gt;&lt;key app="EN" db-id="wzwwsfxe4peesxef95cxvrwjxts9rreasarf" timestamp="1692751953"&gt;536&lt;/key&gt;&lt;/foreign-keys&gt;&lt;ref-type name="Web Page"&gt;12&lt;/ref-type&gt;&lt;contributors&gt;&lt;authors&gt;&lt;author&gt;Department of Health and Aged Care,&lt;/author&gt;&lt;/authors&gt;&lt;/contributors&gt;&lt;titles&gt;&lt;title&gt;Basis for any claim for the ‘rule of rescue’&lt;/title&gt;&lt;/titles&gt;&lt;number&gt;21 July 2023&lt;/number&gt;&lt;dates&gt;&lt;year&gt;2016&lt;/year&gt;&lt;/dates&gt;&lt;pub-location&gt;Canberra&lt;/pub-location&gt;&lt;publisher&gt;Australian Government, Department of Health and Aged Care&lt;/publisher&gt;&lt;urls&gt;&lt;related-urls&gt;&lt;url&gt;https://pbac.pbs.gov.au/section-5/5-4-basis-for-any-claim-for-the-rule-of-rescue.html&lt;/url&gt;&lt;/related-urls&gt;&lt;/urls&gt;&lt;/record&gt;&lt;/Cite&gt;&lt;/EndNote&gt;</w:instrText>
      </w:r>
      <w:r w:rsidR="001837B5" w:rsidRPr="009B4B43">
        <w:rPr>
          <w:lang w:val="en-GB"/>
        </w:rPr>
        <w:fldChar w:fldCharType="separate"/>
      </w:r>
      <w:r w:rsidR="00E5265C">
        <w:rPr>
          <w:noProof/>
          <w:lang w:val="en-GB"/>
        </w:rPr>
        <w:t>[148]</w:t>
      </w:r>
      <w:r w:rsidR="001837B5" w:rsidRPr="009B4B43">
        <w:rPr>
          <w:lang w:val="en-GB"/>
        </w:rPr>
        <w:fldChar w:fldCharType="end"/>
      </w:r>
      <w:r w:rsidR="001837B5" w:rsidRPr="009B4B43">
        <w:rPr>
          <w:lang w:val="en-GB"/>
        </w:rPr>
        <w:t>. In Korea, if an orphan drug follows the pharmacoeconomic pathway</w:t>
      </w:r>
      <w:r>
        <w:rPr>
          <w:lang w:val="en-GB"/>
        </w:rPr>
        <w:t>,</w:t>
      </w:r>
      <w:r w:rsidR="001837B5" w:rsidRPr="009B4B43">
        <w:rPr>
          <w:lang w:val="en-GB"/>
        </w:rPr>
        <w:t xml:space="preserve"> the usual threshold of 1 x gross domestic product (GDP) per capita </w:t>
      </w:r>
      <w:r>
        <w:rPr>
          <w:lang w:val="en-GB"/>
        </w:rPr>
        <w:t xml:space="preserve">per additional QALY </w:t>
      </w:r>
      <w:r w:rsidR="001837B5" w:rsidRPr="009B4B43">
        <w:rPr>
          <w:lang w:val="en-GB"/>
        </w:rPr>
        <w:t xml:space="preserve">may be increased to 2 x GDP per additional QALY (further details provided in </w:t>
      </w:r>
      <w:r w:rsidR="001837B5" w:rsidRPr="009B4B43">
        <w:rPr>
          <w:lang w:val="en-GB"/>
        </w:rPr>
        <w:fldChar w:fldCharType="begin"/>
      </w:r>
      <w:r w:rsidR="001837B5" w:rsidRPr="009B4B43">
        <w:rPr>
          <w:lang w:val="en-GB"/>
        </w:rPr>
        <w:instrText xml:space="preserve"> REF _Ref143201597 \h  \* MERGEFORMAT </w:instrText>
      </w:r>
      <w:r w:rsidR="001837B5" w:rsidRPr="009B4B43">
        <w:rPr>
          <w:lang w:val="en-GB"/>
        </w:rPr>
      </w:r>
      <w:r w:rsidR="001837B5" w:rsidRPr="009B4B43">
        <w:rPr>
          <w:lang w:val="en-GB"/>
        </w:rPr>
        <w:fldChar w:fldCharType="separate"/>
      </w:r>
      <w:r w:rsidR="000E11E7" w:rsidRPr="000E11E7">
        <w:rPr>
          <w:lang w:val="en-GB"/>
        </w:rPr>
        <w:t>Case study: South Korea—Separate pathways, special requirements</w:t>
      </w:r>
      <w:r w:rsidR="001837B5" w:rsidRPr="009B4B43">
        <w:rPr>
          <w:lang w:val="en-GB"/>
        </w:rPr>
        <w:fldChar w:fldCharType="end"/>
      </w:r>
      <w:r>
        <w:rPr>
          <w:lang w:val="en-GB"/>
        </w:rPr>
        <w:t>)</w:t>
      </w:r>
      <w:r w:rsidR="001837B5" w:rsidRPr="009B4B43">
        <w:rPr>
          <w:lang w:val="en-GB"/>
        </w:rPr>
        <w:t>.</w:t>
      </w:r>
    </w:p>
    <w:p w14:paraId="0D170204" w14:textId="3F55DDF8" w:rsidR="001713EA" w:rsidRPr="00221992" w:rsidRDefault="00074272" w:rsidP="001125F9">
      <w:pPr>
        <w:ind w:left="426"/>
        <w:rPr>
          <w:lang w:val="en-GB"/>
        </w:rPr>
      </w:pPr>
      <w:r>
        <w:rPr>
          <w:lang w:val="en-GB"/>
        </w:rPr>
        <w:t>O</w:t>
      </w:r>
      <w:r w:rsidR="006F7569" w:rsidRPr="00221992">
        <w:rPr>
          <w:lang w:val="en-GB"/>
        </w:rPr>
        <w:t>ther</w:t>
      </w:r>
      <w:r w:rsidR="001713EA" w:rsidRPr="00221992">
        <w:rPr>
          <w:lang w:val="en-GB"/>
        </w:rPr>
        <w:t xml:space="preserve"> factors were identified as potential facilitators of access to drugs for rare diseases</w:t>
      </w:r>
      <w:r w:rsidR="00937EFA">
        <w:rPr>
          <w:lang w:val="en-GB"/>
        </w:rPr>
        <w:t xml:space="preserve">, subject to </w:t>
      </w:r>
      <w:r w:rsidR="001713EA" w:rsidRPr="00221992">
        <w:rPr>
          <w:lang w:val="en-GB"/>
        </w:rPr>
        <w:t xml:space="preserve">certain criteria. </w:t>
      </w:r>
      <w:r w:rsidR="00937EFA">
        <w:rPr>
          <w:lang w:val="en-GB"/>
        </w:rPr>
        <w:t>Such</w:t>
      </w:r>
      <w:r w:rsidR="00937EFA" w:rsidRPr="00221992">
        <w:rPr>
          <w:lang w:val="en-GB"/>
        </w:rPr>
        <w:t xml:space="preserve"> </w:t>
      </w:r>
      <w:r w:rsidR="001713EA" w:rsidRPr="00221992">
        <w:rPr>
          <w:lang w:val="en-GB"/>
        </w:rPr>
        <w:t xml:space="preserve">criteria are generally not exclusive to </w:t>
      </w:r>
      <w:r w:rsidR="00937EFA">
        <w:rPr>
          <w:lang w:val="en-GB"/>
        </w:rPr>
        <w:t xml:space="preserve">orphan </w:t>
      </w:r>
      <w:r w:rsidR="001713EA" w:rsidRPr="00221992">
        <w:rPr>
          <w:lang w:val="en-GB"/>
        </w:rPr>
        <w:t>drugs, but the eligibility criteria that determine</w:t>
      </w:r>
      <w:r>
        <w:rPr>
          <w:lang w:val="en-GB"/>
        </w:rPr>
        <w:t>s</w:t>
      </w:r>
      <w:r w:rsidR="001713EA" w:rsidRPr="00221992">
        <w:rPr>
          <w:lang w:val="en-GB"/>
        </w:rPr>
        <w:t xml:space="preserve"> when they apply </w:t>
      </w:r>
      <w:r w:rsidR="00937EFA">
        <w:rPr>
          <w:lang w:val="en-GB"/>
        </w:rPr>
        <w:t>are often satisfied</w:t>
      </w:r>
      <w:r w:rsidR="001713EA" w:rsidRPr="00221992">
        <w:rPr>
          <w:lang w:val="en-GB"/>
        </w:rPr>
        <w:t xml:space="preserve"> by rare conditions. </w:t>
      </w:r>
      <w:r w:rsidR="00DE1800" w:rsidRPr="00221992">
        <w:rPr>
          <w:lang w:val="en-GB"/>
        </w:rPr>
        <w:t xml:space="preserve">In Italy, </w:t>
      </w:r>
      <w:r w:rsidR="00937EFA">
        <w:rPr>
          <w:lang w:val="en-GB"/>
        </w:rPr>
        <w:t>for example, drugs granted</w:t>
      </w:r>
      <w:r w:rsidR="00937EFA" w:rsidRPr="00221992">
        <w:rPr>
          <w:lang w:val="en-GB"/>
        </w:rPr>
        <w:t xml:space="preserve"> </w:t>
      </w:r>
      <w:r w:rsidR="001713EA" w:rsidRPr="00221992">
        <w:rPr>
          <w:lang w:val="en-GB"/>
        </w:rPr>
        <w:t xml:space="preserve">innovative status </w:t>
      </w:r>
      <w:r w:rsidR="00937EFA">
        <w:rPr>
          <w:lang w:val="en-GB"/>
        </w:rPr>
        <w:t>may</w:t>
      </w:r>
      <w:r w:rsidR="001713EA" w:rsidRPr="00221992">
        <w:rPr>
          <w:lang w:val="en-GB"/>
        </w:rPr>
        <w:t xml:space="preserve"> be made available via a dedicated fund</w:t>
      </w:r>
      <w:r w:rsidR="00DE1800" w:rsidRPr="00221992">
        <w:rPr>
          <w:lang w:val="en-GB"/>
        </w:rPr>
        <w:t xml:space="preserve"> </w:t>
      </w:r>
      <w:r w:rsidR="00937EFA">
        <w:rPr>
          <w:lang w:val="en-GB"/>
        </w:rPr>
        <w:t>subject to the following criteria</w:t>
      </w:r>
      <w:r w:rsidR="00DE1800" w:rsidRPr="00221992">
        <w:rPr>
          <w:lang w:val="en-GB"/>
        </w:rPr>
        <w:t xml:space="preserve">: 1) </w:t>
      </w:r>
      <w:r w:rsidR="006F7569" w:rsidRPr="00221992">
        <w:rPr>
          <w:lang w:val="en-GB"/>
        </w:rPr>
        <w:t xml:space="preserve">unmet therapeutic need, </w:t>
      </w:r>
      <w:r w:rsidR="00DE1800" w:rsidRPr="00221992">
        <w:rPr>
          <w:lang w:val="en-GB"/>
        </w:rPr>
        <w:t xml:space="preserve">2) </w:t>
      </w:r>
      <w:r w:rsidR="006F7569" w:rsidRPr="00221992">
        <w:rPr>
          <w:lang w:val="en-GB"/>
        </w:rPr>
        <w:t xml:space="preserve">added therapeutic value, and </w:t>
      </w:r>
      <w:r w:rsidR="00DE1800" w:rsidRPr="00221992">
        <w:rPr>
          <w:lang w:val="en-GB"/>
        </w:rPr>
        <w:t xml:space="preserve">3) </w:t>
      </w:r>
      <w:r w:rsidR="006F7569" w:rsidRPr="00221992">
        <w:rPr>
          <w:lang w:val="en-GB"/>
        </w:rPr>
        <w:t xml:space="preserve">quality of the evidence </w:t>
      </w:r>
      <w:r w:rsidR="001713EA" w:rsidRPr="00221992">
        <w:rPr>
          <w:lang w:val="en-GB"/>
        </w:rPr>
        <w:fldChar w:fldCharType="begin"/>
      </w:r>
      <w:r w:rsidR="00E5265C">
        <w:rPr>
          <w:lang w:val="en-GB"/>
        </w:rPr>
        <w:instrText xml:space="preserve"> ADDIN EN.CITE &lt;EndNote&gt;&lt;Cite&gt;&lt;Author&gt;Agenzia Italiana del Farmaco (AIFA)&lt;/Author&gt;&lt;Year&gt;2023&lt;/Year&gt;&lt;RecNum&gt;629&lt;/RecNum&gt;&lt;DisplayText&gt;[149]&lt;/DisplayText&gt;&lt;record&gt;&lt;rec-number&gt;629&lt;/rec-number&gt;&lt;foreign-keys&gt;&lt;key app="EN" db-id="wzwwsfxe4peesxef95cxvrwjxts9rreasarf" timestamp="1693186424"&gt;629&lt;/key&gt;&lt;/foreign-keys&gt;&lt;ref-type name="Web Page"&gt;12&lt;/ref-type&gt;&lt;contributors&gt;&lt;authors&gt;&lt;author&gt;Agenzia Italiana del Farmaco (AIFA),&lt;/author&gt;&lt;/authors&gt;&lt;/contributors&gt;&lt;titles&gt;&lt;title&gt;Innovative medicinal products&lt;/title&gt;&lt;/titles&gt;&lt;number&gt;25/08/2023&lt;/number&gt;&lt;dates&gt;&lt;year&gt;2023&lt;/year&gt;&lt;/dates&gt;&lt;urls&gt;&lt;related-urls&gt;&lt;url&gt;https://www.aifa.gov.it/en/farmaci-innovativi&lt;/url&gt;&lt;/related-urls&gt;&lt;/urls&gt;&lt;/record&gt;&lt;/Cite&gt;&lt;/EndNote&gt;</w:instrText>
      </w:r>
      <w:r w:rsidR="001713EA" w:rsidRPr="00221992">
        <w:rPr>
          <w:lang w:val="en-GB"/>
        </w:rPr>
        <w:fldChar w:fldCharType="separate"/>
      </w:r>
      <w:r w:rsidR="00E5265C">
        <w:rPr>
          <w:noProof/>
          <w:lang w:val="en-GB"/>
        </w:rPr>
        <w:t>[149]</w:t>
      </w:r>
      <w:r w:rsidR="001713EA" w:rsidRPr="00221992">
        <w:rPr>
          <w:lang w:val="en-GB"/>
        </w:rPr>
        <w:fldChar w:fldCharType="end"/>
      </w:r>
      <w:r w:rsidR="001713EA" w:rsidRPr="00221992">
        <w:rPr>
          <w:lang w:val="en-GB"/>
        </w:rPr>
        <w:t xml:space="preserve">. </w:t>
      </w:r>
      <w:r w:rsidR="00937EFA">
        <w:rPr>
          <w:lang w:val="en-GB"/>
        </w:rPr>
        <w:t>Quality of evidence</w:t>
      </w:r>
      <w:r w:rsidR="001713EA" w:rsidRPr="00221992">
        <w:rPr>
          <w:lang w:val="en-GB"/>
        </w:rPr>
        <w:t xml:space="preserve"> is appraised using the GRADE framework</w:t>
      </w:r>
      <w:r w:rsidR="00937EFA">
        <w:rPr>
          <w:lang w:val="en-GB"/>
        </w:rPr>
        <w:t>,</w:t>
      </w:r>
      <w:r w:rsidR="001713EA" w:rsidRPr="00221992">
        <w:rPr>
          <w:lang w:val="en-GB"/>
        </w:rPr>
        <w:t xml:space="preserve"> noting that AIFA has exempted orphan drugs from this requirement. Severity</w:t>
      </w:r>
      <w:r w:rsidR="006F7569" w:rsidRPr="00221992">
        <w:rPr>
          <w:lang w:val="en-GB"/>
        </w:rPr>
        <w:t xml:space="preserve"> is another </w:t>
      </w:r>
      <w:r w:rsidR="00E40B65" w:rsidRPr="00221992">
        <w:rPr>
          <w:lang w:val="en-GB"/>
        </w:rPr>
        <w:t>factor considered by various countries</w:t>
      </w:r>
      <w:r w:rsidR="00937EFA">
        <w:rPr>
          <w:lang w:val="en-GB"/>
        </w:rPr>
        <w:t>,</w:t>
      </w:r>
      <w:r w:rsidR="00E40B65" w:rsidRPr="00221992">
        <w:rPr>
          <w:lang w:val="en-GB"/>
        </w:rPr>
        <w:t xml:space="preserve"> including England/Wales, Sweden and Norway. In Norway, </w:t>
      </w:r>
      <w:r w:rsidR="00937EFA">
        <w:rPr>
          <w:lang w:val="en-GB"/>
        </w:rPr>
        <w:t xml:space="preserve">priority is ascribed to </w:t>
      </w:r>
      <w:r w:rsidR="00E40B65" w:rsidRPr="00221992">
        <w:rPr>
          <w:lang w:val="en-GB"/>
        </w:rPr>
        <w:t>r</w:t>
      </w:r>
      <w:r w:rsidR="001713EA" w:rsidRPr="00221992">
        <w:rPr>
          <w:lang w:val="en-GB"/>
        </w:rPr>
        <w:t xml:space="preserve">are diseases with a high degree of severity for which treatment will be of benefit to patients </w:t>
      </w:r>
      <w:r w:rsidR="00937EFA">
        <w:rPr>
          <w:lang w:val="en-GB"/>
        </w:rPr>
        <w:t>relative</w:t>
      </w:r>
      <w:r w:rsidR="001713EA" w:rsidRPr="00221992">
        <w:rPr>
          <w:lang w:val="en-GB"/>
        </w:rPr>
        <w:t xml:space="preserve"> to </w:t>
      </w:r>
      <w:r w:rsidR="00937EFA">
        <w:rPr>
          <w:lang w:val="en-GB"/>
        </w:rPr>
        <w:t>cost</w:t>
      </w:r>
      <w:r w:rsidR="001713EA" w:rsidRPr="00221992">
        <w:rPr>
          <w:lang w:val="en-GB"/>
        </w:rPr>
        <w:t xml:space="preserve">. </w:t>
      </w:r>
    </w:p>
    <w:tbl>
      <w:tblPr>
        <w:tblStyle w:val="GridTable4-Accent36"/>
        <w:tblW w:w="0" w:type="auto"/>
        <w:tblInd w:w="0" w:type="dxa"/>
        <w:tblBorders>
          <w:top w:val="single" w:sz="12" w:space="0" w:color="4472C4"/>
          <w:left w:val="single" w:sz="12" w:space="0" w:color="4472C4"/>
          <w:bottom w:val="single" w:sz="12" w:space="0" w:color="4472C4"/>
          <w:right w:val="single" w:sz="12" w:space="0" w:color="4472C4"/>
          <w:insideH w:val="none" w:sz="0" w:space="0" w:color="auto"/>
          <w:insideV w:val="single" w:sz="4" w:space="0" w:color="A5A5A5"/>
        </w:tblBorders>
        <w:tblLook w:val="04A0" w:firstRow="1" w:lastRow="0" w:firstColumn="1" w:lastColumn="0" w:noHBand="0" w:noVBand="1"/>
      </w:tblPr>
      <w:tblGrid>
        <w:gridCol w:w="8474"/>
      </w:tblGrid>
      <w:tr w:rsidR="006A5720" w:rsidRPr="006A5720" w14:paraId="20AE54E3" w14:textId="77777777" w:rsidTr="006A572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tcBorders>
              <w:top w:val="single" w:sz="12" w:space="0" w:color="4472C4"/>
              <w:left w:val="single" w:sz="12" w:space="0" w:color="4472C4"/>
              <w:bottom w:val="nil"/>
              <w:right w:val="single" w:sz="12" w:space="0" w:color="4472C4"/>
            </w:tcBorders>
            <w:hideMark/>
          </w:tcPr>
          <w:p w14:paraId="05942DD1" w14:textId="260F21D8" w:rsidR="006A5720" w:rsidRPr="0085494A" w:rsidRDefault="006A5720" w:rsidP="006A5720">
            <w:pPr>
              <w:spacing w:after="0" w:line="240" w:lineRule="auto"/>
              <w:jc w:val="center"/>
              <w:rPr>
                <w:rFonts w:ascii="Calibri" w:eastAsia="Calibri" w:hAnsi="Calibri" w:cs="Calibri"/>
                <w:b w:val="0"/>
                <w:sz w:val="22"/>
                <w:szCs w:val="22"/>
                <w:lang w:eastAsia="en-US"/>
              </w:rPr>
            </w:pPr>
            <w:r w:rsidRPr="0085494A">
              <w:rPr>
                <w:rFonts w:ascii="Calibri" w:eastAsia="Calibri" w:hAnsi="Calibri" w:cs="Calibri" w:hint="cs"/>
                <w:sz w:val="22"/>
                <w:szCs w:val="22"/>
                <w:lang w:eastAsia="en-US"/>
              </w:rPr>
              <w:t>Why this matters</w:t>
            </w:r>
          </w:p>
        </w:tc>
      </w:tr>
      <w:tr w:rsidR="006A5720" w:rsidRPr="006A5720" w14:paraId="553FFA00" w14:textId="77777777" w:rsidTr="006A572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tcBorders>
              <w:top w:val="nil"/>
              <w:left w:val="single" w:sz="12" w:space="0" w:color="4472C4"/>
              <w:bottom w:val="single" w:sz="12" w:space="0" w:color="4472C4"/>
              <w:right w:val="single" w:sz="12" w:space="0" w:color="4472C4"/>
            </w:tcBorders>
          </w:tcPr>
          <w:p w14:paraId="5AFB5783" w14:textId="5FD99D21" w:rsidR="006A5720" w:rsidRPr="0085494A" w:rsidRDefault="006A5720" w:rsidP="006A5720">
            <w:pPr>
              <w:spacing w:after="0" w:line="240" w:lineRule="auto"/>
              <w:rPr>
                <w:rFonts w:eastAsia="Calibri" w:cs="Calibri Light"/>
                <w:b w:val="0"/>
                <w:bCs w:val="0"/>
                <w:sz w:val="22"/>
                <w:szCs w:val="22"/>
                <w:lang w:eastAsia="en-US"/>
              </w:rPr>
            </w:pPr>
            <w:r w:rsidRPr="0085494A">
              <w:rPr>
                <w:rFonts w:eastAsia="Calibri" w:cs="Calibri Light"/>
                <w:b w:val="0"/>
                <w:bCs w:val="0"/>
                <w:sz w:val="22"/>
                <w:szCs w:val="22"/>
                <w:lang w:eastAsia="en-US"/>
              </w:rPr>
              <w:t xml:space="preserve">In countries that </w:t>
            </w:r>
            <w:r w:rsidR="6C49022B" w:rsidRPr="5658EAB1">
              <w:rPr>
                <w:rFonts w:eastAsia="Calibri" w:cs="Calibri Light"/>
                <w:b w:val="0"/>
                <w:bCs w:val="0"/>
                <w:sz w:val="22"/>
                <w:szCs w:val="22"/>
                <w:lang w:eastAsia="en-US"/>
              </w:rPr>
              <w:t>do not have</w:t>
            </w:r>
            <w:r w:rsidRPr="0085494A">
              <w:rPr>
                <w:rFonts w:eastAsia="Calibri" w:cs="Calibri Light"/>
                <w:b w:val="0"/>
                <w:bCs w:val="0"/>
                <w:sz w:val="22"/>
                <w:szCs w:val="22"/>
                <w:lang w:eastAsia="en-US"/>
              </w:rPr>
              <w:t xml:space="preserve"> an explicit ICER threshold, the decision-making process allows for flexibility in terms of the consideration </w:t>
            </w:r>
            <w:r w:rsidR="00050B53">
              <w:rPr>
                <w:rFonts w:eastAsia="Calibri" w:cs="Calibri Light"/>
                <w:b w:val="0"/>
                <w:bCs w:val="0"/>
                <w:sz w:val="22"/>
                <w:szCs w:val="22"/>
                <w:lang w:eastAsia="en-US"/>
              </w:rPr>
              <w:t>of</w:t>
            </w:r>
            <w:r w:rsidR="00050B53" w:rsidRPr="0085494A">
              <w:rPr>
                <w:rFonts w:eastAsia="Calibri" w:cs="Calibri Light"/>
                <w:b w:val="0"/>
                <w:bCs w:val="0"/>
                <w:sz w:val="22"/>
                <w:szCs w:val="22"/>
                <w:lang w:eastAsia="en-US"/>
              </w:rPr>
              <w:t xml:space="preserve"> </w:t>
            </w:r>
            <w:r w:rsidRPr="0085494A">
              <w:rPr>
                <w:rFonts w:eastAsia="Calibri" w:cs="Calibri Light"/>
                <w:b w:val="0"/>
                <w:bCs w:val="0"/>
                <w:sz w:val="22"/>
                <w:szCs w:val="22"/>
                <w:lang w:eastAsia="en-US"/>
              </w:rPr>
              <w:t xml:space="preserve">factors beyond </w:t>
            </w:r>
            <w:r w:rsidR="00050B53">
              <w:rPr>
                <w:rFonts w:eastAsia="Calibri" w:cs="Calibri Light"/>
                <w:b w:val="0"/>
                <w:bCs w:val="0"/>
                <w:sz w:val="22"/>
                <w:szCs w:val="22"/>
                <w:lang w:eastAsia="en-US"/>
              </w:rPr>
              <w:t>cost-effectiveness</w:t>
            </w:r>
            <w:r w:rsidRPr="0085494A">
              <w:rPr>
                <w:rFonts w:eastAsia="Calibri" w:cs="Calibri Light"/>
                <w:b w:val="0"/>
                <w:bCs w:val="0"/>
                <w:sz w:val="22"/>
                <w:szCs w:val="22"/>
                <w:lang w:eastAsia="en-US"/>
              </w:rPr>
              <w:t xml:space="preserve">. </w:t>
            </w:r>
          </w:p>
          <w:p w14:paraId="77592EA1" w14:textId="77777777" w:rsidR="006A5720" w:rsidRPr="006A5720" w:rsidRDefault="006A5720" w:rsidP="006A5720">
            <w:pPr>
              <w:spacing w:after="0" w:line="240" w:lineRule="auto"/>
              <w:rPr>
                <w:rFonts w:eastAsia="Calibri" w:cs="Calibri Light"/>
                <w:sz w:val="22"/>
                <w:szCs w:val="22"/>
                <w:lang w:eastAsia="en-US"/>
              </w:rPr>
            </w:pPr>
          </w:p>
          <w:p w14:paraId="335EC1DD" w14:textId="44554268" w:rsidR="00A21E0D" w:rsidRPr="00A21E0D" w:rsidRDefault="006A5720" w:rsidP="00A21E0D">
            <w:pPr>
              <w:spacing w:after="0" w:line="240" w:lineRule="auto"/>
              <w:rPr>
                <w:rFonts w:eastAsia="Calibri" w:cs="Calibri Light"/>
                <w:b w:val="0"/>
                <w:bCs w:val="0"/>
                <w:sz w:val="22"/>
                <w:szCs w:val="22"/>
                <w:lang w:eastAsia="en-US"/>
              </w:rPr>
            </w:pPr>
            <w:r w:rsidRPr="006A5720">
              <w:rPr>
                <w:rFonts w:eastAsia="Calibri" w:cs="Calibri Light"/>
                <w:b w:val="0"/>
                <w:bCs w:val="0"/>
                <w:sz w:val="22"/>
                <w:szCs w:val="22"/>
                <w:lang w:eastAsia="en-US"/>
              </w:rPr>
              <w:t xml:space="preserve">In Australia, the role </w:t>
            </w:r>
            <w:r w:rsidR="00D64F73">
              <w:rPr>
                <w:rFonts w:eastAsia="Calibri" w:cs="Calibri Light"/>
                <w:b w:val="0"/>
                <w:bCs w:val="0"/>
                <w:sz w:val="22"/>
                <w:szCs w:val="22"/>
                <w:lang w:eastAsia="en-US"/>
              </w:rPr>
              <w:t>of</w:t>
            </w:r>
            <w:r w:rsidRPr="006A5720">
              <w:rPr>
                <w:rFonts w:eastAsia="Calibri" w:cs="Calibri Light"/>
                <w:b w:val="0"/>
                <w:bCs w:val="0"/>
                <w:sz w:val="22"/>
                <w:szCs w:val="22"/>
                <w:lang w:eastAsia="en-US"/>
              </w:rPr>
              <w:t xml:space="preserve"> other factors is accounted for within deliberation</w:t>
            </w:r>
            <w:r w:rsidR="00050B53">
              <w:rPr>
                <w:rFonts w:eastAsia="Calibri" w:cs="Calibri Light"/>
                <w:b w:val="0"/>
                <w:bCs w:val="0"/>
                <w:sz w:val="22"/>
                <w:szCs w:val="22"/>
                <w:lang w:eastAsia="en-US"/>
              </w:rPr>
              <w:t>s</w:t>
            </w:r>
            <w:r w:rsidR="76266F93" w:rsidRPr="5658EAB1">
              <w:rPr>
                <w:rFonts w:eastAsia="Calibri" w:cs="Calibri Light"/>
                <w:b w:val="0"/>
                <w:bCs w:val="0"/>
                <w:sz w:val="22"/>
                <w:szCs w:val="22"/>
                <w:lang w:eastAsia="en-US"/>
              </w:rPr>
              <w:t xml:space="preserve">, but PBAC/MSAC guidelines do not explicitly articulate how these factors should be weighted to determine the value of new technologies. </w:t>
            </w:r>
            <w:r w:rsidR="00050B53">
              <w:rPr>
                <w:rFonts w:eastAsia="Calibri" w:cs="Calibri Light"/>
                <w:b w:val="0"/>
                <w:bCs w:val="0"/>
                <w:sz w:val="22"/>
                <w:szCs w:val="22"/>
                <w:lang w:eastAsia="en-US"/>
              </w:rPr>
              <w:t>T</w:t>
            </w:r>
            <w:r w:rsidRPr="006A5720">
              <w:rPr>
                <w:rFonts w:eastAsia="Calibri" w:cs="Calibri Light"/>
                <w:b w:val="0"/>
                <w:bCs w:val="0"/>
                <w:sz w:val="22"/>
                <w:szCs w:val="22"/>
                <w:lang w:eastAsia="en-US"/>
              </w:rPr>
              <w:t xml:space="preserve">his </w:t>
            </w:r>
            <w:r w:rsidR="00050B53">
              <w:rPr>
                <w:rFonts w:eastAsia="Calibri" w:cs="Calibri Light"/>
                <w:b w:val="0"/>
                <w:bCs w:val="0"/>
                <w:sz w:val="22"/>
                <w:szCs w:val="22"/>
                <w:lang w:eastAsia="en-US"/>
              </w:rPr>
              <w:t>lack of clarity may be interpreted as a</w:t>
            </w:r>
            <w:r w:rsidR="00050B53" w:rsidRPr="5658EAB1">
              <w:rPr>
                <w:rFonts w:eastAsia="Calibri" w:cs="Calibri Light"/>
                <w:b w:val="0"/>
                <w:bCs w:val="0"/>
                <w:sz w:val="22"/>
                <w:szCs w:val="22"/>
                <w:lang w:eastAsia="en-US"/>
              </w:rPr>
              <w:t xml:space="preserve"> </w:t>
            </w:r>
            <w:r w:rsidR="00050B53">
              <w:rPr>
                <w:rFonts w:eastAsia="Calibri" w:cs="Calibri Light"/>
                <w:b w:val="0"/>
                <w:bCs w:val="0"/>
                <w:sz w:val="22"/>
                <w:szCs w:val="22"/>
                <w:lang w:eastAsia="en-US"/>
              </w:rPr>
              <w:t>lack of</w:t>
            </w:r>
            <w:r w:rsidR="00050B53" w:rsidRPr="5658EAB1">
              <w:rPr>
                <w:rFonts w:eastAsia="Calibri" w:cs="Calibri Light"/>
                <w:b w:val="0"/>
                <w:bCs w:val="0"/>
                <w:sz w:val="22"/>
                <w:szCs w:val="22"/>
                <w:lang w:eastAsia="en-US"/>
              </w:rPr>
              <w:t xml:space="preserve"> </w:t>
            </w:r>
            <w:r w:rsidR="3E6D7CCC" w:rsidRPr="5658EAB1">
              <w:rPr>
                <w:rFonts w:eastAsia="Calibri" w:cs="Calibri Light"/>
                <w:b w:val="0"/>
                <w:bCs w:val="0"/>
                <w:sz w:val="22"/>
                <w:szCs w:val="22"/>
                <w:lang w:eastAsia="en-US"/>
              </w:rPr>
              <w:t>transparency</w:t>
            </w:r>
            <w:r w:rsidRPr="5658EAB1">
              <w:rPr>
                <w:rFonts w:eastAsia="Calibri" w:cs="Calibri Light"/>
                <w:b w:val="0"/>
                <w:bCs w:val="0"/>
                <w:sz w:val="22"/>
                <w:szCs w:val="22"/>
                <w:lang w:eastAsia="en-US"/>
              </w:rPr>
              <w:t xml:space="preserve"> and </w:t>
            </w:r>
            <w:r w:rsidR="00050B53">
              <w:rPr>
                <w:rFonts w:eastAsia="Calibri" w:cs="Calibri Light"/>
                <w:b w:val="0"/>
                <w:bCs w:val="0"/>
                <w:sz w:val="22"/>
                <w:szCs w:val="22"/>
                <w:lang w:eastAsia="en-US"/>
              </w:rPr>
              <w:t xml:space="preserve">may </w:t>
            </w:r>
            <w:r w:rsidRPr="5658EAB1">
              <w:rPr>
                <w:rFonts w:eastAsia="Calibri" w:cs="Calibri Light"/>
                <w:b w:val="0"/>
                <w:bCs w:val="0"/>
                <w:sz w:val="22"/>
                <w:szCs w:val="22"/>
                <w:lang w:eastAsia="en-US"/>
              </w:rPr>
              <w:t xml:space="preserve">potentially </w:t>
            </w:r>
            <w:r w:rsidR="001E6623" w:rsidRPr="5658EAB1">
              <w:rPr>
                <w:rFonts w:eastAsia="Calibri" w:cs="Calibri Light"/>
                <w:b w:val="0"/>
                <w:bCs w:val="0"/>
                <w:sz w:val="22"/>
                <w:szCs w:val="22"/>
                <w:lang w:eastAsia="en-US"/>
              </w:rPr>
              <w:t xml:space="preserve">undermine the </w:t>
            </w:r>
            <w:r w:rsidR="00050B53">
              <w:rPr>
                <w:rFonts w:eastAsia="Calibri" w:cs="Calibri Light"/>
                <w:b w:val="0"/>
                <w:bCs w:val="0"/>
                <w:sz w:val="22"/>
                <w:szCs w:val="22"/>
                <w:lang w:eastAsia="en-US"/>
              </w:rPr>
              <w:t xml:space="preserve">perceived </w:t>
            </w:r>
            <w:r w:rsidRPr="5658EAB1">
              <w:rPr>
                <w:rFonts w:eastAsia="Calibri" w:cs="Calibri Light"/>
                <w:b w:val="0"/>
                <w:bCs w:val="0"/>
                <w:sz w:val="22"/>
                <w:szCs w:val="22"/>
                <w:lang w:eastAsia="en-US"/>
              </w:rPr>
              <w:t>legitimacy of decision</w:t>
            </w:r>
            <w:r w:rsidR="001E6623" w:rsidRPr="5658EAB1">
              <w:rPr>
                <w:rFonts w:eastAsia="Calibri" w:cs="Calibri Light"/>
                <w:b w:val="0"/>
                <w:bCs w:val="0"/>
                <w:sz w:val="22"/>
                <w:szCs w:val="22"/>
                <w:lang w:eastAsia="en-US"/>
              </w:rPr>
              <w:t>s</w:t>
            </w:r>
            <w:r w:rsidRPr="5658EAB1">
              <w:rPr>
                <w:rFonts w:eastAsia="Calibri" w:cs="Calibri Light"/>
                <w:b w:val="0"/>
                <w:bCs w:val="0"/>
                <w:sz w:val="22"/>
                <w:szCs w:val="22"/>
                <w:lang w:eastAsia="en-US"/>
              </w:rPr>
              <w:t xml:space="preserve"> from </w:t>
            </w:r>
            <w:r w:rsidR="001E6623" w:rsidRPr="5658EAB1">
              <w:rPr>
                <w:rFonts w:eastAsia="Calibri" w:cs="Calibri Light"/>
                <w:b w:val="0"/>
                <w:bCs w:val="0"/>
                <w:sz w:val="22"/>
                <w:szCs w:val="22"/>
                <w:lang w:eastAsia="en-US"/>
              </w:rPr>
              <w:t>a</w:t>
            </w:r>
            <w:r w:rsidRPr="5658EAB1">
              <w:rPr>
                <w:rFonts w:eastAsia="Calibri" w:cs="Calibri Light"/>
                <w:b w:val="0"/>
                <w:bCs w:val="0"/>
                <w:sz w:val="22"/>
                <w:szCs w:val="22"/>
                <w:lang w:eastAsia="en-US"/>
              </w:rPr>
              <w:t xml:space="preserve"> consumer perspective</w:t>
            </w:r>
            <w:r w:rsidR="00050B53">
              <w:rPr>
                <w:rFonts w:eastAsia="Calibri" w:cs="Calibri Light"/>
                <w:b w:val="0"/>
                <w:bCs w:val="0"/>
                <w:sz w:val="22"/>
                <w:szCs w:val="22"/>
                <w:lang w:eastAsia="en-US"/>
              </w:rPr>
              <w:t>.</w:t>
            </w:r>
            <w:r w:rsidRPr="5658EAB1">
              <w:rPr>
                <w:rFonts w:eastAsia="Calibri" w:cs="Calibri Light"/>
                <w:b w:val="0"/>
                <w:bCs w:val="0"/>
                <w:sz w:val="22"/>
                <w:szCs w:val="22"/>
                <w:lang w:eastAsia="en-US"/>
              </w:rPr>
              <w:t xml:space="preserve"> </w:t>
            </w:r>
            <w:r w:rsidR="00050B53">
              <w:rPr>
                <w:rFonts w:eastAsia="Calibri" w:cs="Calibri Light"/>
                <w:b w:val="0"/>
                <w:bCs w:val="0"/>
                <w:sz w:val="22"/>
                <w:szCs w:val="22"/>
                <w:lang w:eastAsia="en-US"/>
              </w:rPr>
              <w:t>Confidence may be enhanced by</w:t>
            </w:r>
            <w:r w:rsidRPr="5658EAB1">
              <w:rPr>
                <w:rFonts w:eastAsia="Calibri" w:cs="Calibri Light"/>
                <w:b w:val="0"/>
                <w:bCs w:val="0"/>
                <w:sz w:val="22"/>
                <w:szCs w:val="22"/>
                <w:lang w:eastAsia="en-US"/>
              </w:rPr>
              <w:t xml:space="preserve"> includ</w:t>
            </w:r>
            <w:r w:rsidR="00050B53">
              <w:rPr>
                <w:rFonts w:eastAsia="Calibri" w:cs="Calibri Light"/>
                <w:b w:val="0"/>
                <w:bCs w:val="0"/>
                <w:sz w:val="22"/>
                <w:szCs w:val="22"/>
                <w:lang w:eastAsia="en-US"/>
              </w:rPr>
              <w:t>ing</w:t>
            </w:r>
            <w:r w:rsidRPr="5658EAB1">
              <w:rPr>
                <w:rFonts w:eastAsia="Calibri" w:cs="Calibri Light"/>
                <w:b w:val="0"/>
                <w:bCs w:val="0"/>
                <w:sz w:val="22"/>
                <w:szCs w:val="22"/>
                <w:lang w:eastAsia="en-US"/>
              </w:rPr>
              <w:t xml:space="preserve"> </w:t>
            </w:r>
            <w:r w:rsidRPr="006A5720">
              <w:rPr>
                <w:rFonts w:eastAsia="Calibri" w:cs="Calibri Light"/>
                <w:b w:val="0"/>
                <w:bCs w:val="0"/>
                <w:sz w:val="22"/>
                <w:szCs w:val="22"/>
                <w:lang w:eastAsia="en-US"/>
              </w:rPr>
              <w:t>sufficient</w:t>
            </w:r>
            <w:r w:rsidRPr="5658EAB1">
              <w:rPr>
                <w:rFonts w:eastAsia="Calibri" w:cs="Calibri Light"/>
                <w:b w:val="0"/>
                <w:bCs w:val="0"/>
                <w:sz w:val="22"/>
                <w:szCs w:val="22"/>
                <w:lang w:eastAsia="en-US"/>
              </w:rPr>
              <w:t xml:space="preserve"> information </w:t>
            </w:r>
            <w:r w:rsidR="00050B53">
              <w:rPr>
                <w:rFonts w:eastAsia="Calibri" w:cs="Calibri Light"/>
                <w:b w:val="0"/>
                <w:bCs w:val="0"/>
                <w:sz w:val="22"/>
                <w:szCs w:val="22"/>
                <w:lang w:eastAsia="en-US"/>
              </w:rPr>
              <w:t xml:space="preserve">in PSDs </w:t>
            </w:r>
            <w:r w:rsidR="001E6623" w:rsidRPr="5658EAB1">
              <w:rPr>
                <w:rFonts w:eastAsia="Calibri" w:cs="Calibri Light"/>
                <w:b w:val="0"/>
                <w:bCs w:val="0"/>
                <w:sz w:val="22"/>
                <w:szCs w:val="22"/>
                <w:lang w:eastAsia="en-US"/>
              </w:rPr>
              <w:t>with respect to</w:t>
            </w:r>
            <w:r w:rsidRPr="5658EAB1">
              <w:rPr>
                <w:rFonts w:eastAsia="Calibri" w:cs="Calibri Light"/>
                <w:b w:val="0"/>
                <w:bCs w:val="0"/>
                <w:sz w:val="22"/>
                <w:szCs w:val="22"/>
                <w:lang w:eastAsia="en-US"/>
              </w:rPr>
              <w:t xml:space="preserve"> </w:t>
            </w:r>
            <w:r w:rsidR="001E6623" w:rsidRPr="5658EAB1">
              <w:rPr>
                <w:rFonts w:eastAsia="Calibri" w:cs="Calibri Light"/>
                <w:b w:val="0"/>
                <w:bCs w:val="0"/>
                <w:sz w:val="22"/>
                <w:szCs w:val="22"/>
                <w:lang w:eastAsia="en-US"/>
              </w:rPr>
              <w:t>the impact of particular</w:t>
            </w:r>
            <w:r w:rsidRPr="5658EAB1">
              <w:rPr>
                <w:rFonts w:eastAsia="Calibri" w:cs="Calibri Light"/>
                <w:b w:val="0"/>
                <w:bCs w:val="0"/>
                <w:sz w:val="22"/>
                <w:szCs w:val="22"/>
                <w:lang w:eastAsia="en-US"/>
              </w:rPr>
              <w:t xml:space="preserve"> factor</w:t>
            </w:r>
            <w:r w:rsidR="001E6623" w:rsidRPr="5658EAB1">
              <w:rPr>
                <w:rFonts w:eastAsia="Calibri" w:cs="Calibri Light"/>
                <w:b w:val="0"/>
                <w:bCs w:val="0"/>
                <w:sz w:val="22"/>
                <w:szCs w:val="22"/>
                <w:lang w:eastAsia="en-US"/>
              </w:rPr>
              <w:t>s</w:t>
            </w:r>
            <w:r w:rsidRPr="5658EAB1">
              <w:rPr>
                <w:rFonts w:eastAsia="Calibri" w:cs="Calibri Light"/>
                <w:b w:val="0"/>
                <w:bCs w:val="0"/>
                <w:sz w:val="22"/>
                <w:szCs w:val="22"/>
                <w:lang w:eastAsia="en-US"/>
              </w:rPr>
              <w:t xml:space="preserve"> in final </w:t>
            </w:r>
            <w:r w:rsidR="001E6623" w:rsidRPr="5658EAB1">
              <w:rPr>
                <w:rFonts w:eastAsia="Calibri" w:cs="Calibri Light"/>
                <w:b w:val="0"/>
                <w:bCs w:val="0"/>
                <w:sz w:val="22"/>
                <w:szCs w:val="22"/>
                <w:lang w:eastAsia="en-US"/>
              </w:rPr>
              <w:t>determinations</w:t>
            </w:r>
            <w:r w:rsidRPr="5658EAB1">
              <w:rPr>
                <w:rFonts w:eastAsia="Calibri" w:cs="Calibri Light"/>
                <w:b w:val="0"/>
                <w:bCs w:val="0"/>
                <w:sz w:val="22"/>
                <w:szCs w:val="22"/>
                <w:lang w:eastAsia="en-US"/>
              </w:rPr>
              <w:t xml:space="preserve">. </w:t>
            </w:r>
          </w:p>
        </w:tc>
      </w:tr>
    </w:tbl>
    <w:p w14:paraId="39FFF3A6" w14:textId="5B201D8F" w:rsidR="00940043" w:rsidRDefault="00940043" w:rsidP="00957584">
      <w:pPr>
        <w:pStyle w:val="ListParagraph2"/>
        <w:rPr>
          <w:lang w:val="en-GB"/>
        </w:rPr>
      </w:pPr>
    </w:p>
    <w:p w14:paraId="421A7207" w14:textId="70CE6CA7" w:rsidR="00E40B65" w:rsidRDefault="00940043" w:rsidP="00957584">
      <w:pPr>
        <w:pStyle w:val="ListParagraph"/>
        <w:numPr>
          <w:ilvl w:val="0"/>
          <w:numId w:val="48"/>
        </w:numPr>
        <w:rPr>
          <w:lang w:val="en-GB"/>
        </w:rPr>
      </w:pPr>
      <w:r>
        <w:rPr>
          <w:lang w:val="en-GB"/>
        </w:rPr>
        <w:t xml:space="preserve">Stakeholder </w:t>
      </w:r>
      <w:r w:rsidR="00E40B65" w:rsidRPr="00686F31">
        <w:rPr>
          <w:lang w:val="en-GB"/>
        </w:rPr>
        <w:t>involvement</w:t>
      </w:r>
      <w:r w:rsidR="00E40B65" w:rsidRPr="00221992">
        <w:rPr>
          <w:lang w:val="en-GB"/>
        </w:rPr>
        <w:t xml:space="preserve">—Most countries </w:t>
      </w:r>
      <w:r w:rsidR="00FC0ACF">
        <w:rPr>
          <w:lang w:val="en-GB"/>
        </w:rPr>
        <w:t xml:space="preserve">of interest to the Review </w:t>
      </w:r>
      <w:r w:rsidR="00E40B65" w:rsidRPr="00221992">
        <w:rPr>
          <w:lang w:val="en-GB"/>
        </w:rPr>
        <w:t>consider the involvement of a committee specific</w:t>
      </w:r>
      <w:r w:rsidR="00FC0ACF">
        <w:rPr>
          <w:lang w:val="en-GB"/>
        </w:rPr>
        <w:t>ally</w:t>
      </w:r>
      <w:r w:rsidR="00E40B65" w:rsidRPr="00221992">
        <w:rPr>
          <w:lang w:val="en-GB"/>
        </w:rPr>
        <w:t xml:space="preserve"> for rare diseases</w:t>
      </w:r>
      <w:r w:rsidR="00FC0ACF">
        <w:rPr>
          <w:lang w:val="en-GB"/>
        </w:rPr>
        <w:t>, tasked to address gaps in</w:t>
      </w:r>
      <w:r w:rsidR="00E40B65" w:rsidRPr="00221992">
        <w:rPr>
          <w:lang w:val="en-GB"/>
        </w:rPr>
        <w:t xml:space="preserve"> </w:t>
      </w:r>
      <w:r w:rsidR="00FC0ACF">
        <w:rPr>
          <w:lang w:val="en-GB"/>
        </w:rPr>
        <w:t xml:space="preserve">decision-makers’ </w:t>
      </w:r>
      <w:r w:rsidR="00E40B65" w:rsidRPr="00221992">
        <w:rPr>
          <w:lang w:val="en-GB"/>
        </w:rPr>
        <w:t xml:space="preserve">knowledge </w:t>
      </w:r>
      <w:r w:rsidR="00FC0ACF">
        <w:rPr>
          <w:lang w:val="en-GB"/>
        </w:rPr>
        <w:t xml:space="preserve">often </w:t>
      </w:r>
      <w:r w:rsidR="00E40B65" w:rsidRPr="00221992">
        <w:rPr>
          <w:lang w:val="en-GB"/>
        </w:rPr>
        <w:t xml:space="preserve">inherent </w:t>
      </w:r>
      <w:r w:rsidR="00FC0ACF">
        <w:rPr>
          <w:lang w:val="en-GB"/>
        </w:rPr>
        <w:t>with</w:t>
      </w:r>
      <w:r w:rsidR="00FC0ACF" w:rsidRPr="00221992">
        <w:rPr>
          <w:lang w:val="en-GB"/>
        </w:rPr>
        <w:t xml:space="preserve"> </w:t>
      </w:r>
      <w:r w:rsidR="00FC0ACF">
        <w:rPr>
          <w:lang w:val="en-GB"/>
        </w:rPr>
        <w:t>rare</w:t>
      </w:r>
      <w:r w:rsidR="00FC0ACF" w:rsidRPr="00221992">
        <w:rPr>
          <w:lang w:val="en-GB"/>
        </w:rPr>
        <w:t xml:space="preserve"> </w:t>
      </w:r>
      <w:r w:rsidR="00E40B65" w:rsidRPr="00221992">
        <w:rPr>
          <w:lang w:val="en-GB"/>
        </w:rPr>
        <w:t xml:space="preserve">conditions. For example, the rare diseases program in New Zealand has implemented a </w:t>
      </w:r>
      <w:r w:rsidR="00074272">
        <w:rPr>
          <w:lang w:val="en-GB"/>
        </w:rPr>
        <w:t>R</w:t>
      </w:r>
      <w:r w:rsidR="00E40B65" w:rsidRPr="00221992">
        <w:rPr>
          <w:lang w:val="en-GB"/>
        </w:rPr>
        <w:t>are Disorders Advisory Committee within the Pharmacology and Therapeutics Advisory Committee (PTAC) that provide</w:t>
      </w:r>
      <w:r w:rsidR="00FC0ACF">
        <w:rPr>
          <w:lang w:val="en-GB"/>
        </w:rPr>
        <w:t>s</w:t>
      </w:r>
      <w:r w:rsidR="00E40B65" w:rsidRPr="00221992">
        <w:rPr>
          <w:lang w:val="en-GB"/>
        </w:rPr>
        <w:t xml:space="preserve"> recommendation</w:t>
      </w:r>
      <w:r w:rsidR="00FC0ACF">
        <w:rPr>
          <w:lang w:val="en-GB"/>
        </w:rPr>
        <w:t>s</w:t>
      </w:r>
      <w:r w:rsidR="00E40B65" w:rsidRPr="00221992">
        <w:rPr>
          <w:lang w:val="en-GB"/>
        </w:rPr>
        <w:t xml:space="preserve"> to </w:t>
      </w:r>
      <w:r w:rsidR="0033348E" w:rsidRPr="00221992">
        <w:rPr>
          <w:lang w:val="en-GB"/>
        </w:rPr>
        <w:t>PHARMAC</w:t>
      </w:r>
      <w:r w:rsidR="00E40B65" w:rsidRPr="00221992">
        <w:rPr>
          <w:lang w:val="en-GB"/>
        </w:rPr>
        <w:t xml:space="preserve"> based on specific criteria for rare disease </w:t>
      </w:r>
      <w:r w:rsidR="00FC0ACF">
        <w:rPr>
          <w:lang w:val="en-GB"/>
        </w:rPr>
        <w:t>excluding</w:t>
      </w:r>
      <w:r w:rsidR="00E40B65" w:rsidRPr="00221992">
        <w:rPr>
          <w:lang w:val="en-GB"/>
        </w:rPr>
        <w:t xml:space="preserve"> cost-effectiveness. PHARMAC </w:t>
      </w:r>
      <w:r w:rsidR="00FC0ACF">
        <w:rPr>
          <w:lang w:val="en-GB"/>
        </w:rPr>
        <w:t xml:space="preserve">thens </w:t>
      </w:r>
      <w:r w:rsidR="00E40B65" w:rsidRPr="00221992">
        <w:rPr>
          <w:lang w:val="en-GB"/>
        </w:rPr>
        <w:t xml:space="preserve">makes </w:t>
      </w:r>
      <w:r w:rsidR="00FC0ACF">
        <w:rPr>
          <w:lang w:val="en-GB"/>
        </w:rPr>
        <w:t>a</w:t>
      </w:r>
      <w:r w:rsidR="00FC0ACF" w:rsidRPr="00221992">
        <w:rPr>
          <w:lang w:val="en-GB"/>
        </w:rPr>
        <w:t xml:space="preserve"> </w:t>
      </w:r>
      <w:r w:rsidR="00FC0ACF">
        <w:rPr>
          <w:lang w:val="en-GB"/>
        </w:rPr>
        <w:t>determination</w:t>
      </w:r>
      <w:r w:rsidR="00FC0ACF" w:rsidRPr="00221992">
        <w:rPr>
          <w:lang w:val="en-GB"/>
        </w:rPr>
        <w:t xml:space="preserve"> </w:t>
      </w:r>
      <w:r w:rsidR="00E40B65" w:rsidRPr="00221992">
        <w:rPr>
          <w:lang w:val="en-GB"/>
        </w:rPr>
        <w:t xml:space="preserve">based on the available budget and best use of resources. </w:t>
      </w:r>
      <w:r w:rsidR="00FC0ACF">
        <w:rPr>
          <w:lang w:val="en-GB"/>
        </w:rPr>
        <w:t>S</w:t>
      </w:r>
      <w:r w:rsidR="00E40B65" w:rsidRPr="00221992">
        <w:rPr>
          <w:lang w:val="en-GB"/>
        </w:rPr>
        <w:t xml:space="preserve">pecific committee for rare diseases </w:t>
      </w:r>
      <w:r w:rsidR="00FC0ACF">
        <w:rPr>
          <w:lang w:val="en-GB"/>
        </w:rPr>
        <w:t>were</w:t>
      </w:r>
      <w:r w:rsidR="00FC0ACF" w:rsidRPr="00221992">
        <w:rPr>
          <w:lang w:val="en-GB"/>
        </w:rPr>
        <w:t xml:space="preserve"> </w:t>
      </w:r>
      <w:r w:rsidR="00E40B65" w:rsidRPr="00221992">
        <w:rPr>
          <w:lang w:val="en-GB"/>
        </w:rPr>
        <w:t>also identified in England/Wales, Scotland</w:t>
      </w:r>
      <w:r w:rsidR="00FC0ACF">
        <w:rPr>
          <w:lang w:val="en-GB"/>
        </w:rPr>
        <w:t xml:space="preserve"> and</w:t>
      </w:r>
      <w:r w:rsidR="00E40B65" w:rsidRPr="00221992">
        <w:rPr>
          <w:lang w:val="en-GB"/>
        </w:rPr>
        <w:t xml:space="preserve"> Singapore. A summary of </w:t>
      </w:r>
      <w:r w:rsidR="0050219A">
        <w:rPr>
          <w:lang w:val="en-GB"/>
        </w:rPr>
        <w:t xml:space="preserve">countries’ </w:t>
      </w:r>
      <w:r w:rsidR="00E40B65" w:rsidRPr="00221992">
        <w:rPr>
          <w:lang w:val="en-GB"/>
        </w:rPr>
        <w:t>rare disease committees and their respective roles is presented in</w:t>
      </w:r>
      <w:r w:rsidR="006129C7">
        <w:rPr>
          <w:lang w:val="en-GB"/>
        </w:rPr>
        <w:t xml:space="preserve"> </w:t>
      </w:r>
      <w:r w:rsidR="006129C7">
        <w:rPr>
          <w:lang w:val="en-GB"/>
        </w:rPr>
        <w:fldChar w:fldCharType="begin"/>
      </w:r>
      <w:r w:rsidR="006129C7">
        <w:rPr>
          <w:lang w:val="en-GB"/>
        </w:rPr>
        <w:instrText xml:space="preserve"> REF _Ref157498983 \h </w:instrText>
      </w:r>
      <w:r w:rsidR="006129C7">
        <w:rPr>
          <w:lang w:val="en-GB"/>
        </w:rPr>
      </w:r>
      <w:r w:rsidR="006129C7">
        <w:rPr>
          <w:lang w:val="en-GB"/>
        </w:rPr>
        <w:fldChar w:fldCharType="separate"/>
      </w:r>
      <w:r w:rsidR="000E11E7" w:rsidRPr="00221992">
        <w:rPr>
          <w:lang w:val="en-GB"/>
        </w:rPr>
        <w:t xml:space="preserve">Table </w:t>
      </w:r>
      <w:r w:rsidR="000E11E7">
        <w:rPr>
          <w:noProof/>
        </w:rPr>
        <w:t>15</w:t>
      </w:r>
      <w:r w:rsidR="006129C7">
        <w:rPr>
          <w:lang w:val="en-GB"/>
        </w:rPr>
        <w:fldChar w:fldCharType="end"/>
      </w:r>
      <w:r w:rsidR="00E40B65" w:rsidRPr="00221992">
        <w:rPr>
          <w:lang w:val="en-GB"/>
        </w:rPr>
        <w:t>.</w:t>
      </w:r>
    </w:p>
    <w:p w14:paraId="5E8FF2B4" w14:textId="56E9F59E" w:rsidR="006129C7" w:rsidRPr="00221992" w:rsidRDefault="006129C7" w:rsidP="000C66C0">
      <w:pPr>
        <w:pStyle w:val="Caption"/>
        <w:rPr>
          <w:lang w:val="en-GB"/>
        </w:rPr>
      </w:pPr>
      <w:bookmarkStart w:id="141" w:name="_Ref157498983"/>
      <w:bookmarkStart w:id="142" w:name="_Toc162950962"/>
      <w:r w:rsidRPr="00221992">
        <w:rPr>
          <w:lang w:val="en-GB"/>
        </w:rPr>
        <w:t xml:space="preserve">Table </w:t>
      </w:r>
      <w:r w:rsidRPr="00221992">
        <w:rPr>
          <w:lang w:val="en-GB"/>
        </w:rPr>
        <w:fldChar w:fldCharType="begin"/>
      </w:r>
      <w:r>
        <w:instrText>SEQ Table \* ARABIC</w:instrText>
      </w:r>
      <w:r w:rsidRPr="00221992">
        <w:rPr>
          <w:lang w:val="en-GB"/>
        </w:rPr>
        <w:fldChar w:fldCharType="separate"/>
      </w:r>
      <w:r w:rsidR="000E11E7">
        <w:rPr>
          <w:noProof/>
        </w:rPr>
        <w:t>15</w:t>
      </w:r>
      <w:r w:rsidRPr="00221992">
        <w:rPr>
          <w:lang w:val="en-GB"/>
        </w:rPr>
        <w:fldChar w:fldCharType="end"/>
      </w:r>
      <w:bookmarkEnd w:id="141"/>
      <w:r w:rsidRPr="00221992">
        <w:rPr>
          <w:lang w:val="en-GB"/>
        </w:rPr>
        <w:t>. Rare diseases special committees by jurisdiction</w:t>
      </w:r>
      <w:bookmarkEnd w:id="142"/>
    </w:p>
    <w:tbl>
      <w:tblPr>
        <w:tblStyle w:val="LinedBlueTable"/>
        <w:tblW w:w="9141" w:type="dxa"/>
        <w:tblLayout w:type="fixed"/>
        <w:tblLook w:val="04A0" w:firstRow="1" w:lastRow="0" w:firstColumn="1" w:lastColumn="0" w:noHBand="0" w:noVBand="1"/>
        <w:tblCaption w:val="Rare diseases special committees by jurisdiction"/>
      </w:tblPr>
      <w:tblGrid>
        <w:gridCol w:w="3047"/>
        <w:gridCol w:w="3047"/>
        <w:gridCol w:w="3047"/>
      </w:tblGrid>
      <w:tr w:rsidR="006129C7" w:rsidRPr="00221992" w14:paraId="5D46579D" w14:textId="77777777">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047" w:type="dxa"/>
            <w:shd w:val="clear" w:color="auto" w:fill="000000" w:themeFill="text1"/>
          </w:tcPr>
          <w:p w14:paraId="535EC9BE" w14:textId="77777777" w:rsidR="006129C7" w:rsidRPr="00221992" w:rsidRDefault="006129C7">
            <w:pPr>
              <w:pStyle w:val="TableHeading"/>
              <w:spacing w:before="0" w:after="0" w:line="240" w:lineRule="auto"/>
              <w:rPr>
                <w:rFonts w:ascii="Calibri" w:hAnsi="Calibri" w:cs="Calibri"/>
                <w:sz w:val="20"/>
                <w:szCs w:val="20"/>
                <w:lang w:val="en-GB"/>
              </w:rPr>
            </w:pPr>
            <w:r w:rsidRPr="00221992">
              <w:rPr>
                <w:rFonts w:ascii="Calibri" w:hAnsi="Calibri" w:cs="Calibri"/>
                <w:sz w:val="20"/>
                <w:szCs w:val="20"/>
                <w:lang w:val="en-GB"/>
              </w:rPr>
              <w:t>Country</w:t>
            </w:r>
          </w:p>
        </w:tc>
        <w:tc>
          <w:tcPr>
            <w:tcW w:w="3047" w:type="dxa"/>
            <w:shd w:val="clear" w:color="auto" w:fill="1E8BCD"/>
          </w:tcPr>
          <w:p w14:paraId="766E5C81" w14:textId="77777777" w:rsidR="006129C7" w:rsidRPr="00221992" w:rsidRDefault="006129C7">
            <w:pPr>
              <w:pStyle w:val="TableHeading"/>
              <w:spacing w:before="0" w:after="0" w:line="240" w:lineRule="auto"/>
              <w:cnfStyle w:val="100000000000" w:firstRow="1" w:lastRow="0" w:firstColumn="0" w:lastColumn="0" w:oddVBand="0" w:evenVBand="0" w:oddHBand="0" w:evenHBand="0" w:firstRowFirstColumn="0" w:firstRowLastColumn="0" w:lastRowFirstColumn="0" w:lastRowLastColumn="0"/>
              <w:rPr>
                <w:rFonts w:ascii="Calibri" w:hAnsi="Calibri" w:cs="Calibri"/>
                <w:sz w:val="20"/>
                <w:szCs w:val="20"/>
                <w:lang w:val="en-GB"/>
              </w:rPr>
            </w:pPr>
            <w:r w:rsidRPr="00221992">
              <w:rPr>
                <w:rFonts w:ascii="Calibri" w:hAnsi="Calibri" w:cs="Calibri"/>
                <w:sz w:val="20"/>
                <w:szCs w:val="20"/>
                <w:lang w:val="en-GB"/>
              </w:rPr>
              <w:t>Rare disease committee</w:t>
            </w:r>
          </w:p>
        </w:tc>
        <w:tc>
          <w:tcPr>
            <w:tcW w:w="3047" w:type="dxa"/>
            <w:shd w:val="clear" w:color="auto" w:fill="1E8BCD"/>
          </w:tcPr>
          <w:p w14:paraId="02DFC2F1" w14:textId="77777777" w:rsidR="006129C7" w:rsidRPr="00221992" w:rsidRDefault="006129C7">
            <w:pPr>
              <w:pStyle w:val="TableHeading"/>
              <w:spacing w:before="0" w:after="0" w:line="240" w:lineRule="auto"/>
              <w:cnfStyle w:val="100000000000" w:firstRow="1" w:lastRow="0" w:firstColumn="0" w:lastColumn="0" w:oddVBand="0" w:evenVBand="0" w:oddHBand="0" w:evenHBand="0" w:firstRowFirstColumn="0" w:firstRowLastColumn="0" w:lastRowFirstColumn="0" w:lastRowLastColumn="0"/>
              <w:rPr>
                <w:rFonts w:ascii="Calibri" w:hAnsi="Calibri" w:cs="Calibri"/>
                <w:sz w:val="20"/>
                <w:szCs w:val="20"/>
                <w:lang w:val="en-GB"/>
              </w:rPr>
            </w:pPr>
            <w:r w:rsidRPr="00221992">
              <w:rPr>
                <w:rFonts w:ascii="Calibri" w:hAnsi="Calibri" w:cs="Calibri"/>
                <w:sz w:val="20"/>
                <w:szCs w:val="20"/>
                <w:lang w:val="en-GB"/>
              </w:rPr>
              <w:t>Role</w:t>
            </w:r>
          </w:p>
        </w:tc>
      </w:tr>
      <w:tr w:rsidR="006129C7" w:rsidRPr="00221992" w14:paraId="3345B2EA" w14:textId="77777777">
        <w:trPr>
          <w:trHeight w:val="20"/>
        </w:trPr>
        <w:tc>
          <w:tcPr>
            <w:cnfStyle w:val="001000000000" w:firstRow="0" w:lastRow="0" w:firstColumn="1" w:lastColumn="0" w:oddVBand="0" w:evenVBand="0" w:oddHBand="0" w:evenHBand="0" w:firstRowFirstColumn="0" w:firstRowLastColumn="0" w:lastRowFirstColumn="0" w:lastRowLastColumn="0"/>
            <w:tcW w:w="3047" w:type="dxa"/>
            <w:shd w:val="clear" w:color="auto" w:fill="1E8BCD"/>
          </w:tcPr>
          <w:p w14:paraId="6E9C077D" w14:textId="77777777" w:rsidR="006129C7" w:rsidRPr="00221992" w:rsidRDefault="006129C7">
            <w:pPr>
              <w:pStyle w:val="TableText"/>
              <w:spacing w:before="0" w:after="0" w:line="240" w:lineRule="auto"/>
              <w:rPr>
                <w:sz w:val="20"/>
                <w:szCs w:val="20"/>
                <w:lang w:val="en-GB"/>
              </w:rPr>
            </w:pPr>
            <w:r w:rsidRPr="00221992">
              <w:rPr>
                <w:sz w:val="20"/>
                <w:szCs w:val="20"/>
                <w:lang w:val="en-GB"/>
              </w:rPr>
              <w:t>England/Wales</w:t>
            </w:r>
          </w:p>
        </w:tc>
        <w:tc>
          <w:tcPr>
            <w:tcW w:w="3047" w:type="dxa"/>
            <w:vMerge w:val="restart"/>
            <w:shd w:val="clear" w:color="auto" w:fill="FFFFFF" w:themeFill="background1"/>
          </w:tcPr>
          <w:p w14:paraId="72D83500" w14:textId="77777777" w:rsidR="006129C7" w:rsidRPr="00221992" w:rsidRDefault="006129C7">
            <w:pPr>
              <w:pStyle w:val="TableText"/>
              <w:spacing w:before="0" w:after="0" w:line="240" w:lineRule="auto"/>
              <w:cnfStyle w:val="000000000000" w:firstRow="0" w:lastRow="0" w:firstColumn="0" w:lastColumn="0" w:oddVBand="0" w:evenVBand="0" w:oddHBand="0" w:evenHBand="0" w:firstRowFirstColumn="0" w:firstRowLastColumn="0" w:lastRowFirstColumn="0" w:lastRowLastColumn="0"/>
              <w:rPr>
                <w:sz w:val="20"/>
                <w:szCs w:val="20"/>
                <w:lang w:val="en-GB"/>
              </w:rPr>
            </w:pPr>
            <w:r w:rsidRPr="00221992">
              <w:rPr>
                <w:sz w:val="20"/>
                <w:szCs w:val="20"/>
                <w:lang w:val="en-GB"/>
              </w:rPr>
              <w:t>Rare Diseases Advisory Group</w:t>
            </w:r>
          </w:p>
        </w:tc>
        <w:tc>
          <w:tcPr>
            <w:tcW w:w="3047" w:type="dxa"/>
            <w:vMerge w:val="restart"/>
            <w:shd w:val="clear" w:color="auto" w:fill="FFFFFF" w:themeFill="background1"/>
          </w:tcPr>
          <w:p w14:paraId="6B764519" w14:textId="77777777" w:rsidR="006129C7" w:rsidRPr="00221992" w:rsidRDefault="006129C7">
            <w:pPr>
              <w:pStyle w:val="TableText"/>
              <w:spacing w:before="0" w:after="0" w:line="240" w:lineRule="auto"/>
              <w:cnfStyle w:val="000000000000" w:firstRow="0" w:lastRow="0" w:firstColumn="0" w:lastColumn="0" w:oddVBand="0" w:evenVBand="0" w:oddHBand="0" w:evenHBand="0" w:firstRowFirstColumn="0" w:firstRowLastColumn="0" w:lastRowFirstColumn="0" w:lastRowLastColumn="0"/>
              <w:rPr>
                <w:sz w:val="20"/>
                <w:szCs w:val="20"/>
                <w:lang w:val="en-GB"/>
              </w:rPr>
            </w:pPr>
            <w:r w:rsidRPr="00221992">
              <w:rPr>
                <w:sz w:val="20"/>
                <w:szCs w:val="20"/>
                <w:lang w:val="en-GB"/>
              </w:rPr>
              <w:t>Make recommendations to the NHS.</w:t>
            </w:r>
          </w:p>
        </w:tc>
      </w:tr>
      <w:tr w:rsidR="006129C7" w:rsidRPr="00221992" w14:paraId="75C340D9" w14:textId="77777777">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047" w:type="dxa"/>
            <w:shd w:val="clear" w:color="auto" w:fill="1E8BCD"/>
          </w:tcPr>
          <w:p w14:paraId="13ED84F7" w14:textId="77777777" w:rsidR="006129C7" w:rsidRPr="00221992" w:rsidRDefault="006129C7">
            <w:pPr>
              <w:pStyle w:val="TableText"/>
              <w:spacing w:before="0" w:after="0" w:line="240" w:lineRule="auto"/>
              <w:rPr>
                <w:sz w:val="20"/>
                <w:szCs w:val="20"/>
                <w:lang w:val="en-GB"/>
              </w:rPr>
            </w:pPr>
            <w:r w:rsidRPr="00221992">
              <w:rPr>
                <w:sz w:val="20"/>
                <w:szCs w:val="20"/>
                <w:lang w:val="en-GB"/>
              </w:rPr>
              <w:t>Scotland</w:t>
            </w:r>
          </w:p>
        </w:tc>
        <w:tc>
          <w:tcPr>
            <w:tcW w:w="3047" w:type="dxa"/>
            <w:vMerge/>
          </w:tcPr>
          <w:p w14:paraId="1A12B5EC" w14:textId="77777777" w:rsidR="006129C7" w:rsidRPr="00221992" w:rsidRDefault="006129C7">
            <w:pPr>
              <w:pStyle w:val="TableText"/>
              <w:spacing w:before="0" w:after="0" w:line="240" w:lineRule="auto"/>
              <w:cnfStyle w:val="000000010000" w:firstRow="0" w:lastRow="0" w:firstColumn="0" w:lastColumn="0" w:oddVBand="0" w:evenVBand="0" w:oddHBand="0" w:evenHBand="1" w:firstRowFirstColumn="0" w:firstRowLastColumn="0" w:lastRowFirstColumn="0" w:lastRowLastColumn="0"/>
              <w:rPr>
                <w:sz w:val="20"/>
                <w:szCs w:val="20"/>
                <w:lang w:val="en-GB"/>
              </w:rPr>
            </w:pPr>
          </w:p>
        </w:tc>
        <w:tc>
          <w:tcPr>
            <w:tcW w:w="3047" w:type="dxa"/>
            <w:vMerge/>
          </w:tcPr>
          <w:p w14:paraId="5AD9EF6E" w14:textId="77777777" w:rsidR="006129C7" w:rsidRPr="00221992" w:rsidRDefault="006129C7">
            <w:pPr>
              <w:pStyle w:val="TableText"/>
              <w:spacing w:before="0" w:after="0" w:line="240" w:lineRule="auto"/>
              <w:cnfStyle w:val="000000010000" w:firstRow="0" w:lastRow="0" w:firstColumn="0" w:lastColumn="0" w:oddVBand="0" w:evenVBand="0" w:oddHBand="0" w:evenHBand="1" w:firstRowFirstColumn="0" w:firstRowLastColumn="0" w:lastRowFirstColumn="0" w:lastRowLastColumn="0"/>
              <w:rPr>
                <w:sz w:val="20"/>
                <w:szCs w:val="20"/>
                <w:lang w:val="en-GB"/>
              </w:rPr>
            </w:pPr>
          </w:p>
        </w:tc>
      </w:tr>
      <w:tr w:rsidR="006129C7" w:rsidRPr="00221992" w14:paraId="40279066" w14:textId="77777777">
        <w:trPr>
          <w:trHeight w:val="20"/>
        </w:trPr>
        <w:tc>
          <w:tcPr>
            <w:cnfStyle w:val="001000000000" w:firstRow="0" w:lastRow="0" w:firstColumn="1" w:lastColumn="0" w:oddVBand="0" w:evenVBand="0" w:oddHBand="0" w:evenHBand="0" w:firstRowFirstColumn="0" w:firstRowLastColumn="0" w:lastRowFirstColumn="0" w:lastRowLastColumn="0"/>
            <w:tcW w:w="3047" w:type="dxa"/>
            <w:shd w:val="clear" w:color="auto" w:fill="1E8BCD"/>
          </w:tcPr>
          <w:p w14:paraId="5E9BC8A1" w14:textId="77777777" w:rsidR="006129C7" w:rsidRPr="00221992" w:rsidRDefault="006129C7">
            <w:pPr>
              <w:pStyle w:val="TableText"/>
              <w:spacing w:before="0" w:after="0" w:line="240" w:lineRule="auto"/>
              <w:rPr>
                <w:sz w:val="20"/>
                <w:szCs w:val="20"/>
                <w:lang w:val="en-GB"/>
              </w:rPr>
            </w:pPr>
            <w:r w:rsidRPr="00221992">
              <w:rPr>
                <w:sz w:val="20"/>
                <w:szCs w:val="20"/>
                <w:lang w:val="en-GB"/>
              </w:rPr>
              <w:t>Canada (Alberta)</w:t>
            </w:r>
          </w:p>
        </w:tc>
        <w:tc>
          <w:tcPr>
            <w:tcW w:w="3047" w:type="dxa"/>
            <w:shd w:val="clear" w:color="auto" w:fill="EFEFEF" w:themeFill="text2" w:themeFillTint="33"/>
          </w:tcPr>
          <w:p w14:paraId="196CB5D0" w14:textId="77777777" w:rsidR="006129C7" w:rsidRPr="00221992" w:rsidRDefault="006129C7">
            <w:pPr>
              <w:pStyle w:val="TableText"/>
              <w:spacing w:before="0" w:after="0" w:line="240" w:lineRule="auto"/>
              <w:cnfStyle w:val="000000000000" w:firstRow="0" w:lastRow="0" w:firstColumn="0" w:lastColumn="0" w:oddVBand="0" w:evenVBand="0" w:oddHBand="0" w:evenHBand="0" w:firstRowFirstColumn="0" w:firstRowLastColumn="0" w:lastRowFirstColumn="0" w:lastRowLastColumn="0"/>
              <w:rPr>
                <w:sz w:val="20"/>
                <w:szCs w:val="20"/>
                <w:lang w:val="en-GB"/>
              </w:rPr>
            </w:pPr>
            <w:r w:rsidRPr="00221992">
              <w:rPr>
                <w:sz w:val="20"/>
                <w:szCs w:val="20"/>
                <w:lang w:val="en-GB"/>
              </w:rPr>
              <w:t>Alberta rare disease clinical review panel</w:t>
            </w:r>
          </w:p>
        </w:tc>
        <w:tc>
          <w:tcPr>
            <w:tcW w:w="3047" w:type="dxa"/>
            <w:shd w:val="clear" w:color="auto" w:fill="EFEFEF" w:themeFill="text2" w:themeFillTint="33"/>
          </w:tcPr>
          <w:p w14:paraId="7A87A08F" w14:textId="77777777" w:rsidR="006129C7" w:rsidRPr="00221992" w:rsidRDefault="006129C7">
            <w:pPr>
              <w:pStyle w:val="TableText"/>
              <w:spacing w:before="0" w:after="0" w:line="240" w:lineRule="auto"/>
              <w:cnfStyle w:val="000000000000" w:firstRow="0" w:lastRow="0" w:firstColumn="0" w:lastColumn="0" w:oddVBand="0" w:evenVBand="0" w:oddHBand="0" w:evenHBand="0" w:firstRowFirstColumn="0" w:firstRowLastColumn="0" w:lastRowFirstColumn="0" w:lastRowLastColumn="0"/>
              <w:rPr>
                <w:sz w:val="20"/>
                <w:szCs w:val="20"/>
                <w:lang w:val="en-GB"/>
              </w:rPr>
            </w:pPr>
            <w:r w:rsidRPr="00221992">
              <w:rPr>
                <w:sz w:val="20"/>
                <w:szCs w:val="20"/>
                <w:lang w:val="en-GB"/>
              </w:rPr>
              <w:t>Provides advice to the general committee</w:t>
            </w:r>
          </w:p>
        </w:tc>
      </w:tr>
      <w:tr w:rsidR="006129C7" w:rsidRPr="00221992" w14:paraId="35569AD0" w14:textId="77777777">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047" w:type="dxa"/>
            <w:shd w:val="clear" w:color="auto" w:fill="1E8BCD"/>
          </w:tcPr>
          <w:p w14:paraId="48DB7C09" w14:textId="44662A98" w:rsidR="006129C7" w:rsidRPr="00221992" w:rsidRDefault="006129C7">
            <w:pPr>
              <w:pStyle w:val="TableText"/>
              <w:spacing w:before="0" w:after="0" w:line="240" w:lineRule="auto"/>
              <w:rPr>
                <w:sz w:val="20"/>
                <w:szCs w:val="20"/>
                <w:lang w:val="en-GB"/>
              </w:rPr>
            </w:pPr>
            <w:r w:rsidRPr="00221992">
              <w:rPr>
                <w:sz w:val="20"/>
                <w:szCs w:val="20"/>
                <w:lang w:val="en-GB"/>
              </w:rPr>
              <w:t>Canada (British Columbia)</w:t>
            </w:r>
            <w:r>
              <w:rPr>
                <w:sz w:val="20"/>
                <w:szCs w:val="20"/>
                <w:lang w:val="en-GB"/>
              </w:rPr>
              <w:t xml:space="preserve"> </w:t>
            </w:r>
            <w:r w:rsidRPr="00221992">
              <w:rPr>
                <w:sz w:val="20"/>
                <w:szCs w:val="20"/>
                <w:lang w:val="en-GB"/>
              </w:rPr>
              <w:fldChar w:fldCharType="begin"/>
            </w:r>
            <w:r w:rsidR="00E5265C">
              <w:rPr>
                <w:sz w:val="20"/>
                <w:szCs w:val="20"/>
                <w:lang w:val="en-GB"/>
              </w:rPr>
              <w:instrText xml:space="preserve"> ADDIN EN.CITE &lt;EndNote&gt;&lt;Cite&gt;&lt;Author&gt;PharmaCare&lt;/Author&gt;&lt;Year&gt;2023&lt;/Year&gt;&lt;RecNum&gt;534&lt;/RecNum&gt;&lt;DisplayText&gt;[150]&lt;/DisplayText&gt;&lt;record&gt;&lt;rec-number&gt;534&lt;/rec-number&gt;&lt;foreign-keys&gt;&lt;key app="EN" db-id="wzwwsfxe4peesxef95cxvrwjxts9rreasarf" timestamp="1692751953"&gt;534&lt;/key&gt;&lt;/foreign-keys&gt;&lt;ref-type name="Web Page"&gt;12&lt;/ref-type&gt;&lt;contributors&gt;&lt;authors&gt;&lt;author&gt;PharmaCare,&lt;/author&gt;&lt;/authors&gt;&lt;/contributors&gt;&lt;titles&gt;&lt;title&gt;Exceptional funding of EDRDs&lt;/title&gt;&lt;/titles&gt;&lt;number&gt;28/07/2023&lt;/number&gt;&lt;dates&gt;&lt;year&gt;2023&lt;/year&gt;&lt;/dates&gt;&lt;urls&gt;&lt;related-urls&gt;&lt;url&gt;https://www2.gov.bc.ca/gov/content/health/health-drug-coverage/pharmacare-for-bc-residents/what-we-cover/exceptional-funding-edrd#:~:text=To%20be%20eligible%20for%20an,MSP%20and%20Fair%20PharmaCare%3B%20and&lt;/url&gt;&lt;/related-urls&gt;&lt;/urls&gt;&lt;/record&gt;&lt;/Cite&gt;&lt;/EndNote&gt;</w:instrText>
            </w:r>
            <w:r w:rsidRPr="00221992">
              <w:rPr>
                <w:sz w:val="20"/>
                <w:szCs w:val="20"/>
                <w:lang w:val="en-GB"/>
              </w:rPr>
              <w:fldChar w:fldCharType="separate"/>
            </w:r>
            <w:r w:rsidR="00E5265C">
              <w:rPr>
                <w:noProof/>
                <w:sz w:val="20"/>
                <w:szCs w:val="20"/>
                <w:lang w:val="en-GB"/>
              </w:rPr>
              <w:t>[150]</w:t>
            </w:r>
            <w:r w:rsidRPr="00221992">
              <w:rPr>
                <w:sz w:val="20"/>
                <w:szCs w:val="20"/>
                <w:lang w:val="en-GB"/>
              </w:rPr>
              <w:fldChar w:fldCharType="end"/>
            </w:r>
          </w:p>
        </w:tc>
        <w:tc>
          <w:tcPr>
            <w:tcW w:w="3047" w:type="dxa"/>
            <w:shd w:val="clear" w:color="auto" w:fill="FFFFFF" w:themeFill="background1"/>
          </w:tcPr>
          <w:p w14:paraId="27323D16" w14:textId="77777777" w:rsidR="006129C7" w:rsidRPr="00221992" w:rsidRDefault="006129C7">
            <w:pPr>
              <w:pStyle w:val="TableText"/>
              <w:spacing w:before="0" w:after="0" w:line="240" w:lineRule="auto"/>
              <w:cnfStyle w:val="000000010000" w:firstRow="0" w:lastRow="0" w:firstColumn="0" w:lastColumn="0" w:oddVBand="0" w:evenVBand="0" w:oddHBand="0" w:evenHBand="1" w:firstRowFirstColumn="0" w:firstRowLastColumn="0" w:lastRowFirstColumn="0" w:lastRowLastColumn="0"/>
              <w:rPr>
                <w:sz w:val="20"/>
                <w:szCs w:val="20"/>
                <w:lang w:val="en-GB"/>
              </w:rPr>
            </w:pPr>
            <w:r w:rsidRPr="00221992">
              <w:rPr>
                <w:sz w:val="20"/>
                <w:szCs w:val="20"/>
                <w:lang w:val="en-GB"/>
              </w:rPr>
              <w:t>Expensive drugs for rare diseases advisory committee</w:t>
            </w:r>
          </w:p>
        </w:tc>
        <w:tc>
          <w:tcPr>
            <w:tcW w:w="3047" w:type="dxa"/>
            <w:shd w:val="clear" w:color="auto" w:fill="FFFFFF" w:themeFill="background1"/>
          </w:tcPr>
          <w:p w14:paraId="4D5E4A56" w14:textId="77777777" w:rsidR="006129C7" w:rsidRPr="00221992" w:rsidRDefault="006129C7">
            <w:pPr>
              <w:pStyle w:val="TableText"/>
              <w:spacing w:before="0" w:after="0" w:line="240" w:lineRule="auto"/>
              <w:cnfStyle w:val="000000010000" w:firstRow="0" w:lastRow="0" w:firstColumn="0" w:lastColumn="0" w:oddVBand="0" w:evenVBand="0" w:oddHBand="0" w:evenHBand="1" w:firstRowFirstColumn="0" w:firstRowLastColumn="0" w:lastRowFirstColumn="0" w:lastRowLastColumn="0"/>
              <w:rPr>
                <w:sz w:val="20"/>
                <w:szCs w:val="20"/>
                <w:lang w:val="en-GB"/>
              </w:rPr>
            </w:pPr>
            <w:r w:rsidRPr="00221992">
              <w:rPr>
                <w:sz w:val="20"/>
                <w:szCs w:val="20"/>
                <w:lang w:val="en-GB"/>
              </w:rPr>
              <w:t>Reviews sub-committee decision and makes an independent funding recommendation to the Ministry</w:t>
            </w:r>
          </w:p>
        </w:tc>
      </w:tr>
      <w:tr w:rsidR="006129C7" w:rsidRPr="00221992" w14:paraId="715DADCF" w14:textId="77777777">
        <w:trPr>
          <w:trHeight w:val="20"/>
        </w:trPr>
        <w:tc>
          <w:tcPr>
            <w:cnfStyle w:val="001000000000" w:firstRow="0" w:lastRow="0" w:firstColumn="1" w:lastColumn="0" w:oddVBand="0" w:evenVBand="0" w:oddHBand="0" w:evenHBand="0" w:firstRowFirstColumn="0" w:firstRowLastColumn="0" w:lastRowFirstColumn="0" w:lastRowLastColumn="0"/>
            <w:tcW w:w="3047" w:type="dxa"/>
            <w:shd w:val="clear" w:color="auto" w:fill="1E8BCD"/>
          </w:tcPr>
          <w:p w14:paraId="567DE1AC" w14:textId="77777777" w:rsidR="006129C7" w:rsidRPr="00221992" w:rsidRDefault="006129C7">
            <w:pPr>
              <w:pStyle w:val="TableText"/>
              <w:spacing w:before="0" w:after="0" w:line="240" w:lineRule="auto"/>
              <w:rPr>
                <w:sz w:val="20"/>
                <w:szCs w:val="20"/>
                <w:lang w:val="en-GB"/>
              </w:rPr>
            </w:pPr>
            <w:r w:rsidRPr="00221992">
              <w:rPr>
                <w:sz w:val="20"/>
                <w:szCs w:val="20"/>
                <w:lang w:val="en-GB"/>
              </w:rPr>
              <w:t>New Zealand</w:t>
            </w:r>
          </w:p>
        </w:tc>
        <w:tc>
          <w:tcPr>
            <w:tcW w:w="3047" w:type="dxa"/>
            <w:shd w:val="clear" w:color="auto" w:fill="EFEFEF" w:themeFill="text2" w:themeFillTint="33"/>
          </w:tcPr>
          <w:p w14:paraId="36476198" w14:textId="77777777" w:rsidR="006129C7" w:rsidRPr="00221992" w:rsidRDefault="006129C7">
            <w:pPr>
              <w:pStyle w:val="TableText"/>
              <w:spacing w:before="0" w:after="0" w:line="240" w:lineRule="auto"/>
              <w:cnfStyle w:val="000000000000" w:firstRow="0" w:lastRow="0" w:firstColumn="0" w:lastColumn="0" w:oddVBand="0" w:evenVBand="0" w:oddHBand="0" w:evenHBand="0" w:firstRowFirstColumn="0" w:firstRowLastColumn="0" w:lastRowFirstColumn="0" w:lastRowLastColumn="0"/>
              <w:rPr>
                <w:sz w:val="20"/>
                <w:szCs w:val="20"/>
                <w:lang w:val="en-GB"/>
              </w:rPr>
            </w:pPr>
            <w:r w:rsidRPr="00221992">
              <w:rPr>
                <w:sz w:val="20"/>
                <w:szCs w:val="20"/>
                <w:lang w:val="en-GB"/>
              </w:rPr>
              <w:t>Rare Disorders sub-committee of the PTAC</w:t>
            </w:r>
          </w:p>
        </w:tc>
        <w:tc>
          <w:tcPr>
            <w:tcW w:w="3047" w:type="dxa"/>
            <w:shd w:val="clear" w:color="auto" w:fill="EFEFEF" w:themeFill="text2" w:themeFillTint="33"/>
          </w:tcPr>
          <w:p w14:paraId="6B77E373" w14:textId="77777777" w:rsidR="006129C7" w:rsidRPr="00221992" w:rsidRDefault="006129C7">
            <w:pPr>
              <w:pStyle w:val="TableText"/>
              <w:spacing w:before="0" w:after="0" w:line="240" w:lineRule="auto"/>
              <w:cnfStyle w:val="000000000000" w:firstRow="0" w:lastRow="0" w:firstColumn="0" w:lastColumn="0" w:oddVBand="0" w:evenVBand="0" w:oddHBand="0" w:evenHBand="0" w:firstRowFirstColumn="0" w:firstRowLastColumn="0" w:lastRowFirstColumn="0" w:lastRowLastColumn="0"/>
              <w:rPr>
                <w:sz w:val="20"/>
                <w:szCs w:val="20"/>
                <w:lang w:val="en-GB"/>
              </w:rPr>
            </w:pPr>
            <w:r w:rsidRPr="00221992">
              <w:rPr>
                <w:sz w:val="20"/>
                <w:szCs w:val="20"/>
                <w:lang w:val="en-GB"/>
              </w:rPr>
              <w:t>Advice PHARMAC</w:t>
            </w:r>
          </w:p>
        </w:tc>
      </w:tr>
      <w:tr w:rsidR="006129C7" w:rsidRPr="00221992" w14:paraId="6AA2C80B" w14:textId="77777777">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047" w:type="dxa"/>
            <w:shd w:val="clear" w:color="auto" w:fill="1E8BCD"/>
          </w:tcPr>
          <w:p w14:paraId="31E1C1C8" w14:textId="77777777" w:rsidR="006129C7" w:rsidRPr="00221992" w:rsidRDefault="006129C7">
            <w:pPr>
              <w:pStyle w:val="TableText"/>
              <w:spacing w:before="0" w:after="0" w:line="240" w:lineRule="auto"/>
              <w:rPr>
                <w:sz w:val="20"/>
                <w:szCs w:val="20"/>
                <w:lang w:val="en-GB"/>
              </w:rPr>
            </w:pPr>
            <w:r w:rsidRPr="00221992">
              <w:rPr>
                <w:sz w:val="20"/>
                <w:szCs w:val="20"/>
                <w:lang w:val="en-GB"/>
              </w:rPr>
              <w:t>Singapore</w:t>
            </w:r>
          </w:p>
        </w:tc>
        <w:tc>
          <w:tcPr>
            <w:tcW w:w="3047" w:type="dxa"/>
            <w:shd w:val="clear" w:color="auto" w:fill="FFFFFF" w:themeFill="background1"/>
          </w:tcPr>
          <w:p w14:paraId="3CD3D891" w14:textId="77777777" w:rsidR="006129C7" w:rsidRPr="00221992" w:rsidRDefault="006129C7">
            <w:pPr>
              <w:pStyle w:val="TableText"/>
              <w:spacing w:before="0" w:after="0" w:line="240" w:lineRule="auto"/>
              <w:cnfStyle w:val="000000010000" w:firstRow="0" w:lastRow="0" w:firstColumn="0" w:lastColumn="0" w:oddVBand="0" w:evenVBand="0" w:oddHBand="0" w:evenHBand="1" w:firstRowFirstColumn="0" w:firstRowLastColumn="0" w:lastRowFirstColumn="0" w:lastRowLastColumn="0"/>
              <w:rPr>
                <w:sz w:val="20"/>
                <w:szCs w:val="20"/>
                <w:lang w:val="en-GB"/>
              </w:rPr>
            </w:pPr>
            <w:r w:rsidRPr="00221992">
              <w:rPr>
                <w:sz w:val="20"/>
                <w:szCs w:val="20"/>
                <w:lang w:val="en-GB"/>
              </w:rPr>
              <w:t xml:space="preserve">RDF Committee </w:t>
            </w:r>
          </w:p>
        </w:tc>
        <w:tc>
          <w:tcPr>
            <w:tcW w:w="3047" w:type="dxa"/>
            <w:shd w:val="clear" w:color="auto" w:fill="FFFFFF" w:themeFill="background1"/>
          </w:tcPr>
          <w:p w14:paraId="26281462" w14:textId="77777777" w:rsidR="006129C7" w:rsidRPr="00221992" w:rsidRDefault="006129C7">
            <w:pPr>
              <w:pStyle w:val="TableText"/>
              <w:spacing w:before="0" w:after="0" w:line="240" w:lineRule="auto"/>
              <w:cnfStyle w:val="000000010000" w:firstRow="0" w:lastRow="0" w:firstColumn="0" w:lastColumn="0" w:oddVBand="0" w:evenVBand="0" w:oddHBand="0" w:evenHBand="1" w:firstRowFirstColumn="0" w:firstRowLastColumn="0" w:lastRowFirstColumn="0" w:lastRowLastColumn="0"/>
              <w:rPr>
                <w:sz w:val="20"/>
                <w:szCs w:val="20"/>
                <w:lang w:val="en-GB"/>
              </w:rPr>
            </w:pPr>
            <w:r w:rsidRPr="00221992">
              <w:rPr>
                <w:sz w:val="20"/>
                <w:szCs w:val="20"/>
                <w:lang w:val="en-GB"/>
              </w:rPr>
              <w:t xml:space="preserve">Assess applications and decides on the list of medicines to be covered. </w:t>
            </w:r>
          </w:p>
        </w:tc>
      </w:tr>
      <w:tr w:rsidR="006129C7" w:rsidRPr="00221992" w14:paraId="514A0363" w14:textId="77777777">
        <w:trPr>
          <w:trHeight w:val="20"/>
        </w:trPr>
        <w:tc>
          <w:tcPr>
            <w:cnfStyle w:val="001000000000" w:firstRow="0" w:lastRow="0" w:firstColumn="1" w:lastColumn="0" w:oddVBand="0" w:evenVBand="0" w:oddHBand="0" w:evenHBand="0" w:firstRowFirstColumn="0" w:firstRowLastColumn="0" w:lastRowFirstColumn="0" w:lastRowLastColumn="0"/>
            <w:tcW w:w="3047" w:type="dxa"/>
            <w:shd w:val="clear" w:color="auto" w:fill="1E8BCD"/>
          </w:tcPr>
          <w:p w14:paraId="01E1430A" w14:textId="77777777" w:rsidR="006129C7" w:rsidRPr="00221992" w:rsidRDefault="006129C7">
            <w:pPr>
              <w:pStyle w:val="TableText"/>
              <w:spacing w:before="0" w:after="0" w:line="240" w:lineRule="auto"/>
              <w:rPr>
                <w:sz w:val="20"/>
                <w:szCs w:val="20"/>
                <w:lang w:val="en-GB"/>
              </w:rPr>
            </w:pPr>
            <w:r w:rsidRPr="00221992">
              <w:rPr>
                <w:sz w:val="20"/>
                <w:szCs w:val="20"/>
                <w:lang w:val="en-GB"/>
              </w:rPr>
              <w:t>Germany, Taiwan, Norway Italy, France, Korea and Netherlands.</w:t>
            </w:r>
          </w:p>
        </w:tc>
        <w:tc>
          <w:tcPr>
            <w:tcW w:w="3047" w:type="dxa"/>
            <w:shd w:val="clear" w:color="auto" w:fill="EFEFEF" w:themeFill="text2" w:themeFillTint="33"/>
          </w:tcPr>
          <w:p w14:paraId="39D57F78" w14:textId="77777777" w:rsidR="006129C7" w:rsidRPr="00221992" w:rsidRDefault="006129C7">
            <w:pPr>
              <w:pStyle w:val="TableText"/>
              <w:spacing w:before="0" w:after="0" w:line="240" w:lineRule="auto"/>
              <w:cnfStyle w:val="000000000000" w:firstRow="0" w:lastRow="0" w:firstColumn="0" w:lastColumn="0" w:oddVBand="0" w:evenVBand="0" w:oddHBand="0" w:evenHBand="0" w:firstRowFirstColumn="0" w:firstRowLastColumn="0" w:lastRowFirstColumn="0" w:lastRowLastColumn="0"/>
              <w:rPr>
                <w:sz w:val="20"/>
                <w:szCs w:val="20"/>
                <w:lang w:val="en-GB"/>
              </w:rPr>
            </w:pPr>
            <w:r w:rsidRPr="00221992">
              <w:rPr>
                <w:sz w:val="20"/>
                <w:szCs w:val="20"/>
                <w:lang w:val="en-GB"/>
              </w:rPr>
              <w:t>No</w:t>
            </w:r>
          </w:p>
        </w:tc>
        <w:tc>
          <w:tcPr>
            <w:tcW w:w="3047" w:type="dxa"/>
            <w:shd w:val="clear" w:color="auto" w:fill="EFEFEF" w:themeFill="text2" w:themeFillTint="33"/>
          </w:tcPr>
          <w:p w14:paraId="4E87F836" w14:textId="77777777" w:rsidR="006129C7" w:rsidRPr="00221992" w:rsidRDefault="006129C7">
            <w:pPr>
              <w:pStyle w:val="TableText"/>
              <w:spacing w:before="0" w:after="0" w:line="240" w:lineRule="auto"/>
              <w:cnfStyle w:val="000000000000" w:firstRow="0" w:lastRow="0" w:firstColumn="0" w:lastColumn="0" w:oddVBand="0" w:evenVBand="0" w:oddHBand="0" w:evenHBand="0" w:firstRowFirstColumn="0" w:firstRowLastColumn="0" w:lastRowFirstColumn="0" w:lastRowLastColumn="0"/>
              <w:rPr>
                <w:sz w:val="20"/>
                <w:szCs w:val="20"/>
                <w:lang w:val="en-GB"/>
              </w:rPr>
            </w:pPr>
            <w:r w:rsidRPr="00221992">
              <w:rPr>
                <w:sz w:val="20"/>
                <w:szCs w:val="20"/>
                <w:lang w:val="en-GB"/>
              </w:rPr>
              <w:t>N/A</w:t>
            </w:r>
          </w:p>
        </w:tc>
      </w:tr>
    </w:tbl>
    <w:p w14:paraId="1F70C9A7" w14:textId="77777777" w:rsidR="006129C7" w:rsidRPr="00221992" w:rsidRDefault="006129C7" w:rsidP="000C66C0">
      <w:pPr>
        <w:pStyle w:val="TableNotes"/>
        <w:rPr>
          <w:lang w:val="en-GB"/>
        </w:rPr>
      </w:pPr>
      <w:r w:rsidRPr="00221992">
        <w:rPr>
          <w:lang w:val="en-GB"/>
        </w:rPr>
        <w:t>Acronyms:</w:t>
      </w:r>
      <w:r w:rsidRPr="00221992">
        <w:rPr>
          <w:lang w:val="en-GB"/>
        </w:rPr>
        <w:tab/>
        <w:t>N/A, not applicable; PTAC, Pharmacology and Therapeutics Advisory Committee; RDF, Rare Disease Fund</w:t>
      </w:r>
    </w:p>
    <w:p w14:paraId="79A9D7BD" w14:textId="4EB657DF" w:rsidR="00E40B65" w:rsidRPr="00221992" w:rsidRDefault="00E40B65" w:rsidP="006129C7">
      <w:pPr>
        <w:ind w:left="426"/>
        <w:rPr>
          <w:lang w:val="en-GB"/>
        </w:rPr>
      </w:pPr>
      <w:r w:rsidRPr="00221992">
        <w:rPr>
          <w:lang w:val="en-GB"/>
        </w:rPr>
        <w:t xml:space="preserve">The only country that reported having a special role for patients and </w:t>
      </w:r>
      <w:r w:rsidR="00711556">
        <w:rPr>
          <w:lang w:val="en-GB"/>
        </w:rPr>
        <w:t>clinician</w:t>
      </w:r>
      <w:r w:rsidR="00711556" w:rsidRPr="00221992">
        <w:rPr>
          <w:lang w:val="en-GB"/>
        </w:rPr>
        <w:t xml:space="preserve"> </w:t>
      </w:r>
      <w:r w:rsidRPr="00221992">
        <w:rPr>
          <w:lang w:val="en-GB"/>
        </w:rPr>
        <w:t xml:space="preserve">involvement was Scotland. In particular, if within the New Medicine Fund (NMF) evaluation, the draft NDC advice is </w:t>
      </w:r>
      <w:r w:rsidR="00551786">
        <w:rPr>
          <w:lang w:val="en-GB"/>
        </w:rPr>
        <w:t>‘</w:t>
      </w:r>
      <w:r w:rsidRPr="00221992">
        <w:rPr>
          <w:lang w:val="en-GB"/>
        </w:rPr>
        <w:t>not recommended</w:t>
      </w:r>
      <w:r w:rsidR="00DC5068">
        <w:rPr>
          <w:lang w:val="en-GB"/>
        </w:rPr>
        <w:t>,</w:t>
      </w:r>
      <w:r w:rsidR="00551786">
        <w:rPr>
          <w:lang w:val="en-GB"/>
        </w:rPr>
        <w:t>’</w:t>
      </w:r>
      <w:r w:rsidRPr="00221992">
        <w:rPr>
          <w:lang w:val="en-GB"/>
        </w:rPr>
        <w:t xml:space="preserve"> the submitting company </w:t>
      </w:r>
      <w:r w:rsidR="00DC5068">
        <w:rPr>
          <w:lang w:val="en-GB"/>
        </w:rPr>
        <w:t>may</w:t>
      </w:r>
      <w:r w:rsidRPr="00221992">
        <w:rPr>
          <w:lang w:val="en-GB"/>
        </w:rPr>
        <w:t xml:space="preserve"> request a </w:t>
      </w:r>
      <w:r w:rsidR="00DC7E0D" w:rsidRPr="00DC7E0D">
        <w:rPr>
          <w:lang w:val="en-GB"/>
        </w:rPr>
        <w:t xml:space="preserve">Patient and Clinician Engagement </w:t>
      </w:r>
      <w:r w:rsidR="00DC7E0D">
        <w:rPr>
          <w:lang w:val="en-GB"/>
        </w:rPr>
        <w:t>(</w:t>
      </w:r>
      <w:r w:rsidRPr="00221992">
        <w:rPr>
          <w:lang w:val="en-GB"/>
        </w:rPr>
        <w:t>PACE</w:t>
      </w:r>
      <w:r w:rsidR="00DC7E0D">
        <w:rPr>
          <w:lang w:val="en-GB"/>
        </w:rPr>
        <w:t>)</w:t>
      </w:r>
      <w:r w:rsidRPr="00221992">
        <w:rPr>
          <w:lang w:val="en-GB"/>
        </w:rPr>
        <w:t xml:space="preserve"> meeting. PACE </w:t>
      </w:r>
      <w:r w:rsidR="00DC5068">
        <w:rPr>
          <w:lang w:val="en-GB"/>
        </w:rPr>
        <w:t xml:space="preserve">meetings are </w:t>
      </w:r>
      <w:r w:rsidRPr="00221992">
        <w:rPr>
          <w:lang w:val="en-GB"/>
        </w:rPr>
        <w:t xml:space="preserve">generally implemented after the SMC </w:t>
      </w:r>
      <w:r w:rsidR="00DC5068">
        <w:rPr>
          <w:lang w:val="en-GB"/>
        </w:rPr>
        <w:t>has determined a lack of</w:t>
      </w:r>
      <w:r w:rsidR="00DC5068" w:rsidRPr="00221992">
        <w:rPr>
          <w:lang w:val="en-GB"/>
        </w:rPr>
        <w:t xml:space="preserve"> </w:t>
      </w:r>
      <w:r w:rsidRPr="00221992">
        <w:rPr>
          <w:lang w:val="en-GB"/>
        </w:rPr>
        <w:t xml:space="preserve">cost-effectiveness for </w:t>
      </w:r>
      <w:r w:rsidR="00DC5068">
        <w:rPr>
          <w:lang w:val="en-GB"/>
        </w:rPr>
        <w:t xml:space="preserve">treatment of </w:t>
      </w:r>
      <w:r w:rsidRPr="00221992">
        <w:rPr>
          <w:lang w:val="en-GB"/>
        </w:rPr>
        <w:t xml:space="preserve">ultra-rare and end-of-life conditions. The aim of this meeting </w:t>
      </w:r>
      <w:r w:rsidR="00DC5068">
        <w:rPr>
          <w:lang w:val="en-GB"/>
        </w:rPr>
        <w:t>is</w:t>
      </w:r>
      <w:r w:rsidR="00DC5068" w:rsidRPr="00221992">
        <w:rPr>
          <w:lang w:val="en-GB"/>
        </w:rPr>
        <w:t xml:space="preserve"> </w:t>
      </w:r>
      <w:r w:rsidRPr="00221992">
        <w:rPr>
          <w:lang w:val="en-GB"/>
        </w:rPr>
        <w:t xml:space="preserve">to </w:t>
      </w:r>
      <w:r w:rsidR="00DC5068" w:rsidRPr="00221992">
        <w:rPr>
          <w:lang w:val="en-GB"/>
        </w:rPr>
        <w:t>give clinicians and patients a stronger voice in decision-making process</w:t>
      </w:r>
      <w:r w:rsidR="00DC5068">
        <w:rPr>
          <w:lang w:val="en-GB"/>
        </w:rPr>
        <w:t xml:space="preserve">. PACE meetings </w:t>
      </w:r>
      <w:r w:rsidRPr="00221992">
        <w:rPr>
          <w:lang w:val="en-GB"/>
        </w:rPr>
        <w:t>provid</w:t>
      </w:r>
      <w:r w:rsidR="00DC5068">
        <w:rPr>
          <w:lang w:val="en-GB"/>
        </w:rPr>
        <w:t>e</w:t>
      </w:r>
      <w:r w:rsidRPr="00221992">
        <w:rPr>
          <w:lang w:val="en-GB"/>
        </w:rPr>
        <w:t xml:space="preserve"> a more thorough description of </w:t>
      </w:r>
      <w:r w:rsidR="00DC5068">
        <w:rPr>
          <w:lang w:val="en-GB"/>
        </w:rPr>
        <w:t>a treatment’s</w:t>
      </w:r>
      <w:r w:rsidR="00DC5068" w:rsidRPr="00221992">
        <w:rPr>
          <w:lang w:val="en-GB"/>
        </w:rPr>
        <w:t xml:space="preserve"> </w:t>
      </w:r>
      <w:r w:rsidRPr="00221992">
        <w:rPr>
          <w:lang w:val="en-GB"/>
        </w:rPr>
        <w:t>added benefits</w:t>
      </w:r>
      <w:r w:rsidR="00DC5068">
        <w:rPr>
          <w:lang w:val="en-GB"/>
        </w:rPr>
        <w:t>,</w:t>
      </w:r>
      <w:r w:rsidRPr="00221992">
        <w:rPr>
          <w:lang w:val="en-GB"/>
        </w:rPr>
        <w:t xml:space="preserve"> considering patient, family</w:t>
      </w:r>
      <w:r w:rsidR="00DC5068">
        <w:rPr>
          <w:lang w:val="en-GB"/>
        </w:rPr>
        <w:t>,</w:t>
      </w:r>
      <w:r w:rsidRPr="00221992">
        <w:rPr>
          <w:lang w:val="en-GB"/>
        </w:rPr>
        <w:t xml:space="preserve"> carer and clinician perspectives that may not </w:t>
      </w:r>
      <w:r w:rsidR="00DC5068">
        <w:rPr>
          <w:lang w:val="en-GB"/>
        </w:rPr>
        <w:t xml:space="preserve">have </w:t>
      </w:r>
      <w:r w:rsidRPr="00221992">
        <w:rPr>
          <w:lang w:val="en-GB"/>
        </w:rPr>
        <w:t>be</w:t>
      </w:r>
      <w:r w:rsidR="00DC5068">
        <w:rPr>
          <w:lang w:val="en-GB"/>
        </w:rPr>
        <w:t>en</w:t>
      </w:r>
      <w:r w:rsidRPr="00221992">
        <w:rPr>
          <w:lang w:val="en-GB"/>
        </w:rPr>
        <w:t xml:space="preserve"> fully captured within the clinical and economic assessment. Convening </w:t>
      </w:r>
      <w:r w:rsidR="00E5310D">
        <w:rPr>
          <w:lang w:val="en-GB"/>
        </w:rPr>
        <w:t>a PACE</w:t>
      </w:r>
      <w:r w:rsidR="00E5310D" w:rsidRPr="00221992">
        <w:rPr>
          <w:lang w:val="en-GB"/>
        </w:rPr>
        <w:t xml:space="preserve"> </w:t>
      </w:r>
      <w:r w:rsidRPr="00221992">
        <w:rPr>
          <w:lang w:val="en-GB"/>
        </w:rPr>
        <w:t xml:space="preserve">meeting adds an additional </w:t>
      </w:r>
      <w:r w:rsidR="00E5310D">
        <w:rPr>
          <w:lang w:val="en-GB"/>
        </w:rPr>
        <w:t>one</w:t>
      </w:r>
      <w:r w:rsidRPr="00221992">
        <w:rPr>
          <w:lang w:val="en-GB"/>
        </w:rPr>
        <w:t xml:space="preserve"> to </w:t>
      </w:r>
      <w:r w:rsidR="00E5310D">
        <w:rPr>
          <w:lang w:val="en-GB"/>
        </w:rPr>
        <w:t>three</w:t>
      </w:r>
      <w:r w:rsidRPr="00221992">
        <w:rPr>
          <w:lang w:val="en-GB"/>
        </w:rPr>
        <w:t xml:space="preserve"> months to the evaluation process </w:t>
      </w:r>
      <w:r w:rsidRPr="00221992">
        <w:rPr>
          <w:lang w:val="en-GB"/>
        </w:rPr>
        <w:fldChar w:fldCharType="begin"/>
      </w:r>
      <w:r w:rsidR="00E5265C">
        <w:rPr>
          <w:lang w:val="en-GB"/>
        </w:rPr>
        <w:instrText xml:space="preserve"> ADDIN EN.CITE &lt;EndNote&gt;&lt;Cite&gt;&lt;Author&gt;Czech&lt;/Author&gt;&lt;Year&gt;2020&lt;/Year&gt;&lt;RecNum&gt;105&lt;/RecNum&gt;&lt;DisplayText&gt;[151]&lt;/DisplayText&gt;&lt;record&gt;&lt;rec-number&gt;105&lt;/rec-number&gt;&lt;foreign-keys&gt;&lt;key app="EN" db-id="wzwwsfxe4peesxef95cxvrwjxts9rreasarf" timestamp="1692654670"&gt;105&lt;/key&gt;&lt;/foreign-keys&gt;&lt;ref-type name="Journal Article"&gt;17&lt;/ref-type&gt;&lt;contributors&gt;&lt;authors&gt;&lt;author&gt;Czech, Marcin&lt;/author&gt;&lt;author&gt;Baran-Kooiker, Aleksandra&lt;/author&gt;&lt;author&gt;Atikeler, Kagan&lt;/author&gt;&lt;author&gt;Demirtshyan, Maria&lt;/author&gt;&lt;author&gt;Gaitova, Kamilla&lt;/author&gt;&lt;author&gt;Holownia-Voloskova, Malwina&lt;/author&gt;&lt;author&gt;Turcu-Stiolica, Adina&lt;/author&gt;&lt;author&gt;Kooiker, Coen&lt;/author&gt;&lt;author&gt;Piniazhko, Oresta&lt;/author&gt;&lt;author&gt;Konstandyan, Natella&lt;/author&gt;&lt;/authors&gt;&lt;/contributors&gt;&lt;titles&gt;&lt;title&gt;A review of rare disease policies and orphan drug reimbursement systems in 12 Eurasian countries&lt;/title&gt;&lt;secondary-title&gt;Frontiers in public health&lt;/secondary-title&gt;&lt;/titles&gt;&lt;periodical&gt;&lt;full-title&gt;Frontiers in public health&lt;/full-title&gt;&lt;/periodical&gt;&lt;pages&gt;416&lt;/pages&gt;&lt;volume&gt;7&lt;/volume&gt;&lt;dates&gt;&lt;year&gt;2020&lt;/year&gt;&lt;/dates&gt;&lt;isbn&gt;2296-2565&lt;/isbn&gt;&lt;urls&gt;&lt;/urls&gt;&lt;/record&gt;&lt;/Cite&gt;&lt;/EndNote&gt;</w:instrText>
      </w:r>
      <w:r w:rsidRPr="00221992">
        <w:rPr>
          <w:lang w:val="en-GB"/>
        </w:rPr>
        <w:fldChar w:fldCharType="separate"/>
      </w:r>
      <w:r w:rsidR="00E5265C">
        <w:rPr>
          <w:noProof/>
          <w:lang w:val="en-GB"/>
        </w:rPr>
        <w:t>[151]</w:t>
      </w:r>
      <w:r w:rsidRPr="00221992">
        <w:rPr>
          <w:lang w:val="en-GB"/>
        </w:rPr>
        <w:fldChar w:fldCharType="end"/>
      </w:r>
      <w:r w:rsidRPr="00221992">
        <w:rPr>
          <w:lang w:val="en-GB"/>
        </w:rPr>
        <w:t>. The group is composed of:</w:t>
      </w:r>
    </w:p>
    <w:p w14:paraId="03C6554A" w14:textId="77777777" w:rsidR="00E40B65" w:rsidRPr="00221992" w:rsidRDefault="00E40B65" w:rsidP="00957584">
      <w:pPr>
        <w:pStyle w:val="ListParagraph"/>
        <w:numPr>
          <w:ilvl w:val="0"/>
          <w:numId w:val="49"/>
        </w:numPr>
        <w:rPr>
          <w:lang w:val="en-GB"/>
        </w:rPr>
      </w:pPr>
      <w:r w:rsidRPr="00221992">
        <w:rPr>
          <w:lang w:val="en-GB"/>
        </w:rPr>
        <w:t>Chair, generally the NDC vice-chair;</w:t>
      </w:r>
    </w:p>
    <w:p w14:paraId="6AC2B373" w14:textId="49AD8B98" w:rsidR="00E40B65" w:rsidRPr="00221992" w:rsidRDefault="00E40B65" w:rsidP="00957584">
      <w:pPr>
        <w:pStyle w:val="ListParagraph"/>
        <w:numPr>
          <w:ilvl w:val="0"/>
          <w:numId w:val="49"/>
        </w:numPr>
        <w:rPr>
          <w:lang w:val="en-GB"/>
        </w:rPr>
      </w:pPr>
      <w:r w:rsidRPr="00221992">
        <w:rPr>
          <w:lang w:val="en-GB"/>
        </w:rPr>
        <w:t>An SMC partner to provide public scrutiny;</w:t>
      </w:r>
    </w:p>
    <w:p w14:paraId="4A6B2C20" w14:textId="21D1260E" w:rsidR="00E40B65" w:rsidRPr="00221992" w:rsidRDefault="00E40B65" w:rsidP="00957584">
      <w:pPr>
        <w:pStyle w:val="ListParagraph"/>
        <w:numPr>
          <w:ilvl w:val="0"/>
          <w:numId w:val="49"/>
        </w:numPr>
        <w:rPr>
          <w:lang w:val="en-GB"/>
        </w:rPr>
      </w:pPr>
      <w:r w:rsidRPr="00221992">
        <w:rPr>
          <w:lang w:val="en-GB"/>
        </w:rPr>
        <w:t>Representatives from patient groups and clinicians with relevant speciali</w:t>
      </w:r>
      <w:r w:rsidR="00412206">
        <w:rPr>
          <w:lang w:val="en-GB"/>
        </w:rPr>
        <w:t>sation</w:t>
      </w:r>
      <w:r w:rsidRPr="00221992">
        <w:rPr>
          <w:lang w:val="en-GB"/>
        </w:rPr>
        <w:t xml:space="preserve">. </w:t>
      </w:r>
    </w:p>
    <w:p w14:paraId="0C88B04E" w14:textId="62B95297" w:rsidR="00E40B65" w:rsidRPr="00221992" w:rsidRDefault="00E40B65" w:rsidP="001125F9">
      <w:pPr>
        <w:ind w:left="426"/>
        <w:rPr>
          <w:lang w:val="en-GB"/>
        </w:rPr>
      </w:pPr>
      <w:r w:rsidRPr="00221992">
        <w:rPr>
          <w:lang w:val="en-GB"/>
        </w:rPr>
        <w:t>For the PACE meeting, the pharmaceutical company is allowed to submit a brief statement for consideration</w:t>
      </w:r>
      <w:r w:rsidR="00A479FB">
        <w:rPr>
          <w:lang w:val="en-GB"/>
        </w:rPr>
        <w:t xml:space="preserve"> and</w:t>
      </w:r>
      <w:r w:rsidRPr="00221992">
        <w:rPr>
          <w:lang w:val="en-GB"/>
        </w:rPr>
        <w:t xml:space="preserve"> </w:t>
      </w:r>
      <w:r w:rsidR="00A479FB">
        <w:rPr>
          <w:lang w:val="en-GB"/>
        </w:rPr>
        <w:t>a</w:t>
      </w:r>
      <w:r w:rsidRPr="00221992">
        <w:rPr>
          <w:lang w:val="en-GB"/>
        </w:rPr>
        <w:t xml:space="preserve">ll participants </w:t>
      </w:r>
      <w:r w:rsidR="00A479FB">
        <w:rPr>
          <w:lang w:val="en-GB"/>
        </w:rPr>
        <w:t>must declare</w:t>
      </w:r>
      <w:r w:rsidRPr="00221992">
        <w:rPr>
          <w:lang w:val="en-GB"/>
        </w:rPr>
        <w:t xml:space="preserve"> </w:t>
      </w:r>
      <w:r w:rsidR="00A479FB">
        <w:rPr>
          <w:lang w:val="en-GB"/>
        </w:rPr>
        <w:t>potential conflicts of interest</w:t>
      </w:r>
      <w:r w:rsidRPr="00221992">
        <w:rPr>
          <w:lang w:val="en-GB"/>
        </w:rPr>
        <w:t>. The process notes that “Having a conflict of interest does not preclude clinicians or patient group representatives from participating in a PACE meeting”</w:t>
      </w:r>
      <w:r w:rsidR="0037396F" w:rsidRPr="00221992">
        <w:rPr>
          <w:lang w:val="en-GB"/>
        </w:rPr>
        <w:t xml:space="preserve"> </w:t>
      </w:r>
      <w:r w:rsidRPr="00221992">
        <w:rPr>
          <w:lang w:val="en-GB"/>
        </w:rPr>
        <w:fldChar w:fldCharType="begin"/>
      </w:r>
      <w:r w:rsidR="00E5265C">
        <w:rPr>
          <w:lang w:val="en-GB"/>
        </w:rPr>
        <w:instrText xml:space="preserve"> ADDIN EN.CITE &lt;EndNote&gt;&lt;Cite&gt;&lt;Author&gt;Scottish Medicines Consortium&lt;/Author&gt;&lt;Year&gt;n.d.&lt;/Year&gt;&lt;RecNum&gt;524&lt;/RecNum&gt;&lt;DisplayText&gt;[152]&lt;/DisplayText&gt;&lt;record&gt;&lt;rec-number&gt;524&lt;/rec-number&gt;&lt;foreign-keys&gt;&lt;key app="EN" db-id="wzwwsfxe4peesxef95cxvrwjxts9rreasarf" timestamp="1692751953"&gt;524&lt;/key&gt;&lt;/foreign-keys&gt;&lt;ref-type name="Government Document"&gt;46&lt;/ref-type&gt;&lt;contributors&gt;&lt;authors&gt;&lt;author&gt;Scottish Medicines Consortium,&lt;/author&gt;&lt;/authors&gt;&lt;/contributors&gt;&lt;titles&gt;&lt;title&gt;Patient and Clinician Engagement (PACE) Meetings Overview&lt;/title&gt;&lt;tertiary-title&gt;Advice on new Medicines&lt;/tertiary-title&gt;&lt;/titles&gt;&lt;dates&gt;&lt;year&gt;n.d.&lt;/year&gt;&lt;/dates&gt;&lt;pub-location&gt;Glasgow&lt;/pub-location&gt;&lt;publisher&gt;NHS Scotland, Scottish Medicines Consortium&lt;/publisher&gt;&lt;urls&gt;&lt;related-urls&gt;&lt;url&gt;https://www.scottishmedicines.org.uk/media/7217/pace-overview-document-v36docx.pdf&lt;/url&gt;&lt;/related-urls&gt;&lt;/urls&gt;&lt;/record&gt;&lt;/Cite&gt;&lt;/EndNote&gt;</w:instrText>
      </w:r>
      <w:r w:rsidRPr="00221992">
        <w:rPr>
          <w:lang w:val="en-GB"/>
        </w:rPr>
        <w:fldChar w:fldCharType="separate"/>
      </w:r>
      <w:r w:rsidR="00E5265C">
        <w:rPr>
          <w:noProof/>
          <w:lang w:val="en-GB"/>
        </w:rPr>
        <w:t>[152]</w:t>
      </w:r>
      <w:r w:rsidRPr="00221992">
        <w:rPr>
          <w:lang w:val="en-GB"/>
        </w:rPr>
        <w:fldChar w:fldCharType="end"/>
      </w:r>
      <w:r w:rsidRPr="00221992">
        <w:rPr>
          <w:lang w:val="en-GB"/>
        </w:rPr>
        <w:t>.</w:t>
      </w:r>
      <w:r w:rsidR="00DC7E0D">
        <w:rPr>
          <w:lang w:val="en-GB"/>
        </w:rPr>
        <w:t xml:space="preserve"> Regarding the meeting, </w:t>
      </w:r>
      <w:r w:rsidR="00A479FB">
        <w:rPr>
          <w:lang w:val="en-GB"/>
        </w:rPr>
        <w:t xml:space="preserve">an </w:t>
      </w:r>
      <w:r w:rsidR="00DC7E0D">
        <w:rPr>
          <w:lang w:val="en-GB"/>
        </w:rPr>
        <w:t xml:space="preserve">HTA expert </w:t>
      </w:r>
      <w:r w:rsidR="00A479FB">
        <w:rPr>
          <w:lang w:val="en-GB"/>
        </w:rPr>
        <w:t xml:space="preserve">interviewed for this Review </w:t>
      </w:r>
      <w:r w:rsidR="00DC7E0D">
        <w:rPr>
          <w:lang w:val="en-GB"/>
        </w:rPr>
        <w:t>stated:</w:t>
      </w:r>
    </w:p>
    <w:p w14:paraId="137DA4C8" w14:textId="1C6800E6" w:rsidR="00DC7E0D" w:rsidRPr="00221992" w:rsidRDefault="00A479FB" w:rsidP="000C66C0">
      <w:pPr>
        <w:ind w:left="851"/>
        <w:rPr>
          <w:lang w:val="en-GB"/>
        </w:rPr>
      </w:pPr>
      <w:r>
        <w:rPr>
          <w:lang w:val="en-GB"/>
        </w:rPr>
        <w:t>W</w:t>
      </w:r>
      <w:r w:rsidR="00DD6075" w:rsidRPr="00DD6075">
        <w:rPr>
          <w:lang w:val="en-GB"/>
        </w:rPr>
        <w:t>e put processes in place to have other factors brought into the decision making</w:t>
      </w:r>
      <w:r w:rsidR="00DD6075">
        <w:rPr>
          <w:lang w:val="en-GB"/>
        </w:rPr>
        <w:t xml:space="preserve"> […]</w:t>
      </w:r>
      <w:r>
        <w:rPr>
          <w:lang w:val="en-GB"/>
        </w:rPr>
        <w:t xml:space="preserve"> </w:t>
      </w:r>
      <w:r w:rsidR="00DD6075" w:rsidRPr="00DD6075">
        <w:rPr>
          <w:lang w:val="en-GB"/>
        </w:rPr>
        <w:t>it wasn</w:t>
      </w:r>
      <w:r>
        <w:rPr>
          <w:lang w:val="en-GB"/>
        </w:rPr>
        <w:t>’</w:t>
      </w:r>
      <w:r w:rsidR="00DD6075" w:rsidRPr="00DD6075">
        <w:rPr>
          <w:lang w:val="en-GB"/>
        </w:rPr>
        <w:t>t a quantitative approach. It wasn't a higher threshold</w:t>
      </w:r>
      <w:r>
        <w:rPr>
          <w:lang w:val="en-GB"/>
        </w:rPr>
        <w:t>,</w:t>
      </w:r>
      <w:r w:rsidR="00DD6075" w:rsidRPr="00DD6075">
        <w:rPr>
          <w:lang w:val="en-GB"/>
        </w:rPr>
        <w:t xml:space="preserve"> because we couldn</w:t>
      </w:r>
      <w:r>
        <w:rPr>
          <w:lang w:val="en-GB"/>
        </w:rPr>
        <w:t>’</w:t>
      </w:r>
      <w:r w:rsidR="00DD6075" w:rsidRPr="00DD6075">
        <w:rPr>
          <w:lang w:val="en-GB"/>
        </w:rPr>
        <w:t>t find a justification for a value</w:t>
      </w:r>
      <w:r w:rsidR="00DD6075">
        <w:rPr>
          <w:lang w:val="en-GB"/>
        </w:rPr>
        <w:t xml:space="preserve"> and </w:t>
      </w:r>
      <w:r w:rsidR="00DD6075" w:rsidRPr="00DD6075">
        <w:rPr>
          <w:lang w:val="en-GB"/>
        </w:rPr>
        <w:t>we didn</w:t>
      </w:r>
      <w:r>
        <w:rPr>
          <w:lang w:val="en-GB"/>
        </w:rPr>
        <w:t>’</w:t>
      </w:r>
      <w:r w:rsidR="00DD6075" w:rsidRPr="00DD6075">
        <w:rPr>
          <w:lang w:val="en-GB"/>
        </w:rPr>
        <w:t xml:space="preserve">t have any societal preference information for how you would </w:t>
      </w:r>
      <w:r w:rsidR="00DD6075">
        <w:rPr>
          <w:lang w:val="en-GB"/>
        </w:rPr>
        <w:t>weight</w:t>
      </w:r>
      <w:r w:rsidR="00DD6075" w:rsidRPr="00DD6075">
        <w:rPr>
          <w:lang w:val="en-GB"/>
        </w:rPr>
        <w:t xml:space="preserve"> a </w:t>
      </w:r>
      <w:r w:rsidR="00DD6075">
        <w:rPr>
          <w:lang w:val="en-GB"/>
        </w:rPr>
        <w:t xml:space="preserve">QALY </w:t>
      </w:r>
      <w:r w:rsidR="00DD6075" w:rsidRPr="00DD6075">
        <w:rPr>
          <w:lang w:val="en-GB"/>
        </w:rPr>
        <w:t>for those groups</w:t>
      </w:r>
      <w:r w:rsidR="00DD6075">
        <w:rPr>
          <w:lang w:val="en-GB"/>
        </w:rPr>
        <w:t xml:space="preserve">. </w:t>
      </w:r>
      <w:r w:rsidR="00DD6075" w:rsidRPr="00DD6075">
        <w:rPr>
          <w:lang w:val="en-GB"/>
        </w:rPr>
        <w:t>So we just felt we didn</w:t>
      </w:r>
      <w:r>
        <w:rPr>
          <w:lang w:val="en-GB"/>
        </w:rPr>
        <w:t>’</w:t>
      </w:r>
      <w:r w:rsidR="00DD6075" w:rsidRPr="00DD6075">
        <w:rPr>
          <w:lang w:val="en-GB"/>
        </w:rPr>
        <w:t>t have a firm basis to do anything other than this more qualitative</w:t>
      </w:r>
      <w:r w:rsidR="00DD6075">
        <w:rPr>
          <w:lang w:val="en-GB"/>
        </w:rPr>
        <w:t xml:space="preserve"> […]</w:t>
      </w:r>
      <w:r>
        <w:rPr>
          <w:lang w:val="en-GB"/>
        </w:rPr>
        <w:t>.</w:t>
      </w:r>
      <w:r w:rsidR="00DD6075">
        <w:rPr>
          <w:lang w:val="en-GB"/>
        </w:rPr>
        <w:t xml:space="preserve"> </w:t>
      </w:r>
      <w:r>
        <w:rPr>
          <w:lang w:val="en-GB"/>
        </w:rPr>
        <w:t>W</w:t>
      </w:r>
      <w:r w:rsidR="00DD6075">
        <w:rPr>
          <w:lang w:val="en-GB"/>
        </w:rPr>
        <w:t>e have a process called PACE</w:t>
      </w:r>
      <w:r>
        <w:rPr>
          <w:lang w:val="en-GB"/>
        </w:rPr>
        <w:t>—</w:t>
      </w:r>
      <w:r w:rsidR="00DD6075" w:rsidRPr="00DC7E0D">
        <w:rPr>
          <w:lang w:val="en-GB"/>
        </w:rPr>
        <w:t>Patient and Clinician Engagement</w:t>
      </w:r>
      <w:r>
        <w:rPr>
          <w:lang w:val="en-GB"/>
        </w:rPr>
        <w:t>—</w:t>
      </w:r>
      <w:r w:rsidR="00DD6075">
        <w:rPr>
          <w:lang w:val="en-GB"/>
        </w:rPr>
        <w:t>that is e</w:t>
      </w:r>
      <w:r w:rsidR="00DC7E0D" w:rsidRPr="00DC7E0D">
        <w:rPr>
          <w:lang w:val="en-GB"/>
        </w:rPr>
        <w:t xml:space="preserve">ssentially what was added in for these </w:t>
      </w:r>
      <w:r w:rsidR="00DD6075">
        <w:rPr>
          <w:lang w:val="en-GB"/>
        </w:rPr>
        <w:t>‘</w:t>
      </w:r>
      <w:r w:rsidR="00DC7E0D" w:rsidRPr="00DC7E0D">
        <w:rPr>
          <w:lang w:val="en-GB"/>
        </w:rPr>
        <w:t>end of life</w:t>
      </w:r>
      <w:r w:rsidR="00DD6075">
        <w:rPr>
          <w:lang w:val="en-GB"/>
        </w:rPr>
        <w:t>’</w:t>
      </w:r>
      <w:r w:rsidR="00DC7E0D" w:rsidRPr="00DC7E0D">
        <w:rPr>
          <w:lang w:val="en-GB"/>
        </w:rPr>
        <w:t xml:space="preserve"> and orphan medicines</w:t>
      </w:r>
      <w:r>
        <w:rPr>
          <w:lang w:val="en-GB"/>
        </w:rPr>
        <w:t xml:space="preserve"> […].</w:t>
      </w:r>
      <w:r w:rsidR="00DC7E0D">
        <w:rPr>
          <w:lang w:val="en-GB"/>
        </w:rPr>
        <w:t xml:space="preserve"> </w:t>
      </w:r>
      <w:r>
        <w:rPr>
          <w:lang w:val="en-GB"/>
        </w:rPr>
        <w:t>W</w:t>
      </w:r>
      <w:r w:rsidR="00DC7E0D">
        <w:rPr>
          <w:lang w:val="en-GB"/>
        </w:rPr>
        <w:t>e</w:t>
      </w:r>
      <w:r w:rsidR="00DC7E0D" w:rsidRPr="00DC7E0D">
        <w:rPr>
          <w:lang w:val="en-GB"/>
        </w:rPr>
        <w:t xml:space="preserve"> convene an extra meeting of patient groups and clinicians to explore the added value of the medicine which may not be captured in the economic case</w:t>
      </w:r>
      <w:r w:rsidR="00DC7E0D">
        <w:rPr>
          <w:lang w:val="en-GB"/>
        </w:rPr>
        <w:t xml:space="preserve">. </w:t>
      </w:r>
      <w:r w:rsidR="00DD6075">
        <w:rPr>
          <w:lang w:val="en-GB"/>
        </w:rPr>
        <w:t>This meeting</w:t>
      </w:r>
      <w:r w:rsidR="00DD6075" w:rsidRPr="00DD6075">
        <w:rPr>
          <w:lang w:val="en-GB"/>
        </w:rPr>
        <w:t xml:space="preserve"> produces an output that captures some of that conversation and explores the challenges and opportunities of that medicine compared to existing therapy </w:t>
      </w:r>
      <w:r w:rsidR="00DC7E0D">
        <w:rPr>
          <w:lang w:val="en-GB"/>
        </w:rPr>
        <w:t xml:space="preserve">(HTA expert, </w:t>
      </w:r>
      <w:r w:rsidR="00F9075D">
        <w:rPr>
          <w:lang w:val="en-GB"/>
        </w:rPr>
        <w:t>UK</w:t>
      </w:r>
      <w:r w:rsidR="00DC7E0D">
        <w:rPr>
          <w:lang w:val="en-GB"/>
        </w:rPr>
        <w:t>)</w:t>
      </w:r>
    </w:p>
    <w:p w14:paraId="70119AE6" w14:textId="1511B75A" w:rsidR="00E40B65" w:rsidRPr="00221992" w:rsidRDefault="00E40B65" w:rsidP="00957584">
      <w:pPr>
        <w:pStyle w:val="ListParagraph"/>
        <w:numPr>
          <w:ilvl w:val="0"/>
          <w:numId w:val="48"/>
        </w:numPr>
        <w:rPr>
          <w:lang w:val="en-GB"/>
        </w:rPr>
      </w:pPr>
      <w:r w:rsidRPr="00C75788">
        <w:rPr>
          <w:lang w:val="en-GB"/>
        </w:rPr>
        <w:t>Early access to drugs for rare diseases</w:t>
      </w:r>
      <w:r w:rsidRPr="00221992">
        <w:rPr>
          <w:lang w:val="en-GB"/>
        </w:rPr>
        <w:t>—One of the aims pursued by countries that have special considerations in place for rare disease is earlier access to treatments. The added benefit of drugs for rare diseases is not considered by Germany or France</w:t>
      </w:r>
      <w:r w:rsidR="00C129F0">
        <w:rPr>
          <w:lang w:val="en-GB"/>
        </w:rPr>
        <w:t>,</w:t>
      </w:r>
      <w:r w:rsidRPr="00221992">
        <w:rPr>
          <w:lang w:val="en-GB"/>
        </w:rPr>
        <w:t xml:space="preserve"> which means that the benefit is considered proven and the drug </w:t>
      </w:r>
      <w:r w:rsidR="00C129F0">
        <w:rPr>
          <w:lang w:val="en-GB"/>
        </w:rPr>
        <w:t>immediately</w:t>
      </w:r>
      <w:r w:rsidR="00C129F0" w:rsidRPr="00221992">
        <w:rPr>
          <w:lang w:val="en-GB"/>
        </w:rPr>
        <w:t xml:space="preserve"> </w:t>
      </w:r>
      <w:r w:rsidRPr="00221992">
        <w:rPr>
          <w:lang w:val="en-GB"/>
        </w:rPr>
        <w:t>available. Both countries consider a budget impact threshold</w:t>
      </w:r>
      <w:r w:rsidR="00C129F0">
        <w:rPr>
          <w:lang w:val="en-GB"/>
        </w:rPr>
        <w:t>,</w:t>
      </w:r>
      <w:r w:rsidRPr="00221992">
        <w:rPr>
          <w:lang w:val="en-GB"/>
        </w:rPr>
        <w:t xml:space="preserve"> which</w:t>
      </w:r>
      <w:r w:rsidR="00C129F0">
        <w:rPr>
          <w:lang w:val="en-GB"/>
        </w:rPr>
        <w:t>,</w:t>
      </w:r>
      <w:r w:rsidRPr="00221992">
        <w:rPr>
          <w:lang w:val="en-GB"/>
        </w:rPr>
        <w:t xml:space="preserve"> if exceeded, may trigger a formal assessment of the added benefit. This streamlined process may be considered a form of HTA exemption</w:t>
      </w:r>
      <w:r w:rsidR="00C129F0">
        <w:rPr>
          <w:lang w:val="en-GB"/>
        </w:rPr>
        <w:t>,</w:t>
      </w:r>
      <w:r w:rsidRPr="00221992">
        <w:rPr>
          <w:lang w:val="en-GB"/>
        </w:rPr>
        <w:t xml:space="preserve"> though rules pertaining to costs and patient eligibility still apply. In particular, Germany has the fastest access to orphan drugs when compared to European countries</w:t>
      </w:r>
      <w:r w:rsidR="00C129F0">
        <w:rPr>
          <w:lang w:val="en-GB"/>
        </w:rPr>
        <w:t>,</w:t>
      </w:r>
      <w:r w:rsidRPr="00221992">
        <w:rPr>
          <w:lang w:val="en-GB"/>
        </w:rPr>
        <w:t xml:space="preserve"> with a median time to availability to patients from marketing authorisation of 45 days</w:t>
      </w:r>
      <w:r w:rsidR="00C129F0">
        <w:rPr>
          <w:lang w:val="en-GB"/>
        </w:rPr>
        <w:t>,</w:t>
      </w:r>
      <w:r w:rsidRPr="00221992">
        <w:rPr>
          <w:lang w:val="en-GB"/>
        </w:rPr>
        <w:t xml:space="preserve"> followed by England/Wales</w:t>
      </w:r>
      <w:r w:rsidR="003338EB">
        <w:rPr>
          <w:lang w:val="en-GB"/>
        </w:rPr>
        <w:t>,</w:t>
      </w:r>
      <w:r w:rsidRPr="00221992">
        <w:rPr>
          <w:lang w:val="en-GB"/>
        </w:rPr>
        <w:t xml:space="preserve"> with 317 days</w:t>
      </w:r>
      <w:r w:rsidR="008872B1" w:rsidRPr="00221992">
        <w:rPr>
          <w:lang w:val="en-GB"/>
        </w:rPr>
        <w:t xml:space="preserve"> </w:t>
      </w:r>
      <w:r w:rsidRPr="00221992">
        <w:rPr>
          <w:lang w:val="en-GB"/>
        </w:rPr>
        <w:fldChar w:fldCharType="begin"/>
      </w:r>
      <w:r w:rsidR="005D638E" w:rsidRPr="00221992">
        <w:rPr>
          <w:lang w:val="en-GB"/>
        </w:rPr>
        <w:instrText xml:space="preserve"> ADDIN EN.CITE &lt;EndNote&gt;&lt;Cite&gt;&lt;Author&gt;IQVIA&lt;/Author&gt;&lt;Year&gt;2021&lt;/Year&gt;&lt;RecNum&gt;623&lt;/RecNum&gt;&lt;DisplayText&gt;[4]&lt;/DisplayText&gt;&lt;record&gt;&lt;rec-number&gt;623&lt;/rec-number&gt;&lt;foreign-keys&gt;&lt;key app="EN" db-id="wzwwsfxe4peesxef95cxvrwjxts9rreasarf" timestamp="1693186424"&gt;623&lt;/key&gt;&lt;/foreign-keys&gt;&lt;ref-type name="Online Multimedia"&gt;48&lt;/ref-type&gt;&lt;contributors&gt;&lt;authors&gt;&lt;author&gt;IQVIA&lt;/author&gt;&lt;/authors&gt;&lt;/contributors&gt;&lt;titles&gt;&lt;title&gt;EFPIA Patients W.A.I.T. Indicator 2020 Survey&lt;/title&gt;&lt;/titles&gt;&lt;dates&gt;&lt;year&gt;2021&lt;/year&gt;&lt;/dates&gt;&lt;pub-location&gt;European Federation of Pharmaceutical Industries and Associations (EFPIA)&lt;/pub-location&gt;&lt;urls&gt;&lt;related-urls&gt;&lt;url&gt;https://www.efpia.eu/media/602652/efpia-patient-wait-indicator-final-250521.pdf&lt;/url&gt;&lt;/related-urls&gt;&lt;/urls&gt;&lt;/record&gt;&lt;/Cite&gt;&lt;/EndNote&gt;</w:instrText>
      </w:r>
      <w:r w:rsidRPr="00221992">
        <w:rPr>
          <w:lang w:val="en-GB"/>
        </w:rPr>
        <w:fldChar w:fldCharType="separate"/>
      </w:r>
      <w:r w:rsidR="005D638E" w:rsidRPr="00221992">
        <w:rPr>
          <w:noProof/>
          <w:lang w:val="en-GB"/>
        </w:rPr>
        <w:t>[4]</w:t>
      </w:r>
      <w:r w:rsidRPr="00221992">
        <w:rPr>
          <w:lang w:val="en-GB"/>
        </w:rPr>
        <w:fldChar w:fldCharType="end"/>
      </w:r>
      <w:r w:rsidRPr="00221992">
        <w:rPr>
          <w:lang w:val="en-GB"/>
        </w:rPr>
        <w:t xml:space="preserve">. </w:t>
      </w:r>
    </w:p>
    <w:p w14:paraId="6E7052FA" w14:textId="795B3EAA" w:rsidR="00E40B65" w:rsidRPr="00221992" w:rsidRDefault="00E40B65" w:rsidP="001125F9">
      <w:pPr>
        <w:ind w:left="426"/>
        <w:rPr>
          <w:lang w:val="en-GB"/>
        </w:rPr>
      </w:pPr>
      <w:r w:rsidRPr="00221992">
        <w:rPr>
          <w:lang w:val="en-GB"/>
        </w:rPr>
        <w:t xml:space="preserve">The French alternative reimbursement process considers an Early Access Authorisation (EAA) that, similar to Germany, shortens review timelines, considers the clinical benefit proven, and </w:t>
      </w:r>
      <w:r w:rsidR="004632BB">
        <w:rPr>
          <w:lang w:val="en-GB"/>
        </w:rPr>
        <w:t>grants</w:t>
      </w:r>
      <w:r w:rsidR="004632BB" w:rsidRPr="00221992">
        <w:rPr>
          <w:lang w:val="en-GB"/>
        </w:rPr>
        <w:t xml:space="preserve"> </w:t>
      </w:r>
      <w:r w:rsidRPr="00221992">
        <w:rPr>
          <w:lang w:val="en-GB"/>
        </w:rPr>
        <w:t xml:space="preserve">unilateral pricing </w:t>
      </w:r>
      <w:r w:rsidR="004632BB">
        <w:rPr>
          <w:lang w:val="en-GB"/>
        </w:rPr>
        <w:t>by</w:t>
      </w:r>
      <w:r w:rsidR="004632BB" w:rsidRPr="00221992">
        <w:rPr>
          <w:lang w:val="en-GB"/>
        </w:rPr>
        <w:t xml:space="preserve"> </w:t>
      </w:r>
      <w:r w:rsidRPr="00221992">
        <w:rPr>
          <w:lang w:val="en-GB"/>
        </w:rPr>
        <w:t xml:space="preserve">the manufacturer for drugs that meet five strict criteria: (1) </w:t>
      </w:r>
      <w:r w:rsidR="004632BB">
        <w:rPr>
          <w:lang w:val="en-GB"/>
        </w:rPr>
        <w:t>no</w:t>
      </w:r>
      <w:r w:rsidRPr="00221992">
        <w:rPr>
          <w:lang w:val="en-GB"/>
        </w:rPr>
        <w:t xml:space="preserve"> alternative active treatment; (2) impossib</w:t>
      </w:r>
      <w:r w:rsidR="004632BB">
        <w:rPr>
          <w:lang w:val="en-GB"/>
        </w:rPr>
        <w:t>le</w:t>
      </w:r>
      <w:r w:rsidRPr="00221992">
        <w:rPr>
          <w:lang w:val="en-GB"/>
        </w:rPr>
        <w:t xml:space="preserve"> to delay treatment initiation; (3) strong presumption of efficacy and safety</w:t>
      </w:r>
      <w:r w:rsidR="004632BB">
        <w:rPr>
          <w:lang w:val="en-GB"/>
        </w:rPr>
        <w:t>;</w:t>
      </w:r>
      <w:r w:rsidRPr="00221992">
        <w:rPr>
          <w:lang w:val="en-GB"/>
        </w:rPr>
        <w:t xml:space="preserve"> (4) indicated for a severe, rare or incapacitating disease; (5) presumed innovative. The process may also apply to drugs that have not yet received MA</w:t>
      </w:r>
      <w:r w:rsidR="004632BB">
        <w:rPr>
          <w:lang w:val="en-GB"/>
        </w:rPr>
        <w:t>,</w:t>
      </w:r>
      <w:r w:rsidRPr="00221992">
        <w:rPr>
          <w:lang w:val="en-GB"/>
        </w:rPr>
        <w:t xml:space="preserve"> however, in these cases, the company is required to </w:t>
      </w:r>
      <w:r w:rsidR="004632BB">
        <w:rPr>
          <w:lang w:val="en-GB"/>
        </w:rPr>
        <w:t>apply</w:t>
      </w:r>
      <w:r w:rsidRPr="00221992">
        <w:rPr>
          <w:lang w:val="en-GB"/>
        </w:rPr>
        <w:t xml:space="preserve"> for MA or reimbursement within </w:t>
      </w:r>
      <w:r w:rsidR="004632BB">
        <w:rPr>
          <w:lang w:val="en-GB"/>
        </w:rPr>
        <w:t>two</w:t>
      </w:r>
      <w:r w:rsidRPr="00221992">
        <w:rPr>
          <w:lang w:val="en-GB"/>
        </w:rPr>
        <w:t xml:space="preserve"> years</w:t>
      </w:r>
      <w:r w:rsidR="002D3987">
        <w:rPr>
          <w:lang w:val="en-GB"/>
        </w:rPr>
        <w:t xml:space="preserve"> </w:t>
      </w:r>
      <w:r w:rsidRPr="00221992">
        <w:rPr>
          <w:lang w:val="en-GB"/>
        </w:rPr>
        <w:fldChar w:fldCharType="begin"/>
      </w:r>
      <w:r w:rsidR="00E5265C">
        <w:rPr>
          <w:lang w:val="en-GB"/>
        </w:rPr>
        <w:instrText xml:space="preserve"> ADDIN EN.CITE &lt;EndNote&gt;&lt;Cite&gt;&lt;Author&gt;CEVIDERA&lt;/Author&gt;&lt;Year&gt;2023&lt;/Year&gt;&lt;RecNum&gt;630&lt;/RecNum&gt;&lt;DisplayText&gt;[153-154]&lt;/DisplayText&gt;&lt;record&gt;&lt;rec-number&gt;630&lt;/rec-number&gt;&lt;foreign-keys&gt;&lt;key app="EN" db-id="wzwwsfxe4peesxef95cxvrwjxts9rreasarf" timestamp="1693186424"&gt;630&lt;/key&gt;&lt;/foreign-keys&gt;&lt;ref-type name="Web Page"&gt;12&lt;/ref-type&gt;&lt;contributors&gt;&lt;authors&gt;&lt;author&gt;CEVIDERA, &lt;/author&gt;&lt;/authors&gt;&lt;/contributors&gt;&lt;titles&gt;&lt;title&gt;Early Access Programs in France (ex ATU)&lt;/title&gt;&lt;/titles&gt;&lt;dates&gt;&lt;year&gt;2023&lt;/year&gt;&lt;pub-dates&gt;&lt;date&gt;25/08/2023&lt;/date&gt;&lt;/pub-dates&gt;&lt;/dates&gt;&lt;urls&gt;&lt;related-urls&gt;&lt;url&gt;https://www.cevidra.com/early-access-programs-in-france/#:~:text=Early%20access%20programs%20(previously%20named,a%20Temporary%20Authorization%20for%20Use.&lt;/url&gt;&lt;/related-urls&gt;&lt;/urls&gt;&lt;/record&gt;&lt;/Cite&gt;&lt;Cite&gt;&lt;Author&gt;Haute Autorité de Santé&lt;/Author&gt;&lt;Year&gt;2023&lt;/Year&gt;&lt;RecNum&gt;631&lt;/RecNum&gt;&lt;record&gt;&lt;rec-number&gt;631&lt;/rec-number&gt;&lt;foreign-keys&gt;&lt;key app="EN" db-id="wzwwsfxe4peesxef95cxvrwjxts9rreasarf" timestamp="1693186424"&gt;631&lt;/key&gt;&lt;/foreign-keys&gt;&lt;ref-type name="Web Page"&gt;12&lt;/ref-type&gt;&lt;contributors&gt;&lt;authors&gt;&lt;author&gt;Haute Autorité de Santé,&lt;/author&gt;&lt;/authors&gt;&lt;/contributors&gt;&lt;titles&gt;&lt;title&gt;Early access authorisation : a positive initial report and refined assessment methods&lt;/title&gt;&lt;/titles&gt;&lt;number&gt;25/08/2023&lt;/number&gt;&lt;dates&gt;&lt;year&gt;2023&lt;/year&gt;&lt;/dates&gt;&lt;urls&gt;&lt;related-urls&gt;&lt;url&gt;https://www.has-sante.fr/jcms/p_3340090/en/early-access-authorisation-a-positive-initial-report-and-refined-assessment-methods&lt;/url&gt;&lt;/related-urls&gt;&lt;/urls&gt;&lt;/record&gt;&lt;/Cite&gt;&lt;/EndNote&gt;</w:instrText>
      </w:r>
      <w:r w:rsidRPr="00221992">
        <w:rPr>
          <w:lang w:val="en-GB"/>
        </w:rPr>
        <w:fldChar w:fldCharType="separate"/>
      </w:r>
      <w:r w:rsidR="00E5265C">
        <w:rPr>
          <w:noProof/>
          <w:lang w:val="en-GB"/>
        </w:rPr>
        <w:t>[153-154]</w:t>
      </w:r>
      <w:r w:rsidRPr="00221992">
        <w:rPr>
          <w:lang w:val="en-GB"/>
        </w:rPr>
        <w:fldChar w:fldCharType="end"/>
      </w:r>
      <w:r w:rsidRPr="00221992">
        <w:rPr>
          <w:lang w:val="en-GB"/>
        </w:rPr>
        <w:t xml:space="preserve">. </w:t>
      </w:r>
    </w:p>
    <w:p w14:paraId="662C3089" w14:textId="2474F29A" w:rsidR="00E40B65" w:rsidRPr="00221992" w:rsidRDefault="00E40B65" w:rsidP="001125F9">
      <w:pPr>
        <w:ind w:left="426"/>
        <w:rPr>
          <w:lang w:val="en-GB"/>
        </w:rPr>
      </w:pPr>
      <w:r w:rsidRPr="00221992">
        <w:rPr>
          <w:lang w:val="en-GB"/>
        </w:rPr>
        <w:t xml:space="preserve">In England/Wales, earlier access </w:t>
      </w:r>
      <w:r w:rsidR="00DE67BB">
        <w:rPr>
          <w:lang w:val="en-GB"/>
        </w:rPr>
        <w:t>has been pursued through the</w:t>
      </w:r>
      <w:r w:rsidRPr="00221992">
        <w:rPr>
          <w:lang w:val="en-GB"/>
        </w:rPr>
        <w:t xml:space="preserve"> implement</w:t>
      </w:r>
      <w:r w:rsidR="00DE67BB">
        <w:rPr>
          <w:lang w:val="en-GB"/>
        </w:rPr>
        <w:t>ion of</w:t>
      </w:r>
      <w:r w:rsidRPr="00221992">
        <w:rPr>
          <w:lang w:val="en-GB"/>
        </w:rPr>
        <w:t xml:space="preserve"> an interim funding pathway for recommended drugs, via the IMF for drugs for ultra-rare diseases or the CDF for cancer drugs (</w:t>
      </w:r>
      <w:r w:rsidR="00DE67BB">
        <w:rPr>
          <w:lang w:val="en-GB"/>
        </w:rPr>
        <w:t xml:space="preserve">which </w:t>
      </w:r>
      <w:r w:rsidRPr="00221992">
        <w:rPr>
          <w:lang w:val="en-GB"/>
        </w:rPr>
        <w:t xml:space="preserve">may include drugs for rare cancers). The IMF operates as a managed entry fund while uncertainty is addressed through additional data collection. It is expected that drugs may be accessible for patients five months earlier relative to </w:t>
      </w:r>
      <w:r w:rsidR="00DE67BB">
        <w:rPr>
          <w:lang w:val="en-GB"/>
        </w:rPr>
        <w:t>NICE’s mainstream pathway</w:t>
      </w:r>
      <w:r w:rsidRPr="00221992">
        <w:rPr>
          <w:lang w:val="en-GB"/>
        </w:rPr>
        <w:t xml:space="preserve"> </w:t>
      </w:r>
      <w:r w:rsidR="00DE67BB">
        <w:rPr>
          <w:lang w:val="en-GB"/>
        </w:rPr>
        <w:t xml:space="preserve">(from </w:t>
      </w:r>
      <w:r w:rsidRPr="00221992">
        <w:rPr>
          <w:lang w:val="en-GB"/>
        </w:rPr>
        <w:t>draft positive recommendation</w:t>
      </w:r>
      <w:r w:rsidR="00DE67BB">
        <w:rPr>
          <w:lang w:val="en-GB"/>
        </w:rPr>
        <w:t>)</w:t>
      </w:r>
      <w:r w:rsidR="002D3987">
        <w:rPr>
          <w:lang w:val="en-GB"/>
        </w:rPr>
        <w:t xml:space="preserve"> </w:t>
      </w:r>
      <w:r w:rsidRPr="00221992">
        <w:rPr>
          <w:lang w:val="en-GB"/>
        </w:rPr>
        <w:fldChar w:fldCharType="begin"/>
      </w:r>
      <w:r w:rsidR="00E5265C">
        <w:rPr>
          <w:lang w:val="en-GB"/>
        </w:rPr>
        <w:instrText xml:space="preserve"> ADDIN EN.CITE &lt;EndNote&gt;&lt;Cite&gt;&lt;Author&gt;National Institute for Health and Care Excellence (NICE)&lt;/Author&gt;&lt;Year&gt;2022&lt;/Year&gt;&lt;RecNum&gt;543&lt;/RecNum&gt;&lt;DisplayText&gt;[131]&lt;/DisplayText&gt;&lt;record&gt;&lt;rec-number&gt;543&lt;/rec-number&gt;&lt;foreign-keys&gt;&lt;key app="EN" db-id="wzwwsfxe4peesxef95cxvrwjxts9rreasarf" timestamp="1692751953"&gt;543&lt;/key&gt;&lt;/foreign-keys&gt;&lt;ref-type name="Report"&gt;27&lt;/ref-type&gt;&lt;contributors&gt;&lt;authors&gt;&lt;author&gt;National Institute for Health and Care Excellence (NICE),&lt;/author&gt;&lt;/authors&gt;&lt;tertiary-authors&gt;&lt;author&gt;National Institute for Health and Care Excellence (NICE),&lt;/author&gt;&lt;/tertiary-authors&gt;&lt;/contributors&gt;&lt;titles&gt;&lt;title&gt;The Innovative Medicines Fund Principles&lt;/title&gt;&lt;/titles&gt;&lt;dates&gt;&lt;year&gt;2022&lt;/year&gt;&lt;/dates&gt;&lt;pub-location&gt;London&lt;/pub-location&gt;&lt;urls&gt;&lt;related-urls&gt;&lt;url&gt;https://www.england.nhs.uk/wp-content/uploads/2022/06/B1686-the-innovate-medicines-fund-principles-june-2022.pdf&lt;/url&gt;&lt;/related-urls&gt;&lt;/urls&gt;&lt;/record&gt;&lt;/Cite&gt;&lt;/EndNote&gt;</w:instrText>
      </w:r>
      <w:r w:rsidRPr="00221992">
        <w:rPr>
          <w:lang w:val="en-GB"/>
        </w:rPr>
        <w:fldChar w:fldCharType="separate"/>
      </w:r>
      <w:r w:rsidR="00E5265C">
        <w:rPr>
          <w:noProof/>
          <w:lang w:val="en-GB"/>
        </w:rPr>
        <w:t>[131]</w:t>
      </w:r>
      <w:r w:rsidRPr="00221992">
        <w:rPr>
          <w:lang w:val="en-GB"/>
        </w:rPr>
        <w:fldChar w:fldCharType="end"/>
      </w:r>
      <w:r w:rsidRPr="00221992">
        <w:rPr>
          <w:lang w:val="en-GB"/>
        </w:rPr>
        <w:t xml:space="preserve">. </w:t>
      </w:r>
    </w:p>
    <w:p w14:paraId="484EF161" w14:textId="34BDAD98" w:rsidR="00E40B65" w:rsidRPr="00221992" w:rsidRDefault="00DE67BB" w:rsidP="001125F9">
      <w:pPr>
        <w:ind w:left="426"/>
        <w:rPr>
          <w:lang w:val="en-GB"/>
        </w:rPr>
      </w:pPr>
      <w:r>
        <w:rPr>
          <w:lang w:val="en-GB"/>
        </w:rPr>
        <w:t>Expeditied</w:t>
      </w:r>
      <w:r w:rsidRPr="00221992">
        <w:rPr>
          <w:lang w:val="en-GB"/>
        </w:rPr>
        <w:t xml:space="preserve"> </w:t>
      </w:r>
      <w:r w:rsidR="00E40B65" w:rsidRPr="00221992">
        <w:rPr>
          <w:lang w:val="en-GB"/>
        </w:rPr>
        <w:t xml:space="preserve">access </w:t>
      </w:r>
      <w:r>
        <w:rPr>
          <w:lang w:val="en-GB"/>
        </w:rPr>
        <w:t>is</w:t>
      </w:r>
      <w:r w:rsidRPr="00221992">
        <w:rPr>
          <w:lang w:val="en-GB"/>
        </w:rPr>
        <w:t xml:space="preserve"> </w:t>
      </w:r>
      <w:r w:rsidR="00E40B65" w:rsidRPr="00221992">
        <w:rPr>
          <w:lang w:val="en-GB"/>
        </w:rPr>
        <w:t xml:space="preserve">also </w:t>
      </w:r>
      <w:r>
        <w:rPr>
          <w:lang w:val="en-GB"/>
        </w:rPr>
        <w:t>available</w:t>
      </w:r>
      <w:r w:rsidRPr="00221992">
        <w:rPr>
          <w:lang w:val="en-GB"/>
        </w:rPr>
        <w:t xml:space="preserve"> </w:t>
      </w:r>
      <w:r>
        <w:rPr>
          <w:lang w:val="en-GB"/>
        </w:rPr>
        <w:t>in</w:t>
      </w:r>
      <w:r w:rsidRPr="00221992">
        <w:rPr>
          <w:lang w:val="en-GB"/>
        </w:rPr>
        <w:t xml:space="preserve"> </w:t>
      </w:r>
      <w:r w:rsidR="00E40B65" w:rsidRPr="00221992">
        <w:rPr>
          <w:lang w:val="en-GB"/>
        </w:rPr>
        <w:t xml:space="preserve">Belgium </w:t>
      </w:r>
      <w:r>
        <w:rPr>
          <w:lang w:val="en-GB"/>
        </w:rPr>
        <w:t>through</w:t>
      </w:r>
      <w:r w:rsidR="00E40B65" w:rsidRPr="00221992">
        <w:rPr>
          <w:lang w:val="en-GB"/>
        </w:rPr>
        <w:t xml:space="preserve"> the Belgian DRC, where pricing </w:t>
      </w:r>
      <w:r w:rsidR="00442744">
        <w:rPr>
          <w:lang w:val="en-GB"/>
        </w:rPr>
        <w:t>negotiations</w:t>
      </w:r>
      <w:r w:rsidR="00442744" w:rsidRPr="00221992">
        <w:rPr>
          <w:lang w:val="en-GB"/>
        </w:rPr>
        <w:t xml:space="preserve"> </w:t>
      </w:r>
      <w:r w:rsidR="00E40B65" w:rsidRPr="00221992">
        <w:rPr>
          <w:lang w:val="en-GB"/>
        </w:rPr>
        <w:t xml:space="preserve">for orphan drugs can be initiated </w:t>
      </w:r>
      <w:r>
        <w:rPr>
          <w:lang w:val="en-GB"/>
        </w:rPr>
        <w:t>upon</w:t>
      </w:r>
      <w:r w:rsidRPr="00221992">
        <w:rPr>
          <w:lang w:val="en-GB"/>
        </w:rPr>
        <w:t xml:space="preserve"> </w:t>
      </w:r>
      <w:r w:rsidR="00E40B65" w:rsidRPr="00221992">
        <w:rPr>
          <w:lang w:val="en-GB"/>
        </w:rPr>
        <w:t xml:space="preserve">positive recommendation of the Committee for Medicinal Products for Human Use (CHMP). Italy also allows for </w:t>
      </w:r>
      <w:r w:rsidR="00442744">
        <w:rPr>
          <w:lang w:val="en-GB"/>
        </w:rPr>
        <w:t xml:space="preserve">the </w:t>
      </w:r>
      <w:r w:rsidR="00E40B65" w:rsidRPr="00221992">
        <w:rPr>
          <w:lang w:val="en-GB"/>
        </w:rPr>
        <w:t xml:space="preserve">submission </w:t>
      </w:r>
      <w:r w:rsidR="00442744">
        <w:rPr>
          <w:lang w:val="en-GB"/>
        </w:rPr>
        <w:t xml:space="preserve">of an </w:t>
      </w:r>
      <w:r w:rsidR="00E40B65" w:rsidRPr="00221992">
        <w:rPr>
          <w:lang w:val="en-GB"/>
        </w:rPr>
        <w:t xml:space="preserve">application </w:t>
      </w:r>
      <w:r w:rsidR="00442744">
        <w:rPr>
          <w:lang w:val="en-GB"/>
        </w:rPr>
        <w:t>once a</w:t>
      </w:r>
      <w:r w:rsidR="00E40B65" w:rsidRPr="00221992">
        <w:rPr>
          <w:lang w:val="en-GB"/>
        </w:rPr>
        <w:t xml:space="preserve"> positive </w:t>
      </w:r>
      <w:r w:rsidR="00442744">
        <w:rPr>
          <w:lang w:val="en-GB"/>
        </w:rPr>
        <w:t>recommendation has been</w:t>
      </w:r>
      <w:r w:rsidR="00442744" w:rsidRPr="00221992">
        <w:rPr>
          <w:lang w:val="en-GB"/>
        </w:rPr>
        <w:t xml:space="preserve"> </w:t>
      </w:r>
      <w:r w:rsidR="00442744">
        <w:rPr>
          <w:lang w:val="en-GB"/>
        </w:rPr>
        <w:t>issued by the</w:t>
      </w:r>
      <w:r w:rsidR="00E40B65" w:rsidRPr="00221992">
        <w:rPr>
          <w:lang w:val="en-GB"/>
        </w:rPr>
        <w:t xml:space="preserve"> CHMP </w:t>
      </w:r>
      <w:r w:rsidR="00E40B65" w:rsidRPr="00221992">
        <w:rPr>
          <w:lang w:val="en-GB"/>
        </w:rPr>
        <w:fldChar w:fldCharType="begin">
          <w:fldData xml:space="preserve">PEVuZE5vdGU+PENpdGU+PEF1dGhvcj5Kb21taTwvQXV0aG9yPjxZZWFyPjIwMjE8L1llYXI+PFJl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=
</w:fldData>
        </w:fldChar>
      </w:r>
      <w:r w:rsidR="00E5265C">
        <w:rPr>
          <w:lang w:val="en-GB"/>
        </w:rPr>
        <w:instrText xml:space="preserve"> ADDIN EN.CITE </w:instrText>
      </w:r>
      <w:r w:rsidR="00E5265C">
        <w:rPr>
          <w:lang w:val="en-GB"/>
        </w:rPr>
        <w:fldChar w:fldCharType="begin">
          <w:fldData xml:space="preserve">PEVuZE5vdGU+PENpdGU+PEF1dGhvcj5Kb21taTwvQXV0aG9yPjxZZWFyPjIwMjE8L1llYXI+PFJl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=
</w:fldData>
        </w:fldChar>
      </w:r>
      <w:r w:rsidR="00E5265C">
        <w:rPr>
          <w:lang w:val="en-GB"/>
        </w:rPr>
        <w:instrText xml:space="preserve"> ADDIN EN.CITE.DATA </w:instrText>
      </w:r>
      <w:r w:rsidR="00E5265C">
        <w:rPr>
          <w:lang w:val="en-GB"/>
        </w:rPr>
      </w:r>
      <w:r w:rsidR="00E5265C">
        <w:rPr>
          <w:lang w:val="en-GB"/>
        </w:rPr>
        <w:fldChar w:fldCharType="end"/>
      </w:r>
      <w:r w:rsidR="00E40B65" w:rsidRPr="00221992">
        <w:rPr>
          <w:lang w:val="en-GB"/>
        </w:rPr>
      </w:r>
      <w:r w:rsidR="00E40B65" w:rsidRPr="00221992">
        <w:rPr>
          <w:lang w:val="en-GB"/>
        </w:rPr>
        <w:fldChar w:fldCharType="separate"/>
      </w:r>
      <w:r w:rsidR="00E5265C">
        <w:rPr>
          <w:noProof/>
          <w:lang w:val="en-GB"/>
        </w:rPr>
        <w:t>[136, 155]</w:t>
      </w:r>
      <w:r w:rsidR="00E40B65" w:rsidRPr="00221992">
        <w:rPr>
          <w:lang w:val="en-GB"/>
        </w:rPr>
        <w:fldChar w:fldCharType="end"/>
      </w:r>
      <w:r w:rsidR="00E40B65" w:rsidRPr="00221992">
        <w:rPr>
          <w:lang w:val="en-GB"/>
        </w:rPr>
        <w:t xml:space="preserve">. </w:t>
      </w:r>
      <w:r w:rsidR="00442744">
        <w:rPr>
          <w:lang w:val="en-GB"/>
        </w:rPr>
        <w:t>In the Netherlands, a</w:t>
      </w:r>
      <w:r w:rsidR="00E40B65" w:rsidRPr="00221992">
        <w:rPr>
          <w:lang w:val="en-GB"/>
        </w:rPr>
        <w:t xml:space="preserve"> different approach </w:t>
      </w:r>
      <w:r w:rsidR="00442744">
        <w:rPr>
          <w:lang w:val="en-GB"/>
        </w:rPr>
        <w:t>to</w:t>
      </w:r>
      <w:r w:rsidR="00442744" w:rsidRPr="00221992">
        <w:rPr>
          <w:lang w:val="en-GB"/>
        </w:rPr>
        <w:t xml:space="preserve"> </w:t>
      </w:r>
      <w:r w:rsidR="00E40B65" w:rsidRPr="00221992">
        <w:rPr>
          <w:lang w:val="en-GB"/>
        </w:rPr>
        <w:t>early access has been implemented</w:t>
      </w:r>
      <w:r w:rsidR="00442744">
        <w:rPr>
          <w:lang w:val="en-GB"/>
        </w:rPr>
        <w:t>,</w:t>
      </w:r>
      <w:r w:rsidR="00E40B65" w:rsidRPr="00221992">
        <w:rPr>
          <w:lang w:val="en-GB"/>
        </w:rPr>
        <w:t xml:space="preserve"> allowing </w:t>
      </w:r>
      <w:r w:rsidR="00442744">
        <w:rPr>
          <w:lang w:val="en-GB"/>
        </w:rPr>
        <w:t xml:space="preserve">the </w:t>
      </w:r>
      <w:r w:rsidR="00E40B65" w:rsidRPr="00221992">
        <w:rPr>
          <w:lang w:val="en-GB"/>
        </w:rPr>
        <w:t xml:space="preserve">submission </w:t>
      </w:r>
      <w:r w:rsidR="00442744">
        <w:rPr>
          <w:lang w:val="en-GB"/>
        </w:rPr>
        <w:t xml:space="preserve">of an </w:t>
      </w:r>
      <w:r w:rsidR="00E40B65" w:rsidRPr="00221992">
        <w:rPr>
          <w:lang w:val="en-GB"/>
        </w:rPr>
        <w:t xml:space="preserve">application </w:t>
      </w:r>
      <w:r w:rsidR="00442744">
        <w:rPr>
          <w:lang w:val="en-GB"/>
        </w:rPr>
        <w:t>upon</w:t>
      </w:r>
      <w:r w:rsidR="00E40B65" w:rsidRPr="00221992">
        <w:rPr>
          <w:lang w:val="en-GB"/>
        </w:rPr>
        <w:t xml:space="preserve">: (1) scientific advice on the PICO </w:t>
      </w:r>
      <w:r w:rsidR="00442744">
        <w:rPr>
          <w:lang w:val="en-GB"/>
        </w:rPr>
        <w:t>or</w:t>
      </w:r>
      <w:r w:rsidR="00E40B65" w:rsidRPr="00221992">
        <w:rPr>
          <w:lang w:val="en-GB"/>
        </w:rPr>
        <w:t>; (2) during the pre-consultation phase</w:t>
      </w:r>
      <w:r w:rsidR="00442744">
        <w:rPr>
          <w:lang w:val="en-GB"/>
        </w:rPr>
        <w:t>,</w:t>
      </w:r>
      <w:r w:rsidR="00E40B65" w:rsidRPr="00221992">
        <w:rPr>
          <w:lang w:val="en-GB"/>
        </w:rPr>
        <w:t xml:space="preserve"> where the manufacturer can submit a preliminary dossier as soon as a positive recommendation from the CHMP is released </w:t>
      </w:r>
      <w:r w:rsidR="00E40B65" w:rsidRPr="00221992">
        <w:rPr>
          <w:lang w:val="en-GB"/>
        </w:rPr>
        <w:fldChar w:fldCharType="begin"/>
      </w:r>
      <w:r w:rsidR="00E5265C">
        <w:rPr>
          <w:lang w:val="en-GB"/>
        </w:rPr>
        <w:instrText xml:space="preserve"> ADDIN EN.CITE &lt;EndNote&gt;&lt;Cite&gt;&lt;Author&gt;National Health Care Institue&lt;/Author&gt;&lt;Year&gt;2022&lt;/Year&gt;&lt;RecNum&gt;552&lt;/RecNum&gt;&lt;DisplayText&gt;[145]&lt;/DisplayText&gt;&lt;record&gt;&lt;rec-number&gt;552&lt;/rec-number&gt;&lt;foreign-keys&gt;&lt;key app="EN" db-id="wzwwsfxe4peesxef95cxvrwjxts9rreasarf" timestamp="1692751953"&gt;552&lt;/key&gt;&lt;/foreign-keys&gt;&lt;ref-type name="Web Page"&gt;12&lt;/ref-type&gt;&lt;contributors&gt;&lt;authors&gt;&lt;author&gt;National Health Care Institue, &lt;/author&gt;&lt;/authors&gt;&lt;/contributors&gt;&lt;titles&gt;&lt;title&gt;Conditional inclusion of orphan drugs, conditionals and exceptionals in basic health care&lt;/title&gt;&lt;/titles&gt;&lt;number&gt;23/07/2023&lt;/number&gt;&lt;dates&gt;&lt;year&gt;2022&lt;/year&gt;&lt;/dates&gt;&lt;pub-location&gt;The Netherlands&lt;/pub-location&gt;&lt;urls&gt;&lt;related-urls&gt;&lt;url&gt;https://english.zorginstituutnederland.nl/about-us/tasks-of-the-national-health-care-institute/conditional-inclusion-of-orphan-drugs-conditionals-and-exceptionals&lt;/url&gt;&lt;/related-urls&gt;&lt;/urls&gt;&lt;/record&gt;&lt;/Cite&gt;&lt;/EndNote&gt;</w:instrText>
      </w:r>
      <w:r w:rsidR="00E40B65" w:rsidRPr="00221992">
        <w:rPr>
          <w:lang w:val="en-GB"/>
        </w:rPr>
        <w:fldChar w:fldCharType="separate"/>
      </w:r>
      <w:r w:rsidR="00E5265C">
        <w:rPr>
          <w:noProof/>
          <w:lang w:val="en-GB"/>
        </w:rPr>
        <w:t>[145]</w:t>
      </w:r>
      <w:r w:rsidR="00E40B65" w:rsidRPr="00221992">
        <w:rPr>
          <w:lang w:val="en-GB"/>
        </w:rPr>
        <w:fldChar w:fldCharType="end"/>
      </w:r>
      <w:r w:rsidR="00E40B65" w:rsidRPr="00221992">
        <w:rPr>
          <w:lang w:val="en-GB"/>
        </w:rPr>
        <w:t xml:space="preserve">. </w:t>
      </w:r>
    </w:p>
    <w:tbl>
      <w:tblPr>
        <w:tblStyle w:val="GridTable4-Accent36"/>
        <w:tblW w:w="0" w:type="auto"/>
        <w:tblInd w:w="0" w:type="dxa"/>
        <w:tblBorders>
          <w:top w:val="single" w:sz="12" w:space="0" w:color="4472C4"/>
          <w:left w:val="single" w:sz="12" w:space="0" w:color="4472C4"/>
          <w:bottom w:val="single" w:sz="12" w:space="0" w:color="4472C4"/>
          <w:right w:val="single" w:sz="12" w:space="0" w:color="4472C4"/>
          <w:insideH w:val="none" w:sz="0" w:space="0" w:color="auto"/>
          <w:insideV w:val="single" w:sz="4" w:space="0" w:color="A5A5A5"/>
        </w:tblBorders>
        <w:tblLook w:val="04A0" w:firstRow="1" w:lastRow="0" w:firstColumn="1" w:lastColumn="0" w:noHBand="0" w:noVBand="1"/>
      </w:tblPr>
      <w:tblGrid>
        <w:gridCol w:w="8474"/>
      </w:tblGrid>
      <w:tr w:rsidR="006A5720" w:rsidRPr="0085494A" w14:paraId="21D9AFCD" w14:textId="77777777" w:rsidTr="006A572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tcBorders>
              <w:top w:val="single" w:sz="12" w:space="0" w:color="4472C4"/>
              <w:left w:val="single" w:sz="12" w:space="0" w:color="4472C4"/>
              <w:bottom w:val="nil"/>
              <w:right w:val="single" w:sz="12" w:space="0" w:color="4472C4"/>
            </w:tcBorders>
            <w:hideMark/>
          </w:tcPr>
          <w:p w14:paraId="2A4B3269" w14:textId="5589BE23" w:rsidR="006A5720" w:rsidRPr="0085494A" w:rsidRDefault="006A5720" w:rsidP="006A5720">
            <w:pPr>
              <w:spacing w:after="0" w:line="240" w:lineRule="auto"/>
              <w:jc w:val="center"/>
              <w:rPr>
                <w:rFonts w:ascii="Calibri" w:eastAsia="Calibri" w:hAnsi="Calibri" w:cs="Calibri"/>
                <w:sz w:val="22"/>
                <w:szCs w:val="22"/>
                <w:lang w:eastAsia="en-US"/>
              </w:rPr>
            </w:pPr>
            <w:r w:rsidRPr="0085494A">
              <w:rPr>
                <w:rFonts w:ascii="Calibri" w:eastAsia="Calibri" w:hAnsi="Calibri" w:cs="Calibri" w:hint="cs"/>
                <w:sz w:val="22"/>
                <w:szCs w:val="22"/>
                <w:lang w:eastAsia="en-US"/>
              </w:rPr>
              <w:t>Why this matters</w:t>
            </w:r>
          </w:p>
        </w:tc>
      </w:tr>
      <w:tr w:rsidR="006A5720" w:rsidRPr="0085494A" w14:paraId="01C87414" w14:textId="77777777" w:rsidTr="006A572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tcBorders>
              <w:top w:val="nil"/>
              <w:left w:val="single" w:sz="12" w:space="0" w:color="4472C4"/>
              <w:bottom w:val="single" w:sz="12" w:space="0" w:color="4472C4"/>
              <w:right w:val="single" w:sz="12" w:space="0" w:color="4472C4"/>
            </w:tcBorders>
          </w:tcPr>
          <w:p w14:paraId="373A1427" w14:textId="77777777" w:rsidR="006A5720" w:rsidRPr="0085494A" w:rsidRDefault="006A5720" w:rsidP="006A5720">
            <w:pPr>
              <w:spacing w:after="0" w:line="240" w:lineRule="auto"/>
              <w:rPr>
                <w:rFonts w:eastAsia="Calibri" w:cs="Calibri Light"/>
                <w:b w:val="0"/>
                <w:bCs w:val="0"/>
                <w:sz w:val="22"/>
                <w:szCs w:val="22"/>
                <w:lang w:eastAsia="en-US"/>
              </w:rPr>
            </w:pPr>
            <w:r w:rsidRPr="0085494A">
              <w:rPr>
                <w:rFonts w:eastAsia="Calibri" w:cs="Calibri Light"/>
                <w:b w:val="0"/>
                <w:bCs w:val="0"/>
                <w:sz w:val="22"/>
                <w:szCs w:val="22"/>
                <w:lang w:eastAsia="en-US"/>
              </w:rPr>
              <w:t xml:space="preserve">Countries have implemented early access strategies to ensure market entry prior to regulatory approval and reimbursement through a streamline process. </w:t>
            </w:r>
          </w:p>
          <w:p w14:paraId="4A23FD5A" w14:textId="77777777" w:rsidR="006A5720" w:rsidRPr="0085494A" w:rsidRDefault="006A5720" w:rsidP="006A5720">
            <w:pPr>
              <w:spacing w:after="0" w:line="240" w:lineRule="auto"/>
              <w:rPr>
                <w:rFonts w:eastAsia="Calibri" w:cs="Calibri Light"/>
                <w:b w:val="0"/>
                <w:bCs w:val="0"/>
                <w:sz w:val="22"/>
                <w:szCs w:val="22"/>
                <w:lang w:eastAsia="en-US"/>
              </w:rPr>
            </w:pPr>
          </w:p>
          <w:p w14:paraId="61BB2FB9" w14:textId="2E1B81A6" w:rsidR="006A5720" w:rsidRPr="0085494A" w:rsidRDefault="006A5720" w:rsidP="006A5720">
            <w:pPr>
              <w:spacing w:after="0" w:line="240" w:lineRule="auto"/>
              <w:rPr>
                <w:rFonts w:eastAsia="Calibri" w:cs="Calibri Light"/>
                <w:b w:val="0"/>
                <w:bCs w:val="0"/>
                <w:sz w:val="22"/>
                <w:szCs w:val="22"/>
                <w:lang w:eastAsia="en-US"/>
              </w:rPr>
            </w:pPr>
            <w:r w:rsidRPr="0085494A">
              <w:rPr>
                <w:rFonts w:eastAsia="Calibri" w:cs="Calibri Light"/>
                <w:b w:val="0"/>
                <w:bCs w:val="0"/>
                <w:sz w:val="22"/>
                <w:szCs w:val="22"/>
                <w:lang w:eastAsia="en-US"/>
              </w:rPr>
              <w:t>In Australia, earl</w:t>
            </w:r>
            <w:r w:rsidR="00442744">
              <w:rPr>
                <w:rFonts w:eastAsia="Calibri" w:cs="Calibri Light"/>
                <w:b w:val="0"/>
                <w:bCs w:val="0"/>
                <w:sz w:val="22"/>
                <w:szCs w:val="22"/>
                <w:lang w:eastAsia="en-US"/>
              </w:rPr>
              <w:t>ier</w:t>
            </w:r>
            <w:r w:rsidRPr="0085494A">
              <w:rPr>
                <w:rFonts w:eastAsia="Calibri" w:cs="Calibri Light"/>
                <w:b w:val="0"/>
                <w:bCs w:val="0"/>
                <w:sz w:val="22"/>
                <w:szCs w:val="22"/>
                <w:lang w:eastAsia="en-US"/>
              </w:rPr>
              <w:t xml:space="preserve"> access may be feasible from a market entry perspective</w:t>
            </w:r>
            <w:r w:rsidR="00442744">
              <w:rPr>
                <w:rFonts w:eastAsia="Calibri" w:cs="Calibri Light"/>
                <w:b w:val="0"/>
                <w:bCs w:val="0"/>
                <w:sz w:val="22"/>
                <w:szCs w:val="22"/>
                <w:lang w:eastAsia="en-US"/>
              </w:rPr>
              <w:t>,</w:t>
            </w:r>
            <w:r w:rsidRPr="0085494A">
              <w:rPr>
                <w:rFonts w:eastAsia="Calibri" w:cs="Calibri Light"/>
                <w:b w:val="0"/>
                <w:bCs w:val="0"/>
                <w:sz w:val="22"/>
                <w:szCs w:val="22"/>
                <w:lang w:eastAsia="en-US"/>
              </w:rPr>
              <w:t xml:space="preserve"> where provisional TGA approval </w:t>
            </w:r>
            <w:r w:rsidR="007061DB">
              <w:rPr>
                <w:rFonts w:eastAsia="Calibri" w:cs="Calibri Light"/>
                <w:b w:val="0"/>
                <w:bCs w:val="0"/>
                <w:sz w:val="22"/>
                <w:szCs w:val="22"/>
                <w:lang w:eastAsia="en-US"/>
              </w:rPr>
              <w:t>is</w:t>
            </w:r>
            <w:r w:rsidRPr="0085494A">
              <w:rPr>
                <w:rFonts w:eastAsia="Calibri" w:cs="Calibri Light"/>
                <w:b w:val="0"/>
                <w:bCs w:val="0"/>
                <w:sz w:val="22"/>
                <w:szCs w:val="22"/>
                <w:lang w:eastAsia="en-US"/>
              </w:rPr>
              <w:t xml:space="preserve"> granted based on the limited </w:t>
            </w:r>
            <w:r w:rsidR="007061DB">
              <w:rPr>
                <w:rFonts w:eastAsia="Calibri" w:cs="Calibri Light"/>
                <w:b w:val="0"/>
                <w:bCs w:val="0"/>
                <w:sz w:val="22"/>
                <w:szCs w:val="22"/>
                <w:lang w:eastAsia="en-US"/>
              </w:rPr>
              <w:t>clinical evidence</w:t>
            </w:r>
            <w:r w:rsidR="00442744">
              <w:rPr>
                <w:rFonts w:eastAsia="Calibri" w:cs="Calibri Light"/>
                <w:b w:val="0"/>
                <w:bCs w:val="0"/>
                <w:sz w:val="22"/>
                <w:szCs w:val="22"/>
                <w:lang w:eastAsia="en-US"/>
              </w:rPr>
              <w:t>,</w:t>
            </w:r>
            <w:r w:rsidRPr="0085494A">
              <w:rPr>
                <w:rFonts w:eastAsia="Calibri" w:cs="Calibri Light"/>
                <w:b w:val="0"/>
                <w:bCs w:val="0"/>
                <w:sz w:val="22"/>
                <w:szCs w:val="22"/>
                <w:lang w:eastAsia="en-US"/>
              </w:rPr>
              <w:t xml:space="preserve"> subject to additional data collect</w:t>
            </w:r>
            <w:r w:rsidR="00442744">
              <w:rPr>
                <w:rFonts w:eastAsia="Calibri" w:cs="Calibri Light"/>
                <w:b w:val="0"/>
                <w:bCs w:val="0"/>
                <w:sz w:val="22"/>
                <w:szCs w:val="22"/>
                <w:lang w:eastAsia="en-US"/>
              </w:rPr>
              <w:t>ion</w:t>
            </w:r>
            <w:r w:rsidRPr="0085494A">
              <w:rPr>
                <w:rFonts w:eastAsia="Calibri" w:cs="Calibri Light"/>
                <w:b w:val="0"/>
                <w:bCs w:val="0"/>
                <w:sz w:val="22"/>
                <w:szCs w:val="22"/>
                <w:lang w:eastAsia="en-US"/>
              </w:rPr>
              <w:t xml:space="preserve"> for</w:t>
            </w:r>
            <w:r w:rsidR="00442744">
              <w:rPr>
                <w:rFonts w:eastAsia="Calibri" w:cs="Calibri Light"/>
                <w:b w:val="0"/>
                <w:bCs w:val="0"/>
                <w:sz w:val="22"/>
                <w:szCs w:val="22"/>
                <w:lang w:eastAsia="en-US"/>
              </w:rPr>
              <w:t xml:space="preserve"> subsequent</w:t>
            </w:r>
            <w:r w:rsidRPr="0085494A">
              <w:rPr>
                <w:rFonts w:eastAsia="Calibri" w:cs="Calibri Light"/>
                <w:b w:val="0"/>
                <w:bCs w:val="0"/>
                <w:sz w:val="22"/>
                <w:szCs w:val="22"/>
                <w:lang w:eastAsia="en-US"/>
              </w:rPr>
              <w:t xml:space="preserve"> TGA consideration. However, there is</w:t>
            </w:r>
            <w:r w:rsidR="00442744">
              <w:rPr>
                <w:rFonts w:eastAsia="Calibri" w:cs="Calibri Light"/>
                <w:b w:val="0"/>
                <w:bCs w:val="0"/>
                <w:sz w:val="22"/>
                <w:szCs w:val="22"/>
                <w:lang w:eastAsia="en-US"/>
              </w:rPr>
              <w:t xml:space="preserve"> currently</w:t>
            </w:r>
            <w:r w:rsidRPr="0085494A">
              <w:rPr>
                <w:rFonts w:eastAsia="Calibri" w:cs="Calibri Light"/>
                <w:b w:val="0"/>
                <w:bCs w:val="0"/>
                <w:sz w:val="22"/>
                <w:szCs w:val="22"/>
                <w:lang w:eastAsia="en-US"/>
              </w:rPr>
              <w:t xml:space="preserve"> no reimbursement pathway available for drugs that enter the</w:t>
            </w:r>
            <w:r w:rsidR="00442744">
              <w:rPr>
                <w:rFonts w:eastAsia="Calibri" w:cs="Calibri Light"/>
                <w:b w:val="0"/>
                <w:bCs w:val="0"/>
                <w:sz w:val="22"/>
                <w:szCs w:val="22"/>
                <w:lang w:eastAsia="en-US"/>
              </w:rPr>
              <w:t xml:space="preserve"> Australian</w:t>
            </w:r>
            <w:r w:rsidRPr="0085494A">
              <w:rPr>
                <w:rFonts w:eastAsia="Calibri" w:cs="Calibri Light"/>
                <w:b w:val="0"/>
                <w:bCs w:val="0"/>
                <w:sz w:val="22"/>
                <w:szCs w:val="22"/>
                <w:lang w:eastAsia="en-US"/>
              </w:rPr>
              <w:t xml:space="preserve"> market through provisional listing. </w:t>
            </w:r>
          </w:p>
          <w:p w14:paraId="6522B7BA" w14:textId="77777777" w:rsidR="006A5720" w:rsidRPr="0085494A" w:rsidRDefault="006A5720" w:rsidP="006A5720">
            <w:pPr>
              <w:spacing w:after="0" w:line="240" w:lineRule="auto"/>
              <w:rPr>
                <w:rFonts w:eastAsia="Calibri" w:cs="Calibri Light"/>
                <w:b w:val="0"/>
                <w:bCs w:val="0"/>
                <w:sz w:val="22"/>
                <w:szCs w:val="22"/>
                <w:lang w:eastAsia="en-US"/>
              </w:rPr>
            </w:pPr>
          </w:p>
          <w:p w14:paraId="7FEF4D82" w14:textId="11475D54" w:rsidR="006A5720" w:rsidRPr="0085494A" w:rsidRDefault="00AA204E" w:rsidP="006A5720">
            <w:pPr>
              <w:spacing w:after="0" w:line="240" w:lineRule="auto"/>
              <w:rPr>
                <w:rFonts w:eastAsia="Calibri" w:cs="Calibri Light"/>
                <w:b w:val="0"/>
                <w:bCs w:val="0"/>
                <w:sz w:val="22"/>
                <w:szCs w:val="22"/>
                <w:lang w:eastAsia="en-US"/>
              </w:rPr>
            </w:pPr>
            <w:r>
              <w:rPr>
                <w:rFonts w:eastAsia="Calibri" w:cs="Calibri Light"/>
                <w:b w:val="0"/>
                <w:bCs w:val="0"/>
                <w:sz w:val="22"/>
                <w:szCs w:val="22"/>
                <w:lang w:eastAsia="en-US"/>
              </w:rPr>
              <w:t>To</w:t>
            </w:r>
            <w:r w:rsidR="006A5720" w:rsidRPr="0085494A">
              <w:rPr>
                <w:rFonts w:eastAsia="Calibri" w:cs="Calibri Light"/>
                <w:b w:val="0"/>
                <w:bCs w:val="0"/>
                <w:sz w:val="22"/>
                <w:szCs w:val="22"/>
                <w:lang w:eastAsia="en-US"/>
              </w:rPr>
              <w:t xml:space="preserve"> access</w:t>
            </w:r>
            <w:r w:rsidR="006A5720" w:rsidRPr="5658EAB1">
              <w:rPr>
                <w:rFonts w:eastAsia="Calibri" w:cs="Calibri Light"/>
                <w:b w:val="0"/>
                <w:bCs w:val="0"/>
                <w:sz w:val="22"/>
                <w:szCs w:val="22"/>
                <w:lang w:eastAsia="en-US"/>
              </w:rPr>
              <w:t xml:space="preserve"> </w:t>
            </w:r>
            <w:r w:rsidR="7718C32B" w:rsidRPr="5658EAB1">
              <w:rPr>
                <w:rFonts w:eastAsia="Calibri" w:cs="Calibri Light"/>
                <w:b w:val="0"/>
                <w:bCs w:val="0"/>
                <w:sz w:val="22"/>
                <w:szCs w:val="22"/>
                <w:lang w:eastAsia="en-US"/>
              </w:rPr>
              <w:t>listing on</w:t>
            </w:r>
            <w:r w:rsidR="006A5720" w:rsidRPr="0085494A">
              <w:rPr>
                <w:rFonts w:eastAsia="Calibri" w:cs="Calibri Light"/>
                <w:b w:val="0"/>
                <w:bCs w:val="0"/>
                <w:sz w:val="22"/>
                <w:szCs w:val="22"/>
                <w:lang w:eastAsia="en-US"/>
              </w:rPr>
              <w:t xml:space="preserve"> the LSDP</w:t>
            </w:r>
            <w:r>
              <w:rPr>
                <w:rFonts w:eastAsia="Calibri" w:cs="Calibri Light"/>
                <w:b w:val="0"/>
                <w:bCs w:val="0"/>
                <w:sz w:val="22"/>
                <w:szCs w:val="22"/>
                <w:lang w:eastAsia="en-US"/>
              </w:rPr>
              <w:t>, drugs</w:t>
            </w:r>
            <w:r w:rsidR="006A5720" w:rsidRPr="0085494A">
              <w:rPr>
                <w:rFonts w:eastAsia="Calibri" w:cs="Calibri Light"/>
                <w:b w:val="0"/>
                <w:bCs w:val="0"/>
                <w:sz w:val="22"/>
                <w:szCs w:val="22"/>
                <w:lang w:eastAsia="en-US"/>
              </w:rPr>
              <w:t xml:space="preserve"> must </w:t>
            </w:r>
            <w:r>
              <w:rPr>
                <w:rFonts w:eastAsia="Calibri" w:cs="Calibri Light"/>
                <w:b w:val="0"/>
                <w:bCs w:val="0"/>
                <w:sz w:val="22"/>
                <w:szCs w:val="22"/>
                <w:lang w:eastAsia="en-US"/>
              </w:rPr>
              <w:t xml:space="preserve">first </w:t>
            </w:r>
            <w:r w:rsidR="006A5720" w:rsidRPr="0085494A">
              <w:rPr>
                <w:rFonts w:eastAsia="Calibri" w:cs="Calibri Light"/>
                <w:b w:val="0"/>
                <w:bCs w:val="0"/>
                <w:sz w:val="22"/>
                <w:szCs w:val="22"/>
                <w:lang w:eastAsia="en-US"/>
              </w:rPr>
              <w:t xml:space="preserve">undergo the PBAC process. </w:t>
            </w:r>
            <w:r w:rsidR="00410865">
              <w:rPr>
                <w:rFonts w:eastAsia="Calibri" w:cs="Calibri Light"/>
                <w:b w:val="0"/>
                <w:bCs w:val="0"/>
                <w:sz w:val="22"/>
                <w:szCs w:val="22"/>
                <w:lang w:eastAsia="en-US"/>
              </w:rPr>
              <w:t>S</w:t>
            </w:r>
            <w:r w:rsidR="006A5720" w:rsidRPr="0085494A">
              <w:rPr>
                <w:rFonts w:eastAsia="Calibri" w:cs="Calibri Light"/>
                <w:b w:val="0"/>
                <w:bCs w:val="0"/>
                <w:sz w:val="22"/>
                <w:szCs w:val="22"/>
                <w:lang w:eastAsia="en-US"/>
              </w:rPr>
              <w:t xml:space="preserve">trict LSDP eligibility criteria include </w:t>
            </w:r>
            <w:r w:rsidR="00410865">
              <w:rPr>
                <w:rFonts w:eastAsia="Calibri" w:cs="Calibri Light"/>
                <w:b w:val="0"/>
                <w:bCs w:val="0"/>
                <w:sz w:val="22"/>
                <w:szCs w:val="22"/>
                <w:lang w:eastAsia="en-US"/>
              </w:rPr>
              <w:t>a determination by the</w:t>
            </w:r>
            <w:r w:rsidR="006A5720" w:rsidRPr="0085494A">
              <w:rPr>
                <w:rFonts w:eastAsia="Calibri" w:cs="Calibri Light"/>
                <w:b w:val="0"/>
                <w:bCs w:val="0"/>
                <w:sz w:val="22"/>
                <w:szCs w:val="22"/>
                <w:lang w:eastAsia="en-US"/>
              </w:rPr>
              <w:t xml:space="preserve"> PBAC </w:t>
            </w:r>
            <w:r w:rsidR="00410865">
              <w:rPr>
                <w:rFonts w:eastAsia="Calibri" w:cs="Calibri Light"/>
                <w:b w:val="0"/>
                <w:bCs w:val="0"/>
                <w:sz w:val="22"/>
                <w:szCs w:val="22"/>
                <w:lang w:eastAsia="en-US"/>
              </w:rPr>
              <w:t>not to recommend</w:t>
            </w:r>
            <w:r w:rsidR="006A5720" w:rsidRPr="0085494A">
              <w:rPr>
                <w:rFonts w:eastAsia="Calibri" w:cs="Calibri Light"/>
                <w:b w:val="0"/>
                <w:bCs w:val="0"/>
                <w:sz w:val="22"/>
                <w:szCs w:val="22"/>
                <w:lang w:eastAsia="en-US"/>
              </w:rPr>
              <w:t xml:space="preserve"> PBS listing based on unfavourable cost</w:t>
            </w:r>
            <w:r w:rsidR="00410865">
              <w:rPr>
                <w:rFonts w:eastAsia="Calibri" w:cs="Calibri Light"/>
                <w:b w:val="0"/>
                <w:bCs w:val="0"/>
                <w:sz w:val="22"/>
                <w:szCs w:val="22"/>
                <w:lang w:eastAsia="en-US"/>
              </w:rPr>
              <w:t>-</w:t>
            </w:r>
            <w:r w:rsidR="006A5720" w:rsidRPr="0085494A">
              <w:rPr>
                <w:rFonts w:eastAsia="Calibri" w:cs="Calibri Light"/>
                <w:b w:val="0"/>
                <w:bCs w:val="0"/>
                <w:sz w:val="22"/>
                <w:szCs w:val="22"/>
                <w:lang w:eastAsia="en-US"/>
              </w:rPr>
              <w:t xml:space="preserve">effectiveness. </w:t>
            </w:r>
            <w:r w:rsidR="00410865">
              <w:rPr>
                <w:rFonts w:eastAsia="Calibri" w:cs="Calibri Light"/>
                <w:b w:val="0"/>
                <w:bCs w:val="0"/>
                <w:sz w:val="22"/>
                <w:szCs w:val="22"/>
                <w:lang w:eastAsia="en-US"/>
              </w:rPr>
              <w:t>Hence</w:t>
            </w:r>
            <w:r w:rsidR="006A5720" w:rsidRPr="0085494A">
              <w:rPr>
                <w:rFonts w:eastAsia="Calibri" w:cs="Calibri Light"/>
                <w:b w:val="0"/>
                <w:bCs w:val="0"/>
                <w:sz w:val="22"/>
                <w:szCs w:val="22"/>
                <w:lang w:eastAsia="en-US"/>
              </w:rPr>
              <w:t xml:space="preserve">, </w:t>
            </w:r>
            <w:r w:rsidR="00410865">
              <w:rPr>
                <w:rFonts w:eastAsia="Calibri" w:cs="Calibri Light"/>
                <w:b w:val="0"/>
                <w:bCs w:val="0"/>
                <w:sz w:val="22"/>
                <w:szCs w:val="22"/>
                <w:lang w:eastAsia="en-US"/>
              </w:rPr>
              <w:t>while</w:t>
            </w:r>
            <w:r w:rsidR="006A5720" w:rsidRPr="0085494A">
              <w:rPr>
                <w:rFonts w:eastAsia="Calibri" w:cs="Calibri Light"/>
                <w:b w:val="0"/>
                <w:bCs w:val="0"/>
                <w:sz w:val="22"/>
                <w:szCs w:val="22"/>
                <w:lang w:eastAsia="en-US"/>
              </w:rPr>
              <w:t xml:space="preserve"> the LSDP is considered a separate pricing and reimbursement process to the PBS, </w:t>
            </w:r>
            <w:r w:rsidR="005066AD">
              <w:rPr>
                <w:rFonts w:eastAsia="Calibri" w:cs="Calibri Light"/>
                <w:b w:val="0"/>
                <w:bCs w:val="0"/>
                <w:sz w:val="22"/>
                <w:szCs w:val="22"/>
                <w:lang w:eastAsia="en-US"/>
              </w:rPr>
              <w:t xml:space="preserve">its processes could potentially be </w:t>
            </w:r>
            <w:r w:rsidR="006A5720" w:rsidRPr="0085494A">
              <w:rPr>
                <w:rFonts w:eastAsia="Calibri" w:cs="Calibri Light"/>
                <w:b w:val="0"/>
                <w:bCs w:val="0"/>
                <w:sz w:val="22"/>
                <w:szCs w:val="22"/>
                <w:lang w:eastAsia="en-US"/>
              </w:rPr>
              <w:t>streamline</w:t>
            </w:r>
            <w:r w:rsidR="005D14C7">
              <w:rPr>
                <w:rFonts w:eastAsia="Calibri" w:cs="Calibri Light"/>
                <w:b w:val="0"/>
                <w:bCs w:val="0"/>
                <w:sz w:val="22"/>
                <w:szCs w:val="22"/>
                <w:lang w:eastAsia="en-US"/>
              </w:rPr>
              <w:t>d</w:t>
            </w:r>
            <w:r w:rsidR="006A5720" w:rsidRPr="0085494A">
              <w:rPr>
                <w:rFonts w:eastAsia="Calibri" w:cs="Calibri Light"/>
                <w:b w:val="0"/>
                <w:bCs w:val="0"/>
                <w:sz w:val="22"/>
                <w:szCs w:val="22"/>
                <w:lang w:eastAsia="en-US"/>
              </w:rPr>
              <w:t xml:space="preserve">.   </w:t>
            </w:r>
          </w:p>
          <w:p w14:paraId="1A7D667F" w14:textId="77777777" w:rsidR="006A5720" w:rsidRPr="0085494A" w:rsidRDefault="006A5720" w:rsidP="006A5720">
            <w:pPr>
              <w:spacing w:after="0" w:line="240" w:lineRule="auto"/>
              <w:rPr>
                <w:rFonts w:eastAsia="Calibri" w:cs="Calibri Light"/>
                <w:b w:val="0"/>
                <w:bCs w:val="0"/>
                <w:sz w:val="22"/>
                <w:szCs w:val="22"/>
                <w:lang w:eastAsia="en-US"/>
              </w:rPr>
            </w:pPr>
          </w:p>
          <w:p w14:paraId="051495EE" w14:textId="5139FA82" w:rsidR="006A5720" w:rsidRPr="005066AD" w:rsidRDefault="006A5720" w:rsidP="005066AD">
            <w:pPr>
              <w:spacing w:after="0" w:line="240" w:lineRule="auto"/>
              <w:rPr>
                <w:rFonts w:eastAsia="Calibri" w:cs="Calibri Light"/>
                <w:b w:val="0"/>
                <w:bCs w:val="0"/>
                <w:sz w:val="22"/>
                <w:szCs w:val="22"/>
                <w:lang w:eastAsia="en-US"/>
              </w:rPr>
            </w:pPr>
            <w:r w:rsidRPr="0085494A">
              <w:rPr>
                <w:rFonts w:eastAsia="Calibri" w:cs="Calibri Light"/>
                <w:b w:val="0"/>
                <w:bCs w:val="0"/>
                <w:sz w:val="22"/>
                <w:szCs w:val="22"/>
                <w:lang w:eastAsia="en-US"/>
              </w:rPr>
              <w:t xml:space="preserve">Australia may wish to consider </w:t>
            </w:r>
            <w:r w:rsidR="0085494A" w:rsidRPr="0085494A">
              <w:rPr>
                <w:rFonts w:eastAsia="Calibri" w:cs="Calibri Light"/>
                <w:b w:val="0"/>
                <w:bCs w:val="0"/>
                <w:sz w:val="22"/>
                <w:szCs w:val="22"/>
                <w:lang w:eastAsia="en-US"/>
              </w:rPr>
              <w:t xml:space="preserve">a </w:t>
            </w:r>
            <w:r w:rsidRPr="0085494A">
              <w:rPr>
                <w:rFonts w:eastAsia="Calibri" w:cs="Calibri Light"/>
                <w:b w:val="0"/>
                <w:bCs w:val="0"/>
                <w:sz w:val="22"/>
                <w:szCs w:val="22"/>
                <w:lang w:eastAsia="en-US"/>
              </w:rPr>
              <w:t xml:space="preserve">reimbursement pathway for drugs that are granted TGA provisional approval. </w:t>
            </w:r>
          </w:p>
        </w:tc>
      </w:tr>
    </w:tbl>
    <w:p w14:paraId="402223F0" w14:textId="4B4C0637" w:rsidR="008D30F0" w:rsidRDefault="008D30F0" w:rsidP="00957584">
      <w:pPr>
        <w:pStyle w:val="ListParagraph2"/>
        <w:rPr>
          <w:lang w:val="en-GB"/>
        </w:rPr>
      </w:pPr>
    </w:p>
    <w:p w14:paraId="6F341ECC" w14:textId="4D8A3422" w:rsidR="00D649E3" w:rsidRPr="00221992" w:rsidRDefault="00940043" w:rsidP="00957584">
      <w:pPr>
        <w:pStyle w:val="ListParagraph"/>
        <w:numPr>
          <w:ilvl w:val="0"/>
          <w:numId w:val="48"/>
        </w:numPr>
        <w:rPr>
          <w:lang w:val="en-GB"/>
        </w:rPr>
      </w:pPr>
      <w:r>
        <w:rPr>
          <w:lang w:val="en-GB"/>
        </w:rPr>
        <w:t xml:space="preserve">Exemption </w:t>
      </w:r>
      <w:r w:rsidR="00951341" w:rsidRPr="00C75788">
        <w:rPr>
          <w:lang w:val="en-GB"/>
        </w:rPr>
        <w:t xml:space="preserve">from </w:t>
      </w:r>
      <w:r w:rsidR="00D65012" w:rsidRPr="00C75788">
        <w:rPr>
          <w:lang w:val="en-GB"/>
        </w:rPr>
        <w:t>cost-effectiveness</w:t>
      </w:r>
      <w:r w:rsidR="00951341" w:rsidRPr="00C75788">
        <w:rPr>
          <w:lang w:val="en-GB"/>
        </w:rPr>
        <w:t xml:space="preserve"> analyses</w:t>
      </w:r>
      <w:r w:rsidR="002B551F" w:rsidRPr="00221992">
        <w:rPr>
          <w:lang w:val="en-GB"/>
        </w:rPr>
        <w:t>—</w:t>
      </w:r>
      <w:r w:rsidR="00D65012" w:rsidRPr="00221992">
        <w:rPr>
          <w:lang w:val="en-GB"/>
        </w:rPr>
        <w:t>Given that drugs for rare diseases are generally not considered cost-effective</w:t>
      </w:r>
      <w:r w:rsidR="00FA4057">
        <w:rPr>
          <w:lang w:val="en-GB"/>
        </w:rPr>
        <w:t>,</w:t>
      </w:r>
      <w:r w:rsidR="00516AE0" w:rsidRPr="00221992">
        <w:rPr>
          <w:lang w:val="en-GB"/>
        </w:rPr>
        <w:t xml:space="preserve"> </w:t>
      </w:r>
      <w:r w:rsidR="00FA4057">
        <w:rPr>
          <w:lang w:val="en-GB"/>
        </w:rPr>
        <w:t>in addition</w:t>
      </w:r>
      <w:r w:rsidR="00FA4057" w:rsidRPr="00221992">
        <w:rPr>
          <w:lang w:val="en-GB"/>
        </w:rPr>
        <w:t xml:space="preserve"> </w:t>
      </w:r>
      <w:r w:rsidR="00D65012" w:rsidRPr="00221992">
        <w:rPr>
          <w:lang w:val="en-GB"/>
        </w:rPr>
        <w:t xml:space="preserve">to </w:t>
      </w:r>
      <w:r w:rsidR="00FA4057">
        <w:rPr>
          <w:lang w:val="en-GB"/>
        </w:rPr>
        <w:t>their</w:t>
      </w:r>
      <w:r w:rsidR="00FA4057" w:rsidRPr="00221992">
        <w:rPr>
          <w:lang w:val="en-GB"/>
        </w:rPr>
        <w:t xml:space="preserve"> </w:t>
      </w:r>
      <w:r w:rsidR="00D65012" w:rsidRPr="00221992">
        <w:rPr>
          <w:lang w:val="en-GB"/>
        </w:rPr>
        <w:t xml:space="preserve">greater uncertainty </w:t>
      </w:r>
      <w:r w:rsidR="00FA4057">
        <w:rPr>
          <w:lang w:val="en-GB"/>
        </w:rPr>
        <w:t>with respect to</w:t>
      </w:r>
      <w:r w:rsidR="00FA4057" w:rsidRPr="00221992">
        <w:rPr>
          <w:lang w:val="en-GB"/>
        </w:rPr>
        <w:t xml:space="preserve"> </w:t>
      </w:r>
      <w:r w:rsidR="00D65012" w:rsidRPr="00221992">
        <w:rPr>
          <w:lang w:val="en-GB"/>
        </w:rPr>
        <w:t>clinical</w:t>
      </w:r>
      <w:r w:rsidR="00516AE0" w:rsidRPr="00221992">
        <w:rPr>
          <w:lang w:val="en-GB"/>
        </w:rPr>
        <w:t xml:space="preserve"> and economic</w:t>
      </w:r>
      <w:r w:rsidR="00D65012" w:rsidRPr="00221992">
        <w:rPr>
          <w:lang w:val="en-GB"/>
        </w:rPr>
        <w:t xml:space="preserve"> evidence, </w:t>
      </w:r>
      <w:r w:rsidR="00FA4057">
        <w:rPr>
          <w:lang w:val="en-GB"/>
        </w:rPr>
        <w:t>a number of</w:t>
      </w:r>
      <w:r w:rsidR="00D65012" w:rsidRPr="00221992">
        <w:rPr>
          <w:lang w:val="en-GB"/>
        </w:rPr>
        <w:t xml:space="preserve"> countries have exempted </w:t>
      </w:r>
      <w:r w:rsidR="00FA4057">
        <w:rPr>
          <w:lang w:val="en-GB"/>
        </w:rPr>
        <w:t>the</w:t>
      </w:r>
      <w:r w:rsidR="00FA4057" w:rsidRPr="00221992">
        <w:rPr>
          <w:lang w:val="en-GB"/>
        </w:rPr>
        <w:t xml:space="preserve"> </w:t>
      </w:r>
      <w:r w:rsidR="00D65012" w:rsidRPr="00221992">
        <w:rPr>
          <w:lang w:val="en-GB"/>
        </w:rPr>
        <w:t xml:space="preserve">economic evidence requirement. By exempting this requirement, there is an implicit acceptance of greater uncertainty. Among the countries </w:t>
      </w:r>
      <w:r w:rsidR="00FA4057">
        <w:rPr>
          <w:lang w:val="en-GB"/>
        </w:rPr>
        <w:t>of interest to the Review,</w:t>
      </w:r>
      <w:r w:rsidR="00FA4057" w:rsidRPr="00221992">
        <w:rPr>
          <w:lang w:val="en-GB"/>
        </w:rPr>
        <w:t xml:space="preserve"> </w:t>
      </w:r>
      <w:r w:rsidR="00D65012" w:rsidRPr="00221992">
        <w:rPr>
          <w:lang w:val="en-GB"/>
        </w:rPr>
        <w:t>Japan, Belgium (Class 1 drugs),</w:t>
      </w:r>
      <w:r w:rsidR="00FA4057">
        <w:rPr>
          <w:lang w:val="en-GB"/>
        </w:rPr>
        <w:t xml:space="preserve"> the</w:t>
      </w:r>
      <w:r w:rsidR="00D65012" w:rsidRPr="00221992">
        <w:rPr>
          <w:lang w:val="en-GB"/>
        </w:rPr>
        <w:t xml:space="preserve"> Netherlands (extramural pathway list 1B), New Zealand and Korea (PE waiver and ED list) do not require cost</w:t>
      </w:r>
      <w:r w:rsidR="00FA4057">
        <w:rPr>
          <w:lang w:val="en-GB"/>
        </w:rPr>
        <w:t>-</w:t>
      </w:r>
      <w:r w:rsidR="00D65012" w:rsidRPr="00221992">
        <w:rPr>
          <w:lang w:val="en-GB"/>
        </w:rPr>
        <w:t>effectiveness evidence as part of their HTA evaluation process. In Germany and France, cost</w:t>
      </w:r>
      <w:r w:rsidR="00FA4057">
        <w:rPr>
          <w:lang w:val="en-GB"/>
        </w:rPr>
        <w:t>-</w:t>
      </w:r>
      <w:r w:rsidR="00D65012" w:rsidRPr="00221992">
        <w:rPr>
          <w:lang w:val="en-GB"/>
        </w:rPr>
        <w:t xml:space="preserve">effectiveness is </w:t>
      </w:r>
      <w:r w:rsidR="00FA4057">
        <w:rPr>
          <w:lang w:val="en-GB"/>
        </w:rPr>
        <w:t>of marginal importance</w:t>
      </w:r>
      <w:r w:rsidR="00FA4057" w:rsidRPr="00221992">
        <w:rPr>
          <w:lang w:val="en-GB"/>
        </w:rPr>
        <w:t xml:space="preserve"> </w:t>
      </w:r>
      <w:r w:rsidR="00D65012" w:rsidRPr="00221992">
        <w:rPr>
          <w:lang w:val="en-GB"/>
        </w:rPr>
        <w:t xml:space="preserve">in </w:t>
      </w:r>
      <w:r w:rsidR="00403736">
        <w:rPr>
          <w:lang w:val="en-GB"/>
        </w:rPr>
        <w:t xml:space="preserve">the </w:t>
      </w:r>
      <w:r w:rsidR="00FA4057">
        <w:rPr>
          <w:lang w:val="en-GB"/>
        </w:rPr>
        <w:t>mainstream</w:t>
      </w:r>
      <w:r w:rsidR="00D65012" w:rsidRPr="00221992">
        <w:rPr>
          <w:lang w:val="en-GB"/>
        </w:rPr>
        <w:t xml:space="preserve"> </w:t>
      </w:r>
      <w:r w:rsidR="00403736">
        <w:rPr>
          <w:lang w:val="en-GB"/>
        </w:rPr>
        <w:t xml:space="preserve">approval </w:t>
      </w:r>
      <w:r w:rsidR="00FA4057">
        <w:rPr>
          <w:lang w:val="en-GB"/>
        </w:rPr>
        <w:t>pathway</w:t>
      </w:r>
      <w:r w:rsidR="00FA4057" w:rsidRPr="00221992">
        <w:rPr>
          <w:lang w:val="en-GB"/>
        </w:rPr>
        <w:t xml:space="preserve"> </w:t>
      </w:r>
      <w:r w:rsidR="00D65012" w:rsidRPr="00221992">
        <w:rPr>
          <w:lang w:val="en-GB"/>
        </w:rPr>
        <w:t xml:space="preserve">and is not considered </w:t>
      </w:r>
      <w:r w:rsidR="00FA4057">
        <w:rPr>
          <w:lang w:val="en-GB"/>
        </w:rPr>
        <w:t>at all for</w:t>
      </w:r>
      <w:r w:rsidR="00D65012" w:rsidRPr="00221992">
        <w:rPr>
          <w:lang w:val="en-GB"/>
        </w:rPr>
        <w:t xml:space="preserve"> drugs for rare diseases.</w:t>
      </w:r>
      <w:r w:rsidR="00B75A46" w:rsidRPr="00221992">
        <w:rPr>
          <w:lang w:val="en-GB"/>
        </w:rPr>
        <w:t xml:space="preserve"> </w:t>
      </w:r>
    </w:p>
    <w:p w14:paraId="514AEECA" w14:textId="0434655F" w:rsidR="00F656B8" w:rsidRPr="00221992" w:rsidRDefault="00F656B8" w:rsidP="001125F9">
      <w:pPr>
        <w:ind w:left="426"/>
        <w:rPr>
          <w:lang w:val="en-GB"/>
        </w:rPr>
      </w:pPr>
      <w:r w:rsidRPr="00221992">
        <w:rPr>
          <w:lang w:val="en-GB"/>
        </w:rPr>
        <w:t>Germany has a simplified reimbursement pathway where</w:t>
      </w:r>
      <w:r w:rsidR="0024612C">
        <w:rPr>
          <w:lang w:val="en-GB"/>
        </w:rPr>
        <w:t>by</w:t>
      </w:r>
      <w:r w:rsidRPr="00221992">
        <w:rPr>
          <w:lang w:val="en-GB"/>
        </w:rPr>
        <w:t xml:space="preserve"> the manufacturer submits an abbreviated HTA dossier </w:t>
      </w:r>
      <w:r w:rsidR="0024612C">
        <w:rPr>
          <w:lang w:val="en-GB"/>
        </w:rPr>
        <w:t>with no appraisal of</w:t>
      </w:r>
      <w:r w:rsidR="00B75A46" w:rsidRPr="00221992">
        <w:rPr>
          <w:lang w:val="en-GB"/>
        </w:rPr>
        <w:t xml:space="preserve"> added benefit </w:t>
      </w:r>
      <w:r w:rsidRPr="00221992">
        <w:rPr>
          <w:lang w:val="en-GB"/>
        </w:rPr>
        <w:fldChar w:fldCharType="begin"/>
      </w:r>
      <w:r w:rsidR="00E5265C">
        <w:rPr>
          <w:lang w:val="en-GB"/>
        </w:rPr>
        <w:instrText xml:space="preserve"> ADDIN EN.CITE &lt;EndNote&gt;&lt;Cite&gt;&lt;Author&gt;Pownell&lt;/Author&gt;&lt;Year&gt;2023&lt;/Year&gt;&lt;RecNum&gt;395&lt;/RecNum&gt;&lt;DisplayText&gt;[9, 156]&lt;/DisplayText&gt;&lt;record&gt;&lt;rec-number&gt;395&lt;/rec-number&gt;&lt;foreign-keys&gt;&lt;key app="EN" db-id="wzwwsfxe4peesxef95cxvrwjxts9rreasarf" timestamp="1692654670"&gt;395&lt;/key&gt;&lt;/foreign-keys&gt;&lt;ref-type name="Web Page"&gt;12&lt;/ref-type&gt;&lt;contributors&gt;&lt;authors&gt;&lt;author&gt;Pownell, A.&lt;/author&gt;&lt;/authors&gt;&lt;/contributors&gt;&lt;titles&gt;&lt;title&gt;Your guide to the German HTA system&lt;/title&gt;&lt;/titles&gt;&lt;number&gt;1 July 2023&lt;/number&gt;&lt;dates&gt;&lt;year&gt;2023&lt;/year&gt;&lt;/dates&gt;&lt;urls&gt;&lt;related-urls&gt;&lt;url&gt;https://germanmarketaccesssimplified.com/&lt;/url&gt;&lt;/related-urls&gt;&lt;/urls&gt;&lt;/record&gt;&lt;/Cite&gt;&lt;Cite&gt;&lt;Author&gt;Institute for Quality and Efficiency in Health Care (IQWiG)&lt;/Author&gt;&lt;Year&gt;2022&lt;/Year&gt;&lt;RecNum&gt;636&lt;/RecNum&gt;&lt;record&gt;&lt;rec-number&gt;636&lt;/rec-number&gt;&lt;foreign-keys&gt;&lt;key app="EN" db-id="wzwwsfxe4peesxef95cxvrwjxts9rreasarf" timestamp="1693186424"&gt;636&lt;/key&gt;&lt;/foreign-keys&gt;&lt;ref-type name="Government Document"&gt;46&lt;/ref-type&gt;&lt;contributors&gt;&lt;authors&gt;&lt;author&gt;Institute for Quality and Efficiency in Health Care (IQWiG),&lt;/author&gt;&lt;/authors&gt;&lt;/contributors&gt;&lt;titles&gt;&lt;title&gt;IQWiG Guidelines&lt;/title&gt;&lt;/titles&gt;&lt;volume&gt;6.1&lt;/volume&gt;&lt;dates&gt;&lt;year&gt;2022&lt;/year&gt;&lt;/dates&gt;&lt;urls&gt;&lt;/urls&gt;&lt;/record&gt;&lt;/Cite&gt;&lt;/EndNote&gt;</w:instrText>
      </w:r>
      <w:r w:rsidRPr="00221992">
        <w:rPr>
          <w:lang w:val="en-GB"/>
        </w:rPr>
        <w:fldChar w:fldCharType="separate"/>
      </w:r>
      <w:r w:rsidR="00E5265C">
        <w:rPr>
          <w:noProof/>
          <w:lang w:val="en-GB"/>
        </w:rPr>
        <w:t>[9, 156]</w:t>
      </w:r>
      <w:r w:rsidRPr="00221992">
        <w:rPr>
          <w:lang w:val="en-GB"/>
        </w:rPr>
        <w:fldChar w:fldCharType="end"/>
      </w:r>
      <w:r w:rsidR="006542B7" w:rsidRPr="00221992">
        <w:rPr>
          <w:lang w:val="en-GB"/>
        </w:rPr>
        <w:t>.</w:t>
      </w:r>
      <w:r w:rsidR="00B75A46" w:rsidRPr="00221992">
        <w:rPr>
          <w:lang w:val="en-GB"/>
        </w:rPr>
        <w:t xml:space="preserve"> </w:t>
      </w:r>
      <w:r w:rsidR="0024612C">
        <w:rPr>
          <w:lang w:val="en-GB"/>
        </w:rPr>
        <w:t>B</w:t>
      </w:r>
      <w:r w:rsidR="00B75A46" w:rsidRPr="00221992">
        <w:rPr>
          <w:lang w:val="en-GB"/>
        </w:rPr>
        <w:t xml:space="preserve">enefit is considered proven and the drug is categorised in this regard as non-quantifiable. This category </w:t>
      </w:r>
      <w:r w:rsidR="0024612C">
        <w:rPr>
          <w:lang w:val="en-GB"/>
        </w:rPr>
        <w:t>is</w:t>
      </w:r>
      <w:r w:rsidR="0024612C" w:rsidRPr="00221992">
        <w:rPr>
          <w:lang w:val="en-GB"/>
        </w:rPr>
        <w:t xml:space="preserve"> </w:t>
      </w:r>
      <w:r w:rsidR="00B75A46" w:rsidRPr="00221992">
        <w:rPr>
          <w:lang w:val="en-GB"/>
        </w:rPr>
        <w:t>also assigned to orphan drug</w:t>
      </w:r>
      <w:r w:rsidR="0024612C">
        <w:rPr>
          <w:lang w:val="en-GB"/>
        </w:rPr>
        <w:t>s</w:t>
      </w:r>
      <w:r w:rsidR="00B75A46" w:rsidRPr="00221992">
        <w:rPr>
          <w:lang w:val="en-GB"/>
        </w:rPr>
        <w:t xml:space="preserve"> when no RCT </w:t>
      </w:r>
      <w:r w:rsidR="0024612C">
        <w:rPr>
          <w:lang w:val="en-GB"/>
        </w:rPr>
        <w:t>is</w:t>
      </w:r>
      <w:r w:rsidR="0024612C" w:rsidRPr="00221992">
        <w:rPr>
          <w:lang w:val="en-GB"/>
        </w:rPr>
        <w:t xml:space="preserve"> </w:t>
      </w:r>
      <w:r w:rsidR="00B75A46" w:rsidRPr="00221992">
        <w:rPr>
          <w:lang w:val="en-GB"/>
        </w:rPr>
        <w:t xml:space="preserve">available. The </w:t>
      </w:r>
      <w:r w:rsidR="0024612C">
        <w:rPr>
          <w:lang w:val="en-GB"/>
        </w:rPr>
        <w:t>rationale underpinning</w:t>
      </w:r>
      <w:r w:rsidR="00B75A46" w:rsidRPr="00221992">
        <w:rPr>
          <w:lang w:val="en-GB"/>
        </w:rPr>
        <w:t xml:space="preserve"> this approach was discussed by </w:t>
      </w:r>
      <w:r w:rsidR="00142C33" w:rsidRPr="00221992">
        <w:rPr>
          <w:lang w:val="en-GB"/>
        </w:rPr>
        <w:t>an</w:t>
      </w:r>
      <w:r w:rsidR="00B75A46" w:rsidRPr="00221992">
        <w:rPr>
          <w:lang w:val="en-GB"/>
        </w:rPr>
        <w:t xml:space="preserve"> expert </w:t>
      </w:r>
      <w:r w:rsidR="00142C33" w:rsidRPr="00221992">
        <w:rPr>
          <w:lang w:val="en-GB"/>
        </w:rPr>
        <w:t xml:space="preserve">in German HTA </w:t>
      </w:r>
      <w:r w:rsidR="00B75A46" w:rsidRPr="00221992">
        <w:rPr>
          <w:lang w:val="en-GB"/>
        </w:rPr>
        <w:t>interviewed</w:t>
      </w:r>
      <w:r w:rsidR="00142C33" w:rsidRPr="00221992">
        <w:rPr>
          <w:lang w:val="en-GB"/>
        </w:rPr>
        <w:t xml:space="preserve"> for the Review</w:t>
      </w:r>
      <w:r w:rsidR="0024612C">
        <w:rPr>
          <w:lang w:val="en-GB"/>
        </w:rPr>
        <w:t>:</w:t>
      </w:r>
      <w:r w:rsidR="00B75A46" w:rsidRPr="00221992">
        <w:rPr>
          <w:lang w:val="en-GB"/>
        </w:rPr>
        <w:t xml:space="preserve"> </w:t>
      </w:r>
    </w:p>
    <w:p w14:paraId="42B79C0A" w14:textId="7FD87592" w:rsidR="00F656B8" w:rsidRPr="00221992" w:rsidRDefault="00F656B8" w:rsidP="000C66C0">
      <w:pPr>
        <w:ind w:left="851"/>
        <w:rPr>
          <w:lang w:val="en-GB"/>
        </w:rPr>
      </w:pPr>
      <w:r w:rsidRPr="00221992">
        <w:rPr>
          <w:lang w:val="en-GB"/>
        </w:rPr>
        <w:t>There was a legal argument that said, in the European approval, technically the benefit</w:t>
      </w:r>
      <w:r w:rsidR="0024612C">
        <w:rPr>
          <w:lang w:val="en-GB"/>
        </w:rPr>
        <w:t>/</w:t>
      </w:r>
      <w:r w:rsidRPr="00221992">
        <w:rPr>
          <w:lang w:val="en-GB"/>
        </w:rPr>
        <w:t>risk assessment has been done. The</w:t>
      </w:r>
      <w:r w:rsidR="0024612C">
        <w:rPr>
          <w:lang w:val="en-GB"/>
        </w:rPr>
        <w:t>y</w:t>
      </w:r>
      <w:r w:rsidRPr="00221992">
        <w:rPr>
          <w:lang w:val="en-GB"/>
        </w:rPr>
        <w:t xml:space="preserve"> would say there is high </w:t>
      </w:r>
      <w:r w:rsidR="009C4AB6">
        <w:rPr>
          <w:lang w:val="en-GB"/>
        </w:rPr>
        <w:t>unmet need,</w:t>
      </w:r>
      <w:r w:rsidRPr="00221992">
        <w:rPr>
          <w:lang w:val="en-GB"/>
        </w:rPr>
        <w:t xml:space="preserve"> there are no effective treatment options</w:t>
      </w:r>
      <w:r w:rsidR="0024612C">
        <w:rPr>
          <w:lang w:val="en-GB"/>
        </w:rPr>
        <w:t>,</w:t>
      </w:r>
      <w:r w:rsidRPr="00221992">
        <w:rPr>
          <w:lang w:val="en-GB"/>
        </w:rPr>
        <w:t xml:space="preserve"> and this drug works. So you could say, </w:t>
      </w:r>
      <w:r w:rsidR="0024612C">
        <w:rPr>
          <w:lang w:val="en-GB"/>
        </w:rPr>
        <w:t>‘</w:t>
      </w:r>
      <w:r w:rsidRPr="00221992">
        <w:rPr>
          <w:lang w:val="en-GB"/>
        </w:rPr>
        <w:t>Okay, if there is no treatment option, and this drug works, so it also has added benefit.</w:t>
      </w:r>
      <w:r w:rsidR="0024612C">
        <w:rPr>
          <w:lang w:val="en-GB"/>
        </w:rPr>
        <w:t>’</w:t>
      </w:r>
      <w:r w:rsidRPr="00221992">
        <w:rPr>
          <w:lang w:val="en-GB"/>
        </w:rPr>
        <w:t xml:space="preserve"> […] Automatically, they get a non-quantifiable benefit, which until the end of last year meant that you are delinked from the prices of any kind of drugs or procedures that are on the market and you could negotiate new prices.</w:t>
      </w:r>
      <w:r w:rsidR="00142C33" w:rsidRPr="00221992">
        <w:rPr>
          <w:lang w:val="en-GB"/>
        </w:rPr>
        <w:t xml:space="preserve"> (HTA expert, Germany)</w:t>
      </w:r>
    </w:p>
    <w:p w14:paraId="18EA119D" w14:textId="00C0BA6F" w:rsidR="00F656B8" w:rsidRPr="00221992" w:rsidRDefault="00F656B8" w:rsidP="00C51602">
      <w:pPr>
        <w:ind w:left="426"/>
        <w:rPr>
          <w:lang w:val="en-GB"/>
        </w:rPr>
      </w:pPr>
      <w:r w:rsidRPr="00221992">
        <w:rPr>
          <w:lang w:val="en-GB"/>
        </w:rPr>
        <w:t xml:space="preserve">This means that orphan drugs are fully reimbursed at the price set by the manufacturer for a period of 12 months and extended thereafter if the annual revenue threshold remains lower than </w:t>
      </w:r>
      <w:r w:rsidRPr="00221992">
        <w:rPr>
          <w:rFonts w:cs="Calibri Light"/>
          <w:lang w:val="en-GB"/>
        </w:rPr>
        <w:t>€</w:t>
      </w:r>
      <w:r w:rsidRPr="00221992">
        <w:rPr>
          <w:lang w:val="en-GB"/>
        </w:rPr>
        <w:t>50 million</w:t>
      </w:r>
      <w:r w:rsidR="002D3987">
        <w:rPr>
          <w:lang w:val="en-GB"/>
        </w:rPr>
        <w:t xml:space="preserve"> </w:t>
      </w:r>
      <w:r w:rsidRPr="00221992">
        <w:rPr>
          <w:lang w:val="en-GB"/>
        </w:rPr>
        <w:fldChar w:fldCharType="begin"/>
      </w:r>
      <w:r w:rsidR="00E5265C">
        <w:rPr>
          <w:lang w:val="en-GB"/>
        </w:rPr>
        <w:instrText xml:space="preserve"> ADDIN EN.CITE &lt;EndNote&gt;&lt;Cite&gt;&lt;Author&gt;Worm&lt;/Author&gt;&lt;Year&gt;2020&lt;/Year&gt;&lt;RecNum&gt;634&lt;/RecNum&gt;&lt;DisplayText&gt;[157]&lt;/DisplayText&gt;&lt;record&gt;&lt;rec-number&gt;634&lt;/rec-number&gt;&lt;foreign-keys&gt;&lt;key app="EN" db-id="wzwwsfxe4peesxef95cxvrwjxts9rreasarf" timestamp="1693186424"&gt;634&lt;/key&gt;&lt;/foreign-keys&gt;&lt;ref-type name="Journal Article"&gt;17&lt;/ref-type&gt;&lt;contributors&gt;&lt;authors&gt;&lt;author&gt;Worm, F.&lt;/author&gt;&lt;author&gt;Dintsios, C. M.&lt;/author&gt;&lt;/authors&gt;&lt;/contributors&gt;&lt;auth-address&gt;Health Economics, University Duisburg-Essen, Essen, Germany.&amp;#xD;Institute for Health Services Research and Health Economics, Medical Faculty, Heinrich-Heine-University Düsseldorf, Building: 12.49, Moorenstr. 5, 40225, Düsseldorf, Germany. dintsios@hhu.de.&lt;/auth-address&gt;&lt;titles&gt;&lt;title&gt;Determinants of Orphan Drug Prices in Germany&lt;/title&gt;&lt;secondary-title&gt;Pharmacoeconomics&lt;/secondary-title&gt;&lt;/titles&gt;&lt;periodical&gt;&lt;full-title&gt;PharmacoEconomics&lt;/full-title&gt;&lt;/periodical&gt;&lt;pages&gt;397-411&lt;/pages&gt;&lt;volume&gt;38&lt;/volume&gt;&lt;number&gt;4&lt;/number&gt;&lt;keywords&gt;&lt;keyword&gt;Adult&lt;/keyword&gt;&lt;keyword&gt;Child&lt;/keyword&gt;&lt;keyword&gt;Costs and Cost Analysis&lt;/keyword&gt;&lt;keyword&gt;Drug Costs/*statistics &amp;amp; numerical data&lt;/keyword&gt;&lt;keyword&gt;Drug Industry/economics&lt;/keyword&gt;&lt;keyword&gt;Germany&lt;/keyword&gt;&lt;keyword&gt;Humans&lt;/keyword&gt;&lt;keyword&gt;Least-Squares Analysis&lt;/keyword&gt;&lt;keyword&gt;Orphan Drug Production/*economics&lt;/keyword&gt;&lt;keyword&gt;Pediatrics/economics&lt;/keyword&gt;&lt;keyword&gt;Population Density&lt;/keyword&gt;&lt;/keywords&gt;&lt;dates&gt;&lt;year&gt;2020&lt;/year&gt;&lt;pub-dates&gt;&lt;date&gt;Apr&lt;/date&gt;&lt;/pub-dates&gt;&lt;/dates&gt;&lt;isbn&gt;1170-7690&lt;/isbn&gt;&lt;accession-num&gt;31903523&lt;/accession-num&gt;&lt;urls&gt;&lt;/urls&gt;&lt;electronic-resource-num&gt;10.1007/s40273-019-00872-8&lt;/electronic-resource-num&gt;&lt;remote-database-provider&gt;NLM&lt;/remote-database-provider&gt;&lt;language&gt;eng&lt;/language&gt;&lt;/record&gt;&lt;/Cite&gt;&lt;/EndNote&gt;</w:instrText>
      </w:r>
      <w:r w:rsidRPr="00221992">
        <w:rPr>
          <w:lang w:val="en-GB"/>
        </w:rPr>
        <w:fldChar w:fldCharType="separate"/>
      </w:r>
      <w:r w:rsidR="00E5265C">
        <w:rPr>
          <w:noProof/>
          <w:lang w:val="en-GB"/>
        </w:rPr>
        <w:t>[157]</w:t>
      </w:r>
      <w:r w:rsidRPr="00221992">
        <w:rPr>
          <w:lang w:val="en-GB"/>
        </w:rPr>
        <w:fldChar w:fldCharType="end"/>
      </w:r>
      <w:r w:rsidRPr="00221992">
        <w:rPr>
          <w:lang w:val="en-GB"/>
        </w:rPr>
        <w:t>. The latter means that orphan drugs are exempted from classification in Germany</w:t>
      </w:r>
      <w:r w:rsidR="00551786">
        <w:rPr>
          <w:lang w:val="en-GB"/>
        </w:rPr>
        <w:t>’</w:t>
      </w:r>
      <w:r w:rsidRPr="00221992">
        <w:rPr>
          <w:lang w:val="en-GB"/>
        </w:rPr>
        <w:t xml:space="preserve">s reference pricing system. In January 2023, </w:t>
      </w:r>
      <w:r w:rsidR="00327F4D">
        <w:rPr>
          <w:lang w:val="en-GB"/>
        </w:rPr>
        <w:t>however, new</w:t>
      </w:r>
      <w:r w:rsidRPr="00221992">
        <w:rPr>
          <w:lang w:val="en-GB"/>
        </w:rPr>
        <w:t xml:space="preserve"> legislation </w:t>
      </w:r>
      <w:r w:rsidR="00327F4D">
        <w:rPr>
          <w:lang w:val="en-GB"/>
        </w:rPr>
        <w:t>was enacted</w:t>
      </w:r>
      <w:r w:rsidRPr="00221992">
        <w:rPr>
          <w:lang w:val="en-GB"/>
        </w:rPr>
        <w:t xml:space="preserve"> </w:t>
      </w:r>
      <w:r w:rsidR="00327F4D">
        <w:rPr>
          <w:lang w:val="en-GB"/>
        </w:rPr>
        <w:t xml:space="preserve">that will impact </w:t>
      </w:r>
      <w:r w:rsidRPr="00221992">
        <w:rPr>
          <w:lang w:val="en-GB"/>
        </w:rPr>
        <w:t xml:space="preserve">the process for orphan drugs. </w:t>
      </w:r>
      <w:r w:rsidR="00327F4D">
        <w:rPr>
          <w:lang w:val="en-GB"/>
        </w:rPr>
        <w:t>An</w:t>
      </w:r>
      <w:r w:rsidR="00327F4D" w:rsidRPr="00221992">
        <w:rPr>
          <w:lang w:val="en-GB"/>
        </w:rPr>
        <w:t xml:space="preserve"> </w:t>
      </w:r>
      <w:r w:rsidRPr="00221992">
        <w:rPr>
          <w:lang w:val="en-GB"/>
        </w:rPr>
        <w:t xml:space="preserve">HTA expert </w:t>
      </w:r>
      <w:r w:rsidR="00327F4D">
        <w:rPr>
          <w:lang w:val="en-GB"/>
        </w:rPr>
        <w:t xml:space="preserve">interviewed for the Review </w:t>
      </w:r>
      <w:r w:rsidRPr="00221992">
        <w:rPr>
          <w:lang w:val="en-GB"/>
        </w:rPr>
        <w:t xml:space="preserve">pointed out that these changes may </w:t>
      </w:r>
      <w:r w:rsidR="00327F4D">
        <w:rPr>
          <w:lang w:val="en-GB"/>
        </w:rPr>
        <w:t>effectively strip</w:t>
      </w:r>
      <w:r w:rsidRPr="00221992">
        <w:rPr>
          <w:lang w:val="en-GB"/>
        </w:rPr>
        <w:t xml:space="preserve"> orphan drugs </w:t>
      </w:r>
      <w:r w:rsidR="00327F4D">
        <w:rPr>
          <w:lang w:val="en-GB"/>
        </w:rPr>
        <w:t>of</w:t>
      </w:r>
      <w:r w:rsidRPr="00221992">
        <w:rPr>
          <w:lang w:val="en-GB"/>
        </w:rPr>
        <w:t xml:space="preserve"> these privileges</w:t>
      </w:r>
      <w:r w:rsidR="00327F4D">
        <w:rPr>
          <w:lang w:val="en-GB"/>
        </w:rPr>
        <w:t>:</w:t>
      </w:r>
    </w:p>
    <w:p w14:paraId="7920356D" w14:textId="79898FED" w:rsidR="00B75A46" w:rsidRPr="00221992" w:rsidRDefault="00F656B8" w:rsidP="000C66C0">
      <w:pPr>
        <w:ind w:left="851"/>
        <w:rPr>
          <w:lang w:val="en-GB"/>
        </w:rPr>
      </w:pPr>
      <w:r w:rsidRPr="00221992">
        <w:rPr>
          <w:lang w:val="en-GB"/>
        </w:rPr>
        <w:t>The new legislation</w:t>
      </w:r>
      <w:r w:rsidR="00327F4D">
        <w:rPr>
          <w:lang w:val="en-GB"/>
        </w:rPr>
        <w:t>,</w:t>
      </w:r>
      <w:r w:rsidRPr="00221992">
        <w:rPr>
          <w:lang w:val="en-GB"/>
        </w:rPr>
        <w:t xml:space="preserve"> as </w:t>
      </w:r>
      <w:r w:rsidR="00002878" w:rsidRPr="00221992">
        <w:rPr>
          <w:lang w:val="en-GB"/>
        </w:rPr>
        <w:t>of</w:t>
      </w:r>
      <w:r w:rsidRPr="00221992">
        <w:rPr>
          <w:lang w:val="en-GB"/>
        </w:rPr>
        <w:t xml:space="preserve"> first of January, says that non-quantifiable and minor benefits </w:t>
      </w:r>
      <w:r w:rsidR="00327F4D">
        <w:rPr>
          <w:lang w:val="en-GB"/>
        </w:rPr>
        <w:t xml:space="preserve">is </w:t>
      </w:r>
      <w:r w:rsidRPr="00221992">
        <w:rPr>
          <w:lang w:val="en-GB"/>
        </w:rPr>
        <w:t>still a kind of reference pricing. And that is the kind of subtle change in this</w:t>
      </w:r>
      <w:r w:rsidR="00327F4D">
        <w:rPr>
          <w:lang w:val="en-GB"/>
        </w:rPr>
        <w:t>—</w:t>
      </w:r>
      <w:r w:rsidRPr="00221992">
        <w:rPr>
          <w:lang w:val="en-GB"/>
        </w:rPr>
        <w:t>just having a non-quantifiable benefit doesn</w:t>
      </w:r>
      <w:r w:rsidR="00551786">
        <w:rPr>
          <w:lang w:val="en-GB"/>
        </w:rPr>
        <w:t>’</w:t>
      </w:r>
      <w:r w:rsidRPr="00221992">
        <w:rPr>
          <w:lang w:val="en-GB"/>
        </w:rPr>
        <w:t xml:space="preserve">t delink you from </w:t>
      </w:r>
      <w:r w:rsidR="009C4AB6">
        <w:rPr>
          <w:lang w:val="en-GB"/>
        </w:rPr>
        <w:t xml:space="preserve">some </w:t>
      </w:r>
      <w:r w:rsidRPr="00221992">
        <w:rPr>
          <w:lang w:val="en-GB"/>
        </w:rPr>
        <w:t>procedures […]</w:t>
      </w:r>
      <w:r w:rsidR="00327F4D">
        <w:rPr>
          <w:lang w:val="en-GB"/>
        </w:rPr>
        <w:t>.</w:t>
      </w:r>
      <w:r w:rsidRPr="00221992">
        <w:rPr>
          <w:lang w:val="en-GB"/>
        </w:rPr>
        <w:t xml:space="preserve"> I would always say that, in principle, the orphan privilege in Germany has been removed with this legislation. […] </w:t>
      </w:r>
      <w:r w:rsidR="00327F4D">
        <w:rPr>
          <w:lang w:val="en-GB"/>
        </w:rPr>
        <w:t>Y</w:t>
      </w:r>
      <w:r w:rsidRPr="00221992">
        <w:rPr>
          <w:lang w:val="en-GB"/>
        </w:rPr>
        <w:t>ou ultimately have to prove more than just an unquantifiable benefit to be able to negotiate a good price for these medicines.</w:t>
      </w:r>
      <w:r w:rsidR="00142C33" w:rsidRPr="00221992">
        <w:rPr>
          <w:lang w:val="en-GB"/>
        </w:rPr>
        <w:t xml:space="preserve"> (HTA expert</w:t>
      </w:r>
      <w:r w:rsidR="005D539A" w:rsidRPr="00221992">
        <w:rPr>
          <w:lang w:val="en-GB"/>
        </w:rPr>
        <w:t>, Germany</w:t>
      </w:r>
      <w:r w:rsidR="00142C33" w:rsidRPr="00221992">
        <w:rPr>
          <w:lang w:val="en-GB"/>
        </w:rPr>
        <w:t>)</w:t>
      </w:r>
    </w:p>
    <w:p w14:paraId="7081A757" w14:textId="3F9EDD8C" w:rsidR="00B75A46" w:rsidRPr="00221992" w:rsidRDefault="00B75A46" w:rsidP="00C51602">
      <w:pPr>
        <w:ind w:left="426"/>
        <w:rPr>
          <w:lang w:val="en-GB"/>
        </w:rPr>
      </w:pPr>
      <w:r w:rsidRPr="00221992">
        <w:rPr>
          <w:lang w:val="en-GB"/>
        </w:rPr>
        <w:t xml:space="preserve">The only aspect </w:t>
      </w:r>
      <w:r w:rsidR="00DE1065">
        <w:rPr>
          <w:lang w:val="en-GB"/>
        </w:rPr>
        <w:t>delegated</w:t>
      </w:r>
      <w:r w:rsidR="00DE1065" w:rsidRPr="00221992">
        <w:rPr>
          <w:lang w:val="en-GB"/>
        </w:rPr>
        <w:t xml:space="preserve"> </w:t>
      </w:r>
      <w:r w:rsidRPr="00221992">
        <w:rPr>
          <w:lang w:val="en-GB"/>
        </w:rPr>
        <w:t xml:space="preserve">to the IQWiG </w:t>
      </w:r>
      <w:r w:rsidR="00516AE0" w:rsidRPr="00221992">
        <w:rPr>
          <w:lang w:val="en-GB"/>
        </w:rPr>
        <w:t>was</w:t>
      </w:r>
      <w:r w:rsidRPr="00221992">
        <w:rPr>
          <w:lang w:val="en-GB"/>
        </w:rPr>
        <w:t xml:space="preserve"> the determination of costs and size of the eligible population. When the annual revenue expenditure is above the established threshold, a full HTA </w:t>
      </w:r>
      <w:r w:rsidR="00DE1065">
        <w:rPr>
          <w:lang w:val="en-GB"/>
        </w:rPr>
        <w:t>is to be</w:t>
      </w:r>
      <w:r w:rsidRPr="00221992">
        <w:rPr>
          <w:lang w:val="en-GB"/>
        </w:rPr>
        <w:t xml:space="preserve"> conducted by the G-BA</w:t>
      </w:r>
      <w:r w:rsidR="00DE1065">
        <w:rPr>
          <w:lang w:val="en-GB"/>
        </w:rPr>
        <w:t>,</w:t>
      </w:r>
      <w:r w:rsidRPr="00221992">
        <w:rPr>
          <w:lang w:val="en-GB"/>
        </w:rPr>
        <w:t xml:space="preserve"> </w:t>
      </w:r>
      <w:r w:rsidR="00DE1065">
        <w:rPr>
          <w:lang w:val="en-GB"/>
        </w:rPr>
        <w:t>with</w:t>
      </w:r>
      <w:r w:rsidR="00DE1065" w:rsidRPr="00221992">
        <w:rPr>
          <w:lang w:val="en-GB"/>
        </w:rPr>
        <w:t xml:space="preserve"> </w:t>
      </w:r>
      <w:r w:rsidRPr="00221992">
        <w:rPr>
          <w:lang w:val="en-GB"/>
        </w:rPr>
        <w:t xml:space="preserve">a full dossier requested </w:t>
      </w:r>
      <w:r w:rsidR="00DE1065">
        <w:rPr>
          <w:lang w:val="en-GB"/>
        </w:rPr>
        <w:t>from</w:t>
      </w:r>
      <w:r w:rsidR="00DE1065" w:rsidRPr="00221992">
        <w:rPr>
          <w:lang w:val="en-GB"/>
        </w:rPr>
        <w:t xml:space="preserve"> </w:t>
      </w:r>
      <w:r w:rsidRPr="00221992">
        <w:rPr>
          <w:lang w:val="en-GB"/>
        </w:rPr>
        <w:t xml:space="preserve">the manufacturer [131]. Recently, the IQWIG </w:t>
      </w:r>
      <w:r w:rsidR="00DE1065">
        <w:rPr>
          <w:lang w:val="en-GB"/>
        </w:rPr>
        <w:t>has raised concerns</w:t>
      </w:r>
      <w:r w:rsidR="00DE1065" w:rsidRPr="00221992">
        <w:rPr>
          <w:lang w:val="en-GB"/>
        </w:rPr>
        <w:t xml:space="preserve"> </w:t>
      </w:r>
      <w:r w:rsidRPr="00221992">
        <w:rPr>
          <w:lang w:val="en-GB"/>
        </w:rPr>
        <w:t xml:space="preserve">that non-quantifiable claims of added benefit </w:t>
      </w:r>
      <w:r w:rsidR="00DE1065">
        <w:rPr>
          <w:lang w:val="en-GB"/>
        </w:rPr>
        <w:t>may be impacting</w:t>
      </w:r>
      <w:r w:rsidRPr="00221992">
        <w:rPr>
          <w:lang w:val="en-GB"/>
        </w:rPr>
        <w:t xml:space="preserve"> patients</w:t>
      </w:r>
      <w:r w:rsidR="00DE1065">
        <w:rPr>
          <w:lang w:val="en-GB"/>
        </w:rPr>
        <w:t>,</w:t>
      </w:r>
      <w:r w:rsidRPr="00221992">
        <w:rPr>
          <w:lang w:val="en-GB"/>
        </w:rPr>
        <w:t xml:space="preserve"> </w:t>
      </w:r>
      <w:r w:rsidR="00DE1065">
        <w:rPr>
          <w:lang w:val="en-GB"/>
        </w:rPr>
        <w:t>primarily</w:t>
      </w:r>
      <w:r w:rsidR="00DE1065" w:rsidRPr="00221992">
        <w:rPr>
          <w:lang w:val="en-GB"/>
        </w:rPr>
        <w:t xml:space="preserve"> </w:t>
      </w:r>
      <w:r w:rsidRPr="00221992">
        <w:rPr>
          <w:lang w:val="en-GB"/>
        </w:rPr>
        <w:t xml:space="preserve">due to </w:t>
      </w:r>
      <w:r w:rsidR="00DE1065">
        <w:rPr>
          <w:lang w:val="en-GB"/>
        </w:rPr>
        <w:t>a majority of</w:t>
      </w:r>
      <w:r w:rsidR="00DE1065" w:rsidRPr="00221992">
        <w:rPr>
          <w:lang w:val="en-GB"/>
        </w:rPr>
        <w:t xml:space="preserve"> </w:t>
      </w:r>
      <w:r w:rsidRPr="00221992">
        <w:rPr>
          <w:lang w:val="en-GB"/>
        </w:rPr>
        <w:t xml:space="preserve">orphan drugs showing no proof of added benefit after </w:t>
      </w:r>
      <w:r w:rsidR="00DE1065">
        <w:rPr>
          <w:lang w:val="en-GB"/>
        </w:rPr>
        <w:t>under</w:t>
      </w:r>
      <w:r w:rsidRPr="00221992">
        <w:rPr>
          <w:lang w:val="en-GB"/>
        </w:rPr>
        <w:t xml:space="preserve">going subsequent </w:t>
      </w:r>
      <w:r w:rsidR="00DE1065">
        <w:rPr>
          <w:lang w:val="en-GB"/>
        </w:rPr>
        <w:t xml:space="preserve">assessment of </w:t>
      </w:r>
      <w:r w:rsidRPr="00221992">
        <w:rPr>
          <w:lang w:val="en-GB"/>
        </w:rPr>
        <w:t>added benefit (</w:t>
      </w:r>
      <w:r w:rsidR="008A3C46">
        <w:rPr>
          <w:lang w:val="en-GB"/>
        </w:rPr>
        <w:t xml:space="preserve">i.e., </w:t>
      </w:r>
      <w:r w:rsidRPr="00221992">
        <w:rPr>
          <w:lang w:val="en-GB"/>
        </w:rPr>
        <w:t>when the annual BI &gt;50 million). This result was obtained from a data analysis conducted by IQWiG of 41 orphan drugs of which 22 (54%) resulted in no added benefit. The results also showed that the period between the limited and regular benefit assessment was</w:t>
      </w:r>
      <w:r w:rsidR="00B42E2C" w:rsidRPr="00221992">
        <w:rPr>
          <w:lang w:val="en-GB"/>
        </w:rPr>
        <w:t>,</w:t>
      </w:r>
      <w:r w:rsidRPr="00221992">
        <w:rPr>
          <w:lang w:val="en-GB"/>
        </w:rPr>
        <w:t xml:space="preserve"> on average</w:t>
      </w:r>
      <w:r w:rsidR="00B42E2C" w:rsidRPr="00221992">
        <w:rPr>
          <w:lang w:val="en-GB"/>
        </w:rPr>
        <w:t>,</w:t>
      </w:r>
      <w:r w:rsidRPr="00221992">
        <w:rPr>
          <w:lang w:val="en-GB"/>
        </w:rPr>
        <w:t xml:space="preserve"> </w:t>
      </w:r>
      <w:r w:rsidR="00B42E2C" w:rsidRPr="00221992">
        <w:rPr>
          <w:lang w:val="en-GB"/>
        </w:rPr>
        <w:t>three</w:t>
      </w:r>
      <w:r w:rsidRPr="00221992">
        <w:rPr>
          <w:lang w:val="en-GB"/>
        </w:rPr>
        <w:t xml:space="preserve"> years (range: </w:t>
      </w:r>
      <w:r w:rsidR="00334FCA" w:rsidRPr="00221992">
        <w:rPr>
          <w:lang w:val="en-GB"/>
        </w:rPr>
        <w:t>one</w:t>
      </w:r>
      <w:r w:rsidRPr="00221992">
        <w:rPr>
          <w:lang w:val="en-GB"/>
        </w:rPr>
        <w:t xml:space="preserve"> to </w:t>
      </w:r>
      <w:r w:rsidR="00334FCA" w:rsidRPr="00221992">
        <w:rPr>
          <w:lang w:val="en-GB"/>
        </w:rPr>
        <w:t>nine</w:t>
      </w:r>
      <w:r w:rsidRPr="00221992">
        <w:rPr>
          <w:lang w:val="en-GB"/>
        </w:rPr>
        <w:t xml:space="preserve"> years). </w:t>
      </w:r>
      <w:r w:rsidR="005F0E13" w:rsidRPr="00221992">
        <w:rPr>
          <w:lang w:val="en-GB"/>
        </w:rPr>
        <w:t>The assumption of added benefit</w:t>
      </w:r>
      <w:r w:rsidRPr="00221992">
        <w:rPr>
          <w:lang w:val="en-GB"/>
        </w:rPr>
        <w:t xml:space="preserve"> directly </w:t>
      </w:r>
      <w:r w:rsidR="00226D1A" w:rsidRPr="00221992">
        <w:rPr>
          <w:lang w:val="en-GB"/>
        </w:rPr>
        <w:t xml:space="preserve">impacts </w:t>
      </w:r>
      <w:r w:rsidRPr="00221992">
        <w:rPr>
          <w:lang w:val="en-GB"/>
        </w:rPr>
        <w:t xml:space="preserve">drug expenditure by health insurance funds. </w:t>
      </w:r>
      <w:r w:rsidR="00C92643" w:rsidRPr="00221992">
        <w:rPr>
          <w:lang w:val="en-GB"/>
        </w:rPr>
        <w:t>As the Director of</w:t>
      </w:r>
      <w:r w:rsidRPr="00221992">
        <w:rPr>
          <w:lang w:val="en-GB"/>
        </w:rPr>
        <w:t xml:space="preserve"> IQWIG </w:t>
      </w:r>
      <w:r w:rsidR="00C92643" w:rsidRPr="00221992">
        <w:rPr>
          <w:lang w:val="en-GB"/>
        </w:rPr>
        <w:t>was publicly quoted</w:t>
      </w:r>
      <w:r w:rsidRPr="00221992">
        <w:rPr>
          <w:lang w:val="en-GB"/>
        </w:rPr>
        <w:t xml:space="preserve"> in 2022, </w:t>
      </w:r>
      <w:r w:rsidR="00076289" w:rsidRPr="00221992">
        <w:rPr>
          <w:lang w:val="en-GB"/>
        </w:rPr>
        <w:t xml:space="preserve">“[…] </w:t>
      </w:r>
      <w:r w:rsidRPr="00221992">
        <w:rPr>
          <w:lang w:val="en-GB"/>
        </w:rPr>
        <w:t xml:space="preserve">it is time to abolish the privilege of fictitious added benefit for orphan drugs” </w:t>
      </w:r>
      <w:r w:rsidRPr="00221992">
        <w:rPr>
          <w:lang w:val="en-GB"/>
        </w:rPr>
        <w:fldChar w:fldCharType="begin"/>
      </w:r>
      <w:r w:rsidR="00E5265C">
        <w:rPr>
          <w:lang w:val="en-GB"/>
        </w:rPr>
        <w:instrText xml:space="preserve"> ADDIN EN.CITE &lt;EndNote&gt;&lt;Cite&gt;&lt;Author&gt;institute for Quality and Efficiency in Health Care (IQWiG)&lt;/Author&gt;&lt;Year&gt;2022&lt;/Year&gt;&lt;RecNum&gt;637&lt;/RecNum&gt;&lt;DisplayText&gt;[158]&lt;/DisplayText&gt;&lt;record&gt;&lt;rec-number&gt;637&lt;/rec-number&gt;&lt;foreign-keys&gt;&lt;key app="EN" db-id="wzwwsfxe4peesxef95cxvrwjxts9rreasarf" timestamp="1693186424"&gt;637&lt;/key&gt;&lt;/foreign-keys&gt;&lt;ref-type name="Web Page"&gt;12&lt;/ref-type&gt;&lt;contributors&gt;&lt;authors&gt;&lt;author&gt;institute for Quality and Efficiency in Health Care (IQWiG),&lt;/author&gt;&lt;/authors&gt;&lt;/contributors&gt;&lt;titles&gt;&lt;title&gt;Orphan drugs: privilege of &amp;quot;fictitious&amp;quot; added benefit not justified&lt;/title&gt;&lt;/titles&gt;&lt;number&gt;25/8/2023&lt;/number&gt;&lt;dates&gt;&lt;year&gt;2022&lt;/year&gt;&lt;/dates&gt;&lt;urls&gt;&lt;related-urls&gt;&lt;url&gt;https://www.iqwig.de/en/presse/press-releases/press-releases-detailpage_58496.html&lt;/url&gt;&lt;/related-urls&gt;&lt;/urls&gt;&lt;/record&gt;&lt;/Cite&gt;&lt;/EndNote&gt;</w:instrText>
      </w:r>
      <w:r w:rsidRPr="00221992">
        <w:rPr>
          <w:lang w:val="en-GB"/>
        </w:rPr>
        <w:fldChar w:fldCharType="separate"/>
      </w:r>
      <w:r w:rsidR="00E5265C">
        <w:rPr>
          <w:noProof/>
          <w:lang w:val="en-GB"/>
        </w:rPr>
        <w:t>[158]</w:t>
      </w:r>
      <w:r w:rsidRPr="00221992">
        <w:rPr>
          <w:lang w:val="en-GB"/>
        </w:rPr>
        <w:fldChar w:fldCharType="end"/>
      </w:r>
      <w:r w:rsidRPr="00221992">
        <w:rPr>
          <w:lang w:val="en-GB"/>
        </w:rPr>
        <w:t>.</w:t>
      </w:r>
      <w:r w:rsidR="008A6310">
        <w:rPr>
          <w:lang w:val="en-GB"/>
        </w:rPr>
        <w:t xml:space="preserve"> </w:t>
      </w:r>
    </w:p>
    <w:p w14:paraId="50D2A616" w14:textId="5C2396AF" w:rsidR="00B75A46" w:rsidRPr="00221992" w:rsidRDefault="00B75A46">
      <w:pPr>
        <w:pStyle w:val="Caption"/>
        <w:rPr>
          <w:lang w:val="en-GB"/>
        </w:rPr>
      </w:pPr>
      <w:bookmarkStart w:id="143" w:name="_Toc162950934"/>
      <w:r w:rsidRPr="00221992">
        <w:rPr>
          <w:lang w:val="en-GB"/>
        </w:rPr>
        <w:t xml:space="preserve">Figure </w:t>
      </w:r>
      <w:r w:rsidR="003F72DF" w:rsidRPr="00221992">
        <w:rPr>
          <w:lang w:val="en-GB"/>
        </w:rPr>
        <w:fldChar w:fldCharType="begin"/>
      </w:r>
      <w:r w:rsidR="003F72DF" w:rsidRPr="00221992">
        <w:rPr>
          <w:lang w:val="en-GB"/>
        </w:rPr>
        <w:instrText xml:space="preserve"> SEQ Figure \* ARABIC </w:instrText>
      </w:r>
      <w:r w:rsidR="003F72DF" w:rsidRPr="00221992">
        <w:rPr>
          <w:lang w:val="en-GB"/>
        </w:rPr>
        <w:fldChar w:fldCharType="separate"/>
      </w:r>
      <w:r w:rsidR="000E11E7">
        <w:rPr>
          <w:noProof/>
          <w:lang w:val="en-GB"/>
        </w:rPr>
        <w:t>27</w:t>
      </w:r>
      <w:r w:rsidR="003F72DF" w:rsidRPr="00221992">
        <w:rPr>
          <w:noProof/>
          <w:lang w:val="en-GB"/>
        </w:rPr>
        <w:fldChar w:fldCharType="end"/>
      </w:r>
      <w:r w:rsidRPr="00221992">
        <w:rPr>
          <w:lang w:val="en-GB"/>
        </w:rPr>
        <w:t>. Agreement of results: limited and regular-benefit assessment</w:t>
      </w:r>
      <w:r w:rsidR="00516AE0" w:rsidRPr="00221992">
        <w:rPr>
          <w:lang w:val="en-GB"/>
        </w:rPr>
        <w:t xml:space="preserve"> </w:t>
      </w:r>
      <w:r w:rsidRPr="00221992">
        <w:rPr>
          <w:lang w:val="en-GB"/>
        </w:rPr>
        <w:t>by</w:t>
      </w:r>
      <w:r w:rsidR="00516AE0" w:rsidRPr="00221992">
        <w:rPr>
          <w:lang w:val="en-GB"/>
        </w:rPr>
        <w:t xml:space="preserve"> orphan</w:t>
      </w:r>
      <w:r w:rsidRPr="00221992">
        <w:rPr>
          <w:lang w:val="en-GB"/>
        </w:rPr>
        <w:t xml:space="preserve"> drug</w:t>
      </w:r>
      <w:bookmarkEnd w:id="143"/>
    </w:p>
    <w:p w14:paraId="4EA87887" w14:textId="1331157A" w:rsidR="007E62DB" w:rsidRPr="00221992" w:rsidRDefault="005D7AD4" w:rsidP="00533CF1">
      <w:pPr>
        <w:pStyle w:val="TableNotes"/>
        <w:rPr>
          <w:lang w:val="en-GB"/>
        </w:rPr>
      </w:pPr>
      <w:r w:rsidRPr="00221992">
        <w:rPr>
          <w:noProof/>
          <w:lang w:val="en-GB"/>
        </w:rPr>
        <w:drawing>
          <wp:inline distT="0" distB="0" distL="0" distR="0" wp14:anchorId="115F77CE" wp14:editId="31527C4D">
            <wp:extent cx="5027879" cy="3111690"/>
            <wp:effectExtent l="0" t="0" r="1905" b="0"/>
            <wp:docPr id="4" name="Picture 4" descr="a graph of the Agreement of results: limited and regular-benefit assessment by orphan dru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pic:nvPicPr>
                  <pic:blipFill>
                    <a:blip r:embed="rId45">
                      <a:extLst>
                        <a:ext uri="{28A0092B-C50C-407E-A947-70E740481C1C}">
                          <a14:useLocalDpi xmlns:a14="http://schemas.microsoft.com/office/drawing/2010/main" val="0"/>
                        </a:ext>
                      </a:extLst>
                    </a:blip>
                    <a:stretch>
                      <a:fillRect/>
                    </a:stretch>
                  </pic:blipFill>
                  <pic:spPr>
                    <a:xfrm>
                      <a:off x="0" y="0"/>
                      <a:ext cx="5027879" cy="3111690"/>
                    </a:xfrm>
                    <a:prstGeom prst="rect">
                      <a:avLst/>
                    </a:prstGeom>
                  </pic:spPr>
                </pic:pic>
              </a:graphicData>
            </a:graphic>
          </wp:inline>
        </w:drawing>
      </w:r>
    </w:p>
    <w:p w14:paraId="707930B9" w14:textId="0384D137" w:rsidR="007E62DB" w:rsidRPr="00221992" w:rsidRDefault="007E62DB" w:rsidP="00533CF1">
      <w:pPr>
        <w:pStyle w:val="TableNotes"/>
        <w:rPr>
          <w:lang w:val="en-GB"/>
        </w:rPr>
      </w:pPr>
      <w:r w:rsidRPr="00221992">
        <w:rPr>
          <w:lang w:val="en-GB"/>
        </w:rPr>
        <w:t>Source:</w:t>
      </w:r>
      <w:r w:rsidR="00D8683E" w:rsidRPr="00221992">
        <w:rPr>
          <w:lang w:val="en-GB"/>
        </w:rPr>
        <w:tab/>
      </w:r>
      <w:r w:rsidR="00516AE0" w:rsidRPr="00221992">
        <w:rPr>
          <w:lang w:val="en-GB"/>
        </w:rPr>
        <w:t xml:space="preserve">IQWiG </w:t>
      </w:r>
      <w:r w:rsidR="004E19FD" w:rsidRPr="00221992">
        <w:rPr>
          <w:lang w:val="en-GB"/>
        </w:rPr>
        <w:t>(2021)</w:t>
      </w:r>
      <w:r w:rsidR="00516AE0" w:rsidRPr="00221992">
        <w:rPr>
          <w:lang w:val="en-GB"/>
        </w:rPr>
        <w:t xml:space="preserve"> </w:t>
      </w:r>
      <w:r w:rsidR="00516AE0" w:rsidRPr="00221992">
        <w:rPr>
          <w:lang w:val="en-GB"/>
        </w:rPr>
        <w:fldChar w:fldCharType="begin"/>
      </w:r>
      <w:r w:rsidR="00945100" w:rsidRPr="00221992">
        <w:rPr>
          <w:lang w:val="en-GB"/>
        </w:rPr>
        <w:instrText xml:space="preserve"> ADDIN EN.CITE &lt;EndNote&gt;&lt;Cite Hidden="1"&gt;&lt;Author&gt;IQWiG&lt;/Author&gt;&lt;Year&gt;2021&lt;/Year&gt;&lt;RecNum&gt;25976&lt;/RecNum&gt;&lt;record&gt;&lt;rec-number&gt;25976&lt;/rec-number&gt;&lt;foreign-keys&gt;&lt;key app="EN" db-id="wvwf2ewpevpr0oer0zmxwpzrwvev5pwf925p" timestamp="1693225493"&gt;25976&lt;/key&gt;&lt;/foreign-keys&gt;&lt;ref-type name="Report"&gt;27&lt;/ref-type&gt;&lt;contributors&gt;&lt;authors&gt;&lt;author&gt;IQWiG&lt;/author&gt;&lt;/authors&gt;&lt;secondary-authors&gt;&lt;author&gt;Working paper GA21-01,&lt;/author&gt;&lt;/secondary-authors&gt;&lt;/contributors&gt;&lt;titles&gt;&lt;title&gt;Evidence on orphan drugs &lt;/title&gt;&lt;/titles&gt;&lt;volume&gt;1.0&lt;/volume&gt;&lt;dates&gt;&lt;year&gt;2021&lt;/year&gt;&lt;/dates&gt;&lt;publisher&gt;IQWiG&lt;/publisher&gt;&lt;urls&gt;&lt;related-urls&gt;&lt;url&gt;https://www.iqwig.de/en/projects/ga21-01.html&lt;/url&gt;&lt;/related-urls&gt;&lt;/urls&gt;&lt;/record&gt;&lt;/Cite&gt;&lt;/EndNote&gt;</w:instrText>
      </w:r>
      <w:r w:rsidR="00516AE0" w:rsidRPr="00221992">
        <w:rPr>
          <w:lang w:val="en-GB"/>
        </w:rPr>
        <w:fldChar w:fldCharType="end"/>
      </w:r>
    </w:p>
    <w:p w14:paraId="238AC722" w14:textId="6A45F98D" w:rsidR="00D65012" w:rsidRPr="00221992" w:rsidRDefault="00D65012" w:rsidP="00BC034B">
      <w:pPr>
        <w:pStyle w:val="Heading4"/>
        <w:rPr>
          <w:lang w:val="en-GB"/>
        </w:rPr>
      </w:pPr>
      <w:bookmarkStart w:id="144" w:name="_Toc142742674"/>
      <w:bookmarkStart w:id="145" w:name="_Ref143207585"/>
      <w:r w:rsidRPr="00221992">
        <w:rPr>
          <w:lang w:val="en-GB"/>
        </w:rPr>
        <w:t>What are the mechanisms available to establish price</w:t>
      </w:r>
      <w:r w:rsidR="00962A4D" w:rsidRPr="00221992">
        <w:rPr>
          <w:lang w:val="en-GB"/>
        </w:rPr>
        <w:t>s</w:t>
      </w:r>
      <w:r w:rsidRPr="00221992">
        <w:rPr>
          <w:lang w:val="en-GB"/>
        </w:rPr>
        <w:t xml:space="preserve"> of drugs for rare diseases?</w:t>
      </w:r>
      <w:bookmarkEnd w:id="144"/>
      <w:bookmarkEnd w:id="145"/>
    </w:p>
    <w:p w14:paraId="1E0637A6" w14:textId="7966C235" w:rsidR="00D65012" w:rsidRPr="00221992" w:rsidRDefault="00D65012" w:rsidP="00220401">
      <w:pPr>
        <w:rPr>
          <w:lang w:val="en-GB"/>
        </w:rPr>
      </w:pPr>
      <w:r w:rsidRPr="00221992">
        <w:rPr>
          <w:lang w:val="en-GB"/>
        </w:rPr>
        <w:t xml:space="preserve">As a way to limit the potential financial impact associated with higher levels of clinical and economic uncertainty inherent to rare disease therapies, countries have implemented a range of pricing strategies. These strategies generally apply to all drugs, including drugs for rare diseases. </w:t>
      </w:r>
      <w:r w:rsidR="0065068E">
        <w:rPr>
          <w:lang w:val="en-GB"/>
        </w:rPr>
        <w:t xml:space="preserve">In Australia, all drugs follow the same pricing process; there is no separate pricing mechanism specific to therapies for rare or ultra-rare diseases </w:t>
      </w:r>
      <w:r w:rsidR="00AF10F8">
        <w:rPr>
          <w:lang w:val="en-GB"/>
        </w:rPr>
        <w:t xml:space="preserve">(see Section </w:t>
      </w:r>
      <w:r w:rsidR="00D41F59">
        <w:rPr>
          <w:lang w:val="en-GB"/>
        </w:rPr>
        <w:t>4.1)</w:t>
      </w:r>
      <w:r w:rsidR="005D1CE0">
        <w:rPr>
          <w:lang w:val="en-GB"/>
        </w:rPr>
        <w:t xml:space="preserve">. </w:t>
      </w:r>
      <w:r w:rsidRPr="00221992">
        <w:rPr>
          <w:lang w:val="en-GB"/>
        </w:rPr>
        <w:t xml:space="preserve">However, given the greater uncertainty observed in </w:t>
      </w:r>
      <w:r w:rsidR="004908BD">
        <w:rPr>
          <w:lang w:val="en-GB"/>
        </w:rPr>
        <w:t>therapies</w:t>
      </w:r>
      <w:r w:rsidRPr="00221992">
        <w:rPr>
          <w:lang w:val="en-GB"/>
        </w:rPr>
        <w:t xml:space="preserve"> </w:t>
      </w:r>
      <w:r w:rsidR="004908BD">
        <w:rPr>
          <w:lang w:val="en-GB"/>
        </w:rPr>
        <w:t>targeting</w:t>
      </w:r>
      <w:r w:rsidRPr="00221992">
        <w:rPr>
          <w:lang w:val="en-GB"/>
        </w:rPr>
        <w:t xml:space="preserve"> rare diseases, some countries have implemented </w:t>
      </w:r>
      <w:r w:rsidR="004908BD">
        <w:rPr>
          <w:lang w:val="en-GB"/>
        </w:rPr>
        <w:t xml:space="preserve">specific </w:t>
      </w:r>
      <w:r w:rsidRPr="00221992">
        <w:rPr>
          <w:lang w:val="en-GB"/>
        </w:rPr>
        <w:t xml:space="preserve">strategies </w:t>
      </w:r>
      <w:r w:rsidR="004908BD">
        <w:rPr>
          <w:lang w:val="en-GB"/>
        </w:rPr>
        <w:t>for</w:t>
      </w:r>
      <w:r w:rsidRPr="00221992">
        <w:rPr>
          <w:lang w:val="en-GB"/>
        </w:rPr>
        <w:t xml:space="preserve"> the reimbursement of orphan drugs. </w:t>
      </w:r>
    </w:p>
    <w:p w14:paraId="343A976D" w14:textId="2273E967" w:rsidR="00D124C3" w:rsidRPr="00221992" w:rsidRDefault="00D65012" w:rsidP="00220401">
      <w:pPr>
        <w:rPr>
          <w:lang w:val="en-GB"/>
        </w:rPr>
      </w:pPr>
      <w:r w:rsidRPr="00221992">
        <w:rPr>
          <w:lang w:val="en-GB"/>
        </w:rPr>
        <w:t>As a way of addressing higher uncertainty, some countries have use</w:t>
      </w:r>
      <w:r w:rsidR="002430D5" w:rsidRPr="00221992">
        <w:rPr>
          <w:lang w:val="en-GB"/>
        </w:rPr>
        <w:t>d</w:t>
      </w:r>
      <w:r w:rsidRPr="00221992">
        <w:rPr>
          <w:lang w:val="en-GB"/>
        </w:rPr>
        <w:t xml:space="preserve"> </w:t>
      </w:r>
      <w:r w:rsidR="00260B6F">
        <w:rPr>
          <w:lang w:val="en-GB"/>
        </w:rPr>
        <w:t>MEAs</w:t>
      </w:r>
      <w:r w:rsidRPr="00221992">
        <w:rPr>
          <w:lang w:val="en-GB"/>
        </w:rPr>
        <w:t xml:space="preserve"> or </w:t>
      </w:r>
      <w:r w:rsidR="00226D1A">
        <w:rPr>
          <w:lang w:val="en-GB"/>
        </w:rPr>
        <w:t xml:space="preserve">listing </w:t>
      </w:r>
      <w:r w:rsidRPr="00221992">
        <w:rPr>
          <w:lang w:val="en-GB"/>
        </w:rPr>
        <w:t xml:space="preserve">conditional on </w:t>
      </w:r>
      <w:r w:rsidR="00226D1A">
        <w:rPr>
          <w:lang w:val="en-GB"/>
        </w:rPr>
        <w:t xml:space="preserve">the collection of </w:t>
      </w:r>
      <w:r w:rsidRPr="00221992">
        <w:rPr>
          <w:lang w:val="en-GB"/>
        </w:rPr>
        <w:t xml:space="preserve">additional data. Scotland and </w:t>
      </w:r>
      <w:r w:rsidR="00E93AD5" w:rsidRPr="00221992">
        <w:rPr>
          <w:lang w:val="en-GB"/>
        </w:rPr>
        <w:t>England/Wales</w:t>
      </w:r>
      <w:r w:rsidRPr="00221992">
        <w:rPr>
          <w:lang w:val="en-GB"/>
        </w:rPr>
        <w:t xml:space="preserve"> have implemented similar requirements that consider conditional listing with data collection. In Scotland, the manufacturer is required to present a PAS with the aim of minimising the risk identified from the clinical and cost</w:t>
      </w:r>
      <w:r w:rsidR="00226D1A">
        <w:rPr>
          <w:lang w:val="en-GB"/>
        </w:rPr>
        <w:t>-</w:t>
      </w:r>
      <w:r w:rsidRPr="00221992">
        <w:rPr>
          <w:lang w:val="en-GB"/>
        </w:rPr>
        <w:t>effectiveness evidence and help inform the data collection phase</w:t>
      </w:r>
      <w:r w:rsidR="00B47225" w:rsidRPr="00221992">
        <w:rPr>
          <w:lang w:val="en-GB"/>
        </w:rPr>
        <w:t xml:space="preserve">. </w:t>
      </w:r>
      <w:r w:rsidR="00D124C3" w:rsidRPr="00221992">
        <w:rPr>
          <w:lang w:val="en-GB"/>
        </w:rPr>
        <w:t xml:space="preserve">Access is granted for three years, a period that allows for </w:t>
      </w:r>
      <w:r w:rsidR="00226D1A">
        <w:rPr>
          <w:lang w:val="en-GB"/>
        </w:rPr>
        <w:t xml:space="preserve">the collection of </w:t>
      </w:r>
      <w:r w:rsidR="00D124C3" w:rsidRPr="00221992">
        <w:rPr>
          <w:lang w:val="en-GB"/>
        </w:rPr>
        <w:t>data that will then facilitate reassessment by</w:t>
      </w:r>
      <w:r w:rsidR="00226D1A">
        <w:rPr>
          <w:lang w:val="en-GB"/>
        </w:rPr>
        <w:t xml:space="preserve"> the</w:t>
      </w:r>
      <w:r w:rsidR="00D124C3" w:rsidRPr="00221992">
        <w:rPr>
          <w:lang w:val="en-GB"/>
        </w:rPr>
        <w:t xml:space="preserve"> SMC. </w:t>
      </w:r>
      <w:r w:rsidR="00A04E0F" w:rsidRPr="00221992">
        <w:rPr>
          <w:lang w:val="en-GB"/>
        </w:rPr>
        <w:t>An</w:t>
      </w:r>
      <w:r w:rsidR="00D124C3" w:rsidRPr="00221992">
        <w:rPr>
          <w:lang w:val="en-GB"/>
        </w:rPr>
        <w:t xml:space="preserve"> HTA expert interviewed </w:t>
      </w:r>
      <w:r w:rsidR="00A04E0F" w:rsidRPr="00221992">
        <w:rPr>
          <w:lang w:val="en-GB"/>
        </w:rPr>
        <w:t>for</w:t>
      </w:r>
      <w:r w:rsidR="00D124C3" w:rsidRPr="00221992">
        <w:rPr>
          <w:lang w:val="en-GB"/>
        </w:rPr>
        <w:t xml:space="preserve"> </w:t>
      </w:r>
      <w:r w:rsidR="00A04E0F" w:rsidRPr="00221992">
        <w:rPr>
          <w:lang w:val="en-GB"/>
        </w:rPr>
        <w:t>the</w:t>
      </w:r>
      <w:r w:rsidR="00D124C3" w:rsidRPr="00221992">
        <w:rPr>
          <w:lang w:val="en-GB"/>
        </w:rPr>
        <w:t xml:space="preserve"> review provided additional insights into how th</w:t>
      </w:r>
      <w:r w:rsidR="00226D1A">
        <w:rPr>
          <w:lang w:val="en-GB"/>
        </w:rPr>
        <w:t>is</w:t>
      </w:r>
      <w:r w:rsidR="00D124C3" w:rsidRPr="00221992">
        <w:rPr>
          <w:lang w:val="en-GB"/>
        </w:rPr>
        <w:t xml:space="preserve"> conditional listing works</w:t>
      </w:r>
      <w:r w:rsidR="00226D1A">
        <w:rPr>
          <w:lang w:val="en-GB"/>
        </w:rPr>
        <w:t>:</w:t>
      </w:r>
      <w:r w:rsidR="00D124C3" w:rsidRPr="00221992">
        <w:rPr>
          <w:lang w:val="en-GB"/>
        </w:rPr>
        <w:t xml:space="preserve"> </w:t>
      </w:r>
    </w:p>
    <w:p w14:paraId="143CB9C7" w14:textId="62B1B8D3" w:rsidR="00D124C3" w:rsidRPr="00221992" w:rsidRDefault="00D124C3" w:rsidP="007D1F68">
      <w:pPr>
        <w:ind w:left="567"/>
        <w:rPr>
          <w:lang w:val="en-GB"/>
        </w:rPr>
      </w:pPr>
      <w:r w:rsidRPr="00221992">
        <w:rPr>
          <w:lang w:val="en-GB"/>
        </w:rPr>
        <w:t xml:space="preserve">If you want to be considered as an ultra-orphan, you also have to agree to submit a patient access scheme. And you also have to agree to a data collection plan with </w:t>
      </w:r>
      <w:r w:rsidR="000A5170">
        <w:rPr>
          <w:lang w:val="en-GB"/>
        </w:rPr>
        <w:t xml:space="preserve">the </w:t>
      </w:r>
      <w:r w:rsidRPr="00221992">
        <w:rPr>
          <w:lang w:val="en-GB"/>
        </w:rPr>
        <w:t>Scottish government that will allow a period of use of the medicine for three years, and then a reassessment by SMC. […] So we do an initial assessment, the company comes in with a normal submission to us, we would set out within our advice document all the issues that we have around uncertainties</w:t>
      </w:r>
      <w:r w:rsidR="004D4CE3" w:rsidRPr="00221992">
        <w:rPr>
          <w:lang w:val="en-GB"/>
        </w:rPr>
        <w:t>.</w:t>
      </w:r>
      <w:r w:rsidRPr="00221992">
        <w:rPr>
          <w:lang w:val="en-GB"/>
        </w:rPr>
        <w:t xml:space="preserve"> </w:t>
      </w:r>
      <w:r w:rsidR="004D4CE3" w:rsidRPr="00221992">
        <w:rPr>
          <w:lang w:val="en-GB"/>
        </w:rPr>
        <w:t xml:space="preserve">[…] </w:t>
      </w:r>
      <w:r w:rsidRPr="00221992">
        <w:rPr>
          <w:lang w:val="en-GB"/>
        </w:rPr>
        <w:t>And technically, that should inform that data collection plan discuss</w:t>
      </w:r>
      <w:r w:rsidR="004D4CE3" w:rsidRPr="00221992">
        <w:rPr>
          <w:lang w:val="en-GB"/>
        </w:rPr>
        <w:t>ed</w:t>
      </w:r>
      <w:r w:rsidRPr="00221992">
        <w:rPr>
          <w:lang w:val="en-GB"/>
        </w:rPr>
        <w:t xml:space="preserve"> with </w:t>
      </w:r>
      <w:r w:rsidR="000A5170">
        <w:rPr>
          <w:lang w:val="en-GB"/>
        </w:rPr>
        <w:t xml:space="preserve">the </w:t>
      </w:r>
      <w:r w:rsidRPr="00221992">
        <w:rPr>
          <w:lang w:val="en-GB"/>
        </w:rPr>
        <w:t>Scottish government about what and when the company will come forward with additional information.</w:t>
      </w:r>
      <w:r w:rsidR="00A04E0F" w:rsidRPr="00221992">
        <w:rPr>
          <w:lang w:val="en-GB"/>
        </w:rPr>
        <w:t xml:space="preserve"> (HTA expert</w:t>
      </w:r>
      <w:r w:rsidR="00E54211" w:rsidRPr="00221992">
        <w:rPr>
          <w:lang w:val="en-GB"/>
        </w:rPr>
        <w:t>, UK</w:t>
      </w:r>
      <w:r w:rsidR="00A04E0F" w:rsidRPr="00221992">
        <w:rPr>
          <w:lang w:val="en-GB"/>
        </w:rPr>
        <w:t>)</w:t>
      </w:r>
    </w:p>
    <w:p w14:paraId="047DF6D8" w14:textId="6B8C21FF" w:rsidR="004D4CE3" w:rsidRPr="00221992" w:rsidRDefault="00D65012" w:rsidP="00220401">
      <w:pPr>
        <w:rPr>
          <w:lang w:val="en-GB"/>
        </w:rPr>
      </w:pPr>
      <w:r w:rsidRPr="00221992">
        <w:rPr>
          <w:lang w:val="en-GB"/>
        </w:rPr>
        <w:t xml:space="preserve">The PAS can be provided at the time of the initial submission or following the first NDC meeting. A PAS that is made at the time of initial submission may be revised post-NDC meeting. In </w:t>
      </w:r>
      <w:r w:rsidR="00E93AD5" w:rsidRPr="00221992">
        <w:rPr>
          <w:lang w:val="en-GB"/>
        </w:rPr>
        <w:t>England/Wales</w:t>
      </w:r>
      <w:r w:rsidRPr="00221992">
        <w:rPr>
          <w:lang w:val="en-GB"/>
        </w:rPr>
        <w:t xml:space="preserve">, listing under </w:t>
      </w:r>
      <w:r w:rsidR="00624C64" w:rsidRPr="00221992">
        <w:rPr>
          <w:lang w:val="en-GB"/>
        </w:rPr>
        <w:t>NICE</w:t>
      </w:r>
      <w:r w:rsidR="00551786">
        <w:rPr>
          <w:lang w:val="en-GB"/>
        </w:rPr>
        <w:t>’</w:t>
      </w:r>
      <w:r w:rsidR="00624C64" w:rsidRPr="00221992">
        <w:rPr>
          <w:lang w:val="en-GB"/>
        </w:rPr>
        <w:t>s Highly Specialised Technologies</w:t>
      </w:r>
      <w:r w:rsidRPr="00221992">
        <w:rPr>
          <w:lang w:val="en-GB"/>
        </w:rPr>
        <w:t xml:space="preserve"> </w:t>
      </w:r>
      <w:r w:rsidR="00624C64" w:rsidRPr="00221992">
        <w:rPr>
          <w:lang w:val="en-GB"/>
        </w:rPr>
        <w:t>(</w:t>
      </w:r>
      <w:r w:rsidRPr="00221992">
        <w:rPr>
          <w:lang w:val="en-GB"/>
        </w:rPr>
        <w:t>HST</w:t>
      </w:r>
      <w:r w:rsidR="00624C64" w:rsidRPr="00221992">
        <w:rPr>
          <w:lang w:val="en-GB"/>
        </w:rPr>
        <w:t>)</w:t>
      </w:r>
      <w:r w:rsidRPr="00221992">
        <w:rPr>
          <w:lang w:val="en-GB"/>
        </w:rPr>
        <w:t xml:space="preserve"> pathway is conditioned on further data collection, stopping rules and price negotiations as part of </w:t>
      </w:r>
      <w:r w:rsidR="00260B6F">
        <w:rPr>
          <w:lang w:val="en-GB"/>
        </w:rPr>
        <w:t xml:space="preserve">a </w:t>
      </w:r>
      <w:r w:rsidRPr="00221992">
        <w:rPr>
          <w:lang w:val="en-GB"/>
        </w:rPr>
        <w:t>risk sharing agreement (RSA).</w:t>
      </w:r>
      <w:r w:rsidR="00B47225" w:rsidRPr="00221992">
        <w:rPr>
          <w:lang w:val="en-GB"/>
        </w:rPr>
        <w:t xml:space="preserve"> An important challenge currently being faced is that the small amount of data collected, given the low patient numbers, has not </w:t>
      </w:r>
      <w:r w:rsidR="00260B6F">
        <w:rPr>
          <w:lang w:val="en-GB"/>
        </w:rPr>
        <w:t>tended to rectify</w:t>
      </w:r>
      <w:r w:rsidR="00B47225" w:rsidRPr="00221992">
        <w:rPr>
          <w:lang w:val="en-GB"/>
        </w:rPr>
        <w:t xml:space="preserve"> uncertainty</w:t>
      </w:r>
      <w:r w:rsidR="004D4CE3" w:rsidRPr="00221992">
        <w:rPr>
          <w:lang w:val="en-GB"/>
        </w:rPr>
        <w:t xml:space="preserve">. This issue was raised </w:t>
      </w:r>
      <w:r w:rsidR="00F6393E" w:rsidRPr="00221992">
        <w:rPr>
          <w:lang w:val="en-GB"/>
        </w:rPr>
        <w:t>in consultation with</w:t>
      </w:r>
      <w:r w:rsidR="004D4CE3" w:rsidRPr="00221992">
        <w:rPr>
          <w:lang w:val="en-GB"/>
        </w:rPr>
        <w:t xml:space="preserve"> </w:t>
      </w:r>
      <w:r w:rsidR="00F6393E" w:rsidRPr="00221992">
        <w:rPr>
          <w:lang w:val="en-GB"/>
        </w:rPr>
        <w:t>a</w:t>
      </w:r>
      <w:r w:rsidR="004D4CE3" w:rsidRPr="00221992">
        <w:rPr>
          <w:lang w:val="en-GB"/>
        </w:rPr>
        <w:t xml:space="preserve"> </w:t>
      </w:r>
      <w:r w:rsidR="00E54211" w:rsidRPr="00221992">
        <w:rPr>
          <w:lang w:val="en-GB"/>
        </w:rPr>
        <w:t xml:space="preserve">UK-based </w:t>
      </w:r>
      <w:r w:rsidR="004D4CE3" w:rsidRPr="00221992">
        <w:rPr>
          <w:lang w:val="en-GB"/>
        </w:rPr>
        <w:t>HTA expert</w:t>
      </w:r>
      <w:r w:rsidR="00260B6F">
        <w:rPr>
          <w:lang w:val="en-GB"/>
        </w:rPr>
        <w:t xml:space="preserve"> interviewed for the Review:</w:t>
      </w:r>
      <w:r w:rsidR="004D4CE3" w:rsidRPr="00221992">
        <w:rPr>
          <w:lang w:val="en-GB"/>
        </w:rPr>
        <w:t xml:space="preserve"> </w:t>
      </w:r>
    </w:p>
    <w:p w14:paraId="787C3A99" w14:textId="24885132" w:rsidR="004D4CE3" w:rsidRPr="00221992" w:rsidRDefault="004D4CE3" w:rsidP="007D1F68">
      <w:pPr>
        <w:ind w:left="567"/>
        <w:rPr>
          <w:lang w:val="en-GB"/>
        </w:rPr>
      </w:pPr>
      <w:r w:rsidRPr="00221992">
        <w:rPr>
          <w:lang w:val="en-GB"/>
        </w:rPr>
        <w:t>There were settings that fundamentally might deliver such small amounts of data as to not really improve the uncertainty that we are facing with these. So I think that we will all have to supplement with international registries and other trial data. But where possible, they were being encouraged to patient recorded outcome measures or other bits of local data collection. We are trying to improve going forward.</w:t>
      </w:r>
      <w:r w:rsidR="00E54211" w:rsidRPr="00221992">
        <w:rPr>
          <w:lang w:val="en-GB"/>
        </w:rPr>
        <w:t xml:space="preserve"> (HTA expert, UK)</w:t>
      </w:r>
    </w:p>
    <w:p w14:paraId="401C2970" w14:textId="4DF1B41E" w:rsidR="00D65012" w:rsidRPr="00221992" w:rsidRDefault="00D65012" w:rsidP="00220401">
      <w:pPr>
        <w:rPr>
          <w:lang w:val="en-GB"/>
        </w:rPr>
      </w:pPr>
      <w:r w:rsidRPr="00221992">
        <w:rPr>
          <w:lang w:val="en-GB"/>
        </w:rPr>
        <w:t xml:space="preserve">Recently, the Netherlands introduced </w:t>
      </w:r>
      <w:r w:rsidR="00551786">
        <w:rPr>
          <w:lang w:val="en-GB"/>
        </w:rPr>
        <w:t>‘</w:t>
      </w:r>
      <w:r w:rsidRPr="00221992">
        <w:rPr>
          <w:lang w:val="en-GB"/>
        </w:rPr>
        <w:t>Conditional Approval of Coverage</w:t>
      </w:r>
      <w:r w:rsidR="00551786">
        <w:rPr>
          <w:lang w:val="en-GB"/>
        </w:rPr>
        <w:t>’</w:t>
      </w:r>
      <w:r w:rsidRPr="00221992">
        <w:rPr>
          <w:lang w:val="en-GB"/>
        </w:rPr>
        <w:t xml:space="preserve"> as an alternative to traditional MEAs (</w:t>
      </w:r>
      <w:r w:rsidR="00213F29" w:rsidRPr="00221992">
        <w:rPr>
          <w:lang w:val="en-GB"/>
        </w:rPr>
        <w:t>for more information on international approaches to MEAs, see</w:t>
      </w:r>
      <w:r w:rsidRPr="00221992">
        <w:rPr>
          <w:lang w:val="en-GB"/>
        </w:rPr>
        <w:t xml:space="preserve"> Section</w:t>
      </w:r>
      <w:r w:rsidR="00213F29" w:rsidRPr="00221992">
        <w:rPr>
          <w:lang w:val="en-GB"/>
        </w:rPr>
        <w:t xml:space="preserve"> </w:t>
      </w:r>
      <w:r w:rsidR="00213F29" w:rsidRPr="00221992">
        <w:rPr>
          <w:lang w:val="en-GB"/>
        </w:rPr>
        <w:fldChar w:fldCharType="begin"/>
      </w:r>
      <w:r w:rsidR="00213F29" w:rsidRPr="00221992">
        <w:rPr>
          <w:lang w:val="en-GB"/>
        </w:rPr>
        <w:instrText xml:space="preserve"> REF _Ref143764721 \r \h </w:instrText>
      </w:r>
      <w:r w:rsidR="00213F29" w:rsidRPr="00221992">
        <w:rPr>
          <w:lang w:val="en-GB"/>
        </w:rPr>
      </w:r>
      <w:r w:rsidR="00213F29" w:rsidRPr="00221992">
        <w:rPr>
          <w:lang w:val="en-GB"/>
        </w:rPr>
        <w:fldChar w:fldCharType="separate"/>
      </w:r>
      <w:r w:rsidR="000E11E7">
        <w:rPr>
          <w:lang w:val="en-GB"/>
        </w:rPr>
        <w:t>4.6</w:t>
      </w:r>
      <w:r w:rsidR="00213F29" w:rsidRPr="00221992">
        <w:rPr>
          <w:lang w:val="en-GB"/>
        </w:rPr>
        <w:fldChar w:fldCharType="end"/>
      </w:r>
      <w:r w:rsidRPr="00221992">
        <w:rPr>
          <w:lang w:val="en-GB"/>
        </w:rPr>
        <w:t>). Currently, once a drug is accepted as following a conditional listing pathway, price negotiations start between the marketing authorisation holder and the Ministry of Health, Welfare and Sport. Two conditions apply for actual listing: (1) a price must be agreed and; (2) the price during the conditional listing period is negotiated is not made publicly available, however if after the conditional period the drug is included in the basic health care package the price of the drug must be made public</w:t>
      </w:r>
      <w:r w:rsidR="00DB3E86" w:rsidRPr="00221992">
        <w:rPr>
          <w:lang w:val="en-GB"/>
        </w:rPr>
        <w:t xml:space="preserve"> </w:t>
      </w:r>
      <w:r w:rsidRPr="00221992">
        <w:rPr>
          <w:lang w:val="en-GB"/>
        </w:rPr>
        <w:fldChar w:fldCharType="begin"/>
      </w:r>
      <w:r w:rsidR="00E5265C">
        <w:rPr>
          <w:lang w:val="en-GB"/>
        </w:rPr>
        <w:instrText xml:space="preserve"> ADDIN EN.CITE &lt;EndNote&gt;&lt;Cite&gt;&lt;Author&gt;National Health Care Institue&lt;/Author&gt;&lt;Year&gt;2022&lt;/Year&gt;&lt;RecNum&gt;552&lt;/RecNum&gt;&lt;DisplayText&gt;[145]&lt;/DisplayText&gt;&lt;record&gt;&lt;rec-number&gt;552&lt;/rec-number&gt;&lt;foreign-keys&gt;&lt;key app="EN" db-id="wzwwsfxe4peesxef95cxvrwjxts9rreasarf" timestamp="1692751953"&gt;552&lt;/key&gt;&lt;/foreign-keys&gt;&lt;ref-type name="Web Page"&gt;12&lt;/ref-type&gt;&lt;contributors&gt;&lt;authors&gt;&lt;author&gt;National Health Care Institue, &lt;/author&gt;&lt;/authors&gt;&lt;/contributors&gt;&lt;titles&gt;&lt;title&gt;Conditional inclusion of orphan drugs, conditionals and exceptionals in basic health care&lt;/title&gt;&lt;/titles&gt;&lt;number&gt;23/07/2023&lt;/number&gt;&lt;dates&gt;&lt;year&gt;2022&lt;/year&gt;&lt;/dates&gt;&lt;pub-location&gt;The Netherlands&lt;/pub-location&gt;&lt;urls&gt;&lt;related-urls&gt;&lt;url&gt;https://english.zorginstituutnederland.nl/about-us/tasks-of-the-national-health-care-institute/conditional-inclusion-of-orphan-drugs-conditionals-and-exceptionals&lt;/url&gt;&lt;/related-urls&gt;&lt;/urls&gt;&lt;/record&gt;&lt;/Cite&gt;&lt;/EndNote&gt;</w:instrText>
      </w:r>
      <w:r w:rsidRPr="00221992">
        <w:rPr>
          <w:lang w:val="en-GB"/>
        </w:rPr>
        <w:fldChar w:fldCharType="separate"/>
      </w:r>
      <w:r w:rsidR="00E5265C">
        <w:rPr>
          <w:noProof/>
          <w:lang w:val="en-GB"/>
        </w:rPr>
        <w:t>[145]</w:t>
      </w:r>
      <w:r w:rsidRPr="00221992">
        <w:rPr>
          <w:lang w:val="en-GB"/>
        </w:rPr>
        <w:fldChar w:fldCharType="end"/>
      </w:r>
      <w:r w:rsidRPr="00221992">
        <w:rPr>
          <w:lang w:val="en-GB"/>
        </w:rPr>
        <w:t>. If the orphan drug is used in the outpatient setting and followed the extramural pathway (positive drug list), more specifically list 1B (corresponding to drugs that are not interchangeable) and there are no alternative treatments for the condition, no maximum price is set and generally they are exempted from cost</w:t>
      </w:r>
      <w:r w:rsidR="00260B6F">
        <w:rPr>
          <w:lang w:val="en-GB"/>
        </w:rPr>
        <w:t>-</w:t>
      </w:r>
      <w:r w:rsidRPr="00221992">
        <w:rPr>
          <w:lang w:val="en-GB"/>
        </w:rPr>
        <w:t xml:space="preserve">effectiveness analysis. Furthermore, </w:t>
      </w:r>
      <w:r w:rsidR="002430D5" w:rsidRPr="00221992">
        <w:rPr>
          <w:lang w:val="en-GB"/>
        </w:rPr>
        <w:t xml:space="preserve">sponsors may seek exemption from the </w:t>
      </w:r>
      <w:r w:rsidRPr="00221992">
        <w:rPr>
          <w:lang w:val="en-GB"/>
        </w:rPr>
        <w:t>HTA</w:t>
      </w:r>
      <w:r w:rsidR="002430D5" w:rsidRPr="00221992">
        <w:rPr>
          <w:lang w:val="en-GB"/>
        </w:rPr>
        <w:t xml:space="preserve"> process if the </w:t>
      </w:r>
      <w:r w:rsidRPr="00221992">
        <w:rPr>
          <w:lang w:val="en-GB"/>
        </w:rPr>
        <w:t>drug</w:t>
      </w:r>
      <w:r w:rsidR="002430D5" w:rsidRPr="00221992">
        <w:rPr>
          <w:lang w:val="en-GB"/>
        </w:rPr>
        <w:t xml:space="preserve"> is anticipated to have</w:t>
      </w:r>
      <w:r w:rsidRPr="00221992">
        <w:rPr>
          <w:lang w:val="en-GB"/>
        </w:rPr>
        <w:t xml:space="preserve"> a low budget impact (€500,000 annually)</w:t>
      </w:r>
      <w:r w:rsidR="00091C9D" w:rsidRPr="00221992">
        <w:rPr>
          <w:lang w:val="en-GB"/>
        </w:rPr>
        <w:t xml:space="preserve"> </w:t>
      </w:r>
      <w:r w:rsidR="00C12578" w:rsidRPr="00221992">
        <w:rPr>
          <w:lang w:val="en-GB"/>
        </w:rPr>
        <w:fldChar w:fldCharType="begin"/>
      </w:r>
      <w:r w:rsidR="00E5265C">
        <w:rPr>
          <w:lang w:val="en-GB"/>
        </w:rPr>
        <w:instrText xml:space="preserve"> ADDIN EN.CITE &lt;EndNote&gt;&lt;Cite&gt;&lt;Author&gt;Denis&lt;/Author&gt;&lt;Year&gt;2009&lt;/Year&gt;&lt;RecNum&gt;633&lt;/RecNum&gt;&lt;DisplayText&gt;[160]&lt;/DisplayText&gt;&lt;record&gt;&lt;rec-number&gt;633&lt;/rec-number&gt;&lt;foreign-keys&gt;&lt;key app="EN" db-id="wzwwsfxe4peesxef95cxvrwjxts9rreasarf" timestamp="1693186424"&gt;633&lt;/key&gt;&lt;/foreign-keys&gt;&lt;ref-type name="Report"&gt;27&lt;/ref-type&gt;&lt;contributors&gt;&lt;authors&gt;&lt;author&gt;Denis, A.&lt;/author&gt;&lt;author&gt;Simoens, S.&lt;/author&gt;&lt;author&gt;Fostier, C.&lt;/author&gt;&lt;author&gt;Mergaert, L.&lt;/author&gt;&lt;author&gt;Cleemput, I.&lt;/author&gt;&lt;/authors&gt;&lt;/contributors&gt;&lt;auth-address&gt;Belgian Health Care Knowledge Centre&amp;#xD;Administrative Centre Botanique, Doorbuilding (10th floor), Boulevard du Jardin Botanique 55, B-1000 Brussels, Belgium tel: +32 2 287 33 88 fax: +32 2 287 33 85&amp;#xD;info@kce.fgov.be&amp;#xD;Belgium&lt;/auth-address&gt;&lt;titles&gt;&lt;title&gt;Policies for rare diseases and orphan drugs&lt;/title&gt;&lt;/titles&gt;&lt;keywords&gt;&lt;keyword&gt;Health Policy&lt;/keyword&gt;&lt;keyword&gt;Drug Industry&lt;/keyword&gt;&lt;keyword&gt;Orphan Drug Production&lt;/keyword&gt;&lt;keyword&gt;Rare Diseases&lt;/keyword&gt;&lt;keyword&gt;Insurance, Health, Reimbursement&lt;/keyword&gt;&lt;keyword&gt;Reimbursement Mechanisms&lt;/keyword&gt;&lt;/keywords&gt;&lt;dates&gt;&lt;year&gt;2009&lt;/year&gt;&lt;/dates&gt;&lt;pub-location&gt;Belgium&lt;/pub-location&gt;&lt;publisher&gt;Belgian Health Care Knowledge Centre (KCE)&lt;/publisher&gt;&lt;accession-num&gt;32007000824&lt;/accession-num&gt;&lt;urls&gt;&lt;related-urls&gt;&lt;url&gt;https://www.kce.fgov.be/en/publication/report/policies-for-rare-diseases-and-orphan-drugs&lt;/url&gt;&lt;/related-urls&gt;&lt;/urls&gt;&lt;research-notes&gt;I. R. V. C&lt;/research-notes&gt;&lt;language&gt;English&lt;/language&gt;&lt;/record&gt;&lt;/Cite&gt;&lt;/EndNote&gt;</w:instrText>
      </w:r>
      <w:r w:rsidR="00C12578" w:rsidRPr="00221992">
        <w:rPr>
          <w:lang w:val="en-GB"/>
        </w:rPr>
        <w:fldChar w:fldCharType="separate"/>
      </w:r>
      <w:r w:rsidR="00E5265C">
        <w:rPr>
          <w:noProof/>
          <w:lang w:val="en-GB"/>
        </w:rPr>
        <w:t>[160]</w:t>
      </w:r>
      <w:r w:rsidR="00C12578" w:rsidRPr="00221992">
        <w:rPr>
          <w:lang w:val="en-GB"/>
        </w:rPr>
        <w:fldChar w:fldCharType="end"/>
      </w:r>
      <w:r w:rsidRPr="00221992">
        <w:rPr>
          <w:lang w:val="en-GB"/>
        </w:rPr>
        <w:t xml:space="preserve">. </w:t>
      </w:r>
    </w:p>
    <w:p w14:paraId="136E86A1" w14:textId="723A9B45" w:rsidR="00D65012" w:rsidRPr="00221992" w:rsidRDefault="002430D5" w:rsidP="00220401">
      <w:pPr>
        <w:rPr>
          <w:lang w:val="en-GB"/>
        </w:rPr>
      </w:pPr>
      <w:r w:rsidRPr="00221992">
        <w:rPr>
          <w:lang w:val="en-GB"/>
        </w:rPr>
        <w:t>I</w:t>
      </w:r>
      <w:r w:rsidR="00D65012" w:rsidRPr="00221992">
        <w:rPr>
          <w:lang w:val="en-GB"/>
        </w:rPr>
        <w:t>n Korea</w:t>
      </w:r>
      <w:r w:rsidR="00260B6F">
        <w:rPr>
          <w:lang w:val="en-GB"/>
        </w:rPr>
        <w:t>,</w:t>
      </w:r>
      <w:r w:rsidR="00D65012" w:rsidRPr="00221992">
        <w:rPr>
          <w:lang w:val="en-GB"/>
        </w:rPr>
        <w:t xml:space="preserve"> an RSA can be applied as part of the pricing and reimbursement process to improve value for money of orphan drugs, which is seen as a way to improve access</w:t>
      </w:r>
      <w:r w:rsidR="002D3987">
        <w:rPr>
          <w:lang w:val="en-GB"/>
        </w:rPr>
        <w:t xml:space="preserve"> </w:t>
      </w:r>
      <w:r w:rsidR="00C12578" w:rsidRPr="00221992">
        <w:rPr>
          <w:lang w:val="en-GB"/>
        </w:rPr>
        <w:fldChar w:fldCharType="begin"/>
      </w:r>
      <w:r w:rsidR="00E5265C">
        <w:rPr>
          <w:lang w:val="en-GB"/>
        </w:rPr>
        <w:instrText xml:space="preserve"> ADDIN EN.CITE &lt;EndNote&gt;&lt;Cite&gt;&lt;Author&gt;Lee&lt;/Author&gt;&lt;Year&gt;2021&lt;/Year&gt;&lt;RecNum&gt;22899&lt;/RecNum&gt;&lt;DisplayText&gt;[161]&lt;/DisplayText&gt;&lt;record&gt;&lt;rec-number&gt;22899&lt;/rec-number&gt;&lt;foreign-keys&gt;&lt;key app="EN" db-id="wvwf2ewpevpr0oer0zmxwpzrwvev5pwf925p" timestamp="1665971467" guid="46f34705-998f-4aee-a0b2-663b310ee392"&gt;22899&lt;/key&gt;&lt;/foreign-keys&gt;&lt;ref-type name="Journal Article"&gt;17&lt;/ref-type&gt;&lt;contributors&gt;&lt;authors&gt;&lt;author&gt;Lee, B.&lt;/author&gt;&lt;author&gt;Bae, E. Y.&lt;/author&gt;&lt;author&gt;Bae, S.&lt;/author&gt;&lt;author&gt;Choi, H. J.&lt;/author&gt;&lt;author&gt;Son, K. B.&lt;/author&gt;&lt;author&gt;Lee, Y. S.&lt;/author&gt;&lt;author&gt;Jang, S.&lt;/author&gt;&lt;author&gt;Lee, T. J.&lt;/author&gt;&lt;/authors&gt;&lt;/contributors&gt;&lt;titles&gt;&lt;title&gt;How can we improve patients&amp;apos; access to new drugs under uncertainties? : South Korea&amp;apos;s experience with risk sharing arrangements&lt;/title&gt;&lt;secondary-title&gt;BMC HEALTH SERVICES RESEARCH&lt;/secondary-title&gt;&lt;/titles&gt;&lt;periodical&gt;&lt;full-title&gt;BMC Health Services Research&lt;/full-title&gt;&lt;/periodical&gt;&lt;volume&gt;21&lt;/volume&gt;&lt;number&gt;1&lt;/number&gt;&lt;dates&gt;&lt;year&gt;2021&lt;/year&gt;&lt;pub-dates&gt;&lt;date&gt;SEP 14&lt;/date&gt;&lt;/pub-dates&gt;&lt;/dates&gt;&lt;isbn&gt;1472-6963&lt;/isbn&gt;&lt;accession-num&gt;WOS:000695838300002&lt;/accession-num&gt;&lt;urls&gt;&lt;/urls&gt;&lt;electronic-resource-num&gt;10.1186/s12913-021-06919-x&lt;/electronic-resource-num&gt;&lt;research-notes&gt;I. R. V. C&lt;/research-notes&gt;&lt;/record&gt;&lt;/Cite&gt;&lt;/EndNote&gt;</w:instrText>
      </w:r>
      <w:r w:rsidR="00C12578" w:rsidRPr="00221992">
        <w:rPr>
          <w:lang w:val="en-GB"/>
        </w:rPr>
        <w:fldChar w:fldCharType="separate"/>
      </w:r>
      <w:r w:rsidR="00E5265C">
        <w:rPr>
          <w:noProof/>
          <w:lang w:val="en-GB"/>
        </w:rPr>
        <w:t>[161]</w:t>
      </w:r>
      <w:r w:rsidR="00C12578" w:rsidRPr="00221992">
        <w:rPr>
          <w:lang w:val="en-GB"/>
        </w:rPr>
        <w:fldChar w:fldCharType="end"/>
      </w:r>
      <w:r w:rsidR="00D65012" w:rsidRPr="00221992">
        <w:rPr>
          <w:lang w:val="en-GB"/>
        </w:rPr>
        <w:t>. In Belgium, it was observed that orphan drugs were often made available</w:t>
      </w:r>
      <w:r w:rsidR="00230089" w:rsidRPr="00221992">
        <w:rPr>
          <w:lang w:val="en-GB"/>
        </w:rPr>
        <w:t>,</w:t>
      </w:r>
      <w:r w:rsidR="00D65012" w:rsidRPr="00221992">
        <w:rPr>
          <w:lang w:val="en-GB"/>
        </w:rPr>
        <w:t xml:space="preserve"> despite clinical uncertainties</w:t>
      </w:r>
      <w:r w:rsidR="00230089" w:rsidRPr="00221992">
        <w:rPr>
          <w:lang w:val="en-GB"/>
        </w:rPr>
        <w:t>,</w:t>
      </w:r>
      <w:r w:rsidR="00D65012" w:rsidRPr="00221992">
        <w:rPr>
          <w:lang w:val="en-GB"/>
        </w:rPr>
        <w:t xml:space="preserve"> through the use of </w:t>
      </w:r>
      <w:r w:rsidR="00260B6F">
        <w:rPr>
          <w:lang w:val="en-GB"/>
        </w:rPr>
        <w:t>MEAs</w:t>
      </w:r>
      <w:r w:rsidR="00091C9D" w:rsidRPr="00221992">
        <w:rPr>
          <w:lang w:val="en-GB"/>
        </w:rPr>
        <w:t xml:space="preserve"> </w:t>
      </w:r>
      <w:r w:rsidR="00D65012" w:rsidRPr="00221992">
        <w:rPr>
          <w:lang w:val="en-GB"/>
        </w:rPr>
        <w:fldChar w:fldCharType="begin"/>
      </w:r>
      <w:r w:rsidR="00E5265C">
        <w:rPr>
          <w:lang w:val="en-GB"/>
        </w:rPr>
        <w:instrText xml:space="preserve"> ADDIN EN.CITE &lt;EndNote&gt;&lt;Cite&gt;&lt;Author&gt;Denis&lt;/Author&gt;&lt;Year&gt;2011&lt;/Year&gt;&lt;RecNum&gt;593&lt;/RecNum&gt;&lt;DisplayText&gt;[162]&lt;/DisplayText&gt;&lt;record&gt;&lt;rec-number&gt;593&lt;/rec-number&gt;&lt;foreign-keys&gt;&lt;key app="EN" db-id="wzwwsfxe4peesxef95cxvrwjxts9rreasarf" timestamp="1692751953"&gt;593&lt;/key&gt;&lt;/foreign-keys&gt;&lt;ref-type name="Journal Article"&gt;17&lt;/ref-type&gt;&lt;contributors&gt;&lt;authors&gt;&lt;author&gt;Denis, A.&lt;/author&gt;&lt;author&gt;Mergaert, L.&lt;/author&gt;&lt;author&gt;Fostier, C.&lt;/author&gt;&lt;author&gt;Cleemput, I.&lt;/author&gt;&lt;author&gt;Hulstaert, F.&lt;/author&gt;&lt;author&gt;Simoens, S.&lt;/author&gt;&lt;/authors&gt;&lt;/contributors&gt;&lt;titles&gt;&lt;title&gt;Critical Assessment of Belgian Reimbursement Dossiers of Orphan Drugs&lt;/title&gt;&lt;secondary-title&gt;PHARMACOECONOMICS&lt;/secondary-title&gt;&lt;/titles&gt;&lt;periodical&gt;&lt;full-title&gt;PharmacoEconomics&lt;/full-title&gt;&lt;/periodical&gt;&lt;pages&gt;883-893&lt;/pages&gt;&lt;volume&gt;29&lt;/volume&gt;&lt;number&gt;10&lt;/number&gt;&lt;dates&gt;&lt;year&gt;2011&lt;/year&gt;&lt;/dates&gt;&lt;isbn&gt;1170-7690&amp;#xD;1179-2027&lt;/isbn&gt;&lt;accession-num&gt;WOS:000295895300006&lt;/accession-num&gt;&lt;urls&gt;&lt;/urls&gt;&lt;electronic-resource-num&gt;10.2165/11585980-000000000-00000&lt;/electronic-resource-num&gt;&lt;research-notes&gt;I. R. V. C&lt;/research-notes&gt;&lt;/record&gt;&lt;/Cite&gt;&lt;/EndNote&gt;</w:instrText>
      </w:r>
      <w:r w:rsidR="00D65012" w:rsidRPr="00221992">
        <w:rPr>
          <w:lang w:val="en-GB"/>
        </w:rPr>
        <w:fldChar w:fldCharType="separate"/>
      </w:r>
      <w:r w:rsidR="00E5265C">
        <w:rPr>
          <w:noProof/>
          <w:lang w:val="en-GB"/>
        </w:rPr>
        <w:t>[162]</w:t>
      </w:r>
      <w:r w:rsidR="00D65012" w:rsidRPr="00221992">
        <w:rPr>
          <w:lang w:val="en-GB"/>
        </w:rPr>
        <w:fldChar w:fldCharType="end"/>
      </w:r>
      <w:r w:rsidR="00D65012" w:rsidRPr="00221992">
        <w:rPr>
          <w:lang w:val="en-GB"/>
        </w:rPr>
        <w:t>.</w:t>
      </w:r>
      <w:r w:rsidR="008A6310">
        <w:rPr>
          <w:lang w:val="en-GB"/>
        </w:rPr>
        <w:t xml:space="preserve"> </w:t>
      </w:r>
    </w:p>
    <w:p w14:paraId="122F9945" w14:textId="291B2B85" w:rsidR="00D65012" w:rsidRPr="00221992" w:rsidRDefault="00260B6F" w:rsidP="00220401">
      <w:pPr>
        <w:rPr>
          <w:lang w:val="en-GB"/>
        </w:rPr>
      </w:pPr>
      <w:r>
        <w:rPr>
          <w:lang w:val="en-GB"/>
        </w:rPr>
        <w:t>Germany follows a</w:t>
      </w:r>
      <w:r w:rsidR="00D65012" w:rsidRPr="00221992">
        <w:rPr>
          <w:lang w:val="en-GB"/>
        </w:rPr>
        <w:t xml:space="preserve"> different approach where</w:t>
      </w:r>
      <w:r>
        <w:rPr>
          <w:lang w:val="en-GB"/>
        </w:rPr>
        <w:t>by</w:t>
      </w:r>
      <w:r w:rsidR="00D65012" w:rsidRPr="00221992">
        <w:rPr>
          <w:lang w:val="en-GB"/>
        </w:rPr>
        <w:t xml:space="preserve"> the price is set freely by the manufacturer for a period of 12 months</w:t>
      </w:r>
      <w:r>
        <w:rPr>
          <w:lang w:val="en-GB"/>
        </w:rPr>
        <w:t>,</w:t>
      </w:r>
      <w:r w:rsidR="00D65012" w:rsidRPr="00221992">
        <w:rPr>
          <w:lang w:val="en-GB"/>
        </w:rPr>
        <w:t xml:space="preserve"> during which the G-BA assesses the extent of additional benefit. In the case of orphan drugs</w:t>
      </w:r>
      <w:r>
        <w:rPr>
          <w:lang w:val="en-GB"/>
        </w:rPr>
        <w:t>,</w:t>
      </w:r>
      <w:r w:rsidR="00D65012" w:rsidRPr="00221992">
        <w:rPr>
          <w:lang w:val="en-GB"/>
        </w:rPr>
        <w:t xml:space="preserve"> if the annual budget exceeds </w:t>
      </w:r>
      <w:r w:rsidR="00D65012" w:rsidRPr="00221992">
        <w:rPr>
          <w:rFonts w:cs="Calibri Light"/>
          <w:lang w:val="en-GB"/>
        </w:rPr>
        <w:t>€</w:t>
      </w:r>
      <w:r w:rsidR="00D65012" w:rsidRPr="00221992">
        <w:rPr>
          <w:lang w:val="en-GB"/>
        </w:rPr>
        <w:t xml:space="preserve">50 million, the price must </w:t>
      </w:r>
      <w:r w:rsidR="009C4AB6">
        <w:rPr>
          <w:lang w:val="en-GB"/>
        </w:rPr>
        <w:t xml:space="preserve">be </w:t>
      </w:r>
      <w:r w:rsidR="00D65012" w:rsidRPr="00221992">
        <w:rPr>
          <w:lang w:val="en-GB"/>
        </w:rPr>
        <w:t>negotiated. The content of the price negotiation is confidential</w:t>
      </w:r>
      <w:r w:rsidR="00091C9D" w:rsidRPr="00221992">
        <w:rPr>
          <w:lang w:val="en-GB"/>
        </w:rPr>
        <w:t xml:space="preserve"> </w:t>
      </w:r>
      <w:r w:rsidR="00C12578" w:rsidRPr="00221992">
        <w:rPr>
          <w:lang w:val="en-GB"/>
        </w:rPr>
        <w:fldChar w:fldCharType="begin"/>
      </w:r>
      <w:r w:rsidR="00E5265C">
        <w:rPr>
          <w:lang w:val="en-GB"/>
        </w:rPr>
        <w:instrText xml:space="preserve"> ADDIN EN.CITE &lt;EndNote&gt;&lt;Cite&gt;&lt;Author&gt;Worm&lt;/Author&gt;&lt;Year&gt;2020&lt;/Year&gt;&lt;RecNum&gt;634&lt;/RecNum&gt;&lt;DisplayText&gt;[157]&lt;/DisplayText&gt;&lt;record&gt;&lt;rec-number&gt;634&lt;/rec-number&gt;&lt;foreign-keys&gt;&lt;key app="EN" db-id="wzwwsfxe4peesxef95cxvrwjxts9rreasarf" timestamp="1693186424"&gt;634&lt;/key&gt;&lt;/foreign-keys&gt;&lt;ref-type name="Journal Article"&gt;17&lt;/ref-type&gt;&lt;contributors&gt;&lt;authors&gt;&lt;author&gt;Worm, F.&lt;/author&gt;&lt;author&gt;Dintsios, C. M.&lt;/author&gt;&lt;/authors&gt;&lt;/contributors&gt;&lt;auth-address&gt;Health Economics, University Duisburg-Essen, Essen, Germany.&amp;#xD;Institute for Health Services Research and Health Economics, Medical Faculty, Heinrich-Heine-University Düsseldorf, Building: 12.49, Moorenstr. 5, 40225, Düsseldorf, Germany. dintsios@hhu.de.&lt;/auth-address&gt;&lt;titles&gt;&lt;title&gt;Determinants of Orphan Drug Prices in Germany&lt;/title&gt;&lt;secondary-title&gt;Pharmacoeconomics&lt;/secondary-title&gt;&lt;/titles&gt;&lt;periodical&gt;&lt;full-title&gt;PharmacoEconomics&lt;/full-title&gt;&lt;/periodical&gt;&lt;pages&gt;397-411&lt;/pages&gt;&lt;volume&gt;38&lt;/volume&gt;&lt;number&gt;4&lt;/number&gt;&lt;keywords&gt;&lt;keyword&gt;Adult&lt;/keyword&gt;&lt;keyword&gt;Child&lt;/keyword&gt;&lt;keyword&gt;Costs and Cost Analysis&lt;/keyword&gt;&lt;keyword&gt;Drug Costs/*statistics &amp;amp; numerical data&lt;/keyword&gt;&lt;keyword&gt;Drug Industry/economics&lt;/keyword&gt;&lt;keyword&gt;Germany&lt;/keyword&gt;&lt;keyword&gt;Humans&lt;/keyword&gt;&lt;keyword&gt;Least-Squares Analysis&lt;/keyword&gt;&lt;keyword&gt;Orphan Drug Production/*economics&lt;/keyword&gt;&lt;keyword&gt;Pediatrics/economics&lt;/keyword&gt;&lt;keyword&gt;Population Density&lt;/keyword&gt;&lt;/keywords&gt;&lt;dates&gt;&lt;year&gt;2020&lt;/year&gt;&lt;pub-dates&gt;&lt;date&gt;Apr&lt;/date&gt;&lt;/pub-dates&gt;&lt;/dates&gt;&lt;isbn&gt;1170-7690&lt;/isbn&gt;&lt;accession-num&gt;31903523&lt;/accession-num&gt;&lt;urls&gt;&lt;/urls&gt;&lt;electronic-resource-num&gt;10.1007/s40273-019-00872-8&lt;/electronic-resource-num&gt;&lt;remote-database-provider&gt;NLM&lt;/remote-database-provider&gt;&lt;language&gt;eng&lt;/language&gt;&lt;/record&gt;&lt;/Cite&gt;&lt;/EndNote&gt;</w:instrText>
      </w:r>
      <w:r w:rsidR="00C12578" w:rsidRPr="00221992">
        <w:rPr>
          <w:lang w:val="en-GB"/>
        </w:rPr>
        <w:fldChar w:fldCharType="separate"/>
      </w:r>
      <w:r w:rsidR="00E5265C">
        <w:rPr>
          <w:noProof/>
          <w:lang w:val="en-GB"/>
        </w:rPr>
        <w:t>[157]</w:t>
      </w:r>
      <w:r w:rsidR="00C12578" w:rsidRPr="00221992">
        <w:rPr>
          <w:lang w:val="en-GB"/>
        </w:rPr>
        <w:fldChar w:fldCharType="end"/>
      </w:r>
      <w:r w:rsidR="00D65012" w:rsidRPr="00221992">
        <w:rPr>
          <w:lang w:val="en-GB"/>
        </w:rPr>
        <w:t xml:space="preserve">. </w:t>
      </w:r>
    </w:p>
    <w:p w14:paraId="182C7CC9" w14:textId="7E2F66D6" w:rsidR="00B47225" w:rsidRPr="00221992" w:rsidRDefault="00A54D27" w:rsidP="00220401">
      <w:pPr>
        <w:rPr>
          <w:lang w:val="en-GB"/>
        </w:rPr>
      </w:pPr>
      <w:r w:rsidRPr="00221992">
        <w:rPr>
          <w:lang w:val="en-GB"/>
        </w:rPr>
        <w:t>The application of pricing exemptions</w:t>
      </w:r>
      <w:r w:rsidR="00B47225" w:rsidRPr="00221992">
        <w:rPr>
          <w:lang w:val="en-GB"/>
        </w:rPr>
        <w:t xml:space="preserve"> </w:t>
      </w:r>
      <w:r w:rsidRPr="00221992">
        <w:rPr>
          <w:lang w:val="en-GB"/>
        </w:rPr>
        <w:t>as a mechanism to facilitate access to drugs for rare diseases has also been used in Italy and Japan</w:t>
      </w:r>
      <w:r w:rsidR="00B47225" w:rsidRPr="00221992">
        <w:rPr>
          <w:lang w:val="en-GB"/>
        </w:rPr>
        <w:t xml:space="preserve">. </w:t>
      </w:r>
      <w:r w:rsidRPr="00221992">
        <w:rPr>
          <w:lang w:val="en-GB"/>
        </w:rPr>
        <w:t>For example, t</w:t>
      </w:r>
      <w:r w:rsidR="00B47225" w:rsidRPr="00221992">
        <w:rPr>
          <w:lang w:val="en-GB"/>
        </w:rPr>
        <w:t>herapies funded via the innovative drug fund in Italy are exempted from expenditure paybacks. Similarly, in Japan, drugs with an orphan designation are exempted from annual price cuts</w:t>
      </w:r>
      <w:r w:rsidR="00091C9D" w:rsidRPr="00221992">
        <w:rPr>
          <w:lang w:val="en-GB"/>
        </w:rPr>
        <w:t xml:space="preserve"> </w:t>
      </w:r>
      <w:r w:rsidR="00C12578" w:rsidRPr="00221992">
        <w:rPr>
          <w:lang w:val="en-GB"/>
        </w:rPr>
        <w:fldChar w:fldCharType="begin"/>
      </w:r>
      <w:r w:rsidR="00E5265C">
        <w:rPr>
          <w:lang w:val="en-GB"/>
        </w:rPr>
        <w:instrText xml:space="preserve"> ADDIN EN.CITE &lt;EndNote&gt;&lt;Cite&gt;&lt;Author&gt;L.E.K Consulting&lt;/Author&gt;&lt;Year&gt;2020&lt;/Year&gt;&lt;RecNum&gt;635&lt;/RecNum&gt;&lt;DisplayText&gt;[163]&lt;/DisplayText&gt;&lt;record&gt;&lt;rec-number&gt;635&lt;/rec-number&gt;&lt;foreign-keys&gt;&lt;key app="EN" db-id="wzwwsfxe4peesxef95cxvrwjxts9rreasarf" timestamp="1693186424"&gt;635&lt;/key&gt;&lt;/foreign-keys&gt;&lt;ref-type name="Report"&gt;27&lt;/ref-type&gt;&lt;contributors&gt;&lt;authors&gt;&lt;author&gt;L.E.K Consulting,&lt;/author&gt;&lt;/authors&gt;&lt;/contributors&gt;&lt;titles&gt;&lt;title&gt;Weighing the Trade-offs of a Direct Presence in Japan’s Rare and Orphan Drug Market&lt;/title&gt;&lt;/titles&gt;&lt;dates&gt;&lt;year&gt;2020&lt;/year&gt;&lt;/dates&gt;&lt;urls&gt;&lt;related-urls&gt;&lt;url&gt;https://www.lek.com/sites/default/files/insights/pdf-attachments/JPN-rare-orphan-drug-market.pdf&lt;/url&gt;&lt;/related-urls&gt;&lt;/urls&gt;&lt;/record&gt;&lt;/Cite&gt;&lt;/EndNote&gt;</w:instrText>
      </w:r>
      <w:r w:rsidR="00C12578" w:rsidRPr="00221992">
        <w:rPr>
          <w:lang w:val="en-GB"/>
        </w:rPr>
        <w:fldChar w:fldCharType="separate"/>
      </w:r>
      <w:r w:rsidR="00E5265C">
        <w:rPr>
          <w:noProof/>
          <w:lang w:val="en-GB"/>
        </w:rPr>
        <w:t>[163]</w:t>
      </w:r>
      <w:r w:rsidR="00C12578" w:rsidRPr="00221992">
        <w:rPr>
          <w:lang w:val="en-GB"/>
        </w:rPr>
        <w:fldChar w:fldCharType="end"/>
      </w:r>
      <w:r w:rsidR="00B47225" w:rsidRPr="00221992">
        <w:rPr>
          <w:lang w:val="en-GB"/>
        </w:rPr>
        <w:t xml:space="preserve">. </w:t>
      </w:r>
    </w:p>
    <w:p w14:paraId="4FB65292" w14:textId="77777777" w:rsidR="00D65012" w:rsidRPr="00221992" w:rsidRDefault="00D65012" w:rsidP="00190C32">
      <w:pPr>
        <w:rPr>
          <w:rFonts w:ascii="Calibri" w:hAnsi="Calibri" w:cs="Calibri"/>
          <w:b/>
          <w:lang w:val="en-GB"/>
        </w:rPr>
      </w:pPr>
      <w:bookmarkStart w:id="146" w:name="_Toc142742677"/>
      <w:bookmarkStart w:id="147" w:name="_Ref143201597"/>
      <w:r w:rsidRPr="00221992">
        <w:rPr>
          <w:rFonts w:ascii="Calibri" w:hAnsi="Calibri" w:cs="Calibri"/>
          <w:b/>
          <w:lang w:val="en-GB"/>
        </w:rPr>
        <w:t>Case study: South Korea—Separate pathways, special requirements</w:t>
      </w:r>
      <w:bookmarkEnd w:id="146"/>
      <w:bookmarkEnd w:id="147"/>
    </w:p>
    <w:p w14:paraId="7DBC5609" w14:textId="5D1A6AB7" w:rsidR="00D65012" w:rsidRPr="00221992" w:rsidRDefault="00634ADE" w:rsidP="00AE5643">
      <w:pPr>
        <w:rPr>
          <w:lang w:val="en-GB"/>
        </w:rPr>
      </w:pPr>
      <w:r w:rsidRPr="00221992">
        <w:rPr>
          <w:lang w:val="en-GB"/>
        </w:rPr>
        <w:t>In Korea, the definition provided in the Orphan Drugs Guideline (2003)</w:t>
      </w:r>
      <w:r w:rsidR="00260B6F">
        <w:rPr>
          <w:lang w:val="en-GB"/>
        </w:rPr>
        <w:t xml:space="preserve">, i.e., </w:t>
      </w:r>
      <w:r w:rsidR="00260B6F" w:rsidRPr="00221992">
        <w:rPr>
          <w:lang w:val="en-GB"/>
        </w:rPr>
        <w:t>a condition that affects fewer than 20,000 people in Korea</w:t>
      </w:r>
      <w:r w:rsidR="00260B6F">
        <w:rPr>
          <w:lang w:val="en-GB"/>
        </w:rPr>
        <w:t>,</w:t>
      </w:r>
      <w:r w:rsidRPr="00221992">
        <w:rPr>
          <w:lang w:val="en-GB"/>
        </w:rPr>
        <w:t xml:space="preserve"> is used for pricing and reimbursement purposes </w:t>
      </w:r>
      <w:r w:rsidRPr="00221992">
        <w:rPr>
          <w:lang w:val="en-GB"/>
        </w:rPr>
        <w:fldChar w:fldCharType="begin">
          <w:fldData xml:space="preserve">PEVuZE5vdGU+PENpdGU+PEF1dGhvcj5Tb25nPC9BdXRob3I+PFllYXI+MjAxMjwvWWVhcj48UmVj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</w:fldData>
        </w:fldChar>
      </w:r>
      <w:r w:rsidR="00E5265C">
        <w:rPr>
          <w:lang w:val="en-GB"/>
        </w:rPr>
        <w:instrText xml:space="preserve"> ADDIN EN.CITE </w:instrText>
      </w:r>
      <w:r w:rsidR="00E5265C">
        <w:rPr>
          <w:lang w:val="en-GB"/>
        </w:rPr>
        <w:fldChar w:fldCharType="begin">
          <w:fldData xml:space="preserve">PEVuZE5vdGU+PENpdGU+PEF1dGhvcj5Tb25nPC9BdXRob3I+PFllYXI+MjAxMjwvWWVhcj48UmVj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</w:fldData>
        </w:fldChar>
      </w:r>
      <w:r w:rsidR="00E5265C">
        <w:rPr>
          <w:lang w:val="en-GB"/>
        </w:rPr>
        <w:instrText xml:space="preserve"> ADDIN EN.CITE.DATA </w:instrText>
      </w:r>
      <w:r w:rsidR="00E5265C">
        <w:rPr>
          <w:lang w:val="en-GB"/>
        </w:rPr>
      </w:r>
      <w:r w:rsidR="00E5265C">
        <w:rPr>
          <w:lang w:val="en-GB"/>
        </w:rPr>
        <w:fldChar w:fldCharType="end"/>
      </w:r>
      <w:r w:rsidRPr="00221992">
        <w:rPr>
          <w:lang w:val="en-GB"/>
        </w:rPr>
      </w:r>
      <w:r w:rsidRPr="00221992">
        <w:rPr>
          <w:lang w:val="en-GB"/>
        </w:rPr>
        <w:fldChar w:fldCharType="separate"/>
      </w:r>
      <w:r w:rsidR="00E5265C">
        <w:rPr>
          <w:noProof/>
          <w:lang w:val="en-GB"/>
        </w:rPr>
        <w:t>[164]</w:t>
      </w:r>
      <w:r w:rsidRPr="00221992">
        <w:rPr>
          <w:lang w:val="en-GB"/>
        </w:rPr>
        <w:fldChar w:fldCharType="end"/>
      </w:r>
      <w:r w:rsidRPr="00221992">
        <w:rPr>
          <w:lang w:val="en-GB"/>
        </w:rPr>
        <w:t xml:space="preserve">. </w:t>
      </w:r>
      <w:r w:rsidR="00260B6F">
        <w:rPr>
          <w:lang w:val="en-GB"/>
        </w:rPr>
        <w:t>D</w:t>
      </w:r>
      <w:r w:rsidR="00D65012" w:rsidRPr="00221992">
        <w:rPr>
          <w:lang w:val="en-GB"/>
        </w:rPr>
        <w:t xml:space="preserve">rug reimbursement is a 2-tier process </w:t>
      </w:r>
      <w:r w:rsidR="00260B6F">
        <w:rPr>
          <w:lang w:val="en-GB"/>
        </w:rPr>
        <w:t>de</w:t>
      </w:r>
      <w:r w:rsidR="00D65012" w:rsidRPr="00221992">
        <w:rPr>
          <w:lang w:val="en-GB"/>
        </w:rPr>
        <w:t>pending on whether the new drug has a comparator. Given that most drugs for rare diseases do not have a comparator, they would generally follow two of four possible pathways: 1) Essential drugs; 2) Pharmacoeconomic PE) waiver; 3) weighted average price (WAP</w:t>
      </w:r>
      <w:r w:rsidR="00230089" w:rsidRPr="00221992">
        <w:rPr>
          <w:lang w:val="en-GB"/>
        </w:rPr>
        <w:t>)</w:t>
      </w:r>
      <w:r w:rsidR="00D65012" w:rsidRPr="00221992">
        <w:rPr>
          <w:lang w:val="en-GB"/>
        </w:rPr>
        <w:t xml:space="preserve">; 4) PE. </w:t>
      </w:r>
      <w:r w:rsidR="00260B6F">
        <w:rPr>
          <w:lang w:val="en-GB"/>
        </w:rPr>
        <w:t>Due to</w:t>
      </w:r>
      <w:r w:rsidR="00260B6F" w:rsidRPr="00221992">
        <w:rPr>
          <w:lang w:val="en-GB"/>
        </w:rPr>
        <w:t xml:space="preserve"> prevalence criteria</w:t>
      </w:r>
      <w:r w:rsidR="00260B6F">
        <w:rPr>
          <w:lang w:val="en-GB"/>
        </w:rPr>
        <w:t>, t</w:t>
      </w:r>
      <w:r w:rsidR="00D65012" w:rsidRPr="00221992">
        <w:rPr>
          <w:lang w:val="en-GB"/>
        </w:rPr>
        <w:t>he PE waiver pathway is specific</w:t>
      </w:r>
      <w:r w:rsidR="00260B6F">
        <w:rPr>
          <w:lang w:val="en-GB"/>
        </w:rPr>
        <w:t>ally</w:t>
      </w:r>
      <w:r w:rsidR="00D65012" w:rsidRPr="00221992">
        <w:rPr>
          <w:lang w:val="en-GB"/>
        </w:rPr>
        <w:t xml:space="preserve"> for orphan drugs. In addition, there must be no other treatment available for the condition. Other eligibility criteria for this pathway </w:t>
      </w:r>
      <w:r w:rsidR="005B3DD0">
        <w:rPr>
          <w:lang w:val="en-GB"/>
        </w:rPr>
        <w:t>include</w:t>
      </w:r>
      <w:r w:rsidR="005B3DD0" w:rsidRPr="00221992">
        <w:rPr>
          <w:lang w:val="en-GB"/>
        </w:rPr>
        <w:t xml:space="preserve"> </w:t>
      </w:r>
      <w:r w:rsidR="00D65012" w:rsidRPr="00221992">
        <w:rPr>
          <w:lang w:val="en-GB"/>
        </w:rPr>
        <w:t xml:space="preserve">severity of the condition and positive reimbursement status in at least three of the following countries: UK, Italy, France, Germany, Switzerland, the US, and Japan (the so-called A7 countries). If these criteria are met, then </w:t>
      </w:r>
      <w:r w:rsidR="005B3DD0">
        <w:rPr>
          <w:lang w:val="en-GB"/>
        </w:rPr>
        <w:t>the</w:t>
      </w:r>
      <w:r w:rsidR="00D65012" w:rsidRPr="00221992">
        <w:rPr>
          <w:lang w:val="en-GB"/>
        </w:rPr>
        <w:t xml:space="preserve"> </w:t>
      </w:r>
      <w:r w:rsidR="002430D5" w:rsidRPr="00221992">
        <w:rPr>
          <w:lang w:val="en-GB"/>
        </w:rPr>
        <w:t xml:space="preserve">sponsor </w:t>
      </w:r>
      <w:r w:rsidR="00D65012" w:rsidRPr="00221992">
        <w:rPr>
          <w:lang w:val="en-GB"/>
        </w:rPr>
        <w:t>is exempted from presenting cost-effectiveness evidence, which may lead to shorter review periods. In addition to the criteria for the PE waiver pathway, the Essential Drug (ED) pathway requires a clinically meaningful improvement (</w:t>
      </w:r>
      <w:r w:rsidR="008A3C46">
        <w:rPr>
          <w:lang w:val="en-GB"/>
        </w:rPr>
        <w:t xml:space="preserve">e.g., </w:t>
      </w:r>
      <w:r w:rsidR="00D65012" w:rsidRPr="00221992">
        <w:rPr>
          <w:lang w:val="en-GB"/>
        </w:rPr>
        <w:t>significant extension of survival period). Depending on the pathway followed, different pricing mechanisms are in place. It is assumed that the cost-effective price is the lowest adjusted price or the average adjusted price of the A7 countries if the drug follows the PE or ED pathways, respectively (see</w:t>
      </w:r>
      <w:r w:rsidR="00BE5F6D" w:rsidRPr="00221992">
        <w:rPr>
          <w:lang w:val="en-GB"/>
        </w:rPr>
        <w:t xml:space="preserve"> </w:t>
      </w:r>
      <w:r w:rsidR="00BE5F6D" w:rsidRPr="00221992">
        <w:rPr>
          <w:lang w:val="en-GB"/>
        </w:rPr>
        <w:fldChar w:fldCharType="begin"/>
      </w:r>
      <w:r w:rsidR="00BE5F6D" w:rsidRPr="00221992">
        <w:rPr>
          <w:lang w:val="en-GB"/>
        </w:rPr>
        <w:instrText xml:space="preserve"> REF _Ref143597230 \h </w:instrText>
      </w:r>
      <w:r w:rsidR="00BE5F6D" w:rsidRPr="00221992">
        <w:rPr>
          <w:lang w:val="en-GB"/>
        </w:rPr>
      </w:r>
      <w:r w:rsidR="00BE5F6D" w:rsidRPr="00221992">
        <w:rPr>
          <w:lang w:val="en-GB"/>
        </w:rPr>
        <w:fldChar w:fldCharType="separate"/>
      </w:r>
      <w:r w:rsidR="000E11E7" w:rsidRPr="00221992">
        <w:rPr>
          <w:lang w:val="en-GB"/>
        </w:rPr>
        <w:t xml:space="preserve">Figure </w:t>
      </w:r>
      <w:r w:rsidR="000E11E7">
        <w:rPr>
          <w:noProof/>
          <w:lang w:val="en-GB"/>
        </w:rPr>
        <w:t>28</w:t>
      </w:r>
      <w:r w:rsidR="00BE5F6D" w:rsidRPr="00221992">
        <w:rPr>
          <w:lang w:val="en-GB"/>
        </w:rPr>
        <w:fldChar w:fldCharType="end"/>
      </w:r>
      <w:r w:rsidR="00D65012" w:rsidRPr="00221992">
        <w:rPr>
          <w:lang w:val="en-GB"/>
        </w:rPr>
        <w:t>)</w:t>
      </w:r>
      <w:r w:rsidR="00F02F87" w:rsidRPr="00221992">
        <w:rPr>
          <w:lang w:val="en-GB"/>
        </w:rPr>
        <w:t xml:space="preserve"> </w:t>
      </w:r>
      <w:r w:rsidR="00D65012" w:rsidRPr="00221992">
        <w:rPr>
          <w:lang w:val="en-GB"/>
        </w:rPr>
        <w:fldChar w:fldCharType="begin">
          <w:fldData xml:space="preserve">PEVuZE5vdGU+PENpdGU+PEF1dGhvcj5CYW5nPC9BdXRob3I+PFllYXI+MjAyMTwvWWVhcj48UmVj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</w:fldData>
        </w:fldChar>
      </w:r>
      <w:r w:rsidR="00E5265C">
        <w:rPr>
          <w:lang w:val="en-GB"/>
        </w:rPr>
        <w:instrText xml:space="preserve"> ADDIN EN.CITE </w:instrText>
      </w:r>
      <w:r w:rsidR="00E5265C">
        <w:rPr>
          <w:lang w:val="en-GB"/>
        </w:rPr>
        <w:fldChar w:fldCharType="begin">
          <w:fldData xml:space="preserve">PEVuZE5vdGU+PENpdGU+PEF1dGhvcj5CYW5nPC9BdXRob3I+PFllYXI+MjAyMTwvWWVhcj48UmVj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</w:fldData>
        </w:fldChar>
      </w:r>
      <w:r w:rsidR="00E5265C">
        <w:rPr>
          <w:lang w:val="en-GB"/>
        </w:rPr>
        <w:instrText xml:space="preserve"> ADDIN EN.CITE.DATA </w:instrText>
      </w:r>
      <w:r w:rsidR="00E5265C">
        <w:rPr>
          <w:lang w:val="en-GB"/>
        </w:rPr>
      </w:r>
      <w:r w:rsidR="00E5265C">
        <w:rPr>
          <w:lang w:val="en-GB"/>
        </w:rPr>
        <w:fldChar w:fldCharType="end"/>
      </w:r>
      <w:r w:rsidR="00D65012" w:rsidRPr="00221992">
        <w:rPr>
          <w:lang w:val="en-GB"/>
        </w:rPr>
      </w:r>
      <w:r w:rsidR="00D65012" w:rsidRPr="00221992">
        <w:rPr>
          <w:lang w:val="en-GB"/>
        </w:rPr>
        <w:fldChar w:fldCharType="separate"/>
      </w:r>
      <w:r w:rsidR="00E5265C">
        <w:rPr>
          <w:noProof/>
          <w:lang w:val="en-GB"/>
        </w:rPr>
        <w:t>[165-168]</w:t>
      </w:r>
      <w:r w:rsidR="00D65012" w:rsidRPr="00221992">
        <w:rPr>
          <w:lang w:val="en-GB"/>
        </w:rPr>
        <w:fldChar w:fldCharType="end"/>
      </w:r>
      <w:r w:rsidR="00D65012" w:rsidRPr="00221992">
        <w:rPr>
          <w:lang w:val="en-GB"/>
        </w:rPr>
        <w:t xml:space="preserve">. </w:t>
      </w:r>
    </w:p>
    <w:p w14:paraId="3D3D924D" w14:textId="6F152131" w:rsidR="00D65012" w:rsidRPr="00221992" w:rsidRDefault="00D65012" w:rsidP="00AE5643">
      <w:pPr>
        <w:rPr>
          <w:lang w:val="en-GB"/>
        </w:rPr>
      </w:pPr>
      <w:r w:rsidRPr="00221992">
        <w:rPr>
          <w:lang w:val="en-GB"/>
        </w:rPr>
        <w:t>When an alternative treatment is available in Korea, the possible reimbursement pathways are the WAP or the PE pathways. Orphan drugs may be eligible for a price negotiation waiver if the manufacturer</w:t>
      </w:r>
      <w:r w:rsidR="002950BB">
        <w:rPr>
          <w:lang w:val="en-GB"/>
        </w:rPr>
        <w:t>’s</w:t>
      </w:r>
      <w:r w:rsidRPr="00221992">
        <w:rPr>
          <w:lang w:val="en-GB"/>
        </w:rPr>
        <w:t xml:space="preserve"> proposed price </w:t>
      </w:r>
      <w:r w:rsidR="002950BB">
        <w:rPr>
          <w:lang w:val="en-GB"/>
        </w:rPr>
        <w:t>is</w:t>
      </w:r>
      <w:r w:rsidR="002950BB" w:rsidRPr="00221992">
        <w:rPr>
          <w:lang w:val="en-GB"/>
        </w:rPr>
        <w:t xml:space="preserve"> </w:t>
      </w:r>
      <w:r w:rsidRPr="00221992">
        <w:rPr>
          <w:lang w:val="en-GB"/>
        </w:rPr>
        <w:t>100% of the WAP price</w:t>
      </w:r>
      <w:r w:rsidR="002D3987">
        <w:rPr>
          <w:lang w:val="en-GB"/>
        </w:rPr>
        <w:t xml:space="preserve"> </w:t>
      </w:r>
      <w:r w:rsidRPr="00221992">
        <w:rPr>
          <w:lang w:val="en-GB"/>
        </w:rPr>
        <w:fldChar w:fldCharType="begin"/>
      </w:r>
      <w:r w:rsidR="00E5265C">
        <w:rPr>
          <w:lang w:val="en-GB"/>
        </w:rPr>
        <w:instrText xml:space="preserve"> ADDIN EN.CITE &lt;EndNote&gt;&lt;Cite&gt;&lt;Author&gt;Bang&lt;/Author&gt;&lt;Year&gt;2021&lt;/Year&gt;&lt;RecNum&gt;603&lt;/RecNum&gt;&lt;DisplayText&gt;[165]&lt;/DisplayText&gt;&lt;record&gt;&lt;rec-number&gt;603&lt;/rec-number&gt;&lt;foreign-keys&gt;&lt;key app="EN" db-id="wzwwsfxe4peesxef95cxvrwjxts9rreasarf" timestamp="1692751953"&gt;603&lt;/key&gt;&lt;/foreign-keys&gt;&lt;ref-type name="Journal Article"&gt;17&lt;/ref-type&gt;&lt;contributors&gt;&lt;authors&gt;&lt;author&gt;Bang, J. S.&lt;/author&gt;&lt;author&gt;Lee, J. H.&lt;/author&gt;&lt;/authors&gt;&lt;/contributors&gt;&lt;auth-address&gt;(Bang) College of Pharmacy, Sookmyung Women&amp;apos;s University, Seoul, South Korea (Lee) Department of Pharmaceutical Engineering, Hoseo University, Asan, South Korea&lt;/auth-address&gt;&lt;titles&gt;&lt;title&gt;The national drug formulary listing process for orphan drugs in South Korea: narrative review focused on pricing and reimbursement pathways&lt;/title&gt;&lt;secondary-title&gt;Expert Opinion on Orphan Drugs&lt;/secondary-title&gt;&lt;/titles&gt;&lt;periodical&gt;&lt;full-title&gt;Expert Opinion on Orphan Drugs&lt;/full-title&gt;&lt;/periodical&gt;&lt;pages&gt;105-112&lt;/pages&gt;&lt;volume&gt;9(4)&lt;/volume&gt;&lt;keywords&gt;&lt;keyword&gt;cost effectiveness analysis&lt;/keyword&gt;&lt;keyword&gt;drug approval&lt;/keyword&gt;&lt;keyword&gt;drug cost&lt;/keyword&gt;&lt;keyword&gt;drug formulary&lt;/keyword&gt;&lt;keyword&gt;drug industry&lt;/keyword&gt;&lt;keyword&gt;drug marketing&lt;/keyword&gt;&lt;keyword&gt;government regulation&lt;/keyword&gt;&lt;keyword&gt;human&lt;/keyword&gt;&lt;keyword&gt;multicriteria decision analysis&lt;/keyword&gt;&lt;keyword&gt;priority journal&lt;/keyword&gt;&lt;keyword&gt;rare disease&lt;/keyword&gt;&lt;keyword&gt;reimbursement&lt;/keyword&gt;&lt;keyword&gt;review&lt;/keyword&gt;&lt;keyword&gt;South Korea&lt;/keyword&gt;&lt;keyword&gt;stakeholder engagement&lt;/keyword&gt;&lt;keyword&gt;orphan drug/pe [Pharmacoeconomics]&lt;/keyword&gt;&lt;/keywords&gt;&lt;dates&gt;&lt;year&gt;2021&lt;/year&gt;&lt;/dates&gt;&lt;accession-num&gt;2011141266&lt;/accession-num&gt;&lt;urls&gt;&lt;related-urls&gt;&lt;url&gt;https://ezproxy.lib.uts.edu.au/login?url=http://ovidsp.ovid.com/ovidweb.cgi?T=JS&amp;amp;CSC=Y&amp;amp;NEWS=N&amp;amp;PAGE=fulltext&amp;amp;D=emexa&amp;amp;AN=2011141266&lt;/url&gt;&lt;/related-urls&gt;&lt;/urls&gt;&lt;remote-database-name&gt;Embase&lt;/remote-database-name&gt;&lt;remote-database-provider&gt;Ovid Technologies&lt;/remote-database-provider&gt;&lt;research-notes&gt;I. R. V. C&lt;/research-notes&gt;&lt;/record&gt;&lt;/Cite&gt;&lt;/EndNote&gt;</w:instrText>
      </w:r>
      <w:r w:rsidRPr="00221992">
        <w:rPr>
          <w:lang w:val="en-GB"/>
        </w:rPr>
        <w:fldChar w:fldCharType="separate"/>
      </w:r>
      <w:r w:rsidR="00E5265C">
        <w:rPr>
          <w:noProof/>
          <w:lang w:val="en-GB"/>
        </w:rPr>
        <w:t>[165]</w:t>
      </w:r>
      <w:r w:rsidRPr="00221992">
        <w:rPr>
          <w:lang w:val="en-GB"/>
        </w:rPr>
        <w:fldChar w:fldCharType="end"/>
      </w:r>
      <w:r w:rsidRPr="00221992">
        <w:rPr>
          <w:lang w:val="en-GB"/>
        </w:rPr>
        <w:t>. If the orphan drug follows the PE pathway, a higher threshold may be applicable. In Korea, although there is no explicit threshold, 1 x GDP per capita is commonly used</w:t>
      </w:r>
      <w:r w:rsidR="00BF41A6" w:rsidRPr="00221992">
        <w:rPr>
          <w:lang w:val="en-GB"/>
        </w:rPr>
        <w:t xml:space="preserve"> as a reference</w:t>
      </w:r>
      <w:r w:rsidRPr="00221992">
        <w:rPr>
          <w:lang w:val="en-GB"/>
        </w:rPr>
        <w:t>. For orphan drugs</w:t>
      </w:r>
      <w:r w:rsidR="002950BB">
        <w:rPr>
          <w:lang w:val="en-GB"/>
        </w:rPr>
        <w:t>,</w:t>
      </w:r>
      <w:r w:rsidRPr="00221992">
        <w:rPr>
          <w:lang w:val="en-GB"/>
        </w:rPr>
        <w:t xml:space="preserve"> the threshold can be increased to 2 </w:t>
      </w:r>
      <w:r w:rsidR="002950BB">
        <w:rPr>
          <w:lang w:val="en-GB"/>
        </w:rPr>
        <w:t xml:space="preserve">x </w:t>
      </w:r>
      <w:r w:rsidRPr="00221992">
        <w:rPr>
          <w:lang w:val="en-GB"/>
        </w:rPr>
        <w:t>GDP per capita</w:t>
      </w:r>
      <w:r w:rsidR="00F02F87" w:rsidRPr="00221992">
        <w:rPr>
          <w:lang w:val="en-GB"/>
        </w:rPr>
        <w:t xml:space="preserve"> </w:t>
      </w:r>
      <w:r w:rsidRPr="00221992">
        <w:rPr>
          <w:lang w:val="en-GB"/>
        </w:rPr>
        <w:fldChar w:fldCharType="begin"/>
      </w:r>
      <w:r w:rsidR="00E5265C">
        <w:rPr>
          <w:lang w:val="en-GB"/>
        </w:rPr>
        <w:instrText xml:space="preserve"> ADDIN EN.CITE &lt;EndNote&gt;&lt;Cite&gt;&lt;Author&gt;Bang&lt;/Author&gt;&lt;Year&gt;2021&lt;/Year&gt;&lt;RecNum&gt;603&lt;/RecNum&gt;&lt;DisplayText&gt;[165]&lt;/DisplayText&gt;&lt;record&gt;&lt;rec-number&gt;603&lt;/rec-number&gt;&lt;foreign-keys&gt;&lt;key app="EN" db-id="wzwwsfxe4peesxef95cxvrwjxts9rreasarf" timestamp="1692751953"&gt;603&lt;/key&gt;&lt;/foreign-keys&gt;&lt;ref-type name="Journal Article"&gt;17&lt;/ref-type&gt;&lt;contributors&gt;&lt;authors&gt;&lt;author&gt;Bang, J. S.&lt;/author&gt;&lt;author&gt;Lee, J. H.&lt;/author&gt;&lt;/authors&gt;&lt;/contributors&gt;&lt;auth-address&gt;(Bang) College of Pharmacy, Sookmyung Women&amp;apos;s University, Seoul, South Korea (Lee) Department of Pharmaceutical Engineering, Hoseo University, Asan, South Korea&lt;/auth-address&gt;&lt;titles&gt;&lt;title&gt;The national drug formulary listing process for orphan drugs in South Korea: narrative review focused on pricing and reimbursement pathways&lt;/title&gt;&lt;secondary-title&gt;Expert Opinion on Orphan Drugs&lt;/secondary-title&gt;&lt;/titles&gt;&lt;periodical&gt;&lt;full-title&gt;Expert Opinion on Orphan Drugs&lt;/full-title&gt;&lt;/periodical&gt;&lt;pages&gt;105-112&lt;/pages&gt;&lt;volume&gt;9(4)&lt;/volume&gt;&lt;keywords&gt;&lt;keyword&gt;cost effectiveness analysis&lt;/keyword&gt;&lt;keyword&gt;drug approval&lt;/keyword&gt;&lt;keyword&gt;drug cost&lt;/keyword&gt;&lt;keyword&gt;drug formulary&lt;/keyword&gt;&lt;keyword&gt;drug industry&lt;/keyword&gt;&lt;keyword&gt;drug marketing&lt;/keyword&gt;&lt;keyword&gt;government regulation&lt;/keyword&gt;&lt;keyword&gt;human&lt;/keyword&gt;&lt;keyword&gt;multicriteria decision analysis&lt;/keyword&gt;&lt;keyword&gt;priority journal&lt;/keyword&gt;&lt;keyword&gt;rare disease&lt;/keyword&gt;&lt;keyword&gt;reimbursement&lt;/keyword&gt;&lt;keyword&gt;review&lt;/keyword&gt;&lt;keyword&gt;South Korea&lt;/keyword&gt;&lt;keyword&gt;stakeholder engagement&lt;/keyword&gt;&lt;keyword&gt;orphan drug/pe [Pharmacoeconomics]&lt;/keyword&gt;&lt;/keywords&gt;&lt;dates&gt;&lt;year&gt;2021&lt;/year&gt;&lt;/dates&gt;&lt;accession-num&gt;2011141266&lt;/accession-num&gt;&lt;urls&gt;&lt;related-urls&gt;&lt;url&gt;https://ezproxy.lib.uts.edu.au/login?url=http://ovidsp.ovid.com/ovidweb.cgi?T=JS&amp;amp;CSC=Y&amp;amp;NEWS=N&amp;amp;PAGE=fulltext&amp;amp;D=emexa&amp;amp;AN=2011141266&lt;/url&gt;&lt;/related-urls&gt;&lt;/urls&gt;&lt;remote-database-name&gt;Embase&lt;/remote-database-name&gt;&lt;remote-database-provider&gt;Ovid Technologies&lt;/remote-database-provider&gt;&lt;research-notes&gt;I. R. V. C&lt;/research-notes&gt;&lt;/record&gt;&lt;/Cite&gt;&lt;/EndNote&gt;</w:instrText>
      </w:r>
      <w:r w:rsidRPr="00221992">
        <w:rPr>
          <w:lang w:val="en-GB"/>
        </w:rPr>
        <w:fldChar w:fldCharType="separate"/>
      </w:r>
      <w:r w:rsidR="00E5265C">
        <w:rPr>
          <w:noProof/>
          <w:lang w:val="en-GB"/>
        </w:rPr>
        <w:t>[165]</w:t>
      </w:r>
      <w:r w:rsidRPr="00221992">
        <w:rPr>
          <w:lang w:val="en-GB"/>
        </w:rPr>
        <w:fldChar w:fldCharType="end"/>
      </w:r>
      <w:r w:rsidRPr="00221992">
        <w:rPr>
          <w:lang w:val="en-GB"/>
        </w:rPr>
        <w:t xml:space="preserve">. </w:t>
      </w:r>
    </w:p>
    <w:p w14:paraId="0B51456D" w14:textId="5705E22F" w:rsidR="00D65012" w:rsidRPr="00221992" w:rsidRDefault="00044F9C" w:rsidP="00BE5F6D">
      <w:pPr>
        <w:rPr>
          <w:lang w:val="en-GB"/>
        </w:rPr>
      </w:pPr>
      <w:r w:rsidRPr="00221992">
        <w:rPr>
          <w:lang w:val="en-GB"/>
        </w:rPr>
        <w:t>An interesting characteristic of this process is that regardless of the pathway followed, if the evaluated drug is an orphan drug, an RSA can be applied as part of the pricing and reimbursement process to improve value for money and is seen as a way to improve access</w:t>
      </w:r>
      <w:r w:rsidR="002D3987">
        <w:rPr>
          <w:lang w:val="en-GB"/>
        </w:rPr>
        <w:t xml:space="preserve"> </w:t>
      </w:r>
      <w:r w:rsidRPr="00221992">
        <w:rPr>
          <w:lang w:val="en-GB"/>
        </w:rPr>
        <w:fldChar w:fldCharType="begin">
          <w:fldData xml:space="preserve">PEVuZE5vdGU+PENpdGU+PEF1dGhvcj5Tb25nPC9BdXRob3I+PFllYXI+MjAxMjwvWWVhcj48UmVj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</w:fldData>
        </w:fldChar>
      </w:r>
      <w:r w:rsidR="00E5265C">
        <w:rPr>
          <w:lang w:val="en-GB"/>
        </w:rPr>
        <w:instrText xml:space="preserve"> ADDIN EN.CITE </w:instrText>
      </w:r>
      <w:r w:rsidR="00E5265C">
        <w:rPr>
          <w:lang w:val="en-GB"/>
        </w:rPr>
        <w:fldChar w:fldCharType="begin">
          <w:fldData xml:space="preserve">PEVuZE5vdGU+PENpdGU+PEF1dGhvcj5Tb25nPC9BdXRob3I+PFllYXI+MjAxMjwvWWVhcj48UmVj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</w:fldData>
        </w:fldChar>
      </w:r>
      <w:r w:rsidR="00E5265C">
        <w:rPr>
          <w:lang w:val="en-GB"/>
        </w:rPr>
        <w:instrText xml:space="preserve"> ADDIN EN.CITE.DATA </w:instrText>
      </w:r>
      <w:r w:rsidR="00E5265C">
        <w:rPr>
          <w:lang w:val="en-GB"/>
        </w:rPr>
      </w:r>
      <w:r w:rsidR="00E5265C">
        <w:rPr>
          <w:lang w:val="en-GB"/>
        </w:rPr>
        <w:fldChar w:fldCharType="end"/>
      </w:r>
      <w:r w:rsidRPr="00221992">
        <w:rPr>
          <w:lang w:val="en-GB"/>
        </w:rPr>
      </w:r>
      <w:r w:rsidRPr="00221992">
        <w:rPr>
          <w:lang w:val="en-GB"/>
        </w:rPr>
        <w:fldChar w:fldCharType="separate"/>
      </w:r>
      <w:r w:rsidR="00E5265C">
        <w:rPr>
          <w:noProof/>
          <w:lang w:val="en-GB"/>
        </w:rPr>
        <w:t>[164]</w:t>
      </w:r>
      <w:r w:rsidRPr="00221992">
        <w:rPr>
          <w:lang w:val="en-GB"/>
        </w:rPr>
        <w:fldChar w:fldCharType="end"/>
      </w:r>
      <w:r w:rsidR="00DD69AE" w:rsidRPr="00221992">
        <w:rPr>
          <w:lang w:val="en-GB"/>
        </w:rPr>
        <w:t xml:space="preserve"> (see</w:t>
      </w:r>
      <w:r w:rsidR="00BD2DC4" w:rsidRPr="00221992">
        <w:rPr>
          <w:lang w:val="en-GB"/>
        </w:rPr>
        <w:t xml:space="preserve"> Section </w:t>
      </w:r>
      <w:r w:rsidR="00BD2DC4" w:rsidRPr="00221992">
        <w:rPr>
          <w:lang w:val="en-GB"/>
        </w:rPr>
        <w:fldChar w:fldCharType="begin"/>
      </w:r>
      <w:r w:rsidR="00BD2DC4" w:rsidRPr="00221992">
        <w:rPr>
          <w:lang w:val="en-GB"/>
        </w:rPr>
        <w:instrText xml:space="preserve"> REF _Ref143764721 \r \h </w:instrText>
      </w:r>
      <w:r w:rsidR="00BD2DC4" w:rsidRPr="00221992">
        <w:rPr>
          <w:lang w:val="en-GB"/>
        </w:rPr>
      </w:r>
      <w:r w:rsidR="00BD2DC4" w:rsidRPr="00221992">
        <w:rPr>
          <w:lang w:val="en-GB"/>
        </w:rPr>
        <w:fldChar w:fldCharType="separate"/>
      </w:r>
      <w:r w:rsidR="000E11E7">
        <w:rPr>
          <w:lang w:val="en-GB"/>
        </w:rPr>
        <w:t>4.6</w:t>
      </w:r>
      <w:r w:rsidR="00BD2DC4" w:rsidRPr="00221992">
        <w:rPr>
          <w:lang w:val="en-GB"/>
        </w:rPr>
        <w:fldChar w:fldCharType="end"/>
      </w:r>
      <w:r w:rsidR="00BD2DC4" w:rsidRPr="00221992">
        <w:rPr>
          <w:lang w:val="en-GB"/>
        </w:rPr>
        <w:t>,</w:t>
      </w:r>
      <w:r w:rsidR="00DD69AE" w:rsidRPr="00221992">
        <w:rPr>
          <w:lang w:val="en-GB"/>
        </w:rPr>
        <w:t xml:space="preserve"> </w:t>
      </w:r>
      <w:r w:rsidR="00DE5472" w:rsidRPr="00221992">
        <w:rPr>
          <w:lang w:val="en-GB"/>
        </w:rPr>
        <w:fldChar w:fldCharType="begin"/>
      </w:r>
      <w:r w:rsidR="00DE5472">
        <w:instrText xml:space="preserve"> REF _Ref144119884 \h </w:instrText>
      </w:r>
      <w:r w:rsidR="00DE5472" w:rsidRPr="00221992">
        <w:rPr>
          <w:lang w:val="en-GB"/>
        </w:rPr>
      </w:r>
      <w:r w:rsidR="00DE5472" w:rsidRPr="00221992">
        <w:rPr>
          <w:lang w:val="en-GB"/>
        </w:rPr>
        <w:fldChar w:fldCharType="separate"/>
      </w:r>
      <w:r w:rsidR="000E11E7" w:rsidRPr="00221992">
        <w:rPr>
          <w:lang w:val="en-GB"/>
        </w:rPr>
        <w:t xml:space="preserve">Table </w:t>
      </w:r>
      <w:r w:rsidR="000E11E7">
        <w:rPr>
          <w:noProof/>
        </w:rPr>
        <w:t>19</w:t>
      </w:r>
      <w:r w:rsidR="00DE5472" w:rsidRPr="00221992">
        <w:rPr>
          <w:lang w:val="en-GB"/>
        </w:rPr>
        <w:fldChar w:fldCharType="end"/>
      </w:r>
      <w:r w:rsidR="00DD69AE" w:rsidRPr="00221992">
        <w:rPr>
          <w:lang w:val="en-GB"/>
        </w:rPr>
        <w:t>)</w:t>
      </w:r>
      <w:r w:rsidR="00D65012" w:rsidRPr="00221992">
        <w:rPr>
          <w:lang w:val="en-GB"/>
        </w:rPr>
        <w:t xml:space="preserve">. </w:t>
      </w:r>
    </w:p>
    <w:p w14:paraId="20AF0DA0" w14:textId="3688D1B0" w:rsidR="00BE5F6D" w:rsidRPr="00221992" w:rsidRDefault="00BE5F6D">
      <w:pPr>
        <w:pStyle w:val="Caption"/>
        <w:rPr>
          <w:lang w:val="en-GB"/>
        </w:rPr>
      </w:pPr>
      <w:bookmarkStart w:id="148" w:name="_Ref143597230"/>
      <w:bookmarkStart w:id="149" w:name="_Toc162950935"/>
      <w:r w:rsidRPr="00221992">
        <w:rPr>
          <w:lang w:val="en-GB"/>
        </w:rPr>
        <w:t xml:space="preserve">Figure </w:t>
      </w:r>
      <w:r w:rsidR="003F72DF" w:rsidRPr="00221992">
        <w:rPr>
          <w:lang w:val="en-GB"/>
        </w:rPr>
        <w:fldChar w:fldCharType="begin"/>
      </w:r>
      <w:r w:rsidR="003F72DF" w:rsidRPr="00221992">
        <w:rPr>
          <w:lang w:val="en-GB"/>
        </w:rPr>
        <w:instrText xml:space="preserve"> SEQ Figure \* ARABIC </w:instrText>
      </w:r>
      <w:r w:rsidR="003F72DF" w:rsidRPr="00221992">
        <w:rPr>
          <w:lang w:val="en-GB"/>
        </w:rPr>
        <w:fldChar w:fldCharType="separate"/>
      </w:r>
      <w:r w:rsidR="000E11E7">
        <w:rPr>
          <w:noProof/>
          <w:lang w:val="en-GB"/>
        </w:rPr>
        <w:t>28</w:t>
      </w:r>
      <w:r w:rsidR="003F72DF" w:rsidRPr="00221992">
        <w:rPr>
          <w:noProof/>
          <w:lang w:val="en-GB"/>
        </w:rPr>
        <w:fldChar w:fldCharType="end"/>
      </w:r>
      <w:bookmarkEnd w:id="148"/>
      <w:r w:rsidRPr="00221992">
        <w:rPr>
          <w:lang w:val="en-GB"/>
        </w:rPr>
        <w:t>. Possible reimbursement pathways for drugs for rare diseases in Korea</w:t>
      </w:r>
      <w:bookmarkEnd w:id="149"/>
    </w:p>
    <w:p w14:paraId="47E11AF9" w14:textId="77777777" w:rsidR="00D65012" w:rsidRPr="00221992" w:rsidRDefault="00D65012" w:rsidP="00EF5B9A">
      <w:pPr>
        <w:pStyle w:val="BodyText"/>
        <w:rPr>
          <w:lang w:val="en-GB"/>
        </w:rPr>
      </w:pPr>
      <w:r w:rsidRPr="00221992">
        <w:rPr>
          <w:noProof/>
          <w:lang w:val="en-GB"/>
        </w:rPr>
        <w:drawing>
          <wp:inline distT="0" distB="0" distL="0" distR="0" wp14:anchorId="14C98C01" wp14:editId="130CB88A">
            <wp:extent cx="5400040" cy="2531659"/>
            <wp:effectExtent l="0" t="0" r="0" b="2540"/>
            <wp:docPr id="2018400782" name="Picture 2018400782" descr="A flow chart of the Possible reimbursement pathways for drugs for rare diseases in Ko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8400782" name="Picture 2018400782" descr="A diagram of a cost reduction&#10;&#10;Description automatically generated"/>
                    <pic:cNvPicPr>
                      <a:picLocks noChangeAspect="1" noChangeArrowheads="1"/>
                    </pic:cNvPicPr>
                  </pic:nvPicPr>
                  <pic:blipFill rotWithShape="1">
                    <a:blip r:embed="rId46">
                      <a:extLst>
                        <a:ext uri="{28A0092B-C50C-407E-A947-70E740481C1C}">
                          <a14:useLocalDpi xmlns:a14="http://schemas.microsoft.com/office/drawing/2010/main" val="0"/>
                        </a:ext>
                      </a:extLst>
                    </a:blip>
                    <a:srcRect/>
                    <a:stretch/>
                  </pic:blipFill>
                  <pic:spPr bwMode="auto">
                    <a:xfrm>
                      <a:off x="0" y="0"/>
                      <a:ext cx="5400040" cy="2531659"/>
                    </a:xfrm>
                    <a:prstGeom prst="rect">
                      <a:avLst/>
                    </a:prstGeom>
                    <a:noFill/>
                    <a:ln>
                      <a:noFill/>
                    </a:ln>
                    <a:extLst>
                      <a:ext uri="{53640926-AAD7-44D8-BBD7-CCE9431645EC}">
                        <a14:shadowObscured xmlns:a14="http://schemas.microsoft.com/office/drawing/2010/main"/>
                      </a:ext>
                    </a:extLst>
                  </pic:spPr>
                </pic:pic>
              </a:graphicData>
            </a:graphic>
          </wp:inline>
        </w:drawing>
      </w:r>
    </w:p>
    <w:p w14:paraId="628565C3" w14:textId="0C989BC3" w:rsidR="00357287" w:rsidRPr="00221992" w:rsidRDefault="00357287" w:rsidP="00533CF1">
      <w:pPr>
        <w:pStyle w:val="TableNotes"/>
        <w:rPr>
          <w:lang w:val="en-GB"/>
        </w:rPr>
      </w:pPr>
      <w:r w:rsidRPr="00221992">
        <w:rPr>
          <w:lang w:val="en-GB"/>
        </w:rPr>
        <w:t>Source:</w:t>
      </w:r>
      <w:r w:rsidRPr="00221992">
        <w:rPr>
          <w:lang w:val="en-GB"/>
        </w:rPr>
        <w:tab/>
        <w:t xml:space="preserve">Ref. Lee et al. 2021 </w:t>
      </w:r>
      <w:r w:rsidRPr="00221992">
        <w:rPr>
          <w:lang w:val="en-GB"/>
        </w:rPr>
        <w:fldChar w:fldCharType="begin"/>
      </w:r>
      <w:r w:rsidR="00E5265C">
        <w:rPr>
          <w:lang w:val="en-GB"/>
        </w:rPr>
        <w:instrText xml:space="preserve"> ADDIN EN.CITE &lt;EndNote&gt;&lt;Cite&gt;&lt;Author&gt;Lee&lt;/Author&gt;&lt;Year&gt;2021&lt;/Year&gt;&lt;RecNum&gt;565&lt;/RecNum&gt;&lt;DisplayText&gt;[167]&lt;/DisplayText&gt;&lt;record&gt;&lt;rec-number&gt;565&lt;/rec-number&gt;&lt;foreign-keys&gt;&lt;key app="EN" db-id="wzwwsfxe4peesxef95cxvrwjxts9rreasarf" timestamp="1692751953"&gt;565&lt;/key&gt;&lt;/foreign-keys&gt;&lt;ref-type name="Journal Article"&gt;17&lt;/ref-type&gt;&lt;contributors&gt;&lt;authors&gt;&lt;author&gt;Lee, J. H.&lt;/author&gt;&lt;/authors&gt;&lt;/contributors&gt;&lt;auth-address&gt;Department of Pharmaceutical Engineering, College of Life and Health Sciences, Hoseo University, Asan 31499, Korea.&lt;/auth-address&gt;&lt;titles&gt;&lt;title&gt;Pricing and Reimbursement Pathways of New Orphan Drugs in South Korea: A Longitudinal Comparison&lt;/title&gt;&lt;secondary-title&gt;Healthcare (Basel)&lt;/secondary-title&gt;&lt;/titles&gt;&lt;periodical&gt;&lt;full-title&gt;Healthcare (Basel)&lt;/full-title&gt;&lt;/periodical&gt;&lt;volume&gt;9&lt;/volume&gt;&lt;number&gt;3&lt;/number&gt;&lt;edition&gt;2021/04/04&lt;/edition&gt;&lt;keywords&gt;&lt;keyword&gt;budget&lt;/keyword&gt;&lt;keyword&gt;essential drugs&lt;/keyword&gt;&lt;keyword&gt;health insurance&lt;/keyword&gt;&lt;keyword&gt;health policies&lt;/keyword&gt;&lt;keyword&gt;pharmaceutical economics&lt;/keyword&gt;&lt;keyword&gt;rare disease&lt;/keyword&gt;&lt;/keywords&gt;&lt;dates&gt;&lt;year&gt;2021&lt;/year&gt;&lt;pub-dates&gt;&lt;date&gt;Mar 8&lt;/date&gt;&lt;/pub-dates&gt;&lt;/dates&gt;&lt;isbn&gt;2227-9032 (Print)&amp;#xD;2227-9032&lt;/isbn&gt;&lt;accession-num&gt;33800373&lt;/accession-num&gt;&lt;urls&gt;&lt;/urls&gt;&lt;custom2&gt;PMC8000795&lt;/custom2&gt;&lt;electronic-resource-num&gt;10.3390/healthcare9030296&lt;/electronic-resource-num&gt;&lt;remote-database-provider&gt;NLM&lt;/remote-database-provider&gt;&lt;language&gt;eng&lt;/language&gt;&lt;/record&gt;&lt;/Cite&gt;&lt;/EndNote&gt;</w:instrText>
      </w:r>
      <w:r w:rsidRPr="00221992">
        <w:rPr>
          <w:lang w:val="en-GB"/>
        </w:rPr>
        <w:fldChar w:fldCharType="separate"/>
      </w:r>
      <w:r w:rsidR="00E5265C">
        <w:rPr>
          <w:noProof/>
          <w:lang w:val="en-GB"/>
        </w:rPr>
        <w:t>[167]</w:t>
      </w:r>
      <w:r w:rsidRPr="00221992">
        <w:rPr>
          <w:lang w:val="en-GB"/>
        </w:rPr>
        <w:fldChar w:fldCharType="end"/>
      </w:r>
    </w:p>
    <w:p w14:paraId="21D49B06" w14:textId="0850B91B" w:rsidR="00D65012" w:rsidRPr="00221992" w:rsidRDefault="00357287" w:rsidP="00533CF1">
      <w:pPr>
        <w:pStyle w:val="TableNotes"/>
        <w:rPr>
          <w:lang w:val="en-GB"/>
        </w:rPr>
      </w:pPr>
      <w:r w:rsidRPr="00221992">
        <w:rPr>
          <w:lang w:val="en-GB"/>
        </w:rPr>
        <w:t>Acronyms:</w:t>
      </w:r>
      <w:r w:rsidRPr="00221992">
        <w:rPr>
          <w:lang w:val="en-GB"/>
        </w:rPr>
        <w:tab/>
      </w:r>
      <w:r w:rsidR="00D65012" w:rsidRPr="00221992">
        <w:rPr>
          <w:lang w:val="en-GB"/>
        </w:rPr>
        <w:t>ICER, incremental cost-effectiveness ratio; NHIS, National Health Insurance System; P&amp;R, pricing and reimbursement; PE, pharmacoeconomic; QALY, quality</w:t>
      </w:r>
      <w:r w:rsidR="001F0E0A" w:rsidRPr="00221992">
        <w:rPr>
          <w:lang w:val="en-GB"/>
        </w:rPr>
        <w:t>-</w:t>
      </w:r>
      <w:r w:rsidR="00D65012" w:rsidRPr="00221992">
        <w:rPr>
          <w:lang w:val="en-GB"/>
        </w:rPr>
        <w:t xml:space="preserve">adjusted life years; RSA, risk sharing agreement; USD, US dollars; WAP, weighted average price. </w:t>
      </w:r>
    </w:p>
    <w:p w14:paraId="232E5868" w14:textId="10BD4E69" w:rsidR="00D65012" w:rsidRPr="00221992" w:rsidRDefault="00D65012" w:rsidP="00357287">
      <w:pPr>
        <w:rPr>
          <w:rFonts w:ascii="Calibri" w:hAnsi="Calibri" w:cs="Calibri"/>
          <w:b/>
          <w:lang w:val="en-GB"/>
        </w:rPr>
      </w:pPr>
      <w:bookmarkStart w:id="150" w:name="_Toc142742678"/>
      <w:bookmarkStart w:id="151" w:name="_Ref143203456"/>
      <w:r w:rsidRPr="00221992">
        <w:rPr>
          <w:rFonts w:ascii="Calibri" w:hAnsi="Calibri" w:cs="Calibri"/>
          <w:b/>
          <w:lang w:val="en-GB"/>
        </w:rPr>
        <w:t xml:space="preserve">Case study: </w:t>
      </w:r>
      <w:r w:rsidR="00E93AD5" w:rsidRPr="00221992">
        <w:rPr>
          <w:rFonts w:ascii="Calibri" w:hAnsi="Calibri" w:cs="Calibri"/>
          <w:b/>
          <w:lang w:val="en-GB"/>
        </w:rPr>
        <w:t>England/Wales</w:t>
      </w:r>
      <w:r w:rsidR="00652D6D" w:rsidRPr="00221992">
        <w:rPr>
          <w:rFonts w:ascii="Calibri" w:hAnsi="Calibri" w:cs="Calibri"/>
          <w:b/>
          <w:lang w:val="en-GB"/>
        </w:rPr>
        <w:t xml:space="preserve"> </w:t>
      </w:r>
      <w:r w:rsidRPr="00221992">
        <w:rPr>
          <w:rFonts w:ascii="Calibri" w:hAnsi="Calibri" w:cs="Calibri"/>
          <w:b/>
          <w:lang w:val="en-GB"/>
        </w:rPr>
        <w:t>and Scotland</w:t>
      </w:r>
      <w:bookmarkEnd w:id="150"/>
      <w:r w:rsidRPr="00221992">
        <w:rPr>
          <w:rFonts w:ascii="Calibri" w:hAnsi="Calibri" w:cs="Calibri"/>
          <w:b/>
          <w:lang w:val="en-GB"/>
        </w:rPr>
        <w:t>—Access to therapies for ultra-rare diseases</w:t>
      </w:r>
      <w:bookmarkEnd w:id="151"/>
    </w:p>
    <w:p w14:paraId="440255A3" w14:textId="7D3F35FF" w:rsidR="00D65012" w:rsidRPr="00221992" w:rsidRDefault="00D65012" w:rsidP="00357287">
      <w:pPr>
        <w:rPr>
          <w:lang w:val="en-GB"/>
        </w:rPr>
      </w:pPr>
      <w:r w:rsidRPr="00221992">
        <w:rPr>
          <w:lang w:val="en-GB"/>
        </w:rPr>
        <w:t xml:space="preserve">In the UK, </w:t>
      </w:r>
      <w:r w:rsidR="00E93AD5" w:rsidRPr="00221992">
        <w:rPr>
          <w:lang w:val="en-GB"/>
        </w:rPr>
        <w:t>England/Wales</w:t>
      </w:r>
      <w:r w:rsidRPr="00221992">
        <w:rPr>
          <w:lang w:val="en-GB"/>
        </w:rPr>
        <w:t xml:space="preserve"> and Scotland have implemented separate HTA review/decision-making processes to assess the pricing and reimbursement of drugs for ultra-rare conditions (conditions that affect fewer than 1 per 50,000 population), subject to eligibility criteria including value for money, the impact of the technology beyond direct health benefits and conditional reimbursement with evidence development. A recent change in </w:t>
      </w:r>
      <w:r w:rsidR="00E93AD5" w:rsidRPr="00221992">
        <w:rPr>
          <w:lang w:val="en-GB"/>
        </w:rPr>
        <w:t>England/Wales</w:t>
      </w:r>
      <w:r w:rsidRPr="00221992">
        <w:rPr>
          <w:lang w:val="en-GB"/>
        </w:rPr>
        <w:t xml:space="preserve"> has been the creation of </w:t>
      </w:r>
      <w:r w:rsidR="005E10B1" w:rsidRPr="00221992">
        <w:rPr>
          <w:lang w:val="en-GB"/>
        </w:rPr>
        <w:t>the IMF</w:t>
      </w:r>
      <w:r w:rsidR="005E10B1">
        <w:rPr>
          <w:lang w:val="en-GB"/>
        </w:rPr>
        <w:t>,</w:t>
      </w:r>
      <w:r w:rsidR="005E10B1" w:rsidRPr="00221992">
        <w:rPr>
          <w:lang w:val="en-GB"/>
        </w:rPr>
        <w:t xml:space="preserve"> </w:t>
      </w:r>
      <w:r w:rsidRPr="00221992">
        <w:rPr>
          <w:lang w:val="en-GB"/>
        </w:rPr>
        <w:t xml:space="preserve">a separate fund similar to the CDF for non-cancer medicines targeting patients with potential benefit </w:t>
      </w:r>
      <w:r w:rsidR="005E10B1">
        <w:rPr>
          <w:lang w:val="en-GB"/>
        </w:rPr>
        <w:t>amidst uncertain</w:t>
      </w:r>
      <w:r w:rsidRPr="00221992">
        <w:rPr>
          <w:lang w:val="en-GB"/>
        </w:rPr>
        <w:t xml:space="preserve"> evidence. The aim of the fund is </w:t>
      </w:r>
      <w:r w:rsidR="005E10B1">
        <w:rPr>
          <w:lang w:val="en-GB"/>
        </w:rPr>
        <w:t>expedite</w:t>
      </w:r>
      <w:r w:rsidRPr="00221992">
        <w:rPr>
          <w:lang w:val="en-GB"/>
        </w:rPr>
        <w:t xml:space="preserve"> access while additional data </w:t>
      </w:r>
      <w:r w:rsidR="005E10B1">
        <w:rPr>
          <w:lang w:val="en-GB"/>
        </w:rPr>
        <w:t>is</w:t>
      </w:r>
      <w:r w:rsidRPr="00221992">
        <w:rPr>
          <w:lang w:val="en-GB"/>
        </w:rPr>
        <w:t xml:space="preserve"> collected. This change is consistent with </w:t>
      </w:r>
      <w:r w:rsidR="005E10B1">
        <w:rPr>
          <w:lang w:val="en-GB"/>
        </w:rPr>
        <w:t xml:space="preserve">Scotland’s NMF, a </w:t>
      </w:r>
      <w:r w:rsidRPr="00221992">
        <w:rPr>
          <w:lang w:val="en-GB"/>
        </w:rPr>
        <w:t xml:space="preserve">separate pool of funds </w:t>
      </w:r>
      <w:r w:rsidR="005E10B1">
        <w:rPr>
          <w:lang w:val="en-GB"/>
        </w:rPr>
        <w:t>established</w:t>
      </w:r>
      <w:r w:rsidR="005E10B1" w:rsidRPr="00221992">
        <w:rPr>
          <w:lang w:val="en-GB"/>
        </w:rPr>
        <w:t xml:space="preserve"> </w:t>
      </w:r>
      <w:r w:rsidRPr="00221992">
        <w:rPr>
          <w:lang w:val="en-GB"/>
        </w:rPr>
        <w:t xml:space="preserve">in 2014. </w:t>
      </w:r>
      <w:r w:rsidR="005E10B1">
        <w:rPr>
          <w:lang w:val="en-GB"/>
        </w:rPr>
        <w:t>The</w:t>
      </w:r>
      <w:r w:rsidRPr="00221992">
        <w:rPr>
          <w:lang w:val="en-GB"/>
        </w:rPr>
        <w:t xml:space="preserve"> NMF not only fund</w:t>
      </w:r>
      <w:r w:rsidR="005E10B1">
        <w:rPr>
          <w:lang w:val="en-GB"/>
        </w:rPr>
        <w:t>s</w:t>
      </w:r>
      <w:r w:rsidRPr="00221992">
        <w:rPr>
          <w:lang w:val="en-GB"/>
        </w:rPr>
        <w:t xml:space="preserve"> drugs recommended by the SMC, but also </w:t>
      </w:r>
      <w:r w:rsidR="005E10B1">
        <w:rPr>
          <w:lang w:val="en-GB"/>
        </w:rPr>
        <w:t xml:space="preserve">unrecommended </w:t>
      </w:r>
      <w:r w:rsidRPr="00221992">
        <w:rPr>
          <w:lang w:val="en-GB"/>
        </w:rPr>
        <w:t>drugs on a case-by-case basis through Peer Approved Clinical System (PACS) Tier 1 and PACS tier 2 (see alternative pathway access)</w:t>
      </w:r>
      <w:r w:rsidR="00F02F87" w:rsidRPr="00221992">
        <w:rPr>
          <w:lang w:val="en-GB"/>
        </w:rPr>
        <w:t xml:space="preserve"> </w:t>
      </w:r>
      <w:r w:rsidRPr="00221992">
        <w:rPr>
          <w:lang w:val="en-GB"/>
        </w:rPr>
        <w:fldChar w:fldCharType="begin"/>
      </w:r>
      <w:r w:rsidR="00E5265C">
        <w:rPr>
          <w:lang w:val="en-GB"/>
        </w:rPr>
        <w:instrText xml:space="preserve"> ADDIN EN.CITE &lt;EndNote&gt;&lt;Cite&gt;&lt;Author&gt;SMC&lt;/Author&gt;&lt;Year&gt;2022&lt;/Year&gt;&lt;RecNum&gt;522&lt;/RecNum&gt;&lt;DisplayText&gt;[169]&lt;/DisplayText&gt;&lt;record&gt;&lt;rec-number&gt;522&lt;/rec-number&gt;&lt;foreign-keys&gt;&lt;key app="EN" db-id="wzwwsfxe4peesxef95cxvrwjxts9rreasarf" timestamp="1692751953"&gt;522&lt;/key&gt;&lt;/foreign-keys&gt;&lt;ref-type name="Web Page"&gt;12&lt;/ref-type&gt;&lt;contributors&gt;&lt;authors&gt;&lt;author&gt;SMC&lt;/author&gt;&lt;/authors&gt;&lt;/contributors&gt;&lt;titles&gt;&lt;title&gt;New Medicines Fund and Rare Conditions Medicines Fund information: FOI release&lt;/title&gt;&lt;/titles&gt;&lt;number&gt;23/07/2023&lt;/number&gt;&lt;dates&gt;&lt;year&gt;2022&lt;/year&gt;&lt;/dates&gt;&lt;urls&gt;&lt;related-urls&gt;&lt;url&gt;https://www.gov.scot/publications/foi-202200287608/#:~:text=The%20Rare%20Conditions%20Medicines%20Fund%20was%20set%20up%20in%20March,than%201%20in%202000%20people.&lt;/url&gt;&lt;/related-urls&gt;&lt;/urls&gt;&lt;/record&gt;&lt;/Cite&gt;&lt;/EndNote&gt;</w:instrText>
      </w:r>
      <w:r w:rsidRPr="00221992">
        <w:rPr>
          <w:lang w:val="en-GB"/>
        </w:rPr>
        <w:fldChar w:fldCharType="separate"/>
      </w:r>
      <w:r w:rsidR="00E5265C">
        <w:rPr>
          <w:noProof/>
          <w:lang w:val="en-GB"/>
        </w:rPr>
        <w:t>[169]</w:t>
      </w:r>
      <w:r w:rsidRPr="00221992">
        <w:rPr>
          <w:lang w:val="en-GB"/>
        </w:rPr>
        <w:fldChar w:fldCharType="end"/>
      </w:r>
      <w:r w:rsidRPr="00221992">
        <w:rPr>
          <w:lang w:val="en-GB"/>
        </w:rPr>
        <w:t xml:space="preserve">. </w:t>
      </w:r>
    </w:p>
    <w:p w14:paraId="289C2F79" w14:textId="2707E8ED" w:rsidR="00D65012" w:rsidRPr="00221992" w:rsidRDefault="00D65012" w:rsidP="00357287">
      <w:pPr>
        <w:rPr>
          <w:lang w:val="en-GB"/>
        </w:rPr>
      </w:pPr>
      <w:r w:rsidRPr="00221992">
        <w:rPr>
          <w:lang w:val="en-GB"/>
        </w:rPr>
        <w:t>NICE</w:t>
      </w:r>
      <w:r w:rsidR="00551786">
        <w:rPr>
          <w:lang w:val="en-GB"/>
        </w:rPr>
        <w:t>’</w:t>
      </w:r>
      <w:r w:rsidRPr="00221992">
        <w:rPr>
          <w:lang w:val="en-GB"/>
        </w:rPr>
        <w:t>s HST programme for the appraisal of ultra-orphan therapies</w:t>
      </w:r>
      <w:r w:rsidR="005E10B1">
        <w:rPr>
          <w:lang w:val="en-GB"/>
        </w:rPr>
        <w:t>,</w:t>
      </w:r>
      <w:r w:rsidRPr="00221992">
        <w:rPr>
          <w:lang w:val="en-GB"/>
        </w:rPr>
        <w:t xml:space="preserve"> </w:t>
      </w:r>
      <w:r w:rsidR="005E10B1">
        <w:rPr>
          <w:lang w:val="en-GB"/>
        </w:rPr>
        <w:t>established</w:t>
      </w:r>
      <w:r w:rsidRPr="00221992">
        <w:rPr>
          <w:lang w:val="en-GB"/>
        </w:rPr>
        <w:t xml:space="preserve"> in 2013</w:t>
      </w:r>
      <w:r w:rsidR="005E10B1">
        <w:rPr>
          <w:lang w:val="en-GB"/>
        </w:rPr>
        <w:t xml:space="preserve">, </w:t>
      </w:r>
      <w:r w:rsidR="005E10B1" w:rsidRPr="00221992">
        <w:rPr>
          <w:lang w:val="en-GB"/>
        </w:rPr>
        <w:t>is funded via the IMF</w:t>
      </w:r>
      <w:r w:rsidR="00F02F87" w:rsidRPr="00221992">
        <w:rPr>
          <w:lang w:val="en-GB"/>
        </w:rPr>
        <w:t xml:space="preserve"> </w:t>
      </w:r>
      <w:r w:rsidRPr="00221992">
        <w:rPr>
          <w:lang w:val="en-GB"/>
        </w:rPr>
        <w:fldChar w:fldCharType="begin"/>
      </w:r>
      <w:r w:rsidR="00E5265C">
        <w:rPr>
          <w:lang w:val="en-GB"/>
        </w:rPr>
        <w:instrText xml:space="preserve"> ADDIN EN.CITE &lt;EndNote&gt;&lt;Cite&gt;&lt;Author&gt;Victoria&lt;/Author&gt;&lt;Year&gt;2022&lt;/Year&gt;&lt;RecNum&gt;508&lt;/RecNum&gt;&lt;DisplayText&gt;[170]&lt;/DisplayText&gt;&lt;record&gt;&lt;rec-number&gt;508&lt;/rec-number&gt;&lt;foreign-keys&gt;&lt;key app="EN" db-id="wzwwsfxe4peesxef95cxvrwjxts9rreasarf" timestamp="1692751953"&gt;508&lt;/key&gt;&lt;/foreign-keys&gt;&lt;ref-type name="Journal Article"&gt;17&lt;/ref-type&gt;&lt;contributors&gt;&lt;authors&gt;&lt;author&gt;Victoria, Charlton&lt;/author&gt;&lt;/authors&gt;&lt;/contributors&gt;&lt;titles&gt;&lt;title&gt;Does NICE apply the rule of rescue in its approach to highly specialised technologies?&lt;/title&gt;&lt;secondary-title&gt;Journal of Medical Ethics&lt;/secondary-title&gt;&lt;/titles&gt;&lt;periodical&gt;&lt;full-title&gt;Journal of Medical Ethics&lt;/full-title&gt;&lt;/periodical&gt;&lt;pages&gt;118&lt;/pages&gt;&lt;volume&gt;48&lt;/volume&gt;&lt;number&gt;2&lt;/number&gt;&lt;dates&gt;&lt;year&gt;2022&lt;/year&gt;&lt;/dates&gt;&lt;urls&gt;&lt;related-urls&gt;&lt;url&gt;http://jme.bmj.com/content/48/2/118.abstract&lt;/url&gt;&lt;/related-urls&gt;&lt;/urls&gt;&lt;electronic-resource-num&gt;10.1136/medethics-2020-106759&lt;/electronic-resource-num&gt;&lt;/record&gt;&lt;/Cite&gt;&lt;/EndNote&gt;</w:instrText>
      </w:r>
      <w:r w:rsidRPr="00221992">
        <w:rPr>
          <w:lang w:val="en-GB"/>
        </w:rPr>
        <w:fldChar w:fldCharType="separate"/>
      </w:r>
      <w:r w:rsidR="00E5265C">
        <w:rPr>
          <w:noProof/>
          <w:lang w:val="en-GB"/>
        </w:rPr>
        <w:t>[170]</w:t>
      </w:r>
      <w:r w:rsidRPr="00221992">
        <w:rPr>
          <w:lang w:val="en-GB"/>
        </w:rPr>
        <w:fldChar w:fldCharType="end"/>
      </w:r>
      <w:r w:rsidRPr="00221992">
        <w:rPr>
          <w:lang w:val="en-GB"/>
        </w:rPr>
        <w:t xml:space="preserve">. The main feature of this pathway is that it includes a different ICER threshold and a specialized appraisal committee. A higher threshold is acceptable </w:t>
      </w:r>
      <w:r w:rsidR="001721AB">
        <w:rPr>
          <w:lang w:val="en-GB"/>
        </w:rPr>
        <w:t>de</w:t>
      </w:r>
      <w:r w:rsidRPr="00221992">
        <w:rPr>
          <w:lang w:val="en-GB"/>
        </w:rPr>
        <w:t>pending on the nature of the condition (morbidity, disability, impact on carers, extent and nature of treatment options), the impact beyond direct health benefits</w:t>
      </w:r>
      <w:r w:rsidR="001721AB">
        <w:rPr>
          <w:lang w:val="en-GB"/>
        </w:rPr>
        <w:t>,</w:t>
      </w:r>
      <w:r w:rsidRPr="00221992">
        <w:rPr>
          <w:lang w:val="en-GB"/>
        </w:rPr>
        <w:t xml:space="preserve"> and the magnitude of benefit </w:t>
      </w:r>
      <w:r w:rsidR="001721AB">
        <w:rPr>
          <w:lang w:val="en-GB"/>
        </w:rPr>
        <w:t>relative to a</w:t>
      </w:r>
      <w:r w:rsidRPr="00221992">
        <w:rPr>
          <w:lang w:val="en-GB"/>
        </w:rPr>
        <w:t xml:space="preserve"> relevant comparator</w:t>
      </w:r>
      <w:r w:rsidR="00F02F87" w:rsidRPr="00221992">
        <w:rPr>
          <w:lang w:val="en-GB"/>
        </w:rPr>
        <w:t xml:space="preserve"> </w:t>
      </w:r>
      <w:r w:rsidRPr="00221992">
        <w:rPr>
          <w:lang w:val="en-GB"/>
        </w:rPr>
        <w:fldChar w:fldCharType="begin"/>
      </w:r>
      <w:r w:rsidR="00E5265C">
        <w:rPr>
          <w:lang w:val="en-GB"/>
        </w:rPr>
        <w:instrText xml:space="preserve"> ADDIN EN.CITE &lt;EndNote&gt;&lt;Cite&gt;&lt;Author&gt;NICE&lt;/Author&gt;&lt;Year&gt;2022&lt;/Year&gt;&lt;RecNum&gt;542&lt;/RecNum&gt;&lt;DisplayText&gt;[171]&lt;/DisplayText&gt;&lt;record&gt;&lt;rec-number&gt;542&lt;/rec-number&gt;&lt;foreign-keys&gt;&lt;key app="EN" db-id="wzwwsfxe4peesxef95cxvrwjxts9rreasarf" timestamp="1692751953"&gt;542&lt;/key&gt;&lt;/foreign-keys&gt;&lt;ref-type name="Web Page"&gt;12&lt;/ref-type&gt;&lt;contributors&gt;&lt;authors&gt;&lt;author&gt;NICE&lt;/author&gt;&lt;/authors&gt;&lt;/contributors&gt;&lt;titles&gt;&lt;title&gt;NICE health technology evaluation topic selection: the manual&lt;/title&gt;&lt;secondary-title&gt;Highly specialised technologies&lt;/secondary-title&gt;&lt;/titles&gt;&lt;number&gt;22/07/2023&lt;/number&gt;&lt;dates&gt;&lt;year&gt;2022&lt;/year&gt;&lt;/dates&gt;&lt;urls&gt;&lt;related-urls&gt;&lt;url&gt;https://www.nice.org.uk/process/pmg37/chapter/highly-specialised-technologies&lt;/url&gt;&lt;/related-urls&gt;&lt;/urls&gt;&lt;/record&gt;&lt;/Cite&gt;&lt;/EndNote&gt;</w:instrText>
      </w:r>
      <w:r w:rsidRPr="00221992">
        <w:rPr>
          <w:lang w:val="en-GB"/>
        </w:rPr>
        <w:fldChar w:fldCharType="separate"/>
      </w:r>
      <w:r w:rsidR="00E5265C">
        <w:rPr>
          <w:noProof/>
          <w:lang w:val="en-GB"/>
        </w:rPr>
        <w:t>[171]</w:t>
      </w:r>
      <w:r w:rsidRPr="00221992">
        <w:rPr>
          <w:lang w:val="en-GB"/>
        </w:rPr>
        <w:fldChar w:fldCharType="end"/>
      </w:r>
      <w:r w:rsidRPr="00221992">
        <w:rPr>
          <w:lang w:val="en-GB"/>
        </w:rPr>
        <w:t>. Technologies under the HST program are generally subject to a budget impact</w:t>
      </w:r>
      <w:r w:rsidR="00F656B8" w:rsidRPr="00221992">
        <w:rPr>
          <w:lang w:val="en-GB"/>
        </w:rPr>
        <w:t xml:space="preserve"> assessment</w:t>
      </w:r>
      <w:r w:rsidRPr="00221992">
        <w:rPr>
          <w:lang w:val="en-GB"/>
        </w:rPr>
        <w:t xml:space="preserve">: if budget impact exceeds £20 million in any of the first </w:t>
      </w:r>
      <w:r w:rsidR="001721AB">
        <w:rPr>
          <w:lang w:val="en-GB"/>
        </w:rPr>
        <w:t>three</w:t>
      </w:r>
      <w:r w:rsidRPr="00221992">
        <w:rPr>
          <w:lang w:val="en-GB"/>
        </w:rPr>
        <w:t xml:space="preserve"> years, negotiations </w:t>
      </w:r>
      <w:r w:rsidR="001721AB">
        <w:rPr>
          <w:lang w:val="en-GB"/>
        </w:rPr>
        <w:t xml:space="preserve">may be initiated </w:t>
      </w:r>
      <w:r w:rsidRPr="00221992">
        <w:rPr>
          <w:lang w:val="en-GB"/>
        </w:rPr>
        <w:t xml:space="preserve">between NHS England and the manufacturer </w:t>
      </w:r>
      <w:r w:rsidRPr="00221992">
        <w:rPr>
          <w:lang w:val="en-GB"/>
        </w:rPr>
        <w:fldChar w:fldCharType="begin">
          <w:fldData xml:space="preserve">PEVuZE5vdGU+PENpdGU+PEF1dGhvcj5TdGF3b3djenlrPC9BdXRob3I+PFllYXI+MjAxOTwvWWVh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</w:fldData>
        </w:fldChar>
      </w:r>
      <w:r w:rsidR="00E5265C">
        <w:rPr>
          <w:lang w:val="en-GB"/>
        </w:rPr>
        <w:instrText xml:space="preserve"> ADDIN EN.CITE </w:instrText>
      </w:r>
      <w:r w:rsidR="00E5265C">
        <w:rPr>
          <w:lang w:val="en-GB"/>
        </w:rPr>
        <w:fldChar w:fldCharType="begin">
          <w:fldData xml:space="preserve">PEVuZE5vdGU+PENpdGU+PEF1dGhvcj5TdGF3b3djenlrPC9BdXRob3I+PFllYXI+MjAxOTwvWWVh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</w:fldData>
        </w:fldChar>
      </w:r>
      <w:r w:rsidR="00E5265C">
        <w:rPr>
          <w:lang w:val="en-GB"/>
        </w:rPr>
        <w:instrText xml:space="preserve"> ADDIN EN.CITE.DATA </w:instrText>
      </w:r>
      <w:r w:rsidR="00E5265C">
        <w:rPr>
          <w:lang w:val="en-GB"/>
        </w:rPr>
      </w:r>
      <w:r w:rsidR="00E5265C">
        <w:rPr>
          <w:lang w:val="en-GB"/>
        </w:rPr>
        <w:fldChar w:fldCharType="end"/>
      </w:r>
      <w:r w:rsidRPr="00221992">
        <w:rPr>
          <w:lang w:val="en-GB"/>
        </w:rPr>
      </w:r>
      <w:r w:rsidRPr="00221992">
        <w:rPr>
          <w:lang w:val="en-GB"/>
        </w:rPr>
        <w:fldChar w:fldCharType="separate"/>
      </w:r>
      <w:r w:rsidR="00E5265C">
        <w:rPr>
          <w:noProof/>
          <w:lang w:val="en-GB"/>
        </w:rPr>
        <w:t>[172]</w:t>
      </w:r>
      <w:r w:rsidRPr="00221992">
        <w:rPr>
          <w:lang w:val="en-GB"/>
        </w:rPr>
        <w:fldChar w:fldCharType="end"/>
      </w:r>
      <w:r w:rsidRPr="00221992">
        <w:rPr>
          <w:lang w:val="en-GB"/>
        </w:rPr>
        <w:t>. NICE can therefore recommend conditional listing pending collection of data. This is the case of many orphan drugs. Th</w:t>
      </w:r>
      <w:r w:rsidR="001721AB">
        <w:rPr>
          <w:lang w:val="en-GB"/>
        </w:rPr>
        <w:t>e</w:t>
      </w:r>
      <w:r w:rsidRPr="00221992">
        <w:rPr>
          <w:lang w:val="en-GB"/>
        </w:rPr>
        <w:t xml:space="preserve"> fund </w:t>
      </w:r>
      <w:r w:rsidR="001721AB">
        <w:rPr>
          <w:lang w:val="en-GB"/>
        </w:rPr>
        <w:t>may</w:t>
      </w:r>
      <w:r w:rsidR="001721AB" w:rsidRPr="00221992">
        <w:rPr>
          <w:lang w:val="en-GB"/>
        </w:rPr>
        <w:t xml:space="preserve"> </w:t>
      </w:r>
      <w:r w:rsidRPr="00221992">
        <w:rPr>
          <w:lang w:val="en-GB"/>
        </w:rPr>
        <w:t xml:space="preserve">be </w:t>
      </w:r>
      <w:r w:rsidR="001721AB">
        <w:rPr>
          <w:lang w:val="en-GB"/>
        </w:rPr>
        <w:t>utilised</w:t>
      </w:r>
      <w:r w:rsidR="001721AB" w:rsidRPr="00221992">
        <w:rPr>
          <w:lang w:val="en-GB"/>
        </w:rPr>
        <w:t xml:space="preserve"> </w:t>
      </w:r>
      <w:r w:rsidR="001721AB">
        <w:rPr>
          <w:lang w:val="en-GB"/>
        </w:rPr>
        <w:t>under</w:t>
      </w:r>
      <w:r w:rsidR="001721AB" w:rsidRPr="00221992">
        <w:rPr>
          <w:lang w:val="en-GB"/>
        </w:rPr>
        <w:t xml:space="preserve"> </w:t>
      </w:r>
      <w:r w:rsidRPr="00221992">
        <w:rPr>
          <w:lang w:val="en-GB"/>
        </w:rPr>
        <w:t xml:space="preserve">the following </w:t>
      </w:r>
      <w:r w:rsidR="001721AB">
        <w:rPr>
          <w:lang w:val="en-GB"/>
        </w:rPr>
        <w:t>conditions</w:t>
      </w:r>
      <w:r w:rsidR="00F02F87" w:rsidRPr="00221992">
        <w:rPr>
          <w:lang w:val="en-GB"/>
        </w:rPr>
        <w:t xml:space="preserve"> </w:t>
      </w:r>
      <w:r w:rsidRPr="00221992">
        <w:rPr>
          <w:lang w:val="en-GB"/>
        </w:rPr>
        <w:fldChar w:fldCharType="begin"/>
      </w:r>
      <w:r w:rsidR="00E5265C">
        <w:rPr>
          <w:lang w:val="en-GB"/>
        </w:rPr>
        <w:instrText xml:space="preserve"> ADDIN EN.CITE &lt;EndNote&gt;&lt;Cite&gt;&lt;Author&gt;National Institute for Health and Care Excellence (NICE)&lt;/Author&gt;&lt;Year&gt;2022&lt;/Year&gt;&lt;RecNum&gt;543&lt;/RecNum&gt;&lt;DisplayText&gt;[131]&lt;/DisplayText&gt;&lt;record&gt;&lt;rec-number&gt;543&lt;/rec-number&gt;&lt;foreign-keys&gt;&lt;key app="EN" db-id="wzwwsfxe4peesxef95cxvrwjxts9rreasarf" timestamp="1692751953"&gt;543&lt;/key&gt;&lt;/foreign-keys&gt;&lt;ref-type name="Report"&gt;27&lt;/ref-type&gt;&lt;contributors&gt;&lt;authors&gt;&lt;author&gt;National Institute for Health and Care Excellence (NICE),&lt;/author&gt;&lt;/authors&gt;&lt;tertiary-authors&gt;&lt;author&gt;National Institute for Health and Care Excellence (NICE),&lt;/author&gt;&lt;/tertiary-authors&gt;&lt;/contributors&gt;&lt;titles&gt;&lt;title&gt;The Innovative Medicines Fund Principles&lt;/title&gt;&lt;/titles&gt;&lt;dates&gt;&lt;year&gt;2022&lt;/year&gt;&lt;/dates&gt;&lt;pub-location&gt;London&lt;/pub-location&gt;&lt;urls&gt;&lt;related-urls&gt;&lt;url&gt;https://www.england.nhs.uk/wp-content/uploads/2022/06/B1686-the-innovate-medicines-fund-principles-june-2022.pdf&lt;/url&gt;&lt;/related-urls&gt;&lt;/urls&gt;&lt;/record&gt;&lt;/Cite&gt;&lt;/EndNote&gt;</w:instrText>
      </w:r>
      <w:r w:rsidRPr="00221992">
        <w:rPr>
          <w:lang w:val="en-GB"/>
        </w:rPr>
        <w:fldChar w:fldCharType="separate"/>
      </w:r>
      <w:r w:rsidR="00E5265C">
        <w:rPr>
          <w:noProof/>
          <w:lang w:val="en-GB"/>
        </w:rPr>
        <w:t>[131]</w:t>
      </w:r>
      <w:r w:rsidRPr="00221992">
        <w:rPr>
          <w:lang w:val="en-GB"/>
        </w:rPr>
        <w:fldChar w:fldCharType="end"/>
      </w:r>
      <w:r w:rsidRPr="00221992">
        <w:rPr>
          <w:lang w:val="en-GB"/>
        </w:rPr>
        <w:t>:</w:t>
      </w:r>
    </w:p>
    <w:p w14:paraId="0AD605F5" w14:textId="77777777" w:rsidR="00D65012" w:rsidRPr="00221992" w:rsidRDefault="00D65012" w:rsidP="00957584">
      <w:pPr>
        <w:pStyle w:val="ListParagraph"/>
        <w:numPr>
          <w:ilvl w:val="0"/>
          <w:numId w:val="50"/>
        </w:numPr>
        <w:rPr>
          <w:lang w:val="en-GB"/>
        </w:rPr>
      </w:pPr>
      <w:r w:rsidRPr="00221992">
        <w:rPr>
          <w:lang w:val="en-GB"/>
        </w:rPr>
        <w:t xml:space="preserve">the technology has the potential to address a high unmet need; </w:t>
      </w:r>
    </w:p>
    <w:p w14:paraId="4FAF490B" w14:textId="77777777" w:rsidR="00D65012" w:rsidRPr="00221992" w:rsidRDefault="00D65012" w:rsidP="00957584">
      <w:pPr>
        <w:pStyle w:val="ListParagraph"/>
        <w:numPr>
          <w:ilvl w:val="0"/>
          <w:numId w:val="50"/>
        </w:numPr>
        <w:rPr>
          <w:lang w:val="en-GB"/>
        </w:rPr>
      </w:pPr>
      <w:r w:rsidRPr="00221992">
        <w:rPr>
          <w:lang w:val="en-GB"/>
        </w:rPr>
        <w:t xml:space="preserve">the technology has the potential to provide significant clinical benefits to patients; or </w:t>
      </w:r>
    </w:p>
    <w:p w14:paraId="1291F7F3" w14:textId="77777777" w:rsidR="00D65012" w:rsidRPr="00221992" w:rsidRDefault="00D65012" w:rsidP="00957584">
      <w:pPr>
        <w:pStyle w:val="ListParagraph"/>
        <w:numPr>
          <w:ilvl w:val="0"/>
          <w:numId w:val="50"/>
        </w:numPr>
        <w:rPr>
          <w:lang w:val="en-GB"/>
        </w:rPr>
      </w:pPr>
      <w:r w:rsidRPr="00221992">
        <w:rPr>
          <w:lang w:val="en-GB"/>
        </w:rPr>
        <w:t xml:space="preserve">the technology represents a step-change in medicine for patients and clinicians; and </w:t>
      </w:r>
    </w:p>
    <w:p w14:paraId="04E1EDA9" w14:textId="77777777" w:rsidR="00D65012" w:rsidRPr="00221992" w:rsidRDefault="00D65012" w:rsidP="00957584">
      <w:pPr>
        <w:pStyle w:val="ListParagraph"/>
        <w:numPr>
          <w:ilvl w:val="0"/>
          <w:numId w:val="50"/>
        </w:numPr>
        <w:rPr>
          <w:lang w:val="en-GB"/>
        </w:rPr>
      </w:pPr>
      <w:r w:rsidRPr="00221992">
        <w:rPr>
          <w:lang w:val="en-GB"/>
        </w:rPr>
        <w:t>the new evidence to be generated is considered meaningful and could sufficiently reduce uncertainty.</w:t>
      </w:r>
    </w:p>
    <w:p w14:paraId="6A6731B3" w14:textId="25A6B1F6" w:rsidR="00D65012" w:rsidRPr="00221992" w:rsidRDefault="001721AB" w:rsidP="00520B29">
      <w:pPr>
        <w:rPr>
          <w:lang w:val="en-GB"/>
        </w:rPr>
      </w:pPr>
      <w:r>
        <w:rPr>
          <w:lang w:val="en-GB"/>
        </w:rPr>
        <w:t>Scotland’s</w:t>
      </w:r>
      <w:r w:rsidRPr="00221992">
        <w:rPr>
          <w:lang w:val="en-GB"/>
        </w:rPr>
        <w:t xml:space="preserve"> </w:t>
      </w:r>
      <w:r w:rsidR="00D65012" w:rsidRPr="00221992">
        <w:rPr>
          <w:lang w:val="en-GB"/>
        </w:rPr>
        <w:t xml:space="preserve">ultra-orphan pathway started in 2019. A technology needs first to be designated </w:t>
      </w:r>
      <w:r>
        <w:rPr>
          <w:lang w:val="en-GB"/>
        </w:rPr>
        <w:t xml:space="preserve">as </w:t>
      </w:r>
      <w:r w:rsidR="00D65012" w:rsidRPr="00221992">
        <w:rPr>
          <w:lang w:val="en-GB"/>
        </w:rPr>
        <w:t xml:space="preserve">orphan by the British MHRA </w:t>
      </w:r>
      <w:r>
        <w:rPr>
          <w:lang w:val="en-GB"/>
        </w:rPr>
        <w:t>and</w:t>
      </w:r>
      <w:r w:rsidR="00D65012" w:rsidRPr="00221992">
        <w:rPr>
          <w:lang w:val="en-GB"/>
        </w:rPr>
        <w:t xml:space="preserve"> then considered by the Scottish Medicines Consortium (SMC) for pricing and reimbursement purposes. Overall, the process has </w:t>
      </w:r>
      <w:r>
        <w:rPr>
          <w:lang w:val="en-GB"/>
        </w:rPr>
        <w:t>four</w:t>
      </w:r>
      <w:r w:rsidR="00D65012" w:rsidRPr="00221992">
        <w:rPr>
          <w:lang w:val="en-GB"/>
        </w:rPr>
        <w:t xml:space="preserve"> distinct stages. First, the drug </w:t>
      </w:r>
      <w:r>
        <w:rPr>
          <w:lang w:val="en-GB"/>
        </w:rPr>
        <w:t>must</w:t>
      </w:r>
      <w:r w:rsidR="00D65012" w:rsidRPr="00221992">
        <w:rPr>
          <w:lang w:val="en-GB"/>
        </w:rPr>
        <w:t xml:space="preserve"> undergo a validation phase</w:t>
      </w:r>
      <w:r>
        <w:rPr>
          <w:lang w:val="en-GB"/>
        </w:rPr>
        <w:t>,</w:t>
      </w:r>
      <w:r w:rsidR="00D65012" w:rsidRPr="00221992">
        <w:rPr>
          <w:lang w:val="en-GB"/>
        </w:rPr>
        <w:t xml:space="preserve"> where the SMC confirms if </w:t>
      </w:r>
      <w:r>
        <w:rPr>
          <w:lang w:val="en-GB"/>
        </w:rPr>
        <w:t>it</w:t>
      </w:r>
      <w:r w:rsidR="00D65012" w:rsidRPr="00221992">
        <w:rPr>
          <w:lang w:val="en-GB"/>
        </w:rPr>
        <w:t xml:space="preserve"> can be considered ultra-orphan. Upon validation, the drug undergoes an initial assessment </w:t>
      </w:r>
      <w:r>
        <w:rPr>
          <w:lang w:val="en-GB"/>
        </w:rPr>
        <w:t>for which</w:t>
      </w:r>
      <w:r w:rsidR="00D65012" w:rsidRPr="00221992">
        <w:rPr>
          <w:lang w:val="en-GB"/>
        </w:rPr>
        <w:t>, in addition to clinical and cost-effectiveness evidence, the manufacturer is required to present a PAS. The PAS can be provided at the time of the initial submission or following the first NDC meeting. A PAS that is made at the time of</w:t>
      </w:r>
      <w:r>
        <w:rPr>
          <w:lang w:val="en-GB"/>
        </w:rPr>
        <w:t xml:space="preserve"> the</w:t>
      </w:r>
      <w:r w:rsidR="00D65012" w:rsidRPr="00221992">
        <w:rPr>
          <w:lang w:val="en-GB"/>
        </w:rPr>
        <w:t xml:space="preserve"> initial submission may be revised post-NDC.</w:t>
      </w:r>
      <w:r w:rsidR="008A6310">
        <w:rPr>
          <w:lang w:val="en-GB"/>
        </w:rPr>
        <w:t xml:space="preserve"> </w:t>
      </w:r>
      <w:r w:rsidR="00D65012" w:rsidRPr="00221992">
        <w:rPr>
          <w:lang w:val="en-GB"/>
        </w:rPr>
        <w:t>The aim of this scheme is to minimise the risk identified from the clinical and cost effectiveness evidence and help inform the data collection phase</w:t>
      </w:r>
      <w:r w:rsidR="003E03E7">
        <w:rPr>
          <w:lang w:val="en-GB"/>
        </w:rPr>
        <w:t>.</w:t>
      </w:r>
      <w:r w:rsidR="00D65012" w:rsidRPr="00221992">
        <w:rPr>
          <w:lang w:val="en-GB"/>
        </w:rPr>
        <w:t xml:space="preserve"> The </w:t>
      </w:r>
      <w:r w:rsidR="009D251E" w:rsidRPr="009D251E">
        <w:rPr>
          <w:lang w:val="en-GB"/>
        </w:rPr>
        <w:t xml:space="preserve">Patient Access Scheme Assessment Group </w:t>
      </w:r>
      <w:r w:rsidR="009D251E">
        <w:rPr>
          <w:lang w:val="en-GB"/>
        </w:rPr>
        <w:t>(</w:t>
      </w:r>
      <w:r w:rsidR="00D65012" w:rsidRPr="00221992">
        <w:rPr>
          <w:lang w:val="en-GB"/>
        </w:rPr>
        <w:t>PASAG</w:t>
      </w:r>
      <w:r w:rsidR="009D251E">
        <w:rPr>
          <w:lang w:val="en-GB"/>
        </w:rPr>
        <w:t>)</w:t>
      </w:r>
      <w:r w:rsidR="00D65012" w:rsidRPr="00221992">
        <w:rPr>
          <w:lang w:val="en-GB"/>
        </w:rPr>
        <w:t xml:space="preserve"> </w:t>
      </w:r>
      <w:r>
        <w:rPr>
          <w:lang w:val="en-GB"/>
        </w:rPr>
        <w:t>then</w:t>
      </w:r>
      <w:r w:rsidRPr="00221992">
        <w:rPr>
          <w:lang w:val="en-GB"/>
        </w:rPr>
        <w:t xml:space="preserve"> </w:t>
      </w:r>
      <w:r w:rsidR="00D65012" w:rsidRPr="00221992">
        <w:rPr>
          <w:lang w:val="en-GB"/>
        </w:rPr>
        <w:t>review</w:t>
      </w:r>
      <w:r>
        <w:rPr>
          <w:lang w:val="en-GB"/>
        </w:rPr>
        <w:t>s</w:t>
      </w:r>
      <w:r w:rsidR="00D65012" w:rsidRPr="00221992">
        <w:rPr>
          <w:lang w:val="en-GB"/>
        </w:rPr>
        <w:t xml:space="preserve"> the proposed PAS and advise</w:t>
      </w:r>
      <w:r>
        <w:rPr>
          <w:lang w:val="en-GB"/>
        </w:rPr>
        <w:t>s</w:t>
      </w:r>
      <w:r w:rsidR="00D65012" w:rsidRPr="00221992">
        <w:rPr>
          <w:lang w:val="en-GB"/>
        </w:rPr>
        <w:t xml:space="preserve"> the SMC on its feasibility. The PASAG operates separately from the SMC to maintain the integrity of the assessment process</w:t>
      </w:r>
      <w:r w:rsidR="00F02F87" w:rsidRPr="00221992">
        <w:rPr>
          <w:lang w:val="en-GB"/>
        </w:rPr>
        <w:t xml:space="preserve"> </w:t>
      </w:r>
      <w:r w:rsidR="00D65012" w:rsidRPr="00221992">
        <w:rPr>
          <w:lang w:val="en-GB"/>
        </w:rPr>
        <w:fldChar w:fldCharType="begin"/>
      </w:r>
      <w:r w:rsidR="00E5265C">
        <w:rPr>
          <w:lang w:val="en-GB"/>
        </w:rPr>
        <w:instrText xml:space="preserve"> ADDIN EN.CITE &lt;EndNote&gt;&lt;Cite&gt;&lt;Author&gt;Scottish Medicines Consortium&lt;/Author&gt;&lt;Year&gt;2018&lt;/Year&gt;&lt;RecNum&gt;525&lt;/RecNum&gt;&lt;DisplayText&gt;[173]&lt;/DisplayText&gt;&lt;record&gt;&lt;rec-number&gt;525&lt;/rec-number&gt;&lt;foreign-keys&gt;&lt;key app="EN" db-id="wzwwsfxe4peesxef95cxvrwjxts9rreasarf" timestamp="1692751953"&gt;525&lt;/key&gt;&lt;/foreign-keys&gt;&lt;ref-type name="Web Page"&gt;12&lt;/ref-type&gt;&lt;contributors&gt;&lt;authors&gt;&lt;author&gt;Scottish Medicines Consortium,&lt;/author&gt;&lt;/authors&gt;&lt;/contributors&gt;&lt;titles&gt;&lt;title&gt;A Guide to the Ultra-Orphan Pathway&lt;/title&gt;&lt;/titles&gt;&lt;number&gt;23 August 2023&lt;/number&gt;&lt;dates&gt;&lt;year&gt;2018&lt;/year&gt;&lt;/dates&gt;&lt;pub-location&gt;Glasgow&lt;/pub-location&gt;&lt;publisher&gt;NHS Scotland, Scottish Medicines Consortium,&lt;/publisher&gt;&lt;urls&gt;&lt;related-urls&gt;&lt;url&gt;https://www.gov.scot/binaries/content/documents/govscot/publications/advice-and-guidance/2019/05/ultra-orphan-medicine-pathways-guidance/documents/ultra-orphan-medicines-pathway-guide/ultra-orphan-medicines-pathway-guide/govscot%3Adocument/Generic%2BGuidance%2B-%2BUltra-orphan%2Bpathway_draft%2Bguidance%2B-%2Bfinal.pdf&lt;/url&gt;&lt;/related-urls&gt;&lt;/urls&gt;&lt;/record&gt;&lt;/Cite&gt;&lt;/EndNote&gt;</w:instrText>
      </w:r>
      <w:r w:rsidR="00D65012" w:rsidRPr="00221992">
        <w:rPr>
          <w:lang w:val="en-GB"/>
        </w:rPr>
        <w:fldChar w:fldCharType="separate"/>
      </w:r>
      <w:r w:rsidR="00E5265C">
        <w:rPr>
          <w:noProof/>
          <w:lang w:val="en-GB"/>
        </w:rPr>
        <w:t>[173]</w:t>
      </w:r>
      <w:r w:rsidR="00D65012" w:rsidRPr="00221992">
        <w:rPr>
          <w:lang w:val="en-GB"/>
        </w:rPr>
        <w:fldChar w:fldCharType="end"/>
      </w:r>
      <w:r w:rsidR="00D65012" w:rsidRPr="00221992">
        <w:rPr>
          <w:lang w:val="en-GB"/>
        </w:rPr>
        <w:t xml:space="preserve">. Similar to </w:t>
      </w:r>
      <w:r w:rsidR="00E93AD5" w:rsidRPr="00221992">
        <w:rPr>
          <w:lang w:val="en-GB"/>
        </w:rPr>
        <w:t>England/Wales</w:t>
      </w:r>
      <w:r w:rsidR="00D65012" w:rsidRPr="00221992">
        <w:rPr>
          <w:lang w:val="en-GB"/>
        </w:rPr>
        <w:t xml:space="preserve">, a higher threshold </w:t>
      </w:r>
      <w:r w:rsidR="00774EC3" w:rsidRPr="00221992">
        <w:rPr>
          <w:lang w:val="en-GB"/>
        </w:rPr>
        <w:t>may be</w:t>
      </w:r>
      <w:r w:rsidR="00D65012" w:rsidRPr="00221992">
        <w:rPr>
          <w:lang w:val="en-GB"/>
        </w:rPr>
        <w:t xml:space="preserve"> acceptable with the use of </w:t>
      </w:r>
      <w:r w:rsidR="00774EC3" w:rsidRPr="00221992">
        <w:rPr>
          <w:lang w:val="en-GB"/>
        </w:rPr>
        <w:t>decision</w:t>
      </w:r>
      <w:r w:rsidR="00D65012" w:rsidRPr="00221992">
        <w:rPr>
          <w:lang w:val="en-GB"/>
        </w:rPr>
        <w:t xml:space="preserve"> modifiers</w:t>
      </w:r>
      <w:r w:rsidR="00774EC3" w:rsidRPr="00221992">
        <w:rPr>
          <w:lang w:val="en-GB"/>
        </w:rPr>
        <w:t>.</w:t>
      </w:r>
      <w:r w:rsidR="008A6310">
        <w:rPr>
          <w:lang w:val="en-GB"/>
        </w:rPr>
        <w:t xml:space="preserve"> </w:t>
      </w:r>
    </w:p>
    <w:p w14:paraId="4FA4581E" w14:textId="25559AF8" w:rsidR="001721AB" w:rsidRDefault="00D65012" w:rsidP="000C66C0">
      <w:pPr>
        <w:rPr>
          <w:rFonts w:ascii="Calibri" w:hAnsi="Calibri" w:cs="Calibri"/>
          <w:b/>
          <w:bCs/>
          <w:sz w:val="20"/>
          <w:lang w:val="en-GB"/>
        </w:rPr>
      </w:pPr>
      <w:r w:rsidRPr="00221992">
        <w:rPr>
          <w:lang w:val="en-GB"/>
        </w:rPr>
        <w:t>If the drug is recommended</w:t>
      </w:r>
      <w:r w:rsidR="001721AB">
        <w:rPr>
          <w:lang w:val="en-GB"/>
        </w:rPr>
        <w:t>,</w:t>
      </w:r>
      <w:r w:rsidRPr="00221992">
        <w:rPr>
          <w:lang w:val="en-GB"/>
        </w:rPr>
        <w:t xml:space="preserve"> it becomes available in Scotland for </w:t>
      </w:r>
      <w:r w:rsidR="001721AB">
        <w:rPr>
          <w:lang w:val="en-GB"/>
        </w:rPr>
        <w:t>a period of three</w:t>
      </w:r>
      <w:r w:rsidRPr="00221992">
        <w:rPr>
          <w:lang w:val="en-GB"/>
        </w:rPr>
        <w:t xml:space="preserve"> years while further clinical effectiveness data are collected. </w:t>
      </w:r>
      <w:r w:rsidR="001721AB">
        <w:rPr>
          <w:lang w:val="en-GB"/>
        </w:rPr>
        <w:t>Subsequently</w:t>
      </w:r>
      <w:r w:rsidRPr="00221992">
        <w:rPr>
          <w:lang w:val="en-GB"/>
        </w:rPr>
        <w:t xml:space="preserve">, the </w:t>
      </w:r>
      <w:r w:rsidR="001721AB">
        <w:rPr>
          <w:lang w:val="en-GB"/>
        </w:rPr>
        <w:t xml:space="preserve">information </w:t>
      </w:r>
      <w:r w:rsidRPr="00221992">
        <w:rPr>
          <w:lang w:val="en-GB"/>
        </w:rPr>
        <w:t xml:space="preserve">dossier must be updated by the manufacturer and evaluation is re-initiated. If the NDC advice is </w:t>
      </w:r>
      <w:r w:rsidR="00551786">
        <w:rPr>
          <w:lang w:val="en-GB"/>
        </w:rPr>
        <w:t>‘</w:t>
      </w:r>
      <w:r w:rsidRPr="00221992">
        <w:rPr>
          <w:lang w:val="en-GB"/>
        </w:rPr>
        <w:t>not recommended</w:t>
      </w:r>
      <w:r w:rsidR="001721AB">
        <w:rPr>
          <w:lang w:val="en-GB"/>
        </w:rPr>
        <w:t>,</w:t>
      </w:r>
      <w:r w:rsidR="00551786">
        <w:rPr>
          <w:lang w:val="en-GB"/>
        </w:rPr>
        <w:t>’</w:t>
      </w:r>
      <w:r w:rsidRPr="00221992">
        <w:rPr>
          <w:lang w:val="en-GB"/>
        </w:rPr>
        <w:t xml:space="preserve"> the manufacturer may request to convene a PACE </w:t>
      </w:r>
      <w:r w:rsidR="009D251E">
        <w:rPr>
          <w:lang w:val="en-GB"/>
        </w:rPr>
        <w:t>meeting</w:t>
      </w:r>
      <w:r w:rsidR="001721AB">
        <w:rPr>
          <w:lang w:val="en-GB"/>
        </w:rPr>
        <w:t>,</w:t>
      </w:r>
      <w:r w:rsidRPr="00221992">
        <w:rPr>
          <w:lang w:val="en-GB"/>
        </w:rPr>
        <w:t xml:space="preserve"> allowing patient groups and clinicians a voice in </w:t>
      </w:r>
      <w:r w:rsidR="00756B32">
        <w:rPr>
          <w:lang w:val="en-GB"/>
        </w:rPr>
        <w:t>decision-making</w:t>
      </w:r>
      <w:r w:rsidR="001721AB">
        <w:rPr>
          <w:lang w:val="en-GB"/>
        </w:rPr>
        <w:t>,</w:t>
      </w:r>
      <w:r w:rsidRPr="00221992">
        <w:rPr>
          <w:lang w:val="en-GB"/>
        </w:rPr>
        <w:t xml:space="preserve"> and/or submit a revised PAS. </w:t>
      </w:r>
    </w:p>
    <w:p w14:paraId="387B3542" w14:textId="1886C3C7" w:rsidR="00520B29" w:rsidRPr="00221992" w:rsidRDefault="00520B29" w:rsidP="000C66C0">
      <w:pPr>
        <w:pStyle w:val="Caption"/>
        <w:keepNext w:val="0"/>
        <w:keepLines w:val="0"/>
        <w:widowControl w:val="0"/>
        <w:spacing w:line="240" w:lineRule="auto"/>
        <w:rPr>
          <w:lang w:val="en-GB"/>
        </w:rPr>
      </w:pPr>
      <w:bookmarkStart w:id="152" w:name="_Toc162950963"/>
      <w:r w:rsidRPr="00221992">
        <w:rPr>
          <w:lang w:val="en-GB"/>
        </w:rPr>
        <w:t xml:space="preserve">Table </w:t>
      </w:r>
      <w:r w:rsidRPr="00221992">
        <w:rPr>
          <w:lang w:val="en-GB"/>
        </w:rPr>
        <w:fldChar w:fldCharType="begin"/>
      </w:r>
      <w:r>
        <w:instrText>SEQ Table \* ARABIC</w:instrText>
      </w:r>
      <w:r w:rsidRPr="00221992">
        <w:rPr>
          <w:lang w:val="en-GB"/>
        </w:rPr>
        <w:fldChar w:fldCharType="separate"/>
      </w:r>
      <w:r w:rsidR="000E11E7">
        <w:rPr>
          <w:noProof/>
        </w:rPr>
        <w:t>16</w:t>
      </w:r>
      <w:r w:rsidRPr="00221992">
        <w:rPr>
          <w:lang w:val="en-GB"/>
        </w:rPr>
        <w:fldChar w:fldCharType="end"/>
      </w:r>
      <w:r w:rsidRPr="00221992">
        <w:rPr>
          <w:lang w:val="en-GB"/>
        </w:rPr>
        <w:t xml:space="preserve">. Access pathways for ultra-rare diseases in </w:t>
      </w:r>
      <w:r w:rsidR="00E93AD5" w:rsidRPr="00221992">
        <w:rPr>
          <w:lang w:val="en-GB"/>
        </w:rPr>
        <w:t>England/Wales</w:t>
      </w:r>
      <w:r w:rsidRPr="00221992">
        <w:rPr>
          <w:lang w:val="en-GB"/>
        </w:rPr>
        <w:t xml:space="preserve"> and Scotland</w:t>
      </w:r>
      <w:bookmarkEnd w:id="152"/>
    </w:p>
    <w:tbl>
      <w:tblPr>
        <w:tblStyle w:val="LinedBlueTable"/>
        <w:tblW w:w="8364" w:type="dxa"/>
        <w:tblLayout w:type="fixed"/>
        <w:tblLook w:val="04A0" w:firstRow="1" w:lastRow="0" w:firstColumn="1" w:lastColumn="0" w:noHBand="0" w:noVBand="1"/>
        <w:tblCaption w:val=" Access pathways for ultra-rare diseases in England/Wales and Scotland "/>
      </w:tblPr>
      <w:tblGrid>
        <w:gridCol w:w="1533"/>
        <w:gridCol w:w="3287"/>
        <w:gridCol w:w="3544"/>
      </w:tblGrid>
      <w:tr w:rsidR="00604977" w:rsidRPr="00604977" w14:paraId="09EFF9CA" w14:textId="77777777" w:rsidTr="00604977">
        <w:trPr>
          <w:cnfStyle w:val="100000000000" w:firstRow="1" w:lastRow="0" w:firstColumn="0" w:lastColumn="0" w:oddVBand="0" w:evenVBand="0" w:oddHBand="0" w:evenHBand="0" w:firstRowFirstColumn="0" w:firstRowLastColumn="0" w:lastRowFirstColumn="0" w:lastRowLastColumn="0"/>
          <w:cantSplit w:val="0"/>
          <w:trHeight w:val="20"/>
          <w:tblHeader/>
        </w:trPr>
        <w:tc>
          <w:tcPr>
            <w:cnfStyle w:val="001000000000" w:firstRow="0" w:lastRow="0" w:firstColumn="1" w:lastColumn="0" w:oddVBand="0" w:evenVBand="0" w:oddHBand="0" w:evenHBand="0" w:firstRowFirstColumn="0" w:firstRowLastColumn="0" w:lastRowFirstColumn="0" w:lastRowLastColumn="0"/>
            <w:tcW w:w="1533" w:type="dxa"/>
            <w:shd w:val="clear" w:color="auto" w:fill="1E8BCD"/>
            <w:tcMar>
              <w:left w:w="57" w:type="dxa"/>
            </w:tcMar>
          </w:tcPr>
          <w:p w14:paraId="44D6A337" w14:textId="77777777" w:rsidR="00D65012" w:rsidRPr="00604977" w:rsidRDefault="00D65012" w:rsidP="000C66C0">
            <w:pPr>
              <w:widowControl w:val="0"/>
              <w:spacing w:after="0" w:line="240" w:lineRule="auto"/>
              <w:rPr>
                <w:sz w:val="20"/>
                <w:szCs w:val="20"/>
                <w:lang w:val="en-GB"/>
              </w:rPr>
            </w:pPr>
          </w:p>
        </w:tc>
        <w:tc>
          <w:tcPr>
            <w:tcW w:w="3287" w:type="dxa"/>
            <w:shd w:val="clear" w:color="auto" w:fill="1E8BCD"/>
            <w:tcMar>
              <w:left w:w="57" w:type="dxa"/>
            </w:tcMar>
          </w:tcPr>
          <w:p w14:paraId="79404693" w14:textId="06BB477C" w:rsidR="00D65012" w:rsidRPr="00604977" w:rsidRDefault="00E93AD5" w:rsidP="000C66C0">
            <w:pPr>
              <w:widowControl w:val="0"/>
              <w:spacing w:after="0" w:line="240" w:lineRule="auto"/>
              <w:cnfStyle w:val="100000000000" w:firstRow="1" w:lastRow="0" w:firstColumn="0" w:lastColumn="0" w:oddVBand="0" w:evenVBand="0" w:oddHBand="0" w:evenHBand="0" w:firstRowFirstColumn="0" w:firstRowLastColumn="0" w:lastRowFirstColumn="0" w:lastRowLastColumn="0"/>
              <w:rPr>
                <w:rFonts w:ascii="Calibri" w:hAnsi="Calibri" w:cs="Calibri"/>
                <w:b/>
                <w:sz w:val="20"/>
                <w:szCs w:val="20"/>
                <w:lang w:val="en-GB"/>
              </w:rPr>
            </w:pPr>
            <w:r w:rsidRPr="00604977">
              <w:rPr>
                <w:rFonts w:ascii="Calibri" w:hAnsi="Calibri" w:cs="Calibri"/>
                <w:b/>
                <w:sz w:val="20"/>
                <w:szCs w:val="20"/>
                <w:lang w:val="en-GB"/>
              </w:rPr>
              <w:t>England/Wales</w:t>
            </w:r>
          </w:p>
        </w:tc>
        <w:tc>
          <w:tcPr>
            <w:tcW w:w="3544" w:type="dxa"/>
            <w:shd w:val="clear" w:color="auto" w:fill="1E8BCD"/>
            <w:tcMar>
              <w:left w:w="57" w:type="dxa"/>
            </w:tcMar>
          </w:tcPr>
          <w:p w14:paraId="31E06E30" w14:textId="77777777" w:rsidR="00D65012" w:rsidRPr="00604977" w:rsidRDefault="00D65012" w:rsidP="000C66C0">
            <w:pPr>
              <w:widowControl w:val="0"/>
              <w:spacing w:after="0" w:line="240" w:lineRule="auto"/>
              <w:cnfStyle w:val="100000000000" w:firstRow="1" w:lastRow="0" w:firstColumn="0" w:lastColumn="0" w:oddVBand="0" w:evenVBand="0" w:oddHBand="0" w:evenHBand="0" w:firstRowFirstColumn="0" w:firstRowLastColumn="0" w:lastRowFirstColumn="0" w:lastRowLastColumn="0"/>
              <w:rPr>
                <w:rFonts w:ascii="Calibri" w:hAnsi="Calibri" w:cs="Calibri"/>
                <w:b/>
                <w:sz w:val="20"/>
                <w:szCs w:val="20"/>
                <w:lang w:val="en-GB"/>
              </w:rPr>
            </w:pPr>
            <w:r w:rsidRPr="00604977">
              <w:rPr>
                <w:rFonts w:ascii="Calibri" w:hAnsi="Calibri" w:cs="Calibri"/>
                <w:b/>
                <w:sz w:val="20"/>
                <w:szCs w:val="20"/>
                <w:lang w:val="en-GB"/>
              </w:rPr>
              <w:t>Scotland</w:t>
            </w:r>
          </w:p>
        </w:tc>
      </w:tr>
      <w:tr w:rsidR="00604977" w:rsidRPr="00604977" w14:paraId="2B54C9C4" w14:textId="77777777" w:rsidTr="00604977">
        <w:trPr>
          <w:cantSplit w:val="0"/>
          <w:trHeight w:val="20"/>
        </w:trPr>
        <w:tc>
          <w:tcPr>
            <w:cnfStyle w:val="001000000000" w:firstRow="0" w:lastRow="0" w:firstColumn="1" w:lastColumn="0" w:oddVBand="0" w:evenVBand="0" w:oddHBand="0" w:evenHBand="0" w:firstRowFirstColumn="0" w:firstRowLastColumn="0" w:lastRowFirstColumn="0" w:lastRowLastColumn="0"/>
            <w:tcW w:w="1533" w:type="dxa"/>
            <w:shd w:val="clear" w:color="auto" w:fill="1E8BCD"/>
            <w:tcMar>
              <w:left w:w="57" w:type="dxa"/>
            </w:tcMar>
          </w:tcPr>
          <w:p w14:paraId="564E5F65" w14:textId="77777777" w:rsidR="00D65012" w:rsidRPr="00604977" w:rsidRDefault="00D65012" w:rsidP="000C66C0">
            <w:pPr>
              <w:widowControl w:val="0"/>
              <w:spacing w:after="0" w:line="240" w:lineRule="auto"/>
              <w:rPr>
                <w:sz w:val="20"/>
                <w:szCs w:val="20"/>
                <w:lang w:val="en-GB"/>
              </w:rPr>
            </w:pPr>
            <w:r w:rsidRPr="00604977">
              <w:rPr>
                <w:sz w:val="20"/>
                <w:szCs w:val="20"/>
                <w:lang w:val="en-GB"/>
              </w:rPr>
              <w:t>HTA</w:t>
            </w:r>
          </w:p>
        </w:tc>
        <w:tc>
          <w:tcPr>
            <w:tcW w:w="3287" w:type="dxa"/>
            <w:tcMar>
              <w:left w:w="57" w:type="dxa"/>
            </w:tcMar>
          </w:tcPr>
          <w:p w14:paraId="17AE9B8E" w14:textId="77777777" w:rsidR="00D65012" w:rsidRPr="00604977" w:rsidRDefault="00D65012" w:rsidP="000C66C0">
            <w:pPr>
              <w:widowControl w:val="0"/>
              <w:spacing w:after="0" w:line="240" w:lineRule="auto"/>
              <w:cnfStyle w:val="000000000000" w:firstRow="0" w:lastRow="0" w:firstColumn="0" w:lastColumn="0" w:oddVBand="0" w:evenVBand="0" w:oddHBand="0" w:evenHBand="0" w:firstRowFirstColumn="0" w:firstRowLastColumn="0" w:lastRowFirstColumn="0" w:lastRowLastColumn="0"/>
              <w:rPr>
                <w:sz w:val="20"/>
                <w:szCs w:val="20"/>
                <w:lang w:val="en-GB"/>
              </w:rPr>
            </w:pPr>
            <w:r w:rsidRPr="00604977">
              <w:rPr>
                <w:sz w:val="20"/>
                <w:szCs w:val="20"/>
                <w:lang w:val="en-GB"/>
              </w:rPr>
              <w:t>NICE</w:t>
            </w:r>
          </w:p>
        </w:tc>
        <w:tc>
          <w:tcPr>
            <w:tcW w:w="3544" w:type="dxa"/>
            <w:tcMar>
              <w:left w:w="57" w:type="dxa"/>
            </w:tcMar>
          </w:tcPr>
          <w:p w14:paraId="209265B6" w14:textId="77777777" w:rsidR="00D65012" w:rsidRPr="00604977" w:rsidRDefault="00D65012" w:rsidP="000C66C0">
            <w:pPr>
              <w:widowControl w:val="0"/>
              <w:spacing w:after="0" w:line="240" w:lineRule="auto"/>
              <w:cnfStyle w:val="000000000000" w:firstRow="0" w:lastRow="0" w:firstColumn="0" w:lastColumn="0" w:oddVBand="0" w:evenVBand="0" w:oddHBand="0" w:evenHBand="0" w:firstRowFirstColumn="0" w:firstRowLastColumn="0" w:lastRowFirstColumn="0" w:lastRowLastColumn="0"/>
              <w:rPr>
                <w:sz w:val="20"/>
                <w:szCs w:val="20"/>
                <w:lang w:val="en-GB"/>
              </w:rPr>
            </w:pPr>
            <w:r w:rsidRPr="00604977">
              <w:rPr>
                <w:sz w:val="20"/>
                <w:szCs w:val="20"/>
                <w:lang w:val="en-GB"/>
              </w:rPr>
              <w:t>SMC</w:t>
            </w:r>
          </w:p>
        </w:tc>
      </w:tr>
      <w:tr w:rsidR="00604977" w:rsidRPr="00604977" w14:paraId="3577962A" w14:textId="77777777" w:rsidTr="00604977">
        <w:trPr>
          <w:cnfStyle w:val="000000010000" w:firstRow="0" w:lastRow="0" w:firstColumn="0" w:lastColumn="0" w:oddVBand="0" w:evenVBand="0" w:oddHBand="0" w:evenHBand="1" w:firstRowFirstColumn="0" w:firstRowLastColumn="0" w:lastRowFirstColumn="0" w:lastRowLastColumn="0"/>
          <w:cantSplit w:val="0"/>
          <w:trHeight w:val="20"/>
        </w:trPr>
        <w:tc>
          <w:tcPr>
            <w:cnfStyle w:val="001000000000" w:firstRow="0" w:lastRow="0" w:firstColumn="1" w:lastColumn="0" w:oddVBand="0" w:evenVBand="0" w:oddHBand="0" w:evenHBand="0" w:firstRowFirstColumn="0" w:firstRowLastColumn="0" w:lastRowFirstColumn="0" w:lastRowLastColumn="0"/>
            <w:tcW w:w="1533" w:type="dxa"/>
            <w:shd w:val="clear" w:color="auto" w:fill="1E8BCD"/>
            <w:tcMar>
              <w:left w:w="57" w:type="dxa"/>
            </w:tcMar>
          </w:tcPr>
          <w:p w14:paraId="6ECD2517" w14:textId="77777777" w:rsidR="00D65012" w:rsidRPr="00604977" w:rsidRDefault="00D65012" w:rsidP="000C66C0">
            <w:pPr>
              <w:widowControl w:val="0"/>
              <w:spacing w:after="0" w:line="240" w:lineRule="auto"/>
              <w:rPr>
                <w:sz w:val="20"/>
                <w:szCs w:val="20"/>
                <w:lang w:val="en-GB"/>
              </w:rPr>
            </w:pPr>
            <w:r w:rsidRPr="00604977">
              <w:rPr>
                <w:sz w:val="20"/>
                <w:szCs w:val="20"/>
                <w:lang w:val="en-GB"/>
              </w:rPr>
              <w:t>Source of funding</w:t>
            </w:r>
          </w:p>
        </w:tc>
        <w:tc>
          <w:tcPr>
            <w:tcW w:w="3287" w:type="dxa"/>
            <w:shd w:val="clear" w:color="auto" w:fill="EFEFEF" w:themeFill="text2" w:themeFillTint="33"/>
            <w:tcMar>
              <w:left w:w="57" w:type="dxa"/>
            </w:tcMar>
          </w:tcPr>
          <w:p w14:paraId="4F14C8BC" w14:textId="77777777" w:rsidR="00D65012" w:rsidRPr="00604977" w:rsidRDefault="00D65012" w:rsidP="000C66C0">
            <w:pPr>
              <w:widowControl w:val="0"/>
              <w:spacing w:after="0" w:line="240" w:lineRule="auto"/>
              <w:cnfStyle w:val="000000010000" w:firstRow="0" w:lastRow="0" w:firstColumn="0" w:lastColumn="0" w:oddVBand="0" w:evenVBand="0" w:oddHBand="0" w:evenHBand="1" w:firstRowFirstColumn="0" w:firstRowLastColumn="0" w:lastRowFirstColumn="0" w:lastRowLastColumn="0"/>
              <w:rPr>
                <w:sz w:val="20"/>
                <w:szCs w:val="20"/>
                <w:lang w:val="en-GB"/>
              </w:rPr>
            </w:pPr>
            <w:r w:rsidRPr="00604977">
              <w:rPr>
                <w:sz w:val="20"/>
                <w:szCs w:val="20"/>
                <w:lang w:val="en-GB"/>
              </w:rPr>
              <w:t>Innovative Medicines Fund</w:t>
            </w:r>
          </w:p>
        </w:tc>
        <w:tc>
          <w:tcPr>
            <w:tcW w:w="3544" w:type="dxa"/>
            <w:shd w:val="clear" w:color="auto" w:fill="EFEFEF" w:themeFill="text2" w:themeFillTint="33"/>
            <w:tcMar>
              <w:left w:w="57" w:type="dxa"/>
            </w:tcMar>
          </w:tcPr>
          <w:p w14:paraId="6B65A4FE" w14:textId="77777777" w:rsidR="00D65012" w:rsidRPr="00604977" w:rsidRDefault="00D65012" w:rsidP="000C66C0">
            <w:pPr>
              <w:widowControl w:val="0"/>
              <w:spacing w:after="0" w:line="240" w:lineRule="auto"/>
              <w:cnfStyle w:val="000000010000" w:firstRow="0" w:lastRow="0" w:firstColumn="0" w:lastColumn="0" w:oddVBand="0" w:evenVBand="0" w:oddHBand="0" w:evenHBand="1" w:firstRowFirstColumn="0" w:firstRowLastColumn="0" w:lastRowFirstColumn="0" w:lastRowLastColumn="0"/>
              <w:rPr>
                <w:sz w:val="20"/>
                <w:szCs w:val="20"/>
                <w:lang w:val="en-GB"/>
              </w:rPr>
            </w:pPr>
            <w:r w:rsidRPr="00604977">
              <w:rPr>
                <w:sz w:val="20"/>
                <w:szCs w:val="20"/>
                <w:lang w:val="en-GB"/>
              </w:rPr>
              <w:t>New Medicine Fund (£80 MM/year allocated to orphan drugs)</w:t>
            </w:r>
          </w:p>
        </w:tc>
      </w:tr>
      <w:tr w:rsidR="00604977" w:rsidRPr="00604977" w14:paraId="346DFCE6" w14:textId="77777777" w:rsidTr="00604977">
        <w:trPr>
          <w:cantSplit w:val="0"/>
          <w:trHeight w:val="20"/>
        </w:trPr>
        <w:tc>
          <w:tcPr>
            <w:cnfStyle w:val="001000000000" w:firstRow="0" w:lastRow="0" w:firstColumn="1" w:lastColumn="0" w:oddVBand="0" w:evenVBand="0" w:oddHBand="0" w:evenHBand="0" w:firstRowFirstColumn="0" w:firstRowLastColumn="0" w:lastRowFirstColumn="0" w:lastRowLastColumn="0"/>
            <w:tcW w:w="1533" w:type="dxa"/>
            <w:shd w:val="clear" w:color="auto" w:fill="1E8BCD"/>
            <w:tcMar>
              <w:left w:w="57" w:type="dxa"/>
            </w:tcMar>
          </w:tcPr>
          <w:p w14:paraId="47C8A6B1" w14:textId="77777777" w:rsidR="00D65012" w:rsidRPr="00604977" w:rsidRDefault="00D65012" w:rsidP="000C66C0">
            <w:pPr>
              <w:widowControl w:val="0"/>
              <w:spacing w:after="0" w:line="240" w:lineRule="auto"/>
              <w:rPr>
                <w:sz w:val="20"/>
                <w:szCs w:val="20"/>
                <w:lang w:val="en-GB"/>
              </w:rPr>
            </w:pPr>
            <w:r w:rsidRPr="00604977">
              <w:rPr>
                <w:sz w:val="20"/>
                <w:szCs w:val="20"/>
                <w:lang w:val="en-GB"/>
              </w:rPr>
              <w:t>Target population</w:t>
            </w:r>
          </w:p>
        </w:tc>
        <w:tc>
          <w:tcPr>
            <w:tcW w:w="3287" w:type="dxa"/>
            <w:tcMar>
              <w:left w:w="57" w:type="dxa"/>
            </w:tcMar>
          </w:tcPr>
          <w:p w14:paraId="77AFC18B" w14:textId="77777777" w:rsidR="00D65012" w:rsidRPr="00604977" w:rsidRDefault="00D65012" w:rsidP="000C66C0">
            <w:pPr>
              <w:widowControl w:val="0"/>
              <w:spacing w:after="0" w:line="240" w:lineRule="auto"/>
              <w:cnfStyle w:val="000000000000" w:firstRow="0" w:lastRow="0" w:firstColumn="0" w:lastColumn="0" w:oddVBand="0" w:evenVBand="0" w:oddHBand="0" w:evenHBand="0" w:firstRowFirstColumn="0" w:firstRowLastColumn="0" w:lastRowFirstColumn="0" w:lastRowLastColumn="0"/>
              <w:rPr>
                <w:sz w:val="20"/>
                <w:szCs w:val="20"/>
                <w:lang w:val="en-GB"/>
              </w:rPr>
            </w:pPr>
            <w:r w:rsidRPr="00604977">
              <w:rPr>
                <w:sz w:val="20"/>
                <w:szCs w:val="20"/>
                <w:lang w:val="en-GB"/>
              </w:rPr>
              <w:t>Ultra-rare diseases</w:t>
            </w:r>
          </w:p>
        </w:tc>
        <w:tc>
          <w:tcPr>
            <w:tcW w:w="3544" w:type="dxa"/>
            <w:tcMar>
              <w:left w:w="57" w:type="dxa"/>
            </w:tcMar>
          </w:tcPr>
          <w:p w14:paraId="2CA0EB42" w14:textId="77777777" w:rsidR="00D65012" w:rsidRPr="00604977" w:rsidRDefault="00D65012" w:rsidP="000C66C0">
            <w:pPr>
              <w:widowControl w:val="0"/>
              <w:spacing w:after="0" w:line="240" w:lineRule="auto"/>
              <w:cnfStyle w:val="000000000000" w:firstRow="0" w:lastRow="0" w:firstColumn="0" w:lastColumn="0" w:oddVBand="0" w:evenVBand="0" w:oddHBand="0" w:evenHBand="0" w:firstRowFirstColumn="0" w:firstRowLastColumn="0" w:lastRowFirstColumn="0" w:lastRowLastColumn="0"/>
              <w:rPr>
                <w:sz w:val="20"/>
                <w:szCs w:val="20"/>
                <w:lang w:val="en-GB"/>
              </w:rPr>
            </w:pPr>
            <w:r w:rsidRPr="00604977">
              <w:rPr>
                <w:sz w:val="20"/>
                <w:szCs w:val="20"/>
                <w:lang w:val="en-GB"/>
              </w:rPr>
              <w:t xml:space="preserve">Ultra-rare diseases or end of life disease. </w:t>
            </w:r>
          </w:p>
        </w:tc>
      </w:tr>
      <w:tr w:rsidR="00604977" w:rsidRPr="00604977" w14:paraId="4ECE6901" w14:textId="77777777" w:rsidTr="00604977">
        <w:trPr>
          <w:cnfStyle w:val="000000010000" w:firstRow="0" w:lastRow="0" w:firstColumn="0" w:lastColumn="0" w:oddVBand="0" w:evenVBand="0" w:oddHBand="0" w:evenHBand="1" w:firstRowFirstColumn="0" w:firstRowLastColumn="0" w:lastRowFirstColumn="0" w:lastRowLastColumn="0"/>
          <w:cantSplit w:val="0"/>
          <w:trHeight w:val="20"/>
        </w:trPr>
        <w:tc>
          <w:tcPr>
            <w:cnfStyle w:val="001000000000" w:firstRow="0" w:lastRow="0" w:firstColumn="1" w:lastColumn="0" w:oddVBand="0" w:evenVBand="0" w:oddHBand="0" w:evenHBand="0" w:firstRowFirstColumn="0" w:firstRowLastColumn="0" w:lastRowFirstColumn="0" w:lastRowLastColumn="0"/>
            <w:tcW w:w="1533" w:type="dxa"/>
            <w:shd w:val="clear" w:color="auto" w:fill="1E8BCD"/>
            <w:tcMar>
              <w:left w:w="57" w:type="dxa"/>
            </w:tcMar>
          </w:tcPr>
          <w:p w14:paraId="7A8BC6B0" w14:textId="77777777" w:rsidR="00D65012" w:rsidRPr="00604977" w:rsidRDefault="00D65012" w:rsidP="000C66C0">
            <w:pPr>
              <w:widowControl w:val="0"/>
              <w:spacing w:after="0" w:line="240" w:lineRule="auto"/>
              <w:rPr>
                <w:sz w:val="20"/>
                <w:szCs w:val="20"/>
                <w:lang w:val="en-GB"/>
              </w:rPr>
            </w:pPr>
            <w:r w:rsidRPr="00604977">
              <w:rPr>
                <w:sz w:val="20"/>
                <w:szCs w:val="20"/>
                <w:lang w:val="en-GB"/>
              </w:rPr>
              <w:t>Prevalence threshold</w:t>
            </w:r>
          </w:p>
        </w:tc>
        <w:tc>
          <w:tcPr>
            <w:tcW w:w="3287" w:type="dxa"/>
            <w:shd w:val="clear" w:color="auto" w:fill="EFEFEF" w:themeFill="text2" w:themeFillTint="33"/>
            <w:tcMar>
              <w:left w:w="57" w:type="dxa"/>
            </w:tcMar>
          </w:tcPr>
          <w:p w14:paraId="5F52448C" w14:textId="77777777" w:rsidR="00D65012" w:rsidRPr="00604977" w:rsidRDefault="00D65012" w:rsidP="000C66C0">
            <w:pPr>
              <w:widowControl w:val="0"/>
              <w:spacing w:after="0" w:line="240" w:lineRule="auto"/>
              <w:cnfStyle w:val="000000010000" w:firstRow="0" w:lastRow="0" w:firstColumn="0" w:lastColumn="0" w:oddVBand="0" w:evenVBand="0" w:oddHBand="0" w:evenHBand="1" w:firstRowFirstColumn="0" w:firstRowLastColumn="0" w:lastRowFirstColumn="0" w:lastRowLastColumn="0"/>
              <w:rPr>
                <w:sz w:val="20"/>
                <w:szCs w:val="20"/>
                <w:lang w:val="en-GB"/>
              </w:rPr>
            </w:pPr>
            <w:r w:rsidRPr="00604977">
              <w:rPr>
                <w:sz w:val="20"/>
                <w:szCs w:val="20"/>
                <w:lang w:val="en-GB"/>
              </w:rPr>
              <w:t>&lt;1/50,000, discretionary departure from normal policy may apply.</w:t>
            </w:r>
          </w:p>
        </w:tc>
        <w:tc>
          <w:tcPr>
            <w:tcW w:w="3544" w:type="dxa"/>
            <w:shd w:val="clear" w:color="auto" w:fill="EFEFEF" w:themeFill="text2" w:themeFillTint="33"/>
            <w:tcMar>
              <w:left w:w="57" w:type="dxa"/>
            </w:tcMar>
          </w:tcPr>
          <w:p w14:paraId="721C9D60" w14:textId="77777777" w:rsidR="00D65012" w:rsidRPr="00604977" w:rsidRDefault="00D65012" w:rsidP="000C66C0">
            <w:pPr>
              <w:widowControl w:val="0"/>
              <w:spacing w:after="0" w:line="240" w:lineRule="auto"/>
              <w:cnfStyle w:val="000000010000" w:firstRow="0" w:lastRow="0" w:firstColumn="0" w:lastColumn="0" w:oddVBand="0" w:evenVBand="0" w:oddHBand="0" w:evenHBand="1" w:firstRowFirstColumn="0" w:firstRowLastColumn="0" w:lastRowFirstColumn="0" w:lastRowLastColumn="0"/>
              <w:rPr>
                <w:sz w:val="20"/>
                <w:szCs w:val="20"/>
                <w:lang w:val="en-GB"/>
              </w:rPr>
            </w:pPr>
            <w:r w:rsidRPr="00604977">
              <w:rPr>
                <w:sz w:val="20"/>
                <w:szCs w:val="20"/>
                <w:lang w:val="en-GB"/>
              </w:rPr>
              <w:t>&lt;1/50,000</w:t>
            </w:r>
          </w:p>
        </w:tc>
      </w:tr>
      <w:tr w:rsidR="00604977" w:rsidRPr="00604977" w14:paraId="6B237DDB" w14:textId="77777777" w:rsidTr="00604977">
        <w:trPr>
          <w:cantSplit w:val="0"/>
          <w:trHeight w:val="20"/>
        </w:trPr>
        <w:tc>
          <w:tcPr>
            <w:cnfStyle w:val="001000000000" w:firstRow="0" w:lastRow="0" w:firstColumn="1" w:lastColumn="0" w:oddVBand="0" w:evenVBand="0" w:oddHBand="0" w:evenHBand="0" w:firstRowFirstColumn="0" w:firstRowLastColumn="0" w:lastRowFirstColumn="0" w:lastRowLastColumn="0"/>
            <w:tcW w:w="1533" w:type="dxa"/>
            <w:shd w:val="clear" w:color="auto" w:fill="1E8BCD"/>
            <w:tcMar>
              <w:left w:w="57" w:type="dxa"/>
            </w:tcMar>
          </w:tcPr>
          <w:p w14:paraId="5F9F323D" w14:textId="16268970" w:rsidR="00D65012" w:rsidRPr="00604977" w:rsidRDefault="00D65012" w:rsidP="000C66C0">
            <w:pPr>
              <w:widowControl w:val="0"/>
              <w:spacing w:after="0" w:line="240" w:lineRule="auto"/>
              <w:rPr>
                <w:sz w:val="20"/>
                <w:szCs w:val="20"/>
                <w:lang w:val="en-GB"/>
              </w:rPr>
            </w:pPr>
            <w:r w:rsidRPr="00604977">
              <w:rPr>
                <w:sz w:val="20"/>
                <w:szCs w:val="20"/>
                <w:lang w:val="en-GB"/>
              </w:rPr>
              <w:t>Eligibility criteria</w:t>
            </w:r>
            <w:r w:rsidR="00480CC4" w:rsidRPr="00604977">
              <w:rPr>
                <w:sz w:val="20"/>
                <w:szCs w:val="20"/>
                <w:lang w:val="en-GB"/>
              </w:rPr>
              <w:t xml:space="preserve"> </w:t>
            </w:r>
            <w:r w:rsidRPr="00604977">
              <w:rPr>
                <w:sz w:val="20"/>
                <w:szCs w:val="20"/>
                <w:lang w:val="en-GB"/>
              </w:rPr>
              <w:fldChar w:fldCharType="begin">
                <w:fldData xml:space="preserve">PEVuZE5vdGU+PENpdGU+PEF1dGhvcj5DbGFya2U8L0F1dGhvcj48WWVhcj4yMDIxPC9ZZWFyPjxS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</w:fldData>
              </w:fldChar>
            </w:r>
            <w:r w:rsidR="00E5265C" w:rsidRPr="00604977">
              <w:rPr>
                <w:sz w:val="20"/>
                <w:szCs w:val="20"/>
                <w:lang w:val="en-GB"/>
              </w:rPr>
              <w:instrText xml:space="preserve"> ADDIN EN.CITE </w:instrText>
            </w:r>
            <w:r w:rsidR="00E5265C" w:rsidRPr="00604977">
              <w:rPr>
                <w:sz w:val="20"/>
                <w:szCs w:val="20"/>
                <w:lang w:val="en-GB"/>
              </w:rPr>
              <w:fldChar w:fldCharType="begin">
                <w:fldData xml:space="preserve">PEVuZE5vdGU+PENpdGU+PEF1dGhvcj5DbGFya2U8L0F1dGhvcj48WWVhcj4yMDIxPC9ZZWFyPjxS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</w:fldData>
              </w:fldChar>
            </w:r>
            <w:r w:rsidR="00E5265C" w:rsidRPr="00604977">
              <w:rPr>
                <w:sz w:val="20"/>
                <w:szCs w:val="20"/>
                <w:lang w:val="en-GB"/>
              </w:rPr>
              <w:instrText xml:space="preserve"> ADDIN EN.CITE.DATA </w:instrText>
            </w:r>
            <w:r w:rsidR="00E5265C" w:rsidRPr="00604977">
              <w:rPr>
                <w:sz w:val="20"/>
                <w:szCs w:val="20"/>
                <w:lang w:val="en-GB"/>
              </w:rPr>
            </w:r>
            <w:r w:rsidR="00E5265C" w:rsidRPr="00604977">
              <w:rPr>
                <w:sz w:val="20"/>
                <w:szCs w:val="20"/>
                <w:lang w:val="en-GB"/>
              </w:rPr>
              <w:fldChar w:fldCharType="end"/>
            </w:r>
            <w:r w:rsidRPr="00604977">
              <w:rPr>
                <w:sz w:val="20"/>
                <w:szCs w:val="20"/>
                <w:lang w:val="en-GB"/>
              </w:rPr>
            </w:r>
            <w:r w:rsidRPr="00604977">
              <w:rPr>
                <w:sz w:val="20"/>
                <w:szCs w:val="20"/>
                <w:lang w:val="en-GB"/>
              </w:rPr>
              <w:fldChar w:fldCharType="separate"/>
            </w:r>
            <w:r w:rsidR="00E5265C" w:rsidRPr="00604977">
              <w:rPr>
                <w:noProof/>
                <w:sz w:val="20"/>
                <w:szCs w:val="20"/>
                <w:lang w:val="en-GB"/>
              </w:rPr>
              <w:t>[171, 174]</w:t>
            </w:r>
            <w:r w:rsidRPr="00604977">
              <w:rPr>
                <w:sz w:val="20"/>
                <w:szCs w:val="20"/>
                <w:lang w:val="en-GB"/>
              </w:rPr>
              <w:fldChar w:fldCharType="end"/>
            </w:r>
          </w:p>
        </w:tc>
        <w:tc>
          <w:tcPr>
            <w:tcW w:w="3287" w:type="dxa"/>
            <w:tcMar>
              <w:left w:w="57" w:type="dxa"/>
            </w:tcMar>
          </w:tcPr>
          <w:p w14:paraId="7957370E" w14:textId="77777777" w:rsidR="00D65012" w:rsidRPr="00604977" w:rsidRDefault="00D65012" w:rsidP="000C66C0">
            <w:pPr>
              <w:widowControl w:val="0"/>
              <w:spacing w:after="0" w:line="240" w:lineRule="auto"/>
              <w:cnfStyle w:val="000000000000" w:firstRow="0" w:lastRow="0" w:firstColumn="0" w:lastColumn="0" w:oddVBand="0" w:evenVBand="0" w:oddHBand="0" w:evenHBand="0" w:firstRowFirstColumn="0" w:firstRowLastColumn="0" w:lastRowFirstColumn="0" w:lastRowLastColumn="0"/>
              <w:rPr>
                <w:sz w:val="20"/>
                <w:szCs w:val="20"/>
                <w:lang w:val="en-GB"/>
              </w:rPr>
            </w:pPr>
            <w:r w:rsidRPr="00604977">
              <w:rPr>
                <w:sz w:val="20"/>
                <w:szCs w:val="20"/>
                <w:lang w:val="en-GB"/>
              </w:rPr>
              <w:t xml:space="preserve">All must be met: </w:t>
            </w:r>
          </w:p>
          <w:p w14:paraId="21E81FAE" w14:textId="1262E110" w:rsidR="00D65012" w:rsidRPr="00604977" w:rsidRDefault="00D65012" w:rsidP="00957584">
            <w:pPr>
              <w:pStyle w:val="ListParagraph"/>
              <w:numPr>
                <w:ilvl w:val="0"/>
                <w:numId w:val="17"/>
              </w:numPr>
              <w:cnfStyle w:val="000000000000" w:firstRow="0" w:lastRow="0" w:firstColumn="0" w:lastColumn="0" w:oddVBand="0" w:evenVBand="0" w:oddHBand="0" w:evenHBand="0" w:firstRowFirstColumn="0" w:firstRowLastColumn="0" w:lastRowFirstColumn="0" w:lastRowLastColumn="0"/>
              <w:rPr>
                <w:sz w:val="20"/>
                <w:szCs w:val="20"/>
                <w:lang w:val="en-GB"/>
              </w:rPr>
            </w:pPr>
            <w:r w:rsidRPr="00604977">
              <w:rPr>
                <w:sz w:val="20"/>
                <w:szCs w:val="20"/>
                <w:lang w:val="en-GB"/>
              </w:rPr>
              <w:t>Very few patients:</w:t>
            </w:r>
            <w:r w:rsidR="008A6310" w:rsidRPr="00604977">
              <w:rPr>
                <w:sz w:val="20"/>
                <w:szCs w:val="20"/>
                <w:lang w:val="en-GB"/>
              </w:rPr>
              <w:t xml:space="preserve"> </w:t>
            </w:r>
            <w:r w:rsidRPr="00604977">
              <w:rPr>
                <w:sz w:val="20"/>
                <w:szCs w:val="20"/>
                <w:lang w:val="en-GB"/>
              </w:rPr>
              <w:t>≤300 people in its licensed indication or ≤500 across all its indications.</w:t>
            </w:r>
          </w:p>
          <w:p w14:paraId="611418F8" w14:textId="77777777" w:rsidR="00D65012" w:rsidRPr="00604977" w:rsidRDefault="00D65012" w:rsidP="00957584">
            <w:pPr>
              <w:pStyle w:val="ListParagraph"/>
              <w:numPr>
                <w:ilvl w:val="0"/>
                <w:numId w:val="20"/>
              </w:numPr>
              <w:cnfStyle w:val="000000000000" w:firstRow="0" w:lastRow="0" w:firstColumn="0" w:lastColumn="0" w:oddVBand="0" w:evenVBand="0" w:oddHBand="0" w:evenHBand="0" w:firstRowFirstColumn="0" w:firstRowLastColumn="0" w:lastRowFirstColumn="0" w:lastRowLastColumn="0"/>
              <w:rPr>
                <w:sz w:val="20"/>
                <w:szCs w:val="20"/>
                <w:lang w:val="en-GB"/>
              </w:rPr>
            </w:pPr>
            <w:r w:rsidRPr="00604977">
              <w:rPr>
                <w:sz w:val="20"/>
                <w:szCs w:val="20"/>
                <w:lang w:val="en-GB"/>
              </w:rPr>
              <w:t>Chronic, life-threatening or severely disabling condition;</w:t>
            </w:r>
          </w:p>
          <w:p w14:paraId="5B0EDC3A" w14:textId="4CD63B7E" w:rsidR="00D65012" w:rsidRPr="00604977" w:rsidRDefault="00D65012" w:rsidP="00957584">
            <w:pPr>
              <w:pStyle w:val="ListParagraph"/>
              <w:numPr>
                <w:ilvl w:val="0"/>
                <w:numId w:val="20"/>
              </w:numPr>
              <w:cnfStyle w:val="000000000000" w:firstRow="0" w:lastRow="0" w:firstColumn="0" w:lastColumn="0" w:oddVBand="0" w:evenVBand="0" w:oddHBand="0" w:evenHBand="0" w:firstRowFirstColumn="0" w:firstRowLastColumn="0" w:lastRowFirstColumn="0" w:lastRowLastColumn="0"/>
              <w:rPr>
                <w:sz w:val="20"/>
                <w:szCs w:val="20"/>
                <w:lang w:val="en-GB"/>
              </w:rPr>
            </w:pPr>
            <w:r w:rsidRPr="00604977">
              <w:rPr>
                <w:sz w:val="20"/>
                <w:szCs w:val="20"/>
                <w:lang w:val="en-GB"/>
              </w:rPr>
              <w:t xml:space="preserve">No other </w:t>
            </w:r>
            <w:r w:rsidR="00551786" w:rsidRPr="00604977">
              <w:rPr>
                <w:sz w:val="20"/>
                <w:szCs w:val="20"/>
                <w:lang w:val="en-GB"/>
              </w:rPr>
              <w:t>‘</w:t>
            </w:r>
            <w:r w:rsidRPr="00604977">
              <w:rPr>
                <w:sz w:val="20"/>
                <w:szCs w:val="20"/>
                <w:lang w:val="en-GB"/>
              </w:rPr>
              <w:t>satisfactory</w:t>
            </w:r>
            <w:r w:rsidR="00551786" w:rsidRPr="00604977">
              <w:rPr>
                <w:sz w:val="20"/>
                <w:szCs w:val="20"/>
                <w:lang w:val="en-GB"/>
              </w:rPr>
              <w:t>’</w:t>
            </w:r>
            <w:r w:rsidRPr="00604977">
              <w:rPr>
                <w:sz w:val="20"/>
                <w:szCs w:val="20"/>
                <w:lang w:val="en-GB"/>
              </w:rPr>
              <w:t xml:space="preserve"> alternative options available. </w:t>
            </w:r>
          </w:p>
        </w:tc>
        <w:tc>
          <w:tcPr>
            <w:tcW w:w="3544" w:type="dxa"/>
            <w:tcMar>
              <w:left w:w="57" w:type="dxa"/>
            </w:tcMar>
          </w:tcPr>
          <w:p w14:paraId="642379C1" w14:textId="77777777" w:rsidR="00D65012" w:rsidRPr="00604977" w:rsidRDefault="00D65012" w:rsidP="000C66C0">
            <w:pPr>
              <w:widowControl w:val="0"/>
              <w:spacing w:after="0" w:line="240" w:lineRule="auto"/>
              <w:cnfStyle w:val="000000000000" w:firstRow="0" w:lastRow="0" w:firstColumn="0" w:lastColumn="0" w:oddVBand="0" w:evenVBand="0" w:oddHBand="0" w:evenHBand="0" w:firstRowFirstColumn="0" w:firstRowLastColumn="0" w:lastRowFirstColumn="0" w:lastRowLastColumn="0"/>
              <w:rPr>
                <w:sz w:val="20"/>
                <w:szCs w:val="20"/>
                <w:lang w:val="en-GB"/>
              </w:rPr>
            </w:pPr>
            <w:r w:rsidRPr="00604977">
              <w:rPr>
                <w:sz w:val="20"/>
                <w:szCs w:val="20"/>
                <w:lang w:val="en-GB"/>
              </w:rPr>
              <w:t>Orphan marketing designation by the MHRA where the condition</w:t>
            </w:r>
            <w:r w:rsidRPr="00604977">
              <w:rPr>
                <w:sz w:val="20"/>
                <w:szCs w:val="20"/>
                <w:vertAlign w:val="superscript"/>
                <w:lang w:val="en-GB"/>
              </w:rPr>
              <w:t>1</w:t>
            </w:r>
            <w:r w:rsidRPr="00604977">
              <w:rPr>
                <w:sz w:val="20"/>
                <w:szCs w:val="20"/>
                <w:lang w:val="en-GB"/>
              </w:rPr>
              <w:t xml:space="preserve"> is:</w:t>
            </w:r>
          </w:p>
          <w:p w14:paraId="4002D567" w14:textId="77777777" w:rsidR="00D65012" w:rsidRPr="00604977" w:rsidRDefault="00D65012" w:rsidP="00957584">
            <w:pPr>
              <w:pStyle w:val="ListParagraph"/>
              <w:numPr>
                <w:ilvl w:val="0"/>
                <w:numId w:val="16"/>
              </w:numPr>
              <w:cnfStyle w:val="000000000000" w:firstRow="0" w:lastRow="0" w:firstColumn="0" w:lastColumn="0" w:oddVBand="0" w:evenVBand="0" w:oddHBand="0" w:evenHBand="0" w:firstRowFirstColumn="0" w:firstRowLastColumn="0" w:lastRowFirstColumn="0" w:lastRowLastColumn="0"/>
              <w:rPr>
                <w:sz w:val="20"/>
                <w:szCs w:val="20"/>
                <w:lang w:val="en-GB"/>
              </w:rPr>
            </w:pPr>
            <w:r w:rsidRPr="00604977">
              <w:rPr>
                <w:sz w:val="20"/>
                <w:szCs w:val="20"/>
                <w:lang w:val="en-GB"/>
              </w:rPr>
              <w:t>chronic and severely disabling, and</w:t>
            </w:r>
          </w:p>
          <w:p w14:paraId="47C1A6A9" w14:textId="77777777" w:rsidR="00D65012" w:rsidRPr="00604977" w:rsidRDefault="00D65012" w:rsidP="00957584">
            <w:pPr>
              <w:pStyle w:val="ListParagraph"/>
              <w:numPr>
                <w:ilvl w:val="0"/>
                <w:numId w:val="16"/>
              </w:numPr>
              <w:cnfStyle w:val="000000000000" w:firstRow="0" w:lastRow="0" w:firstColumn="0" w:lastColumn="0" w:oddVBand="0" w:evenVBand="0" w:oddHBand="0" w:evenHBand="0" w:firstRowFirstColumn="0" w:firstRowLastColumn="0" w:lastRowFirstColumn="0" w:lastRowLastColumn="0"/>
              <w:rPr>
                <w:sz w:val="20"/>
                <w:szCs w:val="20"/>
                <w:lang w:val="en-GB"/>
              </w:rPr>
            </w:pPr>
            <w:r w:rsidRPr="00604977">
              <w:rPr>
                <w:sz w:val="20"/>
                <w:szCs w:val="20"/>
                <w:lang w:val="en-GB"/>
              </w:rPr>
              <w:t>requires highly specialised management</w:t>
            </w:r>
            <w:r w:rsidRPr="00604977">
              <w:rPr>
                <w:sz w:val="20"/>
                <w:szCs w:val="20"/>
                <w:vertAlign w:val="superscript"/>
                <w:lang w:val="en-GB"/>
              </w:rPr>
              <w:t>2</w:t>
            </w:r>
            <w:r w:rsidRPr="00604977">
              <w:rPr>
                <w:sz w:val="20"/>
                <w:szCs w:val="20"/>
                <w:lang w:val="en-GB"/>
              </w:rPr>
              <w:t>.</w:t>
            </w:r>
          </w:p>
        </w:tc>
      </w:tr>
      <w:tr w:rsidR="00604977" w:rsidRPr="00604977" w14:paraId="5AA4EA7D" w14:textId="77777777" w:rsidTr="00604977">
        <w:trPr>
          <w:cnfStyle w:val="000000010000" w:firstRow="0" w:lastRow="0" w:firstColumn="0" w:lastColumn="0" w:oddVBand="0" w:evenVBand="0" w:oddHBand="0" w:evenHBand="1" w:firstRowFirstColumn="0" w:firstRowLastColumn="0" w:lastRowFirstColumn="0" w:lastRowLastColumn="0"/>
          <w:cantSplit w:val="0"/>
          <w:trHeight w:val="20"/>
        </w:trPr>
        <w:tc>
          <w:tcPr>
            <w:cnfStyle w:val="001000000000" w:firstRow="0" w:lastRow="0" w:firstColumn="1" w:lastColumn="0" w:oddVBand="0" w:evenVBand="0" w:oddHBand="0" w:evenHBand="0" w:firstRowFirstColumn="0" w:firstRowLastColumn="0" w:lastRowFirstColumn="0" w:lastRowLastColumn="0"/>
            <w:tcW w:w="1533" w:type="dxa"/>
            <w:shd w:val="clear" w:color="auto" w:fill="1E8BCD"/>
            <w:tcMar>
              <w:left w:w="57" w:type="dxa"/>
            </w:tcMar>
          </w:tcPr>
          <w:p w14:paraId="4BA019F1" w14:textId="77777777" w:rsidR="00D65012" w:rsidRPr="00604977" w:rsidRDefault="00D65012" w:rsidP="000C66C0">
            <w:pPr>
              <w:widowControl w:val="0"/>
              <w:spacing w:after="0" w:line="240" w:lineRule="auto"/>
              <w:rPr>
                <w:sz w:val="20"/>
                <w:szCs w:val="20"/>
                <w:lang w:val="en-GB"/>
              </w:rPr>
            </w:pPr>
            <w:r w:rsidRPr="00604977">
              <w:rPr>
                <w:sz w:val="20"/>
                <w:szCs w:val="20"/>
                <w:lang w:val="en-GB"/>
              </w:rPr>
              <w:t>Use of cost effectiveness</w:t>
            </w:r>
          </w:p>
        </w:tc>
        <w:tc>
          <w:tcPr>
            <w:tcW w:w="3287" w:type="dxa"/>
            <w:shd w:val="clear" w:color="auto" w:fill="EFEFEF" w:themeFill="text2" w:themeFillTint="33"/>
            <w:tcMar>
              <w:left w:w="57" w:type="dxa"/>
            </w:tcMar>
          </w:tcPr>
          <w:p w14:paraId="5810153B" w14:textId="77777777" w:rsidR="00D65012" w:rsidRPr="00604977" w:rsidRDefault="00D65012" w:rsidP="000C66C0">
            <w:pPr>
              <w:widowControl w:val="0"/>
              <w:spacing w:after="0" w:line="240" w:lineRule="auto"/>
              <w:cnfStyle w:val="000000010000" w:firstRow="0" w:lastRow="0" w:firstColumn="0" w:lastColumn="0" w:oddVBand="0" w:evenVBand="0" w:oddHBand="0" w:evenHBand="1" w:firstRowFirstColumn="0" w:firstRowLastColumn="0" w:lastRowFirstColumn="0" w:lastRowLastColumn="0"/>
              <w:rPr>
                <w:sz w:val="20"/>
                <w:szCs w:val="20"/>
                <w:lang w:val="en-GB"/>
              </w:rPr>
            </w:pPr>
            <w:r w:rsidRPr="00604977">
              <w:rPr>
                <w:sz w:val="20"/>
                <w:szCs w:val="20"/>
                <w:lang w:val="en-GB"/>
              </w:rPr>
              <w:t>£100,000-300,000/QALY</w:t>
            </w:r>
          </w:p>
        </w:tc>
        <w:tc>
          <w:tcPr>
            <w:tcW w:w="3544" w:type="dxa"/>
            <w:shd w:val="clear" w:color="auto" w:fill="EFEFEF" w:themeFill="text2" w:themeFillTint="33"/>
            <w:tcMar>
              <w:left w:w="57" w:type="dxa"/>
            </w:tcMar>
          </w:tcPr>
          <w:p w14:paraId="7C0B5ABC" w14:textId="77777777" w:rsidR="00D65012" w:rsidRPr="00604977" w:rsidRDefault="00D65012" w:rsidP="000C66C0">
            <w:pPr>
              <w:widowControl w:val="0"/>
              <w:spacing w:after="0" w:line="240" w:lineRule="auto"/>
              <w:cnfStyle w:val="000000010000" w:firstRow="0" w:lastRow="0" w:firstColumn="0" w:lastColumn="0" w:oddVBand="0" w:evenVBand="0" w:oddHBand="0" w:evenHBand="1" w:firstRowFirstColumn="0" w:firstRowLastColumn="0" w:lastRowFirstColumn="0" w:lastRowLastColumn="0"/>
              <w:rPr>
                <w:sz w:val="20"/>
                <w:szCs w:val="20"/>
                <w:lang w:val="en-GB"/>
              </w:rPr>
            </w:pPr>
            <w:r w:rsidRPr="00604977">
              <w:rPr>
                <w:sz w:val="20"/>
                <w:szCs w:val="20"/>
                <w:lang w:val="en-GB"/>
              </w:rPr>
              <w:t>£30,000/QALY is used as the lower bound threshold for the use of modifiers.</w:t>
            </w:r>
          </w:p>
        </w:tc>
      </w:tr>
      <w:tr w:rsidR="00604977" w:rsidRPr="00604977" w14:paraId="2E466071" w14:textId="77777777" w:rsidTr="00604977">
        <w:trPr>
          <w:cantSplit w:val="0"/>
          <w:trHeight w:val="20"/>
        </w:trPr>
        <w:tc>
          <w:tcPr>
            <w:cnfStyle w:val="001000000000" w:firstRow="0" w:lastRow="0" w:firstColumn="1" w:lastColumn="0" w:oddVBand="0" w:evenVBand="0" w:oddHBand="0" w:evenHBand="0" w:firstRowFirstColumn="0" w:firstRowLastColumn="0" w:lastRowFirstColumn="0" w:lastRowLastColumn="0"/>
            <w:tcW w:w="1533" w:type="dxa"/>
            <w:shd w:val="clear" w:color="auto" w:fill="1E8BCD"/>
            <w:tcMar>
              <w:left w:w="57" w:type="dxa"/>
            </w:tcMar>
          </w:tcPr>
          <w:p w14:paraId="03C4918F" w14:textId="77777777" w:rsidR="00D65012" w:rsidRPr="00604977" w:rsidRDefault="00D65012" w:rsidP="000C66C0">
            <w:pPr>
              <w:widowControl w:val="0"/>
              <w:spacing w:after="0" w:line="240" w:lineRule="auto"/>
              <w:rPr>
                <w:sz w:val="20"/>
                <w:szCs w:val="20"/>
                <w:lang w:val="en-GB"/>
              </w:rPr>
            </w:pPr>
            <w:r w:rsidRPr="00604977">
              <w:rPr>
                <w:sz w:val="20"/>
                <w:szCs w:val="20"/>
                <w:lang w:val="en-GB"/>
              </w:rPr>
              <w:t>Pricing strategy specific for rare diseases</w:t>
            </w:r>
          </w:p>
        </w:tc>
        <w:tc>
          <w:tcPr>
            <w:tcW w:w="3287" w:type="dxa"/>
            <w:tcMar>
              <w:left w:w="57" w:type="dxa"/>
            </w:tcMar>
          </w:tcPr>
          <w:p w14:paraId="2710CDC1" w14:textId="77777777" w:rsidR="00D65012" w:rsidRPr="00604977" w:rsidRDefault="00D65012" w:rsidP="000C66C0">
            <w:pPr>
              <w:widowControl w:val="0"/>
              <w:spacing w:after="0" w:line="240" w:lineRule="auto"/>
              <w:ind w:left="0"/>
              <w:cnfStyle w:val="000000000000" w:firstRow="0" w:lastRow="0" w:firstColumn="0" w:lastColumn="0" w:oddVBand="0" w:evenVBand="0" w:oddHBand="0" w:evenHBand="0" w:firstRowFirstColumn="0" w:firstRowLastColumn="0" w:lastRowFirstColumn="0" w:lastRowLastColumn="0"/>
              <w:rPr>
                <w:sz w:val="20"/>
                <w:szCs w:val="20"/>
                <w:lang w:val="en-GB"/>
              </w:rPr>
            </w:pPr>
            <w:r w:rsidRPr="00604977">
              <w:rPr>
                <w:sz w:val="20"/>
                <w:szCs w:val="20"/>
                <w:lang w:val="en-GB"/>
              </w:rPr>
              <w:t>RSA which includes data collection, the use of stopping rules and price negotiations.</w:t>
            </w:r>
          </w:p>
        </w:tc>
        <w:tc>
          <w:tcPr>
            <w:tcW w:w="3544" w:type="dxa"/>
            <w:tcMar>
              <w:left w:w="57" w:type="dxa"/>
            </w:tcMar>
          </w:tcPr>
          <w:p w14:paraId="4AB21E6F" w14:textId="77777777" w:rsidR="00D65012" w:rsidRPr="00604977" w:rsidRDefault="00D65012" w:rsidP="000C66C0">
            <w:pPr>
              <w:widowControl w:val="0"/>
              <w:spacing w:after="0" w:line="240" w:lineRule="auto"/>
              <w:ind w:left="0"/>
              <w:cnfStyle w:val="000000000000" w:firstRow="0" w:lastRow="0" w:firstColumn="0" w:lastColumn="0" w:oddVBand="0" w:evenVBand="0" w:oddHBand="0" w:evenHBand="0" w:firstRowFirstColumn="0" w:firstRowLastColumn="0" w:lastRowFirstColumn="0" w:lastRowLastColumn="0"/>
              <w:rPr>
                <w:sz w:val="20"/>
                <w:szCs w:val="20"/>
                <w:lang w:val="en-GB"/>
              </w:rPr>
            </w:pPr>
            <w:r w:rsidRPr="00604977">
              <w:rPr>
                <w:sz w:val="20"/>
                <w:szCs w:val="20"/>
                <w:lang w:val="en-GB"/>
              </w:rPr>
              <w:t xml:space="preserve">PAS required to support the data collection period. </w:t>
            </w:r>
          </w:p>
        </w:tc>
      </w:tr>
      <w:tr w:rsidR="00604977" w:rsidRPr="00604977" w14:paraId="01F01BF2" w14:textId="77777777" w:rsidTr="00604977">
        <w:trPr>
          <w:cnfStyle w:val="000000010000" w:firstRow="0" w:lastRow="0" w:firstColumn="0" w:lastColumn="0" w:oddVBand="0" w:evenVBand="0" w:oddHBand="0" w:evenHBand="1" w:firstRowFirstColumn="0" w:firstRowLastColumn="0" w:lastRowFirstColumn="0" w:lastRowLastColumn="0"/>
          <w:cantSplit w:val="0"/>
          <w:trHeight w:val="20"/>
        </w:trPr>
        <w:tc>
          <w:tcPr>
            <w:cnfStyle w:val="001000000000" w:firstRow="0" w:lastRow="0" w:firstColumn="1" w:lastColumn="0" w:oddVBand="0" w:evenVBand="0" w:oddHBand="0" w:evenHBand="0" w:firstRowFirstColumn="0" w:firstRowLastColumn="0" w:lastRowFirstColumn="0" w:lastRowLastColumn="0"/>
            <w:tcW w:w="1533" w:type="dxa"/>
            <w:shd w:val="clear" w:color="auto" w:fill="1E8BCD"/>
            <w:tcMar>
              <w:left w:w="57" w:type="dxa"/>
            </w:tcMar>
          </w:tcPr>
          <w:p w14:paraId="5CEE99E7" w14:textId="31296DF1" w:rsidR="00D65012" w:rsidRPr="00604977" w:rsidRDefault="00D65012" w:rsidP="000C66C0">
            <w:pPr>
              <w:widowControl w:val="0"/>
              <w:spacing w:after="0" w:line="240" w:lineRule="auto"/>
              <w:rPr>
                <w:sz w:val="20"/>
                <w:szCs w:val="20"/>
                <w:lang w:val="en-GB"/>
              </w:rPr>
            </w:pPr>
            <w:r w:rsidRPr="00604977">
              <w:rPr>
                <w:sz w:val="20"/>
                <w:szCs w:val="20"/>
                <w:lang w:val="en-GB"/>
              </w:rPr>
              <w:t xml:space="preserve">Criteria considered for </w:t>
            </w:r>
            <w:r w:rsidR="00756B32" w:rsidRPr="00604977">
              <w:rPr>
                <w:sz w:val="20"/>
                <w:szCs w:val="20"/>
                <w:lang w:val="en-GB"/>
              </w:rPr>
              <w:t>decision-making</w:t>
            </w:r>
          </w:p>
        </w:tc>
        <w:tc>
          <w:tcPr>
            <w:tcW w:w="3287" w:type="dxa"/>
            <w:shd w:val="clear" w:color="auto" w:fill="EFEFEF" w:themeFill="text2" w:themeFillTint="33"/>
            <w:tcMar>
              <w:left w:w="57" w:type="dxa"/>
            </w:tcMar>
          </w:tcPr>
          <w:p w14:paraId="48931E5D" w14:textId="77777777" w:rsidR="00D65012" w:rsidRPr="00604977" w:rsidRDefault="00D65012" w:rsidP="000C66C0">
            <w:pPr>
              <w:widowControl w:val="0"/>
              <w:spacing w:after="0" w:line="240" w:lineRule="auto"/>
              <w:ind w:left="0"/>
              <w:cnfStyle w:val="000000010000" w:firstRow="0" w:lastRow="0" w:firstColumn="0" w:lastColumn="0" w:oddVBand="0" w:evenVBand="0" w:oddHBand="0" w:evenHBand="1" w:firstRowFirstColumn="0" w:firstRowLastColumn="0" w:lastRowFirstColumn="0" w:lastRowLastColumn="0"/>
              <w:rPr>
                <w:sz w:val="20"/>
                <w:szCs w:val="20"/>
                <w:lang w:val="en-GB"/>
              </w:rPr>
            </w:pPr>
            <w:r w:rsidRPr="00604977">
              <w:rPr>
                <w:sz w:val="20"/>
                <w:szCs w:val="20"/>
                <w:lang w:val="en-GB"/>
              </w:rPr>
              <w:t>A higher threshold is acceptable considering:</w:t>
            </w:r>
          </w:p>
          <w:p w14:paraId="4F00C1C2" w14:textId="77777777" w:rsidR="00D65012" w:rsidRPr="00604977" w:rsidRDefault="00D65012" w:rsidP="00957584">
            <w:pPr>
              <w:pStyle w:val="ListParagraph"/>
              <w:numPr>
                <w:ilvl w:val="0"/>
                <w:numId w:val="21"/>
              </w:numPr>
              <w:cnfStyle w:val="000000010000" w:firstRow="0" w:lastRow="0" w:firstColumn="0" w:lastColumn="0" w:oddVBand="0" w:evenVBand="0" w:oddHBand="0" w:evenHBand="1" w:firstRowFirstColumn="0" w:firstRowLastColumn="0" w:lastRowFirstColumn="0" w:lastRowLastColumn="0"/>
              <w:rPr>
                <w:sz w:val="20"/>
                <w:szCs w:val="20"/>
                <w:lang w:val="en-GB"/>
              </w:rPr>
            </w:pPr>
            <w:r w:rsidRPr="00604977">
              <w:rPr>
                <w:sz w:val="20"/>
                <w:szCs w:val="20"/>
                <w:lang w:val="en-GB"/>
              </w:rPr>
              <w:t>the nature of the condition (morbidity, disability, impact on carers, extent and nature of treatment options)</w:t>
            </w:r>
          </w:p>
          <w:p w14:paraId="6B15FF7F" w14:textId="77777777" w:rsidR="00D65012" w:rsidRPr="00604977" w:rsidRDefault="00D65012" w:rsidP="00957584">
            <w:pPr>
              <w:pStyle w:val="ListParagraph"/>
              <w:numPr>
                <w:ilvl w:val="0"/>
                <w:numId w:val="21"/>
              </w:numPr>
              <w:cnfStyle w:val="000000010000" w:firstRow="0" w:lastRow="0" w:firstColumn="0" w:lastColumn="0" w:oddVBand="0" w:evenVBand="0" w:oddHBand="0" w:evenHBand="1" w:firstRowFirstColumn="0" w:firstRowLastColumn="0" w:lastRowFirstColumn="0" w:lastRowLastColumn="0"/>
              <w:rPr>
                <w:sz w:val="20"/>
                <w:szCs w:val="20"/>
                <w:lang w:val="en-GB"/>
              </w:rPr>
            </w:pPr>
            <w:r w:rsidRPr="00604977">
              <w:rPr>
                <w:sz w:val="20"/>
                <w:szCs w:val="20"/>
                <w:lang w:val="en-GB"/>
              </w:rPr>
              <w:t>the impact beyond direct health benefits (including non-health objectives of the NHS, as in technology appraisals, in addition to the potential for benefits for research and innovation, delivery of specialised services, additional staffing and infrastructure).</w:t>
            </w:r>
          </w:p>
          <w:p w14:paraId="45F7AB0A" w14:textId="77777777" w:rsidR="00D65012" w:rsidRPr="00604977" w:rsidRDefault="00D65012" w:rsidP="00957584">
            <w:pPr>
              <w:pStyle w:val="ListParagraph"/>
              <w:numPr>
                <w:ilvl w:val="0"/>
                <w:numId w:val="21"/>
              </w:numPr>
              <w:cnfStyle w:val="000000010000" w:firstRow="0" w:lastRow="0" w:firstColumn="0" w:lastColumn="0" w:oddVBand="0" w:evenVBand="0" w:oddHBand="0" w:evenHBand="1" w:firstRowFirstColumn="0" w:firstRowLastColumn="0" w:lastRowFirstColumn="0" w:lastRowLastColumn="0"/>
              <w:rPr>
                <w:sz w:val="20"/>
                <w:szCs w:val="20"/>
                <w:lang w:val="en-GB"/>
              </w:rPr>
            </w:pPr>
            <w:r w:rsidRPr="00604977">
              <w:rPr>
                <w:sz w:val="20"/>
                <w:szCs w:val="20"/>
                <w:lang w:val="en-GB"/>
              </w:rPr>
              <w:t>the magnitude of benefit when comparing the new technology with its relevant comparator(s).</w:t>
            </w:r>
          </w:p>
        </w:tc>
        <w:tc>
          <w:tcPr>
            <w:tcW w:w="3544" w:type="dxa"/>
            <w:shd w:val="clear" w:color="auto" w:fill="EFEFEF" w:themeFill="text2" w:themeFillTint="33"/>
            <w:tcMar>
              <w:left w:w="57" w:type="dxa"/>
            </w:tcMar>
          </w:tcPr>
          <w:p w14:paraId="49697ADF" w14:textId="77777777" w:rsidR="00D65012" w:rsidRPr="00604977" w:rsidRDefault="00D65012" w:rsidP="000C66C0">
            <w:pPr>
              <w:widowControl w:val="0"/>
              <w:spacing w:after="0" w:line="240" w:lineRule="auto"/>
              <w:ind w:left="0"/>
              <w:cnfStyle w:val="000000010000" w:firstRow="0" w:lastRow="0" w:firstColumn="0" w:lastColumn="0" w:oddVBand="0" w:evenVBand="0" w:oddHBand="0" w:evenHBand="1" w:firstRowFirstColumn="0" w:firstRowLastColumn="0" w:lastRowFirstColumn="0" w:lastRowLastColumn="0"/>
              <w:rPr>
                <w:sz w:val="20"/>
                <w:szCs w:val="20"/>
                <w:lang w:val="en-GB"/>
              </w:rPr>
            </w:pPr>
            <w:r w:rsidRPr="00604977">
              <w:rPr>
                <w:sz w:val="20"/>
                <w:szCs w:val="20"/>
                <w:lang w:val="en-GB"/>
              </w:rPr>
              <w:t>Nature of the condition:</w:t>
            </w:r>
          </w:p>
          <w:p w14:paraId="6E9B877D" w14:textId="77777777" w:rsidR="00D65012" w:rsidRPr="00604977" w:rsidRDefault="00D65012" w:rsidP="00957584">
            <w:pPr>
              <w:pStyle w:val="ListParagraph"/>
              <w:numPr>
                <w:ilvl w:val="0"/>
                <w:numId w:val="18"/>
              </w:numPr>
              <w:cnfStyle w:val="000000010000" w:firstRow="0" w:lastRow="0" w:firstColumn="0" w:lastColumn="0" w:oddVBand="0" w:evenVBand="0" w:oddHBand="0" w:evenHBand="1" w:firstRowFirstColumn="0" w:firstRowLastColumn="0" w:lastRowFirstColumn="0" w:lastRowLastColumn="0"/>
              <w:rPr>
                <w:sz w:val="20"/>
                <w:szCs w:val="20"/>
                <w:lang w:val="en-GB"/>
              </w:rPr>
            </w:pPr>
            <w:r w:rsidRPr="00604977">
              <w:rPr>
                <w:sz w:val="20"/>
                <w:szCs w:val="20"/>
                <w:lang w:val="en-GB"/>
              </w:rPr>
              <w:t xml:space="preserve">Severity, symptoms, disease progression, level of disability, effect on morbidity and mortality. </w:t>
            </w:r>
          </w:p>
          <w:p w14:paraId="5FA9B561" w14:textId="4DA9EEC4" w:rsidR="00D65012" w:rsidRPr="00604977" w:rsidRDefault="00D65012" w:rsidP="00957584">
            <w:pPr>
              <w:pStyle w:val="ListParagraph"/>
              <w:numPr>
                <w:ilvl w:val="0"/>
                <w:numId w:val="18"/>
              </w:numPr>
              <w:cnfStyle w:val="000000010000" w:firstRow="0" w:lastRow="0" w:firstColumn="0" w:lastColumn="0" w:oddVBand="0" w:evenVBand="0" w:oddHBand="0" w:evenHBand="1" w:firstRowFirstColumn="0" w:firstRowLastColumn="0" w:lastRowFirstColumn="0" w:lastRowLastColumn="0"/>
              <w:rPr>
                <w:sz w:val="20"/>
                <w:szCs w:val="20"/>
                <w:lang w:val="en-GB"/>
              </w:rPr>
            </w:pPr>
            <w:r w:rsidRPr="00604977">
              <w:rPr>
                <w:sz w:val="20"/>
                <w:szCs w:val="20"/>
                <w:lang w:val="en-GB"/>
              </w:rPr>
              <w:t xml:space="preserve">Effect on functioning </w:t>
            </w:r>
            <w:r w:rsidR="008A3C46" w:rsidRPr="00604977">
              <w:rPr>
                <w:sz w:val="20"/>
                <w:szCs w:val="20"/>
                <w:lang w:val="en-GB"/>
              </w:rPr>
              <w:t xml:space="preserve">e.g., </w:t>
            </w:r>
            <w:r w:rsidRPr="00604977">
              <w:rPr>
                <w:sz w:val="20"/>
                <w:szCs w:val="20"/>
                <w:lang w:val="en-GB"/>
              </w:rPr>
              <w:t xml:space="preserve">ability to work, participate in education, self-care, undertake activities of daily living. </w:t>
            </w:r>
          </w:p>
          <w:p w14:paraId="0CA02488" w14:textId="2EDA3314" w:rsidR="00D65012" w:rsidRPr="00604977" w:rsidRDefault="00D65012" w:rsidP="00957584">
            <w:pPr>
              <w:pStyle w:val="ListParagraph"/>
              <w:numPr>
                <w:ilvl w:val="0"/>
                <w:numId w:val="18"/>
              </w:numPr>
              <w:cnfStyle w:val="000000010000" w:firstRow="0" w:lastRow="0" w:firstColumn="0" w:lastColumn="0" w:oddVBand="0" w:evenVBand="0" w:oddHBand="0" w:evenHBand="1" w:firstRowFirstColumn="0" w:firstRowLastColumn="0" w:lastRowFirstColumn="0" w:lastRowLastColumn="0"/>
              <w:rPr>
                <w:sz w:val="20"/>
                <w:szCs w:val="20"/>
                <w:lang w:val="en-GB"/>
              </w:rPr>
            </w:pPr>
            <w:r w:rsidRPr="00604977">
              <w:rPr>
                <w:sz w:val="20"/>
                <w:szCs w:val="20"/>
                <w:lang w:val="en-GB"/>
              </w:rPr>
              <w:t>Effect on the patient</w:t>
            </w:r>
            <w:r w:rsidR="00551786" w:rsidRPr="00604977">
              <w:rPr>
                <w:sz w:val="20"/>
                <w:szCs w:val="20"/>
                <w:lang w:val="en-GB"/>
              </w:rPr>
              <w:t>’</w:t>
            </w:r>
            <w:r w:rsidRPr="00604977">
              <w:rPr>
                <w:sz w:val="20"/>
                <w:szCs w:val="20"/>
                <w:lang w:val="en-GB"/>
              </w:rPr>
              <w:t xml:space="preserve">s, family and carers QoL </w:t>
            </w:r>
          </w:p>
          <w:p w14:paraId="76A62429" w14:textId="77777777" w:rsidR="00D65012" w:rsidRPr="00604977" w:rsidRDefault="00D65012" w:rsidP="00957584">
            <w:pPr>
              <w:pStyle w:val="ListParagraph"/>
              <w:numPr>
                <w:ilvl w:val="0"/>
                <w:numId w:val="18"/>
              </w:numPr>
              <w:cnfStyle w:val="000000010000" w:firstRow="0" w:lastRow="0" w:firstColumn="0" w:lastColumn="0" w:oddVBand="0" w:evenVBand="0" w:oddHBand="0" w:evenHBand="1" w:firstRowFirstColumn="0" w:firstRowLastColumn="0" w:lastRowFirstColumn="0" w:lastRowLastColumn="0"/>
              <w:rPr>
                <w:sz w:val="20"/>
                <w:szCs w:val="20"/>
                <w:lang w:val="en-GB"/>
              </w:rPr>
            </w:pPr>
            <w:r w:rsidRPr="00604977">
              <w:rPr>
                <w:sz w:val="20"/>
                <w:szCs w:val="20"/>
                <w:lang w:val="en-GB"/>
              </w:rPr>
              <w:t>Treatment options</w:t>
            </w:r>
            <w:r w:rsidRPr="00604977">
              <w:rPr>
                <w:sz w:val="20"/>
                <w:szCs w:val="20"/>
                <w:vertAlign w:val="superscript"/>
                <w:lang w:val="en-GB"/>
              </w:rPr>
              <w:t>3</w:t>
            </w:r>
            <w:r w:rsidRPr="00604977">
              <w:rPr>
                <w:sz w:val="20"/>
                <w:szCs w:val="20"/>
                <w:lang w:val="en-GB"/>
              </w:rPr>
              <w:t>.</w:t>
            </w:r>
          </w:p>
          <w:p w14:paraId="5EC61FEB" w14:textId="77777777" w:rsidR="00D65012" w:rsidRPr="00604977" w:rsidRDefault="00D65012" w:rsidP="00957584">
            <w:pPr>
              <w:pStyle w:val="ListParagraph"/>
              <w:numPr>
                <w:ilvl w:val="0"/>
                <w:numId w:val="18"/>
              </w:numPr>
              <w:cnfStyle w:val="000000010000" w:firstRow="0" w:lastRow="0" w:firstColumn="0" w:lastColumn="0" w:oddVBand="0" w:evenVBand="0" w:oddHBand="0" w:evenHBand="1" w:firstRowFirstColumn="0" w:firstRowLastColumn="0" w:lastRowFirstColumn="0" w:lastRowLastColumn="0"/>
              <w:rPr>
                <w:sz w:val="20"/>
                <w:szCs w:val="20"/>
                <w:lang w:val="en-GB"/>
              </w:rPr>
            </w:pPr>
            <w:r w:rsidRPr="00604977">
              <w:rPr>
                <w:sz w:val="20"/>
                <w:szCs w:val="20"/>
                <w:lang w:val="en-GB"/>
              </w:rPr>
              <w:t>Limitations of currently available treatments</w:t>
            </w:r>
          </w:p>
          <w:p w14:paraId="71C37148" w14:textId="77777777" w:rsidR="00D65012" w:rsidRPr="00604977" w:rsidRDefault="00D65012" w:rsidP="00957584">
            <w:pPr>
              <w:pStyle w:val="ListParagraph"/>
              <w:numPr>
                <w:ilvl w:val="0"/>
                <w:numId w:val="18"/>
              </w:numPr>
              <w:cnfStyle w:val="000000010000" w:firstRow="0" w:lastRow="0" w:firstColumn="0" w:lastColumn="0" w:oddVBand="0" w:evenVBand="0" w:oddHBand="0" w:evenHBand="1" w:firstRowFirstColumn="0" w:firstRowLastColumn="0" w:lastRowFirstColumn="0" w:lastRowLastColumn="0"/>
              <w:rPr>
                <w:sz w:val="20"/>
                <w:szCs w:val="20"/>
                <w:lang w:val="en-GB"/>
              </w:rPr>
            </w:pPr>
            <w:r w:rsidRPr="00604977">
              <w:rPr>
                <w:sz w:val="20"/>
                <w:szCs w:val="20"/>
                <w:lang w:val="en-GB"/>
              </w:rPr>
              <w:t xml:space="preserve">Level of unmet need </w:t>
            </w:r>
          </w:p>
          <w:p w14:paraId="0B354936" w14:textId="77777777" w:rsidR="00CE64F5" w:rsidRPr="00604977" w:rsidRDefault="00CE64F5" w:rsidP="000C66C0">
            <w:pPr>
              <w:widowControl w:val="0"/>
              <w:spacing w:after="0" w:line="240" w:lineRule="auto"/>
              <w:ind w:left="0"/>
              <w:cnfStyle w:val="000000010000" w:firstRow="0" w:lastRow="0" w:firstColumn="0" w:lastColumn="0" w:oddVBand="0" w:evenVBand="0" w:oddHBand="0" w:evenHBand="1" w:firstRowFirstColumn="0" w:firstRowLastColumn="0" w:lastRowFirstColumn="0" w:lastRowLastColumn="0"/>
              <w:rPr>
                <w:sz w:val="20"/>
                <w:szCs w:val="20"/>
                <w:lang w:val="en-GB"/>
              </w:rPr>
            </w:pPr>
          </w:p>
          <w:p w14:paraId="71DDBB1C" w14:textId="52686D48" w:rsidR="00D65012" w:rsidRPr="00604977" w:rsidRDefault="00CE64F5" w:rsidP="000C66C0">
            <w:pPr>
              <w:widowControl w:val="0"/>
              <w:spacing w:after="0" w:line="240" w:lineRule="auto"/>
              <w:ind w:left="0"/>
              <w:cnfStyle w:val="000000010000" w:firstRow="0" w:lastRow="0" w:firstColumn="0" w:lastColumn="0" w:oddVBand="0" w:evenVBand="0" w:oddHBand="0" w:evenHBand="1" w:firstRowFirstColumn="0" w:firstRowLastColumn="0" w:lastRowFirstColumn="0" w:lastRowLastColumn="0"/>
              <w:rPr>
                <w:sz w:val="20"/>
                <w:szCs w:val="20"/>
                <w:lang w:val="en-GB"/>
              </w:rPr>
            </w:pPr>
            <w:r w:rsidRPr="00604977">
              <w:rPr>
                <w:sz w:val="20"/>
                <w:szCs w:val="20"/>
                <w:lang w:val="en-GB"/>
              </w:rPr>
              <w:t>I</w:t>
            </w:r>
            <w:r w:rsidR="00D65012" w:rsidRPr="00604977">
              <w:rPr>
                <w:sz w:val="20"/>
                <w:szCs w:val="20"/>
                <w:lang w:val="en-GB"/>
              </w:rPr>
              <w:t>mpact of the medicine:</w:t>
            </w:r>
          </w:p>
          <w:p w14:paraId="626006D9" w14:textId="77777777" w:rsidR="00D65012" w:rsidRPr="00604977" w:rsidRDefault="00D65012" w:rsidP="00957584">
            <w:pPr>
              <w:pStyle w:val="ListParagraph"/>
              <w:numPr>
                <w:ilvl w:val="0"/>
                <w:numId w:val="18"/>
              </w:numPr>
              <w:cnfStyle w:val="000000010000" w:firstRow="0" w:lastRow="0" w:firstColumn="0" w:lastColumn="0" w:oddVBand="0" w:evenVBand="0" w:oddHBand="0" w:evenHBand="1" w:firstRowFirstColumn="0" w:firstRowLastColumn="0" w:lastRowFirstColumn="0" w:lastRowLastColumn="0"/>
              <w:rPr>
                <w:sz w:val="20"/>
                <w:szCs w:val="20"/>
                <w:lang w:val="en-GB"/>
              </w:rPr>
            </w:pPr>
            <w:r w:rsidRPr="00604977">
              <w:rPr>
                <w:sz w:val="20"/>
                <w:szCs w:val="20"/>
                <w:lang w:val="en-GB"/>
              </w:rPr>
              <w:t>Use of observational studies to supplement conventional clinical study data.</w:t>
            </w:r>
          </w:p>
          <w:p w14:paraId="18F39F68" w14:textId="77777777" w:rsidR="00D65012" w:rsidRPr="00604977" w:rsidRDefault="00D65012" w:rsidP="00957584">
            <w:pPr>
              <w:pStyle w:val="ListParagraph"/>
              <w:numPr>
                <w:ilvl w:val="0"/>
                <w:numId w:val="18"/>
              </w:numPr>
              <w:cnfStyle w:val="000000010000" w:firstRow="0" w:lastRow="0" w:firstColumn="0" w:lastColumn="0" w:oddVBand="0" w:evenVBand="0" w:oddHBand="0" w:evenHBand="1" w:firstRowFirstColumn="0" w:firstRowLastColumn="0" w:lastRowFirstColumn="0" w:lastRowLastColumn="0"/>
              <w:rPr>
                <w:sz w:val="20"/>
                <w:szCs w:val="20"/>
                <w:lang w:val="en-GB"/>
              </w:rPr>
            </w:pPr>
            <w:r w:rsidRPr="00604977">
              <w:rPr>
                <w:sz w:val="20"/>
                <w:szCs w:val="20"/>
                <w:lang w:val="en-GB"/>
              </w:rPr>
              <w:t xml:space="preserve">Effect of the medicine on patient experience and PRO such as HRQoL, health status, physical functioning, activities of daily living, adherence to treatment, patient satisfaction etc. </w:t>
            </w:r>
          </w:p>
          <w:p w14:paraId="553713D3" w14:textId="77777777" w:rsidR="00D65012" w:rsidRPr="00604977" w:rsidRDefault="00D65012" w:rsidP="00957584">
            <w:pPr>
              <w:pStyle w:val="ListParagraph"/>
              <w:numPr>
                <w:ilvl w:val="0"/>
                <w:numId w:val="18"/>
              </w:numPr>
              <w:cnfStyle w:val="000000010000" w:firstRow="0" w:lastRow="0" w:firstColumn="0" w:lastColumn="0" w:oddVBand="0" w:evenVBand="0" w:oddHBand="0" w:evenHBand="1" w:firstRowFirstColumn="0" w:firstRowLastColumn="0" w:lastRowFirstColumn="0" w:lastRowLastColumn="0"/>
              <w:rPr>
                <w:sz w:val="20"/>
                <w:szCs w:val="20"/>
                <w:lang w:val="en-GB"/>
              </w:rPr>
            </w:pPr>
            <w:r w:rsidRPr="00604977">
              <w:rPr>
                <w:sz w:val="20"/>
                <w:szCs w:val="20"/>
                <w:lang w:val="en-GB"/>
              </w:rPr>
              <w:t xml:space="preserve">unmet need. </w:t>
            </w:r>
          </w:p>
          <w:p w14:paraId="3D006496" w14:textId="77777777" w:rsidR="00D65012" w:rsidRPr="00604977" w:rsidRDefault="00D65012" w:rsidP="00957584">
            <w:pPr>
              <w:pStyle w:val="ListParagraph"/>
              <w:numPr>
                <w:ilvl w:val="0"/>
                <w:numId w:val="18"/>
              </w:numPr>
              <w:cnfStyle w:val="000000010000" w:firstRow="0" w:lastRow="0" w:firstColumn="0" w:lastColumn="0" w:oddVBand="0" w:evenVBand="0" w:oddHBand="0" w:evenHBand="1" w:firstRowFirstColumn="0" w:firstRowLastColumn="0" w:lastRowFirstColumn="0" w:lastRowLastColumn="0"/>
              <w:rPr>
                <w:sz w:val="20"/>
                <w:szCs w:val="20"/>
                <w:lang w:val="en-GB"/>
              </w:rPr>
            </w:pPr>
            <w:r w:rsidRPr="00604977">
              <w:rPr>
                <w:sz w:val="20"/>
                <w:szCs w:val="20"/>
                <w:lang w:val="en-GB"/>
              </w:rPr>
              <w:t>identification of uncertainties or evidence gaps.</w:t>
            </w:r>
          </w:p>
          <w:p w14:paraId="531FADA6" w14:textId="1C8F07A1" w:rsidR="00D65012" w:rsidRPr="00604977" w:rsidRDefault="00D65012" w:rsidP="00957584">
            <w:pPr>
              <w:pStyle w:val="ListParagraph"/>
              <w:numPr>
                <w:ilvl w:val="0"/>
                <w:numId w:val="18"/>
              </w:numPr>
              <w:cnfStyle w:val="000000010000" w:firstRow="0" w:lastRow="0" w:firstColumn="0" w:lastColumn="0" w:oddVBand="0" w:evenVBand="0" w:oddHBand="0" w:evenHBand="1" w:firstRowFirstColumn="0" w:firstRowLastColumn="0" w:lastRowFirstColumn="0" w:lastRowLastColumn="0"/>
              <w:rPr>
                <w:sz w:val="20"/>
                <w:szCs w:val="20"/>
                <w:lang w:val="en-GB"/>
              </w:rPr>
            </w:pPr>
            <w:r w:rsidRPr="00604977">
              <w:rPr>
                <w:sz w:val="20"/>
                <w:szCs w:val="20"/>
                <w:lang w:val="en-GB"/>
              </w:rPr>
              <w:t xml:space="preserve">value for money </w:t>
            </w:r>
          </w:p>
          <w:p w14:paraId="0155AD5F" w14:textId="77777777" w:rsidR="00D65012" w:rsidRPr="00604977" w:rsidRDefault="00D65012" w:rsidP="00957584">
            <w:pPr>
              <w:pStyle w:val="ListParagraph"/>
              <w:numPr>
                <w:ilvl w:val="0"/>
                <w:numId w:val="18"/>
              </w:numPr>
              <w:cnfStyle w:val="000000010000" w:firstRow="0" w:lastRow="0" w:firstColumn="0" w:lastColumn="0" w:oddVBand="0" w:evenVBand="0" w:oddHBand="0" w:evenHBand="1" w:firstRowFirstColumn="0" w:firstRowLastColumn="0" w:lastRowFirstColumn="0" w:lastRowLastColumn="0"/>
              <w:rPr>
                <w:sz w:val="20"/>
                <w:szCs w:val="20"/>
                <w:lang w:val="en-GB"/>
              </w:rPr>
            </w:pPr>
            <w:r w:rsidRPr="00604977">
              <w:rPr>
                <w:sz w:val="20"/>
                <w:szCs w:val="20"/>
                <w:lang w:val="en-GB"/>
              </w:rPr>
              <w:t>impact of the technology beyond direct health benefits and on specialist services:</w:t>
            </w:r>
          </w:p>
          <w:p w14:paraId="4EE8D6D9" w14:textId="77777777" w:rsidR="00D65012" w:rsidRPr="00604977" w:rsidRDefault="00D65012" w:rsidP="00957584">
            <w:pPr>
              <w:pStyle w:val="ListParagraph"/>
              <w:numPr>
                <w:ilvl w:val="0"/>
                <w:numId w:val="19"/>
              </w:numPr>
              <w:cnfStyle w:val="000000010000" w:firstRow="0" w:lastRow="0" w:firstColumn="0" w:lastColumn="0" w:oddVBand="0" w:evenVBand="0" w:oddHBand="0" w:evenHBand="1" w:firstRowFirstColumn="0" w:firstRowLastColumn="0" w:lastRowFirstColumn="0" w:lastRowLastColumn="0"/>
              <w:rPr>
                <w:sz w:val="20"/>
                <w:szCs w:val="20"/>
                <w:lang w:val="en-GB"/>
              </w:rPr>
            </w:pPr>
            <w:r w:rsidRPr="00604977">
              <w:rPr>
                <w:sz w:val="20"/>
                <w:szCs w:val="20"/>
                <w:lang w:val="en-GB"/>
              </w:rPr>
              <w:t>Opportunity for patients to contribute to society, improve family functioning, continue in employment or education.</w:t>
            </w:r>
          </w:p>
          <w:p w14:paraId="55872BA8" w14:textId="35FF34A1" w:rsidR="00D65012" w:rsidRPr="00604977" w:rsidRDefault="00D65012" w:rsidP="00957584">
            <w:pPr>
              <w:pStyle w:val="ListParagraph"/>
              <w:numPr>
                <w:ilvl w:val="0"/>
                <w:numId w:val="19"/>
              </w:numPr>
              <w:cnfStyle w:val="000000010000" w:firstRow="0" w:lastRow="0" w:firstColumn="0" w:lastColumn="0" w:oddVBand="0" w:evenVBand="0" w:oddHBand="0" w:evenHBand="1" w:firstRowFirstColumn="0" w:firstRowLastColumn="0" w:lastRowFirstColumn="0" w:lastRowLastColumn="0"/>
              <w:rPr>
                <w:sz w:val="20"/>
                <w:szCs w:val="20"/>
                <w:lang w:val="en-GB"/>
              </w:rPr>
            </w:pPr>
            <w:r w:rsidRPr="00604977">
              <w:rPr>
                <w:sz w:val="20"/>
                <w:szCs w:val="20"/>
                <w:lang w:val="en-GB"/>
              </w:rPr>
              <w:t>Impact on carers</w:t>
            </w:r>
            <w:r w:rsidR="00551786" w:rsidRPr="00604977">
              <w:rPr>
                <w:sz w:val="20"/>
                <w:szCs w:val="20"/>
                <w:lang w:val="en-GB"/>
              </w:rPr>
              <w:t>’</w:t>
            </w:r>
            <w:r w:rsidRPr="00604977">
              <w:rPr>
                <w:sz w:val="20"/>
                <w:szCs w:val="20"/>
                <w:lang w:val="en-GB"/>
              </w:rPr>
              <w:t xml:space="preserve"> quality of life.</w:t>
            </w:r>
          </w:p>
          <w:p w14:paraId="3DA2B5C1" w14:textId="41E8690B" w:rsidR="00D65012" w:rsidRPr="00604977" w:rsidRDefault="00D65012" w:rsidP="00957584">
            <w:pPr>
              <w:pStyle w:val="ListParagraph"/>
              <w:numPr>
                <w:ilvl w:val="0"/>
                <w:numId w:val="19"/>
              </w:numPr>
              <w:cnfStyle w:val="000000010000" w:firstRow="0" w:lastRow="0" w:firstColumn="0" w:lastColumn="0" w:oddVBand="0" w:evenVBand="0" w:oddHBand="0" w:evenHBand="1" w:firstRowFirstColumn="0" w:firstRowLastColumn="0" w:lastRowFirstColumn="0" w:lastRowLastColumn="0"/>
              <w:rPr>
                <w:sz w:val="20"/>
                <w:szCs w:val="20"/>
                <w:lang w:val="en-GB"/>
              </w:rPr>
            </w:pPr>
            <w:r w:rsidRPr="00604977">
              <w:rPr>
                <w:sz w:val="20"/>
                <w:szCs w:val="20"/>
                <w:lang w:val="en-GB"/>
              </w:rPr>
              <w:t>Impact of wider perspective on the CEA (</w:t>
            </w:r>
            <w:r w:rsidR="008A3C46" w:rsidRPr="00604977">
              <w:rPr>
                <w:sz w:val="20"/>
                <w:szCs w:val="20"/>
                <w:lang w:val="en-GB"/>
              </w:rPr>
              <w:t xml:space="preserve">e.g., </w:t>
            </w:r>
            <w:r w:rsidRPr="00604977">
              <w:rPr>
                <w:sz w:val="20"/>
                <w:szCs w:val="20"/>
                <w:lang w:val="en-GB"/>
              </w:rPr>
              <w:t>loss of earnings, carer disutility).</w:t>
            </w:r>
          </w:p>
          <w:p w14:paraId="26239245" w14:textId="42A0B389" w:rsidR="00D65012" w:rsidRPr="00604977" w:rsidRDefault="00D65012" w:rsidP="00957584">
            <w:pPr>
              <w:pStyle w:val="ListParagraph"/>
              <w:numPr>
                <w:ilvl w:val="0"/>
                <w:numId w:val="19"/>
              </w:numPr>
              <w:cnfStyle w:val="000000010000" w:firstRow="0" w:lastRow="0" w:firstColumn="0" w:lastColumn="0" w:oddVBand="0" w:evenVBand="0" w:oddHBand="0" w:evenHBand="1" w:firstRowFirstColumn="0" w:firstRowLastColumn="0" w:lastRowFirstColumn="0" w:lastRowLastColumn="0"/>
              <w:rPr>
                <w:sz w:val="20"/>
                <w:szCs w:val="20"/>
                <w:lang w:val="en-GB"/>
              </w:rPr>
            </w:pPr>
            <w:r w:rsidRPr="00604977">
              <w:rPr>
                <w:sz w:val="20"/>
                <w:szCs w:val="20"/>
                <w:lang w:val="en-GB"/>
              </w:rPr>
              <w:t>Implications on the NHS (</w:t>
            </w:r>
            <w:r w:rsidR="008A3C46" w:rsidRPr="00604977">
              <w:rPr>
                <w:sz w:val="20"/>
                <w:szCs w:val="20"/>
                <w:lang w:val="en-GB"/>
              </w:rPr>
              <w:t xml:space="preserve">e.g., </w:t>
            </w:r>
            <w:r w:rsidRPr="00604977">
              <w:rPr>
                <w:sz w:val="20"/>
                <w:szCs w:val="20"/>
                <w:lang w:val="en-GB"/>
              </w:rPr>
              <w:t>staffing, infrastructure, training.</w:t>
            </w:r>
          </w:p>
          <w:p w14:paraId="3DAF1CC9" w14:textId="77777777" w:rsidR="00D65012" w:rsidRPr="00604977" w:rsidRDefault="00D65012" w:rsidP="000C66C0">
            <w:pPr>
              <w:widowControl w:val="0"/>
              <w:spacing w:after="0" w:line="240" w:lineRule="auto"/>
              <w:cnfStyle w:val="000000010000" w:firstRow="0" w:lastRow="0" w:firstColumn="0" w:lastColumn="0" w:oddVBand="0" w:evenVBand="0" w:oddHBand="0" w:evenHBand="1" w:firstRowFirstColumn="0" w:firstRowLastColumn="0" w:lastRowFirstColumn="0" w:lastRowLastColumn="0"/>
              <w:rPr>
                <w:sz w:val="20"/>
                <w:szCs w:val="20"/>
                <w:lang w:val="en-GB"/>
              </w:rPr>
            </w:pPr>
            <w:r w:rsidRPr="00604977">
              <w:rPr>
                <w:sz w:val="20"/>
                <w:szCs w:val="20"/>
                <w:lang w:val="en-GB"/>
              </w:rPr>
              <w:t xml:space="preserve">Costs to the NHS and Personal Services. </w:t>
            </w:r>
          </w:p>
        </w:tc>
      </w:tr>
      <w:tr w:rsidR="00604977" w:rsidRPr="00604977" w14:paraId="6C6265D2" w14:textId="77777777" w:rsidTr="00604977">
        <w:trPr>
          <w:cantSplit w:val="0"/>
          <w:trHeight w:val="20"/>
        </w:trPr>
        <w:tc>
          <w:tcPr>
            <w:cnfStyle w:val="001000000000" w:firstRow="0" w:lastRow="0" w:firstColumn="1" w:lastColumn="0" w:oddVBand="0" w:evenVBand="0" w:oddHBand="0" w:evenHBand="0" w:firstRowFirstColumn="0" w:firstRowLastColumn="0" w:lastRowFirstColumn="0" w:lastRowLastColumn="0"/>
            <w:tcW w:w="1533" w:type="dxa"/>
            <w:shd w:val="clear" w:color="auto" w:fill="1E8BCD"/>
            <w:tcMar>
              <w:left w:w="57" w:type="dxa"/>
            </w:tcMar>
          </w:tcPr>
          <w:p w14:paraId="736CCCFB" w14:textId="77777777" w:rsidR="00D65012" w:rsidRPr="00604977" w:rsidRDefault="00D65012" w:rsidP="000C66C0">
            <w:pPr>
              <w:widowControl w:val="0"/>
              <w:spacing w:after="0" w:line="240" w:lineRule="auto"/>
              <w:rPr>
                <w:sz w:val="20"/>
                <w:szCs w:val="20"/>
                <w:lang w:val="en-GB"/>
              </w:rPr>
            </w:pPr>
            <w:r w:rsidRPr="00604977">
              <w:rPr>
                <w:sz w:val="20"/>
                <w:szCs w:val="20"/>
                <w:lang w:val="en-GB"/>
              </w:rPr>
              <w:t>Duration of reimbursement</w:t>
            </w:r>
          </w:p>
        </w:tc>
        <w:tc>
          <w:tcPr>
            <w:tcW w:w="3287" w:type="dxa"/>
            <w:tcMar>
              <w:left w:w="57" w:type="dxa"/>
            </w:tcMar>
          </w:tcPr>
          <w:p w14:paraId="3000B09F" w14:textId="3F885CD2" w:rsidR="00D65012" w:rsidRPr="00604977" w:rsidRDefault="00D65012" w:rsidP="000C66C0">
            <w:pPr>
              <w:widowControl w:val="0"/>
              <w:spacing w:after="0" w:line="240" w:lineRule="auto"/>
              <w:cnfStyle w:val="000000000000" w:firstRow="0" w:lastRow="0" w:firstColumn="0" w:lastColumn="0" w:oddVBand="0" w:evenVBand="0" w:oddHBand="0" w:evenHBand="0" w:firstRowFirstColumn="0" w:firstRowLastColumn="0" w:lastRowFirstColumn="0" w:lastRowLastColumn="0"/>
              <w:rPr>
                <w:sz w:val="20"/>
                <w:szCs w:val="20"/>
                <w:lang w:val="en-GB"/>
              </w:rPr>
            </w:pPr>
            <w:r w:rsidRPr="00604977">
              <w:rPr>
                <w:sz w:val="20"/>
                <w:szCs w:val="20"/>
                <w:lang w:val="en-GB"/>
              </w:rPr>
              <w:t xml:space="preserve">Same as for other drugs noting that price negotiations may be initiated if the budget impact &gt;£20 million in any of the first </w:t>
            </w:r>
            <w:r w:rsidR="003B3D65" w:rsidRPr="00604977">
              <w:rPr>
                <w:sz w:val="20"/>
                <w:szCs w:val="20"/>
                <w:lang w:val="en-GB"/>
              </w:rPr>
              <w:t>three</w:t>
            </w:r>
            <w:r w:rsidRPr="00604977">
              <w:rPr>
                <w:sz w:val="20"/>
                <w:szCs w:val="20"/>
                <w:lang w:val="en-GB"/>
              </w:rPr>
              <w:t xml:space="preserve"> years. </w:t>
            </w:r>
          </w:p>
        </w:tc>
        <w:tc>
          <w:tcPr>
            <w:tcW w:w="3544" w:type="dxa"/>
            <w:tcMar>
              <w:left w:w="57" w:type="dxa"/>
            </w:tcMar>
          </w:tcPr>
          <w:p w14:paraId="2584A2B3" w14:textId="56C22B63" w:rsidR="00D65012" w:rsidRPr="00604977" w:rsidRDefault="00D65012" w:rsidP="000C66C0">
            <w:pPr>
              <w:widowControl w:val="0"/>
              <w:spacing w:after="0" w:line="240" w:lineRule="auto"/>
              <w:cnfStyle w:val="000000000000" w:firstRow="0" w:lastRow="0" w:firstColumn="0" w:lastColumn="0" w:oddVBand="0" w:evenVBand="0" w:oddHBand="0" w:evenHBand="0" w:firstRowFirstColumn="0" w:firstRowLastColumn="0" w:lastRowFirstColumn="0" w:lastRowLastColumn="0"/>
              <w:rPr>
                <w:sz w:val="20"/>
                <w:szCs w:val="20"/>
                <w:lang w:val="en-GB"/>
              </w:rPr>
            </w:pPr>
            <w:r w:rsidRPr="00604977">
              <w:rPr>
                <w:sz w:val="20"/>
                <w:szCs w:val="20"/>
                <w:lang w:val="en-GB"/>
              </w:rPr>
              <w:t xml:space="preserve">Reassessment after </w:t>
            </w:r>
            <w:r w:rsidR="003B3D65" w:rsidRPr="00604977">
              <w:rPr>
                <w:sz w:val="20"/>
                <w:szCs w:val="20"/>
                <w:lang w:val="en-GB"/>
              </w:rPr>
              <w:t>three</w:t>
            </w:r>
            <w:r w:rsidRPr="00604977">
              <w:rPr>
                <w:sz w:val="20"/>
                <w:szCs w:val="20"/>
                <w:lang w:val="en-GB"/>
              </w:rPr>
              <w:t xml:space="preserve"> years</w:t>
            </w:r>
          </w:p>
        </w:tc>
      </w:tr>
      <w:tr w:rsidR="00604977" w:rsidRPr="00604977" w14:paraId="0207C95C" w14:textId="77777777" w:rsidTr="00604977">
        <w:trPr>
          <w:cnfStyle w:val="000000010000" w:firstRow="0" w:lastRow="0" w:firstColumn="0" w:lastColumn="0" w:oddVBand="0" w:evenVBand="0" w:oddHBand="0" w:evenHBand="1" w:firstRowFirstColumn="0" w:firstRowLastColumn="0" w:lastRowFirstColumn="0" w:lastRowLastColumn="0"/>
          <w:cantSplit w:val="0"/>
          <w:trHeight w:val="20"/>
        </w:trPr>
        <w:tc>
          <w:tcPr>
            <w:cnfStyle w:val="001000000000" w:firstRow="0" w:lastRow="0" w:firstColumn="1" w:lastColumn="0" w:oddVBand="0" w:evenVBand="0" w:oddHBand="0" w:evenHBand="0" w:firstRowFirstColumn="0" w:firstRowLastColumn="0" w:lastRowFirstColumn="0" w:lastRowLastColumn="0"/>
            <w:tcW w:w="1533" w:type="dxa"/>
            <w:vMerge w:val="restart"/>
            <w:shd w:val="clear" w:color="auto" w:fill="1E8BCD"/>
            <w:tcMar>
              <w:left w:w="57" w:type="dxa"/>
            </w:tcMar>
          </w:tcPr>
          <w:p w14:paraId="15E91D5B" w14:textId="77777777" w:rsidR="00D65012" w:rsidRPr="00604977" w:rsidRDefault="00D65012" w:rsidP="000C66C0">
            <w:pPr>
              <w:widowControl w:val="0"/>
              <w:spacing w:after="0" w:line="240" w:lineRule="auto"/>
              <w:rPr>
                <w:sz w:val="20"/>
                <w:szCs w:val="20"/>
                <w:lang w:val="en-GB"/>
              </w:rPr>
            </w:pPr>
            <w:r w:rsidRPr="00604977">
              <w:rPr>
                <w:sz w:val="20"/>
                <w:szCs w:val="20"/>
                <w:lang w:val="en-GB"/>
              </w:rPr>
              <w:t>Unique features to address the issue of access to orphan drugs</w:t>
            </w:r>
          </w:p>
        </w:tc>
        <w:tc>
          <w:tcPr>
            <w:tcW w:w="6831" w:type="dxa"/>
            <w:gridSpan w:val="2"/>
            <w:shd w:val="clear" w:color="auto" w:fill="EFEFEF" w:themeFill="text2" w:themeFillTint="33"/>
            <w:tcMar>
              <w:left w:w="57" w:type="dxa"/>
            </w:tcMar>
          </w:tcPr>
          <w:p w14:paraId="2B17ED79" w14:textId="77777777" w:rsidR="00D65012" w:rsidRPr="00604977" w:rsidRDefault="00D65012" w:rsidP="00957584">
            <w:pPr>
              <w:pStyle w:val="ListParagraph"/>
              <w:numPr>
                <w:ilvl w:val="0"/>
                <w:numId w:val="22"/>
              </w:numPr>
              <w:cnfStyle w:val="000000010000" w:firstRow="0" w:lastRow="0" w:firstColumn="0" w:lastColumn="0" w:oddVBand="0" w:evenVBand="0" w:oddHBand="0" w:evenHBand="1" w:firstRowFirstColumn="0" w:firstRowLastColumn="0" w:lastRowFirstColumn="0" w:lastRowLastColumn="0"/>
              <w:rPr>
                <w:sz w:val="20"/>
                <w:szCs w:val="20"/>
                <w:lang w:val="en-GB"/>
              </w:rPr>
            </w:pPr>
            <w:r w:rsidRPr="00604977">
              <w:rPr>
                <w:sz w:val="20"/>
                <w:szCs w:val="20"/>
                <w:lang w:val="en-GB"/>
              </w:rPr>
              <w:t>Greater (clinical and economic) uncertainty is acceptable:</w:t>
            </w:r>
          </w:p>
          <w:p w14:paraId="4FFE0463" w14:textId="77777777" w:rsidR="00D65012" w:rsidRPr="00604977" w:rsidRDefault="00D65012" w:rsidP="00957584">
            <w:pPr>
              <w:pStyle w:val="ListParagraph"/>
              <w:numPr>
                <w:ilvl w:val="1"/>
                <w:numId w:val="22"/>
              </w:numPr>
              <w:cnfStyle w:val="000000010000" w:firstRow="0" w:lastRow="0" w:firstColumn="0" w:lastColumn="0" w:oddVBand="0" w:evenVBand="0" w:oddHBand="0" w:evenHBand="1" w:firstRowFirstColumn="0" w:firstRowLastColumn="0" w:lastRowFirstColumn="0" w:lastRowLastColumn="0"/>
              <w:rPr>
                <w:sz w:val="20"/>
                <w:szCs w:val="20"/>
                <w:lang w:val="en-GB"/>
              </w:rPr>
            </w:pPr>
            <w:r w:rsidRPr="00604977">
              <w:rPr>
                <w:sz w:val="20"/>
                <w:szCs w:val="20"/>
                <w:lang w:val="en-GB"/>
              </w:rPr>
              <w:t xml:space="preserve">Higher threshold is accepted; </w:t>
            </w:r>
          </w:p>
          <w:p w14:paraId="5EFB241A" w14:textId="77777777" w:rsidR="00D65012" w:rsidRPr="00604977" w:rsidRDefault="00D65012" w:rsidP="00957584">
            <w:pPr>
              <w:pStyle w:val="ListParagraph"/>
              <w:numPr>
                <w:ilvl w:val="1"/>
                <w:numId w:val="22"/>
              </w:numPr>
              <w:cnfStyle w:val="000000010000" w:firstRow="0" w:lastRow="0" w:firstColumn="0" w:lastColumn="0" w:oddVBand="0" w:evenVBand="0" w:oddHBand="0" w:evenHBand="1" w:firstRowFirstColumn="0" w:firstRowLastColumn="0" w:lastRowFirstColumn="0" w:lastRowLastColumn="0"/>
              <w:rPr>
                <w:sz w:val="20"/>
                <w:szCs w:val="20"/>
                <w:lang w:val="en-GB"/>
              </w:rPr>
            </w:pPr>
            <w:r w:rsidRPr="00604977">
              <w:rPr>
                <w:sz w:val="20"/>
                <w:szCs w:val="20"/>
                <w:lang w:val="en-GB"/>
              </w:rPr>
              <w:t>More leniency in the quality of the evidence when evidence generation is challenging.</w:t>
            </w:r>
          </w:p>
          <w:p w14:paraId="63A4E6FD" w14:textId="77777777" w:rsidR="00D65012" w:rsidRPr="00604977" w:rsidRDefault="00D65012" w:rsidP="00957584">
            <w:pPr>
              <w:pStyle w:val="ListParagraph"/>
              <w:numPr>
                <w:ilvl w:val="0"/>
                <w:numId w:val="22"/>
              </w:numPr>
              <w:cnfStyle w:val="000000010000" w:firstRow="0" w:lastRow="0" w:firstColumn="0" w:lastColumn="0" w:oddVBand="0" w:evenVBand="0" w:oddHBand="0" w:evenHBand="1" w:firstRowFirstColumn="0" w:firstRowLastColumn="0" w:lastRowFirstColumn="0" w:lastRowLastColumn="0"/>
              <w:rPr>
                <w:sz w:val="20"/>
                <w:szCs w:val="20"/>
                <w:lang w:val="en-GB"/>
              </w:rPr>
            </w:pPr>
            <w:r w:rsidRPr="00604977">
              <w:rPr>
                <w:sz w:val="20"/>
                <w:szCs w:val="20"/>
                <w:lang w:val="en-GB"/>
              </w:rPr>
              <w:t xml:space="preserve">Includes non-health benefits. </w:t>
            </w:r>
          </w:p>
          <w:p w14:paraId="483E672E" w14:textId="77777777" w:rsidR="00D65012" w:rsidRPr="00604977" w:rsidRDefault="00D65012" w:rsidP="00957584">
            <w:pPr>
              <w:pStyle w:val="ListParagraph"/>
              <w:numPr>
                <w:ilvl w:val="0"/>
                <w:numId w:val="22"/>
              </w:numPr>
              <w:cnfStyle w:val="000000010000" w:firstRow="0" w:lastRow="0" w:firstColumn="0" w:lastColumn="0" w:oddVBand="0" w:evenVBand="0" w:oddHBand="0" w:evenHBand="1" w:firstRowFirstColumn="0" w:firstRowLastColumn="0" w:lastRowFirstColumn="0" w:lastRowLastColumn="0"/>
              <w:rPr>
                <w:sz w:val="20"/>
                <w:szCs w:val="20"/>
                <w:lang w:val="en-GB"/>
              </w:rPr>
            </w:pPr>
            <w:r w:rsidRPr="00604977">
              <w:rPr>
                <w:sz w:val="20"/>
                <w:szCs w:val="20"/>
                <w:lang w:val="en-GB"/>
              </w:rPr>
              <w:t xml:space="preserve">Conditional listing with data collection requirements. </w:t>
            </w:r>
          </w:p>
          <w:p w14:paraId="1D091F70" w14:textId="77777777" w:rsidR="00D65012" w:rsidRPr="00604977" w:rsidRDefault="00D65012" w:rsidP="00957584">
            <w:pPr>
              <w:pStyle w:val="ListParagraph"/>
              <w:numPr>
                <w:ilvl w:val="0"/>
                <w:numId w:val="22"/>
              </w:numPr>
              <w:cnfStyle w:val="000000010000" w:firstRow="0" w:lastRow="0" w:firstColumn="0" w:lastColumn="0" w:oddVBand="0" w:evenVBand="0" w:oddHBand="0" w:evenHBand="1" w:firstRowFirstColumn="0" w:firstRowLastColumn="0" w:lastRowFirstColumn="0" w:lastRowLastColumn="0"/>
              <w:rPr>
                <w:sz w:val="20"/>
                <w:szCs w:val="20"/>
                <w:lang w:val="en-GB"/>
              </w:rPr>
            </w:pPr>
            <w:r w:rsidRPr="00604977">
              <w:rPr>
                <w:sz w:val="20"/>
                <w:szCs w:val="20"/>
                <w:lang w:val="en-GB"/>
              </w:rPr>
              <w:t>Wider benefits relevant to the patient or carer can be incorporated</w:t>
            </w:r>
          </w:p>
        </w:tc>
      </w:tr>
      <w:tr w:rsidR="00604977" w:rsidRPr="00604977" w14:paraId="0DCBBEA0" w14:textId="77777777" w:rsidTr="00604977">
        <w:trPr>
          <w:cantSplit w:val="0"/>
          <w:trHeight w:val="20"/>
        </w:trPr>
        <w:tc>
          <w:tcPr>
            <w:cnfStyle w:val="001000000000" w:firstRow="0" w:lastRow="0" w:firstColumn="1" w:lastColumn="0" w:oddVBand="0" w:evenVBand="0" w:oddHBand="0" w:evenHBand="0" w:firstRowFirstColumn="0" w:firstRowLastColumn="0" w:lastRowFirstColumn="0" w:lastRowLastColumn="0"/>
            <w:tcW w:w="1533" w:type="dxa"/>
            <w:vMerge/>
            <w:tcMar>
              <w:left w:w="57" w:type="dxa"/>
            </w:tcMar>
          </w:tcPr>
          <w:p w14:paraId="7FC46E56" w14:textId="77777777" w:rsidR="00D65012" w:rsidRPr="00604977" w:rsidRDefault="00D65012" w:rsidP="000C66C0">
            <w:pPr>
              <w:widowControl w:val="0"/>
              <w:spacing w:after="0" w:line="240" w:lineRule="auto"/>
              <w:rPr>
                <w:sz w:val="20"/>
                <w:szCs w:val="20"/>
                <w:lang w:val="en-GB"/>
              </w:rPr>
            </w:pPr>
          </w:p>
        </w:tc>
        <w:tc>
          <w:tcPr>
            <w:tcW w:w="3287" w:type="dxa"/>
            <w:tcMar>
              <w:left w:w="57" w:type="dxa"/>
            </w:tcMar>
          </w:tcPr>
          <w:p w14:paraId="2DC9E7FC" w14:textId="77777777" w:rsidR="00D65012" w:rsidRPr="00604977" w:rsidRDefault="00D65012" w:rsidP="00957584">
            <w:pPr>
              <w:pStyle w:val="ListParagraph"/>
              <w:numPr>
                <w:ilvl w:val="0"/>
                <w:numId w:val="22"/>
              </w:numPr>
              <w:cnfStyle w:val="000000000000" w:firstRow="0" w:lastRow="0" w:firstColumn="0" w:lastColumn="0" w:oddVBand="0" w:evenVBand="0" w:oddHBand="0" w:evenHBand="0" w:firstRowFirstColumn="0" w:firstRowLastColumn="0" w:lastRowFirstColumn="0" w:lastRowLastColumn="0"/>
              <w:rPr>
                <w:sz w:val="20"/>
                <w:szCs w:val="20"/>
                <w:lang w:val="en-GB"/>
              </w:rPr>
            </w:pPr>
            <w:r w:rsidRPr="00604977">
              <w:rPr>
                <w:sz w:val="20"/>
                <w:szCs w:val="20"/>
                <w:lang w:val="en-GB"/>
              </w:rPr>
              <w:t>Specific rare disease committee.</w:t>
            </w:r>
          </w:p>
          <w:p w14:paraId="35D57A00" w14:textId="77777777" w:rsidR="00D65012" w:rsidRPr="00604977" w:rsidRDefault="00D65012" w:rsidP="00957584">
            <w:pPr>
              <w:pStyle w:val="ListParagraph"/>
              <w:numPr>
                <w:ilvl w:val="0"/>
                <w:numId w:val="22"/>
              </w:numPr>
              <w:cnfStyle w:val="000000000000" w:firstRow="0" w:lastRow="0" w:firstColumn="0" w:lastColumn="0" w:oddVBand="0" w:evenVBand="0" w:oddHBand="0" w:evenHBand="0" w:firstRowFirstColumn="0" w:firstRowLastColumn="0" w:lastRowFirstColumn="0" w:lastRowLastColumn="0"/>
              <w:rPr>
                <w:sz w:val="20"/>
                <w:szCs w:val="20"/>
                <w:lang w:val="en-GB"/>
              </w:rPr>
            </w:pPr>
            <w:r w:rsidRPr="00604977">
              <w:rPr>
                <w:sz w:val="20"/>
                <w:szCs w:val="20"/>
                <w:lang w:val="en-GB"/>
              </w:rPr>
              <w:t>Use of modifiers (severity or burden of illness, uncertainty health inequalities)</w:t>
            </w:r>
          </w:p>
          <w:p w14:paraId="59B62877" w14:textId="5AD4C670" w:rsidR="00D65012" w:rsidRPr="00604977" w:rsidRDefault="00D65012" w:rsidP="00957584">
            <w:pPr>
              <w:pStyle w:val="ListParagraph"/>
              <w:numPr>
                <w:ilvl w:val="0"/>
                <w:numId w:val="22"/>
              </w:numPr>
              <w:cnfStyle w:val="000000000000" w:firstRow="0" w:lastRow="0" w:firstColumn="0" w:lastColumn="0" w:oddVBand="0" w:evenVBand="0" w:oddHBand="0" w:evenHBand="0" w:firstRowFirstColumn="0" w:firstRowLastColumn="0" w:lastRowFirstColumn="0" w:lastRowLastColumn="0"/>
              <w:rPr>
                <w:sz w:val="20"/>
                <w:szCs w:val="20"/>
                <w:lang w:val="en-GB"/>
              </w:rPr>
            </w:pPr>
            <w:r w:rsidRPr="00604977">
              <w:rPr>
                <w:sz w:val="20"/>
                <w:szCs w:val="20"/>
                <w:lang w:val="en-GB"/>
              </w:rPr>
              <w:t>Flexibility in evidence requirements (</w:t>
            </w:r>
            <w:r w:rsidR="008A3C46" w:rsidRPr="00604977">
              <w:rPr>
                <w:sz w:val="20"/>
                <w:szCs w:val="20"/>
                <w:lang w:val="en-GB"/>
              </w:rPr>
              <w:t xml:space="preserve">i.e., </w:t>
            </w:r>
            <w:r w:rsidRPr="00604977">
              <w:rPr>
                <w:sz w:val="20"/>
                <w:szCs w:val="20"/>
                <w:lang w:val="en-GB"/>
              </w:rPr>
              <w:t>surrogate)</w:t>
            </w:r>
          </w:p>
        </w:tc>
        <w:tc>
          <w:tcPr>
            <w:tcW w:w="3544" w:type="dxa"/>
            <w:tcMar>
              <w:left w:w="57" w:type="dxa"/>
            </w:tcMar>
          </w:tcPr>
          <w:p w14:paraId="3C3B4E99" w14:textId="77777777" w:rsidR="00D65012" w:rsidRPr="00604977" w:rsidRDefault="00D65012" w:rsidP="00957584">
            <w:pPr>
              <w:pStyle w:val="ListParagraph"/>
              <w:numPr>
                <w:ilvl w:val="0"/>
                <w:numId w:val="22"/>
              </w:numPr>
              <w:cnfStyle w:val="000000000000" w:firstRow="0" w:lastRow="0" w:firstColumn="0" w:lastColumn="0" w:oddVBand="0" w:evenVBand="0" w:oddHBand="0" w:evenHBand="0" w:firstRowFirstColumn="0" w:firstRowLastColumn="0" w:lastRowFirstColumn="0" w:lastRowLastColumn="0"/>
              <w:rPr>
                <w:sz w:val="20"/>
                <w:szCs w:val="20"/>
                <w:lang w:val="en-GB"/>
              </w:rPr>
            </w:pPr>
            <w:r w:rsidRPr="00604977">
              <w:rPr>
                <w:sz w:val="20"/>
                <w:szCs w:val="20"/>
                <w:lang w:val="en-GB"/>
              </w:rPr>
              <w:t>Temporal funding (3 years)</w:t>
            </w:r>
          </w:p>
          <w:p w14:paraId="4A43169A" w14:textId="77777777" w:rsidR="00D65012" w:rsidRPr="00604977" w:rsidRDefault="00D65012" w:rsidP="00957584">
            <w:pPr>
              <w:pStyle w:val="ListParagraph"/>
              <w:numPr>
                <w:ilvl w:val="0"/>
                <w:numId w:val="22"/>
              </w:numPr>
              <w:cnfStyle w:val="000000000000" w:firstRow="0" w:lastRow="0" w:firstColumn="0" w:lastColumn="0" w:oddVBand="0" w:evenVBand="0" w:oddHBand="0" w:evenHBand="0" w:firstRowFirstColumn="0" w:firstRowLastColumn="0" w:lastRowFirstColumn="0" w:lastRowLastColumn="0"/>
              <w:rPr>
                <w:sz w:val="20"/>
                <w:szCs w:val="20"/>
                <w:lang w:val="en-GB"/>
              </w:rPr>
            </w:pPr>
            <w:r w:rsidRPr="00604977">
              <w:rPr>
                <w:sz w:val="20"/>
                <w:szCs w:val="20"/>
                <w:lang w:val="en-GB"/>
              </w:rPr>
              <w:t xml:space="preserve">Reassessment post data collection period. A PACE group can be called in at this stage. </w:t>
            </w:r>
          </w:p>
          <w:p w14:paraId="0AC6F5AE" w14:textId="77777777" w:rsidR="00D65012" w:rsidRPr="00604977" w:rsidRDefault="00D65012" w:rsidP="000C66C0">
            <w:pPr>
              <w:widowControl w:val="0"/>
              <w:spacing w:after="0" w:line="240" w:lineRule="auto"/>
              <w:cnfStyle w:val="000000000000" w:firstRow="0" w:lastRow="0" w:firstColumn="0" w:lastColumn="0" w:oddVBand="0" w:evenVBand="0" w:oddHBand="0" w:evenHBand="0" w:firstRowFirstColumn="0" w:firstRowLastColumn="0" w:lastRowFirstColumn="0" w:lastRowLastColumn="0"/>
              <w:rPr>
                <w:sz w:val="20"/>
                <w:szCs w:val="20"/>
                <w:lang w:val="en-GB"/>
              </w:rPr>
            </w:pPr>
          </w:p>
        </w:tc>
      </w:tr>
    </w:tbl>
    <w:p w14:paraId="5A79E364" w14:textId="11BDD65C" w:rsidR="00520B29" w:rsidRPr="00221992" w:rsidRDefault="00520B29" w:rsidP="00533CF1">
      <w:pPr>
        <w:pStyle w:val="TableNotes"/>
        <w:rPr>
          <w:lang w:val="en-GB"/>
        </w:rPr>
      </w:pPr>
      <w:r w:rsidRPr="00221992">
        <w:rPr>
          <w:lang w:val="en-GB"/>
        </w:rPr>
        <w:t>Acronyms:</w:t>
      </w:r>
      <w:r w:rsidRPr="00221992">
        <w:rPr>
          <w:lang w:val="en-GB"/>
        </w:rPr>
        <w:tab/>
      </w:r>
      <w:r w:rsidR="00D65012" w:rsidRPr="00221992">
        <w:rPr>
          <w:lang w:val="en-GB"/>
        </w:rPr>
        <w:t>MHRA, Medicines and Healthcare products Regulatory Agency; MM, millions; NICE, National Institute for Health and Care Excellence; NDC, new drugs committee; OBMEA, outcome based managed entre agreement; PACE,</w:t>
      </w:r>
      <w:r w:rsidR="009E700A" w:rsidRPr="00221992">
        <w:rPr>
          <w:lang w:val="en-GB"/>
        </w:rPr>
        <w:t xml:space="preserve"> </w:t>
      </w:r>
      <w:r w:rsidR="00D65012" w:rsidRPr="00221992">
        <w:rPr>
          <w:lang w:val="en-GB"/>
        </w:rPr>
        <w:t>Patient and Clinical Engagement; PAS, patient access scheme; RSA, risk sharing agreement; SMC, Scottish</w:t>
      </w:r>
      <w:r w:rsidR="009E700A" w:rsidRPr="00221992">
        <w:rPr>
          <w:lang w:val="en-GB"/>
        </w:rPr>
        <w:t xml:space="preserve"> </w:t>
      </w:r>
      <w:r w:rsidR="00D65012" w:rsidRPr="00221992">
        <w:rPr>
          <w:lang w:val="en-GB"/>
        </w:rPr>
        <w:t>Medicine Consortium.</w:t>
      </w:r>
    </w:p>
    <w:p w14:paraId="6899B5BE" w14:textId="10A71FD6" w:rsidR="00D65012" w:rsidRPr="00221992" w:rsidRDefault="00520B29" w:rsidP="00533CF1">
      <w:pPr>
        <w:pStyle w:val="TableNotes"/>
        <w:rPr>
          <w:lang w:val="en-GB"/>
        </w:rPr>
      </w:pPr>
      <w:r w:rsidRPr="00221992">
        <w:rPr>
          <w:lang w:val="en-GB"/>
        </w:rPr>
        <w:t>Notes:</w:t>
      </w:r>
      <w:r w:rsidRPr="00221992">
        <w:rPr>
          <w:lang w:val="en-GB"/>
        </w:rPr>
        <w:tab/>
      </w:r>
      <w:r w:rsidR="00D65012" w:rsidRPr="00221992">
        <w:rPr>
          <w:vertAlign w:val="superscript"/>
          <w:lang w:val="en-GB"/>
        </w:rPr>
        <w:t>1</w:t>
      </w:r>
      <w:r w:rsidR="003D5335" w:rsidRPr="00221992">
        <w:rPr>
          <w:vertAlign w:val="superscript"/>
          <w:lang w:val="en-GB"/>
        </w:rPr>
        <w:t xml:space="preserve"> </w:t>
      </w:r>
      <w:r w:rsidR="003D5335" w:rsidRPr="00221992">
        <w:rPr>
          <w:lang w:val="en-GB"/>
        </w:rPr>
        <w:t>T</w:t>
      </w:r>
      <w:r w:rsidR="00D65012" w:rsidRPr="00221992">
        <w:rPr>
          <w:lang w:val="en-GB"/>
        </w:rPr>
        <w:t>ypically a recognised distinct disease or syndrome. SMC uses the description of the orphan condition within the MHRA</w:t>
      </w:r>
      <w:r w:rsidR="00551786">
        <w:rPr>
          <w:lang w:val="en-GB"/>
        </w:rPr>
        <w:t>’</w:t>
      </w:r>
      <w:r w:rsidR="00D65012" w:rsidRPr="00221992">
        <w:rPr>
          <w:lang w:val="en-GB"/>
        </w:rPr>
        <w:t xml:space="preserve">s Orphan Register. </w:t>
      </w:r>
      <w:r w:rsidR="00D65012" w:rsidRPr="00221992">
        <w:rPr>
          <w:vertAlign w:val="superscript"/>
          <w:lang w:val="en-GB"/>
        </w:rPr>
        <w:t>2</w:t>
      </w:r>
      <w:r w:rsidR="003D5335" w:rsidRPr="00221992">
        <w:rPr>
          <w:lang w:val="en-GB"/>
        </w:rPr>
        <w:t xml:space="preserve"> F</w:t>
      </w:r>
      <w:r w:rsidR="00D65012" w:rsidRPr="00221992">
        <w:rPr>
          <w:lang w:val="en-GB"/>
        </w:rPr>
        <w:t>or example, within the context of a nationally funded service.</w:t>
      </w:r>
      <w:r w:rsidRPr="00221992">
        <w:rPr>
          <w:lang w:val="en-GB"/>
        </w:rPr>
        <w:t xml:space="preserve"> </w:t>
      </w:r>
      <w:r w:rsidR="00D65012" w:rsidRPr="00221992">
        <w:rPr>
          <w:vertAlign w:val="superscript"/>
          <w:lang w:val="en-GB"/>
        </w:rPr>
        <w:t>3</w:t>
      </w:r>
      <w:r w:rsidR="003D5335" w:rsidRPr="00221992">
        <w:rPr>
          <w:vertAlign w:val="superscript"/>
          <w:lang w:val="en-GB"/>
        </w:rPr>
        <w:t xml:space="preserve"> </w:t>
      </w:r>
      <w:r w:rsidR="00D65012" w:rsidRPr="00221992">
        <w:rPr>
          <w:lang w:val="en-GB"/>
        </w:rPr>
        <w:t>These may include disease specific treatments and/or supportive therapies.</w:t>
      </w:r>
    </w:p>
    <w:p w14:paraId="316D9B68" w14:textId="0C9EA95E" w:rsidR="00CB610B" w:rsidRPr="00221992" w:rsidRDefault="00CB610B" w:rsidP="00407BA7">
      <w:pPr>
        <w:pStyle w:val="NbrHeading3"/>
        <w:rPr>
          <w:lang w:val="en-GB"/>
        </w:rPr>
      </w:pPr>
      <w:bookmarkStart w:id="153" w:name="_Toc162950887"/>
      <w:r w:rsidRPr="00221992">
        <w:rPr>
          <w:lang w:val="en-GB"/>
        </w:rPr>
        <w:t>Assessment of orphan drugs within standard processes</w:t>
      </w:r>
      <w:bookmarkEnd w:id="153"/>
    </w:p>
    <w:p w14:paraId="2F7806BA" w14:textId="5CDE4000" w:rsidR="00371865" w:rsidRPr="00221992" w:rsidRDefault="0078779B" w:rsidP="009A2CBC">
      <w:pPr>
        <w:rPr>
          <w:lang w:val="en-GB"/>
        </w:rPr>
      </w:pPr>
      <w:r w:rsidRPr="00221992">
        <w:rPr>
          <w:lang w:val="en-GB"/>
        </w:rPr>
        <w:t>Canada and Spain</w:t>
      </w:r>
      <w:r w:rsidRPr="00221992" w:rsidDel="0078779B">
        <w:rPr>
          <w:lang w:val="en-GB"/>
        </w:rPr>
        <w:t xml:space="preserve"> </w:t>
      </w:r>
      <w:r w:rsidR="00D65012" w:rsidRPr="00221992">
        <w:rPr>
          <w:lang w:val="en-GB"/>
        </w:rPr>
        <w:t xml:space="preserve">were identified as having no special considerations framework for addressing rare diseases. These countries are similar in the sense that they both have </w:t>
      </w:r>
      <w:r>
        <w:rPr>
          <w:lang w:val="en-GB"/>
        </w:rPr>
        <w:t>n</w:t>
      </w:r>
      <w:r w:rsidR="00D65012" w:rsidRPr="00221992">
        <w:rPr>
          <w:lang w:val="en-GB"/>
        </w:rPr>
        <w:t>ational HTA agencies</w:t>
      </w:r>
      <w:r>
        <w:rPr>
          <w:lang w:val="en-GB"/>
        </w:rPr>
        <w:t>—</w:t>
      </w:r>
      <w:r w:rsidR="00D65012" w:rsidRPr="00221992">
        <w:rPr>
          <w:lang w:val="en-GB"/>
        </w:rPr>
        <w:t>CADTH and INESSS in Canada and RedETS in Spain</w:t>
      </w:r>
      <w:r>
        <w:rPr>
          <w:lang w:val="en-GB"/>
        </w:rPr>
        <w:t>—</w:t>
      </w:r>
      <w:r w:rsidR="00D65012" w:rsidRPr="00221992">
        <w:rPr>
          <w:lang w:val="en-GB"/>
        </w:rPr>
        <w:t xml:space="preserve">that provide recommendations about reimbursement of health technologies. </w:t>
      </w:r>
      <w:r>
        <w:rPr>
          <w:lang w:val="en-GB"/>
        </w:rPr>
        <w:t>Health service providers in these countries,</w:t>
      </w:r>
      <w:r w:rsidRPr="00221992">
        <w:rPr>
          <w:lang w:val="en-GB"/>
        </w:rPr>
        <w:t xml:space="preserve"> </w:t>
      </w:r>
      <w:r>
        <w:rPr>
          <w:lang w:val="en-GB"/>
        </w:rPr>
        <w:t>which are not obligated to</w:t>
      </w:r>
      <w:r w:rsidR="00371865" w:rsidRPr="00221992">
        <w:rPr>
          <w:lang w:val="en-GB"/>
        </w:rPr>
        <w:t xml:space="preserve"> adop</w:t>
      </w:r>
      <w:r>
        <w:rPr>
          <w:lang w:val="en-GB"/>
        </w:rPr>
        <w:t>t</w:t>
      </w:r>
      <w:r w:rsidR="00371865" w:rsidRPr="00221992">
        <w:rPr>
          <w:lang w:val="en-GB"/>
        </w:rPr>
        <w:t xml:space="preserve"> </w:t>
      </w:r>
      <w:r>
        <w:rPr>
          <w:lang w:val="en-GB"/>
        </w:rPr>
        <w:t>these respective agencies’ recommendations</w:t>
      </w:r>
      <w:r w:rsidR="00371865" w:rsidRPr="00221992">
        <w:rPr>
          <w:lang w:val="en-GB"/>
        </w:rPr>
        <w:t xml:space="preserve">, make funding decisions </w:t>
      </w:r>
      <w:r>
        <w:rPr>
          <w:lang w:val="en-GB"/>
        </w:rPr>
        <w:t>about</w:t>
      </w:r>
      <w:r w:rsidRPr="00221992">
        <w:rPr>
          <w:lang w:val="en-GB"/>
        </w:rPr>
        <w:t xml:space="preserve"> </w:t>
      </w:r>
      <w:r w:rsidR="00371865" w:rsidRPr="00221992">
        <w:rPr>
          <w:lang w:val="en-GB"/>
        </w:rPr>
        <w:t>health technologies</w:t>
      </w:r>
      <w:r>
        <w:rPr>
          <w:lang w:val="en-GB"/>
        </w:rPr>
        <w:t xml:space="preserve"> at the local level,</w:t>
      </w:r>
      <w:r w:rsidR="00371865" w:rsidRPr="00221992">
        <w:rPr>
          <w:lang w:val="en-GB"/>
        </w:rPr>
        <w:t xml:space="preserve"> including those targeting patients for rare diseases.</w:t>
      </w:r>
    </w:p>
    <w:p w14:paraId="65B7854E" w14:textId="10BFADB5" w:rsidR="00371865" w:rsidRPr="00221992" w:rsidRDefault="00371865" w:rsidP="00371865">
      <w:pPr>
        <w:rPr>
          <w:lang w:val="en-GB"/>
        </w:rPr>
      </w:pPr>
      <w:r w:rsidRPr="00221992">
        <w:rPr>
          <w:lang w:val="en-GB"/>
        </w:rPr>
        <w:t xml:space="preserve">In Canada, CADTH and INESSS (Quebec) have no separate review process for drugs for rare diseases. Canada lacks its own policy specifically addressing orphan </w:t>
      </w:r>
      <w:r w:rsidR="00C51602" w:rsidRPr="00221992">
        <w:rPr>
          <w:lang w:val="en-GB"/>
        </w:rPr>
        <w:t>drugs</w:t>
      </w:r>
      <w:r w:rsidRPr="00221992">
        <w:rPr>
          <w:lang w:val="en-GB"/>
        </w:rPr>
        <w:t xml:space="preserve"> and has not adopted a definition for rare diseases </w:t>
      </w:r>
      <w:r w:rsidRPr="00221992">
        <w:rPr>
          <w:lang w:val="en-GB"/>
        </w:rPr>
        <w:fldChar w:fldCharType="begin"/>
      </w:r>
      <w:r w:rsidR="00E5265C">
        <w:rPr>
          <w:lang w:val="en-GB"/>
        </w:rPr>
        <w:instrText xml:space="preserve"> ADDIN EN.CITE &lt;EndNote&gt;&lt;Cite&gt;&lt;Author&gt;Chowdhury&lt;/Author&gt;&lt;Year&gt;2018&lt;/Year&gt;&lt;RecNum&gt;25867&lt;/RecNum&gt;&lt;DisplayText&gt;[175]&lt;/DisplayText&gt;&lt;record&gt;&lt;rec-number&gt;25867&lt;/rec-number&gt;&lt;foreign-keys&gt;&lt;key app="EN" db-id="wvwf2ewpevpr0oer0zmxwpzrwvev5pwf925p" timestamp="1693133857" guid="60e834be-6ef8-40e7-92a4-763b8cdc353a"&gt;25867&lt;/key&gt;&lt;/foreign-keys&gt;&lt;ref-type name="Journal Article"&gt;17&lt;/ref-type&gt;&lt;contributors&gt;&lt;authors&gt;&lt;author&gt;Chowdhury, M. Z.&lt;/author&gt;&lt;author&gt;Chowdhury, M. A.&lt;/author&gt;&lt;/authors&gt;&lt;/contributors&gt;&lt;titles&gt;&lt;title&gt;Canadian Health Care System: Who Should Pay for All Medically Beneficial Treatments? A Burning Issue&lt;/title&gt;&lt;secondary-title&gt;International Journal of Health Services&lt;/secondary-title&gt;&lt;/titles&gt;&lt;periodical&gt;&lt;full-title&gt;International Journal of Health Services&lt;/full-title&gt;&lt;/periodical&gt;&lt;pages&gt;289-301&lt;/pages&gt;&lt;volume&gt;48&lt;/volume&gt;&lt;number&gt;2&lt;/number&gt;&lt;dates&gt;&lt;year&gt;2018&lt;/year&gt;&lt;pub-dates&gt;&lt;date&gt;APR&lt;/date&gt;&lt;/pub-dates&gt;&lt;/dates&gt;&lt;isbn&gt;0020-7314&amp;#xD;1541-4469&lt;/isbn&gt;&lt;accession-num&gt;WOS:000430089500005&lt;/accession-num&gt;&lt;urls&gt;&lt;/urls&gt;&lt;electronic-resource-num&gt;10.1177/0020731417738976&lt;/electronic-resource-num&gt;&lt;research-notes&gt;I. R. V. C&lt;/research-notes&gt;&lt;/record&gt;&lt;/Cite&gt;&lt;/EndNote&gt;</w:instrText>
      </w:r>
      <w:r w:rsidRPr="00221992">
        <w:rPr>
          <w:lang w:val="en-GB"/>
        </w:rPr>
        <w:fldChar w:fldCharType="separate"/>
      </w:r>
      <w:r w:rsidR="00E5265C">
        <w:rPr>
          <w:noProof/>
          <w:lang w:val="en-GB"/>
        </w:rPr>
        <w:t>[175]</w:t>
      </w:r>
      <w:r w:rsidRPr="00221992">
        <w:rPr>
          <w:lang w:val="en-GB"/>
        </w:rPr>
        <w:fldChar w:fldCharType="end"/>
      </w:r>
      <w:r w:rsidRPr="00221992">
        <w:rPr>
          <w:lang w:val="en-GB"/>
        </w:rPr>
        <w:t xml:space="preserve">. However, in its reimbursement review guidelines, CADTH specifies that </w:t>
      </w:r>
      <w:r w:rsidR="003173BA" w:rsidRPr="00221992">
        <w:rPr>
          <w:lang w:val="en-GB"/>
        </w:rPr>
        <w:t xml:space="preserve">(p. 94) </w:t>
      </w:r>
      <w:r w:rsidRPr="00221992">
        <w:rPr>
          <w:lang w:val="en-GB"/>
        </w:rPr>
        <w:fldChar w:fldCharType="begin"/>
      </w:r>
      <w:r w:rsidR="002F6CD4" w:rsidRPr="00221992">
        <w:rPr>
          <w:lang w:val="en-GB"/>
        </w:rPr>
        <w:instrText xml:space="preserve"> ADDIN EN.CITE &lt;EndNote&gt;&lt;Cite&gt;&lt;Author&gt;Canadian Agency for Drugs and Technologies in Health (CADTH)&lt;/Author&gt;&lt;Year&gt;2023&lt;/Year&gt;&lt;RecNum&gt;601&lt;/RecNum&gt;&lt;DisplayText&gt;[21]&lt;/DisplayText&gt;&lt;record&gt;&lt;rec-number&gt;601&lt;/rec-number&gt;&lt;foreign-keys&gt;&lt;key app="EN" db-id="wzwwsfxe4peesxef95cxvrwjxts9rreasarf" timestamp="1692751953"&gt;601&lt;/key&gt;&lt;/foreign-keys&gt;&lt;ref-type name="Web Page"&gt;12&lt;/ref-type&gt;&lt;contributors&gt;&lt;authors&gt;&lt;author&gt;Canadian Agency for Drugs and Technologies in Health (CADTH),&lt;/author&gt;&lt;/authors&gt;&lt;/contributors&gt;&lt;titles&gt;&lt;title&gt;Procedures for CADTH Reimbursement Reviews&lt;/title&gt;&lt;/titles&gt;&lt;number&gt;23 August 2023&lt;/number&gt;&lt;dates&gt;&lt;year&gt;2023&lt;/year&gt;&lt;/dates&gt;&lt;pub-location&gt;Ottowa&lt;/pub-location&gt;&lt;publisher&gt;Canadian Agency for Drugs and Technologies in Health (CADTH),&lt;/publisher&gt;&lt;urls&gt;&lt;related-urls&gt;&lt;url&gt;https://www.cadth.ca/sites/default/files/Drug_Review_Process/CADTH%20Drug%20Reimbursement%20Review%20Procedures.pdf&lt;/url&gt;&lt;/related-urls&gt;&lt;/urls&gt;&lt;/record&gt;&lt;/Cite&gt;&lt;/EndNote&gt;</w:instrText>
      </w:r>
      <w:r w:rsidRPr="00221992">
        <w:rPr>
          <w:lang w:val="en-GB"/>
        </w:rPr>
        <w:fldChar w:fldCharType="separate"/>
      </w:r>
      <w:r w:rsidR="002F6CD4" w:rsidRPr="00221992">
        <w:rPr>
          <w:noProof/>
          <w:lang w:val="en-GB"/>
        </w:rPr>
        <w:t>[21]</w:t>
      </w:r>
      <w:r w:rsidRPr="00221992">
        <w:rPr>
          <w:lang w:val="en-GB"/>
        </w:rPr>
        <w:fldChar w:fldCharType="end"/>
      </w:r>
      <w:r w:rsidRPr="00221992">
        <w:rPr>
          <w:lang w:val="en-GB"/>
        </w:rPr>
        <w:t>:</w:t>
      </w:r>
    </w:p>
    <w:p w14:paraId="4C81FD1E" w14:textId="5C1AA54A" w:rsidR="00371865" w:rsidRPr="00221992" w:rsidRDefault="00371865" w:rsidP="00371865">
      <w:pPr>
        <w:ind w:left="567"/>
        <w:rPr>
          <w:lang w:val="en-GB"/>
        </w:rPr>
      </w:pPr>
      <w:r w:rsidRPr="00221992">
        <w:rPr>
          <w:lang w:val="en-GB"/>
        </w:rPr>
        <w:t>In exceptional cases where there is uncertain clinical and pharmacoeconomic evidence, the CADTH drug expert committees may issue a recommendation to reimburse with conditions, due to practical challenges in conducting robust clinical trials and pharmacoeconomic evaluations and in the presence of significant unmet medical need.</w:t>
      </w:r>
    </w:p>
    <w:p w14:paraId="1FD9D8FE" w14:textId="75D1FCA2" w:rsidR="00371865" w:rsidRPr="00221992" w:rsidRDefault="00371865" w:rsidP="00371865">
      <w:pPr>
        <w:rPr>
          <w:lang w:val="en-GB"/>
        </w:rPr>
      </w:pPr>
      <w:r w:rsidRPr="00221992">
        <w:rPr>
          <w:lang w:val="en-GB"/>
        </w:rPr>
        <w:t xml:space="preserve">However, the guidance </w:t>
      </w:r>
      <w:r w:rsidR="0078779B">
        <w:rPr>
          <w:lang w:val="en-GB"/>
        </w:rPr>
        <w:t xml:space="preserve">also </w:t>
      </w:r>
      <w:r w:rsidRPr="00221992">
        <w:rPr>
          <w:lang w:val="en-GB"/>
        </w:rPr>
        <w:t>states that “available evidence must reasonably suggest that the drug under review could substantially reduce morbidity and/or mortality associated with the disease</w:t>
      </w:r>
      <w:r w:rsidR="005C6BC8" w:rsidRPr="00221992">
        <w:rPr>
          <w:lang w:val="en-GB"/>
        </w:rPr>
        <w:t>.</w:t>
      </w:r>
      <w:r w:rsidRPr="00221992">
        <w:rPr>
          <w:lang w:val="en-GB"/>
        </w:rPr>
        <w:t>” Significant unmet clinical need is assessed via the Common Drug Review (CDR) and pan-Canadian Oncology Drug Review (pCODR) processes</w:t>
      </w:r>
      <w:r w:rsidR="0078779B">
        <w:rPr>
          <w:lang w:val="en-GB"/>
        </w:rPr>
        <w:t>,</w:t>
      </w:r>
      <w:r w:rsidRPr="00221992">
        <w:rPr>
          <w:lang w:val="en-GB"/>
        </w:rPr>
        <w:t xml:space="preserve"> noting that rarity is not the only criteri</w:t>
      </w:r>
      <w:r w:rsidR="0078779B">
        <w:rPr>
          <w:lang w:val="en-GB"/>
        </w:rPr>
        <w:t>on</w:t>
      </w:r>
      <w:r w:rsidRPr="00221992">
        <w:rPr>
          <w:lang w:val="en-GB"/>
        </w:rPr>
        <w:t xml:space="preserve"> considered </w:t>
      </w:r>
      <w:r w:rsidR="0078779B">
        <w:rPr>
          <w:lang w:val="en-GB"/>
        </w:rPr>
        <w:t>with respect to</w:t>
      </w:r>
      <w:r w:rsidRPr="00221992">
        <w:rPr>
          <w:lang w:val="en-GB"/>
        </w:rPr>
        <w:t xml:space="preserve"> unmet need. In addition, the disease must be identifiable with reasonable diagnostic precision. These considerations may apply to all drugs, including drugs for rare diseases </w:t>
      </w:r>
      <w:r w:rsidRPr="00221992">
        <w:rPr>
          <w:lang w:val="en-GB"/>
        </w:rPr>
        <w:fldChar w:fldCharType="begin"/>
      </w:r>
      <w:r w:rsidR="002F6CD4" w:rsidRPr="00221992">
        <w:rPr>
          <w:lang w:val="en-GB"/>
        </w:rPr>
        <w:instrText xml:space="preserve"> ADDIN EN.CITE &lt;EndNote&gt;&lt;Cite&gt;&lt;Author&gt;Canadian Agency for Drugs and Technologies in Health (CADTH)&lt;/Author&gt;&lt;Year&gt;2023&lt;/Year&gt;&lt;RecNum&gt;601&lt;/RecNum&gt;&lt;DisplayText&gt;[21]&lt;/DisplayText&gt;&lt;record&gt;&lt;rec-number&gt;601&lt;/rec-number&gt;&lt;foreign-keys&gt;&lt;key app="EN" db-id="wzwwsfxe4peesxef95cxvrwjxts9rreasarf" timestamp="1692751953"&gt;601&lt;/key&gt;&lt;/foreign-keys&gt;&lt;ref-type name="Web Page"&gt;12&lt;/ref-type&gt;&lt;contributors&gt;&lt;authors&gt;&lt;author&gt;Canadian Agency for Drugs and Technologies in Health (CADTH),&lt;/author&gt;&lt;/authors&gt;&lt;/contributors&gt;&lt;titles&gt;&lt;title&gt;Procedures for CADTH Reimbursement Reviews&lt;/title&gt;&lt;/titles&gt;&lt;number&gt;23 August 2023&lt;/number&gt;&lt;dates&gt;&lt;year&gt;2023&lt;/year&gt;&lt;/dates&gt;&lt;pub-location&gt;Ottowa&lt;/pub-location&gt;&lt;publisher&gt;Canadian Agency for Drugs and Technologies in Health (CADTH),&lt;/publisher&gt;&lt;urls&gt;&lt;related-urls&gt;&lt;url&gt;https://www.cadth.ca/sites/default/files/Drug_Review_Process/CADTH%20Drug%20Reimbursement%20Review%20Procedures.pdf&lt;/url&gt;&lt;/related-urls&gt;&lt;/urls&gt;&lt;/record&gt;&lt;/Cite&gt;&lt;/EndNote&gt;</w:instrText>
      </w:r>
      <w:r w:rsidRPr="00221992">
        <w:rPr>
          <w:lang w:val="en-GB"/>
        </w:rPr>
        <w:fldChar w:fldCharType="separate"/>
      </w:r>
      <w:r w:rsidR="002F6CD4" w:rsidRPr="00221992">
        <w:rPr>
          <w:noProof/>
          <w:lang w:val="en-GB"/>
        </w:rPr>
        <w:t>[21]</w:t>
      </w:r>
      <w:r w:rsidRPr="00221992">
        <w:rPr>
          <w:lang w:val="en-GB"/>
        </w:rPr>
        <w:fldChar w:fldCharType="end"/>
      </w:r>
      <w:r w:rsidRPr="00221992">
        <w:rPr>
          <w:lang w:val="en-GB"/>
        </w:rPr>
        <w:t xml:space="preserve">. </w:t>
      </w:r>
    </w:p>
    <w:p w14:paraId="43BE56A7" w14:textId="1EC578A8" w:rsidR="00371865" w:rsidRPr="00221992" w:rsidRDefault="00371865" w:rsidP="00371865">
      <w:pPr>
        <w:rPr>
          <w:lang w:val="en-GB"/>
        </w:rPr>
      </w:pPr>
      <w:r w:rsidRPr="00221992">
        <w:rPr>
          <w:lang w:val="en-GB"/>
        </w:rPr>
        <w:t>Four of Canada</w:t>
      </w:r>
      <w:r w:rsidR="00551786">
        <w:rPr>
          <w:lang w:val="en-GB"/>
        </w:rPr>
        <w:t>’</w:t>
      </w:r>
      <w:r w:rsidRPr="00221992">
        <w:rPr>
          <w:lang w:val="en-GB"/>
        </w:rPr>
        <w:t xml:space="preserve">s </w:t>
      </w:r>
      <w:r w:rsidR="0078779B">
        <w:rPr>
          <w:lang w:val="en-GB"/>
        </w:rPr>
        <w:t>10</w:t>
      </w:r>
      <w:r w:rsidR="0078779B" w:rsidRPr="00221992">
        <w:rPr>
          <w:lang w:val="en-GB"/>
        </w:rPr>
        <w:t xml:space="preserve"> </w:t>
      </w:r>
      <w:r w:rsidRPr="00221992">
        <w:rPr>
          <w:lang w:val="en-GB"/>
        </w:rPr>
        <w:t xml:space="preserve">provinces currently implement specific programs for the funding of drugs for rare diseases to determine </w:t>
      </w:r>
      <w:r w:rsidR="0078779B">
        <w:rPr>
          <w:lang w:val="en-GB"/>
        </w:rPr>
        <w:t xml:space="preserve">coverage </w:t>
      </w:r>
      <w:r w:rsidRPr="00221992">
        <w:rPr>
          <w:lang w:val="en-GB"/>
        </w:rPr>
        <w:t xml:space="preserve">eligibility for medications for rare/ultra-rare conditions. These initiatives comprise either reimbursement programs that provide access to specific drugs (Alberta and New Brunswick) or dedicated separate processes for drugs for rare diseases (British Columbia and Saskatchewan). Ontario </w:t>
      </w:r>
      <w:r w:rsidR="0078779B">
        <w:rPr>
          <w:lang w:val="en-GB"/>
        </w:rPr>
        <w:t xml:space="preserve">has in the past </w:t>
      </w:r>
      <w:r w:rsidRPr="00221992">
        <w:rPr>
          <w:lang w:val="en-GB"/>
        </w:rPr>
        <w:t>employed a distinct evaluation framework for funding decisions concerning drugs for rare diseases</w:t>
      </w:r>
      <w:r w:rsidR="0078779B">
        <w:rPr>
          <w:lang w:val="en-GB"/>
        </w:rPr>
        <w:t>,</w:t>
      </w:r>
      <w:r w:rsidRPr="00221992">
        <w:rPr>
          <w:lang w:val="en-GB"/>
        </w:rPr>
        <w:t xml:space="preserve"> however, this framework is no longer in use </w:t>
      </w:r>
      <w:r w:rsidRPr="00221992">
        <w:rPr>
          <w:lang w:val="en-GB"/>
        </w:rPr>
        <w:fldChar w:fldCharType="begin">
          <w:fldData xml:space="preserve">PEVuZE5vdGU+PENpdGU+PEF1dGhvcj5NZW5vbjwvQXV0aG9yPjxZZWFyPjIwMTU8L1llYXI+PFJl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</w:fldData>
        </w:fldChar>
      </w:r>
      <w:r w:rsidR="00E5265C">
        <w:rPr>
          <w:lang w:val="en-GB"/>
        </w:rPr>
        <w:instrText xml:space="preserve"> ADDIN EN.CITE </w:instrText>
      </w:r>
      <w:r w:rsidR="00E5265C">
        <w:rPr>
          <w:lang w:val="en-GB"/>
        </w:rPr>
        <w:fldChar w:fldCharType="begin">
          <w:fldData xml:space="preserve">PEVuZE5vdGU+PENpdGU+PEF1dGhvcj5NZW5vbjwvQXV0aG9yPjxZZWFyPjIwMTU8L1llYXI+PFJl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</w:fldData>
        </w:fldChar>
      </w:r>
      <w:r w:rsidR="00E5265C">
        <w:rPr>
          <w:lang w:val="en-GB"/>
        </w:rPr>
        <w:instrText xml:space="preserve"> ADDIN EN.CITE.DATA </w:instrText>
      </w:r>
      <w:r w:rsidR="00E5265C">
        <w:rPr>
          <w:lang w:val="en-GB"/>
        </w:rPr>
      </w:r>
      <w:r w:rsidR="00E5265C">
        <w:rPr>
          <w:lang w:val="en-GB"/>
        </w:rPr>
        <w:fldChar w:fldCharType="end"/>
      </w:r>
      <w:r w:rsidRPr="00221992">
        <w:rPr>
          <w:lang w:val="en-GB"/>
        </w:rPr>
      </w:r>
      <w:r w:rsidRPr="00221992">
        <w:rPr>
          <w:lang w:val="en-GB"/>
        </w:rPr>
        <w:fldChar w:fldCharType="separate"/>
      </w:r>
      <w:r w:rsidR="00E5265C">
        <w:rPr>
          <w:noProof/>
          <w:lang w:val="en-GB"/>
        </w:rPr>
        <w:t>[176-177]</w:t>
      </w:r>
      <w:r w:rsidRPr="00221992">
        <w:rPr>
          <w:lang w:val="en-GB"/>
        </w:rPr>
        <w:fldChar w:fldCharType="end"/>
      </w:r>
      <w:r w:rsidRPr="00221992">
        <w:rPr>
          <w:lang w:val="en-GB"/>
        </w:rPr>
        <w:t>.</w:t>
      </w:r>
      <w:r w:rsidR="006F33E9" w:rsidRPr="00221992">
        <w:rPr>
          <w:lang w:val="en-GB"/>
        </w:rPr>
        <w:t xml:space="preserve"> Patients in other jurisdictions </w:t>
      </w:r>
      <w:r w:rsidR="0078779B">
        <w:rPr>
          <w:lang w:val="en-GB"/>
        </w:rPr>
        <w:t>may</w:t>
      </w:r>
      <w:r w:rsidR="0078779B" w:rsidRPr="00221992">
        <w:rPr>
          <w:lang w:val="en-GB"/>
        </w:rPr>
        <w:t xml:space="preserve"> </w:t>
      </w:r>
      <w:r w:rsidR="006F33E9" w:rsidRPr="00221992">
        <w:rPr>
          <w:lang w:val="en-GB"/>
        </w:rPr>
        <w:t>seek coverage through the regular medication program.</w:t>
      </w:r>
    </w:p>
    <w:p w14:paraId="1F3DF585" w14:textId="6B34D8F7" w:rsidR="00D65012" w:rsidRPr="00221992" w:rsidRDefault="009A2CBC" w:rsidP="009A2CBC">
      <w:pPr>
        <w:rPr>
          <w:lang w:val="en-GB"/>
        </w:rPr>
      </w:pPr>
      <w:r w:rsidRPr="00221992">
        <w:rPr>
          <w:lang w:val="en-GB"/>
        </w:rPr>
        <w:t>A</w:t>
      </w:r>
      <w:r w:rsidR="00D65012" w:rsidRPr="00221992">
        <w:rPr>
          <w:lang w:val="en-GB"/>
        </w:rPr>
        <w:t xml:space="preserve"> compar</w:t>
      </w:r>
      <w:r w:rsidRPr="00221992">
        <w:rPr>
          <w:lang w:val="en-GB"/>
        </w:rPr>
        <w:t>ison of</w:t>
      </w:r>
      <w:r w:rsidR="00D65012" w:rsidRPr="00221992">
        <w:rPr>
          <w:lang w:val="en-GB"/>
        </w:rPr>
        <w:t xml:space="preserve"> the rare disease drug programs in Alberta</w:t>
      </w:r>
      <w:r w:rsidR="006738B3" w:rsidRPr="00221992">
        <w:rPr>
          <w:lang w:val="en-GB"/>
        </w:rPr>
        <w:t>,</w:t>
      </w:r>
      <w:r w:rsidR="00C003AE" w:rsidRPr="00221992">
        <w:rPr>
          <w:lang w:val="en-GB"/>
        </w:rPr>
        <w:t xml:space="preserve"> </w:t>
      </w:r>
      <w:r w:rsidR="00D65012" w:rsidRPr="00221992">
        <w:rPr>
          <w:lang w:val="en-GB"/>
        </w:rPr>
        <w:t>New Brunswick, British Columbia, and Saskatchewan</w:t>
      </w:r>
      <w:r w:rsidRPr="00221992">
        <w:rPr>
          <w:lang w:val="en-GB"/>
        </w:rPr>
        <w:t xml:space="preserve"> is presented in </w:t>
      </w:r>
      <w:r w:rsidRPr="00221992">
        <w:rPr>
          <w:lang w:val="en-GB"/>
        </w:rPr>
        <w:fldChar w:fldCharType="begin"/>
      </w:r>
      <w:r>
        <w:instrText xml:space="preserve"> REF _Ref143597482 \h </w:instrText>
      </w:r>
      <w:r w:rsidRPr="00221992">
        <w:rPr>
          <w:lang w:val="en-GB"/>
        </w:rPr>
      </w:r>
      <w:r w:rsidRPr="00221992">
        <w:rPr>
          <w:lang w:val="en-GB"/>
        </w:rPr>
        <w:fldChar w:fldCharType="separate"/>
      </w:r>
      <w:r w:rsidR="000E11E7" w:rsidRPr="00221992">
        <w:rPr>
          <w:lang w:val="en-GB"/>
        </w:rPr>
        <w:t xml:space="preserve">Table </w:t>
      </w:r>
      <w:r w:rsidR="000E11E7">
        <w:rPr>
          <w:noProof/>
        </w:rPr>
        <w:t>17</w:t>
      </w:r>
      <w:r w:rsidRPr="00221992">
        <w:rPr>
          <w:lang w:val="en-GB"/>
        </w:rPr>
        <w:fldChar w:fldCharType="end"/>
      </w:r>
      <w:r w:rsidR="00D65012" w:rsidRPr="00221992">
        <w:rPr>
          <w:lang w:val="en-GB"/>
        </w:rPr>
        <w:t xml:space="preserve">. Whilst the definition of rare diseases differed across regions, </w:t>
      </w:r>
      <w:r w:rsidR="0078779B">
        <w:rPr>
          <w:lang w:val="en-GB"/>
        </w:rPr>
        <w:t xml:space="preserve">in practice, </w:t>
      </w:r>
      <w:r w:rsidR="00D65012" w:rsidRPr="00221992">
        <w:rPr>
          <w:lang w:val="en-GB"/>
        </w:rPr>
        <w:t>they all provide funding to rare genetic conditions. All four provinces have established requirements for continued funding</w:t>
      </w:r>
      <w:r w:rsidR="0078779B">
        <w:rPr>
          <w:lang w:val="en-GB"/>
        </w:rPr>
        <w:t>, including</w:t>
      </w:r>
      <w:r w:rsidR="00D65012" w:rsidRPr="00221992">
        <w:rPr>
          <w:lang w:val="en-GB"/>
        </w:rPr>
        <w:t xml:space="preserve">: 1) clinical outcomes must be monitored; 2) monitoring is mandatory and must be ongoing, and; 3) </w:t>
      </w:r>
      <w:r w:rsidR="00C425D7" w:rsidRPr="00221992">
        <w:rPr>
          <w:lang w:val="en-GB"/>
        </w:rPr>
        <w:t>i</w:t>
      </w:r>
      <w:r w:rsidR="00D65012" w:rsidRPr="00221992">
        <w:rPr>
          <w:lang w:val="en-GB"/>
        </w:rPr>
        <w:t>nadequate patient response or deterioration will dictate treatment discontinuation. Alberta and British Columbia have a rare disease Specific Committee that makes recommendation</w:t>
      </w:r>
      <w:r w:rsidR="0078779B">
        <w:rPr>
          <w:lang w:val="en-GB"/>
        </w:rPr>
        <w:t>s,</w:t>
      </w:r>
      <w:r w:rsidR="00D65012" w:rsidRPr="00221992">
        <w:rPr>
          <w:lang w:val="en-GB"/>
        </w:rPr>
        <w:t xml:space="preserve"> while New Brunswick relies on the Ontario Public Drug Program</w:t>
      </w:r>
      <w:r w:rsidR="0078779B">
        <w:rPr>
          <w:lang w:val="en-GB"/>
        </w:rPr>
        <w:t>’</w:t>
      </w:r>
      <w:r w:rsidR="00D65012" w:rsidRPr="00221992">
        <w:rPr>
          <w:lang w:val="en-GB"/>
        </w:rPr>
        <w:t>s external medical experts. No information in this regard was found for Saskatchewan, however</w:t>
      </w:r>
      <w:r w:rsidR="0078779B">
        <w:rPr>
          <w:lang w:val="en-GB"/>
        </w:rPr>
        <w:t>,</w:t>
      </w:r>
      <w:r w:rsidR="00D65012" w:rsidRPr="00221992">
        <w:rPr>
          <w:lang w:val="en-GB"/>
        </w:rPr>
        <w:t xml:space="preserve"> they ha</w:t>
      </w:r>
      <w:r w:rsidR="0078779B">
        <w:rPr>
          <w:lang w:val="en-GB"/>
        </w:rPr>
        <w:t>ve</w:t>
      </w:r>
      <w:r w:rsidR="00D65012" w:rsidRPr="00221992">
        <w:rPr>
          <w:lang w:val="en-GB"/>
        </w:rPr>
        <w:t xml:space="preserve"> partnered with Ontario to deliver the plan. </w:t>
      </w:r>
    </w:p>
    <w:p w14:paraId="0AA29870" w14:textId="3789EB60" w:rsidR="009A2CBC" w:rsidRPr="00221992" w:rsidRDefault="009A2CBC">
      <w:pPr>
        <w:pStyle w:val="Caption"/>
        <w:rPr>
          <w:lang w:val="en-GB"/>
        </w:rPr>
      </w:pPr>
      <w:bookmarkStart w:id="154" w:name="_Ref143597482"/>
      <w:bookmarkStart w:id="155" w:name="_Toc162950964"/>
      <w:r w:rsidRPr="00221992">
        <w:rPr>
          <w:lang w:val="en-GB"/>
        </w:rPr>
        <w:t xml:space="preserve">Table </w:t>
      </w:r>
      <w:r w:rsidRPr="00221992">
        <w:rPr>
          <w:lang w:val="en-GB"/>
        </w:rPr>
        <w:fldChar w:fldCharType="begin"/>
      </w:r>
      <w:r>
        <w:instrText>SEQ Table \* ARABIC</w:instrText>
      </w:r>
      <w:r w:rsidRPr="00221992">
        <w:rPr>
          <w:lang w:val="en-GB"/>
        </w:rPr>
        <w:fldChar w:fldCharType="separate"/>
      </w:r>
      <w:r w:rsidR="000E11E7">
        <w:rPr>
          <w:noProof/>
        </w:rPr>
        <w:t>17</w:t>
      </w:r>
      <w:r w:rsidRPr="00221992">
        <w:rPr>
          <w:lang w:val="en-GB"/>
        </w:rPr>
        <w:fldChar w:fldCharType="end"/>
      </w:r>
      <w:bookmarkEnd w:id="154"/>
      <w:r w:rsidRPr="00221992">
        <w:rPr>
          <w:lang w:val="en-GB"/>
        </w:rPr>
        <w:t>. Access programs for rare disease therapies in Canada by province</w:t>
      </w:r>
      <w:bookmarkEnd w:id="155"/>
    </w:p>
    <w:tbl>
      <w:tblPr>
        <w:tblStyle w:val="LinedBlueTable"/>
        <w:tblW w:w="8552" w:type="dxa"/>
        <w:tblLook w:val="04A0" w:firstRow="1" w:lastRow="0" w:firstColumn="1" w:lastColumn="0" w:noHBand="0" w:noVBand="1"/>
        <w:tblCaption w:val="Access programs for rare disease therapies in Canada by province"/>
      </w:tblPr>
      <w:tblGrid>
        <w:gridCol w:w="1660"/>
        <w:gridCol w:w="1988"/>
        <w:gridCol w:w="1494"/>
        <w:gridCol w:w="1681"/>
        <w:gridCol w:w="1729"/>
      </w:tblGrid>
      <w:tr w:rsidR="00D65012" w:rsidRPr="00221992" w14:paraId="0F091605" w14:textId="77777777" w:rsidTr="00655A35">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60" w:type="dxa"/>
            <w:shd w:val="clear" w:color="auto" w:fill="1E8BCD"/>
          </w:tcPr>
          <w:p w14:paraId="2700A857" w14:textId="77777777" w:rsidR="00D65012" w:rsidRPr="00221992" w:rsidRDefault="00D65012" w:rsidP="00655A35">
            <w:pPr>
              <w:pStyle w:val="TableHeading"/>
              <w:spacing w:before="0" w:after="0" w:line="240" w:lineRule="auto"/>
              <w:rPr>
                <w:sz w:val="20"/>
                <w:szCs w:val="20"/>
                <w:lang w:val="en-GB"/>
              </w:rPr>
            </w:pPr>
          </w:p>
        </w:tc>
        <w:tc>
          <w:tcPr>
            <w:tcW w:w="1988" w:type="dxa"/>
            <w:shd w:val="clear" w:color="auto" w:fill="1E8BCD"/>
          </w:tcPr>
          <w:p w14:paraId="5F46CDD9" w14:textId="77777777" w:rsidR="00D65012" w:rsidRPr="00221992" w:rsidRDefault="00D65012" w:rsidP="00655A35">
            <w:pPr>
              <w:pStyle w:val="TableHeading"/>
              <w:spacing w:before="0" w:after="0" w:line="240" w:lineRule="auto"/>
              <w:cnfStyle w:val="100000000000" w:firstRow="1" w:lastRow="0" w:firstColumn="0" w:lastColumn="0" w:oddVBand="0" w:evenVBand="0" w:oddHBand="0" w:evenHBand="0" w:firstRowFirstColumn="0" w:firstRowLastColumn="0" w:lastRowFirstColumn="0" w:lastRowLastColumn="0"/>
              <w:rPr>
                <w:rFonts w:ascii="Calibri" w:hAnsi="Calibri" w:cs="Calibri"/>
                <w:sz w:val="20"/>
                <w:szCs w:val="20"/>
                <w:lang w:val="en-GB"/>
              </w:rPr>
            </w:pPr>
            <w:r w:rsidRPr="00221992">
              <w:rPr>
                <w:rFonts w:ascii="Calibri" w:hAnsi="Calibri" w:cs="Calibri"/>
                <w:sz w:val="20"/>
                <w:szCs w:val="20"/>
                <w:lang w:val="en-GB"/>
              </w:rPr>
              <w:t xml:space="preserve">Alberta </w:t>
            </w:r>
          </w:p>
        </w:tc>
        <w:tc>
          <w:tcPr>
            <w:tcW w:w="1494" w:type="dxa"/>
            <w:shd w:val="clear" w:color="auto" w:fill="1E8BCD"/>
          </w:tcPr>
          <w:p w14:paraId="3A53D92C" w14:textId="77777777" w:rsidR="00D65012" w:rsidRPr="00221992" w:rsidRDefault="00D65012" w:rsidP="00655A35">
            <w:pPr>
              <w:pStyle w:val="TableHeading"/>
              <w:spacing w:before="0" w:after="0" w:line="240" w:lineRule="auto"/>
              <w:cnfStyle w:val="100000000000" w:firstRow="1" w:lastRow="0" w:firstColumn="0" w:lastColumn="0" w:oddVBand="0" w:evenVBand="0" w:oddHBand="0" w:evenHBand="0" w:firstRowFirstColumn="0" w:firstRowLastColumn="0" w:lastRowFirstColumn="0" w:lastRowLastColumn="0"/>
              <w:rPr>
                <w:rFonts w:ascii="Calibri" w:hAnsi="Calibri" w:cs="Calibri"/>
                <w:sz w:val="20"/>
                <w:szCs w:val="20"/>
                <w:lang w:val="en-GB"/>
              </w:rPr>
            </w:pPr>
            <w:r w:rsidRPr="00221992">
              <w:rPr>
                <w:rFonts w:ascii="Calibri" w:hAnsi="Calibri" w:cs="Calibri"/>
                <w:sz w:val="20"/>
                <w:szCs w:val="20"/>
                <w:lang w:val="en-GB"/>
              </w:rPr>
              <w:t>New Brunswick</w:t>
            </w:r>
          </w:p>
        </w:tc>
        <w:tc>
          <w:tcPr>
            <w:tcW w:w="1681" w:type="dxa"/>
            <w:shd w:val="clear" w:color="auto" w:fill="1E8BCD"/>
          </w:tcPr>
          <w:p w14:paraId="3DBF3092" w14:textId="77777777" w:rsidR="00D65012" w:rsidRPr="00221992" w:rsidRDefault="00D65012" w:rsidP="00655A35">
            <w:pPr>
              <w:pStyle w:val="TableHeading"/>
              <w:spacing w:before="0" w:after="0" w:line="240" w:lineRule="auto"/>
              <w:cnfStyle w:val="100000000000" w:firstRow="1" w:lastRow="0" w:firstColumn="0" w:lastColumn="0" w:oddVBand="0" w:evenVBand="0" w:oddHBand="0" w:evenHBand="0" w:firstRowFirstColumn="0" w:firstRowLastColumn="0" w:lastRowFirstColumn="0" w:lastRowLastColumn="0"/>
              <w:rPr>
                <w:rFonts w:ascii="Calibri" w:hAnsi="Calibri" w:cs="Calibri"/>
                <w:sz w:val="20"/>
                <w:szCs w:val="20"/>
                <w:lang w:val="en-GB"/>
              </w:rPr>
            </w:pPr>
            <w:r w:rsidRPr="00221992">
              <w:rPr>
                <w:rFonts w:ascii="Calibri" w:hAnsi="Calibri" w:cs="Calibri"/>
                <w:sz w:val="20"/>
                <w:szCs w:val="20"/>
                <w:lang w:val="en-GB"/>
              </w:rPr>
              <w:t>British Columbia</w:t>
            </w:r>
          </w:p>
        </w:tc>
        <w:tc>
          <w:tcPr>
            <w:tcW w:w="1729" w:type="dxa"/>
            <w:shd w:val="clear" w:color="auto" w:fill="1E8BCD"/>
          </w:tcPr>
          <w:p w14:paraId="6AB724BB" w14:textId="77777777" w:rsidR="00D65012" w:rsidRPr="00221992" w:rsidRDefault="00D65012" w:rsidP="00655A35">
            <w:pPr>
              <w:pStyle w:val="TableHeading"/>
              <w:spacing w:before="0" w:after="0" w:line="240" w:lineRule="auto"/>
              <w:cnfStyle w:val="100000000000" w:firstRow="1" w:lastRow="0" w:firstColumn="0" w:lastColumn="0" w:oddVBand="0" w:evenVBand="0" w:oddHBand="0" w:evenHBand="0" w:firstRowFirstColumn="0" w:firstRowLastColumn="0" w:lastRowFirstColumn="0" w:lastRowLastColumn="0"/>
              <w:rPr>
                <w:rFonts w:ascii="Calibri" w:hAnsi="Calibri" w:cs="Calibri"/>
                <w:sz w:val="20"/>
                <w:szCs w:val="20"/>
                <w:lang w:val="en-GB"/>
              </w:rPr>
            </w:pPr>
            <w:r w:rsidRPr="00221992">
              <w:rPr>
                <w:rFonts w:ascii="Calibri" w:hAnsi="Calibri" w:cs="Calibri"/>
                <w:sz w:val="20"/>
                <w:szCs w:val="20"/>
                <w:lang w:val="en-GB"/>
              </w:rPr>
              <w:t>Saskatchewan</w:t>
            </w:r>
          </w:p>
        </w:tc>
      </w:tr>
      <w:tr w:rsidR="00D65012" w:rsidRPr="00221992" w14:paraId="0FACBD2C" w14:textId="77777777" w:rsidTr="00655A35">
        <w:trPr>
          <w:trHeight w:val="20"/>
        </w:trPr>
        <w:tc>
          <w:tcPr>
            <w:cnfStyle w:val="001000000000" w:firstRow="0" w:lastRow="0" w:firstColumn="1" w:lastColumn="0" w:oddVBand="0" w:evenVBand="0" w:oddHBand="0" w:evenHBand="0" w:firstRowFirstColumn="0" w:firstRowLastColumn="0" w:lastRowFirstColumn="0" w:lastRowLastColumn="0"/>
            <w:tcW w:w="1660" w:type="dxa"/>
            <w:shd w:val="clear" w:color="auto" w:fill="1E8BCD"/>
          </w:tcPr>
          <w:p w14:paraId="6A9E697F" w14:textId="77777777" w:rsidR="00D65012" w:rsidRPr="00221992" w:rsidRDefault="00D65012" w:rsidP="00655A35">
            <w:pPr>
              <w:pStyle w:val="TableText"/>
              <w:spacing w:before="0" w:after="0" w:line="240" w:lineRule="auto"/>
              <w:rPr>
                <w:sz w:val="20"/>
                <w:szCs w:val="20"/>
                <w:lang w:val="en-GB"/>
              </w:rPr>
            </w:pPr>
            <w:r w:rsidRPr="00221992">
              <w:rPr>
                <w:sz w:val="20"/>
                <w:szCs w:val="20"/>
                <w:lang w:val="en-GB"/>
              </w:rPr>
              <w:t>Program name</w:t>
            </w:r>
          </w:p>
        </w:tc>
        <w:tc>
          <w:tcPr>
            <w:tcW w:w="1988" w:type="dxa"/>
          </w:tcPr>
          <w:p w14:paraId="5A42295E" w14:textId="77777777" w:rsidR="00D65012" w:rsidRPr="00221992" w:rsidRDefault="00D65012" w:rsidP="00655A35">
            <w:pPr>
              <w:pStyle w:val="TableText"/>
              <w:spacing w:before="0" w:after="0" w:line="240" w:lineRule="auto"/>
              <w:cnfStyle w:val="000000000000" w:firstRow="0" w:lastRow="0" w:firstColumn="0" w:lastColumn="0" w:oddVBand="0" w:evenVBand="0" w:oddHBand="0" w:evenHBand="0" w:firstRowFirstColumn="0" w:firstRowLastColumn="0" w:lastRowFirstColumn="0" w:lastRowLastColumn="0"/>
              <w:rPr>
                <w:sz w:val="20"/>
                <w:szCs w:val="20"/>
                <w:lang w:val="en-GB"/>
              </w:rPr>
            </w:pPr>
            <w:r w:rsidRPr="00221992">
              <w:rPr>
                <w:sz w:val="20"/>
                <w:szCs w:val="20"/>
                <w:lang w:val="en-GB"/>
              </w:rPr>
              <w:t>Rare disease drug program</w:t>
            </w:r>
          </w:p>
        </w:tc>
        <w:tc>
          <w:tcPr>
            <w:tcW w:w="1494" w:type="dxa"/>
          </w:tcPr>
          <w:p w14:paraId="3739DB22" w14:textId="77777777" w:rsidR="00D65012" w:rsidRPr="00221992" w:rsidRDefault="00D65012" w:rsidP="00655A35">
            <w:pPr>
              <w:pStyle w:val="TableText"/>
              <w:spacing w:before="0" w:after="0" w:line="240" w:lineRule="auto"/>
              <w:cnfStyle w:val="000000000000" w:firstRow="0" w:lastRow="0" w:firstColumn="0" w:lastColumn="0" w:oddVBand="0" w:evenVBand="0" w:oddHBand="0" w:evenHBand="0" w:firstRowFirstColumn="0" w:firstRowLastColumn="0" w:lastRowFirstColumn="0" w:lastRowLastColumn="0"/>
              <w:rPr>
                <w:sz w:val="20"/>
                <w:szCs w:val="20"/>
                <w:lang w:val="en-GB"/>
              </w:rPr>
            </w:pPr>
            <w:r w:rsidRPr="00221992">
              <w:rPr>
                <w:sz w:val="20"/>
                <w:szCs w:val="20"/>
                <w:lang w:val="en-GB"/>
              </w:rPr>
              <w:t>Rare disease drug plan</w:t>
            </w:r>
          </w:p>
        </w:tc>
        <w:tc>
          <w:tcPr>
            <w:tcW w:w="1681" w:type="dxa"/>
          </w:tcPr>
          <w:p w14:paraId="419874FA" w14:textId="77777777" w:rsidR="00D65012" w:rsidRPr="00221992" w:rsidRDefault="00D65012" w:rsidP="00655A35">
            <w:pPr>
              <w:pStyle w:val="TableText"/>
              <w:spacing w:before="0" w:after="0" w:line="240" w:lineRule="auto"/>
              <w:cnfStyle w:val="000000000000" w:firstRow="0" w:lastRow="0" w:firstColumn="0" w:lastColumn="0" w:oddVBand="0" w:evenVBand="0" w:oddHBand="0" w:evenHBand="0" w:firstRowFirstColumn="0" w:firstRowLastColumn="0" w:lastRowFirstColumn="0" w:lastRowLastColumn="0"/>
              <w:rPr>
                <w:sz w:val="20"/>
                <w:szCs w:val="20"/>
                <w:lang w:val="en-GB"/>
              </w:rPr>
            </w:pPr>
            <w:r w:rsidRPr="00221992">
              <w:rPr>
                <w:sz w:val="20"/>
                <w:szCs w:val="20"/>
                <w:lang w:val="en-GB"/>
              </w:rPr>
              <w:t>EDRD program</w:t>
            </w:r>
          </w:p>
        </w:tc>
        <w:tc>
          <w:tcPr>
            <w:tcW w:w="1729" w:type="dxa"/>
          </w:tcPr>
          <w:p w14:paraId="10CC7B8E" w14:textId="77777777" w:rsidR="00D65012" w:rsidRPr="00221992" w:rsidRDefault="00D65012" w:rsidP="00655A35">
            <w:pPr>
              <w:pStyle w:val="TableText"/>
              <w:spacing w:before="0" w:after="0" w:line="240" w:lineRule="auto"/>
              <w:cnfStyle w:val="000000000000" w:firstRow="0" w:lastRow="0" w:firstColumn="0" w:lastColumn="0" w:oddVBand="0" w:evenVBand="0" w:oddHBand="0" w:evenHBand="0" w:firstRowFirstColumn="0" w:firstRowLastColumn="0" w:lastRowFirstColumn="0" w:lastRowLastColumn="0"/>
              <w:rPr>
                <w:sz w:val="20"/>
                <w:szCs w:val="20"/>
                <w:lang w:val="en-GB"/>
              </w:rPr>
            </w:pPr>
            <w:r w:rsidRPr="00221992">
              <w:rPr>
                <w:sz w:val="20"/>
                <w:szCs w:val="20"/>
                <w:lang w:val="en-GB"/>
              </w:rPr>
              <w:t>EDRD program</w:t>
            </w:r>
          </w:p>
        </w:tc>
      </w:tr>
      <w:tr w:rsidR="00D65012" w:rsidRPr="00221992" w14:paraId="48EE1CDB" w14:textId="77777777" w:rsidTr="00655A35">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dxa"/>
            <w:shd w:val="clear" w:color="auto" w:fill="1E8BCD"/>
          </w:tcPr>
          <w:p w14:paraId="70E1F881" w14:textId="77777777" w:rsidR="00D65012" w:rsidRPr="00221992" w:rsidRDefault="00D65012" w:rsidP="00655A35">
            <w:pPr>
              <w:pStyle w:val="TableText"/>
              <w:spacing w:before="0" w:after="0" w:line="240" w:lineRule="auto"/>
              <w:rPr>
                <w:sz w:val="20"/>
                <w:szCs w:val="20"/>
                <w:lang w:val="en-GB"/>
              </w:rPr>
            </w:pPr>
            <w:r w:rsidRPr="00221992">
              <w:rPr>
                <w:sz w:val="20"/>
                <w:szCs w:val="20"/>
                <w:lang w:val="en-GB"/>
              </w:rPr>
              <w:t>Type of program</w:t>
            </w:r>
          </w:p>
        </w:tc>
        <w:tc>
          <w:tcPr>
            <w:tcW w:w="0" w:type="dxa"/>
            <w:gridSpan w:val="2"/>
            <w:shd w:val="clear" w:color="auto" w:fill="EFEFEF" w:themeFill="text2" w:themeFillTint="33"/>
          </w:tcPr>
          <w:p w14:paraId="28075D8F" w14:textId="77777777" w:rsidR="00D65012" w:rsidRPr="00221992" w:rsidRDefault="00D65012" w:rsidP="00655A35">
            <w:pPr>
              <w:pStyle w:val="TableText"/>
              <w:spacing w:before="0" w:after="0" w:line="240" w:lineRule="auto"/>
              <w:cnfStyle w:val="000000010000" w:firstRow="0" w:lastRow="0" w:firstColumn="0" w:lastColumn="0" w:oddVBand="0" w:evenVBand="0" w:oddHBand="0" w:evenHBand="1" w:firstRowFirstColumn="0" w:firstRowLastColumn="0" w:lastRowFirstColumn="0" w:lastRowLastColumn="0"/>
              <w:rPr>
                <w:sz w:val="20"/>
                <w:szCs w:val="20"/>
                <w:lang w:val="en-GB"/>
              </w:rPr>
            </w:pPr>
            <w:r w:rsidRPr="00221992">
              <w:rPr>
                <w:sz w:val="20"/>
                <w:szCs w:val="20"/>
                <w:lang w:val="en-GB"/>
              </w:rPr>
              <w:t xml:space="preserve">Provides access to specific drugs and requests are made on an individual basis. </w:t>
            </w:r>
          </w:p>
        </w:tc>
        <w:tc>
          <w:tcPr>
            <w:tcW w:w="0" w:type="dxa"/>
            <w:gridSpan w:val="2"/>
            <w:shd w:val="clear" w:color="auto" w:fill="EFEFEF" w:themeFill="text2" w:themeFillTint="33"/>
          </w:tcPr>
          <w:p w14:paraId="3D9CF19E" w14:textId="77777777" w:rsidR="00D65012" w:rsidRPr="00221992" w:rsidRDefault="00D65012" w:rsidP="00655A35">
            <w:pPr>
              <w:pStyle w:val="TableText"/>
              <w:spacing w:before="0" w:after="0" w:line="240" w:lineRule="auto"/>
              <w:cnfStyle w:val="000000010000" w:firstRow="0" w:lastRow="0" w:firstColumn="0" w:lastColumn="0" w:oddVBand="0" w:evenVBand="0" w:oddHBand="0" w:evenHBand="1" w:firstRowFirstColumn="0" w:firstRowLastColumn="0" w:lastRowFirstColumn="0" w:lastRowLastColumn="0"/>
              <w:rPr>
                <w:sz w:val="20"/>
                <w:szCs w:val="20"/>
                <w:lang w:val="en-GB"/>
              </w:rPr>
            </w:pPr>
            <w:r w:rsidRPr="00221992">
              <w:rPr>
                <w:sz w:val="20"/>
                <w:szCs w:val="20"/>
                <w:lang w:val="en-GB"/>
              </w:rPr>
              <w:t xml:space="preserve">Dedicated separate processes for drugs for rare diseases with requests done on an individual basis. </w:t>
            </w:r>
          </w:p>
        </w:tc>
      </w:tr>
      <w:tr w:rsidR="00D65012" w:rsidRPr="00221992" w14:paraId="4D381EEF" w14:textId="77777777" w:rsidTr="00655A35">
        <w:trPr>
          <w:trHeight w:val="20"/>
        </w:trPr>
        <w:tc>
          <w:tcPr>
            <w:cnfStyle w:val="001000000000" w:firstRow="0" w:lastRow="0" w:firstColumn="1" w:lastColumn="0" w:oddVBand="0" w:evenVBand="0" w:oddHBand="0" w:evenHBand="0" w:firstRowFirstColumn="0" w:firstRowLastColumn="0" w:lastRowFirstColumn="0" w:lastRowLastColumn="0"/>
            <w:tcW w:w="0" w:type="dxa"/>
            <w:shd w:val="clear" w:color="auto" w:fill="1E8BCD"/>
          </w:tcPr>
          <w:p w14:paraId="71D5CAF5" w14:textId="77777777" w:rsidR="00D65012" w:rsidRPr="00221992" w:rsidRDefault="00D65012" w:rsidP="00655A35">
            <w:pPr>
              <w:pStyle w:val="TableText"/>
              <w:spacing w:before="0" w:after="0" w:line="240" w:lineRule="auto"/>
              <w:rPr>
                <w:sz w:val="20"/>
                <w:szCs w:val="20"/>
                <w:lang w:val="en-GB"/>
              </w:rPr>
            </w:pPr>
            <w:r w:rsidRPr="00221992">
              <w:rPr>
                <w:sz w:val="20"/>
                <w:szCs w:val="20"/>
                <w:lang w:val="en-GB"/>
              </w:rPr>
              <w:t>Target population</w:t>
            </w:r>
          </w:p>
        </w:tc>
        <w:tc>
          <w:tcPr>
            <w:tcW w:w="0" w:type="dxa"/>
          </w:tcPr>
          <w:p w14:paraId="31D80B32" w14:textId="77777777" w:rsidR="00D65012" w:rsidRPr="00221992" w:rsidRDefault="00D65012" w:rsidP="00655A35">
            <w:pPr>
              <w:pStyle w:val="TableText"/>
              <w:spacing w:before="0" w:after="0" w:line="240" w:lineRule="auto"/>
              <w:cnfStyle w:val="000000000000" w:firstRow="0" w:lastRow="0" w:firstColumn="0" w:lastColumn="0" w:oddVBand="0" w:evenVBand="0" w:oddHBand="0" w:evenHBand="0" w:firstRowFirstColumn="0" w:firstRowLastColumn="0" w:lastRowFirstColumn="0" w:lastRowLastColumn="0"/>
              <w:rPr>
                <w:sz w:val="20"/>
                <w:szCs w:val="20"/>
                <w:lang w:val="en-GB"/>
              </w:rPr>
            </w:pPr>
            <w:r w:rsidRPr="00221992">
              <w:rPr>
                <w:sz w:val="20"/>
                <w:szCs w:val="20"/>
                <w:lang w:val="en-GB"/>
              </w:rPr>
              <w:t>Genetic lysosomal storage disorders &lt;1/50,000 determined by Alberta Health</w:t>
            </w:r>
          </w:p>
        </w:tc>
        <w:tc>
          <w:tcPr>
            <w:tcW w:w="0" w:type="dxa"/>
            <w:gridSpan w:val="3"/>
          </w:tcPr>
          <w:p w14:paraId="4832501C" w14:textId="77777777" w:rsidR="00D65012" w:rsidRPr="00221992" w:rsidRDefault="00D65012" w:rsidP="00655A35">
            <w:pPr>
              <w:pStyle w:val="TableText"/>
              <w:spacing w:before="0" w:after="0" w:line="240" w:lineRule="auto"/>
              <w:cnfStyle w:val="000000000000" w:firstRow="0" w:lastRow="0" w:firstColumn="0" w:lastColumn="0" w:oddVBand="0" w:evenVBand="0" w:oddHBand="0" w:evenHBand="0" w:firstRowFirstColumn="0" w:firstRowLastColumn="0" w:lastRowFirstColumn="0" w:lastRowLastColumn="0"/>
              <w:rPr>
                <w:sz w:val="20"/>
                <w:szCs w:val="20"/>
                <w:lang w:val="en-GB"/>
              </w:rPr>
            </w:pPr>
            <w:r w:rsidRPr="00221992">
              <w:rPr>
                <w:sz w:val="20"/>
                <w:szCs w:val="20"/>
                <w:lang w:val="en-GB"/>
              </w:rPr>
              <w:t xml:space="preserve">Rare diseases, no definition provided. All conditions for which listing has been granted are of genetic origin. </w:t>
            </w:r>
          </w:p>
        </w:tc>
      </w:tr>
      <w:tr w:rsidR="00D65012" w:rsidRPr="00221992" w14:paraId="79217A11" w14:textId="77777777" w:rsidTr="00655A35">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dxa"/>
            <w:shd w:val="clear" w:color="auto" w:fill="1E8BCD"/>
          </w:tcPr>
          <w:p w14:paraId="7D078BB7" w14:textId="77777777" w:rsidR="00D65012" w:rsidRPr="00221992" w:rsidRDefault="00D65012" w:rsidP="00655A35">
            <w:pPr>
              <w:pStyle w:val="TableText"/>
              <w:spacing w:before="0" w:after="0" w:line="240" w:lineRule="auto"/>
              <w:rPr>
                <w:sz w:val="20"/>
                <w:szCs w:val="20"/>
                <w:lang w:val="en-GB"/>
              </w:rPr>
            </w:pPr>
            <w:r w:rsidRPr="00221992">
              <w:rPr>
                <w:sz w:val="20"/>
                <w:szCs w:val="20"/>
                <w:lang w:val="en-GB"/>
              </w:rPr>
              <w:t>Patient eligibility</w:t>
            </w:r>
          </w:p>
        </w:tc>
        <w:tc>
          <w:tcPr>
            <w:tcW w:w="0" w:type="dxa"/>
            <w:shd w:val="clear" w:color="auto" w:fill="EFEFEF" w:themeFill="text2" w:themeFillTint="33"/>
          </w:tcPr>
          <w:p w14:paraId="2587E3F8" w14:textId="77777777" w:rsidR="00D65012" w:rsidRPr="00221992" w:rsidRDefault="00D65012" w:rsidP="00655A35">
            <w:pPr>
              <w:pStyle w:val="TableText"/>
              <w:spacing w:before="0" w:after="0" w:line="240" w:lineRule="auto"/>
              <w:cnfStyle w:val="000000010000" w:firstRow="0" w:lastRow="0" w:firstColumn="0" w:lastColumn="0" w:oddVBand="0" w:evenVBand="0" w:oddHBand="0" w:evenHBand="1" w:firstRowFirstColumn="0" w:firstRowLastColumn="0" w:lastRowFirstColumn="0" w:lastRowLastColumn="0"/>
              <w:rPr>
                <w:sz w:val="20"/>
                <w:szCs w:val="20"/>
                <w:lang w:val="en-GB"/>
              </w:rPr>
            </w:pPr>
            <w:r w:rsidRPr="00221992">
              <w:rPr>
                <w:sz w:val="20"/>
                <w:szCs w:val="20"/>
                <w:lang w:val="en-GB"/>
              </w:rPr>
              <w:t>Patient must reside in the region (&gt;5 years)</w:t>
            </w:r>
          </w:p>
          <w:p w14:paraId="69415790" w14:textId="77777777" w:rsidR="00D65012" w:rsidRPr="00221992" w:rsidRDefault="00D65012" w:rsidP="00655A35">
            <w:pPr>
              <w:pStyle w:val="TableText"/>
              <w:spacing w:before="0" w:after="0" w:line="240" w:lineRule="auto"/>
              <w:cnfStyle w:val="000000010000" w:firstRow="0" w:lastRow="0" w:firstColumn="0" w:lastColumn="0" w:oddVBand="0" w:evenVBand="0" w:oddHBand="0" w:evenHBand="1" w:firstRowFirstColumn="0" w:firstRowLastColumn="0" w:lastRowFirstColumn="0" w:lastRowLastColumn="0"/>
              <w:rPr>
                <w:sz w:val="20"/>
                <w:szCs w:val="20"/>
                <w:lang w:val="en-GB"/>
              </w:rPr>
            </w:pPr>
            <w:r w:rsidRPr="00221992">
              <w:rPr>
                <w:sz w:val="20"/>
                <w:szCs w:val="20"/>
                <w:lang w:val="en-GB"/>
              </w:rPr>
              <w:t xml:space="preserve">No other significant condition. </w:t>
            </w:r>
          </w:p>
          <w:p w14:paraId="0AC9318B" w14:textId="77777777" w:rsidR="00D65012" w:rsidRPr="00221992" w:rsidRDefault="00D65012" w:rsidP="00655A35">
            <w:pPr>
              <w:pStyle w:val="TableText"/>
              <w:spacing w:before="0" w:after="0" w:line="240" w:lineRule="auto"/>
              <w:cnfStyle w:val="000000010000" w:firstRow="0" w:lastRow="0" w:firstColumn="0" w:lastColumn="0" w:oddVBand="0" w:evenVBand="0" w:oddHBand="0" w:evenHBand="1" w:firstRowFirstColumn="0" w:firstRowLastColumn="0" w:lastRowFirstColumn="0" w:lastRowLastColumn="0"/>
              <w:rPr>
                <w:sz w:val="20"/>
                <w:szCs w:val="20"/>
                <w:lang w:val="en-GB"/>
              </w:rPr>
            </w:pPr>
            <w:r w:rsidRPr="00221992">
              <w:rPr>
                <w:sz w:val="20"/>
                <w:szCs w:val="20"/>
                <w:lang w:val="en-GB"/>
              </w:rPr>
              <w:t>CDR recommendation</w:t>
            </w:r>
          </w:p>
        </w:tc>
        <w:tc>
          <w:tcPr>
            <w:tcW w:w="0" w:type="dxa"/>
            <w:shd w:val="clear" w:color="auto" w:fill="EFEFEF" w:themeFill="text2" w:themeFillTint="33"/>
          </w:tcPr>
          <w:p w14:paraId="637E4922" w14:textId="77777777" w:rsidR="00D65012" w:rsidRPr="00221992" w:rsidRDefault="00D65012" w:rsidP="00655A35">
            <w:pPr>
              <w:pStyle w:val="TableText"/>
              <w:spacing w:before="0" w:after="0" w:line="240" w:lineRule="auto"/>
              <w:cnfStyle w:val="000000010000" w:firstRow="0" w:lastRow="0" w:firstColumn="0" w:lastColumn="0" w:oddVBand="0" w:evenVBand="0" w:oddHBand="0" w:evenHBand="1" w:firstRowFirstColumn="0" w:firstRowLastColumn="0" w:lastRowFirstColumn="0" w:lastRowLastColumn="0"/>
              <w:rPr>
                <w:sz w:val="20"/>
                <w:szCs w:val="20"/>
                <w:lang w:val="en-GB"/>
              </w:rPr>
            </w:pPr>
            <w:r w:rsidRPr="00221992">
              <w:rPr>
                <w:sz w:val="20"/>
                <w:szCs w:val="20"/>
                <w:lang w:val="en-GB"/>
              </w:rPr>
              <w:t>Disease list includes 5 drugs for 5 genetic conditions</w:t>
            </w:r>
            <w:r w:rsidRPr="00221992">
              <w:rPr>
                <w:sz w:val="20"/>
                <w:szCs w:val="20"/>
                <w:vertAlign w:val="superscript"/>
                <w:lang w:val="en-GB"/>
              </w:rPr>
              <w:t>1</w:t>
            </w:r>
            <w:r w:rsidRPr="00221992">
              <w:rPr>
                <w:sz w:val="20"/>
                <w:szCs w:val="20"/>
                <w:lang w:val="en-GB"/>
              </w:rPr>
              <w:t xml:space="preserve">. </w:t>
            </w:r>
          </w:p>
        </w:tc>
        <w:tc>
          <w:tcPr>
            <w:tcW w:w="0" w:type="dxa"/>
            <w:gridSpan w:val="2"/>
            <w:shd w:val="clear" w:color="auto" w:fill="EFEFEF" w:themeFill="text2" w:themeFillTint="33"/>
          </w:tcPr>
          <w:p w14:paraId="7EC87A8F" w14:textId="77777777" w:rsidR="00D65012" w:rsidRPr="00221992" w:rsidRDefault="00D65012" w:rsidP="00655A35">
            <w:pPr>
              <w:pStyle w:val="TableText"/>
              <w:spacing w:before="0" w:after="0" w:line="240" w:lineRule="auto"/>
              <w:cnfStyle w:val="000000010000" w:firstRow="0" w:lastRow="0" w:firstColumn="0" w:lastColumn="0" w:oddVBand="0" w:evenVBand="0" w:oddHBand="0" w:evenHBand="1" w:firstRowFirstColumn="0" w:firstRowLastColumn="0" w:lastRowFirstColumn="0" w:lastRowLastColumn="0"/>
              <w:rPr>
                <w:sz w:val="20"/>
                <w:szCs w:val="20"/>
                <w:lang w:val="en-GB"/>
              </w:rPr>
            </w:pPr>
            <w:r w:rsidRPr="00221992">
              <w:rPr>
                <w:sz w:val="20"/>
                <w:szCs w:val="20"/>
                <w:lang w:val="en-GB"/>
              </w:rPr>
              <w:t>Non-cancer</w:t>
            </w:r>
          </w:p>
          <w:p w14:paraId="6C12BEA7" w14:textId="77777777" w:rsidR="00D65012" w:rsidRPr="00221992" w:rsidRDefault="00D65012" w:rsidP="00655A35">
            <w:pPr>
              <w:pStyle w:val="TableText"/>
              <w:spacing w:before="0" w:after="0" w:line="240" w:lineRule="auto"/>
              <w:cnfStyle w:val="000000010000" w:firstRow="0" w:lastRow="0" w:firstColumn="0" w:lastColumn="0" w:oddVBand="0" w:evenVBand="0" w:oddHBand="0" w:evenHBand="1" w:firstRowFirstColumn="0" w:firstRowLastColumn="0" w:lastRowFirstColumn="0" w:lastRowLastColumn="0"/>
              <w:rPr>
                <w:sz w:val="20"/>
                <w:szCs w:val="20"/>
                <w:lang w:val="en-GB"/>
              </w:rPr>
            </w:pPr>
            <w:r w:rsidRPr="00221992">
              <w:rPr>
                <w:sz w:val="20"/>
                <w:szCs w:val="20"/>
                <w:lang w:val="en-GB"/>
              </w:rPr>
              <w:t>Severe conditions</w:t>
            </w:r>
          </w:p>
          <w:p w14:paraId="2628EC81" w14:textId="48537CD5" w:rsidR="00D65012" w:rsidRPr="00221992" w:rsidRDefault="00D65012" w:rsidP="00655A35">
            <w:pPr>
              <w:pStyle w:val="TableText"/>
              <w:spacing w:before="0" w:after="0" w:line="240" w:lineRule="auto"/>
              <w:cnfStyle w:val="000000010000" w:firstRow="0" w:lastRow="0" w:firstColumn="0" w:lastColumn="0" w:oddVBand="0" w:evenVBand="0" w:oddHBand="0" w:evenHBand="1" w:firstRowFirstColumn="0" w:firstRowLastColumn="0" w:lastRowFirstColumn="0" w:lastRowLastColumn="0"/>
              <w:rPr>
                <w:sz w:val="20"/>
                <w:szCs w:val="20"/>
                <w:lang w:val="en-GB"/>
              </w:rPr>
            </w:pPr>
            <w:r w:rsidRPr="00221992">
              <w:rPr>
                <w:sz w:val="20"/>
                <w:szCs w:val="20"/>
                <w:lang w:val="en-GB"/>
              </w:rPr>
              <w:t>Annual drug cost &gt;</w:t>
            </w:r>
            <w:r w:rsidR="00CD5260">
              <w:rPr>
                <w:sz w:val="20"/>
                <w:szCs w:val="20"/>
                <w:lang w:val="en-GB"/>
              </w:rPr>
              <w:t>CAD</w:t>
            </w:r>
            <w:r w:rsidRPr="00221992">
              <w:rPr>
                <w:sz w:val="20"/>
                <w:szCs w:val="20"/>
                <w:lang w:val="en-GB"/>
              </w:rPr>
              <w:t>$50,000</w:t>
            </w:r>
          </w:p>
          <w:p w14:paraId="0B05D0A1" w14:textId="77777777" w:rsidR="00D65012" w:rsidRPr="00221992" w:rsidRDefault="00D65012" w:rsidP="00655A35">
            <w:pPr>
              <w:pStyle w:val="TableText"/>
              <w:spacing w:before="0" w:after="0" w:line="240" w:lineRule="auto"/>
              <w:cnfStyle w:val="000000010000" w:firstRow="0" w:lastRow="0" w:firstColumn="0" w:lastColumn="0" w:oddVBand="0" w:evenVBand="0" w:oddHBand="0" w:evenHBand="1" w:firstRowFirstColumn="0" w:firstRowLastColumn="0" w:lastRowFirstColumn="0" w:lastRowLastColumn="0"/>
              <w:rPr>
                <w:sz w:val="20"/>
                <w:szCs w:val="20"/>
                <w:lang w:val="en-GB"/>
              </w:rPr>
            </w:pPr>
            <w:r w:rsidRPr="00221992">
              <w:rPr>
                <w:sz w:val="20"/>
                <w:szCs w:val="20"/>
                <w:lang w:val="en-GB"/>
              </w:rPr>
              <w:t>CDR recommendation</w:t>
            </w:r>
          </w:p>
        </w:tc>
      </w:tr>
      <w:tr w:rsidR="00D65012" w:rsidRPr="00221992" w14:paraId="402BC04D" w14:textId="77777777" w:rsidTr="00655A35">
        <w:trPr>
          <w:trHeight w:val="20"/>
        </w:trPr>
        <w:tc>
          <w:tcPr>
            <w:cnfStyle w:val="001000000000" w:firstRow="0" w:lastRow="0" w:firstColumn="1" w:lastColumn="0" w:oddVBand="0" w:evenVBand="0" w:oddHBand="0" w:evenHBand="0" w:firstRowFirstColumn="0" w:firstRowLastColumn="0" w:lastRowFirstColumn="0" w:lastRowLastColumn="0"/>
            <w:tcW w:w="1660" w:type="dxa"/>
            <w:shd w:val="clear" w:color="auto" w:fill="1E8BCD"/>
          </w:tcPr>
          <w:p w14:paraId="1454C641" w14:textId="77777777" w:rsidR="00D65012" w:rsidRPr="00221992" w:rsidRDefault="00D65012" w:rsidP="00655A35">
            <w:pPr>
              <w:pStyle w:val="TableText"/>
              <w:spacing w:before="0" w:after="0" w:line="240" w:lineRule="auto"/>
              <w:rPr>
                <w:sz w:val="20"/>
                <w:szCs w:val="20"/>
                <w:lang w:val="en-GB"/>
              </w:rPr>
            </w:pPr>
            <w:r w:rsidRPr="00221992">
              <w:rPr>
                <w:sz w:val="20"/>
                <w:szCs w:val="20"/>
                <w:lang w:val="en-GB"/>
              </w:rPr>
              <w:t>Prevalence threshold</w:t>
            </w:r>
          </w:p>
        </w:tc>
        <w:tc>
          <w:tcPr>
            <w:tcW w:w="1988" w:type="dxa"/>
          </w:tcPr>
          <w:p w14:paraId="13466AA2" w14:textId="77777777" w:rsidR="00D65012" w:rsidRPr="00221992" w:rsidRDefault="00D65012" w:rsidP="00655A35">
            <w:pPr>
              <w:pStyle w:val="TableText"/>
              <w:spacing w:before="0" w:after="0" w:line="240" w:lineRule="auto"/>
              <w:cnfStyle w:val="000000000000" w:firstRow="0" w:lastRow="0" w:firstColumn="0" w:lastColumn="0" w:oddVBand="0" w:evenVBand="0" w:oddHBand="0" w:evenHBand="0" w:firstRowFirstColumn="0" w:firstRowLastColumn="0" w:lastRowFirstColumn="0" w:lastRowLastColumn="0"/>
              <w:rPr>
                <w:sz w:val="20"/>
                <w:szCs w:val="20"/>
                <w:lang w:val="en-GB"/>
              </w:rPr>
            </w:pPr>
            <w:r w:rsidRPr="00221992">
              <w:rPr>
                <w:sz w:val="20"/>
                <w:szCs w:val="20"/>
                <w:lang w:val="en-GB"/>
              </w:rPr>
              <w:t>&lt;1/50,000</w:t>
            </w:r>
          </w:p>
        </w:tc>
        <w:tc>
          <w:tcPr>
            <w:tcW w:w="1494" w:type="dxa"/>
          </w:tcPr>
          <w:p w14:paraId="0F75731D" w14:textId="77777777" w:rsidR="00D65012" w:rsidRPr="00221992" w:rsidRDefault="00D65012" w:rsidP="00655A35">
            <w:pPr>
              <w:pStyle w:val="TableText"/>
              <w:spacing w:before="0" w:after="0" w:line="240" w:lineRule="auto"/>
              <w:cnfStyle w:val="000000000000" w:firstRow="0" w:lastRow="0" w:firstColumn="0" w:lastColumn="0" w:oddVBand="0" w:evenVBand="0" w:oddHBand="0" w:evenHBand="0" w:firstRowFirstColumn="0" w:firstRowLastColumn="0" w:lastRowFirstColumn="0" w:lastRowLastColumn="0"/>
              <w:rPr>
                <w:sz w:val="20"/>
                <w:szCs w:val="20"/>
                <w:lang w:val="en-GB"/>
              </w:rPr>
            </w:pPr>
            <w:r w:rsidRPr="00221992">
              <w:rPr>
                <w:sz w:val="20"/>
                <w:szCs w:val="20"/>
                <w:lang w:val="en-GB"/>
              </w:rPr>
              <w:t>&lt;1/150,000</w:t>
            </w:r>
            <w:r w:rsidRPr="00221992">
              <w:rPr>
                <w:sz w:val="20"/>
                <w:szCs w:val="20"/>
                <w:vertAlign w:val="superscript"/>
                <w:lang w:val="en-GB"/>
              </w:rPr>
              <w:t>2</w:t>
            </w:r>
          </w:p>
        </w:tc>
        <w:tc>
          <w:tcPr>
            <w:tcW w:w="1681" w:type="dxa"/>
          </w:tcPr>
          <w:p w14:paraId="27CDE419" w14:textId="77777777" w:rsidR="00D65012" w:rsidRPr="00221992" w:rsidRDefault="00D65012" w:rsidP="00655A35">
            <w:pPr>
              <w:pStyle w:val="TableText"/>
              <w:spacing w:before="0" w:after="0" w:line="240" w:lineRule="auto"/>
              <w:cnfStyle w:val="000000000000" w:firstRow="0" w:lastRow="0" w:firstColumn="0" w:lastColumn="0" w:oddVBand="0" w:evenVBand="0" w:oddHBand="0" w:evenHBand="0" w:firstRowFirstColumn="0" w:firstRowLastColumn="0" w:lastRowFirstColumn="0" w:lastRowLastColumn="0"/>
              <w:rPr>
                <w:sz w:val="20"/>
                <w:szCs w:val="20"/>
                <w:vertAlign w:val="superscript"/>
                <w:lang w:val="en-GB"/>
              </w:rPr>
            </w:pPr>
            <w:r w:rsidRPr="00221992">
              <w:rPr>
                <w:sz w:val="20"/>
                <w:szCs w:val="20"/>
                <w:lang w:val="en-GB"/>
              </w:rPr>
              <w:t>&lt;1.7/100,000</w:t>
            </w:r>
            <w:r w:rsidRPr="00221992">
              <w:rPr>
                <w:sz w:val="20"/>
                <w:szCs w:val="20"/>
                <w:vertAlign w:val="superscript"/>
                <w:lang w:val="en-GB"/>
              </w:rPr>
              <w:t>2</w:t>
            </w:r>
          </w:p>
        </w:tc>
        <w:tc>
          <w:tcPr>
            <w:tcW w:w="1729" w:type="dxa"/>
          </w:tcPr>
          <w:p w14:paraId="20B44E47" w14:textId="77777777" w:rsidR="00D65012" w:rsidRPr="00221992" w:rsidRDefault="00D65012" w:rsidP="00655A35">
            <w:pPr>
              <w:pStyle w:val="TableText"/>
              <w:spacing w:before="0" w:after="0" w:line="240" w:lineRule="auto"/>
              <w:cnfStyle w:val="000000000000" w:firstRow="0" w:lastRow="0" w:firstColumn="0" w:lastColumn="0" w:oddVBand="0" w:evenVBand="0" w:oddHBand="0" w:evenHBand="0" w:firstRowFirstColumn="0" w:firstRowLastColumn="0" w:lastRowFirstColumn="0" w:lastRowLastColumn="0"/>
              <w:rPr>
                <w:sz w:val="20"/>
                <w:szCs w:val="20"/>
                <w:vertAlign w:val="superscript"/>
                <w:lang w:val="en-GB"/>
              </w:rPr>
            </w:pPr>
            <w:r w:rsidRPr="00221992">
              <w:rPr>
                <w:sz w:val="20"/>
                <w:szCs w:val="20"/>
                <w:lang w:val="en-GB"/>
              </w:rPr>
              <w:t>&lt;1/150,000</w:t>
            </w:r>
            <w:r w:rsidRPr="00221992">
              <w:rPr>
                <w:sz w:val="20"/>
                <w:szCs w:val="20"/>
                <w:vertAlign w:val="superscript"/>
                <w:lang w:val="en-GB"/>
              </w:rPr>
              <w:t>2</w:t>
            </w:r>
          </w:p>
        </w:tc>
      </w:tr>
      <w:tr w:rsidR="00D65012" w:rsidRPr="00221992" w14:paraId="07FC1974" w14:textId="77777777" w:rsidTr="00655A35">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60" w:type="dxa"/>
            <w:shd w:val="clear" w:color="auto" w:fill="1E8BCD"/>
          </w:tcPr>
          <w:p w14:paraId="697D20E3" w14:textId="77777777" w:rsidR="00D65012" w:rsidRPr="00221992" w:rsidRDefault="00D65012" w:rsidP="00655A35">
            <w:pPr>
              <w:pStyle w:val="TableText"/>
              <w:spacing w:before="0" w:after="0" w:line="240" w:lineRule="auto"/>
              <w:rPr>
                <w:sz w:val="20"/>
                <w:szCs w:val="20"/>
                <w:lang w:val="en-GB"/>
              </w:rPr>
            </w:pPr>
            <w:r w:rsidRPr="00221992">
              <w:rPr>
                <w:sz w:val="20"/>
                <w:szCs w:val="20"/>
                <w:lang w:val="en-GB"/>
              </w:rPr>
              <w:t>Requirements for coverage</w:t>
            </w:r>
          </w:p>
        </w:tc>
        <w:tc>
          <w:tcPr>
            <w:tcW w:w="6892" w:type="dxa"/>
            <w:gridSpan w:val="4"/>
            <w:shd w:val="clear" w:color="auto" w:fill="EFEFEF" w:themeFill="text2" w:themeFillTint="33"/>
          </w:tcPr>
          <w:p w14:paraId="00639948" w14:textId="77777777" w:rsidR="00D65012" w:rsidRPr="00221992" w:rsidRDefault="00D65012" w:rsidP="00655A35">
            <w:pPr>
              <w:pStyle w:val="TableText"/>
              <w:spacing w:before="0" w:after="0" w:line="240" w:lineRule="auto"/>
              <w:cnfStyle w:val="000000010000" w:firstRow="0" w:lastRow="0" w:firstColumn="0" w:lastColumn="0" w:oddVBand="0" w:evenVBand="0" w:oddHBand="0" w:evenHBand="1" w:firstRowFirstColumn="0" w:firstRowLastColumn="0" w:lastRowFirstColumn="0" w:lastRowLastColumn="0"/>
              <w:rPr>
                <w:sz w:val="20"/>
                <w:szCs w:val="20"/>
                <w:lang w:val="en-GB"/>
              </w:rPr>
            </w:pPr>
            <w:r w:rsidRPr="00221992">
              <w:rPr>
                <w:sz w:val="20"/>
                <w:szCs w:val="20"/>
                <w:lang w:val="en-GB"/>
              </w:rPr>
              <w:t>Conditional reimbursement: ongoing clinical outcome monitoring is mandatory. Inadequate patient response or deterioration will lead to discontinuation.</w:t>
            </w:r>
          </w:p>
        </w:tc>
      </w:tr>
      <w:tr w:rsidR="00D65012" w:rsidRPr="00221992" w14:paraId="5DF5FFDC" w14:textId="77777777" w:rsidTr="00655A35">
        <w:trPr>
          <w:trHeight w:val="20"/>
        </w:trPr>
        <w:tc>
          <w:tcPr>
            <w:cnfStyle w:val="001000000000" w:firstRow="0" w:lastRow="0" w:firstColumn="1" w:lastColumn="0" w:oddVBand="0" w:evenVBand="0" w:oddHBand="0" w:evenHBand="0" w:firstRowFirstColumn="0" w:firstRowLastColumn="0" w:lastRowFirstColumn="0" w:lastRowLastColumn="0"/>
            <w:tcW w:w="1660" w:type="dxa"/>
            <w:shd w:val="clear" w:color="auto" w:fill="1E8BCD"/>
          </w:tcPr>
          <w:p w14:paraId="6D6936C1" w14:textId="77777777" w:rsidR="00D65012" w:rsidRPr="00221992" w:rsidRDefault="00D65012" w:rsidP="00655A35">
            <w:pPr>
              <w:pStyle w:val="TableText"/>
              <w:spacing w:before="0" w:after="0" w:line="240" w:lineRule="auto"/>
              <w:rPr>
                <w:sz w:val="20"/>
                <w:szCs w:val="20"/>
                <w:lang w:val="en-GB"/>
              </w:rPr>
            </w:pPr>
            <w:r w:rsidRPr="00221992">
              <w:rPr>
                <w:sz w:val="20"/>
                <w:szCs w:val="20"/>
                <w:lang w:val="en-GB"/>
              </w:rPr>
              <w:t>Separate pool of funds?</w:t>
            </w:r>
          </w:p>
        </w:tc>
        <w:tc>
          <w:tcPr>
            <w:tcW w:w="1988" w:type="dxa"/>
          </w:tcPr>
          <w:p w14:paraId="78667A7E" w14:textId="77777777" w:rsidR="00D65012" w:rsidRPr="00221992" w:rsidRDefault="00D65012" w:rsidP="00655A35">
            <w:pPr>
              <w:pStyle w:val="TableText"/>
              <w:spacing w:before="0" w:after="0" w:line="240" w:lineRule="auto"/>
              <w:cnfStyle w:val="000000000000" w:firstRow="0" w:lastRow="0" w:firstColumn="0" w:lastColumn="0" w:oddVBand="0" w:evenVBand="0" w:oddHBand="0" w:evenHBand="0" w:firstRowFirstColumn="0" w:firstRowLastColumn="0" w:lastRowFirstColumn="0" w:lastRowLastColumn="0"/>
              <w:rPr>
                <w:sz w:val="20"/>
                <w:szCs w:val="20"/>
                <w:lang w:val="en-GB"/>
              </w:rPr>
            </w:pPr>
            <w:r w:rsidRPr="00221992">
              <w:rPr>
                <w:sz w:val="20"/>
                <w:szCs w:val="20"/>
                <w:lang w:val="en-GB"/>
              </w:rPr>
              <w:t>No</w:t>
            </w:r>
          </w:p>
        </w:tc>
        <w:tc>
          <w:tcPr>
            <w:tcW w:w="1494" w:type="dxa"/>
          </w:tcPr>
          <w:p w14:paraId="0E763660" w14:textId="77777777" w:rsidR="00D65012" w:rsidRPr="00221992" w:rsidRDefault="00D65012" w:rsidP="00655A35">
            <w:pPr>
              <w:pStyle w:val="TableText"/>
              <w:spacing w:before="0" w:after="0" w:line="240" w:lineRule="auto"/>
              <w:cnfStyle w:val="000000000000" w:firstRow="0" w:lastRow="0" w:firstColumn="0" w:lastColumn="0" w:oddVBand="0" w:evenVBand="0" w:oddHBand="0" w:evenHBand="0" w:firstRowFirstColumn="0" w:firstRowLastColumn="0" w:lastRowFirstColumn="0" w:lastRowLastColumn="0"/>
              <w:rPr>
                <w:sz w:val="20"/>
                <w:szCs w:val="20"/>
                <w:lang w:val="en-GB"/>
              </w:rPr>
            </w:pPr>
            <w:r w:rsidRPr="00221992">
              <w:rPr>
                <w:sz w:val="20"/>
                <w:szCs w:val="20"/>
                <w:lang w:val="en-GB"/>
              </w:rPr>
              <w:t>No</w:t>
            </w:r>
          </w:p>
        </w:tc>
        <w:tc>
          <w:tcPr>
            <w:tcW w:w="1681" w:type="dxa"/>
          </w:tcPr>
          <w:p w14:paraId="6810CB6D" w14:textId="77777777" w:rsidR="00D65012" w:rsidRPr="00221992" w:rsidRDefault="00D65012" w:rsidP="00655A35">
            <w:pPr>
              <w:pStyle w:val="TableText"/>
              <w:spacing w:before="0" w:after="0" w:line="240" w:lineRule="auto"/>
              <w:cnfStyle w:val="000000000000" w:firstRow="0" w:lastRow="0" w:firstColumn="0" w:lastColumn="0" w:oddVBand="0" w:evenVBand="0" w:oddHBand="0" w:evenHBand="0" w:firstRowFirstColumn="0" w:firstRowLastColumn="0" w:lastRowFirstColumn="0" w:lastRowLastColumn="0"/>
              <w:rPr>
                <w:sz w:val="20"/>
                <w:szCs w:val="20"/>
                <w:lang w:val="en-GB"/>
              </w:rPr>
            </w:pPr>
            <w:r w:rsidRPr="00221992">
              <w:rPr>
                <w:sz w:val="20"/>
                <w:szCs w:val="20"/>
                <w:lang w:val="en-GB"/>
              </w:rPr>
              <w:t>No</w:t>
            </w:r>
          </w:p>
        </w:tc>
        <w:tc>
          <w:tcPr>
            <w:tcW w:w="1729" w:type="dxa"/>
          </w:tcPr>
          <w:p w14:paraId="67590A88" w14:textId="77777777" w:rsidR="00D65012" w:rsidRPr="00221992" w:rsidRDefault="00D65012" w:rsidP="00655A35">
            <w:pPr>
              <w:pStyle w:val="TableText"/>
              <w:spacing w:before="0" w:after="0" w:line="240" w:lineRule="auto"/>
              <w:cnfStyle w:val="000000000000" w:firstRow="0" w:lastRow="0" w:firstColumn="0" w:lastColumn="0" w:oddVBand="0" w:evenVBand="0" w:oddHBand="0" w:evenHBand="0" w:firstRowFirstColumn="0" w:firstRowLastColumn="0" w:lastRowFirstColumn="0" w:lastRowLastColumn="0"/>
              <w:rPr>
                <w:sz w:val="20"/>
                <w:szCs w:val="20"/>
                <w:lang w:val="en-GB"/>
              </w:rPr>
            </w:pPr>
            <w:r w:rsidRPr="00221992">
              <w:rPr>
                <w:sz w:val="20"/>
                <w:szCs w:val="20"/>
                <w:lang w:val="en-GB"/>
              </w:rPr>
              <w:t>No</w:t>
            </w:r>
          </w:p>
        </w:tc>
      </w:tr>
      <w:tr w:rsidR="00D65012" w:rsidRPr="00221992" w14:paraId="61C69AC1" w14:textId="77777777" w:rsidTr="00655A35">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60" w:type="dxa"/>
            <w:tcBorders>
              <w:bottom w:val="single" w:sz="18" w:space="0" w:color="1E8BCD"/>
            </w:tcBorders>
            <w:shd w:val="clear" w:color="auto" w:fill="1E8BCD"/>
          </w:tcPr>
          <w:p w14:paraId="41658FCF" w14:textId="77777777" w:rsidR="00D65012" w:rsidRPr="00221992" w:rsidRDefault="00D65012" w:rsidP="00655A35">
            <w:pPr>
              <w:pStyle w:val="TableText"/>
              <w:spacing w:before="0" w:after="0" w:line="240" w:lineRule="auto"/>
              <w:rPr>
                <w:sz w:val="20"/>
                <w:szCs w:val="20"/>
                <w:lang w:val="en-GB"/>
              </w:rPr>
            </w:pPr>
            <w:r w:rsidRPr="00221992">
              <w:rPr>
                <w:sz w:val="20"/>
                <w:szCs w:val="20"/>
                <w:lang w:val="en-GB"/>
              </w:rPr>
              <w:t>Specific Committee</w:t>
            </w:r>
          </w:p>
        </w:tc>
        <w:tc>
          <w:tcPr>
            <w:tcW w:w="1988" w:type="dxa"/>
            <w:shd w:val="clear" w:color="auto" w:fill="EFEFEF" w:themeFill="text2" w:themeFillTint="33"/>
          </w:tcPr>
          <w:p w14:paraId="704ADFD3" w14:textId="77777777" w:rsidR="00D65012" w:rsidRPr="00221992" w:rsidRDefault="00D65012" w:rsidP="00655A35">
            <w:pPr>
              <w:pStyle w:val="TableText"/>
              <w:spacing w:before="0" w:after="0" w:line="240" w:lineRule="auto"/>
              <w:cnfStyle w:val="000000010000" w:firstRow="0" w:lastRow="0" w:firstColumn="0" w:lastColumn="0" w:oddVBand="0" w:evenVBand="0" w:oddHBand="0" w:evenHBand="1" w:firstRowFirstColumn="0" w:firstRowLastColumn="0" w:lastRowFirstColumn="0" w:lastRowLastColumn="0"/>
              <w:rPr>
                <w:sz w:val="20"/>
                <w:szCs w:val="20"/>
                <w:lang w:val="en-GB"/>
              </w:rPr>
            </w:pPr>
            <w:r w:rsidRPr="00221992">
              <w:rPr>
                <w:sz w:val="20"/>
                <w:szCs w:val="20"/>
                <w:lang w:val="en-GB"/>
              </w:rPr>
              <w:t>Alberta Rare Diseases Clinical Review Panel</w:t>
            </w:r>
          </w:p>
        </w:tc>
        <w:tc>
          <w:tcPr>
            <w:tcW w:w="1494" w:type="dxa"/>
            <w:shd w:val="clear" w:color="auto" w:fill="EFEFEF" w:themeFill="text2" w:themeFillTint="33"/>
          </w:tcPr>
          <w:p w14:paraId="03798383" w14:textId="77777777" w:rsidR="00D65012" w:rsidRPr="00221992" w:rsidRDefault="00D65012" w:rsidP="00655A35">
            <w:pPr>
              <w:pStyle w:val="TableText"/>
              <w:spacing w:before="0" w:after="0" w:line="240" w:lineRule="auto"/>
              <w:cnfStyle w:val="000000010000" w:firstRow="0" w:lastRow="0" w:firstColumn="0" w:lastColumn="0" w:oddVBand="0" w:evenVBand="0" w:oddHBand="0" w:evenHBand="1" w:firstRowFirstColumn="0" w:firstRowLastColumn="0" w:lastRowFirstColumn="0" w:lastRowLastColumn="0"/>
              <w:rPr>
                <w:sz w:val="20"/>
                <w:szCs w:val="20"/>
                <w:lang w:val="en-GB"/>
              </w:rPr>
            </w:pPr>
            <w:r w:rsidRPr="00221992">
              <w:rPr>
                <w:sz w:val="20"/>
                <w:szCs w:val="20"/>
                <w:lang w:val="en-GB"/>
              </w:rPr>
              <w:t>NR</w:t>
            </w:r>
          </w:p>
        </w:tc>
        <w:tc>
          <w:tcPr>
            <w:tcW w:w="1681" w:type="dxa"/>
            <w:shd w:val="clear" w:color="auto" w:fill="EFEFEF" w:themeFill="text2" w:themeFillTint="33"/>
          </w:tcPr>
          <w:p w14:paraId="67B6F49B" w14:textId="77777777" w:rsidR="00D65012" w:rsidRPr="00221992" w:rsidRDefault="00D65012" w:rsidP="00655A35">
            <w:pPr>
              <w:pStyle w:val="TableText"/>
              <w:spacing w:before="0" w:after="0" w:line="240" w:lineRule="auto"/>
              <w:cnfStyle w:val="000000010000" w:firstRow="0" w:lastRow="0" w:firstColumn="0" w:lastColumn="0" w:oddVBand="0" w:evenVBand="0" w:oddHBand="0" w:evenHBand="1" w:firstRowFirstColumn="0" w:firstRowLastColumn="0" w:lastRowFirstColumn="0" w:lastRowLastColumn="0"/>
              <w:rPr>
                <w:sz w:val="20"/>
                <w:szCs w:val="20"/>
                <w:lang w:val="en-GB"/>
              </w:rPr>
            </w:pPr>
            <w:r w:rsidRPr="00221992">
              <w:rPr>
                <w:sz w:val="20"/>
                <w:szCs w:val="20"/>
                <w:lang w:val="en-GB"/>
              </w:rPr>
              <w:t>EDRD Advisory Committee</w:t>
            </w:r>
          </w:p>
        </w:tc>
        <w:tc>
          <w:tcPr>
            <w:tcW w:w="1729" w:type="dxa"/>
            <w:shd w:val="clear" w:color="auto" w:fill="EFEFEF" w:themeFill="text2" w:themeFillTint="33"/>
          </w:tcPr>
          <w:p w14:paraId="70D2CB1A" w14:textId="07B0A0F8" w:rsidR="00D65012" w:rsidRPr="00221992" w:rsidRDefault="00D65012" w:rsidP="00655A35">
            <w:pPr>
              <w:pStyle w:val="TableText"/>
              <w:spacing w:before="0" w:after="0" w:line="240" w:lineRule="auto"/>
              <w:cnfStyle w:val="000000010000" w:firstRow="0" w:lastRow="0" w:firstColumn="0" w:lastColumn="0" w:oddVBand="0" w:evenVBand="0" w:oddHBand="0" w:evenHBand="1" w:firstRowFirstColumn="0" w:firstRowLastColumn="0" w:lastRowFirstColumn="0" w:lastRowLastColumn="0"/>
              <w:rPr>
                <w:sz w:val="20"/>
                <w:szCs w:val="20"/>
                <w:lang w:val="en-GB"/>
              </w:rPr>
            </w:pPr>
            <w:r w:rsidRPr="00221992">
              <w:rPr>
                <w:sz w:val="20"/>
                <w:szCs w:val="20"/>
                <w:lang w:val="en-GB"/>
              </w:rPr>
              <w:t>No, relies on the Ontario Public Drug Programs</w:t>
            </w:r>
            <w:r w:rsidR="00551786">
              <w:rPr>
                <w:sz w:val="20"/>
                <w:szCs w:val="20"/>
                <w:lang w:val="en-GB"/>
              </w:rPr>
              <w:t>’</w:t>
            </w:r>
            <w:r w:rsidRPr="00221992">
              <w:rPr>
                <w:sz w:val="20"/>
                <w:szCs w:val="20"/>
                <w:lang w:val="en-GB"/>
              </w:rPr>
              <w:t xml:space="preserve"> external medical experts</w:t>
            </w:r>
          </w:p>
        </w:tc>
      </w:tr>
      <w:tr w:rsidR="00D65012" w:rsidRPr="00221992" w14:paraId="303794DE" w14:textId="77777777" w:rsidTr="00655A35">
        <w:trPr>
          <w:trHeight w:val="20"/>
        </w:trPr>
        <w:tc>
          <w:tcPr>
            <w:cnfStyle w:val="001000000000" w:firstRow="0" w:lastRow="0" w:firstColumn="1" w:lastColumn="0" w:oddVBand="0" w:evenVBand="0" w:oddHBand="0" w:evenHBand="0" w:firstRowFirstColumn="0" w:firstRowLastColumn="0" w:lastRowFirstColumn="0" w:lastRowLastColumn="0"/>
            <w:tcW w:w="1660" w:type="dxa"/>
            <w:tcBorders>
              <w:top w:val="single" w:sz="18" w:space="0" w:color="1E8BCD"/>
              <w:bottom w:val="single" w:sz="18" w:space="0" w:color="1E8BCD"/>
            </w:tcBorders>
            <w:shd w:val="clear" w:color="auto" w:fill="1E8BCD"/>
          </w:tcPr>
          <w:p w14:paraId="1B2BD720" w14:textId="77777777" w:rsidR="00D65012" w:rsidRPr="00221992" w:rsidRDefault="00D65012" w:rsidP="00655A35">
            <w:pPr>
              <w:pStyle w:val="TableText"/>
              <w:spacing w:before="0" w:after="0" w:line="240" w:lineRule="auto"/>
              <w:rPr>
                <w:sz w:val="20"/>
                <w:szCs w:val="20"/>
                <w:lang w:val="en-GB"/>
              </w:rPr>
            </w:pPr>
            <w:r w:rsidRPr="00221992">
              <w:rPr>
                <w:sz w:val="20"/>
                <w:szCs w:val="20"/>
                <w:lang w:val="en-GB"/>
              </w:rPr>
              <w:t>Use of cost-effectiveness</w:t>
            </w:r>
          </w:p>
        </w:tc>
        <w:tc>
          <w:tcPr>
            <w:tcW w:w="1988" w:type="dxa"/>
            <w:tcBorders>
              <w:left w:val="nil"/>
            </w:tcBorders>
          </w:tcPr>
          <w:p w14:paraId="7BE8A782" w14:textId="77777777" w:rsidR="00D65012" w:rsidRPr="00221992" w:rsidRDefault="00D65012" w:rsidP="00655A35">
            <w:pPr>
              <w:pStyle w:val="TableText"/>
              <w:spacing w:before="0" w:after="0" w:line="240" w:lineRule="auto"/>
              <w:cnfStyle w:val="000000000000" w:firstRow="0" w:lastRow="0" w:firstColumn="0" w:lastColumn="0" w:oddVBand="0" w:evenVBand="0" w:oddHBand="0" w:evenHBand="0" w:firstRowFirstColumn="0" w:firstRowLastColumn="0" w:lastRowFirstColumn="0" w:lastRowLastColumn="0"/>
              <w:rPr>
                <w:sz w:val="20"/>
                <w:szCs w:val="20"/>
                <w:lang w:val="en-GB"/>
              </w:rPr>
            </w:pPr>
            <w:r w:rsidRPr="00221992">
              <w:rPr>
                <w:sz w:val="20"/>
                <w:szCs w:val="20"/>
                <w:lang w:val="en-GB"/>
              </w:rPr>
              <w:t>No</w:t>
            </w:r>
          </w:p>
        </w:tc>
        <w:tc>
          <w:tcPr>
            <w:tcW w:w="1494" w:type="dxa"/>
          </w:tcPr>
          <w:p w14:paraId="276F31F8" w14:textId="77777777" w:rsidR="00D65012" w:rsidRPr="00221992" w:rsidRDefault="00D65012" w:rsidP="00655A35">
            <w:pPr>
              <w:pStyle w:val="TableText"/>
              <w:spacing w:before="0" w:after="0" w:line="240" w:lineRule="auto"/>
              <w:cnfStyle w:val="000000000000" w:firstRow="0" w:lastRow="0" w:firstColumn="0" w:lastColumn="0" w:oddVBand="0" w:evenVBand="0" w:oddHBand="0" w:evenHBand="0" w:firstRowFirstColumn="0" w:firstRowLastColumn="0" w:lastRowFirstColumn="0" w:lastRowLastColumn="0"/>
              <w:rPr>
                <w:sz w:val="20"/>
                <w:szCs w:val="20"/>
                <w:lang w:val="en-GB"/>
              </w:rPr>
            </w:pPr>
            <w:r w:rsidRPr="00221992">
              <w:rPr>
                <w:sz w:val="20"/>
                <w:szCs w:val="20"/>
                <w:lang w:val="en-GB"/>
              </w:rPr>
              <w:t>No</w:t>
            </w:r>
          </w:p>
        </w:tc>
        <w:tc>
          <w:tcPr>
            <w:tcW w:w="1681" w:type="dxa"/>
          </w:tcPr>
          <w:p w14:paraId="6FDCC7CA" w14:textId="77777777" w:rsidR="00D65012" w:rsidRPr="00221992" w:rsidRDefault="00D65012" w:rsidP="00655A35">
            <w:pPr>
              <w:pStyle w:val="TableText"/>
              <w:spacing w:before="0" w:after="0" w:line="240" w:lineRule="auto"/>
              <w:cnfStyle w:val="000000000000" w:firstRow="0" w:lastRow="0" w:firstColumn="0" w:lastColumn="0" w:oddVBand="0" w:evenVBand="0" w:oddHBand="0" w:evenHBand="0" w:firstRowFirstColumn="0" w:firstRowLastColumn="0" w:lastRowFirstColumn="0" w:lastRowLastColumn="0"/>
              <w:rPr>
                <w:sz w:val="20"/>
                <w:szCs w:val="20"/>
                <w:lang w:val="en-GB"/>
              </w:rPr>
            </w:pPr>
            <w:r w:rsidRPr="00221992">
              <w:rPr>
                <w:sz w:val="20"/>
                <w:szCs w:val="20"/>
                <w:lang w:val="en-GB"/>
              </w:rPr>
              <w:t>Yes</w:t>
            </w:r>
          </w:p>
        </w:tc>
        <w:tc>
          <w:tcPr>
            <w:tcW w:w="1729" w:type="dxa"/>
          </w:tcPr>
          <w:p w14:paraId="03E98247" w14:textId="77777777" w:rsidR="00D65012" w:rsidRPr="00221992" w:rsidRDefault="00D65012" w:rsidP="00655A35">
            <w:pPr>
              <w:pStyle w:val="TableText"/>
              <w:spacing w:before="0" w:after="0" w:line="240" w:lineRule="auto"/>
              <w:cnfStyle w:val="000000000000" w:firstRow="0" w:lastRow="0" w:firstColumn="0" w:lastColumn="0" w:oddVBand="0" w:evenVBand="0" w:oddHBand="0" w:evenHBand="0" w:firstRowFirstColumn="0" w:firstRowLastColumn="0" w:lastRowFirstColumn="0" w:lastRowLastColumn="0"/>
              <w:rPr>
                <w:sz w:val="20"/>
                <w:szCs w:val="20"/>
                <w:lang w:val="en-GB"/>
              </w:rPr>
            </w:pPr>
            <w:r w:rsidRPr="00221992">
              <w:rPr>
                <w:sz w:val="20"/>
                <w:szCs w:val="20"/>
                <w:lang w:val="en-GB"/>
              </w:rPr>
              <w:t>Yes</w:t>
            </w:r>
          </w:p>
        </w:tc>
      </w:tr>
    </w:tbl>
    <w:p w14:paraId="45D429D5" w14:textId="78D1AA64" w:rsidR="005E2E86" w:rsidRPr="00221992" w:rsidRDefault="005E2E86" w:rsidP="00533CF1">
      <w:pPr>
        <w:pStyle w:val="TableNotes"/>
        <w:rPr>
          <w:lang w:val="en-GB"/>
        </w:rPr>
      </w:pPr>
      <w:r w:rsidRPr="00221992">
        <w:rPr>
          <w:lang w:val="en-GB"/>
        </w:rPr>
        <w:t>Source:</w:t>
      </w:r>
      <w:r w:rsidRPr="00221992">
        <w:rPr>
          <w:lang w:val="en-GB"/>
        </w:rPr>
        <w:tab/>
        <w:t>Menon et al. (2015)</w:t>
      </w:r>
      <w:r w:rsidR="00C064E7" w:rsidRPr="00221992">
        <w:rPr>
          <w:lang w:val="en-GB"/>
        </w:rPr>
        <w:fldChar w:fldCharType="begin">
          <w:fldData xml:space="preserve">PEVuZE5vdGU+PENpdGUgSGlkZGVuPSIxIj48QXV0aG9yPk1lbm9uPC9BdXRob3I+PFllYXI+MjAx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</w:fldData>
        </w:fldChar>
      </w:r>
      <w:r w:rsidR="00C018E4" w:rsidRPr="00221992">
        <w:rPr>
          <w:lang w:val="en-GB"/>
        </w:rPr>
        <w:instrText xml:space="preserve"> ADDIN EN.CITE </w:instrText>
      </w:r>
      <w:r w:rsidR="00C018E4" w:rsidRPr="00221992">
        <w:rPr>
          <w:lang w:val="en-GB"/>
        </w:rPr>
        <w:fldChar w:fldCharType="begin">
          <w:fldData xml:space="preserve">PEVuZE5vdGU+PENpdGUgSGlkZGVuPSIxIj48QXV0aG9yPk1lbm9uPC9BdXRob3I+PFllYXI+MjAx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</w:fldData>
        </w:fldChar>
      </w:r>
      <w:r w:rsidR="00C018E4" w:rsidRPr="00221992">
        <w:rPr>
          <w:lang w:val="en-GB"/>
        </w:rPr>
        <w:instrText xml:space="preserve"> ADDIN EN.CITE.DATA </w:instrText>
      </w:r>
      <w:r w:rsidR="00C018E4" w:rsidRPr="00221992">
        <w:rPr>
          <w:lang w:val="en-GB"/>
        </w:rPr>
      </w:r>
      <w:r w:rsidR="00C018E4" w:rsidRPr="00221992">
        <w:rPr>
          <w:lang w:val="en-GB"/>
        </w:rPr>
        <w:fldChar w:fldCharType="end"/>
      </w:r>
      <w:r w:rsidR="00C064E7" w:rsidRPr="00221992">
        <w:rPr>
          <w:lang w:val="en-GB"/>
        </w:rPr>
      </w:r>
      <w:r w:rsidR="00C064E7" w:rsidRPr="00221992">
        <w:rPr>
          <w:lang w:val="en-GB"/>
        </w:rPr>
        <w:fldChar w:fldCharType="end"/>
      </w:r>
      <w:r w:rsidRPr="00221992">
        <w:rPr>
          <w:lang w:val="en-GB"/>
        </w:rPr>
        <w:t>; Pant et al. (2021)</w:t>
      </w:r>
      <w:r w:rsidR="00C064E7" w:rsidRPr="00221992">
        <w:rPr>
          <w:lang w:val="en-GB"/>
        </w:rPr>
        <w:fldChar w:fldCharType="begin"/>
      </w:r>
      <w:r w:rsidR="00134999" w:rsidRPr="00221992">
        <w:rPr>
          <w:lang w:val="en-GB"/>
        </w:rPr>
        <w:instrText xml:space="preserve"> ADDIN EN.CITE &lt;EndNote&gt;&lt;Cite Hidden="1"&gt;&lt;Author&gt;Pant&lt;/Author&gt;&lt;Year&gt;2021&lt;/Year&gt;&lt;RecNum&gt;538&lt;/RecNum&gt;&lt;record&gt;&lt;rec-number&gt;538&lt;/rec-number&gt;&lt;foreign-keys&gt;&lt;key app="EN" db-id="wzwwsfxe4peesxef95cxvrwjxts9rreasarf" timestamp="1692751953"&gt;538&lt;/key&gt;&lt;/foreign-keys&gt;&lt;ref-type name="Journal Article"&gt;17&lt;/ref-type&gt;&lt;contributors&gt;&lt;authors&gt;&lt;author&gt;Pant, S&lt;/author&gt;&lt;author&gt;Visintini, S&lt;/author&gt;&lt;/authors&gt;&lt;/contributors&gt;&lt;titles&gt;&lt;title&gt;Drugs for Rare Diseases: A Review of National and International Health Technology Assessment Agencies and Public Payers’ Decision-Making Processes&lt;/title&gt;&lt;secondary-title&gt;Canadian Journal of Health Technologies&lt;/secondary-title&gt;&lt;/titles&gt;&lt;periodical&gt;&lt;full-title&gt;Canadian Journal of Health Technologies&lt;/full-title&gt;&lt;/periodical&gt;&lt;volume&gt;1&lt;/volume&gt;&lt;number&gt;5&lt;/number&gt;&lt;dates&gt;&lt;year&gt;2021&lt;/year&gt;&lt;/dates&gt;&lt;urls&gt;&lt;related-urls&gt;&lt;url&gt;https://www.cadth.ca/drugs-rare-diseases-review-national-and-international-health-technology-assessment-agencies-and&lt;/url&gt;&lt;/related-urls&gt;&lt;/urls&gt;&lt;/record&gt;&lt;/Cite&gt;&lt;/EndNote&gt;</w:instrText>
      </w:r>
      <w:r w:rsidR="00C064E7" w:rsidRPr="00221992">
        <w:rPr>
          <w:lang w:val="en-GB"/>
        </w:rPr>
        <w:fldChar w:fldCharType="end"/>
      </w:r>
      <w:r w:rsidRPr="00221992">
        <w:rPr>
          <w:lang w:val="en-GB"/>
        </w:rPr>
        <w:t>; Alberta Blue Cross (2023)</w:t>
      </w:r>
      <w:r w:rsidR="00C064E7" w:rsidRPr="00221992">
        <w:rPr>
          <w:lang w:val="en-GB"/>
        </w:rPr>
        <w:fldChar w:fldCharType="begin"/>
      </w:r>
      <w:r w:rsidR="00C907DA" w:rsidRPr="00221992">
        <w:rPr>
          <w:lang w:val="en-GB"/>
        </w:rPr>
        <w:instrText xml:space="preserve"> ADDIN EN.CITE &lt;EndNote&gt;&lt;Cite Hidden="1"&gt;&lt;Author&gt;Alberta Blue Cross&lt;/Author&gt;&lt;Year&gt;2023&lt;/Year&gt;&lt;RecNum&gt;608&lt;/RecNum&gt;&lt;record&gt;&lt;rec-number&gt;608&lt;/rec-number&gt;&lt;foreign-keys&gt;&lt;key app="EN" db-id="wzwwsfxe4peesxef95cxvrwjxts9rreasarf" timestamp="1692751953"&gt;608&lt;/key&gt;&lt;/foreign-keys&gt;&lt;ref-type name="Web Page"&gt;12&lt;/ref-type&gt;&lt;contributors&gt;&lt;authors&gt;&lt;author&gt;Alberta Blue Cross,&lt;/author&gt;&lt;/authors&gt;&lt;/contributors&gt;&lt;titles&gt;&lt;title&gt;Rare Diseases Drug Coverage Program&lt;/title&gt;&lt;/titles&gt;&lt;pages&gt;1-4&lt;/pages&gt;&lt;number&gt;23 August 2023&lt;/number&gt;&lt;dates&gt;&lt;year&gt;2023&lt;/year&gt;&lt;/dates&gt;&lt;pub-location&gt;Alberta, Canada&lt;/pub-location&gt;&lt;publisher&gt;Alberta Blue Cross&lt;/publisher&gt;&lt;urls&gt;&lt;related-urls&gt;&lt;url&gt;https://www.ab.bluecross.ca/dbl/pdfs/dbl_sec4.pdf&lt;/url&gt;&lt;/related-urls&gt;&lt;/urls&gt;&lt;/record&gt;&lt;/Cite&gt;&lt;/EndNote&gt;</w:instrText>
      </w:r>
      <w:r w:rsidR="00C064E7" w:rsidRPr="00221992">
        <w:rPr>
          <w:lang w:val="en-GB"/>
        </w:rPr>
        <w:fldChar w:fldCharType="end"/>
      </w:r>
      <w:r w:rsidRPr="00221992">
        <w:rPr>
          <w:lang w:val="en-GB"/>
        </w:rPr>
        <w:t xml:space="preserve">; </w:t>
      </w:r>
      <w:r w:rsidR="006738B3" w:rsidRPr="00221992">
        <w:rPr>
          <w:lang w:val="en-GB"/>
        </w:rPr>
        <w:t xml:space="preserve">Government of </w:t>
      </w:r>
      <w:r w:rsidRPr="00221992">
        <w:rPr>
          <w:lang w:val="en-GB"/>
        </w:rPr>
        <w:t>New Brunswick (20</w:t>
      </w:r>
      <w:r w:rsidR="006738B3" w:rsidRPr="00221992">
        <w:rPr>
          <w:lang w:val="en-GB"/>
        </w:rPr>
        <w:t>23)</w:t>
      </w:r>
      <w:r w:rsidR="00C064E7" w:rsidRPr="00221992">
        <w:rPr>
          <w:lang w:val="en-GB"/>
        </w:rPr>
        <w:fldChar w:fldCharType="begin"/>
      </w:r>
      <w:r w:rsidR="00916B94" w:rsidRPr="00221992">
        <w:rPr>
          <w:lang w:val="en-GB"/>
        </w:rPr>
        <w:instrText xml:space="preserve"> ADDIN EN.CITE &lt;EndNote&gt;&lt;Cite Hidden="1"&gt;&lt;Author&gt;New Brunswick Canada&lt;/Author&gt;&lt;RecNum&gt;551&lt;/RecNum&gt;&lt;record&gt;&lt;rec-number&gt;551&lt;/rec-number&gt;&lt;foreign-keys&gt;&lt;key app="EN" db-id="wzwwsfxe4peesxef95cxvrwjxts9rreasarf" timestamp="1692751953"&gt;551&lt;/key&gt;&lt;/foreign-keys&gt;&lt;ref-type name="Web Page"&gt;12&lt;/ref-type&gt;&lt;contributors&gt;&lt;authors&gt;&lt;author&gt;New Brunswick Canada,&lt;/author&gt;&lt;/authors&gt;&lt;/contributors&gt;&lt;titles&gt;&lt;title&gt;New Brunswick Drugs for Rare Diseases Plan&lt;/title&gt;&lt;/titles&gt;&lt;number&gt;21 July 2023&lt;/number&gt;&lt;dates&gt;&lt;/dates&gt;&lt;pub-location&gt;Fredericton&lt;/pub-location&gt;&lt;publisher&gt;Government of New Brunswick Canada&lt;/publisher&gt;&lt;urls&gt;&lt;related-urls&gt;&lt;url&gt;https://www2.gnb.ca/content/gnb/en/services/services_renderer.201352.New_Brunswick_Drugs_for_Rare_Diseases_Plan.html&lt;/url&gt;&lt;/related-urls&gt;&lt;/urls&gt;&lt;/record&gt;&lt;/Cite&gt;&lt;/EndNote&gt;</w:instrText>
      </w:r>
      <w:r w:rsidR="00C064E7" w:rsidRPr="00221992">
        <w:rPr>
          <w:lang w:val="en-GB"/>
        </w:rPr>
        <w:fldChar w:fldCharType="end"/>
      </w:r>
      <w:r w:rsidR="006738B3" w:rsidRPr="00221992">
        <w:rPr>
          <w:lang w:val="en-GB"/>
        </w:rPr>
        <w:t xml:space="preserve"> </w:t>
      </w:r>
    </w:p>
    <w:p w14:paraId="026DF9D8" w14:textId="4D90C4A1" w:rsidR="00C9045F" w:rsidRPr="00221992" w:rsidRDefault="00C9045F" w:rsidP="00533CF1">
      <w:pPr>
        <w:pStyle w:val="TableNotes"/>
        <w:rPr>
          <w:lang w:val="en-GB"/>
        </w:rPr>
      </w:pPr>
      <w:r w:rsidRPr="00221992">
        <w:rPr>
          <w:lang w:val="en-GB"/>
        </w:rPr>
        <w:t>Acronyms:</w:t>
      </w:r>
      <w:r w:rsidRPr="00221992">
        <w:rPr>
          <w:lang w:val="en-GB"/>
        </w:rPr>
        <w:tab/>
      </w:r>
      <w:r w:rsidR="00D65012" w:rsidRPr="00221992">
        <w:rPr>
          <w:lang w:val="en-GB"/>
        </w:rPr>
        <w:t>EDRD, Expensive Drugs for Rare Diseases; NR, not reported.</w:t>
      </w:r>
    </w:p>
    <w:p w14:paraId="46EF03AE" w14:textId="2088163C" w:rsidR="00D65012" w:rsidRPr="00221992" w:rsidRDefault="00C9045F" w:rsidP="00533CF1">
      <w:pPr>
        <w:pStyle w:val="TableNotes"/>
        <w:rPr>
          <w:lang w:val="en-GB"/>
        </w:rPr>
      </w:pPr>
      <w:r w:rsidRPr="00221992">
        <w:rPr>
          <w:lang w:val="en-GB"/>
        </w:rPr>
        <w:t>Notes:</w:t>
      </w:r>
      <w:r w:rsidRPr="00221992">
        <w:rPr>
          <w:lang w:val="en-GB"/>
        </w:rPr>
        <w:tab/>
      </w:r>
      <w:r w:rsidR="00D65012" w:rsidRPr="00221992">
        <w:rPr>
          <w:vertAlign w:val="superscript"/>
          <w:lang w:val="en-GB"/>
        </w:rPr>
        <w:t xml:space="preserve">1 </w:t>
      </w:r>
      <w:r w:rsidR="00D65012" w:rsidRPr="00221992">
        <w:rPr>
          <w:lang w:val="en-GB"/>
        </w:rPr>
        <w:t>Laronidase for MPS I, Idurulfase for MPS II, Canakinumab for Cryopyrin-Associated Periodic Syndrome, Alglucosidase alfa for infantile/early and adult/late onset of Pompe disease and Miglustat for Niemann Pick Type C.</w:t>
      </w:r>
      <w:r w:rsidRPr="00221992">
        <w:rPr>
          <w:lang w:val="en-GB"/>
        </w:rPr>
        <w:t xml:space="preserve"> </w:t>
      </w:r>
      <w:r w:rsidR="00D65012" w:rsidRPr="00221992">
        <w:rPr>
          <w:vertAlign w:val="superscript"/>
          <w:lang w:val="en-GB"/>
        </w:rPr>
        <w:t xml:space="preserve">2 </w:t>
      </w:r>
      <w:r w:rsidR="00D65012" w:rsidRPr="00221992">
        <w:rPr>
          <w:lang w:val="en-GB"/>
        </w:rPr>
        <w:t>Incidence rather than prevalence.</w:t>
      </w:r>
    </w:p>
    <w:p w14:paraId="0A6D1C1C" w14:textId="5B598F6C" w:rsidR="006F33E9" w:rsidRPr="00221992" w:rsidRDefault="006F33E9" w:rsidP="006F33E9">
      <w:pPr>
        <w:rPr>
          <w:lang w:val="en-GB"/>
        </w:rPr>
      </w:pPr>
      <w:r w:rsidRPr="00221992">
        <w:rPr>
          <w:lang w:val="en-GB"/>
        </w:rPr>
        <w:t xml:space="preserve">No reference to drugs for rare diseases was identified in INESSS, however, an evaluation process </w:t>
      </w:r>
      <w:r w:rsidR="00A54DB0">
        <w:rPr>
          <w:lang w:val="en-GB"/>
        </w:rPr>
        <w:t xml:space="preserve">is available </w:t>
      </w:r>
      <w:r w:rsidRPr="00221992">
        <w:rPr>
          <w:lang w:val="en-GB"/>
        </w:rPr>
        <w:t xml:space="preserve">for exceptional medications, </w:t>
      </w:r>
      <w:r w:rsidR="00A54DB0">
        <w:rPr>
          <w:lang w:val="en-GB"/>
        </w:rPr>
        <w:t>including some</w:t>
      </w:r>
      <w:r w:rsidRPr="00221992">
        <w:rPr>
          <w:lang w:val="en-GB"/>
        </w:rPr>
        <w:t xml:space="preserve"> rare diseases </w:t>
      </w:r>
      <w:r w:rsidRPr="00221992">
        <w:rPr>
          <w:lang w:val="en-GB"/>
        </w:rPr>
        <w:fldChar w:fldCharType="begin"/>
      </w:r>
      <w:r w:rsidR="00E5265C">
        <w:rPr>
          <w:lang w:val="en-GB"/>
        </w:rPr>
        <w:instrText xml:space="preserve"> ADDIN EN.CITE &lt;EndNote&gt;&lt;Cite&gt;&lt;Author&gt;Institut national d&amp;apos;excellence en sante et en services sociaux (INESSS)&lt;/Author&gt;&lt;Year&gt;2023&lt;/Year&gt;&lt;RecNum&gt;640&lt;/RecNum&gt;&lt;DisplayText&gt;[180]&lt;/DisplayText&gt;&lt;record&gt;&lt;rec-number&gt;640&lt;/rec-number&gt;&lt;foreign-keys&gt;&lt;key app="EN" db-id="wzwwsfxe4peesxef95cxvrwjxts9rreasarf" timestamp="1693186424"&gt;640&lt;/key&gt;&lt;/foreign-keys&gt;&lt;ref-type name="Web Page"&gt;12&lt;/ref-type&gt;&lt;contributors&gt;&lt;authors&gt;&lt;author&gt;Institut national d&amp;apos;excellence en sante et en services sociaux (INESSS),&lt;/author&gt;&lt;/authors&gt;&lt;/contributors&gt;&lt;titles&gt;&lt;title&gt;Exceptional Medications&lt;/title&gt;&lt;/titles&gt;&lt;number&gt;28 May 2023&lt;/number&gt;&lt;dates&gt;&lt;year&gt;2023&lt;/year&gt;&lt;/dates&gt;&lt;urls&gt;&lt;related-urls&gt;&lt;url&gt;https://www.inesss.qc.ca/en/themes/medicaments/evaluation-process-and-criteria/exceptional-medications.html&lt;/url&gt;&lt;/related-urls&gt;&lt;/urls&gt;&lt;/record&gt;&lt;/Cite&gt;&lt;/EndNote&gt;</w:instrText>
      </w:r>
      <w:r w:rsidRPr="00221992">
        <w:rPr>
          <w:lang w:val="en-GB"/>
        </w:rPr>
        <w:fldChar w:fldCharType="separate"/>
      </w:r>
      <w:r w:rsidR="00E5265C">
        <w:rPr>
          <w:noProof/>
          <w:lang w:val="en-GB"/>
        </w:rPr>
        <w:t>[180]</w:t>
      </w:r>
      <w:r w:rsidRPr="00221992">
        <w:rPr>
          <w:lang w:val="en-GB"/>
        </w:rPr>
        <w:fldChar w:fldCharType="end"/>
      </w:r>
      <w:r w:rsidRPr="00221992">
        <w:rPr>
          <w:lang w:val="en-GB"/>
        </w:rPr>
        <w:t xml:space="preserve">. </w:t>
      </w:r>
      <w:r w:rsidR="00A54DB0">
        <w:rPr>
          <w:lang w:val="en-GB"/>
        </w:rPr>
        <w:t>‘</w:t>
      </w:r>
      <w:r w:rsidRPr="00221992">
        <w:rPr>
          <w:lang w:val="en-GB"/>
        </w:rPr>
        <w:t>Exceptional medications</w:t>
      </w:r>
      <w:r w:rsidR="00A54DB0">
        <w:rPr>
          <w:lang w:val="en-GB"/>
        </w:rPr>
        <w:t>’</w:t>
      </w:r>
      <w:r w:rsidRPr="00221992">
        <w:rPr>
          <w:lang w:val="en-GB"/>
        </w:rPr>
        <w:t xml:space="preserve"> </w:t>
      </w:r>
      <w:r w:rsidR="00A54DB0">
        <w:rPr>
          <w:lang w:val="en-GB"/>
        </w:rPr>
        <w:t>include</w:t>
      </w:r>
      <w:r w:rsidR="00A54DB0" w:rsidRPr="00221992">
        <w:rPr>
          <w:lang w:val="en-GB"/>
        </w:rPr>
        <w:t xml:space="preserve"> </w:t>
      </w:r>
      <w:r w:rsidRPr="00221992">
        <w:rPr>
          <w:lang w:val="en-GB"/>
        </w:rPr>
        <w:t>drugs that are effective for some</w:t>
      </w:r>
      <w:r w:rsidR="00A54DB0">
        <w:rPr>
          <w:lang w:val="en-GB"/>
        </w:rPr>
        <w:t>—</w:t>
      </w:r>
      <w:r w:rsidRPr="00221992">
        <w:rPr>
          <w:lang w:val="en-GB"/>
        </w:rPr>
        <w:t>but not all</w:t>
      </w:r>
      <w:r w:rsidR="00A54DB0">
        <w:rPr>
          <w:lang w:val="en-GB"/>
        </w:rPr>
        <w:t>—</w:t>
      </w:r>
      <w:r w:rsidRPr="00221992">
        <w:rPr>
          <w:lang w:val="en-GB"/>
        </w:rPr>
        <w:t>approved indications</w:t>
      </w:r>
      <w:r w:rsidR="00A54DB0">
        <w:rPr>
          <w:lang w:val="en-GB"/>
        </w:rPr>
        <w:t>,</w:t>
      </w:r>
      <w:r w:rsidRPr="00221992">
        <w:rPr>
          <w:lang w:val="en-GB"/>
        </w:rPr>
        <w:t xml:space="preserve"> </w:t>
      </w:r>
      <w:r w:rsidR="00A54DB0">
        <w:rPr>
          <w:lang w:val="en-GB"/>
        </w:rPr>
        <w:t>and/or</w:t>
      </w:r>
      <w:r w:rsidR="00A54DB0" w:rsidRPr="00221992">
        <w:rPr>
          <w:lang w:val="en-GB"/>
        </w:rPr>
        <w:t xml:space="preserve"> </w:t>
      </w:r>
      <w:r w:rsidRPr="00221992">
        <w:rPr>
          <w:lang w:val="en-GB"/>
        </w:rPr>
        <w:t>drugs with no proven therapeutic advantage that would justify a higher cost</w:t>
      </w:r>
      <w:r w:rsidR="007A4879" w:rsidRPr="00221992">
        <w:rPr>
          <w:lang w:val="en-GB"/>
        </w:rPr>
        <w:t xml:space="preserve"> </w:t>
      </w:r>
      <w:r w:rsidRPr="00221992">
        <w:rPr>
          <w:lang w:val="en-GB"/>
        </w:rPr>
        <w:fldChar w:fldCharType="begin"/>
      </w:r>
      <w:r w:rsidR="00E5265C">
        <w:rPr>
          <w:lang w:val="en-GB"/>
        </w:rPr>
        <w:instrText xml:space="preserve"> ADDIN EN.CITE &lt;EndNote&gt;&lt;Cite&gt;&lt;Author&gt;Institut national d&amp;apos;excellence en sante et en services sociaux (INESSS)&lt;/Author&gt;&lt;Year&gt;2023&lt;/Year&gt;&lt;RecNum&gt;640&lt;/RecNum&gt;&lt;DisplayText&gt;[180]&lt;/DisplayText&gt;&lt;record&gt;&lt;rec-number&gt;640&lt;/rec-number&gt;&lt;foreign-keys&gt;&lt;key app="EN" db-id="wzwwsfxe4peesxef95cxvrwjxts9rreasarf" timestamp="1693186424"&gt;640&lt;/key&gt;&lt;/foreign-keys&gt;&lt;ref-type name="Web Page"&gt;12&lt;/ref-type&gt;&lt;contributors&gt;&lt;authors&gt;&lt;author&gt;Institut national d&amp;apos;excellence en sante et en services sociaux (INESSS),&lt;/author&gt;&lt;/authors&gt;&lt;/contributors&gt;&lt;titles&gt;&lt;title&gt;Exceptional Medications&lt;/title&gt;&lt;/titles&gt;&lt;number&gt;28 May 2023&lt;/number&gt;&lt;dates&gt;&lt;year&gt;2023&lt;/year&gt;&lt;/dates&gt;&lt;urls&gt;&lt;related-urls&gt;&lt;url&gt;https://www.inesss.qc.ca/en/themes/medicaments/evaluation-process-and-criteria/exceptional-medications.html&lt;/url&gt;&lt;/related-urls&gt;&lt;/urls&gt;&lt;/record&gt;&lt;/Cite&gt;&lt;/EndNote&gt;</w:instrText>
      </w:r>
      <w:r w:rsidRPr="00221992">
        <w:rPr>
          <w:lang w:val="en-GB"/>
        </w:rPr>
        <w:fldChar w:fldCharType="separate"/>
      </w:r>
      <w:r w:rsidR="00E5265C">
        <w:rPr>
          <w:noProof/>
          <w:lang w:val="en-GB"/>
        </w:rPr>
        <w:t>[180]</w:t>
      </w:r>
      <w:r w:rsidRPr="00221992">
        <w:rPr>
          <w:lang w:val="en-GB"/>
        </w:rPr>
        <w:fldChar w:fldCharType="end"/>
      </w:r>
      <w:r w:rsidRPr="00221992">
        <w:rPr>
          <w:lang w:val="en-GB"/>
        </w:rPr>
        <w:t>.</w:t>
      </w:r>
      <w:r w:rsidR="008A6310">
        <w:rPr>
          <w:lang w:val="en-GB"/>
        </w:rPr>
        <w:t xml:space="preserve"> </w:t>
      </w:r>
    </w:p>
    <w:p w14:paraId="569B5161" w14:textId="54BE5B0B" w:rsidR="006F33E9" w:rsidRPr="00221992" w:rsidRDefault="006F33E9" w:rsidP="006F33E9">
      <w:pPr>
        <w:rPr>
          <w:lang w:val="en-GB"/>
        </w:rPr>
      </w:pPr>
      <w:r w:rsidRPr="00221992">
        <w:rPr>
          <w:lang w:val="en-GB"/>
        </w:rPr>
        <w:t xml:space="preserve">In Spain, Catsalut and the program for high complexity drugs (PASFTAC) have standardized procedures for the evaluation and decision-making of orphan drugs </w:t>
      </w:r>
      <w:r w:rsidRPr="00221992">
        <w:rPr>
          <w:lang w:val="en-GB"/>
        </w:rPr>
        <w:fldChar w:fldCharType="begin"/>
      </w:r>
      <w:r w:rsidR="00E5265C">
        <w:rPr>
          <w:lang w:val="en-GB"/>
        </w:rPr>
        <w:instrText xml:space="preserve"> ADDIN EN.CITE &lt;EndNote&gt;&lt;Cite&gt;&lt;Author&gt;Gilabert-Perramon&lt;/Author&gt;&lt;Year&gt;2017&lt;/Year&gt;&lt;RecNum&gt;582&lt;/RecNum&gt;&lt;DisplayText&gt;[181]&lt;/DisplayText&gt;&lt;record&gt;&lt;rec-number&gt;582&lt;/rec-number&gt;&lt;foreign-keys&gt;&lt;key app="EN" db-id="wzwwsfxe4peesxef95cxvrwjxts9rreasarf" timestamp="1692751953"&gt;582&lt;/key&gt;&lt;/foreign-keys&gt;&lt;ref-type name="Journal Article"&gt;17&lt;/ref-type&gt;&lt;contributors&gt;&lt;authors&gt;&lt;author&gt;Gilabert-Perramon, A.&lt;/author&gt;&lt;author&gt;Torrent-Farnell, J.&lt;/author&gt;&lt;author&gt;Catalan, A.&lt;/author&gt;&lt;author&gt;Prat, A.&lt;/author&gt;&lt;author&gt;Fontanet, M.&lt;/author&gt;&lt;author&gt;Puig-Peiro, R.&lt;/author&gt;&lt;author&gt;Merino-Montero, S.&lt;/author&gt;&lt;author&gt;Khoury, H.&lt;/author&gt;&lt;author&gt;Goetghebeur, M. M.&lt;/author&gt;&lt;author&gt;Badia, X.&lt;/author&gt;&lt;/authors&gt;&lt;/contributors&gt;&lt;titles&gt;&lt;title&gt;Drug evaluation and decision making in Catalonia: Development and validation of a methodological framework based on multi-criteria decision analysis (MCDA) for orphan drugs&lt;/title&gt;&lt;secondary-title&gt;International Journal of Technology Assessment in Health Care&lt;/secondary-title&gt;&lt;/titles&gt;&lt;pages&gt;111-120&lt;/pages&gt;&lt;volume&gt;33&lt;/volume&gt;&lt;number&gt;1&lt;/number&gt;&lt;dates&gt;&lt;year&gt;2017&lt;/year&gt;&lt;/dates&gt;&lt;isbn&gt;0266-4623&amp;#xD;1471-6348&lt;/isbn&gt;&lt;accession-num&gt;WOS:000403782800015&lt;/accession-num&gt;&lt;urls&gt;&lt;/urls&gt;&lt;electronic-resource-num&gt;10.1017/S0266462317000149&lt;/electronic-resource-num&gt;&lt;research-notes&gt;I. R. V. C&lt;/research-notes&gt;&lt;/record&gt;&lt;/Cite&gt;&lt;/EndNote&gt;</w:instrText>
      </w:r>
      <w:r w:rsidRPr="00221992">
        <w:rPr>
          <w:lang w:val="en-GB"/>
        </w:rPr>
        <w:fldChar w:fldCharType="separate"/>
      </w:r>
      <w:r w:rsidR="00E5265C">
        <w:rPr>
          <w:noProof/>
          <w:lang w:val="en-GB"/>
        </w:rPr>
        <w:t>[181]</w:t>
      </w:r>
      <w:r w:rsidRPr="00221992">
        <w:rPr>
          <w:lang w:val="en-GB"/>
        </w:rPr>
        <w:fldChar w:fldCharType="end"/>
      </w:r>
      <w:r w:rsidRPr="00221992">
        <w:rPr>
          <w:lang w:val="en-GB"/>
        </w:rPr>
        <w:t xml:space="preserve">. </w:t>
      </w:r>
    </w:p>
    <w:p w14:paraId="5A6D0CBE" w14:textId="77777777" w:rsidR="00D65012" w:rsidRPr="00221992" w:rsidRDefault="00D65012" w:rsidP="00407BA7">
      <w:pPr>
        <w:pStyle w:val="NbrHeading3"/>
        <w:rPr>
          <w:lang w:val="en-GB"/>
        </w:rPr>
      </w:pPr>
      <w:bookmarkStart w:id="156" w:name="_Toc142742681"/>
      <w:bookmarkStart w:id="157" w:name="_Toc162950888"/>
      <w:r w:rsidRPr="00221992">
        <w:rPr>
          <w:lang w:val="en-GB"/>
        </w:rPr>
        <w:t>Alternative process</w:t>
      </w:r>
      <w:bookmarkEnd w:id="156"/>
      <w:r w:rsidRPr="00221992">
        <w:rPr>
          <w:lang w:val="en-GB"/>
        </w:rPr>
        <w:t>es</w:t>
      </w:r>
      <w:bookmarkEnd w:id="157"/>
      <w:r w:rsidRPr="00221992">
        <w:rPr>
          <w:lang w:val="en-GB"/>
        </w:rPr>
        <w:t xml:space="preserve"> </w:t>
      </w:r>
    </w:p>
    <w:p w14:paraId="248EA965" w14:textId="5ED4704A" w:rsidR="00D65012" w:rsidRPr="00221992" w:rsidRDefault="00D65012" w:rsidP="00C9045F">
      <w:pPr>
        <w:rPr>
          <w:lang w:val="en-GB"/>
        </w:rPr>
      </w:pPr>
      <w:r w:rsidRPr="00221992">
        <w:rPr>
          <w:lang w:val="en-GB"/>
        </w:rPr>
        <w:t xml:space="preserve">Of all </w:t>
      </w:r>
      <w:r w:rsidR="00A54DB0">
        <w:rPr>
          <w:lang w:val="en-GB"/>
        </w:rPr>
        <w:t xml:space="preserve">of the </w:t>
      </w:r>
      <w:r w:rsidRPr="00221992">
        <w:rPr>
          <w:lang w:val="en-GB"/>
        </w:rPr>
        <w:t xml:space="preserve">countries considered </w:t>
      </w:r>
      <w:r w:rsidR="00A54DB0">
        <w:rPr>
          <w:lang w:val="en-GB"/>
        </w:rPr>
        <w:t>by</w:t>
      </w:r>
      <w:r w:rsidR="00A54DB0" w:rsidRPr="00221992">
        <w:rPr>
          <w:lang w:val="en-GB"/>
        </w:rPr>
        <w:t xml:space="preserve"> </w:t>
      </w:r>
      <w:r w:rsidRPr="00221992">
        <w:rPr>
          <w:lang w:val="en-GB"/>
        </w:rPr>
        <w:t xml:space="preserve">this </w:t>
      </w:r>
      <w:r w:rsidR="00A54DB0">
        <w:rPr>
          <w:lang w:val="en-GB"/>
        </w:rPr>
        <w:t>R</w:t>
      </w:r>
      <w:r w:rsidRPr="00221992">
        <w:rPr>
          <w:lang w:val="en-GB"/>
        </w:rPr>
        <w:t xml:space="preserve">eview, most had alternative reimbursement pathways in addition to their standard processes for pricing and reimbursement. Although in many cases these access pathways were not specific for drugs for rare diseases, their eligibility criteria often align with rare diseases. A process was considered </w:t>
      </w:r>
      <w:r w:rsidR="007B171D">
        <w:rPr>
          <w:lang w:val="en-GB"/>
        </w:rPr>
        <w:t>‘</w:t>
      </w:r>
      <w:r w:rsidRPr="00221992">
        <w:rPr>
          <w:lang w:val="en-GB"/>
        </w:rPr>
        <w:t>alternative</w:t>
      </w:r>
      <w:r w:rsidR="007B171D">
        <w:rPr>
          <w:lang w:val="en-GB"/>
        </w:rPr>
        <w:t>’</w:t>
      </w:r>
      <w:r w:rsidRPr="00221992">
        <w:rPr>
          <w:lang w:val="en-GB"/>
        </w:rPr>
        <w:t xml:space="preserve"> if the pathways aimed </w:t>
      </w:r>
      <w:r w:rsidR="007B171D">
        <w:rPr>
          <w:lang w:val="en-GB"/>
        </w:rPr>
        <w:t>to</w:t>
      </w:r>
      <w:r w:rsidR="007B171D" w:rsidRPr="00221992">
        <w:rPr>
          <w:lang w:val="en-GB"/>
        </w:rPr>
        <w:t xml:space="preserve"> </w:t>
      </w:r>
      <w:r w:rsidRPr="00221992">
        <w:rPr>
          <w:lang w:val="en-GB"/>
        </w:rPr>
        <w:t>provid</w:t>
      </w:r>
      <w:r w:rsidR="007B171D">
        <w:rPr>
          <w:lang w:val="en-GB"/>
        </w:rPr>
        <w:t>e</w:t>
      </w:r>
      <w:r w:rsidRPr="00221992">
        <w:rPr>
          <w:lang w:val="en-GB"/>
        </w:rPr>
        <w:t>:</w:t>
      </w:r>
    </w:p>
    <w:p w14:paraId="0608688F" w14:textId="50D8E48B" w:rsidR="005C50B7" w:rsidRPr="00221992" w:rsidRDefault="005C50B7" w:rsidP="00957584">
      <w:pPr>
        <w:pStyle w:val="ListParagraph"/>
        <w:numPr>
          <w:ilvl w:val="0"/>
          <w:numId w:val="35"/>
        </w:numPr>
        <w:rPr>
          <w:lang w:val="en-GB"/>
        </w:rPr>
      </w:pPr>
      <w:r w:rsidRPr="00221992">
        <w:rPr>
          <w:lang w:val="en-GB"/>
        </w:rPr>
        <w:t>Urgent medical care;</w:t>
      </w:r>
    </w:p>
    <w:p w14:paraId="10054F67" w14:textId="454F15E9" w:rsidR="00D65012" w:rsidRPr="00221992" w:rsidRDefault="00D65012" w:rsidP="00957584">
      <w:pPr>
        <w:pStyle w:val="ListParagraph"/>
        <w:numPr>
          <w:ilvl w:val="0"/>
          <w:numId w:val="35"/>
        </w:numPr>
        <w:rPr>
          <w:lang w:val="en-GB"/>
        </w:rPr>
      </w:pPr>
      <w:r w:rsidRPr="00221992">
        <w:rPr>
          <w:lang w:val="en-GB"/>
        </w:rPr>
        <w:t>access to orphan drugs on an individual case basis;</w:t>
      </w:r>
    </w:p>
    <w:p w14:paraId="36C3CF60" w14:textId="77777777" w:rsidR="00D65012" w:rsidRPr="00221992" w:rsidRDefault="00D65012" w:rsidP="00957584">
      <w:pPr>
        <w:pStyle w:val="ListParagraph"/>
        <w:numPr>
          <w:ilvl w:val="0"/>
          <w:numId w:val="35"/>
        </w:numPr>
        <w:rPr>
          <w:lang w:val="en-GB"/>
        </w:rPr>
      </w:pPr>
      <w:r w:rsidRPr="00221992">
        <w:rPr>
          <w:lang w:val="en-GB"/>
        </w:rPr>
        <w:t>compassionate access when no marketing authorisation or regulatory approval had been granted;</w:t>
      </w:r>
    </w:p>
    <w:p w14:paraId="10F76F1E" w14:textId="77777777" w:rsidR="00D65012" w:rsidRPr="00221992" w:rsidRDefault="00D65012" w:rsidP="00957584">
      <w:pPr>
        <w:pStyle w:val="ListParagraph"/>
        <w:numPr>
          <w:ilvl w:val="0"/>
          <w:numId w:val="35"/>
        </w:numPr>
        <w:rPr>
          <w:lang w:val="en-GB"/>
        </w:rPr>
      </w:pPr>
      <w:r w:rsidRPr="00221992">
        <w:rPr>
          <w:lang w:val="en-GB"/>
        </w:rPr>
        <w:t xml:space="preserve">access to off-label use when the drug had a primary indication approved but no indication for the rare disease of interest. </w:t>
      </w:r>
    </w:p>
    <w:p w14:paraId="3A0B1D52" w14:textId="7CD87844" w:rsidR="00A42722" w:rsidRPr="00221992" w:rsidRDefault="00A42722" w:rsidP="00C9045F">
      <w:pPr>
        <w:rPr>
          <w:lang w:val="en-GB"/>
        </w:rPr>
      </w:pPr>
      <w:r w:rsidRPr="00221992">
        <w:rPr>
          <w:lang w:val="en-GB"/>
        </w:rPr>
        <w:t xml:space="preserve">These pathways were generally available in most of the reviewed countries as supplementary to main pathway of access. In particular, regarding the listing of drugs with no regulatory approval either due to </w:t>
      </w:r>
      <w:r w:rsidR="003C0DBE">
        <w:rPr>
          <w:lang w:val="en-GB"/>
        </w:rPr>
        <w:t xml:space="preserve">ongoing </w:t>
      </w:r>
      <w:r w:rsidRPr="00221992">
        <w:rPr>
          <w:lang w:val="en-GB"/>
        </w:rPr>
        <w:t xml:space="preserve">clinical research (compassionate use) or approval </w:t>
      </w:r>
      <w:r w:rsidR="003C0DBE">
        <w:rPr>
          <w:lang w:val="en-GB"/>
        </w:rPr>
        <w:t xml:space="preserve">having been </w:t>
      </w:r>
      <w:r w:rsidRPr="00221992">
        <w:rPr>
          <w:lang w:val="en-GB"/>
        </w:rPr>
        <w:t xml:space="preserve">granted for a different indication (off-label use), </w:t>
      </w:r>
      <w:r w:rsidR="003C0DBE">
        <w:rPr>
          <w:lang w:val="en-GB"/>
        </w:rPr>
        <w:t>published</w:t>
      </w:r>
      <w:r w:rsidRPr="00221992">
        <w:rPr>
          <w:lang w:val="en-GB"/>
        </w:rPr>
        <w:t xml:space="preserve"> literature </w:t>
      </w:r>
      <w:r w:rsidR="003C0DBE">
        <w:rPr>
          <w:lang w:val="en-GB"/>
        </w:rPr>
        <w:t xml:space="preserve">did not make clear </w:t>
      </w:r>
      <w:r w:rsidRPr="00221992">
        <w:rPr>
          <w:lang w:val="en-GB"/>
        </w:rPr>
        <w:t xml:space="preserve">the </w:t>
      </w:r>
      <w:r w:rsidR="003C0DBE">
        <w:rPr>
          <w:lang w:val="en-GB"/>
        </w:rPr>
        <w:t xml:space="preserve">financial </w:t>
      </w:r>
      <w:r w:rsidRPr="00221992">
        <w:rPr>
          <w:lang w:val="en-GB"/>
        </w:rPr>
        <w:t>magnitude</w:t>
      </w:r>
      <w:r w:rsidR="003C0DBE">
        <w:rPr>
          <w:lang w:val="en-GB"/>
        </w:rPr>
        <w:t xml:space="preserve"> of such programs or </w:t>
      </w:r>
      <w:r w:rsidRPr="00221992">
        <w:rPr>
          <w:lang w:val="en-GB"/>
        </w:rPr>
        <w:t>number of drugs listed under these circumstances.</w:t>
      </w:r>
      <w:r w:rsidR="008A6310">
        <w:rPr>
          <w:lang w:val="en-GB"/>
        </w:rPr>
        <w:t xml:space="preserve"> </w:t>
      </w:r>
    </w:p>
    <w:p w14:paraId="7F6E922F" w14:textId="22E41AA8" w:rsidR="00D65012" w:rsidRPr="00221992" w:rsidRDefault="00D65012" w:rsidP="00C9045F">
      <w:pPr>
        <w:rPr>
          <w:lang w:val="en-GB"/>
        </w:rPr>
      </w:pPr>
      <w:r w:rsidRPr="00221992">
        <w:rPr>
          <w:lang w:val="en-GB"/>
        </w:rPr>
        <w:t xml:space="preserve">In Belgium, the Special Solidarity Fund (SSF) </w:t>
      </w:r>
      <w:r w:rsidR="00951341" w:rsidRPr="00221992">
        <w:rPr>
          <w:lang w:val="en-GB"/>
        </w:rPr>
        <w:t>provides</w:t>
      </w:r>
      <w:r w:rsidRPr="00221992">
        <w:rPr>
          <w:lang w:val="en-GB"/>
        </w:rPr>
        <w:t xml:space="preserve"> non-traditional financing of urgent medical care that is tempor</w:t>
      </w:r>
      <w:r w:rsidR="001F1C56">
        <w:rPr>
          <w:lang w:val="en-GB"/>
        </w:rPr>
        <w:t>ary</w:t>
      </w:r>
      <w:r w:rsidRPr="00221992">
        <w:rPr>
          <w:lang w:val="en-GB"/>
        </w:rPr>
        <w:t xml:space="preserve"> and not specific </w:t>
      </w:r>
      <w:r w:rsidR="001F1C56">
        <w:rPr>
          <w:lang w:val="en-GB"/>
        </w:rPr>
        <w:t>to</w:t>
      </w:r>
      <w:r w:rsidR="001F1C56" w:rsidRPr="00221992">
        <w:rPr>
          <w:lang w:val="en-GB"/>
        </w:rPr>
        <w:t xml:space="preserve"> </w:t>
      </w:r>
      <w:r w:rsidRPr="00221992">
        <w:rPr>
          <w:lang w:val="en-GB"/>
        </w:rPr>
        <w:t>drugs for rare diseases</w:t>
      </w:r>
      <w:r w:rsidR="001F1C56">
        <w:rPr>
          <w:lang w:val="en-GB"/>
        </w:rPr>
        <w:t>. However,</w:t>
      </w:r>
      <w:r w:rsidRPr="00221992">
        <w:rPr>
          <w:lang w:val="en-GB"/>
        </w:rPr>
        <w:t xml:space="preserve"> given </w:t>
      </w:r>
      <w:r w:rsidR="001F1C56">
        <w:rPr>
          <w:lang w:val="en-GB"/>
        </w:rPr>
        <w:t>the SSF’s</w:t>
      </w:r>
      <w:r w:rsidR="001F1C56" w:rsidRPr="00221992">
        <w:rPr>
          <w:lang w:val="en-GB"/>
        </w:rPr>
        <w:t xml:space="preserve"> </w:t>
      </w:r>
      <w:r w:rsidRPr="00221992">
        <w:rPr>
          <w:lang w:val="en-GB"/>
        </w:rPr>
        <w:t xml:space="preserve">eligibility criteria, some drugs for rare diseases </w:t>
      </w:r>
      <w:r w:rsidR="001F1C56">
        <w:rPr>
          <w:lang w:val="en-GB"/>
        </w:rPr>
        <w:t>may</w:t>
      </w:r>
      <w:r w:rsidR="001F1C56" w:rsidRPr="00221992">
        <w:rPr>
          <w:lang w:val="en-GB"/>
        </w:rPr>
        <w:t xml:space="preserve"> </w:t>
      </w:r>
      <w:r w:rsidRPr="00221992">
        <w:rPr>
          <w:lang w:val="en-GB"/>
        </w:rPr>
        <w:t>be funded through this pathway. Eligibility is determined by the College of Medical Doctors Directors</w:t>
      </w:r>
      <w:r w:rsidR="001F1C56">
        <w:rPr>
          <w:lang w:val="en-GB"/>
        </w:rPr>
        <w:t>,</w:t>
      </w:r>
      <w:r w:rsidRPr="00221992">
        <w:rPr>
          <w:lang w:val="en-GB"/>
        </w:rPr>
        <w:t xml:space="preserve"> depending on urgency, safety, alternative treatments, critical medical need, scientific value and effectiveness. Under Early </w:t>
      </w:r>
      <w:r w:rsidR="001F1C56">
        <w:rPr>
          <w:lang w:val="en-GB"/>
        </w:rPr>
        <w:t>T</w:t>
      </w:r>
      <w:r w:rsidRPr="00221992">
        <w:rPr>
          <w:lang w:val="en-GB"/>
        </w:rPr>
        <w:t xml:space="preserve">emporary </w:t>
      </w:r>
      <w:r w:rsidR="001F1C56">
        <w:rPr>
          <w:lang w:val="en-GB"/>
        </w:rPr>
        <w:t>A</w:t>
      </w:r>
      <w:r w:rsidRPr="00221992">
        <w:rPr>
          <w:lang w:val="en-GB"/>
        </w:rPr>
        <w:t xml:space="preserve">uthorization (ETA), a regulated access pathway </w:t>
      </w:r>
      <w:r w:rsidR="001F1C56">
        <w:rPr>
          <w:lang w:val="en-GB"/>
        </w:rPr>
        <w:t>for</w:t>
      </w:r>
      <w:r w:rsidR="001F1C56" w:rsidRPr="00221992">
        <w:rPr>
          <w:lang w:val="en-GB"/>
        </w:rPr>
        <w:t xml:space="preserve"> </w:t>
      </w:r>
      <w:r w:rsidRPr="00221992">
        <w:rPr>
          <w:lang w:val="en-GB"/>
        </w:rPr>
        <w:t xml:space="preserve">orphan drugs, an innovative drug </w:t>
      </w:r>
      <w:r w:rsidR="001F1C56">
        <w:rPr>
          <w:lang w:val="en-GB"/>
        </w:rPr>
        <w:t>may</w:t>
      </w:r>
      <w:r w:rsidR="001F1C56" w:rsidRPr="00221992">
        <w:rPr>
          <w:lang w:val="en-GB"/>
        </w:rPr>
        <w:t xml:space="preserve"> </w:t>
      </w:r>
      <w:r w:rsidRPr="00221992">
        <w:rPr>
          <w:lang w:val="en-GB"/>
        </w:rPr>
        <w:t xml:space="preserve">be </w:t>
      </w:r>
      <w:r w:rsidR="001F1C56">
        <w:rPr>
          <w:lang w:val="en-GB"/>
        </w:rPr>
        <w:t>provided</w:t>
      </w:r>
      <w:r w:rsidR="001F1C56" w:rsidRPr="00221992">
        <w:rPr>
          <w:lang w:val="en-GB"/>
        </w:rPr>
        <w:t xml:space="preserve"> </w:t>
      </w:r>
      <w:r w:rsidRPr="00221992">
        <w:rPr>
          <w:lang w:val="en-GB"/>
        </w:rPr>
        <w:t xml:space="preserve">to patients </w:t>
      </w:r>
      <w:r w:rsidR="001F1C56">
        <w:rPr>
          <w:lang w:val="en-GB"/>
        </w:rPr>
        <w:t>with</w:t>
      </w:r>
      <w:r w:rsidR="001F1C56" w:rsidRPr="00221992">
        <w:rPr>
          <w:lang w:val="en-GB"/>
        </w:rPr>
        <w:t xml:space="preserve"> </w:t>
      </w:r>
      <w:r w:rsidRPr="00221992">
        <w:rPr>
          <w:lang w:val="en-GB"/>
        </w:rPr>
        <w:t xml:space="preserve">critical medical need and a seriously debilitating or life-threatening disease included on </w:t>
      </w:r>
      <w:r w:rsidR="00180444">
        <w:rPr>
          <w:lang w:val="en-GB"/>
        </w:rPr>
        <w:t>RIZIV’s</w:t>
      </w:r>
      <w:r w:rsidRPr="00221992">
        <w:rPr>
          <w:lang w:val="en-GB"/>
        </w:rPr>
        <w:t xml:space="preserve"> </w:t>
      </w:r>
      <w:r w:rsidR="00551786">
        <w:rPr>
          <w:lang w:val="en-GB"/>
        </w:rPr>
        <w:t>‘</w:t>
      </w:r>
      <w:r w:rsidRPr="00221992">
        <w:rPr>
          <w:lang w:val="en-GB"/>
        </w:rPr>
        <w:t>Unmet Medical Need</w:t>
      </w:r>
      <w:r w:rsidR="00551786">
        <w:rPr>
          <w:lang w:val="en-GB"/>
        </w:rPr>
        <w:t>’</w:t>
      </w:r>
      <w:r w:rsidRPr="00221992">
        <w:rPr>
          <w:lang w:val="en-GB"/>
        </w:rPr>
        <w:t xml:space="preserve"> list. In addition, two other programs exist</w:t>
      </w:r>
      <w:r w:rsidR="001F1C56">
        <w:rPr>
          <w:lang w:val="en-GB"/>
        </w:rPr>
        <w:t>—</w:t>
      </w:r>
      <w:r w:rsidRPr="00221992">
        <w:rPr>
          <w:lang w:val="en-GB"/>
        </w:rPr>
        <w:t xml:space="preserve">the </w:t>
      </w:r>
      <w:r w:rsidR="001F1C56">
        <w:rPr>
          <w:lang w:val="en-GB"/>
        </w:rPr>
        <w:t>M</w:t>
      </w:r>
      <w:r w:rsidRPr="00221992">
        <w:rPr>
          <w:lang w:val="en-GB"/>
        </w:rPr>
        <w:t xml:space="preserve">edical </w:t>
      </w:r>
      <w:r w:rsidR="001F1C56">
        <w:rPr>
          <w:lang w:val="en-GB"/>
        </w:rPr>
        <w:t>N</w:t>
      </w:r>
      <w:r w:rsidRPr="00221992">
        <w:rPr>
          <w:lang w:val="en-GB"/>
        </w:rPr>
        <w:t xml:space="preserve">eed </w:t>
      </w:r>
      <w:r w:rsidR="001F1C56">
        <w:rPr>
          <w:lang w:val="en-GB"/>
        </w:rPr>
        <w:t>P</w:t>
      </w:r>
      <w:r w:rsidRPr="00221992">
        <w:rPr>
          <w:lang w:val="en-GB"/>
        </w:rPr>
        <w:t xml:space="preserve">rogram (MNP) </w:t>
      </w:r>
      <w:r w:rsidR="009D251E">
        <w:rPr>
          <w:lang w:val="en-GB"/>
        </w:rPr>
        <w:t>and</w:t>
      </w:r>
      <w:r w:rsidRPr="00221992">
        <w:rPr>
          <w:lang w:val="en-GB"/>
        </w:rPr>
        <w:t xml:space="preserve"> the </w:t>
      </w:r>
      <w:r w:rsidR="001F1C56">
        <w:rPr>
          <w:lang w:val="en-GB"/>
        </w:rPr>
        <w:t>C</w:t>
      </w:r>
      <w:r w:rsidRPr="00221992">
        <w:rPr>
          <w:lang w:val="en-GB"/>
        </w:rPr>
        <w:t xml:space="preserve">ompassionate </w:t>
      </w:r>
      <w:r w:rsidR="001F1C56">
        <w:rPr>
          <w:lang w:val="en-GB"/>
        </w:rPr>
        <w:t>U</w:t>
      </w:r>
      <w:r w:rsidRPr="00221992">
        <w:rPr>
          <w:lang w:val="en-GB"/>
        </w:rPr>
        <w:t xml:space="preserve">se </w:t>
      </w:r>
      <w:r w:rsidR="001F1C56">
        <w:rPr>
          <w:lang w:val="en-GB"/>
        </w:rPr>
        <w:t>P</w:t>
      </w:r>
      <w:r w:rsidRPr="00221992">
        <w:rPr>
          <w:lang w:val="en-GB"/>
        </w:rPr>
        <w:t>rogram (CUP)</w:t>
      </w:r>
      <w:r w:rsidR="001F1C56">
        <w:rPr>
          <w:lang w:val="en-GB"/>
        </w:rPr>
        <w:t>—</w:t>
      </w:r>
      <w:r w:rsidRPr="00221992">
        <w:rPr>
          <w:lang w:val="en-GB"/>
        </w:rPr>
        <w:t xml:space="preserve">that can be accessed </w:t>
      </w:r>
      <w:r w:rsidR="001F1C56">
        <w:rPr>
          <w:lang w:val="en-GB"/>
        </w:rPr>
        <w:t>without</w:t>
      </w:r>
      <w:r w:rsidRPr="00221992">
        <w:rPr>
          <w:lang w:val="en-GB"/>
        </w:rPr>
        <w:t xml:space="preserve"> MA</w:t>
      </w:r>
      <w:r w:rsidR="001F1C56">
        <w:rPr>
          <w:lang w:val="en-GB"/>
        </w:rPr>
        <w:t>,</w:t>
      </w:r>
      <w:r w:rsidRPr="00221992">
        <w:rPr>
          <w:lang w:val="en-GB"/>
        </w:rPr>
        <w:t xml:space="preserve"> or </w:t>
      </w:r>
      <w:r w:rsidR="001F1C56">
        <w:rPr>
          <w:lang w:val="en-GB"/>
        </w:rPr>
        <w:t xml:space="preserve">when </w:t>
      </w:r>
      <w:r w:rsidRPr="00221992">
        <w:rPr>
          <w:lang w:val="en-GB"/>
        </w:rPr>
        <w:t xml:space="preserve">MA is available for a different indication, respectively. The manufacturer may apply for </w:t>
      </w:r>
      <w:r w:rsidR="001F1C56" w:rsidRPr="00221992">
        <w:rPr>
          <w:lang w:val="en-GB"/>
        </w:rPr>
        <w:t>early temporary reimbursement (ETR)</w:t>
      </w:r>
      <w:r w:rsidR="001F1C56">
        <w:rPr>
          <w:lang w:val="en-GB"/>
        </w:rPr>
        <w:t xml:space="preserve"> </w:t>
      </w:r>
      <w:r w:rsidR="006D1A64">
        <w:rPr>
          <w:lang w:val="en-GB"/>
        </w:rPr>
        <w:t>for</w:t>
      </w:r>
      <w:r w:rsidR="001F1C56">
        <w:rPr>
          <w:lang w:val="en-GB"/>
        </w:rPr>
        <w:t xml:space="preserve"> product provided via the</w:t>
      </w:r>
      <w:r w:rsidR="001F1C56" w:rsidRPr="00221992">
        <w:rPr>
          <w:lang w:val="en-GB"/>
        </w:rPr>
        <w:t xml:space="preserve"> </w:t>
      </w:r>
      <w:r w:rsidRPr="00221992">
        <w:rPr>
          <w:lang w:val="en-GB"/>
        </w:rPr>
        <w:t xml:space="preserve">CUP or MNP </w:t>
      </w:r>
      <w:r w:rsidRPr="00221992">
        <w:rPr>
          <w:lang w:val="en-GB"/>
        </w:rPr>
        <w:fldChar w:fldCharType="begin"/>
      </w:r>
      <w:r w:rsidR="00E5265C">
        <w:rPr>
          <w:lang w:val="en-GB"/>
        </w:rPr>
        <w:instrText xml:space="preserve"> ADDIN EN.CITE &lt;EndNote&gt;&lt;Cite&gt;&lt;Author&gt;Abdallah&lt;/Author&gt;&lt;Year&gt;2022&lt;/Year&gt;&lt;RecNum&gt;20849&lt;/RecNum&gt;&lt;DisplayText&gt;[182]&lt;/DisplayText&gt;&lt;record&gt;&lt;rec-number&gt;20849&lt;/rec-number&gt;&lt;foreign-keys&gt;&lt;key app="EN" db-id="etpte9adcdfve1eerz5pws2fvps522ds5svf" timestamp="1692751932" guid="a7d6cc36-fa3e-4bec-8d59-4b7104b0582e"&gt;20849&lt;/key&gt;&lt;/foreign-keys&gt;&lt;ref-type name="Journal Article"&gt;17&lt;/ref-type&gt;&lt;contributors&gt;&lt;authors&gt;&lt;author&gt;Abdallah, Khadidja&lt;/author&gt;&lt;author&gt;Claes, Kathleen&lt;/author&gt;&lt;author&gt;Huys, Isabelle&lt;/author&gt;&lt;author&gt;Follon, Lennert&lt;/author&gt;&lt;author&gt;Calis, Charlotte&lt;/author&gt;&lt;author&gt;Simoens, Steven&lt;/author&gt;&lt;/authors&gt;&lt;/contributors&gt;&lt;titles&gt;&lt;title&gt;Exploring alternative financing models and early access schemes for orphan drugs: a Belgian case study&lt;/title&gt;&lt;secondary-title&gt;Orphanet Journal of Rare Diseases&lt;/secondary-title&gt;&lt;/titles&gt;&lt;pages&gt;429&lt;/pages&gt;&lt;volume&gt;17&lt;/volume&gt;&lt;number&gt;1&lt;/number&gt;&lt;dates&gt;&lt;year&gt;2022&lt;/year&gt;&lt;pub-dates&gt;&lt;date&gt;2022/12/09&lt;/date&gt;&lt;/pub-dates&gt;&lt;/dates&gt;&lt;isbn&gt;1750-1172&lt;/isbn&gt;&lt;urls&gt;&lt;related-urls&gt;&lt;url&gt;https://doi.org/10.1186/s13023-022-02571-8&lt;/url&gt;&lt;/related-urls&gt;&lt;/urls&gt;&lt;electronic-resource-num&gt;10.1186/s13023-022-02571-8&lt;/electronic-resource-num&gt;&lt;/record&gt;&lt;/Cite&gt;&lt;/EndNote&gt;</w:instrText>
      </w:r>
      <w:r w:rsidRPr="00221992">
        <w:rPr>
          <w:lang w:val="en-GB"/>
        </w:rPr>
        <w:fldChar w:fldCharType="separate"/>
      </w:r>
      <w:r w:rsidR="00E5265C">
        <w:rPr>
          <w:noProof/>
          <w:lang w:val="en-GB"/>
        </w:rPr>
        <w:t>[182]</w:t>
      </w:r>
      <w:r w:rsidRPr="00221992">
        <w:rPr>
          <w:lang w:val="en-GB"/>
        </w:rPr>
        <w:fldChar w:fldCharType="end"/>
      </w:r>
      <w:r w:rsidRPr="00221992">
        <w:rPr>
          <w:lang w:val="en-GB"/>
        </w:rPr>
        <w:t>.</w:t>
      </w:r>
    </w:p>
    <w:p w14:paraId="4FEB0F6E" w14:textId="11E73356" w:rsidR="00D65012" w:rsidRPr="00221992" w:rsidRDefault="006D1A64" w:rsidP="00C9045F">
      <w:pPr>
        <w:rPr>
          <w:lang w:val="en-GB"/>
        </w:rPr>
      </w:pPr>
      <w:r>
        <w:rPr>
          <w:lang w:val="en-GB"/>
        </w:rPr>
        <w:t>I</w:t>
      </w:r>
      <w:r w:rsidR="00D65012" w:rsidRPr="00221992">
        <w:rPr>
          <w:lang w:val="en-GB"/>
        </w:rPr>
        <w:t>n Canada, British Columbia</w:t>
      </w:r>
      <w:r w:rsidR="00856FC1" w:rsidRPr="00221992">
        <w:rPr>
          <w:lang w:val="en-GB"/>
        </w:rPr>
        <w:t xml:space="preserve"> and Alberta have implemented access pathways for expensive drugs for rare diseases </w:t>
      </w:r>
      <w:r w:rsidR="00D65012" w:rsidRPr="00221992">
        <w:rPr>
          <w:lang w:val="en-GB"/>
        </w:rPr>
        <w:fldChar w:fldCharType="begin"/>
      </w:r>
      <w:r w:rsidR="00E5265C">
        <w:rPr>
          <w:lang w:val="en-GB"/>
        </w:rPr>
        <w:instrText xml:space="preserve"> ADDIN EN.CITE &lt;EndNote&gt;&lt;Cite&gt;&lt;Author&gt;PharmaCare&lt;/Author&gt;&lt;Year&gt;2023&lt;/Year&gt;&lt;RecNum&gt;534&lt;/RecNum&gt;&lt;DisplayText&gt;[150]&lt;/DisplayText&gt;&lt;record&gt;&lt;rec-number&gt;534&lt;/rec-number&gt;&lt;foreign-keys&gt;&lt;key app="EN" db-id="wzwwsfxe4peesxef95cxvrwjxts9rreasarf" timestamp="1692751953"&gt;534&lt;/key&gt;&lt;/foreign-keys&gt;&lt;ref-type name="Web Page"&gt;12&lt;/ref-type&gt;&lt;contributors&gt;&lt;authors&gt;&lt;author&gt;PharmaCare,&lt;/author&gt;&lt;/authors&gt;&lt;/contributors&gt;&lt;titles&gt;&lt;title&gt;Exceptional funding of EDRDs&lt;/title&gt;&lt;/titles&gt;&lt;number&gt;28/07/2023&lt;/number&gt;&lt;dates&gt;&lt;year&gt;2023&lt;/year&gt;&lt;/dates&gt;&lt;urls&gt;&lt;related-urls&gt;&lt;url&gt;https://www2.gov.bc.ca/gov/content/health/health-drug-coverage/pharmacare-for-bc-residents/what-we-cover/exceptional-funding-edrd#:~:text=To%20be%20eligible%20for%20an,MSP%20and%20Fair%20PharmaCare%3B%20and&lt;/url&gt;&lt;/related-urls&gt;&lt;/urls&gt;&lt;/record&gt;&lt;/Cite&gt;&lt;/EndNote&gt;</w:instrText>
      </w:r>
      <w:r w:rsidR="00D65012" w:rsidRPr="00221992">
        <w:rPr>
          <w:lang w:val="en-GB"/>
        </w:rPr>
        <w:fldChar w:fldCharType="separate"/>
      </w:r>
      <w:r w:rsidR="00E5265C">
        <w:rPr>
          <w:noProof/>
          <w:lang w:val="en-GB"/>
        </w:rPr>
        <w:t>[150]</w:t>
      </w:r>
      <w:r w:rsidR="00D65012" w:rsidRPr="00221992">
        <w:rPr>
          <w:lang w:val="en-GB"/>
        </w:rPr>
        <w:fldChar w:fldCharType="end"/>
      </w:r>
      <w:r w:rsidR="00D65012" w:rsidRPr="00221992">
        <w:rPr>
          <w:lang w:val="en-GB"/>
        </w:rPr>
        <w:t>. In Alberta (Short term exceptional drug therapy program)</w:t>
      </w:r>
      <w:r>
        <w:rPr>
          <w:lang w:val="en-GB"/>
        </w:rPr>
        <w:t>,</w:t>
      </w:r>
      <w:r w:rsidR="00D65012" w:rsidRPr="00221992">
        <w:rPr>
          <w:lang w:val="en-GB"/>
        </w:rPr>
        <w:t xml:space="preserve"> the pathway </w:t>
      </w:r>
      <w:r>
        <w:rPr>
          <w:lang w:val="en-GB"/>
        </w:rPr>
        <w:t>grants</w:t>
      </w:r>
      <w:r w:rsidR="00D65012" w:rsidRPr="00221992">
        <w:rPr>
          <w:lang w:val="en-GB"/>
        </w:rPr>
        <w:t xml:space="preserve"> short term access with no guarantee </w:t>
      </w:r>
      <w:r>
        <w:rPr>
          <w:lang w:val="en-GB"/>
        </w:rPr>
        <w:t xml:space="preserve">that </w:t>
      </w:r>
      <w:r w:rsidR="00D65012" w:rsidRPr="00221992">
        <w:rPr>
          <w:lang w:val="en-GB"/>
        </w:rPr>
        <w:t xml:space="preserve">treatment will continue beyond </w:t>
      </w:r>
      <w:r>
        <w:rPr>
          <w:lang w:val="en-GB"/>
        </w:rPr>
        <w:t>an</w:t>
      </w:r>
      <w:r w:rsidRPr="00221992">
        <w:rPr>
          <w:lang w:val="en-GB"/>
        </w:rPr>
        <w:t xml:space="preserve"> </w:t>
      </w:r>
      <w:r w:rsidR="00D65012" w:rsidRPr="00221992">
        <w:rPr>
          <w:lang w:val="en-GB"/>
        </w:rPr>
        <w:t xml:space="preserve">authorised </w:t>
      </w:r>
      <w:r>
        <w:rPr>
          <w:lang w:val="en-GB"/>
        </w:rPr>
        <w:t>period</w:t>
      </w:r>
      <w:r w:rsidR="00D65012" w:rsidRPr="00221992">
        <w:rPr>
          <w:lang w:val="en-GB"/>
        </w:rPr>
        <w:t xml:space="preserve">. Both consider a lower bound threshold, where eligible drugs must have an annual cost per patient </w:t>
      </w:r>
      <w:r>
        <w:rPr>
          <w:lang w:val="en-GB"/>
        </w:rPr>
        <w:t xml:space="preserve">of at least </w:t>
      </w:r>
      <w:r w:rsidR="00D82BAB">
        <w:rPr>
          <w:lang w:val="en-GB"/>
        </w:rPr>
        <w:t>CA</w:t>
      </w:r>
      <w:r>
        <w:rPr>
          <w:lang w:val="en-GB"/>
        </w:rPr>
        <w:t xml:space="preserve">N </w:t>
      </w:r>
      <w:r w:rsidR="00D65012" w:rsidRPr="00221992">
        <w:rPr>
          <w:lang w:val="en-GB"/>
        </w:rPr>
        <w:t xml:space="preserve">$100,000 to be eligible. In both cases, the request for funding is made based for individual patients and must have been previously considered </w:t>
      </w:r>
      <w:r>
        <w:rPr>
          <w:lang w:val="en-GB"/>
        </w:rPr>
        <w:t>via</w:t>
      </w:r>
      <w:r w:rsidRPr="00221992">
        <w:rPr>
          <w:lang w:val="en-GB"/>
        </w:rPr>
        <w:t xml:space="preserve"> </w:t>
      </w:r>
      <w:r w:rsidR="00D65012" w:rsidRPr="00221992">
        <w:rPr>
          <w:lang w:val="en-GB"/>
        </w:rPr>
        <w:t xml:space="preserve">the standard </w:t>
      </w:r>
      <w:r w:rsidRPr="00221992">
        <w:rPr>
          <w:lang w:val="en-GB"/>
        </w:rPr>
        <w:t xml:space="preserve">reimbursement </w:t>
      </w:r>
      <w:r w:rsidR="00D65012" w:rsidRPr="00221992">
        <w:rPr>
          <w:lang w:val="en-GB"/>
        </w:rPr>
        <w:t>process for these types of drugs. In British Columbia, a subspecialty subcommittee provide</w:t>
      </w:r>
      <w:r>
        <w:rPr>
          <w:lang w:val="en-GB"/>
        </w:rPr>
        <w:t>s</w:t>
      </w:r>
      <w:r w:rsidR="00D65012" w:rsidRPr="00221992">
        <w:rPr>
          <w:lang w:val="en-GB"/>
        </w:rPr>
        <w:t xml:space="preserve"> recommendations to the EDRD Advisory committee</w:t>
      </w:r>
      <w:r>
        <w:rPr>
          <w:lang w:val="en-GB"/>
        </w:rPr>
        <w:t>,</w:t>
      </w:r>
      <w:r w:rsidR="00D65012" w:rsidRPr="00221992">
        <w:rPr>
          <w:lang w:val="en-GB"/>
        </w:rPr>
        <w:t xml:space="preserve"> </w:t>
      </w:r>
      <w:r>
        <w:rPr>
          <w:lang w:val="en-GB"/>
        </w:rPr>
        <w:t>comprised of</w:t>
      </w:r>
      <w:r w:rsidR="00D65012" w:rsidRPr="00221992">
        <w:rPr>
          <w:lang w:val="en-GB"/>
        </w:rPr>
        <w:t xml:space="preserve"> clinicians and experts in ethics, economics and pharmaceuticals</w:t>
      </w:r>
      <w:r>
        <w:rPr>
          <w:lang w:val="en-GB"/>
        </w:rPr>
        <w:t>,</w:t>
      </w:r>
      <w:r w:rsidR="00D65012" w:rsidRPr="00221992">
        <w:rPr>
          <w:lang w:val="en-GB"/>
        </w:rPr>
        <w:t xml:space="preserve"> </w:t>
      </w:r>
      <w:r>
        <w:rPr>
          <w:lang w:val="en-GB"/>
        </w:rPr>
        <w:t>who</w:t>
      </w:r>
      <w:r w:rsidRPr="00221992">
        <w:rPr>
          <w:lang w:val="en-GB"/>
        </w:rPr>
        <w:t xml:space="preserve"> </w:t>
      </w:r>
      <w:r w:rsidR="00D65012" w:rsidRPr="00221992">
        <w:rPr>
          <w:lang w:val="en-GB"/>
        </w:rPr>
        <w:t>advi</w:t>
      </w:r>
      <w:r>
        <w:rPr>
          <w:lang w:val="en-GB"/>
        </w:rPr>
        <w:t>s</w:t>
      </w:r>
      <w:r w:rsidR="00D65012" w:rsidRPr="00221992">
        <w:rPr>
          <w:lang w:val="en-GB"/>
        </w:rPr>
        <w:t xml:space="preserve">e the Ministry. </w:t>
      </w:r>
    </w:p>
    <w:p w14:paraId="07BBE0A2" w14:textId="6E9D8EB9" w:rsidR="00D65012" w:rsidRPr="00221992" w:rsidRDefault="00D65012" w:rsidP="00C9045F">
      <w:pPr>
        <w:rPr>
          <w:lang w:val="en-GB"/>
        </w:rPr>
      </w:pPr>
      <w:r w:rsidRPr="00221992">
        <w:rPr>
          <w:lang w:val="en-GB"/>
        </w:rPr>
        <w:t xml:space="preserve">Scotland has </w:t>
      </w:r>
      <w:r w:rsidR="00067E5B">
        <w:rPr>
          <w:lang w:val="en-GB"/>
        </w:rPr>
        <w:t>distinct</w:t>
      </w:r>
      <w:r w:rsidR="00067E5B" w:rsidRPr="00221992">
        <w:rPr>
          <w:lang w:val="en-GB"/>
        </w:rPr>
        <w:t xml:space="preserve"> </w:t>
      </w:r>
      <w:r w:rsidRPr="00221992">
        <w:rPr>
          <w:lang w:val="en-GB"/>
        </w:rPr>
        <w:t xml:space="preserve">alternative access pathways. In particular, the </w:t>
      </w:r>
      <w:r w:rsidR="009D251E" w:rsidRPr="009D251E">
        <w:rPr>
          <w:lang w:val="en-GB"/>
        </w:rPr>
        <w:t xml:space="preserve">Peer Approved Clinical System </w:t>
      </w:r>
      <w:r w:rsidR="009D251E">
        <w:rPr>
          <w:lang w:val="en-GB"/>
        </w:rPr>
        <w:t>(</w:t>
      </w:r>
      <w:r w:rsidRPr="00221992">
        <w:rPr>
          <w:lang w:val="en-GB"/>
        </w:rPr>
        <w:t>PACS</w:t>
      </w:r>
      <w:r w:rsidR="009D251E">
        <w:rPr>
          <w:lang w:val="en-GB"/>
        </w:rPr>
        <w:t>)</w:t>
      </w:r>
      <w:r w:rsidRPr="00221992">
        <w:rPr>
          <w:lang w:val="en-GB"/>
        </w:rPr>
        <w:t xml:space="preserve"> Tier 1 targets ultra-orphan</w:t>
      </w:r>
      <w:r w:rsidR="00067E5B">
        <w:rPr>
          <w:lang w:val="en-GB"/>
        </w:rPr>
        <w:t xml:space="preserve"> drugs</w:t>
      </w:r>
      <w:r w:rsidRPr="00221992">
        <w:rPr>
          <w:lang w:val="en-GB"/>
        </w:rPr>
        <w:t xml:space="preserve"> that were not recommended under the ultra-orphan standard </w:t>
      </w:r>
      <w:r w:rsidR="00067E5B">
        <w:rPr>
          <w:lang w:val="en-GB"/>
        </w:rPr>
        <w:t xml:space="preserve">access </w:t>
      </w:r>
      <w:r w:rsidRPr="00221992">
        <w:rPr>
          <w:lang w:val="en-GB"/>
        </w:rPr>
        <w:t xml:space="preserve">pathway. </w:t>
      </w:r>
      <w:r w:rsidR="00067E5B">
        <w:rPr>
          <w:lang w:val="en-GB"/>
        </w:rPr>
        <w:t>Scotland’s</w:t>
      </w:r>
      <w:r w:rsidRPr="00221992">
        <w:rPr>
          <w:lang w:val="en-GB"/>
        </w:rPr>
        <w:t xml:space="preserve"> PACS Tier 2 applies when the indication has been considered and not recommended by the SMC</w:t>
      </w:r>
      <w:r w:rsidR="00067E5B">
        <w:rPr>
          <w:lang w:val="en-GB"/>
        </w:rPr>
        <w:t>;</w:t>
      </w:r>
      <w:r w:rsidRPr="00221992">
        <w:rPr>
          <w:lang w:val="en-GB"/>
        </w:rPr>
        <w:t xml:space="preserve"> </w:t>
      </w:r>
      <w:r w:rsidR="00067E5B">
        <w:rPr>
          <w:lang w:val="en-GB"/>
        </w:rPr>
        <w:t xml:space="preserve">when </w:t>
      </w:r>
      <w:r w:rsidRPr="00221992">
        <w:rPr>
          <w:lang w:val="en-GB"/>
        </w:rPr>
        <w:t>intended use is not within the SMC</w:t>
      </w:r>
      <w:r w:rsidR="00067E5B">
        <w:rPr>
          <w:lang w:val="en-GB"/>
        </w:rPr>
        <w:t>’s</w:t>
      </w:r>
      <w:r w:rsidRPr="00221992">
        <w:rPr>
          <w:lang w:val="en-GB"/>
        </w:rPr>
        <w:t xml:space="preserve"> restrictions; or </w:t>
      </w:r>
      <w:r w:rsidR="00067E5B">
        <w:rPr>
          <w:lang w:val="en-GB"/>
        </w:rPr>
        <w:t xml:space="preserve">when </w:t>
      </w:r>
      <w:r w:rsidRPr="00221992">
        <w:rPr>
          <w:lang w:val="en-GB"/>
        </w:rPr>
        <w:t>awaiting/undergoing evaluation by the SMC</w:t>
      </w:r>
      <w:r w:rsidR="00856FC1" w:rsidRPr="00221992">
        <w:rPr>
          <w:lang w:val="en-GB"/>
        </w:rPr>
        <w:t xml:space="preserve"> </w:t>
      </w:r>
      <w:r w:rsidRPr="00221992">
        <w:rPr>
          <w:lang w:val="en-GB"/>
        </w:rPr>
        <w:fldChar w:fldCharType="begin"/>
      </w:r>
      <w:r w:rsidR="00E5265C">
        <w:rPr>
          <w:lang w:val="en-GB"/>
        </w:rPr>
        <w:instrText xml:space="preserve"> ADDIN EN.CITE &lt;EndNote&gt;&lt;Cite&gt;&lt;Author&gt;NHS Scotland&lt;/Author&gt;&lt;Year&gt;2018&lt;/Year&gt;&lt;RecNum&gt;514&lt;/RecNum&gt;&lt;DisplayText&gt;[183]&lt;/DisplayText&gt;&lt;record&gt;&lt;rec-number&gt;514&lt;/rec-number&gt;&lt;foreign-keys&gt;&lt;key app="EN" db-id="wzwwsfxe4peesxef95cxvrwjxts9rreasarf" timestamp="1692751953"&gt;514&lt;/key&gt;&lt;/foreign-keys&gt;&lt;ref-type name="Web Page"&gt;12&lt;/ref-type&gt;&lt;contributors&gt;&lt;authors&gt;&lt;author&gt;NHS Scotland,&lt;/author&gt;&lt;/authors&gt;&lt;/contributors&gt;&lt;titles&gt;&lt;title&gt;Guidance on the Implementation of the Peer Approved Clinical System (PACS) Tier Two&lt;/title&gt;&lt;/titles&gt;&lt;number&gt;23 August 2023&lt;/number&gt;&lt;dates&gt;&lt;year&gt;2018&lt;/year&gt;&lt;/dates&gt;&lt;pub-location&gt;Edinburgh&lt;/pub-location&gt;&lt;publisher&gt;Scottish Government, NHS Scotland&lt;/publisher&gt;&lt;urls&gt;&lt;related-urls&gt;&lt;url&gt;https://www.sehd.scot.nhs.uk/publications/DC20180329PACS.pdf&lt;/url&gt;&lt;/related-urls&gt;&lt;/urls&gt;&lt;/record&gt;&lt;/Cite&gt;&lt;/EndNote&gt;</w:instrText>
      </w:r>
      <w:r w:rsidRPr="00221992">
        <w:rPr>
          <w:lang w:val="en-GB"/>
        </w:rPr>
        <w:fldChar w:fldCharType="separate"/>
      </w:r>
      <w:r w:rsidR="00E5265C">
        <w:rPr>
          <w:noProof/>
          <w:lang w:val="en-GB"/>
        </w:rPr>
        <w:t>[183]</w:t>
      </w:r>
      <w:r w:rsidRPr="00221992">
        <w:rPr>
          <w:lang w:val="en-GB"/>
        </w:rPr>
        <w:fldChar w:fldCharType="end"/>
      </w:r>
      <w:r w:rsidRPr="00221992">
        <w:rPr>
          <w:lang w:val="en-GB"/>
        </w:rPr>
        <w:t>. Access is also possible for unlicensed medicines or off-label use through the ULM pathway</w:t>
      </w:r>
      <w:r w:rsidR="005B54D2">
        <w:rPr>
          <w:lang w:val="en-GB"/>
        </w:rPr>
        <w:t>.</w:t>
      </w:r>
      <w:r w:rsidRPr="00221992">
        <w:rPr>
          <w:lang w:val="en-GB"/>
        </w:rPr>
        <w:t xml:space="preserve"> </w:t>
      </w:r>
      <w:r w:rsidR="005B54D2">
        <w:rPr>
          <w:lang w:val="en-GB"/>
        </w:rPr>
        <w:t>D</w:t>
      </w:r>
      <w:r w:rsidRPr="00221992">
        <w:rPr>
          <w:lang w:val="en-GB"/>
        </w:rPr>
        <w:t xml:space="preserve">rugs </w:t>
      </w:r>
      <w:r w:rsidR="00067E5B">
        <w:rPr>
          <w:lang w:val="en-GB"/>
        </w:rPr>
        <w:t>for which</w:t>
      </w:r>
      <w:r w:rsidR="00067E5B" w:rsidRPr="00221992">
        <w:rPr>
          <w:lang w:val="en-GB"/>
        </w:rPr>
        <w:t xml:space="preserve"> </w:t>
      </w:r>
      <w:r w:rsidRPr="00221992">
        <w:rPr>
          <w:lang w:val="en-GB"/>
        </w:rPr>
        <w:t xml:space="preserve">the manufacturer has not submitted an application may follow the Individual Patient Treatment Requests (IPTRs) pathway of access. </w:t>
      </w:r>
    </w:p>
    <w:p w14:paraId="58EF180F" w14:textId="31B99C7D" w:rsidR="00D65012" w:rsidRPr="00221992" w:rsidRDefault="00D65012" w:rsidP="006340FD">
      <w:pPr>
        <w:rPr>
          <w:lang w:val="en-GB"/>
        </w:rPr>
      </w:pPr>
      <w:r w:rsidRPr="00221992">
        <w:rPr>
          <w:lang w:val="en-GB"/>
        </w:rPr>
        <w:t xml:space="preserve">Similar to other frameworks, </w:t>
      </w:r>
      <w:r w:rsidR="0070577E">
        <w:rPr>
          <w:lang w:val="en-GB"/>
        </w:rPr>
        <w:t>New Zealand’s</w:t>
      </w:r>
      <w:r w:rsidR="0070577E" w:rsidRPr="00221992">
        <w:rPr>
          <w:lang w:val="en-GB"/>
        </w:rPr>
        <w:t xml:space="preserve"> </w:t>
      </w:r>
      <w:r w:rsidRPr="00221992">
        <w:rPr>
          <w:lang w:val="en-GB"/>
        </w:rPr>
        <w:t xml:space="preserve">exceptional circumstances framework has a complimentary </w:t>
      </w:r>
      <w:r w:rsidR="0070577E">
        <w:rPr>
          <w:lang w:val="en-GB"/>
        </w:rPr>
        <w:t xml:space="preserve">access </w:t>
      </w:r>
      <w:r w:rsidRPr="00221992">
        <w:rPr>
          <w:lang w:val="en-GB"/>
        </w:rPr>
        <w:t>pathway</w:t>
      </w:r>
      <w:r w:rsidR="0070577E">
        <w:rPr>
          <w:lang w:val="en-GB"/>
        </w:rPr>
        <w:t>—</w:t>
      </w:r>
      <w:r w:rsidRPr="00221992">
        <w:rPr>
          <w:lang w:val="en-GB"/>
        </w:rPr>
        <w:t xml:space="preserve">the Named Patient Pharmaceutical Assessment (NPPA). Each application is considered by </w:t>
      </w:r>
      <w:r w:rsidR="00092E74" w:rsidRPr="00221992">
        <w:rPr>
          <w:lang w:val="en-GB"/>
        </w:rPr>
        <w:t>PHARMAC</w:t>
      </w:r>
      <w:r w:rsidRPr="00221992">
        <w:rPr>
          <w:lang w:val="en-GB"/>
        </w:rPr>
        <w:t xml:space="preserve"> or the District Health Boards (DHBs)</w:t>
      </w:r>
      <w:r w:rsidR="0070577E">
        <w:rPr>
          <w:lang w:val="en-GB"/>
        </w:rPr>
        <w:t>,</w:t>
      </w:r>
      <w:r w:rsidRPr="00221992">
        <w:rPr>
          <w:lang w:val="en-GB"/>
        </w:rPr>
        <w:t xml:space="preserve"> </w:t>
      </w:r>
      <w:r w:rsidR="0070577E">
        <w:rPr>
          <w:lang w:val="en-GB"/>
        </w:rPr>
        <w:t>which</w:t>
      </w:r>
      <w:r w:rsidR="0070577E" w:rsidRPr="00221992">
        <w:rPr>
          <w:lang w:val="en-GB"/>
        </w:rPr>
        <w:t xml:space="preserve"> </w:t>
      </w:r>
      <w:r w:rsidRPr="00221992">
        <w:rPr>
          <w:lang w:val="en-GB"/>
        </w:rPr>
        <w:t xml:space="preserve">undertake rapid hospital assessments. There are several factors considered under this framework that may be relevant for rare disease patients, </w:t>
      </w:r>
      <w:r w:rsidR="0070577E">
        <w:rPr>
          <w:lang w:val="en-GB"/>
        </w:rPr>
        <w:t>including</w:t>
      </w:r>
      <w:r w:rsidRPr="00221992">
        <w:rPr>
          <w:lang w:val="en-GB"/>
        </w:rPr>
        <w:t xml:space="preserve">: (1) clinical circumstances cannot be met through the pharmaceutical schedule; (2) available treatments are not clinically suitable for the individual; (3) individual assessment and treatment would have not been previously considered by </w:t>
      </w:r>
      <w:r w:rsidR="00092E74" w:rsidRPr="00221992">
        <w:rPr>
          <w:lang w:val="en-GB"/>
        </w:rPr>
        <w:t>PHARMAC</w:t>
      </w:r>
      <w:r w:rsidR="00856FC1" w:rsidRPr="00221992">
        <w:rPr>
          <w:lang w:val="en-GB"/>
        </w:rPr>
        <w:t xml:space="preserve"> </w:t>
      </w:r>
      <w:r w:rsidRPr="00221992">
        <w:rPr>
          <w:lang w:val="en-GB"/>
        </w:rPr>
        <w:fldChar w:fldCharType="begin"/>
      </w:r>
      <w:r w:rsidR="00E5265C">
        <w:rPr>
          <w:lang w:val="en-GB"/>
        </w:rPr>
        <w:instrText xml:space="preserve"> ADDIN EN.CITE &lt;EndNote&gt;&lt;Cite&gt;&lt;Author&gt;Pharmaceutical Management Agency (PHARMAC)&lt;/Author&gt;&lt;Year&gt;2020&lt;/Year&gt;&lt;RecNum&gt;535&lt;/RecNum&gt;&lt;DisplayText&gt;[184]&lt;/DisplayText&gt;&lt;record&gt;&lt;rec-number&gt;535&lt;/rec-number&gt;&lt;foreign-keys&gt;&lt;key app="EN" db-id="wzwwsfxe4peesxef95cxvrwjxts9rreasarf" timestamp="1692751953"&gt;535&lt;/key&gt;&lt;/foreign-keys&gt;&lt;ref-type name="Web Page"&gt;12&lt;/ref-type&gt;&lt;contributors&gt;&lt;authors&gt;&lt;author&gt;Pharmaceutical Management Agency (PHARMAC),&lt;/author&gt;&lt;/authors&gt;&lt;/contributors&gt;&lt;titles&gt;&lt;title&gt;Exceptional Circumstances Framework&lt;/title&gt;&lt;/titles&gt;&lt;number&gt;09 August 2023&lt;/number&gt;&lt;dates&gt;&lt;year&gt;2020&lt;/year&gt;&lt;/dates&gt;&lt;pub-location&gt;Wellington&lt;/pub-location&gt;&lt;publisher&gt;Government of New Zealand, Pharmaceutical Management Agency (PHARMAC)&lt;/publisher&gt;&lt;urls&gt;&lt;related-urls&gt;&lt;url&gt;https://pharmac.govt.nz/medicine-funding-and-supply/the-funding-process/policies-manuals-and-processes/exceptional-circumstances-framework-including-the-named-patient-pharmaceutical-assessment-policy/&lt;/url&gt;&lt;/related-urls&gt;&lt;/urls&gt;&lt;/record&gt;&lt;/Cite&gt;&lt;/EndNote&gt;</w:instrText>
      </w:r>
      <w:r w:rsidRPr="00221992">
        <w:rPr>
          <w:lang w:val="en-GB"/>
        </w:rPr>
        <w:fldChar w:fldCharType="separate"/>
      </w:r>
      <w:r w:rsidR="00E5265C">
        <w:rPr>
          <w:noProof/>
          <w:lang w:val="en-GB"/>
        </w:rPr>
        <w:t>[184]</w:t>
      </w:r>
      <w:r w:rsidRPr="00221992">
        <w:rPr>
          <w:lang w:val="en-GB"/>
        </w:rPr>
        <w:fldChar w:fldCharType="end"/>
      </w:r>
      <w:r w:rsidRPr="00221992">
        <w:rPr>
          <w:lang w:val="en-GB"/>
        </w:rPr>
        <w:t xml:space="preserve">. </w:t>
      </w:r>
    </w:p>
    <w:p w14:paraId="677AF015" w14:textId="77777777" w:rsidR="00D65012" w:rsidRPr="00221992" w:rsidRDefault="00D65012" w:rsidP="00407BA7">
      <w:pPr>
        <w:pStyle w:val="NbrHeading3"/>
        <w:rPr>
          <w:lang w:val="en-GB"/>
        </w:rPr>
      </w:pPr>
      <w:bookmarkStart w:id="158" w:name="_Toc162950889"/>
      <w:r w:rsidRPr="00221992">
        <w:rPr>
          <w:lang w:val="en-GB"/>
        </w:rPr>
        <w:t>Recent reforms</w:t>
      </w:r>
      <w:bookmarkEnd w:id="158"/>
    </w:p>
    <w:p w14:paraId="62E847B9" w14:textId="37C95629" w:rsidR="003B4475" w:rsidRDefault="002811CF" w:rsidP="001837B5">
      <w:pPr>
        <w:rPr>
          <w:lang w:val="en-GB"/>
        </w:rPr>
      </w:pPr>
      <w:r>
        <w:rPr>
          <w:lang w:val="en-GB"/>
        </w:rPr>
        <w:t xml:space="preserve">Australia’s </w:t>
      </w:r>
      <w:r w:rsidR="003B4475">
        <w:t xml:space="preserve">first nationally coordinated </w:t>
      </w:r>
      <w:r w:rsidR="003B4475">
        <w:rPr>
          <w:lang w:val="en-GB"/>
        </w:rPr>
        <w:t xml:space="preserve">initiative </w:t>
      </w:r>
      <w:r w:rsidR="003B4475">
        <w:t>to address rare diseases</w:t>
      </w:r>
      <w:r>
        <w:t xml:space="preserve">, </w:t>
      </w:r>
      <w:r>
        <w:rPr>
          <w:lang w:val="en-GB"/>
        </w:rPr>
        <w:t>the National Strategic Action Plan for Rare Diseases,</w:t>
      </w:r>
      <w:r w:rsidR="003B4475">
        <w:rPr>
          <w:lang w:val="en-GB"/>
        </w:rPr>
        <w:t xml:space="preserve"> was launched in Australia in 2020, The Action Plan</w:t>
      </w:r>
      <w:r w:rsidR="004908BD">
        <w:rPr>
          <w:lang w:val="en-GB"/>
        </w:rPr>
        <w:t xml:space="preserve"> is based</w:t>
      </w:r>
      <w:r w:rsidR="003B4475">
        <w:rPr>
          <w:lang w:val="en-GB"/>
        </w:rPr>
        <w:t xml:space="preserve"> on three pillars: 1) awareness and education; 2) care and support and; 3) research and data. </w:t>
      </w:r>
      <w:r w:rsidR="0067357D">
        <w:rPr>
          <w:lang w:val="en-GB"/>
        </w:rPr>
        <w:t>Of these three pillars</w:t>
      </w:r>
      <w:r w:rsidR="00E63696">
        <w:rPr>
          <w:lang w:val="en-GB"/>
        </w:rPr>
        <w:t xml:space="preserve">, pillar number two relates to HTA in the sense that it speaks to, among other things, enabling early diagnosis </w:t>
      </w:r>
      <w:r w:rsidR="0044393E">
        <w:rPr>
          <w:lang w:val="en-GB"/>
        </w:rPr>
        <w:t xml:space="preserve">and access to </w:t>
      </w:r>
      <w:r w:rsidR="00E63696">
        <w:rPr>
          <w:lang w:val="en-GB"/>
        </w:rPr>
        <w:t>treatments. It emphasizes the challenges faced by decision</w:t>
      </w:r>
      <w:r w:rsidR="00010A6F">
        <w:rPr>
          <w:lang w:val="en-GB"/>
        </w:rPr>
        <w:t>-</w:t>
      </w:r>
      <w:r w:rsidR="00E63696">
        <w:rPr>
          <w:lang w:val="en-GB"/>
        </w:rPr>
        <w:t xml:space="preserve">makers when making reimbursement decisions </w:t>
      </w:r>
      <w:r w:rsidR="00010A6F">
        <w:rPr>
          <w:lang w:val="en-GB"/>
        </w:rPr>
        <w:t xml:space="preserve">for </w:t>
      </w:r>
      <w:r w:rsidR="00E63696">
        <w:rPr>
          <w:lang w:val="en-GB"/>
        </w:rPr>
        <w:t>health technologies for rare diseases following models for more common diseases</w:t>
      </w:r>
      <w:r w:rsidR="00010A6F">
        <w:rPr>
          <w:lang w:val="en-GB"/>
        </w:rPr>
        <w:t>,</w:t>
      </w:r>
      <w:r w:rsidR="00E63696">
        <w:rPr>
          <w:lang w:val="en-GB"/>
        </w:rPr>
        <w:t xml:space="preserve"> and states the importance of alternative approaches to both identify and fund health technologies for patients with rare diseases</w:t>
      </w:r>
      <w:r w:rsidR="0044393E">
        <w:rPr>
          <w:lang w:val="en-GB"/>
        </w:rPr>
        <w:t xml:space="preserve"> on an equitable basis</w:t>
      </w:r>
      <w:r w:rsidR="00E63696">
        <w:rPr>
          <w:lang w:val="en-GB"/>
        </w:rPr>
        <w:t xml:space="preserve">. </w:t>
      </w:r>
      <w:r w:rsidR="0044393E">
        <w:rPr>
          <w:lang w:val="en-GB"/>
        </w:rPr>
        <w:t xml:space="preserve">Pillar three </w:t>
      </w:r>
      <w:r w:rsidR="00F96234">
        <w:rPr>
          <w:lang w:val="en-GB"/>
        </w:rPr>
        <w:t>speaks to HTA in the sense that it is focuses on data collection and how this can be used to inform</w:t>
      </w:r>
      <w:r w:rsidR="00010A6F">
        <w:rPr>
          <w:lang w:val="en-GB"/>
        </w:rPr>
        <w:t xml:space="preserve"> HTA and</w:t>
      </w:r>
      <w:r w:rsidR="00F96234">
        <w:rPr>
          <w:lang w:val="en-GB"/>
        </w:rPr>
        <w:t xml:space="preserve"> other processes. </w:t>
      </w:r>
    </w:p>
    <w:p w14:paraId="7E571467" w14:textId="4D6FF429" w:rsidR="00683964" w:rsidRDefault="00683964" w:rsidP="001837B5">
      <w:pPr>
        <w:rPr>
          <w:lang w:val="en-GB"/>
        </w:rPr>
      </w:pPr>
      <w:r>
        <w:rPr>
          <w:lang w:val="en-GB"/>
        </w:rPr>
        <w:t xml:space="preserve">In </w:t>
      </w:r>
      <w:r w:rsidR="00010A6F">
        <w:rPr>
          <w:lang w:val="en-GB"/>
        </w:rPr>
        <w:t xml:space="preserve">2022, </w:t>
      </w:r>
      <w:r w:rsidR="00D16DD5">
        <w:rPr>
          <w:lang w:val="en-GB"/>
        </w:rPr>
        <w:t>Australia’s</w:t>
      </w:r>
      <w:r>
        <w:rPr>
          <w:lang w:val="en-GB"/>
        </w:rPr>
        <w:t xml:space="preserve"> LSDP Expert Panel provided recommendations for </w:t>
      </w:r>
      <w:r w:rsidR="00D16DD5">
        <w:rPr>
          <w:lang w:val="en-GB"/>
        </w:rPr>
        <w:t>improving</w:t>
      </w:r>
      <w:r>
        <w:rPr>
          <w:lang w:val="en-GB"/>
        </w:rPr>
        <w:t xml:space="preserve"> th</w:t>
      </w:r>
      <w:r w:rsidR="00D16DD5">
        <w:rPr>
          <w:lang w:val="en-GB"/>
        </w:rPr>
        <w:t>is</w:t>
      </w:r>
      <w:r>
        <w:rPr>
          <w:lang w:val="en-GB"/>
        </w:rPr>
        <w:t xml:space="preserve"> program</w:t>
      </w:r>
      <w:r w:rsidR="00D16DD5">
        <w:rPr>
          <w:lang w:val="en-GB"/>
        </w:rPr>
        <w:t>,</w:t>
      </w:r>
      <w:r>
        <w:rPr>
          <w:lang w:val="en-GB"/>
        </w:rPr>
        <w:t xml:space="preserve"> includ</w:t>
      </w:r>
      <w:r w:rsidR="00D16DD5">
        <w:rPr>
          <w:lang w:val="en-GB"/>
        </w:rPr>
        <w:t>ing</w:t>
      </w:r>
      <w:r>
        <w:rPr>
          <w:lang w:val="en-GB"/>
        </w:rPr>
        <w:t xml:space="preserve">: 1) development of a statement of rationale that includes the principles of the program and </w:t>
      </w:r>
      <w:r w:rsidR="00D16DD5">
        <w:rPr>
          <w:lang w:val="en-GB"/>
        </w:rPr>
        <w:t xml:space="preserve">eligibility </w:t>
      </w:r>
      <w:r>
        <w:rPr>
          <w:lang w:val="en-GB"/>
        </w:rPr>
        <w:t xml:space="preserve">criteria; 2) </w:t>
      </w:r>
      <w:r w:rsidR="00D16DD5">
        <w:rPr>
          <w:lang w:val="en-GB"/>
        </w:rPr>
        <w:t xml:space="preserve">a </w:t>
      </w:r>
      <w:r>
        <w:rPr>
          <w:lang w:val="en-GB"/>
        </w:rPr>
        <w:t xml:space="preserve">review </w:t>
      </w:r>
      <w:r w:rsidR="00D16DD5">
        <w:rPr>
          <w:lang w:val="en-GB"/>
        </w:rPr>
        <w:t xml:space="preserve">of </w:t>
      </w:r>
      <w:r>
        <w:rPr>
          <w:lang w:val="en-GB"/>
        </w:rPr>
        <w:t>data collection</w:t>
      </w:r>
      <w:r w:rsidR="00D16DD5">
        <w:rPr>
          <w:lang w:val="en-GB"/>
        </w:rPr>
        <w:t xml:space="preserve"> </w:t>
      </w:r>
      <w:r>
        <w:rPr>
          <w:lang w:val="en-GB"/>
        </w:rPr>
        <w:t>and management to improve efficiency, completeness and stakeholder satisfaction and; 3) add</w:t>
      </w:r>
      <w:r w:rsidR="00D16DD5">
        <w:rPr>
          <w:lang w:val="en-GB"/>
        </w:rPr>
        <w:t>ition of</w:t>
      </w:r>
      <w:r>
        <w:rPr>
          <w:lang w:val="en-GB"/>
        </w:rPr>
        <w:t xml:space="preserve"> </w:t>
      </w:r>
      <w:r w:rsidR="00C64A8B">
        <w:rPr>
          <w:lang w:val="en-GB"/>
        </w:rPr>
        <w:t xml:space="preserve">reasonable </w:t>
      </w:r>
      <w:r>
        <w:rPr>
          <w:lang w:val="en-GB"/>
        </w:rPr>
        <w:t>pricing criteria</w:t>
      </w:r>
      <w:r w:rsidR="00C64A8B">
        <w:rPr>
          <w:lang w:val="en-GB"/>
        </w:rPr>
        <w:t xml:space="preserve"> at entry</w:t>
      </w:r>
      <w:r w:rsidR="00D16DD5">
        <w:rPr>
          <w:lang w:val="en-GB"/>
        </w:rPr>
        <w:t>,</w:t>
      </w:r>
      <w:r w:rsidR="00C64A8B">
        <w:rPr>
          <w:lang w:val="en-GB"/>
        </w:rPr>
        <w:t xml:space="preserve"> </w:t>
      </w:r>
      <w:r w:rsidR="00D16DD5">
        <w:rPr>
          <w:lang w:val="en-GB"/>
        </w:rPr>
        <w:t xml:space="preserve">with </w:t>
      </w:r>
      <w:r w:rsidR="00C64A8B">
        <w:rPr>
          <w:lang w:val="en-GB"/>
        </w:rPr>
        <w:t xml:space="preserve">adjustments overtime. </w:t>
      </w:r>
      <w:r w:rsidR="00D16DD5">
        <w:rPr>
          <w:lang w:val="en-GB"/>
        </w:rPr>
        <w:t>The Expert Panel also provided s</w:t>
      </w:r>
      <w:r w:rsidR="00C64A8B">
        <w:rPr>
          <w:lang w:val="en-GB"/>
        </w:rPr>
        <w:t xml:space="preserve">pecific recommendations regarding current </w:t>
      </w:r>
      <w:r w:rsidR="00C161FA">
        <w:rPr>
          <w:lang w:val="en-GB"/>
        </w:rPr>
        <w:t>ultra-</w:t>
      </w:r>
      <w:r w:rsidR="00C64A8B">
        <w:rPr>
          <w:lang w:val="en-GB"/>
        </w:rPr>
        <w:t xml:space="preserve">rare diseases for which treatment is available through the </w:t>
      </w:r>
      <w:r w:rsidR="00D16DD5">
        <w:rPr>
          <w:lang w:val="en-GB"/>
        </w:rPr>
        <w:t>LSDP</w:t>
      </w:r>
      <w:r w:rsidR="00E60B32">
        <w:rPr>
          <w:lang w:val="en-GB"/>
        </w:rPr>
        <w:t xml:space="preserve"> </w:t>
      </w:r>
      <w:r w:rsidR="00C63C67">
        <w:rPr>
          <w:lang w:val="en-GB"/>
        </w:rPr>
        <w:fldChar w:fldCharType="begin"/>
      </w:r>
      <w:r w:rsidR="00E5265C">
        <w:rPr>
          <w:lang w:val="en-GB"/>
        </w:rPr>
        <w:instrText xml:space="preserve"> ADDIN EN.CITE &lt;EndNote&gt;&lt;Cite&gt;&lt;Author&gt;Department of Health and Aged Care&lt;/Author&gt;&lt;Year&gt;2022&lt;/Year&gt;&lt;RecNum&gt;703&lt;/RecNum&gt;&lt;DisplayText&gt;[185]&lt;/DisplayText&gt;&lt;record&gt;&lt;rec-number&gt;703&lt;/rec-number&gt;&lt;foreign-keys&gt;&lt;key app="EN" db-id="wzwwsfxe4peesxef95cxvrwjxts9rreasarf" timestamp="1699851689"&gt;703&lt;/key&gt;&lt;/foreign-keys&gt;&lt;ref-type name="Report"&gt;27&lt;/ref-type&gt;&lt;contributors&gt;&lt;authors&gt;&lt;author&gt;Department of Health and Aged Care,&lt;/author&gt;&lt;/authors&gt;&lt;tertiary-authors&gt;&lt;author&gt;Australian Government,, Department of Health and Aged Care&lt;/author&gt;&lt;/tertiary-authors&gt;&lt;/contributors&gt;&lt;titles&gt;&lt;title&gt;Life Saving Drugs Program (LSDP) Medicines Reviews Recommendations from the LSDP Expert Panel&lt;/title&gt;&lt;/titles&gt;&lt;dates&gt;&lt;year&gt;2022&lt;/year&gt;&lt;/dates&gt;&lt;pub-location&gt;Canberra&lt;/pub-location&gt;&lt;urls&gt;&lt;/urls&gt;&lt;/record&gt;&lt;/Cite&gt;&lt;/EndNote&gt;</w:instrText>
      </w:r>
      <w:r w:rsidR="00C63C67">
        <w:rPr>
          <w:lang w:val="en-GB"/>
        </w:rPr>
        <w:fldChar w:fldCharType="separate"/>
      </w:r>
      <w:r w:rsidR="00E5265C">
        <w:rPr>
          <w:noProof/>
          <w:lang w:val="en-GB"/>
        </w:rPr>
        <w:t>[185]</w:t>
      </w:r>
      <w:r w:rsidR="00C63C67">
        <w:rPr>
          <w:lang w:val="en-GB"/>
        </w:rPr>
        <w:fldChar w:fldCharType="end"/>
      </w:r>
      <w:r w:rsidR="00C64A8B">
        <w:rPr>
          <w:lang w:val="en-GB"/>
        </w:rPr>
        <w:t xml:space="preserve">. </w:t>
      </w:r>
    </w:p>
    <w:p w14:paraId="1297E563" w14:textId="10ED9B2B" w:rsidR="00D65012" w:rsidRPr="00221992" w:rsidRDefault="00B23CBE" w:rsidP="00702C58">
      <w:pPr>
        <w:rPr>
          <w:lang w:val="en-GB"/>
        </w:rPr>
      </w:pPr>
      <w:r>
        <w:rPr>
          <w:lang w:val="en-GB"/>
        </w:rPr>
        <w:t>A report by t</w:t>
      </w:r>
      <w:r w:rsidR="00D65012" w:rsidRPr="00221992">
        <w:rPr>
          <w:lang w:val="en-GB"/>
        </w:rPr>
        <w:t xml:space="preserve">he </w:t>
      </w:r>
      <w:r w:rsidR="005B6491">
        <w:rPr>
          <w:lang w:val="en-GB"/>
        </w:rPr>
        <w:t xml:space="preserve">European </w:t>
      </w:r>
      <w:r w:rsidR="00736313">
        <w:rPr>
          <w:lang w:val="en-GB"/>
        </w:rPr>
        <w:t>Expert Group on O</w:t>
      </w:r>
      <w:r w:rsidR="00D65012" w:rsidRPr="00221992">
        <w:rPr>
          <w:lang w:val="en-GB"/>
        </w:rPr>
        <w:t xml:space="preserve">rphan </w:t>
      </w:r>
      <w:r w:rsidR="00736313">
        <w:rPr>
          <w:lang w:val="en-GB"/>
        </w:rPr>
        <w:t>D</w:t>
      </w:r>
      <w:r w:rsidR="00D65012" w:rsidRPr="00221992">
        <w:rPr>
          <w:lang w:val="en-GB"/>
        </w:rPr>
        <w:t xml:space="preserve">rug </w:t>
      </w:r>
      <w:r w:rsidR="00736313">
        <w:rPr>
          <w:lang w:val="en-GB"/>
        </w:rPr>
        <w:t>Incentives</w:t>
      </w:r>
      <w:r w:rsidR="00D65012" w:rsidRPr="00221992">
        <w:rPr>
          <w:lang w:val="en-GB"/>
        </w:rPr>
        <w:t xml:space="preserve"> introduces possible lines of action </w:t>
      </w:r>
      <w:r w:rsidR="00672844" w:rsidRPr="00221992">
        <w:rPr>
          <w:lang w:val="en-GB"/>
        </w:rPr>
        <w:t>in</w:t>
      </w:r>
      <w:r w:rsidR="00D65012" w:rsidRPr="00221992">
        <w:rPr>
          <w:lang w:val="en-GB"/>
        </w:rPr>
        <w:t xml:space="preserve"> the rare diseases space for the European Union HTA framework currently being developed</w:t>
      </w:r>
      <w:r w:rsidR="007F24BB" w:rsidRPr="00221992">
        <w:rPr>
          <w:lang w:val="en-GB"/>
        </w:rPr>
        <w:t xml:space="preserve"> </w:t>
      </w:r>
      <w:r w:rsidR="0043408A" w:rsidRPr="00221992">
        <w:rPr>
          <w:lang w:val="en-GB"/>
        </w:rPr>
        <w:fldChar w:fldCharType="begin"/>
      </w:r>
      <w:r w:rsidR="00E5265C">
        <w:rPr>
          <w:lang w:val="en-GB"/>
        </w:rPr>
        <w:instrText xml:space="preserve"> ADDIN EN.CITE &lt;EndNote&gt;&lt;Cite&gt;&lt;Author&gt;Euopean Expert Group on OD Incentives&lt;/Author&gt;&lt;Year&gt;2023&lt;/Year&gt;&lt;RecNum&gt;641&lt;/RecNum&gt;&lt;DisplayText&gt;[186]&lt;/DisplayText&gt;&lt;record&gt;&lt;rec-number&gt;641&lt;/rec-number&gt;&lt;foreign-keys&gt;&lt;key app="EN" db-id="wzwwsfxe4peesxef95cxvrwjxts9rreasarf" timestamp="1693186424"&gt;641&lt;/key&gt;&lt;/foreign-keys&gt;&lt;ref-type name="Web Page"&gt;12&lt;/ref-type&gt;&lt;contributors&gt;&lt;authors&gt;&lt;author&gt;Euopean Expert Group on OD Incentives,&lt;/author&gt;&lt;/authors&gt;&lt;/contributors&gt;&lt;titles&gt;&lt;title&gt;The OD Expert Group launches the Report on an EU HTA for Rare Disease&lt;/title&gt;&lt;/titles&gt;&lt;dates&gt;&lt;year&gt;2023&lt;/year&gt;&lt;pub-dates&gt;&lt;date&gt;25/08/2023&lt;/date&gt;&lt;/pub-dates&gt;&lt;/dates&gt;&lt;urls&gt;&lt;related-urls&gt;&lt;url&gt;https://od-expertgroup.eu/277-2/&lt;/url&gt;&lt;/related-urls&gt;&lt;/urls&gt;&lt;/record&gt;&lt;/Cite&gt;&lt;/EndNote&gt;</w:instrText>
      </w:r>
      <w:r w:rsidR="0043408A" w:rsidRPr="00221992">
        <w:rPr>
          <w:lang w:val="en-GB"/>
        </w:rPr>
        <w:fldChar w:fldCharType="separate"/>
      </w:r>
      <w:r w:rsidR="00E5265C">
        <w:rPr>
          <w:noProof/>
          <w:lang w:val="en-GB"/>
        </w:rPr>
        <w:t>[186]</w:t>
      </w:r>
      <w:r w:rsidR="0043408A" w:rsidRPr="00221992">
        <w:rPr>
          <w:lang w:val="en-GB"/>
        </w:rPr>
        <w:fldChar w:fldCharType="end"/>
      </w:r>
      <w:r w:rsidR="00D65012" w:rsidRPr="00221992">
        <w:rPr>
          <w:lang w:val="en-GB"/>
        </w:rPr>
        <w:t xml:space="preserve">. </w:t>
      </w:r>
      <w:r w:rsidR="00736313">
        <w:rPr>
          <w:lang w:val="en-GB"/>
        </w:rPr>
        <w:t xml:space="preserve">This group was established in 2020 with the aim of gathering together the rare diseases community (including academics, patient representatives, members of the investor community, rare disease companies and trade associations) with the aim </w:t>
      </w:r>
      <w:r w:rsidR="0071598B">
        <w:rPr>
          <w:lang w:val="en-GB"/>
        </w:rPr>
        <w:t xml:space="preserve">of </w:t>
      </w:r>
      <w:r w:rsidR="000A7D29">
        <w:rPr>
          <w:lang w:val="en-GB"/>
        </w:rPr>
        <w:t>addressing</w:t>
      </w:r>
      <w:r w:rsidR="0071598B">
        <w:rPr>
          <w:lang w:val="en-GB"/>
        </w:rPr>
        <w:t xml:space="preserve"> delayed access to approved orphan drugs. Two main challenges were highlighted</w:t>
      </w:r>
      <w:r w:rsidR="00034C29">
        <w:rPr>
          <w:lang w:val="en-GB"/>
        </w:rPr>
        <w:t>:</w:t>
      </w:r>
      <w:r w:rsidR="0071598B">
        <w:rPr>
          <w:lang w:val="en-GB"/>
        </w:rPr>
        <w:t xml:space="preserve"> uncertainty of clinical evidence and </w:t>
      </w:r>
      <w:r w:rsidR="00F8371B">
        <w:rPr>
          <w:lang w:val="en-GB"/>
        </w:rPr>
        <w:t xml:space="preserve">the higher price per patient leading to </w:t>
      </w:r>
      <w:r w:rsidR="004F77F9">
        <w:rPr>
          <w:lang w:val="en-GB"/>
        </w:rPr>
        <w:t>unfavorable</w:t>
      </w:r>
      <w:r w:rsidR="00F8371B">
        <w:rPr>
          <w:lang w:val="en-GB"/>
        </w:rPr>
        <w:t xml:space="preserve"> and uncertain cost effectiveness. </w:t>
      </w:r>
      <w:r w:rsidR="00D65012" w:rsidRPr="00221992">
        <w:rPr>
          <w:lang w:val="en-GB"/>
        </w:rPr>
        <w:t xml:space="preserve">The </w:t>
      </w:r>
      <w:r w:rsidR="005C7352">
        <w:rPr>
          <w:lang w:val="en-GB"/>
        </w:rPr>
        <w:t xml:space="preserve">group’s </w:t>
      </w:r>
      <w:r w:rsidR="00D65012" w:rsidRPr="00221992">
        <w:rPr>
          <w:lang w:val="en-GB"/>
        </w:rPr>
        <w:t xml:space="preserve">two suggestions can be summarised as follows: </w:t>
      </w:r>
    </w:p>
    <w:p w14:paraId="6847B6C4" w14:textId="77F852C1" w:rsidR="00D65012" w:rsidRPr="00221992" w:rsidRDefault="00672844" w:rsidP="00957584">
      <w:pPr>
        <w:pStyle w:val="ListParagraph"/>
        <w:numPr>
          <w:ilvl w:val="0"/>
          <w:numId w:val="36"/>
        </w:numPr>
        <w:rPr>
          <w:lang w:val="en-GB"/>
        </w:rPr>
      </w:pPr>
      <w:r w:rsidRPr="00221992">
        <w:rPr>
          <w:lang w:val="en-GB"/>
        </w:rPr>
        <w:t xml:space="preserve">Joint clinical assessments </w:t>
      </w:r>
      <w:r w:rsidR="005C7352">
        <w:rPr>
          <w:lang w:val="en-GB"/>
        </w:rPr>
        <w:t>as</w:t>
      </w:r>
      <w:r w:rsidRPr="00221992">
        <w:rPr>
          <w:lang w:val="en-GB"/>
        </w:rPr>
        <w:t xml:space="preserve"> a means</w:t>
      </w:r>
      <w:r w:rsidR="00D65012" w:rsidRPr="00221992">
        <w:rPr>
          <w:lang w:val="en-GB"/>
        </w:rPr>
        <w:t xml:space="preserve"> to </w:t>
      </w:r>
      <w:r w:rsidRPr="00221992">
        <w:rPr>
          <w:lang w:val="en-GB"/>
        </w:rPr>
        <w:t>address uncertainty in clinical evidence</w:t>
      </w:r>
      <w:r w:rsidR="00D65012" w:rsidRPr="00221992">
        <w:rPr>
          <w:lang w:val="en-GB"/>
        </w:rPr>
        <w:t xml:space="preserve">. </w:t>
      </w:r>
    </w:p>
    <w:p w14:paraId="3F1AD270" w14:textId="58E3F609" w:rsidR="00D65012" w:rsidRPr="00221992" w:rsidRDefault="00571C88" w:rsidP="00957584">
      <w:pPr>
        <w:pStyle w:val="ListParagraph"/>
        <w:numPr>
          <w:ilvl w:val="0"/>
          <w:numId w:val="36"/>
        </w:numPr>
        <w:rPr>
          <w:lang w:val="en-GB"/>
        </w:rPr>
      </w:pPr>
      <w:r>
        <w:rPr>
          <w:lang w:val="en-GB"/>
        </w:rPr>
        <w:t>Recognising that HTA consulting</w:t>
      </w:r>
      <w:r w:rsidR="00D65012" w:rsidRPr="00221992">
        <w:rPr>
          <w:lang w:val="en-GB"/>
        </w:rPr>
        <w:t xml:space="preserve"> experts </w:t>
      </w:r>
      <w:r>
        <w:rPr>
          <w:lang w:val="en-GB"/>
        </w:rPr>
        <w:t>often</w:t>
      </w:r>
      <w:r w:rsidR="00D65012" w:rsidRPr="00221992">
        <w:rPr>
          <w:lang w:val="en-GB"/>
        </w:rPr>
        <w:t xml:space="preserve"> have engagements that may constitute an interest in </w:t>
      </w:r>
      <w:r w:rsidR="000F7783">
        <w:rPr>
          <w:lang w:val="en-GB"/>
        </w:rPr>
        <w:t xml:space="preserve">an </w:t>
      </w:r>
      <w:r w:rsidR="00D65012" w:rsidRPr="00221992">
        <w:rPr>
          <w:lang w:val="en-GB"/>
        </w:rPr>
        <w:t>assessment</w:t>
      </w:r>
      <w:r w:rsidR="000F7783">
        <w:rPr>
          <w:lang w:val="en-GB"/>
        </w:rPr>
        <w:t>,</w:t>
      </w:r>
      <w:r w:rsidR="00D65012" w:rsidRPr="00221992">
        <w:rPr>
          <w:lang w:val="en-GB"/>
        </w:rPr>
        <w:t xml:space="preserve"> conflicts of interests should be handled through </w:t>
      </w:r>
      <w:r w:rsidR="000F7783">
        <w:rPr>
          <w:lang w:val="en-GB"/>
        </w:rPr>
        <w:t xml:space="preserve">enhanced </w:t>
      </w:r>
      <w:r w:rsidR="00D65012" w:rsidRPr="00221992">
        <w:rPr>
          <w:lang w:val="en-GB"/>
        </w:rPr>
        <w:t>transparency and declaration of interests</w:t>
      </w:r>
      <w:r>
        <w:rPr>
          <w:lang w:val="en-GB"/>
        </w:rPr>
        <w:t>—</w:t>
      </w:r>
      <w:r w:rsidR="00D65012" w:rsidRPr="00221992">
        <w:rPr>
          <w:lang w:val="en-GB"/>
        </w:rPr>
        <w:t>rather than exclusion</w:t>
      </w:r>
      <w:r>
        <w:rPr>
          <w:lang w:val="en-GB"/>
        </w:rPr>
        <w:t>—</w:t>
      </w:r>
      <w:r w:rsidR="00D65012" w:rsidRPr="00221992">
        <w:rPr>
          <w:lang w:val="en-GB"/>
        </w:rPr>
        <w:t>when assessing orphan drugs</w:t>
      </w:r>
      <w:r w:rsidR="0068306B" w:rsidRPr="00221992">
        <w:rPr>
          <w:lang w:val="en-GB"/>
        </w:rPr>
        <w:t>.</w:t>
      </w:r>
    </w:p>
    <w:p w14:paraId="6B6398CC" w14:textId="625EA50D" w:rsidR="00290613" w:rsidRPr="00221992" w:rsidRDefault="00290613" w:rsidP="00290613">
      <w:pPr>
        <w:rPr>
          <w:lang w:val="en-GB"/>
        </w:rPr>
      </w:pPr>
      <w:r w:rsidRPr="00221992">
        <w:rPr>
          <w:lang w:val="en-GB"/>
        </w:rPr>
        <w:t>Regarding the joint efforts to implement the European HTA</w:t>
      </w:r>
      <w:r w:rsidR="0068306B" w:rsidRPr="00221992">
        <w:rPr>
          <w:lang w:val="en-GB"/>
        </w:rPr>
        <w:t>,</w:t>
      </w:r>
      <w:r w:rsidRPr="00221992">
        <w:rPr>
          <w:lang w:val="en-GB"/>
        </w:rPr>
        <w:t xml:space="preserve"> which aim</w:t>
      </w:r>
      <w:r w:rsidR="0068306B" w:rsidRPr="00221992">
        <w:rPr>
          <w:lang w:val="en-GB"/>
        </w:rPr>
        <w:t>s</w:t>
      </w:r>
      <w:r w:rsidRPr="00221992">
        <w:rPr>
          <w:lang w:val="en-GB"/>
        </w:rPr>
        <w:t xml:space="preserve"> to </w:t>
      </w:r>
      <w:r w:rsidR="0068306B" w:rsidRPr="00221992">
        <w:rPr>
          <w:lang w:val="en-GB"/>
        </w:rPr>
        <w:t>launch</w:t>
      </w:r>
      <w:r w:rsidRPr="00221992">
        <w:rPr>
          <w:lang w:val="en-GB"/>
        </w:rPr>
        <w:t xml:space="preserve"> in 2025, </w:t>
      </w:r>
      <w:r w:rsidR="00C10A3F" w:rsidRPr="00221992">
        <w:rPr>
          <w:lang w:val="en-GB"/>
        </w:rPr>
        <w:t>an</w:t>
      </w:r>
      <w:r w:rsidRPr="00221992">
        <w:rPr>
          <w:lang w:val="en-GB"/>
        </w:rPr>
        <w:t xml:space="preserve"> HTA expert interviewed </w:t>
      </w:r>
      <w:r w:rsidR="00C10A3F" w:rsidRPr="00221992">
        <w:rPr>
          <w:lang w:val="en-GB"/>
        </w:rPr>
        <w:t xml:space="preserve">for the Review </w:t>
      </w:r>
      <w:r w:rsidRPr="00221992">
        <w:rPr>
          <w:lang w:val="en-GB"/>
        </w:rPr>
        <w:t>stated</w:t>
      </w:r>
      <w:r w:rsidR="00C10A3F" w:rsidRPr="00221992">
        <w:rPr>
          <w:lang w:val="en-GB"/>
        </w:rPr>
        <w:t>,</w:t>
      </w:r>
    </w:p>
    <w:p w14:paraId="223B7910" w14:textId="019541FA" w:rsidR="00290613" w:rsidRPr="00221992" w:rsidRDefault="00290613" w:rsidP="007D1F68">
      <w:pPr>
        <w:ind w:left="567"/>
        <w:rPr>
          <w:lang w:val="en-GB"/>
        </w:rPr>
        <w:sectPr w:rsidR="00290613" w:rsidRPr="00221992" w:rsidSect="004A6C73">
          <w:headerReference w:type="even" r:id="rId47"/>
          <w:headerReference w:type="default" r:id="rId48"/>
          <w:footerReference w:type="even" r:id="rId49"/>
          <w:footerReference w:type="default" r:id="rId50"/>
          <w:headerReference w:type="first" r:id="rId51"/>
          <w:footerReference w:type="first" r:id="rId52"/>
          <w:pgSz w:w="11906" w:h="16838" w:code="9"/>
          <w:pgMar w:top="1701" w:right="1701" w:bottom="1247" w:left="1701" w:header="567" w:footer="57" w:gutter="0"/>
          <w:cols w:space="708"/>
          <w:docGrid w:linePitch="360"/>
        </w:sectPr>
      </w:pPr>
      <w:r w:rsidRPr="00221992">
        <w:rPr>
          <w:lang w:val="en-GB"/>
        </w:rPr>
        <w:t xml:space="preserve">There is a there is a very strict process. I mean, […] some of the methods guidance is already out. </w:t>
      </w:r>
      <w:r w:rsidR="007F50A1" w:rsidRPr="00221992">
        <w:rPr>
          <w:lang w:val="en-GB"/>
        </w:rPr>
        <w:t>[…] W</w:t>
      </w:r>
      <w:r w:rsidRPr="00221992">
        <w:rPr>
          <w:lang w:val="en-GB"/>
        </w:rPr>
        <w:t>e are 18 months away from when it starts with oncology and ATMPs</w:t>
      </w:r>
      <w:r w:rsidR="007E0C7D" w:rsidRPr="00221992">
        <w:rPr>
          <w:lang w:val="en-GB"/>
        </w:rPr>
        <w:t>,</w:t>
      </w:r>
      <w:r w:rsidRPr="00221992">
        <w:rPr>
          <w:lang w:val="en-GB"/>
        </w:rPr>
        <w:t xml:space="preserve"> and in 2027 </w:t>
      </w:r>
      <w:r w:rsidR="007E0C7D" w:rsidRPr="00221992">
        <w:rPr>
          <w:lang w:val="en-GB"/>
        </w:rPr>
        <w:t>[…]</w:t>
      </w:r>
      <w:r w:rsidRPr="00221992">
        <w:rPr>
          <w:lang w:val="en-GB"/>
        </w:rPr>
        <w:t xml:space="preserve"> orphan drugs will be added and</w:t>
      </w:r>
      <w:r w:rsidR="00B43E2D" w:rsidRPr="00221992">
        <w:rPr>
          <w:lang w:val="en-GB"/>
        </w:rPr>
        <w:t xml:space="preserve"> </w:t>
      </w:r>
      <w:r w:rsidRPr="00221992">
        <w:rPr>
          <w:lang w:val="en-GB"/>
        </w:rPr>
        <w:t>2030 is when it becomes mandatory for all drugs.</w:t>
      </w:r>
      <w:r w:rsidR="00C10A3F" w:rsidRPr="00221992">
        <w:rPr>
          <w:lang w:val="en-GB"/>
        </w:rPr>
        <w:t xml:space="preserve"> (HTA expert)</w:t>
      </w:r>
    </w:p>
    <w:p w14:paraId="5EA017F4" w14:textId="77F5D8C7" w:rsidR="00D65012" w:rsidRPr="00221992" w:rsidRDefault="00D65012">
      <w:pPr>
        <w:pStyle w:val="Caption"/>
        <w:rPr>
          <w:lang w:val="en-GB"/>
        </w:rPr>
      </w:pPr>
    </w:p>
    <w:p w14:paraId="657D158D" w14:textId="58E9F66E" w:rsidR="000072DC" w:rsidRPr="00221992" w:rsidRDefault="000072DC">
      <w:pPr>
        <w:pStyle w:val="Caption"/>
        <w:rPr>
          <w:lang w:val="en-GB"/>
        </w:rPr>
      </w:pPr>
      <w:bookmarkStart w:id="159" w:name="_Toc162950965"/>
      <w:r w:rsidRPr="00221992">
        <w:rPr>
          <w:lang w:val="en-GB"/>
        </w:rPr>
        <w:t xml:space="preserve">Table </w:t>
      </w:r>
      <w:r w:rsidRPr="00221992">
        <w:rPr>
          <w:lang w:val="en-GB"/>
        </w:rPr>
        <w:fldChar w:fldCharType="begin"/>
      </w:r>
      <w:r>
        <w:instrText>SEQ Table \* ARABIC</w:instrText>
      </w:r>
      <w:r w:rsidRPr="00221992">
        <w:rPr>
          <w:lang w:val="en-GB"/>
        </w:rPr>
        <w:fldChar w:fldCharType="separate"/>
      </w:r>
      <w:r w:rsidR="000E11E7">
        <w:rPr>
          <w:noProof/>
        </w:rPr>
        <w:t>18</w:t>
      </w:r>
      <w:r w:rsidRPr="00221992">
        <w:rPr>
          <w:lang w:val="en-GB"/>
        </w:rPr>
        <w:fldChar w:fldCharType="end"/>
      </w:r>
      <w:r w:rsidRPr="00221992">
        <w:rPr>
          <w:lang w:val="en-GB"/>
        </w:rPr>
        <w:t>. Exceptional circumstance</w:t>
      </w:r>
      <w:r w:rsidR="00EF03E3" w:rsidRPr="00221992">
        <w:rPr>
          <w:lang w:val="en-GB"/>
        </w:rPr>
        <w:t>s</w:t>
      </w:r>
      <w:r w:rsidRPr="00221992">
        <w:rPr>
          <w:lang w:val="en-GB"/>
        </w:rPr>
        <w:t xml:space="preserve"> </w:t>
      </w:r>
      <w:r w:rsidR="00641E4B" w:rsidRPr="00221992">
        <w:rPr>
          <w:lang w:val="en-GB"/>
        </w:rPr>
        <w:t>and</w:t>
      </w:r>
      <w:r w:rsidRPr="00221992">
        <w:rPr>
          <w:lang w:val="en-GB"/>
        </w:rPr>
        <w:t xml:space="preserve"> individual patient access programs</w:t>
      </w:r>
      <w:r w:rsidR="00641E4B" w:rsidRPr="00221992">
        <w:rPr>
          <w:lang w:val="en-GB"/>
        </w:rPr>
        <w:t xml:space="preserve"> by country</w:t>
      </w:r>
      <w:bookmarkEnd w:id="159"/>
    </w:p>
    <w:tbl>
      <w:tblPr>
        <w:tblStyle w:val="LinedBlueTable"/>
        <w:tblW w:w="0" w:type="auto"/>
        <w:tblLook w:val="04A0" w:firstRow="1" w:lastRow="0" w:firstColumn="1" w:lastColumn="0" w:noHBand="0" w:noVBand="1"/>
        <w:tblCaption w:val="Exceptional circumstance of access that may/may not lead to individual patient access programs"/>
      </w:tblPr>
      <w:tblGrid>
        <w:gridCol w:w="2334"/>
        <w:gridCol w:w="1667"/>
        <w:gridCol w:w="1182"/>
        <w:gridCol w:w="1387"/>
        <w:gridCol w:w="1396"/>
        <w:gridCol w:w="1407"/>
        <w:gridCol w:w="1391"/>
        <w:gridCol w:w="1307"/>
        <w:gridCol w:w="1333"/>
      </w:tblGrid>
      <w:tr w:rsidR="00146878" w:rsidRPr="00221992" w14:paraId="15928045" w14:textId="77777777" w:rsidTr="00146878">
        <w:trPr>
          <w:cnfStyle w:val="100000000000" w:firstRow="1" w:lastRow="0" w:firstColumn="0" w:lastColumn="0" w:oddVBand="0" w:evenVBand="0" w:oddHBand="0" w:evenHBand="0" w:firstRowFirstColumn="0" w:firstRowLastColumn="0" w:lastRowFirstColumn="0" w:lastRowLastColumn="0"/>
          <w:trHeight w:val="864"/>
        </w:trPr>
        <w:tc>
          <w:tcPr>
            <w:cnfStyle w:val="001000000000" w:firstRow="0" w:lastRow="0" w:firstColumn="1" w:lastColumn="0" w:oddVBand="0" w:evenVBand="0" w:oddHBand="0" w:evenHBand="0" w:firstRowFirstColumn="0" w:firstRowLastColumn="0" w:lastRowFirstColumn="0" w:lastRowLastColumn="0"/>
            <w:tcW w:w="2334" w:type="dxa"/>
            <w:shd w:val="clear" w:color="auto" w:fill="000000" w:themeFill="text1"/>
          </w:tcPr>
          <w:p w14:paraId="3EC3CDDF" w14:textId="77777777" w:rsidR="00146878" w:rsidRPr="00221992" w:rsidRDefault="00146878" w:rsidP="00E93AC3">
            <w:pPr>
              <w:pStyle w:val="TableHeading"/>
              <w:spacing w:line="240" w:lineRule="auto"/>
              <w:ind w:left="115" w:right="115"/>
              <w:rPr>
                <w:rFonts w:ascii="Calibri" w:hAnsi="Calibri" w:cs="Calibri"/>
                <w:sz w:val="20"/>
                <w:szCs w:val="20"/>
                <w:lang w:val="en-GB"/>
              </w:rPr>
            </w:pPr>
            <w:r w:rsidRPr="00221992">
              <w:rPr>
                <w:rFonts w:ascii="Calibri" w:hAnsi="Calibri" w:cs="Calibri"/>
                <w:sz w:val="20"/>
                <w:szCs w:val="20"/>
                <w:lang w:val="en-GB"/>
              </w:rPr>
              <w:t>Country</w:t>
            </w:r>
          </w:p>
        </w:tc>
        <w:tc>
          <w:tcPr>
            <w:tcW w:w="1667" w:type="dxa"/>
            <w:shd w:val="clear" w:color="auto" w:fill="1E8BCD"/>
          </w:tcPr>
          <w:p w14:paraId="78BDC2DE" w14:textId="77777777" w:rsidR="00146878" w:rsidRPr="00221992" w:rsidRDefault="00146878" w:rsidP="00E93AC3">
            <w:pPr>
              <w:pStyle w:val="TableText"/>
              <w:spacing w:line="240" w:lineRule="auto"/>
              <w:ind w:left="115" w:right="115"/>
              <w:cnfStyle w:val="100000000000" w:firstRow="1" w:lastRow="0" w:firstColumn="0" w:lastColumn="0" w:oddVBand="0" w:evenVBand="0" w:oddHBand="0" w:evenHBand="0" w:firstRowFirstColumn="0" w:firstRowLastColumn="0" w:lastRowFirstColumn="0" w:lastRowLastColumn="0"/>
              <w:rPr>
                <w:rFonts w:ascii="Calibri" w:hAnsi="Calibri" w:cs="Calibri"/>
                <w:b/>
                <w:sz w:val="20"/>
                <w:szCs w:val="20"/>
                <w:lang w:val="en-GB"/>
              </w:rPr>
            </w:pPr>
            <w:r w:rsidRPr="00221992">
              <w:rPr>
                <w:rFonts w:ascii="Calibri" w:hAnsi="Calibri" w:cs="Calibri"/>
                <w:b/>
                <w:sz w:val="20"/>
                <w:szCs w:val="20"/>
                <w:lang w:val="en-GB"/>
              </w:rPr>
              <w:t>Belgium</w:t>
            </w:r>
          </w:p>
        </w:tc>
        <w:tc>
          <w:tcPr>
            <w:tcW w:w="1182" w:type="dxa"/>
            <w:shd w:val="clear" w:color="auto" w:fill="1E8BCD"/>
          </w:tcPr>
          <w:p w14:paraId="22E9BD34" w14:textId="77777777" w:rsidR="00146878" w:rsidRPr="00221992" w:rsidRDefault="00146878" w:rsidP="00E93AC3">
            <w:pPr>
              <w:pStyle w:val="TableText"/>
              <w:spacing w:line="240" w:lineRule="auto"/>
              <w:ind w:left="115" w:right="115"/>
              <w:cnfStyle w:val="100000000000" w:firstRow="1" w:lastRow="0" w:firstColumn="0" w:lastColumn="0" w:oddVBand="0" w:evenVBand="0" w:oddHBand="0" w:evenHBand="0" w:firstRowFirstColumn="0" w:firstRowLastColumn="0" w:lastRowFirstColumn="0" w:lastRowLastColumn="0"/>
              <w:rPr>
                <w:rFonts w:ascii="Calibri" w:hAnsi="Calibri" w:cs="Calibri"/>
                <w:b/>
                <w:sz w:val="20"/>
                <w:szCs w:val="20"/>
                <w:lang w:val="en-GB"/>
              </w:rPr>
            </w:pPr>
            <w:r w:rsidRPr="00221992">
              <w:rPr>
                <w:rFonts w:ascii="Calibri" w:hAnsi="Calibri" w:cs="Calibri"/>
                <w:b/>
                <w:sz w:val="20"/>
                <w:szCs w:val="20"/>
                <w:lang w:val="en-GB"/>
              </w:rPr>
              <w:t>Canada British Columbia</w:t>
            </w:r>
          </w:p>
        </w:tc>
        <w:tc>
          <w:tcPr>
            <w:tcW w:w="1387" w:type="dxa"/>
            <w:shd w:val="clear" w:color="auto" w:fill="1E8BCD"/>
          </w:tcPr>
          <w:p w14:paraId="7C0C45C9" w14:textId="77777777" w:rsidR="00146878" w:rsidRPr="00221992" w:rsidRDefault="00146878" w:rsidP="00E93AC3">
            <w:pPr>
              <w:pStyle w:val="TableText"/>
              <w:spacing w:line="240" w:lineRule="auto"/>
              <w:ind w:left="115" w:right="115"/>
              <w:cnfStyle w:val="100000000000" w:firstRow="1" w:lastRow="0" w:firstColumn="0" w:lastColumn="0" w:oddVBand="0" w:evenVBand="0" w:oddHBand="0" w:evenHBand="0" w:firstRowFirstColumn="0" w:firstRowLastColumn="0" w:lastRowFirstColumn="0" w:lastRowLastColumn="0"/>
              <w:rPr>
                <w:rFonts w:ascii="Calibri" w:hAnsi="Calibri" w:cs="Calibri"/>
                <w:b/>
                <w:sz w:val="20"/>
                <w:szCs w:val="20"/>
                <w:lang w:val="en-GB"/>
              </w:rPr>
            </w:pPr>
            <w:r w:rsidRPr="00221992">
              <w:rPr>
                <w:rFonts w:ascii="Calibri" w:hAnsi="Calibri" w:cs="Calibri"/>
                <w:b/>
                <w:sz w:val="20"/>
                <w:szCs w:val="20"/>
                <w:lang w:val="en-GB"/>
              </w:rPr>
              <w:t>Canada Alberta</w:t>
            </w:r>
          </w:p>
        </w:tc>
        <w:tc>
          <w:tcPr>
            <w:tcW w:w="1396" w:type="dxa"/>
            <w:shd w:val="clear" w:color="auto" w:fill="1E8BCD"/>
          </w:tcPr>
          <w:p w14:paraId="7DDE1E4F" w14:textId="77777777" w:rsidR="00146878" w:rsidRPr="00221992" w:rsidRDefault="00146878" w:rsidP="00E93AC3">
            <w:pPr>
              <w:pStyle w:val="TableText"/>
              <w:spacing w:line="240" w:lineRule="auto"/>
              <w:ind w:left="115" w:right="115"/>
              <w:cnfStyle w:val="100000000000" w:firstRow="1" w:lastRow="0" w:firstColumn="0" w:lastColumn="0" w:oddVBand="0" w:evenVBand="0" w:oddHBand="0" w:evenHBand="0" w:firstRowFirstColumn="0" w:firstRowLastColumn="0" w:lastRowFirstColumn="0" w:lastRowLastColumn="0"/>
              <w:rPr>
                <w:rFonts w:ascii="Calibri" w:hAnsi="Calibri" w:cs="Calibri"/>
                <w:b/>
                <w:sz w:val="20"/>
                <w:szCs w:val="20"/>
                <w:lang w:val="en-GB"/>
              </w:rPr>
            </w:pPr>
            <w:r w:rsidRPr="00221992">
              <w:rPr>
                <w:rFonts w:ascii="Calibri" w:hAnsi="Calibri" w:cs="Calibri"/>
                <w:b/>
                <w:sz w:val="20"/>
                <w:szCs w:val="20"/>
                <w:lang w:val="en-GB"/>
              </w:rPr>
              <w:t>France</w:t>
            </w:r>
          </w:p>
        </w:tc>
        <w:tc>
          <w:tcPr>
            <w:tcW w:w="1407" w:type="dxa"/>
            <w:shd w:val="clear" w:color="auto" w:fill="1E8BCD"/>
          </w:tcPr>
          <w:p w14:paraId="4D3DCB4A" w14:textId="77777777" w:rsidR="00146878" w:rsidRPr="00221992" w:rsidRDefault="00146878" w:rsidP="00E93AC3">
            <w:pPr>
              <w:pStyle w:val="TableText"/>
              <w:spacing w:line="240" w:lineRule="auto"/>
              <w:ind w:left="115" w:right="115"/>
              <w:cnfStyle w:val="100000000000" w:firstRow="1" w:lastRow="0" w:firstColumn="0" w:lastColumn="0" w:oddVBand="0" w:evenVBand="0" w:oddHBand="0" w:evenHBand="0" w:firstRowFirstColumn="0" w:firstRowLastColumn="0" w:lastRowFirstColumn="0" w:lastRowLastColumn="0"/>
              <w:rPr>
                <w:rFonts w:ascii="Calibri" w:hAnsi="Calibri" w:cs="Calibri"/>
                <w:b/>
                <w:sz w:val="20"/>
                <w:szCs w:val="20"/>
                <w:lang w:val="en-GB"/>
              </w:rPr>
            </w:pPr>
            <w:r w:rsidRPr="00221992">
              <w:rPr>
                <w:rFonts w:ascii="Calibri" w:hAnsi="Calibri" w:cs="Calibri"/>
                <w:b/>
                <w:sz w:val="20"/>
                <w:szCs w:val="20"/>
                <w:lang w:val="en-GB"/>
              </w:rPr>
              <w:t>Scotland</w:t>
            </w:r>
          </w:p>
        </w:tc>
        <w:tc>
          <w:tcPr>
            <w:tcW w:w="1391" w:type="dxa"/>
            <w:shd w:val="clear" w:color="auto" w:fill="1E8BCD"/>
          </w:tcPr>
          <w:p w14:paraId="56ACA2D5" w14:textId="77777777" w:rsidR="00146878" w:rsidRPr="00221992" w:rsidRDefault="00146878" w:rsidP="00E93AC3">
            <w:pPr>
              <w:pStyle w:val="TableText"/>
              <w:spacing w:line="240" w:lineRule="auto"/>
              <w:ind w:left="115" w:right="115"/>
              <w:cnfStyle w:val="100000000000" w:firstRow="1" w:lastRow="0" w:firstColumn="0" w:lastColumn="0" w:oddVBand="0" w:evenVBand="0" w:oddHBand="0" w:evenHBand="0" w:firstRowFirstColumn="0" w:firstRowLastColumn="0" w:lastRowFirstColumn="0" w:lastRowLastColumn="0"/>
              <w:rPr>
                <w:rFonts w:ascii="Calibri" w:hAnsi="Calibri" w:cs="Calibri"/>
                <w:b/>
                <w:sz w:val="20"/>
                <w:szCs w:val="20"/>
                <w:lang w:val="en-GB"/>
              </w:rPr>
            </w:pPr>
            <w:r w:rsidRPr="00221992">
              <w:rPr>
                <w:rFonts w:ascii="Calibri" w:hAnsi="Calibri" w:cs="Calibri"/>
                <w:b/>
                <w:sz w:val="20"/>
                <w:szCs w:val="20"/>
                <w:lang w:val="en-GB"/>
              </w:rPr>
              <w:t>New Zealand</w:t>
            </w:r>
          </w:p>
        </w:tc>
        <w:tc>
          <w:tcPr>
            <w:tcW w:w="1307" w:type="dxa"/>
            <w:shd w:val="clear" w:color="auto" w:fill="1E8BCD"/>
          </w:tcPr>
          <w:p w14:paraId="37EFB420" w14:textId="77777777" w:rsidR="00146878" w:rsidRPr="00221992" w:rsidRDefault="00146878" w:rsidP="00E93AC3">
            <w:pPr>
              <w:pStyle w:val="TableText"/>
              <w:spacing w:line="240" w:lineRule="auto"/>
              <w:ind w:left="115" w:right="115"/>
              <w:cnfStyle w:val="100000000000" w:firstRow="1" w:lastRow="0" w:firstColumn="0" w:lastColumn="0" w:oddVBand="0" w:evenVBand="0" w:oddHBand="0" w:evenHBand="0" w:firstRowFirstColumn="0" w:firstRowLastColumn="0" w:lastRowFirstColumn="0" w:lastRowLastColumn="0"/>
              <w:rPr>
                <w:rFonts w:ascii="Calibri" w:hAnsi="Calibri" w:cs="Calibri"/>
                <w:b/>
                <w:sz w:val="20"/>
                <w:szCs w:val="20"/>
                <w:lang w:val="en-GB"/>
              </w:rPr>
            </w:pPr>
            <w:r w:rsidRPr="00221992">
              <w:rPr>
                <w:rFonts w:ascii="Calibri" w:hAnsi="Calibri" w:cs="Calibri"/>
                <w:b/>
                <w:sz w:val="20"/>
                <w:szCs w:val="20"/>
                <w:lang w:val="en-GB"/>
              </w:rPr>
              <w:t>Italy</w:t>
            </w:r>
          </w:p>
        </w:tc>
        <w:tc>
          <w:tcPr>
            <w:tcW w:w="1333" w:type="dxa"/>
            <w:shd w:val="clear" w:color="auto" w:fill="1E8BCD"/>
          </w:tcPr>
          <w:p w14:paraId="3B0A4F57" w14:textId="77777777" w:rsidR="00146878" w:rsidRPr="00221992" w:rsidRDefault="00146878" w:rsidP="00E93AC3">
            <w:pPr>
              <w:pStyle w:val="TableText"/>
              <w:spacing w:line="240" w:lineRule="auto"/>
              <w:ind w:left="115" w:right="115"/>
              <w:cnfStyle w:val="100000000000" w:firstRow="1" w:lastRow="0" w:firstColumn="0" w:lastColumn="0" w:oddVBand="0" w:evenVBand="0" w:oddHBand="0" w:evenHBand="0" w:firstRowFirstColumn="0" w:firstRowLastColumn="0" w:lastRowFirstColumn="0" w:lastRowLastColumn="0"/>
              <w:rPr>
                <w:rFonts w:ascii="Calibri" w:hAnsi="Calibri" w:cs="Calibri"/>
                <w:b/>
                <w:sz w:val="20"/>
                <w:szCs w:val="20"/>
                <w:lang w:val="en-GB"/>
              </w:rPr>
            </w:pPr>
            <w:r w:rsidRPr="00221992">
              <w:rPr>
                <w:rFonts w:ascii="Calibri" w:hAnsi="Calibri" w:cs="Calibri"/>
                <w:b/>
                <w:sz w:val="20"/>
                <w:szCs w:val="20"/>
                <w:lang w:val="en-GB"/>
              </w:rPr>
              <w:t>Spain</w:t>
            </w:r>
          </w:p>
        </w:tc>
      </w:tr>
      <w:tr w:rsidR="00146878" w:rsidRPr="00221992" w14:paraId="30E90AB3" w14:textId="77777777" w:rsidTr="00146878">
        <w:trPr>
          <w:trHeight w:val="1220"/>
        </w:trPr>
        <w:tc>
          <w:tcPr>
            <w:cnfStyle w:val="001000000000" w:firstRow="0" w:lastRow="0" w:firstColumn="1" w:lastColumn="0" w:oddVBand="0" w:evenVBand="0" w:oddHBand="0" w:evenHBand="0" w:firstRowFirstColumn="0" w:firstRowLastColumn="0" w:lastRowFirstColumn="0" w:lastRowLastColumn="0"/>
            <w:tcW w:w="2334" w:type="dxa"/>
            <w:shd w:val="clear" w:color="auto" w:fill="1E8BCD"/>
          </w:tcPr>
          <w:p w14:paraId="304FA25F" w14:textId="77777777" w:rsidR="00146878" w:rsidRPr="00221992" w:rsidRDefault="00146878" w:rsidP="00E93AC3">
            <w:pPr>
              <w:pStyle w:val="TableHeading"/>
              <w:spacing w:line="240" w:lineRule="auto"/>
              <w:ind w:left="115" w:right="115"/>
              <w:rPr>
                <w:rFonts w:ascii="Calibri" w:hAnsi="Calibri" w:cs="Calibri"/>
                <w:sz w:val="20"/>
                <w:szCs w:val="20"/>
                <w:lang w:val="en-GB"/>
              </w:rPr>
            </w:pPr>
            <w:r w:rsidRPr="00221992">
              <w:rPr>
                <w:rFonts w:ascii="Calibri" w:hAnsi="Calibri" w:cs="Calibri"/>
                <w:sz w:val="20"/>
                <w:szCs w:val="20"/>
                <w:lang w:val="en-GB"/>
              </w:rPr>
              <w:t>Name of the program</w:t>
            </w:r>
          </w:p>
        </w:tc>
        <w:tc>
          <w:tcPr>
            <w:tcW w:w="1667" w:type="dxa"/>
          </w:tcPr>
          <w:p w14:paraId="7A14DF0A" w14:textId="77777777" w:rsidR="00146878" w:rsidRPr="00221992" w:rsidRDefault="00146878" w:rsidP="00E93AC3">
            <w:pPr>
              <w:pStyle w:val="TableText"/>
              <w:spacing w:line="240" w:lineRule="auto"/>
              <w:ind w:left="115" w:right="115"/>
              <w:cnfStyle w:val="000000000000" w:firstRow="0" w:lastRow="0" w:firstColumn="0" w:lastColumn="0" w:oddVBand="0" w:evenVBand="0" w:oddHBand="0" w:evenHBand="0" w:firstRowFirstColumn="0" w:firstRowLastColumn="0" w:lastRowFirstColumn="0" w:lastRowLastColumn="0"/>
              <w:rPr>
                <w:sz w:val="20"/>
                <w:szCs w:val="20"/>
                <w:lang w:val="en-GB"/>
              </w:rPr>
            </w:pPr>
            <w:r w:rsidRPr="00221992">
              <w:rPr>
                <w:sz w:val="20"/>
                <w:szCs w:val="20"/>
                <w:lang w:val="en-GB"/>
              </w:rPr>
              <w:t xml:space="preserve">1 SSF </w:t>
            </w:r>
          </w:p>
          <w:p w14:paraId="0DBD7C3F" w14:textId="77777777" w:rsidR="00146878" w:rsidRPr="00221992" w:rsidRDefault="00146878" w:rsidP="00E93AC3">
            <w:pPr>
              <w:pStyle w:val="TableText"/>
              <w:spacing w:line="240" w:lineRule="auto"/>
              <w:ind w:left="115" w:right="115"/>
              <w:cnfStyle w:val="000000000000" w:firstRow="0" w:lastRow="0" w:firstColumn="0" w:lastColumn="0" w:oddVBand="0" w:evenVBand="0" w:oddHBand="0" w:evenHBand="0" w:firstRowFirstColumn="0" w:firstRowLastColumn="0" w:lastRowFirstColumn="0" w:lastRowLastColumn="0"/>
              <w:rPr>
                <w:sz w:val="20"/>
                <w:szCs w:val="20"/>
                <w:lang w:val="en-GB"/>
              </w:rPr>
            </w:pPr>
            <w:r w:rsidRPr="00221992">
              <w:rPr>
                <w:sz w:val="20"/>
                <w:szCs w:val="20"/>
                <w:lang w:val="en-GB"/>
              </w:rPr>
              <w:t>2 CU</w:t>
            </w:r>
          </w:p>
          <w:p w14:paraId="395428DF" w14:textId="77777777" w:rsidR="00146878" w:rsidRPr="00221992" w:rsidRDefault="00146878" w:rsidP="00E93AC3">
            <w:pPr>
              <w:pStyle w:val="TableText"/>
              <w:spacing w:line="240" w:lineRule="auto"/>
              <w:ind w:left="115" w:right="115"/>
              <w:cnfStyle w:val="000000000000" w:firstRow="0" w:lastRow="0" w:firstColumn="0" w:lastColumn="0" w:oddVBand="0" w:evenVBand="0" w:oddHBand="0" w:evenHBand="0" w:firstRowFirstColumn="0" w:firstRowLastColumn="0" w:lastRowFirstColumn="0" w:lastRowLastColumn="0"/>
              <w:rPr>
                <w:sz w:val="20"/>
                <w:szCs w:val="20"/>
                <w:lang w:val="en-GB"/>
              </w:rPr>
            </w:pPr>
            <w:r w:rsidRPr="00221992">
              <w:rPr>
                <w:sz w:val="20"/>
                <w:szCs w:val="20"/>
                <w:lang w:val="en-GB"/>
              </w:rPr>
              <w:t xml:space="preserve">3. Belgian Medical Need </w:t>
            </w:r>
          </w:p>
        </w:tc>
        <w:tc>
          <w:tcPr>
            <w:tcW w:w="1182" w:type="dxa"/>
          </w:tcPr>
          <w:p w14:paraId="6CB0BE63" w14:textId="77777777" w:rsidR="00146878" w:rsidRPr="00221992" w:rsidRDefault="00146878" w:rsidP="00E93AC3">
            <w:pPr>
              <w:pStyle w:val="TableText"/>
              <w:spacing w:line="240" w:lineRule="auto"/>
              <w:ind w:left="115" w:right="115"/>
              <w:cnfStyle w:val="000000000000" w:firstRow="0" w:lastRow="0" w:firstColumn="0" w:lastColumn="0" w:oddVBand="0" w:evenVBand="0" w:oddHBand="0" w:evenHBand="0" w:firstRowFirstColumn="0" w:firstRowLastColumn="0" w:lastRowFirstColumn="0" w:lastRowLastColumn="0"/>
              <w:rPr>
                <w:sz w:val="20"/>
                <w:szCs w:val="20"/>
                <w:lang w:val="en-GB"/>
              </w:rPr>
            </w:pPr>
            <w:r w:rsidRPr="00221992">
              <w:rPr>
                <w:sz w:val="20"/>
                <w:szCs w:val="20"/>
                <w:lang w:val="en-GB"/>
              </w:rPr>
              <w:t>EDRD</w:t>
            </w:r>
          </w:p>
        </w:tc>
        <w:tc>
          <w:tcPr>
            <w:tcW w:w="1387" w:type="dxa"/>
          </w:tcPr>
          <w:p w14:paraId="5384D1D4" w14:textId="77777777" w:rsidR="00146878" w:rsidRPr="00221992" w:rsidRDefault="00146878" w:rsidP="00E93AC3">
            <w:pPr>
              <w:pStyle w:val="TableText"/>
              <w:spacing w:line="240" w:lineRule="auto"/>
              <w:ind w:left="115" w:right="115"/>
              <w:cnfStyle w:val="000000000000" w:firstRow="0" w:lastRow="0" w:firstColumn="0" w:lastColumn="0" w:oddVBand="0" w:evenVBand="0" w:oddHBand="0" w:evenHBand="0" w:firstRowFirstColumn="0" w:firstRowLastColumn="0" w:lastRowFirstColumn="0" w:lastRowLastColumn="0"/>
              <w:rPr>
                <w:sz w:val="20"/>
                <w:szCs w:val="20"/>
                <w:lang w:val="en-GB"/>
              </w:rPr>
            </w:pPr>
            <w:r w:rsidRPr="00221992">
              <w:rPr>
                <w:sz w:val="20"/>
                <w:szCs w:val="20"/>
                <w:lang w:val="en-GB"/>
              </w:rPr>
              <w:t>STEDT</w:t>
            </w:r>
          </w:p>
        </w:tc>
        <w:tc>
          <w:tcPr>
            <w:tcW w:w="1396" w:type="dxa"/>
          </w:tcPr>
          <w:p w14:paraId="29728137" w14:textId="77777777" w:rsidR="00146878" w:rsidRPr="00221992" w:rsidRDefault="00146878" w:rsidP="00E93AC3">
            <w:pPr>
              <w:pStyle w:val="TableText"/>
              <w:spacing w:line="240" w:lineRule="auto"/>
              <w:ind w:left="115" w:right="115"/>
              <w:cnfStyle w:val="000000000000" w:firstRow="0" w:lastRow="0" w:firstColumn="0" w:lastColumn="0" w:oddVBand="0" w:evenVBand="0" w:oddHBand="0" w:evenHBand="0" w:firstRowFirstColumn="0" w:firstRowLastColumn="0" w:lastRowFirstColumn="0" w:lastRowLastColumn="0"/>
              <w:rPr>
                <w:sz w:val="20"/>
                <w:szCs w:val="20"/>
                <w:lang w:val="en-GB"/>
              </w:rPr>
            </w:pPr>
            <w:r w:rsidRPr="00221992">
              <w:rPr>
                <w:sz w:val="20"/>
                <w:szCs w:val="20"/>
                <w:lang w:val="en-GB"/>
              </w:rPr>
              <w:t>CU pathway</w:t>
            </w:r>
          </w:p>
        </w:tc>
        <w:tc>
          <w:tcPr>
            <w:tcW w:w="1407" w:type="dxa"/>
          </w:tcPr>
          <w:p w14:paraId="28D3F499" w14:textId="77777777" w:rsidR="00146878" w:rsidRPr="00221992" w:rsidRDefault="00146878" w:rsidP="00E93AC3">
            <w:pPr>
              <w:pStyle w:val="TableText"/>
              <w:spacing w:line="240" w:lineRule="auto"/>
              <w:ind w:left="115" w:right="115"/>
              <w:cnfStyle w:val="000000000000" w:firstRow="0" w:lastRow="0" w:firstColumn="0" w:lastColumn="0" w:oddVBand="0" w:evenVBand="0" w:oddHBand="0" w:evenHBand="0" w:firstRowFirstColumn="0" w:firstRowLastColumn="0" w:lastRowFirstColumn="0" w:lastRowLastColumn="0"/>
              <w:rPr>
                <w:sz w:val="20"/>
                <w:szCs w:val="20"/>
                <w:lang w:val="en-GB"/>
              </w:rPr>
            </w:pPr>
            <w:r w:rsidRPr="00221992">
              <w:rPr>
                <w:sz w:val="20"/>
                <w:szCs w:val="20"/>
                <w:lang w:val="en-GB"/>
              </w:rPr>
              <w:t>PACS Tier 1 and tier 2; IPTR; ULM</w:t>
            </w:r>
          </w:p>
        </w:tc>
        <w:tc>
          <w:tcPr>
            <w:tcW w:w="1391" w:type="dxa"/>
          </w:tcPr>
          <w:p w14:paraId="665B4E59" w14:textId="77777777" w:rsidR="00146878" w:rsidRPr="00221992" w:rsidRDefault="00146878" w:rsidP="00E93AC3">
            <w:pPr>
              <w:pStyle w:val="TableText"/>
              <w:spacing w:line="240" w:lineRule="auto"/>
              <w:ind w:left="115" w:right="115"/>
              <w:cnfStyle w:val="000000000000" w:firstRow="0" w:lastRow="0" w:firstColumn="0" w:lastColumn="0" w:oddVBand="0" w:evenVBand="0" w:oddHBand="0" w:evenHBand="0" w:firstRowFirstColumn="0" w:firstRowLastColumn="0" w:lastRowFirstColumn="0" w:lastRowLastColumn="0"/>
              <w:rPr>
                <w:sz w:val="20"/>
                <w:szCs w:val="20"/>
                <w:lang w:val="en-GB"/>
              </w:rPr>
            </w:pPr>
            <w:r w:rsidRPr="00221992">
              <w:rPr>
                <w:sz w:val="20"/>
                <w:szCs w:val="20"/>
                <w:lang w:val="en-GB"/>
              </w:rPr>
              <w:t>4. NPPA</w:t>
            </w:r>
          </w:p>
        </w:tc>
        <w:tc>
          <w:tcPr>
            <w:tcW w:w="1307" w:type="dxa"/>
          </w:tcPr>
          <w:p w14:paraId="57D99215" w14:textId="1FDB8D53" w:rsidR="00146878" w:rsidRPr="00221992" w:rsidRDefault="00146878" w:rsidP="00E93AC3">
            <w:pPr>
              <w:pStyle w:val="TableText"/>
              <w:spacing w:line="240" w:lineRule="auto"/>
              <w:ind w:left="115" w:right="115"/>
              <w:cnfStyle w:val="000000000000" w:firstRow="0" w:lastRow="0" w:firstColumn="0" w:lastColumn="0" w:oddVBand="0" w:evenVBand="0" w:oddHBand="0" w:evenHBand="0" w:firstRowFirstColumn="0" w:firstRowLastColumn="0" w:lastRowFirstColumn="0" w:lastRowLastColumn="0"/>
              <w:rPr>
                <w:sz w:val="20"/>
                <w:szCs w:val="20"/>
                <w:lang w:val="en-GB"/>
              </w:rPr>
            </w:pPr>
            <w:r w:rsidRPr="00221992">
              <w:rPr>
                <w:sz w:val="20"/>
                <w:szCs w:val="20"/>
                <w:lang w:val="en-GB"/>
              </w:rPr>
              <w:t>CU, De Bella Law</w:t>
            </w:r>
          </w:p>
        </w:tc>
        <w:tc>
          <w:tcPr>
            <w:tcW w:w="1333" w:type="dxa"/>
          </w:tcPr>
          <w:p w14:paraId="5C3D2609" w14:textId="77777777" w:rsidR="00146878" w:rsidRPr="00221992" w:rsidRDefault="00146878" w:rsidP="00E93AC3">
            <w:pPr>
              <w:pStyle w:val="TableText"/>
              <w:spacing w:line="240" w:lineRule="auto"/>
              <w:ind w:left="115" w:right="115"/>
              <w:cnfStyle w:val="000000000000" w:firstRow="0" w:lastRow="0" w:firstColumn="0" w:lastColumn="0" w:oddVBand="0" w:evenVBand="0" w:oddHBand="0" w:evenHBand="0" w:firstRowFirstColumn="0" w:firstRowLastColumn="0" w:lastRowFirstColumn="0" w:lastRowLastColumn="0"/>
              <w:rPr>
                <w:sz w:val="20"/>
                <w:szCs w:val="20"/>
                <w:lang w:val="en-GB"/>
              </w:rPr>
            </w:pPr>
            <w:r w:rsidRPr="00221992">
              <w:rPr>
                <w:sz w:val="20"/>
                <w:szCs w:val="20"/>
                <w:lang w:val="en-GB"/>
              </w:rPr>
              <w:t xml:space="preserve">Royal Decree 1015/2009 </w:t>
            </w:r>
          </w:p>
        </w:tc>
      </w:tr>
      <w:tr w:rsidR="00146878" w:rsidRPr="00221992" w14:paraId="092F21CA" w14:textId="77777777" w:rsidTr="00146878">
        <w:trPr>
          <w:cnfStyle w:val="000000010000" w:firstRow="0" w:lastRow="0" w:firstColumn="0" w:lastColumn="0" w:oddVBand="0" w:evenVBand="0" w:oddHBand="0" w:evenHBand="1" w:firstRowFirstColumn="0" w:firstRowLastColumn="0" w:lastRowFirstColumn="0" w:lastRowLastColumn="0"/>
          <w:trHeight w:val="301"/>
        </w:trPr>
        <w:tc>
          <w:tcPr>
            <w:cnfStyle w:val="001000000000" w:firstRow="0" w:lastRow="0" w:firstColumn="1" w:lastColumn="0" w:oddVBand="0" w:evenVBand="0" w:oddHBand="0" w:evenHBand="0" w:firstRowFirstColumn="0" w:firstRowLastColumn="0" w:lastRowFirstColumn="0" w:lastRowLastColumn="0"/>
            <w:tcW w:w="2334" w:type="dxa"/>
            <w:shd w:val="clear" w:color="auto" w:fill="1E8BCD"/>
          </w:tcPr>
          <w:p w14:paraId="774C5049" w14:textId="77777777" w:rsidR="00146878" w:rsidRPr="00221992" w:rsidRDefault="00146878" w:rsidP="00E93AC3">
            <w:pPr>
              <w:pStyle w:val="TableHeading"/>
              <w:spacing w:line="240" w:lineRule="auto"/>
              <w:ind w:left="115" w:right="115"/>
              <w:rPr>
                <w:rFonts w:ascii="Calibri" w:hAnsi="Calibri" w:cs="Calibri"/>
                <w:sz w:val="20"/>
                <w:szCs w:val="20"/>
                <w:lang w:val="en-GB"/>
              </w:rPr>
            </w:pPr>
            <w:r w:rsidRPr="00221992">
              <w:rPr>
                <w:rFonts w:ascii="Calibri" w:hAnsi="Calibri" w:cs="Calibri"/>
                <w:sz w:val="20"/>
                <w:szCs w:val="20"/>
                <w:lang w:val="en-GB"/>
              </w:rPr>
              <w:t>1. Urgent medical care</w:t>
            </w:r>
          </w:p>
        </w:tc>
        <w:tc>
          <w:tcPr>
            <w:tcW w:w="1667" w:type="dxa"/>
            <w:shd w:val="clear" w:color="auto" w:fill="EFEFEF" w:themeFill="text2" w:themeFillTint="33"/>
          </w:tcPr>
          <w:p w14:paraId="45B109DD" w14:textId="72DA21F9" w:rsidR="00146878" w:rsidRPr="00221992" w:rsidRDefault="00146878" w:rsidP="00E93AC3">
            <w:pPr>
              <w:pStyle w:val="TableText"/>
              <w:spacing w:line="240" w:lineRule="auto"/>
              <w:ind w:left="115" w:right="115"/>
              <w:cnfStyle w:val="000000010000" w:firstRow="0" w:lastRow="0" w:firstColumn="0" w:lastColumn="0" w:oddVBand="0" w:evenVBand="0" w:oddHBand="0" w:evenHBand="1" w:firstRowFirstColumn="0" w:firstRowLastColumn="0" w:lastRowFirstColumn="0" w:lastRowLastColumn="0"/>
              <w:rPr>
                <w:sz w:val="20"/>
                <w:szCs w:val="20"/>
                <w:lang w:val="en-GB"/>
              </w:rPr>
            </w:pPr>
          </w:p>
        </w:tc>
        <w:tc>
          <w:tcPr>
            <w:tcW w:w="1182" w:type="dxa"/>
            <w:shd w:val="clear" w:color="auto" w:fill="EFEFEF" w:themeFill="text2" w:themeFillTint="33"/>
          </w:tcPr>
          <w:p w14:paraId="33D43B2D" w14:textId="60188D22" w:rsidR="00146878" w:rsidRPr="00221992" w:rsidRDefault="00146878" w:rsidP="00E93AC3">
            <w:pPr>
              <w:pStyle w:val="TableText"/>
              <w:spacing w:line="240" w:lineRule="auto"/>
              <w:ind w:left="115" w:right="115"/>
              <w:cnfStyle w:val="000000010000" w:firstRow="0" w:lastRow="0" w:firstColumn="0" w:lastColumn="0" w:oddVBand="0" w:evenVBand="0" w:oddHBand="0" w:evenHBand="1" w:firstRowFirstColumn="0" w:firstRowLastColumn="0" w:lastRowFirstColumn="0" w:lastRowLastColumn="0"/>
              <w:rPr>
                <w:sz w:val="20"/>
                <w:szCs w:val="20"/>
                <w:lang w:val="en-GB"/>
              </w:rPr>
            </w:pPr>
          </w:p>
        </w:tc>
        <w:tc>
          <w:tcPr>
            <w:tcW w:w="1387" w:type="dxa"/>
            <w:shd w:val="clear" w:color="auto" w:fill="EFEFEF" w:themeFill="text2" w:themeFillTint="33"/>
          </w:tcPr>
          <w:p w14:paraId="6FEF09A8" w14:textId="7C5D4137" w:rsidR="00146878" w:rsidRPr="00221992" w:rsidRDefault="00146878" w:rsidP="00E93AC3">
            <w:pPr>
              <w:pStyle w:val="TableText"/>
              <w:spacing w:line="240" w:lineRule="auto"/>
              <w:ind w:left="115" w:right="115"/>
              <w:cnfStyle w:val="000000010000" w:firstRow="0" w:lastRow="0" w:firstColumn="0" w:lastColumn="0" w:oddVBand="0" w:evenVBand="0" w:oddHBand="0" w:evenHBand="1" w:firstRowFirstColumn="0" w:firstRowLastColumn="0" w:lastRowFirstColumn="0" w:lastRowLastColumn="0"/>
              <w:rPr>
                <w:sz w:val="20"/>
                <w:szCs w:val="20"/>
                <w:lang w:val="en-GB"/>
              </w:rPr>
            </w:pPr>
          </w:p>
        </w:tc>
        <w:tc>
          <w:tcPr>
            <w:tcW w:w="1396" w:type="dxa"/>
            <w:shd w:val="clear" w:color="auto" w:fill="EFEFEF" w:themeFill="text2" w:themeFillTint="33"/>
          </w:tcPr>
          <w:p w14:paraId="405269D8" w14:textId="25FFBB4D" w:rsidR="00146878" w:rsidRPr="00221992" w:rsidRDefault="00146878" w:rsidP="00E93AC3">
            <w:pPr>
              <w:pStyle w:val="TableText"/>
              <w:spacing w:line="240" w:lineRule="auto"/>
              <w:ind w:left="115" w:right="115"/>
              <w:cnfStyle w:val="000000010000" w:firstRow="0" w:lastRow="0" w:firstColumn="0" w:lastColumn="0" w:oddVBand="0" w:evenVBand="0" w:oddHBand="0" w:evenHBand="1" w:firstRowFirstColumn="0" w:firstRowLastColumn="0" w:lastRowFirstColumn="0" w:lastRowLastColumn="0"/>
              <w:rPr>
                <w:sz w:val="20"/>
                <w:szCs w:val="20"/>
                <w:lang w:val="en-GB"/>
              </w:rPr>
            </w:pPr>
          </w:p>
        </w:tc>
        <w:tc>
          <w:tcPr>
            <w:tcW w:w="1407" w:type="dxa"/>
            <w:shd w:val="clear" w:color="auto" w:fill="EFEFEF" w:themeFill="text2" w:themeFillTint="33"/>
          </w:tcPr>
          <w:p w14:paraId="34B34807" w14:textId="5CCDEA28" w:rsidR="00146878" w:rsidRPr="00221992" w:rsidRDefault="00146878" w:rsidP="00E93AC3">
            <w:pPr>
              <w:pStyle w:val="TableText"/>
              <w:spacing w:line="240" w:lineRule="auto"/>
              <w:ind w:left="115" w:right="115"/>
              <w:cnfStyle w:val="000000010000" w:firstRow="0" w:lastRow="0" w:firstColumn="0" w:lastColumn="0" w:oddVBand="0" w:evenVBand="0" w:oddHBand="0" w:evenHBand="1" w:firstRowFirstColumn="0" w:firstRowLastColumn="0" w:lastRowFirstColumn="0" w:lastRowLastColumn="0"/>
              <w:rPr>
                <w:sz w:val="20"/>
                <w:szCs w:val="20"/>
                <w:lang w:val="en-GB"/>
              </w:rPr>
            </w:pPr>
          </w:p>
        </w:tc>
        <w:tc>
          <w:tcPr>
            <w:tcW w:w="1391" w:type="dxa"/>
            <w:shd w:val="clear" w:color="auto" w:fill="EFEFEF" w:themeFill="text2" w:themeFillTint="33"/>
          </w:tcPr>
          <w:p w14:paraId="5CDF1619" w14:textId="77777777" w:rsidR="00146878" w:rsidRPr="00221992" w:rsidRDefault="00146878" w:rsidP="00E93AC3">
            <w:pPr>
              <w:pStyle w:val="TableText"/>
              <w:spacing w:line="240" w:lineRule="auto"/>
              <w:ind w:left="115" w:right="115"/>
              <w:cnfStyle w:val="000000010000" w:firstRow="0" w:lastRow="0" w:firstColumn="0" w:lastColumn="0" w:oddVBand="0" w:evenVBand="0" w:oddHBand="0" w:evenHBand="1" w:firstRowFirstColumn="0" w:firstRowLastColumn="0" w:lastRowFirstColumn="0" w:lastRowLastColumn="0"/>
              <w:rPr>
                <w:sz w:val="20"/>
                <w:szCs w:val="20"/>
                <w:lang w:val="en-GB"/>
              </w:rPr>
            </w:pPr>
            <w:r w:rsidRPr="00221992">
              <w:rPr>
                <w:sz w:val="20"/>
                <w:szCs w:val="20"/>
                <w:lang w:val="en-GB"/>
              </w:rPr>
              <w:t>NS</w:t>
            </w:r>
          </w:p>
        </w:tc>
        <w:tc>
          <w:tcPr>
            <w:tcW w:w="1307" w:type="dxa"/>
            <w:shd w:val="clear" w:color="auto" w:fill="EFEFEF" w:themeFill="text2" w:themeFillTint="33"/>
          </w:tcPr>
          <w:p w14:paraId="755FA9F3" w14:textId="77777777" w:rsidR="00146878" w:rsidRPr="00221992" w:rsidRDefault="00146878" w:rsidP="00E93AC3">
            <w:pPr>
              <w:pStyle w:val="TableText"/>
              <w:spacing w:line="240" w:lineRule="auto"/>
              <w:ind w:left="115" w:right="115"/>
              <w:cnfStyle w:val="000000010000" w:firstRow="0" w:lastRow="0" w:firstColumn="0" w:lastColumn="0" w:oddVBand="0" w:evenVBand="0" w:oddHBand="0" w:evenHBand="1" w:firstRowFirstColumn="0" w:firstRowLastColumn="0" w:lastRowFirstColumn="0" w:lastRowLastColumn="0"/>
              <w:rPr>
                <w:sz w:val="20"/>
                <w:szCs w:val="20"/>
                <w:lang w:val="en-GB"/>
              </w:rPr>
            </w:pPr>
            <w:r w:rsidRPr="00221992">
              <w:rPr>
                <w:rFonts w:ascii="Wingdings" w:eastAsia="Wingdings" w:hAnsi="Wingdings" w:cs="Wingdings"/>
                <w:sz w:val="20"/>
                <w:szCs w:val="20"/>
                <w:lang w:val="en-GB"/>
              </w:rPr>
              <w:t></w:t>
            </w:r>
            <w:r w:rsidRPr="00221992">
              <w:rPr>
                <w:sz w:val="20"/>
                <w:szCs w:val="20"/>
                <w:vertAlign w:val="superscript"/>
                <w:lang w:val="en-GB"/>
              </w:rPr>
              <w:t>3</w:t>
            </w:r>
          </w:p>
        </w:tc>
        <w:tc>
          <w:tcPr>
            <w:tcW w:w="1333" w:type="dxa"/>
            <w:shd w:val="clear" w:color="auto" w:fill="EFEFEF" w:themeFill="text2" w:themeFillTint="33"/>
          </w:tcPr>
          <w:p w14:paraId="303F5867" w14:textId="1AAEF3FB" w:rsidR="00146878" w:rsidRPr="00221992" w:rsidRDefault="00146878" w:rsidP="00E93AC3">
            <w:pPr>
              <w:pStyle w:val="TableText"/>
              <w:spacing w:line="240" w:lineRule="auto"/>
              <w:ind w:left="115" w:right="115"/>
              <w:cnfStyle w:val="000000010000" w:firstRow="0" w:lastRow="0" w:firstColumn="0" w:lastColumn="0" w:oddVBand="0" w:evenVBand="0" w:oddHBand="0" w:evenHBand="1" w:firstRowFirstColumn="0" w:firstRowLastColumn="0" w:lastRowFirstColumn="0" w:lastRowLastColumn="0"/>
              <w:rPr>
                <w:sz w:val="20"/>
                <w:szCs w:val="20"/>
                <w:lang w:val="en-GB"/>
              </w:rPr>
            </w:pPr>
          </w:p>
        </w:tc>
      </w:tr>
      <w:tr w:rsidR="00146878" w:rsidRPr="00221992" w14:paraId="14E1315C" w14:textId="77777777" w:rsidTr="00146878">
        <w:trPr>
          <w:trHeight w:val="366"/>
        </w:trPr>
        <w:tc>
          <w:tcPr>
            <w:cnfStyle w:val="001000000000" w:firstRow="0" w:lastRow="0" w:firstColumn="1" w:lastColumn="0" w:oddVBand="0" w:evenVBand="0" w:oddHBand="0" w:evenHBand="0" w:firstRowFirstColumn="0" w:firstRowLastColumn="0" w:lastRowFirstColumn="0" w:lastRowLastColumn="0"/>
            <w:tcW w:w="2334" w:type="dxa"/>
            <w:shd w:val="clear" w:color="auto" w:fill="1E8BCD"/>
          </w:tcPr>
          <w:p w14:paraId="703008F6" w14:textId="77777777" w:rsidR="00146878" w:rsidRPr="00221992" w:rsidRDefault="00146878" w:rsidP="00E93AC3">
            <w:pPr>
              <w:pStyle w:val="TableHeading"/>
              <w:spacing w:line="240" w:lineRule="auto"/>
              <w:ind w:left="115" w:right="115"/>
              <w:rPr>
                <w:rFonts w:ascii="Calibri" w:hAnsi="Calibri" w:cs="Calibri"/>
                <w:sz w:val="20"/>
                <w:szCs w:val="20"/>
                <w:lang w:val="en-GB"/>
              </w:rPr>
            </w:pPr>
            <w:r w:rsidRPr="00221992">
              <w:rPr>
                <w:rFonts w:ascii="Calibri" w:hAnsi="Calibri" w:cs="Calibri"/>
                <w:sz w:val="20"/>
                <w:szCs w:val="20"/>
                <w:lang w:val="en-GB"/>
              </w:rPr>
              <w:t>2. CU</w:t>
            </w:r>
          </w:p>
        </w:tc>
        <w:tc>
          <w:tcPr>
            <w:tcW w:w="1667" w:type="dxa"/>
          </w:tcPr>
          <w:p w14:paraId="7DD4C99D" w14:textId="77777777" w:rsidR="00146878" w:rsidRPr="00221992" w:rsidRDefault="00146878" w:rsidP="00E93AC3">
            <w:pPr>
              <w:pStyle w:val="TableText"/>
              <w:spacing w:line="240" w:lineRule="auto"/>
              <w:ind w:left="115" w:right="115"/>
              <w:cnfStyle w:val="000000000000" w:firstRow="0" w:lastRow="0" w:firstColumn="0" w:lastColumn="0" w:oddVBand="0" w:evenVBand="0" w:oddHBand="0" w:evenHBand="0" w:firstRowFirstColumn="0" w:firstRowLastColumn="0" w:lastRowFirstColumn="0" w:lastRowLastColumn="0"/>
              <w:rPr>
                <w:sz w:val="20"/>
                <w:szCs w:val="20"/>
                <w:lang w:val="en-GB"/>
              </w:rPr>
            </w:pPr>
            <w:r w:rsidRPr="00221992">
              <w:rPr>
                <w:rFonts w:ascii="Wingdings" w:eastAsia="Wingdings" w:hAnsi="Wingdings" w:cs="Wingdings"/>
                <w:sz w:val="20"/>
                <w:szCs w:val="20"/>
                <w:lang w:val="en-GB"/>
              </w:rPr>
              <w:t></w:t>
            </w:r>
            <w:r w:rsidRPr="00221992">
              <w:rPr>
                <w:sz w:val="20"/>
                <w:szCs w:val="20"/>
                <w:vertAlign w:val="superscript"/>
                <w:lang w:val="en-GB"/>
              </w:rPr>
              <w:t>1</w:t>
            </w:r>
          </w:p>
        </w:tc>
        <w:tc>
          <w:tcPr>
            <w:tcW w:w="1182" w:type="dxa"/>
          </w:tcPr>
          <w:p w14:paraId="67477CCD" w14:textId="28EB377B" w:rsidR="00146878" w:rsidRPr="00221992" w:rsidRDefault="00146878" w:rsidP="00E93AC3">
            <w:pPr>
              <w:pStyle w:val="TableText"/>
              <w:spacing w:line="240" w:lineRule="auto"/>
              <w:ind w:left="115" w:right="115"/>
              <w:cnfStyle w:val="000000000000" w:firstRow="0" w:lastRow="0" w:firstColumn="0" w:lastColumn="0" w:oddVBand="0" w:evenVBand="0" w:oddHBand="0" w:evenHBand="0" w:firstRowFirstColumn="0" w:firstRowLastColumn="0" w:lastRowFirstColumn="0" w:lastRowLastColumn="0"/>
              <w:rPr>
                <w:sz w:val="20"/>
                <w:szCs w:val="20"/>
                <w:lang w:val="en-GB"/>
              </w:rPr>
            </w:pPr>
          </w:p>
        </w:tc>
        <w:tc>
          <w:tcPr>
            <w:tcW w:w="1387" w:type="dxa"/>
          </w:tcPr>
          <w:p w14:paraId="3C8BAC8C" w14:textId="209BCA07" w:rsidR="00146878" w:rsidRPr="00221992" w:rsidRDefault="00146878" w:rsidP="00E93AC3">
            <w:pPr>
              <w:pStyle w:val="TableText"/>
              <w:spacing w:line="240" w:lineRule="auto"/>
              <w:ind w:left="115" w:right="115"/>
              <w:cnfStyle w:val="000000000000" w:firstRow="0" w:lastRow="0" w:firstColumn="0" w:lastColumn="0" w:oddVBand="0" w:evenVBand="0" w:oddHBand="0" w:evenHBand="0" w:firstRowFirstColumn="0" w:firstRowLastColumn="0" w:lastRowFirstColumn="0" w:lastRowLastColumn="0"/>
              <w:rPr>
                <w:sz w:val="20"/>
                <w:szCs w:val="20"/>
                <w:lang w:val="en-GB"/>
              </w:rPr>
            </w:pPr>
          </w:p>
        </w:tc>
        <w:tc>
          <w:tcPr>
            <w:tcW w:w="1396" w:type="dxa"/>
          </w:tcPr>
          <w:p w14:paraId="55675C29" w14:textId="77777777" w:rsidR="00146878" w:rsidRPr="00221992" w:rsidRDefault="00146878" w:rsidP="00E93AC3">
            <w:pPr>
              <w:pStyle w:val="TableText"/>
              <w:spacing w:line="240" w:lineRule="auto"/>
              <w:ind w:left="115" w:right="115"/>
              <w:cnfStyle w:val="000000000000" w:firstRow="0" w:lastRow="0" w:firstColumn="0" w:lastColumn="0" w:oddVBand="0" w:evenVBand="0" w:oddHBand="0" w:evenHBand="0" w:firstRowFirstColumn="0" w:firstRowLastColumn="0" w:lastRowFirstColumn="0" w:lastRowLastColumn="0"/>
              <w:rPr>
                <w:sz w:val="20"/>
                <w:szCs w:val="20"/>
                <w:lang w:val="en-GB"/>
              </w:rPr>
            </w:pPr>
            <w:r w:rsidRPr="00221992">
              <w:rPr>
                <w:rFonts w:ascii="Wingdings" w:eastAsia="Wingdings" w:hAnsi="Wingdings" w:cs="Wingdings"/>
                <w:sz w:val="20"/>
                <w:szCs w:val="20"/>
                <w:lang w:val="en-GB"/>
              </w:rPr>
              <w:t></w:t>
            </w:r>
            <w:r w:rsidRPr="00221992">
              <w:rPr>
                <w:sz w:val="20"/>
                <w:szCs w:val="20"/>
                <w:vertAlign w:val="superscript"/>
                <w:lang w:val="en-GB"/>
              </w:rPr>
              <w:t>2</w:t>
            </w:r>
          </w:p>
        </w:tc>
        <w:tc>
          <w:tcPr>
            <w:tcW w:w="1407" w:type="dxa"/>
          </w:tcPr>
          <w:p w14:paraId="794780E9" w14:textId="629CE263" w:rsidR="00146878" w:rsidRPr="00221992" w:rsidRDefault="00146878" w:rsidP="00E93AC3">
            <w:pPr>
              <w:pStyle w:val="TableText"/>
              <w:spacing w:line="240" w:lineRule="auto"/>
              <w:ind w:left="115" w:right="115"/>
              <w:cnfStyle w:val="000000000000" w:firstRow="0" w:lastRow="0" w:firstColumn="0" w:lastColumn="0" w:oddVBand="0" w:evenVBand="0" w:oddHBand="0" w:evenHBand="0" w:firstRowFirstColumn="0" w:firstRowLastColumn="0" w:lastRowFirstColumn="0" w:lastRowLastColumn="0"/>
              <w:rPr>
                <w:sz w:val="20"/>
                <w:szCs w:val="20"/>
                <w:lang w:val="en-GB"/>
              </w:rPr>
            </w:pPr>
          </w:p>
        </w:tc>
        <w:tc>
          <w:tcPr>
            <w:tcW w:w="1391" w:type="dxa"/>
          </w:tcPr>
          <w:p w14:paraId="472959B0" w14:textId="77777777" w:rsidR="00146878" w:rsidRPr="00221992" w:rsidRDefault="00146878" w:rsidP="00E93AC3">
            <w:pPr>
              <w:pStyle w:val="TableText"/>
              <w:spacing w:line="240" w:lineRule="auto"/>
              <w:ind w:left="115" w:right="115"/>
              <w:cnfStyle w:val="000000000000" w:firstRow="0" w:lastRow="0" w:firstColumn="0" w:lastColumn="0" w:oddVBand="0" w:evenVBand="0" w:oddHBand="0" w:evenHBand="0" w:firstRowFirstColumn="0" w:firstRowLastColumn="0" w:lastRowFirstColumn="0" w:lastRowLastColumn="0"/>
              <w:rPr>
                <w:sz w:val="20"/>
                <w:szCs w:val="20"/>
                <w:lang w:val="en-GB"/>
              </w:rPr>
            </w:pPr>
            <w:r w:rsidRPr="00221992">
              <w:rPr>
                <w:sz w:val="20"/>
                <w:szCs w:val="20"/>
                <w:lang w:val="en-GB"/>
              </w:rPr>
              <w:t>NS</w:t>
            </w:r>
          </w:p>
        </w:tc>
        <w:tc>
          <w:tcPr>
            <w:tcW w:w="1307" w:type="dxa"/>
          </w:tcPr>
          <w:p w14:paraId="1862961F" w14:textId="77777777" w:rsidR="00146878" w:rsidRPr="00221992" w:rsidRDefault="00146878" w:rsidP="00E93AC3">
            <w:pPr>
              <w:pStyle w:val="TableText"/>
              <w:spacing w:line="240" w:lineRule="auto"/>
              <w:ind w:left="115" w:right="115"/>
              <w:cnfStyle w:val="000000000000" w:firstRow="0" w:lastRow="0" w:firstColumn="0" w:lastColumn="0" w:oddVBand="0" w:evenVBand="0" w:oddHBand="0" w:evenHBand="0" w:firstRowFirstColumn="0" w:firstRowLastColumn="0" w:lastRowFirstColumn="0" w:lastRowLastColumn="0"/>
              <w:rPr>
                <w:sz w:val="20"/>
                <w:szCs w:val="20"/>
                <w:vertAlign w:val="superscript"/>
                <w:lang w:val="en-GB"/>
              </w:rPr>
            </w:pPr>
            <w:r w:rsidRPr="00221992">
              <w:rPr>
                <w:rFonts w:ascii="Wingdings" w:eastAsia="Wingdings" w:hAnsi="Wingdings" w:cs="Wingdings"/>
                <w:sz w:val="20"/>
                <w:szCs w:val="20"/>
                <w:lang w:val="en-GB"/>
              </w:rPr>
              <w:t></w:t>
            </w:r>
            <w:r w:rsidRPr="00221992">
              <w:rPr>
                <w:sz w:val="20"/>
                <w:szCs w:val="20"/>
                <w:vertAlign w:val="superscript"/>
                <w:lang w:val="en-GB"/>
              </w:rPr>
              <w:t>4</w:t>
            </w:r>
          </w:p>
        </w:tc>
        <w:tc>
          <w:tcPr>
            <w:tcW w:w="1333" w:type="dxa"/>
          </w:tcPr>
          <w:p w14:paraId="5F0D1B67" w14:textId="77777777" w:rsidR="00146878" w:rsidRPr="00221992" w:rsidRDefault="00146878" w:rsidP="00E93AC3">
            <w:pPr>
              <w:pStyle w:val="TableText"/>
              <w:spacing w:line="240" w:lineRule="auto"/>
              <w:ind w:left="115" w:right="115"/>
              <w:cnfStyle w:val="000000000000" w:firstRow="0" w:lastRow="0" w:firstColumn="0" w:lastColumn="0" w:oddVBand="0" w:evenVBand="0" w:oddHBand="0" w:evenHBand="0" w:firstRowFirstColumn="0" w:firstRowLastColumn="0" w:lastRowFirstColumn="0" w:lastRowLastColumn="0"/>
              <w:rPr>
                <w:sz w:val="20"/>
                <w:szCs w:val="20"/>
                <w:vertAlign w:val="superscript"/>
                <w:lang w:val="en-GB"/>
              </w:rPr>
            </w:pPr>
            <w:r w:rsidRPr="00221992">
              <w:rPr>
                <w:rFonts w:ascii="Wingdings" w:eastAsia="Wingdings" w:hAnsi="Wingdings" w:cs="Wingdings"/>
                <w:sz w:val="20"/>
                <w:szCs w:val="20"/>
                <w:lang w:val="en-GB"/>
              </w:rPr>
              <w:t></w:t>
            </w:r>
            <w:r w:rsidRPr="00221992">
              <w:rPr>
                <w:sz w:val="20"/>
                <w:szCs w:val="20"/>
                <w:vertAlign w:val="superscript"/>
                <w:lang w:val="en-GB"/>
              </w:rPr>
              <w:t>5</w:t>
            </w:r>
          </w:p>
        </w:tc>
      </w:tr>
      <w:tr w:rsidR="00146878" w:rsidRPr="00221992" w14:paraId="22E0183B" w14:textId="77777777" w:rsidTr="00146878">
        <w:trPr>
          <w:cnfStyle w:val="000000010000" w:firstRow="0" w:lastRow="0" w:firstColumn="0" w:lastColumn="0" w:oddVBand="0" w:evenVBand="0" w:oddHBand="0" w:evenHBand="1" w:firstRowFirstColumn="0" w:firstRowLastColumn="0" w:lastRowFirstColumn="0" w:lastRowLastColumn="0"/>
          <w:trHeight w:val="301"/>
        </w:trPr>
        <w:tc>
          <w:tcPr>
            <w:cnfStyle w:val="001000000000" w:firstRow="0" w:lastRow="0" w:firstColumn="1" w:lastColumn="0" w:oddVBand="0" w:evenVBand="0" w:oddHBand="0" w:evenHBand="0" w:firstRowFirstColumn="0" w:firstRowLastColumn="0" w:lastRowFirstColumn="0" w:lastRowLastColumn="0"/>
            <w:tcW w:w="2334" w:type="dxa"/>
            <w:shd w:val="clear" w:color="auto" w:fill="1E8BCD"/>
          </w:tcPr>
          <w:p w14:paraId="1E2F6254" w14:textId="77777777" w:rsidR="00146878" w:rsidRPr="00221992" w:rsidRDefault="00146878" w:rsidP="00E93AC3">
            <w:pPr>
              <w:pStyle w:val="TableHeading"/>
              <w:spacing w:line="240" w:lineRule="auto"/>
              <w:ind w:left="115" w:right="115"/>
              <w:rPr>
                <w:rFonts w:ascii="Calibri" w:hAnsi="Calibri" w:cs="Calibri"/>
                <w:sz w:val="20"/>
                <w:szCs w:val="20"/>
                <w:lang w:val="en-GB"/>
              </w:rPr>
            </w:pPr>
            <w:r w:rsidRPr="00221992">
              <w:rPr>
                <w:rFonts w:ascii="Calibri" w:hAnsi="Calibri" w:cs="Calibri"/>
                <w:sz w:val="20"/>
                <w:szCs w:val="20"/>
                <w:lang w:val="en-GB"/>
              </w:rPr>
              <w:t>3. Access to off-label use</w:t>
            </w:r>
          </w:p>
        </w:tc>
        <w:tc>
          <w:tcPr>
            <w:tcW w:w="1667" w:type="dxa"/>
            <w:shd w:val="clear" w:color="auto" w:fill="EFEFEF" w:themeFill="text2" w:themeFillTint="33"/>
          </w:tcPr>
          <w:p w14:paraId="1ADBE412" w14:textId="10BE0623" w:rsidR="00146878" w:rsidRPr="00221992" w:rsidRDefault="00146878" w:rsidP="00E93AC3">
            <w:pPr>
              <w:pStyle w:val="TableText"/>
              <w:spacing w:line="240" w:lineRule="auto"/>
              <w:ind w:left="115" w:right="115"/>
              <w:cnfStyle w:val="000000010000" w:firstRow="0" w:lastRow="0" w:firstColumn="0" w:lastColumn="0" w:oddVBand="0" w:evenVBand="0" w:oddHBand="0" w:evenHBand="1" w:firstRowFirstColumn="0" w:firstRowLastColumn="0" w:lastRowFirstColumn="0" w:lastRowLastColumn="0"/>
              <w:rPr>
                <w:sz w:val="20"/>
                <w:szCs w:val="20"/>
                <w:lang w:val="en-GB"/>
              </w:rPr>
            </w:pPr>
          </w:p>
        </w:tc>
        <w:tc>
          <w:tcPr>
            <w:tcW w:w="1182" w:type="dxa"/>
            <w:shd w:val="clear" w:color="auto" w:fill="EFEFEF" w:themeFill="text2" w:themeFillTint="33"/>
          </w:tcPr>
          <w:p w14:paraId="00C938D2" w14:textId="62BC3343" w:rsidR="00146878" w:rsidRPr="00221992" w:rsidRDefault="00146878" w:rsidP="00E93AC3">
            <w:pPr>
              <w:pStyle w:val="TableText"/>
              <w:spacing w:line="240" w:lineRule="auto"/>
              <w:ind w:left="115" w:right="115"/>
              <w:cnfStyle w:val="000000010000" w:firstRow="0" w:lastRow="0" w:firstColumn="0" w:lastColumn="0" w:oddVBand="0" w:evenVBand="0" w:oddHBand="0" w:evenHBand="1" w:firstRowFirstColumn="0" w:firstRowLastColumn="0" w:lastRowFirstColumn="0" w:lastRowLastColumn="0"/>
              <w:rPr>
                <w:sz w:val="20"/>
                <w:szCs w:val="20"/>
                <w:lang w:val="en-GB"/>
              </w:rPr>
            </w:pPr>
          </w:p>
        </w:tc>
        <w:tc>
          <w:tcPr>
            <w:tcW w:w="1387" w:type="dxa"/>
            <w:shd w:val="clear" w:color="auto" w:fill="EFEFEF" w:themeFill="text2" w:themeFillTint="33"/>
          </w:tcPr>
          <w:p w14:paraId="42957F32" w14:textId="13A22984" w:rsidR="00146878" w:rsidRPr="00221992" w:rsidRDefault="00146878" w:rsidP="00E93AC3">
            <w:pPr>
              <w:pStyle w:val="TableText"/>
              <w:spacing w:line="240" w:lineRule="auto"/>
              <w:ind w:left="115" w:right="115"/>
              <w:cnfStyle w:val="000000010000" w:firstRow="0" w:lastRow="0" w:firstColumn="0" w:lastColumn="0" w:oddVBand="0" w:evenVBand="0" w:oddHBand="0" w:evenHBand="1" w:firstRowFirstColumn="0" w:firstRowLastColumn="0" w:lastRowFirstColumn="0" w:lastRowLastColumn="0"/>
              <w:rPr>
                <w:sz w:val="20"/>
                <w:szCs w:val="20"/>
                <w:lang w:val="en-GB"/>
              </w:rPr>
            </w:pPr>
          </w:p>
        </w:tc>
        <w:tc>
          <w:tcPr>
            <w:tcW w:w="1396" w:type="dxa"/>
            <w:shd w:val="clear" w:color="auto" w:fill="EFEFEF" w:themeFill="text2" w:themeFillTint="33"/>
          </w:tcPr>
          <w:p w14:paraId="7C3D6FC3" w14:textId="77777777" w:rsidR="00146878" w:rsidRPr="00221992" w:rsidRDefault="00146878" w:rsidP="00E93AC3">
            <w:pPr>
              <w:pStyle w:val="TableText"/>
              <w:spacing w:line="240" w:lineRule="auto"/>
              <w:ind w:left="115" w:right="115"/>
              <w:cnfStyle w:val="000000010000" w:firstRow="0" w:lastRow="0" w:firstColumn="0" w:lastColumn="0" w:oddVBand="0" w:evenVBand="0" w:oddHBand="0" w:evenHBand="1" w:firstRowFirstColumn="0" w:firstRowLastColumn="0" w:lastRowFirstColumn="0" w:lastRowLastColumn="0"/>
              <w:rPr>
                <w:sz w:val="20"/>
                <w:szCs w:val="20"/>
                <w:vertAlign w:val="superscript"/>
                <w:lang w:val="en-GB"/>
              </w:rPr>
            </w:pPr>
            <w:r w:rsidRPr="00221992">
              <w:rPr>
                <w:rFonts w:ascii="Wingdings" w:eastAsia="Wingdings" w:hAnsi="Wingdings" w:cs="Wingdings"/>
                <w:sz w:val="20"/>
                <w:szCs w:val="20"/>
                <w:lang w:val="en-GB"/>
              </w:rPr>
              <w:t></w:t>
            </w:r>
            <w:r w:rsidRPr="00221992">
              <w:rPr>
                <w:sz w:val="20"/>
                <w:szCs w:val="20"/>
                <w:vertAlign w:val="superscript"/>
                <w:lang w:val="en-GB"/>
              </w:rPr>
              <w:t>2</w:t>
            </w:r>
          </w:p>
        </w:tc>
        <w:tc>
          <w:tcPr>
            <w:tcW w:w="1407" w:type="dxa"/>
            <w:shd w:val="clear" w:color="auto" w:fill="EFEFEF" w:themeFill="text2" w:themeFillTint="33"/>
          </w:tcPr>
          <w:p w14:paraId="5BF585E6" w14:textId="37A5D259" w:rsidR="00146878" w:rsidRPr="00221992" w:rsidRDefault="00146878" w:rsidP="00E93AC3">
            <w:pPr>
              <w:pStyle w:val="TableText"/>
              <w:spacing w:line="240" w:lineRule="auto"/>
              <w:ind w:left="115" w:right="115"/>
              <w:cnfStyle w:val="000000010000" w:firstRow="0" w:lastRow="0" w:firstColumn="0" w:lastColumn="0" w:oddVBand="0" w:evenVBand="0" w:oddHBand="0" w:evenHBand="1" w:firstRowFirstColumn="0" w:firstRowLastColumn="0" w:lastRowFirstColumn="0" w:lastRowLastColumn="0"/>
              <w:rPr>
                <w:sz w:val="20"/>
                <w:szCs w:val="20"/>
                <w:lang w:val="en-GB"/>
              </w:rPr>
            </w:pPr>
          </w:p>
        </w:tc>
        <w:tc>
          <w:tcPr>
            <w:tcW w:w="1391" w:type="dxa"/>
            <w:shd w:val="clear" w:color="auto" w:fill="EFEFEF" w:themeFill="text2" w:themeFillTint="33"/>
          </w:tcPr>
          <w:p w14:paraId="751E9E58" w14:textId="77777777" w:rsidR="00146878" w:rsidRPr="00221992" w:rsidRDefault="00146878" w:rsidP="00E93AC3">
            <w:pPr>
              <w:pStyle w:val="TableText"/>
              <w:spacing w:line="240" w:lineRule="auto"/>
              <w:ind w:left="115" w:right="115"/>
              <w:cnfStyle w:val="000000010000" w:firstRow="0" w:lastRow="0" w:firstColumn="0" w:lastColumn="0" w:oddVBand="0" w:evenVBand="0" w:oddHBand="0" w:evenHBand="1" w:firstRowFirstColumn="0" w:firstRowLastColumn="0" w:lastRowFirstColumn="0" w:lastRowLastColumn="0"/>
              <w:rPr>
                <w:sz w:val="20"/>
                <w:szCs w:val="20"/>
                <w:lang w:val="en-GB"/>
              </w:rPr>
            </w:pPr>
            <w:r w:rsidRPr="00221992">
              <w:rPr>
                <w:sz w:val="20"/>
                <w:szCs w:val="20"/>
                <w:lang w:val="en-GB"/>
              </w:rPr>
              <w:t>NS</w:t>
            </w:r>
          </w:p>
        </w:tc>
        <w:tc>
          <w:tcPr>
            <w:tcW w:w="1307" w:type="dxa"/>
            <w:shd w:val="clear" w:color="auto" w:fill="EFEFEF" w:themeFill="text2" w:themeFillTint="33"/>
          </w:tcPr>
          <w:p w14:paraId="32AD9559" w14:textId="2133FCC4" w:rsidR="00146878" w:rsidRPr="00221992" w:rsidRDefault="00146878" w:rsidP="00E93AC3">
            <w:pPr>
              <w:pStyle w:val="TableText"/>
              <w:spacing w:line="240" w:lineRule="auto"/>
              <w:ind w:left="115" w:right="115"/>
              <w:cnfStyle w:val="000000010000" w:firstRow="0" w:lastRow="0" w:firstColumn="0" w:lastColumn="0" w:oddVBand="0" w:evenVBand="0" w:oddHBand="0" w:evenHBand="1" w:firstRowFirstColumn="0" w:firstRowLastColumn="0" w:lastRowFirstColumn="0" w:lastRowLastColumn="0"/>
              <w:rPr>
                <w:sz w:val="20"/>
                <w:szCs w:val="20"/>
                <w:lang w:val="en-GB"/>
              </w:rPr>
            </w:pPr>
          </w:p>
        </w:tc>
        <w:tc>
          <w:tcPr>
            <w:tcW w:w="1333" w:type="dxa"/>
            <w:shd w:val="clear" w:color="auto" w:fill="EFEFEF" w:themeFill="text2" w:themeFillTint="33"/>
          </w:tcPr>
          <w:p w14:paraId="71CB649F" w14:textId="77777777" w:rsidR="00146878" w:rsidRPr="00221992" w:rsidRDefault="00146878" w:rsidP="00E93AC3">
            <w:pPr>
              <w:pStyle w:val="TableText"/>
              <w:spacing w:line="240" w:lineRule="auto"/>
              <w:ind w:left="115" w:right="115"/>
              <w:cnfStyle w:val="000000010000" w:firstRow="0" w:lastRow="0" w:firstColumn="0" w:lastColumn="0" w:oddVBand="0" w:evenVBand="0" w:oddHBand="0" w:evenHBand="1" w:firstRowFirstColumn="0" w:firstRowLastColumn="0" w:lastRowFirstColumn="0" w:lastRowLastColumn="0"/>
              <w:rPr>
                <w:sz w:val="20"/>
                <w:szCs w:val="20"/>
                <w:vertAlign w:val="superscript"/>
                <w:lang w:val="en-GB"/>
              </w:rPr>
            </w:pPr>
            <w:r w:rsidRPr="00221992">
              <w:rPr>
                <w:rFonts w:ascii="Wingdings" w:eastAsia="Wingdings" w:hAnsi="Wingdings" w:cs="Wingdings"/>
                <w:sz w:val="20"/>
                <w:szCs w:val="20"/>
                <w:lang w:val="en-GB"/>
              </w:rPr>
              <w:t></w:t>
            </w:r>
            <w:r w:rsidRPr="00221992">
              <w:rPr>
                <w:sz w:val="20"/>
                <w:szCs w:val="20"/>
                <w:vertAlign w:val="superscript"/>
                <w:lang w:val="en-GB"/>
              </w:rPr>
              <w:t>5</w:t>
            </w:r>
          </w:p>
        </w:tc>
      </w:tr>
      <w:tr w:rsidR="00146878" w:rsidRPr="00221992" w14:paraId="4541EEBD" w14:textId="77777777" w:rsidTr="00146878">
        <w:trPr>
          <w:trHeight w:val="669"/>
        </w:trPr>
        <w:tc>
          <w:tcPr>
            <w:cnfStyle w:val="001000000000" w:firstRow="0" w:lastRow="0" w:firstColumn="1" w:lastColumn="0" w:oddVBand="0" w:evenVBand="0" w:oddHBand="0" w:evenHBand="0" w:firstRowFirstColumn="0" w:firstRowLastColumn="0" w:lastRowFirstColumn="0" w:lastRowLastColumn="0"/>
            <w:tcW w:w="2334" w:type="dxa"/>
            <w:shd w:val="clear" w:color="auto" w:fill="1E8BCD"/>
          </w:tcPr>
          <w:p w14:paraId="0A0E5BA4" w14:textId="77777777" w:rsidR="00146878" w:rsidRPr="00221992" w:rsidRDefault="00146878" w:rsidP="00E93AC3">
            <w:pPr>
              <w:pStyle w:val="TableHeading"/>
              <w:spacing w:line="240" w:lineRule="auto"/>
              <w:ind w:left="115" w:right="115"/>
              <w:rPr>
                <w:rFonts w:ascii="Calibri" w:hAnsi="Calibri" w:cs="Calibri"/>
                <w:sz w:val="20"/>
                <w:szCs w:val="20"/>
                <w:lang w:val="en-GB"/>
              </w:rPr>
            </w:pPr>
            <w:r w:rsidRPr="00221992">
              <w:rPr>
                <w:rFonts w:ascii="Calibri" w:hAnsi="Calibri" w:cs="Calibri"/>
                <w:sz w:val="20"/>
                <w:szCs w:val="20"/>
                <w:lang w:val="en-GB"/>
              </w:rPr>
              <w:t>4. Exceptional circumstances</w:t>
            </w:r>
          </w:p>
        </w:tc>
        <w:tc>
          <w:tcPr>
            <w:tcW w:w="1667" w:type="dxa"/>
          </w:tcPr>
          <w:p w14:paraId="63DE4BA3" w14:textId="77777777" w:rsidR="00146878" w:rsidRPr="00221992" w:rsidRDefault="00146878" w:rsidP="00E93AC3">
            <w:pPr>
              <w:pStyle w:val="TableText"/>
              <w:spacing w:line="240" w:lineRule="auto"/>
              <w:ind w:left="115" w:right="115"/>
              <w:cnfStyle w:val="000000000000" w:firstRow="0" w:lastRow="0" w:firstColumn="0" w:lastColumn="0" w:oddVBand="0" w:evenVBand="0" w:oddHBand="0" w:evenHBand="0" w:firstRowFirstColumn="0" w:firstRowLastColumn="0" w:lastRowFirstColumn="0" w:lastRowLastColumn="0"/>
              <w:rPr>
                <w:rFonts w:ascii="Wingdings" w:eastAsia="Wingdings" w:hAnsi="Wingdings" w:cs="Wingdings"/>
                <w:sz w:val="20"/>
                <w:szCs w:val="20"/>
                <w:lang w:val="en-GB"/>
              </w:rPr>
            </w:pPr>
            <w:r w:rsidRPr="00221992">
              <w:rPr>
                <w:rFonts w:ascii="Wingdings" w:eastAsia="Wingdings" w:hAnsi="Wingdings" w:cs="Wingdings"/>
                <w:sz w:val="20"/>
                <w:szCs w:val="20"/>
                <w:lang w:val="en-GB"/>
              </w:rPr>
              <w:t></w:t>
            </w:r>
          </w:p>
          <w:p w14:paraId="62089ABB" w14:textId="77777777" w:rsidR="00146878" w:rsidRPr="00221992" w:rsidRDefault="00146878" w:rsidP="00E93AC3">
            <w:pPr>
              <w:pStyle w:val="TableText"/>
              <w:spacing w:line="240" w:lineRule="auto"/>
              <w:ind w:left="115" w:right="115"/>
              <w:cnfStyle w:val="000000000000" w:firstRow="0" w:lastRow="0" w:firstColumn="0" w:lastColumn="0" w:oddVBand="0" w:evenVBand="0" w:oddHBand="0" w:evenHBand="0" w:firstRowFirstColumn="0" w:firstRowLastColumn="0" w:lastRowFirstColumn="0" w:lastRowLastColumn="0"/>
              <w:rPr>
                <w:sz w:val="20"/>
                <w:szCs w:val="20"/>
                <w:lang w:val="en-GB"/>
              </w:rPr>
            </w:pPr>
            <w:r w:rsidRPr="00221992">
              <w:rPr>
                <w:sz w:val="20"/>
                <w:szCs w:val="20"/>
                <w:lang w:val="en-GB"/>
              </w:rPr>
              <w:t>Apply to all</w:t>
            </w:r>
          </w:p>
        </w:tc>
        <w:tc>
          <w:tcPr>
            <w:tcW w:w="1182" w:type="dxa"/>
          </w:tcPr>
          <w:p w14:paraId="47DA4DB0" w14:textId="56D1A134" w:rsidR="00146878" w:rsidRPr="00221992" w:rsidRDefault="00146878" w:rsidP="00E93AC3">
            <w:pPr>
              <w:pStyle w:val="TableText"/>
              <w:spacing w:line="240" w:lineRule="auto"/>
              <w:ind w:left="115" w:right="115"/>
              <w:cnfStyle w:val="000000000000" w:firstRow="0" w:lastRow="0" w:firstColumn="0" w:lastColumn="0" w:oddVBand="0" w:evenVBand="0" w:oddHBand="0" w:evenHBand="0" w:firstRowFirstColumn="0" w:firstRowLastColumn="0" w:lastRowFirstColumn="0" w:lastRowLastColumn="0"/>
              <w:rPr>
                <w:sz w:val="20"/>
                <w:szCs w:val="20"/>
                <w:lang w:val="en-GB"/>
              </w:rPr>
            </w:pPr>
            <w:r w:rsidRPr="00221992">
              <w:rPr>
                <w:rFonts w:ascii="Wingdings" w:eastAsia="Wingdings" w:hAnsi="Wingdings" w:cs="Wingdings"/>
                <w:sz w:val="20"/>
                <w:szCs w:val="20"/>
                <w:lang w:val="en-GB"/>
              </w:rPr>
              <w:t></w:t>
            </w:r>
          </w:p>
        </w:tc>
        <w:tc>
          <w:tcPr>
            <w:tcW w:w="1387" w:type="dxa"/>
          </w:tcPr>
          <w:p w14:paraId="556473D7" w14:textId="353915BF" w:rsidR="00146878" w:rsidRPr="00221992" w:rsidRDefault="00146878" w:rsidP="00E93AC3">
            <w:pPr>
              <w:pStyle w:val="TableText"/>
              <w:spacing w:line="240" w:lineRule="auto"/>
              <w:ind w:left="115" w:right="115"/>
              <w:cnfStyle w:val="000000000000" w:firstRow="0" w:lastRow="0" w:firstColumn="0" w:lastColumn="0" w:oddVBand="0" w:evenVBand="0" w:oddHBand="0" w:evenHBand="0" w:firstRowFirstColumn="0" w:firstRowLastColumn="0" w:lastRowFirstColumn="0" w:lastRowLastColumn="0"/>
              <w:rPr>
                <w:sz w:val="20"/>
                <w:szCs w:val="20"/>
                <w:lang w:val="en-GB"/>
              </w:rPr>
            </w:pPr>
            <w:r w:rsidRPr="00221992">
              <w:rPr>
                <w:rFonts w:ascii="Wingdings" w:eastAsia="Wingdings" w:hAnsi="Wingdings" w:cs="Wingdings"/>
                <w:sz w:val="20"/>
                <w:szCs w:val="20"/>
                <w:lang w:val="en-GB"/>
              </w:rPr>
              <w:t></w:t>
            </w:r>
          </w:p>
        </w:tc>
        <w:tc>
          <w:tcPr>
            <w:tcW w:w="1396" w:type="dxa"/>
          </w:tcPr>
          <w:p w14:paraId="09BCE40A" w14:textId="3A8BF0AB" w:rsidR="00146878" w:rsidRPr="00221992" w:rsidRDefault="00146878" w:rsidP="00E93AC3">
            <w:pPr>
              <w:pStyle w:val="TableText"/>
              <w:spacing w:line="240" w:lineRule="auto"/>
              <w:ind w:left="115" w:right="115"/>
              <w:cnfStyle w:val="000000000000" w:firstRow="0" w:lastRow="0" w:firstColumn="0" w:lastColumn="0" w:oddVBand="0" w:evenVBand="0" w:oddHBand="0" w:evenHBand="0" w:firstRowFirstColumn="0" w:firstRowLastColumn="0" w:lastRowFirstColumn="0" w:lastRowLastColumn="0"/>
              <w:rPr>
                <w:sz w:val="20"/>
                <w:szCs w:val="20"/>
                <w:lang w:val="en-GB"/>
              </w:rPr>
            </w:pPr>
          </w:p>
        </w:tc>
        <w:tc>
          <w:tcPr>
            <w:tcW w:w="1407" w:type="dxa"/>
          </w:tcPr>
          <w:p w14:paraId="2E84FA72" w14:textId="77777777" w:rsidR="00146878" w:rsidRPr="00221992" w:rsidRDefault="00146878" w:rsidP="00E93AC3">
            <w:pPr>
              <w:pStyle w:val="TableText"/>
              <w:spacing w:line="240" w:lineRule="auto"/>
              <w:ind w:left="115" w:right="115"/>
              <w:cnfStyle w:val="000000000000" w:firstRow="0" w:lastRow="0" w:firstColumn="0" w:lastColumn="0" w:oddVBand="0" w:evenVBand="0" w:oddHBand="0" w:evenHBand="0" w:firstRowFirstColumn="0" w:firstRowLastColumn="0" w:lastRowFirstColumn="0" w:lastRowLastColumn="0"/>
              <w:rPr>
                <w:sz w:val="20"/>
                <w:szCs w:val="20"/>
                <w:lang w:val="en-GB"/>
              </w:rPr>
            </w:pPr>
            <w:r w:rsidRPr="00221992">
              <w:rPr>
                <w:rFonts w:ascii="Wingdings" w:eastAsia="Wingdings" w:hAnsi="Wingdings" w:cs="Wingdings"/>
                <w:sz w:val="20"/>
                <w:szCs w:val="20"/>
                <w:lang w:val="en-GB"/>
              </w:rPr>
              <w:t></w:t>
            </w:r>
          </w:p>
        </w:tc>
        <w:tc>
          <w:tcPr>
            <w:tcW w:w="1391" w:type="dxa"/>
          </w:tcPr>
          <w:p w14:paraId="3E88C4B3" w14:textId="77777777" w:rsidR="00146878" w:rsidRPr="00221992" w:rsidRDefault="00146878" w:rsidP="00E93AC3">
            <w:pPr>
              <w:pStyle w:val="TableText"/>
              <w:spacing w:line="240" w:lineRule="auto"/>
              <w:ind w:left="115" w:right="115"/>
              <w:cnfStyle w:val="000000000000" w:firstRow="0" w:lastRow="0" w:firstColumn="0" w:lastColumn="0" w:oddVBand="0" w:evenVBand="0" w:oddHBand="0" w:evenHBand="0" w:firstRowFirstColumn="0" w:firstRowLastColumn="0" w:lastRowFirstColumn="0" w:lastRowLastColumn="0"/>
              <w:rPr>
                <w:sz w:val="20"/>
                <w:szCs w:val="20"/>
                <w:lang w:val="en-GB"/>
              </w:rPr>
            </w:pPr>
            <w:r w:rsidRPr="00221992">
              <w:rPr>
                <w:rFonts w:ascii="Wingdings" w:eastAsia="Wingdings" w:hAnsi="Wingdings" w:cs="Wingdings"/>
                <w:sz w:val="20"/>
                <w:szCs w:val="20"/>
                <w:lang w:val="en-GB"/>
              </w:rPr>
              <w:t></w:t>
            </w:r>
          </w:p>
        </w:tc>
        <w:tc>
          <w:tcPr>
            <w:tcW w:w="1307" w:type="dxa"/>
          </w:tcPr>
          <w:p w14:paraId="1FEEE657" w14:textId="6274A9B1" w:rsidR="00146878" w:rsidRPr="00221992" w:rsidRDefault="00146878" w:rsidP="00E93AC3">
            <w:pPr>
              <w:pStyle w:val="TableText"/>
              <w:spacing w:line="240" w:lineRule="auto"/>
              <w:ind w:left="115" w:right="115"/>
              <w:cnfStyle w:val="000000000000" w:firstRow="0" w:lastRow="0" w:firstColumn="0" w:lastColumn="0" w:oddVBand="0" w:evenVBand="0" w:oddHBand="0" w:evenHBand="0" w:firstRowFirstColumn="0" w:firstRowLastColumn="0" w:lastRowFirstColumn="0" w:lastRowLastColumn="0"/>
              <w:rPr>
                <w:sz w:val="20"/>
                <w:szCs w:val="20"/>
                <w:lang w:val="en-GB"/>
              </w:rPr>
            </w:pPr>
          </w:p>
        </w:tc>
        <w:tc>
          <w:tcPr>
            <w:tcW w:w="1333" w:type="dxa"/>
          </w:tcPr>
          <w:p w14:paraId="521D3332" w14:textId="35BBEF0D" w:rsidR="00146878" w:rsidRPr="00221992" w:rsidRDefault="00146878" w:rsidP="00E93AC3">
            <w:pPr>
              <w:pStyle w:val="TableText"/>
              <w:spacing w:line="240" w:lineRule="auto"/>
              <w:ind w:left="115" w:right="115"/>
              <w:cnfStyle w:val="000000000000" w:firstRow="0" w:lastRow="0" w:firstColumn="0" w:lastColumn="0" w:oddVBand="0" w:evenVBand="0" w:oddHBand="0" w:evenHBand="0" w:firstRowFirstColumn="0" w:firstRowLastColumn="0" w:lastRowFirstColumn="0" w:lastRowLastColumn="0"/>
              <w:rPr>
                <w:sz w:val="20"/>
                <w:szCs w:val="20"/>
                <w:lang w:val="en-GB"/>
              </w:rPr>
            </w:pPr>
          </w:p>
        </w:tc>
      </w:tr>
    </w:tbl>
    <w:p w14:paraId="0D709FE1" w14:textId="1A5880EF" w:rsidR="00D65012" w:rsidRPr="00221992" w:rsidRDefault="00BF14B4" w:rsidP="00533CF1">
      <w:pPr>
        <w:pStyle w:val="TableNotes"/>
        <w:rPr>
          <w:lang w:val="en-GB"/>
        </w:rPr>
      </w:pPr>
      <w:r w:rsidRPr="00221992">
        <w:rPr>
          <w:lang w:val="en-GB"/>
        </w:rPr>
        <w:t>Acronyms:</w:t>
      </w:r>
      <w:r w:rsidRPr="00221992">
        <w:rPr>
          <w:lang w:val="en-GB"/>
        </w:rPr>
        <w:tab/>
      </w:r>
      <w:r w:rsidR="00D65012" w:rsidRPr="00221992">
        <w:rPr>
          <w:lang w:val="en-GB"/>
        </w:rPr>
        <w:t>CU, compassionate use; EDRD, expensive drugs for rare diseases; IPTRs, Individual Patient Treatment Requests; MA, marketing authorisation; NPPA, Named Patient Pharmaceutical Assessment; NS, not specified; PACS, Peer Approved Clinical System; STEDT, Short Term Exceptional Drug Therapy; ULM, Unlicensed medicine</w:t>
      </w:r>
      <w:r w:rsidR="00F63D56" w:rsidRPr="00221992">
        <w:rPr>
          <w:lang w:val="en-GB"/>
        </w:rPr>
        <w:t xml:space="preserve"> </w:t>
      </w:r>
      <w:r w:rsidR="00F63D56" w:rsidRPr="00221992">
        <w:rPr>
          <w:lang w:val="en-GB"/>
        </w:rPr>
        <w:fldChar w:fldCharType="begin"/>
      </w:r>
      <w:r w:rsidR="00E5265C">
        <w:rPr>
          <w:lang w:val="en-GB"/>
        </w:rPr>
        <w:instrText xml:space="preserve"> ADDIN EN.CITE &lt;EndNote&gt;&lt;Cite&gt;&lt;Author&gt;NHS Greater Glasgow and Clyde&lt;/Author&gt;&lt;Year&gt;2019&lt;/Year&gt;&lt;RecNum&gt;664&lt;/RecNum&gt;&lt;DisplayText&gt;[187]&lt;/DisplayText&gt;&lt;record&gt;&lt;rec-number&gt;664&lt;/rec-number&gt;&lt;foreign-keys&gt;&lt;key app="EN" db-id="wzwwsfxe4peesxef95cxvrwjxts9rreasarf" timestamp="1693194059"&gt;664&lt;/key&gt;&lt;/foreign-keys&gt;&lt;ref-type name="Web Page"&gt;12&lt;/ref-type&gt;&lt;contributors&gt;&lt;authors&gt;&lt;author&gt;NHS Greater Glasgow and Clyde,&lt;/author&gt;&lt;/authors&gt;&lt;/contributors&gt;&lt;titles&gt;&lt;title&gt;Policies relating to the management of medicines&lt;/title&gt;&lt;/titles&gt;&lt;number&gt;28 August 2023&lt;/number&gt;&lt;dates&gt;&lt;year&gt;2019&lt;/year&gt;&lt;/dates&gt;&lt;pub-location&gt;Glasgow&lt;/pub-location&gt;&lt;publisher&gt;NHS Greater Glasgow and Clyde&lt;/publisher&gt;&lt;urls&gt;&lt;/urls&gt;&lt;/record&gt;&lt;/Cite&gt;&lt;/EndNote&gt;</w:instrText>
      </w:r>
      <w:r w:rsidR="00F63D56" w:rsidRPr="00221992">
        <w:rPr>
          <w:lang w:val="en-GB"/>
        </w:rPr>
        <w:fldChar w:fldCharType="separate"/>
      </w:r>
      <w:r w:rsidR="00E5265C">
        <w:rPr>
          <w:noProof/>
          <w:lang w:val="en-GB"/>
        </w:rPr>
        <w:t>[187]</w:t>
      </w:r>
      <w:r w:rsidR="00F63D56" w:rsidRPr="00221992">
        <w:rPr>
          <w:lang w:val="en-GB"/>
        </w:rPr>
        <w:fldChar w:fldCharType="end"/>
      </w:r>
      <w:r w:rsidR="00D65012" w:rsidRPr="00221992">
        <w:rPr>
          <w:lang w:val="en-GB"/>
        </w:rPr>
        <w:t>.</w:t>
      </w:r>
    </w:p>
    <w:p w14:paraId="12FD3FC8" w14:textId="1316DDE8" w:rsidR="00D65012" w:rsidRPr="00221992" w:rsidRDefault="00BF14B4" w:rsidP="00533CF1">
      <w:pPr>
        <w:pStyle w:val="TableNotes"/>
        <w:rPr>
          <w:lang w:val="en-GB"/>
        </w:rPr>
        <w:sectPr w:rsidR="00D65012" w:rsidRPr="00221992" w:rsidSect="004A6C73">
          <w:pgSz w:w="16838" w:h="11906" w:orient="landscape" w:code="9"/>
          <w:pgMar w:top="1701" w:right="1701" w:bottom="1701" w:left="1247" w:header="567" w:footer="57" w:gutter="0"/>
          <w:cols w:space="708"/>
          <w:docGrid w:linePitch="360"/>
        </w:sectPr>
      </w:pPr>
      <w:r w:rsidRPr="00221992">
        <w:rPr>
          <w:lang w:val="en-GB"/>
        </w:rPr>
        <w:t>Notes:</w:t>
      </w:r>
      <w:r w:rsidRPr="00221992">
        <w:rPr>
          <w:lang w:val="en-GB"/>
        </w:rPr>
        <w:tab/>
      </w:r>
      <w:r w:rsidR="00D65012" w:rsidRPr="00221992">
        <w:rPr>
          <w:vertAlign w:val="superscript"/>
          <w:lang w:val="en-GB"/>
        </w:rPr>
        <w:t xml:space="preserve">1 </w:t>
      </w:r>
      <w:r w:rsidR="00D65012" w:rsidRPr="00221992">
        <w:rPr>
          <w:lang w:val="en-GB"/>
        </w:rPr>
        <w:t xml:space="preserve">Application for reimbursement can occur when CHMP has given a positive recommendation. </w:t>
      </w:r>
      <w:r w:rsidR="00D65012" w:rsidRPr="00221992">
        <w:rPr>
          <w:vertAlign w:val="superscript"/>
          <w:lang w:val="en-GB"/>
        </w:rPr>
        <w:t xml:space="preserve">2 </w:t>
      </w:r>
      <w:r w:rsidR="00D65012" w:rsidRPr="00221992">
        <w:rPr>
          <w:lang w:val="en-GB"/>
        </w:rPr>
        <w:t xml:space="preserve">July 2021 reform introduced a Compassionate Use pathway that includes drugs with an MA but not for the indication of interest (off-label) or drugs with no MA. </w:t>
      </w:r>
      <w:r w:rsidR="00D65012" w:rsidRPr="00221992">
        <w:rPr>
          <w:vertAlign w:val="superscript"/>
          <w:lang w:val="en-GB"/>
        </w:rPr>
        <w:t xml:space="preserve">3 </w:t>
      </w:r>
      <w:r w:rsidR="00D65012" w:rsidRPr="00221992">
        <w:rPr>
          <w:lang w:val="en-GB"/>
        </w:rPr>
        <w:t xml:space="preserve">Treatment costs are responsibility of the patient and hospitals if delivered in-hospital. </w:t>
      </w:r>
      <w:r w:rsidR="00D65012" w:rsidRPr="00221992">
        <w:rPr>
          <w:vertAlign w:val="superscript"/>
          <w:lang w:val="en-GB"/>
        </w:rPr>
        <w:t>4</w:t>
      </w:r>
      <w:r w:rsidRPr="00221992">
        <w:rPr>
          <w:vertAlign w:val="superscript"/>
          <w:lang w:val="en-GB"/>
        </w:rPr>
        <w:tab/>
      </w:r>
      <w:r w:rsidR="00D65012" w:rsidRPr="00221992">
        <w:rPr>
          <w:vertAlign w:val="superscript"/>
          <w:lang w:val="en-GB"/>
        </w:rPr>
        <w:t xml:space="preserve"> </w:t>
      </w:r>
      <w:r w:rsidR="00D65012" w:rsidRPr="00221992">
        <w:rPr>
          <w:lang w:val="en-GB"/>
        </w:rPr>
        <w:t>compassionate use involves direct and free delivery of the medicine by the manufacturer.</w:t>
      </w:r>
      <w:r w:rsidRPr="00221992">
        <w:rPr>
          <w:lang w:val="en-GB"/>
        </w:rPr>
        <w:t xml:space="preserve"> </w:t>
      </w:r>
      <w:r w:rsidR="00D65012" w:rsidRPr="00221992">
        <w:rPr>
          <w:vertAlign w:val="superscript"/>
          <w:lang w:val="en-GB"/>
        </w:rPr>
        <w:t>5</w:t>
      </w:r>
      <w:r w:rsidR="00D65012" w:rsidRPr="00221992">
        <w:rPr>
          <w:lang w:val="en-GB"/>
        </w:rPr>
        <w:t xml:space="preserve"> currently under review</w:t>
      </w:r>
    </w:p>
    <w:p w14:paraId="70689E89" w14:textId="1EA230F3" w:rsidR="00025FDE" w:rsidRPr="00221992" w:rsidRDefault="001B0CA7" w:rsidP="00146C04">
      <w:pPr>
        <w:pStyle w:val="NbrHeading2"/>
        <w:rPr>
          <w:lang w:val="en-GB"/>
        </w:rPr>
      </w:pPr>
      <w:bookmarkStart w:id="160" w:name="_Ref143764721"/>
      <w:bookmarkStart w:id="161" w:name="_Toc162950890"/>
      <w:bookmarkEnd w:id="2"/>
      <w:r w:rsidRPr="00221992">
        <w:rPr>
          <w:lang w:val="en-GB"/>
        </w:rPr>
        <w:t>Managing uncertainty</w:t>
      </w:r>
      <w:bookmarkEnd w:id="160"/>
      <w:bookmarkEnd w:id="161"/>
    </w:p>
    <w:p w14:paraId="0BB314D6" w14:textId="05DBD536" w:rsidR="003C2DDB" w:rsidRPr="00221992" w:rsidRDefault="002908F1" w:rsidP="00F320B6">
      <w:pPr>
        <w:rPr>
          <w:lang w:val="en-GB"/>
        </w:rPr>
      </w:pPr>
      <w:r w:rsidRPr="00221992">
        <w:rPr>
          <w:lang w:val="en-GB"/>
        </w:rPr>
        <w:t xml:space="preserve">Given the complexity and </w:t>
      </w:r>
      <w:r w:rsidR="00B7615D" w:rsidRPr="00221992">
        <w:rPr>
          <w:lang w:val="en-GB"/>
        </w:rPr>
        <w:t xml:space="preserve">rapidly </w:t>
      </w:r>
      <w:r w:rsidRPr="00221992">
        <w:rPr>
          <w:lang w:val="en-GB"/>
        </w:rPr>
        <w:t xml:space="preserve">evolving nature of health technologies, including pharmaceuticals, medical devices and procedures, </w:t>
      </w:r>
      <w:r w:rsidR="00E77FDB" w:rsidRPr="00221992">
        <w:rPr>
          <w:lang w:val="en-GB"/>
        </w:rPr>
        <w:t xml:space="preserve">the effective </w:t>
      </w:r>
      <w:r w:rsidRPr="00221992">
        <w:rPr>
          <w:lang w:val="en-GB"/>
        </w:rPr>
        <w:t>manag</w:t>
      </w:r>
      <w:r w:rsidR="00E77FDB" w:rsidRPr="00221992">
        <w:rPr>
          <w:lang w:val="en-GB"/>
        </w:rPr>
        <w:t>ement of</w:t>
      </w:r>
      <w:r w:rsidRPr="00221992">
        <w:rPr>
          <w:lang w:val="en-GB"/>
        </w:rPr>
        <w:t xml:space="preserve"> </w:t>
      </w:r>
      <w:r w:rsidR="000A26FB" w:rsidRPr="00221992">
        <w:rPr>
          <w:lang w:val="en-GB"/>
        </w:rPr>
        <w:t xml:space="preserve">clinical, </w:t>
      </w:r>
      <w:r w:rsidR="00F7702E" w:rsidRPr="00221992">
        <w:rPr>
          <w:lang w:val="en-GB"/>
        </w:rPr>
        <w:t>economic</w:t>
      </w:r>
      <w:r w:rsidR="000A26FB" w:rsidRPr="00221992">
        <w:rPr>
          <w:lang w:val="en-GB"/>
        </w:rPr>
        <w:t xml:space="preserve"> and financial </w:t>
      </w:r>
      <w:r w:rsidRPr="00221992">
        <w:rPr>
          <w:lang w:val="en-GB"/>
        </w:rPr>
        <w:t xml:space="preserve">uncertainty </w:t>
      </w:r>
      <w:r w:rsidR="00E77FDB" w:rsidRPr="00221992">
        <w:rPr>
          <w:lang w:val="en-GB"/>
        </w:rPr>
        <w:t>is</w:t>
      </w:r>
      <w:r w:rsidRPr="00221992">
        <w:rPr>
          <w:lang w:val="en-GB"/>
        </w:rPr>
        <w:t xml:space="preserve"> paramount to ensure fair and sustainable pricing</w:t>
      </w:r>
      <w:r w:rsidR="00E77FDB" w:rsidRPr="00221992">
        <w:rPr>
          <w:lang w:val="en-GB"/>
        </w:rPr>
        <w:t xml:space="preserve"> and reimbursement</w:t>
      </w:r>
      <w:r w:rsidRPr="00221992">
        <w:rPr>
          <w:lang w:val="en-GB"/>
        </w:rPr>
        <w:t xml:space="preserve"> strategies.</w:t>
      </w:r>
      <w:r w:rsidR="00065BD2" w:rsidRPr="00221992">
        <w:rPr>
          <w:lang w:val="en-GB"/>
        </w:rPr>
        <w:t xml:space="preserve"> </w:t>
      </w:r>
      <w:r w:rsidR="00BA4D4F" w:rsidRPr="00221992">
        <w:rPr>
          <w:lang w:val="en-GB"/>
        </w:rPr>
        <w:t>Clinical uncertainty relates t</w:t>
      </w:r>
      <w:r w:rsidR="00CE0592" w:rsidRPr="00221992">
        <w:rPr>
          <w:lang w:val="en-GB"/>
        </w:rPr>
        <w:t xml:space="preserve">o </w:t>
      </w:r>
      <w:r w:rsidR="0064260B" w:rsidRPr="00221992">
        <w:rPr>
          <w:lang w:val="en-GB"/>
        </w:rPr>
        <w:t xml:space="preserve">the </w:t>
      </w:r>
      <w:r w:rsidR="00356BD3" w:rsidRPr="00221992">
        <w:rPr>
          <w:lang w:val="en-GB"/>
        </w:rPr>
        <w:t xml:space="preserve">clinical effectiveness </w:t>
      </w:r>
      <w:r w:rsidR="00594157" w:rsidRPr="00221992">
        <w:rPr>
          <w:lang w:val="en-GB"/>
        </w:rPr>
        <w:t xml:space="preserve">and safety </w:t>
      </w:r>
      <w:r w:rsidR="00D7546C" w:rsidRPr="00221992">
        <w:rPr>
          <w:lang w:val="en-GB"/>
        </w:rPr>
        <w:t xml:space="preserve">of a </w:t>
      </w:r>
      <w:r w:rsidR="2356422B" w:rsidRPr="00221992">
        <w:rPr>
          <w:lang w:val="en-GB"/>
        </w:rPr>
        <w:t>health technology</w:t>
      </w:r>
      <w:r w:rsidR="00F0152B" w:rsidRPr="00221992">
        <w:rPr>
          <w:lang w:val="en-GB"/>
        </w:rPr>
        <w:t xml:space="preserve"> and considers questions relating to </w:t>
      </w:r>
      <w:r w:rsidR="05C43A9F" w:rsidRPr="00221992">
        <w:rPr>
          <w:lang w:val="en-GB"/>
        </w:rPr>
        <w:t>a product</w:t>
      </w:r>
      <w:r w:rsidR="00551786">
        <w:rPr>
          <w:lang w:val="en-GB"/>
        </w:rPr>
        <w:t>’</w:t>
      </w:r>
      <w:r w:rsidR="05C43A9F" w:rsidRPr="00221992">
        <w:rPr>
          <w:lang w:val="en-GB"/>
        </w:rPr>
        <w:t>s</w:t>
      </w:r>
      <w:r w:rsidR="006B60CD" w:rsidRPr="00221992">
        <w:rPr>
          <w:lang w:val="en-GB"/>
        </w:rPr>
        <w:t xml:space="preserve"> </w:t>
      </w:r>
      <w:r w:rsidR="00F0152B" w:rsidRPr="00221992">
        <w:rPr>
          <w:lang w:val="en-GB"/>
        </w:rPr>
        <w:t>short and long-term effectiveness</w:t>
      </w:r>
      <w:r w:rsidR="00EA4DBF" w:rsidRPr="00221992">
        <w:rPr>
          <w:lang w:val="en-GB"/>
        </w:rPr>
        <w:t xml:space="preserve">, whether the </w:t>
      </w:r>
      <w:r w:rsidR="0FDF473F" w:rsidRPr="00221992">
        <w:rPr>
          <w:lang w:val="en-GB"/>
        </w:rPr>
        <w:t xml:space="preserve">technology </w:t>
      </w:r>
      <w:r w:rsidR="00EA4DBF" w:rsidRPr="00221992">
        <w:rPr>
          <w:lang w:val="en-GB"/>
        </w:rPr>
        <w:t>wo</w:t>
      </w:r>
      <w:r w:rsidR="00D80710" w:rsidRPr="00221992">
        <w:rPr>
          <w:lang w:val="en-GB"/>
        </w:rPr>
        <w:t xml:space="preserve">rks as intended in the real world, </w:t>
      </w:r>
      <w:r w:rsidR="0076633C" w:rsidRPr="00221992">
        <w:rPr>
          <w:lang w:val="en-GB"/>
        </w:rPr>
        <w:t xml:space="preserve">whether there are potential side effects </w:t>
      </w:r>
      <w:r w:rsidR="005F1094" w:rsidRPr="00221992">
        <w:rPr>
          <w:lang w:val="en-GB"/>
        </w:rPr>
        <w:t>or risks</w:t>
      </w:r>
      <w:r w:rsidR="00AD1835">
        <w:rPr>
          <w:lang w:val="en-GB"/>
        </w:rPr>
        <w:t>,</w:t>
      </w:r>
      <w:r w:rsidR="005F1094" w:rsidRPr="00221992">
        <w:rPr>
          <w:lang w:val="en-GB"/>
        </w:rPr>
        <w:t xml:space="preserve"> </w:t>
      </w:r>
      <w:r w:rsidR="007D0B20" w:rsidRPr="00221992">
        <w:rPr>
          <w:lang w:val="en-GB"/>
        </w:rPr>
        <w:t>and how the t</w:t>
      </w:r>
      <w:r w:rsidR="115AC958" w:rsidRPr="00221992">
        <w:rPr>
          <w:lang w:val="en-GB"/>
        </w:rPr>
        <w:t>echnology</w:t>
      </w:r>
      <w:r w:rsidR="007D0B20" w:rsidRPr="00221992">
        <w:rPr>
          <w:lang w:val="en-GB"/>
        </w:rPr>
        <w:t xml:space="preserve"> compares to existing products or alternatives in terms of clinical outcomes.</w:t>
      </w:r>
      <w:r w:rsidR="000B72B6" w:rsidRPr="00221992">
        <w:rPr>
          <w:lang w:val="en-GB"/>
        </w:rPr>
        <w:t xml:space="preserve"> </w:t>
      </w:r>
      <w:r w:rsidR="00D7546C" w:rsidRPr="00221992">
        <w:rPr>
          <w:lang w:val="en-GB"/>
        </w:rPr>
        <w:t>Econo</w:t>
      </w:r>
      <w:r w:rsidR="009427B8" w:rsidRPr="00221992">
        <w:rPr>
          <w:lang w:val="en-GB"/>
        </w:rPr>
        <w:t xml:space="preserve">mic uncertainty considers </w:t>
      </w:r>
      <w:r w:rsidR="00406B61" w:rsidRPr="00221992">
        <w:rPr>
          <w:lang w:val="en-GB"/>
        </w:rPr>
        <w:t xml:space="preserve">the </w:t>
      </w:r>
      <w:r w:rsidR="009427B8" w:rsidRPr="00221992">
        <w:rPr>
          <w:lang w:val="en-GB"/>
        </w:rPr>
        <w:t xml:space="preserve">cost effectiveness </w:t>
      </w:r>
      <w:r w:rsidR="00DF7BC0" w:rsidRPr="00221992">
        <w:rPr>
          <w:lang w:val="en-GB"/>
        </w:rPr>
        <w:t>of a ne</w:t>
      </w:r>
      <w:r w:rsidR="00F7702E" w:rsidRPr="00221992">
        <w:rPr>
          <w:lang w:val="en-GB"/>
        </w:rPr>
        <w:t>w</w:t>
      </w:r>
      <w:r w:rsidR="00DF7BC0" w:rsidRPr="00221992">
        <w:rPr>
          <w:lang w:val="en-GB"/>
        </w:rPr>
        <w:t xml:space="preserve"> product </w:t>
      </w:r>
      <w:r w:rsidR="00020EE5" w:rsidRPr="00221992">
        <w:rPr>
          <w:lang w:val="en-GB"/>
        </w:rPr>
        <w:t>including</w:t>
      </w:r>
      <w:r w:rsidR="00E26B81" w:rsidRPr="00221992">
        <w:rPr>
          <w:lang w:val="en-GB"/>
        </w:rPr>
        <w:t xml:space="preserve"> direct and indirect costs</w:t>
      </w:r>
      <w:r w:rsidR="00D013E8" w:rsidRPr="00221992">
        <w:rPr>
          <w:lang w:val="en-GB"/>
        </w:rPr>
        <w:t xml:space="preserve">, how </w:t>
      </w:r>
      <w:r w:rsidR="00391E7C">
        <w:rPr>
          <w:lang w:val="en-GB"/>
        </w:rPr>
        <w:t>such</w:t>
      </w:r>
      <w:r w:rsidR="00391E7C" w:rsidRPr="00221992">
        <w:rPr>
          <w:lang w:val="en-GB"/>
        </w:rPr>
        <w:t xml:space="preserve"> </w:t>
      </w:r>
      <w:r w:rsidR="00D013E8" w:rsidRPr="00221992">
        <w:rPr>
          <w:lang w:val="en-GB"/>
        </w:rPr>
        <w:t xml:space="preserve">costs </w:t>
      </w:r>
      <w:r w:rsidR="001B73A0" w:rsidRPr="00221992">
        <w:rPr>
          <w:lang w:val="en-GB"/>
        </w:rPr>
        <w:t>compare to benefits</w:t>
      </w:r>
      <w:r w:rsidR="00391E7C">
        <w:rPr>
          <w:lang w:val="en-GB"/>
        </w:rPr>
        <w:t>,</w:t>
      </w:r>
      <w:r w:rsidR="001B73A0" w:rsidRPr="00221992">
        <w:rPr>
          <w:lang w:val="en-GB"/>
        </w:rPr>
        <w:t xml:space="preserve"> </w:t>
      </w:r>
      <w:r w:rsidR="001D4EE8" w:rsidRPr="00221992">
        <w:rPr>
          <w:lang w:val="en-GB"/>
        </w:rPr>
        <w:t xml:space="preserve">and whether the cost is justified </w:t>
      </w:r>
      <w:r w:rsidR="007E7C7F" w:rsidRPr="00221992">
        <w:rPr>
          <w:lang w:val="en-GB"/>
        </w:rPr>
        <w:t xml:space="preserve">by </w:t>
      </w:r>
      <w:r w:rsidR="006300AB" w:rsidRPr="00221992">
        <w:rPr>
          <w:lang w:val="en-GB"/>
        </w:rPr>
        <w:t xml:space="preserve">the </w:t>
      </w:r>
      <w:r w:rsidR="007E7C7F" w:rsidRPr="00221992">
        <w:rPr>
          <w:lang w:val="en-GB"/>
        </w:rPr>
        <w:t xml:space="preserve">associated improvement in </w:t>
      </w:r>
      <w:r w:rsidR="00F7702E" w:rsidRPr="00221992">
        <w:rPr>
          <w:lang w:val="en-GB"/>
        </w:rPr>
        <w:t xml:space="preserve">clinical outcomes such as </w:t>
      </w:r>
      <w:r w:rsidR="00020EE5" w:rsidRPr="00221992">
        <w:rPr>
          <w:lang w:val="en-GB"/>
        </w:rPr>
        <w:t>quality</w:t>
      </w:r>
      <w:r w:rsidR="00F7702E" w:rsidRPr="00221992">
        <w:rPr>
          <w:lang w:val="en-GB"/>
        </w:rPr>
        <w:t xml:space="preserve"> of life o</w:t>
      </w:r>
      <w:r w:rsidR="00020EE5" w:rsidRPr="00221992">
        <w:rPr>
          <w:lang w:val="en-GB"/>
        </w:rPr>
        <w:t>r</w:t>
      </w:r>
      <w:r w:rsidR="00F7702E" w:rsidRPr="00221992">
        <w:rPr>
          <w:lang w:val="en-GB"/>
        </w:rPr>
        <w:t xml:space="preserve"> life expectancy.</w:t>
      </w:r>
      <w:r w:rsidR="4C910102" w:rsidRPr="00221992">
        <w:rPr>
          <w:lang w:val="en-GB"/>
        </w:rPr>
        <w:t xml:space="preserve"> </w:t>
      </w:r>
      <w:r w:rsidR="00391E7C">
        <w:rPr>
          <w:lang w:val="en-GB"/>
        </w:rPr>
        <w:t>F</w:t>
      </w:r>
      <w:r w:rsidR="00AB5564" w:rsidRPr="00221992">
        <w:rPr>
          <w:lang w:val="en-GB"/>
        </w:rPr>
        <w:t xml:space="preserve">inancial uncertainty </w:t>
      </w:r>
      <w:r w:rsidR="00E02BC3" w:rsidRPr="00221992">
        <w:rPr>
          <w:lang w:val="en-GB"/>
        </w:rPr>
        <w:t>is specifically concerned with the budgetary implications of adopting</w:t>
      </w:r>
      <w:r w:rsidR="00AC3ABD" w:rsidRPr="00221992">
        <w:rPr>
          <w:lang w:val="en-GB"/>
        </w:rPr>
        <w:t xml:space="preserve"> a product within a health care system</w:t>
      </w:r>
      <w:r w:rsidR="00A2319C" w:rsidRPr="00221992">
        <w:rPr>
          <w:lang w:val="en-GB"/>
        </w:rPr>
        <w:t>,</w:t>
      </w:r>
      <w:r w:rsidR="004F26A8" w:rsidRPr="00221992">
        <w:rPr>
          <w:lang w:val="en-GB"/>
        </w:rPr>
        <w:t xml:space="preserve"> i.e., </w:t>
      </w:r>
      <w:r w:rsidR="00A2319C" w:rsidRPr="00221992">
        <w:rPr>
          <w:lang w:val="en-GB"/>
        </w:rPr>
        <w:t>the extent to which</w:t>
      </w:r>
      <w:r w:rsidR="004F26A8" w:rsidRPr="00221992">
        <w:rPr>
          <w:lang w:val="en-GB"/>
        </w:rPr>
        <w:t xml:space="preserve"> the health system </w:t>
      </w:r>
      <w:r w:rsidR="00A2319C" w:rsidRPr="00221992">
        <w:rPr>
          <w:lang w:val="en-GB"/>
        </w:rPr>
        <w:t xml:space="preserve">can </w:t>
      </w:r>
      <w:r w:rsidR="00FB7FB3" w:rsidRPr="00221992">
        <w:rPr>
          <w:lang w:val="en-GB"/>
        </w:rPr>
        <w:t xml:space="preserve">afford the upfront and ongoing costs of the </w:t>
      </w:r>
      <w:r w:rsidR="00D5668E" w:rsidRPr="00221992">
        <w:rPr>
          <w:lang w:val="en-GB"/>
        </w:rPr>
        <w:t>health technology</w:t>
      </w:r>
      <w:r w:rsidR="007F501E" w:rsidRPr="00221992">
        <w:rPr>
          <w:lang w:val="en-GB"/>
        </w:rPr>
        <w:t xml:space="preserve">, </w:t>
      </w:r>
      <w:r w:rsidR="00A2319C" w:rsidRPr="00221992">
        <w:rPr>
          <w:lang w:val="en-GB"/>
        </w:rPr>
        <w:t>the</w:t>
      </w:r>
      <w:r w:rsidR="00A420D2" w:rsidRPr="00221992">
        <w:rPr>
          <w:lang w:val="en-GB"/>
        </w:rPr>
        <w:t xml:space="preserve"> additional strain </w:t>
      </w:r>
      <w:r w:rsidR="00A2319C" w:rsidRPr="00221992">
        <w:rPr>
          <w:lang w:val="en-GB"/>
        </w:rPr>
        <w:t xml:space="preserve">likely to be placed </w:t>
      </w:r>
      <w:r w:rsidR="00A420D2" w:rsidRPr="00221992">
        <w:rPr>
          <w:lang w:val="en-GB"/>
        </w:rPr>
        <w:t xml:space="preserve">on the </w:t>
      </w:r>
      <w:r w:rsidR="00150B91" w:rsidRPr="00221992">
        <w:rPr>
          <w:lang w:val="en-GB"/>
        </w:rPr>
        <w:t xml:space="preserve">system, </w:t>
      </w:r>
      <w:r w:rsidR="00AE10F1" w:rsidRPr="00221992">
        <w:rPr>
          <w:lang w:val="en-GB"/>
        </w:rPr>
        <w:t xml:space="preserve">and </w:t>
      </w:r>
      <w:r w:rsidR="00A2319C" w:rsidRPr="00221992">
        <w:rPr>
          <w:lang w:val="en-GB"/>
        </w:rPr>
        <w:t xml:space="preserve">the </w:t>
      </w:r>
      <w:r w:rsidR="00AE10F1" w:rsidRPr="00221992">
        <w:rPr>
          <w:lang w:val="en-GB"/>
        </w:rPr>
        <w:t xml:space="preserve">funding mechanisms in place to manage the </w:t>
      </w:r>
      <w:r w:rsidR="00721E7D" w:rsidRPr="00221992">
        <w:rPr>
          <w:lang w:val="en-GB"/>
        </w:rPr>
        <w:t xml:space="preserve">financial </w:t>
      </w:r>
      <w:r w:rsidR="00AE10F1" w:rsidRPr="00221992">
        <w:rPr>
          <w:lang w:val="en-GB"/>
        </w:rPr>
        <w:t xml:space="preserve">impact of </w:t>
      </w:r>
      <w:r w:rsidR="00A2319C" w:rsidRPr="00221992">
        <w:rPr>
          <w:lang w:val="en-GB"/>
        </w:rPr>
        <w:t>a</w:t>
      </w:r>
      <w:r w:rsidR="00AE10F1" w:rsidRPr="00221992">
        <w:rPr>
          <w:lang w:val="en-GB"/>
        </w:rPr>
        <w:t xml:space="preserve"> product. </w:t>
      </w:r>
      <w:r w:rsidR="00A10F05" w:rsidRPr="00221992">
        <w:rPr>
          <w:lang w:val="en-GB"/>
        </w:rPr>
        <w:t>T</w:t>
      </w:r>
      <w:r w:rsidRPr="00221992">
        <w:rPr>
          <w:lang w:val="en-GB"/>
        </w:rPr>
        <w:t xml:space="preserve">his section </w:t>
      </w:r>
      <w:r w:rsidR="00F92696" w:rsidRPr="00221992">
        <w:rPr>
          <w:lang w:val="en-GB"/>
        </w:rPr>
        <w:t>explore</w:t>
      </w:r>
      <w:r w:rsidR="00F320B6" w:rsidRPr="00221992">
        <w:rPr>
          <w:lang w:val="en-GB"/>
        </w:rPr>
        <w:t>s</w:t>
      </w:r>
      <w:r w:rsidR="00F92696" w:rsidRPr="00221992">
        <w:rPr>
          <w:lang w:val="en-GB"/>
        </w:rPr>
        <w:t xml:space="preserve"> </w:t>
      </w:r>
      <w:r w:rsidR="00E77FDB" w:rsidRPr="00221992">
        <w:rPr>
          <w:lang w:val="en-GB"/>
        </w:rPr>
        <w:t xml:space="preserve">international </w:t>
      </w:r>
      <w:r w:rsidRPr="00221992">
        <w:rPr>
          <w:lang w:val="en-GB"/>
        </w:rPr>
        <w:t xml:space="preserve">approaches </w:t>
      </w:r>
      <w:r w:rsidR="00A5134E">
        <w:rPr>
          <w:lang w:val="en-GB"/>
        </w:rPr>
        <w:t>to</w:t>
      </w:r>
      <w:r w:rsidR="00A5134E" w:rsidRPr="00221992">
        <w:rPr>
          <w:lang w:val="en-GB"/>
        </w:rPr>
        <w:t xml:space="preserve"> </w:t>
      </w:r>
      <w:r w:rsidR="00E77FDB" w:rsidRPr="00221992">
        <w:rPr>
          <w:lang w:val="en-GB"/>
        </w:rPr>
        <w:t>the</w:t>
      </w:r>
      <w:r w:rsidRPr="00221992">
        <w:rPr>
          <w:lang w:val="en-GB"/>
        </w:rPr>
        <w:t xml:space="preserve"> manage</w:t>
      </w:r>
      <w:r w:rsidR="00E77FDB" w:rsidRPr="00221992">
        <w:rPr>
          <w:lang w:val="en-GB"/>
        </w:rPr>
        <w:t>ment of</w:t>
      </w:r>
      <w:r w:rsidRPr="00221992">
        <w:rPr>
          <w:lang w:val="en-GB"/>
        </w:rPr>
        <w:t xml:space="preserve"> </w:t>
      </w:r>
      <w:r w:rsidR="0034632B" w:rsidRPr="00221992">
        <w:rPr>
          <w:lang w:val="en-GB"/>
        </w:rPr>
        <w:t xml:space="preserve">these three types of </w:t>
      </w:r>
      <w:r w:rsidRPr="00221992">
        <w:rPr>
          <w:lang w:val="en-GB"/>
        </w:rPr>
        <w:t xml:space="preserve">uncertainty in </w:t>
      </w:r>
      <w:r w:rsidR="00E77FDB" w:rsidRPr="00221992">
        <w:rPr>
          <w:lang w:val="en-GB"/>
        </w:rPr>
        <w:t xml:space="preserve">HTA </w:t>
      </w:r>
      <w:r w:rsidR="00B575C1" w:rsidRPr="00221992">
        <w:rPr>
          <w:lang w:val="en-GB"/>
        </w:rPr>
        <w:t>pricing and reimbursement</w:t>
      </w:r>
      <w:r w:rsidR="00840087" w:rsidRPr="00221992">
        <w:rPr>
          <w:lang w:val="en-GB"/>
        </w:rPr>
        <w:t xml:space="preserve"> processes</w:t>
      </w:r>
      <w:r w:rsidRPr="00221992">
        <w:rPr>
          <w:lang w:val="en-GB"/>
        </w:rPr>
        <w:t xml:space="preserve">. </w:t>
      </w:r>
    </w:p>
    <w:p w14:paraId="20D1D460" w14:textId="45FBEBB2" w:rsidR="00FD2056" w:rsidRPr="00221992" w:rsidRDefault="00965818" w:rsidP="00407BA7">
      <w:pPr>
        <w:pStyle w:val="NbrHeading3"/>
        <w:rPr>
          <w:lang w:val="en-GB"/>
        </w:rPr>
      </w:pPr>
      <w:bookmarkStart w:id="162" w:name="_Toc139560813"/>
      <w:bookmarkStart w:id="163" w:name="_Toc139657550"/>
      <w:bookmarkStart w:id="164" w:name="_Toc139560814"/>
      <w:bookmarkStart w:id="165" w:name="_Toc139657551"/>
      <w:bookmarkStart w:id="166" w:name="_Toc139560815"/>
      <w:bookmarkStart w:id="167" w:name="_Toc139657552"/>
      <w:bookmarkStart w:id="168" w:name="_Toc162950891"/>
      <w:bookmarkEnd w:id="162"/>
      <w:bookmarkEnd w:id="163"/>
      <w:bookmarkEnd w:id="164"/>
      <w:bookmarkEnd w:id="165"/>
      <w:bookmarkEnd w:id="166"/>
      <w:bookmarkEnd w:id="167"/>
      <w:r w:rsidRPr="00221992">
        <w:rPr>
          <w:lang w:val="en-GB"/>
        </w:rPr>
        <w:t>Managed entry agreements</w:t>
      </w:r>
      <w:bookmarkEnd w:id="168"/>
    </w:p>
    <w:p w14:paraId="6AE79B34" w14:textId="724FA22E" w:rsidR="00065BD2" w:rsidRPr="00221992" w:rsidRDefault="00CA7A6B" w:rsidP="00B926CA">
      <w:pPr>
        <w:rPr>
          <w:lang w:val="en-GB"/>
        </w:rPr>
      </w:pPr>
      <w:r w:rsidRPr="00221992">
        <w:rPr>
          <w:lang w:val="en-GB"/>
        </w:rPr>
        <w:t>M</w:t>
      </w:r>
      <w:r w:rsidR="00F320B6" w:rsidRPr="00221992">
        <w:rPr>
          <w:lang w:val="en-GB"/>
        </w:rPr>
        <w:t>anaged entry agreements (MEAs)</w:t>
      </w:r>
      <w:r w:rsidR="001023EB" w:rsidRPr="00221992">
        <w:rPr>
          <w:lang w:val="en-GB"/>
        </w:rPr>
        <w:t xml:space="preserve"> </w:t>
      </w:r>
      <w:r w:rsidR="00F320B6" w:rsidRPr="00221992">
        <w:rPr>
          <w:lang w:val="en-GB"/>
        </w:rPr>
        <w:t>are strategic arrangements between payers and sponsors, employed to ensure timely patient access to advanced healthcare treatments, particularly when there is uncertainty about their clinical or cost-effectiveness.</w:t>
      </w:r>
      <w:r w:rsidR="00065BD2" w:rsidRPr="00221992">
        <w:rPr>
          <w:lang w:val="en-GB"/>
        </w:rPr>
        <w:t> </w:t>
      </w:r>
      <w:r w:rsidR="00065BD2" w:rsidRPr="00221992">
        <w:rPr>
          <w:rFonts w:cs="Calibri Light"/>
          <w:lang w:val="en-GB"/>
        </w:rPr>
        <w:t>MEAs are designed to address inherent uncertainties surrounding the value</w:t>
      </w:r>
      <w:r w:rsidR="0035031F" w:rsidRPr="00221992">
        <w:rPr>
          <w:rFonts w:cs="Calibri Light"/>
          <w:lang w:val="en-GB"/>
        </w:rPr>
        <w:t>, uptake</w:t>
      </w:r>
      <w:r w:rsidR="00065BD2" w:rsidRPr="00221992">
        <w:rPr>
          <w:rFonts w:cs="Calibri Light"/>
          <w:lang w:val="en-GB"/>
        </w:rPr>
        <w:t xml:space="preserve"> and performance of </w:t>
      </w:r>
      <w:r w:rsidRPr="00221992">
        <w:rPr>
          <w:rFonts w:cs="Calibri Light"/>
          <w:lang w:val="en-GB"/>
        </w:rPr>
        <w:t>emerging</w:t>
      </w:r>
      <w:r w:rsidR="00065BD2" w:rsidRPr="00221992">
        <w:rPr>
          <w:rFonts w:cs="Calibri Light"/>
          <w:lang w:val="en-GB"/>
        </w:rPr>
        <w:t xml:space="preserve"> technologies </w:t>
      </w:r>
      <w:r w:rsidRPr="00221992">
        <w:rPr>
          <w:rFonts w:cs="Calibri Light"/>
          <w:lang w:val="en-GB"/>
        </w:rPr>
        <w:t>through</w:t>
      </w:r>
      <w:r w:rsidR="00065BD2" w:rsidRPr="00221992">
        <w:rPr>
          <w:rFonts w:cs="Calibri Light"/>
          <w:lang w:val="en-GB"/>
        </w:rPr>
        <w:t xml:space="preserve"> conditional or managed reimbursement</w:t>
      </w:r>
      <w:r w:rsidR="001023EB" w:rsidRPr="00221992">
        <w:rPr>
          <w:rFonts w:cs="Calibri Light"/>
          <w:lang w:val="en-GB"/>
        </w:rPr>
        <w:t xml:space="preserve"> </w:t>
      </w:r>
      <w:r w:rsidR="001023EB" w:rsidRPr="00221992">
        <w:rPr>
          <w:lang w:val="en-GB"/>
        </w:rPr>
        <w:fldChar w:fldCharType="begin"/>
      </w:r>
      <w:r w:rsidR="00E5265C">
        <w:rPr>
          <w:lang w:val="en-GB"/>
        </w:rPr>
        <w:instrText xml:space="preserve"> ADDIN EN.CITE &lt;EndNote&gt;&lt;Cite&gt;&lt;Author&gt;Agenzia Italiana del Farmaco (AIFA)&lt;/Author&gt;&lt;Year&gt;2007&lt;/Year&gt;&lt;RecNum&gt;22&lt;/RecNum&gt;&lt;DisplayText&gt;[188]&lt;/DisplayText&gt;&lt;record&gt;&lt;rec-number&gt;22&lt;/rec-number&gt;&lt;foreign-keys&gt;&lt;key app="EN" db-id="wzwwsfxe4peesxef95cxvrwjxts9rreasarf" timestamp="1692654670"&gt;22&lt;/key&gt;&lt;/foreign-keys&gt;&lt;ref-type name="Web Page"&gt;12&lt;/ref-type&gt;&lt;contributors&gt;&lt;authors&gt;&lt;author&gt;Agenzia Italiana del Farmaco (AIFA),&lt;/author&gt;&lt;/authors&gt;&lt;/contributors&gt;&lt;titles&gt;&lt;title&gt;Italian Medicines Agency WGoID. Criteria for Ranking Therapeutic Innovation of New Drugs and Elements for Supplementing the Dossier for Admission to the Reimbursement System&lt;/title&gt;&lt;/titles&gt;&lt;number&gt;17 August 2023&lt;/number&gt;&lt;dates&gt;&lt;year&gt;2007&lt;/year&gt;&lt;/dates&gt;&lt;publisher&gt;Government of Italy, Agenzia Italiana del Farmaco (AIFA)&lt;/publisher&gt;&lt;urls&gt;&lt;related-urls&gt;&lt;url&gt;http://www.agenziafarmaco.gov.it/allegati/integral_document.pdf&lt;/url&gt;&lt;/related-urls&gt;&lt;/urls&gt;&lt;/record&gt;&lt;/Cite&gt;&lt;/EndNote&gt;</w:instrText>
      </w:r>
      <w:r w:rsidR="001023EB" w:rsidRPr="00221992">
        <w:rPr>
          <w:lang w:val="en-GB"/>
        </w:rPr>
        <w:fldChar w:fldCharType="separate"/>
      </w:r>
      <w:r w:rsidR="00E5265C">
        <w:rPr>
          <w:noProof/>
          <w:lang w:val="en-GB"/>
        </w:rPr>
        <w:t>[188]</w:t>
      </w:r>
      <w:r w:rsidR="001023EB" w:rsidRPr="00221992">
        <w:rPr>
          <w:lang w:val="en-GB"/>
        </w:rPr>
        <w:fldChar w:fldCharType="end"/>
      </w:r>
      <w:r w:rsidR="001023EB" w:rsidRPr="00221992">
        <w:rPr>
          <w:lang w:val="en-GB"/>
        </w:rPr>
        <w:t>.</w:t>
      </w:r>
      <w:r w:rsidRPr="00221992">
        <w:rPr>
          <w:lang w:val="en-GB"/>
        </w:rPr>
        <w:t xml:space="preserve"> MEAs thereby serve to manage financial risks and other challenges associated with the use of such treatments, providing a framework for balancing expedited access and efficient resource allocation.</w:t>
      </w:r>
    </w:p>
    <w:p w14:paraId="61F36A0F" w14:textId="3CECF781" w:rsidR="00F8448B" w:rsidRPr="00221992" w:rsidRDefault="00065BD2" w:rsidP="001023EB">
      <w:pPr>
        <w:rPr>
          <w:lang w:val="en-GB"/>
        </w:rPr>
        <w:sectPr w:rsidR="00F8448B" w:rsidRPr="00221992" w:rsidSect="004A6C73">
          <w:headerReference w:type="even" r:id="rId53"/>
          <w:headerReference w:type="default" r:id="rId54"/>
          <w:footerReference w:type="even" r:id="rId55"/>
          <w:headerReference w:type="first" r:id="rId56"/>
          <w:footerReference w:type="first" r:id="rId57"/>
          <w:type w:val="continuous"/>
          <w:pgSz w:w="11906" w:h="16838" w:code="9"/>
          <w:pgMar w:top="1701" w:right="1275" w:bottom="1247" w:left="1417" w:header="567" w:footer="57" w:gutter="0"/>
          <w:cols w:space="708"/>
          <w:docGrid w:linePitch="360"/>
        </w:sectPr>
      </w:pPr>
      <w:r w:rsidRPr="00221992">
        <w:rPr>
          <w:lang w:val="en-GB"/>
        </w:rPr>
        <w:t xml:space="preserve">MEAs </w:t>
      </w:r>
      <w:r w:rsidR="001023EB" w:rsidRPr="00221992">
        <w:rPr>
          <w:lang w:val="en-GB"/>
        </w:rPr>
        <w:t>have</w:t>
      </w:r>
      <w:r w:rsidRPr="00221992">
        <w:rPr>
          <w:lang w:val="en-GB"/>
        </w:rPr>
        <w:t xml:space="preserve"> predominantly </w:t>
      </w:r>
      <w:r w:rsidR="001023EB" w:rsidRPr="00221992">
        <w:rPr>
          <w:lang w:val="en-GB"/>
        </w:rPr>
        <w:t xml:space="preserve">been </w:t>
      </w:r>
      <w:r w:rsidRPr="00221992">
        <w:rPr>
          <w:lang w:val="en-GB"/>
        </w:rPr>
        <w:t xml:space="preserve">used for high-cost </w:t>
      </w:r>
      <w:r w:rsidR="001023EB" w:rsidRPr="00221992">
        <w:rPr>
          <w:lang w:val="en-GB"/>
        </w:rPr>
        <w:t xml:space="preserve">oncology </w:t>
      </w:r>
      <w:r w:rsidRPr="00221992">
        <w:rPr>
          <w:lang w:val="en-GB"/>
        </w:rPr>
        <w:t>therapies</w:t>
      </w:r>
      <w:r w:rsidR="00F63D56" w:rsidRPr="00221992">
        <w:rPr>
          <w:lang w:val="en-GB"/>
        </w:rPr>
        <w:t xml:space="preserve"> and in some </w:t>
      </w:r>
      <w:r w:rsidR="001023EB" w:rsidRPr="00221992">
        <w:rPr>
          <w:lang w:val="en-GB"/>
        </w:rPr>
        <w:t>cases</w:t>
      </w:r>
      <w:r w:rsidR="00F63D56" w:rsidRPr="00221992">
        <w:rPr>
          <w:lang w:val="en-GB"/>
        </w:rPr>
        <w:t>,</w:t>
      </w:r>
      <w:r w:rsidRPr="00221992">
        <w:rPr>
          <w:lang w:val="en-GB"/>
        </w:rPr>
        <w:t xml:space="preserve"> </w:t>
      </w:r>
      <w:r w:rsidR="001023EB" w:rsidRPr="00221992">
        <w:rPr>
          <w:lang w:val="en-GB"/>
        </w:rPr>
        <w:t>therapies for rare diseases</w:t>
      </w:r>
      <w:r w:rsidRPr="00221992">
        <w:rPr>
          <w:lang w:val="en-GB"/>
        </w:rPr>
        <w:t>.</w:t>
      </w:r>
      <w:r w:rsidR="001023EB" w:rsidRPr="00221992">
        <w:rPr>
          <w:lang w:val="en-GB"/>
        </w:rPr>
        <w:t xml:space="preserve"> </w:t>
      </w:r>
      <w:r w:rsidR="00AC6E0F" w:rsidRPr="00221992">
        <w:rPr>
          <w:lang w:val="en-GB"/>
        </w:rPr>
        <w:t>While definitions vary (</w:t>
      </w:r>
      <w:r w:rsidR="001023EB" w:rsidRPr="00221992">
        <w:rPr>
          <w:lang w:val="en-GB"/>
        </w:rPr>
        <w:t xml:space="preserve">e.g., </w:t>
      </w:r>
      <w:r w:rsidR="006A3A6F" w:rsidRPr="00221992">
        <w:rPr>
          <w:lang w:val="en-GB"/>
        </w:rPr>
        <w:t>outcome, performance, financial</w:t>
      </w:r>
      <w:r w:rsidR="00AC6E0F" w:rsidRPr="00221992">
        <w:rPr>
          <w:lang w:val="en-GB"/>
        </w:rPr>
        <w:t xml:space="preserve">) </w:t>
      </w:r>
      <w:r w:rsidRPr="00221992">
        <w:rPr>
          <w:lang w:val="en-GB"/>
        </w:rPr>
        <w:t>MEAs generally</w:t>
      </w:r>
      <w:r w:rsidR="00AC6E0F" w:rsidRPr="00221992">
        <w:rPr>
          <w:lang w:val="en-GB"/>
        </w:rPr>
        <w:t xml:space="preserve"> adhere to </w:t>
      </w:r>
      <w:r w:rsidR="001023EB" w:rsidRPr="00221992">
        <w:rPr>
          <w:lang w:val="en-GB"/>
        </w:rPr>
        <w:t>a</w:t>
      </w:r>
      <w:r w:rsidR="00AC6E0F" w:rsidRPr="00221992">
        <w:rPr>
          <w:lang w:val="en-GB"/>
        </w:rPr>
        <w:t xml:space="preserve"> </w:t>
      </w:r>
      <w:r w:rsidR="001023EB" w:rsidRPr="00221992">
        <w:rPr>
          <w:lang w:val="en-GB"/>
        </w:rPr>
        <w:t>three-tier taxonomy</w:t>
      </w:r>
      <w:r w:rsidR="00C8254A" w:rsidRPr="00221992">
        <w:rPr>
          <w:lang w:val="en-GB"/>
        </w:rPr>
        <w:t xml:space="preserve"> set out by the OECD </w:t>
      </w:r>
      <w:r w:rsidR="001023EB" w:rsidRPr="00221992">
        <w:rPr>
          <w:lang w:val="en-GB"/>
        </w:rPr>
        <w:t xml:space="preserve">(see </w:t>
      </w:r>
      <w:r w:rsidRPr="00221992">
        <w:rPr>
          <w:lang w:val="en-GB"/>
        </w:rPr>
        <w:fldChar w:fldCharType="begin"/>
      </w:r>
      <w:r>
        <w:instrText xml:space="preserve"> REF _Ref143598516 \h </w:instrText>
      </w:r>
      <w:r w:rsidRPr="00221992">
        <w:rPr>
          <w:lang w:val="en-GB"/>
        </w:rPr>
      </w:r>
      <w:r w:rsidRPr="00221992">
        <w:rPr>
          <w:lang w:val="en-GB"/>
        </w:rPr>
        <w:fldChar w:fldCharType="separate"/>
      </w:r>
      <w:r w:rsidR="000E11E7" w:rsidRPr="00221992">
        <w:rPr>
          <w:lang w:val="en-GB"/>
        </w:rPr>
        <w:t xml:space="preserve">Figure </w:t>
      </w:r>
      <w:r w:rsidR="000E11E7">
        <w:rPr>
          <w:noProof/>
          <w:lang w:val="en-GB"/>
        </w:rPr>
        <w:t>29</w:t>
      </w:r>
      <w:r w:rsidRPr="00221992">
        <w:rPr>
          <w:lang w:val="en-GB"/>
        </w:rPr>
        <w:fldChar w:fldCharType="end"/>
      </w:r>
      <w:r w:rsidR="001023EB" w:rsidRPr="00221992">
        <w:rPr>
          <w:lang w:val="en-GB"/>
        </w:rPr>
        <w:t xml:space="preserve">) </w:t>
      </w:r>
      <w:r w:rsidRPr="00221992">
        <w:rPr>
          <w:lang w:val="en-GB"/>
        </w:rPr>
        <w:fldChar w:fldCharType="begin"/>
      </w:r>
      <w:r w:rsidR="005A67DD" w:rsidRPr="00221992">
        <w:rPr>
          <w:lang w:val="en-GB"/>
        </w:rPr>
        <w:instrText xml:space="preserve"> ADDIN EN.CITE &lt;EndNote&gt;&lt;Cite&gt;&lt;Author&gt;Wenzl M&lt;/Author&gt;&lt;Year&gt;2019&lt;/Year&gt;&lt;RecNum&gt;477&lt;/RecNum&gt;&lt;DisplayText&gt;[6]&lt;/DisplayText&gt;&lt;record&gt;&lt;rec-number&gt;477&lt;/rec-number&gt;&lt;foreign-keys&gt;&lt;key app="EN" db-id="wzwwsfxe4peesxef95cxvrwjxts9rreasarf" timestamp="1692654671"&gt;477&lt;/key&gt;&lt;/foreign-keys&gt;&lt;ref-type name="Book Section"&gt;5&lt;/ref-type&gt;&lt;contributors&gt;&lt;authors&gt;&lt;author&gt;Wenzl M,&lt;/author&gt;&lt;author&gt;Chapman S.&lt;/author&gt;&lt;/authors&gt;&lt;/contributors&gt;&lt;titles&gt;&lt;title&gt;Performance-Based Managed Entry Agreements For New Medicines in OECD Countries and EU Member States: How They Work and Possible Improvements Going Forward.&lt;/title&gt;&lt;secondary-title&gt;OECD Health Working Papers,&lt;/secondary-title&gt;&lt;/titles&gt;&lt;volume&gt;No. 115&lt;/volume&gt;&lt;dates&gt;&lt;year&gt;2019&lt;/year&gt;&lt;/dates&gt;&lt;pub-location&gt;Paris&lt;/pub-location&gt;&lt;publisher&gt;OECD Publishing&lt;/publisher&gt;&lt;urls&gt;&lt;related-urls&gt;&lt;url&gt;https://www.oecd-ilibrary.org/content/paper/6e5e4c0f-en&lt;/url&gt;&lt;/related-urls&gt;&lt;/urls&gt;&lt;electronic-resource-num&gt;doi:https://doi.org/10.1787/6e5e4c0f-en&lt;/electronic-resource-num&gt;&lt;/record&gt;&lt;/Cite&gt;&lt;/EndNote&gt;</w:instrText>
      </w:r>
      <w:r w:rsidRPr="00221992">
        <w:rPr>
          <w:lang w:val="en-GB"/>
        </w:rPr>
        <w:fldChar w:fldCharType="separate"/>
      </w:r>
      <w:r w:rsidR="005A67DD" w:rsidRPr="00221992">
        <w:rPr>
          <w:noProof/>
          <w:lang w:val="en-GB"/>
        </w:rPr>
        <w:t>[6]</w:t>
      </w:r>
      <w:r w:rsidRPr="00221992">
        <w:rPr>
          <w:lang w:val="en-GB"/>
        </w:rPr>
        <w:fldChar w:fldCharType="end"/>
      </w:r>
      <w:r w:rsidRPr="00221992">
        <w:rPr>
          <w:lang w:val="en-GB"/>
        </w:rPr>
        <w:t xml:space="preserve">. </w:t>
      </w:r>
      <w:r w:rsidR="00AC6E0F" w:rsidRPr="00221992">
        <w:rPr>
          <w:lang w:val="en-GB"/>
        </w:rPr>
        <w:t xml:space="preserve">Tier </w:t>
      </w:r>
      <w:r w:rsidR="00F13EC2" w:rsidRPr="00221992">
        <w:rPr>
          <w:lang w:val="en-GB"/>
        </w:rPr>
        <w:t>1</w:t>
      </w:r>
      <w:r w:rsidR="00AC6E0F" w:rsidRPr="00221992">
        <w:rPr>
          <w:lang w:val="en-GB"/>
        </w:rPr>
        <w:t xml:space="preserve"> </w:t>
      </w:r>
      <w:r w:rsidR="001023EB" w:rsidRPr="00221992">
        <w:rPr>
          <w:lang w:val="en-GB"/>
        </w:rPr>
        <w:t>specifies</w:t>
      </w:r>
      <w:r w:rsidR="00AC6E0F" w:rsidRPr="00221992">
        <w:rPr>
          <w:lang w:val="en-GB"/>
        </w:rPr>
        <w:t xml:space="preserve"> the mechanism </w:t>
      </w:r>
      <w:r w:rsidR="001023EB" w:rsidRPr="00221992">
        <w:rPr>
          <w:lang w:val="en-GB"/>
        </w:rPr>
        <w:t>that</w:t>
      </w:r>
      <w:r w:rsidR="00AC6E0F" w:rsidRPr="00221992">
        <w:rPr>
          <w:lang w:val="en-GB"/>
        </w:rPr>
        <w:t xml:space="preserve"> triggers the agreement </w:t>
      </w:r>
      <w:r w:rsidR="00C8254A" w:rsidRPr="00221992">
        <w:rPr>
          <w:lang w:val="en-GB"/>
        </w:rPr>
        <w:t>(</w:t>
      </w:r>
      <w:r w:rsidR="001023EB" w:rsidRPr="00221992">
        <w:rPr>
          <w:lang w:val="en-GB"/>
        </w:rPr>
        <w:t xml:space="preserve">i.e., </w:t>
      </w:r>
      <w:r w:rsidR="00C8254A" w:rsidRPr="00221992">
        <w:rPr>
          <w:lang w:val="en-GB"/>
        </w:rPr>
        <w:t>performance</w:t>
      </w:r>
      <w:r w:rsidR="001023EB" w:rsidRPr="00221992">
        <w:rPr>
          <w:lang w:val="en-GB"/>
        </w:rPr>
        <w:t>-based</w:t>
      </w:r>
      <w:r w:rsidR="00C8254A" w:rsidRPr="00221992">
        <w:rPr>
          <w:lang w:val="en-GB"/>
        </w:rPr>
        <w:t xml:space="preserve"> or financial</w:t>
      </w:r>
      <w:r w:rsidR="001023EB" w:rsidRPr="00221992">
        <w:rPr>
          <w:lang w:val="en-GB"/>
        </w:rPr>
        <w:t>-based</w:t>
      </w:r>
      <w:r w:rsidR="00C8254A" w:rsidRPr="00221992">
        <w:rPr>
          <w:lang w:val="en-GB"/>
        </w:rPr>
        <w:t>)</w:t>
      </w:r>
      <w:r w:rsidR="00AC6E0F" w:rsidRPr="00221992">
        <w:rPr>
          <w:lang w:val="en-GB"/>
        </w:rPr>
        <w:t xml:space="preserve">. Tier 2 categorises this mechanism </w:t>
      </w:r>
      <w:r w:rsidR="001023EB" w:rsidRPr="00221992">
        <w:rPr>
          <w:lang w:val="en-GB"/>
        </w:rPr>
        <w:t>at the</w:t>
      </w:r>
      <w:r w:rsidR="00AC6E0F" w:rsidRPr="00221992">
        <w:rPr>
          <w:lang w:val="en-GB"/>
        </w:rPr>
        <w:t xml:space="preserve"> p</w:t>
      </w:r>
      <w:r w:rsidR="00C8254A" w:rsidRPr="00221992">
        <w:rPr>
          <w:lang w:val="en-GB"/>
        </w:rPr>
        <w:t xml:space="preserve">atient or population </w:t>
      </w:r>
      <w:r w:rsidR="001023EB" w:rsidRPr="00221992">
        <w:rPr>
          <w:lang w:val="en-GB"/>
        </w:rPr>
        <w:t>level. T</w:t>
      </w:r>
      <w:r w:rsidR="00AC6E0F" w:rsidRPr="00221992">
        <w:rPr>
          <w:lang w:val="en-GB"/>
        </w:rPr>
        <w:t xml:space="preserve">ier 3 defines the </w:t>
      </w:r>
      <w:r w:rsidR="00C8254A" w:rsidRPr="00221992">
        <w:rPr>
          <w:lang w:val="en-GB"/>
        </w:rPr>
        <w:t>agreement design</w:t>
      </w:r>
      <w:r w:rsidR="001023EB" w:rsidRPr="00221992">
        <w:rPr>
          <w:lang w:val="en-GB"/>
        </w:rPr>
        <w:t xml:space="preserve">—i.e., </w:t>
      </w:r>
      <w:r w:rsidR="00C8254A" w:rsidRPr="00221992">
        <w:rPr>
          <w:lang w:val="en-GB"/>
        </w:rPr>
        <w:t>rebate or discount; volume o</w:t>
      </w:r>
      <w:r w:rsidR="00E662E8" w:rsidRPr="00221992">
        <w:rPr>
          <w:lang w:val="en-GB"/>
        </w:rPr>
        <w:t>r</w:t>
      </w:r>
      <w:r w:rsidR="00C8254A" w:rsidRPr="00221992">
        <w:rPr>
          <w:lang w:val="en-GB"/>
        </w:rPr>
        <w:t xml:space="preserve"> expenditure cap; payment</w:t>
      </w:r>
      <w:r w:rsidR="00B033B0" w:rsidRPr="00221992">
        <w:rPr>
          <w:lang w:val="en-GB"/>
        </w:rPr>
        <w:t>-</w:t>
      </w:r>
      <w:r w:rsidR="00C8254A" w:rsidRPr="00221992">
        <w:rPr>
          <w:lang w:val="en-GB"/>
        </w:rPr>
        <w:t>by</w:t>
      </w:r>
      <w:r w:rsidR="00B033B0" w:rsidRPr="00221992">
        <w:rPr>
          <w:lang w:val="en-GB"/>
        </w:rPr>
        <w:t>-</w:t>
      </w:r>
      <w:r w:rsidR="00C8254A" w:rsidRPr="00221992">
        <w:rPr>
          <w:lang w:val="en-GB"/>
        </w:rPr>
        <w:t>results</w:t>
      </w:r>
      <w:r w:rsidR="00B033B0" w:rsidRPr="00221992">
        <w:rPr>
          <w:lang w:val="en-GB"/>
        </w:rPr>
        <w:t xml:space="preserve"> (PbR)</w:t>
      </w:r>
      <w:r w:rsidR="00C8254A" w:rsidRPr="00221992">
        <w:rPr>
          <w:lang w:val="en-GB"/>
        </w:rPr>
        <w:t xml:space="preserve">; </w:t>
      </w:r>
      <w:r w:rsidR="00B033B0" w:rsidRPr="00221992">
        <w:rPr>
          <w:lang w:val="en-GB"/>
        </w:rPr>
        <w:t>CED</w:t>
      </w:r>
      <w:r w:rsidR="00C8254A" w:rsidRPr="00221992">
        <w:rPr>
          <w:lang w:val="en-GB"/>
        </w:rPr>
        <w:t xml:space="preserve"> or conditional treatment continuation</w:t>
      </w:r>
      <w:r w:rsidR="00B033B0" w:rsidRPr="00221992">
        <w:rPr>
          <w:lang w:val="en-GB"/>
        </w:rPr>
        <w:t xml:space="preserve"> (CTC)</w:t>
      </w:r>
      <w:r w:rsidR="001023EB" w:rsidRPr="00221992">
        <w:rPr>
          <w:lang w:val="en-GB"/>
        </w:rPr>
        <w:t>.</w:t>
      </w:r>
      <w:r w:rsidR="00C8254A" w:rsidRPr="00221992">
        <w:rPr>
          <w:lang w:val="en-GB"/>
        </w:rPr>
        <w:t xml:space="preserve"> </w:t>
      </w:r>
    </w:p>
    <w:p w14:paraId="58506586" w14:textId="3756408A" w:rsidR="00347092" w:rsidRPr="00221992" w:rsidRDefault="00347092">
      <w:pPr>
        <w:pStyle w:val="Caption"/>
        <w:rPr>
          <w:lang w:val="en-GB"/>
        </w:rPr>
      </w:pPr>
      <w:bookmarkStart w:id="169" w:name="_Ref143598516"/>
      <w:bookmarkStart w:id="170" w:name="_Ref144125373"/>
      <w:bookmarkStart w:id="171" w:name="_Toc162950936"/>
      <w:r w:rsidRPr="00221992">
        <w:rPr>
          <w:lang w:val="en-GB"/>
        </w:rPr>
        <w:t xml:space="preserve">Figure </w:t>
      </w:r>
      <w:r w:rsidR="003F72DF" w:rsidRPr="00221992">
        <w:rPr>
          <w:lang w:val="en-GB"/>
        </w:rPr>
        <w:fldChar w:fldCharType="begin"/>
      </w:r>
      <w:r w:rsidR="003F72DF" w:rsidRPr="00221992">
        <w:rPr>
          <w:lang w:val="en-GB"/>
        </w:rPr>
        <w:instrText xml:space="preserve"> SEQ Figure \* ARABIC </w:instrText>
      </w:r>
      <w:r w:rsidR="003F72DF" w:rsidRPr="00221992">
        <w:rPr>
          <w:lang w:val="en-GB"/>
        </w:rPr>
        <w:fldChar w:fldCharType="separate"/>
      </w:r>
      <w:r w:rsidR="000E11E7">
        <w:rPr>
          <w:noProof/>
          <w:lang w:val="en-GB"/>
        </w:rPr>
        <w:t>29</w:t>
      </w:r>
      <w:r w:rsidR="003F72DF" w:rsidRPr="00221992">
        <w:rPr>
          <w:noProof/>
          <w:lang w:val="en-GB"/>
        </w:rPr>
        <w:fldChar w:fldCharType="end"/>
      </w:r>
      <w:bookmarkEnd w:id="169"/>
      <w:r w:rsidRPr="00221992">
        <w:rPr>
          <w:lang w:val="en-GB"/>
        </w:rPr>
        <w:t>. A taxonomy of Managed Entry Agreements</w:t>
      </w:r>
      <w:bookmarkEnd w:id="170"/>
      <w:bookmarkEnd w:id="171"/>
    </w:p>
    <w:p w14:paraId="5CC8CD1B" w14:textId="02B7432D" w:rsidR="00F8448B" w:rsidRPr="00221992" w:rsidRDefault="00F8448B" w:rsidP="00EF5B9A">
      <w:pPr>
        <w:pStyle w:val="BodyText"/>
        <w:rPr>
          <w:lang w:val="en-GB"/>
        </w:rPr>
      </w:pPr>
      <w:r w:rsidRPr="00221992">
        <w:rPr>
          <w:noProof/>
          <w:lang w:val="en-GB"/>
        </w:rPr>
        <w:drawing>
          <wp:inline distT="0" distB="0" distL="0" distR="0" wp14:anchorId="1A060EE7" wp14:editId="1C9D6847">
            <wp:extent cx="8494547" cy="3954001"/>
            <wp:effectExtent l="0" t="0" r="0" b="0"/>
            <wp:docPr id="1777745844" name="Picture 1777745844" descr="a diagram of A taxonomy of Managed Entry Agre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7745844"/>
                    <pic:cNvPicPr/>
                  </pic:nvPicPr>
                  <pic:blipFill>
                    <a:blip r:embed="rId58">
                      <a:extLst>
                        <a:ext uri="{28A0092B-C50C-407E-A947-70E740481C1C}">
                          <a14:useLocalDpi xmlns:a14="http://schemas.microsoft.com/office/drawing/2010/main" val="0"/>
                        </a:ext>
                      </a:extLst>
                    </a:blip>
                    <a:srcRect/>
                    <a:stretch>
                      <a:fillRect/>
                    </a:stretch>
                  </pic:blipFill>
                  <pic:spPr>
                    <a:xfrm>
                      <a:off x="0" y="0"/>
                      <a:ext cx="8494547" cy="3954001"/>
                    </a:xfrm>
                    <a:prstGeom prst="rect">
                      <a:avLst/>
                    </a:prstGeom>
                  </pic:spPr>
                </pic:pic>
              </a:graphicData>
            </a:graphic>
          </wp:inline>
        </w:drawing>
      </w:r>
    </w:p>
    <w:p w14:paraId="27A022AE" w14:textId="76DE02C4" w:rsidR="2A97567E" w:rsidRPr="00221992" w:rsidRDefault="2A97567E" w:rsidP="00533CF1">
      <w:pPr>
        <w:pStyle w:val="TableNotes"/>
        <w:rPr>
          <w:rFonts w:ascii="Segoe UI" w:eastAsia="Segoe UI" w:hAnsi="Segoe UI" w:cs="Segoe UI"/>
          <w:color w:val="333333"/>
          <w:lang w:val="en-GB"/>
        </w:rPr>
      </w:pPr>
      <w:r w:rsidRPr="00221992">
        <w:rPr>
          <w:lang w:val="en-GB"/>
        </w:rPr>
        <w:t>Source:</w:t>
      </w:r>
      <w:r w:rsidRPr="00221992">
        <w:rPr>
          <w:lang w:val="en-GB"/>
        </w:rPr>
        <w:tab/>
      </w:r>
      <w:r w:rsidR="2EB6DF65" w:rsidRPr="00221992">
        <w:rPr>
          <w:lang w:val="en-GB"/>
        </w:rPr>
        <w:t>Wenzl et al</w:t>
      </w:r>
      <w:r w:rsidR="00A93762" w:rsidRPr="00221992">
        <w:rPr>
          <w:lang w:val="en-GB"/>
        </w:rPr>
        <w:t>.</w:t>
      </w:r>
      <w:r w:rsidRPr="00221992">
        <w:rPr>
          <w:lang w:val="en-GB"/>
        </w:rPr>
        <w:t xml:space="preserve"> </w:t>
      </w:r>
      <w:r w:rsidR="00A93762" w:rsidRPr="00221992">
        <w:rPr>
          <w:lang w:val="en-GB"/>
        </w:rPr>
        <w:t>(</w:t>
      </w:r>
      <w:r w:rsidRPr="00221992">
        <w:rPr>
          <w:lang w:val="en-GB"/>
        </w:rPr>
        <w:t>2019</w:t>
      </w:r>
      <w:r w:rsidR="00A93762" w:rsidRPr="00221992">
        <w:rPr>
          <w:lang w:val="en-GB"/>
        </w:rPr>
        <w:t>)</w:t>
      </w:r>
      <w:r w:rsidRPr="00221992">
        <w:rPr>
          <w:lang w:val="en-GB"/>
        </w:rPr>
        <w:t xml:space="preserve"> </w:t>
      </w:r>
      <w:r w:rsidRPr="00221992">
        <w:rPr>
          <w:lang w:val="en-GB"/>
        </w:rPr>
        <w:fldChar w:fldCharType="begin"/>
      </w:r>
      <w:r w:rsidR="00E4088F" w:rsidRPr="00221992">
        <w:rPr>
          <w:lang w:val="en-GB"/>
        </w:rPr>
        <w:instrText xml:space="preserve"> ADDIN EN.CITE &lt;EndNote&gt;&lt;Cite Hidden="1"&gt;&lt;Author&gt;Wenzl M&lt;/Author&gt;&lt;Year&gt;2019&lt;/Year&gt;&lt;RecNum&gt;477&lt;/RecNum&gt;&lt;record&gt;&lt;rec-number&gt;477&lt;/rec-number&gt;&lt;foreign-keys&gt;&lt;key app="EN" db-id="wzwwsfxe4peesxef95cxvrwjxts9rreasarf" timestamp="1692654671"&gt;477&lt;/key&gt;&lt;/foreign-keys&gt;&lt;ref-type name="Book Section"&gt;5&lt;/ref-type&gt;&lt;contributors&gt;&lt;authors&gt;&lt;author&gt;Wenzl M,&lt;/author&gt;&lt;author&gt;Chapman S.&lt;/author&gt;&lt;/authors&gt;&lt;/contributors&gt;&lt;titles&gt;&lt;title&gt;Performance-Based Managed Entry Agreements For New Medicines in OECD Countries and EU Member States: How They Work and Possible Improvements Going Forward.&lt;/title&gt;&lt;secondary-title&gt;OECD Health Working Papers,&lt;/secondary-title&gt;&lt;/titles&gt;&lt;volume&gt;No. 115&lt;/volume&gt;&lt;dates&gt;&lt;year&gt;2019&lt;/year&gt;&lt;/dates&gt;&lt;pub-location&gt;Paris&lt;/pub-location&gt;&lt;publisher&gt;OECD Publishing&lt;/publisher&gt;&lt;urls&gt;&lt;related-urls&gt;&lt;url&gt;https://www.oecd-ilibrary.org/content/paper/6e5e4c0f-en&lt;/url&gt;&lt;/related-urls&gt;&lt;/urls&gt;&lt;electronic-resource-num&gt;doi:https://doi.org/10.1787/6e5e4c0f-en&lt;/electronic-resource-num&gt;&lt;/record&gt;&lt;/Cite&gt;&lt;/EndNote&gt;</w:instrText>
      </w:r>
      <w:r w:rsidRPr="00221992">
        <w:rPr>
          <w:lang w:val="en-GB"/>
        </w:rPr>
        <w:fldChar w:fldCharType="end"/>
      </w:r>
    </w:p>
    <w:p w14:paraId="58044AAD" w14:textId="2A251252" w:rsidR="00F8448B" w:rsidRPr="00221992" w:rsidRDefault="562E9006" w:rsidP="00533CF1">
      <w:pPr>
        <w:pStyle w:val="TableNotes"/>
        <w:rPr>
          <w:lang w:val="en-GB"/>
        </w:rPr>
        <w:sectPr w:rsidR="00F8448B" w:rsidRPr="00221992" w:rsidSect="004A6C73">
          <w:pgSz w:w="16838" w:h="11906" w:orient="landscape" w:code="9"/>
          <w:pgMar w:top="1275" w:right="1247" w:bottom="1417" w:left="1701" w:header="567" w:footer="57" w:gutter="0"/>
          <w:cols w:space="708"/>
          <w:docGrid w:linePitch="360"/>
        </w:sectPr>
      </w:pPr>
      <w:r w:rsidRPr="00221992">
        <w:rPr>
          <w:lang w:val="en-GB"/>
        </w:rPr>
        <w:t>Notes</w:t>
      </w:r>
      <w:r w:rsidR="00D2A04E" w:rsidRPr="00221992">
        <w:rPr>
          <w:lang w:val="en-GB"/>
        </w:rPr>
        <w:t>:</w:t>
      </w:r>
      <w:r w:rsidR="008A6310">
        <w:rPr>
          <w:lang w:val="en-GB"/>
        </w:rPr>
        <w:t xml:space="preserve"> </w:t>
      </w:r>
      <w:r w:rsidRPr="00221992">
        <w:rPr>
          <w:lang w:val="en-GB"/>
        </w:rPr>
        <w:tab/>
        <w:t>(cited from OECD report). This taxonomy is only based on how agreements are structured. All types of agreements can exis</w:t>
      </w:r>
      <w:r w:rsidR="7F97C82A" w:rsidRPr="00221992">
        <w:rPr>
          <w:lang w:val="en-GB"/>
        </w:rPr>
        <w:t xml:space="preserve">t not only between </w:t>
      </w:r>
      <w:r w:rsidR="4AE2357B" w:rsidRPr="00221992">
        <w:rPr>
          <w:lang w:val="en-GB"/>
        </w:rPr>
        <w:t xml:space="preserve">firms and health </w:t>
      </w:r>
      <w:r w:rsidR="19AFF4FF" w:rsidRPr="00221992">
        <w:rPr>
          <w:lang w:val="en-GB"/>
        </w:rPr>
        <w:t>p</w:t>
      </w:r>
      <w:r w:rsidR="4AE2357B" w:rsidRPr="00221992">
        <w:rPr>
          <w:lang w:val="en-GB"/>
        </w:rPr>
        <w:t xml:space="preserve">ayers but also between firms and other entities that constitute a health system, including government departments or </w:t>
      </w:r>
      <w:r w:rsidR="00533CF1">
        <w:rPr>
          <w:lang w:val="en-GB"/>
        </w:rPr>
        <w:t>state</w:t>
      </w:r>
      <w:r w:rsidR="00533CF1" w:rsidRPr="00221992">
        <w:rPr>
          <w:lang w:val="en-GB"/>
        </w:rPr>
        <w:t xml:space="preserve"> </w:t>
      </w:r>
      <w:r w:rsidR="4AE2357B" w:rsidRPr="00221992">
        <w:rPr>
          <w:lang w:val="en-GB"/>
        </w:rPr>
        <w:t>authoritie</w:t>
      </w:r>
      <w:r w:rsidR="7686C052" w:rsidRPr="00221992">
        <w:rPr>
          <w:lang w:val="en-GB"/>
        </w:rPr>
        <w:t>s responsible</w:t>
      </w:r>
      <w:r w:rsidR="4BC6A116" w:rsidRPr="00221992">
        <w:rPr>
          <w:lang w:val="en-GB"/>
        </w:rPr>
        <w:t xml:space="preserve"> </w:t>
      </w:r>
      <w:r w:rsidR="7686C052" w:rsidRPr="00221992">
        <w:rPr>
          <w:lang w:val="en-GB"/>
        </w:rPr>
        <w:t xml:space="preserve">for coverage or pricing decisions and/or </w:t>
      </w:r>
      <w:r w:rsidR="00533CF1">
        <w:rPr>
          <w:lang w:val="en-GB"/>
        </w:rPr>
        <w:t>HTA</w:t>
      </w:r>
      <w:r w:rsidR="7686C052" w:rsidRPr="00221992">
        <w:rPr>
          <w:lang w:val="en-GB"/>
        </w:rPr>
        <w:t xml:space="preserve">, regional health </w:t>
      </w:r>
      <w:r w:rsidR="00CE50BF" w:rsidRPr="00221992">
        <w:rPr>
          <w:lang w:val="en-GB"/>
        </w:rPr>
        <w:t>authorities</w:t>
      </w:r>
      <w:r w:rsidR="00533CF1">
        <w:rPr>
          <w:lang w:val="en-GB"/>
        </w:rPr>
        <w:t xml:space="preserve"> and</w:t>
      </w:r>
      <w:r w:rsidR="7686C052" w:rsidRPr="00221992">
        <w:rPr>
          <w:lang w:val="en-GB"/>
        </w:rPr>
        <w:t xml:space="preserve"> health care providers</w:t>
      </w:r>
      <w:r w:rsidR="0ABBD1DF" w:rsidRPr="00221992">
        <w:rPr>
          <w:lang w:val="en-GB"/>
        </w:rPr>
        <w:t xml:space="preserve">. </w:t>
      </w:r>
      <w:r w:rsidR="008839D9">
        <w:rPr>
          <w:lang w:val="en-GB"/>
        </w:rPr>
        <w:t>Notably</w:t>
      </w:r>
      <w:r w:rsidR="0ABBD1DF" w:rsidRPr="00221992">
        <w:rPr>
          <w:lang w:val="en-GB"/>
        </w:rPr>
        <w:t xml:space="preserve"> in the hospital</w:t>
      </w:r>
      <w:r w:rsidR="008A6310">
        <w:rPr>
          <w:lang w:val="en-GB"/>
        </w:rPr>
        <w:t xml:space="preserve"> </w:t>
      </w:r>
      <w:r w:rsidR="0ABBD1DF" w:rsidRPr="00221992">
        <w:rPr>
          <w:lang w:val="en-GB"/>
        </w:rPr>
        <w:t xml:space="preserve">inpatient sector, MEAs may be in place between firms and hospitals. </w:t>
      </w:r>
    </w:p>
    <w:p w14:paraId="7841BD1B" w14:textId="4FD10C8B" w:rsidR="00521690" w:rsidRPr="00221992" w:rsidRDefault="00065BD2" w:rsidP="00347092">
      <w:pPr>
        <w:rPr>
          <w:lang w:val="en-GB"/>
        </w:rPr>
        <w:sectPr w:rsidR="00521690" w:rsidRPr="00221992" w:rsidSect="004A6C73">
          <w:pgSz w:w="11906" w:h="16838" w:code="9"/>
          <w:pgMar w:top="1701" w:right="1275" w:bottom="1247" w:left="1417" w:header="567" w:footer="57" w:gutter="0"/>
          <w:cols w:space="708"/>
          <w:docGrid w:linePitch="360"/>
        </w:sectPr>
      </w:pPr>
      <w:r w:rsidRPr="00221992">
        <w:rPr>
          <w:lang w:val="en-GB"/>
        </w:rPr>
        <w:t>Performance</w:t>
      </w:r>
      <w:r w:rsidR="00D20804" w:rsidRPr="00221992">
        <w:rPr>
          <w:lang w:val="en-GB"/>
        </w:rPr>
        <w:t>-based</w:t>
      </w:r>
      <w:r w:rsidRPr="00221992">
        <w:rPr>
          <w:lang w:val="en-GB"/>
        </w:rPr>
        <w:t xml:space="preserve"> </w:t>
      </w:r>
      <w:r w:rsidR="00D20804" w:rsidRPr="00221992">
        <w:rPr>
          <w:lang w:val="en-GB"/>
        </w:rPr>
        <w:t>MEAs</w:t>
      </w:r>
      <w:r w:rsidRPr="00221992">
        <w:rPr>
          <w:lang w:val="en-GB"/>
        </w:rPr>
        <w:t xml:space="preserve"> are used to </w:t>
      </w:r>
      <w:r w:rsidR="00D20804" w:rsidRPr="00221992">
        <w:rPr>
          <w:lang w:val="en-GB"/>
        </w:rPr>
        <w:t>address the</w:t>
      </w:r>
      <w:r w:rsidRPr="00221992">
        <w:rPr>
          <w:lang w:val="en-GB"/>
        </w:rPr>
        <w:t xml:space="preserve"> clinical, cost-effectiveness, or financial uncertainty of a new health technology by linking payment to treatment </w:t>
      </w:r>
      <w:r w:rsidR="00D20804" w:rsidRPr="00221992">
        <w:rPr>
          <w:lang w:val="en-GB"/>
        </w:rPr>
        <w:t>outcomes</w:t>
      </w:r>
      <w:r w:rsidRPr="00221992">
        <w:rPr>
          <w:lang w:val="en-GB"/>
        </w:rPr>
        <w:t>, usually defined as patient response, but in the case of rare diseases, surrogate outcomes may also be used.</w:t>
      </w:r>
      <w:r w:rsidR="00D20804" w:rsidRPr="00221992">
        <w:rPr>
          <w:lang w:val="en-GB"/>
        </w:rPr>
        <w:t xml:space="preserve"> F</w:t>
      </w:r>
      <w:r w:rsidRPr="00221992">
        <w:rPr>
          <w:lang w:val="en-GB"/>
        </w:rPr>
        <w:t>inancial</w:t>
      </w:r>
      <w:r w:rsidR="00D20804" w:rsidRPr="00221992">
        <w:rPr>
          <w:lang w:val="en-GB"/>
        </w:rPr>
        <w:t xml:space="preserve"> MEAs</w:t>
      </w:r>
      <w:r w:rsidRPr="00221992">
        <w:rPr>
          <w:lang w:val="en-GB"/>
        </w:rPr>
        <w:t xml:space="preserve"> aim to manage the budget impact of new technolog</w:t>
      </w:r>
      <w:r w:rsidR="00D20804" w:rsidRPr="00221992">
        <w:rPr>
          <w:lang w:val="en-GB"/>
        </w:rPr>
        <w:t>ies</w:t>
      </w:r>
      <w:r w:rsidRPr="00221992">
        <w:rPr>
          <w:lang w:val="en-GB"/>
        </w:rPr>
        <w:t xml:space="preserve"> </w:t>
      </w:r>
      <w:r w:rsidR="00D20804" w:rsidRPr="00221992">
        <w:rPr>
          <w:lang w:val="en-GB"/>
        </w:rPr>
        <w:t>through</w:t>
      </w:r>
      <w:r w:rsidRPr="00221992">
        <w:rPr>
          <w:lang w:val="en-GB"/>
        </w:rPr>
        <w:t xml:space="preserve"> price </w:t>
      </w:r>
      <w:r w:rsidR="00D20804" w:rsidRPr="00221992">
        <w:rPr>
          <w:lang w:val="en-GB"/>
        </w:rPr>
        <w:t xml:space="preserve">controls, </w:t>
      </w:r>
      <w:r w:rsidRPr="00221992">
        <w:rPr>
          <w:lang w:val="en-GB"/>
        </w:rPr>
        <w:t>discounts or rebates</w:t>
      </w:r>
      <w:r w:rsidR="00D20804" w:rsidRPr="00221992">
        <w:rPr>
          <w:lang w:val="en-GB"/>
        </w:rPr>
        <w:t>—</w:t>
      </w:r>
      <w:r w:rsidRPr="00221992">
        <w:rPr>
          <w:lang w:val="en-GB"/>
        </w:rPr>
        <w:t>without explicit</w:t>
      </w:r>
      <w:r w:rsidR="00D20804" w:rsidRPr="00221992">
        <w:rPr>
          <w:lang w:val="en-GB"/>
        </w:rPr>
        <w:t>ly</w:t>
      </w:r>
      <w:r w:rsidRPr="00221992">
        <w:rPr>
          <w:lang w:val="en-GB"/>
        </w:rPr>
        <w:t xml:space="preserve"> link</w:t>
      </w:r>
      <w:r w:rsidR="00D20804" w:rsidRPr="00221992">
        <w:rPr>
          <w:lang w:val="en-GB"/>
        </w:rPr>
        <w:t xml:space="preserve">ing </w:t>
      </w:r>
      <w:r w:rsidRPr="00221992">
        <w:rPr>
          <w:lang w:val="en-GB"/>
        </w:rPr>
        <w:t xml:space="preserve">to </w:t>
      </w:r>
      <w:r w:rsidR="00D20804" w:rsidRPr="00221992">
        <w:rPr>
          <w:lang w:val="en-GB"/>
        </w:rPr>
        <w:t>a therapy</w:t>
      </w:r>
      <w:r w:rsidR="00551786">
        <w:rPr>
          <w:lang w:val="en-GB"/>
        </w:rPr>
        <w:t>’</w:t>
      </w:r>
      <w:r w:rsidR="00D20804" w:rsidRPr="00221992">
        <w:rPr>
          <w:lang w:val="en-GB"/>
        </w:rPr>
        <w:t xml:space="preserve">s </w:t>
      </w:r>
      <w:r w:rsidRPr="00221992">
        <w:rPr>
          <w:lang w:val="en-GB"/>
        </w:rPr>
        <w:t>performance. Hybrid models exist</w:t>
      </w:r>
      <w:r w:rsidR="0060386A" w:rsidRPr="00221992">
        <w:rPr>
          <w:lang w:val="en-GB"/>
        </w:rPr>
        <w:t xml:space="preserve">, </w:t>
      </w:r>
      <w:r w:rsidRPr="00221992">
        <w:rPr>
          <w:lang w:val="en-GB"/>
        </w:rPr>
        <w:t xml:space="preserve">which combine elements of both performance-based </w:t>
      </w:r>
      <w:r w:rsidR="00D20804" w:rsidRPr="00221992">
        <w:rPr>
          <w:lang w:val="en-GB"/>
        </w:rPr>
        <w:t xml:space="preserve">and financial </w:t>
      </w:r>
      <w:r w:rsidRPr="00221992">
        <w:rPr>
          <w:lang w:val="en-GB"/>
        </w:rPr>
        <w:t>agreements</w:t>
      </w:r>
      <w:r w:rsidR="00D20804" w:rsidRPr="00221992">
        <w:rPr>
          <w:lang w:val="en-GB"/>
        </w:rPr>
        <w:t xml:space="preserve">—i.e., </w:t>
      </w:r>
      <w:r w:rsidR="00131EEE">
        <w:rPr>
          <w:lang w:val="en-GB"/>
        </w:rPr>
        <w:t>that</w:t>
      </w:r>
      <w:r w:rsidR="00131EEE" w:rsidRPr="00221992">
        <w:rPr>
          <w:lang w:val="en-GB"/>
        </w:rPr>
        <w:t xml:space="preserve"> </w:t>
      </w:r>
      <w:r w:rsidR="00D20804" w:rsidRPr="00221992">
        <w:rPr>
          <w:lang w:val="en-GB"/>
        </w:rPr>
        <w:t xml:space="preserve">consider </w:t>
      </w:r>
      <w:r w:rsidR="00131EEE">
        <w:rPr>
          <w:lang w:val="en-GB"/>
        </w:rPr>
        <w:t xml:space="preserve">both </w:t>
      </w:r>
      <w:r w:rsidR="00D20804" w:rsidRPr="00221992">
        <w:rPr>
          <w:lang w:val="en-GB"/>
        </w:rPr>
        <w:t xml:space="preserve">performance-related criteria and aim </w:t>
      </w:r>
      <w:r w:rsidRPr="00221992">
        <w:rPr>
          <w:lang w:val="en-GB"/>
        </w:rPr>
        <w:t xml:space="preserve">to manage budget impact </w:t>
      </w:r>
      <w:r w:rsidR="00653F87" w:rsidRPr="00221992">
        <w:rPr>
          <w:lang w:val="en-GB"/>
        </w:rPr>
        <w:fldChar w:fldCharType="begin"/>
      </w:r>
      <w:r w:rsidR="005A67DD" w:rsidRPr="00221992">
        <w:rPr>
          <w:lang w:val="en-GB"/>
        </w:rPr>
        <w:instrText xml:space="preserve"> ADDIN EN.CITE &lt;EndNote&gt;&lt;Cite&gt;&lt;Author&gt;Lee&lt;/Author&gt;&lt;Year&gt;2021&lt;/Year&gt;&lt;RecNum&gt;282&lt;/RecNum&gt;&lt;DisplayText&gt;[5]&lt;/DisplayText&gt;&lt;record&gt;&lt;rec-number&gt;282&lt;/rec-number&gt;&lt;foreign-keys&gt;&lt;key app="EN" db-id="wzwwsfxe4peesxef95cxvrwjxts9rreasarf" timestamp="1692654670"&gt;282&lt;/key&gt;&lt;/foreign-keys&gt;&lt;ref-type name="Journal Article"&gt;17&lt;/ref-type&gt;&lt;contributors&gt;&lt;authors&gt;&lt;author&gt;Lee, B.&lt;/author&gt;&lt;author&gt;Bae, E. Y.&lt;/author&gt;&lt;author&gt;Bae, S.&lt;/author&gt;&lt;author&gt;Choi, H. J.&lt;/author&gt;&lt;author&gt;Son, K. B.&lt;/author&gt;&lt;author&gt;Lee, Y. S.&lt;/author&gt;&lt;author&gt;Jang, S.&lt;/author&gt;&lt;author&gt;Lee, T. J.&lt;/author&gt;&lt;/authors&gt;&lt;/contributors&gt;&lt;auth-address&gt;grid.31501.360000 0004 0470 5905Department of Public Health Science, Graduate School of Public Health, Seoul National University, Seoul, South Korea&amp;#xD;grid.256681.e0000 0001 0661 1492College of Pharmacy, Gyeongsang National University, Jinju, South Korea&amp;#xD;grid.255649.90000 0001 2171 7754College of Pharmacy, Ewha Womans University, Seoul, South Korea&amp;#xD;grid.256155.00000 0004 0647 2973College of Pharmacy, Gachon University, Incheon, South Korea&lt;/auth-address&gt;&lt;titles&gt;&lt;title&gt;How can we improve patients’ access to new drugs under uncertainties? : South Korea’s experience with risk sharing arrangements&lt;/title&gt;&lt;secondary-title&gt;BMC Health Serv Res&lt;/secondary-title&gt;&lt;/titles&gt;&lt;periodical&gt;&lt;full-title&gt;BMC Health Serv Res&lt;/full-title&gt;&lt;/periodical&gt;&lt;volume&gt;21&lt;/volume&gt;&lt;edition&gt;20210914&lt;/edition&gt;&lt;dates&gt;&lt;year&gt;2021&lt;/year&gt;&lt;/dates&gt;&lt;accession-num&gt;34521408&lt;/accession-num&gt;&lt;urls&gt;&lt;related-urls&gt;&lt;url&gt;https://bmchealthservres.biomedcentral.com/counter/pdf/10.1186/s12913-021-06919-x.pdf&lt;/url&gt;&lt;/related-urls&gt;&lt;/urls&gt;&lt;custom2&gt;PMC8442279&lt;/custom2&gt;&lt;electronic-resource-num&gt;10.1186/s12913-021-06919-x&lt;/electronic-resource-num&gt;&lt;language&gt;eng&lt;/language&gt;&lt;/record&gt;&lt;/Cite&gt;&lt;/EndNote&gt;</w:instrText>
      </w:r>
      <w:r w:rsidR="00653F87" w:rsidRPr="00221992">
        <w:rPr>
          <w:lang w:val="en-GB"/>
        </w:rPr>
        <w:fldChar w:fldCharType="separate"/>
      </w:r>
      <w:r w:rsidR="005A67DD" w:rsidRPr="00221992">
        <w:rPr>
          <w:noProof/>
          <w:lang w:val="en-GB"/>
        </w:rPr>
        <w:t>[5]</w:t>
      </w:r>
      <w:r w:rsidR="00653F87" w:rsidRPr="00221992">
        <w:rPr>
          <w:lang w:val="en-GB"/>
        </w:rPr>
        <w:fldChar w:fldCharType="end"/>
      </w:r>
      <w:r w:rsidRPr="00221992">
        <w:rPr>
          <w:lang w:val="en-GB"/>
        </w:rPr>
        <w:t xml:space="preserve">. A detailed summary of MEA designs </w:t>
      </w:r>
      <w:r w:rsidR="007D2491" w:rsidRPr="00221992">
        <w:rPr>
          <w:lang w:val="en-GB"/>
        </w:rPr>
        <w:t xml:space="preserve">presented </w:t>
      </w:r>
      <w:r w:rsidR="00826BC2" w:rsidRPr="00221992">
        <w:rPr>
          <w:lang w:val="en-GB"/>
        </w:rPr>
        <w:t xml:space="preserve">by the OECD </w:t>
      </w:r>
      <w:r w:rsidR="00250CA7" w:rsidRPr="00221992">
        <w:rPr>
          <w:lang w:val="en-GB"/>
        </w:rPr>
        <w:t>are described below</w:t>
      </w:r>
      <w:r w:rsidR="00C40F69" w:rsidRPr="00221992">
        <w:rPr>
          <w:lang w:val="en-GB"/>
        </w:rPr>
        <w:t xml:space="preserve"> in</w:t>
      </w:r>
      <w:r w:rsidRPr="00221992">
        <w:rPr>
          <w:lang w:val="en-GB"/>
        </w:rPr>
        <w:t xml:space="preserve"> </w:t>
      </w:r>
      <w:r w:rsidR="00116A42" w:rsidRPr="00221992">
        <w:rPr>
          <w:lang w:val="en-GB"/>
        </w:rPr>
        <w:fldChar w:fldCharType="begin"/>
      </w:r>
      <w:r w:rsidR="00116A42">
        <w:instrText xml:space="preserve"> REF _Ref143598637 \h </w:instrText>
      </w:r>
      <w:r w:rsidR="00116A42" w:rsidRPr="00221992">
        <w:rPr>
          <w:lang w:val="en-GB"/>
        </w:rPr>
      </w:r>
      <w:r w:rsidR="00116A42" w:rsidRPr="00221992">
        <w:rPr>
          <w:lang w:val="en-GB"/>
        </w:rPr>
        <w:fldChar w:fldCharType="separate"/>
      </w:r>
      <w:r w:rsidR="000E11E7" w:rsidRPr="00221992">
        <w:rPr>
          <w:lang w:val="en-GB"/>
        </w:rPr>
        <w:t xml:space="preserve">Figure </w:t>
      </w:r>
      <w:r w:rsidR="000E11E7">
        <w:rPr>
          <w:noProof/>
          <w:lang w:val="en-GB"/>
        </w:rPr>
        <w:t>30</w:t>
      </w:r>
      <w:r w:rsidR="00116A42" w:rsidRPr="00221992">
        <w:rPr>
          <w:lang w:val="en-GB"/>
        </w:rPr>
        <w:fldChar w:fldCharType="end"/>
      </w:r>
      <w:r w:rsidR="0060386A" w:rsidRPr="00221992">
        <w:rPr>
          <w:lang w:val="en-GB"/>
        </w:rPr>
        <w:t>.</w:t>
      </w:r>
      <w:r w:rsidRPr="00221992">
        <w:rPr>
          <w:lang w:val="en-GB"/>
        </w:rPr>
        <w:t xml:space="preserve"> </w:t>
      </w:r>
    </w:p>
    <w:p w14:paraId="381A9353" w14:textId="7585FDE2" w:rsidR="00116A42" w:rsidRPr="00221992" w:rsidRDefault="00116A42">
      <w:pPr>
        <w:pStyle w:val="Caption"/>
        <w:rPr>
          <w:lang w:val="en-GB"/>
        </w:rPr>
      </w:pPr>
      <w:bookmarkStart w:id="172" w:name="_Ref143598637"/>
      <w:bookmarkStart w:id="173" w:name="_Toc162950937"/>
      <w:r w:rsidRPr="00221992">
        <w:rPr>
          <w:lang w:val="en-GB"/>
        </w:rPr>
        <w:t xml:space="preserve">Figure </w:t>
      </w:r>
      <w:r w:rsidR="003F72DF" w:rsidRPr="00221992">
        <w:rPr>
          <w:lang w:val="en-GB"/>
        </w:rPr>
        <w:fldChar w:fldCharType="begin"/>
      </w:r>
      <w:r w:rsidR="003F72DF" w:rsidRPr="00221992">
        <w:rPr>
          <w:lang w:val="en-GB"/>
        </w:rPr>
        <w:instrText xml:space="preserve"> SEQ Figure \* ARABIC </w:instrText>
      </w:r>
      <w:r w:rsidR="003F72DF" w:rsidRPr="00221992">
        <w:rPr>
          <w:lang w:val="en-GB"/>
        </w:rPr>
        <w:fldChar w:fldCharType="separate"/>
      </w:r>
      <w:r w:rsidR="000E11E7">
        <w:rPr>
          <w:noProof/>
          <w:lang w:val="en-GB"/>
        </w:rPr>
        <w:t>30</w:t>
      </w:r>
      <w:r w:rsidR="003F72DF" w:rsidRPr="00221992">
        <w:rPr>
          <w:noProof/>
          <w:lang w:val="en-GB"/>
        </w:rPr>
        <w:fldChar w:fldCharType="end"/>
      </w:r>
      <w:bookmarkEnd w:id="172"/>
      <w:r w:rsidRPr="00221992">
        <w:rPr>
          <w:lang w:val="en-GB"/>
        </w:rPr>
        <w:t xml:space="preserve">. MEA </w:t>
      </w:r>
      <w:r w:rsidR="007D2491" w:rsidRPr="00221992">
        <w:rPr>
          <w:lang w:val="en-GB"/>
        </w:rPr>
        <w:t>designs</w:t>
      </w:r>
      <w:r w:rsidR="00CF73A5" w:rsidRPr="00221992">
        <w:rPr>
          <w:rStyle w:val="FootnoteReference"/>
          <w:lang w:val="en-GB"/>
        </w:rPr>
        <w:footnoteReference w:id="8"/>
      </w:r>
      <w:bookmarkEnd w:id="173"/>
    </w:p>
    <w:p w14:paraId="7CA8ADDD" w14:textId="1A8BAF0A" w:rsidR="00521690" w:rsidRPr="00221992" w:rsidRDefault="00063CC9" w:rsidP="00EF5B9A">
      <w:pPr>
        <w:pStyle w:val="BodyText"/>
        <w:rPr>
          <w:lang w:val="en-GB"/>
        </w:rPr>
      </w:pPr>
      <w:r w:rsidRPr="00221992">
        <w:rPr>
          <w:noProof/>
          <w:lang w:val="en-GB"/>
        </w:rPr>
        <w:drawing>
          <wp:inline distT="0" distB="0" distL="0" distR="0" wp14:anchorId="47D0F5D7" wp14:editId="72777974">
            <wp:extent cx="6425152" cy="3964258"/>
            <wp:effectExtent l="0" t="0" r="1270" b="0"/>
            <wp:docPr id="1283766062" name="Picture 1283766062" descr="a chart of MEA desig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3766062"/>
                    <pic:cNvPicPr/>
                  </pic:nvPicPr>
                  <pic:blipFill>
                    <a:blip r:embed="rId59">
                      <a:extLst>
                        <a:ext uri="{28A0092B-C50C-407E-A947-70E740481C1C}">
                          <a14:useLocalDpi xmlns:a14="http://schemas.microsoft.com/office/drawing/2010/main" val="0"/>
                        </a:ext>
                      </a:extLst>
                    </a:blip>
                    <a:stretch>
                      <a:fillRect/>
                    </a:stretch>
                  </pic:blipFill>
                  <pic:spPr>
                    <a:xfrm>
                      <a:off x="0" y="0"/>
                      <a:ext cx="6460934" cy="3986335"/>
                    </a:xfrm>
                    <a:prstGeom prst="rect">
                      <a:avLst/>
                    </a:prstGeom>
                  </pic:spPr>
                </pic:pic>
              </a:graphicData>
            </a:graphic>
          </wp:inline>
        </w:drawing>
      </w:r>
    </w:p>
    <w:p w14:paraId="76B1C871" w14:textId="5EAF8E45" w:rsidR="00614081" w:rsidRPr="00221992" w:rsidRDefault="00614081" w:rsidP="00533CF1">
      <w:pPr>
        <w:pStyle w:val="TableNotes"/>
        <w:rPr>
          <w:lang w:val="en-GB"/>
        </w:rPr>
        <w:sectPr w:rsidR="00614081" w:rsidRPr="00221992" w:rsidSect="004A6C73">
          <w:pgSz w:w="16838" w:h="11906" w:orient="landscape" w:code="9"/>
          <w:pgMar w:top="1275" w:right="1247" w:bottom="1417" w:left="1701" w:header="567" w:footer="57" w:gutter="0"/>
          <w:cols w:space="708"/>
          <w:docGrid w:linePitch="360"/>
        </w:sectPr>
      </w:pPr>
      <w:r w:rsidRPr="00221992">
        <w:rPr>
          <w:lang w:val="en-GB"/>
        </w:rPr>
        <w:t xml:space="preserve">Source: </w:t>
      </w:r>
      <w:r w:rsidRPr="00221992">
        <w:rPr>
          <w:lang w:val="en-GB"/>
        </w:rPr>
        <w:tab/>
      </w:r>
      <w:r w:rsidR="32AE9DBE" w:rsidRPr="00221992">
        <w:rPr>
          <w:lang w:val="en-GB"/>
        </w:rPr>
        <w:t>Wenzl et al</w:t>
      </w:r>
      <w:r w:rsidR="00A96FAD" w:rsidRPr="00221992">
        <w:rPr>
          <w:lang w:val="en-GB"/>
        </w:rPr>
        <w:t>.</w:t>
      </w:r>
      <w:r w:rsidR="5A05AE2B" w:rsidRPr="00221992">
        <w:rPr>
          <w:lang w:val="en-GB"/>
        </w:rPr>
        <w:t xml:space="preserve"> (</w:t>
      </w:r>
      <w:r w:rsidR="15357774" w:rsidRPr="00221992">
        <w:rPr>
          <w:lang w:val="en-GB"/>
        </w:rPr>
        <w:t>2019</w:t>
      </w:r>
      <w:r w:rsidR="2E7AE4FA" w:rsidRPr="00221992">
        <w:rPr>
          <w:lang w:val="en-GB"/>
        </w:rPr>
        <w:t>)</w:t>
      </w:r>
      <w:r w:rsidR="00EF4EAF">
        <w:rPr>
          <w:lang w:val="en-GB"/>
        </w:rPr>
        <w:t xml:space="preserve">; </w:t>
      </w:r>
      <w:r w:rsidR="00756503">
        <w:rPr>
          <w:lang w:val="en-GB"/>
        </w:rPr>
        <w:t>Australian Department of Health</w:t>
      </w:r>
      <w:r w:rsidR="005F3F53">
        <w:rPr>
          <w:lang w:val="en-GB"/>
        </w:rPr>
        <w:t xml:space="preserve"> </w:t>
      </w:r>
      <w:r w:rsidR="00EF4EAF">
        <w:rPr>
          <w:lang w:val="en-GB"/>
        </w:rPr>
        <w:t xml:space="preserve">(2017); Australian Department of  Health (2021) </w:t>
      </w:r>
      <w:r w:rsidR="00EF4EAF" w:rsidRPr="00221992">
        <w:rPr>
          <w:lang w:val="en-GB"/>
        </w:rPr>
        <w:fldChar w:fldCharType="begin">
          <w:fldData xml:space="preserve">PEVuZE5vdGU+PENpdGU+PEF1dGhvcj5XZW56bCBNPC9BdXRob3I+PFllYXI+MjAxOTwvWWVhcj48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</w:fldData>
        </w:fldChar>
      </w:r>
      <w:r w:rsidR="00E5265C">
        <w:rPr>
          <w:lang w:val="en-GB"/>
        </w:rPr>
        <w:instrText xml:space="preserve"> ADDIN EN.CITE </w:instrText>
      </w:r>
      <w:r w:rsidR="00E5265C">
        <w:rPr>
          <w:lang w:val="en-GB"/>
        </w:rPr>
        <w:fldChar w:fldCharType="begin">
          <w:fldData xml:space="preserve">PEVuZE5vdGU+PENpdGU+PEF1dGhvcj5XZW56bCBNPC9BdXRob3I+PFllYXI+MjAxOTwvWWVhcj48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</w:fldData>
        </w:fldChar>
      </w:r>
      <w:r w:rsidR="00E5265C">
        <w:rPr>
          <w:lang w:val="en-GB"/>
        </w:rPr>
        <w:instrText xml:space="preserve"> ADDIN EN.CITE.DATA </w:instrText>
      </w:r>
      <w:r w:rsidR="00E5265C">
        <w:rPr>
          <w:lang w:val="en-GB"/>
        </w:rPr>
      </w:r>
      <w:r w:rsidR="00E5265C">
        <w:rPr>
          <w:lang w:val="en-GB"/>
        </w:rPr>
        <w:fldChar w:fldCharType="end"/>
      </w:r>
      <w:r w:rsidR="00EF4EAF" w:rsidRPr="00221992">
        <w:rPr>
          <w:lang w:val="en-GB"/>
        </w:rPr>
      </w:r>
      <w:r w:rsidR="00EF4EAF" w:rsidRPr="00221992">
        <w:rPr>
          <w:lang w:val="en-GB"/>
        </w:rPr>
        <w:fldChar w:fldCharType="separate"/>
      </w:r>
      <w:r w:rsidR="00E5265C">
        <w:rPr>
          <w:noProof/>
          <w:lang w:val="en-GB"/>
        </w:rPr>
        <w:t>[6, 189-190]</w:t>
      </w:r>
      <w:r w:rsidR="00EF4EAF" w:rsidRPr="00221992">
        <w:rPr>
          <w:lang w:val="en-GB"/>
        </w:rPr>
        <w:fldChar w:fldCharType="end"/>
      </w:r>
      <w:r w:rsidR="00EF4EAF">
        <w:rPr>
          <w:lang w:val="en-GB"/>
        </w:rPr>
        <w:t xml:space="preserve">   </w:t>
      </w:r>
    </w:p>
    <w:p w14:paraId="69FA9077" w14:textId="515C7DFC" w:rsidR="006D07EA" w:rsidRPr="00221992" w:rsidRDefault="005979A1" w:rsidP="00407BA7">
      <w:pPr>
        <w:pStyle w:val="NbrHeading3"/>
        <w:rPr>
          <w:lang w:val="en-GB"/>
        </w:rPr>
      </w:pPr>
      <w:bookmarkStart w:id="174" w:name="_Toc142565016"/>
      <w:bookmarkStart w:id="175" w:name="_Toc142742687"/>
      <w:bookmarkStart w:id="176" w:name="_Toc142742688"/>
      <w:bookmarkStart w:id="177" w:name="_Toc162950892"/>
      <w:bookmarkEnd w:id="174"/>
      <w:bookmarkEnd w:id="175"/>
      <w:r w:rsidRPr="00221992">
        <w:rPr>
          <w:lang w:val="en-GB"/>
        </w:rPr>
        <w:t>Key features of</w:t>
      </w:r>
      <w:r w:rsidR="006D07EA" w:rsidRPr="00221992">
        <w:rPr>
          <w:lang w:val="en-GB"/>
        </w:rPr>
        <w:t xml:space="preserve"> MEAs</w:t>
      </w:r>
      <w:bookmarkEnd w:id="176"/>
      <w:bookmarkEnd w:id="177"/>
    </w:p>
    <w:p w14:paraId="17B7C48D" w14:textId="29C45162" w:rsidR="00F63F24" w:rsidRPr="00221992" w:rsidRDefault="005E5EA5" w:rsidP="00074201">
      <w:pPr>
        <w:rPr>
          <w:lang w:val="en-GB"/>
        </w:rPr>
      </w:pPr>
      <w:r w:rsidRPr="00221992">
        <w:rPr>
          <w:lang w:val="en-GB"/>
        </w:rPr>
        <w:t>Internationally, t</w:t>
      </w:r>
      <w:r w:rsidR="00C8254A" w:rsidRPr="00221992">
        <w:rPr>
          <w:lang w:val="en-GB"/>
        </w:rPr>
        <w:t>he design and implementation of MEAs varies widely, depending on the purposes the agreements are intended to serve, specific payers</w:t>
      </w:r>
      <w:r w:rsidR="00551786">
        <w:rPr>
          <w:lang w:val="en-GB"/>
        </w:rPr>
        <w:t>’</w:t>
      </w:r>
      <w:r w:rsidR="00C8254A" w:rsidRPr="00221992">
        <w:rPr>
          <w:lang w:val="en-GB"/>
        </w:rPr>
        <w:t xml:space="preserve"> strategies and </w:t>
      </w:r>
      <w:r w:rsidRPr="00221992">
        <w:rPr>
          <w:lang w:val="en-GB"/>
        </w:rPr>
        <w:t xml:space="preserve">the </w:t>
      </w:r>
      <w:r w:rsidR="00C8254A" w:rsidRPr="00221992">
        <w:rPr>
          <w:lang w:val="en-GB"/>
        </w:rPr>
        <w:t xml:space="preserve">technical capacities </w:t>
      </w:r>
      <w:r w:rsidRPr="00221992">
        <w:rPr>
          <w:lang w:val="en-GB"/>
        </w:rPr>
        <w:t>of</w:t>
      </w:r>
      <w:r w:rsidR="00C8254A" w:rsidRPr="00221992">
        <w:rPr>
          <w:lang w:val="en-GB"/>
        </w:rPr>
        <w:t xml:space="preserve"> </w:t>
      </w:r>
      <w:r w:rsidRPr="00221992">
        <w:rPr>
          <w:lang w:val="en-GB"/>
        </w:rPr>
        <w:t>the</w:t>
      </w:r>
      <w:r w:rsidR="00C8254A" w:rsidRPr="00221992">
        <w:rPr>
          <w:lang w:val="en-GB"/>
        </w:rPr>
        <w:t xml:space="preserve"> country. </w:t>
      </w:r>
      <w:r w:rsidRPr="00221992">
        <w:rPr>
          <w:lang w:val="en-GB"/>
        </w:rPr>
        <w:t>While not highlighted by the Reference Committee as a country of</w:t>
      </w:r>
      <w:r w:rsidR="00F63F24" w:rsidRPr="00221992">
        <w:rPr>
          <w:lang w:val="en-GB"/>
        </w:rPr>
        <w:t xml:space="preserve"> focus </w:t>
      </w:r>
      <w:r w:rsidRPr="00221992">
        <w:rPr>
          <w:lang w:val="en-GB"/>
        </w:rPr>
        <w:t>for the HTA Review</w:t>
      </w:r>
      <w:r w:rsidR="00F63F24" w:rsidRPr="00221992">
        <w:rPr>
          <w:lang w:val="en-GB"/>
        </w:rPr>
        <w:t xml:space="preserve">, Italy is </w:t>
      </w:r>
      <w:r w:rsidR="009632C0" w:rsidRPr="00221992">
        <w:rPr>
          <w:lang w:val="en-GB"/>
        </w:rPr>
        <w:t xml:space="preserve">considered </w:t>
      </w:r>
      <w:r w:rsidR="00F63F24" w:rsidRPr="00221992">
        <w:rPr>
          <w:lang w:val="en-GB"/>
        </w:rPr>
        <w:t xml:space="preserve">a </w:t>
      </w:r>
      <w:r w:rsidR="00E65899" w:rsidRPr="00221992">
        <w:rPr>
          <w:lang w:val="en-GB"/>
        </w:rPr>
        <w:t>leader</w:t>
      </w:r>
      <w:r w:rsidR="00F63F24" w:rsidRPr="00221992">
        <w:rPr>
          <w:lang w:val="en-GB"/>
        </w:rPr>
        <w:t xml:space="preserve"> in the field of </w:t>
      </w:r>
      <w:r w:rsidR="00B520FE" w:rsidRPr="00221992">
        <w:rPr>
          <w:lang w:val="en-GB"/>
        </w:rPr>
        <w:t>MEAs</w:t>
      </w:r>
      <w:r w:rsidR="00F63F24" w:rsidRPr="00221992">
        <w:rPr>
          <w:lang w:val="en-GB"/>
        </w:rPr>
        <w:t xml:space="preserve"> and warrants additional consideration in this context.</w:t>
      </w:r>
    </w:p>
    <w:p w14:paraId="467D4FD5" w14:textId="4BCC10E3" w:rsidR="00CA710F" w:rsidRPr="00221992" w:rsidRDefault="005E5EA5" w:rsidP="00074201">
      <w:pPr>
        <w:rPr>
          <w:lang w:val="en-GB"/>
        </w:rPr>
      </w:pPr>
      <w:r w:rsidRPr="00221992">
        <w:rPr>
          <w:lang w:val="en-GB"/>
        </w:rPr>
        <w:t xml:space="preserve">In the early 2000s, </w:t>
      </w:r>
      <w:r w:rsidR="00CF2BCB" w:rsidRPr="00221992">
        <w:rPr>
          <w:lang w:val="en-GB"/>
        </w:rPr>
        <w:t>Belgium</w:t>
      </w:r>
      <w:r w:rsidR="00214524" w:rsidRPr="00221992">
        <w:rPr>
          <w:lang w:val="en-GB"/>
        </w:rPr>
        <w:t>, England/Wales</w:t>
      </w:r>
      <w:r w:rsidRPr="00221992">
        <w:rPr>
          <w:lang w:val="en-GB"/>
        </w:rPr>
        <w:t>,</w:t>
      </w:r>
      <w:r w:rsidR="00CA710F" w:rsidRPr="00221992">
        <w:rPr>
          <w:lang w:val="en-GB"/>
        </w:rPr>
        <w:t xml:space="preserve"> Italy, </w:t>
      </w:r>
      <w:r w:rsidR="00214524" w:rsidRPr="00221992">
        <w:rPr>
          <w:lang w:val="en-GB"/>
        </w:rPr>
        <w:t>the Netherlands,</w:t>
      </w:r>
      <w:r w:rsidR="00CA710F" w:rsidRPr="00221992">
        <w:rPr>
          <w:lang w:val="en-GB"/>
        </w:rPr>
        <w:t xml:space="preserve"> </w:t>
      </w:r>
      <w:r w:rsidR="00151801" w:rsidRPr="00221992">
        <w:rPr>
          <w:lang w:val="en-GB"/>
        </w:rPr>
        <w:t xml:space="preserve">Norway </w:t>
      </w:r>
      <w:r w:rsidR="00CA710F" w:rsidRPr="00221992">
        <w:rPr>
          <w:lang w:val="en-GB"/>
        </w:rPr>
        <w:t xml:space="preserve">and </w:t>
      </w:r>
      <w:r w:rsidR="00214524" w:rsidRPr="00221992">
        <w:rPr>
          <w:lang w:val="en-GB"/>
        </w:rPr>
        <w:t>Sweden</w:t>
      </w:r>
      <w:r w:rsidR="00CA710F" w:rsidRPr="00221992">
        <w:rPr>
          <w:lang w:val="en-GB"/>
        </w:rPr>
        <w:t xml:space="preserve"> were among the early adopters of MEAs</w:t>
      </w:r>
      <w:r w:rsidRPr="00221992">
        <w:rPr>
          <w:lang w:val="en-GB"/>
        </w:rPr>
        <w:t>.</w:t>
      </w:r>
      <w:r w:rsidR="00151801" w:rsidRPr="00221992">
        <w:rPr>
          <w:rStyle w:val="FootnoteReference"/>
          <w:lang w:val="en-GB"/>
        </w:rPr>
        <w:footnoteReference w:id="9"/>
      </w:r>
      <w:r w:rsidR="00CA710F" w:rsidRPr="00221992">
        <w:rPr>
          <w:lang w:val="en-GB"/>
        </w:rPr>
        <w:t xml:space="preserve"> Currently, </w:t>
      </w:r>
      <w:r w:rsidR="00151801" w:rsidRPr="00221992">
        <w:rPr>
          <w:lang w:val="en-GB"/>
        </w:rPr>
        <w:t>1</w:t>
      </w:r>
      <w:r w:rsidR="00C460F2" w:rsidRPr="00221992">
        <w:rPr>
          <w:lang w:val="en-GB"/>
        </w:rPr>
        <w:t>7</w:t>
      </w:r>
      <w:r w:rsidR="00CA710F" w:rsidRPr="00221992">
        <w:rPr>
          <w:lang w:val="en-GB"/>
        </w:rPr>
        <w:t xml:space="preserve"> of 18 countries</w:t>
      </w:r>
      <w:r w:rsidR="00151156" w:rsidRPr="00221992">
        <w:rPr>
          <w:lang w:val="en-GB"/>
        </w:rPr>
        <w:t xml:space="preserve"> </w:t>
      </w:r>
      <w:r w:rsidRPr="00221992">
        <w:rPr>
          <w:lang w:val="en-GB"/>
        </w:rPr>
        <w:t>reviewed</w:t>
      </w:r>
      <w:r w:rsidR="00CA710F" w:rsidRPr="00221992">
        <w:rPr>
          <w:lang w:val="en-GB"/>
        </w:rPr>
        <w:t xml:space="preserve"> </w:t>
      </w:r>
      <w:r w:rsidR="00625AF6" w:rsidRPr="00221992">
        <w:rPr>
          <w:lang w:val="en-GB"/>
        </w:rPr>
        <w:t xml:space="preserve">(i.e., excluding Luxembourg) </w:t>
      </w:r>
      <w:r w:rsidR="00CA710F" w:rsidRPr="00221992">
        <w:rPr>
          <w:lang w:val="en-GB"/>
        </w:rPr>
        <w:t xml:space="preserve">have implemented </w:t>
      </w:r>
      <w:r w:rsidR="00CA710F" w:rsidRPr="00221992">
        <w:rPr>
          <w:color w:val="000000" w:themeColor="text1"/>
          <w:lang w:val="en-GB"/>
        </w:rPr>
        <w:t xml:space="preserve">MEAs, </w:t>
      </w:r>
      <w:r w:rsidRPr="00221992">
        <w:rPr>
          <w:color w:val="000000" w:themeColor="text1"/>
          <w:lang w:val="en-GB"/>
        </w:rPr>
        <w:t>(see</w:t>
      </w:r>
      <w:r w:rsidR="00CA710F" w:rsidRPr="00221992">
        <w:rPr>
          <w:color w:val="000000" w:themeColor="text1"/>
          <w:lang w:val="en-GB"/>
        </w:rPr>
        <w:t xml:space="preserve"> </w:t>
      </w:r>
      <w:r w:rsidR="00CE0BEA" w:rsidRPr="00221992">
        <w:rPr>
          <w:color w:val="000000" w:themeColor="text1"/>
          <w:lang w:val="en-GB"/>
        </w:rPr>
        <w:fldChar w:fldCharType="begin"/>
      </w:r>
      <w:r w:rsidR="00CE0BEA" w:rsidRPr="003C21F3">
        <w:rPr>
          <w:color w:val="000000" w:themeColor="text1"/>
        </w:rPr>
        <w:instrText xml:space="preserve"> REF _Ref144119884 \h </w:instrText>
      </w:r>
      <w:r w:rsidR="00CE0BEA" w:rsidRPr="00221992">
        <w:rPr>
          <w:color w:val="000000" w:themeColor="text1"/>
          <w:lang w:val="en-GB"/>
        </w:rPr>
      </w:r>
      <w:r w:rsidR="00CE0BEA" w:rsidRPr="00221992">
        <w:rPr>
          <w:color w:val="000000" w:themeColor="text1"/>
          <w:lang w:val="en-GB"/>
        </w:rPr>
        <w:fldChar w:fldCharType="separate"/>
      </w:r>
      <w:r w:rsidR="000E11E7" w:rsidRPr="00221992">
        <w:rPr>
          <w:lang w:val="en-GB"/>
        </w:rPr>
        <w:t xml:space="preserve">Table </w:t>
      </w:r>
      <w:r w:rsidR="000E11E7">
        <w:rPr>
          <w:noProof/>
        </w:rPr>
        <w:t>19</w:t>
      </w:r>
      <w:r w:rsidR="00CE0BEA" w:rsidRPr="00221992">
        <w:rPr>
          <w:color w:val="000000" w:themeColor="text1"/>
          <w:lang w:val="en-GB"/>
        </w:rPr>
        <w:fldChar w:fldCharType="end"/>
      </w:r>
      <w:r w:rsidR="00681C3F" w:rsidRPr="00221992">
        <w:rPr>
          <w:color w:val="000000" w:themeColor="text1"/>
          <w:lang w:val="en-GB"/>
        </w:rPr>
        <w:t xml:space="preserve"> and </w:t>
      </w:r>
      <w:r w:rsidR="00681C3F" w:rsidRPr="00221992">
        <w:rPr>
          <w:color w:val="000000" w:themeColor="text1"/>
          <w:lang w:val="en-GB"/>
        </w:rPr>
        <w:fldChar w:fldCharType="begin"/>
      </w:r>
      <w:r w:rsidR="00681C3F" w:rsidRPr="003C21F3">
        <w:rPr>
          <w:color w:val="000000" w:themeColor="text1"/>
        </w:rPr>
        <w:instrText xml:space="preserve"> REF _Ref144375794 \h </w:instrText>
      </w:r>
      <w:r w:rsidR="00681C3F" w:rsidRPr="00221992">
        <w:rPr>
          <w:color w:val="000000" w:themeColor="text1"/>
          <w:lang w:val="en-GB"/>
        </w:rPr>
      </w:r>
      <w:r w:rsidR="00681C3F" w:rsidRPr="00221992">
        <w:rPr>
          <w:color w:val="000000" w:themeColor="text1"/>
          <w:lang w:val="en-GB"/>
        </w:rPr>
        <w:fldChar w:fldCharType="separate"/>
      </w:r>
      <w:r w:rsidR="000E11E7" w:rsidRPr="00221992">
        <w:rPr>
          <w:lang w:val="en-GB"/>
        </w:rPr>
        <w:t xml:space="preserve">Table </w:t>
      </w:r>
      <w:r w:rsidR="000E11E7">
        <w:rPr>
          <w:noProof/>
        </w:rPr>
        <w:t>20</w:t>
      </w:r>
      <w:r w:rsidR="00681C3F" w:rsidRPr="00221992">
        <w:rPr>
          <w:color w:val="000000" w:themeColor="text1"/>
          <w:lang w:val="en-GB"/>
        </w:rPr>
        <w:fldChar w:fldCharType="end"/>
      </w:r>
      <w:r w:rsidR="00681C3F" w:rsidRPr="00221992">
        <w:rPr>
          <w:color w:val="000000" w:themeColor="text1"/>
          <w:lang w:val="en-GB"/>
        </w:rPr>
        <w:t>)</w:t>
      </w:r>
      <w:r w:rsidR="000B65A5">
        <w:rPr>
          <w:color w:val="000000" w:themeColor="text1"/>
          <w:lang w:val="en-GB"/>
        </w:rPr>
        <w:t>.</w:t>
      </w:r>
      <w:r w:rsidR="00681C3F" w:rsidRPr="00221992">
        <w:rPr>
          <w:color w:val="000000" w:themeColor="text1"/>
          <w:lang w:val="en-GB"/>
        </w:rPr>
        <w:t xml:space="preserve"> </w:t>
      </w:r>
      <w:r w:rsidR="00CA710F" w:rsidRPr="00221992">
        <w:rPr>
          <w:lang w:val="en-GB"/>
        </w:rPr>
        <w:t>Spain, Canada</w:t>
      </w:r>
      <w:r w:rsidR="00F77258" w:rsidRPr="00221992">
        <w:rPr>
          <w:lang w:val="en-GB"/>
        </w:rPr>
        <w:t>, Korea, Japan and New Zealand</w:t>
      </w:r>
      <w:r w:rsidR="00074201" w:rsidRPr="00221992">
        <w:rPr>
          <w:lang w:val="en-GB"/>
        </w:rPr>
        <w:t xml:space="preserve"> </w:t>
      </w:r>
      <w:r w:rsidR="00F77258" w:rsidRPr="00221992">
        <w:rPr>
          <w:lang w:val="en-GB"/>
        </w:rPr>
        <w:t>were relative latecomers to managed entry, negotiating their first MEAs between 2010 and 2016</w:t>
      </w:r>
      <w:r w:rsidR="00E6505F" w:rsidRPr="00221992">
        <w:rPr>
          <w:lang w:val="en-GB"/>
        </w:rPr>
        <w:t xml:space="preserve"> </w:t>
      </w:r>
      <w:r w:rsidR="00653F87" w:rsidRPr="00221992">
        <w:rPr>
          <w:lang w:val="en-GB"/>
        </w:rPr>
        <w:fldChar w:fldCharType="begin">
          <w:fldData xml:space="preserve">PEVuZE5vdGU+PENpdGU+PEF1dGhvcj5UaG9tcHNvbjwvQXV0aG9yPjxZZWFyPjIwMTY8L1llYXI+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</w:fldData>
        </w:fldChar>
      </w:r>
      <w:r w:rsidR="00E5265C">
        <w:rPr>
          <w:lang w:val="en-GB"/>
        </w:rPr>
        <w:instrText xml:space="preserve"> ADDIN EN.CITE </w:instrText>
      </w:r>
      <w:r w:rsidR="00E5265C">
        <w:rPr>
          <w:lang w:val="en-GB"/>
        </w:rPr>
        <w:fldChar w:fldCharType="begin">
          <w:fldData xml:space="preserve">PEVuZE5vdGU+PENpdGU+PEF1dGhvcj5UaG9tcHNvbjwvQXV0aG9yPjxZZWFyPjIwMTY8L1llYXI+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</w:fldData>
        </w:fldChar>
      </w:r>
      <w:r w:rsidR="00E5265C">
        <w:rPr>
          <w:lang w:val="en-GB"/>
        </w:rPr>
        <w:instrText xml:space="preserve"> ADDIN EN.CITE.DATA </w:instrText>
      </w:r>
      <w:r w:rsidR="00E5265C">
        <w:rPr>
          <w:lang w:val="en-GB"/>
        </w:rPr>
      </w:r>
      <w:r w:rsidR="00E5265C">
        <w:rPr>
          <w:lang w:val="en-GB"/>
        </w:rPr>
        <w:fldChar w:fldCharType="end"/>
      </w:r>
      <w:r w:rsidR="00653F87" w:rsidRPr="00221992">
        <w:rPr>
          <w:lang w:val="en-GB"/>
        </w:rPr>
      </w:r>
      <w:r w:rsidR="00653F87" w:rsidRPr="00221992">
        <w:rPr>
          <w:lang w:val="en-GB"/>
        </w:rPr>
        <w:fldChar w:fldCharType="separate"/>
      </w:r>
      <w:r w:rsidR="00E5265C">
        <w:rPr>
          <w:noProof/>
          <w:lang w:val="en-GB"/>
        </w:rPr>
        <w:t>[191-193]</w:t>
      </w:r>
      <w:r w:rsidR="00653F87" w:rsidRPr="00221992">
        <w:rPr>
          <w:lang w:val="en-GB"/>
        </w:rPr>
        <w:fldChar w:fldCharType="end"/>
      </w:r>
      <w:r w:rsidR="00CA710F" w:rsidRPr="00221992">
        <w:rPr>
          <w:lang w:val="en-GB"/>
        </w:rPr>
        <w:t xml:space="preserve">. </w:t>
      </w:r>
      <w:r w:rsidR="00B367F8" w:rsidRPr="00221992">
        <w:rPr>
          <w:lang w:val="en-GB"/>
        </w:rPr>
        <w:t xml:space="preserve">Taiwan </w:t>
      </w:r>
      <w:r w:rsidR="00FC59F6" w:rsidRPr="00221992">
        <w:rPr>
          <w:lang w:val="en-GB"/>
        </w:rPr>
        <w:t>do</w:t>
      </w:r>
      <w:r w:rsidR="006A50DC">
        <w:rPr>
          <w:lang w:val="en-GB"/>
        </w:rPr>
        <w:t>es</w:t>
      </w:r>
      <w:r w:rsidR="00FC59F6" w:rsidRPr="00221992">
        <w:rPr>
          <w:lang w:val="en-GB"/>
        </w:rPr>
        <w:t xml:space="preserve"> not </w:t>
      </w:r>
      <w:r w:rsidR="00B367F8" w:rsidRPr="00221992">
        <w:rPr>
          <w:lang w:val="en-GB"/>
        </w:rPr>
        <w:t>currently have any reported</w:t>
      </w:r>
      <w:r w:rsidR="00FC59F6" w:rsidRPr="00221992">
        <w:rPr>
          <w:lang w:val="en-GB"/>
        </w:rPr>
        <w:t xml:space="preserve"> MEAs in place. </w:t>
      </w:r>
      <w:r w:rsidR="00CA710F" w:rsidRPr="00221992">
        <w:rPr>
          <w:lang w:val="en-GB"/>
        </w:rPr>
        <w:t>Germany</w:t>
      </w:r>
      <w:r w:rsidR="00551786">
        <w:rPr>
          <w:lang w:val="en-GB"/>
        </w:rPr>
        <w:t>’</w:t>
      </w:r>
      <w:r w:rsidRPr="00221992">
        <w:rPr>
          <w:lang w:val="en-GB"/>
        </w:rPr>
        <w:t>s</w:t>
      </w:r>
      <w:r w:rsidR="00CA710F" w:rsidRPr="00221992">
        <w:rPr>
          <w:lang w:val="en-GB"/>
        </w:rPr>
        <w:t xml:space="preserve"> </w:t>
      </w:r>
      <w:r w:rsidRPr="00221992">
        <w:rPr>
          <w:lang w:val="en-GB"/>
        </w:rPr>
        <w:t>unique reimbursement</w:t>
      </w:r>
      <w:r w:rsidR="00CA710F" w:rsidRPr="00221992">
        <w:rPr>
          <w:lang w:val="en-GB"/>
        </w:rPr>
        <w:t xml:space="preserve"> structure</w:t>
      </w:r>
      <w:r w:rsidRPr="00221992">
        <w:rPr>
          <w:lang w:val="en-GB"/>
        </w:rPr>
        <w:t xml:space="preserve">—which separates </w:t>
      </w:r>
      <w:r w:rsidR="00CA710F" w:rsidRPr="00221992">
        <w:rPr>
          <w:lang w:val="en-GB"/>
        </w:rPr>
        <w:t xml:space="preserve">pricing from </w:t>
      </w:r>
      <w:r w:rsidRPr="00221992">
        <w:rPr>
          <w:lang w:val="en-GB"/>
        </w:rPr>
        <w:t>the coverage determination—</w:t>
      </w:r>
      <w:r w:rsidR="00CA710F" w:rsidRPr="00221992">
        <w:rPr>
          <w:lang w:val="en-GB"/>
        </w:rPr>
        <w:t xml:space="preserve">does not fit the traditional definition of a MEA. </w:t>
      </w:r>
      <w:r w:rsidRPr="00221992">
        <w:rPr>
          <w:lang w:val="en-GB"/>
        </w:rPr>
        <w:t>Due to the decentralised nature of</w:t>
      </w:r>
      <w:r w:rsidR="00D043B7" w:rsidRPr="00221992">
        <w:rPr>
          <w:lang w:val="en-GB"/>
        </w:rPr>
        <w:t xml:space="preserve"> </w:t>
      </w:r>
      <w:r w:rsidRPr="00221992">
        <w:rPr>
          <w:lang w:val="en-GB"/>
        </w:rPr>
        <w:t>its health care system</w:t>
      </w:r>
      <w:r w:rsidR="00D043B7" w:rsidRPr="00221992">
        <w:rPr>
          <w:lang w:val="en-GB"/>
        </w:rPr>
        <w:t xml:space="preserve">, MEAs </w:t>
      </w:r>
      <w:r w:rsidRPr="00221992">
        <w:rPr>
          <w:lang w:val="en-GB"/>
        </w:rPr>
        <w:t>for pharmaceuticals are</w:t>
      </w:r>
      <w:r w:rsidR="00D043B7" w:rsidRPr="00221992">
        <w:rPr>
          <w:lang w:val="en-GB"/>
        </w:rPr>
        <w:t xml:space="preserve"> less common </w:t>
      </w:r>
      <w:r w:rsidR="00DA6FDC" w:rsidRPr="00221992">
        <w:rPr>
          <w:lang w:val="en-GB"/>
        </w:rPr>
        <w:t xml:space="preserve">in </w:t>
      </w:r>
      <w:r w:rsidRPr="00221992">
        <w:rPr>
          <w:lang w:val="en-GB"/>
        </w:rPr>
        <w:t>the US, though</w:t>
      </w:r>
      <w:r w:rsidR="00DA6FDC" w:rsidRPr="00221992">
        <w:rPr>
          <w:lang w:val="en-GB"/>
        </w:rPr>
        <w:t xml:space="preserve"> </w:t>
      </w:r>
      <w:r w:rsidRPr="00221992">
        <w:rPr>
          <w:lang w:val="en-GB"/>
        </w:rPr>
        <w:t>the</w:t>
      </w:r>
      <w:r w:rsidR="00A81916" w:rsidRPr="00221992">
        <w:rPr>
          <w:lang w:val="en-GB"/>
        </w:rPr>
        <w:t>re are</w:t>
      </w:r>
      <w:r w:rsidRPr="00221992">
        <w:rPr>
          <w:lang w:val="en-GB"/>
        </w:rPr>
        <w:t xml:space="preserve"> a number of MEAs in</w:t>
      </w:r>
      <w:r w:rsidR="00DA6FDC" w:rsidRPr="00221992">
        <w:rPr>
          <w:lang w:val="en-GB"/>
        </w:rPr>
        <w:t xml:space="preserve"> place for </w:t>
      </w:r>
      <w:r w:rsidRPr="00221992">
        <w:rPr>
          <w:lang w:val="en-GB"/>
        </w:rPr>
        <w:t xml:space="preserve">some </w:t>
      </w:r>
      <w:r w:rsidR="00DA6FDC" w:rsidRPr="00221992">
        <w:rPr>
          <w:lang w:val="en-GB"/>
        </w:rPr>
        <w:t>medical devices</w:t>
      </w:r>
      <w:r w:rsidRPr="00221992">
        <w:rPr>
          <w:lang w:val="en-GB"/>
        </w:rPr>
        <w:t xml:space="preserve"> </w:t>
      </w:r>
      <w:r w:rsidR="00653F87" w:rsidRPr="00221992">
        <w:rPr>
          <w:lang w:val="en-GB"/>
        </w:rPr>
        <w:fldChar w:fldCharType="begin"/>
      </w:r>
      <w:r w:rsidR="00E5265C">
        <w:rPr>
          <w:lang w:val="en-GB"/>
        </w:rPr>
        <w:instrText xml:space="preserve"> ADDIN EN.CITE &lt;EndNote&gt;&lt;Cite&gt;&lt;Author&gt;Myung&lt;/Author&gt;&lt;Year&gt;2021&lt;/Year&gt;&lt;RecNum&gt;340&lt;/RecNum&gt;&lt;DisplayText&gt;[193]&lt;/DisplayText&gt;&lt;record&gt;&lt;rec-number&gt;340&lt;/rec-number&gt;&lt;foreign-keys&gt;&lt;key app="EN" db-id="wzwwsfxe4peesxef95cxvrwjxts9rreasarf" timestamp="1692654670"&gt;340&lt;/key&gt;&lt;/foreign-keys&gt;&lt;ref-type name="Journal Article"&gt;17&lt;/ref-type&gt;&lt;contributors&gt;&lt;authors&gt;&lt;author&gt;Myung, J. E.&lt;/author&gt;&lt;author&gt;Tanaka, Y.&lt;/author&gt;&lt;author&gt;Choi, H.&lt;/author&gt;&lt;author&gt;Strachan, L.&lt;/author&gt;&lt;author&gt;Watanuki, T.&lt;/author&gt;&lt;author&gt;Lee, J. H.&lt;/author&gt;&lt;author&gt;Hwang, H.&lt;/author&gt;&lt;author&gt;Lee, S. S.&lt;/author&gt;&lt;/authors&gt;&lt;/contributors&gt;&lt;auth-address&gt;Healthcare Economics and Government Affairs, Medtronic Korea Ltd., Seoul, South Korea&amp;#xD;Healthcare Economics and Government Affairs, Medtronic Japan Ltd., Tokyo, Japan&amp;#xD;Global Health Policy, Medtronic Australasia Pty Ltd., Sydney, Australia&lt;/auth-address&gt;&lt;titles&gt;&lt;title&gt;Coverage with Evidence Development Programs for Medical Technologies in Asia-Pacific Regions: A Case Study of Japan and South Korea&lt;/title&gt;&lt;secondary-title&gt;Jma j&lt;/secondary-title&gt;&lt;/titles&gt;&lt;periodical&gt;&lt;full-title&gt;Jma j&lt;/full-title&gt;&lt;/periodical&gt;&lt;pages&gt;311-20&lt;/pages&gt;&lt;volume&gt;4&lt;/volume&gt;&lt;number&gt;4&lt;/number&gt;&lt;edition&gt;20210913&lt;/edition&gt;&lt;dates&gt;&lt;year&gt;2021&lt;/year&gt;&lt;pub-dates&gt;&lt;date&gt;Oct 15&lt;/date&gt;&lt;/pub-dates&gt;&lt;/dates&gt;&lt;isbn&gt;2433-328X (Print)&lt;/isbn&gt;&lt;accession-num&gt;34796285&lt;/accession-num&gt;&lt;urls&gt;&lt;related-urls&gt;&lt;url&gt;https://www.ncbi.nlm.nih.gov/pmc/articles/PMC8580702/pdf/2433-3298-4-4-0311.pdf&lt;/url&gt;&lt;/related-urls&gt;&lt;/urls&gt;&lt;custom2&gt;PMC8580702&lt;/custom2&gt;&lt;electronic-resource-num&gt;10.31662/jmaj.2021-0011&lt;/electronic-resource-num&gt;&lt;language&gt;eng&lt;/language&gt;&lt;/record&gt;&lt;/Cite&gt;&lt;/EndNote&gt;</w:instrText>
      </w:r>
      <w:r w:rsidR="00653F87" w:rsidRPr="00221992">
        <w:rPr>
          <w:lang w:val="en-GB"/>
        </w:rPr>
        <w:fldChar w:fldCharType="separate"/>
      </w:r>
      <w:r w:rsidR="00E5265C">
        <w:rPr>
          <w:noProof/>
          <w:lang w:val="en-GB"/>
        </w:rPr>
        <w:t>[193]</w:t>
      </w:r>
      <w:r w:rsidR="00653F87" w:rsidRPr="00221992">
        <w:rPr>
          <w:lang w:val="en-GB"/>
        </w:rPr>
        <w:fldChar w:fldCharType="end"/>
      </w:r>
      <w:r w:rsidR="00D043B7" w:rsidRPr="00221992">
        <w:rPr>
          <w:lang w:val="en-GB"/>
        </w:rPr>
        <w:t xml:space="preserve">. </w:t>
      </w:r>
    </w:p>
    <w:p w14:paraId="2D265E68" w14:textId="4C15754F" w:rsidR="00FF45FC" w:rsidRPr="00221992" w:rsidRDefault="00614081" w:rsidP="00074201">
      <w:pPr>
        <w:rPr>
          <w:lang w:val="en-GB"/>
        </w:rPr>
      </w:pPr>
      <w:r w:rsidRPr="00221992">
        <w:rPr>
          <w:lang w:val="en-GB"/>
        </w:rPr>
        <w:t>While definitions vary</w:t>
      </w:r>
      <w:r w:rsidR="00625AF6" w:rsidRPr="00221992">
        <w:rPr>
          <w:lang w:val="en-GB"/>
        </w:rPr>
        <w:t xml:space="preserve"> between national contexts</w:t>
      </w:r>
      <w:r w:rsidRPr="00221992">
        <w:rPr>
          <w:lang w:val="en-GB"/>
        </w:rPr>
        <w:t>, t</w:t>
      </w:r>
      <w:r w:rsidR="005D42DA" w:rsidRPr="00221992">
        <w:rPr>
          <w:lang w:val="en-GB"/>
        </w:rPr>
        <w:t xml:space="preserve">he most frequently observed </w:t>
      </w:r>
      <w:r w:rsidRPr="00221992">
        <w:rPr>
          <w:lang w:val="en-GB"/>
        </w:rPr>
        <w:t xml:space="preserve">financial </w:t>
      </w:r>
      <w:r w:rsidR="005D42DA" w:rsidRPr="00221992">
        <w:rPr>
          <w:lang w:val="en-GB"/>
        </w:rPr>
        <w:t xml:space="preserve">MEAs </w:t>
      </w:r>
      <w:r w:rsidR="00625AF6" w:rsidRPr="00221992">
        <w:rPr>
          <w:lang w:val="en-GB"/>
        </w:rPr>
        <w:t>feature</w:t>
      </w:r>
      <w:r w:rsidR="005D42DA" w:rsidRPr="00221992">
        <w:rPr>
          <w:lang w:val="en-GB"/>
        </w:rPr>
        <w:t xml:space="preserve"> </w:t>
      </w:r>
      <w:r w:rsidR="00DA6FDC" w:rsidRPr="00221992">
        <w:rPr>
          <w:lang w:val="en-GB"/>
        </w:rPr>
        <w:t xml:space="preserve">patient-level risk sharing, such as </w:t>
      </w:r>
      <w:r w:rsidR="005D42DA" w:rsidRPr="00221992">
        <w:rPr>
          <w:lang w:val="en-GB"/>
        </w:rPr>
        <w:t>confidential discounts</w:t>
      </w:r>
      <w:r w:rsidR="00DA6FDC" w:rsidRPr="00221992">
        <w:rPr>
          <w:lang w:val="en-GB"/>
        </w:rPr>
        <w:t xml:space="preserve"> or </w:t>
      </w:r>
      <w:r w:rsidR="00EE25E7" w:rsidRPr="00221992">
        <w:rPr>
          <w:lang w:val="en-GB"/>
        </w:rPr>
        <w:t>rebates (</w:t>
      </w:r>
      <w:r w:rsidR="001C2F4E" w:rsidRPr="00221992">
        <w:rPr>
          <w:lang w:val="en-GB"/>
        </w:rPr>
        <w:t>1</w:t>
      </w:r>
      <w:r w:rsidRPr="00221992">
        <w:rPr>
          <w:lang w:val="en-GB"/>
        </w:rPr>
        <w:t>4</w:t>
      </w:r>
      <w:r w:rsidR="001C2F4E" w:rsidRPr="00221992">
        <w:rPr>
          <w:lang w:val="en-GB"/>
        </w:rPr>
        <w:t xml:space="preserve"> </w:t>
      </w:r>
      <w:r w:rsidR="00625AF6" w:rsidRPr="00221992">
        <w:rPr>
          <w:lang w:val="en-GB"/>
        </w:rPr>
        <w:t xml:space="preserve">of 18 </w:t>
      </w:r>
      <w:r w:rsidR="001C2F4E" w:rsidRPr="00221992">
        <w:rPr>
          <w:lang w:val="en-GB"/>
        </w:rPr>
        <w:t>countries</w:t>
      </w:r>
      <w:r w:rsidR="00625AF6" w:rsidRPr="00221992">
        <w:rPr>
          <w:lang w:val="en-GB"/>
        </w:rPr>
        <w:t xml:space="preserve"> reviewed</w:t>
      </w:r>
      <w:r w:rsidR="005D42DA" w:rsidRPr="00221992">
        <w:rPr>
          <w:lang w:val="en-GB"/>
        </w:rPr>
        <w:t xml:space="preserve">), </w:t>
      </w:r>
      <w:r w:rsidR="00DA6FDC" w:rsidRPr="00221992">
        <w:rPr>
          <w:lang w:val="en-GB"/>
        </w:rPr>
        <w:t>population</w:t>
      </w:r>
      <w:r w:rsidR="00625AF6" w:rsidRPr="00221992">
        <w:rPr>
          <w:lang w:val="en-GB"/>
        </w:rPr>
        <w:t>-</w:t>
      </w:r>
      <w:r w:rsidR="00DA6FDC" w:rsidRPr="00221992">
        <w:rPr>
          <w:lang w:val="en-GB"/>
        </w:rPr>
        <w:t xml:space="preserve">level </w:t>
      </w:r>
      <w:r w:rsidR="005D42DA" w:rsidRPr="00221992">
        <w:rPr>
          <w:lang w:val="en-GB"/>
        </w:rPr>
        <w:t>price-volume agreements (</w:t>
      </w:r>
      <w:r w:rsidRPr="00221992">
        <w:rPr>
          <w:lang w:val="en-GB"/>
        </w:rPr>
        <w:t xml:space="preserve">Australia, </w:t>
      </w:r>
      <w:r w:rsidR="00625AF6" w:rsidRPr="00221992">
        <w:rPr>
          <w:lang w:val="en-GB"/>
        </w:rPr>
        <w:t xml:space="preserve">Canada, France, </w:t>
      </w:r>
      <w:r w:rsidR="005D42DA" w:rsidRPr="00221992">
        <w:rPr>
          <w:lang w:val="en-GB"/>
        </w:rPr>
        <w:t xml:space="preserve">Italy, </w:t>
      </w:r>
      <w:r w:rsidR="00625AF6" w:rsidRPr="00221992">
        <w:rPr>
          <w:lang w:val="en-GB"/>
        </w:rPr>
        <w:t>the Netherlands and</w:t>
      </w:r>
      <w:r w:rsidRPr="00221992">
        <w:rPr>
          <w:lang w:val="en-GB"/>
        </w:rPr>
        <w:t xml:space="preserve"> Singapore</w:t>
      </w:r>
      <w:r w:rsidR="005D42DA" w:rsidRPr="00221992">
        <w:rPr>
          <w:lang w:val="en-GB"/>
        </w:rPr>
        <w:t>)</w:t>
      </w:r>
      <w:r w:rsidR="00861593" w:rsidRPr="00221992">
        <w:rPr>
          <w:lang w:val="en-GB"/>
        </w:rPr>
        <w:t>, cost-sharing or capping agreements (</w:t>
      </w:r>
      <w:r w:rsidRPr="00221992">
        <w:rPr>
          <w:lang w:val="en-GB"/>
        </w:rPr>
        <w:t xml:space="preserve">Australia, </w:t>
      </w:r>
      <w:r w:rsidR="00625AF6" w:rsidRPr="00221992">
        <w:rPr>
          <w:lang w:val="en-GB"/>
        </w:rPr>
        <w:t xml:space="preserve">England/Wales, </w:t>
      </w:r>
      <w:r w:rsidR="00861593" w:rsidRPr="00221992">
        <w:rPr>
          <w:lang w:val="en-GB"/>
        </w:rPr>
        <w:t>Italy</w:t>
      </w:r>
      <w:r w:rsidRPr="00221992">
        <w:rPr>
          <w:lang w:val="en-GB"/>
        </w:rPr>
        <w:t xml:space="preserve">, Korea, </w:t>
      </w:r>
      <w:r w:rsidR="00625AF6" w:rsidRPr="00221992">
        <w:rPr>
          <w:lang w:val="en-GB"/>
        </w:rPr>
        <w:t>t</w:t>
      </w:r>
      <w:r w:rsidRPr="00221992">
        <w:rPr>
          <w:lang w:val="en-GB"/>
        </w:rPr>
        <w:t>he Netherlands</w:t>
      </w:r>
      <w:r w:rsidR="00625AF6" w:rsidRPr="00221992">
        <w:rPr>
          <w:lang w:val="en-GB"/>
        </w:rPr>
        <w:t xml:space="preserve"> and</w:t>
      </w:r>
      <w:r w:rsidRPr="00221992">
        <w:rPr>
          <w:lang w:val="en-GB"/>
        </w:rPr>
        <w:t xml:space="preserve"> Sweden</w:t>
      </w:r>
      <w:r w:rsidR="00861593" w:rsidRPr="00221992">
        <w:rPr>
          <w:lang w:val="en-GB"/>
        </w:rPr>
        <w:t xml:space="preserve">). </w:t>
      </w:r>
      <w:r w:rsidR="00625AF6" w:rsidRPr="00221992">
        <w:rPr>
          <w:lang w:val="en-GB"/>
        </w:rPr>
        <w:t xml:space="preserve">Some countries, including </w:t>
      </w:r>
      <w:r w:rsidR="000C3C07" w:rsidRPr="00221992">
        <w:rPr>
          <w:lang w:val="en-GB"/>
        </w:rPr>
        <w:t xml:space="preserve">Italy, </w:t>
      </w:r>
      <w:r w:rsidR="00E93AD5" w:rsidRPr="00221992">
        <w:rPr>
          <w:lang w:val="en-GB"/>
        </w:rPr>
        <w:t>England/Wales</w:t>
      </w:r>
      <w:r w:rsidR="000C3C07" w:rsidRPr="00221992">
        <w:rPr>
          <w:lang w:val="en-GB"/>
        </w:rPr>
        <w:t xml:space="preserve"> and Taiwan, also implement population-level spending thresholds, which may </w:t>
      </w:r>
      <w:r w:rsidRPr="00221992">
        <w:rPr>
          <w:lang w:val="en-GB"/>
        </w:rPr>
        <w:t>o</w:t>
      </w:r>
      <w:r w:rsidR="000C3C07" w:rsidRPr="00221992">
        <w:rPr>
          <w:lang w:val="en-GB"/>
        </w:rPr>
        <w:t>perate independently from the MEA framework</w:t>
      </w:r>
      <w:r w:rsidR="005D42DA" w:rsidRPr="00221992">
        <w:rPr>
          <w:lang w:val="en-GB"/>
        </w:rPr>
        <w:t xml:space="preserve">. For </w:t>
      </w:r>
      <w:r w:rsidR="00DA6FDC" w:rsidRPr="00221992">
        <w:rPr>
          <w:lang w:val="en-GB"/>
        </w:rPr>
        <w:t>example</w:t>
      </w:r>
      <w:r w:rsidR="005D42DA" w:rsidRPr="00221992">
        <w:rPr>
          <w:lang w:val="en-GB"/>
        </w:rPr>
        <w:t>, Italy</w:t>
      </w:r>
      <w:r w:rsidR="00551786">
        <w:rPr>
          <w:lang w:val="en-GB"/>
        </w:rPr>
        <w:t>’</w:t>
      </w:r>
      <w:r w:rsidR="00625AF6" w:rsidRPr="00221992">
        <w:rPr>
          <w:lang w:val="en-GB"/>
        </w:rPr>
        <w:t>s</w:t>
      </w:r>
      <w:r w:rsidR="005D42DA" w:rsidRPr="00221992">
        <w:rPr>
          <w:lang w:val="en-GB"/>
        </w:rPr>
        <w:t xml:space="preserve"> Pricing and Reimbursement Committee negotiates a national spending cap </w:t>
      </w:r>
      <w:r w:rsidR="00625AF6" w:rsidRPr="00221992">
        <w:rPr>
          <w:lang w:val="en-GB"/>
        </w:rPr>
        <w:t>during</w:t>
      </w:r>
      <w:r w:rsidR="005D42DA" w:rsidRPr="00221992">
        <w:rPr>
          <w:lang w:val="en-GB"/>
        </w:rPr>
        <w:t xml:space="preserve"> </w:t>
      </w:r>
      <w:r w:rsidR="00625AF6" w:rsidRPr="00221992">
        <w:rPr>
          <w:lang w:val="en-GB"/>
        </w:rPr>
        <w:t>a drug</w:t>
      </w:r>
      <w:r w:rsidR="00551786">
        <w:rPr>
          <w:lang w:val="en-GB"/>
        </w:rPr>
        <w:t>’</w:t>
      </w:r>
      <w:r w:rsidR="00625AF6" w:rsidRPr="00221992">
        <w:rPr>
          <w:lang w:val="en-GB"/>
        </w:rPr>
        <w:t>s</w:t>
      </w:r>
      <w:r w:rsidR="005D42DA" w:rsidRPr="00221992">
        <w:rPr>
          <w:lang w:val="en-GB"/>
        </w:rPr>
        <w:t xml:space="preserve"> initial 12 or 24 months on the market</w:t>
      </w:r>
      <w:r w:rsidR="00625AF6" w:rsidRPr="00221992">
        <w:rPr>
          <w:lang w:val="en-GB"/>
        </w:rPr>
        <w:t>,</w:t>
      </w:r>
      <w:r w:rsidR="00147D99" w:rsidRPr="00221992">
        <w:rPr>
          <w:rStyle w:val="FootnoteReference"/>
          <w:lang w:val="en-GB"/>
        </w:rPr>
        <w:footnoteReference w:id="10"/>
      </w:r>
      <w:r w:rsidR="005D42DA" w:rsidRPr="00221992">
        <w:rPr>
          <w:lang w:val="en-GB"/>
        </w:rPr>
        <w:t xml:space="preserve"> </w:t>
      </w:r>
      <w:r w:rsidR="00625AF6" w:rsidRPr="00221992">
        <w:rPr>
          <w:lang w:val="en-GB"/>
        </w:rPr>
        <w:t>with</w:t>
      </w:r>
      <w:r w:rsidR="005D42DA" w:rsidRPr="00221992">
        <w:rPr>
          <w:lang w:val="en-GB"/>
        </w:rPr>
        <w:t xml:space="preserve"> manufacturers reimburs</w:t>
      </w:r>
      <w:r w:rsidR="00625AF6" w:rsidRPr="00221992">
        <w:rPr>
          <w:lang w:val="en-GB"/>
        </w:rPr>
        <w:t>ing</w:t>
      </w:r>
      <w:r w:rsidR="005D42DA" w:rsidRPr="00221992">
        <w:rPr>
          <w:lang w:val="en-GB"/>
        </w:rPr>
        <w:t xml:space="preserve"> excess </w:t>
      </w:r>
      <w:r w:rsidR="00625AF6" w:rsidRPr="00221992">
        <w:rPr>
          <w:lang w:val="en-GB"/>
        </w:rPr>
        <w:t>expenditure</w:t>
      </w:r>
      <w:r w:rsidR="005D42DA" w:rsidRPr="00221992">
        <w:rPr>
          <w:lang w:val="en-GB"/>
        </w:rPr>
        <w:t xml:space="preserve"> to regional administrations if </w:t>
      </w:r>
      <w:r w:rsidR="00625AF6" w:rsidRPr="00221992">
        <w:rPr>
          <w:lang w:val="en-GB"/>
        </w:rPr>
        <w:t>the cap</w:t>
      </w:r>
      <w:r w:rsidR="005D42DA" w:rsidRPr="00221992">
        <w:rPr>
          <w:lang w:val="en-GB"/>
        </w:rPr>
        <w:t xml:space="preserve"> is exceeded</w:t>
      </w:r>
      <w:r w:rsidR="00625AF6" w:rsidRPr="00221992">
        <w:rPr>
          <w:lang w:val="en-GB"/>
        </w:rPr>
        <w:t xml:space="preserve"> </w:t>
      </w:r>
      <w:r w:rsidR="00653F87" w:rsidRPr="00221992">
        <w:rPr>
          <w:lang w:val="en-GB"/>
        </w:rPr>
        <w:fldChar w:fldCharType="begin"/>
      </w:r>
      <w:r w:rsidR="00E5265C">
        <w:rPr>
          <w:lang w:val="en-GB"/>
        </w:rPr>
        <w:instrText xml:space="preserve"> ADDIN EN.CITE &lt;EndNote&gt;&lt;Cite&gt;&lt;Author&gt;V.&lt;/Author&gt;&lt;Year&gt;2023&lt;/Year&gt;&lt;RecNum&gt;456&lt;/RecNum&gt;&lt;DisplayText&gt;[194]&lt;/DisplayText&gt;&lt;record&gt;&lt;rec-number&gt;456&lt;/rec-number&gt;&lt;foreign-keys&gt;&lt;key app="EN" db-id="wzwwsfxe4peesxef95cxvrwjxts9rreasarf" timestamp="1692654670"&gt;456&lt;/key&gt;&lt;/foreign-keys&gt;&lt;ref-type name="Conference Paper"&gt;47&lt;/ref-type&gt;&lt;contributors&gt;&lt;authors&gt;&lt;author&gt;Roman V.&lt;/author&gt;&lt;author&gt;Farago J.&lt;/author&gt;&lt;author&gt;Grubert N.&lt;/author&gt;&lt;/authors&gt;&lt;/contributors&gt;&lt;titles&gt;&lt;title&gt;Developing a Canadian managed entry approach for new innovation: What can Canada learn from Europe?&lt;/title&gt;&lt;/titles&gt;&lt;dates&gt;&lt;year&gt;2023&lt;/year&gt;&lt;/dates&gt;&lt;publisher&gt;Innovative Medicines Canada&lt;/publisher&gt;&lt;urls&gt;&lt;related-urls&gt;&lt;url&gt;https://innovativemedicines.ca/wp-content/uploads/2023/05/20230800-Symposium-Poster_EN_V5.pdf&lt;/url&gt;&lt;/related-urls&gt;&lt;/urls&gt;&lt;/record&gt;&lt;/Cite&gt;&lt;/EndNote&gt;</w:instrText>
      </w:r>
      <w:r w:rsidR="00653F87" w:rsidRPr="00221992">
        <w:rPr>
          <w:lang w:val="en-GB"/>
        </w:rPr>
        <w:fldChar w:fldCharType="separate"/>
      </w:r>
      <w:r w:rsidR="00E5265C">
        <w:rPr>
          <w:noProof/>
          <w:lang w:val="en-GB"/>
        </w:rPr>
        <w:t>[194]</w:t>
      </w:r>
      <w:r w:rsidR="00653F87" w:rsidRPr="00221992">
        <w:rPr>
          <w:lang w:val="en-GB"/>
        </w:rPr>
        <w:fldChar w:fldCharType="end"/>
      </w:r>
      <w:r w:rsidR="005D42DA" w:rsidRPr="00221992">
        <w:rPr>
          <w:lang w:val="en-GB"/>
        </w:rPr>
        <w:t xml:space="preserve">. Similarly, in </w:t>
      </w:r>
      <w:r w:rsidR="00625AF6" w:rsidRPr="00221992">
        <w:rPr>
          <w:lang w:val="en-GB"/>
        </w:rPr>
        <w:t>England/Wales</w:t>
      </w:r>
      <w:r w:rsidR="005D42DA" w:rsidRPr="00221992">
        <w:rPr>
          <w:lang w:val="en-GB"/>
        </w:rPr>
        <w:t xml:space="preserve">, commercial discussions are initiated by the NHS for drugs with projected net budget impacts exceeding £20 million </w:t>
      </w:r>
      <w:r w:rsidR="000C3C07" w:rsidRPr="00221992">
        <w:rPr>
          <w:lang w:val="en-GB"/>
        </w:rPr>
        <w:t xml:space="preserve">per annum </w:t>
      </w:r>
      <w:r w:rsidR="005D42DA" w:rsidRPr="00221992">
        <w:rPr>
          <w:lang w:val="en-GB"/>
        </w:rPr>
        <w:t xml:space="preserve">in any of the first three years on the market to manage the overall budget impact. </w:t>
      </w:r>
      <w:r w:rsidR="00625AF6" w:rsidRPr="00221992">
        <w:rPr>
          <w:lang w:val="en-GB"/>
        </w:rPr>
        <w:t>Taiwan</w:t>
      </w:r>
      <w:r w:rsidR="005D42DA" w:rsidRPr="00221992">
        <w:rPr>
          <w:lang w:val="en-GB"/>
        </w:rPr>
        <w:t xml:space="preserve"> ha</w:t>
      </w:r>
      <w:r w:rsidR="00625AF6" w:rsidRPr="00221992">
        <w:rPr>
          <w:lang w:val="en-GB"/>
        </w:rPr>
        <w:t>s</w:t>
      </w:r>
      <w:r w:rsidR="005D42DA" w:rsidRPr="00221992">
        <w:rPr>
          <w:lang w:val="en-GB"/>
        </w:rPr>
        <w:t xml:space="preserve"> implemented budget caps for novel inhibitory drugs targeting cancer immune checkpoints, with an annual limit of NT</w:t>
      </w:r>
      <w:r w:rsidR="00D82BAB">
        <w:rPr>
          <w:lang w:val="en-GB"/>
        </w:rPr>
        <w:t>D</w:t>
      </w:r>
      <w:r w:rsidR="005D42DA" w:rsidRPr="00221992">
        <w:rPr>
          <w:lang w:val="en-GB"/>
        </w:rPr>
        <w:t xml:space="preserve">$800 million (approximately </w:t>
      </w:r>
      <w:r w:rsidR="00625AF6" w:rsidRPr="00221992">
        <w:rPr>
          <w:lang w:val="en-GB"/>
        </w:rPr>
        <w:t>AU</w:t>
      </w:r>
      <w:r w:rsidR="00D82BAB">
        <w:rPr>
          <w:lang w:val="en-GB"/>
        </w:rPr>
        <w:t>D</w:t>
      </w:r>
      <w:r w:rsidR="005D42DA" w:rsidRPr="00221992">
        <w:rPr>
          <w:lang w:val="en-GB"/>
        </w:rPr>
        <w:t>$</w:t>
      </w:r>
      <w:r w:rsidR="00625AF6" w:rsidRPr="00221992">
        <w:rPr>
          <w:lang w:val="en-GB"/>
        </w:rPr>
        <w:t>38.8</w:t>
      </w:r>
      <w:r w:rsidR="005D42DA" w:rsidRPr="00221992">
        <w:rPr>
          <w:lang w:val="en-GB"/>
        </w:rPr>
        <w:t xml:space="preserve"> million)</w:t>
      </w:r>
      <w:r w:rsidR="00074201" w:rsidRPr="00221992">
        <w:rPr>
          <w:lang w:val="en-GB"/>
        </w:rPr>
        <w:t xml:space="preserve"> </w:t>
      </w:r>
      <w:r w:rsidR="00653F87" w:rsidRPr="00221992">
        <w:rPr>
          <w:lang w:val="en-GB"/>
        </w:rPr>
        <w:fldChar w:fldCharType="begin">
          <w:fldData xml:space="preserve">PEVuZE5vdGU+PENpdGU+PEF1dGhvcj5Ic2llaDwvQXV0aG9yPjxZZWFyPjIwMjE8L1llYXI+PFJl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</w:fldData>
        </w:fldChar>
      </w:r>
      <w:r w:rsidR="00E5265C">
        <w:rPr>
          <w:lang w:val="en-GB"/>
        </w:rPr>
        <w:instrText xml:space="preserve"> ADDIN EN.CITE </w:instrText>
      </w:r>
      <w:r w:rsidR="00E5265C">
        <w:rPr>
          <w:lang w:val="en-GB"/>
        </w:rPr>
        <w:fldChar w:fldCharType="begin">
          <w:fldData xml:space="preserve">PEVuZE5vdGU+PENpdGU+PEF1dGhvcj5Ic2llaDwvQXV0aG9yPjxZZWFyPjIwMjE8L1llYXI+PFJl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</w:fldData>
        </w:fldChar>
      </w:r>
      <w:r w:rsidR="00E5265C">
        <w:rPr>
          <w:lang w:val="en-GB"/>
        </w:rPr>
        <w:instrText xml:space="preserve"> ADDIN EN.CITE.DATA </w:instrText>
      </w:r>
      <w:r w:rsidR="00E5265C">
        <w:rPr>
          <w:lang w:val="en-GB"/>
        </w:rPr>
      </w:r>
      <w:r w:rsidR="00E5265C">
        <w:rPr>
          <w:lang w:val="en-GB"/>
        </w:rPr>
        <w:fldChar w:fldCharType="end"/>
      </w:r>
      <w:r w:rsidR="00653F87" w:rsidRPr="00221992">
        <w:rPr>
          <w:lang w:val="en-GB"/>
        </w:rPr>
      </w:r>
      <w:r w:rsidR="00653F87" w:rsidRPr="00221992">
        <w:rPr>
          <w:lang w:val="en-GB"/>
        </w:rPr>
        <w:fldChar w:fldCharType="separate"/>
      </w:r>
      <w:r w:rsidR="00E5265C">
        <w:rPr>
          <w:noProof/>
          <w:lang w:val="en-GB"/>
        </w:rPr>
        <w:t>[195]</w:t>
      </w:r>
      <w:r w:rsidR="00653F87" w:rsidRPr="00221992">
        <w:rPr>
          <w:lang w:val="en-GB"/>
        </w:rPr>
        <w:fldChar w:fldCharType="end"/>
      </w:r>
      <w:r w:rsidR="005D42DA" w:rsidRPr="00221992">
        <w:rPr>
          <w:lang w:val="en-GB"/>
        </w:rPr>
        <w:t xml:space="preserve">. </w:t>
      </w:r>
    </w:p>
    <w:p w14:paraId="7661602F" w14:textId="190FE7C5" w:rsidR="00214524" w:rsidRPr="00221992" w:rsidRDefault="00214524" w:rsidP="00214524">
      <w:pPr>
        <w:rPr>
          <w:lang w:val="en-GB"/>
        </w:rPr>
      </w:pPr>
      <w:r w:rsidRPr="00221992">
        <w:rPr>
          <w:lang w:val="en-GB"/>
        </w:rPr>
        <w:t xml:space="preserve">In 2019, the OECD assessed MEAs in 41 OECD member countries and European Union member states </w:t>
      </w:r>
      <w:r w:rsidRPr="00221992">
        <w:rPr>
          <w:lang w:val="en-GB"/>
        </w:rPr>
        <w:fldChar w:fldCharType="begin"/>
      </w:r>
      <w:r w:rsidR="005A67DD" w:rsidRPr="00221992">
        <w:rPr>
          <w:lang w:val="en-GB"/>
        </w:rPr>
        <w:instrText xml:space="preserve"> ADDIN EN.CITE &lt;EndNote&gt;&lt;Cite&gt;&lt;Author&gt;Wenzl M&lt;/Author&gt;&lt;Year&gt;2019&lt;/Year&gt;&lt;RecNum&gt;477&lt;/RecNum&gt;&lt;DisplayText&gt;[6]&lt;/DisplayText&gt;&lt;record&gt;&lt;rec-number&gt;477&lt;/rec-number&gt;&lt;foreign-keys&gt;&lt;key app="EN" db-id="wzwwsfxe4peesxef95cxvrwjxts9rreasarf" timestamp="1692654671"&gt;477&lt;/key&gt;&lt;/foreign-keys&gt;&lt;ref-type name="Book Section"&gt;5&lt;/ref-type&gt;&lt;contributors&gt;&lt;authors&gt;&lt;author&gt;Wenzl M,&lt;/author&gt;&lt;author&gt;Chapman S.&lt;/author&gt;&lt;/authors&gt;&lt;/contributors&gt;&lt;titles&gt;&lt;title&gt;Performance-Based Managed Entry Agreements For New Medicines in OECD Countries and EU Member States: How They Work and Possible Improvements Going Forward.&lt;/title&gt;&lt;secondary-title&gt;OECD Health Working Papers,&lt;/secondary-title&gt;&lt;/titles&gt;&lt;volume&gt;No. 115&lt;/volume&gt;&lt;dates&gt;&lt;year&gt;2019&lt;/year&gt;&lt;/dates&gt;&lt;pub-location&gt;Paris&lt;/pub-location&gt;&lt;publisher&gt;OECD Publishing&lt;/publisher&gt;&lt;urls&gt;&lt;related-urls&gt;&lt;url&gt;https://www.oecd-ilibrary.org/content/paper/6e5e4c0f-en&lt;/url&gt;&lt;/related-urls&gt;&lt;/urls&gt;&lt;electronic-resource-num&gt;doi:https://doi.org/10.1787/6e5e4c0f-en&lt;/electronic-resource-num&gt;&lt;/record&gt;&lt;/Cite&gt;&lt;/EndNote&gt;</w:instrText>
      </w:r>
      <w:r w:rsidRPr="00221992">
        <w:rPr>
          <w:lang w:val="en-GB"/>
        </w:rPr>
        <w:fldChar w:fldCharType="separate"/>
      </w:r>
      <w:r w:rsidR="005A67DD" w:rsidRPr="00221992">
        <w:rPr>
          <w:noProof/>
          <w:lang w:val="en-GB"/>
        </w:rPr>
        <w:t>[6]</w:t>
      </w:r>
      <w:r w:rsidRPr="00221992">
        <w:rPr>
          <w:lang w:val="en-GB"/>
        </w:rPr>
        <w:fldChar w:fldCharType="end"/>
      </w:r>
      <w:r w:rsidRPr="00221992">
        <w:rPr>
          <w:lang w:val="en-GB"/>
        </w:rPr>
        <w:t xml:space="preserve">. The review entailed engagement with the OECD Expert Group on Pharmaceuticals and Medical Devices, a survey and interviews with experts in 12 OECD countries, a literature review, and analysis of information provided by national authorities responsible for drug coverage and pricing. The survey solicited details about MEAs in respondent countries for a list of 104 product/indication combinations. Findings revealed that approximately 10 of the 104 product/indication pairs were subject to performance-based MEAs, including in Australia, Belgium, France, Korea, the Netherlands, Spain, and Sweden. </w:t>
      </w:r>
    </w:p>
    <w:p w14:paraId="5DF3BC13" w14:textId="52603E5A" w:rsidR="0034528D" w:rsidRPr="00221992" w:rsidRDefault="00625AF6" w:rsidP="00074201">
      <w:pPr>
        <w:rPr>
          <w:lang w:val="en-GB"/>
        </w:rPr>
      </w:pPr>
      <w:r w:rsidRPr="00221992">
        <w:rPr>
          <w:lang w:val="en-GB"/>
        </w:rPr>
        <w:t>While t</w:t>
      </w:r>
      <w:r w:rsidR="0034528D" w:rsidRPr="00221992">
        <w:rPr>
          <w:lang w:val="en-GB"/>
        </w:rPr>
        <w:t xml:space="preserve">he literature acknowledges the </w:t>
      </w:r>
      <w:r w:rsidR="00214524" w:rsidRPr="00221992">
        <w:rPr>
          <w:lang w:val="en-GB"/>
        </w:rPr>
        <w:t>use</w:t>
      </w:r>
      <w:r w:rsidR="0034528D" w:rsidRPr="00221992">
        <w:rPr>
          <w:lang w:val="en-GB"/>
        </w:rPr>
        <w:t xml:space="preserve"> of financia</w:t>
      </w:r>
      <w:r w:rsidR="00A73B10">
        <w:rPr>
          <w:lang w:val="en-GB"/>
        </w:rPr>
        <w:t>l</w:t>
      </w:r>
      <w:r w:rsidR="00214524" w:rsidRPr="00221992">
        <w:rPr>
          <w:lang w:val="en-GB"/>
        </w:rPr>
        <w:t xml:space="preserve"> </w:t>
      </w:r>
      <w:r w:rsidR="0034528D" w:rsidRPr="00221992">
        <w:rPr>
          <w:lang w:val="en-GB"/>
        </w:rPr>
        <w:t xml:space="preserve">MEAs, the specifics of these arrangements </w:t>
      </w:r>
      <w:r w:rsidRPr="00221992">
        <w:rPr>
          <w:lang w:val="en-GB"/>
        </w:rPr>
        <w:t xml:space="preserve">are </w:t>
      </w:r>
      <w:r w:rsidR="00214524" w:rsidRPr="00221992">
        <w:rPr>
          <w:lang w:val="en-GB"/>
        </w:rPr>
        <w:t>typically</w:t>
      </w:r>
      <w:r w:rsidR="0034528D" w:rsidRPr="00221992">
        <w:rPr>
          <w:lang w:val="en-GB"/>
        </w:rPr>
        <w:t xml:space="preserve"> </w:t>
      </w:r>
      <w:r w:rsidR="00214524" w:rsidRPr="00221992">
        <w:rPr>
          <w:lang w:val="en-GB"/>
        </w:rPr>
        <w:t>commercial-in-confidence</w:t>
      </w:r>
      <w:r w:rsidR="0034528D" w:rsidRPr="00221992">
        <w:rPr>
          <w:lang w:val="en-GB"/>
        </w:rPr>
        <w:t>. For instance, the OECD identified countries with financial MEAs but noted a lack of comprehensive survey responses that could offer insights into the particulars of these agreements</w:t>
      </w:r>
      <w:r w:rsidR="00074201" w:rsidRPr="00221992">
        <w:rPr>
          <w:lang w:val="en-GB"/>
        </w:rPr>
        <w:t xml:space="preserve"> </w:t>
      </w:r>
      <w:r w:rsidR="00653F87" w:rsidRPr="00221992">
        <w:rPr>
          <w:lang w:val="en-GB"/>
        </w:rPr>
        <w:fldChar w:fldCharType="begin"/>
      </w:r>
      <w:r w:rsidR="005A67DD" w:rsidRPr="00221992">
        <w:rPr>
          <w:lang w:val="en-GB"/>
        </w:rPr>
        <w:instrText xml:space="preserve"> ADDIN EN.CITE &lt;EndNote&gt;&lt;Cite&gt;&lt;Author&gt;Wenzl M&lt;/Author&gt;&lt;Year&gt;2019&lt;/Year&gt;&lt;RecNum&gt;477&lt;/RecNum&gt;&lt;DisplayText&gt;[6]&lt;/DisplayText&gt;&lt;record&gt;&lt;rec-number&gt;477&lt;/rec-number&gt;&lt;foreign-keys&gt;&lt;key app="EN" db-id="wzwwsfxe4peesxef95cxvrwjxts9rreasarf" timestamp="1692654671"&gt;477&lt;/key&gt;&lt;/foreign-keys&gt;&lt;ref-type name="Book Section"&gt;5&lt;/ref-type&gt;&lt;contributors&gt;&lt;authors&gt;&lt;author&gt;Wenzl M,&lt;/author&gt;&lt;author&gt;Chapman S.&lt;/author&gt;&lt;/authors&gt;&lt;/contributors&gt;&lt;titles&gt;&lt;title&gt;Performance-Based Managed Entry Agreements For New Medicines in OECD Countries and EU Member States: How They Work and Possible Improvements Going Forward.&lt;/title&gt;&lt;secondary-title&gt;OECD Health Working Papers,&lt;/secondary-title&gt;&lt;/titles&gt;&lt;volume&gt;No. 115&lt;/volume&gt;&lt;dates&gt;&lt;year&gt;2019&lt;/year&gt;&lt;/dates&gt;&lt;pub-location&gt;Paris&lt;/pub-location&gt;&lt;publisher&gt;OECD Publishing&lt;/publisher&gt;&lt;urls&gt;&lt;related-urls&gt;&lt;url&gt;https://www.oecd-ilibrary.org/content/paper/6e5e4c0f-en&lt;/url&gt;&lt;/related-urls&gt;&lt;/urls&gt;&lt;electronic-resource-num&gt;doi:https://doi.org/10.1787/6e5e4c0f-en&lt;/electronic-resource-num&gt;&lt;/record&gt;&lt;/Cite&gt;&lt;/EndNote&gt;</w:instrText>
      </w:r>
      <w:r w:rsidR="00653F87" w:rsidRPr="00221992">
        <w:rPr>
          <w:lang w:val="en-GB"/>
        </w:rPr>
        <w:fldChar w:fldCharType="separate"/>
      </w:r>
      <w:r w:rsidR="005A67DD" w:rsidRPr="00221992">
        <w:rPr>
          <w:noProof/>
          <w:lang w:val="en-GB"/>
        </w:rPr>
        <w:t>[6]</w:t>
      </w:r>
      <w:r w:rsidR="00653F87" w:rsidRPr="00221992">
        <w:rPr>
          <w:lang w:val="en-GB"/>
        </w:rPr>
        <w:fldChar w:fldCharType="end"/>
      </w:r>
      <w:r w:rsidR="0034528D" w:rsidRPr="00221992">
        <w:rPr>
          <w:lang w:val="en-GB"/>
        </w:rPr>
        <w:t xml:space="preserve">. </w:t>
      </w:r>
      <w:r w:rsidR="00214524" w:rsidRPr="00221992">
        <w:rPr>
          <w:lang w:val="en-GB"/>
        </w:rPr>
        <w:t>T</w:t>
      </w:r>
      <w:r w:rsidR="0034528D" w:rsidRPr="00221992">
        <w:rPr>
          <w:lang w:val="en-GB"/>
        </w:rPr>
        <w:t xml:space="preserve">he </w:t>
      </w:r>
      <w:r w:rsidR="00C84D71" w:rsidRPr="00221992">
        <w:rPr>
          <w:lang w:val="en-GB"/>
        </w:rPr>
        <w:t>following</w:t>
      </w:r>
      <w:r w:rsidR="0034528D" w:rsidRPr="00221992">
        <w:rPr>
          <w:lang w:val="en-GB"/>
        </w:rPr>
        <w:t xml:space="preserve"> </w:t>
      </w:r>
      <w:r w:rsidR="00C84D71" w:rsidRPr="00221992">
        <w:rPr>
          <w:lang w:val="en-GB"/>
        </w:rPr>
        <w:t>discussion</w:t>
      </w:r>
      <w:r w:rsidR="0034528D" w:rsidRPr="00221992">
        <w:rPr>
          <w:lang w:val="en-GB"/>
        </w:rPr>
        <w:t xml:space="preserve"> </w:t>
      </w:r>
      <w:r w:rsidR="00214524" w:rsidRPr="00221992">
        <w:rPr>
          <w:lang w:val="en-GB"/>
        </w:rPr>
        <w:t xml:space="preserve">therefore </w:t>
      </w:r>
      <w:r w:rsidR="0034528D" w:rsidRPr="00221992">
        <w:rPr>
          <w:lang w:val="en-GB"/>
        </w:rPr>
        <w:t>primarily focus</w:t>
      </w:r>
      <w:r w:rsidR="00C84D71" w:rsidRPr="00221992">
        <w:rPr>
          <w:lang w:val="en-GB"/>
        </w:rPr>
        <w:t>es</w:t>
      </w:r>
      <w:r w:rsidR="0034528D" w:rsidRPr="00221992">
        <w:rPr>
          <w:lang w:val="en-GB"/>
        </w:rPr>
        <w:t xml:space="preserve"> on performance-based </w:t>
      </w:r>
      <w:r w:rsidR="00C64D4B" w:rsidRPr="00221992">
        <w:rPr>
          <w:lang w:val="en-GB"/>
        </w:rPr>
        <w:t>MEA</w:t>
      </w:r>
      <w:r w:rsidR="00D87C6A">
        <w:rPr>
          <w:lang w:val="en-GB"/>
        </w:rPr>
        <w:t>s</w:t>
      </w:r>
      <w:r w:rsidR="0034528D" w:rsidRPr="00221992">
        <w:rPr>
          <w:lang w:val="en-GB"/>
        </w:rPr>
        <w:t xml:space="preserve">, </w:t>
      </w:r>
      <w:r w:rsidR="00214524" w:rsidRPr="00221992">
        <w:rPr>
          <w:lang w:val="en-GB"/>
        </w:rPr>
        <w:t>which tend to have a greater level of</w:t>
      </w:r>
      <w:r w:rsidR="0034528D" w:rsidRPr="00221992">
        <w:rPr>
          <w:lang w:val="en-GB"/>
        </w:rPr>
        <w:t xml:space="preserve"> publicly available information. </w:t>
      </w:r>
    </w:p>
    <w:p w14:paraId="21D09D92" w14:textId="69DFF681" w:rsidR="00552C85" w:rsidRPr="00221992" w:rsidRDefault="00214524" w:rsidP="00214524">
      <w:pPr>
        <w:rPr>
          <w:lang w:val="en-GB"/>
        </w:rPr>
      </w:pPr>
      <w:r w:rsidRPr="00221992">
        <w:rPr>
          <w:lang w:val="en-GB"/>
        </w:rPr>
        <w:t xml:space="preserve">While most countries employ </w:t>
      </w:r>
      <w:r w:rsidR="00D75B5D" w:rsidRPr="00221992">
        <w:rPr>
          <w:lang w:val="en-GB"/>
        </w:rPr>
        <w:t>some form of</w:t>
      </w:r>
      <w:r w:rsidRPr="00221992">
        <w:rPr>
          <w:lang w:val="en-GB"/>
        </w:rPr>
        <w:t xml:space="preserve"> performance-based </w:t>
      </w:r>
      <w:r w:rsidR="00D75B5D" w:rsidRPr="00221992">
        <w:rPr>
          <w:lang w:val="en-GB"/>
        </w:rPr>
        <w:t>MEAs</w:t>
      </w:r>
      <w:r w:rsidRPr="00221992">
        <w:rPr>
          <w:lang w:val="en-GB"/>
        </w:rPr>
        <w:t>, the</w:t>
      </w:r>
      <w:r w:rsidR="00D75B5D" w:rsidRPr="00221992">
        <w:rPr>
          <w:lang w:val="en-GB"/>
        </w:rPr>
        <w:t>ir</w:t>
      </w:r>
      <w:r w:rsidRPr="00221992">
        <w:rPr>
          <w:lang w:val="en-GB"/>
        </w:rPr>
        <w:t xml:space="preserve"> utilisation </w:t>
      </w:r>
      <w:r w:rsidR="2EC03AD1" w:rsidRPr="00221992">
        <w:rPr>
          <w:lang w:val="en-GB"/>
        </w:rPr>
        <w:t>compared to financial MEA</w:t>
      </w:r>
      <w:r w:rsidR="004908BD">
        <w:rPr>
          <w:lang w:val="en-GB"/>
        </w:rPr>
        <w:t>s</w:t>
      </w:r>
      <w:r w:rsidR="2EC03AD1" w:rsidRPr="00221992">
        <w:rPr>
          <w:lang w:val="en-GB"/>
        </w:rPr>
        <w:t xml:space="preserve"> </w:t>
      </w:r>
      <w:r w:rsidRPr="00221992">
        <w:rPr>
          <w:lang w:val="en-GB"/>
        </w:rPr>
        <w:t xml:space="preserve">remains relatively low </w:t>
      </w:r>
      <w:r w:rsidRPr="00221992">
        <w:rPr>
          <w:lang w:val="en-GB"/>
        </w:rPr>
        <w:fldChar w:fldCharType="begin">
          <w:fldData xml:space="preserve">PEVuZE5vdGU+PENpdGU+PEF1dGhvcj5UaG9tcHNvbjwvQXV0aG9yPjxZZWFyPjIwMTY8L1llYXI+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=
</w:fldData>
        </w:fldChar>
      </w:r>
      <w:r w:rsidR="00E5265C">
        <w:rPr>
          <w:lang w:val="en-GB"/>
        </w:rPr>
        <w:instrText xml:space="preserve"> ADDIN EN.CITE </w:instrText>
      </w:r>
      <w:r w:rsidR="00E5265C">
        <w:rPr>
          <w:lang w:val="en-GB"/>
        </w:rPr>
        <w:fldChar w:fldCharType="begin">
          <w:fldData xml:space="preserve">PEVuZE5vdGU+PENpdGU+PEF1dGhvcj5UaG9tcHNvbjwvQXV0aG9yPjxZZWFyPjIwMTY8L1llYXI+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=
</w:fldData>
        </w:fldChar>
      </w:r>
      <w:r w:rsidR="00E5265C">
        <w:rPr>
          <w:lang w:val="en-GB"/>
        </w:rPr>
        <w:instrText xml:space="preserve"> ADDIN EN.CITE.DATA </w:instrText>
      </w:r>
      <w:r w:rsidR="00E5265C">
        <w:rPr>
          <w:lang w:val="en-GB"/>
        </w:rPr>
      </w:r>
      <w:r w:rsidR="00E5265C">
        <w:rPr>
          <w:lang w:val="en-GB"/>
        </w:rPr>
        <w:fldChar w:fldCharType="end"/>
      </w:r>
      <w:r w:rsidRPr="00221992">
        <w:rPr>
          <w:lang w:val="en-GB"/>
        </w:rPr>
      </w:r>
      <w:r w:rsidRPr="00221992">
        <w:rPr>
          <w:lang w:val="en-GB"/>
        </w:rPr>
        <w:fldChar w:fldCharType="separate"/>
      </w:r>
      <w:r w:rsidR="00E5265C">
        <w:rPr>
          <w:noProof/>
          <w:lang w:val="en-GB"/>
        </w:rPr>
        <w:t>[191-192, 196-198]</w:t>
      </w:r>
      <w:r w:rsidRPr="00221992">
        <w:rPr>
          <w:lang w:val="en-GB"/>
        </w:rPr>
        <w:fldChar w:fldCharType="end"/>
      </w:r>
      <w:r w:rsidRPr="00221992">
        <w:rPr>
          <w:lang w:val="en-GB"/>
        </w:rPr>
        <w:t>.</w:t>
      </w:r>
      <w:r w:rsidRPr="00221992">
        <w:rPr>
          <w:vertAlign w:val="superscript"/>
          <w:lang w:val="en-GB"/>
        </w:rPr>
        <w:footnoteReference w:id="11"/>
      </w:r>
      <w:r w:rsidRPr="00221992">
        <w:rPr>
          <w:lang w:val="en-GB"/>
        </w:rPr>
        <w:t xml:space="preserve"> An exception to this trend </w:t>
      </w:r>
      <w:r w:rsidR="00D75B5D" w:rsidRPr="00221992">
        <w:rPr>
          <w:lang w:val="en-GB"/>
        </w:rPr>
        <w:t>may be</w:t>
      </w:r>
      <w:r w:rsidRPr="00221992">
        <w:rPr>
          <w:lang w:val="en-GB"/>
        </w:rPr>
        <w:t xml:space="preserve"> observed in England/Wales (NICE), where </w:t>
      </w:r>
      <w:r w:rsidR="00D75B5D" w:rsidRPr="00221992">
        <w:rPr>
          <w:lang w:val="en-GB"/>
        </w:rPr>
        <w:t xml:space="preserve">OECD </w:t>
      </w:r>
      <w:r w:rsidRPr="00221992">
        <w:rPr>
          <w:lang w:val="en-GB"/>
        </w:rPr>
        <w:t xml:space="preserve">survey responses and publicly available information indicated that around 27 of 104 product/indication pairs (26%) were governed by performance-based MEAs, constituting 44% of all product/indication pairs with MEAs in the country </w:t>
      </w:r>
      <w:r w:rsidRPr="00221992">
        <w:rPr>
          <w:lang w:val="en-GB"/>
        </w:rPr>
        <w:fldChar w:fldCharType="begin"/>
      </w:r>
      <w:r w:rsidR="005A67DD" w:rsidRPr="00221992">
        <w:rPr>
          <w:lang w:val="en-GB"/>
        </w:rPr>
        <w:instrText xml:space="preserve"> ADDIN EN.CITE &lt;EndNote&gt;&lt;Cite&gt;&lt;Author&gt;Wenzl M&lt;/Author&gt;&lt;Year&gt;2019&lt;/Year&gt;&lt;RecNum&gt;477&lt;/RecNum&gt;&lt;DisplayText&gt;[6]&lt;/DisplayText&gt;&lt;record&gt;&lt;rec-number&gt;477&lt;/rec-number&gt;&lt;foreign-keys&gt;&lt;key app="EN" db-id="wzwwsfxe4peesxef95cxvrwjxts9rreasarf" timestamp="1692654671"&gt;477&lt;/key&gt;&lt;/foreign-keys&gt;&lt;ref-type name="Book Section"&gt;5&lt;/ref-type&gt;&lt;contributors&gt;&lt;authors&gt;&lt;author&gt;Wenzl M,&lt;/author&gt;&lt;author&gt;Chapman S.&lt;/author&gt;&lt;/authors&gt;&lt;/contributors&gt;&lt;titles&gt;&lt;title&gt;Performance-Based Managed Entry Agreements For New Medicines in OECD Countries and EU Member States: How They Work and Possible Improvements Going Forward.&lt;/title&gt;&lt;secondary-title&gt;OECD Health Working Papers,&lt;/secondary-title&gt;&lt;/titles&gt;&lt;volume&gt;No. 115&lt;/volume&gt;&lt;dates&gt;&lt;year&gt;2019&lt;/year&gt;&lt;/dates&gt;&lt;pub-location&gt;Paris&lt;/pub-location&gt;&lt;publisher&gt;OECD Publishing&lt;/publisher&gt;&lt;urls&gt;&lt;related-urls&gt;&lt;url&gt;https://www.oecd-ilibrary.org/content/paper/6e5e4c0f-en&lt;/url&gt;&lt;/related-urls&gt;&lt;/urls&gt;&lt;electronic-resource-num&gt;doi:https://doi.org/10.1787/6e5e4c0f-en&lt;/electronic-resource-num&gt;&lt;/record&gt;&lt;/Cite&gt;&lt;/EndNote&gt;</w:instrText>
      </w:r>
      <w:r w:rsidRPr="00221992">
        <w:rPr>
          <w:lang w:val="en-GB"/>
        </w:rPr>
        <w:fldChar w:fldCharType="separate"/>
      </w:r>
      <w:r w:rsidR="005A67DD" w:rsidRPr="00221992">
        <w:rPr>
          <w:noProof/>
          <w:lang w:val="en-GB"/>
        </w:rPr>
        <w:t>[6]</w:t>
      </w:r>
      <w:r w:rsidRPr="00221992">
        <w:rPr>
          <w:lang w:val="en-GB"/>
        </w:rPr>
        <w:fldChar w:fldCharType="end"/>
      </w:r>
      <w:r w:rsidRPr="00221992">
        <w:rPr>
          <w:lang w:val="en-GB"/>
        </w:rPr>
        <w:t xml:space="preserve">. </w:t>
      </w:r>
      <w:r w:rsidR="00D75B5D" w:rsidRPr="00221992">
        <w:rPr>
          <w:lang w:val="en-GB"/>
        </w:rPr>
        <w:t>MEAs utilising</w:t>
      </w:r>
      <w:r w:rsidR="000C3C07" w:rsidRPr="00221992">
        <w:rPr>
          <w:lang w:val="en-GB"/>
        </w:rPr>
        <w:t xml:space="preserve"> </w:t>
      </w:r>
      <w:r w:rsidR="00552C85" w:rsidRPr="00221992">
        <w:rPr>
          <w:lang w:val="en-GB"/>
        </w:rPr>
        <w:t>coverage with evidence development</w:t>
      </w:r>
      <w:r w:rsidR="00D75B5D" w:rsidRPr="00221992">
        <w:rPr>
          <w:lang w:val="en-GB"/>
        </w:rPr>
        <w:t xml:space="preserve"> (CED) (i.e., </w:t>
      </w:r>
      <w:r w:rsidR="000C3C07" w:rsidRPr="00221992">
        <w:rPr>
          <w:lang w:val="en-GB"/>
        </w:rPr>
        <w:t>the payer provides temporary coverage while additional evidence is generated</w:t>
      </w:r>
      <w:r w:rsidR="00D75B5D" w:rsidRPr="00221992">
        <w:rPr>
          <w:lang w:val="en-GB"/>
        </w:rPr>
        <w:t>)</w:t>
      </w:r>
      <w:r w:rsidR="000C3C07" w:rsidRPr="00221992">
        <w:rPr>
          <w:lang w:val="en-GB"/>
        </w:rPr>
        <w:t>,</w:t>
      </w:r>
      <w:r w:rsidR="00552C85" w:rsidRPr="00221992">
        <w:rPr>
          <w:lang w:val="en-GB"/>
        </w:rPr>
        <w:t xml:space="preserve"> </w:t>
      </w:r>
      <w:r w:rsidR="00D75B5D" w:rsidRPr="00221992">
        <w:rPr>
          <w:lang w:val="en-GB"/>
        </w:rPr>
        <w:t>are</w:t>
      </w:r>
      <w:r w:rsidR="00552C85" w:rsidRPr="00221992">
        <w:rPr>
          <w:lang w:val="en-GB"/>
        </w:rPr>
        <w:t xml:space="preserve"> expected to become increasingly </w:t>
      </w:r>
      <w:r w:rsidR="009F0F22" w:rsidRPr="00221992">
        <w:rPr>
          <w:lang w:val="en-GB"/>
        </w:rPr>
        <w:t>prominent</w:t>
      </w:r>
      <w:r w:rsidR="00552C85" w:rsidRPr="00221992">
        <w:rPr>
          <w:lang w:val="en-GB"/>
        </w:rPr>
        <w:t xml:space="preserve"> for </w:t>
      </w:r>
      <w:r w:rsidR="009F0F22" w:rsidRPr="00221992">
        <w:rPr>
          <w:lang w:val="en-GB"/>
        </w:rPr>
        <w:t>emerging</w:t>
      </w:r>
      <w:r w:rsidR="00552C85" w:rsidRPr="00221992">
        <w:rPr>
          <w:lang w:val="en-GB"/>
        </w:rPr>
        <w:t xml:space="preserve"> gene and targeted therapies</w:t>
      </w:r>
      <w:r w:rsidR="000C3C07" w:rsidRPr="00221992">
        <w:rPr>
          <w:lang w:val="en-GB"/>
        </w:rPr>
        <w:t xml:space="preserve"> </w:t>
      </w:r>
      <w:r w:rsidR="009F0F22" w:rsidRPr="00221992">
        <w:rPr>
          <w:lang w:val="en-GB"/>
        </w:rPr>
        <w:t>that</w:t>
      </w:r>
      <w:r w:rsidR="000C3C07" w:rsidRPr="00221992">
        <w:rPr>
          <w:lang w:val="en-GB"/>
        </w:rPr>
        <w:t xml:space="preserve"> have limited evidence at the time of listing </w:t>
      </w:r>
      <w:r w:rsidR="00653F87" w:rsidRPr="00221992">
        <w:rPr>
          <w:lang w:val="en-GB"/>
        </w:rPr>
        <w:fldChar w:fldCharType="begin"/>
      </w:r>
      <w:r w:rsidR="00E5265C">
        <w:rPr>
          <w:lang w:val="en-GB"/>
        </w:rPr>
        <w:instrText xml:space="preserve"> ADDIN EN.CITE &lt;EndNote&gt;&lt;Cite&gt;&lt;Author&gt;Koleva-Kolarova&lt;/Author&gt;&lt;Year&gt;2022&lt;/Year&gt;&lt;RecNum&gt;269&lt;/RecNum&gt;&lt;DisplayText&gt;[199]&lt;/DisplayText&gt;&lt;record&gt;&lt;rec-number&gt;269&lt;/rec-number&gt;&lt;foreign-keys&gt;&lt;key app="EN" db-id="wzwwsfxe4peesxef95cxvrwjxts9rreasarf" timestamp="1692654670"&gt;269&lt;/key&gt;&lt;/foreign-keys&gt;&lt;ref-type name="Journal Article"&gt;17&lt;/ref-type&gt;&lt;contributors&gt;&lt;authors&gt;&lt;author&gt;Koleva-Kolarova, R.&lt;/author&gt;&lt;author&gt;Buchanan, J.&lt;/author&gt;&lt;author&gt;Vellekoop, H.&lt;/author&gt;&lt;author&gt;Huygens, S.&lt;/author&gt;&lt;author&gt;Versteegh, M.&lt;/author&gt;&lt;author&gt;Mölken, MRv&lt;/author&gt;&lt;author&gt;Szilberhorn, L.&lt;/author&gt;&lt;author&gt;Zelei, T.&lt;/author&gt;&lt;author&gt;Nagy, B.&lt;/author&gt;&lt;author&gt;Wordsworth, S.&lt;/author&gt;&lt;author&gt;Tsiachristas, A.&lt;/author&gt;&lt;/authors&gt;&lt;/contributors&gt;&lt;auth-address&gt;grid.4991.50000 0004 1936 8948Health Economics Research Centre, University of Oxford, Oxford, UK&amp;#xD;grid.6906.90000000092621349Institute for Medical Technology Assessment, Erasmus University Rotterdam, P.O. Box 1738, 3000 DR Rotterdam, The Netherlands&amp;#xD;Syreon Research Institute, Budapest, Hungary&lt;/auth-address&gt;&lt;titles&gt;&lt;title&gt;Financing and Reimbursement Models for Personalised Medicine: A Systematic Review to Identify Current Models and Future Options&lt;/title&gt;&lt;secondary-title&gt;Appl Health Econ Health Policy&lt;/secondary-title&gt;&lt;/titles&gt;&lt;periodical&gt;&lt;full-title&gt;Appl Health Econ Health Policy&lt;/full-title&gt;&lt;/periodical&gt;&lt;pages&gt;501-24&lt;/pages&gt;&lt;volume&gt;20&lt;/volume&gt;&lt;number&gt;4&lt;/number&gt;&lt;edition&gt;20220404&lt;/edition&gt;&lt;dates&gt;&lt;year&gt;2022&lt;/year&gt;&lt;/dates&gt;&lt;isbn&gt;1175-5652 (Print)&lt;/isbn&gt;&lt;accession-num&gt;35368231&lt;/accession-num&gt;&lt;urls&gt;&lt;related-urls&gt;&lt;url&gt;https://link.springer.com/content/pdf/10.1007/s40258-021-00714-9.pdf&lt;/url&gt;&lt;/related-urls&gt;&lt;/urls&gt;&lt;custom2&gt;PMC9206925&lt;/custom2&gt;&lt;electronic-resource-num&gt;10.1007/s40258-021-00714-9&lt;/electronic-resource-num&gt;&lt;language&gt;eng&lt;/language&gt;&lt;/record&gt;&lt;/Cite&gt;&lt;/EndNote&gt;</w:instrText>
      </w:r>
      <w:r w:rsidR="00653F87" w:rsidRPr="00221992">
        <w:rPr>
          <w:lang w:val="en-GB"/>
        </w:rPr>
        <w:fldChar w:fldCharType="separate"/>
      </w:r>
      <w:r w:rsidR="00E5265C">
        <w:rPr>
          <w:noProof/>
          <w:lang w:val="en-GB"/>
        </w:rPr>
        <w:t>[199]</w:t>
      </w:r>
      <w:r w:rsidR="00653F87" w:rsidRPr="00221992">
        <w:rPr>
          <w:lang w:val="en-GB"/>
        </w:rPr>
        <w:fldChar w:fldCharType="end"/>
      </w:r>
      <w:r w:rsidR="00552C85" w:rsidRPr="00221992">
        <w:rPr>
          <w:lang w:val="en-GB"/>
        </w:rPr>
        <w:t>.</w:t>
      </w:r>
    </w:p>
    <w:p w14:paraId="606E2B89" w14:textId="05DFC485" w:rsidR="319262FD" w:rsidRPr="00221992" w:rsidRDefault="00386DE7" w:rsidP="13AB6D08">
      <w:pPr>
        <w:rPr>
          <w:lang w:val="en-GB"/>
        </w:rPr>
      </w:pPr>
      <w:r w:rsidRPr="00221992">
        <w:rPr>
          <w:lang w:val="en-GB"/>
        </w:rPr>
        <w:fldChar w:fldCharType="begin"/>
      </w:r>
      <w:r>
        <w:instrText xml:space="preserve"> REF _Ref144119884 \h </w:instrText>
      </w:r>
      <w:r w:rsidRPr="00221992">
        <w:rPr>
          <w:lang w:val="en-GB"/>
        </w:rPr>
      </w:r>
      <w:r w:rsidRPr="00221992">
        <w:rPr>
          <w:lang w:val="en-GB"/>
        </w:rPr>
        <w:fldChar w:fldCharType="separate"/>
      </w:r>
      <w:r w:rsidR="000E11E7" w:rsidRPr="00221992">
        <w:rPr>
          <w:lang w:val="en-GB"/>
        </w:rPr>
        <w:t xml:space="preserve">Table </w:t>
      </w:r>
      <w:r w:rsidR="000E11E7">
        <w:rPr>
          <w:noProof/>
        </w:rPr>
        <w:t>19</w:t>
      </w:r>
      <w:r w:rsidRPr="00221992">
        <w:rPr>
          <w:lang w:val="en-GB"/>
        </w:rPr>
        <w:fldChar w:fldCharType="end"/>
      </w:r>
      <w:r w:rsidR="319262FD" w:rsidRPr="00221992">
        <w:rPr>
          <w:lang w:val="en-GB"/>
        </w:rPr>
        <w:t xml:space="preserve"> summarises </w:t>
      </w:r>
      <w:r w:rsidR="5A197602" w:rsidRPr="00221992">
        <w:rPr>
          <w:lang w:val="en-GB"/>
        </w:rPr>
        <w:t xml:space="preserve">the use of </w:t>
      </w:r>
      <w:r w:rsidR="00C96DBE">
        <w:rPr>
          <w:lang w:val="en-GB"/>
        </w:rPr>
        <w:t>financial</w:t>
      </w:r>
      <w:r w:rsidR="5A197602" w:rsidRPr="00221992">
        <w:rPr>
          <w:lang w:val="en-GB"/>
        </w:rPr>
        <w:t xml:space="preserve"> MEAs</w:t>
      </w:r>
      <w:r w:rsidR="005DAFE0" w:rsidRPr="00221992">
        <w:rPr>
          <w:lang w:val="en-GB"/>
        </w:rPr>
        <w:t xml:space="preserve"> in Australia and</w:t>
      </w:r>
      <w:r w:rsidR="5A197602" w:rsidRPr="00221992">
        <w:rPr>
          <w:lang w:val="en-GB"/>
        </w:rPr>
        <w:t xml:space="preserve"> internationally. Ticks denoted in yellow </w:t>
      </w:r>
      <w:r w:rsidR="079CC614" w:rsidRPr="00221992">
        <w:rPr>
          <w:lang w:val="en-GB"/>
        </w:rPr>
        <w:t>are sourced from the 2019 OECD review. Ticks denoted in grey are sourced from other published literature</w:t>
      </w:r>
      <w:r w:rsidR="522363B6" w:rsidRPr="00221992">
        <w:rPr>
          <w:lang w:val="en-GB"/>
        </w:rPr>
        <w:t xml:space="preserve"> and expert interviews conducted as part of this review. Please refer to </w:t>
      </w:r>
      <w:r w:rsidR="006A5442" w:rsidRPr="00221992">
        <w:rPr>
          <w:lang w:val="en-GB"/>
        </w:rPr>
        <w:fldChar w:fldCharType="begin"/>
      </w:r>
      <w:r w:rsidR="006A5442">
        <w:instrText xml:space="preserve"> REF _Ref144119884 \h </w:instrText>
      </w:r>
      <w:r w:rsidR="006A5442" w:rsidRPr="00221992">
        <w:rPr>
          <w:lang w:val="en-GB"/>
        </w:rPr>
      </w:r>
      <w:r w:rsidR="006A5442" w:rsidRPr="00221992">
        <w:rPr>
          <w:lang w:val="en-GB"/>
        </w:rPr>
        <w:fldChar w:fldCharType="separate"/>
      </w:r>
      <w:r w:rsidR="000E11E7" w:rsidRPr="00221992">
        <w:rPr>
          <w:lang w:val="en-GB"/>
        </w:rPr>
        <w:t xml:space="preserve">Table </w:t>
      </w:r>
      <w:r w:rsidR="000E11E7">
        <w:rPr>
          <w:noProof/>
        </w:rPr>
        <w:t>19</w:t>
      </w:r>
      <w:r w:rsidR="006A5442" w:rsidRPr="00221992">
        <w:rPr>
          <w:lang w:val="en-GB"/>
        </w:rPr>
        <w:fldChar w:fldCharType="end"/>
      </w:r>
      <w:r w:rsidR="006A5442" w:rsidRPr="00221992">
        <w:rPr>
          <w:lang w:val="en-GB"/>
        </w:rPr>
        <w:t xml:space="preserve"> </w:t>
      </w:r>
      <w:r w:rsidR="522363B6" w:rsidRPr="00221992">
        <w:rPr>
          <w:lang w:val="en-GB"/>
        </w:rPr>
        <w:t xml:space="preserve">notes for individual country sources. </w:t>
      </w:r>
    </w:p>
    <w:p w14:paraId="4132C702" w14:textId="27EB20C7" w:rsidR="13AB6D08" w:rsidRPr="00221992" w:rsidRDefault="004E20A2">
      <w:pPr>
        <w:pStyle w:val="Caption"/>
        <w:rPr>
          <w:lang w:val="en-GB"/>
        </w:rPr>
      </w:pPr>
      <w:bookmarkStart w:id="178" w:name="_Ref144119884"/>
      <w:bookmarkStart w:id="179" w:name="_Ref145928314"/>
      <w:bookmarkStart w:id="180" w:name="_Toc162950966"/>
      <w:r w:rsidRPr="00221992">
        <w:rPr>
          <w:lang w:val="en-GB"/>
        </w:rPr>
        <w:t xml:space="preserve">Table </w:t>
      </w:r>
      <w:r w:rsidRPr="00221992">
        <w:rPr>
          <w:lang w:val="en-GB"/>
        </w:rPr>
        <w:fldChar w:fldCharType="begin"/>
      </w:r>
      <w:r>
        <w:instrText>SEQ Table \* ARABIC</w:instrText>
      </w:r>
      <w:r w:rsidRPr="00221992">
        <w:rPr>
          <w:lang w:val="en-GB"/>
        </w:rPr>
        <w:fldChar w:fldCharType="separate"/>
      </w:r>
      <w:r w:rsidR="000E11E7">
        <w:rPr>
          <w:noProof/>
        </w:rPr>
        <w:t>19</w:t>
      </w:r>
      <w:r w:rsidRPr="00221992">
        <w:rPr>
          <w:lang w:val="en-GB"/>
        </w:rPr>
        <w:fldChar w:fldCharType="end"/>
      </w:r>
      <w:bookmarkEnd w:id="178"/>
      <w:r w:rsidRPr="00221992">
        <w:rPr>
          <w:lang w:val="en-GB"/>
        </w:rPr>
        <w:t xml:space="preserve">: </w:t>
      </w:r>
      <w:r w:rsidR="0041385E" w:rsidRPr="00221992">
        <w:rPr>
          <w:lang w:val="en-GB"/>
        </w:rPr>
        <w:t xml:space="preserve">Use of </w:t>
      </w:r>
      <w:r w:rsidR="00C96DBE">
        <w:rPr>
          <w:lang w:val="en-GB"/>
        </w:rPr>
        <w:t>financial</w:t>
      </w:r>
      <w:r w:rsidRPr="00221992">
        <w:rPr>
          <w:lang w:val="en-GB"/>
        </w:rPr>
        <w:t xml:space="preserve"> MEA</w:t>
      </w:r>
      <w:r w:rsidR="00B50B4A" w:rsidRPr="00221992">
        <w:rPr>
          <w:lang w:val="en-GB"/>
        </w:rPr>
        <w:t>s by type and country</w:t>
      </w:r>
      <w:bookmarkEnd w:id="179"/>
      <w:bookmarkEnd w:id="180"/>
    </w:p>
    <w:tbl>
      <w:tblPr>
        <w:tblStyle w:val="LinedBlueTable"/>
        <w:tblW w:w="9214" w:type="dxa"/>
        <w:tblLook w:val="04A0" w:firstRow="1" w:lastRow="0" w:firstColumn="1" w:lastColumn="0" w:noHBand="0" w:noVBand="1"/>
      </w:tblPr>
      <w:tblGrid>
        <w:gridCol w:w="2243"/>
        <w:gridCol w:w="1742"/>
        <w:gridCol w:w="1743"/>
        <w:gridCol w:w="1743"/>
        <w:gridCol w:w="1743"/>
      </w:tblGrid>
      <w:tr w:rsidR="00CC258F" w:rsidRPr="00221992" w14:paraId="77A365AB" w14:textId="77777777" w:rsidTr="00D44B8E">
        <w:trPr>
          <w:cnfStyle w:val="100000000000" w:firstRow="1" w:lastRow="0" w:firstColumn="0" w:lastColumn="0" w:oddVBand="0" w:evenVBand="0" w:oddHBand="0" w:evenHBand="0" w:firstRowFirstColumn="0" w:firstRowLastColumn="0" w:lastRowFirstColumn="0" w:lastRowLastColumn="0"/>
          <w:trHeight w:val="280"/>
        </w:trPr>
        <w:tc>
          <w:tcPr>
            <w:cnfStyle w:val="001000000000" w:firstRow="0" w:lastRow="0" w:firstColumn="1" w:lastColumn="0" w:oddVBand="0" w:evenVBand="0" w:oddHBand="0" w:evenHBand="0" w:firstRowFirstColumn="0" w:firstRowLastColumn="0" w:lastRowFirstColumn="0" w:lastRowLastColumn="0"/>
            <w:tcW w:w="2247" w:type="dxa"/>
            <w:vMerge w:val="restart"/>
            <w:shd w:val="clear" w:color="auto" w:fill="000000" w:themeFill="text1"/>
            <w:noWrap/>
            <w:hideMark/>
          </w:tcPr>
          <w:p w14:paraId="2F22EC81" w14:textId="1D94AFCB" w:rsidR="00CC258F" w:rsidRPr="0085742E" w:rsidRDefault="00D44B8E" w:rsidP="0085742E">
            <w:pPr>
              <w:keepNext/>
              <w:keepLines/>
              <w:spacing w:after="0" w:line="240" w:lineRule="auto"/>
              <w:rPr>
                <w:rFonts w:ascii="Calibri" w:eastAsia="Times New Roman" w:hAnsi="Calibri" w:cs="Calibri"/>
                <w:b/>
                <w:color w:val="000000"/>
                <w:sz w:val="20"/>
                <w:szCs w:val="20"/>
                <w:lang w:val="en-GB" w:eastAsia="en-GB"/>
              </w:rPr>
            </w:pPr>
            <w:r w:rsidRPr="0085742E">
              <w:rPr>
                <w:rFonts w:ascii="Calibri" w:eastAsia="Times New Roman" w:hAnsi="Calibri" w:cs="Calibri" w:hint="cs"/>
                <w:b/>
                <w:sz w:val="20"/>
                <w:szCs w:val="20"/>
                <w:lang w:val="en-GB" w:eastAsia="en-GB"/>
              </w:rPr>
              <w:t xml:space="preserve"> </w:t>
            </w:r>
            <w:r w:rsidR="00CC258F" w:rsidRPr="0085742E">
              <w:rPr>
                <w:rFonts w:ascii="Calibri" w:eastAsia="Times New Roman" w:hAnsi="Calibri" w:cs="Calibri" w:hint="cs"/>
                <w:b/>
                <w:sz w:val="20"/>
                <w:szCs w:val="20"/>
                <w:lang w:val="en-GB" w:eastAsia="en-GB"/>
              </w:rPr>
              <w:t>Country</w:t>
            </w:r>
          </w:p>
        </w:tc>
        <w:tc>
          <w:tcPr>
            <w:tcW w:w="3483" w:type="dxa"/>
            <w:gridSpan w:val="2"/>
            <w:shd w:val="clear" w:color="auto" w:fill="0070C0"/>
            <w:noWrap/>
            <w:hideMark/>
          </w:tcPr>
          <w:p w14:paraId="69D7CFA7" w14:textId="77777777" w:rsidR="00CC258F" w:rsidRPr="0085742E" w:rsidRDefault="00CC258F" w:rsidP="0085742E">
            <w:pPr>
              <w:keepNext/>
              <w:keepLines/>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sz w:val="20"/>
                <w:szCs w:val="20"/>
                <w:lang w:val="en-GB" w:eastAsia="en-GB"/>
              </w:rPr>
            </w:pPr>
            <w:r w:rsidRPr="0085742E">
              <w:rPr>
                <w:rFonts w:ascii="Calibri" w:eastAsia="Times New Roman" w:hAnsi="Calibri" w:cs="Calibri" w:hint="cs"/>
                <w:b/>
                <w:sz w:val="20"/>
                <w:szCs w:val="20"/>
                <w:lang w:val="en-GB" w:eastAsia="en-GB"/>
              </w:rPr>
              <w:t>Patient level</w:t>
            </w:r>
          </w:p>
        </w:tc>
        <w:tc>
          <w:tcPr>
            <w:tcW w:w="3484" w:type="dxa"/>
            <w:gridSpan w:val="2"/>
            <w:shd w:val="clear" w:color="auto" w:fill="0070C0"/>
            <w:noWrap/>
            <w:hideMark/>
          </w:tcPr>
          <w:p w14:paraId="17461BC0" w14:textId="77777777" w:rsidR="00CC258F" w:rsidRPr="0085742E" w:rsidRDefault="00CC258F" w:rsidP="0085742E">
            <w:pPr>
              <w:keepNext/>
              <w:keepLines/>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sz w:val="20"/>
                <w:szCs w:val="20"/>
                <w:lang w:val="en-GB" w:eastAsia="en-GB"/>
              </w:rPr>
            </w:pPr>
            <w:r w:rsidRPr="0085742E">
              <w:rPr>
                <w:rFonts w:ascii="Calibri" w:eastAsia="Times New Roman" w:hAnsi="Calibri" w:cs="Calibri" w:hint="cs"/>
                <w:b/>
                <w:sz w:val="20"/>
                <w:szCs w:val="20"/>
                <w:lang w:val="en-GB" w:eastAsia="en-GB"/>
              </w:rPr>
              <w:t>Population level</w:t>
            </w:r>
          </w:p>
        </w:tc>
      </w:tr>
      <w:tr w:rsidR="00CC258F" w:rsidRPr="00221992" w14:paraId="3D1209FB" w14:textId="77777777" w:rsidTr="00D44B8E">
        <w:trPr>
          <w:trHeight w:val="760"/>
        </w:trPr>
        <w:tc>
          <w:tcPr>
            <w:cnfStyle w:val="001000000000" w:firstRow="0" w:lastRow="0" w:firstColumn="1" w:lastColumn="0" w:oddVBand="0" w:evenVBand="0" w:oddHBand="0" w:evenHBand="0" w:firstRowFirstColumn="0" w:firstRowLastColumn="0" w:lastRowFirstColumn="0" w:lastRowLastColumn="0"/>
            <w:tcW w:w="2247" w:type="dxa"/>
            <w:vMerge/>
            <w:shd w:val="clear" w:color="auto" w:fill="000000" w:themeFill="text1"/>
            <w:hideMark/>
          </w:tcPr>
          <w:p w14:paraId="528057EB" w14:textId="77777777" w:rsidR="00CC258F" w:rsidRPr="0085742E" w:rsidRDefault="00CC258F" w:rsidP="0085742E">
            <w:pPr>
              <w:keepNext/>
              <w:keepLines/>
              <w:spacing w:after="0" w:line="240" w:lineRule="auto"/>
              <w:rPr>
                <w:rFonts w:ascii="Calibri" w:eastAsia="Times New Roman" w:hAnsi="Calibri" w:cs="Calibri"/>
                <w:b/>
                <w:color w:val="000000"/>
                <w:sz w:val="20"/>
                <w:szCs w:val="20"/>
                <w:lang w:val="en-GB" w:eastAsia="en-GB"/>
              </w:rPr>
            </w:pPr>
          </w:p>
        </w:tc>
        <w:tc>
          <w:tcPr>
            <w:tcW w:w="1741" w:type="dxa"/>
            <w:shd w:val="clear" w:color="auto" w:fill="0070C0"/>
            <w:hideMark/>
          </w:tcPr>
          <w:p w14:paraId="20B9A385" w14:textId="77777777" w:rsidR="00CC258F" w:rsidRPr="0085742E" w:rsidRDefault="00CC258F" w:rsidP="0085742E">
            <w:pPr>
              <w:keepNext/>
              <w:keepLines/>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color w:val="FFFFFF" w:themeColor="background1"/>
                <w:sz w:val="20"/>
                <w:szCs w:val="20"/>
                <w:lang w:val="en-GB" w:eastAsia="en-GB"/>
              </w:rPr>
            </w:pPr>
            <w:r w:rsidRPr="0085742E">
              <w:rPr>
                <w:rFonts w:ascii="Calibri" w:eastAsia="Times New Roman" w:hAnsi="Calibri" w:cs="Calibri" w:hint="cs"/>
                <w:b/>
                <w:color w:val="FFFFFF" w:themeColor="background1"/>
                <w:sz w:val="20"/>
                <w:szCs w:val="20"/>
                <w:lang w:val="en-GB" w:eastAsia="en-GB"/>
              </w:rPr>
              <w:t>Risk sharing/ cost sharing/discounts</w:t>
            </w:r>
          </w:p>
        </w:tc>
        <w:tc>
          <w:tcPr>
            <w:tcW w:w="1742" w:type="dxa"/>
            <w:shd w:val="clear" w:color="auto" w:fill="0070C0"/>
            <w:hideMark/>
          </w:tcPr>
          <w:p w14:paraId="0CC2F44B" w14:textId="77777777" w:rsidR="00CC258F" w:rsidRPr="0085742E" w:rsidRDefault="00CC258F" w:rsidP="0085742E">
            <w:pPr>
              <w:keepNext/>
              <w:keepLines/>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color w:val="FFFFFF" w:themeColor="background1"/>
                <w:sz w:val="20"/>
                <w:szCs w:val="20"/>
                <w:lang w:val="en-GB" w:eastAsia="en-GB"/>
              </w:rPr>
            </w:pPr>
            <w:r w:rsidRPr="0085742E">
              <w:rPr>
                <w:rFonts w:ascii="Calibri" w:eastAsia="Times New Roman" w:hAnsi="Calibri" w:cs="Calibri" w:hint="cs"/>
                <w:b/>
                <w:color w:val="FFFFFF" w:themeColor="background1"/>
                <w:sz w:val="20"/>
                <w:szCs w:val="20"/>
                <w:lang w:val="en-GB" w:eastAsia="en-GB"/>
              </w:rPr>
              <w:t xml:space="preserve">Cost capping/free treatment </w:t>
            </w:r>
          </w:p>
        </w:tc>
        <w:tc>
          <w:tcPr>
            <w:tcW w:w="1742" w:type="dxa"/>
            <w:shd w:val="clear" w:color="auto" w:fill="0070C0"/>
            <w:hideMark/>
          </w:tcPr>
          <w:p w14:paraId="2E22A5F5" w14:textId="77777777" w:rsidR="00CC258F" w:rsidRPr="0085742E" w:rsidRDefault="00CC258F" w:rsidP="0085742E">
            <w:pPr>
              <w:keepNext/>
              <w:keepLines/>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color w:val="FFFFFF" w:themeColor="background1"/>
                <w:sz w:val="20"/>
                <w:szCs w:val="20"/>
                <w:lang w:val="en-GB" w:eastAsia="en-GB"/>
              </w:rPr>
            </w:pPr>
            <w:r w:rsidRPr="0085742E">
              <w:rPr>
                <w:rFonts w:ascii="Calibri" w:eastAsia="Times New Roman" w:hAnsi="Calibri" w:cs="Calibri" w:hint="cs"/>
                <w:b/>
                <w:color w:val="FFFFFF" w:themeColor="background1"/>
                <w:sz w:val="20"/>
                <w:szCs w:val="20"/>
                <w:lang w:val="en-GB" w:eastAsia="en-GB"/>
              </w:rPr>
              <w:t>Product specific expenditure ceilings</w:t>
            </w:r>
          </w:p>
        </w:tc>
        <w:tc>
          <w:tcPr>
            <w:tcW w:w="1742" w:type="dxa"/>
            <w:shd w:val="clear" w:color="auto" w:fill="0070C0"/>
            <w:hideMark/>
          </w:tcPr>
          <w:p w14:paraId="02457123" w14:textId="77777777" w:rsidR="00CC258F" w:rsidRPr="0085742E" w:rsidRDefault="00CC258F" w:rsidP="0085742E">
            <w:pPr>
              <w:keepNext/>
              <w:keepLines/>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color w:val="FFFFFF" w:themeColor="background1"/>
                <w:sz w:val="20"/>
                <w:szCs w:val="20"/>
                <w:lang w:val="en-GB" w:eastAsia="en-GB"/>
              </w:rPr>
            </w:pPr>
            <w:r w:rsidRPr="0085742E">
              <w:rPr>
                <w:rFonts w:ascii="Calibri" w:eastAsia="Times New Roman" w:hAnsi="Calibri" w:cs="Calibri" w:hint="cs"/>
                <w:b/>
                <w:color w:val="FFFFFF" w:themeColor="background1"/>
                <w:sz w:val="20"/>
                <w:szCs w:val="20"/>
                <w:lang w:val="en-GB" w:eastAsia="en-GB"/>
              </w:rPr>
              <w:t xml:space="preserve">Price volume agreements </w:t>
            </w:r>
          </w:p>
        </w:tc>
      </w:tr>
      <w:tr w:rsidR="00CC258F" w:rsidRPr="00221992" w14:paraId="7F368A71" w14:textId="77777777" w:rsidTr="00D44B8E">
        <w:trPr>
          <w:cnfStyle w:val="000000010000" w:firstRow="0" w:lastRow="0" w:firstColumn="0" w:lastColumn="0" w:oddVBand="0" w:evenVBand="0" w:oddHBand="0" w:evenHBand="1"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247" w:type="dxa"/>
            <w:shd w:val="clear" w:color="auto" w:fill="0070C0"/>
            <w:noWrap/>
            <w:hideMark/>
          </w:tcPr>
          <w:p w14:paraId="7815B9D9" w14:textId="0880B5E0" w:rsidR="00CC258F" w:rsidRPr="00221992" w:rsidRDefault="00CC258F" w:rsidP="0085742E">
            <w:pPr>
              <w:keepNext/>
              <w:keepLines/>
              <w:spacing w:after="0" w:line="240" w:lineRule="auto"/>
              <w:rPr>
                <w:rFonts w:eastAsia="Times New Roman" w:cs="Calibri Light"/>
                <w:sz w:val="20"/>
                <w:szCs w:val="20"/>
                <w:lang w:val="en-GB" w:eastAsia="en-GB"/>
              </w:rPr>
            </w:pPr>
            <w:r w:rsidRPr="00221992">
              <w:rPr>
                <w:rFonts w:eastAsia="Times New Roman" w:cs="Calibri Light"/>
                <w:sz w:val="20"/>
                <w:szCs w:val="20"/>
                <w:lang w:val="en-GB" w:eastAsia="en-GB"/>
              </w:rPr>
              <w:t>Australia</w:t>
            </w:r>
            <w:r w:rsidR="003B4F63" w:rsidRPr="00221992">
              <w:rPr>
                <w:rFonts w:eastAsia="Times New Roman" w:cs="Calibri Light"/>
                <w:sz w:val="20"/>
                <w:szCs w:val="20"/>
                <w:vertAlign w:val="superscript"/>
                <w:lang w:val="en-GB" w:eastAsia="en-GB"/>
              </w:rPr>
              <w:t>1</w:t>
            </w:r>
          </w:p>
        </w:tc>
        <w:tc>
          <w:tcPr>
            <w:tcW w:w="1741" w:type="dxa"/>
            <w:noWrap/>
            <w:hideMark/>
          </w:tcPr>
          <w:p w14:paraId="7487BE9A" w14:textId="54449620" w:rsidR="00CC258F" w:rsidRPr="00221992" w:rsidRDefault="007B4134" w:rsidP="0085742E">
            <w:pPr>
              <w:keepNext/>
              <w:keepLines/>
              <w:spacing w:after="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Calibri Light"/>
                <w:color w:val="FF0000"/>
                <w:sz w:val="20"/>
                <w:szCs w:val="20"/>
                <w:lang w:val="en-GB" w:eastAsia="en-GB"/>
              </w:rPr>
            </w:pPr>
            <w:r w:rsidRPr="00221992">
              <w:rPr>
                <w:rFonts w:ascii="Wingdings" w:eastAsia="Wingdings" w:hAnsi="Wingdings" w:cs="Wingdings"/>
                <w:color w:val="7F7F7F" w:themeColor="text1" w:themeTint="80"/>
                <w:sz w:val="20"/>
                <w:szCs w:val="20"/>
                <w:lang w:val="en-GB"/>
              </w:rPr>
              <w:t>þ</w:t>
            </w:r>
          </w:p>
        </w:tc>
        <w:tc>
          <w:tcPr>
            <w:tcW w:w="1742" w:type="dxa"/>
            <w:noWrap/>
            <w:hideMark/>
          </w:tcPr>
          <w:p w14:paraId="16A8150E" w14:textId="7DEE4808" w:rsidR="00CC258F" w:rsidRPr="00221992" w:rsidRDefault="007B4134" w:rsidP="0085742E">
            <w:pPr>
              <w:keepNext/>
              <w:keepLines/>
              <w:spacing w:after="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Calibri Light"/>
                <w:color w:val="FF0000"/>
                <w:sz w:val="20"/>
                <w:szCs w:val="20"/>
                <w:lang w:val="en-GB" w:eastAsia="en-GB"/>
              </w:rPr>
            </w:pPr>
            <w:r w:rsidRPr="00221992">
              <w:rPr>
                <w:rFonts w:ascii="Wingdings" w:eastAsia="Wingdings" w:hAnsi="Wingdings" w:cs="Wingdings"/>
                <w:color w:val="7F7F7F" w:themeColor="text1" w:themeTint="80"/>
                <w:sz w:val="20"/>
                <w:szCs w:val="20"/>
                <w:lang w:val="en-GB"/>
              </w:rPr>
              <w:t>þ</w:t>
            </w:r>
          </w:p>
        </w:tc>
        <w:tc>
          <w:tcPr>
            <w:tcW w:w="1742" w:type="dxa"/>
            <w:noWrap/>
            <w:hideMark/>
          </w:tcPr>
          <w:p w14:paraId="493C7E58" w14:textId="79E81C56" w:rsidR="00CC258F" w:rsidRPr="00221992" w:rsidRDefault="00583BF7" w:rsidP="0085742E">
            <w:pPr>
              <w:keepNext/>
              <w:keepLines/>
              <w:spacing w:after="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Calibri Light"/>
                <w:color w:val="000000"/>
                <w:sz w:val="20"/>
                <w:szCs w:val="20"/>
                <w:lang w:val="en-GB" w:eastAsia="en-GB"/>
              </w:rPr>
            </w:pPr>
            <w:r w:rsidRPr="00221992">
              <w:rPr>
                <w:rFonts w:ascii="Wingdings" w:eastAsia="Wingdings" w:hAnsi="Wingdings" w:cs="Wingdings"/>
                <w:color w:val="FFC000"/>
                <w:sz w:val="20"/>
                <w:szCs w:val="20"/>
                <w:lang w:val="en-GB"/>
              </w:rPr>
              <w:t>þ</w:t>
            </w:r>
          </w:p>
        </w:tc>
        <w:tc>
          <w:tcPr>
            <w:tcW w:w="1742" w:type="dxa"/>
            <w:noWrap/>
            <w:hideMark/>
          </w:tcPr>
          <w:p w14:paraId="30C7E204" w14:textId="2600ED56" w:rsidR="00CC258F" w:rsidRPr="00221992" w:rsidRDefault="007B4134" w:rsidP="0085742E">
            <w:pPr>
              <w:keepNext/>
              <w:keepLines/>
              <w:spacing w:after="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Calibri Light"/>
                <w:color w:val="FF0000"/>
                <w:sz w:val="20"/>
                <w:szCs w:val="20"/>
                <w:lang w:val="en-GB" w:eastAsia="en-GB"/>
              </w:rPr>
            </w:pPr>
            <w:r w:rsidRPr="00221992">
              <w:rPr>
                <w:rFonts w:ascii="Wingdings" w:eastAsia="Wingdings" w:hAnsi="Wingdings" w:cs="Wingdings"/>
                <w:color w:val="7F7F7F" w:themeColor="text1" w:themeTint="80"/>
                <w:sz w:val="20"/>
                <w:szCs w:val="20"/>
                <w:lang w:val="en-GB"/>
              </w:rPr>
              <w:t>þ</w:t>
            </w:r>
          </w:p>
        </w:tc>
      </w:tr>
      <w:tr w:rsidR="00CC258F" w:rsidRPr="00221992" w14:paraId="538E0AEA" w14:textId="77777777" w:rsidTr="00D44B8E">
        <w:trPr>
          <w:trHeight w:val="300"/>
        </w:trPr>
        <w:tc>
          <w:tcPr>
            <w:cnfStyle w:val="001000000000" w:firstRow="0" w:lastRow="0" w:firstColumn="1" w:lastColumn="0" w:oddVBand="0" w:evenVBand="0" w:oddHBand="0" w:evenHBand="0" w:firstRowFirstColumn="0" w:firstRowLastColumn="0" w:lastRowFirstColumn="0" w:lastRowLastColumn="0"/>
            <w:tcW w:w="2247" w:type="dxa"/>
            <w:shd w:val="clear" w:color="auto" w:fill="0070C0"/>
            <w:noWrap/>
            <w:hideMark/>
          </w:tcPr>
          <w:p w14:paraId="6A6A0CD4" w14:textId="1B70B23B" w:rsidR="00CC258F" w:rsidRPr="00221992" w:rsidRDefault="00CC258F" w:rsidP="0085742E">
            <w:pPr>
              <w:keepNext/>
              <w:keepLines/>
              <w:spacing w:after="0" w:line="240" w:lineRule="auto"/>
              <w:rPr>
                <w:rFonts w:eastAsia="Times New Roman" w:cs="Calibri Light"/>
                <w:sz w:val="20"/>
                <w:szCs w:val="20"/>
                <w:lang w:val="en-GB" w:eastAsia="en-GB"/>
              </w:rPr>
            </w:pPr>
            <w:r w:rsidRPr="00221992">
              <w:rPr>
                <w:rFonts w:eastAsia="Times New Roman" w:cs="Calibri Light"/>
                <w:sz w:val="20"/>
                <w:szCs w:val="20"/>
                <w:lang w:val="en-GB" w:eastAsia="en-GB"/>
              </w:rPr>
              <w:t>Belgium</w:t>
            </w:r>
            <w:r w:rsidR="003B4F63" w:rsidRPr="00221992">
              <w:rPr>
                <w:rFonts w:eastAsia="Times New Roman" w:cs="Calibri Light"/>
                <w:sz w:val="20"/>
                <w:szCs w:val="20"/>
                <w:vertAlign w:val="superscript"/>
                <w:lang w:val="en-GB" w:eastAsia="en-GB"/>
              </w:rPr>
              <w:t>2</w:t>
            </w:r>
          </w:p>
        </w:tc>
        <w:tc>
          <w:tcPr>
            <w:tcW w:w="1741" w:type="dxa"/>
            <w:noWrap/>
            <w:hideMark/>
          </w:tcPr>
          <w:p w14:paraId="017B23EB" w14:textId="38990978" w:rsidR="00CC258F" w:rsidRPr="00221992" w:rsidRDefault="007B4134" w:rsidP="0085742E">
            <w:pPr>
              <w:keepNext/>
              <w:keepLines/>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Light"/>
                <w:color w:val="FF0000"/>
                <w:sz w:val="20"/>
                <w:szCs w:val="20"/>
                <w:lang w:val="en-GB" w:eastAsia="en-GB"/>
              </w:rPr>
            </w:pPr>
            <w:r w:rsidRPr="00221992">
              <w:rPr>
                <w:rFonts w:ascii="Wingdings" w:eastAsia="Wingdings" w:hAnsi="Wingdings" w:cs="Wingdings"/>
                <w:color w:val="7F7F7F" w:themeColor="text1" w:themeTint="80"/>
                <w:sz w:val="20"/>
                <w:szCs w:val="20"/>
                <w:lang w:val="en-GB"/>
              </w:rPr>
              <w:t>þ</w:t>
            </w:r>
          </w:p>
        </w:tc>
        <w:tc>
          <w:tcPr>
            <w:tcW w:w="1742" w:type="dxa"/>
            <w:noWrap/>
            <w:hideMark/>
          </w:tcPr>
          <w:p w14:paraId="6C1DAE5C" w14:textId="77777777" w:rsidR="00CC258F" w:rsidRPr="00221992" w:rsidRDefault="00CC258F" w:rsidP="0085742E">
            <w:pPr>
              <w:keepNext/>
              <w:keepLines/>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Light"/>
                <w:color w:val="FF0000"/>
                <w:sz w:val="20"/>
                <w:szCs w:val="20"/>
                <w:lang w:val="en-GB" w:eastAsia="en-GB"/>
              </w:rPr>
            </w:pPr>
          </w:p>
        </w:tc>
        <w:tc>
          <w:tcPr>
            <w:tcW w:w="1742" w:type="dxa"/>
            <w:noWrap/>
            <w:hideMark/>
          </w:tcPr>
          <w:p w14:paraId="49B6DDE8" w14:textId="77777777" w:rsidR="00CC258F" w:rsidRPr="00221992" w:rsidRDefault="00CC258F" w:rsidP="0085742E">
            <w:pPr>
              <w:keepNext/>
              <w:keepLines/>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GB" w:eastAsia="en-GB"/>
              </w:rPr>
            </w:pPr>
          </w:p>
        </w:tc>
        <w:tc>
          <w:tcPr>
            <w:tcW w:w="1742" w:type="dxa"/>
            <w:noWrap/>
            <w:hideMark/>
          </w:tcPr>
          <w:p w14:paraId="076BF476" w14:textId="77777777" w:rsidR="00CC258F" w:rsidRPr="00221992" w:rsidRDefault="00CC258F" w:rsidP="0085742E">
            <w:pPr>
              <w:keepNext/>
              <w:keepLines/>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GB" w:eastAsia="en-GB"/>
              </w:rPr>
            </w:pPr>
          </w:p>
        </w:tc>
      </w:tr>
      <w:tr w:rsidR="00CC258F" w:rsidRPr="00221992" w14:paraId="7982F042" w14:textId="77777777" w:rsidTr="00D44B8E">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47" w:type="dxa"/>
            <w:shd w:val="clear" w:color="auto" w:fill="0070C0"/>
            <w:noWrap/>
            <w:hideMark/>
          </w:tcPr>
          <w:p w14:paraId="0B4587C1" w14:textId="4A1DFA74" w:rsidR="00CC258F" w:rsidRPr="00221992" w:rsidRDefault="00CC258F" w:rsidP="0085742E">
            <w:pPr>
              <w:keepNext/>
              <w:keepLines/>
              <w:spacing w:after="0" w:line="240" w:lineRule="auto"/>
              <w:rPr>
                <w:rFonts w:eastAsia="Times New Roman" w:cs="Calibri Light"/>
                <w:sz w:val="20"/>
                <w:szCs w:val="20"/>
                <w:lang w:val="en-GB" w:eastAsia="en-GB"/>
              </w:rPr>
            </w:pPr>
            <w:r w:rsidRPr="00221992">
              <w:rPr>
                <w:rFonts w:eastAsia="Times New Roman" w:cs="Calibri Light"/>
                <w:sz w:val="20"/>
                <w:szCs w:val="20"/>
                <w:lang w:val="en-GB" w:eastAsia="en-GB"/>
              </w:rPr>
              <w:t>Canada</w:t>
            </w:r>
            <w:r w:rsidR="003B4F63" w:rsidRPr="00221992">
              <w:rPr>
                <w:rFonts w:eastAsia="Times New Roman" w:cs="Calibri Light"/>
                <w:sz w:val="20"/>
                <w:szCs w:val="20"/>
                <w:vertAlign w:val="superscript"/>
                <w:lang w:val="en-GB" w:eastAsia="en-GB"/>
              </w:rPr>
              <w:t>3</w:t>
            </w:r>
          </w:p>
        </w:tc>
        <w:tc>
          <w:tcPr>
            <w:tcW w:w="1741" w:type="dxa"/>
            <w:noWrap/>
            <w:hideMark/>
          </w:tcPr>
          <w:p w14:paraId="0575BB4D" w14:textId="12D6828F" w:rsidR="00CC258F" w:rsidRPr="00221992" w:rsidRDefault="00583BF7" w:rsidP="0085742E">
            <w:pPr>
              <w:keepNext/>
              <w:keepLines/>
              <w:spacing w:after="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Calibri Light"/>
                <w:color w:val="000000"/>
                <w:sz w:val="20"/>
                <w:szCs w:val="20"/>
                <w:lang w:val="en-GB" w:eastAsia="en-GB"/>
              </w:rPr>
            </w:pPr>
            <w:r w:rsidRPr="00221992">
              <w:rPr>
                <w:rFonts w:ascii="Wingdings" w:eastAsia="Wingdings" w:hAnsi="Wingdings" w:cs="Wingdings"/>
                <w:color w:val="FFC000"/>
                <w:sz w:val="20"/>
                <w:szCs w:val="20"/>
                <w:lang w:val="en-GB"/>
              </w:rPr>
              <w:t>þ</w:t>
            </w:r>
          </w:p>
        </w:tc>
        <w:tc>
          <w:tcPr>
            <w:tcW w:w="1742" w:type="dxa"/>
            <w:noWrap/>
            <w:hideMark/>
          </w:tcPr>
          <w:p w14:paraId="109F37B1" w14:textId="77777777" w:rsidR="00CC258F" w:rsidRPr="00221992" w:rsidRDefault="00CC258F" w:rsidP="0085742E">
            <w:pPr>
              <w:keepNext/>
              <w:keepLines/>
              <w:spacing w:after="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Calibri Light"/>
                <w:color w:val="000000"/>
                <w:sz w:val="20"/>
                <w:szCs w:val="20"/>
                <w:lang w:val="en-GB" w:eastAsia="en-GB"/>
              </w:rPr>
            </w:pPr>
            <w:r w:rsidRPr="00221992">
              <w:rPr>
                <w:rFonts w:eastAsia="Times New Roman" w:cs="Calibri Light"/>
                <w:color w:val="000000"/>
                <w:sz w:val="20"/>
                <w:szCs w:val="20"/>
                <w:lang w:val="en-GB" w:eastAsia="en-GB"/>
              </w:rPr>
              <w:t> </w:t>
            </w:r>
          </w:p>
        </w:tc>
        <w:tc>
          <w:tcPr>
            <w:tcW w:w="1742" w:type="dxa"/>
            <w:noWrap/>
            <w:hideMark/>
          </w:tcPr>
          <w:p w14:paraId="4728360D" w14:textId="77777777" w:rsidR="00CC258F" w:rsidRPr="00221992" w:rsidRDefault="00CC258F" w:rsidP="0085742E">
            <w:pPr>
              <w:keepNext/>
              <w:keepLines/>
              <w:spacing w:after="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Calibri Light"/>
                <w:color w:val="000000"/>
                <w:sz w:val="20"/>
                <w:szCs w:val="20"/>
                <w:lang w:val="en-GB" w:eastAsia="en-GB"/>
              </w:rPr>
            </w:pPr>
            <w:r w:rsidRPr="00221992">
              <w:rPr>
                <w:rFonts w:eastAsia="Times New Roman" w:cs="Calibri Light"/>
                <w:color w:val="000000"/>
                <w:sz w:val="20"/>
                <w:szCs w:val="20"/>
                <w:lang w:val="en-GB" w:eastAsia="en-GB"/>
              </w:rPr>
              <w:t> </w:t>
            </w:r>
          </w:p>
        </w:tc>
        <w:tc>
          <w:tcPr>
            <w:tcW w:w="1742" w:type="dxa"/>
            <w:noWrap/>
            <w:hideMark/>
          </w:tcPr>
          <w:p w14:paraId="6CAE65C4" w14:textId="50D1F7B3" w:rsidR="00CC258F" w:rsidRPr="00221992" w:rsidRDefault="00583BF7" w:rsidP="0085742E">
            <w:pPr>
              <w:keepNext/>
              <w:keepLines/>
              <w:spacing w:after="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Calibri Light"/>
                <w:color w:val="000000"/>
                <w:sz w:val="20"/>
                <w:szCs w:val="20"/>
                <w:lang w:val="en-GB" w:eastAsia="en-GB"/>
              </w:rPr>
            </w:pPr>
            <w:r w:rsidRPr="00221992">
              <w:rPr>
                <w:rFonts w:ascii="Wingdings" w:eastAsia="Wingdings" w:hAnsi="Wingdings" w:cs="Wingdings"/>
                <w:color w:val="FFC000"/>
                <w:sz w:val="20"/>
                <w:szCs w:val="20"/>
                <w:lang w:val="en-GB"/>
              </w:rPr>
              <w:t>þ</w:t>
            </w:r>
          </w:p>
        </w:tc>
      </w:tr>
      <w:tr w:rsidR="00CC258F" w:rsidRPr="00221992" w14:paraId="31D9D761" w14:textId="77777777" w:rsidTr="00D44B8E">
        <w:trPr>
          <w:trHeight w:val="280"/>
        </w:trPr>
        <w:tc>
          <w:tcPr>
            <w:cnfStyle w:val="001000000000" w:firstRow="0" w:lastRow="0" w:firstColumn="1" w:lastColumn="0" w:oddVBand="0" w:evenVBand="0" w:oddHBand="0" w:evenHBand="0" w:firstRowFirstColumn="0" w:firstRowLastColumn="0" w:lastRowFirstColumn="0" w:lastRowLastColumn="0"/>
            <w:tcW w:w="2247" w:type="dxa"/>
            <w:shd w:val="clear" w:color="auto" w:fill="0070C0"/>
            <w:noWrap/>
            <w:hideMark/>
          </w:tcPr>
          <w:p w14:paraId="2F480EEF" w14:textId="031C3422" w:rsidR="00CC258F" w:rsidRPr="00221992" w:rsidRDefault="00CC258F" w:rsidP="0085742E">
            <w:pPr>
              <w:keepNext/>
              <w:keepLines/>
              <w:spacing w:after="0" w:line="240" w:lineRule="auto"/>
              <w:rPr>
                <w:rFonts w:eastAsia="Times New Roman" w:cs="Calibri Light"/>
                <w:sz w:val="20"/>
                <w:szCs w:val="20"/>
                <w:lang w:val="en-GB" w:eastAsia="en-GB"/>
              </w:rPr>
            </w:pPr>
            <w:r w:rsidRPr="00221992">
              <w:rPr>
                <w:rFonts w:eastAsia="Times New Roman" w:cs="Calibri Light"/>
                <w:sz w:val="20"/>
                <w:szCs w:val="20"/>
                <w:lang w:val="en-GB" w:eastAsia="en-GB"/>
              </w:rPr>
              <w:t>France</w:t>
            </w:r>
            <w:r w:rsidR="003B4F63" w:rsidRPr="00221992">
              <w:rPr>
                <w:rFonts w:eastAsia="Times New Roman" w:cs="Calibri Light"/>
                <w:sz w:val="20"/>
                <w:szCs w:val="20"/>
                <w:vertAlign w:val="superscript"/>
                <w:lang w:val="en-GB" w:eastAsia="en-GB"/>
              </w:rPr>
              <w:t>4</w:t>
            </w:r>
          </w:p>
        </w:tc>
        <w:tc>
          <w:tcPr>
            <w:tcW w:w="1741" w:type="dxa"/>
            <w:noWrap/>
            <w:hideMark/>
          </w:tcPr>
          <w:p w14:paraId="7A71C382" w14:textId="54DBDA5A" w:rsidR="00CC258F" w:rsidRPr="00221992" w:rsidRDefault="00583BF7" w:rsidP="0085742E">
            <w:pPr>
              <w:keepNext/>
              <w:keepLines/>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Light"/>
                <w:color w:val="000000"/>
                <w:sz w:val="20"/>
                <w:szCs w:val="20"/>
                <w:lang w:val="en-GB" w:eastAsia="en-GB"/>
              </w:rPr>
            </w:pPr>
            <w:r w:rsidRPr="00221992">
              <w:rPr>
                <w:rFonts w:ascii="Wingdings" w:eastAsia="Wingdings" w:hAnsi="Wingdings" w:cs="Wingdings"/>
                <w:color w:val="FFC000"/>
                <w:sz w:val="20"/>
                <w:szCs w:val="20"/>
                <w:lang w:val="en-GB"/>
              </w:rPr>
              <w:t>þ</w:t>
            </w:r>
          </w:p>
        </w:tc>
        <w:tc>
          <w:tcPr>
            <w:tcW w:w="1742" w:type="dxa"/>
            <w:noWrap/>
            <w:hideMark/>
          </w:tcPr>
          <w:p w14:paraId="79664683" w14:textId="77777777" w:rsidR="00CC258F" w:rsidRPr="00221992" w:rsidRDefault="00CC258F" w:rsidP="0085742E">
            <w:pPr>
              <w:keepNext/>
              <w:keepLines/>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Light"/>
                <w:color w:val="000000"/>
                <w:sz w:val="20"/>
                <w:szCs w:val="20"/>
                <w:lang w:val="en-GB" w:eastAsia="en-GB"/>
              </w:rPr>
            </w:pPr>
          </w:p>
        </w:tc>
        <w:tc>
          <w:tcPr>
            <w:tcW w:w="1742" w:type="dxa"/>
            <w:noWrap/>
            <w:hideMark/>
          </w:tcPr>
          <w:p w14:paraId="63AC0C32" w14:textId="77777777" w:rsidR="00CC258F" w:rsidRPr="00221992" w:rsidRDefault="00CC258F" w:rsidP="0085742E">
            <w:pPr>
              <w:keepNext/>
              <w:keepLines/>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GB" w:eastAsia="en-GB"/>
              </w:rPr>
            </w:pPr>
          </w:p>
        </w:tc>
        <w:tc>
          <w:tcPr>
            <w:tcW w:w="1742" w:type="dxa"/>
            <w:noWrap/>
            <w:hideMark/>
          </w:tcPr>
          <w:p w14:paraId="5A5CB6B3" w14:textId="37907634" w:rsidR="00CC258F" w:rsidRPr="00221992" w:rsidRDefault="00583BF7" w:rsidP="0085742E">
            <w:pPr>
              <w:keepNext/>
              <w:keepLines/>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Light"/>
                <w:color w:val="000000"/>
                <w:sz w:val="20"/>
                <w:szCs w:val="20"/>
                <w:lang w:val="en-GB" w:eastAsia="en-GB"/>
              </w:rPr>
            </w:pPr>
            <w:r w:rsidRPr="00221992">
              <w:rPr>
                <w:rFonts w:ascii="Wingdings" w:eastAsia="Wingdings" w:hAnsi="Wingdings" w:cs="Wingdings"/>
                <w:color w:val="FFC000"/>
                <w:sz w:val="20"/>
                <w:szCs w:val="20"/>
                <w:lang w:val="en-GB"/>
              </w:rPr>
              <w:t>þ</w:t>
            </w:r>
          </w:p>
        </w:tc>
      </w:tr>
      <w:tr w:rsidR="00CC258F" w:rsidRPr="00221992" w14:paraId="16CB91B9" w14:textId="77777777" w:rsidTr="00D44B8E">
        <w:trPr>
          <w:cnfStyle w:val="000000010000" w:firstRow="0" w:lastRow="0" w:firstColumn="0" w:lastColumn="0" w:oddVBand="0" w:evenVBand="0" w:oddHBand="0" w:evenHBand="1" w:firstRowFirstColumn="0" w:firstRowLastColumn="0" w:lastRowFirstColumn="0" w:lastRowLastColumn="0"/>
          <w:trHeight w:val="280"/>
        </w:trPr>
        <w:tc>
          <w:tcPr>
            <w:cnfStyle w:val="001000000000" w:firstRow="0" w:lastRow="0" w:firstColumn="1" w:lastColumn="0" w:oddVBand="0" w:evenVBand="0" w:oddHBand="0" w:evenHBand="0" w:firstRowFirstColumn="0" w:firstRowLastColumn="0" w:lastRowFirstColumn="0" w:lastRowLastColumn="0"/>
            <w:tcW w:w="2247" w:type="dxa"/>
            <w:shd w:val="clear" w:color="auto" w:fill="0070C0"/>
            <w:noWrap/>
            <w:hideMark/>
          </w:tcPr>
          <w:p w14:paraId="0D2882BA" w14:textId="5FA16BD1" w:rsidR="00CC258F" w:rsidRPr="00221992" w:rsidRDefault="00CC258F" w:rsidP="0085742E">
            <w:pPr>
              <w:keepNext/>
              <w:keepLines/>
              <w:spacing w:after="0" w:line="240" w:lineRule="auto"/>
              <w:rPr>
                <w:rFonts w:eastAsia="Times New Roman" w:cs="Calibri Light"/>
                <w:sz w:val="20"/>
                <w:szCs w:val="20"/>
                <w:lang w:val="en-GB" w:eastAsia="en-GB"/>
              </w:rPr>
            </w:pPr>
            <w:r w:rsidRPr="00221992">
              <w:rPr>
                <w:rFonts w:eastAsia="Times New Roman" w:cs="Calibri Light"/>
                <w:sz w:val="20"/>
                <w:szCs w:val="20"/>
                <w:lang w:val="en-GB" w:eastAsia="en-GB"/>
              </w:rPr>
              <w:t>Germany</w:t>
            </w:r>
            <w:r w:rsidR="003B4F63" w:rsidRPr="00221992">
              <w:rPr>
                <w:rFonts w:eastAsia="Times New Roman" w:cs="Calibri Light"/>
                <w:sz w:val="20"/>
                <w:szCs w:val="20"/>
                <w:vertAlign w:val="superscript"/>
                <w:lang w:val="en-GB" w:eastAsia="en-GB"/>
              </w:rPr>
              <w:t>5</w:t>
            </w:r>
          </w:p>
        </w:tc>
        <w:tc>
          <w:tcPr>
            <w:tcW w:w="1741" w:type="dxa"/>
            <w:noWrap/>
            <w:hideMark/>
          </w:tcPr>
          <w:p w14:paraId="662BCEEB" w14:textId="77777777" w:rsidR="00CC258F" w:rsidRPr="00221992" w:rsidRDefault="00CC258F" w:rsidP="0085742E">
            <w:pPr>
              <w:keepNext/>
              <w:keepLines/>
              <w:spacing w:after="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Calibri Light"/>
                <w:color w:val="000000"/>
                <w:sz w:val="20"/>
                <w:szCs w:val="20"/>
                <w:lang w:val="en-GB" w:eastAsia="en-GB"/>
              </w:rPr>
            </w:pPr>
            <w:r w:rsidRPr="00221992">
              <w:rPr>
                <w:rFonts w:eastAsia="Times New Roman" w:cs="Calibri Light"/>
                <w:color w:val="000000"/>
                <w:sz w:val="20"/>
                <w:szCs w:val="20"/>
                <w:lang w:val="en-GB" w:eastAsia="en-GB"/>
              </w:rPr>
              <w:t> </w:t>
            </w:r>
          </w:p>
        </w:tc>
        <w:tc>
          <w:tcPr>
            <w:tcW w:w="1742" w:type="dxa"/>
            <w:noWrap/>
            <w:hideMark/>
          </w:tcPr>
          <w:p w14:paraId="39ADF3CC" w14:textId="77777777" w:rsidR="00CC258F" w:rsidRPr="00221992" w:rsidRDefault="00CC258F" w:rsidP="0085742E">
            <w:pPr>
              <w:keepNext/>
              <w:keepLines/>
              <w:spacing w:after="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Calibri Light"/>
                <w:color w:val="000000"/>
                <w:sz w:val="20"/>
                <w:szCs w:val="20"/>
                <w:lang w:val="en-GB" w:eastAsia="en-GB"/>
              </w:rPr>
            </w:pPr>
            <w:r w:rsidRPr="00221992">
              <w:rPr>
                <w:rFonts w:eastAsia="Times New Roman" w:cs="Calibri Light"/>
                <w:color w:val="000000"/>
                <w:sz w:val="20"/>
                <w:szCs w:val="20"/>
                <w:lang w:val="en-GB" w:eastAsia="en-GB"/>
              </w:rPr>
              <w:t> </w:t>
            </w:r>
          </w:p>
        </w:tc>
        <w:tc>
          <w:tcPr>
            <w:tcW w:w="1742" w:type="dxa"/>
            <w:noWrap/>
            <w:hideMark/>
          </w:tcPr>
          <w:p w14:paraId="616EBE90" w14:textId="77777777" w:rsidR="00CC258F" w:rsidRPr="00221992" w:rsidRDefault="00CC258F" w:rsidP="0085742E">
            <w:pPr>
              <w:keepNext/>
              <w:keepLines/>
              <w:spacing w:after="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Calibri Light"/>
                <w:color w:val="000000"/>
                <w:sz w:val="20"/>
                <w:szCs w:val="20"/>
                <w:lang w:val="en-GB" w:eastAsia="en-GB"/>
              </w:rPr>
            </w:pPr>
            <w:r w:rsidRPr="00221992">
              <w:rPr>
                <w:rFonts w:eastAsia="Times New Roman" w:cs="Calibri Light"/>
                <w:color w:val="000000"/>
                <w:sz w:val="20"/>
                <w:szCs w:val="20"/>
                <w:lang w:val="en-GB" w:eastAsia="en-GB"/>
              </w:rPr>
              <w:t> </w:t>
            </w:r>
          </w:p>
        </w:tc>
        <w:tc>
          <w:tcPr>
            <w:tcW w:w="1742" w:type="dxa"/>
            <w:noWrap/>
            <w:hideMark/>
          </w:tcPr>
          <w:p w14:paraId="709171E7" w14:textId="77777777" w:rsidR="00CC258F" w:rsidRPr="00221992" w:rsidRDefault="00CC258F" w:rsidP="0085742E">
            <w:pPr>
              <w:keepNext/>
              <w:keepLines/>
              <w:spacing w:after="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Calibri Light"/>
                <w:color w:val="000000"/>
                <w:sz w:val="20"/>
                <w:szCs w:val="20"/>
                <w:lang w:val="en-GB" w:eastAsia="en-GB"/>
              </w:rPr>
            </w:pPr>
            <w:r w:rsidRPr="00221992">
              <w:rPr>
                <w:rFonts w:eastAsia="Times New Roman" w:cs="Calibri Light"/>
                <w:color w:val="000000"/>
                <w:sz w:val="20"/>
                <w:szCs w:val="20"/>
                <w:lang w:val="en-GB" w:eastAsia="en-GB"/>
              </w:rPr>
              <w:t> </w:t>
            </w:r>
          </w:p>
        </w:tc>
      </w:tr>
      <w:tr w:rsidR="003B4F63" w:rsidRPr="00221992" w14:paraId="2BF69FA5" w14:textId="77777777" w:rsidTr="00D44B8E">
        <w:trPr>
          <w:trHeight w:val="280"/>
        </w:trPr>
        <w:tc>
          <w:tcPr>
            <w:cnfStyle w:val="001000000000" w:firstRow="0" w:lastRow="0" w:firstColumn="1" w:lastColumn="0" w:oddVBand="0" w:evenVBand="0" w:oddHBand="0" w:evenHBand="0" w:firstRowFirstColumn="0" w:firstRowLastColumn="0" w:lastRowFirstColumn="0" w:lastRowLastColumn="0"/>
            <w:tcW w:w="2247" w:type="dxa"/>
            <w:shd w:val="clear" w:color="auto" w:fill="0070C0"/>
            <w:noWrap/>
            <w:hideMark/>
          </w:tcPr>
          <w:p w14:paraId="3479A3CF" w14:textId="33D664CF" w:rsidR="003B4F63" w:rsidRPr="00221992" w:rsidRDefault="003B4F63" w:rsidP="0085742E">
            <w:pPr>
              <w:keepNext/>
              <w:keepLines/>
              <w:spacing w:after="0" w:line="240" w:lineRule="auto"/>
              <w:rPr>
                <w:rFonts w:eastAsia="Times New Roman" w:cs="Calibri Light"/>
                <w:sz w:val="20"/>
                <w:szCs w:val="20"/>
                <w:lang w:val="en-GB" w:eastAsia="en-GB"/>
              </w:rPr>
            </w:pPr>
            <w:r w:rsidRPr="00221992">
              <w:rPr>
                <w:rFonts w:eastAsia="Times New Roman" w:cs="Calibri Light"/>
                <w:sz w:val="20"/>
                <w:szCs w:val="20"/>
                <w:lang w:val="en-GB" w:eastAsia="en-GB"/>
              </w:rPr>
              <w:t xml:space="preserve">Italy </w:t>
            </w:r>
            <w:r w:rsidRPr="00221992">
              <w:rPr>
                <w:rFonts w:eastAsia="Times New Roman" w:cs="Calibri Light"/>
                <w:sz w:val="20"/>
                <w:szCs w:val="20"/>
                <w:vertAlign w:val="superscript"/>
                <w:lang w:val="en-GB" w:eastAsia="en-GB"/>
              </w:rPr>
              <w:t>6</w:t>
            </w:r>
          </w:p>
        </w:tc>
        <w:tc>
          <w:tcPr>
            <w:tcW w:w="1741" w:type="dxa"/>
            <w:noWrap/>
            <w:hideMark/>
          </w:tcPr>
          <w:p w14:paraId="398E0DDF" w14:textId="3DFA0C72" w:rsidR="003B4F63" w:rsidRPr="00221992" w:rsidRDefault="00583BF7" w:rsidP="0085742E">
            <w:pPr>
              <w:keepNext/>
              <w:keepLines/>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Light"/>
                <w:color w:val="000000"/>
                <w:sz w:val="20"/>
                <w:szCs w:val="20"/>
                <w:lang w:val="en-GB" w:eastAsia="en-GB"/>
              </w:rPr>
            </w:pPr>
            <w:r w:rsidRPr="00221992">
              <w:rPr>
                <w:rFonts w:ascii="Wingdings" w:eastAsia="Wingdings" w:hAnsi="Wingdings" w:cs="Wingdings"/>
                <w:color w:val="FFC000"/>
                <w:sz w:val="20"/>
                <w:szCs w:val="20"/>
                <w:lang w:val="en-GB"/>
              </w:rPr>
              <w:t>þ</w:t>
            </w:r>
          </w:p>
        </w:tc>
        <w:tc>
          <w:tcPr>
            <w:tcW w:w="1742" w:type="dxa"/>
            <w:noWrap/>
            <w:hideMark/>
          </w:tcPr>
          <w:p w14:paraId="19B6FD67" w14:textId="3FB6A3C0" w:rsidR="003B4F63" w:rsidRPr="00221992" w:rsidRDefault="007B4134" w:rsidP="0085742E">
            <w:pPr>
              <w:keepNext/>
              <w:keepLines/>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Light"/>
                <w:color w:val="FF0000"/>
                <w:sz w:val="20"/>
                <w:szCs w:val="20"/>
                <w:lang w:val="en-GB" w:eastAsia="en-GB"/>
              </w:rPr>
            </w:pPr>
            <w:r w:rsidRPr="00221992">
              <w:rPr>
                <w:rFonts w:ascii="Wingdings" w:eastAsia="Wingdings" w:hAnsi="Wingdings" w:cs="Wingdings"/>
                <w:color w:val="7F7F7F" w:themeColor="text1" w:themeTint="80"/>
                <w:sz w:val="20"/>
                <w:szCs w:val="20"/>
                <w:lang w:val="en-GB"/>
              </w:rPr>
              <w:t>þ</w:t>
            </w:r>
          </w:p>
        </w:tc>
        <w:tc>
          <w:tcPr>
            <w:tcW w:w="1742" w:type="dxa"/>
            <w:noWrap/>
            <w:hideMark/>
          </w:tcPr>
          <w:p w14:paraId="1C2426A5" w14:textId="72E0C272" w:rsidR="003B4F63" w:rsidRPr="00221992" w:rsidRDefault="00583BF7" w:rsidP="0085742E">
            <w:pPr>
              <w:keepNext/>
              <w:keepLines/>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Light"/>
                <w:color w:val="000000"/>
                <w:sz w:val="20"/>
                <w:szCs w:val="20"/>
                <w:lang w:val="en-GB" w:eastAsia="en-GB"/>
              </w:rPr>
            </w:pPr>
            <w:r w:rsidRPr="00221992">
              <w:rPr>
                <w:rFonts w:ascii="Wingdings" w:eastAsia="Wingdings" w:hAnsi="Wingdings" w:cs="Wingdings"/>
                <w:color w:val="FFC000"/>
                <w:sz w:val="20"/>
                <w:szCs w:val="20"/>
                <w:lang w:val="en-GB"/>
              </w:rPr>
              <w:t>þ</w:t>
            </w:r>
          </w:p>
        </w:tc>
        <w:tc>
          <w:tcPr>
            <w:tcW w:w="1742" w:type="dxa"/>
            <w:noWrap/>
            <w:hideMark/>
          </w:tcPr>
          <w:p w14:paraId="31EB53B2" w14:textId="6574124F" w:rsidR="003B4F63" w:rsidRPr="00221992" w:rsidRDefault="00583BF7" w:rsidP="0085742E">
            <w:pPr>
              <w:keepNext/>
              <w:keepLines/>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Light"/>
                <w:color w:val="000000"/>
                <w:sz w:val="20"/>
                <w:szCs w:val="20"/>
                <w:lang w:val="en-GB" w:eastAsia="en-GB"/>
              </w:rPr>
            </w:pPr>
            <w:r w:rsidRPr="00221992">
              <w:rPr>
                <w:rFonts w:ascii="Wingdings" w:eastAsia="Wingdings" w:hAnsi="Wingdings" w:cs="Wingdings"/>
                <w:color w:val="FFC000"/>
                <w:sz w:val="20"/>
                <w:szCs w:val="20"/>
                <w:lang w:val="en-GB"/>
              </w:rPr>
              <w:t>þ</w:t>
            </w:r>
          </w:p>
        </w:tc>
      </w:tr>
      <w:tr w:rsidR="00CC258F" w:rsidRPr="00221992" w14:paraId="7F6079E9" w14:textId="77777777" w:rsidTr="00D44B8E">
        <w:trPr>
          <w:cnfStyle w:val="000000010000" w:firstRow="0" w:lastRow="0" w:firstColumn="0" w:lastColumn="0" w:oddVBand="0" w:evenVBand="0" w:oddHBand="0" w:evenHBand="1" w:firstRowFirstColumn="0" w:firstRowLastColumn="0" w:lastRowFirstColumn="0" w:lastRowLastColumn="0"/>
          <w:trHeight w:val="280"/>
        </w:trPr>
        <w:tc>
          <w:tcPr>
            <w:cnfStyle w:val="001000000000" w:firstRow="0" w:lastRow="0" w:firstColumn="1" w:lastColumn="0" w:oddVBand="0" w:evenVBand="0" w:oddHBand="0" w:evenHBand="0" w:firstRowFirstColumn="0" w:firstRowLastColumn="0" w:lastRowFirstColumn="0" w:lastRowLastColumn="0"/>
            <w:tcW w:w="2247" w:type="dxa"/>
            <w:shd w:val="clear" w:color="auto" w:fill="0070C0"/>
            <w:noWrap/>
            <w:hideMark/>
          </w:tcPr>
          <w:p w14:paraId="1AA221C7" w14:textId="08937D9C" w:rsidR="00CC258F" w:rsidRPr="00221992" w:rsidRDefault="00CC258F" w:rsidP="0085742E">
            <w:pPr>
              <w:keepNext/>
              <w:keepLines/>
              <w:spacing w:after="0" w:line="240" w:lineRule="auto"/>
              <w:rPr>
                <w:rFonts w:eastAsia="Times New Roman" w:cs="Calibri Light"/>
                <w:sz w:val="20"/>
                <w:szCs w:val="20"/>
                <w:lang w:val="en-GB" w:eastAsia="en-GB"/>
              </w:rPr>
            </w:pPr>
            <w:r w:rsidRPr="00221992">
              <w:rPr>
                <w:rFonts w:eastAsia="Times New Roman" w:cs="Calibri Light"/>
                <w:sz w:val="20"/>
                <w:szCs w:val="20"/>
                <w:lang w:val="en-GB" w:eastAsia="en-GB"/>
              </w:rPr>
              <w:t>Japan</w:t>
            </w:r>
            <w:r w:rsidR="003B4F63" w:rsidRPr="00221992">
              <w:rPr>
                <w:rFonts w:eastAsia="Times New Roman" w:cs="Calibri Light"/>
                <w:sz w:val="20"/>
                <w:szCs w:val="20"/>
                <w:vertAlign w:val="superscript"/>
                <w:lang w:val="en-GB" w:eastAsia="en-GB"/>
              </w:rPr>
              <w:t>7</w:t>
            </w:r>
          </w:p>
        </w:tc>
        <w:tc>
          <w:tcPr>
            <w:tcW w:w="1741" w:type="dxa"/>
            <w:noWrap/>
            <w:hideMark/>
          </w:tcPr>
          <w:p w14:paraId="58F69247" w14:textId="77777777" w:rsidR="00CC258F" w:rsidRPr="00221992" w:rsidRDefault="00CC258F" w:rsidP="0085742E">
            <w:pPr>
              <w:keepNext/>
              <w:keepLines/>
              <w:spacing w:after="0" w:line="240" w:lineRule="auto"/>
              <w:cnfStyle w:val="000000010000" w:firstRow="0" w:lastRow="0" w:firstColumn="0" w:lastColumn="0" w:oddVBand="0" w:evenVBand="0" w:oddHBand="0" w:evenHBand="1" w:firstRowFirstColumn="0" w:firstRowLastColumn="0" w:lastRowFirstColumn="0" w:lastRowLastColumn="0"/>
              <w:rPr>
                <w:rFonts w:eastAsia="Times New Roman" w:cs="Calibri Light"/>
                <w:color w:val="000000"/>
                <w:sz w:val="20"/>
                <w:szCs w:val="20"/>
                <w:lang w:val="en-GB" w:eastAsia="en-GB"/>
              </w:rPr>
            </w:pPr>
          </w:p>
        </w:tc>
        <w:tc>
          <w:tcPr>
            <w:tcW w:w="1742" w:type="dxa"/>
            <w:noWrap/>
            <w:hideMark/>
          </w:tcPr>
          <w:p w14:paraId="06569679" w14:textId="77777777" w:rsidR="00CC258F" w:rsidRPr="00221992" w:rsidRDefault="00CC258F" w:rsidP="0085742E">
            <w:pPr>
              <w:keepNext/>
              <w:keepLines/>
              <w:spacing w:after="0" w:line="240" w:lineRule="auto"/>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0"/>
                <w:szCs w:val="20"/>
                <w:lang w:val="en-GB" w:eastAsia="en-GB"/>
              </w:rPr>
            </w:pPr>
          </w:p>
        </w:tc>
        <w:tc>
          <w:tcPr>
            <w:tcW w:w="1742" w:type="dxa"/>
            <w:noWrap/>
            <w:hideMark/>
          </w:tcPr>
          <w:p w14:paraId="42D749EB" w14:textId="77777777" w:rsidR="00CC258F" w:rsidRPr="00221992" w:rsidRDefault="00CC258F" w:rsidP="0085742E">
            <w:pPr>
              <w:keepNext/>
              <w:keepLines/>
              <w:spacing w:after="0" w:line="240" w:lineRule="auto"/>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0"/>
                <w:szCs w:val="20"/>
                <w:lang w:val="en-GB" w:eastAsia="en-GB"/>
              </w:rPr>
            </w:pPr>
          </w:p>
        </w:tc>
        <w:tc>
          <w:tcPr>
            <w:tcW w:w="1742" w:type="dxa"/>
            <w:noWrap/>
            <w:hideMark/>
          </w:tcPr>
          <w:p w14:paraId="583B8B6B" w14:textId="77777777" w:rsidR="00CC258F" w:rsidRPr="00221992" w:rsidRDefault="00CC258F" w:rsidP="0085742E">
            <w:pPr>
              <w:keepNext/>
              <w:keepLines/>
              <w:spacing w:after="0" w:line="240" w:lineRule="auto"/>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0"/>
                <w:szCs w:val="20"/>
                <w:lang w:val="en-GB" w:eastAsia="en-GB"/>
              </w:rPr>
            </w:pPr>
          </w:p>
        </w:tc>
      </w:tr>
      <w:tr w:rsidR="00CC258F" w:rsidRPr="00221992" w14:paraId="08FDBC48" w14:textId="77777777" w:rsidTr="00D44B8E">
        <w:trPr>
          <w:trHeight w:val="280"/>
        </w:trPr>
        <w:tc>
          <w:tcPr>
            <w:cnfStyle w:val="001000000000" w:firstRow="0" w:lastRow="0" w:firstColumn="1" w:lastColumn="0" w:oddVBand="0" w:evenVBand="0" w:oddHBand="0" w:evenHBand="0" w:firstRowFirstColumn="0" w:firstRowLastColumn="0" w:lastRowFirstColumn="0" w:lastRowLastColumn="0"/>
            <w:tcW w:w="2247" w:type="dxa"/>
            <w:shd w:val="clear" w:color="auto" w:fill="0070C0"/>
            <w:noWrap/>
            <w:hideMark/>
          </w:tcPr>
          <w:p w14:paraId="3331CB05" w14:textId="0119827A" w:rsidR="00CC258F" w:rsidRPr="00221992" w:rsidRDefault="00CC258F" w:rsidP="0085742E">
            <w:pPr>
              <w:keepNext/>
              <w:keepLines/>
              <w:spacing w:after="0" w:line="240" w:lineRule="auto"/>
              <w:rPr>
                <w:rFonts w:eastAsia="Times New Roman" w:cs="Calibri Light"/>
                <w:sz w:val="20"/>
                <w:szCs w:val="20"/>
                <w:lang w:val="en-GB" w:eastAsia="en-GB"/>
              </w:rPr>
            </w:pPr>
            <w:r w:rsidRPr="00221992">
              <w:rPr>
                <w:rFonts w:eastAsia="Times New Roman" w:cs="Calibri Light"/>
                <w:sz w:val="20"/>
                <w:szCs w:val="20"/>
                <w:lang w:val="en-GB" w:eastAsia="en-GB"/>
              </w:rPr>
              <w:t>Korea</w:t>
            </w:r>
            <w:r w:rsidR="003B4F63" w:rsidRPr="00221992">
              <w:rPr>
                <w:rFonts w:eastAsia="Times New Roman" w:cs="Calibri Light"/>
                <w:sz w:val="20"/>
                <w:szCs w:val="20"/>
                <w:vertAlign w:val="superscript"/>
                <w:lang w:val="en-GB" w:eastAsia="en-GB"/>
              </w:rPr>
              <w:t>8</w:t>
            </w:r>
          </w:p>
        </w:tc>
        <w:tc>
          <w:tcPr>
            <w:tcW w:w="1741" w:type="dxa"/>
            <w:noWrap/>
            <w:hideMark/>
          </w:tcPr>
          <w:p w14:paraId="18463D89" w14:textId="1D05AF69" w:rsidR="00CC258F" w:rsidRPr="00221992" w:rsidRDefault="007B4134" w:rsidP="0085742E">
            <w:pPr>
              <w:keepNext/>
              <w:keepLines/>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Light"/>
                <w:color w:val="FF0000"/>
                <w:sz w:val="20"/>
                <w:szCs w:val="20"/>
                <w:lang w:val="en-GB" w:eastAsia="en-GB"/>
              </w:rPr>
            </w:pPr>
            <w:r w:rsidRPr="00221992">
              <w:rPr>
                <w:rFonts w:ascii="Wingdings" w:eastAsia="Wingdings" w:hAnsi="Wingdings" w:cs="Wingdings"/>
                <w:color w:val="7F7F7F" w:themeColor="text1" w:themeTint="80"/>
                <w:sz w:val="20"/>
                <w:szCs w:val="20"/>
                <w:lang w:val="en-GB"/>
              </w:rPr>
              <w:t>þ</w:t>
            </w:r>
          </w:p>
        </w:tc>
        <w:tc>
          <w:tcPr>
            <w:tcW w:w="1742" w:type="dxa"/>
            <w:noWrap/>
            <w:hideMark/>
          </w:tcPr>
          <w:p w14:paraId="59B36585" w14:textId="15619028" w:rsidR="00CC258F" w:rsidRPr="00221992" w:rsidRDefault="007B4134" w:rsidP="0085742E">
            <w:pPr>
              <w:keepNext/>
              <w:keepLines/>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Light"/>
                <w:color w:val="FF0000"/>
                <w:sz w:val="20"/>
                <w:szCs w:val="20"/>
                <w:lang w:val="en-GB" w:eastAsia="en-GB"/>
              </w:rPr>
            </w:pPr>
            <w:r w:rsidRPr="00221992">
              <w:rPr>
                <w:rFonts w:ascii="Wingdings" w:eastAsia="Wingdings" w:hAnsi="Wingdings" w:cs="Wingdings"/>
                <w:color w:val="7F7F7F" w:themeColor="text1" w:themeTint="80"/>
                <w:sz w:val="20"/>
                <w:szCs w:val="20"/>
                <w:lang w:val="en-GB"/>
              </w:rPr>
              <w:t>þ</w:t>
            </w:r>
          </w:p>
        </w:tc>
        <w:tc>
          <w:tcPr>
            <w:tcW w:w="1742" w:type="dxa"/>
            <w:noWrap/>
            <w:hideMark/>
          </w:tcPr>
          <w:p w14:paraId="524A745C" w14:textId="3E1F87D2" w:rsidR="00CC258F" w:rsidRPr="00221992" w:rsidRDefault="007B4134" w:rsidP="0085742E">
            <w:pPr>
              <w:keepNext/>
              <w:keepLines/>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Light"/>
                <w:color w:val="FF0000"/>
                <w:sz w:val="20"/>
                <w:szCs w:val="20"/>
                <w:lang w:val="en-GB" w:eastAsia="en-GB"/>
              </w:rPr>
            </w:pPr>
            <w:r w:rsidRPr="00221992">
              <w:rPr>
                <w:rFonts w:ascii="Wingdings" w:eastAsia="Wingdings" w:hAnsi="Wingdings" w:cs="Wingdings"/>
                <w:color w:val="7F7F7F" w:themeColor="text1" w:themeTint="80"/>
                <w:sz w:val="20"/>
                <w:szCs w:val="20"/>
                <w:lang w:val="en-GB"/>
              </w:rPr>
              <w:t>þ</w:t>
            </w:r>
          </w:p>
        </w:tc>
        <w:tc>
          <w:tcPr>
            <w:tcW w:w="1742" w:type="dxa"/>
            <w:noWrap/>
            <w:hideMark/>
          </w:tcPr>
          <w:p w14:paraId="0D5ECD7C" w14:textId="77777777" w:rsidR="00CC258F" w:rsidRPr="00221992" w:rsidRDefault="00CC258F" w:rsidP="0085742E">
            <w:pPr>
              <w:keepNext/>
              <w:keepLines/>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Light"/>
                <w:color w:val="000000"/>
                <w:sz w:val="20"/>
                <w:szCs w:val="20"/>
                <w:lang w:val="en-GB" w:eastAsia="en-GB"/>
              </w:rPr>
            </w:pPr>
            <w:r w:rsidRPr="00221992">
              <w:rPr>
                <w:rFonts w:eastAsia="Times New Roman" w:cs="Calibri Light"/>
                <w:color w:val="000000"/>
                <w:sz w:val="20"/>
                <w:szCs w:val="20"/>
                <w:lang w:val="en-GB" w:eastAsia="en-GB"/>
              </w:rPr>
              <w:t> </w:t>
            </w:r>
          </w:p>
        </w:tc>
      </w:tr>
      <w:tr w:rsidR="00CC258F" w:rsidRPr="00221992" w14:paraId="3A1579D4" w14:textId="77777777" w:rsidTr="00D44B8E">
        <w:trPr>
          <w:cnfStyle w:val="000000010000" w:firstRow="0" w:lastRow="0" w:firstColumn="0" w:lastColumn="0" w:oddVBand="0" w:evenVBand="0" w:oddHBand="0" w:evenHBand="1" w:firstRowFirstColumn="0" w:firstRowLastColumn="0" w:lastRowFirstColumn="0" w:lastRowLastColumn="0"/>
          <w:trHeight w:val="280"/>
        </w:trPr>
        <w:tc>
          <w:tcPr>
            <w:cnfStyle w:val="001000000000" w:firstRow="0" w:lastRow="0" w:firstColumn="1" w:lastColumn="0" w:oddVBand="0" w:evenVBand="0" w:oddHBand="0" w:evenHBand="0" w:firstRowFirstColumn="0" w:firstRowLastColumn="0" w:lastRowFirstColumn="0" w:lastRowLastColumn="0"/>
            <w:tcW w:w="2247" w:type="dxa"/>
            <w:shd w:val="clear" w:color="auto" w:fill="0070C0"/>
            <w:noWrap/>
            <w:hideMark/>
          </w:tcPr>
          <w:p w14:paraId="18301EC9" w14:textId="00976F42" w:rsidR="00CC258F" w:rsidRPr="00221992" w:rsidRDefault="00CC258F" w:rsidP="0085742E">
            <w:pPr>
              <w:keepNext/>
              <w:keepLines/>
              <w:spacing w:after="0" w:line="240" w:lineRule="auto"/>
              <w:rPr>
                <w:rFonts w:eastAsia="Times New Roman" w:cs="Calibri Light"/>
                <w:sz w:val="20"/>
                <w:szCs w:val="20"/>
                <w:lang w:val="en-GB" w:eastAsia="en-GB"/>
              </w:rPr>
            </w:pPr>
            <w:r w:rsidRPr="00221992">
              <w:rPr>
                <w:rFonts w:eastAsia="Times New Roman" w:cs="Calibri Light"/>
                <w:sz w:val="20"/>
                <w:szCs w:val="20"/>
                <w:lang w:val="en-GB" w:eastAsia="en-GB"/>
              </w:rPr>
              <w:t>Luxembourg</w:t>
            </w:r>
            <w:r w:rsidR="003B4F63" w:rsidRPr="00221992">
              <w:rPr>
                <w:rFonts w:eastAsia="Times New Roman" w:cs="Calibri Light"/>
                <w:sz w:val="20"/>
                <w:szCs w:val="20"/>
                <w:vertAlign w:val="superscript"/>
                <w:lang w:val="en-GB" w:eastAsia="en-GB"/>
              </w:rPr>
              <w:t>9</w:t>
            </w:r>
          </w:p>
        </w:tc>
        <w:tc>
          <w:tcPr>
            <w:tcW w:w="6967" w:type="dxa"/>
            <w:gridSpan w:val="4"/>
            <w:noWrap/>
            <w:hideMark/>
          </w:tcPr>
          <w:p w14:paraId="0919B3DA" w14:textId="246CEA71" w:rsidR="00CC258F" w:rsidRPr="00221992" w:rsidRDefault="00CC258F" w:rsidP="0085742E">
            <w:pPr>
              <w:keepNext/>
              <w:keepLines/>
              <w:spacing w:after="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Calibri Light"/>
                <w:color w:val="000000"/>
                <w:sz w:val="20"/>
                <w:szCs w:val="20"/>
                <w:lang w:val="en-GB" w:eastAsia="en-GB"/>
              </w:rPr>
            </w:pPr>
            <w:r w:rsidRPr="00221992">
              <w:rPr>
                <w:rFonts w:eastAsia="Times New Roman" w:cs="Calibri Light"/>
                <w:color w:val="000000"/>
                <w:sz w:val="20"/>
                <w:szCs w:val="20"/>
                <w:lang w:val="en-GB" w:eastAsia="en-GB"/>
              </w:rPr>
              <w:t>NI</w:t>
            </w:r>
          </w:p>
        </w:tc>
      </w:tr>
      <w:tr w:rsidR="00CC258F" w:rsidRPr="00221992" w14:paraId="71AF9F97" w14:textId="77777777" w:rsidTr="00D44B8E">
        <w:trPr>
          <w:trHeight w:val="280"/>
        </w:trPr>
        <w:tc>
          <w:tcPr>
            <w:cnfStyle w:val="001000000000" w:firstRow="0" w:lastRow="0" w:firstColumn="1" w:lastColumn="0" w:oddVBand="0" w:evenVBand="0" w:oddHBand="0" w:evenHBand="0" w:firstRowFirstColumn="0" w:firstRowLastColumn="0" w:lastRowFirstColumn="0" w:lastRowLastColumn="0"/>
            <w:tcW w:w="2247" w:type="dxa"/>
            <w:shd w:val="clear" w:color="auto" w:fill="0070C0"/>
            <w:noWrap/>
            <w:hideMark/>
          </w:tcPr>
          <w:p w14:paraId="64EF865E" w14:textId="59BA2A57" w:rsidR="00CC258F" w:rsidRPr="00221992" w:rsidRDefault="00CC258F" w:rsidP="0085742E">
            <w:pPr>
              <w:keepNext/>
              <w:keepLines/>
              <w:spacing w:after="0" w:line="240" w:lineRule="auto"/>
              <w:rPr>
                <w:rFonts w:eastAsia="Times New Roman" w:cs="Calibri Light"/>
                <w:sz w:val="20"/>
                <w:szCs w:val="20"/>
                <w:lang w:val="en-GB" w:eastAsia="en-GB"/>
              </w:rPr>
            </w:pPr>
            <w:r w:rsidRPr="00221992">
              <w:rPr>
                <w:rFonts w:eastAsia="Times New Roman" w:cs="Calibri Light"/>
                <w:sz w:val="20"/>
                <w:szCs w:val="20"/>
                <w:lang w:val="en-GB" w:eastAsia="en-GB"/>
              </w:rPr>
              <w:t>The Netherlands</w:t>
            </w:r>
            <w:r w:rsidR="003B4F63" w:rsidRPr="00221992">
              <w:rPr>
                <w:rFonts w:eastAsia="Times New Roman" w:cs="Calibri Light"/>
                <w:sz w:val="20"/>
                <w:szCs w:val="20"/>
                <w:vertAlign w:val="superscript"/>
                <w:lang w:val="en-GB" w:eastAsia="en-GB"/>
              </w:rPr>
              <w:t>10</w:t>
            </w:r>
          </w:p>
        </w:tc>
        <w:tc>
          <w:tcPr>
            <w:tcW w:w="1741" w:type="dxa"/>
            <w:noWrap/>
            <w:hideMark/>
          </w:tcPr>
          <w:p w14:paraId="5402A182" w14:textId="2AA825FC" w:rsidR="00CC258F" w:rsidRPr="00221992" w:rsidRDefault="007B4134" w:rsidP="0085742E">
            <w:pPr>
              <w:keepNext/>
              <w:keepLines/>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Light"/>
                <w:color w:val="FF0000"/>
                <w:sz w:val="20"/>
                <w:szCs w:val="20"/>
                <w:lang w:val="en-GB" w:eastAsia="en-GB"/>
              </w:rPr>
            </w:pPr>
            <w:r w:rsidRPr="00221992">
              <w:rPr>
                <w:rFonts w:ascii="Wingdings" w:eastAsia="Wingdings" w:hAnsi="Wingdings" w:cs="Wingdings"/>
                <w:color w:val="7F7F7F" w:themeColor="text1" w:themeTint="80"/>
                <w:sz w:val="20"/>
                <w:szCs w:val="20"/>
                <w:lang w:val="en-GB"/>
              </w:rPr>
              <w:t>þ</w:t>
            </w:r>
          </w:p>
        </w:tc>
        <w:tc>
          <w:tcPr>
            <w:tcW w:w="1742" w:type="dxa"/>
            <w:noWrap/>
            <w:hideMark/>
          </w:tcPr>
          <w:p w14:paraId="03FADE82" w14:textId="45B16E74" w:rsidR="00CC258F" w:rsidRPr="00221992" w:rsidRDefault="00583BF7" w:rsidP="0085742E">
            <w:pPr>
              <w:keepNext/>
              <w:keepLines/>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Light"/>
                <w:color w:val="000000"/>
                <w:sz w:val="20"/>
                <w:szCs w:val="20"/>
                <w:lang w:val="en-GB" w:eastAsia="en-GB"/>
              </w:rPr>
            </w:pPr>
            <w:r w:rsidRPr="00221992">
              <w:rPr>
                <w:rFonts w:ascii="Wingdings" w:eastAsia="Wingdings" w:hAnsi="Wingdings" w:cs="Wingdings"/>
                <w:color w:val="FFC000"/>
                <w:sz w:val="20"/>
                <w:szCs w:val="20"/>
                <w:lang w:val="en-GB"/>
              </w:rPr>
              <w:t>þ</w:t>
            </w:r>
          </w:p>
        </w:tc>
        <w:tc>
          <w:tcPr>
            <w:tcW w:w="1742" w:type="dxa"/>
            <w:noWrap/>
            <w:hideMark/>
          </w:tcPr>
          <w:p w14:paraId="4A36D261" w14:textId="77777777" w:rsidR="00CC258F" w:rsidRPr="00221992" w:rsidRDefault="00CC258F" w:rsidP="0085742E">
            <w:pPr>
              <w:keepNext/>
              <w:keepLines/>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Light"/>
                <w:color w:val="000000"/>
                <w:sz w:val="20"/>
                <w:szCs w:val="20"/>
                <w:lang w:val="en-GB" w:eastAsia="en-GB"/>
              </w:rPr>
            </w:pPr>
          </w:p>
        </w:tc>
        <w:tc>
          <w:tcPr>
            <w:tcW w:w="1742" w:type="dxa"/>
            <w:noWrap/>
            <w:hideMark/>
          </w:tcPr>
          <w:p w14:paraId="3431B313" w14:textId="299913FA" w:rsidR="00CC258F" w:rsidRPr="00221992" w:rsidRDefault="007B4134" w:rsidP="0085742E">
            <w:pPr>
              <w:keepNext/>
              <w:keepLines/>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Light"/>
                <w:color w:val="FF0000"/>
                <w:sz w:val="20"/>
                <w:szCs w:val="20"/>
                <w:lang w:val="en-GB" w:eastAsia="en-GB"/>
              </w:rPr>
            </w:pPr>
            <w:r w:rsidRPr="00221992">
              <w:rPr>
                <w:rFonts w:ascii="Wingdings" w:eastAsia="Wingdings" w:hAnsi="Wingdings" w:cs="Wingdings"/>
                <w:color w:val="7F7F7F" w:themeColor="text1" w:themeTint="80"/>
                <w:sz w:val="20"/>
                <w:szCs w:val="20"/>
                <w:lang w:val="en-GB"/>
              </w:rPr>
              <w:t>þ</w:t>
            </w:r>
          </w:p>
        </w:tc>
      </w:tr>
      <w:tr w:rsidR="00CC258F" w:rsidRPr="00221992" w14:paraId="333FBD8B" w14:textId="77777777" w:rsidTr="00D44B8E">
        <w:trPr>
          <w:cnfStyle w:val="000000010000" w:firstRow="0" w:lastRow="0" w:firstColumn="0" w:lastColumn="0" w:oddVBand="0" w:evenVBand="0" w:oddHBand="0" w:evenHBand="1" w:firstRowFirstColumn="0" w:firstRowLastColumn="0" w:lastRowFirstColumn="0" w:lastRowLastColumn="0"/>
          <w:trHeight w:val="280"/>
        </w:trPr>
        <w:tc>
          <w:tcPr>
            <w:cnfStyle w:val="001000000000" w:firstRow="0" w:lastRow="0" w:firstColumn="1" w:lastColumn="0" w:oddVBand="0" w:evenVBand="0" w:oddHBand="0" w:evenHBand="0" w:firstRowFirstColumn="0" w:firstRowLastColumn="0" w:lastRowFirstColumn="0" w:lastRowLastColumn="0"/>
            <w:tcW w:w="2247" w:type="dxa"/>
            <w:shd w:val="clear" w:color="auto" w:fill="0070C0"/>
            <w:noWrap/>
            <w:hideMark/>
          </w:tcPr>
          <w:p w14:paraId="798A4CD4" w14:textId="1B531594" w:rsidR="00CC258F" w:rsidRPr="00221992" w:rsidRDefault="00CC258F" w:rsidP="0085742E">
            <w:pPr>
              <w:keepNext/>
              <w:keepLines/>
              <w:spacing w:after="0" w:line="240" w:lineRule="auto"/>
              <w:rPr>
                <w:rFonts w:eastAsia="Times New Roman" w:cs="Calibri Light"/>
                <w:sz w:val="20"/>
                <w:szCs w:val="20"/>
                <w:lang w:val="en-GB" w:eastAsia="en-GB"/>
              </w:rPr>
            </w:pPr>
            <w:r w:rsidRPr="00221992">
              <w:rPr>
                <w:rFonts w:eastAsia="Times New Roman" w:cs="Calibri Light"/>
                <w:sz w:val="20"/>
                <w:szCs w:val="20"/>
                <w:lang w:val="en-GB" w:eastAsia="en-GB"/>
              </w:rPr>
              <w:t>New Zealand</w:t>
            </w:r>
            <w:r w:rsidR="003B4F63" w:rsidRPr="00221992">
              <w:rPr>
                <w:rFonts w:eastAsia="Times New Roman" w:cs="Calibri Light"/>
                <w:sz w:val="20"/>
                <w:szCs w:val="20"/>
                <w:vertAlign w:val="superscript"/>
                <w:lang w:val="en-GB" w:eastAsia="en-GB"/>
              </w:rPr>
              <w:t>11</w:t>
            </w:r>
          </w:p>
        </w:tc>
        <w:tc>
          <w:tcPr>
            <w:tcW w:w="1741" w:type="dxa"/>
            <w:noWrap/>
            <w:hideMark/>
          </w:tcPr>
          <w:p w14:paraId="49B24D49" w14:textId="24AD9C1E" w:rsidR="00CC258F" w:rsidRPr="00221992" w:rsidRDefault="00583BF7" w:rsidP="0085742E">
            <w:pPr>
              <w:keepNext/>
              <w:keepLines/>
              <w:spacing w:after="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Calibri Light"/>
                <w:color w:val="000000"/>
                <w:sz w:val="20"/>
                <w:szCs w:val="20"/>
                <w:lang w:val="en-GB" w:eastAsia="en-GB"/>
              </w:rPr>
            </w:pPr>
            <w:r w:rsidRPr="00221992">
              <w:rPr>
                <w:rFonts w:ascii="Wingdings" w:eastAsia="Wingdings" w:hAnsi="Wingdings" w:cs="Wingdings"/>
                <w:color w:val="FFC000"/>
                <w:sz w:val="20"/>
                <w:szCs w:val="20"/>
                <w:lang w:val="en-GB"/>
              </w:rPr>
              <w:t>þ</w:t>
            </w:r>
          </w:p>
        </w:tc>
        <w:tc>
          <w:tcPr>
            <w:tcW w:w="1742" w:type="dxa"/>
            <w:noWrap/>
            <w:hideMark/>
          </w:tcPr>
          <w:p w14:paraId="584BD57D" w14:textId="77777777" w:rsidR="00CC258F" w:rsidRPr="00221992" w:rsidRDefault="00CC258F" w:rsidP="0085742E">
            <w:pPr>
              <w:keepNext/>
              <w:keepLines/>
              <w:spacing w:after="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Calibri Light"/>
                <w:color w:val="000000"/>
                <w:sz w:val="20"/>
                <w:szCs w:val="20"/>
                <w:lang w:val="en-GB" w:eastAsia="en-GB"/>
              </w:rPr>
            </w:pPr>
            <w:r w:rsidRPr="00221992">
              <w:rPr>
                <w:rFonts w:eastAsia="Times New Roman" w:cs="Calibri Light"/>
                <w:color w:val="000000"/>
                <w:sz w:val="20"/>
                <w:szCs w:val="20"/>
                <w:lang w:val="en-GB" w:eastAsia="en-GB"/>
              </w:rPr>
              <w:t> </w:t>
            </w:r>
          </w:p>
        </w:tc>
        <w:tc>
          <w:tcPr>
            <w:tcW w:w="1742" w:type="dxa"/>
            <w:noWrap/>
            <w:hideMark/>
          </w:tcPr>
          <w:p w14:paraId="704A12CB" w14:textId="77777777" w:rsidR="00CC258F" w:rsidRPr="00221992" w:rsidRDefault="00CC258F" w:rsidP="0085742E">
            <w:pPr>
              <w:keepNext/>
              <w:keepLines/>
              <w:spacing w:after="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Calibri Light"/>
                <w:color w:val="000000"/>
                <w:sz w:val="20"/>
                <w:szCs w:val="20"/>
                <w:lang w:val="en-GB" w:eastAsia="en-GB"/>
              </w:rPr>
            </w:pPr>
            <w:r w:rsidRPr="00221992">
              <w:rPr>
                <w:rFonts w:eastAsia="Times New Roman" w:cs="Calibri Light"/>
                <w:color w:val="000000"/>
                <w:sz w:val="20"/>
                <w:szCs w:val="20"/>
                <w:lang w:val="en-GB" w:eastAsia="en-GB"/>
              </w:rPr>
              <w:t> </w:t>
            </w:r>
          </w:p>
        </w:tc>
        <w:tc>
          <w:tcPr>
            <w:tcW w:w="1742" w:type="dxa"/>
            <w:noWrap/>
            <w:hideMark/>
          </w:tcPr>
          <w:p w14:paraId="64BFF5A6" w14:textId="77777777" w:rsidR="00CC258F" w:rsidRPr="00221992" w:rsidRDefault="00CC258F" w:rsidP="0085742E">
            <w:pPr>
              <w:keepNext/>
              <w:keepLines/>
              <w:spacing w:after="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Calibri Light"/>
                <w:color w:val="000000"/>
                <w:sz w:val="20"/>
                <w:szCs w:val="20"/>
                <w:lang w:val="en-GB" w:eastAsia="en-GB"/>
              </w:rPr>
            </w:pPr>
          </w:p>
        </w:tc>
      </w:tr>
      <w:tr w:rsidR="00CC258F" w:rsidRPr="00221992" w14:paraId="0DEB63CE" w14:textId="77777777" w:rsidTr="00D44B8E">
        <w:trPr>
          <w:trHeight w:val="280"/>
        </w:trPr>
        <w:tc>
          <w:tcPr>
            <w:cnfStyle w:val="001000000000" w:firstRow="0" w:lastRow="0" w:firstColumn="1" w:lastColumn="0" w:oddVBand="0" w:evenVBand="0" w:oddHBand="0" w:evenHBand="0" w:firstRowFirstColumn="0" w:firstRowLastColumn="0" w:lastRowFirstColumn="0" w:lastRowLastColumn="0"/>
            <w:tcW w:w="2247" w:type="dxa"/>
            <w:shd w:val="clear" w:color="auto" w:fill="0070C0"/>
            <w:noWrap/>
            <w:hideMark/>
          </w:tcPr>
          <w:p w14:paraId="2F5747FA" w14:textId="2DA0EC8D" w:rsidR="00CC258F" w:rsidRPr="00221992" w:rsidRDefault="008A6310" w:rsidP="0085742E">
            <w:pPr>
              <w:keepNext/>
              <w:keepLines/>
              <w:spacing w:after="0" w:line="240" w:lineRule="auto"/>
              <w:rPr>
                <w:rFonts w:eastAsia="Times New Roman" w:cs="Calibri Light"/>
                <w:sz w:val="20"/>
                <w:szCs w:val="20"/>
                <w:lang w:val="en-GB" w:eastAsia="en-GB"/>
              </w:rPr>
            </w:pPr>
            <w:r>
              <w:rPr>
                <w:rFonts w:eastAsia="Times New Roman" w:cs="Calibri Light"/>
                <w:sz w:val="20"/>
                <w:szCs w:val="20"/>
                <w:lang w:val="en-GB" w:eastAsia="en-GB"/>
              </w:rPr>
              <w:t xml:space="preserve"> </w:t>
            </w:r>
            <w:r w:rsidR="00CC258F" w:rsidRPr="00221992">
              <w:rPr>
                <w:rFonts w:eastAsia="Times New Roman" w:cs="Calibri Light"/>
                <w:sz w:val="20"/>
                <w:szCs w:val="20"/>
                <w:lang w:val="en-GB" w:eastAsia="en-GB"/>
              </w:rPr>
              <w:t>Norway</w:t>
            </w:r>
            <w:r w:rsidR="003B4F63" w:rsidRPr="00221992">
              <w:rPr>
                <w:rFonts w:eastAsia="Times New Roman" w:cs="Calibri Light"/>
                <w:sz w:val="20"/>
                <w:szCs w:val="20"/>
                <w:vertAlign w:val="superscript"/>
                <w:lang w:val="en-GB" w:eastAsia="en-GB"/>
              </w:rPr>
              <w:t>12</w:t>
            </w:r>
          </w:p>
        </w:tc>
        <w:tc>
          <w:tcPr>
            <w:tcW w:w="1741" w:type="dxa"/>
            <w:noWrap/>
            <w:hideMark/>
          </w:tcPr>
          <w:p w14:paraId="42710A6D" w14:textId="5E80C70F" w:rsidR="00CC258F" w:rsidRPr="00221992" w:rsidRDefault="00583BF7" w:rsidP="0085742E">
            <w:pPr>
              <w:keepNext/>
              <w:keepLines/>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Light"/>
                <w:color w:val="000000"/>
                <w:sz w:val="20"/>
                <w:szCs w:val="20"/>
                <w:lang w:val="en-GB" w:eastAsia="en-GB"/>
              </w:rPr>
            </w:pPr>
            <w:r w:rsidRPr="00221992">
              <w:rPr>
                <w:rFonts w:ascii="Wingdings" w:eastAsia="Wingdings" w:hAnsi="Wingdings" w:cs="Wingdings"/>
                <w:color w:val="FFC000"/>
                <w:sz w:val="20"/>
                <w:szCs w:val="20"/>
                <w:lang w:val="en-GB"/>
              </w:rPr>
              <w:t>þ</w:t>
            </w:r>
          </w:p>
        </w:tc>
        <w:tc>
          <w:tcPr>
            <w:tcW w:w="1742" w:type="dxa"/>
            <w:noWrap/>
            <w:hideMark/>
          </w:tcPr>
          <w:p w14:paraId="05A9D1D1" w14:textId="77777777" w:rsidR="00CC258F" w:rsidRPr="00221992" w:rsidRDefault="00CC258F" w:rsidP="0085742E">
            <w:pPr>
              <w:keepNext/>
              <w:keepLines/>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Light"/>
                <w:color w:val="000000"/>
                <w:sz w:val="20"/>
                <w:szCs w:val="20"/>
                <w:lang w:val="en-GB" w:eastAsia="en-GB"/>
              </w:rPr>
            </w:pPr>
          </w:p>
        </w:tc>
        <w:tc>
          <w:tcPr>
            <w:tcW w:w="1742" w:type="dxa"/>
            <w:noWrap/>
            <w:hideMark/>
          </w:tcPr>
          <w:p w14:paraId="5EE2E6B6" w14:textId="77777777" w:rsidR="00CC258F" w:rsidRPr="00221992" w:rsidRDefault="00CC258F" w:rsidP="0085742E">
            <w:pPr>
              <w:keepNext/>
              <w:keepLines/>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en-GB" w:eastAsia="en-GB"/>
              </w:rPr>
            </w:pPr>
          </w:p>
        </w:tc>
        <w:tc>
          <w:tcPr>
            <w:tcW w:w="1742" w:type="dxa"/>
            <w:noWrap/>
            <w:hideMark/>
          </w:tcPr>
          <w:p w14:paraId="41B9BF44" w14:textId="77777777" w:rsidR="00CC258F" w:rsidRPr="00221992" w:rsidRDefault="00CC258F" w:rsidP="0085742E">
            <w:pPr>
              <w:keepNext/>
              <w:keepLines/>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Light"/>
                <w:color w:val="000000"/>
                <w:sz w:val="20"/>
                <w:szCs w:val="20"/>
                <w:lang w:val="en-GB" w:eastAsia="en-GB"/>
              </w:rPr>
            </w:pPr>
            <w:r w:rsidRPr="00221992">
              <w:rPr>
                <w:rFonts w:eastAsia="Times New Roman" w:cs="Calibri Light"/>
                <w:color w:val="000000"/>
                <w:sz w:val="20"/>
                <w:szCs w:val="20"/>
                <w:lang w:val="en-GB" w:eastAsia="en-GB"/>
              </w:rPr>
              <w:t> </w:t>
            </w:r>
          </w:p>
        </w:tc>
      </w:tr>
      <w:tr w:rsidR="00CC258F" w:rsidRPr="00221992" w14:paraId="7D7F16BD" w14:textId="77777777" w:rsidTr="00D44B8E">
        <w:trPr>
          <w:cnfStyle w:val="000000010000" w:firstRow="0" w:lastRow="0" w:firstColumn="0" w:lastColumn="0" w:oddVBand="0" w:evenVBand="0" w:oddHBand="0" w:evenHBand="1" w:firstRowFirstColumn="0" w:firstRowLastColumn="0" w:lastRowFirstColumn="0" w:lastRowLastColumn="0"/>
          <w:trHeight w:val="280"/>
        </w:trPr>
        <w:tc>
          <w:tcPr>
            <w:cnfStyle w:val="001000000000" w:firstRow="0" w:lastRow="0" w:firstColumn="1" w:lastColumn="0" w:oddVBand="0" w:evenVBand="0" w:oddHBand="0" w:evenHBand="0" w:firstRowFirstColumn="0" w:firstRowLastColumn="0" w:lastRowFirstColumn="0" w:lastRowLastColumn="0"/>
            <w:tcW w:w="2247" w:type="dxa"/>
            <w:shd w:val="clear" w:color="auto" w:fill="0070C0"/>
            <w:noWrap/>
            <w:hideMark/>
          </w:tcPr>
          <w:p w14:paraId="1A608FFC" w14:textId="390DA76E" w:rsidR="00CC258F" w:rsidRPr="00221992" w:rsidRDefault="00CC258F" w:rsidP="0085742E">
            <w:pPr>
              <w:keepNext/>
              <w:keepLines/>
              <w:spacing w:after="0" w:line="240" w:lineRule="auto"/>
              <w:rPr>
                <w:rFonts w:eastAsia="Times New Roman" w:cs="Calibri Light"/>
                <w:sz w:val="20"/>
                <w:szCs w:val="20"/>
                <w:lang w:val="en-GB" w:eastAsia="en-GB"/>
              </w:rPr>
            </w:pPr>
            <w:r w:rsidRPr="00221992">
              <w:rPr>
                <w:rFonts w:eastAsia="Times New Roman" w:cs="Calibri Light"/>
                <w:sz w:val="20"/>
                <w:szCs w:val="20"/>
                <w:lang w:val="en-GB" w:eastAsia="en-GB"/>
              </w:rPr>
              <w:t>Singapore</w:t>
            </w:r>
            <w:r w:rsidR="003B4F63" w:rsidRPr="00221992">
              <w:rPr>
                <w:rFonts w:eastAsia="Times New Roman" w:cs="Calibri Light"/>
                <w:sz w:val="20"/>
                <w:szCs w:val="20"/>
                <w:vertAlign w:val="superscript"/>
                <w:lang w:val="en-GB" w:eastAsia="en-GB"/>
              </w:rPr>
              <w:t>13</w:t>
            </w:r>
          </w:p>
        </w:tc>
        <w:tc>
          <w:tcPr>
            <w:tcW w:w="1741" w:type="dxa"/>
            <w:noWrap/>
            <w:hideMark/>
          </w:tcPr>
          <w:p w14:paraId="0580683A" w14:textId="77777777" w:rsidR="00CC258F" w:rsidRPr="00221992" w:rsidRDefault="00CC258F" w:rsidP="0085742E">
            <w:pPr>
              <w:keepNext/>
              <w:keepLines/>
              <w:spacing w:after="0" w:line="240" w:lineRule="auto"/>
              <w:cnfStyle w:val="000000010000" w:firstRow="0" w:lastRow="0" w:firstColumn="0" w:lastColumn="0" w:oddVBand="0" w:evenVBand="0" w:oddHBand="0" w:evenHBand="1" w:firstRowFirstColumn="0" w:firstRowLastColumn="0" w:lastRowFirstColumn="0" w:lastRowLastColumn="0"/>
              <w:rPr>
                <w:rFonts w:eastAsia="Times New Roman" w:cs="Calibri Light"/>
                <w:color w:val="000000"/>
                <w:sz w:val="20"/>
                <w:szCs w:val="20"/>
                <w:lang w:val="en-GB" w:eastAsia="en-GB"/>
              </w:rPr>
            </w:pPr>
          </w:p>
        </w:tc>
        <w:tc>
          <w:tcPr>
            <w:tcW w:w="1742" w:type="dxa"/>
            <w:noWrap/>
            <w:hideMark/>
          </w:tcPr>
          <w:p w14:paraId="2A2B3CF5" w14:textId="77777777" w:rsidR="00CC258F" w:rsidRPr="00221992" w:rsidRDefault="00CC258F" w:rsidP="0085742E">
            <w:pPr>
              <w:keepNext/>
              <w:keepLines/>
              <w:spacing w:after="0" w:line="240" w:lineRule="auto"/>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sz w:val="20"/>
                <w:szCs w:val="20"/>
                <w:lang w:val="en-GB" w:eastAsia="en-GB"/>
              </w:rPr>
            </w:pPr>
          </w:p>
        </w:tc>
        <w:tc>
          <w:tcPr>
            <w:tcW w:w="1742" w:type="dxa"/>
            <w:noWrap/>
            <w:hideMark/>
          </w:tcPr>
          <w:p w14:paraId="57CE4C35" w14:textId="123ABF4A" w:rsidR="00CC258F" w:rsidRPr="00221992" w:rsidRDefault="00CC258F" w:rsidP="0085742E">
            <w:pPr>
              <w:keepNext/>
              <w:keepLines/>
              <w:spacing w:after="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Calibri Light"/>
                <w:color w:val="FF0000"/>
                <w:sz w:val="20"/>
                <w:szCs w:val="20"/>
                <w:lang w:val="en-GB" w:eastAsia="en-GB"/>
              </w:rPr>
            </w:pPr>
          </w:p>
        </w:tc>
        <w:tc>
          <w:tcPr>
            <w:tcW w:w="1742" w:type="dxa"/>
            <w:noWrap/>
            <w:hideMark/>
          </w:tcPr>
          <w:p w14:paraId="204E78DA" w14:textId="0A908BE3" w:rsidR="00CC258F" w:rsidRPr="00221992" w:rsidRDefault="007B4134" w:rsidP="0085742E">
            <w:pPr>
              <w:keepNext/>
              <w:keepLines/>
              <w:spacing w:after="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Calibri Light"/>
                <w:color w:val="FF0000"/>
                <w:sz w:val="20"/>
                <w:szCs w:val="20"/>
                <w:lang w:val="en-GB" w:eastAsia="en-GB"/>
              </w:rPr>
            </w:pPr>
            <w:r w:rsidRPr="00221992">
              <w:rPr>
                <w:rFonts w:ascii="Wingdings" w:eastAsia="Wingdings" w:hAnsi="Wingdings" w:cs="Wingdings"/>
                <w:color w:val="7F7F7F" w:themeColor="text1" w:themeTint="80"/>
                <w:sz w:val="20"/>
                <w:szCs w:val="20"/>
                <w:lang w:val="en-GB"/>
              </w:rPr>
              <w:t>þ</w:t>
            </w:r>
          </w:p>
        </w:tc>
      </w:tr>
      <w:tr w:rsidR="00CC258F" w:rsidRPr="00221992" w14:paraId="13B22127" w14:textId="77777777" w:rsidTr="00D44B8E">
        <w:trPr>
          <w:trHeight w:val="280"/>
        </w:trPr>
        <w:tc>
          <w:tcPr>
            <w:cnfStyle w:val="001000000000" w:firstRow="0" w:lastRow="0" w:firstColumn="1" w:lastColumn="0" w:oddVBand="0" w:evenVBand="0" w:oddHBand="0" w:evenHBand="0" w:firstRowFirstColumn="0" w:firstRowLastColumn="0" w:lastRowFirstColumn="0" w:lastRowLastColumn="0"/>
            <w:tcW w:w="2247" w:type="dxa"/>
            <w:shd w:val="clear" w:color="auto" w:fill="0070C0"/>
            <w:noWrap/>
            <w:hideMark/>
          </w:tcPr>
          <w:p w14:paraId="0F983ECF" w14:textId="2ABAAF28" w:rsidR="00CC258F" w:rsidRPr="00221992" w:rsidRDefault="00CC258F" w:rsidP="0085742E">
            <w:pPr>
              <w:keepNext/>
              <w:keepLines/>
              <w:spacing w:after="0" w:line="240" w:lineRule="auto"/>
              <w:rPr>
                <w:rFonts w:eastAsia="Times New Roman" w:cs="Calibri Light"/>
                <w:sz w:val="20"/>
                <w:szCs w:val="20"/>
                <w:lang w:val="en-GB" w:eastAsia="en-GB"/>
              </w:rPr>
            </w:pPr>
            <w:r w:rsidRPr="00221992">
              <w:rPr>
                <w:rFonts w:eastAsia="Times New Roman" w:cs="Calibri Light"/>
                <w:sz w:val="20"/>
                <w:szCs w:val="20"/>
                <w:lang w:val="en-GB" w:eastAsia="en-GB"/>
              </w:rPr>
              <w:t xml:space="preserve">Spain </w:t>
            </w:r>
            <w:r w:rsidR="003B4F63" w:rsidRPr="00221992">
              <w:rPr>
                <w:rFonts w:eastAsia="Times New Roman" w:cs="Calibri Light"/>
                <w:sz w:val="20"/>
                <w:szCs w:val="20"/>
                <w:vertAlign w:val="superscript"/>
                <w:lang w:val="en-GB" w:eastAsia="en-GB"/>
              </w:rPr>
              <w:t>14</w:t>
            </w:r>
          </w:p>
        </w:tc>
        <w:tc>
          <w:tcPr>
            <w:tcW w:w="1741" w:type="dxa"/>
            <w:noWrap/>
            <w:hideMark/>
          </w:tcPr>
          <w:p w14:paraId="5EAE3F1F" w14:textId="63918482" w:rsidR="00CC258F" w:rsidRPr="00221992" w:rsidRDefault="00583BF7" w:rsidP="0085742E">
            <w:pPr>
              <w:keepNext/>
              <w:keepLines/>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Light"/>
                <w:color w:val="000000" w:themeColor="text1"/>
                <w:sz w:val="20"/>
                <w:szCs w:val="20"/>
                <w:lang w:val="en-GB" w:eastAsia="en-GB"/>
              </w:rPr>
            </w:pPr>
            <w:r w:rsidRPr="00221992">
              <w:rPr>
                <w:rFonts w:ascii="Wingdings" w:eastAsia="Wingdings" w:hAnsi="Wingdings" w:cs="Wingdings"/>
                <w:color w:val="FFC000"/>
                <w:sz w:val="20"/>
                <w:szCs w:val="20"/>
                <w:lang w:val="en-GB"/>
              </w:rPr>
              <w:t>þ</w:t>
            </w:r>
          </w:p>
        </w:tc>
        <w:tc>
          <w:tcPr>
            <w:tcW w:w="1742" w:type="dxa"/>
            <w:noWrap/>
            <w:hideMark/>
          </w:tcPr>
          <w:p w14:paraId="5DB883BE" w14:textId="77777777" w:rsidR="00CC258F" w:rsidRPr="00221992" w:rsidRDefault="00CC258F" w:rsidP="0085742E">
            <w:pPr>
              <w:keepNext/>
              <w:keepLines/>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Light"/>
                <w:color w:val="000000" w:themeColor="text1"/>
                <w:sz w:val="20"/>
                <w:szCs w:val="20"/>
                <w:lang w:val="en-GB" w:eastAsia="en-GB"/>
              </w:rPr>
            </w:pPr>
          </w:p>
        </w:tc>
        <w:tc>
          <w:tcPr>
            <w:tcW w:w="1742" w:type="dxa"/>
            <w:noWrap/>
            <w:hideMark/>
          </w:tcPr>
          <w:p w14:paraId="0AA2F70E" w14:textId="2BE3F6E9" w:rsidR="00CC258F" w:rsidRPr="00221992" w:rsidRDefault="00583BF7" w:rsidP="0085742E">
            <w:pPr>
              <w:keepNext/>
              <w:keepLines/>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Light"/>
                <w:color w:val="000000" w:themeColor="text1"/>
                <w:sz w:val="20"/>
                <w:szCs w:val="20"/>
                <w:lang w:val="en-GB" w:eastAsia="en-GB"/>
              </w:rPr>
            </w:pPr>
            <w:r w:rsidRPr="00221992">
              <w:rPr>
                <w:rFonts w:ascii="Wingdings" w:eastAsia="Wingdings" w:hAnsi="Wingdings" w:cs="Wingdings"/>
                <w:color w:val="FFC000"/>
                <w:sz w:val="20"/>
                <w:szCs w:val="20"/>
                <w:lang w:val="en-GB"/>
              </w:rPr>
              <w:t>þ</w:t>
            </w:r>
          </w:p>
        </w:tc>
        <w:tc>
          <w:tcPr>
            <w:tcW w:w="1742" w:type="dxa"/>
            <w:noWrap/>
            <w:hideMark/>
          </w:tcPr>
          <w:p w14:paraId="28EC7E33" w14:textId="77777777" w:rsidR="00CC258F" w:rsidRPr="00221992" w:rsidRDefault="00CC258F" w:rsidP="0085742E">
            <w:pPr>
              <w:keepNext/>
              <w:keepLines/>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Light"/>
                <w:color w:val="FF0000"/>
                <w:sz w:val="20"/>
                <w:szCs w:val="20"/>
                <w:lang w:val="en-GB" w:eastAsia="en-GB"/>
              </w:rPr>
            </w:pPr>
          </w:p>
        </w:tc>
      </w:tr>
      <w:tr w:rsidR="00CC258F" w:rsidRPr="00221992" w14:paraId="64854CD4" w14:textId="77777777" w:rsidTr="00D44B8E">
        <w:trPr>
          <w:cnfStyle w:val="000000010000" w:firstRow="0" w:lastRow="0" w:firstColumn="0" w:lastColumn="0" w:oddVBand="0" w:evenVBand="0" w:oddHBand="0" w:evenHBand="1" w:firstRowFirstColumn="0" w:firstRowLastColumn="0" w:lastRowFirstColumn="0" w:lastRowLastColumn="0"/>
          <w:trHeight w:val="280"/>
        </w:trPr>
        <w:tc>
          <w:tcPr>
            <w:cnfStyle w:val="001000000000" w:firstRow="0" w:lastRow="0" w:firstColumn="1" w:lastColumn="0" w:oddVBand="0" w:evenVBand="0" w:oddHBand="0" w:evenHBand="0" w:firstRowFirstColumn="0" w:firstRowLastColumn="0" w:lastRowFirstColumn="0" w:lastRowLastColumn="0"/>
            <w:tcW w:w="2247" w:type="dxa"/>
            <w:shd w:val="clear" w:color="auto" w:fill="0070C0"/>
            <w:noWrap/>
            <w:hideMark/>
          </w:tcPr>
          <w:p w14:paraId="33AE989B" w14:textId="66F8D5C3" w:rsidR="00CC258F" w:rsidRPr="00221992" w:rsidRDefault="00CC258F" w:rsidP="0085742E">
            <w:pPr>
              <w:keepNext/>
              <w:keepLines/>
              <w:spacing w:after="0" w:line="240" w:lineRule="auto"/>
              <w:rPr>
                <w:rFonts w:eastAsia="Times New Roman" w:cs="Calibri Light"/>
                <w:sz w:val="20"/>
                <w:szCs w:val="20"/>
                <w:lang w:val="en-GB" w:eastAsia="en-GB"/>
              </w:rPr>
            </w:pPr>
            <w:r w:rsidRPr="00221992">
              <w:rPr>
                <w:rFonts w:eastAsia="Times New Roman" w:cs="Calibri Light"/>
                <w:sz w:val="20"/>
                <w:szCs w:val="20"/>
                <w:lang w:val="en-GB" w:eastAsia="en-GB"/>
              </w:rPr>
              <w:t>Sweden</w:t>
            </w:r>
            <w:r w:rsidR="003B4F63" w:rsidRPr="00221992">
              <w:rPr>
                <w:rFonts w:eastAsia="Times New Roman" w:cs="Calibri Light"/>
                <w:sz w:val="20"/>
                <w:szCs w:val="20"/>
                <w:vertAlign w:val="superscript"/>
                <w:lang w:val="en-GB" w:eastAsia="en-GB"/>
              </w:rPr>
              <w:t>15</w:t>
            </w:r>
          </w:p>
        </w:tc>
        <w:tc>
          <w:tcPr>
            <w:tcW w:w="1741" w:type="dxa"/>
            <w:noWrap/>
            <w:hideMark/>
          </w:tcPr>
          <w:p w14:paraId="4C213811" w14:textId="5147767D" w:rsidR="00CC258F" w:rsidRPr="00221992" w:rsidRDefault="00583BF7" w:rsidP="0085742E">
            <w:pPr>
              <w:keepNext/>
              <w:keepLines/>
              <w:spacing w:after="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Calibri Light"/>
                <w:color w:val="000000"/>
                <w:sz w:val="20"/>
                <w:szCs w:val="20"/>
                <w:lang w:val="en-GB" w:eastAsia="en-GB"/>
              </w:rPr>
            </w:pPr>
            <w:r w:rsidRPr="00221992">
              <w:rPr>
                <w:rFonts w:ascii="Wingdings" w:eastAsia="Wingdings" w:hAnsi="Wingdings" w:cs="Wingdings"/>
                <w:color w:val="FFC000"/>
                <w:sz w:val="20"/>
                <w:szCs w:val="20"/>
                <w:lang w:val="en-GB"/>
              </w:rPr>
              <w:t>þ</w:t>
            </w:r>
          </w:p>
        </w:tc>
        <w:tc>
          <w:tcPr>
            <w:tcW w:w="1742" w:type="dxa"/>
            <w:noWrap/>
            <w:hideMark/>
          </w:tcPr>
          <w:p w14:paraId="3170C223" w14:textId="3B117CAC" w:rsidR="00CC258F" w:rsidRPr="00221992" w:rsidRDefault="00583BF7" w:rsidP="0085742E">
            <w:pPr>
              <w:keepNext/>
              <w:keepLines/>
              <w:spacing w:after="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Calibri Light"/>
                <w:color w:val="FF0000"/>
                <w:sz w:val="20"/>
                <w:szCs w:val="20"/>
                <w:lang w:val="en-GB" w:eastAsia="en-GB"/>
              </w:rPr>
            </w:pPr>
            <w:r w:rsidRPr="00221992">
              <w:rPr>
                <w:rFonts w:ascii="Wingdings" w:eastAsia="Wingdings" w:hAnsi="Wingdings" w:cs="Wingdings"/>
                <w:color w:val="7F7F7F" w:themeColor="text1" w:themeTint="80"/>
                <w:sz w:val="20"/>
                <w:szCs w:val="20"/>
                <w:lang w:val="en-GB"/>
              </w:rPr>
              <w:t>þ</w:t>
            </w:r>
          </w:p>
        </w:tc>
        <w:tc>
          <w:tcPr>
            <w:tcW w:w="1742" w:type="dxa"/>
            <w:noWrap/>
            <w:hideMark/>
          </w:tcPr>
          <w:p w14:paraId="4DD48A03" w14:textId="77777777" w:rsidR="00CC258F" w:rsidRPr="00221992" w:rsidRDefault="00CC258F" w:rsidP="0085742E">
            <w:pPr>
              <w:keepNext/>
              <w:keepLines/>
              <w:spacing w:after="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Calibri Light"/>
                <w:color w:val="000000"/>
                <w:sz w:val="20"/>
                <w:szCs w:val="20"/>
                <w:lang w:val="en-GB" w:eastAsia="en-GB"/>
              </w:rPr>
            </w:pPr>
            <w:r w:rsidRPr="00221992">
              <w:rPr>
                <w:rFonts w:eastAsia="Times New Roman" w:cs="Calibri Light"/>
                <w:color w:val="000000"/>
                <w:sz w:val="20"/>
                <w:szCs w:val="20"/>
                <w:lang w:val="en-GB" w:eastAsia="en-GB"/>
              </w:rPr>
              <w:t> </w:t>
            </w:r>
          </w:p>
        </w:tc>
        <w:tc>
          <w:tcPr>
            <w:tcW w:w="1742" w:type="dxa"/>
            <w:noWrap/>
            <w:hideMark/>
          </w:tcPr>
          <w:p w14:paraId="6DBF7200" w14:textId="77777777" w:rsidR="00CC258F" w:rsidRPr="00221992" w:rsidRDefault="00CC258F" w:rsidP="0085742E">
            <w:pPr>
              <w:keepNext/>
              <w:keepLines/>
              <w:spacing w:after="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Calibri Light"/>
                <w:color w:val="000000"/>
                <w:sz w:val="20"/>
                <w:szCs w:val="20"/>
                <w:lang w:val="en-GB" w:eastAsia="en-GB"/>
              </w:rPr>
            </w:pPr>
            <w:r w:rsidRPr="00221992">
              <w:rPr>
                <w:rFonts w:eastAsia="Times New Roman" w:cs="Calibri Light"/>
                <w:color w:val="000000"/>
                <w:sz w:val="20"/>
                <w:szCs w:val="20"/>
                <w:lang w:val="en-GB" w:eastAsia="en-GB"/>
              </w:rPr>
              <w:t> </w:t>
            </w:r>
          </w:p>
        </w:tc>
      </w:tr>
      <w:tr w:rsidR="00CC258F" w:rsidRPr="00221992" w14:paraId="50C8ADC2" w14:textId="77777777" w:rsidTr="00D44B8E">
        <w:trPr>
          <w:trHeight w:val="280"/>
        </w:trPr>
        <w:tc>
          <w:tcPr>
            <w:cnfStyle w:val="001000000000" w:firstRow="0" w:lastRow="0" w:firstColumn="1" w:lastColumn="0" w:oddVBand="0" w:evenVBand="0" w:oddHBand="0" w:evenHBand="0" w:firstRowFirstColumn="0" w:firstRowLastColumn="0" w:lastRowFirstColumn="0" w:lastRowLastColumn="0"/>
            <w:tcW w:w="2247" w:type="dxa"/>
            <w:shd w:val="clear" w:color="auto" w:fill="0070C0"/>
            <w:noWrap/>
            <w:hideMark/>
          </w:tcPr>
          <w:p w14:paraId="68E15155" w14:textId="15210869" w:rsidR="00CC258F" w:rsidRPr="00221992" w:rsidRDefault="00CC258F" w:rsidP="0085742E">
            <w:pPr>
              <w:keepNext/>
              <w:keepLines/>
              <w:spacing w:after="0" w:line="240" w:lineRule="auto"/>
              <w:rPr>
                <w:rFonts w:eastAsia="Times New Roman" w:cs="Calibri Light"/>
                <w:sz w:val="20"/>
                <w:szCs w:val="20"/>
                <w:lang w:val="en-GB" w:eastAsia="en-GB"/>
              </w:rPr>
            </w:pPr>
            <w:r w:rsidRPr="00221992">
              <w:rPr>
                <w:rFonts w:eastAsia="Times New Roman" w:cs="Calibri Light"/>
                <w:sz w:val="20"/>
                <w:szCs w:val="20"/>
                <w:lang w:val="en-GB" w:eastAsia="en-GB"/>
              </w:rPr>
              <w:t>Taiwan</w:t>
            </w:r>
            <w:r w:rsidR="003B4F63" w:rsidRPr="00221992">
              <w:rPr>
                <w:rFonts w:eastAsia="Times New Roman" w:cs="Calibri Light"/>
                <w:sz w:val="20"/>
                <w:szCs w:val="20"/>
                <w:vertAlign w:val="superscript"/>
                <w:lang w:val="en-GB" w:eastAsia="en-GB"/>
              </w:rPr>
              <w:t>16</w:t>
            </w:r>
          </w:p>
        </w:tc>
        <w:tc>
          <w:tcPr>
            <w:tcW w:w="1741" w:type="dxa"/>
            <w:noWrap/>
            <w:hideMark/>
          </w:tcPr>
          <w:p w14:paraId="26FA0E6F" w14:textId="47F06094" w:rsidR="00CC258F" w:rsidRPr="00221992" w:rsidRDefault="00583BF7" w:rsidP="0085742E">
            <w:pPr>
              <w:keepNext/>
              <w:keepLines/>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Light"/>
                <w:color w:val="FF0000"/>
                <w:sz w:val="20"/>
                <w:szCs w:val="20"/>
                <w:lang w:val="en-GB" w:eastAsia="en-GB"/>
              </w:rPr>
            </w:pPr>
            <w:r w:rsidRPr="00221992">
              <w:rPr>
                <w:rFonts w:ascii="Wingdings" w:eastAsia="Wingdings" w:hAnsi="Wingdings" w:cs="Wingdings"/>
                <w:color w:val="7F7F7F" w:themeColor="text1" w:themeTint="80"/>
                <w:sz w:val="20"/>
                <w:szCs w:val="20"/>
                <w:lang w:val="en-GB"/>
              </w:rPr>
              <w:t>þ</w:t>
            </w:r>
          </w:p>
        </w:tc>
        <w:tc>
          <w:tcPr>
            <w:tcW w:w="1742" w:type="dxa"/>
            <w:noWrap/>
            <w:hideMark/>
          </w:tcPr>
          <w:p w14:paraId="62088905" w14:textId="77777777" w:rsidR="00CC258F" w:rsidRPr="00221992" w:rsidRDefault="00CC258F" w:rsidP="0085742E">
            <w:pPr>
              <w:keepNext/>
              <w:keepLines/>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Light"/>
                <w:color w:val="FF0000"/>
                <w:sz w:val="20"/>
                <w:szCs w:val="20"/>
                <w:lang w:val="en-GB" w:eastAsia="en-GB"/>
              </w:rPr>
            </w:pPr>
          </w:p>
        </w:tc>
        <w:tc>
          <w:tcPr>
            <w:tcW w:w="1742" w:type="dxa"/>
            <w:noWrap/>
            <w:hideMark/>
          </w:tcPr>
          <w:p w14:paraId="7C7D76B4" w14:textId="4E1A1001" w:rsidR="00CC258F" w:rsidRPr="00221992" w:rsidRDefault="00583BF7" w:rsidP="0085742E">
            <w:pPr>
              <w:keepNext/>
              <w:keepLines/>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Light"/>
                <w:color w:val="FF0000"/>
                <w:sz w:val="20"/>
                <w:szCs w:val="20"/>
                <w:lang w:val="en-GB" w:eastAsia="en-GB"/>
              </w:rPr>
            </w:pPr>
            <w:r w:rsidRPr="00221992">
              <w:rPr>
                <w:rFonts w:ascii="Wingdings" w:eastAsia="Wingdings" w:hAnsi="Wingdings" w:cs="Wingdings"/>
                <w:color w:val="7F7F7F" w:themeColor="text1" w:themeTint="80"/>
                <w:sz w:val="20"/>
                <w:szCs w:val="20"/>
                <w:lang w:val="en-GB"/>
              </w:rPr>
              <w:t>þ</w:t>
            </w:r>
          </w:p>
        </w:tc>
        <w:tc>
          <w:tcPr>
            <w:tcW w:w="1742" w:type="dxa"/>
            <w:noWrap/>
            <w:hideMark/>
          </w:tcPr>
          <w:p w14:paraId="743FDB30" w14:textId="77777777" w:rsidR="00CC258F" w:rsidRPr="00221992" w:rsidRDefault="00CC258F" w:rsidP="0085742E">
            <w:pPr>
              <w:keepNext/>
              <w:keepLines/>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Light"/>
                <w:color w:val="FF0000"/>
                <w:sz w:val="20"/>
                <w:szCs w:val="20"/>
                <w:lang w:val="en-GB" w:eastAsia="en-GB"/>
              </w:rPr>
            </w:pPr>
          </w:p>
        </w:tc>
      </w:tr>
      <w:tr w:rsidR="00CC258F" w:rsidRPr="00221992" w14:paraId="1120343F" w14:textId="77777777" w:rsidTr="00D44B8E">
        <w:trPr>
          <w:cnfStyle w:val="000000010000" w:firstRow="0" w:lastRow="0" w:firstColumn="0" w:lastColumn="0" w:oddVBand="0" w:evenVBand="0" w:oddHBand="0" w:evenHBand="1" w:firstRowFirstColumn="0" w:firstRowLastColumn="0" w:lastRowFirstColumn="0" w:lastRowLastColumn="0"/>
          <w:trHeight w:val="280"/>
        </w:trPr>
        <w:tc>
          <w:tcPr>
            <w:cnfStyle w:val="001000000000" w:firstRow="0" w:lastRow="0" w:firstColumn="1" w:lastColumn="0" w:oddVBand="0" w:evenVBand="0" w:oddHBand="0" w:evenHBand="0" w:firstRowFirstColumn="0" w:firstRowLastColumn="0" w:lastRowFirstColumn="0" w:lastRowLastColumn="0"/>
            <w:tcW w:w="2247" w:type="dxa"/>
            <w:shd w:val="clear" w:color="auto" w:fill="0070C0"/>
            <w:noWrap/>
            <w:hideMark/>
          </w:tcPr>
          <w:p w14:paraId="3DBEC5EA" w14:textId="09910082" w:rsidR="00CC258F" w:rsidRPr="00221992" w:rsidRDefault="003B4F63" w:rsidP="0085742E">
            <w:pPr>
              <w:keepNext/>
              <w:keepLines/>
              <w:spacing w:after="0" w:line="240" w:lineRule="auto"/>
              <w:rPr>
                <w:rFonts w:eastAsia="Times New Roman" w:cs="Calibri Light"/>
                <w:sz w:val="20"/>
                <w:szCs w:val="20"/>
                <w:lang w:val="en-GB" w:eastAsia="en-GB"/>
              </w:rPr>
            </w:pPr>
            <w:r w:rsidRPr="00221992">
              <w:rPr>
                <w:rFonts w:eastAsia="Times New Roman" w:cs="Calibri Light"/>
                <w:sz w:val="20"/>
                <w:szCs w:val="20"/>
                <w:lang w:val="en-GB" w:eastAsia="en-GB"/>
              </w:rPr>
              <w:t>UK</w:t>
            </w:r>
            <w:r w:rsidR="00CC258F" w:rsidRPr="00221992">
              <w:rPr>
                <w:rFonts w:eastAsia="Times New Roman" w:cs="Calibri Light"/>
                <w:sz w:val="20"/>
                <w:szCs w:val="20"/>
                <w:lang w:val="en-GB" w:eastAsia="en-GB"/>
              </w:rPr>
              <w:t xml:space="preserve"> (England</w:t>
            </w:r>
            <w:r w:rsidRPr="00221992">
              <w:rPr>
                <w:rFonts w:eastAsia="Times New Roman" w:cs="Calibri Light"/>
                <w:sz w:val="20"/>
                <w:szCs w:val="20"/>
                <w:lang w:val="en-GB" w:eastAsia="en-GB"/>
              </w:rPr>
              <w:t xml:space="preserve"> and Wales</w:t>
            </w:r>
            <w:r w:rsidR="00CC258F" w:rsidRPr="00221992">
              <w:rPr>
                <w:rFonts w:eastAsia="Times New Roman" w:cs="Calibri Light"/>
                <w:sz w:val="20"/>
                <w:szCs w:val="20"/>
                <w:lang w:val="en-GB" w:eastAsia="en-GB"/>
              </w:rPr>
              <w:t>)</w:t>
            </w:r>
            <w:r w:rsidRPr="00221992">
              <w:rPr>
                <w:rFonts w:eastAsia="Times New Roman" w:cs="Calibri Light"/>
                <w:sz w:val="20"/>
                <w:szCs w:val="20"/>
                <w:vertAlign w:val="superscript"/>
                <w:lang w:val="en-GB" w:eastAsia="en-GB"/>
              </w:rPr>
              <w:t>17</w:t>
            </w:r>
          </w:p>
        </w:tc>
        <w:tc>
          <w:tcPr>
            <w:tcW w:w="1741" w:type="dxa"/>
            <w:noWrap/>
            <w:hideMark/>
          </w:tcPr>
          <w:p w14:paraId="5ABB8510" w14:textId="7B4BEA64" w:rsidR="00CC258F" w:rsidRPr="00221992" w:rsidRDefault="00583BF7" w:rsidP="0085742E">
            <w:pPr>
              <w:keepNext/>
              <w:keepLines/>
              <w:spacing w:after="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Calibri Light"/>
                <w:color w:val="000000"/>
                <w:sz w:val="20"/>
                <w:szCs w:val="20"/>
                <w:lang w:val="en-GB" w:eastAsia="en-GB"/>
              </w:rPr>
            </w:pPr>
            <w:r w:rsidRPr="00221992">
              <w:rPr>
                <w:rFonts w:ascii="Wingdings" w:eastAsia="Wingdings" w:hAnsi="Wingdings" w:cs="Wingdings"/>
                <w:color w:val="FFC000"/>
                <w:sz w:val="20"/>
                <w:szCs w:val="20"/>
                <w:lang w:val="en-GB"/>
              </w:rPr>
              <w:t>þ</w:t>
            </w:r>
          </w:p>
        </w:tc>
        <w:tc>
          <w:tcPr>
            <w:tcW w:w="1742" w:type="dxa"/>
            <w:noWrap/>
            <w:hideMark/>
          </w:tcPr>
          <w:p w14:paraId="66EC9598" w14:textId="272E646B" w:rsidR="00CC258F" w:rsidRPr="00221992" w:rsidRDefault="00583BF7" w:rsidP="0085742E">
            <w:pPr>
              <w:keepNext/>
              <w:keepLines/>
              <w:spacing w:after="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Calibri Light"/>
                <w:color w:val="000000"/>
                <w:sz w:val="20"/>
                <w:szCs w:val="20"/>
                <w:lang w:val="en-GB" w:eastAsia="en-GB"/>
              </w:rPr>
            </w:pPr>
            <w:r w:rsidRPr="00221992">
              <w:rPr>
                <w:rFonts w:ascii="Wingdings" w:eastAsia="Wingdings" w:hAnsi="Wingdings" w:cs="Wingdings"/>
                <w:color w:val="FFC000"/>
                <w:sz w:val="20"/>
                <w:szCs w:val="20"/>
                <w:lang w:val="en-GB"/>
              </w:rPr>
              <w:t>þ</w:t>
            </w:r>
          </w:p>
        </w:tc>
        <w:tc>
          <w:tcPr>
            <w:tcW w:w="1742" w:type="dxa"/>
            <w:noWrap/>
            <w:hideMark/>
          </w:tcPr>
          <w:p w14:paraId="1D33DFCF" w14:textId="52BBD916" w:rsidR="00CC258F" w:rsidRPr="00221992" w:rsidRDefault="00583BF7" w:rsidP="0085742E">
            <w:pPr>
              <w:keepNext/>
              <w:keepLines/>
              <w:spacing w:after="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Calibri Light"/>
                <w:color w:val="000000"/>
                <w:sz w:val="20"/>
                <w:szCs w:val="20"/>
                <w:lang w:val="en-GB" w:eastAsia="en-GB"/>
              </w:rPr>
            </w:pPr>
            <w:r w:rsidRPr="00221992">
              <w:rPr>
                <w:rFonts w:ascii="Wingdings" w:eastAsia="Wingdings" w:hAnsi="Wingdings" w:cs="Wingdings"/>
                <w:color w:val="FFC000"/>
                <w:sz w:val="20"/>
                <w:szCs w:val="20"/>
                <w:lang w:val="en-GB"/>
              </w:rPr>
              <w:t>þ</w:t>
            </w:r>
          </w:p>
        </w:tc>
        <w:tc>
          <w:tcPr>
            <w:tcW w:w="1742" w:type="dxa"/>
            <w:noWrap/>
            <w:hideMark/>
          </w:tcPr>
          <w:p w14:paraId="6A1DB7C7" w14:textId="77777777" w:rsidR="00CC258F" w:rsidRPr="00221992" w:rsidRDefault="00CC258F" w:rsidP="0085742E">
            <w:pPr>
              <w:keepNext/>
              <w:keepLines/>
              <w:spacing w:after="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Calibri Light"/>
                <w:color w:val="000000"/>
                <w:sz w:val="20"/>
                <w:szCs w:val="20"/>
                <w:lang w:val="en-GB" w:eastAsia="en-GB"/>
              </w:rPr>
            </w:pPr>
            <w:r w:rsidRPr="00221992">
              <w:rPr>
                <w:rFonts w:eastAsia="Times New Roman" w:cs="Calibri Light"/>
                <w:color w:val="000000"/>
                <w:sz w:val="20"/>
                <w:szCs w:val="20"/>
                <w:lang w:val="en-GB" w:eastAsia="en-GB"/>
              </w:rPr>
              <w:t> </w:t>
            </w:r>
          </w:p>
        </w:tc>
      </w:tr>
      <w:tr w:rsidR="00CC258F" w:rsidRPr="00221992" w14:paraId="079BD59A" w14:textId="77777777" w:rsidTr="00D44B8E">
        <w:trPr>
          <w:trHeight w:val="280"/>
        </w:trPr>
        <w:tc>
          <w:tcPr>
            <w:cnfStyle w:val="001000000000" w:firstRow="0" w:lastRow="0" w:firstColumn="1" w:lastColumn="0" w:oddVBand="0" w:evenVBand="0" w:oddHBand="0" w:evenHBand="0" w:firstRowFirstColumn="0" w:firstRowLastColumn="0" w:lastRowFirstColumn="0" w:lastRowLastColumn="0"/>
            <w:tcW w:w="2247" w:type="dxa"/>
            <w:shd w:val="clear" w:color="auto" w:fill="0070C0"/>
            <w:noWrap/>
            <w:hideMark/>
          </w:tcPr>
          <w:p w14:paraId="1B811E65" w14:textId="4B6C54A2" w:rsidR="00CC258F" w:rsidRPr="00221992" w:rsidRDefault="003B4F63" w:rsidP="0085742E">
            <w:pPr>
              <w:keepNext/>
              <w:keepLines/>
              <w:spacing w:after="0" w:line="240" w:lineRule="auto"/>
              <w:rPr>
                <w:rFonts w:eastAsia="Times New Roman" w:cs="Calibri Light"/>
                <w:sz w:val="20"/>
                <w:szCs w:val="20"/>
                <w:lang w:val="en-GB" w:eastAsia="en-GB"/>
              </w:rPr>
            </w:pPr>
            <w:r w:rsidRPr="00221992">
              <w:rPr>
                <w:rFonts w:eastAsia="Times New Roman" w:cs="Calibri Light"/>
                <w:sz w:val="20"/>
                <w:szCs w:val="20"/>
                <w:lang w:val="en-GB" w:eastAsia="en-GB"/>
              </w:rPr>
              <w:t>UK</w:t>
            </w:r>
            <w:r w:rsidR="00CC258F" w:rsidRPr="00221992">
              <w:rPr>
                <w:rFonts w:eastAsia="Times New Roman" w:cs="Calibri Light"/>
                <w:sz w:val="20"/>
                <w:szCs w:val="20"/>
                <w:lang w:val="en-GB" w:eastAsia="en-GB"/>
              </w:rPr>
              <w:t xml:space="preserve"> (Scotland)</w:t>
            </w:r>
            <w:r w:rsidR="000F069F" w:rsidRPr="00221992">
              <w:rPr>
                <w:rFonts w:eastAsia="Times New Roman" w:cs="Calibri Light"/>
                <w:sz w:val="20"/>
                <w:szCs w:val="20"/>
                <w:vertAlign w:val="superscript"/>
                <w:lang w:val="en-GB" w:eastAsia="en-GB"/>
              </w:rPr>
              <w:t>18</w:t>
            </w:r>
          </w:p>
        </w:tc>
        <w:tc>
          <w:tcPr>
            <w:tcW w:w="1741" w:type="dxa"/>
            <w:noWrap/>
            <w:hideMark/>
          </w:tcPr>
          <w:p w14:paraId="4377C36F" w14:textId="69F0FE18" w:rsidR="00CC258F" w:rsidRPr="00221992" w:rsidRDefault="00583BF7" w:rsidP="0085742E">
            <w:pPr>
              <w:keepNext/>
              <w:keepLines/>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Light"/>
                <w:color w:val="FF0000"/>
                <w:sz w:val="20"/>
                <w:szCs w:val="20"/>
                <w:lang w:val="en-GB" w:eastAsia="en-GB"/>
              </w:rPr>
            </w:pPr>
            <w:r w:rsidRPr="00221992">
              <w:rPr>
                <w:rFonts w:ascii="Wingdings" w:eastAsia="Wingdings" w:hAnsi="Wingdings" w:cs="Wingdings"/>
                <w:color w:val="7F7F7F" w:themeColor="text1" w:themeTint="80"/>
                <w:sz w:val="20"/>
                <w:szCs w:val="20"/>
                <w:lang w:val="en-GB"/>
              </w:rPr>
              <w:t>þ</w:t>
            </w:r>
          </w:p>
        </w:tc>
        <w:tc>
          <w:tcPr>
            <w:tcW w:w="1742" w:type="dxa"/>
            <w:noWrap/>
            <w:hideMark/>
          </w:tcPr>
          <w:p w14:paraId="649162BF" w14:textId="77777777" w:rsidR="00CC258F" w:rsidRPr="00221992" w:rsidRDefault="00CC258F" w:rsidP="0085742E">
            <w:pPr>
              <w:keepNext/>
              <w:keepLines/>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Calibri Light"/>
                <w:color w:val="FF0000"/>
                <w:sz w:val="20"/>
                <w:szCs w:val="20"/>
                <w:lang w:val="en-GB" w:eastAsia="en-GB"/>
              </w:rPr>
            </w:pPr>
            <w:r w:rsidRPr="00347199">
              <w:rPr>
                <w:rFonts w:eastAsia="Times New Roman" w:cs="Calibri Light"/>
                <w:sz w:val="20"/>
                <w:szCs w:val="20"/>
                <w:lang w:val="en-GB" w:eastAsia="en-GB"/>
              </w:rPr>
              <w:t> </w:t>
            </w:r>
          </w:p>
        </w:tc>
        <w:tc>
          <w:tcPr>
            <w:tcW w:w="1742" w:type="dxa"/>
            <w:noWrap/>
            <w:hideMark/>
          </w:tcPr>
          <w:p w14:paraId="38862908" w14:textId="77777777" w:rsidR="00CC258F" w:rsidRPr="00221992" w:rsidRDefault="00CC258F" w:rsidP="0085742E">
            <w:pPr>
              <w:keepNext/>
              <w:keepLines/>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Calibri Light"/>
                <w:color w:val="FF0000"/>
                <w:sz w:val="20"/>
                <w:szCs w:val="20"/>
                <w:lang w:val="en-GB" w:eastAsia="en-GB"/>
              </w:rPr>
            </w:pPr>
            <w:r w:rsidRPr="00347199">
              <w:rPr>
                <w:rFonts w:eastAsia="Times New Roman" w:cs="Calibri Light"/>
                <w:sz w:val="20"/>
                <w:szCs w:val="20"/>
                <w:lang w:val="en-GB" w:eastAsia="en-GB"/>
              </w:rPr>
              <w:t> </w:t>
            </w:r>
          </w:p>
        </w:tc>
        <w:tc>
          <w:tcPr>
            <w:tcW w:w="1742" w:type="dxa"/>
            <w:noWrap/>
            <w:hideMark/>
          </w:tcPr>
          <w:p w14:paraId="0DE0E41D" w14:textId="77777777" w:rsidR="00CC258F" w:rsidRPr="00221992" w:rsidRDefault="00CC258F" w:rsidP="0085742E">
            <w:pPr>
              <w:keepNext/>
              <w:keepLines/>
              <w:spacing w:after="0" w:line="240" w:lineRule="auto"/>
              <w:cnfStyle w:val="000000000000" w:firstRow="0" w:lastRow="0" w:firstColumn="0" w:lastColumn="0" w:oddVBand="0" w:evenVBand="0" w:oddHBand="0" w:evenHBand="0" w:firstRowFirstColumn="0" w:firstRowLastColumn="0" w:lastRowFirstColumn="0" w:lastRowLastColumn="0"/>
              <w:rPr>
                <w:rFonts w:eastAsia="Times New Roman" w:cs="Calibri Light"/>
                <w:color w:val="FF0000"/>
                <w:sz w:val="20"/>
                <w:szCs w:val="20"/>
                <w:lang w:val="en-GB" w:eastAsia="en-GB"/>
              </w:rPr>
            </w:pPr>
            <w:r w:rsidRPr="00347199">
              <w:rPr>
                <w:rFonts w:eastAsia="Times New Roman" w:cs="Calibri Light"/>
                <w:sz w:val="20"/>
                <w:szCs w:val="20"/>
                <w:lang w:val="en-GB" w:eastAsia="en-GB"/>
              </w:rPr>
              <w:t> </w:t>
            </w:r>
          </w:p>
        </w:tc>
      </w:tr>
      <w:tr w:rsidR="00CC258F" w:rsidRPr="00221992" w14:paraId="36286E14" w14:textId="77777777" w:rsidTr="00D44B8E">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47" w:type="dxa"/>
            <w:shd w:val="clear" w:color="auto" w:fill="0070C0"/>
            <w:noWrap/>
            <w:hideMark/>
          </w:tcPr>
          <w:p w14:paraId="005E16BE" w14:textId="4940DB01" w:rsidR="00CC258F" w:rsidRPr="00221992" w:rsidRDefault="00F97967" w:rsidP="0085742E">
            <w:pPr>
              <w:keepNext/>
              <w:keepLines/>
              <w:spacing w:after="0" w:line="240" w:lineRule="auto"/>
              <w:rPr>
                <w:rFonts w:eastAsia="Times New Roman" w:cs="Calibri Light"/>
                <w:b/>
                <w:sz w:val="20"/>
                <w:szCs w:val="20"/>
                <w:lang w:val="en-GB" w:eastAsia="en-GB"/>
              </w:rPr>
            </w:pPr>
            <w:r w:rsidRPr="00221992">
              <w:rPr>
                <w:rFonts w:eastAsia="Times New Roman" w:cs="Calibri Light"/>
                <w:b/>
                <w:sz w:val="20"/>
                <w:szCs w:val="20"/>
                <w:lang w:val="en-GB" w:eastAsia="en-GB"/>
              </w:rPr>
              <w:t xml:space="preserve"> </w:t>
            </w:r>
            <w:r w:rsidR="00CC258F" w:rsidRPr="00221992">
              <w:rPr>
                <w:rFonts w:eastAsia="Times New Roman" w:cs="Calibri Light"/>
                <w:b/>
                <w:sz w:val="20"/>
                <w:szCs w:val="20"/>
                <w:lang w:val="en-GB" w:eastAsia="en-GB"/>
              </w:rPr>
              <w:t xml:space="preserve">TOTAL </w:t>
            </w:r>
          </w:p>
        </w:tc>
        <w:tc>
          <w:tcPr>
            <w:tcW w:w="1741" w:type="dxa"/>
            <w:noWrap/>
            <w:hideMark/>
          </w:tcPr>
          <w:p w14:paraId="349B276E" w14:textId="77777777" w:rsidR="00CC258F" w:rsidRPr="00221992" w:rsidRDefault="00CC258F" w:rsidP="0085742E">
            <w:pPr>
              <w:keepNext/>
              <w:keepLines/>
              <w:spacing w:after="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Calibri Light"/>
                <w:b/>
                <w:color w:val="000000"/>
                <w:sz w:val="20"/>
                <w:szCs w:val="20"/>
                <w:lang w:val="en-GB" w:eastAsia="en-GB"/>
              </w:rPr>
            </w:pPr>
            <w:r w:rsidRPr="00221992">
              <w:rPr>
                <w:rFonts w:eastAsia="Times New Roman" w:cs="Calibri Light"/>
                <w:b/>
                <w:color w:val="000000"/>
                <w:sz w:val="20"/>
                <w:szCs w:val="20"/>
                <w:lang w:val="en-GB" w:eastAsia="en-GB"/>
              </w:rPr>
              <w:t>14</w:t>
            </w:r>
          </w:p>
        </w:tc>
        <w:tc>
          <w:tcPr>
            <w:tcW w:w="1742" w:type="dxa"/>
            <w:noWrap/>
            <w:hideMark/>
          </w:tcPr>
          <w:p w14:paraId="3F44677A" w14:textId="77777777" w:rsidR="00CC258F" w:rsidRPr="00221992" w:rsidRDefault="00CC258F" w:rsidP="0085742E">
            <w:pPr>
              <w:keepNext/>
              <w:keepLines/>
              <w:spacing w:after="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Calibri Light"/>
                <w:b/>
                <w:color w:val="000000"/>
                <w:sz w:val="20"/>
                <w:szCs w:val="20"/>
                <w:lang w:val="en-GB" w:eastAsia="en-GB"/>
              </w:rPr>
            </w:pPr>
            <w:r w:rsidRPr="00221992">
              <w:rPr>
                <w:rFonts w:eastAsia="Times New Roman" w:cs="Calibri Light"/>
                <w:b/>
                <w:color w:val="000000"/>
                <w:sz w:val="20"/>
                <w:szCs w:val="20"/>
                <w:lang w:val="en-GB" w:eastAsia="en-GB"/>
              </w:rPr>
              <w:t>6</w:t>
            </w:r>
          </w:p>
        </w:tc>
        <w:tc>
          <w:tcPr>
            <w:tcW w:w="1742" w:type="dxa"/>
            <w:noWrap/>
            <w:hideMark/>
          </w:tcPr>
          <w:p w14:paraId="3E42843E" w14:textId="72C93F57" w:rsidR="00CC258F" w:rsidRPr="00221992" w:rsidRDefault="00582168" w:rsidP="0085742E">
            <w:pPr>
              <w:keepNext/>
              <w:keepLines/>
              <w:spacing w:after="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Calibri Light"/>
                <w:b/>
                <w:color w:val="000000"/>
                <w:sz w:val="20"/>
                <w:szCs w:val="20"/>
                <w:lang w:val="en-GB" w:eastAsia="en-GB"/>
              </w:rPr>
            </w:pPr>
            <w:r>
              <w:rPr>
                <w:rFonts w:eastAsia="Times New Roman" w:cs="Calibri Light"/>
                <w:b/>
                <w:color w:val="000000"/>
                <w:sz w:val="20"/>
                <w:szCs w:val="20"/>
                <w:lang w:val="en-GB" w:eastAsia="en-GB"/>
              </w:rPr>
              <w:t>6</w:t>
            </w:r>
          </w:p>
        </w:tc>
        <w:tc>
          <w:tcPr>
            <w:tcW w:w="1742" w:type="dxa"/>
            <w:noWrap/>
            <w:hideMark/>
          </w:tcPr>
          <w:p w14:paraId="18D81EF5" w14:textId="77777777" w:rsidR="00CC258F" w:rsidRPr="00221992" w:rsidRDefault="00CC258F" w:rsidP="0085742E">
            <w:pPr>
              <w:keepNext/>
              <w:keepLines/>
              <w:spacing w:after="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Calibri Light"/>
                <w:b/>
                <w:color w:val="000000"/>
                <w:sz w:val="20"/>
                <w:szCs w:val="20"/>
                <w:lang w:val="en-GB" w:eastAsia="en-GB"/>
              </w:rPr>
            </w:pPr>
            <w:r w:rsidRPr="00221992">
              <w:rPr>
                <w:rFonts w:eastAsia="Times New Roman" w:cs="Calibri Light"/>
                <w:b/>
                <w:color w:val="000000"/>
                <w:sz w:val="20"/>
                <w:szCs w:val="20"/>
                <w:lang w:val="en-GB" w:eastAsia="en-GB"/>
              </w:rPr>
              <w:t>6</w:t>
            </w:r>
          </w:p>
        </w:tc>
      </w:tr>
    </w:tbl>
    <w:p w14:paraId="083E13AE" w14:textId="72DA86DD" w:rsidR="00074201" w:rsidRPr="00D96368" w:rsidRDefault="00074201" w:rsidP="00533CF1">
      <w:pPr>
        <w:pStyle w:val="TableNotes"/>
        <w:rPr>
          <w:lang w:val="en-GB"/>
        </w:rPr>
      </w:pPr>
      <w:r w:rsidRPr="00221992">
        <w:rPr>
          <w:lang w:val="en-GB"/>
        </w:rPr>
        <w:t>Notes:</w:t>
      </w:r>
      <w:r w:rsidR="004D416A" w:rsidRPr="00221992">
        <w:rPr>
          <w:lang w:val="en-GB"/>
        </w:rPr>
        <w:tab/>
      </w:r>
      <w:r w:rsidRPr="00221992">
        <w:rPr>
          <w:lang w:val="en-GB"/>
        </w:rPr>
        <w:t xml:space="preserve">1. Australia: Multiple sources confirmed RSA and cost capping and special pricing agreement (SPA); Expert opinion (Department of Health HTA Review Refence committee meeting 14th August 2023) noted population caps were also in place </w:t>
      </w:r>
      <w:r w:rsidRPr="00221992">
        <w:rPr>
          <w:lang w:val="en-GB"/>
        </w:rPr>
        <w:fldChar w:fldCharType="begin"/>
      </w:r>
      <w:r w:rsidR="00E5265C">
        <w:rPr>
          <w:lang w:val="en-GB"/>
        </w:rPr>
        <w:instrText xml:space="preserve"> ADDIN EN.CITE &lt;EndNote&gt;&lt;Cite&gt;&lt;Author&gt;Makino&lt;/Author&gt;&lt;Year&gt;2014&lt;/Year&gt;&lt;RecNum&gt;310&lt;/RecNum&gt;&lt;DisplayText&gt;[200]&lt;/DisplayText&gt;&lt;record&gt;&lt;rec-number&gt;310&lt;/rec-number&gt;&lt;foreign-keys&gt;&lt;key app="EN" db-id="wzwwsfxe4peesxef95cxvrwjxts9rreasarf" timestamp="1692654670"&gt;310&lt;/key&gt;&lt;/foreign-keys&gt;&lt;ref-type name="Journal Article"&gt;17&lt;/ref-type&gt;&lt;contributors&gt;&lt;authors&gt;&lt;author&gt;Makino, K.&lt;/author&gt;&lt;author&gt;Tilden, D.&lt;/author&gt;&lt;author&gt;Kamei, M.&lt;/author&gt;&lt;author&gt;Shibata, K.&lt;/author&gt;&lt;/authors&gt;&lt;/contributors&gt;&lt;auth-address&gt;THEMA Consulting Pty. Ltd., Sydney, Australia.&amp;#xD;Thema Consulting, Sydney, Australia.&amp;#xD;Nihon University, Chiba, Japan.&amp;#xD;Showa University, Tokyo, Japan.&lt;/auth-address&gt;&lt;titles&gt;&lt;title&gt;Risk-Sharing Agreements In Australia: Attitude Towards Risk-Sharing Arrangements With The Department Of Health For The Pbs-Listing Of Pharmaceuticals&lt;/title&gt;&lt;secondary-title&gt;Value Health&lt;/secondary-title&gt;&lt;/titles&gt;&lt;periodical&gt;&lt;full-title&gt;Value Health&lt;/full-title&gt;&lt;/periodical&gt;&lt;pages&gt;A801&lt;/pages&gt;&lt;volume&gt;17&lt;/volume&gt;&lt;number&gt;7&lt;/number&gt;&lt;edition&gt;20141026&lt;/edition&gt;&lt;dates&gt;&lt;year&gt;2014&lt;/year&gt;&lt;pub-dates&gt;&lt;date&gt;Nov&lt;/date&gt;&lt;/pub-dates&gt;&lt;/dates&gt;&lt;isbn&gt;1524-4733 (Electronic)&amp;#xD;1098-3015 (Linking)&lt;/isbn&gt;&lt;accession-num&gt;27203014&lt;/accession-num&gt;&lt;urls&gt;&lt;related-urls&gt;&lt;url&gt;https://www.ncbi.nlm.nih.gov/pubmed/27203014&lt;/url&gt;&lt;url&gt;https://www.valueinhealthjournal.com/article/S1098-3015(14)02425-5/pdf&lt;/url&gt;&lt;/related-urls&gt;&lt;/urls&gt;&lt;electronic-resource-num&gt;10.1016/j.jval.2014.08.495&lt;/electronic-resource-num&gt;&lt;remote-database-name&gt;PubMed-not-MEDLINE&lt;/remote-database-name&gt;&lt;remote-database-provider&gt;NLM&lt;/remote-database-provider&gt;&lt;/record&gt;&lt;/Cite&gt;&lt;/EndNote&gt;</w:instrText>
      </w:r>
      <w:r w:rsidRPr="00221992">
        <w:rPr>
          <w:lang w:val="en-GB"/>
        </w:rPr>
        <w:fldChar w:fldCharType="separate"/>
      </w:r>
      <w:r w:rsidR="00E5265C">
        <w:rPr>
          <w:noProof/>
          <w:lang w:val="en-GB"/>
        </w:rPr>
        <w:t>[200]</w:t>
      </w:r>
      <w:r w:rsidRPr="00221992">
        <w:rPr>
          <w:lang w:val="en-GB"/>
        </w:rPr>
        <w:fldChar w:fldCharType="end"/>
      </w:r>
      <w:r w:rsidRPr="00221992">
        <w:rPr>
          <w:lang w:val="en-GB"/>
        </w:rPr>
        <w:t xml:space="preserve">; Interview with DOH note use of RSA and SPA (special pricing arrangements) in the form of subsidisation cap arrangements </w:t>
      </w:r>
      <w:r w:rsidRPr="00221992">
        <w:rPr>
          <w:lang w:val="en-GB"/>
        </w:rPr>
        <w:fldChar w:fldCharType="begin"/>
      </w:r>
      <w:r w:rsidR="00E5265C">
        <w:rPr>
          <w:lang w:val="en-GB"/>
        </w:rPr>
        <w:instrText xml:space="preserve"> ADDIN EN.CITE &lt;EndNote&gt;&lt;Cite&gt;&lt;Author&gt;Sudarshan S&lt;/Author&gt;&lt;Year&gt;2023&lt;/Year&gt;&lt;RecNum&gt;440&lt;/RecNum&gt;&lt;DisplayText&gt;[201]&lt;/DisplayText&gt;&lt;record&gt;&lt;rec-number&gt;440&lt;/rec-number&gt;&lt;foreign-keys&gt;&lt;key app="EN" db-id="wzwwsfxe4peesxef95cxvrwjxts9rreasarf" timestamp="1692654670"&gt;440&lt;/key&gt;&lt;/foreign-keys&gt;&lt;ref-type name="Interview"&gt;64&lt;/ref-type&gt;&lt;contributors&gt;&lt;authors&gt;&lt;author&gt;Sudarshan S,&lt;/author&gt;&lt;author&gt;Nash J,&lt;/author&gt;&lt;author&gt;Banney M,&lt;/author&gt;&lt;author&gt;Della Flora E,&lt;/author&gt;&lt;/authors&gt;&lt;secondary-authors&gt;&lt;author&gt;Goodall S,&lt;/author&gt;&lt;author&gt;Thomas M,&lt;/author&gt;&lt;author&gt;Manipis K,&lt;/author&gt;&lt;/secondary-authors&gt;&lt;/contributors&gt;&lt;titles&gt;&lt;title&gt;Pricing discussion HTA processes in Australia&lt;/title&gt;&lt;/titles&gt;&lt;dates&gt;&lt;year&gt;2023&lt;/year&gt;&lt;/dates&gt;&lt;urls&gt;&lt;/urls&gt;&lt;/record&gt;&lt;/Cite&gt;&lt;/EndNote&gt;</w:instrText>
      </w:r>
      <w:r w:rsidRPr="00221992">
        <w:rPr>
          <w:lang w:val="en-GB"/>
        </w:rPr>
        <w:fldChar w:fldCharType="separate"/>
      </w:r>
      <w:r w:rsidR="00E5265C">
        <w:rPr>
          <w:noProof/>
          <w:lang w:val="en-GB"/>
        </w:rPr>
        <w:t>[201]</w:t>
      </w:r>
      <w:r w:rsidRPr="00221992">
        <w:rPr>
          <w:lang w:val="en-GB"/>
        </w:rPr>
        <w:fldChar w:fldCharType="end"/>
      </w:r>
      <w:r w:rsidRPr="00221992">
        <w:rPr>
          <w:lang w:val="en-GB"/>
        </w:rPr>
        <w:t>; Population level expenditure caps</w:t>
      </w:r>
      <w:r w:rsidR="00D26B0F" w:rsidRPr="00221992">
        <w:rPr>
          <w:lang w:val="en-GB"/>
        </w:rPr>
        <w:t>, p</w:t>
      </w:r>
      <w:r w:rsidR="00406958" w:rsidRPr="00221992">
        <w:rPr>
          <w:lang w:val="en-GB"/>
        </w:rPr>
        <w:t xml:space="preserve">. </w:t>
      </w:r>
      <w:r w:rsidR="00FF24FA" w:rsidRPr="00221992">
        <w:rPr>
          <w:lang w:val="en-GB"/>
        </w:rPr>
        <w:t>15</w:t>
      </w:r>
      <w:r w:rsidRPr="00221992">
        <w:rPr>
          <w:lang w:val="en-GB"/>
        </w:rPr>
        <w:t xml:space="preserve"> </w:t>
      </w:r>
      <w:r w:rsidRPr="00221992">
        <w:rPr>
          <w:lang w:val="en-GB"/>
        </w:rPr>
        <w:fldChar w:fldCharType="begin"/>
      </w:r>
      <w:r w:rsidR="005A67DD" w:rsidRPr="00221992">
        <w:rPr>
          <w:lang w:val="en-GB"/>
        </w:rPr>
        <w:instrText xml:space="preserve"> ADDIN EN.CITE &lt;EndNote&gt;&lt;Cite&gt;&lt;Author&gt;Wenzl M&lt;/Author&gt;&lt;Year&gt;2019&lt;/Year&gt;&lt;RecNum&gt;477&lt;/RecNum&gt;&lt;DisplayText&gt;[6]&lt;/DisplayText&gt;&lt;record&gt;&lt;rec-number&gt;477&lt;/rec-number&gt;&lt;foreign-keys&gt;&lt;key app="EN" db-id="wzwwsfxe4peesxef95cxvrwjxts9rreasarf" timestamp="1692654671"&gt;477&lt;/key&gt;&lt;/foreign-keys&gt;&lt;ref-type name="Book Section"&gt;5&lt;/ref-type&gt;&lt;contributors&gt;&lt;authors&gt;&lt;author&gt;Wenzl M,&lt;/author&gt;&lt;author&gt;Chapman S.&lt;/author&gt;&lt;/authors&gt;&lt;/contributors&gt;&lt;titles&gt;&lt;title&gt;Performance-Based Managed Entry Agreements For New Medicines in OECD Countries and EU Member States: How They Work and Possible Improvements Going Forward.&lt;/title&gt;&lt;secondary-title&gt;OECD Health Working Papers,&lt;/secondary-title&gt;&lt;/titles&gt;&lt;volume&gt;No. 115&lt;/volume&gt;&lt;dates&gt;&lt;year&gt;2019&lt;/year&gt;&lt;/dates&gt;&lt;pub-location&gt;Paris&lt;/pub-location&gt;&lt;publisher&gt;OECD Publishing&lt;/publisher&gt;&lt;urls&gt;&lt;related-urls&gt;&lt;url&gt;https://www.oecd-ilibrary.org/content/paper/6e5e4c0f-en&lt;/url&gt;&lt;/related-urls&gt;&lt;/urls&gt;&lt;electronic-resource-num&gt;doi:https://doi.org/10.1787/6e5e4c0f-en&lt;/electronic-resource-num&gt;&lt;/record&gt;&lt;/Cite&gt;&lt;/EndNote&gt;</w:instrText>
      </w:r>
      <w:r w:rsidRPr="00221992">
        <w:rPr>
          <w:lang w:val="en-GB"/>
        </w:rPr>
        <w:fldChar w:fldCharType="separate"/>
      </w:r>
      <w:r w:rsidR="005A67DD" w:rsidRPr="00221992">
        <w:rPr>
          <w:noProof/>
          <w:lang w:val="en-GB"/>
        </w:rPr>
        <w:t>[6]</w:t>
      </w:r>
      <w:r w:rsidRPr="00221992">
        <w:rPr>
          <w:lang w:val="en-GB"/>
        </w:rPr>
        <w:fldChar w:fldCharType="end"/>
      </w:r>
      <w:r w:rsidRPr="00221992">
        <w:rPr>
          <w:lang w:val="en-GB"/>
        </w:rPr>
        <w:t xml:space="preserve">; </w:t>
      </w:r>
      <w:r w:rsidRPr="00221992">
        <w:rPr>
          <w:lang w:val="en-GB"/>
        </w:rPr>
        <w:fldChar w:fldCharType="begin">
          <w:fldData xml:space="preserve">PEVuZE5vdGU+PENpdGU+PEF1dGhvcj5MZWU8L0F1dGhvcj48WWVhcj4yMDIxPC9ZZWFyPjxSZWNO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</w:fldData>
        </w:fldChar>
      </w:r>
      <w:r w:rsidR="00E5265C">
        <w:rPr>
          <w:lang w:val="en-GB"/>
        </w:rPr>
        <w:instrText xml:space="preserve"> ADDIN EN.CITE </w:instrText>
      </w:r>
      <w:r w:rsidR="00E5265C">
        <w:rPr>
          <w:lang w:val="en-GB"/>
        </w:rPr>
        <w:fldChar w:fldCharType="begin">
          <w:fldData xml:space="preserve">PEVuZE5vdGU+PENpdGU+PEF1dGhvcj5MZWU8L0F1dGhvcj48WWVhcj4yMDIxPC9ZZWFyPjxSZWNO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</w:fldData>
        </w:fldChar>
      </w:r>
      <w:r w:rsidR="00E5265C">
        <w:rPr>
          <w:lang w:val="en-GB"/>
        </w:rPr>
        <w:instrText xml:space="preserve"> ADDIN EN.CITE.DATA </w:instrText>
      </w:r>
      <w:r w:rsidR="00E5265C">
        <w:rPr>
          <w:lang w:val="en-GB"/>
        </w:rPr>
      </w:r>
      <w:r w:rsidR="00E5265C">
        <w:rPr>
          <w:lang w:val="en-GB"/>
        </w:rPr>
        <w:fldChar w:fldCharType="end"/>
      </w:r>
      <w:r w:rsidRPr="00221992">
        <w:rPr>
          <w:lang w:val="en-GB"/>
        </w:rPr>
      </w:r>
      <w:r w:rsidRPr="00221992">
        <w:rPr>
          <w:lang w:val="en-GB"/>
        </w:rPr>
        <w:fldChar w:fldCharType="separate"/>
      </w:r>
      <w:r w:rsidR="00E5265C">
        <w:rPr>
          <w:noProof/>
          <w:lang w:val="en-GB"/>
        </w:rPr>
        <w:t>[5, 202]</w:t>
      </w:r>
      <w:r w:rsidRPr="00221992">
        <w:rPr>
          <w:lang w:val="en-GB"/>
        </w:rPr>
        <w:fldChar w:fldCharType="end"/>
      </w:r>
      <w:r w:rsidRPr="00221992">
        <w:rPr>
          <w:lang w:val="en-GB"/>
        </w:rPr>
        <w:t>. 2. Belgium:</w:t>
      </w:r>
      <w:r w:rsidR="00EC1246" w:rsidRPr="00221992">
        <w:rPr>
          <w:lang w:val="en-GB"/>
        </w:rPr>
        <w:t xml:space="preserve"> </w:t>
      </w:r>
      <w:r w:rsidRPr="00221992">
        <w:rPr>
          <w:lang w:val="en-GB"/>
        </w:rPr>
        <w:t xml:space="preserve">RSA confirmed </w:t>
      </w:r>
      <w:r w:rsidRPr="00221992">
        <w:rPr>
          <w:lang w:val="en-GB"/>
        </w:rPr>
        <w:fldChar w:fldCharType="begin"/>
      </w:r>
      <w:r w:rsidR="00E5265C">
        <w:rPr>
          <w:lang w:val="en-GB"/>
        </w:rPr>
        <w:instrText xml:space="preserve"> ADDIN EN.CITE &lt;EndNote&gt;&lt;Cite&gt;&lt;Author&gt;Pauwels&lt;/Author&gt;&lt;Year&gt;2017&lt;/Year&gt;&lt;RecNum&gt;376&lt;/RecNum&gt;&lt;DisplayText&gt;[203]&lt;/DisplayText&gt;&lt;record&gt;&lt;rec-number&gt;376&lt;/rec-number&gt;&lt;foreign-keys&gt;&lt;key app="EN" db-id="wzwwsfxe4peesxef95cxvrwjxts9rreasarf" timestamp="1692654670"&gt;376&lt;/key&gt;&lt;/foreign-keys&gt;&lt;ref-type name="Journal Article"&gt;17&lt;/ref-type&gt;&lt;contributors&gt;&lt;authors&gt;&lt;author&gt;Pauwels, K.&lt;/author&gt;&lt;author&gt;Huys, I.&lt;/author&gt;&lt;author&gt;Vogler, S.&lt;/author&gt;&lt;author&gt;Casteels, M.&lt;/author&gt;&lt;author&gt;Simoens, S.&lt;/author&gt;&lt;/authors&gt;&lt;/contributors&gt;&lt;auth-address&gt;Department Pharmaceutical and Pharmacological Sciences, KU LeuvenLeuven, Belgium&amp;#xD;World Health Organization Collaborating Centre for Pharmaceutical Pricing and Reimbursement Policies, Gesundheit Österreich GmbHVienna, Austria&lt;/auth-address&gt;&lt;titles&gt;&lt;title&gt;Managed Entry Agreements for Oncology Drugs: Lessons from the European Experience to Inform the Future&lt;/title&gt;&lt;secondary-title&gt;Front Pharmacol&lt;/secondary-title&gt;&lt;/titles&gt;&lt;periodical&gt;&lt;full-title&gt;Front Pharmacol&lt;/full-title&gt;&lt;/periodical&gt;&lt;volume&gt;8&lt;/volume&gt;&lt;edition&gt;20170404&lt;/edition&gt;&lt;dates&gt;&lt;year&gt;2017&lt;/year&gt;&lt;/dates&gt;&lt;accession-num&gt;28420990&lt;/accession-num&gt;&lt;urls&gt;&lt;/urls&gt;&lt;custom2&gt;PMC5378787&lt;/custom2&gt;&lt;electronic-resource-num&gt;10.3389/fphar.2017.00171&lt;/electronic-resource-num&gt;&lt;language&gt;eng&lt;/language&gt;&lt;/record&gt;&lt;/Cite&gt;&lt;/EndNote&gt;</w:instrText>
      </w:r>
      <w:r w:rsidRPr="00221992">
        <w:rPr>
          <w:lang w:val="en-GB"/>
        </w:rPr>
        <w:fldChar w:fldCharType="separate"/>
      </w:r>
      <w:r w:rsidR="00E5265C">
        <w:rPr>
          <w:noProof/>
          <w:lang w:val="en-GB"/>
        </w:rPr>
        <w:t>[203]</w:t>
      </w:r>
      <w:r w:rsidRPr="00221992">
        <w:rPr>
          <w:lang w:val="en-GB"/>
        </w:rPr>
        <w:fldChar w:fldCharType="end"/>
      </w:r>
      <w:r w:rsidRPr="00221992">
        <w:rPr>
          <w:lang w:val="en-GB"/>
        </w:rPr>
        <w:t>. 3. Canada: Reports usage of financial MEAs. RSA/discounts/rebates are most common and are assumed to be the MEA in place if none others are verified elsewhere</w:t>
      </w:r>
      <w:r w:rsidR="0030790D" w:rsidRPr="00221992">
        <w:rPr>
          <w:lang w:val="en-GB"/>
        </w:rPr>
        <w:t>, p</w:t>
      </w:r>
      <w:r w:rsidR="00F02E09" w:rsidRPr="00221992">
        <w:rPr>
          <w:lang w:val="en-GB"/>
        </w:rPr>
        <w:t>.</w:t>
      </w:r>
      <w:r w:rsidR="0030790D" w:rsidRPr="00221992">
        <w:rPr>
          <w:lang w:val="en-GB"/>
        </w:rPr>
        <w:t xml:space="preserve"> 18</w:t>
      </w:r>
      <w:r w:rsidRPr="00221992">
        <w:rPr>
          <w:lang w:val="en-GB"/>
        </w:rPr>
        <w:t xml:space="preserve"> </w:t>
      </w:r>
      <w:r w:rsidRPr="00221992">
        <w:rPr>
          <w:lang w:val="en-GB"/>
        </w:rPr>
        <w:fldChar w:fldCharType="begin"/>
      </w:r>
      <w:r w:rsidR="005A67DD" w:rsidRPr="00221992">
        <w:rPr>
          <w:lang w:val="en-GB"/>
        </w:rPr>
        <w:instrText xml:space="preserve"> ADDIN EN.CITE &lt;EndNote&gt;&lt;Cite&gt;&lt;Author&gt;Wenzl M&lt;/Author&gt;&lt;Year&gt;2019&lt;/Year&gt;&lt;RecNum&gt;477&lt;/RecNum&gt;&lt;DisplayText&gt;[6]&lt;/DisplayText&gt;&lt;record&gt;&lt;rec-number&gt;477&lt;/rec-number&gt;&lt;foreign-keys&gt;&lt;key app="EN" db-id="wzwwsfxe4peesxef95cxvrwjxts9rreasarf" timestamp="1692654671"&gt;477&lt;/key&gt;&lt;/foreign-keys&gt;&lt;ref-type name="Book Section"&gt;5&lt;/ref-type&gt;&lt;contributors&gt;&lt;authors&gt;&lt;author&gt;Wenzl M,&lt;/author&gt;&lt;author&gt;Chapman S.&lt;/author&gt;&lt;/authors&gt;&lt;/contributors&gt;&lt;titles&gt;&lt;title&gt;Performance-Based Managed Entry Agreements For New Medicines in OECD Countries and EU Member States: How They Work and Possible Improvements Going Forward.&lt;/title&gt;&lt;secondary-title&gt;OECD Health Working Papers,&lt;/secondary-title&gt;&lt;/titles&gt;&lt;volume&gt;No. 115&lt;/volume&gt;&lt;dates&gt;&lt;year&gt;2019&lt;/year&gt;&lt;/dates&gt;&lt;pub-location&gt;Paris&lt;/pub-location&gt;&lt;publisher&gt;OECD Publishing&lt;/publisher&gt;&lt;urls&gt;&lt;related-urls&gt;&lt;url&gt;https://www.oecd-ilibrary.org/content/paper/6e5e4c0f-en&lt;/url&gt;&lt;/related-urls&gt;&lt;/urls&gt;&lt;electronic-resource-num&gt;doi:https://doi.org/10.1787/6e5e4c0f-en&lt;/electronic-resource-num&gt;&lt;/record&gt;&lt;/Cite&gt;&lt;/EndNote&gt;</w:instrText>
      </w:r>
      <w:r w:rsidRPr="00221992">
        <w:rPr>
          <w:lang w:val="en-GB"/>
        </w:rPr>
        <w:fldChar w:fldCharType="separate"/>
      </w:r>
      <w:r w:rsidR="005A67DD" w:rsidRPr="00221992">
        <w:rPr>
          <w:noProof/>
          <w:lang w:val="en-GB"/>
        </w:rPr>
        <w:t>[6]</w:t>
      </w:r>
      <w:r w:rsidRPr="00221992">
        <w:rPr>
          <w:lang w:val="en-GB"/>
        </w:rPr>
        <w:fldChar w:fldCharType="end"/>
      </w:r>
      <w:r w:rsidRPr="00221992">
        <w:rPr>
          <w:lang w:val="en-GB"/>
        </w:rPr>
        <w:t>. 4.France:</w:t>
      </w:r>
      <w:r w:rsidR="00F02E09" w:rsidRPr="00221992">
        <w:rPr>
          <w:lang w:val="en-GB"/>
        </w:rPr>
        <w:t xml:space="preserve"> </w:t>
      </w:r>
      <w:r w:rsidR="002527BE" w:rsidRPr="00221992">
        <w:rPr>
          <w:lang w:val="en-GB"/>
        </w:rPr>
        <w:t>p</w:t>
      </w:r>
      <w:r w:rsidR="00F02E09" w:rsidRPr="00221992">
        <w:rPr>
          <w:lang w:val="en-GB"/>
        </w:rPr>
        <w:t>.</w:t>
      </w:r>
      <w:r w:rsidR="002527BE" w:rsidRPr="00221992">
        <w:rPr>
          <w:lang w:val="en-GB"/>
        </w:rPr>
        <w:t xml:space="preserve"> 15</w:t>
      </w:r>
      <w:r w:rsidR="008A6310">
        <w:rPr>
          <w:lang w:val="en-GB"/>
        </w:rPr>
        <w:t xml:space="preserve"> </w:t>
      </w:r>
      <w:r w:rsidRPr="00221992">
        <w:rPr>
          <w:lang w:val="en-GB"/>
        </w:rPr>
        <w:fldChar w:fldCharType="begin"/>
      </w:r>
      <w:r w:rsidR="005A67DD" w:rsidRPr="00221992">
        <w:rPr>
          <w:lang w:val="en-GB"/>
        </w:rPr>
        <w:instrText xml:space="preserve"> ADDIN EN.CITE &lt;EndNote&gt;&lt;Cite&gt;&lt;Author&gt;Wenzl M&lt;/Author&gt;&lt;Year&gt;2019&lt;/Year&gt;&lt;RecNum&gt;477&lt;/RecNum&gt;&lt;DisplayText&gt;[6]&lt;/DisplayText&gt;&lt;record&gt;&lt;rec-number&gt;477&lt;/rec-number&gt;&lt;foreign-keys&gt;&lt;key app="EN" db-id="wzwwsfxe4peesxef95cxvrwjxts9rreasarf" timestamp="1692654671"&gt;477&lt;/key&gt;&lt;/foreign-keys&gt;&lt;ref-type name="Book Section"&gt;5&lt;/ref-type&gt;&lt;contributors&gt;&lt;authors&gt;&lt;author&gt;Wenzl M,&lt;/author&gt;&lt;author&gt;Chapman S.&lt;/author&gt;&lt;/authors&gt;&lt;/contributors&gt;&lt;titles&gt;&lt;title&gt;Performance-Based Managed Entry Agreements For New Medicines in OECD Countries and EU Member States: How They Work and Possible Improvements Going Forward.&lt;/title&gt;&lt;secondary-title&gt;OECD Health Working Papers,&lt;/secondary-title&gt;&lt;/titles&gt;&lt;volume&gt;No. 115&lt;/volume&gt;&lt;dates&gt;&lt;year&gt;2019&lt;/year&gt;&lt;/dates&gt;&lt;pub-location&gt;Paris&lt;/pub-location&gt;&lt;publisher&gt;OECD Publishing&lt;/publisher&gt;&lt;urls&gt;&lt;related-urls&gt;&lt;url&gt;https://www.oecd-ilibrary.org/content/paper/6e5e4c0f-en&lt;/url&gt;&lt;/related-urls&gt;&lt;/urls&gt;&lt;electronic-resource-num&gt;doi:https://doi.org/10.1787/6e5e4c0f-en&lt;/electronic-resource-num&gt;&lt;/record&gt;&lt;/Cite&gt;&lt;/EndNote&gt;</w:instrText>
      </w:r>
      <w:r w:rsidRPr="00221992">
        <w:rPr>
          <w:lang w:val="en-GB"/>
        </w:rPr>
        <w:fldChar w:fldCharType="separate"/>
      </w:r>
      <w:r w:rsidR="005A67DD" w:rsidRPr="00221992">
        <w:rPr>
          <w:noProof/>
          <w:lang w:val="en-GB"/>
        </w:rPr>
        <w:t>[6]</w:t>
      </w:r>
      <w:r w:rsidRPr="00221992">
        <w:rPr>
          <w:lang w:val="en-GB"/>
        </w:rPr>
        <w:fldChar w:fldCharType="end"/>
      </w:r>
      <w:r w:rsidRPr="00221992">
        <w:rPr>
          <w:lang w:val="en-GB"/>
        </w:rPr>
        <w:t>. 5. Germany: No financial MEAs reported by OECD</w:t>
      </w:r>
      <w:r w:rsidR="003F5586" w:rsidRPr="00221992">
        <w:rPr>
          <w:lang w:val="en-GB"/>
        </w:rPr>
        <w:t>, p</w:t>
      </w:r>
      <w:r w:rsidR="00E417CA">
        <w:rPr>
          <w:lang w:val="en-GB"/>
        </w:rPr>
        <w:t xml:space="preserve">. </w:t>
      </w:r>
      <w:r w:rsidR="003F5586" w:rsidRPr="00221992">
        <w:rPr>
          <w:lang w:val="en-GB"/>
        </w:rPr>
        <w:t>18</w:t>
      </w:r>
      <w:r w:rsidRPr="00221992">
        <w:rPr>
          <w:lang w:val="en-GB"/>
        </w:rPr>
        <w:t xml:space="preserve"> </w:t>
      </w:r>
      <w:r w:rsidRPr="00221992">
        <w:rPr>
          <w:lang w:val="en-GB"/>
        </w:rPr>
        <w:fldChar w:fldCharType="begin"/>
      </w:r>
      <w:r w:rsidR="005A67DD" w:rsidRPr="00221992">
        <w:rPr>
          <w:lang w:val="en-GB"/>
        </w:rPr>
        <w:instrText xml:space="preserve"> ADDIN EN.CITE &lt;EndNote&gt;&lt;Cite&gt;&lt;Author&gt;Wenzl M&lt;/Author&gt;&lt;Year&gt;2019&lt;/Year&gt;&lt;RecNum&gt;477&lt;/RecNum&gt;&lt;DisplayText&gt;[6]&lt;/DisplayText&gt;&lt;record&gt;&lt;rec-number&gt;477&lt;/rec-number&gt;&lt;foreign-keys&gt;&lt;key app="EN" db-id="wzwwsfxe4peesxef95cxvrwjxts9rreasarf" timestamp="1692654671"&gt;477&lt;/key&gt;&lt;/foreign-keys&gt;&lt;ref-type name="Book Section"&gt;5&lt;/ref-type&gt;&lt;contributors&gt;&lt;authors&gt;&lt;author&gt;Wenzl M,&lt;/author&gt;&lt;author&gt;Chapman S.&lt;/author&gt;&lt;/authors&gt;&lt;/contributors&gt;&lt;titles&gt;&lt;title&gt;Performance-Based Managed Entry Agreements For New Medicines in OECD Countries and EU Member States: How They Work and Possible Improvements Going Forward.&lt;/title&gt;&lt;secondary-title&gt;OECD Health Working Papers,&lt;/secondary-title&gt;&lt;/titles&gt;&lt;volume&gt;No. 115&lt;/volume&gt;&lt;dates&gt;&lt;year&gt;2019&lt;/year&gt;&lt;/dates&gt;&lt;pub-location&gt;Paris&lt;/pub-location&gt;&lt;publisher&gt;OECD Publishing&lt;/publisher&gt;&lt;urls&gt;&lt;related-urls&gt;&lt;url&gt;https://www.oecd-ilibrary.org/content/paper/6e5e4c0f-en&lt;/url&gt;&lt;/related-urls&gt;&lt;/urls&gt;&lt;electronic-resource-num&gt;doi:https://doi.org/10.1787/6e5e4c0f-en&lt;/electronic-resource-num&gt;&lt;/record&gt;&lt;/Cite&gt;&lt;/EndNote&gt;</w:instrText>
      </w:r>
      <w:r w:rsidRPr="00221992">
        <w:rPr>
          <w:lang w:val="en-GB"/>
        </w:rPr>
        <w:fldChar w:fldCharType="separate"/>
      </w:r>
      <w:r w:rsidR="005A67DD" w:rsidRPr="00221992">
        <w:rPr>
          <w:noProof/>
          <w:lang w:val="en-GB"/>
        </w:rPr>
        <w:t>[6]</w:t>
      </w:r>
      <w:r w:rsidRPr="00221992">
        <w:rPr>
          <w:lang w:val="en-GB"/>
        </w:rPr>
        <w:fldChar w:fldCharType="end"/>
      </w:r>
      <w:r w:rsidRPr="00221992">
        <w:rPr>
          <w:lang w:val="en-GB"/>
        </w:rPr>
        <w:t>. 6. Japan: No MEAs reported in Japan by OECD. Value</w:t>
      </w:r>
      <w:r w:rsidR="0060159D" w:rsidRPr="00221992">
        <w:rPr>
          <w:lang w:val="en-GB"/>
        </w:rPr>
        <w:t>-</w:t>
      </w:r>
      <w:r w:rsidRPr="00221992">
        <w:rPr>
          <w:lang w:val="en-GB"/>
        </w:rPr>
        <w:t xml:space="preserve">based pricing using ICER thresholds found </w:t>
      </w:r>
      <w:r w:rsidRPr="00221992">
        <w:rPr>
          <w:lang w:val="en-GB"/>
        </w:rPr>
        <w:fldChar w:fldCharType="begin"/>
      </w:r>
      <w:r w:rsidR="00E5265C">
        <w:rPr>
          <w:lang w:val="en-GB"/>
        </w:rPr>
        <w:instrText xml:space="preserve"> ADDIN EN.CITE &lt;EndNote&gt;&lt;Cite&gt;&lt;Author&gt;Eversana.&lt;/Author&gt;&lt;Year&gt;2022&lt;/Year&gt;&lt;RecNum&gt;137&lt;/RecNum&gt;&lt;DisplayText&gt;[204]&lt;/DisplayText&gt;&lt;record&gt;&lt;rec-number&gt;137&lt;/rec-number&gt;&lt;foreign-keys&gt;&lt;key app="EN" db-id="wzwwsfxe4peesxef95cxvrwjxts9rreasarf" timestamp="1692654670"&gt;137&lt;/key&gt;&lt;/foreign-keys&gt;&lt;ref-type name="Web Page"&gt;12&lt;/ref-type&gt;&lt;contributors&gt;&lt;authors&gt;&lt;author&gt;Eversana.&lt;/author&gt;&lt;/authors&gt;&lt;/contributors&gt;&lt;titles&gt;&lt;title&gt;The Evolution of HTA and Its Impact on Drug Prices in Japan. https://www.eversana.com/insights/the-evolution-of-hta-and-its-impact-on-drug-prices-in-japan/ accessed 17 August 2023&lt;/title&gt;&lt;/titles&gt;&lt;dates&gt;&lt;year&gt;2022&lt;/year&gt;&lt;/dates&gt;&lt;urls&gt;&lt;/urls&gt;&lt;/record&gt;&lt;/Cite&gt;&lt;/EndNote&gt;</w:instrText>
      </w:r>
      <w:r w:rsidRPr="00221992">
        <w:rPr>
          <w:lang w:val="en-GB"/>
        </w:rPr>
        <w:fldChar w:fldCharType="separate"/>
      </w:r>
      <w:r w:rsidR="00E5265C">
        <w:rPr>
          <w:noProof/>
          <w:lang w:val="en-GB"/>
        </w:rPr>
        <w:t>[204]</w:t>
      </w:r>
      <w:r w:rsidRPr="00221992">
        <w:rPr>
          <w:lang w:val="en-GB"/>
        </w:rPr>
        <w:fldChar w:fldCharType="end"/>
      </w:r>
      <w:r w:rsidR="00EC0D09" w:rsidRPr="00221992">
        <w:rPr>
          <w:lang w:val="en-GB"/>
        </w:rPr>
        <w:t>. 7. Korea: Confirms use of CTC, patient level expenditure caps,</w:t>
      </w:r>
      <w:r w:rsidR="00EC1246" w:rsidRPr="00221992">
        <w:rPr>
          <w:lang w:val="en-GB"/>
        </w:rPr>
        <w:t xml:space="preserve"> </w:t>
      </w:r>
      <w:r w:rsidR="00EC0D09" w:rsidRPr="00221992">
        <w:rPr>
          <w:lang w:val="en-GB"/>
        </w:rPr>
        <w:t>risk</w:t>
      </w:r>
      <w:r w:rsidR="00EC1246" w:rsidRPr="00221992">
        <w:rPr>
          <w:lang w:val="en-GB"/>
        </w:rPr>
        <w:t xml:space="preserve"> </w:t>
      </w:r>
      <w:r w:rsidR="00EC0D09" w:rsidRPr="00221992">
        <w:rPr>
          <w:lang w:val="en-GB"/>
        </w:rPr>
        <w:t>sharing and patient utilisation cap</w:t>
      </w:r>
      <w:r w:rsidR="00D07253" w:rsidRPr="00221992">
        <w:rPr>
          <w:lang w:val="en-GB"/>
        </w:rPr>
        <w:t xml:space="preserve">, </w:t>
      </w:r>
      <w:r w:rsidR="00EC0D09" w:rsidRPr="00221992">
        <w:rPr>
          <w:lang w:val="en-GB"/>
        </w:rPr>
        <w:t>p</w:t>
      </w:r>
      <w:r w:rsidR="00F02E09" w:rsidRPr="00221992">
        <w:rPr>
          <w:lang w:val="en-GB"/>
        </w:rPr>
        <w:t xml:space="preserve">. </w:t>
      </w:r>
      <w:r w:rsidR="00EC0D09" w:rsidRPr="00221992">
        <w:rPr>
          <w:lang w:val="en-GB"/>
        </w:rPr>
        <w:t xml:space="preserve">2 </w:t>
      </w:r>
      <w:r w:rsidR="00EC0D09" w:rsidRPr="00221992">
        <w:rPr>
          <w:lang w:val="en-GB"/>
        </w:rPr>
        <w:fldChar w:fldCharType="begin"/>
      </w:r>
      <w:r w:rsidR="005A67DD" w:rsidRPr="00221992">
        <w:rPr>
          <w:lang w:val="en-GB"/>
        </w:rPr>
        <w:instrText xml:space="preserve"> ADDIN EN.CITE &lt;EndNote&gt;&lt;Cite&gt;&lt;Author&gt;Lee&lt;/Author&gt;&lt;Year&gt;2021&lt;/Year&gt;&lt;RecNum&gt;282&lt;/RecNum&gt;&lt;DisplayText&gt;[5]&lt;/DisplayText&gt;&lt;record&gt;&lt;rec-number&gt;282&lt;/rec-number&gt;&lt;foreign-keys&gt;&lt;key app="EN" db-id="wzwwsfxe4peesxef95cxvrwjxts9rreasarf" timestamp="1692654670"&gt;282&lt;/key&gt;&lt;/foreign-keys&gt;&lt;ref-type name="Journal Article"&gt;17&lt;/ref-type&gt;&lt;contributors&gt;&lt;authors&gt;&lt;author&gt;Lee, B.&lt;/author&gt;&lt;author&gt;Bae, E. Y.&lt;/author&gt;&lt;author&gt;Bae, S.&lt;/author&gt;&lt;author&gt;Choi, H. J.&lt;/author&gt;&lt;author&gt;Son, K. B.&lt;/author&gt;&lt;author&gt;Lee, Y. S.&lt;/author&gt;&lt;author&gt;Jang, S.&lt;/author&gt;&lt;author&gt;Lee, T. J.&lt;/author&gt;&lt;/authors&gt;&lt;/contributors&gt;&lt;auth-address&gt;grid.31501.360000 0004 0470 5905Department of Public Health Science, Graduate School of Public Health, Seoul National University, Seoul, South Korea&amp;#xD;grid.256681.e0000 0001 0661 1492College of Pharmacy, Gyeongsang National University, Jinju, South Korea&amp;#xD;grid.255649.90000 0001 2171 7754College of Pharmacy, Ewha Womans University, Seoul, South Korea&amp;#xD;grid.256155.00000 0004 0647 2973College of Pharmacy, Gachon University, Incheon, South Korea&lt;/auth-address&gt;&lt;titles&gt;&lt;title&gt;How can we improve patients’ access to new drugs under uncertainties? : South Korea’s experience with risk sharing arrangements&lt;/title&gt;&lt;secondary-title&gt;BMC Health Serv Res&lt;/secondary-title&gt;&lt;/titles&gt;&lt;periodical&gt;&lt;full-title&gt;BMC Health Serv Res&lt;/full-title&gt;&lt;/periodical&gt;&lt;volume&gt;21&lt;/volume&gt;&lt;edition&gt;20210914&lt;/edition&gt;&lt;dates&gt;&lt;year&gt;2021&lt;/year&gt;&lt;/dates&gt;&lt;accession-num&gt;34521408&lt;/accession-num&gt;&lt;urls&gt;&lt;related-urls&gt;&lt;url&gt;https://bmchealthservres.biomedcentral.com/counter/pdf/10.1186/s12913-021-06919-x.pdf&lt;/url&gt;&lt;/related-urls&gt;&lt;/urls&gt;&lt;custom2&gt;PMC8442279&lt;/custom2&gt;&lt;electronic-resource-num&gt;10.1186/s12913-021-06919-x&lt;/electronic-resource-num&gt;&lt;language&gt;eng&lt;/language&gt;&lt;/record&gt;&lt;/Cite&gt;&lt;/EndNote&gt;</w:instrText>
      </w:r>
      <w:r w:rsidR="00EC0D09" w:rsidRPr="00221992">
        <w:rPr>
          <w:lang w:val="en-GB"/>
        </w:rPr>
        <w:fldChar w:fldCharType="separate"/>
      </w:r>
      <w:r w:rsidR="005A67DD" w:rsidRPr="00221992">
        <w:rPr>
          <w:noProof/>
          <w:lang w:val="en-GB"/>
        </w:rPr>
        <w:t>[5]</w:t>
      </w:r>
      <w:r w:rsidR="00EC0D09" w:rsidRPr="00221992">
        <w:rPr>
          <w:lang w:val="en-GB"/>
        </w:rPr>
        <w:fldChar w:fldCharType="end"/>
      </w:r>
      <w:r w:rsidR="00D07253" w:rsidRPr="00221992">
        <w:rPr>
          <w:lang w:val="en-GB"/>
        </w:rPr>
        <w:t>.</w:t>
      </w:r>
      <w:r w:rsidR="00EC0D09" w:rsidRPr="00221992">
        <w:rPr>
          <w:lang w:val="en-GB"/>
        </w:rPr>
        <w:t xml:space="preserve"> 8. Italy: Confirms use of risk sharing and capping; B</w:t>
      </w:r>
      <w:r w:rsidR="008D6564" w:rsidRPr="00221992">
        <w:rPr>
          <w:lang w:val="en-GB"/>
        </w:rPr>
        <w:t>,</w:t>
      </w:r>
      <w:r w:rsidR="00EC0D09" w:rsidRPr="00221992">
        <w:rPr>
          <w:lang w:val="en-GB"/>
        </w:rPr>
        <w:t xml:space="preserve"> Table</w:t>
      </w:r>
      <w:r w:rsidR="00EC1246" w:rsidRPr="00221992">
        <w:rPr>
          <w:lang w:val="en-GB"/>
        </w:rPr>
        <w:t xml:space="preserve"> </w:t>
      </w:r>
      <w:r w:rsidR="00EC0D09" w:rsidRPr="00221992">
        <w:rPr>
          <w:lang w:val="en-GB"/>
        </w:rPr>
        <w:t xml:space="preserve">1 </w:t>
      </w:r>
      <w:r w:rsidR="00EC0D09" w:rsidRPr="00221992">
        <w:rPr>
          <w:lang w:val="en-GB"/>
        </w:rPr>
        <w:fldChar w:fldCharType="begin"/>
      </w:r>
      <w:r w:rsidR="005A67DD" w:rsidRPr="00221992">
        <w:rPr>
          <w:lang w:val="en-GB"/>
        </w:rPr>
        <w:instrText xml:space="preserve"> ADDIN EN.CITE &lt;EndNote&gt;&lt;Cite&gt;&lt;Author&gt;Lee&lt;/Author&gt;&lt;Year&gt;2021&lt;/Year&gt;&lt;RecNum&gt;282&lt;/RecNum&gt;&lt;DisplayText&gt;[5]&lt;/DisplayText&gt;&lt;record&gt;&lt;rec-number&gt;282&lt;/rec-number&gt;&lt;foreign-keys&gt;&lt;key app="EN" db-id="wzwwsfxe4peesxef95cxvrwjxts9rreasarf" timestamp="1692654670"&gt;282&lt;/key&gt;&lt;/foreign-keys&gt;&lt;ref-type name="Journal Article"&gt;17&lt;/ref-type&gt;&lt;contributors&gt;&lt;authors&gt;&lt;author&gt;Lee, B.&lt;/author&gt;&lt;author&gt;Bae, E. Y.&lt;/author&gt;&lt;author&gt;Bae, S.&lt;/author&gt;&lt;author&gt;Choi, H. J.&lt;/author&gt;&lt;author&gt;Son, K. B.&lt;/author&gt;&lt;author&gt;Lee, Y. S.&lt;/author&gt;&lt;author&gt;Jang, S.&lt;/author&gt;&lt;author&gt;Lee, T. J.&lt;/author&gt;&lt;/authors&gt;&lt;/contributors&gt;&lt;auth-address&gt;grid.31501.360000 0004 0470 5905Department of Public Health Science, Graduate School of Public Health, Seoul National University, Seoul, South Korea&amp;#xD;grid.256681.e0000 0001 0661 1492College of Pharmacy, Gyeongsang National University, Jinju, South Korea&amp;#xD;grid.255649.90000 0001 2171 7754College of Pharmacy, Ewha Womans University, Seoul, South Korea&amp;#xD;grid.256155.00000 0004 0647 2973College of Pharmacy, Gachon University, Incheon, South Korea&lt;/auth-address&gt;&lt;titles&gt;&lt;title&gt;How can we improve patients’ access to new drugs under uncertainties? : South Korea’s experience with risk sharing arrangements&lt;/title&gt;&lt;secondary-title&gt;BMC Health Serv Res&lt;/secondary-title&gt;&lt;/titles&gt;&lt;periodical&gt;&lt;full-title&gt;BMC Health Serv Res&lt;/full-title&gt;&lt;/periodical&gt;&lt;volume&gt;21&lt;/volume&gt;&lt;edition&gt;20210914&lt;/edition&gt;&lt;dates&gt;&lt;year&gt;2021&lt;/year&gt;&lt;/dates&gt;&lt;accession-num&gt;34521408&lt;/accession-num&gt;&lt;urls&gt;&lt;related-urls&gt;&lt;url&gt;https://bmchealthservres.biomedcentral.com/counter/pdf/10.1186/s12913-021-06919-x.pdf&lt;/url&gt;&lt;/related-urls&gt;&lt;/urls&gt;&lt;custom2&gt;PMC8442279&lt;/custom2&gt;&lt;electronic-resource-num&gt;10.1186/s12913-021-06919-x&lt;/electronic-resource-num&gt;&lt;language&gt;eng&lt;/language&gt;&lt;/record&gt;&lt;/Cite&gt;&lt;/EndNote&gt;</w:instrText>
      </w:r>
      <w:r w:rsidR="00EC0D09" w:rsidRPr="00221992">
        <w:rPr>
          <w:lang w:val="en-GB"/>
        </w:rPr>
        <w:fldChar w:fldCharType="separate"/>
      </w:r>
      <w:r w:rsidR="005A67DD" w:rsidRPr="00221992">
        <w:rPr>
          <w:noProof/>
          <w:lang w:val="en-GB"/>
        </w:rPr>
        <w:t>[5]</w:t>
      </w:r>
      <w:r w:rsidR="00EC0D09" w:rsidRPr="00221992">
        <w:rPr>
          <w:lang w:val="en-GB"/>
        </w:rPr>
        <w:fldChar w:fldCharType="end"/>
      </w:r>
      <w:r w:rsidR="00EC0D09" w:rsidRPr="00221992">
        <w:rPr>
          <w:lang w:val="en-GB"/>
        </w:rPr>
        <w:t xml:space="preserve">. 9. Luxembourg: No specific framework in place. 10. The Netherlands: Confirms use of price volume and rebates up until 2015 </w:t>
      </w:r>
      <w:r w:rsidR="00EC0D09" w:rsidRPr="00221992">
        <w:rPr>
          <w:lang w:val="en-GB"/>
        </w:rPr>
        <w:fldChar w:fldCharType="begin"/>
      </w:r>
      <w:r w:rsidR="00E5265C">
        <w:rPr>
          <w:lang w:val="en-GB"/>
        </w:rPr>
        <w:instrText xml:space="preserve"> ADDIN EN.CITE &lt;EndNote&gt;&lt;Cite&gt;&lt;Author&gt;Pauwels&lt;/Author&gt;&lt;Year&gt;2017&lt;/Year&gt;&lt;RecNum&gt;376&lt;/RecNum&gt;&lt;DisplayText&gt;[203]&lt;/DisplayText&gt;&lt;record&gt;&lt;rec-number&gt;376&lt;/rec-number&gt;&lt;foreign-keys&gt;&lt;key app="EN" db-id="wzwwsfxe4peesxef95cxvrwjxts9rreasarf" timestamp="1692654670"&gt;376&lt;/key&gt;&lt;/foreign-keys&gt;&lt;ref-type name="Journal Article"&gt;17&lt;/ref-type&gt;&lt;contributors&gt;&lt;authors&gt;&lt;author&gt;Pauwels, K.&lt;/author&gt;&lt;author&gt;Huys, I.&lt;/author&gt;&lt;author&gt;Vogler, S.&lt;/author&gt;&lt;author&gt;Casteels, M.&lt;/author&gt;&lt;author&gt;Simoens, S.&lt;/author&gt;&lt;/authors&gt;&lt;/contributors&gt;&lt;auth-address&gt;Department Pharmaceutical and Pharmacological Sciences, KU LeuvenLeuven, Belgium&amp;#xD;World Health Organization Collaborating Centre for Pharmaceutical Pricing and Reimbursement Policies, Gesundheit Österreich GmbHVienna, Austria&lt;/auth-address&gt;&lt;titles&gt;&lt;title&gt;Managed Entry Agreements for Oncology Drugs: Lessons from the European Experience to Inform the Future&lt;/title&gt;&lt;secondary-title&gt;Front Pharmacol&lt;/secondary-title&gt;&lt;/titles&gt;&lt;periodical&gt;&lt;full-title&gt;Front Pharmacol&lt;/full-title&gt;&lt;/periodical&gt;&lt;volume&gt;8&lt;/volume&gt;&lt;edition&gt;20170404&lt;/edition&gt;&lt;dates&gt;&lt;year&gt;2017&lt;/year&gt;&lt;/dates&gt;&lt;accession-num&gt;28420990&lt;/accession-num&gt;&lt;urls&gt;&lt;/urls&gt;&lt;custom2&gt;PMC5378787&lt;/custom2&gt;&lt;electronic-resource-num&gt;10.3389/fphar.2017.00171&lt;/electronic-resource-num&gt;&lt;language&gt;eng&lt;/language&gt;&lt;/record&gt;&lt;/Cite&gt;&lt;/EndNote&gt;</w:instrText>
      </w:r>
      <w:r w:rsidR="00EC0D09" w:rsidRPr="00221992">
        <w:rPr>
          <w:lang w:val="en-GB"/>
        </w:rPr>
        <w:fldChar w:fldCharType="separate"/>
      </w:r>
      <w:r w:rsidR="00E5265C">
        <w:rPr>
          <w:noProof/>
          <w:lang w:val="en-GB"/>
        </w:rPr>
        <w:t>[203]</w:t>
      </w:r>
      <w:r w:rsidR="00EC0D09" w:rsidRPr="00221992">
        <w:rPr>
          <w:lang w:val="en-GB"/>
        </w:rPr>
        <w:fldChar w:fldCharType="end"/>
      </w:r>
      <w:r w:rsidR="00EC0D09" w:rsidRPr="00221992">
        <w:rPr>
          <w:lang w:val="en-GB"/>
        </w:rPr>
        <w:t>. 11. New Zealand: Reports usage of financial MEAs. RSA/discounts/ rebates are most common and are assumed if not verified elsewhere</w:t>
      </w:r>
      <w:r w:rsidR="000D054F" w:rsidRPr="00221992">
        <w:rPr>
          <w:lang w:val="en-GB"/>
        </w:rPr>
        <w:t>,</w:t>
      </w:r>
      <w:r w:rsidR="005D1F65" w:rsidRPr="00221992">
        <w:rPr>
          <w:lang w:val="en-GB"/>
        </w:rPr>
        <w:t xml:space="preserve"> </w:t>
      </w:r>
      <w:r w:rsidR="000D054F" w:rsidRPr="00221992">
        <w:rPr>
          <w:lang w:val="en-GB"/>
        </w:rPr>
        <w:t>p</w:t>
      </w:r>
      <w:r w:rsidR="005D1F65" w:rsidRPr="00221992">
        <w:rPr>
          <w:lang w:val="en-GB"/>
        </w:rPr>
        <w:t xml:space="preserve">. </w:t>
      </w:r>
      <w:r w:rsidR="000D054F" w:rsidRPr="00221992">
        <w:rPr>
          <w:lang w:val="en-GB"/>
        </w:rPr>
        <w:t>18</w:t>
      </w:r>
      <w:r w:rsidR="00EC0D09" w:rsidRPr="00221992">
        <w:rPr>
          <w:lang w:val="en-GB"/>
        </w:rPr>
        <w:t xml:space="preserve"> </w:t>
      </w:r>
      <w:r w:rsidR="00EC0D09" w:rsidRPr="00221992">
        <w:rPr>
          <w:lang w:val="en-GB"/>
        </w:rPr>
        <w:fldChar w:fldCharType="begin"/>
      </w:r>
      <w:r w:rsidR="005A67DD" w:rsidRPr="00221992">
        <w:rPr>
          <w:lang w:val="en-GB"/>
        </w:rPr>
        <w:instrText xml:space="preserve"> ADDIN EN.CITE &lt;EndNote&gt;&lt;Cite&gt;&lt;Author&gt;Wenzl M&lt;/Author&gt;&lt;Year&gt;2019&lt;/Year&gt;&lt;RecNum&gt;477&lt;/RecNum&gt;&lt;DisplayText&gt;[6]&lt;/DisplayText&gt;&lt;record&gt;&lt;rec-number&gt;477&lt;/rec-number&gt;&lt;foreign-keys&gt;&lt;key app="EN" db-id="wzwwsfxe4peesxef95cxvrwjxts9rreasarf" timestamp="1692654671"&gt;477&lt;/key&gt;&lt;/foreign-keys&gt;&lt;ref-type name="Book Section"&gt;5&lt;/ref-type&gt;&lt;contributors&gt;&lt;authors&gt;&lt;author&gt;Wenzl M,&lt;/author&gt;&lt;author&gt;Chapman S.&lt;/author&gt;&lt;/authors&gt;&lt;/contributors&gt;&lt;titles&gt;&lt;title&gt;Performance-Based Managed Entry Agreements For New Medicines in OECD Countries and EU Member States: How They Work and Possible Improvements Going Forward.&lt;/title&gt;&lt;secondary-title&gt;OECD Health Working Papers,&lt;/secondary-title&gt;&lt;/titles&gt;&lt;volume&gt;No. 115&lt;/volume&gt;&lt;dates&gt;&lt;year&gt;2019&lt;/year&gt;&lt;/dates&gt;&lt;pub-location&gt;Paris&lt;/pub-location&gt;&lt;publisher&gt;OECD Publishing&lt;/publisher&gt;&lt;urls&gt;&lt;related-urls&gt;&lt;url&gt;https://www.oecd-ilibrary.org/content/paper/6e5e4c0f-en&lt;/url&gt;&lt;/related-urls&gt;&lt;/urls&gt;&lt;electronic-resource-num&gt;doi:https://doi.org/10.1787/6e5e4c0f-en&lt;/electronic-resource-num&gt;&lt;/record&gt;&lt;/Cite&gt;&lt;/EndNote&gt;</w:instrText>
      </w:r>
      <w:r w:rsidR="00EC0D09" w:rsidRPr="00221992">
        <w:rPr>
          <w:lang w:val="en-GB"/>
        </w:rPr>
        <w:fldChar w:fldCharType="separate"/>
      </w:r>
      <w:r w:rsidR="005A67DD" w:rsidRPr="00221992">
        <w:rPr>
          <w:noProof/>
          <w:lang w:val="en-GB"/>
        </w:rPr>
        <w:t>[6]</w:t>
      </w:r>
      <w:r w:rsidR="00EC0D09" w:rsidRPr="00221992">
        <w:rPr>
          <w:lang w:val="en-GB"/>
        </w:rPr>
        <w:fldChar w:fldCharType="end"/>
      </w:r>
      <w:r w:rsidR="00EC0D09" w:rsidRPr="00221992">
        <w:rPr>
          <w:lang w:val="en-GB"/>
        </w:rPr>
        <w:t>. 12. Norway: Reports usage of financial MEAs. RSA/discounts/rebates are most common and are assumed if not verified elsewhere</w:t>
      </w:r>
      <w:r w:rsidR="000D054F" w:rsidRPr="00221992">
        <w:rPr>
          <w:lang w:val="en-GB"/>
        </w:rPr>
        <w:t>, p</w:t>
      </w:r>
      <w:r w:rsidR="005D1F65" w:rsidRPr="00221992">
        <w:rPr>
          <w:lang w:val="en-GB"/>
        </w:rPr>
        <w:t xml:space="preserve">. </w:t>
      </w:r>
      <w:r w:rsidR="000D054F" w:rsidRPr="00221992">
        <w:rPr>
          <w:lang w:val="en-GB"/>
        </w:rPr>
        <w:t>18</w:t>
      </w:r>
      <w:r w:rsidR="00EC0D09" w:rsidRPr="00221992">
        <w:rPr>
          <w:lang w:val="en-GB"/>
        </w:rPr>
        <w:t xml:space="preserve"> </w:t>
      </w:r>
      <w:r w:rsidR="00EC0D09" w:rsidRPr="00221992">
        <w:rPr>
          <w:lang w:val="en-GB"/>
        </w:rPr>
        <w:fldChar w:fldCharType="begin"/>
      </w:r>
      <w:r w:rsidR="005A67DD" w:rsidRPr="00221992">
        <w:rPr>
          <w:lang w:val="en-GB"/>
        </w:rPr>
        <w:instrText xml:space="preserve"> ADDIN EN.CITE &lt;EndNote&gt;&lt;Cite&gt;&lt;Author&gt;Wenzl M&lt;/Author&gt;&lt;Year&gt;2019&lt;/Year&gt;&lt;RecNum&gt;477&lt;/RecNum&gt;&lt;DisplayText&gt;[6]&lt;/DisplayText&gt;&lt;record&gt;&lt;rec-number&gt;477&lt;/rec-number&gt;&lt;foreign-keys&gt;&lt;key app="EN" db-id="wzwwsfxe4peesxef95cxvrwjxts9rreasarf" timestamp="1692654671"&gt;477&lt;/key&gt;&lt;/foreign-keys&gt;&lt;ref-type name="Book Section"&gt;5&lt;/ref-type&gt;&lt;contributors&gt;&lt;authors&gt;&lt;author&gt;Wenzl M,&lt;/author&gt;&lt;author&gt;Chapman S.&lt;/author&gt;&lt;/authors&gt;&lt;/contributors&gt;&lt;titles&gt;&lt;title&gt;Performance-Based Managed Entry Agreements For New Medicines in OECD Countries and EU Member States: How They Work and Possible Improvements Going Forward.&lt;/title&gt;&lt;secondary-title&gt;OECD Health Working Papers,&lt;/secondary-title&gt;&lt;/titles&gt;&lt;volume&gt;No. 115&lt;/volume&gt;&lt;dates&gt;&lt;year&gt;2019&lt;/year&gt;&lt;/dates&gt;&lt;pub-location&gt;Paris&lt;/pub-location&gt;&lt;publisher&gt;OECD Publishing&lt;/publisher&gt;&lt;urls&gt;&lt;related-urls&gt;&lt;url&gt;https://www.oecd-ilibrary.org/content/paper/6e5e4c0f-en&lt;/url&gt;&lt;/related-urls&gt;&lt;/urls&gt;&lt;electronic-resource-num&gt;doi:https://doi.org/10.1787/6e5e4c0f-en&lt;/electronic-resource-num&gt;&lt;/record&gt;&lt;/Cite&gt;&lt;/EndNote&gt;</w:instrText>
      </w:r>
      <w:r w:rsidR="00EC0D09" w:rsidRPr="00221992">
        <w:rPr>
          <w:lang w:val="en-GB"/>
        </w:rPr>
        <w:fldChar w:fldCharType="separate"/>
      </w:r>
      <w:r w:rsidR="005A67DD" w:rsidRPr="00221992">
        <w:rPr>
          <w:noProof/>
          <w:lang w:val="en-GB"/>
        </w:rPr>
        <w:t>[6]</w:t>
      </w:r>
      <w:r w:rsidR="00EC0D09" w:rsidRPr="00221992">
        <w:rPr>
          <w:lang w:val="en-GB"/>
        </w:rPr>
        <w:fldChar w:fldCharType="end"/>
      </w:r>
      <w:r w:rsidR="00EC0D09" w:rsidRPr="00221992">
        <w:rPr>
          <w:lang w:val="en-GB"/>
        </w:rPr>
        <w:t xml:space="preserve">. 13. Singapore: Confirms use of price volume agreements but not outcome-based agreements. </w:t>
      </w:r>
      <w:r w:rsidR="005D1F65" w:rsidRPr="00221992">
        <w:rPr>
          <w:lang w:val="en-GB"/>
        </w:rPr>
        <w:t>M</w:t>
      </w:r>
      <w:r w:rsidR="00EC0D09" w:rsidRPr="00221992">
        <w:rPr>
          <w:lang w:val="en-GB"/>
        </w:rPr>
        <w:t xml:space="preserve">ove towards budget caps </w:t>
      </w:r>
      <w:r w:rsidR="00EC0D09" w:rsidRPr="00221992">
        <w:rPr>
          <w:lang w:val="en-GB"/>
        </w:rPr>
        <w:fldChar w:fldCharType="begin"/>
      </w:r>
      <w:r w:rsidR="00E5265C">
        <w:rPr>
          <w:lang w:val="en-GB"/>
        </w:rPr>
        <w:instrText xml:space="preserve"> ADDIN EN.CITE &lt;EndNote&gt;&lt;Cite&gt;&lt;Author&gt;Ng&lt;/Author&gt;&lt;Year&gt;2023&lt;/Year&gt;&lt;RecNum&gt;347&lt;/RecNum&gt;&lt;DisplayText&gt;[205]&lt;/DisplayText&gt;&lt;record&gt;&lt;rec-number&gt;347&lt;/rec-number&gt;&lt;foreign-keys&gt;&lt;key app="EN" db-id="wzwwsfxe4peesxef95cxvrwjxts9rreasarf" timestamp="1692654670"&gt;347&lt;/key&gt;&lt;/foreign-keys&gt;&lt;ref-type name="Interview"&gt;64&lt;/ref-type&gt;&lt;contributors&gt;&lt;authors&gt;&lt;author&gt;Ng, Kwong Hoe,&lt;/author&gt;&lt;/authors&gt;&lt;secondary-authors&gt;&lt;author&gt;De Abreu Laurenco, R.&lt;/author&gt;&lt;author&gt;Manipis K,&lt;/author&gt;&lt;/secondary-authors&gt;&lt;/contributors&gt;&lt;titles&gt;&lt;title&gt;HTA processes for funding, pricing and reimbursement in Singapore&lt;/title&gt;&lt;/titles&gt;&lt;dates&gt;&lt;year&gt;2023&lt;/year&gt;&lt;/dates&gt;&lt;urls&gt;&lt;/urls&gt;&lt;/record&gt;&lt;/Cite&gt;&lt;/EndNote&gt;</w:instrText>
      </w:r>
      <w:r w:rsidR="00EC0D09" w:rsidRPr="00221992">
        <w:rPr>
          <w:lang w:val="en-GB"/>
        </w:rPr>
        <w:fldChar w:fldCharType="separate"/>
      </w:r>
      <w:r w:rsidR="00E5265C">
        <w:rPr>
          <w:noProof/>
          <w:lang w:val="en-GB"/>
        </w:rPr>
        <w:t>[205]</w:t>
      </w:r>
      <w:r w:rsidR="00EC0D09" w:rsidRPr="00221992">
        <w:rPr>
          <w:lang w:val="en-GB"/>
        </w:rPr>
        <w:fldChar w:fldCharType="end"/>
      </w:r>
      <w:r w:rsidR="00EC0D09" w:rsidRPr="00221992">
        <w:rPr>
          <w:lang w:val="en-GB"/>
        </w:rPr>
        <w:t>. 14. Spain; no data found in OECD. Confirms use of rebates, product and patient discounts</w:t>
      </w:r>
      <w:r w:rsidR="00D93D23" w:rsidRPr="00221992">
        <w:rPr>
          <w:lang w:val="en-GB"/>
        </w:rPr>
        <w:t>, p</w:t>
      </w:r>
      <w:r w:rsidR="005D1F65" w:rsidRPr="00221992">
        <w:rPr>
          <w:lang w:val="en-GB"/>
        </w:rPr>
        <w:t xml:space="preserve">. </w:t>
      </w:r>
      <w:r w:rsidR="00D93D23" w:rsidRPr="00221992">
        <w:rPr>
          <w:lang w:val="en-GB"/>
        </w:rPr>
        <w:t>806</w:t>
      </w:r>
      <w:r w:rsidR="008A6310">
        <w:rPr>
          <w:lang w:val="en-GB"/>
        </w:rPr>
        <w:t xml:space="preserve"> </w:t>
      </w:r>
      <w:r w:rsidR="00EC0D09" w:rsidRPr="00221992">
        <w:rPr>
          <w:lang w:val="en-GB"/>
        </w:rPr>
        <w:fldChar w:fldCharType="begin">
          <w:fldData xml:space="preserve">PEVuZE5vdGU+PENpdGU+PEF1dGhvcj5Fc3BpbjwvQXV0aG9yPjxZZWFyPjIwMTg8L1llYXI+PFJl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</w:fldData>
        </w:fldChar>
      </w:r>
      <w:r w:rsidR="00E5265C">
        <w:rPr>
          <w:lang w:val="en-GB"/>
        </w:rPr>
        <w:instrText xml:space="preserve"> ADDIN EN.CITE </w:instrText>
      </w:r>
      <w:r w:rsidR="00E5265C">
        <w:rPr>
          <w:lang w:val="en-GB"/>
        </w:rPr>
        <w:fldChar w:fldCharType="begin">
          <w:fldData xml:space="preserve">PEVuZE5vdGU+PENpdGU+PEF1dGhvcj5Fc3BpbjwvQXV0aG9yPjxZZWFyPjIwMTg8L1llYXI+PFJl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</w:fldData>
        </w:fldChar>
      </w:r>
      <w:r w:rsidR="00E5265C">
        <w:rPr>
          <w:lang w:val="en-GB"/>
        </w:rPr>
        <w:instrText xml:space="preserve"> ADDIN EN.CITE.DATA </w:instrText>
      </w:r>
      <w:r w:rsidR="00E5265C">
        <w:rPr>
          <w:lang w:val="en-GB"/>
        </w:rPr>
      </w:r>
      <w:r w:rsidR="00E5265C">
        <w:rPr>
          <w:lang w:val="en-GB"/>
        </w:rPr>
        <w:fldChar w:fldCharType="end"/>
      </w:r>
      <w:r w:rsidR="00EC0D09" w:rsidRPr="00221992">
        <w:rPr>
          <w:lang w:val="en-GB"/>
        </w:rPr>
      </w:r>
      <w:r w:rsidR="00EC0D09" w:rsidRPr="00221992">
        <w:rPr>
          <w:lang w:val="en-GB"/>
        </w:rPr>
        <w:fldChar w:fldCharType="separate"/>
      </w:r>
      <w:r w:rsidR="00E5265C">
        <w:rPr>
          <w:noProof/>
          <w:lang w:val="en-GB"/>
        </w:rPr>
        <w:t>[206]</w:t>
      </w:r>
      <w:r w:rsidR="00EC0D09" w:rsidRPr="00221992">
        <w:rPr>
          <w:lang w:val="en-GB"/>
        </w:rPr>
        <w:fldChar w:fldCharType="end"/>
      </w:r>
      <w:r w:rsidR="00EC0D09" w:rsidRPr="00221992">
        <w:rPr>
          <w:lang w:val="en-GB"/>
        </w:rPr>
        <w:t xml:space="preserve">. 15. Sweden: Patient utilisation cap confirmed; </w:t>
      </w:r>
      <w:r w:rsidR="00EC0D09" w:rsidRPr="00221992">
        <w:rPr>
          <w:lang w:val="en-GB"/>
        </w:rPr>
        <w:fldChar w:fldCharType="begin"/>
      </w:r>
      <w:r w:rsidR="00E5265C">
        <w:rPr>
          <w:lang w:val="en-GB"/>
        </w:rPr>
        <w:instrText xml:space="preserve"> ADDIN EN.CITE &lt;EndNote&gt;&lt;Cite&gt;&lt;Author&gt;Pauwels&lt;/Author&gt;&lt;Year&gt;2017&lt;/Year&gt;&lt;RecNum&gt;376&lt;/RecNum&gt;&lt;DisplayText&gt;[203]&lt;/DisplayText&gt;&lt;record&gt;&lt;rec-number&gt;376&lt;/rec-number&gt;&lt;foreign-keys&gt;&lt;key app="EN" db-id="wzwwsfxe4peesxef95cxvrwjxts9rreasarf" timestamp="1692654670"&gt;376&lt;/key&gt;&lt;/foreign-keys&gt;&lt;ref-type name="Journal Article"&gt;17&lt;/ref-type&gt;&lt;contributors&gt;&lt;authors&gt;&lt;author&gt;Pauwels, K.&lt;/author&gt;&lt;author&gt;Huys, I.&lt;/author&gt;&lt;author&gt;Vogler, S.&lt;/author&gt;&lt;author&gt;Casteels, M.&lt;/author&gt;&lt;author&gt;Simoens, S.&lt;/author&gt;&lt;/authors&gt;&lt;/contributors&gt;&lt;auth-address&gt;Department Pharmaceutical and Pharmacological Sciences, KU LeuvenLeuven, Belgium&amp;#xD;World Health Organization Collaborating Centre for Pharmaceutical Pricing and Reimbursement Policies, Gesundheit Österreich GmbHVienna, Austria&lt;/auth-address&gt;&lt;titles&gt;&lt;title&gt;Managed Entry Agreements for Oncology Drugs: Lessons from the European Experience to Inform the Future&lt;/title&gt;&lt;secondary-title&gt;Front Pharmacol&lt;/secondary-title&gt;&lt;/titles&gt;&lt;periodical&gt;&lt;full-title&gt;Front Pharmacol&lt;/full-title&gt;&lt;/periodical&gt;&lt;volume&gt;8&lt;/volume&gt;&lt;edition&gt;20170404&lt;/edition&gt;&lt;dates&gt;&lt;year&gt;2017&lt;/year&gt;&lt;/dates&gt;&lt;accession-num&gt;28420990&lt;/accession-num&gt;&lt;urls&gt;&lt;/urls&gt;&lt;custom2&gt;PMC5378787&lt;/custom2&gt;&lt;electronic-resource-num&gt;10.3389/fphar.2017.00171&lt;/electronic-resource-num&gt;&lt;language&gt;eng&lt;/language&gt;&lt;/record&gt;&lt;/Cite&gt;&lt;/EndNote&gt;</w:instrText>
      </w:r>
      <w:r w:rsidR="00EC0D09" w:rsidRPr="00221992">
        <w:rPr>
          <w:lang w:val="en-GB"/>
        </w:rPr>
        <w:fldChar w:fldCharType="separate"/>
      </w:r>
      <w:r w:rsidR="00E5265C">
        <w:rPr>
          <w:noProof/>
          <w:lang w:val="en-GB"/>
        </w:rPr>
        <w:t>[203]</w:t>
      </w:r>
      <w:r w:rsidR="00EC0D09" w:rsidRPr="00221992">
        <w:rPr>
          <w:lang w:val="en-GB"/>
        </w:rPr>
        <w:fldChar w:fldCharType="end"/>
      </w:r>
      <w:r w:rsidR="00EC0D09" w:rsidRPr="00221992">
        <w:rPr>
          <w:lang w:val="en-GB"/>
        </w:rPr>
        <w:t>. Reports usage of financial MEAs. RSA/discounts/rebates are most common and are assumed if not verified elsewhere</w:t>
      </w:r>
      <w:r w:rsidR="00A119A0" w:rsidRPr="00221992">
        <w:rPr>
          <w:lang w:val="en-GB"/>
        </w:rPr>
        <w:t>, p</w:t>
      </w:r>
      <w:r w:rsidR="005D1F65" w:rsidRPr="00221992">
        <w:rPr>
          <w:lang w:val="en-GB"/>
        </w:rPr>
        <w:t xml:space="preserve">. </w:t>
      </w:r>
      <w:r w:rsidR="00A119A0" w:rsidRPr="00221992">
        <w:rPr>
          <w:lang w:val="en-GB"/>
        </w:rPr>
        <w:t>18</w:t>
      </w:r>
      <w:r w:rsidR="00EC0D09" w:rsidRPr="00221992">
        <w:rPr>
          <w:lang w:val="en-GB"/>
        </w:rPr>
        <w:t xml:space="preserve"> </w:t>
      </w:r>
      <w:r w:rsidR="00EC0D09" w:rsidRPr="00221992">
        <w:rPr>
          <w:lang w:val="en-GB"/>
        </w:rPr>
        <w:fldChar w:fldCharType="begin"/>
      </w:r>
      <w:r w:rsidR="005A67DD" w:rsidRPr="00221992">
        <w:rPr>
          <w:lang w:val="en-GB"/>
        </w:rPr>
        <w:instrText xml:space="preserve"> ADDIN EN.CITE &lt;EndNote&gt;&lt;Cite&gt;&lt;Author&gt;Wenzl M&lt;/Author&gt;&lt;Year&gt;2019&lt;/Year&gt;&lt;RecNum&gt;477&lt;/RecNum&gt;&lt;DisplayText&gt;[6]&lt;/DisplayText&gt;&lt;record&gt;&lt;rec-number&gt;477&lt;/rec-number&gt;&lt;foreign-keys&gt;&lt;key app="EN" db-id="wzwwsfxe4peesxef95cxvrwjxts9rreasarf" timestamp="1692654671"&gt;477&lt;/key&gt;&lt;/foreign-keys&gt;&lt;ref-type name="Book Section"&gt;5&lt;/ref-type&gt;&lt;contributors&gt;&lt;authors&gt;&lt;author&gt;Wenzl M,&lt;/author&gt;&lt;author&gt;Chapman S.&lt;/author&gt;&lt;/authors&gt;&lt;/contributors&gt;&lt;titles&gt;&lt;title&gt;Performance-Based Managed Entry Agreements For New Medicines in OECD Countries and EU Member States: How They Work and Possible Improvements Going Forward.&lt;/title&gt;&lt;secondary-title&gt;OECD Health Working Papers,&lt;/secondary-title&gt;&lt;/titles&gt;&lt;volume&gt;No. 115&lt;/volume&gt;&lt;dates&gt;&lt;year&gt;2019&lt;/year&gt;&lt;/dates&gt;&lt;pub-location&gt;Paris&lt;/pub-location&gt;&lt;publisher&gt;OECD Publishing&lt;/publisher&gt;&lt;urls&gt;&lt;related-urls&gt;&lt;url&gt;https://www.oecd-ilibrary.org/content/paper/6e5e4c0f-en&lt;/url&gt;&lt;/related-urls&gt;&lt;/urls&gt;&lt;electronic-resource-num&gt;doi:https://doi.org/10.1787/6e5e4c0f-en&lt;/electronic-resource-num&gt;&lt;/record&gt;&lt;/Cite&gt;&lt;/EndNote&gt;</w:instrText>
      </w:r>
      <w:r w:rsidR="00EC0D09" w:rsidRPr="00221992">
        <w:rPr>
          <w:lang w:val="en-GB"/>
        </w:rPr>
        <w:fldChar w:fldCharType="separate"/>
      </w:r>
      <w:r w:rsidR="005A67DD" w:rsidRPr="00221992">
        <w:rPr>
          <w:noProof/>
          <w:lang w:val="en-GB"/>
        </w:rPr>
        <w:t>[6]</w:t>
      </w:r>
      <w:r w:rsidR="00EC0D09" w:rsidRPr="00221992">
        <w:rPr>
          <w:lang w:val="en-GB"/>
        </w:rPr>
        <w:fldChar w:fldCharType="end"/>
      </w:r>
      <w:r w:rsidR="00EC0D09" w:rsidRPr="00221992">
        <w:rPr>
          <w:lang w:val="en-GB"/>
        </w:rPr>
        <w:t xml:space="preserve">. 16. Taiwan: Confirms expenditure ceilings and MEA </w:t>
      </w:r>
      <w:r w:rsidR="00EC0D09" w:rsidRPr="00221992">
        <w:rPr>
          <w:lang w:val="en-GB"/>
        </w:rPr>
        <w:fldChar w:fldCharType="begin">
          <w:fldData xml:space="preserve">PEVuZE5vdGU+PENpdGU+PEF1dGhvcj5IdWFuZzwvQXV0aG9yPjxZZWFyPjIwMjA8L1llYXI+PFJl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</w:fldData>
        </w:fldChar>
      </w:r>
      <w:r w:rsidR="00E5265C">
        <w:rPr>
          <w:lang w:val="en-GB"/>
        </w:rPr>
        <w:instrText xml:space="preserve"> ADDIN EN.CITE </w:instrText>
      </w:r>
      <w:r w:rsidR="00E5265C">
        <w:rPr>
          <w:lang w:val="en-GB"/>
        </w:rPr>
        <w:fldChar w:fldCharType="begin">
          <w:fldData xml:space="preserve">PEVuZE5vdGU+PENpdGU+PEF1dGhvcj5IdWFuZzwvQXV0aG9yPjxZZWFyPjIwMjA8L1llYXI+PFJl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</w:fldData>
        </w:fldChar>
      </w:r>
      <w:r w:rsidR="00E5265C">
        <w:rPr>
          <w:lang w:val="en-GB"/>
        </w:rPr>
        <w:instrText xml:space="preserve"> ADDIN EN.CITE.DATA </w:instrText>
      </w:r>
      <w:r w:rsidR="00E5265C">
        <w:rPr>
          <w:lang w:val="en-GB"/>
        </w:rPr>
      </w:r>
      <w:r w:rsidR="00E5265C">
        <w:rPr>
          <w:lang w:val="en-GB"/>
        </w:rPr>
        <w:fldChar w:fldCharType="end"/>
      </w:r>
      <w:r w:rsidR="00EC0D09" w:rsidRPr="00221992">
        <w:rPr>
          <w:lang w:val="en-GB"/>
        </w:rPr>
      </w:r>
      <w:r w:rsidR="00EC0D09" w:rsidRPr="00221992">
        <w:rPr>
          <w:lang w:val="en-GB"/>
        </w:rPr>
        <w:fldChar w:fldCharType="separate"/>
      </w:r>
      <w:r w:rsidR="00E5265C">
        <w:rPr>
          <w:noProof/>
          <w:lang w:val="en-GB"/>
        </w:rPr>
        <w:t>[207]</w:t>
      </w:r>
      <w:r w:rsidR="00EC0D09" w:rsidRPr="00221992">
        <w:rPr>
          <w:lang w:val="en-GB"/>
        </w:rPr>
        <w:fldChar w:fldCharType="end"/>
      </w:r>
      <w:r w:rsidR="00EC0D09" w:rsidRPr="00221992">
        <w:rPr>
          <w:lang w:val="en-GB"/>
        </w:rPr>
        <w:t xml:space="preserve">. 17. </w:t>
      </w:r>
      <w:r w:rsidR="00E93AD5" w:rsidRPr="00221992">
        <w:rPr>
          <w:lang w:val="en-GB"/>
        </w:rPr>
        <w:t>England/Wales</w:t>
      </w:r>
      <w:r w:rsidR="00EC0D09" w:rsidRPr="00221992">
        <w:rPr>
          <w:lang w:val="en-GB"/>
        </w:rPr>
        <w:t xml:space="preserve">: </w:t>
      </w:r>
      <w:r w:rsidR="00AC0F71" w:rsidRPr="00221992">
        <w:rPr>
          <w:lang w:val="en-GB"/>
        </w:rPr>
        <w:t>m</w:t>
      </w:r>
      <w:r w:rsidR="00EC0D09" w:rsidRPr="00221992">
        <w:rPr>
          <w:lang w:val="en-GB"/>
        </w:rPr>
        <w:t>ultiple sources</w:t>
      </w:r>
      <w:r w:rsidR="00D905F0" w:rsidRPr="00221992">
        <w:rPr>
          <w:lang w:val="en-GB"/>
        </w:rPr>
        <w:t>, p</w:t>
      </w:r>
      <w:r w:rsidR="005D1F65" w:rsidRPr="00221992">
        <w:rPr>
          <w:lang w:val="en-GB"/>
        </w:rPr>
        <w:t xml:space="preserve">. </w:t>
      </w:r>
      <w:r w:rsidR="00D905F0" w:rsidRPr="00221992">
        <w:rPr>
          <w:lang w:val="en-GB"/>
        </w:rPr>
        <w:t>15</w:t>
      </w:r>
      <w:r w:rsidR="00EC0D09" w:rsidRPr="00221992">
        <w:rPr>
          <w:lang w:val="en-GB"/>
        </w:rPr>
        <w:t xml:space="preserve"> </w:t>
      </w:r>
      <w:r w:rsidR="00EC0D09" w:rsidRPr="00221992">
        <w:rPr>
          <w:lang w:val="en-GB"/>
        </w:rPr>
        <w:fldChar w:fldCharType="begin"/>
      </w:r>
      <w:r w:rsidR="005A67DD" w:rsidRPr="00221992">
        <w:rPr>
          <w:lang w:val="en-GB"/>
        </w:rPr>
        <w:instrText xml:space="preserve"> ADDIN EN.CITE &lt;EndNote&gt;&lt;Cite&gt;&lt;Author&gt;Wenzl M&lt;/Author&gt;&lt;Year&gt;2019&lt;/Year&gt;&lt;RecNum&gt;477&lt;/RecNum&gt;&lt;DisplayText&gt;[6]&lt;/DisplayText&gt;&lt;record&gt;&lt;rec-number&gt;477&lt;/rec-number&gt;&lt;foreign-keys&gt;&lt;key app="EN" db-id="wzwwsfxe4peesxef95cxvrwjxts9rreasarf" timestamp="1692654671"&gt;477&lt;/key&gt;&lt;/foreign-keys&gt;&lt;ref-type name="Book Section"&gt;5&lt;/ref-type&gt;&lt;contributors&gt;&lt;authors&gt;&lt;author&gt;Wenzl M,&lt;/author&gt;&lt;author&gt;Chapman S.&lt;/author&gt;&lt;/authors&gt;&lt;/contributors&gt;&lt;titles&gt;&lt;title&gt;Performance-Based Managed Entry Agreements For New Medicines in OECD Countries and EU Member States: How They Work and Possible Improvements Going Forward.&lt;/title&gt;&lt;secondary-title&gt;OECD Health Working Papers,&lt;/secondary-title&gt;&lt;/titles&gt;&lt;volume&gt;No. 115&lt;/volume&gt;&lt;dates&gt;&lt;year&gt;2019&lt;/year&gt;&lt;/dates&gt;&lt;pub-location&gt;Paris&lt;/pub-location&gt;&lt;publisher&gt;OECD Publishing&lt;/publisher&gt;&lt;urls&gt;&lt;related-urls&gt;&lt;url&gt;https://www.oecd-ilibrary.org/content/paper/6e5e4c0f-en&lt;/url&gt;&lt;/related-urls&gt;&lt;/urls&gt;&lt;electronic-resource-num&gt;doi:https://doi.org/10.1787/6e5e4c0f-en&lt;/electronic-resource-num&gt;&lt;/record&gt;&lt;/Cite&gt;&lt;/EndNote&gt;</w:instrText>
      </w:r>
      <w:r w:rsidR="00EC0D09" w:rsidRPr="00221992">
        <w:rPr>
          <w:lang w:val="en-GB"/>
        </w:rPr>
        <w:fldChar w:fldCharType="separate"/>
      </w:r>
      <w:r w:rsidR="005A67DD" w:rsidRPr="00221992">
        <w:rPr>
          <w:noProof/>
          <w:lang w:val="en-GB"/>
        </w:rPr>
        <w:t>[6]</w:t>
      </w:r>
      <w:r w:rsidR="00EC0D09" w:rsidRPr="00221992">
        <w:rPr>
          <w:lang w:val="en-GB"/>
        </w:rPr>
        <w:fldChar w:fldCharType="end"/>
      </w:r>
      <w:r w:rsidR="003C7A63" w:rsidRPr="00221992">
        <w:rPr>
          <w:lang w:val="en-GB"/>
        </w:rPr>
        <w:t>.</w:t>
      </w:r>
      <w:r w:rsidR="00EC0D09" w:rsidRPr="00221992">
        <w:rPr>
          <w:lang w:val="en-GB"/>
        </w:rPr>
        <w:t xml:space="preserve"> Confirms use of simple discount. </w:t>
      </w:r>
      <w:r w:rsidR="00EC0D09" w:rsidRPr="00221992">
        <w:rPr>
          <w:lang w:val="en-GB"/>
        </w:rPr>
        <w:fldChar w:fldCharType="begin"/>
      </w:r>
      <w:r w:rsidR="005A67DD" w:rsidRPr="00221992">
        <w:rPr>
          <w:lang w:val="en-GB"/>
        </w:rPr>
        <w:instrText xml:space="preserve"> ADDIN EN.CITE &lt;EndNote&gt;&lt;Cite&gt;&lt;Author&gt;Lee&lt;/Author&gt;&lt;Year&gt;2021&lt;/Year&gt;&lt;RecNum&gt;282&lt;/RecNum&gt;&lt;DisplayText&gt;[5]&lt;/DisplayText&gt;&lt;record&gt;&lt;rec-number&gt;282&lt;/rec-number&gt;&lt;foreign-keys&gt;&lt;key app="EN" db-id="wzwwsfxe4peesxef95cxvrwjxts9rreasarf" timestamp="1692654670"&gt;282&lt;/key&gt;&lt;/foreign-keys&gt;&lt;ref-type name="Journal Article"&gt;17&lt;/ref-type&gt;&lt;contributors&gt;&lt;authors&gt;&lt;author&gt;Lee, B.&lt;/author&gt;&lt;author&gt;Bae, E. Y.&lt;/author&gt;&lt;author&gt;Bae, S.&lt;/author&gt;&lt;author&gt;Choi, H. J.&lt;/author&gt;&lt;author&gt;Son, K. B.&lt;/author&gt;&lt;author&gt;Lee, Y. S.&lt;/author&gt;&lt;author&gt;Jang, S.&lt;/author&gt;&lt;author&gt;Lee, T. J.&lt;/author&gt;&lt;/authors&gt;&lt;/contributors&gt;&lt;auth-address&gt;grid.31501.360000 0004 0470 5905Department of Public Health Science, Graduate School of Public Health, Seoul National University, Seoul, South Korea&amp;#xD;grid.256681.e0000 0001 0661 1492College of Pharmacy, Gyeongsang National University, Jinju, South Korea&amp;#xD;grid.255649.90000 0001 2171 7754College of Pharmacy, Ewha Womans University, Seoul, South Korea&amp;#xD;grid.256155.00000 0004 0647 2973College of Pharmacy, Gachon University, Incheon, South Korea&lt;/auth-address&gt;&lt;titles&gt;&lt;title&gt;How can we improve patients’ access to new drugs under uncertainties? : South Korea’s experience with risk sharing arrangements&lt;/title&gt;&lt;secondary-title&gt;BMC Health Serv Res&lt;/secondary-title&gt;&lt;/titles&gt;&lt;periodical&gt;&lt;full-title&gt;BMC Health Serv Res&lt;/full-title&gt;&lt;/periodical&gt;&lt;volume&gt;21&lt;/volume&gt;&lt;edition&gt;20210914&lt;/edition&gt;&lt;dates&gt;&lt;year&gt;2021&lt;/year&gt;&lt;/dates&gt;&lt;accession-num&gt;34521408&lt;/accession-num&gt;&lt;urls&gt;&lt;related-urls&gt;&lt;url&gt;https://bmchealthservres.biomedcentral.com/counter/pdf/10.1186/s12913-021-06919-x.pdf&lt;/url&gt;&lt;/related-urls&gt;&lt;/urls&gt;&lt;custom2&gt;PMC8442279&lt;/custom2&gt;&lt;electronic-resource-num&gt;10.1186/s12913-021-06919-x&lt;/electronic-resource-num&gt;&lt;language&gt;eng&lt;/language&gt;&lt;/record&gt;&lt;/Cite&gt;&lt;/EndNote&gt;</w:instrText>
      </w:r>
      <w:r w:rsidR="00EC0D09" w:rsidRPr="00221992">
        <w:rPr>
          <w:lang w:val="en-GB"/>
        </w:rPr>
        <w:fldChar w:fldCharType="separate"/>
      </w:r>
      <w:r w:rsidR="005A67DD" w:rsidRPr="00221992">
        <w:rPr>
          <w:noProof/>
          <w:lang w:val="en-GB"/>
        </w:rPr>
        <w:t>[5]</w:t>
      </w:r>
      <w:r w:rsidR="00EC0D09" w:rsidRPr="00221992">
        <w:rPr>
          <w:lang w:val="en-GB"/>
        </w:rPr>
        <w:fldChar w:fldCharType="end"/>
      </w:r>
      <w:r w:rsidR="00AC0F71" w:rsidRPr="00221992">
        <w:rPr>
          <w:lang w:val="en-GB"/>
        </w:rPr>
        <w:t>,</w:t>
      </w:r>
      <w:r w:rsidR="00EC0D09" w:rsidRPr="00221992">
        <w:rPr>
          <w:lang w:val="en-GB"/>
        </w:rPr>
        <w:t xml:space="preserve"> Supplementary table; RSA confirmed K</w:t>
      </w:r>
      <w:r w:rsidR="00EC0D09" w:rsidRPr="00221992">
        <w:rPr>
          <w:lang w:val="en-GB"/>
        </w:rPr>
        <w:fldChar w:fldCharType="begin"/>
      </w:r>
      <w:r w:rsidR="00E5265C">
        <w:rPr>
          <w:lang w:val="en-GB"/>
        </w:rPr>
        <w:instrText xml:space="preserve"> ADDIN EN.CITE &lt;EndNote&gt;&lt;Cite&gt;&lt;Author&gt;Pauwels&lt;/Author&gt;&lt;Year&gt;2017&lt;/Year&gt;&lt;RecNum&gt;376&lt;/RecNum&gt;&lt;DisplayText&gt;[203]&lt;/DisplayText&gt;&lt;record&gt;&lt;rec-number&gt;376&lt;/rec-number&gt;&lt;foreign-keys&gt;&lt;key app="EN" db-id="wzwwsfxe4peesxef95cxvrwjxts9rreasarf" timestamp="1692654670"&gt;376&lt;/key&gt;&lt;/foreign-keys&gt;&lt;ref-type name="Journal Article"&gt;17&lt;/ref-type&gt;&lt;contributors&gt;&lt;authors&gt;&lt;author&gt;Pauwels, K.&lt;/author&gt;&lt;author&gt;Huys, I.&lt;/author&gt;&lt;author&gt;Vogler, S.&lt;/author&gt;&lt;author&gt;Casteels, M.&lt;/author&gt;&lt;author&gt;Simoens, S.&lt;/author&gt;&lt;/authors&gt;&lt;/contributors&gt;&lt;auth-address&gt;Department Pharmaceutical and Pharmacological Sciences, KU LeuvenLeuven, Belgium&amp;#xD;World Health Organization Collaborating Centre for Pharmaceutical Pricing and Reimbursement Policies, Gesundheit Österreich GmbHVienna, Austria&lt;/auth-address&gt;&lt;titles&gt;&lt;title&gt;Managed Entry Agreements for Oncology Drugs: Lessons from the European Experience to Inform the Future&lt;/title&gt;&lt;secondary-title&gt;Front Pharmacol&lt;/secondary-title&gt;&lt;/titles&gt;&lt;periodical&gt;&lt;full-title&gt;Front Pharmacol&lt;/full-title&gt;&lt;/periodical&gt;&lt;volume&gt;8&lt;/volume&gt;&lt;edition&gt;20170404&lt;/edition&gt;&lt;dates&gt;&lt;year&gt;2017&lt;/year&gt;&lt;/dates&gt;&lt;accession-num&gt;28420990&lt;/accession-num&gt;&lt;urls&gt;&lt;/urls&gt;&lt;custom2&gt;PMC5378787&lt;/custom2&gt;&lt;electronic-resource-num&gt;10.3389/fphar.2017.00171&lt;/electronic-resource-num&gt;&lt;language&gt;eng&lt;/language&gt;&lt;/record&gt;&lt;/Cite&gt;&lt;/EndNote&gt;</w:instrText>
      </w:r>
      <w:r w:rsidR="00EC0D09" w:rsidRPr="00221992">
        <w:rPr>
          <w:lang w:val="en-GB"/>
        </w:rPr>
        <w:fldChar w:fldCharType="separate"/>
      </w:r>
      <w:r w:rsidR="00E5265C">
        <w:rPr>
          <w:noProof/>
          <w:lang w:val="en-GB"/>
        </w:rPr>
        <w:t>[203]</w:t>
      </w:r>
      <w:r w:rsidR="00EC0D09" w:rsidRPr="00221992">
        <w:rPr>
          <w:lang w:val="en-GB"/>
        </w:rPr>
        <w:fldChar w:fldCharType="end"/>
      </w:r>
      <w:r w:rsidR="00EC0D09" w:rsidRPr="00221992">
        <w:rPr>
          <w:lang w:val="en-GB"/>
        </w:rPr>
        <w:t xml:space="preserve">. 18. Scotland confirms simple discount </w:t>
      </w:r>
      <w:r w:rsidR="00EC0D09" w:rsidRPr="00221992">
        <w:rPr>
          <w:lang w:val="en-GB"/>
        </w:rPr>
        <w:fldChar w:fldCharType="begin"/>
      </w:r>
      <w:r w:rsidR="00E5265C">
        <w:rPr>
          <w:lang w:val="en-GB"/>
        </w:rPr>
        <w:instrText xml:space="preserve"> ADDIN EN.CITE &lt;EndNote&gt;&lt;Cite&gt;&lt;Author&gt;Pauwels&lt;/Author&gt;&lt;Year&gt;2017&lt;/Year&gt;&lt;RecNum&gt;376&lt;/RecNum&gt;&lt;DisplayText&gt;[203]&lt;/DisplayText&gt;&lt;record&gt;&lt;rec-number&gt;376&lt;/rec-number&gt;&lt;foreign-keys&gt;&lt;key app="EN" db-id="wzwwsfxe4peesxef95cxvrwjxts9rreasarf" timestamp="1692654670"&gt;376&lt;/key&gt;&lt;/foreign-keys&gt;&lt;ref-type name="Journal Article"&gt;17&lt;/ref-type&gt;&lt;contributors&gt;&lt;authors&gt;&lt;author&gt;Pauwels, K.&lt;/author&gt;&lt;author&gt;Huys, I.&lt;/author&gt;&lt;author&gt;Vogler, S.&lt;/author&gt;&lt;author&gt;Casteels, M.&lt;/author&gt;&lt;author&gt;Simoens, S.&lt;/author&gt;&lt;/authors&gt;&lt;/contributors&gt;&lt;auth-address&gt;Department Pharmaceutical and Pharmacological Sciences, KU LeuvenLeuven, Belgium&amp;#xD;World Health Organization Collaborating Centre for Pharmaceutical Pricing and Reimbursement Policies, Gesundheit Österreich GmbHVienna, Austria&lt;/auth-address&gt;&lt;titles&gt;&lt;title&gt;Managed Entry Agreements for Oncology Drugs: Lessons from the European Experience to Inform the Future&lt;/title&gt;&lt;secondary-title&gt;Front Pharmacol&lt;/secondary-title&gt;&lt;/titles&gt;&lt;periodical&gt;&lt;full-title&gt;Front Pharmacol&lt;/full-title&gt;&lt;/periodical&gt;&lt;volume&gt;8&lt;/volume&gt;&lt;edition&gt;20170404&lt;/edition&gt;&lt;dates&gt;&lt;year&gt;2017&lt;/year&gt;&lt;/dates&gt;&lt;accession-num&gt;28420990&lt;/accession-num&gt;&lt;urls&gt;&lt;/urls&gt;&lt;custom2&gt;PMC5378787&lt;/custom2&gt;&lt;electronic-resource-num&gt;10.3389/fphar.2017.00171&lt;/electronic-resource-num&gt;&lt;language&gt;eng&lt;/language&gt;&lt;/record&gt;&lt;/Cite&gt;&lt;/EndNote&gt;</w:instrText>
      </w:r>
      <w:r w:rsidR="00EC0D09" w:rsidRPr="00221992">
        <w:rPr>
          <w:lang w:val="en-GB"/>
        </w:rPr>
        <w:fldChar w:fldCharType="separate"/>
      </w:r>
      <w:r w:rsidR="00E5265C">
        <w:rPr>
          <w:noProof/>
          <w:lang w:val="en-GB"/>
        </w:rPr>
        <w:t>[203]</w:t>
      </w:r>
      <w:r w:rsidR="00EC0D09" w:rsidRPr="00221992">
        <w:rPr>
          <w:lang w:val="en-GB"/>
        </w:rPr>
        <w:fldChar w:fldCharType="end"/>
      </w:r>
      <w:r w:rsidR="00EC0D09" w:rsidRPr="00221992">
        <w:rPr>
          <w:lang w:val="en-GB"/>
        </w:rPr>
        <w:t>.</w:t>
      </w:r>
    </w:p>
    <w:p w14:paraId="177CDC7E" w14:textId="2D8FD50F" w:rsidR="006D07EA" w:rsidRPr="00221992" w:rsidRDefault="005979A1" w:rsidP="00407BA7">
      <w:pPr>
        <w:pStyle w:val="NbrHeading3"/>
        <w:rPr>
          <w:lang w:val="en-GB"/>
        </w:rPr>
      </w:pPr>
      <w:bookmarkStart w:id="181" w:name="_Toc142742689"/>
      <w:bookmarkStart w:id="182" w:name="_Toc162950893"/>
      <w:r w:rsidRPr="00221992">
        <w:rPr>
          <w:lang w:val="en-GB"/>
        </w:rPr>
        <w:t>O</w:t>
      </w:r>
      <w:r w:rsidR="006D07EA" w:rsidRPr="00221992">
        <w:rPr>
          <w:lang w:val="en-GB"/>
        </w:rPr>
        <w:t>bjectives</w:t>
      </w:r>
      <w:r w:rsidR="002B2FA9" w:rsidRPr="00221992">
        <w:rPr>
          <w:lang w:val="en-GB"/>
        </w:rPr>
        <w:t xml:space="preserve"> of </w:t>
      </w:r>
      <w:r w:rsidR="00AE798D" w:rsidRPr="00221992">
        <w:rPr>
          <w:lang w:val="en-GB"/>
        </w:rPr>
        <w:t>performance</w:t>
      </w:r>
      <w:r w:rsidR="001C1238">
        <w:rPr>
          <w:lang w:val="en-GB"/>
        </w:rPr>
        <w:t>-</w:t>
      </w:r>
      <w:r w:rsidR="00AE798D" w:rsidRPr="00221992">
        <w:rPr>
          <w:lang w:val="en-GB"/>
        </w:rPr>
        <w:t>based</w:t>
      </w:r>
      <w:r w:rsidR="008B51E7" w:rsidRPr="00221992">
        <w:rPr>
          <w:lang w:val="en-GB"/>
        </w:rPr>
        <w:t xml:space="preserve"> </w:t>
      </w:r>
      <w:r w:rsidR="002B2FA9" w:rsidRPr="00221992">
        <w:rPr>
          <w:lang w:val="en-GB"/>
        </w:rPr>
        <w:t>MEAs</w:t>
      </w:r>
      <w:bookmarkEnd w:id="181"/>
      <w:bookmarkEnd w:id="182"/>
    </w:p>
    <w:p w14:paraId="02E9C4C2" w14:textId="063DACE4" w:rsidR="00D276A2" w:rsidRPr="00221992" w:rsidRDefault="004E7E87" w:rsidP="008B5081">
      <w:pPr>
        <w:rPr>
          <w:lang w:val="en-GB"/>
        </w:rPr>
      </w:pPr>
      <w:r w:rsidRPr="00221992">
        <w:rPr>
          <w:lang w:val="en-GB"/>
        </w:rPr>
        <w:t>The</w:t>
      </w:r>
      <w:r w:rsidR="000C3C07" w:rsidRPr="00221992">
        <w:rPr>
          <w:lang w:val="en-GB"/>
        </w:rPr>
        <w:t xml:space="preserve"> OECD report</w:t>
      </w:r>
      <w:r w:rsidR="00B72FCB" w:rsidRPr="00221992">
        <w:rPr>
          <w:lang w:val="en-GB"/>
        </w:rPr>
        <w:t>s</w:t>
      </w:r>
      <w:r w:rsidR="000C3C07" w:rsidRPr="00221992">
        <w:rPr>
          <w:lang w:val="en-GB"/>
        </w:rPr>
        <w:t xml:space="preserve"> that </w:t>
      </w:r>
      <w:r w:rsidR="00D276A2" w:rsidRPr="00221992">
        <w:rPr>
          <w:lang w:val="en-GB"/>
        </w:rPr>
        <w:t>while the broad objective of performance</w:t>
      </w:r>
      <w:r w:rsidR="00B72FCB" w:rsidRPr="00221992">
        <w:rPr>
          <w:lang w:val="en-GB"/>
        </w:rPr>
        <w:t>-based</w:t>
      </w:r>
      <w:r w:rsidR="00D276A2" w:rsidRPr="00221992">
        <w:rPr>
          <w:lang w:val="en-GB"/>
        </w:rPr>
        <w:t xml:space="preserve"> agreements is to reduce clinical, </w:t>
      </w:r>
      <w:r w:rsidR="000A4D4F" w:rsidRPr="00221992">
        <w:rPr>
          <w:lang w:val="en-GB"/>
        </w:rPr>
        <w:t>economic</w:t>
      </w:r>
      <w:r w:rsidR="00D276A2" w:rsidRPr="00221992">
        <w:rPr>
          <w:lang w:val="en-GB"/>
        </w:rPr>
        <w:t xml:space="preserve"> and financial uncertainty, evidence suggests that </w:t>
      </w:r>
      <w:r w:rsidR="004241E4" w:rsidRPr="00221992">
        <w:rPr>
          <w:lang w:val="en-GB"/>
        </w:rPr>
        <w:t xml:space="preserve">the </w:t>
      </w:r>
      <w:r w:rsidR="00B72FCB" w:rsidRPr="00221992">
        <w:rPr>
          <w:lang w:val="en-GB"/>
        </w:rPr>
        <w:t>practical</w:t>
      </w:r>
      <w:r w:rsidR="009E47E2" w:rsidRPr="00221992">
        <w:rPr>
          <w:lang w:val="en-GB"/>
        </w:rPr>
        <w:t xml:space="preserve"> </w:t>
      </w:r>
      <w:r w:rsidR="004241E4" w:rsidRPr="00221992">
        <w:rPr>
          <w:lang w:val="en-GB"/>
        </w:rPr>
        <w:t xml:space="preserve">objective of </w:t>
      </w:r>
      <w:r w:rsidR="00A5028B" w:rsidRPr="00221992">
        <w:rPr>
          <w:lang w:val="en-GB"/>
        </w:rPr>
        <w:t>performance-based</w:t>
      </w:r>
      <w:r w:rsidR="004241E4" w:rsidRPr="00221992">
        <w:rPr>
          <w:lang w:val="en-GB"/>
        </w:rPr>
        <w:t xml:space="preserve"> MEAs </w:t>
      </w:r>
      <w:r w:rsidR="00B033B0" w:rsidRPr="00221992">
        <w:rPr>
          <w:lang w:val="en-GB"/>
        </w:rPr>
        <w:t>is</w:t>
      </w:r>
      <w:r w:rsidR="004241E4" w:rsidRPr="00221992">
        <w:rPr>
          <w:lang w:val="en-GB"/>
        </w:rPr>
        <w:t xml:space="preserve"> </w:t>
      </w:r>
      <w:r w:rsidR="00D276A2" w:rsidRPr="00221992">
        <w:rPr>
          <w:lang w:val="en-GB"/>
        </w:rPr>
        <w:t xml:space="preserve">most </w:t>
      </w:r>
      <w:r w:rsidR="004241E4" w:rsidRPr="00221992">
        <w:rPr>
          <w:lang w:val="en-GB"/>
        </w:rPr>
        <w:t xml:space="preserve">often financial; </w:t>
      </w:r>
      <w:r w:rsidR="00F931C9">
        <w:rPr>
          <w:lang w:val="en-GB"/>
        </w:rPr>
        <w:t>ensuring</w:t>
      </w:r>
      <w:r w:rsidR="00FC7D61" w:rsidRPr="00221992">
        <w:rPr>
          <w:lang w:val="en-GB"/>
        </w:rPr>
        <w:t xml:space="preserve"> </w:t>
      </w:r>
      <w:r w:rsidR="00D73E4A" w:rsidRPr="00221992">
        <w:rPr>
          <w:lang w:val="en-GB"/>
        </w:rPr>
        <w:t xml:space="preserve">cost-effectiveness </w:t>
      </w:r>
      <w:r w:rsidR="00FC7D61">
        <w:rPr>
          <w:lang w:val="en-GB"/>
        </w:rPr>
        <w:t>and</w:t>
      </w:r>
      <w:r w:rsidR="00FC7D61" w:rsidRPr="00221992">
        <w:rPr>
          <w:lang w:val="en-GB"/>
        </w:rPr>
        <w:t xml:space="preserve"> </w:t>
      </w:r>
      <w:r w:rsidR="00D73E4A" w:rsidRPr="00221992">
        <w:rPr>
          <w:lang w:val="en-GB"/>
        </w:rPr>
        <w:t>manag</w:t>
      </w:r>
      <w:r w:rsidR="00FC7D61">
        <w:rPr>
          <w:lang w:val="en-GB"/>
        </w:rPr>
        <w:t>ing</w:t>
      </w:r>
      <w:r w:rsidR="00D73E4A" w:rsidRPr="00221992">
        <w:rPr>
          <w:lang w:val="en-GB"/>
        </w:rPr>
        <w:t xml:space="preserve"> budget impact were cited as key objectives in 11 of</w:t>
      </w:r>
      <w:r w:rsidR="000C3C07" w:rsidRPr="00221992">
        <w:rPr>
          <w:lang w:val="en-GB"/>
        </w:rPr>
        <w:t xml:space="preserve"> 12</w:t>
      </w:r>
      <w:r w:rsidR="004241E4" w:rsidRPr="00221992">
        <w:rPr>
          <w:lang w:val="en-GB"/>
        </w:rPr>
        <w:t xml:space="preserve"> countries</w:t>
      </w:r>
      <w:r w:rsidR="00D73E4A" w:rsidRPr="00221992">
        <w:rPr>
          <w:lang w:val="en-GB"/>
        </w:rPr>
        <w:t xml:space="preserve"> (90%)</w:t>
      </w:r>
      <w:r w:rsidR="000C3C07" w:rsidRPr="00221992">
        <w:rPr>
          <w:rStyle w:val="FootnoteReference"/>
          <w:lang w:val="en-GB"/>
        </w:rPr>
        <w:footnoteReference w:id="12"/>
      </w:r>
      <w:r w:rsidR="004241E4" w:rsidRPr="00221992">
        <w:rPr>
          <w:lang w:val="en-GB"/>
        </w:rPr>
        <w:t xml:space="preserve"> </w:t>
      </w:r>
      <w:r w:rsidR="000C3C07" w:rsidRPr="00221992">
        <w:rPr>
          <w:lang w:val="en-GB"/>
        </w:rPr>
        <w:t>report</w:t>
      </w:r>
      <w:r w:rsidR="00D73E4A" w:rsidRPr="00221992">
        <w:rPr>
          <w:lang w:val="en-GB"/>
        </w:rPr>
        <w:t>ing</w:t>
      </w:r>
      <w:r w:rsidR="000C3C07" w:rsidRPr="00221992">
        <w:rPr>
          <w:lang w:val="en-GB"/>
        </w:rPr>
        <w:t xml:space="preserve"> </w:t>
      </w:r>
      <w:r w:rsidR="00B72FCB" w:rsidRPr="00221992">
        <w:rPr>
          <w:lang w:val="en-GB"/>
        </w:rPr>
        <w:t>the use of</w:t>
      </w:r>
      <w:r w:rsidR="000C3C07" w:rsidRPr="00221992">
        <w:rPr>
          <w:lang w:val="en-GB"/>
        </w:rPr>
        <w:t xml:space="preserve"> performance</w:t>
      </w:r>
      <w:r w:rsidR="00B72FCB" w:rsidRPr="00221992">
        <w:rPr>
          <w:lang w:val="en-GB"/>
        </w:rPr>
        <w:t>-based</w:t>
      </w:r>
      <w:r w:rsidR="000C3C07" w:rsidRPr="00221992">
        <w:rPr>
          <w:lang w:val="en-GB"/>
        </w:rPr>
        <w:t xml:space="preserve"> MEAs </w:t>
      </w:r>
      <w:r w:rsidR="00C374CD" w:rsidRPr="00221992">
        <w:rPr>
          <w:lang w:val="en-GB"/>
        </w:rPr>
        <w:fldChar w:fldCharType="begin">
          <w:fldData xml:space="preserve">PEVuZE5vdGU+PENpdGU+PEF1dGhvcj5GYWNleTwvQXV0aG9yPjxZZWFyPjIwMjE8L1llYXI+PFJl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</w:fldData>
        </w:fldChar>
      </w:r>
      <w:r w:rsidR="00E5265C">
        <w:rPr>
          <w:lang w:val="en-GB"/>
        </w:rPr>
        <w:instrText xml:space="preserve"> ADDIN EN.CITE </w:instrText>
      </w:r>
      <w:r w:rsidR="00E5265C">
        <w:rPr>
          <w:lang w:val="en-GB"/>
        </w:rPr>
        <w:fldChar w:fldCharType="begin">
          <w:fldData xml:space="preserve">PEVuZE5vdGU+PENpdGU+PEF1dGhvcj5GYWNleTwvQXV0aG9yPjxZZWFyPjIwMjE8L1llYXI+PFJl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</w:fldData>
        </w:fldChar>
      </w:r>
      <w:r w:rsidR="00E5265C">
        <w:rPr>
          <w:lang w:val="en-GB"/>
        </w:rPr>
        <w:instrText xml:space="preserve"> ADDIN EN.CITE.DATA </w:instrText>
      </w:r>
      <w:r w:rsidR="00E5265C">
        <w:rPr>
          <w:lang w:val="en-GB"/>
        </w:rPr>
      </w:r>
      <w:r w:rsidR="00E5265C">
        <w:rPr>
          <w:lang w:val="en-GB"/>
        </w:rPr>
        <w:fldChar w:fldCharType="end"/>
      </w:r>
      <w:r w:rsidR="00C374CD" w:rsidRPr="00221992">
        <w:rPr>
          <w:lang w:val="en-GB"/>
        </w:rPr>
      </w:r>
      <w:r w:rsidR="00C374CD" w:rsidRPr="00221992">
        <w:rPr>
          <w:lang w:val="en-GB"/>
        </w:rPr>
        <w:fldChar w:fldCharType="separate"/>
      </w:r>
      <w:r w:rsidR="00E5265C">
        <w:rPr>
          <w:noProof/>
          <w:lang w:val="en-GB"/>
        </w:rPr>
        <w:t>[208]</w:t>
      </w:r>
      <w:r w:rsidR="00C374CD" w:rsidRPr="00221992">
        <w:rPr>
          <w:lang w:val="en-GB"/>
        </w:rPr>
        <w:fldChar w:fldCharType="end"/>
      </w:r>
      <w:r w:rsidR="00C374CD" w:rsidRPr="00221992">
        <w:rPr>
          <w:lang w:val="en-GB"/>
        </w:rPr>
        <w:t>.</w:t>
      </w:r>
      <w:r w:rsidR="002D253C" w:rsidRPr="00221992">
        <w:rPr>
          <w:rStyle w:val="FootnoteReference"/>
          <w:lang w:val="en-GB"/>
        </w:rPr>
        <w:footnoteReference w:id="13"/>
      </w:r>
      <w:r w:rsidR="004241E4" w:rsidRPr="00221992">
        <w:rPr>
          <w:lang w:val="en-GB"/>
        </w:rPr>
        <w:t xml:space="preserve"> In </w:t>
      </w:r>
      <w:r w:rsidR="00B72FCB" w:rsidRPr="00221992">
        <w:rPr>
          <w:lang w:val="en-GB"/>
        </w:rPr>
        <w:t xml:space="preserve">seven countries surveyed (60%), </w:t>
      </w:r>
      <w:r w:rsidR="004241E4" w:rsidRPr="00221992">
        <w:rPr>
          <w:lang w:val="en-GB"/>
        </w:rPr>
        <w:t xml:space="preserve">MEAs </w:t>
      </w:r>
      <w:r w:rsidR="000C3C07" w:rsidRPr="00221992">
        <w:rPr>
          <w:lang w:val="en-GB"/>
        </w:rPr>
        <w:t xml:space="preserve">were </w:t>
      </w:r>
      <w:r w:rsidR="004241E4" w:rsidRPr="00221992">
        <w:rPr>
          <w:lang w:val="en-GB"/>
        </w:rPr>
        <w:t xml:space="preserve">also used to </w:t>
      </w:r>
      <w:r w:rsidR="00C374CD" w:rsidRPr="00221992">
        <w:rPr>
          <w:lang w:val="en-GB"/>
        </w:rPr>
        <w:t>address</w:t>
      </w:r>
      <w:r w:rsidR="004241E4" w:rsidRPr="00221992">
        <w:rPr>
          <w:lang w:val="en-GB"/>
        </w:rPr>
        <w:t xml:space="preserve"> uncertainty around comparative effectiveness</w:t>
      </w:r>
      <w:r w:rsidR="00D73E4A" w:rsidRPr="00221992">
        <w:rPr>
          <w:lang w:val="en-GB"/>
        </w:rPr>
        <w:t xml:space="preserve"> and most </w:t>
      </w:r>
      <w:r w:rsidR="000A4D4F" w:rsidRPr="00221992">
        <w:rPr>
          <w:lang w:val="en-GB"/>
        </w:rPr>
        <w:t>often employ</w:t>
      </w:r>
      <w:r w:rsidR="00D73E4A" w:rsidRPr="00221992">
        <w:rPr>
          <w:lang w:val="en-GB"/>
        </w:rPr>
        <w:t>ed</w:t>
      </w:r>
      <w:r w:rsidR="004241E4" w:rsidRPr="00221992">
        <w:rPr>
          <w:lang w:val="en-GB"/>
        </w:rPr>
        <w:t xml:space="preserve"> </w:t>
      </w:r>
      <w:r w:rsidR="000C3C07" w:rsidRPr="00221992">
        <w:rPr>
          <w:lang w:val="en-GB"/>
        </w:rPr>
        <w:t xml:space="preserve">some </w:t>
      </w:r>
      <w:r w:rsidR="00D73E4A" w:rsidRPr="00221992">
        <w:rPr>
          <w:lang w:val="en-GB"/>
        </w:rPr>
        <w:t>form</w:t>
      </w:r>
      <w:r w:rsidR="000C3C07" w:rsidRPr="00221992">
        <w:rPr>
          <w:lang w:val="en-GB"/>
        </w:rPr>
        <w:t xml:space="preserve"> of population</w:t>
      </w:r>
      <w:r w:rsidR="00C374CD" w:rsidRPr="00221992">
        <w:rPr>
          <w:lang w:val="en-GB"/>
        </w:rPr>
        <w:t>-</w:t>
      </w:r>
      <w:r w:rsidR="000C3C07" w:rsidRPr="00221992">
        <w:rPr>
          <w:lang w:val="en-GB"/>
        </w:rPr>
        <w:t>based</w:t>
      </w:r>
      <w:r w:rsidR="00D276A2" w:rsidRPr="00221992">
        <w:rPr>
          <w:lang w:val="en-GB"/>
        </w:rPr>
        <w:t xml:space="preserve"> CED</w:t>
      </w:r>
      <w:r w:rsidR="00B72FCB" w:rsidRPr="00221992">
        <w:rPr>
          <w:lang w:val="en-GB"/>
        </w:rPr>
        <w:t xml:space="preserve"> </w:t>
      </w:r>
      <w:r w:rsidR="00653F87" w:rsidRPr="00221992">
        <w:rPr>
          <w:lang w:val="en-GB"/>
        </w:rPr>
        <w:fldChar w:fldCharType="begin">
          <w:fldData xml:space="preserve">PEVuZE5vdGU+PENpdGU+PEF1dGhvcj5GYWNleTwvQXV0aG9yPjxZZWFyPjIwMjE8L1llYXI+PFJl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</w:fldData>
        </w:fldChar>
      </w:r>
      <w:r w:rsidR="00E5265C">
        <w:rPr>
          <w:lang w:val="en-GB"/>
        </w:rPr>
        <w:instrText xml:space="preserve"> ADDIN EN.CITE </w:instrText>
      </w:r>
      <w:r w:rsidR="00E5265C">
        <w:rPr>
          <w:lang w:val="en-GB"/>
        </w:rPr>
        <w:fldChar w:fldCharType="begin">
          <w:fldData xml:space="preserve">PEVuZE5vdGU+PENpdGU+PEF1dGhvcj5GYWNleTwvQXV0aG9yPjxZZWFyPjIwMjE8L1llYXI+PFJl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</w:fldData>
        </w:fldChar>
      </w:r>
      <w:r w:rsidR="00E5265C">
        <w:rPr>
          <w:lang w:val="en-GB"/>
        </w:rPr>
        <w:instrText xml:space="preserve"> ADDIN EN.CITE.DATA </w:instrText>
      </w:r>
      <w:r w:rsidR="00E5265C">
        <w:rPr>
          <w:lang w:val="en-GB"/>
        </w:rPr>
      </w:r>
      <w:r w:rsidR="00E5265C">
        <w:rPr>
          <w:lang w:val="en-GB"/>
        </w:rPr>
        <w:fldChar w:fldCharType="end"/>
      </w:r>
      <w:r w:rsidR="00653F87" w:rsidRPr="00221992">
        <w:rPr>
          <w:lang w:val="en-GB"/>
        </w:rPr>
      </w:r>
      <w:r w:rsidR="00653F87" w:rsidRPr="00221992">
        <w:rPr>
          <w:lang w:val="en-GB"/>
        </w:rPr>
        <w:fldChar w:fldCharType="separate"/>
      </w:r>
      <w:r w:rsidR="00E5265C">
        <w:rPr>
          <w:noProof/>
          <w:lang w:val="en-GB"/>
        </w:rPr>
        <w:t>[208]</w:t>
      </w:r>
      <w:r w:rsidR="00653F87" w:rsidRPr="00221992">
        <w:rPr>
          <w:lang w:val="en-GB"/>
        </w:rPr>
        <w:fldChar w:fldCharType="end"/>
      </w:r>
      <w:r w:rsidR="000A4D4F" w:rsidRPr="00221992">
        <w:rPr>
          <w:lang w:val="en-GB"/>
        </w:rPr>
        <w:t xml:space="preserve">. </w:t>
      </w:r>
      <w:r w:rsidR="00C374CD" w:rsidRPr="00221992">
        <w:rPr>
          <w:lang w:val="en-GB"/>
        </w:rPr>
        <w:t>Within a CED framework</w:t>
      </w:r>
      <w:r w:rsidR="002A1CE1" w:rsidRPr="00221992">
        <w:rPr>
          <w:lang w:val="en-GB"/>
        </w:rPr>
        <w:t xml:space="preserve">, patients </w:t>
      </w:r>
      <w:r w:rsidR="00D73E4A" w:rsidRPr="00221992">
        <w:rPr>
          <w:lang w:val="en-GB"/>
        </w:rPr>
        <w:t>are granted</w:t>
      </w:r>
      <w:r w:rsidR="002A1CE1" w:rsidRPr="00221992">
        <w:rPr>
          <w:lang w:val="en-GB"/>
        </w:rPr>
        <w:t xml:space="preserve"> access </w:t>
      </w:r>
      <w:r w:rsidR="00D73E4A" w:rsidRPr="00221992">
        <w:rPr>
          <w:lang w:val="en-GB"/>
        </w:rPr>
        <w:t xml:space="preserve">to </w:t>
      </w:r>
      <w:r w:rsidR="002A1CE1" w:rsidRPr="00221992">
        <w:rPr>
          <w:lang w:val="en-GB"/>
        </w:rPr>
        <w:t xml:space="preserve">treatment while </w:t>
      </w:r>
      <w:r w:rsidR="00C374CD" w:rsidRPr="00221992">
        <w:rPr>
          <w:lang w:val="en-GB"/>
        </w:rPr>
        <w:t>additional evidence</w:t>
      </w:r>
      <w:r w:rsidR="002A1CE1" w:rsidRPr="00221992">
        <w:rPr>
          <w:lang w:val="en-GB"/>
        </w:rPr>
        <w:t xml:space="preserve"> is collected </w:t>
      </w:r>
      <w:r w:rsidR="00D73E4A" w:rsidRPr="00221992">
        <w:rPr>
          <w:lang w:val="en-GB"/>
        </w:rPr>
        <w:t>through</w:t>
      </w:r>
      <w:r w:rsidR="002A1CE1" w:rsidRPr="00221992">
        <w:rPr>
          <w:lang w:val="en-GB"/>
        </w:rPr>
        <w:t xml:space="preserve"> real-world clinical practice.</w:t>
      </w:r>
      <w:r w:rsidR="000C3C07" w:rsidRPr="00221992">
        <w:rPr>
          <w:lang w:val="en-GB"/>
        </w:rPr>
        <w:t xml:space="preserve"> Pre-defined outcome</w:t>
      </w:r>
      <w:r w:rsidR="00C374CD" w:rsidRPr="00221992">
        <w:rPr>
          <w:lang w:val="en-GB"/>
        </w:rPr>
        <w:t>s</w:t>
      </w:r>
      <w:r w:rsidR="000C3C07" w:rsidRPr="00221992">
        <w:rPr>
          <w:lang w:val="en-GB"/>
        </w:rPr>
        <w:t xml:space="preserve"> data (most often patient</w:t>
      </w:r>
      <w:r w:rsidR="00C374CD" w:rsidRPr="00221992">
        <w:rPr>
          <w:lang w:val="en-GB"/>
        </w:rPr>
        <w:t>-</w:t>
      </w:r>
      <w:r w:rsidR="000C3C07" w:rsidRPr="00221992">
        <w:rPr>
          <w:lang w:val="en-GB"/>
        </w:rPr>
        <w:t>relevant endpoints</w:t>
      </w:r>
      <w:r w:rsidR="00C374CD" w:rsidRPr="00221992">
        <w:rPr>
          <w:lang w:val="en-GB"/>
        </w:rPr>
        <w:t xml:space="preserve">) </w:t>
      </w:r>
      <w:r w:rsidR="00D73E4A" w:rsidRPr="00221992">
        <w:rPr>
          <w:lang w:val="en-GB"/>
        </w:rPr>
        <w:t>are</w:t>
      </w:r>
      <w:r w:rsidR="00C374CD" w:rsidRPr="00221992">
        <w:rPr>
          <w:lang w:val="en-GB"/>
        </w:rPr>
        <w:t xml:space="preserve"> used to assess the intervention</w:t>
      </w:r>
      <w:r w:rsidR="00551786">
        <w:rPr>
          <w:lang w:val="en-GB"/>
        </w:rPr>
        <w:t>’</w:t>
      </w:r>
      <w:r w:rsidR="00C374CD" w:rsidRPr="00221992">
        <w:rPr>
          <w:lang w:val="en-GB"/>
        </w:rPr>
        <w:t>s long-term safety, effectiveness and economic impact</w:t>
      </w:r>
      <w:r w:rsidR="00B24505" w:rsidRPr="00221992">
        <w:rPr>
          <w:lang w:val="en-GB"/>
        </w:rPr>
        <w:t xml:space="preserve"> </w:t>
      </w:r>
      <w:r w:rsidR="00653F87" w:rsidRPr="00221992">
        <w:rPr>
          <w:lang w:val="en-GB"/>
        </w:rPr>
        <w:fldChar w:fldCharType="begin">
          <w:fldData xml:space="preserve">PEVuZE5vdGU+PENpdGU+PEF1dGhvcj5Ub3VtaTwvQXV0aG9yPjxZZWFyPjIwMTc8L1llYXI+PFJl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</w:fldData>
        </w:fldChar>
      </w:r>
      <w:r w:rsidR="00E5265C">
        <w:rPr>
          <w:lang w:val="en-GB"/>
        </w:rPr>
        <w:instrText xml:space="preserve"> ADDIN EN.CITE </w:instrText>
      </w:r>
      <w:r w:rsidR="00E5265C">
        <w:rPr>
          <w:lang w:val="en-GB"/>
        </w:rPr>
        <w:fldChar w:fldCharType="begin">
          <w:fldData xml:space="preserve">PEVuZE5vdGU+PENpdGU+PEF1dGhvcj5Ub3VtaTwvQXV0aG9yPjxZZWFyPjIwMTc8L1llYXI+PFJl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</w:fldData>
        </w:fldChar>
      </w:r>
      <w:r w:rsidR="00E5265C">
        <w:rPr>
          <w:lang w:val="en-GB"/>
        </w:rPr>
        <w:instrText xml:space="preserve"> ADDIN EN.CITE.DATA </w:instrText>
      </w:r>
      <w:r w:rsidR="00E5265C">
        <w:rPr>
          <w:lang w:val="en-GB"/>
        </w:rPr>
      </w:r>
      <w:r w:rsidR="00E5265C">
        <w:rPr>
          <w:lang w:val="en-GB"/>
        </w:rPr>
        <w:fldChar w:fldCharType="end"/>
      </w:r>
      <w:r w:rsidR="00653F87" w:rsidRPr="00221992">
        <w:rPr>
          <w:lang w:val="en-GB"/>
        </w:rPr>
      </w:r>
      <w:r w:rsidR="00653F87" w:rsidRPr="00221992">
        <w:rPr>
          <w:lang w:val="en-GB"/>
        </w:rPr>
        <w:fldChar w:fldCharType="separate"/>
      </w:r>
      <w:r w:rsidR="00E5265C">
        <w:rPr>
          <w:noProof/>
          <w:lang w:val="en-GB"/>
        </w:rPr>
        <w:t>[209]</w:t>
      </w:r>
      <w:r w:rsidR="00653F87" w:rsidRPr="00221992">
        <w:rPr>
          <w:lang w:val="en-GB"/>
        </w:rPr>
        <w:fldChar w:fldCharType="end"/>
      </w:r>
      <w:r w:rsidR="002A1CE1" w:rsidRPr="00221992">
        <w:rPr>
          <w:lang w:val="en-GB"/>
        </w:rPr>
        <w:t>.</w:t>
      </w:r>
      <w:r w:rsidR="00C374CD" w:rsidRPr="00221992">
        <w:rPr>
          <w:rStyle w:val="FootnoteReference"/>
          <w:lang w:val="en-GB"/>
        </w:rPr>
        <w:footnoteReference w:id="14"/>
      </w:r>
      <w:r w:rsidR="002A1CE1" w:rsidRPr="00221992">
        <w:rPr>
          <w:lang w:val="en-GB"/>
        </w:rPr>
        <w:t xml:space="preserve"> </w:t>
      </w:r>
      <w:r w:rsidR="00CE1ED9" w:rsidRPr="00221992">
        <w:rPr>
          <w:lang w:val="en-GB"/>
        </w:rPr>
        <w:t>Newly g</w:t>
      </w:r>
      <w:r w:rsidR="002A1CE1" w:rsidRPr="00221992">
        <w:rPr>
          <w:lang w:val="en-GB"/>
        </w:rPr>
        <w:t>enerated evidence</w:t>
      </w:r>
      <w:r w:rsidR="00B24505" w:rsidRPr="00221992">
        <w:rPr>
          <w:lang w:val="en-GB"/>
        </w:rPr>
        <w:t xml:space="preserve"> may then </w:t>
      </w:r>
      <w:r w:rsidR="00D73E4A" w:rsidRPr="00221992">
        <w:rPr>
          <w:lang w:val="en-GB"/>
        </w:rPr>
        <w:t>be used in</w:t>
      </w:r>
      <w:r w:rsidR="00B24505" w:rsidRPr="00221992">
        <w:rPr>
          <w:lang w:val="en-GB"/>
        </w:rPr>
        <w:t xml:space="preserve"> </w:t>
      </w:r>
      <w:r w:rsidR="002A1CE1" w:rsidRPr="00221992">
        <w:rPr>
          <w:lang w:val="en-GB"/>
        </w:rPr>
        <w:t xml:space="preserve">reassessment </w:t>
      </w:r>
      <w:r w:rsidR="00B24505" w:rsidRPr="00221992">
        <w:rPr>
          <w:lang w:val="en-GB"/>
        </w:rPr>
        <w:t xml:space="preserve">of </w:t>
      </w:r>
      <w:r w:rsidR="00CE1ED9" w:rsidRPr="00221992">
        <w:rPr>
          <w:lang w:val="en-GB"/>
        </w:rPr>
        <w:t xml:space="preserve">the </w:t>
      </w:r>
      <w:r w:rsidR="002A1CE1" w:rsidRPr="00221992">
        <w:rPr>
          <w:lang w:val="en-GB"/>
        </w:rPr>
        <w:t xml:space="preserve">coverage </w:t>
      </w:r>
      <w:r w:rsidR="00CE1ED9" w:rsidRPr="00221992">
        <w:rPr>
          <w:lang w:val="en-GB"/>
        </w:rPr>
        <w:t>determination</w:t>
      </w:r>
      <w:r w:rsidR="00C85186" w:rsidRPr="00221992">
        <w:rPr>
          <w:lang w:val="en-GB"/>
        </w:rPr>
        <w:t>. Limited published evidence was available to determine the key objectives of performance</w:t>
      </w:r>
      <w:r w:rsidR="00F04FB1">
        <w:rPr>
          <w:lang w:val="en-GB"/>
        </w:rPr>
        <w:t>-</w:t>
      </w:r>
      <w:r w:rsidR="00C85186" w:rsidRPr="00221992">
        <w:rPr>
          <w:lang w:val="en-GB"/>
        </w:rPr>
        <w:t>based MEAs in use i</w:t>
      </w:r>
      <w:r w:rsidR="00EA0447" w:rsidRPr="00221992">
        <w:rPr>
          <w:lang w:val="en-GB"/>
        </w:rPr>
        <w:t>n</w:t>
      </w:r>
      <w:r w:rsidR="000C3C07" w:rsidRPr="00221992">
        <w:rPr>
          <w:lang w:val="en-GB"/>
        </w:rPr>
        <w:t xml:space="preserve"> other countries of interest </w:t>
      </w:r>
      <w:r w:rsidR="00EA0447" w:rsidRPr="00221992">
        <w:rPr>
          <w:lang w:val="en-GB"/>
        </w:rPr>
        <w:t xml:space="preserve">to the Review </w:t>
      </w:r>
      <w:r w:rsidR="000C3C07" w:rsidRPr="00221992">
        <w:rPr>
          <w:lang w:val="en-GB"/>
        </w:rPr>
        <w:t>(</w:t>
      </w:r>
      <w:r w:rsidR="00EA0447" w:rsidRPr="00221992">
        <w:rPr>
          <w:lang w:val="en-GB"/>
        </w:rPr>
        <w:t xml:space="preserve">e.g., </w:t>
      </w:r>
      <w:r w:rsidR="000C3C07" w:rsidRPr="00221992">
        <w:rPr>
          <w:lang w:val="en-GB"/>
        </w:rPr>
        <w:t>Canada, Germany, Japan, New Zealand, Scotland</w:t>
      </w:r>
      <w:r w:rsidR="00EA0447" w:rsidRPr="00221992">
        <w:rPr>
          <w:lang w:val="en-GB"/>
        </w:rPr>
        <w:t>,</w:t>
      </w:r>
      <w:r w:rsidR="000C3C07" w:rsidRPr="00221992">
        <w:rPr>
          <w:lang w:val="en-GB"/>
        </w:rPr>
        <w:t xml:space="preserve"> </w:t>
      </w:r>
      <w:r w:rsidR="00EA0447" w:rsidRPr="00221992">
        <w:rPr>
          <w:lang w:val="en-GB"/>
        </w:rPr>
        <w:t xml:space="preserve">Singapore, </w:t>
      </w:r>
      <w:r w:rsidR="000C3C07" w:rsidRPr="00221992">
        <w:rPr>
          <w:lang w:val="en-GB"/>
        </w:rPr>
        <w:t xml:space="preserve">Taiwan </w:t>
      </w:r>
      <w:r w:rsidR="00EA0447" w:rsidRPr="00221992">
        <w:rPr>
          <w:lang w:val="en-GB"/>
        </w:rPr>
        <w:t>and the US</w:t>
      </w:r>
      <w:r w:rsidR="000C3C07" w:rsidRPr="00221992">
        <w:rPr>
          <w:lang w:val="en-GB"/>
        </w:rPr>
        <w:t>).</w:t>
      </w:r>
    </w:p>
    <w:p w14:paraId="4B5E8DB5" w14:textId="523077CD" w:rsidR="004D14BC" w:rsidRPr="00221992" w:rsidRDefault="00197C03" w:rsidP="008B5081">
      <w:pPr>
        <w:rPr>
          <w:lang w:val="en-GB"/>
        </w:rPr>
      </w:pPr>
      <w:r w:rsidRPr="00221992">
        <w:rPr>
          <w:lang w:val="en-GB"/>
        </w:rPr>
        <w:t xml:space="preserve">A summary of </w:t>
      </w:r>
      <w:r w:rsidR="00661F62">
        <w:rPr>
          <w:lang w:val="en-GB"/>
        </w:rPr>
        <w:t>performance-based MEAs</w:t>
      </w:r>
      <w:r w:rsidRPr="00221992">
        <w:rPr>
          <w:lang w:val="en-GB"/>
        </w:rPr>
        <w:t xml:space="preserve"> by type and country is provided in </w:t>
      </w:r>
      <w:r w:rsidRPr="00221992">
        <w:rPr>
          <w:lang w:val="en-GB"/>
        </w:rPr>
        <w:fldChar w:fldCharType="begin"/>
      </w:r>
      <w:r>
        <w:instrText xml:space="preserve"> REF _Ref144375794 \h </w:instrText>
      </w:r>
      <w:r w:rsidRPr="00221992">
        <w:rPr>
          <w:lang w:val="en-GB"/>
        </w:rPr>
      </w:r>
      <w:r w:rsidRPr="00221992">
        <w:rPr>
          <w:lang w:val="en-GB"/>
        </w:rPr>
        <w:fldChar w:fldCharType="separate"/>
      </w:r>
      <w:r w:rsidR="000E11E7" w:rsidRPr="00221992">
        <w:rPr>
          <w:lang w:val="en-GB"/>
        </w:rPr>
        <w:t xml:space="preserve">Table </w:t>
      </w:r>
      <w:r w:rsidR="000E11E7">
        <w:rPr>
          <w:noProof/>
        </w:rPr>
        <w:t>20</w:t>
      </w:r>
      <w:r w:rsidRPr="00221992">
        <w:rPr>
          <w:lang w:val="en-GB"/>
        </w:rPr>
        <w:fldChar w:fldCharType="end"/>
      </w:r>
      <w:r w:rsidRPr="00221992">
        <w:rPr>
          <w:lang w:val="en-GB"/>
        </w:rPr>
        <w:t xml:space="preserve">. </w:t>
      </w:r>
      <w:r w:rsidR="004D14BC" w:rsidRPr="00221992">
        <w:rPr>
          <w:lang w:val="en-GB"/>
        </w:rPr>
        <w:t>Patient-level PbR agreements</w:t>
      </w:r>
      <w:r w:rsidR="000C3C07" w:rsidRPr="00221992">
        <w:rPr>
          <w:lang w:val="en-GB"/>
        </w:rPr>
        <w:t xml:space="preserve"> </w:t>
      </w:r>
      <w:r w:rsidR="007977A3" w:rsidRPr="00221992">
        <w:rPr>
          <w:lang w:val="en-GB"/>
        </w:rPr>
        <w:t>were</w:t>
      </w:r>
      <w:r w:rsidR="004D14BC" w:rsidRPr="00221992">
        <w:rPr>
          <w:lang w:val="en-GB"/>
        </w:rPr>
        <w:t xml:space="preserve"> </w:t>
      </w:r>
      <w:r w:rsidR="007977A3" w:rsidRPr="00221992">
        <w:rPr>
          <w:lang w:val="en-GB"/>
        </w:rPr>
        <w:t>reported</w:t>
      </w:r>
      <w:r w:rsidR="004D14BC" w:rsidRPr="00221992">
        <w:rPr>
          <w:lang w:val="en-GB"/>
        </w:rPr>
        <w:t xml:space="preserve"> </w:t>
      </w:r>
      <w:r w:rsidR="007977A3" w:rsidRPr="00221992">
        <w:rPr>
          <w:lang w:val="en-GB"/>
        </w:rPr>
        <w:t>in</w:t>
      </w:r>
      <w:r w:rsidR="004D14BC" w:rsidRPr="00221992">
        <w:rPr>
          <w:lang w:val="en-GB"/>
        </w:rPr>
        <w:t xml:space="preserve"> </w:t>
      </w:r>
      <w:r w:rsidR="00B367F8" w:rsidRPr="00221992">
        <w:rPr>
          <w:lang w:val="en-GB"/>
        </w:rPr>
        <w:t xml:space="preserve">six </w:t>
      </w:r>
      <w:r w:rsidR="004D14BC" w:rsidRPr="00221992">
        <w:rPr>
          <w:lang w:val="en-GB"/>
        </w:rPr>
        <w:t>countries</w:t>
      </w:r>
      <w:r w:rsidR="007977A3" w:rsidRPr="00221992">
        <w:rPr>
          <w:lang w:val="en-GB"/>
        </w:rPr>
        <w:t xml:space="preserve"> (i.e., Belgium, France,</w:t>
      </w:r>
      <w:r w:rsidR="004D14BC" w:rsidRPr="00221992">
        <w:rPr>
          <w:lang w:val="en-GB"/>
        </w:rPr>
        <w:t xml:space="preserve"> Italy, the Netherlands</w:t>
      </w:r>
      <w:r w:rsidR="00351D19" w:rsidRPr="00221992">
        <w:rPr>
          <w:lang w:val="en-GB"/>
        </w:rPr>
        <w:t>, Spain</w:t>
      </w:r>
      <w:r w:rsidR="004702AF" w:rsidRPr="00221992">
        <w:rPr>
          <w:lang w:val="en-GB"/>
        </w:rPr>
        <w:t xml:space="preserve"> </w:t>
      </w:r>
      <w:r w:rsidR="004D14BC" w:rsidRPr="00221992">
        <w:rPr>
          <w:lang w:val="en-GB"/>
        </w:rPr>
        <w:t>and Sweden</w:t>
      </w:r>
      <w:r w:rsidR="007977A3" w:rsidRPr="00221992">
        <w:rPr>
          <w:lang w:val="en-GB"/>
        </w:rPr>
        <w:t>)</w:t>
      </w:r>
      <w:r w:rsidR="004D14BC" w:rsidRPr="00221992">
        <w:rPr>
          <w:lang w:val="en-GB"/>
        </w:rPr>
        <w:t xml:space="preserve"> </w:t>
      </w:r>
      <w:r w:rsidRPr="00221992">
        <w:rPr>
          <w:lang w:val="en-GB"/>
        </w:rPr>
        <w:fldChar w:fldCharType="begin">
          <w:fldData xml:space="preserve">PEVuZE5vdGU+PENpdGU+PEF1dGhvcj5GYWNleTwvQXV0aG9yPjxZZWFyPjIwMjE8L1llYXI+PFJl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</w:fldData>
        </w:fldChar>
      </w:r>
      <w:r w:rsidR="00E5265C">
        <w:rPr>
          <w:lang w:val="en-GB"/>
        </w:rPr>
        <w:instrText xml:space="preserve"> ADDIN EN.CITE </w:instrText>
      </w:r>
      <w:r w:rsidR="00E5265C">
        <w:rPr>
          <w:lang w:val="en-GB"/>
        </w:rPr>
        <w:fldChar w:fldCharType="begin">
          <w:fldData xml:space="preserve">PEVuZE5vdGU+PENpdGU+PEF1dGhvcj5GYWNleTwvQXV0aG9yPjxZZWFyPjIwMjE8L1llYXI+PFJl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</w:fldData>
        </w:fldChar>
      </w:r>
      <w:r w:rsidR="00E5265C">
        <w:rPr>
          <w:lang w:val="en-GB"/>
        </w:rPr>
        <w:instrText xml:space="preserve"> ADDIN EN.CITE.DATA </w:instrText>
      </w:r>
      <w:r w:rsidR="00E5265C">
        <w:rPr>
          <w:lang w:val="en-GB"/>
        </w:rPr>
      </w:r>
      <w:r w:rsidR="00E5265C">
        <w:rPr>
          <w:lang w:val="en-GB"/>
        </w:rPr>
        <w:fldChar w:fldCharType="end"/>
      </w:r>
      <w:r w:rsidRPr="00221992">
        <w:rPr>
          <w:lang w:val="en-GB"/>
        </w:rPr>
      </w:r>
      <w:r w:rsidRPr="00221992">
        <w:rPr>
          <w:lang w:val="en-GB"/>
        </w:rPr>
        <w:fldChar w:fldCharType="separate"/>
      </w:r>
      <w:r w:rsidR="00E5265C">
        <w:rPr>
          <w:noProof/>
          <w:lang w:val="en-GB"/>
        </w:rPr>
        <w:t>[208]</w:t>
      </w:r>
      <w:r w:rsidRPr="00221992">
        <w:rPr>
          <w:lang w:val="en-GB"/>
        </w:rPr>
        <w:fldChar w:fldCharType="end"/>
      </w:r>
      <w:r w:rsidR="004D14BC" w:rsidRPr="00221992">
        <w:rPr>
          <w:lang w:val="en-GB"/>
        </w:rPr>
        <w:t xml:space="preserve">. </w:t>
      </w:r>
      <w:r w:rsidR="00DA4CEB" w:rsidRPr="00221992">
        <w:rPr>
          <w:lang w:val="en-GB"/>
        </w:rPr>
        <w:t xml:space="preserve">These agreements operate on the basis that sponsors are remunerated solely for patients who respond to treatment or achieve predetermined health outcomes. In cases where patients do not respond, sponsors are obligated to </w:t>
      </w:r>
      <w:r w:rsidR="007977A3" w:rsidRPr="00221992">
        <w:rPr>
          <w:lang w:val="en-GB"/>
        </w:rPr>
        <w:t xml:space="preserve">a partial or full </w:t>
      </w:r>
      <w:r w:rsidR="00DA4CEB" w:rsidRPr="00221992">
        <w:rPr>
          <w:lang w:val="en-GB"/>
        </w:rPr>
        <w:t xml:space="preserve">refund </w:t>
      </w:r>
      <w:r w:rsidR="007977A3" w:rsidRPr="00221992">
        <w:rPr>
          <w:lang w:val="en-GB"/>
        </w:rPr>
        <w:t xml:space="preserve">of </w:t>
      </w:r>
      <w:r w:rsidR="00DA4CEB" w:rsidRPr="00221992">
        <w:rPr>
          <w:lang w:val="en-GB"/>
        </w:rPr>
        <w:t xml:space="preserve">upfront payments. </w:t>
      </w:r>
      <w:r w:rsidR="004D14BC" w:rsidRPr="00221992">
        <w:rPr>
          <w:lang w:val="en-GB"/>
        </w:rPr>
        <w:t xml:space="preserve">In Italy, PbR agreements were the preferred approach until 2020, constituting 44% of all performance agreements. However, Italy has </w:t>
      </w:r>
      <w:r w:rsidR="007977A3" w:rsidRPr="00221992">
        <w:rPr>
          <w:lang w:val="en-GB"/>
        </w:rPr>
        <w:t>since</w:t>
      </w:r>
      <w:r w:rsidR="004D14BC" w:rsidRPr="00221992">
        <w:rPr>
          <w:lang w:val="en-GB"/>
        </w:rPr>
        <w:t xml:space="preserve"> transition</w:t>
      </w:r>
      <w:r w:rsidR="007977A3" w:rsidRPr="00221992">
        <w:rPr>
          <w:lang w:val="en-GB"/>
        </w:rPr>
        <w:t>ed</w:t>
      </w:r>
      <w:r w:rsidR="004D14BC" w:rsidRPr="00221992">
        <w:rPr>
          <w:lang w:val="en-GB"/>
        </w:rPr>
        <w:t xml:space="preserve"> towards alternative agreements </w:t>
      </w:r>
      <w:r w:rsidR="007977A3" w:rsidRPr="00221992">
        <w:rPr>
          <w:lang w:val="en-GB"/>
        </w:rPr>
        <w:t>emphasising</w:t>
      </w:r>
      <w:r w:rsidR="004D14BC" w:rsidRPr="00221992">
        <w:rPr>
          <w:lang w:val="en-GB"/>
        </w:rPr>
        <w:t xml:space="preserve"> cost-sharing and capping, particularly as it strengthens its innovation initiatives </w:t>
      </w:r>
      <w:r w:rsidRPr="00221992">
        <w:rPr>
          <w:lang w:val="en-GB"/>
        </w:rPr>
        <w:fldChar w:fldCharType="begin"/>
      </w:r>
      <w:r w:rsidR="00E5265C">
        <w:rPr>
          <w:lang w:val="en-GB"/>
        </w:rPr>
        <w:instrText xml:space="preserve"> ADDIN EN.CITE &lt;EndNote&gt;&lt;Cite&gt;&lt;Author&gt;Xoxi&lt;/Author&gt;&lt;Year&gt;2022&lt;/Year&gt;&lt;RecNum&gt;487&lt;/RecNum&gt;&lt;DisplayText&gt;[210]&lt;/DisplayText&gt;&lt;record&gt;&lt;rec-number&gt;487&lt;/rec-number&gt;&lt;foreign-keys&gt;&lt;key app="EN" db-id="wzwwsfxe4peesxef95cxvrwjxts9rreasarf" timestamp="1692654671"&gt;487&lt;/key&gt;&lt;/foreign-keys&gt;&lt;ref-type name="Journal Article"&gt;17&lt;/ref-type&gt;&lt;contributors&gt;&lt;authors&gt;&lt;author&gt;Xoxi, E.&lt;/author&gt;&lt;author&gt;Rumi, F.&lt;/author&gt;&lt;author&gt;Kanavos, P.&lt;/author&gt;&lt;author&gt;Dauben, H. P.&lt;/author&gt;&lt;author&gt;Gutierrez-Ibarluzea, I.&lt;/author&gt;&lt;author&gt;Wong, O.&lt;/author&gt;&lt;author&gt;Rasi, G.&lt;/author&gt;&lt;author&gt;Cicchetti, A.&lt;/author&gt;&lt;/authors&gt;&lt;/contributors&gt;&lt;auth-address&gt;Postgraduate School of Health Economics and Management (ALTEMS), Università Cattolica del Sacro Cuore, Rome, Italy&amp;#xD;London School of Economics and Political Science, London, United Kingdom&amp;#xD;Rheinische Fachhochschule Köln, University for Applied Science, Köln, Germany&amp;#xD;BIOEF, Public Foundation of the Department of Health to Promote Innovation and Research in Euskadi, Bilbao, Spain&amp;#xD;Medi-Qualité Omega, Paris, France&amp;#xD;Clinical Trial Center, Policlinico Universitario Agostino Gemelli IRCCS, Rome, Italy&lt;/auth-address&gt;&lt;titles&gt;&lt;title&gt;A Proposal for Value-Based Managed Entry Agreements in an Environment of Technological Change and Economic Challenge for Publicly Funded Healthcare Systems&lt;/title&gt;&lt;secondary-title&gt;Front Med Technol&lt;/secondary-title&gt;&lt;/titles&gt;&lt;periodical&gt;&lt;full-title&gt;Front Med Technol&lt;/full-title&gt;&lt;/periodical&gt;&lt;volume&gt;4&lt;/volume&gt;&lt;edition&gt;20220616&lt;/edition&gt;&lt;dates&gt;&lt;year&gt;2022&lt;/year&gt;&lt;/dates&gt;&lt;accession-num&gt;35782579&lt;/accession-num&gt;&lt;urls&gt;&lt;/urls&gt;&lt;custom2&gt;PMC9245041&lt;/custom2&gt;&lt;electronic-resource-num&gt;10.3389/fmedt.2022.888404&lt;/electronic-resource-num&gt;&lt;language&gt;eng&lt;/language&gt;&lt;/record&gt;&lt;/Cite&gt;&lt;/EndNote&gt;</w:instrText>
      </w:r>
      <w:r w:rsidRPr="00221992">
        <w:rPr>
          <w:lang w:val="en-GB"/>
        </w:rPr>
        <w:fldChar w:fldCharType="separate"/>
      </w:r>
      <w:r w:rsidR="00E5265C">
        <w:rPr>
          <w:noProof/>
          <w:lang w:val="en-GB"/>
        </w:rPr>
        <w:t>[210]</w:t>
      </w:r>
      <w:r w:rsidRPr="00221992">
        <w:rPr>
          <w:lang w:val="en-GB"/>
        </w:rPr>
        <w:fldChar w:fldCharType="end"/>
      </w:r>
      <w:r w:rsidR="004D14BC" w:rsidRPr="00221992">
        <w:rPr>
          <w:lang w:val="en-GB"/>
        </w:rPr>
        <w:t>.</w:t>
      </w:r>
    </w:p>
    <w:p w14:paraId="09087031" w14:textId="4155AE0F" w:rsidR="00DA4CEB" w:rsidRPr="00221992" w:rsidRDefault="00DA4CEB" w:rsidP="008B5081">
      <w:pPr>
        <w:rPr>
          <w:lang w:val="en-GB"/>
        </w:rPr>
      </w:pPr>
      <w:r w:rsidRPr="00221992">
        <w:rPr>
          <w:lang w:val="en-GB"/>
        </w:rPr>
        <w:t>While population-based CED agreements commonly incorporate patient-relevant endpoints like mortality, morbidity or quality of life, PbR agreements tend to rely on surrogate or intermediate endpoints. These types of agreements have been criticised for inadequately addressing clinical uncertainty</w:t>
      </w:r>
      <w:r w:rsidR="00B24505" w:rsidRPr="00221992">
        <w:rPr>
          <w:lang w:val="en-GB"/>
        </w:rPr>
        <w:t xml:space="preserve"> </w:t>
      </w:r>
      <w:r w:rsidR="00653F87" w:rsidRPr="00221992">
        <w:rPr>
          <w:lang w:val="en-GB"/>
        </w:rPr>
        <w:fldChar w:fldCharType="begin">
          <w:fldData xml:space="preserve">PEVuZE5vdGU+PENpdGU+PEF1dGhvcj5Ub3VtaTwvQXV0aG9yPjxZZWFyPjIwMTc8L1llYXI+PFJl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</w:fldData>
        </w:fldChar>
      </w:r>
      <w:r w:rsidR="00E5265C">
        <w:rPr>
          <w:lang w:val="en-GB"/>
        </w:rPr>
        <w:instrText xml:space="preserve"> ADDIN EN.CITE </w:instrText>
      </w:r>
      <w:r w:rsidR="00E5265C">
        <w:rPr>
          <w:lang w:val="en-GB"/>
        </w:rPr>
        <w:fldChar w:fldCharType="begin">
          <w:fldData xml:space="preserve">PEVuZE5vdGU+PENpdGU+PEF1dGhvcj5Ub3VtaTwvQXV0aG9yPjxZZWFyPjIwMTc8L1llYXI+PFJl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</w:fldData>
        </w:fldChar>
      </w:r>
      <w:r w:rsidR="00E5265C">
        <w:rPr>
          <w:lang w:val="en-GB"/>
        </w:rPr>
        <w:instrText xml:space="preserve"> ADDIN EN.CITE.DATA </w:instrText>
      </w:r>
      <w:r w:rsidR="00E5265C">
        <w:rPr>
          <w:lang w:val="en-GB"/>
        </w:rPr>
      </w:r>
      <w:r w:rsidR="00E5265C">
        <w:rPr>
          <w:lang w:val="en-GB"/>
        </w:rPr>
        <w:fldChar w:fldCharType="end"/>
      </w:r>
      <w:r w:rsidR="00653F87" w:rsidRPr="00221992">
        <w:rPr>
          <w:lang w:val="en-GB"/>
        </w:rPr>
      </w:r>
      <w:r w:rsidR="00653F87" w:rsidRPr="00221992">
        <w:rPr>
          <w:lang w:val="en-GB"/>
        </w:rPr>
        <w:fldChar w:fldCharType="separate"/>
      </w:r>
      <w:r w:rsidR="00E5265C">
        <w:rPr>
          <w:noProof/>
          <w:lang w:val="en-GB"/>
        </w:rPr>
        <w:t>[209]</w:t>
      </w:r>
      <w:r w:rsidR="00653F87" w:rsidRPr="00221992">
        <w:rPr>
          <w:lang w:val="en-GB"/>
        </w:rPr>
        <w:fldChar w:fldCharType="end"/>
      </w:r>
      <w:r w:rsidRPr="00221992">
        <w:rPr>
          <w:lang w:val="en-GB"/>
        </w:rPr>
        <w:t xml:space="preserve">. Although surrogate endpoints are </w:t>
      </w:r>
      <w:r w:rsidR="00353FF5">
        <w:rPr>
          <w:lang w:val="en-GB"/>
        </w:rPr>
        <w:t xml:space="preserve">generally </w:t>
      </w:r>
      <w:r w:rsidRPr="00221992">
        <w:rPr>
          <w:lang w:val="en-GB"/>
        </w:rPr>
        <w:t>quicker and more easily measur</w:t>
      </w:r>
      <w:r w:rsidR="00495107">
        <w:rPr>
          <w:lang w:val="en-GB"/>
        </w:rPr>
        <w:t>ed</w:t>
      </w:r>
      <w:r w:rsidRPr="00221992">
        <w:rPr>
          <w:lang w:val="en-GB"/>
        </w:rPr>
        <w:t xml:space="preserve"> than clinical outcomes, this approach introduces an extra </w:t>
      </w:r>
      <w:r w:rsidR="000C22A4" w:rsidRPr="00221992">
        <w:rPr>
          <w:lang w:val="en-GB"/>
        </w:rPr>
        <w:t>layer</w:t>
      </w:r>
      <w:r w:rsidRPr="00221992">
        <w:rPr>
          <w:lang w:val="en-GB"/>
        </w:rPr>
        <w:t xml:space="preserve"> of uncertainty to the evaluation process</w:t>
      </w:r>
      <w:r w:rsidR="000C22A4" w:rsidRPr="00221992">
        <w:rPr>
          <w:lang w:val="en-GB"/>
        </w:rPr>
        <w:t xml:space="preserve">—i.e., the </w:t>
      </w:r>
      <w:r w:rsidRPr="00221992">
        <w:rPr>
          <w:lang w:val="en-GB"/>
        </w:rPr>
        <w:t>reliability of the surrogate endpoint to accurately predict clinical benefit</w:t>
      </w:r>
      <w:r w:rsidR="000C22A4" w:rsidRPr="00221992">
        <w:rPr>
          <w:lang w:val="en-GB"/>
        </w:rPr>
        <w:t xml:space="preserve"> and </w:t>
      </w:r>
      <w:r w:rsidRPr="00221992">
        <w:rPr>
          <w:lang w:val="en-GB"/>
        </w:rPr>
        <w:t xml:space="preserve">enhanced patient outcomes. </w:t>
      </w:r>
    </w:p>
    <w:p w14:paraId="25A20343" w14:textId="11D8B084" w:rsidR="000C3C07" w:rsidRPr="00221992" w:rsidRDefault="000C3C07" w:rsidP="00A00351">
      <w:pPr>
        <w:rPr>
          <w:lang w:val="en-GB"/>
        </w:rPr>
      </w:pPr>
      <w:r w:rsidRPr="00221992">
        <w:rPr>
          <w:lang w:val="en-GB"/>
        </w:rPr>
        <w:t xml:space="preserve">Toumi et al. (2017) examined </w:t>
      </w:r>
      <w:r w:rsidR="00353FF5">
        <w:rPr>
          <w:lang w:val="en-GB"/>
        </w:rPr>
        <w:t>peer-reviewed</w:t>
      </w:r>
      <w:r w:rsidR="00353FF5" w:rsidRPr="00221992">
        <w:rPr>
          <w:lang w:val="en-GB"/>
        </w:rPr>
        <w:t xml:space="preserve"> </w:t>
      </w:r>
      <w:r w:rsidRPr="00221992">
        <w:rPr>
          <w:lang w:val="en-GB"/>
        </w:rPr>
        <w:t xml:space="preserve">and </w:t>
      </w:r>
      <w:r w:rsidR="00A00351" w:rsidRPr="00221992">
        <w:rPr>
          <w:lang w:val="en-GB"/>
        </w:rPr>
        <w:t>grey</w:t>
      </w:r>
      <w:r w:rsidRPr="00221992">
        <w:rPr>
          <w:lang w:val="en-GB"/>
        </w:rPr>
        <w:t xml:space="preserve"> literature on </w:t>
      </w:r>
      <w:r w:rsidR="00661F62">
        <w:rPr>
          <w:lang w:val="en-GB"/>
        </w:rPr>
        <w:t>performance-based MEAs</w:t>
      </w:r>
      <w:r w:rsidRPr="00221992">
        <w:rPr>
          <w:lang w:val="en-GB"/>
        </w:rPr>
        <w:t xml:space="preserve"> </w:t>
      </w:r>
      <w:r w:rsidR="00A00351" w:rsidRPr="00221992">
        <w:rPr>
          <w:lang w:val="en-GB"/>
        </w:rPr>
        <w:t>internationally,</w:t>
      </w:r>
      <w:r w:rsidRPr="00221992">
        <w:rPr>
          <w:lang w:val="en-GB"/>
        </w:rPr>
        <w:t xml:space="preserve"> categoris</w:t>
      </w:r>
      <w:r w:rsidR="00A00351" w:rsidRPr="00221992">
        <w:rPr>
          <w:lang w:val="en-GB"/>
        </w:rPr>
        <w:t>ing</w:t>
      </w:r>
      <w:r w:rsidRPr="00221992">
        <w:rPr>
          <w:lang w:val="en-GB"/>
        </w:rPr>
        <w:t xml:space="preserve"> </w:t>
      </w:r>
      <w:r w:rsidR="00A00351" w:rsidRPr="00221992">
        <w:rPr>
          <w:lang w:val="en-GB"/>
        </w:rPr>
        <w:t>such</w:t>
      </w:r>
      <w:r w:rsidRPr="00221992">
        <w:rPr>
          <w:lang w:val="en-GB"/>
        </w:rPr>
        <w:t xml:space="preserve"> agreements into three main types: </w:t>
      </w:r>
      <w:r w:rsidR="00A00351" w:rsidRPr="00221992">
        <w:rPr>
          <w:lang w:val="en-GB"/>
        </w:rPr>
        <w:t>c</w:t>
      </w:r>
      <w:r w:rsidRPr="00221992">
        <w:rPr>
          <w:lang w:val="en-GB"/>
        </w:rPr>
        <w:t xml:space="preserve">onditional </w:t>
      </w:r>
      <w:r w:rsidR="00A00351" w:rsidRPr="00221992">
        <w:rPr>
          <w:lang w:val="en-GB"/>
        </w:rPr>
        <w:t>a</w:t>
      </w:r>
      <w:r w:rsidRPr="00221992">
        <w:rPr>
          <w:lang w:val="en-GB"/>
        </w:rPr>
        <w:t xml:space="preserve">greements, PbR arrangements, and CED programs. The study </w:t>
      </w:r>
      <w:r w:rsidR="00A00351" w:rsidRPr="00221992">
        <w:rPr>
          <w:lang w:val="en-GB"/>
        </w:rPr>
        <w:t>further</w:t>
      </w:r>
      <w:r w:rsidRPr="00221992">
        <w:rPr>
          <w:lang w:val="en-GB"/>
        </w:rPr>
        <w:t xml:space="preserve"> classified MEAs according to the </w:t>
      </w:r>
      <w:r w:rsidR="00A00351" w:rsidRPr="00221992">
        <w:rPr>
          <w:lang w:val="en-GB"/>
        </w:rPr>
        <w:t>specified</w:t>
      </w:r>
      <w:r w:rsidRPr="00221992">
        <w:rPr>
          <w:lang w:val="en-GB"/>
        </w:rPr>
        <w:t xml:space="preserve"> e</w:t>
      </w:r>
      <w:r w:rsidR="00A00351" w:rsidRPr="00221992">
        <w:rPr>
          <w:lang w:val="en-GB"/>
        </w:rPr>
        <w:t>n</w:t>
      </w:r>
      <w:r w:rsidRPr="00221992">
        <w:rPr>
          <w:lang w:val="en-GB"/>
        </w:rPr>
        <w:t>dpoint</w:t>
      </w:r>
      <w:r w:rsidR="00A00351" w:rsidRPr="00221992">
        <w:rPr>
          <w:lang w:val="en-GB"/>
        </w:rPr>
        <w:t xml:space="preserve"> type</w:t>
      </w:r>
      <w:r w:rsidR="00DA4CEB" w:rsidRPr="00221992">
        <w:rPr>
          <w:lang w:val="en-GB"/>
        </w:rPr>
        <w:t xml:space="preserve"> </w:t>
      </w:r>
      <w:r w:rsidR="00A00351" w:rsidRPr="00221992">
        <w:rPr>
          <w:lang w:val="en-GB"/>
        </w:rPr>
        <w:t>(i.e., direct</w:t>
      </w:r>
      <w:r w:rsidRPr="00221992">
        <w:rPr>
          <w:lang w:val="en-GB"/>
        </w:rPr>
        <w:t xml:space="preserve"> or surrogate</w:t>
      </w:r>
      <w:r w:rsidR="00A00351" w:rsidRPr="00221992">
        <w:rPr>
          <w:lang w:val="en-GB"/>
        </w:rPr>
        <w:t>)</w:t>
      </w:r>
      <w:r w:rsidRPr="00221992">
        <w:rPr>
          <w:lang w:val="en-GB"/>
        </w:rPr>
        <w:t>.</w:t>
      </w:r>
      <w:r w:rsidR="00A00351" w:rsidRPr="00221992">
        <w:rPr>
          <w:lang w:val="en-GB"/>
        </w:rPr>
        <w:t xml:space="preserve"> </w:t>
      </w:r>
      <w:r w:rsidRPr="00221992">
        <w:rPr>
          <w:lang w:val="en-GB"/>
        </w:rPr>
        <w:t xml:space="preserve">Among </w:t>
      </w:r>
      <w:r w:rsidR="00A00351" w:rsidRPr="00221992">
        <w:rPr>
          <w:lang w:val="en-GB"/>
        </w:rPr>
        <w:t>identified CED-type MEAs</w:t>
      </w:r>
      <w:r w:rsidR="007636EF">
        <w:rPr>
          <w:lang w:val="en-GB"/>
        </w:rPr>
        <w:t>,</w:t>
      </w:r>
      <w:r w:rsidR="00A00351" w:rsidRPr="00221992">
        <w:rPr>
          <w:lang w:val="en-GB"/>
        </w:rPr>
        <w:t xml:space="preserve"> </w:t>
      </w:r>
      <w:r w:rsidR="2B293759" w:rsidRPr="00221992">
        <w:rPr>
          <w:lang w:val="en-GB"/>
        </w:rPr>
        <w:t>there was</w:t>
      </w:r>
      <w:r w:rsidR="00DA4CEB" w:rsidRPr="00221992">
        <w:rPr>
          <w:lang w:val="en-GB"/>
        </w:rPr>
        <w:t xml:space="preserve"> wide range of measures used to define patient response, including</w:t>
      </w:r>
      <w:r w:rsidR="2BA4D399" w:rsidRPr="00221992">
        <w:rPr>
          <w:lang w:val="en-GB"/>
        </w:rPr>
        <w:t>:</w:t>
      </w:r>
      <w:r w:rsidR="00DA4CEB" w:rsidRPr="00221992">
        <w:rPr>
          <w:lang w:val="en-GB"/>
        </w:rPr>
        <w:t xml:space="preserve"> overall survival</w:t>
      </w:r>
      <w:r w:rsidR="1CC2E95A" w:rsidRPr="00221992">
        <w:rPr>
          <w:lang w:val="en-GB"/>
        </w:rPr>
        <w:t>;</w:t>
      </w:r>
      <w:r w:rsidR="00DA4CEB" w:rsidRPr="00221992">
        <w:rPr>
          <w:lang w:val="en-GB"/>
        </w:rPr>
        <w:t xml:space="preserve"> mortality</w:t>
      </w:r>
      <w:r w:rsidR="3550A0F2" w:rsidRPr="00221992">
        <w:rPr>
          <w:lang w:val="en-GB"/>
        </w:rPr>
        <w:t>;</w:t>
      </w:r>
      <w:r w:rsidR="00DA4CEB" w:rsidRPr="00221992">
        <w:rPr>
          <w:lang w:val="en-GB"/>
        </w:rPr>
        <w:t xml:space="preserve"> morbidity</w:t>
      </w:r>
      <w:r w:rsidR="496BF0D8" w:rsidRPr="00221992">
        <w:rPr>
          <w:lang w:val="en-GB"/>
        </w:rPr>
        <w:t>;</w:t>
      </w:r>
      <w:r w:rsidR="00DA4CEB" w:rsidRPr="00221992">
        <w:rPr>
          <w:lang w:val="en-GB"/>
        </w:rPr>
        <w:t xml:space="preserve"> population of patients to whom a drug is prescribed (size or clinical characteristics)</w:t>
      </w:r>
      <w:r w:rsidR="4197A6B9" w:rsidRPr="00221992">
        <w:rPr>
          <w:lang w:val="en-GB"/>
        </w:rPr>
        <w:t>;</w:t>
      </w:r>
      <w:r w:rsidR="00DA4CEB" w:rsidRPr="00221992">
        <w:rPr>
          <w:lang w:val="en-GB"/>
        </w:rPr>
        <w:t xml:space="preserve"> number of treatment discontinuations</w:t>
      </w:r>
      <w:r w:rsidR="00C93506" w:rsidRPr="00221992">
        <w:rPr>
          <w:lang w:val="en-GB"/>
        </w:rPr>
        <w:t>,</w:t>
      </w:r>
      <w:r w:rsidR="00DA4CEB" w:rsidRPr="00221992">
        <w:rPr>
          <w:lang w:val="en-GB"/>
        </w:rPr>
        <w:t xml:space="preserve"> delay in switch to a different drug</w:t>
      </w:r>
      <w:r w:rsidR="0024BF24" w:rsidRPr="00221992">
        <w:rPr>
          <w:lang w:val="en-GB"/>
        </w:rPr>
        <w:t>;</w:t>
      </w:r>
      <w:r w:rsidR="00DA4CEB" w:rsidRPr="00221992">
        <w:rPr>
          <w:lang w:val="en-GB"/>
        </w:rPr>
        <w:t xml:space="preserve"> number of hospitalisations or emergency department visits</w:t>
      </w:r>
      <w:r w:rsidR="7BD8805D" w:rsidRPr="00221992">
        <w:rPr>
          <w:lang w:val="en-GB"/>
        </w:rPr>
        <w:t>;</w:t>
      </w:r>
      <w:r w:rsidR="00DA4CEB" w:rsidRPr="00221992">
        <w:rPr>
          <w:lang w:val="en-GB"/>
        </w:rPr>
        <w:t xml:space="preserve"> side effects</w:t>
      </w:r>
      <w:r w:rsidR="4BDD876D" w:rsidRPr="00221992">
        <w:rPr>
          <w:lang w:val="en-GB"/>
        </w:rPr>
        <w:t>;</w:t>
      </w:r>
      <w:r w:rsidR="00DA4CEB" w:rsidRPr="00221992">
        <w:rPr>
          <w:lang w:val="en-GB"/>
        </w:rPr>
        <w:t xml:space="preserve"> dosage</w:t>
      </w:r>
      <w:r w:rsidR="009A19E5">
        <w:rPr>
          <w:lang w:val="en-GB"/>
        </w:rPr>
        <w:t>;</w:t>
      </w:r>
      <w:r w:rsidR="00A00351" w:rsidRPr="00221992">
        <w:rPr>
          <w:lang w:val="en-GB"/>
        </w:rPr>
        <w:t xml:space="preserve"> and</w:t>
      </w:r>
      <w:r w:rsidR="00DA4CEB" w:rsidRPr="00221992">
        <w:rPr>
          <w:lang w:val="en-GB"/>
        </w:rPr>
        <w:t xml:space="preserve"> treatment. I</w:t>
      </w:r>
      <w:r w:rsidRPr="00221992">
        <w:rPr>
          <w:lang w:val="en-GB"/>
        </w:rPr>
        <w:t>n contrast, 86% (29</w:t>
      </w:r>
      <w:r w:rsidR="00DA4CEB" w:rsidRPr="00221992">
        <w:rPr>
          <w:lang w:val="en-GB"/>
        </w:rPr>
        <w:t xml:space="preserve"> of </w:t>
      </w:r>
      <w:r w:rsidRPr="00221992">
        <w:rPr>
          <w:lang w:val="en-GB"/>
        </w:rPr>
        <w:t xml:space="preserve">34) of identified PbR arrangements relied on surrogate endpoints. </w:t>
      </w:r>
      <w:r w:rsidR="00DA4CEB" w:rsidRPr="00221992">
        <w:rPr>
          <w:lang w:val="en-GB"/>
        </w:rPr>
        <w:t xml:space="preserve">Toumi and colleagues </w:t>
      </w:r>
      <w:r w:rsidRPr="00221992">
        <w:rPr>
          <w:lang w:val="en-GB"/>
        </w:rPr>
        <w:t xml:space="preserve">argue that the while such agreements can enhance the average cost-effectiveness of pharmaceuticals by reducing the average price per patient treated, the use of surrogate endpoints to define </w:t>
      </w:r>
      <w:r w:rsidR="00551786">
        <w:rPr>
          <w:lang w:val="en-GB"/>
        </w:rPr>
        <w:t>‘</w:t>
      </w:r>
      <w:r w:rsidRPr="00221992">
        <w:rPr>
          <w:lang w:val="en-GB"/>
        </w:rPr>
        <w:t>success</w:t>
      </w:r>
      <w:r w:rsidR="00551786">
        <w:rPr>
          <w:lang w:val="en-GB"/>
        </w:rPr>
        <w:t>’</w:t>
      </w:r>
      <w:r w:rsidRPr="00221992">
        <w:rPr>
          <w:lang w:val="en-GB"/>
        </w:rPr>
        <w:t xml:space="preserve"> may not necessarily contribute to mitigating clinical uncertainty</w:t>
      </w:r>
      <w:r w:rsidR="00B24505" w:rsidRPr="00221992">
        <w:rPr>
          <w:lang w:val="en-GB"/>
        </w:rPr>
        <w:t xml:space="preserve"> </w:t>
      </w:r>
      <w:r w:rsidR="00653F87" w:rsidRPr="00221992">
        <w:rPr>
          <w:lang w:val="en-GB"/>
        </w:rPr>
        <w:fldChar w:fldCharType="begin">
          <w:fldData xml:space="preserve">PEVuZE5vdGU+PENpdGU+PEF1dGhvcj5Ub3VtaTwvQXV0aG9yPjxZZWFyPjIwMTc8L1llYXI+PFJl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</w:fldData>
        </w:fldChar>
      </w:r>
      <w:r w:rsidR="00E5265C">
        <w:rPr>
          <w:lang w:val="en-GB"/>
        </w:rPr>
        <w:instrText xml:space="preserve"> ADDIN EN.CITE </w:instrText>
      </w:r>
      <w:r w:rsidR="00E5265C">
        <w:rPr>
          <w:lang w:val="en-GB"/>
        </w:rPr>
        <w:fldChar w:fldCharType="begin">
          <w:fldData xml:space="preserve">PEVuZE5vdGU+PENpdGU+PEF1dGhvcj5Ub3VtaTwvQXV0aG9yPjxZZWFyPjIwMTc8L1llYXI+PFJl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</w:fldData>
        </w:fldChar>
      </w:r>
      <w:r w:rsidR="00E5265C">
        <w:rPr>
          <w:lang w:val="en-GB"/>
        </w:rPr>
        <w:instrText xml:space="preserve"> ADDIN EN.CITE.DATA </w:instrText>
      </w:r>
      <w:r w:rsidR="00E5265C">
        <w:rPr>
          <w:lang w:val="en-GB"/>
        </w:rPr>
      </w:r>
      <w:r w:rsidR="00E5265C">
        <w:rPr>
          <w:lang w:val="en-GB"/>
        </w:rPr>
        <w:fldChar w:fldCharType="end"/>
      </w:r>
      <w:r w:rsidR="00653F87" w:rsidRPr="00221992">
        <w:rPr>
          <w:lang w:val="en-GB"/>
        </w:rPr>
      </w:r>
      <w:r w:rsidR="00653F87" w:rsidRPr="00221992">
        <w:rPr>
          <w:lang w:val="en-GB"/>
        </w:rPr>
        <w:fldChar w:fldCharType="separate"/>
      </w:r>
      <w:r w:rsidR="00E5265C">
        <w:rPr>
          <w:noProof/>
          <w:lang w:val="en-GB"/>
        </w:rPr>
        <w:t>[209]</w:t>
      </w:r>
      <w:r w:rsidR="00653F87" w:rsidRPr="00221992">
        <w:rPr>
          <w:lang w:val="en-GB"/>
        </w:rPr>
        <w:fldChar w:fldCharType="end"/>
      </w:r>
      <w:r w:rsidRPr="00221992">
        <w:rPr>
          <w:lang w:val="en-GB"/>
        </w:rPr>
        <w:t>.</w:t>
      </w:r>
    </w:p>
    <w:p w14:paraId="178383A0" w14:textId="4406D232" w:rsidR="004241E4" w:rsidRPr="00221992" w:rsidRDefault="000A4D4F" w:rsidP="008B5081">
      <w:pPr>
        <w:rPr>
          <w:lang w:val="en-GB"/>
        </w:rPr>
      </w:pPr>
      <w:r w:rsidRPr="00221992">
        <w:rPr>
          <w:lang w:val="en-GB"/>
        </w:rPr>
        <w:t xml:space="preserve">Several </w:t>
      </w:r>
      <w:r w:rsidR="004241E4" w:rsidRPr="00221992">
        <w:rPr>
          <w:lang w:val="en-GB"/>
        </w:rPr>
        <w:t xml:space="preserve">countries </w:t>
      </w:r>
      <w:r w:rsidR="000C3C07" w:rsidRPr="00221992">
        <w:rPr>
          <w:lang w:val="en-GB"/>
        </w:rPr>
        <w:t>(</w:t>
      </w:r>
      <w:r w:rsidR="006A5717" w:rsidRPr="00221992">
        <w:rPr>
          <w:lang w:val="en-GB"/>
        </w:rPr>
        <w:t xml:space="preserve">e.g., </w:t>
      </w:r>
      <w:r w:rsidR="00C64D4B" w:rsidRPr="00221992">
        <w:rPr>
          <w:lang w:val="en-GB"/>
        </w:rPr>
        <w:t>Australia, Italy, Korea and Sweden</w:t>
      </w:r>
      <w:r w:rsidR="000C3C07" w:rsidRPr="00221992">
        <w:rPr>
          <w:lang w:val="en-GB"/>
        </w:rPr>
        <w:t xml:space="preserve">) </w:t>
      </w:r>
      <w:r w:rsidR="004241E4" w:rsidRPr="00221992">
        <w:rPr>
          <w:lang w:val="en-GB"/>
        </w:rPr>
        <w:t>also use CTC</w:t>
      </w:r>
      <w:r w:rsidR="000C3C07" w:rsidRPr="00221992">
        <w:rPr>
          <w:lang w:val="en-GB"/>
        </w:rPr>
        <w:t xml:space="preserve">, where coverage of the treatment is continued only for patients who achieve a </w:t>
      </w:r>
      <w:r w:rsidR="006A5717" w:rsidRPr="00221992">
        <w:rPr>
          <w:lang w:val="en-GB"/>
        </w:rPr>
        <w:t>p</w:t>
      </w:r>
      <w:r w:rsidR="000C3C07" w:rsidRPr="00221992">
        <w:rPr>
          <w:lang w:val="en-GB"/>
        </w:rPr>
        <w:t>re-specified response</w:t>
      </w:r>
      <w:r w:rsidR="006A5717" w:rsidRPr="00221992">
        <w:rPr>
          <w:lang w:val="en-GB"/>
        </w:rPr>
        <w:t>.</w:t>
      </w:r>
      <w:r w:rsidRPr="00221992">
        <w:rPr>
          <w:lang w:val="en-GB"/>
        </w:rPr>
        <w:t xml:space="preserve"> </w:t>
      </w:r>
      <w:r w:rsidR="006A5717" w:rsidRPr="00221992">
        <w:rPr>
          <w:lang w:val="en-GB"/>
        </w:rPr>
        <w:t>Such arrangements are not</w:t>
      </w:r>
      <w:r w:rsidR="004241E4" w:rsidRPr="00221992">
        <w:rPr>
          <w:lang w:val="en-GB"/>
        </w:rPr>
        <w:t xml:space="preserve"> </w:t>
      </w:r>
      <w:r w:rsidR="006A5717" w:rsidRPr="00221992">
        <w:rPr>
          <w:lang w:val="en-GB"/>
        </w:rPr>
        <w:t>necessarily</w:t>
      </w:r>
      <w:r w:rsidR="004241E4" w:rsidRPr="00221992">
        <w:rPr>
          <w:lang w:val="en-GB"/>
        </w:rPr>
        <w:t xml:space="preserve"> </w:t>
      </w:r>
      <w:r w:rsidR="006A5717" w:rsidRPr="00221992">
        <w:rPr>
          <w:lang w:val="en-GB"/>
        </w:rPr>
        <w:t>explicit within</w:t>
      </w:r>
      <w:r w:rsidR="004241E4" w:rsidRPr="00221992">
        <w:rPr>
          <w:lang w:val="en-GB"/>
        </w:rPr>
        <w:t xml:space="preserve"> agreements between payers and </w:t>
      </w:r>
      <w:r w:rsidRPr="00221992">
        <w:rPr>
          <w:lang w:val="en-GB"/>
        </w:rPr>
        <w:t>sponsors</w:t>
      </w:r>
      <w:r w:rsidR="004241E4" w:rsidRPr="00221992">
        <w:rPr>
          <w:lang w:val="en-GB"/>
        </w:rPr>
        <w:t xml:space="preserve">; </w:t>
      </w:r>
      <w:r w:rsidR="006A5717" w:rsidRPr="00221992">
        <w:rPr>
          <w:lang w:val="en-GB"/>
        </w:rPr>
        <w:t>(dis)continuation</w:t>
      </w:r>
      <w:r w:rsidR="004241E4" w:rsidRPr="00221992">
        <w:rPr>
          <w:lang w:val="en-GB"/>
        </w:rPr>
        <w:t xml:space="preserve"> </w:t>
      </w:r>
      <w:r w:rsidR="006A5717" w:rsidRPr="00221992">
        <w:rPr>
          <w:lang w:val="en-GB"/>
        </w:rPr>
        <w:t xml:space="preserve">of a </w:t>
      </w:r>
      <w:r w:rsidR="005A560B" w:rsidRPr="00221992">
        <w:rPr>
          <w:lang w:val="en-GB"/>
        </w:rPr>
        <w:t>treatment</w:t>
      </w:r>
      <w:r w:rsidR="006A5717" w:rsidRPr="00221992">
        <w:rPr>
          <w:lang w:val="en-GB"/>
        </w:rPr>
        <w:t xml:space="preserve"> may</w:t>
      </w:r>
      <w:r w:rsidR="004241E4" w:rsidRPr="00221992">
        <w:rPr>
          <w:lang w:val="en-GB"/>
        </w:rPr>
        <w:t xml:space="preserve"> </w:t>
      </w:r>
      <w:r w:rsidRPr="00221992">
        <w:rPr>
          <w:lang w:val="en-GB"/>
        </w:rPr>
        <w:t>be implicit in</w:t>
      </w:r>
      <w:r w:rsidR="004241E4" w:rsidRPr="00221992">
        <w:rPr>
          <w:lang w:val="en-GB"/>
        </w:rPr>
        <w:t xml:space="preserve"> general coverage restrictions</w:t>
      </w:r>
      <w:r w:rsidR="00B24505" w:rsidRPr="00221992">
        <w:rPr>
          <w:lang w:val="en-GB"/>
        </w:rPr>
        <w:t xml:space="preserve"> </w:t>
      </w:r>
      <w:r w:rsidRPr="00221992">
        <w:rPr>
          <w:lang w:val="en-GB"/>
        </w:rPr>
        <w:fldChar w:fldCharType="begin">
          <w:fldData xml:space="preserve">PEVuZE5vdGU+PENpdGU+PEF1dGhvcj5EZW50YWwgYW5kIFBoYXJtYWNldXRpY2FsIEJlbmVmaXRz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</w:fldData>
        </w:fldChar>
      </w:r>
      <w:r w:rsidR="00E5265C">
        <w:rPr>
          <w:lang w:val="en-GB"/>
        </w:rPr>
        <w:instrText xml:space="preserve"> ADDIN EN.CITE </w:instrText>
      </w:r>
      <w:r w:rsidR="00E5265C">
        <w:rPr>
          <w:lang w:val="en-GB"/>
        </w:rPr>
        <w:fldChar w:fldCharType="begin">
          <w:fldData xml:space="preserve">PEVuZE5vdGU+PENpdGU+PEF1dGhvcj5EZW50YWwgYW5kIFBoYXJtYWNldXRpY2FsIEJlbmVmaXRz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</w:fldData>
        </w:fldChar>
      </w:r>
      <w:r w:rsidR="00E5265C">
        <w:rPr>
          <w:lang w:val="en-GB"/>
        </w:rPr>
        <w:instrText xml:space="preserve"> ADDIN EN.CITE.DATA </w:instrText>
      </w:r>
      <w:r w:rsidR="00E5265C">
        <w:rPr>
          <w:lang w:val="en-GB"/>
        </w:rPr>
      </w:r>
      <w:r w:rsidR="00E5265C">
        <w:rPr>
          <w:lang w:val="en-GB"/>
        </w:rPr>
        <w:fldChar w:fldCharType="end"/>
      </w:r>
      <w:r w:rsidRPr="00221992">
        <w:rPr>
          <w:lang w:val="en-GB"/>
        </w:rPr>
      </w:r>
      <w:r w:rsidRPr="00221992">
        <w:rPr>
          <w:lang w:val="en-GB"/>
        </w:rPr>
        <w:fldChar w:fldCharType="separate"/>
      </w:r>
      <w:r w:rsidR="00E5265C">
        <w:rPr>
          <w:noProof/>
          <w:lang w:val="en-GB"/>
        </w:rPr>
        <w:t>[192, 211-212]</w:t>
      </w:r>
      <w:r w:rsidRPr="00221992">
        <w:rPr>
          <w:lang w:val="en-GB"/>
        </w:rPr>
        <w:fldChar w:fldCharType="end"/>
      </w:r>
      <w:r w:rsidR="004241E4" w:rsidRPr="00221992">
        <w:rPr>
          <w:lang w:val="en-GB"/>
        </w:rPr>
        <w:t>.</w:t>
      </w:r>
    </w:p>
    <w:p w14:paraId="2FC13C67" w14:textId="212E4FDF" w:rsidR="006227BD" w:rsidRPr="00221992" w:rsidRDefault="00A26A52" w:rsidP="00985D60">
      <w:pPr>
        <w:rPr>
          <w:lang w:val="en-GB"/>
        </w:rPr>
      </w:pPr>
      <w:r w:rsidRPr="00221992">
        <w:rPr>
          <w:lang w:val="en-GB"/>
        </w:rPr>
        <w:t>Importantly,</w:t>
      </w:r>
      <w:r w:rsidR="001A7847" w:rsidRPr="00221992">
        <w:rPr>
          <w:lang w:val="en-GB"/>
        </w:rPr>
        <w:t xml:space="preserve"> </w:t>
      </w:r>
      <w:r w:rsidR="00F57C6B" w:rsidRPr="00221992">
        <w:rPr>
          <w:lang w:val="en-GB"/>
        </w:rPr>
        <w:t xml:space="preserve">the utilisation of </w:t>
      </w:r>
      <w:r w:rsidRPr="00221992">
        <w:rPr>
          <w:lang w:val="en-GB"/>
        </w:rPr>
        <w:t>performance-based MEAs</w:t>
      </w:r>
      <w:r w:rsidR="00F57C6B" w:rsidRPr="00221992">
        <w:rPr>
          <w:lang w:val="en-GB"/>
        </w:rPr>
        <w:t xml:space="preserve"> is </w:t>
      </w:r>
      <w:r w:rsidRPr="00221992">
        <w:rPr>
          <w:lang w:val="en-GB"/>
        </w:rPr>
        <w:t>continuously</w:t>
      </w:r>
      <w:r w:rsidR="00F57C6B" w:rsidRPr="00221992">
        <w:rPr>
          <w:lang w:val="en-GB"/>
        </w:rPr>
        <w:t xml:space="preserve"> evolving, particularly as countries respond to the </w:t>
      </w:r>
      <w:r w:rsidR="004702AF" w:rsidRPr="00221992">
        <w:rPr>
          <w:lang w:val="en-GB"/>
        </w:rPr>
        <w:t xml:space="preserve">rapid </w:t>
      </w:r>
      <w:r w:rsidRPr="00221992">
        <w:rPr>
          <w:lang w:val="en-GB"/>
        </w:rPr>
        <w:t>influx</w:t>
      </w:r>
      <w:r w:rsidR="00F57C6B" w:rsidRPr="00221992">
        <w:rPr>
          <w:lang w:val="en-GB"/>
        </w:rPr>
        <w:t xml:space="preserve"> </w:t>
      </w:r>
      <w:r w:rsidR="004702AF" w:rsidRPr="00221992">
        <w:rPr>
          <w:lang w:val="en-GB"/>
        </w:rPr>
        <w:t xml:space="preserve">of </w:t>
      </w:r>
      <w:r w:rsidRPr="00221992">
        <w:rPr>
          <w:lang w:val="en-GB"/>
        </w:rPr>
        <w:t xml:space="preserve">novel gene and other targeted </w:t>
      </w:r>
      <w:r w:rsidR="003262EA" w:rsidRPr="00221992">
        <w:rPr>
          <w:lang w:val="en-GB"/>
        </w:rPr>
        <w:t>therapies</w:t>
      </w:r>
      <w:r w:rsidR="00C0030C" w:rsidRPr="00221992">
        <w:rPr>
          <w:lang w:val="en-GB"/>
        </w:rPr>
        <w:t xml:space="preserve"> with high levels of clinical, economic and financial uncertainty</w:t>
      </w:r>
      <w:r w:rsidR="004702AF" w:rsidRPr="00221992">
        <w:rPr>
          <w:lang w:val="en-GB"/>
        </w:rPr>
        <w:t>.</w:t>
      </w:r>
      <w:r w:rsidR="00E62E0C">
        <w:rPr>
          <w:lang w:val="en-GB"/>
        </w:rPr>
        <w:t xml:space="preserve"> </w:t>
      </w:r>
      <w:r w:rsidR="000E3D78">
        <w:rPr>
          <w:lang w:val="en-GB"/>
        </w:rPr>
        <w:t xml:space="preserve">International </w:t>
      </w:r>
      <w:r w:rsidR="00E62E0C" w:rsidRPr="00221992">
        <w:rPr>
          <w:lang w:val="en-GB"/>
        </w:rPr>
        <w:t xml:space="preserve">use of </w:t>
      </w:r>
      <w:r w:rsidR="00661F62">
        <w:rPr>
          <w:lang w:val="en-GB"/>
        </w:rPr>
        <w:t>performance-based MEAs</w:t>
      </w:r>
      <w:r w:rsidR="00E62E0C" w:rsidRPr="00221992">
        <w:rPr>
          <w:lang w:val="en-GB"/>
        </w:rPr>
        <w:t xml:space="preserve"> </w:t>
      </w:r>
      <w:r w:rsidR="000E3D78">
        <w:rPr>
          <w:lang w:val="en-GB"/>
        </w:rPr>
        <w:t>is summarised in</w:t>
      </w:r>
      <w:r w:rsidR="00A205BC" w:rsidRPr="00221992" w:rsidDel="00A205BC">
        <w:rPr>
          <w:lang w:val="en-GB"/>
        </w:rPr>
        <w:t xml:space="preserve"> </w:t>
      </w:r>
      <w:r w:rsidR="00F51DFB">
        <w:rPr>
          <w:lang w:val="en-GB"/>
        </w:rPr>
        <w:fldChar w:fldCharType="begin"/>
      </w:r>
      <w:r w:rsidR="00F51DFB">
        <w:rPr>
          <w:lang w:val="en-GB"/>
        </w:rPr>
        <w:instrText xml:space="preserve"> REF _Ref144375794 \h </w:instrText>
      </w:r>
      <w:r w:rsidR="00F51DFB">
        <w:rPr>
          <w:lang w:val="en-GB"/>
        </w:rPr>
      </w:r>
      <w:r w:rsidR="00F51DFB">
        <w:rPr>
          <w:lang w:val="en-GB"/>
        </w:rPr>
        <w:fldChar w:fldCharType="separate"/>
      </w:r>
      <w:r w:rsidR="000E11E7" w:rsidRPr="00221992">
        <w:rPr>
          <w:lang w:val="en-GB"/>
        </w:rPr>
        <w:t xml:space="preserve">Table </w:t>
      </w:r>
      <w:r w:rsidR="000E11E7">
        <w:rPr>
          <w:noProof/>
        </w:rPr>
        <w:t>20</w:t>
      </w:r>
      <w:r w:rsidR="00F51DFB">
        <w:rPr>
          <w:lang w:val="en-GB"/>
        </w:rPr>
        <w:fldChar w:fldCharType="end"/>
      </w:r>
      <w:r w:rsidR="28E09C50" w:rsidRPr="00221992">
        <w:rPr>
          <w:lang w:val="en-GB"/>
        </w:rPr>
        <w:t xml:space="preserve">. Ticks denoted in yellow are sourced from the 2019 OECD review. Ticks denoted in grey are sourced from other published literature and expert interviews conducted as part of this review. Please refer to </w:t>
      </w:r>
      <w:r w:rsidR="007C74A4">
        <w:rPr>
          <w:lang w:val="en-GB"/>
        </w:rPr>
        <w:fldChar w:fldCharType="begin"/>
      </w:r>
      <w:r w:rsidR="007C74A4">
        <w:rPr>
          <w:lang w:val="en-GB"/>
        </w:rPr>
        <w:instrText xml:space="preserve"> REF _Ref144375794 \h </w:instrText>
      </w:r>
      <w:r w:rsidR="007C74A4">
        <w:rPr>
          <w:lang w:val="en-GB"/>
        </w:rPr>
      </w:r>
      <w:r w:rsidR="007C74A4">
        <w:rPr>
          <w:lang w:val="en-GB"/>
        </w:rPr>
        <w:fldChar w:fldCharType="separate"/>
      </w:r>
      <w:r w:rsidR="000E11E7" w:rsidRPr="00221992">
        <w:rPr>
          <w:lang w:val="en-GB"/>
        </w:rPr>
        <w:t xml:space="preserve">Table </w:t>
      </w:r>
      <w:r w:rsidR="000E11E7">
        <w:rPr>
          <w:noProof/>
        </w:rPr>
        <w:t>20</w:t>
      </w:r>
      <w:r w:rsidR="007C74A4">
        <w:rPr>
          <w:lang w:val="en-GB"/>
        </w:rPr>
        <w:fldChar w:fldCharType="end"/>
      </w:r>
      <w:r w:rsidR="28E09C50" w:rsidRPr="00221992">
        <w:rPr>
          <w:lang w:val="en-GB"/>
        </w:rPr>
        <w:t xml:space="preserve"> notes for individual country sources.</w:t>
      </w:r>
    </w:p>
    <w:p w14:paraId="7D95B26F" w14:textId="3D796DFB" w:rsidR="13AB6D08" w:rsidRPr="00221992" w:rsidRDefault="00985D60">
      <w:pPr>
        <w:pStyle w:val="Caption"/>
        <w:rPr>
          <w:lang w:val="en-GB"/>
        </w:rPr>
      </w:pPr>
      <w:bookmarkStart w:id="183" w:name="_Ref144375794"/>
      <w:bookmarkStart w:id="184" w:name="_Ref148946363"/>
      <w:bookmarkStart w:id="185" w:name="_Toc162950967"/>
      <w:r w:rsidRPr="00221992">
        <w:rPr>
          <w:lang w:val="en-GB"/>
        </w:rPr>
        <w:t xml:space="preserve">Table </w:t>
      </w:r>
      <w:r w:rsidRPr="00221992">
        <w:rPr>
          <w:lang w:val="en-GB"/>
        </w:rPr>
        <w:fldChar w:fldCharType="begin"/>
      </w:r>
      <w:r>
        <w:instrText>SEQ Table \* ARABIC</w:instrText>
      </w:r>
      <w:r w:rsidRPr="00221992">
        <w:rPr>
          <w:lang w:val="en-GB"/>
        </w:rPr>
        <w:fldChar w:fldCharType="separate"/>
      </w:r>
      <w:r w:rsidR="000E11E7">
        <w:rPr>
          <w:noProof/>
        </w:rPr>
        <w:t>20</w:t>
      </w:r>
      <w:r w:rsidRPr="00221992">
        <w:rPr>
          <w:lang w:val="en-GB"/>
        </w:rPr>
        <w:fldChar w:fldCharType="end"/>
      </w:r>
      <w:bookmarkEnd w:id="183"/>
      <w:r w:rsidRPr="00221992">
        <w:rPr>
          <w:lang w:val="en-GB"/>
        </w:rPr>
        <w:t xml:space="preserve">. Types of </w:t>
      </w:r>
      <w:bookmarkEnd w:id="184"/>
      <w:r w:rsidR="00661F62">
        <w:rPr>
          <w:lang w:val="en-GB"/>
        </w:rPr>
        <w:t>performance-based MEAs</w:t>
      </w:r>
      <w:bookmarkEnd w:id="185"/>
    </w:p>
    <w:tbl>
      <w:tblPr>
        <w:tblStyle w:val="LinedBlueTable"/>
        <w:tblW w:w="9330" w:type="dxa"/>
        <w:tblLayout w:type="fixed"/>
        <w:tblLook w:val="04A0" w:firstRow="1" w:lastRow="0" w:firstColumn="1" w:lastColumn="0" w:noHBand="0" w:noVBand="1"/>
      </w:tblPr>
      <w:tblGrid>
        <w:gridCol w:w="2295"/>
        <w:gridCol w:w="1395"/>
        <w:gridCol w:w="840"/>
        <w:gridCol w:w="1560"/>
        <w:gridCol w:w="1485"/>
        <w:gridCol w:w="1755"/>
      </w:tblGrid>
      <w:tr w:rsidR="26AFC477" w:rsidRPr="00221992" w14:paraId="40827114" w14:textId="77777777" w:rsidTr="00A663BF">
        <w:trPr>
          <w:cnfStyle w:val="100000000000" w:firstRow="1" w:lastRow="0" w:firstColumn="0" w:lastColumn="0" w:oddVBand="0" w:evenVBand="0" w:oddHBand="0"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2295" w:type="dxa"/>
            <w:vMerge w:val="restart"/>
            <w:shd w:val="clear" w:color="auto" w:fill="000000" w:themeFill="text1"/>
          </w:tcPr>
          <w:p w14:paraId="03EEFA1A" w14:textId="67C1D405" w:rsidR="26AFC477" w:rsidRPr="00221992" w:rsidRDefault="26AFC477" w:rsidP="006B512F">
            <w:pPr>
              <w:keepNext/>
              <w:keepLines/>
              <w:spacing w:after="0"/>
              <w:rPr>
                <w:rFonts w:ascii="Calibri" w:hAnsi="Calibri" w:cs="Calibri"/>
                <w:lang w:val="en-GB"/>
              </w:rPr>
            </w:pPr>
            <w:r w:rsidRPr="00221992">
              <w:rPr>
                <w:rFonts w:ascii="Calibri" w:eastAsia="Calibri Light" w:hAnsi="Calibri" w:cs="Calibri"/>
                <w:b/>
                <w:sz w:val="20"/>
                <w:szCs w:val="20"/>
                <w:lang w:val="en-GB"/>
              </w:rPr>
              <w:t>Country</w:t>
            </w:r>
            <w:r w:rsidRPr="00221992">
              <w:rPr>
                <w:rFonts w:ascii="Calibri" w:eastAsia="Calibri Light" w:hAnsi="Calibri" w:cs="Calibri"/>
                <w:sz w:val="20"/>
                <w:szCs w:val="20"/>
                <w:lang w:val="en-GB"/>
              </w:rPr>
              <w:t xml:space="preserve"> </w:t>
            </w:r>
          </w:p>
        </w:tc>
        <w:tc>
          <w:tcPr>
            <w:tcW w:w="3795" w:type="dxa"/>
            <w:gridSpan w:val="3"/>
            <w:shd w:val="clear" w:color="auto" w:fill="0070C0"/>
          </w:tcPr>
          <w:p w14:paraId="452AF615" w14:textId="169D6F88" w:rsidR="26AFC477" w:rsidRPr="00221992" w:rsidRDefault="26AFC477" w:rsidP="006B512F">
            <w:pPr>
              <w:keepNext/>
              <w:keepLines/>
              <w:spacing w:after="0"/>
              <w:jc w:val="center"/>
              <w:cnfStyle w:val="100000000000" w:firstRow="1" w:lastRow="0" w:firstColumn="0" w:lastColumn="0" w:oddVBand="0" w:evenVBand="0" w:oddHBand="0" w:evenHBand="0" w:firstRowFirstColumn="0" w:firstRowLastColumn="0" w:lastRowFirstColumn="0" w:lastRowLastColumn="0"/>
              <w:rPr>
                <w:lang w:val="en-GB"/>
              </w:rPr>
            </w:pPr>
            <w:r w:rsidRPr="00221992">
              <w:rPr>
                <w:rFonts w:ascii="Calibri" w:eastAsia="Calibri" w:hAnsi="Calibri" w:cs="Calibri"/>
                <w:b/>
                <w:sz w:val="20"/>
                <w:szCs w:val="20"/>
                <w:lang w:val="en-GB"/>
              </w:rPr>
              <w:t>Patient level</w:t>
            </w:r>
            <w:r w:rsidRPr="00221992">
              <w:rPr>
                <w:rFonts w:ascii="Calibri" w:eastAsia="Calibri" w:hAnsi="Calibri" w:cs="Calibri"/>
                <w:color w:val="D13438"/>
                <w:sz w:val="20"/>
                <w:szCs w:val="20"/>
                <w:lang w:val="en-GB"/>
              </w:rPr>
              <w:t xml:space="preserve"> </w:t>
            </w:r>
          </w:p>
        </w:tc>
        <w:tc>
          <w:tcPr>
            <w:tcW w:w="3240" w:type="dxa"/>
            <w:gridSpan w:val="2"/>
            <w:shd w:val="clear" w:color="auto" w:fill="0070C0"/>
          </w:tcPr>
          <w:p w14:paraId="4294F770" w14:textId="60B59FD1" w:rsidR="26AFC477" w:rsidRPr="00221992" w:rsidRDefault="26AFC477" w:rsidP="006B512F">
            <w:pPr>
              <w:keepNext/>
              <w:keepLines/>
              <w:spacing w:after="0"/>
              <w:jc w:val="center"/>
              <w:cnfStyle w:val="100000000000" w:firstRow="1" w:lastRow="0" w:firstColumn="0" w:lastColumn="0" w:oddVBand="0" w:evenVBand="0" w:oddHBand="0" w:evenHBand="0" w:firstRowFirstColumn="0" w:firstRowLastColumn="0" w:lastRowFirstColumn="0" w:lastRowLastColumn="0"/>
              <w:rPr>
                <w:lang w:val="en-GB"/>
              </w:rPr>
            </w:pPr>
            <w:r w:rsidRPr="00221992">
              <w:rPr>
                <w:rFonts w:ascii="Calibri" w:eastAsia="Calibri" w:hAnsi="Calibri" w:cs="Calibri"/>
                <w:b/>
                <w:sz w:val="20"/>
                <w:szCs w:val="20"/>
                <w:lang w:val="en-GB"/>
              </w:rPr>
              <w:t>Population level</w:t>
            </w:r>
            <w:r w:rsidRPr="00221992">
              <w:rPr>
                <w:rFonts w:ascii="Calibri" w:eastAsia="Calibri" w:hAnsi="Calibri" w:cs="Calibri"/>
                <w:color w:val="D13438"/>
                <w:sz w:val="20"/>
                <w:szCs w:val="20"/>
                <w:lang w:val="en-GB"/>
              </w:rPr>
              <w:t xml:space="preserve"> </w:t>
            </w:r>
          </w:p>
        </w:tc>
      </w:tr>
      <w:tr w:rsidR="26AFC477" w:rsidRPr="00221992" w14:paraId="1161A42C" w14:textId="77777777" w:rsidTr="00A663BF">
        <w:trPr>
          <w:trHeight w:val="330"/>
        </w:trPr>
        <w:tc>
          <w:tcPr>
            <w:cnfStyle w:val="001000000000" w:firstRow="0" w:lastRow="0" w:firstColumn="1" w:lastColumn="0" w:oddVBand="0" w:evenVBand="0" w:oddHBand="0" w:evenHBand="0" w:firstRowFirstColumn="0" w:firstRowLastColumn="0" w:lastRowFirstColumn="0" w:lastRowLastColumn="0"/>
            <w:tcW w:w="2295" w:type="dxa"/>
            <w:vMerge/>
            <w:shd w:val="clear" w:color="auto" w:fill="000000" w:themeFill="text1"/>
          </w:tcPr>
          <w:p w14:paraId="1F3A169C" w14:textId="77777777" w:rsidR="008F01CA" w:rsidRPr="00221992" w:rsidRDefault="008F01CA" w:rsidP="006B512F">
            <w:pPr>
              <w:keepNext/>
              <w:keepLines/>
              <w:rPr>
                <w:lang w:val="en-GB"/>
              </w:rPr>
            </w:pPr>
          </w:p>
        </w:tc>
        <w:tc>
          <w:tcPr>
            <w:tcW w:w="1395" w:type="dxa"/>
            <w:shd w:val="clear" w:color="auto" w:fill="0070C0"/>
          </w:tcPr>
          <w:p w14:paraId="5A73CB77" w14:textId="5ABF075D" w:rsidR="26AFC477" w:rsidRPr="00221992" w:rsidRDefault="26AFC477" w:rsidP="006B512F">
            <w:pPr>
              <w:keepNext/>
              <w:keepLines/>
              <w:spacing w:after="0"/>
              <w:jc w:val="center"/>
              <w:cnfStyle w:val="000000000000" w:firstRow="0" w:lastRow="0" w:firstColumn="0" w:lastColumn="0" w:oddVBand="0" w:evenVBand="0" w:oddHBand="0" w:evenHBand="0" w:firstRowFirstColumn="0" w:firstRowLastColumn="0" w:lastRowFirstColumn="0" w:lastRowLastColumn="0"/>
              <w:rPr>
                <w:lang w:val="en-GB"/>
              </w:rPr>
            </w:pPr>
            <w:r w:rsidRPr="00221992">
              <w:rPr>
                <w:rFonts w:ascii="Calibri" w:eastAsia="Calibri" w:hAnsi="Calibri" w:cs="Calibri"/>
                <w:b/>
                <w:color w:val="FFFFFF" w:themeColor="background1"/>
                <w:sz w:val="20"/>
                <w:szCs w:val="20"/>
                <w:lang w:val="en-GB"/>
              </w:rPr>
              <w:t>PbR</w:t>
            </w:r>
          </w:p>
        </w:tc>
        <w:tc>
          <w:tcPr>
            <w:tcW w:w="840" w:type="dxa"/>
            <w:shd w:val="clear" w:color="auto" w:fill="0070C0"/>
          </w:tcPr>
          <w:p w14:paraId="11B9236C" w14:textId="0F488744" w:rsidR="26AFC477" w:rsidRPr="00221992" w:rsidRDefault="26AFC477" w:rsidP="006B512F">
            <w:pPr>
              <w:keepNext/>
              <w:keepLines/>
              <w:spacing w:after="0"/>
              <w:jc w:val="center"/>
              <w:cnfStyle w:val="000000000000" w:firstRow="0" w:lastRow="0" w:firstColumn="0" w:lastColumn="0" w:oddVBand="0" w:evenVBand="0" w:oddHBand="0" w:evenHBand="0" w:firstRowFirstColumn="0" w:firstRowLastColumn="0" w:lastRowFirstColumn="0" w:lastRowLastColumn="0"/>
              <w:rPr>
                <w:lang w:val="en-GB"/>
              </w:rPr>
            </w:pPr>
            <w:r w:rsidRPr="00221992">
              <w:rPr>
                <w:rFonts w:ascii="Calibri" w:eastAsia="Calibri" w:hAnsi="Calibri" w:cs="Calibri"/>
                <w:b/>
                <w:color w:val="FFFFFF" w:themeColor="background1"/>
                <w:sz w:val="20"/>
                <w:szCs w:val="20"/>
                <w:lang w:val="en-GB"/>
              </w:rPr>
              <w:t>CED</w:t>
            </w:r>
          </w:p>
        </w:tc>
        <w:tc>
          <w:tcPr>
            <w:tcW w:w="1560" w:type="dxa"/>
            <w:shd w:val="clear" w:color="auto" w:fill="0070C0"/>
          </w:tcPr>
          <w:p w14:paraId="5F1D50ED" w14:textId="0BDC4FAE" w:rsidR="26AFC477" w:rsidRPr="00221992" w:rsidRDefault="26AFC477" w:rsidP="006B512F">
            <w:pPr>
              <w:keepNext/>
              <w:keepLines/>
              <w:spacing w:after="0"/>
              <w:jc w:val="center"/>
              <w:cnfStyle w:val="000000000000" w:firstRow="0" w:lastRow="0" w:firstColumn="0" w:lastColumn="0" w:oddVBand="0" w:evenVBand="0" w:oddHBand="0" w:evenHBand="0" w:firstRowFirstColumn="0" w:firstRowLastColumn="0" w:lastRowFirstColumn="0" w:lastRowLastColumn="0"/>
              <w:rPr>
                <w:lang w:val="en-GB"/>
              </w:rPr>
            </w:pPr>
            <w:r w:rsidRPr="00221992">
              <w:rPr>
                <w:rFonts w:ascii="Calibri" w:eastAsia="Calibri" w:hAnsi="Calibri" w:cs="Calibri"/>
                <w:b/>
                <w:color w:val="FFFFFF" w:themeColor="background1"/>
                <w:sz w:val="20"/>
                <w:szCs w:val="20"/>
                <w:lang w:val="en-GB"/>
              </w:rPr>
              <w:t>CTC</w:t>
            </w:r>
          </w:p>
        </w:tc>
        <w:tc>
          <w:tcPr>
            <w:tcW w:w="1485" w:type="dxa"/>
            <w:shd w:val="clear" w:color="auto" w:fill="0070C0"/>
          </w:tcPr>
          <w:p w14:paraId="284D6BD7" w14:textId="32C370BA" w:rsidR="26AFC477" w:rsidRPr="00221992" w:rsidRDefault="26AFC477" w:rsidP="006B512F">
            <w:pPr>
              <w:keepNext/>
              <w:keepLines/>
              <w:spacing w:after="0"/>
              <w:jc w:val="center"/>
              <w:cnfStyle w:val="000000000000" w:firstRow="0" w:lastRow="0" w:firstColumn="0" w:lastColumn="0" w:oddVBand="0" w:evenVBand="0" w:oddHBand="0" w:evenHBand="0" w:firstRowFirstColumn="0" w:firstRowLastColumn="0" w:lastRowFirstColumn="0" w:lastRowLastColumn="0"/>
              <w:rPr>
                <w:lang w:val="en-GB"/>
              </w:rPr>
            </w:pPr>
            <w:r w:rsidRPr="00221992">
              <w:rPr>
                <w:rFonts w:ascii="Calibri" w:eastAsia="Calibri" w:hAnsi="Calibri" w:cs="Calibri"/>
                <w:b/>
                <w:color w:val="FFFFFF" w:themeColor="background1"/>
                <w:sz w:val="20"/>
                <w:szCs w:val="20"/>
                <w:lang w:val="en-GB"/>
              </w:rPr>
              <w:t>PbR</w:t>
            </w:r>
          </w:p>
        </w:tc>
        <w:tc>
          <w:tcPr>
            <w:tcW w:w="1755" w:type="dxa"/>
            <w:shd w:val="clear" w:color="auto" w:fill="0070C0"/>
          </w:tcPr>
          <w:p w14:paraId="7F0FD7E7" w14:textId="76FAEB24" w:rsidR="26AFC477" w:rsidRPr="00221992" w:rsidRDefault="26AFC477" w:rsidP="006B512F">
            <w:pPr>
              <w:keepNext/>
              <w:keepLines/>
              <w:spacing w:after="0"/>
              <w:jc w:val="center"/>
              <w:cnfStyle w:val="000000000000" w:firstRow="0" w:lastRow="0" w:firstColumn="0" w:lastColumn="0" w:oddVBand="0" w:evenVBand="0" w:oddHBand="0" w:evenHBand="0" w:firstRowFirstColumn="0" w:firstRowLastColumn="0" w:lastRowFirstColumn="0" w:lastRowLastColumn="0"/>
              <w:rPr>
                <w:lang w:val="en-GB"/>
              </w:rPr>
            </w:pPr>
            <w:r w:rsidRPr="00221992">
              <w:rPr>
                <w:rFonts w:ascii="Calibri" w:eastAsia="Calibri" w:hAnsi="Calibri" w:cs="Calibri"/>
                <w:b/>
                <w:color w:val="FFFFFF" w:themeColor="background1"/>
                <w:sz w:val="20"/>
                <w:szCs w:val="20"/>
                <w:lang w:val="en-GB"/>
              </w:rPr>
              <w:t>CED</w:t>
            </w:r>
          </w:p>
        </w:tc>
      </w:tr>
      <w:tr w:rsidR="26AFC477" w:rsidRPr="00221992" w14:paraId="4D19C53A" w14:textId="77777777" w:rsidTr="00A663B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95" w:type="dxa"/>
            <w:shd w:val="clear" w:color="auto" w:fill="0070C0"/>
          </w:tcPr>
          <w:p w14:paraId="048F1569" w14:textId="56A81D77" w:rsidR="26AFC477" w:rsidRPr="00221992" w:rsidRDefault="26AFC477" w:rsidP="006B512F">
            <w:pPr>
              <w:keepNext/>
              <w:keepLines/>
              <w:spacing w:after="0" w:line="240" w:lineRule="auto"/>
              <w:rPr>
                <w:lang w:val="en-GB"/>
              </w:rPr>
            </w:pPr>
            <w:r w:rsidRPr="00221992">
              <w:rPr>
                <w:rFonts w:ascii="Calibri" w:eastAsia="Calibri" w:hAnsi="Calibri" w:cs="Calibri"/>
                <w:sz w:val="20"/>
                <w:szCs w:val="20"/>
                <w:lang w:val="en-GB"/>
              </w:rPr>
              <w:t>Australia</w:t>
            </w:r>
            <w:r w:rsidRPr="00221992">
              <w:rPr>
                <w:rFonts w:ascii="Calibri" w:eastAsia="Calibri" w:hAnsi="Calibri" w:cs="Calibri"/>
                <w:sz w:val="20"/>
                <w:szCs w:val="20"/>
                <w:vertAlign w:val="superscript"/>
                <w:lang w:val="en-GB"/>
              </w:rPr>
              <w:t>1</w:t>
            </w:r>
          </w:p>
        </w:tc>
        <w:tc>
          <w:tcPr>
            <w:tcW w:w="1395" w:type="dxa"/>
          </w:tcPr>
          <w:p w14:paraId="13A74E38" w14:textId="0090E4B9" w:rsidR="26AFC477" w:rsidRPr="00221992" w:rsidRDefault="26AFC477" w:rsidP="006B512F">
            <w:pPr>
              <w:keepNext/>
              <w:keepLines/>
              <w:spacing w:after="0" w:line="240" w:lineRule="auto"/>
              <w:jc w:val="center"/>
              <w:cnfStyle w:val="000000010000" w:firstRow="0" w:lastRow="0" w:firstColumn="0" w:lastColumn="0" w:oddVBand="0" w:evenVBand="0" w:oddHBand="0" w:evenHBand="1" w:firstRowFirstColumn="0" w:firstRowLastColumn="0" w:lastRowFirstColumn="0" w:lastRowLastColumn="0"/>
              <w:rPr>
                <w:lang w:val="en-GB"/>
              </w:rPr>
            </w:pPr>
            <w:r w:rsidRPr="00221992">
              <w:rPr>
                <w:rFonts w:ascii="Wingdings" w:eastAsia="Wingdings" w:hAnsi="Wingdings" w:cs="Wingdings"/>
                <w:color w:val="7F7F7F" w:themeColor="text1" w:themeTint="80"/>
                <w:sz w:val="20"/>
                <w:szCs w:val="20"/>
                <w:lang w:val="en-GB"/>
              </w:rPr>
              <w:t>þ</w:t>
            </w:r>
          </w:p>
        </w:tc>
        <w:tc>
          <w:tcPr>
            <w:tcW w:w="840" w:type="dxa"/>
          </w:tcPr>
          <w:p w14:paraId="42C7E499" w14:textId="42EC040D" w:rsidR="26AFC477" w:rsidRPr="00221992" w:rsidRDefault="26AFC477" w:rsidP="006B512F">
            <w:pPr>
              <w:keepNext/>
              <w:keepLines/>
              <w:spacing w:after="0" w:line="240" w:lineRule="auto"/>
              <w:jc w:val="center"/>
              <w:cnfStyle w:val="000000010000" w:firstRow="0" w:lastRow="0" w:firstColumn="0" w:lastColumn="0" w:oddVBand="0" w:evenVBand="0" w:oddHBand="0" w:evenHBand="1" w:firstRowFirstColumn="0" w:firstRowLastColumn="0" w:lastRowFirstColumn="0" w:lastRowLastColumn="0"/>
              <w:rPr>
                <w:lang w:val="en-GB"/>
              </w:rPr>
            </w:pPr>
            <w:r w:rsidRPr="00221992">
              <w:rPr>
                <w:rFonts w:ascii="Wingdings" w:eastAsia="Wingdings" w:hAnsi="Wingdings" w:cs="Wingdings"/>
                <w:color w:val="7F7F7F" w:themeColor="text1" w:themeTint="80"/>
                <w:sz w:val="20"/>
                <w:szCs w:val="20"/>
                <w:lang w:val="en-GB"/>
              </w:rPr>
              <w:t>þ</w:t>
            </w:r>
          </w:p>
        </w:tc>
        <w:tc>
          <w:tcPr>
            <w:tcW w:w="1560" w:type="dxa"/>
          </w:tcPr>
          <w:p w14:paraId="2B7D4700" w14:textId="05E92C73" w:rsidR="26AFC477" w:rsidRPr="00221992" w:rsidRDefault="26AFC477" w:rsidP="006B512F">
            <w:pPr>
              <w:keepNext/>
              <w:keepLines/>
              <w:spacing w:after="0" w:line="240" w:lineRule="auto"/>
              <w:jc w:val="center"/>
              <w:cnfStyle w:val="000000010000" w:firstRow="0" w:lastRow="0" w:firstColumn="0" w:lastColumn="0" w:oddVBand="0" w:evenVBand="0" w:oddHBand="0" w:evenHBand="1" w:firstRowFirstColumn="0" w:firstRowLastColumn="0" w:lastRowFirstColumn="0" w:lastRowLastColumn="0"/>
              <w:rPr>
                <w:lang w:val="en-GB"/>
              </w:rPr>
            </w:pPr>
            <w:r w:rsidRPr="00221992">
              <w:rPr>
                <w:rFonts w:ascii="Wingdings" w:eastAsia="Wingdings" w:hAnsi="Wingdings" w:cs="Wingdings"/>
                <w:color w:val="7F7F7F" w:themeColor="text1" w:themeTint="80"/>
                <w:sz w:val="20"/>
                <w:szCs w:val="20"/>
                <w:lang w:val="en-GB"/>
              </w:rPr>
              <w:t>þ</w:t>
            </w:r>
          </w:p>
        </w:tc>
        <w:tc>
          <w:tcPr>
            <w:tcW w:w="1485" w:type="dxa"/>
          </w:tcPr>
          <w:p w14:paraId="7FFD4DED" w14:textId="6DF63287" w:rsidR="26AFC477" w:rsidRPr="00221992" w:rsidRDefault="26AFC477" w:rsidP="006B512F">
            <w:pPr>
              <w:keepNext/>
              <w:keepLines/>
              <w:spacing w:after="0" w:line="240" w:lineRule="auto"/>
              <w:cnfStyle w:val="000000010000" w:firstRow="0" w:lastRow="0" w:firstColumn="0" w:lastColumn="0" w:oddVBand="0" w:evenVBand="0" w:oddHBand="0" w:evenHBand="1" w:firstRowFirstColumn="0" w:firstRowLastColumn="0" w:lastRowFirstColumn="0" w:lastRowLastColumn="0"/>
              <w:rPr>
                <w:lang w:val="en-GB"/>
              </w:rPr>
            </w:pPr>
          </w:p>
        </w:tc>
        <w:tc>
          <w:tcPr>
            <w:tcW w:w="1755" w:type="dxa"/>
          </w:tcPr>
          <w:p w14:paraId="25F24742" w14:textId="7D052BE1" w:rsidR="26AFC477" w:rsidRPr="00221992" w:rsidRDefault="26AFC477" w:rsidP="006B512F">
            <w:pPr>
              <w:keepNext/>
              <w:keepLines/>
              <w:spacing w:after="0" w:line="240" w:lineRule="auto"/>
              <w:jc w:val="center"/>
              <w:cnfStyle w:val="000000010000" w:firstRow="0" w:lastRow="0" w:firstColumn="0" w:lastColumn="0" w:oddVBand="0" w:evenVBand="0" w:oddHBand="0" w:evenHBand="1" w:firstRowFirstColumn="0" w:firstRowLastColumn="0" w:lastRowFirstColumn="0" w:lastRowLastColumn="0"/>
              <w:rPr>
                <w:lang w:val="en-GB"/>
              </w:rPr>
            </w:pPr>
            <w:r w:rsidRPr="00221992">
              <w:rPr>
                <w:rFonts w:ascii="Wingdings" w:eastAsia="Wingdings" w:hAnsi="Wingdings" w:cs="Wingdings"/>
                <w:color w:val="FFC000"/>
                <w:sz w:val="20"/>
                <w:szCs w:val="20"/>
                <w:lang w:val="en-GB"/>
              </w:rPr>
              <w:t>þ</w:t>
            </w:r>
          </w:p>
        </w:tc>
      </w:tr>
      <w:tr w:rsidR="26AFC477" w:rsidRPr="00221992" w14:paraId="42D8EA3D" w14:textId="77777777" w:rsidTr="00A663BF">
        <w:tc>
          <w:tcPr>
            <w:cnfStyle w:val="001000000000" w:firstRow="0" w:lastRow="0" w:firstColumn="1" w:lastColumn="0" w:oddVBand="0" w:evenVBand="0" w:oddHBand="0" w:evenHBand="0" w:firstRowFirstColumn="0" w:firstRowLastColumn="0" w:lastRowFirstColumn="0" w:lastRowLastColumn="0"/>
            <w:tcW w:w="2295" w:type="dxa"/>
            <w:shd w:val="clear" w:color="auto" w:fill="0070C0"/>
          </w:tcPr>
          <w:p w14:paraId="5DB3D513" w14:textId="33560EDE" w:rsidR="26AFC477" w:rsidRPr="00221992" w:rsidRDefault="26AFC477" w:rsidP="006B512F">
            <w:pPr>
              <w:keepNext/>
              <w:keepLines/>
              <w:spacing w:after="0" w:line="240" w:lineRule="auto"/>
              <w:rPr>
                <w:lang w:val="en-GB"/>
              </w:rPr>
            </w:pPr>
            <w:r w:rsidRPr="00221992">
              <w:rPr>
                <w:rFonts w:ascii="Calibri" w:eastAsia="Calibri" w:hAnsi="Calibri" w:cs="Calibri"/>
                <w:sz w:val="20"/>
                <w:szCs w:val="20"/>
                <w:lang w:val="en-GB"/>
              </w:rPr>
              <w:t>Belgium</w:t>
            </w:r>
            <w:r w:rsidRPr="00221992">
              <w:rPr>
                <w:rFonts w:ascii="Calibri" w:eastAsia="Calibri" w:hAnsi="Calibri" w:cs="Calibri"/>
                <w:sz w:val="20"/>
                <w:szCs w:val="20"/>
                <w:vertAlign w:val="superscript"/>
                <w:lang w:val="en-GB"/>
              </w:rPr>
              <w:t>2</w:t>
            </w:r>
          </w:p>
        </w:tc>
        <w:tc>
          <w:tcPr>
            <w:tcW w:w="1395" w:type="dxa"/>
          </w:tcPr>
          <w:p w14:paraId="62CC97E1" w14:textId="22EC9D65" w:rsidR="26AFC477" w:rsidRPr="00221992" w:rsidRDefault="26AFC477" w:rsidP="006B512F">
            <w:pPr>
              <w:keepNext/>
              <w:keepLines/>
              <w:spacing w:after="0" w:line="240" w:lineRule="auto"/>
              <w:jc w:val="center"/>
              <w:cnfStyle w:val="000000000000" w:firstRow="0" w:lastRow="0" w:firstColumn="0" w:lastColumn="0" w:oddVBand="0" w:evenVBand="0" w:oddHBand="0" w:evenHBand="0" w:firstRowFirstColumn="0" w:firstRowLastColumn="0" w:lastRowFirstColumn="0" w:lastRowLastColumn="0"/>
              <w:rPr>
                <w:lang w:val="en-GB"/>
              </w:rPr>
            </w:pPr>
            <w:r w:rsidRPr="00221992">
              <w:rPr>
                <w:rFonts w:ascii="Wingdings" w:eastAsia="Wingdings" w:hAnsi="Wingdings" w:cs="Wingdings"/>
                <w:color w:val="FFC000"/>
                <w:sz w:val="20"/>
                <w:szCs w:val="20"/>
                <w:lang w:val="en-GB"/>
              </w:rPr>
              <w:t>þ</w:t>
            </w:r>
          </w:p>
        </w:tc>
        <w:tc>
          <w:tcPr>
            <w:tcW w:w="840" w:type="dxa"/>
          </w:tcPr>
          <w:p w14:paraId="07537469" w14:textId="762C31B5" w:rsidR="26AFC477" w:rsidRPr="00221992" w:rsidRDefault="26AFC477" w:rsidP="006B512F">
            <w:pPr>
              <w:keepNext/>
              <w:keepLines/>
              <w:spacing w:after="0" w:line="240" w:lineRule="auto"/>
              <w:cnfStyle w:val="000000000000" w:firstRow="0" w:lastRow="0" w:firstColumn="0" w:lastColumn="0" w:oddVBand="0" w:evenVBand="0" w:oddHBand="0" w:evenHBand="0" w:firstRowFirstColumn="0" w:firstRowLastColumn="0" w:lastRowFirstColumn="0" w:lastRowLastColumn="0"/>
              <w:rPr>
                <w:lang w:val="en-GB"/>
              </w:rPr>
            </w:pPr>
          </w:p>
        </w:tc>
        <w:tc>
          <w:tcPr>
            <w:tcW w:w="1560" w:type="dxa"/>
          </w:tcPr>
          <w:p w14:paraId="406D3688" w14:textId="0E978B77" w:rsidR="26AFC477" w:rsidRPr="00221992" w:rsidRDefault="26AFC477" w:rsidP="006B512F">
            <w:pPr>
              <w:keepNext/>
              <w:keepLines/>
              <w:spacing w:after="0" w:line="240" w:lineRule="auto"/>
              <w:cnfStyle w:val="000000000000" w:firstRow="0" w:lastRow="0" w:firstColumn="0" w:lastColumn="0" w:oddVBand="0" w:evenVBand="0" w:oddHBand="0" w:evenHBand="0" w:firstRowFirstColumn="0" w:firstRowLastColumn="0" w:lastRowFirstColumn="0" w:lastRowLastColumn="0"/>
              <w:rPr>
                <w:lang w:val="en-GB"/>
              </w:rPr>
            </w:pPr>
          </w:p>
        </w:tc>
        <w:tc>
          <w:tcPr>
            <w:tcW w:w="1485" w:type="dxa"/>
          </w:tcPr>
          <w:p w14:paraId="637EA40A" w14:textId="6D8FA18D" w:rsidR="26AFC477" w:rsidRPr="00221992" w:rsidRDefault="26AFC477" w:rsidP="006B512F">
            <w:pPr>
              <w:keepNext/>
              <w:keepLines/>
              <w:spacing w:after="0" w:line="240" w:lineRule="auto"/>
              <w:jc w:val="center"/>
              <w:cnfStyle w:val="000000000000" w:firstRow="0" w:lastRow="0" w:firstColumn="0" w:lastColumn="0" w:oddVBand="0" w:evenVBand="0" w:oddHBand="0" w:evenHBand="0" w:firstRowFirstColumn="0" w:firstRowLastColumn="0" w:lastRowFirstColumn="0" w:lastRowLastColumn="0"/>
              <w:rPr>
                <w:lang w:val="en-GB"/>
              </w:rPr>
            </w:pPr>
            <w:r w:rsidRPr="00221992">
              <w:rPr>
                <w:rFonts w:ascii="Wingdings" w:eastAsia="Wingdings" w:hAnsi="Wingdings" w:cs="Wingdings"/>
                <w:color w:val="FFC000"/>
                <w:sz w:val="20"/>
                <w:szCs w:val="20"/>
                <w:lang w:val="en-GB"/>
              </w:rPr>
              <w:t>þ</w:t>
            </w:r>
          </w:p>
        </w:tc>
        <w:tc>
          <w:tcPr>
            <w:tcW w:w="1755" w:type="dxa"/>
          </w:tcPr>
          <w:p w14:paraId="0570C8A0" w14:textId="6896D235" w:rsidR="26AFC477" w:rsidRPr="00221992" w:rsidRDefault="26AFC477" w:rsidP="006B512F">
            <w:pPr>
              <w:keepNext/>
              <w:keepLines/>
              <w:spacing w:after="0" w:line="240" w:lineRule="auto"/>
              <w:jc w:val="center"/>
              <w:cnfStyle w:val="000000000000" w:firstRow="0" w:lastRow="0" w:firstColumn="0" w:lastColumn="0" w:oddVBand="0" w:evenVBand="0" w:oddHBand="0" w:evenHBand="0" w:firstRowFirstColumn="0" w:firstRowLastColumn="0" w:lastRowFirstColumn="0" w:lastRowLastColumn="0"/>
              <w:rPr>
                <w:lang w:val="en-GB"/>
              </w:rPr>
            </w:pPr>
            <w:r w:rsidRPr="00221992">
              <w:rPr>
                <w:rFonts w:ascii="Wingdings" w:eastAsia="Wingdings" w:hAnsi="Wingdings" w:cs="Wingdings"/>
                <w:color w:val="FFC000"/>
                <w:sz w:val="20"/>
                <w:szCs w:val="20"/>
                <w:lang w:val="en-GB"/>
              </w:rPr>
              <w:t>þ</w:t>
            </w:r>
          </w:p>
        </w:tc>
      </w:tr>
      <w:tr w:rsidR="26AFC477" w:rsidRPr="00221992" w14:paraId="3E963563" w14:textId="77777777" w:rsidTr="00A663B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95" w:type="dxa"/>
            <w:shd w:val="clear" w:color="auto" w:fill="0070C0"/>
          </w:tcPr>
          <w:p w14:paraId="62F2C18B" w14:textId="7D0E94D7" w:rsidR="26AFC477" w:rsidRPr="00221992" w:rsidRDefault="26AFC477" w:rsidP="006B512F">
            <w:pPr>
              <w:keepNext/>
              <w:keepLines/>
              <w:spacing w:after="0" w:line="240" w:lineRule="auto"/>
              <w:rPr>
                <w:lang w:val="en-GB"/>
              </w:rPr>
            </w:pPr>
            <w:r w:rsidRPr="00221992">
              <w:rPr>
                <w:rFonts w:ascii="Calibri" w:eastAsia="Calibri" w:hAnsi="Calibri" w:cs="Calibri"/>
                <w:sz w:val="20"/>
                <w:szCs w:val="20"/>
                <w:lang w:val="en-GB"/>
              </w:rPr>
              <w:t>Canada</w:t>
            </w:r>
            <w:r w:rsidRPr="00221992">
              <w:rPr>
                <w:rFonts w:ascii="Calibri" w:eastAsia="Calibri" w:hAnsi="Calibri" w:cs="Calibri"/>
                <w:sz w:val="20"/>
                <w:szCs w:val="20"/>
                <w:vertAlign w:val="superscript"/>
                <w:lang w:val="en-GB"/>
              </w:rPr>
              <w:t>3</w:t>
            </w:r>
          </w:p>
        </w:tc>
        <w:tc>
          <w:tcPr>
            <w:tcW w:w="7035" w:type="dxa"/>
            <w:gridSpan w:val="5"/>
          </w:tcPr>
          <w:p w14:paraId="25672209" w14:textId="15DF975B" w:rsidR="26AFC477" w:rsidRPr="00221992" w:rsidRDefault="26AFC477" w:rsidP="00140F18">
            <w:pPr>
              <w:keepNext/>
              <w:keepLines/>
              <w:spacing w:after="0" w:line="240" w:lineRule="auto"/>
              <w:jc w:val="center"/>
              <w:cnfStyle w:val="000000010000" w:firstRow="0" w:lastRow="0" w:firstColumn="0" w:lastColumn="0" w:oddVBand="0" w:evenVBand="0" w:oddHBand="0" w:evenHBand="1" w:firstRowFirstColumn="0" w:firstRowLastColumn="0" w:lastRowFirstColumn="0" w:lastRowLastColumn="0"/>
              <w:rPr>
                <w:lang w:val="en-GB"/>
              </w:rPr>
            </w:pPr>
            <w:r w:rsidRPr="00221992">
              <w:rPr>
                <w:rFonts w:eastAsia="Calibri Light" w:cs="Calibri Light"/>
                <w:color w:val="000000" w:themeColor="text1"/>
                <w:sz w:val="20"/>
                <w:szCs w:val="20"/>
                <w:lang w:val="en-GB"/>
              </w:rPr>
              <w:t>NI</w:t>
            </w:r>
          </w:p>
        </w:tc>
      </w:tr>
      <w:tr w:rsidR="26AFC477" w:rsidRPr="00221992" w14:paraId="3DA3E284" w14:textId="77777777" w:rsidTr="00A663BF">
        <w:tc>
          <w:tcPr>
            <w:cnfStyle w:val="001000000000" w:firstRow="0" w:lastRow="0" w:firstColumn="1" w:lastColumn="0" w:oddVBand="0" w:evenVBand="0" w:oddHBand="0" w:evenHBand="0" w:firstRowFirstColumn="0" w:firstRowLastColumn="0" w:lastRowFirstColumn="0" w:lastRowLastColumn="0"/>
            <w:tcW w:w="2295" w:type="dxa"/>
            <w:shd w:val="clear" w:color="auto" w:fill="0070C0"/>
          </w:tcPr>
          <w:p w14:paraId="1BEE9E57" w14:textId="69B5134F" w:rsidR="26AFC477" w:rsidRPr="00221992" w:rsidRDefault="26AFC477" w:rsidP="006B512F">
            <w:pPr>
              <w:keepNext/>
              <w:keepLines/>
              <w:spacing w:after="0" w:line="240" w:lineRule="auto"/>
              <w:rPr>
                <w:lang w:val="en-GB"/>
              </w:rPr>
            </w:pPr>
            <w:r w:rsidRPr="00221992">
              <w:rPr>
                <w:rFonts w:ascii="Calibri" w:eastAsia="Calibri" w:hAnsi="Calibri" w:cs="Calibri"/>
                <w:sz w:val="20"/>
                <w:szCs w:val="20"/>
                <w:lang w:val="en-GB"/>
              </w:rPr>
              <w:t>France</w:t>
            </w:r>
            <w:r w:rsidRPr="00221992">
              <w:rPr>
                <w:rFonts w:ascii="Calibri" w:eastAsia="Calibri" w:hAnsi="Calibri" w:cs="Calibri"/>
                <w:sz w:val="20"/>
                <w:szCs w:val="20"/>
                <w:vertAlign w:val="superscript"/>
                <w:lang w:val="en-GB"/>
              </w:rPr>
              <w:t>4</w:t>
            </w:r>
            <w:r w:rsidRPr="00221992">
              <w:rPr>
                <w:rFonts w:ascii="Calibri" w:eastAsia="Calibri" w:hAnsi="Calibri" w:cs="Calibri"/>
                <w:color w:val="D13438"/>
                <w:sz w:val="20"/>
                <w:szCs w:val="20"/>
                <w:vertAlign w:val="superscript"/>
                <w:lang w:val="en-GB"/>
              </w:rPr>
              <w:t xml:space="preserve"> </w:t>
            </w:r>
          </w:p>
        </w:tc>
        <w:tc>
          <w:tcPr>
            <w:tcW w:w="1395" w:type="dxa"/>
          </w:tcPr>
          <w:p w14:paraId="28944E28" w14:textId="29673DFD" w:rsidR="26AFC477" w:rsidRPr="00221992" w:rsidRDefault="26AFC477" w:rsidP="006B512F">
            <w:pPr>
              <w:keepNext/>
              <w:keepLines/>
              <w:spacing w:after="0" w:line="240" w:lineRule="auto"/>
              <w:jc w:val="center"/>
              <w:cnfStyle w:val="000000000000" w:firstRow="0" w:lastRow="0" w:firstColumn="0" w:lastColumn="0" w:oddVBand="0" w:evenVBand="0" w:oddHBand="0" w:evenHBand="0" w:firstRowFirstColumn="0" w:firstRowLastColumn="0" w:lastRowFirstColumn="0" w:lastRowLastColumn="0"/>
              <w:rPr>
                <w:lang w:val="en-GB"/>
              </w:rPr>
            </w:pPr>
            <w:r w:rsidRPr="00221992">
              <w:rPr>
                <w:rFonts w:ascii="Wingdings" w:eastAsia="Wingdings" w:hAnsi="Wingdings" w:cs="Wingdings"/>
                <w:color w:val="7F7F7F" w:themeColor="text1" w:themeTint="80"/>
                <w:sz w:val="20"/>
                <w:szCs w:val="20"/>
                <w:lang w:val="en-GB"/>
              </w:rPr>
              <w:t>þ</w:t>
            </w:r>
          </w:p>
        </w:tc>
        <w:tc>
          <w:tcPr>
            <w:tcW w:w="840" w:type="dxa"/>
          </w:tcPr>
          <w:p w14:paraId="086CA228" w14:textId="69638DC5" w:rsidR="26AFC477" w:rsidRPr="00221992" w:rsidRDefault="26AFC477" w:rsidP="006B512F">
            <w:pPr>
              <w:keepNext/>
              <w:keepLines/>
              <w:spacing w:after="0" w:line="240" w:lineRule="auto"/>
              <w:jc w:val="center"/>
              <w:cnfStyle w:val="000000000000" w:firstRow="0" w:lastRow="0" w:firstColumn="0" w:lastColumn="0" w:oddVBand="0" w:evenVBand="0" w:oddHBand="0" w:evenHBand="0" w:firstRowFirstColumn="0" w:firstRowLastColumn="0" w:lastRowFirstColumn="0" w:lastRowLastColumn="0"/>
              <w:rPr>
                <w:lang w:val="en-GB"/>
              </w:rPr>
            </w:pPr>
            <w:r w:rsidRPr="00221992">
              <w:rPr>
                <w:rFonts w:ascii="Wingdings" w:eastAsia="Wingdings" w:hAnsi="Wingdings" w:cs="Wingdings"/>
                <w:color w:val="7F7F7F" w:themeColor="text1" w:themeTint="80"/>
                <w:sz w:val="20"/>
                <w:szCs w:val="20"/>
                <w:lang w:val="en-GB"/>
              </w:rPr>
              <w:t>þ</w:t>
            </w:r>
          </w:p>
        </w:tc>
        <w:tc>
          <w:tcPr>
            <w:tcW w:w="1560" w:type="dxa"/>
          </w:tcPr>
          <w:p w14:paraId="62D42841" w14:textId="728D84B8" w:rsidR="26AFC477" w:rsidRPr="00221992" w:rsidRDefault="26AFC477" w:rsidP="006B512F">
            <w:pPr>
              <w:keepNext/>
              <w:keepLines/>
              <w:spacing w:after="0" w:line="240" w:lineRule="auto"/>
              <w:cnfStyle w:val="000000000000" w:firstRow="0" w:lastRow="0" w:firstColumn="0" w:lastColumn="0" w:oddVBand="0" w:evenVBand="0" w:oddHBand="0" w:evenHBand="0" w:firstRowFirstColumn="0" w:firstRowLastColumn="0" w:lastRowFirstColumn="0" w:lastRowLastColumn="0"/>
              <w:rPr>
                <w:lang w:val="en-GB"/>
              </w:rPr>
            </w:pPr>
            <w:r w:rsidRPr="00221992">
              <w:rPr>
                <w:rFonts w:eastAsia="Calibri Light" w:cs="Calibri Light"/>
                <w:sz w:val="20"/>
                <w:szCs w:val="20"/>
                <w:lang w:val="en-GB"/>
              </w:rPr>
              <w:t xml:space="preserve"> </w:t>
            </w:r>
          </w:p>
        </w:tc>
        <w:tc>
          <w:tcPr>
            <w:tcW w:w="1485" w:type="dxa"/>
          </w:tcPr>
          <w:p w14:paraId="61606B72" w14:textId="3C2FE1C5" w:rsidR="26AFC477" w:rsidRPr="00221992" w:rsidRDefault="26AFC477" w:rsidP="006B512F">
            <w:pPr>
              <w:keepNext/>
              <w:keepLines/>
              <w:spacing w:after="0" w:line="240" w:lineRule="auto"/>
              <w:cnfStyle w:val="000000000000" w:firstRow="0" w:lastRow="0" w:firstColumn="0" w:lastColumn="0" w:oddVBand="0" w:evenVBand="0" w:oddHBand="0" w:evenHBand="0" w:firstRowFirstColumn="0" w:firstRowLastColumn="0" w:lastRowFirstColumn="0" w:lastRowLastColumn="0"/>
              <w:rPr>
                <w:lang w:val="en-GB"/>
              </w:rPr>
            </w:pPr>
            <w:r w:rsidRPr="00221992">
              <w:rPr>
                <w:rFonts w:eastAsia="Calibri Light" w:cs="Calibri Light"/>
                <w:sz w:val="20"/>
                <w:szCs w:val="20"/>
                <w:lang w:val="en-GB"/>
              </w:rPr>
              <w:t xml:space="preserve"> </w:t>
            </w:r>
          </w:p>
        </w:tc>
        <w:tc>
          <w:tcPr>
            <w:tcW w:w="1755" w:type="dxa"/>
          </w:tcPr>
          <w:p w14:paraId="0A7BB624" w14:textId="4D2583A9" w:rsidR="26AFC477" w:rsidRPr="00221992" w:rsidRDefault="26AFC477" w:rsidP="006B512F">
            <w:pPr>
              <w:keepNext/>
              <w:keepLines/>
              <w:spacing w:after="0" w:line="240" w:lineRule="auto"/>
              <w:jc w:val="center"/>
              <w:cnfStyle w:val="000000000000" w:firstRow="0" w:lastRow="0" w:firstColumn="0" w:lastColumn="0" w:oddVBand="0" w:evenVBand="0" w:oddHBand="0" w:evenHBand="0" w:firstRowFirstColumn="0" w:firstRowLastColumn="0" w:lastRowFirstColumn="0" w:lastRowLastColumn="0"/>
              <w:rPr>
                <w:lang w:val="en-GB"/>
              </w:rPr>
            </w:pPr>
            <w:r w:rsidRPr="00221992">
              <w:rPr>
                <w:rFonts w:ascii="Wingdings" w:eastAsia="Wingdings" w:hAnsi="Wingdings" w:cs="Wingdings"/>
                <w:color w:val="7F7F7F" w:themeColor="text1" w:themeTint="80"/>
                <w:sz w:val="20"/>
                <w:szCs w:val="20"/>
                <w:lang w:val="en-GB"/>
              </w:rPr>
              <w:t>þ</w:t>
            </w:r>
          </w:p>
        </w:tc>
      </w:tr>
      <w:tr w:rsidR="26AFC477" w:rsidRPr="00221992" w14:paraId="3EE0C97C" w14:textId="77777777" w:rsidTr="00A663B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95" w:type="dxa"/>
            <w:shd w:val="clear" w:color="auto" w:fill="0070C0"/>
          </w:tcPr>
          <w:p w14:paraId="6D7B200B" w14:textId="6F9121D8" w:rsidR="26AFC477" w:rsidRPr="00221992" w:rsidRDefault="26AFC477" w:rsidP="006B512F">
            <w:pPr>
              <w:keepNext/>
              <w:keepLines/>
              <w:spacing w:after="0" w:line="240" w:lineRule="auto"/>
              <w:rPr>
                <w:lang w:val="en-GB"/>
              </w:rPr>
            </w:pPr>
            <w:r w:rsidRPr="00221992">
              <w:rPr>
                <w:rFonts w:ascii="Calibri" w:eastAsia="Calibri" w:hAnsi="Calibri" w:cs="Calibri"/>
                <w:sz w:val="20"/>
                <w:szCs w:val="20"/>
                <w:lang w:val="en-GB"/>
              </w:rPr>
              <w:t>Germany</w:t>
            </w:r>
            <w:r w:rsidRPr="00221992">
              <w:rPr>
                <w:rFonts w:ascii="Calibri" w:eastAsia="Calibri" w:hAnsi="Calibri" w:cs="Calibri"/>
                <w:sz w:val="20"/>
                <w:szCs w:val="20"/>
                <w:vertAlign w:val="superscript"/>
                <w:lang w:val="en-GB"/>
              </w:rPr>
              <w:t>5</w:t>
            </w:r>
          </w:p>
        </w:tc>
        <w:tc>
          <w:tcPr>
            <w:tcW w:w="1395" w:type="dxa"/>
          </w:tcPr>
          <w:p w14:paraId="37D4EE94" w14:textId="6461F2AC" w:rsidR="26AFC477" w:rsidRPr="00221992" w:rsidRDefault="26AFC477" w:rsidP="006B512F">
            <w:pPr>
              <w:keepNext/>
              <w:keepLines/>
              <w:spacing w:after="0" w:line="240" w:lineRule="auto"/>
              <w:cnfStyle w:val="000000010000" w:firstRow="0" w:lastRow="0" w:firstColumn="0" w:lastColumn="0" w:oddVBand="0" w:evenVBand="0" w:oddHBand="0" w:evenHBand="1" w:firstRowFirstColumn="0" w:firstRowLastColumn="0" w:lastRowFirstColumn="0" w:lastRowLastColumn="0"/>
              <w:rPr>
                <w:lang w:val="en-GB"/>
              </w:rPr>
            </w:pPr>
          </w:p>
        </w:tc>
        <w:tc>
          <w:tcPr>
            <w:tcW w:w="840" w:type="dxa"/>
          </w:tcPr>
          <w:p w14:paraId="342CE1D5" w14:textId="65885BC9" w:rsidR="26AFC477" w:rsidRPr="00221992" w:rsidRDefault="26AFC477" w:rsidP="006B512F">
            <w:pPr>
              <w:keepNext/>
              <w:keepLines/>
              <w:spacing w:after="0" w:line="240" w:lineRule="auto"/>
              <w:jc w:val="center"/>
              <w:cnfStyle w:val="000000010000" w:firstRow="0" w:lastRow="0" w:firstColumn="0" w:lastColumn="0" w:oddVBand="0" w:evenVBand="0" w:oddHBand="0" w:evenHBand="1" w:firstRowFirstColumn="0" w:firstRowLastColumn="0" w:lastRowFirstColumn="0" w:lastRowLastColumn="0"/>
              <w:rPr>
                <w:lang w:val="en-GB"/>
              </w:rPr>
            </w:pPr>
            <w:r w:rsidRPr="00221992">
              <w:rPr>
                <w:rFonts w:ascii="Wingdings" w:eastAsia="Wingdings" w:hAnsi="Wingdings" w:cs="Wingdings"/>
                <w:color w:val="FFC000"/>
                <w:sz w:val="20"/>
                <w:szCs w:val="20"/>
                <w:lang w:val="en-GB"/>
              </w:rPr>
              <w:t>þ</w:t>
            </w:r>
          </w:p>
        </w:tc>
        <w:tc>
          <w:tcPr>
            <w:tcW w:w="1560" w:type="dxa"/>
          </w:tcPr>
          <w:p w14:paraId="4F25181D" w14:textId="21B2945C" w:rsidR="26AFC477" w:rsidRPr="00221992" w:rsidRDefault="26AFC477" w:rsidP="006B512F">
            <w:pPr>
              <w:keepNext/>
              <w:keepLines/>
              <w:spacing w:after="0" w:line="240" w:lineRule="auto"/>
              <w:cnfStyle w:val="000000010000" w:firstRow="0" w:lastRow="0" w:firstColumn="0" w:lastColumn="0" w:oddVBand="0" w:evenVBand="0" w:oddHBand="0" w:evenHBand="1" w:firstRowFirstColumn="0" w:firstRowLastColumn="0" w:lastRowFirstColumn="0" w:lastRowLastColumn="0"/>
              <w:rPr>
                <w:lang w:val="en-GB"/>
              </w:rPr>
            </w:pPr>
          </w:p>
        </w:tc>
        <w:tc>
          <w:tcPr>
            <w:tcW w:w="1485" w:type="dxa"/>
          </w:tcPr>
          <w:p w14:paraId="4172158B" w14:textId="4342EB4F" w:rsidR="26AFC477" w:rsidRPr="00221992" w:rsidRDefault="26AFC477" w:rsidP="006B512F">
            <w:pPr>
              <w:keepNext/>
              <w:keepLines/>
              <w:spacing w:after="0" w:line="240" w:lineRule="auto"/>
              <w:cnfStyle w:val="000000010000" w:firstRow="0" w:lastRow="0" w:firstColumn="0" w:lastColumn="0" w:oddVBand="0" w:evenVBand="0" w:oddHBand="0" w:evenHBand="1" w:firstRowFirstColumn="0" w:firstRowLastColumn="0" w:lastRowFirstColumn="0" w:lastRowLastColumn="0"/>
              <w:rPr>
                <w:lang w:val="en-GB"/>
              </w:rPr>
            </w:pPr>
          </w:p>
        </w:tc>
        <w:tc>
          <w:tcPr>
            <w:tcW w:w="1755" w:type="dxa"/>
          </w:tcPr>
          <w:p w14:paraId="4B8BD58F" w14:textId="24FCD742" w:rsidR="26AFC477" w:rsidRPr="00221992" w:rsidRDefault="26AFC477" w:rsidP="006B512F">
            <w:pPr>
              <w:keepNext/>
              <w:keepLines/>
              <w:spacing w:after="0" w:line="240" w:lineRule="auto"/>
              <w:cnfStyle w:val="000000010000" w:firstRow="0" w:lastRow="0" w:firstColumn="0" w:lastColumn="0" w:oddVBand="0" w:evenVBand="0" w:oddHBand="0" w:evenHBand="1" w:firstRowFirstColumn="0" w:firstRowLastColumn="0" w:lastRowFirstColumn="0" w:lastRowLastColumn="0"/>
              <w:rPr>
                <w:lang w:val="en-GB"/>
              </w:rPr>
            </w:pPr>
          </w:p>
        </w:tc>
      </w:tr>
      <w:tr w:rsidR="26AFC477" w:rsidRPr="00221992" w14:paraId="09ADDA16" w14:textId="77777777" w:rsidTr="00A663BF">
        <w:tc>
          <w:tcPr>
            <w:cnfStyle w:val="001000000000" w:firstRow="0" w:lastRow="0" w:firstColumn="1" w:lastColumn="0" w:oddVBand="0" w:evenVBand="0" w:oddHBand="0" w:evenHBand="0" w:firstRowFirstColumn="0" w:firstRowLastColumn="0" w:lastRowFirstColumn="0" w:lastRowLastColumn="0"/>
            <w:tcW w:w="2295" w:type="dxa"/>
            <w:shd w:val="clear" w:color="auto" w:fill="0070C0"/>
          </w:tcPr>
          <w:p w14:paraId="309C305C" w14:textId="059DFB3C" w:rsidR="26AFC477" w:rsidRPr="00221992" w:rsidRDefault="26AFC477" w:rsidP="006B512F">
            <w:pPr>
              <w:keepNext/>
              <w:keepLines/>
              <w:spacing w:after="0" w:line="240" w:lineRule="auto"/>
              <w:rPr>
                <w:lang w:val="en-GB"/>
              </w:rPr>
            </w:pPr>
            <w:r w:rsidRPr="00221992">
              <w:rPr>
                <w:rFonts w:ascii="Calibri" w:eastAsia="Calibri" w:hAnsi="Calibri" w:cs="Calibri"/>
                <w:sz w:val="20"/>
                <w:szCs w:val="20"/>
                <w:lang w:val="en-GB"/>
              </w:rPr>
              <w:t>Italy</w:t>
            </w:r>
            <w:r w:rsidRPr="00221992">
              <w:rPr>
                <w:rFonts w:ascii="Calibri" w:eastAsia="Calibri" w:hAnsi="Calibri" w:cs="Calibri"/>
                <w:sz w:val="20"/>
                <w:szCs w:val="20"/>
                <w:vertAlign w:val="superscript"/>
                <w:lang w:val="en-GB"/>
              </w:rPr>
              <w:t>6</w:t>
            </w:r>
          </w:p>
        </w:tc>
        <w:tc>
          <w:tcPr>
            <w:tcW w:w="1395" w:type="dxa"/>
          </w:tcPr>
          <w:p w14:paraId="7ADD982C" w14:textId="267CCE55" w:rsidR="26AFC477" w:rsidRPr="00221992" w:rsidRDefault="26AFC477" w:rsidP="006B512F">
            <w:pPr>
              <w:keepNext/>
              <w:keepLines/>
              <w:spacing w:after="0" w:line="240" w:lineRule="auto"/>
              <w:jc w:val="center"/>
              <w:cnfStyle w:val="000000000000" w:firstRow="0" w:lastRow="0" w:firstColumn="0" w:lastColumn="0" w:oddVBand="0" w:evenVBand="0" w:oddHBand="0" w:evenHBand="0" w:firstRowFirstColumn="0" w:firstRowLastColumn="0" w:lastRowFirstColumn="0" w:lastRowLastColumn="0"/>
              <w:rPr>
                <w:lang w:val="en-GB"/>
              </w:rPr>
            </w:pPr>
            <w:r w:rsidRPr="00221992">
              <w:rPr>
                <w:rFonts w:ascii="Wingdings" w:eastAsia="Wingdings" w:hAnsi="Wingdings" w:cs="Wingdings"/>
                <w:color w:val="FFC000"/>
                <w:sz w:val="20"/>
                <w:szCs w:val="20"/>
                <w:lang w:val="en-GB"/>
              </w:rPr>
              <w:t>þ</w:t>
            </w:r>
          </w:p>
        </w:tc>
        <w:tc>
          <w:tcPr>
            <w:tcW w:w="840" w:type="dxa"/>
          </w:tcPr>
          <w:p w14:paraId="0AEDD707" w14:textId="02BA7008" w:rsidR="26AFC477" w:rsidRPr="00221992" w:rsidRDefault="26AFC477" w:rsidP="006B512F">
            <w:pPr>
              <w:keepNext/>
              <w:keepLines/>
              <w:spacing w:after="0" w:line="240" w:lineRule="auto"/>
              <w:cnfStyle w:val="000000000000" w:firstRow="0" w:lastRow="0" w:firstColumn="0" w:lastColumn="0" w:oddVBand="0" w:evenVBand="0" w:oddHBand="0" w:evenHBand="0" w:firstRowFirstColumn="0" w:firstRowLastColumn="0" w:lastRowFirstColumn="0" w:lastRowLastColumn="0"/>
              <w:rPr>
                <w:lang w:val="en-GB"/>
              </w:rPr>
            </w:pPr>
            <w:r w:rsidRPr="00221992">
              <w:rPr>
                <w:rFonts w:eastAsia="Calibri Light" w:cs="Calibri Light"/>
                <w:sz w:val="20"/>
                <w:szCs w:val="20"/>
                <w:lang w:val="en-GB"/>
              </w:rPr>
              <w:t xml:space="preserve"> </w:t>
            </w:r>
          </w:p>
        </w:tc>
        <w:tc>
          <w:tcPr>
            <w:tcW w:w="1560" w:type="dxa"/>
          </w:tcPr>
          <w:p w14:paraId="25AEB797" w14:textId="3CC1BB65" w:rsidR="26AFC477" w:rsidRPr="00221992" w:rsidRDefault="26AFC477" w:rsidP="006B512F">
            <w:pPr>
              <w:keepNext/>
              <w:keepLines/>
              <w:spacing w:after="0" w:line="240" w:lineRule="auto"/>
              <w:jc w:val="center"/>
              <w:cnfStyle w:val="000000000000" w:firstRow="0" w:lastRow="0" w:firstColumn="0" w:lastColumn="0" w:oddVBand="0" w:evenVBand="0" w:oddHBand="0" w:evenHBand="0" w:firstRowFirstColumn="0" w:firstRowLastColumn="0" w:lastRowFirstColumn="0" w:lastRowLastColumn="0"/>
              <w:rPr>
                <w:lang w:val="en-GB"/>
              </w:rPr>
            </w:pPr>
            <w:r w:rsidRPr="00221992">
              <w:rPr>
                <w:rFonts w:ascii="Wingdings" w:eastAsia="Wingdings" w:hAnsi="Wingdings" w:cs="Wingdings"/>
                <w:color w:val="FFC000"/>
                <w:sz w:val="20"/>
                <w:szCs w:val="20"/>
                <w:lang w:val="en-GB"/>
              </w:rPr>
              <w:t>þ</w:t>
            </w:r>
          </w:p>
        </w:tc>
        <w:tc>
          <w:tcPr>
            <w:tcW w:w="1485" w:type="dxa"/>
          </w:tcPr>
          <w:p w14:paraId="6CCC9956" w14:textId="6FF313D0" w:rsidR="26AFC477" w:rsidRPr="00221992" w:rsidRDefault="26AFC477" w:rsidP="006B512F">
            <w:pPr>
              <w:keepNext/>
              <w:keepLines/>
              <w:spacing w:after="0" w:line="240" w:lineRule="auto"/>
              <w:cnfStyle w:val="000000000000" w:firstRow="0" w:lastRow="0" w:firstColumn="0" w:lastColumn="0" w:oddVBand="0" w:evenVBand="0" w:oddHBand="0" w:evenHBand="0" w:firstRowFirstColumn="0" w:firstRowLastColumn="0" w:lastRowFirstColumn="0" w:lastRowLastColumn="0"/>
              <w:rPr>
                <w:lang w:val="en-GB"/>
              </w:rPr>
            </w:pPr>
            <w:r w:rsidRPr="00221992">
              <w:rPr>
                <w:rFonts w:eastAsia="Calibri Light" w:cs="Calibri Light"/>
                <w:sz w:val="20"/>
                <w:szCs w:val="20"/>
                <w:lang w:val="en-GB"/>
              </w:rPr>
              <w:t xml:space="preserve"> </w:t>
            </w:r>
          </w:p>
        </w:tc>
        <w:tc>
          <w:tcPr>
            <w:tcW w:w="1755" w:type="dxa"/>
          </w:tcPr>
          <w:p w14:paraId="3352369A" w14:textId="33D6610F" w:rsidR="26AFC477" w:rsidRPr="00221992" w:rsidRDefault="26AFC477" w:rsidP="006B512F">
            <w:pPr>
              <w:keepNext/>
              <w:keepLines/>
              <w:spacing w:after="0" w:line="240" w:lineRule="auto"/>
              <w:cnfStyle w:val="000000000000" w:firstRow="0" w:lastRow="0" w:firstColumn="0" w:lastColumn="0" w:oddVBand="0" w:evenVBand="0" w:oddHBand="0" w:evenHBand="0" w:firstRowFirstColumn="0" w:firstRowLastColumn="0" w:lastRowFirstColumn="0" w:lastRowLastColumn="0"/>
              <w:rPr>
                <w:lang w:val="en-GB"/>
              </w:rPr>
            </w:pPr>
            <w:r w:rsidRPr="00221992">
              <w:rPr>
                <w:rFonts w:eastAsia="Calibri Light" w:cs="Calibri Light"/>
                <w:sz w:val="20"/>
                <w:szCs w:val="20"/>
                <w:lang w:val="en-GB"/>
              </w:rPr>
              <w:t xml:space="preserve"> </w:t>
            </w:r>
          </w:p>
        </w:tc>
      </w:tr>
      <w:tr w:rsidR="26AFC477" w:rsidRPr="00221992" w14:paraId="062B8E63" w14:textId="77777777" w:rsidTr="00A663B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95" w:type="dxa"/>
            <w:shd w:val="clear" w:color="auto" w:fill="0070C0"/>
          </w:tcPr>
          <w:p w14:paraId="11DC411D" w14:textId="68DB9E99" w:rsidR="26AFC477" w:rsidRPr="00221992" w:rsidRDefault="26AFC477" w:rsidP="006B512F">
            <w:pPr>
              <w:keepNext/>
              <w:keepLines/>
              <w:spacing w:after="0" w:line="240" w:lineRule="auto"/>
              <w:rPr>
                <w:lang w:val="en-GB"/>
              </w:rPr>
            </w:pPr>
            <w:r w:rsidRPr="00221992">
              <w:rPr>
                <w:rFonts w:ascii="Calibri" w:eastAsia="Calibri" w:hAnsi="Calibri" w:cs="Calibri"/>
                <w:sz w:val="20"/>
                <w:szCs w:val="20"/>
                <w:lang w:val="en-GB"/>
              </w:rPr>
              <w:t>Japan</w:t>
            </w:r>
            <w:r w:rsidRPr="00221992">
              <w:rPr>
                <w:rFonts w:ascii="Calibri" w:eastAsia="Calibri" w:hAnsi="Calibri" w:cs="Calibri"/>
                <w:sz w:val="20"/>
                <w:szCs w:val="20"/>
                <w:vertAlign w:val="superscript"/>
                <w:lang w:val="en-GB"/>
              </w:rPr>
              <w:t>7</w:t>
            </w:r>
          </w:p>
        </w:tc>
        <w:tc>
          <w:tcPr>
            <w:tcW w:w="1395" w:type="dxa"/>
          </w:tcPr>
          <w:p w14:paraId="2087DECE" w14:textId="5F50CF68" w:rsidR="26AFC477" w:rsidRPr="00221992" w:rsidRDefault="26AFC477" w:rsidP="006B512F">
            <w:pPr>
              <w:keepNext/>
              <w:keepLines/>
              <w:spacing w:after="0" w:line="240" w:lineRule="auto"/>
              <w:cnfStyle w:val="000000010000" w:firstRow="0" w:lastRow="0" w:firstColumn="0" w:lastColumn="0" w:oddVBand="0" w:evenVBand="0" w:oddHBand="0" w:evenHBand="1" w:firstRowFirstColumn="0" w:firstRowLastColumn="0" w:lastRowFirstColumn="0" w:lastRowLastColumn="0"/>
              <w:rPr>
                <w:lang w:val="en-GB"/>
              </w:rPr>
            </w:pPr>
            <w:r w:rsidRPr="00221992">
              <w:rPr>
                <w:rFonts w:eastAsia="Calibri Light" w:cs="Calibri Light"/>
                <w:sz w:val="20"/>
                <w:szCs w:val="20"/>
                <w:lang w:val="en-GB"/>
              </w:rPr>
              <w:t xml:space="preserve"> </w:t>
            </w:r>
          </w:p>
        </w:tc>
        <w:tc>
          <w:tcPr>
            <w:tcW w:w="840" w:type="dxa"/>
          </w:tcPr>
          <w:p w14:paraId="21174CE8" w14:textId="13442FF8" w:rsidR="26AFC477" w:rsidRPr="00221992" w:rsidRDefault="26AFC477" w:rsidP="006B512F">
            <w:pPr>
              <w:keepNext/>
              <w:keepLines/>
              <w:spacing w:after="0" w:line="240" w:lineRule="auto"/>
              <w:jc w:val="center"/>
              <w:cnfStyle w:val="000000010000" w:firstRow="0" w:lastRow="0" w:firstColumn="0" w:lastColumn="0" w:oddVBand="0" w:evenVBand="0" w:oddHBand="0" w:evenHBand="1" w:firstRowFirstColumn="0" w:firstRowLastColumn="0" w:lastRowFirstColumn="0" w:lastRowLastColumn="0"/>
              <w:rPr>
                <w:lang w:val="en-GB"/>
              </w:rPr>
            </w:pPr>
            <w:r w:rsidRPr="00221992">
              <w:rPr>
                <w:rFonts w:ascii="Wingdings" w:eastAsia="Wingdings" w:hAnsi="Wingdings" w:cs="Wingdings"/>
                <w:color w:val="7F7F7F" w:themeColor="text1" w:themeTint="80"/>
                <w:sz w:val="20"/>
                <w:szCs w:val="20"/>
                <w:lang w:val="en-GB"/>
              </w:rPr>
              <w:t>þ</w:t>
            </w:r>
          </w:p>
        </w:tc>
        <w:tc>
          <w:tcPr>
            <w:tcW w:w="1560" w:type="dxa"/>
          </w:tcPr>
          <w:p w14:paraId="4AE0F4CD" w14:textId="29EE85BD" w:rsidR="26AFC477" w:rsidRPr="00221992" w:rsidRDefault="26AFC477" w:rsidP="006B512F">
            <w:pPr>
              <w:keepNext/>
              <w:keepLines/>
              <w:spacing w:after="0" w:line="240" w:lineRule="auto"/>
              <w:cnfStyle w:val="000000010000" w:firstRow="0" w:lastRow="0" w:firstColumn="0" w:lastColumn="0" w:oddVBand="0" w:evenVBand="0" w:oddHBand="0" w:evenHBand="1" w:firstRowFirstColumn="0" w:firstRowLastColumn="0" w:lastRowFirstColumn="0" w:lastRowLastColumn="0"/>
              <w:rPr>
                <w:lang w:val="en-GB"/>
              </w:rPr>
            </w:pPr>
            <w:r w:rsidRPr="00221992">
              <w:rPr>
                <w:rFonts w:eastAsia="Calibri Light" w:cs="Calibri Light"/>
                <w:sz w:val="20"/>
                <w:szCs w:val="20"/>
                <w:lang w:val="en-GB"/>
              </w:rPr>
              <w:t xml:space="preserve"> </w:t>
            </w:r>
          </w:p>
        </w:tc>
        <w:tc>
          <w:tcPr>
            <w:tcW w:w="1485" w:type="dxa"/>
          </w:tcPr>
          <w:p w14:paraId="4B6D488C" w14:textId="2C1A923A" w:rsidR="26AFC477" w:rsidRPr="00221992" w:rsidRDefault="26AFC477" w:rsidP="006B512F">
            <w:pPr>
              <w:keepNext/>
              <w:keepLines/>
              <w:spacing w:after="0" w:line="240" w:lineRule="auto"/>
              <w:cnfStyle w:val="000000010000" w:firstRow="0" w:lastRow="0" w:firstColumn="0" w:lastColumn="0" w:oddVBand="0" w:evenVBand="0" w:oddHBand="0" w:evenHBand="1" w:firstRowFirstColumn="0" w:firstRowLastColumn="0" w:lastRowFirstColumn="0" w:lastRowLastColumn="0"/>
              <w:rPr>
                <w:lang w:val="en-GB"/>
              </w:rPr>
            </w:pPr>
            <w:r w:rsidRPr="00221992">
              <w:rPr>
                <w:rFonts w:eastAsia="Calibri Light" w:cs="Calibri Light"/>
                <w:sz w:val="20"/>
                <w:szCs w:val="20"/>
                <w:lang w:val="en-GB"/>
              </w:rPr>
              <w:t xml:space="preserve"> </w:t>
            </w:r>
          </w:p>
        </w:tc>
        <w:tc>
          <w:tcPr>
            <w:tcW w:w="1755" w:type="dxa"/>
          </w:tcPr>
          <w:p w14:paraId="39ACE2EF" w14:textId="4482F65B" w:rsidR="26AFC477" w:rsidRPr="00221992" w:rsidRDefault="26AFC477" w:rsidP="006B512F">
            <w:pPr>
              <w:keepNext/>
              <w:keepLines/>
              <w:spacing w:after="0" w:line="240" w:lineRule="auto"/>
              <w:cnfStyle w:val="000000010000" w:firstRow="0" w:lastRow="0" w:firstColumn="0" w:lastColumn="0" w:oddVBand="0" w:evenVBand="0" w:oddHBand="0" w:evenHBand="1" w:firstRowFirstColumn="0" w:firstRowLastColumn="0" w:lastRowFirstColumn="0" w:lastRowLastColumn="0"/>
              <w:rPr>
                <w:lang w:val="en-GB"/>
              </w:rPr>
            </w:pPr>
            <w:r w:rsidRPr="00221992">
              <w:rPr>
                <w:rFonts w:eastAsia="Calibri Light" w:cs="Calibri Light"/>
                <w:sz w:val="20"/>
                <w:szCs w:val="20"/>
                <w:lang w:val="en-GB"/>
              </w:rPr>
              <w:t xml:space="preserve"> </w:t>
            </w:r>
          </w:p>
        </w:tc>
      </w:tr>
      <w:tr w:rsidR="26AFC477" w:rsidRPr="00221992" w14:paraId="70E379FE" w14:textId="77777777" w:rsidTr="00A663BF">
        <w:tc>
          <w:tcPr>
            <w:cnfStyle w:val="001000000000" w:firstRow="0" w:lastRow="0" w:firstColumn="1" w:lastColumn="0" w:oddVBand="0" w:evenVBand="0" w:oddHBand="0" w:evenHBand="0" w:firstRowFirstColumn="0" w:firstRowLastColumn="0" w:lastRowFirstColumn="0" w:lastRowLastColumn="0"/>
            <w:tcW w:w="2295" w:type="dxa"/>
            <w:shd w:val="clear" w:color="auto" w:fill="0070C0"/>
          </w:tcPr>
          <w:p w14:paraId="3AFE2F52" w14:textId="4EE39B9B" w:rsidR="26AFC477" w:rsidRPr="00221992" w:rsidRDefault="26AFC477" w:rsidP="006B512F">
            <w:pPr>
              <w:keepNext/>
              <w:keepLines/>
              <w:spacing w:after="0" w:line="240" w:lineRule="auto"/>
              <w:rPr>
                <w:lang w:val="en-GB"/>
              </w:rPr>
            </w:pPr>
            <w:r w:rsidRPr="00221992">
              <w:rPr>
                <w:rFonts w:ascii="Calibri" w:eastAsia="Calibri" w:hAnsi="Calibri" w:cs="Calibri"/>
                <w:sz w:val="20"/>
                <w:szCs w:val="20"/>
                <w:lang w:val="en-GB"/>
              </w:rPr>
              <w:t>Korea</w:t>
            </w:r>
            <w:r w:rsidRPr="00221992">
              <w:rPr>
                <w:rFonts w:ascii="Calibri" w:eastAsia="Calibri" w:hAnsi="Calibri" w:cs="Calibri"/>
                <w:sz w:val="20"/>
                <w:szCs w:val="20"/>
                <w:vertAlign w:val="superscript"/>
                <w:lang w:val="en-GB"/>
              </w:rPr>
              <w:t>8</w:t>
            </w:r>
          </w:p>
        </w:tc>
        <w:tc>
          <w:tcPr>
            <w:tcW w:w="1395" w:type="dxa"/>
          </w:tcPr>
          <w:p w14:paraId="7EAB318A" w14:textId="62C525A4" w:rsidR="26AFC477" w:rsidRPr="00221992" w:rsidRDefault="008A6310" w:rsidP="006B512F">
            <w:pPr>
              <w:keepNext/>
              <w:keepLines/>
              <w:spacing w:after="0" w:line="240" w:lineRule="auto"/>
              <w:jc w:val="center"/>
              <w:cnfStyle w:val="000000000000" w:firstRow="0" w:lastRow="0" w:firstColumn="0" w:lastColumn="0" w:oddVBand="0" w:evenVBand="0" w:oddHBand="0" w:evenHBand="0" w:firstRowFirstColumn="0" w:firstRowLastColumn="0" w:lastRowFirstColumn="0" w:lastRowLastColumn="0"/>
              <w:rPr>
                <w:lang w:val="en-GB"/>
              </w:rPr>
            </w:pPr>
            <w:r>
              <w:rPr>
                <w:rFonts w:eastAsia="Calibri Light" w:cs="Calibri Light"/>
                <w:color w:val="000000" w:themeColor="text1"/>
                <w:sz w:val="20"/>
                <w:szCs w:val="20"/>
                <w:lang w:val="en-GB"/>
              </w:rPr>
              <w:t xml:space="preserve"> </w:t>
            </w:r>
          </w:p>
        </w:tc>
        <w:tc>
          <w:tcPr>
            <w:tcW w:w="840" w:type="dxa"/>
          </w:tcPr>
          <w:p w14:paraId="188BCBEF" w14:textId="301A5DB2" w:rsidR="26AFC477" w:rsidRPr="00221992" w:rsidRDefault="26AFC477" w:rsidP="006B512F">
            <w:pPr>
              <w:keepNext/>
              <w:keepLines/>
              <w:spacing w:after="0" w:line="240" w:lineRule="auto"/>
              <w:jc w:val="center"/>
              <w:cnfStyle w:val="000000000000" w:firstRow="0" w:lastRow="0" w:firstColumn="0" w:lastColumn="0" w:oddVBand="0" w:evenVBand="0" w:oddHBand="0" w:evenHBand="0" w:firstRowFirstColumn="0" w:firstRowLastColumn="0" w:lastRowFirstColumn="0" w:lastRowLastColumn="0"/>
              <w:rPr>
                <w:lang w:val="en-GB"/>
              </w:rPr>
            </w:pPr>
            <w:r w:rsidRPr="00221992">
              <w:rPr>
                <w:rFonts w:ascii="Wingdings" w:eastAsia="Wingdings" w:hAnsi="Wingdings" w:cs="Wingdings"/>
                <w:color w:val="FFC000"/>
                <w:sz w:val="20"/>
                <w:szCs w:val="20"/>
                <w:lang w:val="en-GB"/>
              </w:rPr>
              <w:t>þ</w:t>
            </w:r>
          </w:p>
        </w:tc>
        <w:tc>
          <w:tcPr>
            <w:tcW w:w="1560" w:type="dxa"/>
          </w:tcPr>
          <w:p w14:paraId="1894D172" w14:textId="701A5AA5" w:rsidR="26AFC477" w:rsidRPr="00221992" w:rsidRDefault="26AFC477" w:rsidP="006B512F">
            <w:pPr>
              <w:keepNext/>
              <w:keepLines/>
              <w:spacing w:after="0" w:line="240" w:lineRule="auto"/>
              <w:jc w:val="center"/>
              <w:cnfStyle w:val="000000000000" w:firstRow="0" w:lastRow="0" w:firstColumn="0" w:lastColumn="0" w:oddVBand="0" w:evenVBand="0" w:oddHBand="0" w:evenHBand="0" w:firstRowFirstColumn="0" w:firstRowLastColumn="0" w:lastRowFirstColumn="0" w:lastRowLastColumn="0"/>
              <w:rPr>
                <w:lang w:val="en-GB"/>
              </w:rPr>
            </w:pPr>
            <w:r w:rsidRPr="00221992">
              <w:rPr>
                <w:rFonts w:ascii="Wingdings" w:eastAsia="Wingdings" w:hAnsi="Wingdings" w:cs="Wingdings"/>
                <w:color w:val="7F7F7F" w:themeColor="text1" w:themeTint="80"/>
                <w:sz w:val="20"/>
                <w:szCs w:val="20"/>
                <w:lang w:val="en-GB"/>
              </w:rPr>
              <w:t>þ</w:t>
            </w:r>
          </w:p>
        </w:tc>
        <w:tc>
          <w:tcPr>
            <w:tcW w:w="1485" w:type="dxa"/>
          </w:tcPr>
          <w:p w14:paraId="1CB1D567" w14:textId="3AD616D8" w:rsidR="26AFC477" w:rsidRPr="00221992" w:rsidRDefault="008A6310" w:rsidP="006B512F">
            <w:pPr>
              <w:keepNext/>
              <w:keepLines/>
              <w:spacing w:after="0" w:line="240" w:lineRule="auto"/>
              <w:jc w:val="center"/>
              <w:cnfStyle w:val="000000000000" w:firstRow="0" w:lastRow="0" w:firstColumn="0" w:lastColumn="0" w:oddVBand="0" w:evenVBand="0" w:oddHBand="0" w:evenHBand="0" w:firstRowFirstColumn="0" w:firstRowLastColumn="0" w:lastRowFirstColumn="0" w:lastRowLastColumn="0"/>
              <w:rPr>
                <w:lang w:val="en-GB"/>
              </w:rPr>
            </w:pPr>
            <w:r>
              <w:rPr>
                <w:rFonts w:eastAsia="Calibri Light" w:cs="Calibri Light"/>
                <w:color w:val="000000" w:themeColor="text1"/>
                <w:sz w:val="20"/>
                <w:szCs w:val="20"/>
                <w:lang w:val="en-GB"/>
              </w:rPr>
              <w:t xml:space="preserve"> </w:t>
            </w:r>
          </w:p>
        </w:tc>
        <w:tc>
          <w:tcPr>
            <w:tcW w:w="1755" w:type="dxa"/>
          </w:tcPr>
          <w:p w14:paraId="171DAC9D" w14:textId="5AC6AAE5" w:rsidR="26AFC477" w:rsidRPr="00221992" w:rsidRDefault="008A6310" w:rsidP="006B512F">
            <w:pPr>
              <w:keepNext/>
              <w:keepLines/>
              <w:spacing w:after="0" w:line="240" w:lineRule="auto"/>
              <w:jc w:val="center"/>
              <w:cnfStyle w:val="000000000000" w:firstRow="0" w:lastRow="0" w:firstColumn="0" w:lastColumn="0" w:oddVBand="0" w:evenVBand="0" w:oddHBand="0" w:evenHBand="0" w:firstRowFirstColumn="0" w:firstRowLastColumn="0" w:lastRowFirstColumn="0" w:lastRowLastColumn="0"/>
              <w:rPr>
                <w:lang w:val="en-GB"/>
              </w:rPr>
            </w:pPr>
            <w:r>
              <w:rPr>
                <w:rFonts w:eastAsia="Calibri Light" w:cs="Calibri Light"/>
                <w:color w:val="000000" w:themeColor="text1"/>
                <w:sz w:val="20"/>
                <w:szCs w:val="20"/>
                <w:lang w:val="en-GB"/>
              </w:rPr>
              <w:t xml:space="preserve"> </w:t>
            </w:r>
          </w:p>
        </w:tc>
      </w:tr>
      <w:tr w:rsidR="26AFC477" w:rsidRPr="00221992" w14:paraId="61A0162F" w14:textId="77777777" w:rsidTr="00A663B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95" w:type="dxa"/>
            <w:shd w:val="clear" w:color="auto" w:fill="0070C0"/>
          </w:tcPr>
          <w:p w14:paraId="741947DE" w14:textId="41753FC5" w:rsidR="26AFC477" w:rsidRPr="00221992" w:rsidRDefault="26AFC477" w:rsidP="006B512F">
            <w:pPr>
              <w:keepNext/>
              <w:keepLines/>
              <w:spacing w:after="0" w:line="240" w:lineRule="auto"/>
              <w:rPr>
                <w:lang w:val="en-GB"/>
              </w:rPr>
            </w:pPr>
            <w:r w:rsidRPr="00221992">
              <w:rPr>
                <w:rFonts w:ascii="Calibri" w:eastAsia="Calibri" w:hAnsi="Calibri" w:cs="Calibri"/>
                <w:sz w:val="20"/>
                <w:szCs w:val="20"/>
                <w:lang w:val="en-GB"/>
              </w:rPr>
              <w:t>Luxembourg</w:t>
            </w:r>
            <w:r w:rsidRPr="00221992">
              <w:rPr>
                <w:rFonts w:ascii="Calibri" w:eastAsia="Calibri" w:hAnsi="Calibri" w:cs="Calibri"/>
                <w:sz w:val="20"/>
                <w:szCs w:val="20"/>
                <w:vertAlign w:val="superscript"/>
                <w:lang w:val="en-GB"/>
              </w:rPr>
              <w:t>9</w:t>
            </w:r>
            <w:r w:rsidRPr="00221992">
              <w:rPr>
                <w:rFonts w:ascii="Calibri" w:eastAsia="Calibri" w:hAnsi="Calibri" w:cs="Calibri"/>
                <w:color w:val="D13438"/>
                <w:sz w:val="20"/>
                <w:szCs w:val="20"/>
                <w:vertAlign w:val="superscript"/>
                <w:lang w:val="en-GB"/>
              </w:rPr>
              <w:t xml:space="preserve"> </w:t>
            </w:r>
          </w:p>
        </w:tc>
        <w:tc>
          <w:tcPr>
            <w:tcW w:w="7035" w:type="dxa"/>
            <w:gridSpan w:val="5"/>
          </w:tcPr>
          <w:p w14:paraId="2E9F1542" w14:textId="485A31E8" w:rsidR="26AFC477" w:rsidRPr="00221992" w:rsidRDefault="26AFC477" w:rsidP="00140F18">
            <w:pPr>
              <w:keepNext/>
              <w:keepLines/>
              <w:spacing w:after="0" w:line="240" w:lineRule="auto"/>
              <w:jc w:val="center"/>
              <w:cnfStyle w:val="000000010000" w:firstRow="0" w:lastRow="0" w:firstColumn="0" w:lastColumn="0" w:oddVBand="0" w:evenVBand="0" w:oddHBand="0" w:evenHBand="1" w:firstRowFirstColumn="0" w:firstRowLastColumn="0" w:lastRowFirstColumn="0" w:lastRowLastColumn="0"/>
              <w:rPr>
                <w:lang w:val="en-GB"/>
              </w:rPr>
            </w:pPr>
            <w:r w:rsidRPr="00221992">
              <w:rPr>
                <w:rFonts w:eastAsia="Calibri Light" w:cs="Calibri Light"/>
                <w:color w:val="000000" w:themeColor="text1"/>
                <w:sz w:val="20"/>
                <w:szCs w:val="20"/>
                <w:lang w:val="en-GB"/>
              </w:rPr>
              <w:t>NI</w:t>
            </w:r>
          </w:p>
        </w:tc>
      </w:tr>
      <w:tr w:rsidR="26AFC477" w:rsidRPr="00221992" w14:paraId="3FBCAF5E" w14:textId="77777777" w:rsidTr="00A663BF">
        <w:tc>
          <w:tcPr>
            <w:cnfStyle w:val="001000000000" w:firstRow="0" w:lastRow="0" w:firstColumn="1" w:lastColumn="0" w:oddVBand="0" w:evenVBand="0" w:oddHBand="0" w:evenHBand="0" w:firstRowFirstColumn="0" w:firstRowLastColumn="0" w:lastRowFirstColumn="0" w:lastRowLastColumn="0"/>
            <w:tcW w:w="2295" w:type="dxa"/>
            <w:shd w:val="clear" w:color="auto" w:fill="0070C0"/>
          </w:tcPr>
          <w:p w14:paraId="4C8268D7" w14:textId="3C7B6DBD" w:rsidR="26AFC477" w:rsidRPr="00221992" w:rsidRDefault="26AFC477" w:rsidP="006B512F">
            <w:pPr>
              <w:keepNext/>
              <w:keepLines/>
              <w:spacing w:after="0" w:line="240" w:lineRule="auto"/>
              <w:rPr>
                <w:lang w:val="en-GB"/>
              </w:rPr>
            </w:pPr>
            <w:r w:rsidRPr="00221992">
              <w:rPr>
                <w:rFonts w:ascii="Calibri" w:eastAsia="Calibri" w:hAnsi="Calibri" w:cs="Calibri"/>
                <w:sz w:val="20"/>
                <w:szCs w:val="20"/>
                <w:lang w:val="en-GB"/>
              </w:rPr>
              <w:t xml:space="preserve">The Netherlands </w:t>
            </w:r>
            <w:r w:rsidRPr="00221992">
              <w:rPr>
                <w:rFonts w:ascii="Calibri" w:eastAsia="Calibri" w:hAnsi="Calibri" w:cs="Calibri"/>
                <w:sz w:val="20"/>
                <w:szCs w:val="20"/>
                <w:vertAlign w:val="superscript"/>
                <w:lang w:val="en-GB"/>
              </w:rPr>
              <w:t>10</w:t>
            </w:r>
          </w:p>
        </w:tc>
        <w:tc>
          <w:tcPr>
            <w:tcW w:w="7035" w:type="dxa"/>
            <w:gridSpan w:val="5"/>
          </w:tcPr>
          <w:p w14:paraId="3F72647A" w14:textId="473969B2" w:rsidR="26AFC477" w:rsidRPr="00221992" w:rsidRDefault="26AFC477" w:rsidP="00140F18">
            <w:pPr>
              <w:keepNext/>
              <w:keepLines/>
              <w:spacing w:after="0" w:line="240" w:lineRule="auto"/>
              <w:jc w:val="center"/>
              <w:cnfStyle w:val="000000000000" w:firstRow="0" w:lastRow="0" w:firstColumn="0" w:lastColumn="0" w:oddVBand="0" w:evenVBand="0" w:oddHBand="0" w:evenHBand="0" w:firstRowFirstColumn="0" w:firstRowLastColumn="0" w:lastRowFirstColumn="0" w:lastRowLastColumn="0"/>
              <w:rPr>
                <w:lang w:val="en-GB"/>
              </w:rPr>
            </w:pPr>
            <w:r w:rsidRPr="00221992">
              <w:rPr>
                <w:rFonts w:eastAsia="Calibri Light" w:cs="Calibri Light"/>
                <w:color w:val="000000" w:themeColor="text1"/>
                <w:sz w:val="20"/>
                <w:szCs w:val="20"/>
                <w:lang w:val="en-GB"/>
              </w:rPr>
              <w:t>NI</w:t>
            </w:r>
          </w:p>
        </w:tc>
      </w:tr>
      <w:tr w:rsidR="26AFC477" w:rsidRPr="00221992" w14:paraId="3C9B4DC5" w14:textId="77777777" w:rsidTr="00A663B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95" w:type="dxa"/>
            <w:shd w:val="clear" w:color="auto" w:fill="0070C0"/>
          </w:tcPr>
          <w:p w14:paraId="6898AC4C" w14:textId="12224A84" w:rsidR="26AFC477" w:rsidRPr="00221992" w:rsidRDefault="26AFC477" w:rsidP="006B512F">
            <w:pPr>
              <w:keepNext/>
              <w:keepLines/>
              <w:spacing w:after="0" w:line="240" w:lineRule="auto"/>
              <w:rPr>
                <w:lang w:val="en-GB"/>
              </w:rPr>
            </w:pPr>
            <w:r w:rsidRPr="00221992">
              <w:rPr>
                <w:rFonts w:ascii="Calibri" w:eastAsia="Calibri" w:hAnsi="Calibri" w:cs="Calibri"/>
                <w:sz w:val="20"/>
                <w:szCs w:val="20"/>
                <w:lang w:val="en-GB"/>
              </w:rPr>
              <w:t>New Zealand</w:t>
            </w:r>
            <w:r w:rsidRPr="00221992">
              <w:rPr>
                <w:rFonts w:ascii="Calibri" w:eastAsia="Calibri" w:hAnsi="Calibri" w:cs="Calibri"/>
                <w:sz w:val="20"/>
                <w:szCs w:val="20"/>
                <w:vertAlign w:val="superscript"/>
                <w:lang w:val="en-GB"/>
              </w:rPr>
              <w:t>11</w:t>
            </w:r>
          </w:p>
        </w:tc>
        <w:tc>
          <w:tcPr>
            <w:tcW w:w="7035" w:type="dxa"/>
            <w:gridSpan w:val="5"/>
          </w:tcPr>
          <w:p w14:paraId="1E62528B" w14:textId="0098B865" w:rsidR="26AFC477" w:rsidRPr="00221992" w:rsidRDefault="26AFC477" w:rsidP="00140F18">
            <w:pPr>
              <w:keepNext/>
              <w:keepLines/>
              <w:spacing w:after="0" w:line="240" w:lineRule="auto"/>
              <w:jc w:val="center"/>
              <w:cnfStyle w:val="000000010000" w:firstRow="0" w:lastRow="0" w:firstColumn="0" w:lastColumn="0" w:oddVBand="0" w:evenVBand="0" w:oddHBand="0" w:evenHBand="1" w:firstRowFirstColumn="0" w:firstRowLastColumn="0" w:lastRowFirstColumn="0" w:lastRowLastColumn="0"/>
              <w:rPr>
                <w:lang w:val="en-GB"/>
              </w:rPr>
            </w:pPr>
            <w:r w:rsidRPr="00221992">
              <w:rPr>
                <w:rFonts w:eastAsia="Calibri Light" w:cs="Calibri Light"/>
                <w:color w:val="000000" w:themeColor="text1"/>
                <w:sz w:val="20"/>
                <w:szCs w:val="20"/>
                <w:lang w:val="en-GB"/>
              </w:rPr>
              <w:t>NI</w:t>
            </w:r>
          </w:p>
        </w:tc>
      </w:tr>
      <w:tr w:rsidR="26AFC477" w:rsidRPr="00221992" w14:paraId="18575837" w14:textId="77777777" w:rsidTr="00A663BF">
        <w:tc>
          <w:tcPr>
            <w:cnfStyle w:val="001000000000" w:firstRow="0" w:lastRow="0" w:firstColumn="1" w:lastColumn="0" w:oddVBand="0" w:evenVBand="0" w:oddHBand="0" w:evenHBand="0" w:firstRowFirstColumn="0" w:firstRowLastColumn="0" w:lastRowFirstColumn="0" w:lastRowLastColumn="0"/>
            <w:tcW w:w="2295" w:type="dxa"/>
            <w:shd w:val="clear" w:color="auto" w:fill="0070C0"/>
          </w:tcPr>
          <w:p w14:paraId="44B4336F" w14:textId="2EB3DE57" w:rsidR="26AFC477" w:rsidRPr="00221992" w:rsidRDefault="26AFC477" w:rsidP="006B512F">
            <w:pPr>
              <w:keepNext/>
              <w:keepLines/>
              <w:spacing w:after="0" w:line="240" w:lineRule="auto"/>
              <w:rPr>
                <w:lang w:val="en-GB"/>
              </w:rPr>
            </w:pPr>
            <w:r w:rsidRPr="00221992">
              <w:rPr>
                <w:rFonts w:ascii="Calibri" w:eastAsia="Calibri" w:hAnsi="Calibri" w:cs="Calibri"/>
                <w:sz w:val="20"/>
                <w:szCs w:val="20"/>
                <w:lang w:val="en-GB"/>
              </w:rPr>
              <w:t>Norway</w:t>
            </w:r>
            <w:r w:rsidRPr="00221992">
              <w:rPr>
                <w:rFonts w:ascii="Calibri" w:eastAsia="Calibri" w:hAnsi="Calibri" w:cs="Calibri"/>
                <w:sz w:val="20"/>
                <w:szCs w:val="20"/>
                <w:vertAlign w:val="superscript"/>
                <w:lang w:val="en-GB"/>
              </w:rPr>
              <w:t>12</w:t>
            </w:r>
          </w:p>
        </w:tc>
        <w:tc>
          <w:tcPr>
            <w:tcW w:w="7035" w:type="dxa"/>
            <w:gridSpan w:val="5"/>
          </w:tcPr>
          <w:p w14:paraId="4858A73B" w14:textId="7DE6AF4A" w:rsidR="26AFC477" w:rsidRPr="00221992" w:rsidRDefault="26AFC477" w:rsidP="00140F18">
            <w:pPr>
              <w:keepNext/>
              <w:keepLines/>
              <w:spacing w:after="0" w:line="240" w:lineRule="auto"/>
              <w:jc w:val="center"/>
              <w:cnfStyle w:val="000000000000" w:firstRow="0" w:lastRow="0" w:firstColumn="0" w:lastColumn="0" w:oddVBand="0" w:evenVBand="0" w:oddHBand="0" w:evenHBand="0" w:firstRowFirstColumn="0" w:firstRowLastColumn="0" w:lastRowFirstColumn="0" w:lastRowLastColumn="0"/>
              <w:rPr>
                <w:lang w:val="en-GB"/>
              </w:rPr>
            </w:pPr>
            <w:r w:rsidRPr="00221992">
              <w:rPr>
                <w:rFonts w:eastAsia="Calibri Light" w:cs="Calibri Light"/>
                <w:color w:val="000000" w:themeColor="text1"/>
                <w:sz w:val="20"/>
                <w:szCs w:val="20"/>
                <w:lang w:val="en-GB"/>
              </w:rPr>
              <w:t>NI</w:t>
            </w:r>
          </w:p>
        </w:tc>
      </w:tr>
      <w:tr w:rsidR="26AFC477" w:rsidRPr="00221992" w14:paraId="53E468EE" w14:textId="77777777" w:rsidTr="00A663B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95" w:type="dxa"/>
            <w:shd w:val="clear" w:color="auto" w:fill="0070C0"/>
          </w:tcPr>
          <w:p w14:paraId="0C17CEEB" w14:textId="0FECB70A" w:rsidR="26AFC477" w:rsidRPr="00221992" w:rsidRDefault="26AFC477" w:rsidP="006B512F">
            <w:pPr>
              <w:keepNext/>
              <w:keepLines/>
              <w:spacing w:after="0" w:line="240" w:lineRule="auto"/>
              <w:rPr>
                <w:lang w:val="en-GB"/>
              </w:rPr>
            </w:pPr>
            <w:r w:rsidRPr="00221992">
              <w:rPr>
                <w:rFonts w:ascii="Calibri" w:eastAsia="Calibri" w:hAnsi="Calibri" w:cs="Calibri"/>
                <w:sz w:val="20"/>
                <w:szCs w:val="20"/>
                <w:lang w:val="en-GB"/>
              </w:rPr>
              <w:t>Singapore</w:t>
            </w:r>
            <w:r w:rsidRPr="00221992">
              <w:rPr>
                <w:rFonts w:ascii="Calibri" w:eastAsia="Calibri" w:hAnsi="Calibri" w:cs="Calibri"/>
                <w:sz w:val="20"/>
                <w:szCs w:val="20"/>
                <w:vertAlign w:val="superscript"/>
                <w:lang w:val="en-GB"/>
              </w:rPr>
              <w:t>13</w:t>
            </w:r>
            <w:r w:rsidRPr="00221992">
              <w:rPr>
                <w:rFonts w:ascii="Calibri" w:eastAsia="Calibri" w:hAnsi="Calibri" w:cs="Calibri"/>
                <w:color w:val="D13438"/>
                <w:sz w:val="20"/>
                <w:szCs w:val="20"/>
                <w:vertAlign w:val="superscript"/>
                <w:lang w:val="en-GB"/>
              </w:rPr>
              <w:t xml:space="preserve"> </w:t>
            </w:r>
          </w:p>
        </w:tc>
        <w:tc>
          <w:tcPr>
            <w:tcW w:w="7035" w:type="dxa"/>
            <w:gridSpan w:val="5"/>
          </w:tcPr>
          <w:p w14:paraId="245B7C35" w14:textId="2FA8AF37" w:rsidR="26AFC477" w:rsidRPr="00221992" w:rsidRDefault="26AFC477" w:rsidP="00140F18">
            <w:pPr>
              <w:keepNext/>
              <w:keepLines/>
              <w:spacing w:after="0" w:line="240" w:lineRule="auto"/>
              <w:jc w:val="center"/>
              <w:cnfStyle w:val="000000010000" w:firstRow="0" w:lastRow="0" w:firstColumn="0" w:lastColumn="0" w:oddVBand="0" w:evenVBand="0" w:oddHBand="0" w:evenHBand="1" w:firstRowFirstColumn="0" w:firstRowLastColumn="0" w:lastRowFirstColumn="0" w:lastRowLastColumn="0"/>
              <w:rPr>
                <w:lang w:val="en-GB"/>
              </w:rPr>
            </w:pPr>
            <w:r w:rsidRPr="00221992">
              <w:rPr>
                <w:rFonts w:eastAsia="Calibri Light" w:cs="Calibri Light"/>
                <w:color w:val="000000" w:themeColor="text1"/>
                <w:sz w:val="20"/>
                <w:szCs w:val="20"/>
                <w:lang w:val="en-GB"/>
              </w:rPr>
              <w:t>NI</w:t>
            </w:r>
          </w:p>
        </w:tc>
      </w:tr>
      <w:tr w:rsidR="26AFC477" w:rsidRPr="00221992" w14:paraId="50470938" w14:textId="77777777" w:rsidTr="00A663BF">
        <w:tc>
          <w:tcPr>
            <w:cnfStyle w:val="001000000000" w:firstRow="0" w:lastRow="0" w:firstColumn="1" w:lastColumn="0" w:oddVBand="0" w:evenVBand="0" w:oddHBand="0" w:evenHBand="0" w:firstRowFirstColumn="0" w:firstRowLastColumn="0" w:lastRowFirstColumn="0" w:lastRowLastColumn="0"/>
            <w:tcW w:w="2295" w:type="dxa"/>
            <w:shd w:val="clear" w:color="auto" w:fill="0070C0"/>
          </w:tcPr>
          <w:p w14:paraId="196C3C76" w14:textId="065A8EC0" w:rsidR="26AFC477" w:rsidRPr="00221992" w:rsidRDefault="26AFC477" w:rsidP="006B512F">
            <w:pPr>
              <w:keepNext/>
              <w:keepLines/>
              <w:spacing w:after="0" w:line="240" w:lineRule="auto"/>
              <w:rPr>
                <w:lang w:val="en-GB"/>
              </w:rPr>
            </w:pPr>
            <w:r w:rsidRPr="00221992">
              <w:rPr>
                <w:rFonts w:ascii="Calibri" w:eastAsia="Calibri" w:hAnsi="Calibri" w:cs="Calibri"/>
                <w:sz w:val="20"/>
                <w:szCs w:val="20"/>
                <w:lang w:val="en-GB"/>
              </w:rPr>
              <w:t>Spain</w:t>
            </w:r>
            <w:r w:rsidRPr="00221992">
              <w:rPr>
                <w:rFonts w:ascii="Calibri" w:eastAsia="Calibri" w:hAnsi="Calibri" w:cs="Calibri"/>
                <w:sz w:val="20"/>
                <w:szCs w:val="20"/>
                <w:vertAlign w:val="superscript"/>
                <w:lang w:val="en-GB"/>
              </w:rPr>
              <w:t>14</w:t>
            </w:r>
          </w:p>
        </w:tc>
        <w:tc>
          <w:tcPr>
            <w:tcW w:w="1395" w:type="dxa"/>
          </w:tcPr>
          <w:p w14:paraId="3F84AA41" w14:textId="05B35C6A" w:rsidR="26AFC477" w:rsidRPr="00221992" w:rsidRDefault="26AFC477" w:rsidP="006B512F">
            <w:pPr>
              <w:keepNext/>
              <w:keepLines/>
              <w:spacing w:after="0" w:line="240" w:lineRule="auto"/>
              <w:jc w:val="center"/>
              <w:cnfStyle w:val="000000000000" w:firstRow="0" w:lastRow="0" w:firstColumn="0" w:lastColumn="0" w:oddVBand="0" w:evenVBand="0" w:oddHBand="0" w:evenHBand="0" w:firstRowFirstColumn="0" w:firstRowLastColumn="0" w:lastRowFirstColumn="0" w:lastRowLastColumn="0"/>
              <w:rPr>
                <w:lang w:val="en-GB"/>
              </w:rPr>
            </w:pPr>
            <w:r w:rsidRPr="00221992">
              <w:rPr>
                <w:rFonts w:ascii="Wingdings" w:eastAsia="Wingdings" w:hAnsi="Wingdings" w:cs="Wingdings"/>
                <w:color w:val="FFC000"/>
                <w:sz w:val="20"/>
                <w:szCs w:val="20"/>
                <w:lang w:val="en-GB"/>
              </w:rPr>
              <w:t>þ</w:t>
            </w:r>
            <w:r w:rsidRPr="00221992">
              <w:rPr>
                <w:rFonts w:eastAsia="Calibri Light" w:cs="Calibri Light"/>
                <w:color w:val="000000" w:themeColor="text1"/>
                <w:sz w:val="20"/>
                <w:szCs w:val="20"/>
                <w:lang w:val="en-GB"/>
              </w:rPr>
              <w:t xml:space="preserve"> </w:t>
            </w:r>
          </w:p>
        </w:tc>
        <w:tc>
          <w:tcPr>
            <w:tcW w:w="840" w:type="dxa"/>
          </w:tcPr>
          <w:p w14:paraId="16671CC7" w14:textId="7508FB42" w:rsidR="26AFC477" w:rsidRPr="00221992" w:rsidRDefault="26AFC477" w:rsidP="006B512F">
            <w:pPr>
              <w:keepNext/>
              <w:keepLines/>
              <w:spacing w:after="0" w:line="240" w:lineRule="auto"/>
              <w:cnfStyle w:val="000000000000" w:firstRow="0" w:lastRow="0" w:firstColumn="0" w:lastColumn="0" w:oddVBand="0" w:evenVBand="0" w:oddHBand="0" w:evenHBand="0" w:firstRowFirstColumn="0" w:firstRowLastColumn="0" w:lastRowFirstColumn="0" w:lastRowLastColumn="0"/>
              <w:rPr>
                <w:lang w:val="en-GB"/>
              </w:rPr>
            </w:pPr>
            <w:r w:rsidRPr="00221992">
              <w:rPr>
                <w:rFonts w:eastAsia="Calibri Light" w:cs="Calibri Light"/>
                <w:sz w:val="20"/>
                <w:szCs w:val="20"/>
                <w:lang w:val="en-GB"/>
              </w:rPr>
              <w:t xml:space="preserve"> </w:t>
            </w:r>
          </w:p>
        </w:tc>
        <w:tc>
          <w:tcPr>
            <w:tcW w:w="1560" w:type="dxa"/>
          </w:tcPr>
          <w:p w14:paraId="69C2EA38" w14:textId="2E5197EA" w:rsidR="26AFC477" w:rsidRPr="00221992" w:rsidRDefault="26AFC477" w:rsidP="006B512F">
            <w:pPr>
              <w:keepNext/>
              <w:keepLines/>
              <w:spacing w:after="0" w:line="240" w:lineRule="auto"/>
              <w:cnfStyle w:val="000000000000" w:firstRow="0" w:lastRow="0" w:firstColumn="0" w:lastColumn="0" w:oddVBand="0" w:evenVBand="0" w:oddHBand="0" w:evenHBand="0" w:firstRowFirstColumn="0" w:firstRowLastColumn="0" w:lastRowFirstColumn="0" w:lastRowLastColumn="0"/>
              <w:rPr>
                <w:lang w:val="en-GB"/>
              </w:rPr>
            </w:pPr>
            <w:r w:rsidRPr="00221992">
              <w:rPr>
                <w:rFonts w:eastAsia="Calibri Light" w:cs="Calibri Light"/>
                <w:sz w:val="20"/>
                <w:szCs w:val="20"/>
                <w:lang w:val="en-GB"/>
              </w:rPr>
              <w:t xml:space="preserve"> </w:t>
            </w:r>
          </w:p>
        </w:tc>
        <w:tc>
          <w:tcPr>
            <w:tcW w:w="1485" w:type="dxa"/>
          </w:tcPr>
          <w:p w14:paraId="6C48155B" w14:textId="1718495B" w:rsidR="26AFC477" w:rsidRPr="00221992" w:rsidRDefault="26AFC477" w:rsidP="006B512F">
            <w:pPr>
              <w:keepNext/>
              <w:keepLines/>
              <w:spacing w:after="0" w:line="240" w:lineRule="auto"/>
              <w:cnfStyle w:val="000000000000" w:firstRow="0" w:lastRow="0" w:firstColumn="0" w:lastColumn="0" w:oddVBand="0" w:evenVBand="0" w:oddHBand="0" w:evenHBand="0" w:firstRowFirstColumn="0" w:firstRowLastColumn="0" w:lastRowFirstColumn="0" w:lastRowLastColumn="0"/>
              <w:rPr>
                <w:lang w:val="en-GB"/>
              </w:rPr>
            </w:pPr>
            <w:r w:rsidRPr="00221992">
              <w:rPr>
                <w:rFonts w:eastAsia="Calibri Light" w:cs="Calibri Light"/>
                <w:sz w:val="20"/>
                <w:szCs w:val="20"/>
                <w:lang w:val="en-GB"/>
              </w:rPr>
              <w:t xml:space="preserve"> </w:t>
            </w:r>
          </w:p>
        </w:tc>
        <w:tc>
          <w:tcPr>
            <w:tcW w:w="1755" w:type="dxa"/>
          </w:tcPr>
          <w:p w14:paraId="69471BE6" w14:textId="01AEAA9E" w:rsidR="26AFC477" w:rsidRPr="00221992" w:rsidRDefault="26AFC477" w:rsidP="006B512F">
            <w:pPr>
              <w:keepNext/>
              <w:keepLines/>
              <w:spacing w:after="0" w:line="240" w:lineRule="auto"/>
              <w:jc w:val="center"/>
              <w:cnfStyle w:val="000000000000" w:firstRow="0" w:lastRow="0" w:firstColumn="0" w:lastColumn="0" w:oddVBand="0" w:evenVBand="0" w:oddHBand="0" w:evenHBand="0" w:firstRowFirstColumn="0" w:firstRowLastColumn="0" w:lastRowFirstColumn="0" w:lastRowLastColumn="0"/>
              <w:rPr>
                <w:lang w:val="en-GB"/>
              </w:rPr>
            </w:pPr>
            <w:r w:rsidRPr="00221992">
              <w:rPr>
                <w:rFonts w:ascii="Wingdings" w:eastAsia="Wingdings" w:hAnsi="Wingdings" w:cs="Wingdings"/>
                <w:color w:val="7F7F7F" w:themeColor="text1" w:themeTint="80"/>
                <w:sz w:val="20"/>
                <w:szCs w:val="20"/>
                <w:lang w:val="en-GB"/>
              </w:rPr>
              <w:t>þ</w:t>
            </w:r>
          </w:p>
        </w:tc>
      </w:tr>
      <w:tr w:rsidR="26AFC477" w:rsidRPr="00221992" w14:paraId="32353563" w14:textId="77777777" w:rsidTr="00A663B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95" w:type="dxa"/>
            <w:shd w:val="clear" w:color="auto" w:fill="0070C0"/>
          </w:tcPr>
          <w:p w14:paraId="4962035A" w14:textId="68EF486F" w:rsidR="26AFC477" w:rsidRPr="00221992" w:rsidRDefault="26AFC477" w:rsidP="006B512F">
            <w:pPr>
              <w:keepNext/>
              <w:keepLines/>
              <w:spacing w:after="0" w:line="240" w:lineRule="auto"/>
              <w:rPr>
                <w:lang w:val="en-GB"/>
              </w:rPr>
            </w:pPr>
            <w:r w:rsidRPr="00221992">
              <w:rPr>
                <w:rFonts w:ascii="Calibri" w:eastAsia="Calibri" w:hAnsi="Calibri" w:cs="Calibri"/>
                <w:sz w:val="20"/>
                <w:szCs w:val="20"/>
                <w:lang w:val="en-GB"/>
              </w:rPr>
              <w:t>Sweden</w:t>
            </w:r>
            <w:r w:rsidRPr="00221992">
              <w:rPr>
                <w:rFonts w:ascii="Calibri" w:eastAsia="Calibri" w:hAnsi="Calibri" w:cs="Calibri"/>
                <w:sz w:val="20"/>
                <w:szCs w:val="20"/>
                <w:vertAlign w:val="superscript"/>
                <w:lang w:val="en-GB"/>
              </w:rPr>
              <w:t>15</w:t>
            </w:r>
          </w:p>
        </w:tc>
        <w:tc>
          <w:tcPr>
            <w:tcW w:w="1395" w:type="dxa"/>
          </w:tcPr>
          <w:p w14:paraId="5983479E" w14:textId="74551BE1" w:rsidR="26AFC477" w:rsidRPr="00221992" w:rsidRDefault="26AFC477" w:rsidP="006B512F">
            <w:pPr>
              <w:keepNext/>
              <w:keepLines/>
              <w:spacing w:after="0" w:line="240" w:lineRule="auto"/>
              <w:jc w:val="center"/>
              <w:cnfStyle w:val="000000010000" w:firstRow="0" w:lastRow="0" w:firstColumn="0" w:lastColumn="0" w:oddVBand="0" w:evenVBand="0" w:oddHBand="0" w:evenHBand="1" w:firstRowFirstColumn="0" w:firstRowLastColumn="0" w:lastRowFirstColumn="0" w:lastRowLastColumn="0"/>
              <w:rPr>
                <w:lang w:val="en-GB"/>
              </w:rPr>
            </w:pPr>
            <w:r w:rsidRPr="00221992">
              <w:rPr>
                <w:rFonts w:ascii="Wingdings" w:eastAsia="Wingdings" w:hAnsi="Wingdings" w:cs="Wingdings"/>
                <w:color w:val="FFC000"/>
                <w:sz w:val="20"/>
                <w:szCs w:val="20"/>
                <w:lang w:val="en-GB"/>
              </w:rPr>
              <w:t>þ</w:t>
            </w:r>
            <w:r w:rsidRPr="00221992">
              <w:rPr>
                <w:rFonts w:eastAsia="Calibri Light" w:cs="Calibri Light"/>
                <w:color w:val="000000" w:themeColor="text1"/>
                <w:sz w:val="20"/>
                <w:szCs w:val="20"/>
                <w:lang w:val="en-GB"/>
              </w:rPr>
              <w:t xml:space="preserve"> </w:t>
            </w:r>
          </w:p>
        </w:tc>
        <w:tc>
          <w:tcPr>
            <w:tcW w:w="840" w:type="dxa"/>
          </w:tcPr>
          <w:p w14:paraId="21132FFB" w14:textId="19A512AF" w:rsidR="26AFC477" w:rsidRPr="00221992" w:rsidRDefault="008A6310" w:rsidP="006B512F">
            <w:pPr>
              <w:keepNext/>
              <w:keepLines/>
              <w:spacing w:after="0" w:line="240" w:lineRule="auto"/>
              <w:jc w:val="center"/>
              <w:cnfStyle w:val="000000010000" w:firstRow="0" w:lastRow="0" w:firstColumn="0" w:lastColumn="0" w:oddVBand="0" w:evenVBand="0" w:oddHBand="0" w:evenHBand="1" w:firstRowFirstColumn="0" w:firstRowLastColumn="0" w:lastRowFirstColumn="0" w:lastRowLastColumn="0"/>
              <w:rPr>
                <w:lang w:val="en-GB"/>
              </w:rPr>
            </w:pPr>
            <w:r>
              <w:rPr>
                <w:rFonts w:eastAsia="Calibri Light" w:cs="Calibri Light"/>
                <w:color w:val="000000" w:themeColor="text1"/>
                <w:sz w:val="20"/>
                <w:szCs w:val="20"/>
                <w:lang w:val="en-GB"/>
              </w:rPr>
              <w:t xml:space="preserve"> </w:t>
            </w:r>
          </w:p>
        </w:tc>
        <w:tc>
          <w:tcPr>
            <w:tcW w:w="1560" w:type="dxa"/>
          </w:tcPr>
          <w:p w14:paraId="3AFF77FB" w14:textId="07B36473" w:rsidR="26AFC477" w:rsidRPr="00221992" w:rsidRDefault="26AFC477" w:rsidP="006B512F">
            <w:pPr>
              <w:keepNext/>
              <w:keepLines/>
              <w:spacing w:after="0" w:line="240" w:lineRule="auto"/>
              <w:jc w:val="center"/>
              <w:cnfStyle w:val="000000010000" w:firstRow="0" w:lastRow="0" w:firstColumn="0" w:lastColumn="0" w:oddVBand="0" w:evenVBand="0" w:oddHBand="0" w:evenHBand="1" w:firstRowFirstColumn="0" w:firstRowLastColumn="0" w:lastRowFirstColumn="0" w:lastRowLastColumn="0"/>
              <w:rPr>
                <w:lang w:val="en-GB"/>
              </w:rPr>
            </w:pPr>
            <w:r w:rsidRPr="00221992">
              <w:rPr>
                <w:rFonts w:ascii="Wingdings" w:eastAsia="Wingdings" w:hAnsi="Wingdings" w:cs="Wingdings"/>
                <w:color w:val="FFC000"/>
                <w:sz w:val="20"/>
                <w:szCs w:val="20"/>
                <w:lang w:val="en-GB"/>
              </w:rPr>
              <w:t>þ</w:t>
            </w:r>
            <w:r w:rsidRPr="00221992">
              <w:rPr>
                <w:rFonts w:eastAsia="Calibri Light" w:cs="Calibri Light"/>
                <w:color w:val="000000" w:themeColor="text1"/>
                <w:sz w:val="20"/>
                <w:szCs w:val="20"/>
                <w:lang w:val="en-GB"/>
              </w:rPr>
              <w:t xml:space="preserve"> </w:t>
            </w:r>
          </w:p>
        </w:tc>
        <w:tc>
          <w:tcPr>
            <w:tcW w:w="1485" w:type="dxa"/>
          </w:tcPr>
          <w:p w14:paraId="4A9FB3B4" w14:textId="2D8E07AC" w:rsidR="26AFC477" w:rsidRPr="00221992" w:rsidRDefault="008A6310" w:rsidP="006B512F">
            <w:pPr>
              <w:keepNext/>
              <w:keepLines/>
              <w:spacing w:after="0" w:line="240" w:lineRule="auto"/>
              <w:jc w:val="center"/>
              <w:cnfStyle w:val="000000010000" w:firstRow="0" w:lastRow="0" w:firstColumn="0" w:lastColumn="0" w:oddVBand="0" w:evenVBand="0" w:oddHBand="0" w:evenHBand="1" w:firstRowFirstColumn="0" w:firstRowLastColumn="0" w:lastRowFirstColumn="0" w:lastRowLastColumn="0"/>
              <w:rPr>
                <w:lang w:val="en-GB"/>
              </w:rPr>
            </w:pPr>
            <w:r>
              <w:rPr>
                <w:rFonts w:eastAsia="Calibri Light" w:cs="Calibri Light"/>
                <w:color w:val="000000" w:themeColor="text1"/>
                <w:sz w:val="20"/>
                <w:szCs w:val="20"/>
                <w:lang w:val="en-GB"/>
              </w:rPr>
              <w:t xml:space="preserve"> </w:t>
            </w:r>
          </w:p>
        </w:tc>
        <w:tc>
          <w:tcPr>
            <w:tcW w:w="1755" w:type="dxa"/>
          </w:tcPr>
          <w:p w14:paraId="66854AD1" w14:textId="4970AB5D" w:rsidR="26AFC477" w:rsidRPr="00221992" w:rsidRDefault="26AFC477" w:rsidP="006B512F">
            <w:pPr>
              <w:keepNext/>
              <w:keepLines/>
              <w:spacing w:after="0" w:line="240" w:lineRule="auto"/>
              <w:jc w:val="center"/>
              <w:cnfStyle w:val="000000010000" w:firstRow="0" w:lastRow="0" w:firstColumn="0" w:lastColumn="0" w:oddVBand="0" w:evenVBand="0" w:oddHBand="0" w:evenHBand="1" w:firstRowFirstColumn="0" w:firstRowLastColumn="0" w:lastRowFirstColumn="0" w:lastRowLastColumn="0"/>
              <w:rPr>
                <w:lang w:val="en-GB"/>
              </w:rPr>
            </w:pPr>
            <w:r w:rsidRPr="00221992">
              <w:rPr>
                <w:rFonts w:ascii="Wingdings" w:eastAsia="Wingdings" w:hAnsi="Wingdings" w:cs="Wingdings"/>
                <w:color w:val="7F7F7F" w:themeColor="text1" w:themeTint="80"/>
                <w:sz w:val="20"/>
                <w:szCs w:val="20"/>
                <w:lang w:val="en-GB"/>
              </w:rPr>
              <w:t>þ</w:t>
            </w:r>
          </w:p>
        </w:tc>
      </w:tr>
      <w:tr w:rsidR="26AFC477" w:rsidRPr="00221992" w14:paraId="03855AC4" w14:textId="77777777" w:rsidTr="00A663BF">
        <w:tc>
          <w:tcPr>
            <w:cnfStyle w:val="001000000000" w:firstRow="0" w:lastRow="0" w:firstColumn="1" w:lastColumn="0" w:oddVBand="0" w:evenVBand="0" w:oddHBand="0" w:evenHBand="0" w:firstRowFirstColumn="0" w:firstRowLastColumn="0" w:lastRowFirstColumn="0" w:lastRowLastColumn="0"/>
            <w:tcW w:w="2295" w:type="dxa"/>
            <w:shd w:val="clear" w:color="auto" w:fill="0070C0"/>
          </w:tcPr>
          <w:p w14:paraId="71F79194" w14:textId="4C2D9600" w:rsidR="26AFC477" w:rsidRPr="00221992" w:rsidRDefault="26AFC477" w:rsidP="006B512F">
            <w:pPr>
              <w:keepNext/>
              <w:keepLines/>
              <w:spacing w:after="0" w:line="240" w:lineRule="auto"/>
              <w:rPr>
                <w:lang w:val="en-GB"/>
              </w:rPr>
            </w:pPr>
            <w:r w:rsidRPr="00221992">
              <w:rPr>
                <w:rFonts w:ascii="Calibri" w:eastAsia="Calibri" w:hAnsi="Calibri" w:cs="Calibri"/>
                <w:sz w:val="20"/>
                <w:szCs w:val="20"/>
                <w:lang w:val="en-GB"/>
              </w:rPr>
              <w:t>Taiwan</w:t>
            </w:r>
            <w:r w:rsidRPr="00221992">
              <w:rPr>
                <w:rFonts w:ascii="Calibri" w:eastAsia="Calibri" w:hAnsi="Calibri" w:cs="Calibri"/>
                <w:sz w:val="20"/>
                <w:szCs w:val="20"/>
                <w:vertAlign w:val="superscript"/>
                <w:lang w:val="en-GB"/>
              </w:rPr>
              <w:t>16</w:t>
            </w:r>
          </w:p>
        </w:tc>
        <w:tc>
          <w:tcPr>
            <w:tcW w:w="7035" w:type="dxa"/>
            <w:gridSpan w:val="5"/>
          </w:tcPr>
          <w:p w14:paraId="0B890F2D" w14:textId="59079C41" w:rsidR="26AFC477" w:rsidRPr="00221992" w:rsidRDefault="26AFC477" w:rsidP="006B512F">
            <w:pPr>
              <w:keepNext/>
              <w:keepLines/>
              <w:spacing w:after="0" w:line="240" w:lineRule="auto"/>
              <w:jc w:val="center"/>
              <w:cnfStyle w:val="000000000000" w:firstRow="0" w:lastRow="0" w:firstColumn="0" w:lastColumn="0" w:oddVBand="0" w:evenVBand="0" w:oddHBand="0" w:evenHBand="0" w:firstRowFirstColumn="0" w:firstRowLastColumn="0" w:lastRowFirstColumn="0" w:lastRowLastColumn="0"/>
              <w:rPr>
                <w:lang w:val="en-GB"/>
              </w:rPr>
            </w:pPr>
            <w:r w:rsidRPr="00221992">
              <w:rPr>
                <w:rFonts w:eastAsia="Calibri Light" w:cs="Calibri Light"/>
                <w:color w:val="000000" w:themeColor="text1"/>
                <w:sz w:val="20"/>
                <w:szCs w:val="20"/>
                <w:lang w:val="en-GB"/>
              </w:rPr>
              <w:t xml:space="preserve">in development </w:t>
            </w:r>
          </w:p>
        </w:tc>
      </w:tr>
      <w:tr w:rsidR="26AFC477" w:rsidRPr="00221992" w14:paraId="4C5520FC" w14:textId="77777777" w:rsidTr="00A663B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95" w:type="dxa"/>
            <w:shd w:val="clear" w:color="auto" w:fill="0070C0"/>
          </w:tcPr>
          <w:p w14:paraId="380B5ADF" w14:textId="5051F721" w:rsidR="26AFC477" w:rsidRPr="00221992" w:rsidRDefault="26AFC477" w:rsidP="006B512F">
            <w:pPr>
              <w:keepNext/>
              <w:keepLines/>
              <w:spacing w:after="0" w:line="240" w:lineRule="auto"/>
              <w:rPr>
                <w:lang w:val="en-GB"/>
              </w:rPr>
            </w:pPr>
            <w:r w:rsidRPr="00221992">
              <w:rPr>
                <w:rFonts w:ascii="Calibri" w:eastAsia="Calibri" w:hAnsi="Calibri" w:cs="Calibri"/>
                <w:sz w:val="20"/>
                <w:szCs w:val="20"/>
                <w:lang w:val="en-GB"/>
              </w:rPr>
              <w:t>England</w:t>
            </w:r>
            <w:r w:rsidR="00CE3935" w:rsidRPr="00221992">
              <w:rPr>
                <w:rFonts w:ascii="Calibri" w:eastAsia="Calibri" w:hAnsi="Calibri" w:cs="Calibri"/>
                <w:sz w:val="20"/>
                <w:szCs w:val="20"/>
                <w:lang w:val="en-GB"/>
              </w:rPr>
              <w:t>/</w:t>
            </w:r>
            <w:r w:rsidRPr="00221992">
              <w:rPr>
                <w:rFonts w:ascii="Calibri" w:eastAsia="Calibri" w:hAnsi="Calibri" w:cs="Calibri"/>
                <w:sz w:val="20"/>
                <w:szCs w:val="20"/>
                <w:lang w:val="en-GB"/>
              </w:rPr>
              <w:t>Wales</w:t>
            </w:r>
            <w:r w:rsidRPr="00221992">
              <w:rPr>
                <w:rFonts w:ascii="Calibri" w:eastAsia="Calibri" w:hAnsi="Calibri" w:cs="Calibri"/>
                <w:sz w:val="20"/>
                <w:szCs w:val="20"/>
                <w:vertAlign w:val="superscript"/>
                <w:lang w:val="en-GB"/>
              </w:rPr>
              <w:t>17</w:t>
            </w:r>
          </w:p>
        </w:tc>
        <w:tc>
          <w:tcPr>
            <w:tcW w:w="1395" w:type="dxa"/>
          </w:tcPr>
          <w:p w14:paraId="5316AE19" w14:textId="0BC6A9E1" w:rsidR="26AFC477" w:rsidRPr="00221992" w:rsidRDefault="008A6310" w:rsidP="006B512F">
            <w:pPr>
              <w:keepNext/>
              <w:keepLines/>
              <w:spacing w:after="0" w:line="240" w:lineRule="auto"/>
              <w:jc w:val="center"/>
              <w:cnfStyle w:val="000000010000" w:firstRow="0" w:lastRow="0" w:firstColumn="0" w:lastColumn="0" w:oddVBand="0" w:evenVBand="0" w:oddHBand="0" w:evenHBand="1" w:firstRowFirstColumn="0" w:firstRowLastColumn="0" w:lastRowFirstColumn="0" w:lastRowLastColumn="0"/>
              <w:rPr>
                <w:lang w:val="en-GB"/>
              </w:rPr>
            </w:pPr>
            <w:r>
              <w:rPr>
                <w:rFonts w:eastAsia="Calibri Light" w:cs="Calibri Light"/>
                <w:color w:val="000000" w:themeColor="text1"/>
                <w:sz w:val="20"/>
                <w:szCs w:val="20"/>
                <w:lang w:val="en-GB"/>
              </w:rPr>
              <w:t xml:space="preserve"> </w:t>
            </w:r>
          </w:p>
        </w:tc>
        <w:tc>
          <w:tcPr>
            <w:tcW w:w="840" w:type="dxa"/>
          </w:tcPr>
          <w:p w14:paraId="0938A5B5" w14:textId="627EFE07" w:rsidR="26AFC477" w:rsidRPr="00221992" w:rsidRDefault="008A6310" w:rsidP="006B512F">
            <w:pPr>
              <w:keepNext/>
              <w:keepLines/>
              <w:spacing w:after="0" w:line="240" w:lineRule="auto"/>
              <w:jc w:val="center"/>
              <w:cnfStyle w:val="000000010000" w:firstRow="0" w:lastRow="0" w:firstColumn="0" w:lastColumn="0" w:oddVBand="0" w:evenVBand="0" w:oddHBand="0" w:evenHBand="1" w:firstRowFirstColumn="0" w:firstRowLastColumn="0" w:lastRowFirstColumn="0" w:lastRowLastColumn="0"/>
              <w:rPr>
                <w:lang w:val="en-GB"/>
              </w:rPr>
            </w:pPr>
            <w:r>
              <w:rPr>
                <w:rFonts w:eastAsia="Calibri Light" w:cs="Calibri Light"/>
                <w:color w:val="000000" w:themeColor="text1"/>
                <w:sz w:val="20"/>
                <w:szCs w:val="20"/>
                <w:lang w:val="en-GB"/>
              </w:rPr>
              <w:t xml:space="preserve"> </w:t>
            </w:r>
          </w:p>
        </w:tc>
        <w:tc>
          <w:tcPr>
            <w:tcW w:w="1560" w:type="dxa"/>
          </w:tcPr>
          <w:p w14:paraId="7EB39526" w14:textId="18DDB965" w:rsidR="26AFC477" w:rsidRPr="00221992" w:rsidRDefault="008A6310" w:rsidP="006B512F">
            <w:pPr>
              <w:keepNext/>
              <w:keepLines/>
              <w:spacing w:after="0" w:line="240" w:lineRule="auto"/>
              <w:jc w:val="center"/>
              <w:cnfStyle w:val="000000010000" w:firstRow="0" w:lastRow="0" w:firstColumn="0" w:lastColumn="0" w:oddVBand="0" w:evenVBand="0" w:oddHBand="0" w:evenHBand="1" w:firstRowFirstColumn="0" w:firstRowLastColumn="0" w:lastRowFirstColumn="0" w:lastRowLastColumn="0"/>
              <w:rPr>
                <w:lang w:val="en-GB"/>
              </w:rPr>
            </w:pPr>
            <w:r>
              <w:rPr>
                <w:rFonts w:eastAsia="Calibri Light" w:cs="Calibri Light"/>
                <w:color w:val="000000" w:themeColor="text1"/>
                <w:sz w:val="20"/>
                <w:szCs w:val="20"/>
                <w:lang w:val="en-GB"/>
              </w:rPr>
              <w:t xml:space="preserve"> </w:t>
            </w:r>
          </w:p>
        </w:tc>
        <w:tc>
          <w:tcPr>
            <w:tcW w:w="1485" w:type="dxa"/>
          </w:tcPr>
          <w:p w14:paraId="52D94A35" w14:textId="36668CF8" w:rsidR="26AFC477" w:rsidRPr="00221992" w:rsidRDefault="26AFC477" w:rsidP="006B512F">
            <w:pPr>
              <w:keepNext/>
              <w:keepLines/>
              <w:spacing w:after="0" w:line="240" w:lineRule="auto"/>
              <w:jc w:val="center"/>
              <w:cnfStyle w:val="000000010000" w:firstRow="0" w:lastRow="0" w:firstColumn="0" w:lastColumn="0" w:oddVBand="0" w:evenVBand="0" w:oddHBand="0" w:evenHBand="1" w:firstRowFirstColumn="0" w:firstRowLastColumn="0" w:lastRowFirstColumn="0" w:lastRowLastColumn="0"/>
              <w:rPr>
                <w:lang w:val="en-GB"/>
              </w:rPr>
            </w:pPr>
            <w:r w:rsidRPr="00221992">
              <w:rPr>
                <w:rFonts w:ascii="Wingdings" w:eastAsia="Wingdings" w:hAnsi="Wingdings" w:cs="Wingdings"/>
                <w:color w:val="FFC000"/>
                <w:sz w:val="20"/>
                <w:szCs w:val="20"/>
                <w:lang w:val="en-GB"/>
              </w:rPr>
              <w:t>þ</w:t>
            </w:r>
          </w:p>
        </w:tc>
        <w:tc>
          <w:tcPr>
            <w:tcW w:w="1755" w:type="dxa"/>
          </w:tcPr>
          <w:p w14:paraId="728D1935" w14:textId="1815A0B3" w:rsidR="26AFC477" w:rsidRPr="00221992" w:rsidRDefault="26AFC477" w:rsidP="006B512F">
            <w:pPr>
              <w:keepNext/>
              <w:keepLines/>
              <w:spacing w:after="0" w:line="240" w:lineRule="auto"/>
              <w:jc w:val="center"/>
              <w:cnfStyle w:val="000000010000" w:firstRow="0" w:lastRow="0" w:firstColumn="0" w:lastColumn="0" w:oddVBand="0" w:evenVBand="0" w:oddHBand="0" w:evenHBand="1" w:firstRowFirstColumn="0" w:firstRowLastColumn="0" w:lastRowFirstColumn="0" w:lastRowLastColumn="0"/>
              <w:rPr>
                <w:lang w:val="en-GB"/>
              </w:rPr>
            </w:pPr>
            <w:r w:rsidRPr="00221992">
              <w:rPr>
                <w:rFonts w:ascii="Wingdings" w:eastAsia="Wingdings" w:hAnsi="Wingdings" w:cs="Wingdings"/>
                <w:color w:val="FFC000"/>
                <w:sz w:val="20"/>
                <w:szCs w:val="20"/>
                <w:lang w:val="en-GB"/>
              </w:rPr>
              <w:t>þ</w:t>
            </w:r>
          </w:p>
        </w:tc>
      </w:tr>
      <w:tr w:rsidR="26AFC477" w:rsidRPr="00221992" w14:paraId="52AFC93B" w14:textId="77777777" w:rsidTr="00A663BF">
        <w:tc>
          <w:tcPr>
            <w:cnfStyle w:val="001000000000" w:firstRow="0" w:lastRow="0" w:firstColumn="1" w:lastColumn="0" w:oddVBand="0" w:evenVBand="0" w:oddHBand="0" w:evenHBand="0" w:firstRowFirstColumn="0" w:firstRowLastColumn="0" w:lastRowFirstColumn="0" w:lastRowLastColumn="0"/>
            <w:tcW w:w="2295" w:type="dxa"/>
            <w:shd w:val="clear" w:color="auto" w:fill="0070C0"/>
          </w:tcPr>
          <w:p w14:paraId="32BF59CE" w14:textId="7CE964AA" w:rsidR="26AFC477" w:rsidRPr="00221992" w:rsidRDefault="26AFC477" w:rsidP="006B512F">
            <w:pPr>
              <w:keepNext/>
              <w:keepLines/>
              <w:spacing w:after="0" w:line="240" w:lineRule="auto"/>
              <w:rPr>
                <w:lang w:val="en-GB"/>
              </w:rPr>
            </w:pPr>
            <w:r w:rsidRPr="00221992">
              <w:rPr>
                <w:rFonts w:ascii="Calibri" w:eastAsia="Calibri" w:hAnsi="Calibri" w:cs="Calibri"/>
                <w:sz w:val="20"/>
                <w:szCs w:val="20"/>
                <w:lang w:val="en-GB"/>
              </w:rPr>
              <w:t>UK (Scotland)</w:t>
            </w:r>
            <w:r w:rsidRPr="00221992">
              <w:rPr>
                <w:rFonts w:ascii="Calibri" w:eastAsia="Calibri" w:hAnsi="Calibri" w:cs="Calibri"/>
                <w:sz w:val="20"/>
                <w:szCs w:val="20"/>
                <w:vertAlign w:val="superscript"/>
                <w:lang w:val="en-GB"/>
              </w:rPr>
              <w:t>18</w:t>
            </w:r>
          </w:p>
        </w:tc>
        <w:tc>
          <w:tcPr>
            <w:tcW w:w="7035" w:type="dxa"/>
            <w:gridSpan w:val="5"/>
          </w:tcPr>
          <w:p w14:paraId="0442CF3E" w14:textId="66BBA949" w:rsidR="26AFC477" w:rsidRPr="00221992" w:rsidRDefault="26AFC477" w:rsidP="00140F18">
            <w:pPr>
              <w:keepNext/>
              <w:keepLines/>
              <w:spacing w:after="0" w:line="240" w:lineRule="auto"/>
              <w:jc w:val="center"/>
              <w:cnfStyle w:val="000000000000" w:firstRow="0" w:lastRow="0" w:firstColumn="0" w:lastColumn="0" w:oddVBand="0" w:evenVBand="0" w:oddHBand="0" w:evenHBand="0" w:firstRowFirstColumn="0" w:firstRowLastColumn="0" w:lastRowFirstColumn="0" w:lastRowLastColumn="0"/>
              <w:rPr>
                <w:lang w:val="en-GB"/>
              </w:rPr>
            </w:pPr>
            <w:r w:rsidRPr="00221992">
              <w:rPr>
                <w:rFonts w:eastAsia="Calibri Light" w:cs="Calibri Light"/>
                <w:color w:val="000000" w:themeColor="text1"/>
                <w:sz w:val="20"/>
                <w:szCs w:val="20"/>
                <w:lang w:val="en-GB"/>
              </w:rPr>
              <w:t>NI</w:t>
            </w:r>
          </w:p>
        </w:tc>
      </w:tr>
      <w:tr w:rsidR="26AFC477" w:rsidRPr="00221992" w14:paraId="799EF6CE" w14:textId="77777777" w:rsidTr="00A663B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95" w:type="dxa"/>
            <w:shd w:val="clear" w:color="auto" w:fill="0070C0"/>
          </w:tcPr>
          <w:p w14:paraId="7D74D155" w14:textId="0B1B6D25" w:rsidR="26AFC477" w:rsidRPr="00221992" w:rsidRDefault="26AFC477" w:rsidP="006B512F">
            <w:pPr>
              <w:keepNext/>
              <w:keepLines/>
              <w:spacing w:after="0" w:line="240" w:lineRule="auto"/>
              <w:rPr>
                <w:lang w:val="en-GB"/>
              </w:rPr>
            </w:pPr>
            <w:r w:rsidRPr="00221992">
              <w:rPr>
                <w:rFonts w:ascii="Calibri" w:eastAsia="Calibri" w:hAnsi="Calibri" w:cs="Calibri"/>
                <w:b/>
                <w:sz w:val="20"/>
                <w:szCs w:val="20"/>
                <w:lang w:val="en-GB"/>
              </w:rPr>
              <w:t>TOTAL</w:t>
            </w:r>
            <w:r w:rsidRPr="00221992">
              <w:rPr>
                <w:rFonts w:ascii="Calibri" w:eastAsia="Calibri" w:hAnsi="Calibri" w:cs="Calibri"/>
                <w:b/>
                <w:color w:val="D13438"/>
                <w:sz w:val="20"/>
                <w:szCs w:val="20"/>
                <w:lang w:val="en-GB"/>
              </w:rPr>
              <w:t xml:space="preserve"> </w:t>
            </w:r>
          </w:p>
        </w:tc>
        <w:tc>
          <w:tcPr>
            <w:tcW w:w="1395" w:type="dxa"/>
          </w:tcPr>
          <w:p w14:paraId="792BBD05" w14:textId="67F8AA9D" w:rsidR="26AFC477" w:rsidRPr="000C66C0" w:rsidRDefault="26AFC477" w:rsidP="006B512F">
            <w:pPr>
              <w:keepNext/>
              <w:keepLines/>
              <w:spacing w:after="0" w:line="240" w:lineRule="auto"/>
              <w:jc w:val="center"/>
              <w:cnfStyle w:val="000000010000" w:firstRow="0" w:lastRow="0" w:firstColumn="0" w:lastColumn="0" w:oddVBand="0" w:evenVBand="0" w:oddHBand="0" w:evenHBand="1" w:firstRowFirstColumn="0" w:firstRowLastColumn="0" w:lastRowFirstColumn="0" w:lastRowLastColumn="0"/>
              <w:rPr>
                <w:rFonts w:ascii="Calibri" w:hAnsi="Calibri" w:cs="Calibri"/>
                <w:b/>
                <w:lang w:val="en-GB"/>
              </w:rPr>
            </w:pPr>
            <w:r w:rsidRPr="000C66C0">
              <w:rPr>
                <w:rFonts w:ascii="Calibri" w:eastAsia="Calibri Light" w:hAnsi="Calibri" w:cs="Calibri"/>
                <w:b/>
                <w:color w:val="000000" w:themeColor="text1"/>
                <w:sz w:val="20"/>
                <w:szCs w:val="20"/>
                <w:lang w:val="en-GB"/>
              </w:rPr>
              <w:t xml:space="preserve">6 </w:t>
            </w:r>
          </w:p>
        </w:tc>
        <w:tc>
          <w:tcPr>
            <w:tcW w:w="840" w:type="dxa"/>
          </w:tcPr>
          <w:p w14:paraId="6707B38D" w14:textId="670E0AA9" w:rsidR="26AFC477" w:rsidRPr="000C66C0" w:rsidRDefault="26AFC477" w:rsidP="006B512F">
            <w:pPr>
              <w:keepNext/>
              <w:keepLines/>
              <w:spacing w:after="0" w:line="240" w:lineRule="auto"/>
              <w:jc w:val="center"/>
              <w:cnfStyle w:val="000000010000" w:firstRow="0" w:lastRow="0" w:firstColumn="0" w:lastColumn="0" w:oddVBand="0" w:evenVBand="0" w:oddHBand="0" w:evenHBand="1" w:firstRowFirstColumn="0" w:firstRowLastColumn="0" w:lastRowFirstColumn="0" w:lastRowLastColumn="0"/>
              <w:rPr>
                <w:rFonts w:ascii="Calibri" w:hAnsi="Calibri" w:cs="Calibri"/>
                <w:b/>
                <w:lang w:val="en-GB"/>
              </w:rPr>
            </w:pPr>
            <w:r w:rsidRPr="000C66C0">
              <w:rPr>
                <w:rFonts w:ascii="Calibri" w:eastAsia="Calibri Light" w:hAnsi="Calibri" w:cs="Calibri"/>
                <w:b/>
                <w:color w:val="000000" w:themeColor="text1"/>
                <w:sz w:val="20"/>
                <w:szCs w:val="20"/>
                <w:lang w:val="en-GB"/>
              </w:rPr>
              <w:t xml:space="preserve">5 </w:t>
            </w:r>
          </w:p>
        </w:tc>
        <w:tc>
          <w:tcPr>
            <w:tcW w:w="1560" w:type="dxa"/>
          </w:tcPr>
          <w:p w14:paraId="0F36F8C0" w14:textId="7E9DE7A2" w:rsidR="26AFC477" w:rsidRPr="000C66C0" w:rsidRDefault="26AFC477" w:rsidP="006B512F">
            <w:pPr>
              <w:keepNext/>
              <w:keepLines/>
              <w:spacing w:after="0" w:line="240" w:lineRule="auto"/>
              <w:jc w:val="center"/>
              <w:cnfStyle w:val="000000010000" w:firstRow="0" w:lastRow="0" w:firstColumn="0" w:lastColumn="0" w:oddVBand="0" w:evenVBand="0" w:oddHBand="0" w:evenHBand="1" w:firstRowFirstColumn="0" w:firstRowLastColumn="0" w:lastRowFirstColumn="0" w:lastRowLastColumn="0"/>
              <w:rPr>
                <w:rFonts w:ascii="Calibri" w:hAnsi="Calibri" w:cs="Calibri"/>
                <w:b/>
                <w:lang w:val="en-GB"/>
              </w:rPr>
            </w:pPr>
            <w:r w:rsidRPr="000C66C0">
              <w:rPr>
                <w:rFonts w:ascii="Calibri" w:eastAsia="Calibri Light" w:hAnsi="Calibri" w:cs="Calibri"/>
                <w:b/>
                <w:color w:val="000000" w:themeColor="text1"/>
                <w:sz w:val="20"/>
                <w:szCs w:val="20"/>
                <w:lang w:val="en-GB"/>
              </w:rPr>
              <w:t xml:space="preserve">4 </w:t>
            </w:r>
          </w:p>
        </w:tc>
        <w:tc>
          <w:tcPr>
            <w:tcW w:w="1485" w:type="dxa"/>
          </w:tcPr>
          <w:p w14:paraId="183167B2" w14:textId="1D54FBA9" w:rsidR="26AFC477" w:rsidRPr="000C66C0" w:rsidRDefault="26AFC477" w:rsidP="006B512F">
            <w:pPr>
              <w:keepNext/>
              <w:keepLines/>
              <w:spacing w:after="0" w:line="240" w:lineRule="auto"/>
              <w:jc w:val="center"/>
              <w:cnfStyle w:val="000000010000" w:firstRow="0" w:lastRow="0" w:firstColumn="0" w:lastColumn="0" w:oddVBand="0" w:evenVBand="0" w:oddHBand="0" w:evenHBand="1" w:firstRowFirstColumn="0" w:firstRowLastColumn="0" w:lastRowFirstColumn="0" w:lastRowLastColumn="0"/>
              <w:rPr>
                <w:rFonts w:ascii="Calibri" w:hAnsi="Calibri" w:cs="Calibri"/>
                <w:b/>
                <w:lang w:val="en-GB"/>
              </w:rPr>
            </w:pPr>
            <w:r w:rsidRPr="000C66C0">
              <w:rPr>
                <w:rFonts w:ascii="Calibri" w:eastAsia="Calibri Light" w:hAnsi="Calibri" w:cs="Calibri"/>
                <w:b/>
                <w:color w:val="000000" w:themeColor="text1"/>
                <w:sz w:val="20"/>
                <w:szCs w:val="20"/>
                <w:lang w:val="en-GB"/>
              </w:rPr>
              <w:t xml:space="preserve">2 </w:t>
            </w:r>
          </w:p>
        </w:tc>
        <w:tc>
          <w:tcPr>
            <w:tcW w:w="1755" w:type="dxa"/>
          </w:tcPr>
          <w:p w14:paraId="4C3F705A" w14:textId="417E3BD1" w:rsidR="26AFC477" w:rsidRPr="000C66C0" w:rsidRDefault="26AFC477" w:rsidP="006B512F">
            <w:pPr>
              <w:keepNext/>
              <w:keepLines/>
              <w:spacing w:after="0" w:line="240" w:lineRule="auto"/>
              <w:jc w:val="center"/>
              <w:cnfStyle w:val="000000010000" w:firstRow="0" w:lastRow="0" w:firstColumn="0" w:lastColumn="0" w:oddVBand="0" w:evenVBand="0" w:oddHBand="0" w:evenHBand="1" w:firstRowFirstColumn="0" w:firstRowLastColumn="0" w:lastRowFirstColumn="0" w:lastRowLastColumn="0"/>
              <w:rPr>
                <w:rFonts w:ascii="Calibri" w:hAnsi="Calibri" w:cs="Calibri"/>
                <w:b/>
                <w:lang w:val="en-GB"/>
              </w:rPr>
            </w:pPr>
            <w:r w:rsidRPr="000C66C0">
              <w:rPr>
                <w:rFonts w:ascii="Calibri" w:eastAsia="Calibri Light" w:hAnsi="Calibri" w:cs="Calibri"/>
                <w:b/>
                <w:color w:val="000000" w:themeColor="text1"/>
                <w:sz w:val="20"/>
                <w:szCs w:val="20"/>
                <w:lang w:val="en-GB"/>
              </w:rPr>
              <w:t>6</w:t>
            </w:r>
          </w:p>
        </w:tc>
      </w:tr>
    </w:tbl>
    <w:p w14:paraId="55C9391E" w14:textId="45B45614" w:rsidR="00E1579A" w:rsidRPr="00221992" w:rsidRDefault="00E1579A" w:rsidP="00533CF1">
      <w:pPr>
        <w:pStyle w:val="TableNotes"/>
        <w:rPr>
          <w:lang w:val="en-GB" w:eastAsia="en-GB"/>
        </w:rPr>
      </w:pPr>
      <w:r w:rsidRPr="00221992">
        <w:rPr>
          <w:lang w:val="en-GB" w:eastAsia="en-GB"/>
        </w:rPr>
        <w:t>Acronyms:</w:t>
      </w:r>
      <w:r w:rsidR="007B428E" w:rsidRPr="00221992">
        <w:rPr>
          <w:lang w:val="en-GB" w:eastAsia="en-GB"/>
        </w:rPr>
        <w:tab/>
      </w:r>
      <w:r w:rsidRPr="00221992">
        <w:rPr>
          <w:lang w:val="en-GB" w:eastAsia="en-GB"/>
        </w:rPr>
        <w:t>PbR</w:t>
      </w:r>
      <w:r w:rsidR="007B428E" w:rsidRPr="00221992">
        <w:rPr>
          <w:lang w:val="en-GB" w:eastAsia="en-GB"/>
        </w:rPr>
        <w:t>,</w:t>
      </w:r>
      <w:r w:rsidRPr="00221992">
        <w:rPr>
          <w:lang w:val="en-GB" w:eastAsia="en-GB"/>
        </w:rPr>
        <w:t xml:space="preserve"> </w:t>
      </w:r>
      <w:r w:rsidR="004908BD">
        <w:rPr>
          <w:lang w:val="en-GB" w:eastAsia="en-GB"/>
        </w:rPr>
        <w:t>p</w:t>
      </w:r>
      <w:r w:rsidR="005B5688">
        <w:rPr>
          <w:lang w:val="en-GB" w:eastAsia="en-GB"/>
        </w:rPr>
        <w:t>ayment</w:t>
      </w:r>
      <w:r w:rsidR="005B5688" w:rsidRPr="00221992">
        <w:rPr>
          <w:lang w:val="en-GB" w:eastAsia="en-GB"/>
        </w:rPr>
        <w:t xml:space="preserve"> </w:t>
      </w:r>
      <w:r w:rsidRPr="00221992">
        <w:rPr>
          <w:lang w:val="en-GB" w:eastAsia="en-GB"/>
        </w:rPr>
        <w:t>by result; CED</w:t>
      </w:r>
      <w:r w:rsidR="007B428E" w:rsidRPr="00221992">
        <w:rPr>
          <w:lang w:val="en-GB" w:eastAsia="en-GB"/>
        </w:rPr>
        <w:t xml:space="preserve">, </w:t>
      </w:r>
      <w:r w:rsidRPr="00221992">
        <w:rPr>
          <w:lang w:val="en-GB" w:eastAsia="en-GB"/>
        </w:rPr>
        <w:t>coverage with evidence development; CT</w:t>
      </w:r>
      <w:r w:rsidR="007B428E" w:rsidRPr="00221992">
        <w:rPr>
          <w:lang w:val="en-GB" w:eastAsia="en-GB"/>
        </w:rPr>
        <w:t>C,</w:t>
      </w:r>
      <w:r w:rsidRPr="00221992">
        <w:rPr>
          <w:lang w:val="en-GB" w:eastAsia="en-GB"/>
        </w:rPr>
        <w:t xml:space="preserve"> conditional treatment continuation; NI</w:t>
      </w:r>
      <w:r w:rsidR="007B428E" w:rsidRPr="00221992">
        <w:rPr>
          <w:lang w:val="en-GB" w:eastAsia="en-GB"/>
        </w:rPr>
        <w:t>,</w:t>
      </w:r>
      <w:r w:rsidRPr="00221992">
        <w:rPr>
          <w:lang w:val="en-GB" w:eastAsia="en-GB"/>
        </w:rPr>
        <w:t xml:space="preserve"> none identified. </w:t>
      </w:r>
    </w:p>
    <w:p w14:paraId="198B2D34" w14:textId="6FA370DE" w:rsidR="008F3A26" w:rsidRPr="00221992" w:rsidRDefault="00E1579A" w:rsidP="00533CF1">
      <w:pPr>
        <w:pStyle w:val="TableNotes"/>
        <w:rPr>
          <w:lang w:val="en-GB" w:eastAsia="en-GB"/>
        </w:rPr>
      </w:pPr>
      <w:r w:rsidRPr="00221992">
        <w:rPr>
          <w:lang w:val="en-GB" w:eastAsia="en-GB"/>
        </w:rPr>
        <w:t>Notes:</w:t>
      </w:r>
      <w:r w:rsidRPr="00221992">
        <w:rPr>
          <w:lang w:val="en-GB" w:eastAsia="en-GB"/>
        </w:rPr>
        <w:tab/>
        <w:t xml:space="preserve">1. Australia: Population CED is well documented </w:t>
      </w:r>
      <w:r w:rsidRPr="00221992">
        <w:rPr>
          <w:lang w:val="en-GB" w:eastAsia="en-GB"/>
        </w:rPr>
        <w:fldChar w:fldCharType="begin"/>
      </w:r>
      <w:r w:rsidR="005A67DD" w:rsidRPr="00221992">
        <w:rPr>
          <w:lang w:val="en-GB" w:eastAsia="en-GB"/>
        </w:rPr>
        <w:instrText xml:space="preserve"> ADDIN EN.CITE &lt;EndNote&gt;&lt;Cite&gt;&lt;Author&gt;Wenzl M&lt;/Author&gt;&lt;Year&gt;2019&lt;/Year&gt;&lt;RecNum&gt;477&lt;/RecNum&gt;&lt;DisplayText&gt;[6]&lt;/DisplayText&gt;&lt;record&gt;&lt;rec-number&gt;477&lt;/rec-number&gt;&lt;foreign-keys&gt;&lt;key app="EN" db-id="wzwwsfxe4peesxef95cxvrwjxts9rreasarf" timestamp="1692654671"&gt;477&lt;/key&gt;&lt;/foreign-keys&gt;&lt;ref-type name="Book Section"&gt;5&lt;/ref-type&gt;&lt;contributors&gt;&lt;authors&gt;&lt;author&gt;Wenzl M,&lt;/author&gt;&lt;author&gt;Chapman S.&lt;/author&gt;&lt;/authors&gt;&lt;/contributors&gt;&lt;titles&gt;&lt;title&gt;Performance-Based Managed Entry Agreements For New Medicines in OECD Countries and EU Member States: How They Work and Possible Improvements Going Forward.&lt;/title&gt;&lt;secondary-title&gt;OECD Health Working Papers,&lt;/secondary-title&gt;&lt;/titles&gt;&lt;volume&gt;No. 115&lt;/volume&gt;&lt;dates&gt;&lt;year&gt;2019&lt;/year&gt;&lt;/dates&gt;&lt;pub-location&gt;Paris&lt;/pub-location&gt;&lt;publisher&gt;OECD Publishing&lt;/publisher&gt;&lt;urls&gt;&lt;related-urls&gt;&lt;url&gt;https://www.oecd-ilibrary.org/content/paper/6e5e4c0f-en&lt;/url&gt;&lt;/related-urls&gt;&lt;/urls&gt;&lt;electronic-resource-num&gt;doi:https://doi.org/10.1787/6e5e4c0f-en&lt;/electronic-resource-num&gt;&lt;/record&gt;&lt;/Cite&gt;&lt;/EndNote&gt;</w:instrText>
      </w:r>
      <w:r w:rsidRPr="00221992">
        <w:rPr>
          <w:lang w:val="en-GB" w:eastAsia="en-GB"/>
        </w:rPr>
        <w:fldChar w:fldCharType="separate"/>
      </w:r>
      <w:r w:rsidR="005A67DD" w:rsidRPr="00221992">
        <w:rPr>
          <w:noProof/>
          <w:lang w:val="en-GB" w:eastAsia="en-GB"/>
        </w:rPr>
        <w:t>[6]</w:t>
      </w:r>
      <w:r w:rsidRPr="00221992">
        <w:rPr>
          <w:lang w:val="en-GB" w:eastAsia="en-GB"/>
        </w:rPr>
        <w:fldChar w:fldCharType="end"/>
      </w:r>
      <w:r w:rsidR="00314973" w:rsidRPr="00221992">
        <w:rPr>
          <w:lang w:val="en-GB" w:eastAsia="en-GB"/>
        </w:rPr>
        <w:t xml:space="preserve">. </w:t>
      </w:r>
      <w:r w:rsidRPr="00221992">
        <w:rPr>
          <w:lang w:val="en-GB" w:eastAsia="en-GB"/>
        </w:rPr>
        <w:t xml:space="preserve">Expert opinion (Australian Department of Health HTA review reference committee 14th August 2023) noted patient level CED was also in place for CAR-T therapies; CTC was confirmed for treatments between 2005 and 2017. </w:t>
      </w:r>
      <w:r w:rsidRPr="00221992">
        <w:rPr>
          <w:lang w:val="en-GB" w:eastAsia="en-GB"/>
        </w:rPr>
        <w:fldChar w:fldCharType="begin"/>
      </w:r>
      <w:r w:rsidR="00E5265C">
        <w:rPr>
          <w:lang w:val="en-GB" w:eastAsia="en-GB"/>
        </w:rPr>
        <w:instrText xml:space="preserve"> ADDIN EN.CITE &lt;EndNote&gt;&lt;Cite&gt;&lt;Author&gt;Carlson&lt;/Author&gt;&lt;Year&gt;2017&lt;/Year&gt;&lt;RecNum&gt;75&lt;/RecNum&gt;&lt;DisplayText&gt;[213]&lt;/DisplayText&gt;&lt;record&gt;&lt;rec-number&gt;75&lt;/rec-number&gt;&lt;foreign-keys&gt;&lt;key app="EN" db-id="wzwwsfxe4peesxef95cxvrwjxts9rreasarf" timestamp="1692654670"&gt;75&lt;/key&gt;&lt;/foreign-keys&gt;&lt;ref-type name="Journal Article"&gt;17&lt;/ref-type&gt;&lt;contributors&gt;&lt;authors&gt;&lt;author&gt;Carlson, Josh J.&lt;/author&gt;&lt;author&gt;Chen, Shuxian&lt;/author&gt;&lt;author&gt;Garrison, Louis P.&lt;/author&gt;&lt;/authors&gt;&lt;/contributors&gt;&lt;titles&gt;&lt;title&gt;Performance-Based Risk-Sharing Arrangements: An Updated International Review&lt;/title&gt;&lt;secondary-title&gt;PharmacoEconomics&lt;/secondary-title&gt;&lt;/titles&gt;&lt;periodical&gt;&lt;full-title&gt;PharmacoEconomics&lt;/full-title&gt;&lt;/periodical&gt;&lt;pages&gt;1063-1072&lt;/pages&gt;&lt;volume&gt;35&lt;/volume&gt;&lt;number&gt;10&lt;/number&gt;&lt;dates&gt;&lt;year&gt;2017&lt;/year&gt;&lt;pub-dates&gt;&lt;date&gt;2017/10/01&lt;/date&gt;&lt;/pub-dates&gt;&lt;/dates&gt;&lt;isbn&gt;1179-2027&lt;/isbn&gt;&lt;urls&gt;&lt;related-urls&gt;&lt;url&gt;https://doi.org/10.1007/s40273-017-0535-z&lt;/url&gt;&lt;url&gt;https://link.springer.com/article/10.1007/s40273-017-0535-z&lt;/url&gt;&lt;/related-urls&gt;&lt;/urls&gt;&lt;electronic-resource-num&gt;10.1007/s40273-017-0535-z&lt;/electronic-resource-num&gt;&lt;/record&gt;&lt;/Cite&gt;&lt;/EndNote&gt;</w:instrText>
      </w:r>
      <w:r w:rsidRPr="00221992">
        <w:rPr>
          <w:lang w:val="en-GB" w:eastAsia="en-GB"/>
        </w:rPr>
        <w:fldChar w:fldCharType="separate"/>
      </w:r>
      <w:r w:rsidR="00E5265C">
        <w:rPr>
          <w:noProof/>
          <w:lang w:val="en-GB" w:eastAsia="en-GB"/>
        </w:rPr>
        <w:t>[213]</w:t>
      </w:r>
      <w:r w:rsidRPr="00221992">
        <w:rPr>
          <w:lang w:val="en-GB" w:eastAsia="en-GB"/>
        </w:rPr>
        <w:fldChar w:fldCharType="end"/>
      </w:r>
      <w:r w:rsidRPr="00221992">
        <w:rPr>
          <w:lang w:val="en-GB" w:eastAsia="en-GB"/>
        </w:rPr>
        <w:t xml:space="preserve">; Confirms use of CTC and some with prices attached (PbR) </w:t>
      </w:r>
      <w:r w:rsidRPr="00221992">
        <w:rPr>
          <w:lang w:val="en-GB" w:eastAsia="en-GB"/>
        </w:rPr>
        <w:fldChar w:fldCharType="begin">
          <w:fldData xml:space="preserve">PEVuZE5vdGU+PENpdGU+PEF1dGhvcj5WaXRyeTwvQXV0aG9yPjxZZWFyPjIwMTQ8L1llYXI+PFJl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</w:fldData>
        </w:fldChar>
      </w:r>
      <w:r w:rsidR="00E5265C">
        <w:rPr>
          <w:lang w:val="en-GB" w:eastAsia="en-GB"/>
        </w:rPr>
        <w:instrText xml:space="preserve"> ADDIN EN.CITE </w:instrText>
      </w:r>
      <w:r w:rsidR="00E5265C">
        <w:rPr>
          <w:lang w:val="en-GB" w:eastAsia="en-GB"/>
        </w:rPr>
        <w:fldChar w:fldCharType="begin">
          <w:fldData xml:space="preserve">PEVuZE5vdGU+PENpdGU+PEF1dGhvcj5WaXRyeTwvQXV0aG9yPjxZZWFyPjIwMTQ8L1llYXI+PFJl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</w:fldData>
        </w:fldChar>
      </w:r>
      <w:r w:rsidR="00E5265C">
        <w:rPr>
          <w:lang w:val="en-GB" w:eastAsia="en-GB"/>
        </w:rPr>
        <w:instrText xml:space="preserve"> ADDIN EN.CITE.DATA </w:instrText>
      </w:r>
      <w:r w:rsidR="00E5265C">
        <w:rPr>
          <w:lang w:val="en-GB" w:eastAsia="en-GB"/>
        </w:rPr>
      </w:r>
      <w:r w:rsidR="00E5265C">
        <w:rPr>
          <w:lang w:val="en-GB" w:eastAsia="en-GB"/>
        </w:rPr>
        <w:fldChar w:fldCharType="end"/>
      </w:r>
      <w:r w:rsidRPr="00221992">
        <w:rPr>
          <w:lang w:val="en-GB" w:eastAsia="en-GB"/>
        </w:rPr>
      </w:r>
      <w:r w:rsidRPr="00221992">
        <w:rPr>
          <w:lang w:val="en-GB" w:eastAsia="en-GB"/>
        </w:rPr>
        <w:fldChar w:fldCharType="separate"/>
      </w:r>
      <w:r w:rsidR="00E5265C">
        <w:rPr>
          <w:noProof/>
          <w:lang w:val="en-GB" w:eastAsia="en-GB"/>
        </w:rPr>
        <w:t>[202]</w:t>
      </w:r>
      <w:r w:rsidRPr="00221992">
        <w:rPr>
          <w:lang w:val="en-GB" w:eastAsia="en-GB"/>
        </w:rPr>
        <w:fldChar w:fldCharType="end"/>
      </w:r>
      <w:r w:rsidRPr="00221992">
        <w:rPr>
          <w:lang w:val="en-GB" w:eastAsia="en-GB"/>
        </w:rPr>
        <w:t>. 2. Belgium: CED agreements common, PbR also used</w:t>
      </w:r>
      <w:r w:rsidR="00314973" w:rsidRPr="00221992">
        <w:rPr>
          <w:lang w:val="en-GB" w:eastAsia="en-GB"/>
        </w:rPr>
        <w:t>,</w:t>
      </w:r>
      <w:r w:rsidRPr="00221992">
        <w:rPr>
          <w:lang w:val="en-GB" w:eastAsia="en-GB"/>
        </w:rPr>
        <w:t xml:space="preserve"> p</w:t>
      </w:r>
      <w:r w:rsidR="00887B55" w:rsidRPr="00221992">
        <w:rPr>
          <w:lang w:val="en-GB" w:eastAsia="en-GB"/>
        </w:rPr>
        <w:t>.</w:t>
      </w:r>
      <w:r w:rsidRPr="00221992">
        <w:rPr>
          <w:lang w:val="en-GB" w:eastAsia="en-GB"/>
        </w:rPr>
        <w:t xml:space="preserve"> 22 </w:t>
      </w:r>
      <w:r w:rsidRPr="00221992">
        <w:rPr>
          <w:lang w:val="en-GB" w:eastAsia="en-GB"/>
        </w:rPr>
        <w:fldChar w:fldCharType="begin"/>
      </w:r>
      <w:r w:rsidR="005A67DD" w:rsidRPr="00221992">
        <w:rPr>
          <w:lang w:val="en-GB" w:eastAsia="en-GB"/>
        </w:rPr>
        <w:instrText xml:space="preserve"> ADDIN EN.CITE &lt;EndNote&gt;&lt;Cite&gt;&lt;Author&gt;Wenzl M&lt;/Author&gt;&lt;Year&gt;2019&lt;/Year&gt;&lt;RecNum&gt;477&lt;/RecNum&gt;&lt;DisplayText&gt;[6]&lt;/DisplayText&gt;&lt;record&gt;&lt;rec-number&gt;477&lt;/rec-number&gt;&lt;foreign-keys&gt;&lt;key app="EN" db-id="wzwwsfxe4peesxef95cxvrwjxts9rreasarf" timestamp="1692654671"&gt;477&lt;/key&gt;&lt;/foreign-keys&gt;&lt;ref-type name="Book Section"&gt;5&lt;/ref-type&gt;&lt;contributors&gt;&lt;authors&gt;&lt;author&gt;Wenzl M,&lt;/author&gt;&lt;author&gt;Chapman S.&lt;/author&gt;&lt;/authors&gt;&lt;/contributors&gt;&lt;titles&gt;&lt;title&gt;Performance-Based Managed Entry Agreements For New Medicines in OECD Countries and EU Member States: How They Work and Possible Improvements Going Forward.&lt;/title&gt;&lt;secondary-title&gt;OECD Health Working Papers,&lt;/secondary-title&gt;&lt;/titles&gt;&lt;volume&gt;No. 115&lt;/volume&gt;&lt;dates&gt;&lt;year&gt;2019&lt;/year&gt;&lt;/dates&gt;&lt;pub-location&gt;Paris&lt;/pub-location&gt;&lt;publisher&gt;OECD Publishing&lt;/publisher&gt;&lt;urls&gt;&lt;related-urls&gt;&lt;url&gt;https://www.oecd-ilibrary.org/content/paper/6e5e4c0f-en&lt;/url&gt;&lt;/related-urls&gt;&lt;/urls&gt;&lt;electronic-resource-num&gt;doi:https://doi.org/10.1787/6e5e4c0f-en&lt;/electronic-resource-num&gt;&lt;/record&gt;&lt;/Cite&gt;&lt;/EndNote&gt;</w:instrText>
      </w:r>
      <w:r w:rsidRPr="00221992">
        <w:rPr>
          <w:lang w:val="en-GB" w:eastAsia="en-GB"/>
        </w:rPr>
        <w:fldChar w:fldCharType="separate"/>
      </w:r>
      <w:r w:rsidR="005A67DD" w:rsidRPr="00221992">
        <w:rPr>
          <w:noProof/>
          <w:lang w:val="en-GB" w:eastAsia="en-GB"/>
        </w:rPr>
        <w:t>[6]</w:t>
      </w:r>
      <w:r w:rsidRPr="00221992">
        <w:rPr>
          <w:lang w:val="en-GB" w:eastAsia="en-GB"/>
        </w:rPr>
        <w:fldChar w:fldCharType="end"/>
      </w:r>
      <w:r w:rsidRPr="00221992">
        <w:rPr>
          <w:lang w:val="en-GB" w:eastAsia="en-GB"/>
        </w:rPr>
        <w:t>. 3. Canada: Evidence from conference presentations indicates MEAs are in development</w:t>
      </w:r>
      <w:r w:rsidR="00887B55" w:rsidRPr="00221992">
        <w:rPr>
          <w:lang w:val="en-GB" w:eastAsia="en-GB"/>
        </w:rPr>
        <w:t xml:space="preserve"> </w:t>
      </w:r>
      <w:r w:rsidRPr="00221992">
        <w:rPr>
          <w:lang w:val="en-GB" w:eastAsia="en-GB"/>
        </w:rPr>
        <w:fldChar w:fldCharType="begin">
          <w:fldData xml:space="preserve">PEVuZE5vdGU+PENpdGU+PEF1dGhvcj5NY1BoYWlsPC9BdXRob3I+PFllYXI+MjAyMzwvWWVhcj48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==
</w:fldData>
        </w:fldChar>
      </w:r>
      <w:r w:rsidR="00E5265C">
        <w:rPr>
          <w:lang w:val="en-GB" w:eastAsia="en-GB"/>
        </w:rPr>
        <w:instrText xml:space="preserve"> ADDIN EN.CITE </w:instrText>
      </w:r>
      <w:r w:rsidR="00E5265C">
        <w:rPr>
          <w:lang w:val="en-GB" w:eastAsia="en-GB"/>
        </w:rPr>
        <w:fldChar w:fldCharType="begin">
          <w:fldData xml:space="preserve">PEVuZE5vdGU+PENpdGU+PEF1dGhvcj5NY1BoYWlsPC9BdXRob3I+PFllYXI+MjAyMzwvWWVhcj48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==
</w:fldData>
        </w:fldChar>
      </w:r>
      <w:r w:rsidR="00E5265C">
        <w:rPr>
          <w:lang w:val="en-GB" w:eastAsia="en-GB"/>
        </w:rPr>
        <w:instrText xml:space="preserve"> ADDIN EN.CITE.DATA </w:instrText>
      </w:r>
      <w:r w:rsidR="00E5265C">
        <w:rPr>
          <w:lang w:val="en-GB" w:eastAsia="en-GB"/>
        </w:rPr>
      </w:r>
      <w:r w:rsidR="00E5265C">
        <w:rPr>
          <w:lang w:val="en-GB" w:eastAsia="en-GB"/>
        </w:rPr>
        <w:fldChar w:fldCharType="end"/>
      </w:r>
      <w:r w:rsidRPr="00221992">
        <w:rPr>
          <w:lang w:val="en-GB" w:eastAsia="en-GB"/>
        </w:rPr>
      </w:r>
      <w:r w:rsidRPr="00221992">
        <w:rPr>
          <w:lang w:val="en-GB" w:eastAsia="en-GB"/>
        </w:rPr>
        <w:fldChar w:fldCharType="separate"/>
      </w:r>
      <w:r w:rsidR="00E5265C">
        <w:rPr>
          <w:noProof/>
          <w:lang w:val="en-GB" w:eastAsia="en-GB"/>
        </w:rPr>
        <w:t>[214]</w:t>
      </w:r>
      <w:r w:rsidRPr="00221992">
        <w:rPr>
          <w:lang w:val="en-GB" w:eastAsia="en-GB"/>
        </w:rPr>
        <w:fldChar w:fldCharType="end"/>
      </w:r>
      <w:r w:rsidRPr="00221992">
        <w:rPr>
          <w:lang w:val="en-GB" w:eastAsia="en-GB"/>
        </w:rPr>
        <w:t>. 4. France: Patient PbR and population level CED confirmed</w:t>
      </w:r>
      <w:r w:rsidR="00FE6AAA" w:rsidRPr="00221992">
        <w:rPr>
          <w:lang w:val="en-GB" w:eastAsia="en-GB"/>
        </w:rPr>
        <w:t>, p</w:t>
      </w:r>
      <w:r w:rsidR="00E417CA">
        <w:rPr>
          <w:lang w:val="en-GB" w:eastAsia="en-GB"/>
        </w:rPr>
        <w:t>.</w:t>
      </w:r>
      <w:r w:rsidR="00FE6AAA" w:rsidRPr="00221992">
        <w:rPr>
          <w:lang w:val="en-GB" w:eastAsia="en-GB"/>
        </w:rPr>
        <w:t xml:space="preserve"> 22</w:t>
      </w:r>
      <w:r w:rsidR="004A05E0">
        <w:rPr>
          <w:lang w:val="en-GB" w:eastAsia="en-GB"/>
        </w:rPr>
        <w:t xml:space="preserve"> </w:t>
      </w:r>
      <w:r w:rsidRPr="00221992">
        <w:rPr>
          <w:lang w:val="en-GB" w:eastAsia="en-GB"/>
        </w:rPr>
        <w:fldChar w:fldCharType="begin"/>
      </w:r>
      <w:r w:rsidR="005A67DD" w:rsidRPr="00221992">
        <w:rPr>
          <w:lang w:val="en-GB" w:eastAsia="en-GB"/>
        </w:rPr>
        <w:instrText xml:space="preserve"> ADDIN EN.CITE &lt;EndNote&gt;&lt;Cite&gt;&lt;Author&gt;Wenzl M&lt;/Author&gt;&lt;Year&gt;2019&lt;/Year&gt;&lt;RecNum&gt;477&lt;/RecNum&gt;&lt;DisplayText&gt;[6]&lt;/DisplayText&gt;&lt;record&gt;&lt;rec-number&gt;477&lt;/rec-number&gt;&lt;foreign-keys&gt;&lt;key app="EN" db-id="wzwwsfxe4peesxef95cxvrwjxts9rreasarf" timestamp="1692654671"&gt;477&lt;/key&gt;&lt;/foreign-keys&gt;&lt;ref-type name="Book Section"&gt;5&lt;/ref-type&gt;&lt;contributors&gt;&lt;authors&gt;&lt;author&gt;Wenzl M,&lt;/author&gt;&lt;author&gt;Chapman S.&lt;/author&gt;&lt;/authors&gt;&lt;/contributors&gt;&lt;titles&gt;&lt;title&gt;Performance-Based Managed Entry Agreements For New Medicines in OECD Countries and EU Member States: How They Work and Possible Improvements Going Forward.&lt;/title&gt;&lt;secondary-title&gt;OECD Health Working Papers,&lt;/secondary-title&gt;&lt;/titles&gt;&lt;volume&gt;No. 115&lt;/volume&gt;&lt;dates&gt;&lt;year&gt;2019&lt;/year&gt;&lt;/dates&gt;&lt;pub-location&gt;Paris&lt;/pub-location&gt;&lt;publisher&gt;OECD Publishing&lt;/publisher&gt;&lt;urls&gt;&lt;related-urls&gt;&lt;url&gt;https://www.oecd-ilibrary.org/content/paper/6e5e4c0f-en&lt;/url&gt;&lt;/related-urls&gt;&lt;/urls&gt;&lt;electronic-resource-num&gt;doi:https://doi.org/10.1787/6e5e4c0f-en&lt;/electronic-resource-num&gt;&lt;/record&gt;&lt;/Cite&gt;&lt;/EndNote&gt;</w:instrText>
      </w:r>
      <w:r w:rsidRPr="00221992">
        <w:rPr>
          <w:lang w:val="en-GB" w:eastAsia="en-GB"/>
        </w:rPr>
        <w:fldChar w:fldCharType="separate"/>
      </w:r>
      <w:r w:rsidR="005A67DD" w:rsidRPr="00221992">
        <w:rPr>
          <w:noProof/>
          <w:lang w:val="en-GB" w:eastAsia="en-GB"/>
        </w:rPr>
        <w:t>[6]</w:t>
      </w:r>
      <w:r w:rsidRPr="00221992">
        <w:rPr>
          <w:lang w:val="en-GB" w:eastAsia="en-GB"/>
        </w:rPr>
        <w:fldChar w:fldCharType="end"/>
      </w:r>
      <w:r w:rsidRPr="00221992">
        <w:rPr>
          <w:lang w:val="en-GB" w:eastAsia="en-GB"/>
        </w:rPr>
        <w:t xml:space="preserve">. 5. Germany: Based on interview with Germany HTA, ad-hoc CED may be used, for varying lengths, post the initial 12 months, and up to 10 years – with the focus being on benefit and financial impact, not cost-effectiveness </w:t>
      </w:r>
      <w:r w:rsidRPr="00221992">
        <w:rPr>
          <w:lang w:val="en-GB" w:eastAsia="en-GB"/>
        </w:rPr>
        <w:fldChar w:fldCharType="begin">
          <w:fldData xml:space="preserve">PEVuZE5vdGU+PENpdGU+PEF1dGhvcj5NY1BoYWlsPC9BdXRob3I+PFllYXI+MjAyMzwvWWVhcj48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</w:fldData>
        </w:fldChar>
      </w:r>
      <w:r w:rsidR="00E5265C">
        <w:rPr>
          <w:lang w:val="en-GB" w:eastAsia="en-GB"/>
        </w:rPr>
        <w:instrText xml:space="preserve"> ADDIN EN.CITE </w:instrText>
      </w:r>
      <w:r w:rsidR="00E5265C">
        <w:rPr>
          <w:lang w:val="en-GB" w:eastAsia="en-GB"/>
        </w:rPr>
        <w:fldChar w:fldCharType="begin">
          <w:fldData xml:space="preserve">PEVuZE5vdGU+PENpdGU+PEF1dGhvcj5NY1BoYWlsPC9BdXRob3I+PFllYXI+MjAyMzwvWWVhcj48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</w:fldData>
        </w:fldChar>
      </w:r>
      <w:r w:rsidR="00E5265C">
        <w:rPr>
          <w:lang w:val="en-GB" w:eastAsia="en-GB"/>
        </w:rPr>
        <w:instrText xml:space="preserve"> ADDIN EN.CITE.DATA </w:instrText>
      </w:r>
      <w:r w:rsidR="00E5265C">
        <w:rPr>
          <w:lang w:val="en-GB" w:eastAsia="en-GB"/>
        </w:rPr>
      </w:r>
      <w:r w:rsidR="00E5265C">
        <w:rPr>
          <w:lang w:val="en-GB" w:eastAsia="en-GB"/>
        </w:rPr>
        <w:fldChar w:fldCharType="end"/>
      </w:r>
      <w:r w:rsidRPr="00221992">
        <w:rPr>
          <w:lang w:val="en-GB" w:eastAsia="en-GB"/>
        </w:rPr>
      </w:r>
      <w:r w:rsidRPr="00221992">
        <w:rPr>
          <w:lang w:val="en-GB" w:eastAsia="en-GB"/>
        </w:rPr>
        <w:fldChar w:fldCharType="separate"/>
      </w:r>
      <w:r w:rsidR="00E5265C">
        <w:rPr>
          <w:noProof/>
          <w:lang w:val="en-GB" w:eastAsia="en-GB"/>
        </w:rPr>
        <w:t>[214-215]</w:t>
      </w:r>
      <w:r w:rsidRPr="00221992">
        <w:rPr>
          <w:lang w:val="en-GB" w:eastAsia="en-GB"/>
        </w:rPr>
        <w:fldChar w:fldCharType="end"/>
      </w:r>
      <w:r w:rsidRPr="00221992">
        <w:rPr>
          <w:lang w:val="en-GB" w:eastAsia="en-GB"/>
        </w:rPr>
        <w:t xml:space="preserve">. 6. Japan: Patient level CED is in place for medical services </w:t>
      </w:r>
      <w:r w:rsidRPr="00221992">
        <w:rPr>
          <w:lang w:val="en-GB" w:eastAsia="en-GB"/>
        </w:rPr>
        <w:fldChar w:fldCharType="begin"/>
      </w:r>
      <w:r w:rsidR="00E5265C">
        <w:rPr>
          <w:lang w:val="en-GB" w:eastAsia="en-GB"/>
        </w:rPr>
        <w:instrText xml:space="preserve"> ADDIN EN.CITE &lt;EndNote&gt;&lt;Cite&gt;&lt;Author&gt;Myung&lt;/Author&gt;&lt;Year&gt;2021&lt;/Year&gt;&lt;RecNum&gt;340&lt;/RecNum&gt;&lt;DisplayText&gt;[193]&lt;/DisplayText&gt;&lt;record&gt;&lt;rec-number&gt;340&lt;/rec-number&gt;&lt;foreign-keys&gt;&lt;key app="EN" db-id="wzwwsfxe4peesxef95cxvrwjxts9rreasarf" timestamp="1692654670"&gt;340&lt;/key&gt;&lt;/foreign-keys&gt;&lt;ref-type name="Journal Article"&gt;17&lt;/ref-type&gt;&lt;contributors&gt;&lt;authors&gt;&lt;author&gt;Myung, J. E.&lt;/author&gt;&lt;author&gt;Tanaka, Y.&lt;/author&gt;&lt;author&gt;Choi, H.&lt;/author&gt;&lt;author&gt;Strachan, L.&lt;/author&gt;&lt;author&gt;Watanuki, T.&lt;/author&gt;&lt;author&gt;Lee, J. H.&lt;/author&gt;&lt;author&gt;Hwang, H.&lt;/author&gt;&lt;author&gt;Lee, S. S.&lt;/author&gt;&lt;/authors&gt;&lt;/contributors&gt;&lt;auth-address&gt;Healthcare Economics and Government Affairs, Medtronic Korea Ltd., Seoul, South Korea&amp;#xD;Healthcare Economics and Government Affairs, Medtronic Japan Ltd., Tokyo, Japan&amp;#xD;Global Health Policy, Medtronic Australasia Pty Ltd., Sydney, Australia&lt;/auth-address&gt;&lt;titles&gt;&lt;title&gt;Coverage with Evidence Development Programs for Medical Technologies in Asia-Pacific Regions: A Case Study of Japan and South Korea&lt;/title&gt;&lt;secondary-title&gt;Jma j&lt;/secondary-title&gt;&lt;/titles&gt;&lt;periodical&gt;&lt;full-title&gt;Jma j&lt;/full-title&gt;&lt;/periodical&gt;&lt;pages&gt;311-20&lt;/pages&gt;&lt;volume&gt;4&lt;/volume&gt;&lt;number&gt;4&lt;/number&gt;&lt;edition&gt;20210913&lt;/edition&gt;&lt;dates&gt;&lt;year&gt;2021&lt;/year&gt;&lt;pub-dates&gt;&lt;date&gt;Oct 15&lt;/date&gt;&lt;/pub-dates&gt;&lt;/dates&gt;&lt;isbn&gt;2433-328X (Print)&lt;/isbn&gt;&lt;accession-num&gt;34796285&lt;/accession-num&gt;&lt;urls&gt;&lt;related-urls&gt;&lt;url&gt;https://www.ncbi.nlm.nih.gov/pmc/articles/PMC8580702/pdf/2433-3298-4-4-0311.pdf&lt;/url&gt;&lt;/related-urls&gt;&lt;/urls&gt;&lt;custom2&gt;PMC8580702&lt;/custom2&gt;&lt;electronic-resource-num&gt;10.31662/jmaj.2021-0011&lt;/electronic-resource-num&gt;&lt;language&gt;eng&lt;/language&gt;&lt;/record&gt;&lt;/Cite&gt;&lt;/EndNote&gt;</w:instrText>
      </w:r>
      <w:r w:rsidRPr="00221992">
        <w:rPr>
          <w:lang w:val="en-GB" w:eastAsia="en-GB"/>
        </w:rPr>
        <w:fldChar w:fldCharType="separate"/>
      </w:r>
      <w:r w:rsidR="00E5265C">
        <w:rPr>
          <w:noProof/>
          <w:lang w:val="en-GB" w:eastAsia="en-GB"/>
        </w:rPr>
        <w:t>[193]</w:t>
      </w:r>
      <w:r w:rsidRPr="00221992">
        <w:rPr>
          <w:lang w:val="en-GB" w:eastAsia="en-GB"/>
        </w:rPr>
        <w:fldChar w:fldCharType="end"/>
      </w:r>
      <w:r w:rsidRPr="000E3D78">
        <w:rPr>
          <w:lang w:val="es-CL" w:eastAsia="en-GB"/>
        </w:rPr>
        <w:t xml:space="preserve">. 7. Korea: </w:t>
      </w:r>
      <w:r w:rsidRPr="00221992">
        <w:rPr>
          <w:lang w:val="en-GB" w:eastAsia="en-GB"/>
        </w:rPr>
        <w:fldChar w:fldCharType="begin"/>
      </w:r>
      <w:r w:rsidR="005A67DD" w:rsidRPr="00FC4793">
        <w:rPr>
          <w:lang w:val="es-CL" w:eastAsia="en-GB"/>
        </w:rPr>
        <w:instrText xml:space="preserve"> ADDIN EN.CITE &lt;EndNote&gt;&lt;Cite&gt;&lt;Author&gt;Wenzl M&lt;/Author&gt;&lt;Year&gt;2019&lt;/Year&gt;&lt;RecNum&gt;477&lt;/RecNum&gt;&lt;DisplayText&gt;[6]&lt;/DisplayText&gt;&lt;record&gt;&lt;rec-number&gt;477&lt;/rec-number&gt;&lt;foreign-keys&gt;&lt;key app="EN" db-id="wzwwsfxe4peesxef95cxvrwjxts9rreasarf" timestamp="1692654671"&gt;477&lt;/key&gt;&lt;/foreign-keys&gt;&lt;ref-type name="Book Section"&gt;5&lt;/ref-type&gt;&lt;contributors&gt;&lt;authors&gt;&lt;author&gt;Wenzl M,&lt;/author&gt;&lt;author&gt;Chapman S.&lt;/author&gt;&lt;/authors&gt;&lt;/contributors&gt;&lt;titles&gt;&lt;title&gt;Performance-Based Managed Entry Agreements For New Medicines in OECD Countries and EU Member States: How They Work and Possible Improvements Going Forward.&lt;/title&gt;&lt;secondary-title&gt;OECD Health Working Papers,&lt;/secondary-title&gt;&lt;/titles&gt;&lt;volume&gt;No. 115&lt;/volume&gt;&lt;dates&gt;&lt;year&gt;2019&lt;/year&gt;&lt;/dates&gt;&lt;pub-location&gt;Paris&lt;/pub-location&gt;&lt;publisher&gt;OECD Publishing&lt;/publisher&gt;&lt;urls&gt;&lt;related-urls&gt;&lt;url&gt;https://www.oecd-ilibrary.org/content/paper/6e5e4c0f-en&lt;/url&gt;&lt;/related-urls&gt;&lt;/urls&gt;&lt;electronic-resource-num&gt;doi:https://doi.org/10.1787/6e5e4c0f-en&lt;/electronic-resource-num&gt;&lt;/record&gt;&lt;/Cite&gt;&lt;/EndNote&gt;</w:instrText>
      </w:r>
      <w:r w:rsidRPr="00221992">
        <w:rPr>
          <w:lang w:val="en-GB" w:eastAsia="en-GB"/>
        </w:rPr>
        <w:fldChar w:fldCharType="separate"/>
      </w:r>
      <w:r w:rsidR="005A67DD" w:rsidRPr="000E3D78">
        <w:rPr>
          <w:lang w:val="es-CL" w:eastAsia="en-GB"/>
        </w:rPr>
        <w:t>[6]</w:t>
      </w:r>
      <w:r w:rsidRPr="00221992">
        <w:rPr>
          <w:lang w:val="en-GB" w:eastAsia="en-GB"/>
        </w:rPr>
        <w:fldChar w:fldCharType="end"/>
      </w:r>
      <w:r w:rsidRPr="000E3D78">
        <w:rPr>
          <w:lang w:val="es-CL" w:eastAsia="en-GB"/>
        </w:rPr>
        <w:t xml:space="preserve"> p</w:t>
      </w:r>
      <w:r w:rsidR="00887B55" w:rsidRPr="000E3D78">
        <w:rPr>
          <w:lang w:val="es-CL" w:eastAsia="en-GB"/>
        </w:rPr>
        <w:t>.</w:t>
      </w:r>
      <w:r w:rsidRPr="000E3D78">
        <w:rPr>
          <w:lang w:val="es-CL" w:eastAsia="en-GB"/>
        </w:rPr>
        <w:t xml:space="preserve"> 16, </w:t>
      </w:r>
      <w:r w:rsidRPr="00221992">
        <w:rPr>
          <w:lang w:val="en-GB" w:eastAsia="en-GB"/>
        </w:rPr>
        <w:fldChar w:fldCharType="begin"/>
      </w:r>
      <w:r w:rsidR="00E5265C">
        <w:rPr>
          <w:lang w:val="en-GB" w:eastAsia="en-GB"/>
        </w:rPr>
        <w:instrText xml:space="preserve"> ADDIN EN.CITE &lt;EndNote&gt;&lt;Cite&gt;&lt;Author&gt;Myung&lt;/Author&gt;&lt;Year&gt;2021&lt;/Year&gt;&lt;RecNum&gt;340&lt;/RecNum&gt;&lt;DisplayText&gt;[193]&lt;/DisplayText&gt;&lt;record&gt;&lt;rec-number&gt;340&lt;/rec-number&gt;&lt;foreign-keys&gt;&lt;key app="EN" db-id="wzwwsfxe4peesxef95cxvrwjxts9rreasarf" timestamp="1692654670"&gt;340&lt;/key&gt;&lt;/foreign-keys&gt;&lt;ref-type name="Journal Article"&gt;17&lt;/ref-type&gt;&lt;contributors&gt;&lt;authors&gt;&lt;author&gt;Myung, J. E.&lt;/author&gt;&lt;author&gt;Tanaka, Y.&lt;/author&gt;&lt;author&gt;Choi, H.&lt;/author&gt;&lt;author&gt;Strachan, L.&lt;/author&gt;&lt;author&gt;Watanuki, T.&lt;/author&gt;&lt;author&gt;Lee, J. H.&lt;/author&gt;&lt;author&gt;Hwang, H.&lt;/author&gt;&lt;author&gt;Lee, S. S.&lt;/author&gt;&lt;/authors&gt;&lt;/contributors&gt;&lt;auth-address&gt;Healthcare Economics and Government Affairs, Medtronic Korea Ltd., Seoul, South Korea&amp;#xD;Healthcare Economics and Government Affairs, Medtronic Japan Ltd., Tokyo, Japan&amp;#xD;Global Health Policy, Medtronic Australasia Pty Ltd., Sydney, Australia&lt;/auth-address&gt;&lt;titles&gt;&lt;title&gt;Coverage with Evidence Development Programs for Medical Technologies in Asia-Pacific Regions: A Case Study of Japan and South Korea&lt;/title&gt;&lt;secondary-title&gt;Jma j&lt;/secondary-title&gt;&lt;/titles&gt;&lt;periodical&gt;&lt;full-title&gt;Jma j&lt;/full-title&gt;&lt;/periodical&gt;&lt;pages&gt;311-20&lt;/pages&gt;&lt;volume&gt;4&lt;/volume&gt;&lt;number&gt;4&lt;/number&gt;&lt;edition&gt;20210913&lt;/edition&gt;&lt;dates&gt;&lt;year&gt;2021&lt;/year&gt;&lt;pub-dates&gt;&lt;date&gt;Oct 15&lt;/date&gt;&lt;/pub-dates&gt;&lt;/dates&gt;&lt;isbn&gt;2433-328X (Print)&lt;/isbn&gt;&lt;accession-num&gt;34796285&lt;/accession-num&gt;&lt;urls&gt;&lt;related-urls&gt;&lt;url&gt;https://www.ncbi.nlm.nih.gov/pmc/articles/PMC8580702/pdf/2433-3298-4-4-0311.pdf&lt;/url&gt;&lt;/related-urls&gt;&lt;/urls&gt;&lt;custom2&gt;PMC8580702&lt;/custom2&gt;&lt;electronic-resource-num&gt;10.31662/jmaj.2021-0011&lt;/electronic-resource-num&gt;&lt;language&gt;eng&lt;/language&gt;&lt;/record&gt;&lt;/Cite&gt;&lt;/EndNote&gt;</w:instrText>
      </w:r>
      <w:r w:rsidRPr="00221992">
        <w:rPr>
          <w:lang w:val="en-GB" w:eastAsia="en-GB"/>
        </w:rPr>
        <w:fldChar w:fldCharType="separate"/>
      </w:r>
      <w:r w:rsidR="00E5265C">
        <w:rPr>
          <w:noProof/>
          <w:lang w:val="en-GB" w:eastAsia="en-GB"/>
        </w:rPr>
        <w:t>[193]</w:t>
      </w:r>
      <w:r w:rsidRPr="00221992">
        <w:rPr>
          <w:lang w:val="en-GB" w:eastAsia="en-GB"/>
        </w:rPr>
        <w:fldChar w:fldCharType="end"/>
      </w:r>
      <w:r w:rsidRPr="000E3D78">
        <w:rPr>
          <w:lang w:val="es-CL" w:eastAsia="en-GB"/>
        </w:rPr>
        <w:t xml:space="preserve">. </w:t>
      </w:r>
      <w:r w:rsidRPr="000C66C0">
        <w:rPr>
          <w:lang w:val="es-CL" w:eastAsia="en-GB"/>
        </w:rPr>
        <w:t>8. Italy:</w:t>
      </w:r>
      <w:r w:rsidR="008A6310" w:rsidRPr="000C66C0">
        <w:rPr>
          <w:lang w:val="es-CL" w:eastAsia="en-GB"/>
        </w:rPr>
        <w:t xml:space="preserve"> </w:t>
      </w:r>
      <w:r w:rsidRPr="000C66C0">
        <w:rPr>
          <w:lang w:val="es-CL" w:eastAsia="en-GB"/>
        </w:rPr>
        <w:t xml:space="preserve">refers to MEAs up until 2020. </w:t>
      </w:r>
      <w:r w:rsidRPr="00B82E90">
        <w:rPr>
          <w:lang w:eastAsia="en-GB"/>
        </w:rPr>
        <w:t xml:space="preserve">Italy is transitioning away from PbR to cost sharing and capping models </w:t>
      </w:r>
      <w:r w:rsidRPr="00221992">
        <w:rPr>
          <w:lang w:val="en-GB" w:eastAsia="en-GB"/>
        </w:rPr>
        <w:fldChar w:fldCharType="begin"/>
      </w:r>
      <w:r w:rsidR="00E5265C">
        <w:rPr>
          <w:lang w:val="en-GB" w:eastAsia="en-GB"/>
        </w:rPr>
        <w:instrText xml:space="preserve"> ADDIN EN.CITE &lt;EndNote&gt;&lt;Cite&gt;&lt;Author&gt;Xoxi&lt;/Author&gt;&lt;Year&gt;2022&lt;/Year&gt;&lt;RecNum&gt;487&lt;/RecNum&gt;&lt;DisplayText&gt;[210]&lt;/DisplayText&gt;&lt;record&gt;&lt;rec-number&gt;487&lt;/rec-number&gt;&lt;foreign-keys&gt;&lt;key app="EN" db-id="wzwwsfxe4peesxef95cxvrwjxts9rreasarf" timestamp="1692654671"&gt;487&lt;/key&gt;&lt;/foreign-keys&gt;&lt;ref-type name="Journal Article"&gt;17&lt;/ref-type&gt;&lt;contributors&gt;&lt;authors&gt;&lt;author&gt;Xoxi, E.&lt;/author&gt;&lt;author&gt;Rumi, F.&lt;/author&gt;&lt;author&gt;Kanavos, P.&lt;/author&gt;&lt;author&gt;Dauben, H. P.&lt;/author&gt;&lt;author&gt;Gutierrez-Ibarluzea, I.&lt;/author&gt;&lt;author&gt;Wong, O.&lt;/author&gt;&lt;author&gt;Rasi, G.&lt;/author&gt;&lt;author&gt;Cicchetti, A.&lt;/author&gt;&lt;/authors&gt;&lt;/contributors&gt;&lt;auth-address&gt;Postgraduate School of Health Economics and Management (ALTEMS), Università Cattolica del Sacro Cuore, Rome, Italy&amp;#xD;London School of Economics and Political Science, London, United Kingdom&amp;#xD;Rheinische Fachhochschule Köln, University for Applied Science, Köln, Germany&amp;#xD;BIOEF, Public Foundation of the Department of Health to Promote Innovation and Research in Euskadi, Bilbao, Spain&amp;#xD;Medi-Qualité Omega, Paris, France&amp;#xD;Clinical Trial Center, Policlinico Universitario Agostino Gemelli IRCCS, Rome, Italy&lt;/auth-address&gt;&lt;titles&gt;&lt;title&gt;A Proposal for Value-Based Managed Entry Agreements in an Environment of Technological Change and Economic Challenge for Publicly Funded Healthcare Systems&lt;/title&gt;&lt;secondary-title&gt;Front Med Technol&lt;/secondary-title&gt;&lt;/titles&gt;&lt;periodical&gt;&lt;full-title&gt;Front Med Technol&lt;/full-title&gt;&lt;/periodical&gt;&lt;volume&gt;4&lt;/volume&gt;&lt;edition&gt;20220616&lt;/edition&gt;&lt;dates&gt;&lt;year&gt;2022&lt;/year&gt;&lt;/dates&gt;&lt;accession-num&gt;35782579&lt;/accession-num&gt;&lt;urls&gt;&lt;/urls&gt;&lt;custom2&gt;PMC9245041&lt;/custom2&gt;&lt;electronic-resource-num&gt;10.3389/fmedt.2022.888404&lt;/electronic-resource-num&gt;&lt;language&gt;eng&lt;/language&gt;&lt;/record&gt;&lt;/Cite&gt;&lt;/EndNote&gt;</w:instrText>
      </w:r>
      <w:r w:rsidRPr="00221992">
        <w:rPr>
          <w:lang w:val="en-GB" w:eastAsia="en-GB"/>
        </w:rPr>
        <w:fldChar w:fldCharType="separate"/>
      </w:r>
      <w:r w:rsidR="00E5265C">
        <w:rPr>
          <w:noProof/>
          <w:lang w:val="en-GB" w:eastAsia="en-GB"/>
        </w:rPr>
        <w:t>[210]</w:t>
      </w:r>
      <w:r w:rsidRPr="00221992">
        <w:rPr>
          <w:lang w:val="en-GB" w:eastAsia="en-GB"/>
        </w:rPr>
        <w:fldChar w:fldCharType="end"/>
      </w:r>
      <w:r w:rsidRPr="00221992">
        <w:rPr>
          <w:lang w:val="en-GB" w:eastAsia="en-GB"/>
        </w:rPr>
        <w:t>. CTC was found in 2007</w:t>
      </w:r>
      <w:r w:rsidR="0074224A" w:rsidRPr="00221992">
        <w:rPr>
          <w:lang w:val="en-GB" w:eastAsia="en-GB"/>
        </w:rPr>
        <w:t>, p</w:t>
      </w:r>
      <w:r w:rsidR="00887B55" w:rsidRPr="00221992">
        <w:rPr>
          <w:lang w:val="en-GB" w:eastAsia="en-GB"/>
        </w:rPr>
        <w:t>.</w:t>
      </w:r>
      <w:r w:rsidR="0074224A" w:rsidRPr="00221992">
        <w:rPr>
          <w:lang w:val="en-GB" w:eastAsia="en-GB"/>
        </w:rPr>
        <w:t xml:space="preserve"> 16</w:t>
      </w:r>
      <w:r w:rsidRPr="00221992">
        <w:rPr>
          <w:lang w:val="en-GB" w:eastAsia="en-GB"/>
        </w:rPr>
        <w:t xml:space="preserve"> </w:t>
      </w:r>
      <w:r w:rsidRPr="00221992">
        <w:rPr>
          <w:lang w:val="en-GB" w:eastAsia="en-GB"/>
        </w:rPr>
        <w:fldChar w:fldCharType="begin"/>
      </w:r>
      <w:r w:rsidR="005A67DD" w:rsidRPr="00221992">
        <w:rPr>
          <w:lang w:val="en-GB" w:eastAsia="en-GB"/>
        </w:rPr>
        <w:instrText xml:space="preserve"> ADDIN EN.CITE &lt;EndNote&gt;&lt;Cite&gt;&lt;Author&gt;Wenzl M&lt;/Author&gt;&lt;Year&gt;2019&lt;/Year&gt;&lt;RecNum&gt;477&lt;/RecNum&gt;&lt;DisplayText&gt;[6]&lt;/DisplayText&gt;&lt;record&gt;&lt;rec-number&gt;477&lt;/rec-number&gt;&lt;foreign-keys&gt;&lt;key app="EN" db-id="wzwwsfxe4peesxef95cxvrwjxts9rreasarf" timestamp="1692654671"&gt;477&lt;/key&gt;&lt;/foreign-keys&gt;&lt;ref-type name="Book Section"&gt;5&lt;/ref-type&gt;&lt;contributors&gt;&lt;authors&gt;&lt;author&gt;Wenzl M,&lt;/author&gt;&lt;author&gt;Chapman S.&lt;/author&gt;&lt;/authors&gt;&lt;/contributors&gt;&lt;titles&gt;&lt;title&gt;Performance-Based Managed Entry Agreements For New Medicines in OECD Countries and EU Member States: How They Work and Possible Improvements Going Forward.&lt;/title&gt;&lt;secondary-title&gt;OECD Health Working Papers,&lt;/secondary-title&gt;&lt;/titles&gt;&lt;volume&gt;No. 115&lt;/volume&gt;&lt;dates&gt;&lt;year&gt;2019&lt;/year&gt;&lt;/dates&gt;&lt;pub-location&gt;Paris&lt;/pub-location&gt;&lt;publisher&gt;OECD Publishing&lt;/publisher&gt;&lt;urls&gt;&lt;related-urls&gt;&lt;url&gt;https://www.oecd-ilibrary.org/content/paper/6e5e4c0f-en&lt;/url&gt;&lt;/related-urls&gt;&lt;/urls&gt;&lt;electronic-resource-num&gt;doi:https://doi.org/10.1787/6e5e4c0f-en&lt;/electronic-resource-num&gt;&lt;/record&gt;&lt;/Cite&gt;&lt;/EndNote&gt;</w:instrText>
      </w:r>
      <w:r w:rsidRPr="00221992">
        <w:rPr>
          <w:lang w:val="en-GB" w:eastAsia="en-GB"/>
        </w:rPr>
        <w:fldChar w:fldCharType="separate"/>
      </w:r>
      <w:r w:rsidR="005A67DD" w:rsidRPr="00221992">
        <w:rPr>
          <w:noProof/>
          <w:lang w:val="en-GB" w:eastAsia="en-GB"/>
        </w:rPr>
        <w:t>[6]</w:t>
      </w:r>
      <w:r w:rsidRPr="00221992">
        <w:rPr>
          <w:lang w:val="en-GB" w:eastAsia="en-GB"/>
        </w:rPr>
        <w:fldChar w:fldCharType="end"/>
      </w:r>
      <w:r w:rsidRPr="00221992">
        <w:rPr>
          <w:lang w:val="en-GB" w:eastAsia="en-GB"/>
        </w:rPr>
        <w:t>. 9.</w:t>
      </w:r>
      <w:r w:rsidR="008A6310">
        <w:rPr>
          <w:lang w:val="en-GB" w:eastAsia="en-GB"/>
        </w:rPr>
        <w:t xml:space="preserve"> </w:t>
      </w:r>
      <w:r w:rsidRPr="00221992">
        <w:rPr>
          <w:lang w:val="en-GB" w:eastAsia="en-GB"/>
        </w:rPr>
        <w:t>Luxembourg: no specific framework identified; Reports usage of financial MEAs. RSA/discounts/ rebates are most common and are assumed if not verified elsewhere</w:t>
      </w:r>
      <w:r w:rsidR="00C65AF4" w:rsidRPr="00221992">
        <w:rPr>
          <w:lang w:val="en-GB" w:eastAsia="en-GB"/>
        </w:rPr>
        <w:t xml:space="preserve"> p</w:t>
      </w:r>
      <w:r w:rsidR="00887B55" w:rsidRPr="00221992">
        <w:rPr>
          <w:lang w:val="en-GB" w:eastAsia="en-GB"/>
        </w:rPr>
        <w:t>.</w:t>
      </w:r>
      <w:r w:rsidR="00C65AF4" w:rsidRPr="00221992">
        <w:rPr>
          <w:lang w:val="en-GB" w:eastAsia="en-GB"/>
        </w:rPr>
        <w:t xml:space="preserve"> 18</w:t>
      </w:r>
      <w:r w:rsidRPr="00221992">
        <w:rPr>
          <w:lang w:val="en-GB" w:eastAsia="en-GB"/>
        </w:rPr>
        <w:t xml:space="preserve"> </w:t>
      </w:r>
      <w:r w:rsidRPr="00221992">
        <w:rPr>
          <w:lang w:val="en-GB" w:eastAsia="en-GB"/>
        </w:rPr>
        <w:fldChar w:fldCharType="begin"/>
      </w:r>
      <w:r w:rsidR="005A67DD" w:rsidRPr="00221992">
        <w:rPr>
          <w:lang w:val="en-GB" w:eastAsia="en-GB"/>
        </w:rPr>
        <w:instrText xml:space="preserve"> ADDIN EN.CITE &lt;EndNote&gt;&lt;Cite&gt;&lt;Author&gt;Wenzl M&lt;/Author&gt;&lt;Year&gt;2019&lt;/Year&gt;&lt;RecNum&gt;477&lt;/RecNum&gt;&lt;DisplayText&gt;[6]&lt;/DisplayText&gt;&lt;record&gt;&lt;rec-number&gt;477&lt;/rec-number&gt;&lt;foreign-keys&gt;&lt;key app="EN" db-id="wzwwsfxe4peesxef95cxvrwjxts9rreasarf" timestamp="1692654671"&gt;477&lt;/key&gt;&lt;/foreign-keys&gt;&lt;ref-type name="Book Section"&gt;5&lt;/ref-type&gt;&lt;contributors&gt;&lt;authors&gt;&lt;author&gt;Wenzl M,&lt;/author&gt;&lt;author&gt;Chapman S.&lt;/author&gt;&lt;/authors&gt;&lt;/contributors&gt;&lt;titles&gt;&lt;title&gt;Performance-Based Managed Entry Agreements For New Medicines in OECD Countries and EU Member States: How They Work and Possible Improvements Going Forward.&lt;/title&gt;&lt;secondary-title&gt;OECD Health Working Papers,&lt;/secondary-title&gt;&lt;/titles&gt;&lt;volume&gt;No. 115&lt;/volume&gt;&lt;dates&gt;&lt;year&gt;2019&lt;/year&gt;&lt;/dates&gt;&lt;pub-location&gt;Paris&lt;/pub-location&gt;&lt;publisher&gt;OECD Publishing&lt;/publisher&gt;&lt;urls&gt;&lt;related-urls&gt;&lt;url&gt;https://www.oecd-ilibrary.org/content/paper/6e5e4c0f-en&lt;/url&gt;&lt;/related-urls&gt;&lt;/urls&gt;&lt;electronic-resource-num&gt;doi:https://doi.org/10.1787/6e5e4c0f-en&lt;/electronic-resource-num&gt;&lt;/record&gt;&lt;/Cite&gt;&lt;/EndNote&gt;</w:instrText>
      </w:r>
      <w:r w:rsidRPr="00221992">
        <w:rPr>
          <w:lang w:val="en-GB" w:eastAsia="en-GB"/>
        </w:rPr>
        <w:fldChar w:fldCharType="separate"/>
      </w:r>
      <w:r w:rsidR="005A67DD" w:rsidRPr="00221992">
        <w:rPr>
          <w:noProof/>
          <w:lang w:val="en-GB" w:eastAsia="en-GB"/>
        </w:rPr>
        <w:t>[6]</w:t>
      </w:r>
      <w:r w:rsidRPr="00221992">
        <w:rPr>
          <w:lang w:val="en-GB" w:eastAsia="en-GB"/>
        </w:rPr>
        <w:fldChar w:fldCharType="end"/>
      </w:r>
      <w:r w:rsidR="00642CC9" w:rsidRPr="00221992">
        <w:rPr>
          <w:lang w:val="en-GB" w:eastAsia="en-GB"/>
        </w:rPr>
        <w:t>.</w:t>
      </w:r>
      <w:r w:rsidRPr="00221992">
        <w:rPr>
          <w:lang w:val="en-GB" w:eastAsia="en-GB"/>
        </w:rPr>
        <w:t xml:space="preserve"> 10. The Netherlands had performance MEAs established only up until 2015.</w:t>
      </w:r>
      <w:r w:rsidR="008A6310">
        <w:rPr>
          <w:lang w:val="en-GB" w:eastAsia="en-GB"/>
        </w:rPr>
        <w:t xml:space="preserve"> </w:t>
      </w:r>
      <w:r w:rsidRPr="00221992">
        <w:rPr>
          <w:lang w:val="en-GB" w:eastAsia="en-GB"/>
        </w:rPr>
        <w:t xml:space="preserve">A new approach is currently being implemented </w:t>
      </w:r>
      <w:r w:rsidRPr="00221992">
        <w:rPr>
          <w:lang w:val="en-GB" w:eastAsia="en-GB"/>
        </w:rPr>
        <w:fldChar w:fldCharType="begin"/>
      </w:r>
      <w:r w:rsidR="005A67DD" w:rsidRPr="00221992">
        <w:rPr>
          <w:lang w:val="en-GB" w:eastAsia="en-GB"/>
        </w:rPr>
        <w:instrText xml:space="preserve"> ADDIN EN.CITE &lt;EndNote&gt;&lt;Cite&gt;&lt;Author&gt;Wenzl M&lt;/Author&gt;&lt;Year&gt;2019&lt;/Year&gt;&lt;RecNum&gt;477&lt;/RecNum&gt;&lt;DisplayText&gt;[6]&lt;/DisplayText&gt;&lt;record&gt;&lt;rec-number&gt;477&lt;/rec-number&gt;&lt;foreign-keys&gt;&lt;key app="EN" db-id="wzwwsfxe4peesxef95cxvrwjxts9rreasarf" timestamp="1692654671"&gt;477&lt;/key&gt;&lt;/foreign-keys&gt;&lt;ref-type name="Book Section"&gt;5&lt;/ref-type&gt;&lt;contributors&gt;&lt;authors&gt;&lt;author&gt;Wenzl M,&lt;/author&gt;&lt;author&gt;Chapman S.&lt;/author&gt;&lt;/authors&gt;&lt;/contributors&gt;&lt;titles&gt;&lt;title&gt;Performance-Based Managed Entry Agreements For New Medicines in OECD Countries and EU Member States: How They Work and Possible Improvements Going Forward.&lt;/title&gt;&lt;secondary-title&gt;OECD Health Working Papers,&lt;/secondary-title&gt;&lt;/titles&gt;&lt;volume&gt;No. 115&lt;/volume&gt;&lt;dates&gt;&lt;year&gt;2019&lt;/year&gt;&lt;/dates&gt;&lt;pub-location&gt;Paris&lt;/pub-location&gt;&lt;publisher&gt;OECD Publishing&lt;/publisher&gt;&lt;urls&gt;&lt;related-urls&gt;&lt;url&gt;https://www.oecd-ilibrary.org/content/paper/6e5e4c0f-en&lt;/url&gt;&lt;/related-urls&gt;&lt;/urls&gt;&lt;electronic-resource-num&gt;doi:https://doi.org/10.1787/6e5e4c0f-en&lt;/electronic-resource-num&gt;&lt;/record&gt;&lt;/Cite&gt;&lt;/EndNote&gt;</w:instrText>
      </w:r>
      <w:r w:rsidRPr="00221992">
        <w:rPr>
          <w:lang w:val="en-GB" w:eastAsia="en-GB"/>
        </w:rPr>
        <w:fldChar w:fldCharType="separate"/>
      </w:r>
      <w:r w:rsidR="005A67DD" w:rsidRPr="00221992">
        <w:rPr>
          <w:noProof/>
          <w:lang w:val="en-GB" w:eastAsia="en-GB"/>
        </w:rPr>
        <w:t>[6]</w:t>
      </w:r>
      <w:r w:rsidRPr="00221992">
        <w:rPr>
          <w:lang w:val="en-GB" w:eastAsia="en-GB"/>
        </w:rPr>
        <w:fldChar w:fldCharType="end"/>
      </w:r>
      <w:r w:rsidRPr="00221992">
        <w:rPr>
          <w:lang w:val="en-GB" w:eastAsia="en-GB"/>
        </w:rPr>
        <w:t xml:space="preserve">; </w:t>
      </w:r>
      <w:r w:rsidRPr="00221992">
        <w:rPr>
          <w:lang w:val="en-GB" w:eastAsia="en-GB"/>
        </w:rPr>
        <w:fldChar w:fldCharType="begin"/>
      </w:r>
      <w:r w:rsidR="00E5265C">
        <w:rPr>
          <w:lang w:val="en-GB" w:eastAsia="en-GB"/>
        </w:rPr>
        <w:instrText xml:space="preserve"> ADDIN EN.CITE &lt;EndNote&gt;&lt;Cite&gt;&lt;Author&gt;Pauwels&lt;/Author&gt;&lt;Year&gt;2017&lt;/Year&gt;&lt;RecNum&gt;376&lt;/RecNum&gt;&lt;DisplayText&gt;[203]&lt;/DisplayText&gt;&lt;record&gt;&lt;rec-number&gt;376&lt;/rec-number&gt;&lt;foreign-keys&gt;&lt;key app="EN" db-id="wzwwsfxe4peesxef95cxvrwjxts9rreasarf" timestamp="1692654670"&gt;376&lt;/key&gt;&lt;/foreign-keys&gt;&lt;ref-type name="Journal Article"&gt;17&lt;/ref-type&gt;&lt;contributors&gt;&lt;authors&gt;&lt;author&gt;Pauwels, K.&lt;/author&gt;&lt;author&gt;Huys, I.&lt;/author&gt;&lt;author&gt;Vogler, S.&lt;/author&gt;&lt;author&gt;Casteels, M.&lt;/author&gt;&lt;author&gt;Simoens, S.&lt;/author&gt;&lt;/authors&gt;&lt;/contributors&gt;&lt;auth-address&gt;Department Pharmaceutical and Pharmacological Sciences, KU LeuvenLeuven, Belgium&amp;#xD;World Health Organization Collaborating Centre for Pharmaceutical Pricing and Reimbursement Policies, Gesundheit Österreich GmbHVienna, Austria&lt;/auth-address&gt;&lt;titles&gt;&lt;title&gt;Managed Entry Agreements for Oncology Drugs: Lessons from the European Experience to Inform the Future&lt;/title&gt;&lt;secondary-title&gt;Front Pharmacol&lt;/secondary-title&gt;&lt;/titles&gt;&lt;periodical&gt;&lt;full-title&gt;Front Pharmacol&lt;/full-title&gt;&lt;/periodical&gt;&lt;volume&gt;8&lt;/volume&gt;&lt;edition&gt;20170404&lt;/edition&gt;&lt;dates&gt;&lt;year&gt;2017&lt;/year&gt;&lt;/dates&gt;&lt;accession-num&gt;28420990&lt;/accession-num&gt;&lt;urls&gt;&lt;/urls&gt;&lt;custom2&gt;PMC5378787&lt;/custom2&gt;&lt;electronic-resource-num&gt;10.3389/fphar.2017.00171&lt;/electronic-resource-num&gt;&lt;language&gt;eng&lt;/language&gt;&lt;/record&gt;&lt;/Cite&gt;&lt;/EndNote&gt;</w:instrText>
      </w:r>
      <w:r w:rsidRPr="00221992">
        <w:rPr>
          <w:lang w:val="en-GB" w:eastAsia="en-GB"/>
        </w:rPr>
        <w:fldChar w:fldCharType="separate"/>
      </w:r>
      <w:r w:rsidR="00E5265C">
        <w:rPr>
          <w:noProof/>
          <w:lang w:val="en-GB" w:eastAsia="en-GB"/>
        </w:rPr>
        <w:t>[203]</w:t>
      </w:r>
      <w:r w:rsidRPr="00221992">
        <w:rPr>
          <w:lang w:val="en-GB" w:eastAsia="en-GB"/>
        </w:rPr>
        <w:fldChar w:fldCharType="end"/>
      </w:r>
      <w:r w:rsidRPr="00221992">
        <w:rPr>
          <w:lang w:val="en-GB" w:eastAsia="en-GB"/>
        </w:rPr>
        <w:t>. 11.</w:t>
      </w:r>
      <w:r w:rsidR="00887B55" w:rsidRPr="00221992">
        <w:rPr>
          <w:lang w:val="en-GB" w:eastAsia="en-GB"/>
        </w:rPr>
        <w:t xml:space="preserve"> </w:t>
      </w:r>
      <w:r w:rsidRPr="00221992">
        <w:rPr>
          <w:lang w:val="en-GB" w:eastAsia="en-GB"/>
        </w:rPr>
        <w:t xml:space="preserve">New Zealand: Use active disinvestment processes, budgeting, tender and negotiation and reference pricing </w:t>
      </w:r>
      <w:r w:rsidRPr="00221992">
        <w:rPr>
          <w:lang w:val="en-GB" w:eastAsia="en-GB"/>
        </w:rPr>
        <w:fldChar w:fldCharType="begin">
          <w:fldData xml:space="preserve">PEVuZE5vdGU+PENpdGU+PEF1dGhvcj5QYXJraW5zb248L0F1dGhvcj48WWVhcj4yMDE1PC9ZZWFy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</w:fldData>
        </w:fldChar>
      </w:r>
      <w:r w:rsidR="00E5265C">
        <w:rPr>
          <w:lang w:val="en-GB" w:eastAsia="en-GB"/>
        </w:rPr>
        <w:instrText xml:space="preserve"> ADDIN EN.CITE </w:instrText>
      </w:r>
      <w:r w:rsidR="00E5265C">
        <w:rPr>
          <w:lang w:val="en-GB" w:eastAsia="en-GB"/>
        </w:rPr>
        <w:fldChar w:fldCharType="begin">
          <w:fldData xml:space="preserve">PEVuZE5vdGU+PENpdGU+PEF1dGhvcj5QYXJraW5zb248L0F1dGhvcj48WWVhcj4yMDE1PC9ZZWFy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</w:fldData>
        </w:fldChar>
      </w:r>
      <w:r w:rsidR="00E5265C">
        <w:rPr>
          <w:lang w:val="en-GB" w:eastAsia="en-GB"/>
        </w:rPr>
        <w:instrText xml:space="preserve"> ADDIN EN.CITE.DATA </w:instrText>
      </w:r>
      <w:r w:rsidR="00E5265C">
        <w:rPr>
          <w:lang w:val="en-GB" w:eastAsia="en-GB"/>
        </w:rPr>
      </w:r>
      <w:r w:rsidR="00E5265C">
        <w:rPr>
          <w:lang w:val="en-GB" w:eastAsia="en-GB"/>
        </w:rPr>
        <w:fldChar w:fldCharType="end"/>
      </w:r>
      <w:r w:rsidRPr="00221992">
        <w:rPr>
          <w:lang w:val="en-GB" w:eastAsia="en-GB"/>
        </w:rPr>
      </w:r>
      <w:r w:rsidRPr="00221992">
        <w:rPr>
          <w:lang w:val="en-GB" w:eastAsia="en-GB"/>
        </w:rPr>
        <w:fldChar w:fldCharType="separate"/>
      </w:r>
      <w:r w:rsidR="00E5265C">
        <w:rPr>
          <w:noProof/>
          <w:lang w:val="en-GB" w:eastAsia="en-GB"/>
        </w:rPr>
        <w:t>[216-217]</w:t>
      </w:r>
      <w:r w:rsidRPr="00221992">
        <w:rPr>
          <w:lang w:val="en-GB" w:eastAsia="en-GB"/>
        </w:rPr>
        <w:fldChar w:fldCharType="end"/>
      </w:r>
      <w:r w:rsidRPr="00221992">
        <w:rPr>
          <w:lang w:val="en-GB" w:eastAsia="en-GB"/>
        </w:rPr>
        <w:t>. 12.</w:t>
      </w:r>
      <w:r w:rsidR="003D4E4B" w:rsidRPr="00221992">
        <w:rPr>
          <w:lang w:val="en-GB" w:eastAsia="en-GB"/>
        </w:rPr>
        <w:t xml:space="preserve"> </w:t>
      </w:r>
      <w:r w:rsidRPr="00221992">
        <w:rPr>
          <w:lang w:val="en-GB" w:eastAsia="en-GB"/>
        </w:rPr>
        <w:t xml:space="preserve">Norway: No MEAs identified. 13. Singapore: Consultation with Singapore confirms not currently using performance MEAs </w:t>
      </w:r>
      <w:r w:rsidRPr="00221992">
        <w:rPr>
          <w:lang w:val="en-GB" w:eastAsia="en-GB"/>
        </w:rPr>
        <w:fldChar w:fldCharType="begin"/>
      </w:r>
      <w:r w:rsidR="00E5265C">
        <w:rPr>
          <w:lang w:val="en-GB" w:eastAsia="en-GB"/>
        </w:rPr>
        <w:instrText xml:space="preserve"> ADDIN EN.CITE &lt;EndNote&gt;&lt;Cite&gt;&lt;Author&gt;Ng&lt;/Author&gt;&lt;Year&gt;2023&lt;/Year&gt;&lt;RecNum&gt;347&lt;/RecNum&gt;&lt;DisplayText&gt;[205]&lt;/DisplayText&gt;&lt;record&gt;&lt;rec-number&gt;347&lt;/rec-number&gt;&lt;foreign-keys&gt;&lt;key app="EN" db-id="wzwwsfxe4peesxef95cxvrwjxts9rreasarf" timestamp="1692654670"&gt;347&lt;/key&gt;&lt;/foreign-keys&gt;&lt;ref-type name="Interview"&gt;64&lt;/ref-type&gt;&lt;contributors&gt;&lt;authors&gt;&lt;author&gt;Ng, Kwong Hoe,&lt;/author&gt;&lt;/authors&gt;&lt;secondary-authors&gt;&lt;author&gt;De Abreu Laurenco, R.&lt;/author&gt;&lt;author&gt;Manipis K,&lt;/author&gt;&lt;/secondary-authors&gt;&lt;/contributors&gt;&lt;titles&gt;&lt;title&gt;HTA processes for funding, pricing and reimbursement in Singapore&lt;/title&gt;&lt;/titles&gt;&lt;dates&gt;&lt;year&gt;2023&lt;/year&gt;&lt;/dates&gt;&lt;urls&gt;&lt;/urls&gt;&lt;/record&gt;&lt;/Cite&gt;&lt;/EndNote&gt;</w:instrText>
      </w:r>
      <w:r w:rsidRPr="00221992">
        <w:rPr>
          <w:lang w:val="en-GB" w:eastAsia="en-GB"/>
        </w:rPr>
        <w:fldChar w:fldCharType="separate"/>
      </w:r>
      <w:r w:rsidR="00E5265C">
        <w:rPr>
          <w:noProof/>
          <w:lang w:val="en-GB" w:eastAsia="en-GB"/>
        </w:rPr>
        <w:t>[205]</w:t>
      </w:r>
      <w:r w:rsidRPr="00221992">
        <w:rPr>
          <w:lang w:val="en-GB" w:eastAsia="en-GB"/>
        </w:rPr>
        <w:fldChar w:fldCharType="end"/>
      </w:r>
      <w:r w:rsidRPr="00221992">
        <w:rPr>
          <w:lang w:val="en-GB" w:eastAsia="en-GB"/>
        </w:rPr>
        <w:t>. 14. Spain. PbR confirmed</w:t>
      </w:r>
      <w:r w:rsidR="009A0B88" w:rsidRPr="00221992">
        <w:rPr>
          <w:lang w:val="en-GB" w:eastAsia="en-GB"/>
        </w:rPr>
        <w:t>, p</w:t>
      </w:r>
      <w:r w:rsidR="003D4E4B" w:rsidRPr="00221992">
        <w:rPr>
          <w:lang w:val="en-GB" w:eastAsia="en-GB"/>
        </w:rPr>
        <w:t xml:space="preserve">. </w:t>
      </w:r>
      <w:r w:rsidR="009A0B88" w:rsidRPr="00221992">
        <w:rPr>
          <w:lang w:val="en-GB" w:eastAsia="en-GB"/>
        </w:rPr>
        <w:t>22</w:t>
      </w:r>
      <w:r w:rsidR="003D4E4B" w:rsidRPr="00221992">
        <w:rPr>
          <w:lang w:val="en-GB" w:eastAsia="en-GB"/>
        </w:rPr>
        <w:t xml:space="preserve"> </w:t>
      </w:r>
      <w:r w:rsidRPr="00221992">
        <w:rPr>
          <w:lang w:val="en-GB" w:eastAsia="en-GB"/>
        </w:rPr>
        <w:fldChar w:fldCharType="begin"/>
      </w:r>
      <w:r w:rsidR="005A67DD" w:rsidRPr="00221992">
        <w:rPr>
          <w:lang w:val="en-GB" w:eastAsia="en-GB"/>
        </w:rPr>
        <w:instrText xml:space="preserve"> ADDIN EN.CITE &lt;EndNote&gt;&lt;Cite&gt;&lt;Author&gt;Wenzl M&lt;/Author&gt;&lt;Year&gt;2019&lt;/Year&gt;&lt;RecNum&gt;477&lt;/RecNum&gt;&lt;DisplayText&gt;[6]&lt;/DisplayText&gt;&lt;record&gt;&lt;rec-number&gt;477&lt;/rec-number&gt;&lt;foreign-keys&gt;&lt;key app="EN" db-id="wzwwsfxe4peesxef95cxvrwjxts9rreasarf" timestamp="1692654671"&gt;477&lt;/key&gt;&lt;/foreign-keys&gt;&lt;ref-type name="Book Section"&gt;5&lt;/ref-type&gt;&lt;contributors&gt;&lt;authors&gt;&lt;author&gt;Wenzl M,&lt;/author&gt;&lt;author&gt;Chapman S.&lt;/author&gt;&lt;/authors&gt;&lt;/contributors&gt;&lt;titles&gt;&lt;title&gt;Performance-Based Managed Entry Agreements For New Medicines in OECD Countries and EU Member States: How They Work and Possible Improvements Going Forward.&lt;/title&gt;&lt;secondary-title&gt;OECD Health Working Papers,&lt;/secondary-title&gt;&lt;/titles&gt;&lt;volume&gt;No. 115&lt;/volume&gt;&lt;dates&gt;&lt;year&gt;2019&lt;/year&gt;&lt;/dates&gt;&lt;pub-location&gt;Paris&lt;/pub-location&gt;&lt;publisher&gt;OECD Publishing&lt;/publisher&gt;&lt;urls&gt;&lt;related-urls&gt;&lt;url&gt;https://www.oecd-ilibrary.org/content/paper/6e5e4c0f-en&lt;/url&gt;&lt;/related-urls&gt;&lt;/urls&gt;&lt;electronic-resource-num&gt;doi:https://doi.org/10.1787/6e5e4c0f-en&lt;/electronic-resource-num&gt;&lt;/record&gt;&lt;/Cite&gt;&lt;/EndNote&gt;</w:instrText>
      </w:r>
      <w:r w:rsidRPr="00221992">
        <w:rPr>
          <w:lang w:val="en-GB" w:eastAsia="en-GB"/>
        </w:rPr>
        <w:fldChar w:fldCharType="separate"/>
      </w:r>
      <w:r w:rsidR="005A67DD" w:rsidRPr="00221992">
        <w:rPr>
          <w:noProof/>
          <w:lang w:val="en-GB" w:eastAsia="en-GB"/>
        </w:rPr>
        <w:t>[6]</w:t>
      </w:r>
      <w:r w:rsidRPr="00221992">
        <w:rPr>
          <w:lang w:val="en-GB" w:eastAsia="en-GB"/>
        </w:rPr>
        <w:fldChar w:fldCharType="end"/>
      </w:r>
      <w:r w:rsidR="009A0B88" w:rsidRPr="00221992">
        <w:rPr>
          <w:lang w:val="en-GB" w:eastAsia="en-GB"/>
        </w:rPr>
        <w:t>.</w:t>
      </w:r>
      <w:r w:rsidRPr="00221992">
        <w:rPr>
          <w:lang w:val="en-GB" w:eastAsia="en-GB"/>
        </w:rPr>
        <w:t>; Population based</w:t>
      </w:r>
      <w:r w:rsidR="007E1F38" w:rsidRPr="00221992">
        <w:rPr>
          <w:lang w:val="en-GB" w:eastAsia="en-GB"/>
        </w:rPr>
        <w:t xml:space="preserve"> </w:t>
      </w:r>
      <w:r w:rsidRPr="00221992">
        <w:rPr>
          <w:lang w:val="en-GB" w:eastAsia="en-GB"/>
        </w:rPr>
        <w:t xml:space="preserve">CED confirmed </w:t>
      </w:r>
      <w:r w:rsidRPr="00221992">
        <w:rPr>
          <w:lang w:val="en-GB" w:eastAsia="en-GB"/>
        </w:rPr>
        <w:fldChar w:fldCharType="begin">
          <w:fldData xml:space="preserve">PEVuZE5vdGU+PENpdGU+PEF1dGhvcj5GYWNleTwvQXV0aG9yPjxZZWFyPjIwMjE8L1llYXI+PFJl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</w:fldData>
        </w:fldChar>
      </w:r>
      <w:r w:rsidR="00E5265C">
        <w:rPr>
          <w:lang w:val="en-GB" w:eastAsia="en-GB"/>
        </w:rPr>
        <w:instrText xml:space="preserve"> ADDIN EN.CITE </w:instrText>
      </w:r>
      <w:r w:rsidR="00E5265C">
        <w:rPr>
          <w:lang w:val="en-GB" w:eastAsia="en-GB"/>
        </w:rPr>
        <w:fldChar w:fldCharType="begin">
          <w:fldData xml:space="preserve">PEVuZE5vdGU+PENpdGU+PEF1dGhvcj5GYWNleTwvQXV0aG9yPjxZZWFyPjIwMjE8L1llYXI+PFJl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</w:fldData>
        </w:fldChar>
      </w:r>
      <w:r w:rsidR="00E5265C">
        <w:rPr>
          <w:lang w:val="en-GB" w:eastAsia="en-GB"/>
        </w:rPr>
        <w:instrText xml:space="preserve"> ADDIN EN.CITE.DATA </w:instrText>
      </w:r>
      <w:r w:rsidR="00E5265C">
        <w:rPr>
          <w:lang w:val="en-GB" w:eastAsia="en-GB"/>
        </w:rPr>
      </w:r>
      <w:r w:rsidR="00E5265C">
        <w:rPr>
          <w:lang w:val="en-GB" w:eastAsia="en-GB"/>
        </w:rPr>
        <w:fldChar w:fldCharType="end"/>
      </w:r>
      <w:r w:rsidRPr="00221992">
        <w:rPr>
          <w:lang w:val="en-GB" w:eastAsia="en-GB"/>
        </w:rPr>
      </w:r>
      <w:r w:rsidRPr="00221992">
        <w:rPr>
          <w:lang w:val="en-GB" w:eastAsia="en-GB"/>
        </w:rPr>
        <w:fldChar w:fldCharType="separate"/>
      </w:r>
      <w:r w:rsidR="00E5265C">
        <w:rPr>
          <w:noProof/>
          <w:lang w:val="en-GB" w:eastAsia="en-GB"/>
        </w:rPr>
        <w:t>[208]</w:t>
      </w:r>
      <w:r w:rsidRPr="00221992">
        <w:rPr>
          <w:lang w:val="en-GB" w:eastAsia="en-GB"/>
        </w:rPr>
        <w:fldChar w:fldCharType="end"/>
      </w:r>
      <w:r w:rsidRPr="00221992">
        <w:rPr>
          <w:lang w:val="en-GB" w:eastAsia="en-GB"/>
        </w:rPr>
        <w:t xml:space="preserve">. 15. Sweden </w:t>
      </w:r>
      <w:r w:rsidRPr="00221992">
        <w:rPr>
          <w:lang w:val="en-GB" w:eastAsia="en-GB"/>
        </w:rPr>
        <w:fldChar w:fldCharType="begin">
          <w:fldData xml:space="preserve">PEVuZE5vdGU+PENpdGU+PEF1dGhvcj5XZW56bCBNPC9BdXRob3I+PFllYXI+MjAxOTwvWWVhcj48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</w:fldData>
        </w:fldChar>
      </w:r>
      <w:r w:rsidR="00E5265C">
        <w:rPr>
          <w:lang w:val="en-GB" w:eastAsia="en-GB"/>
        </w:rPr>
        <w:instrText xml:space="preserve"> ADDIN EN.CITE </w:instrText>
      </w:r>
      <w:r w:rsidR="00E5265C">
        <w:rPr>
          <w:lang w:val="en-GB" w:eastAsia="en-GB"/>
        </w:rPr>
        <w:fldChar w:fldCharType="begin">
          <w:fldData xml:space="preserve">PEVuZE5vdGU+PENpdGU+PEF1dGhvcj5XZW56bCBNPC9BdXRob3I+PFllYXI+MjAxOTwvWWVhcj48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</w:fldData>
        </w:fldChar>
      </w:r>
      <w:r w:rsidR="00E5265C">
        <w:rPr>
          <w:lang w:val="en-GB" w:eastAsia="en-GB"/>
        </w:rPr>
        <w:instrText xml:space="preserve"> ADDIN EN.CITE.DATA </w:instrText>
      </w:r>
      <w:r w:rsidR="00E5265C">
        <w:rPr>
          <w:lang w:val="en-GB" w:eastAsia="en-GB"/>
        </w:rPr>
      </w:r>
      <w:r w:rsidR="00E5265C">
        <w:rPr>
          <w:lang w:val="en-GB" w:eastAsia="en-GB"/>
        </w:rPr>
        <w:fldChar w:fldCharType="end"/>
      </w:r>
      <w:r w:rsidRPr="00221992">
        <w:rPr>
          <w:lang w:val="en-GB" w:eastAsia="en-GB"/>
        </w:rPr>
      </w:r>
      <w:r w:rsidRPr="00221992">
        <w:rPr>
          <w:lang w:val="en-GB" w:eastAsia="en-GB"/>
        </w:rPr>
        <w:fldChar w:fldCharType="separate"/>
      </w:r>
      <w:r w:rsidR="00E5265C">
        <w:rPr>
          <w:noProof/>
          <w:lang w:val="en-GB" w:eastAsia="en-GB"/>
        </w:rPr>
        <w:t>[6, 213]</w:t>
      </w:r>
      <w:r w:rsidRPr="00221992">
        <w:rPr>
          <w:lang w:val="en-GB" w:eastAsia="en-GB"/>
        </w:rPr>
        <w:fldChar w:fldCharType="end"/>
      </w:r>
      <w:r w:rsidRPr="00221992">
        <w:rPr>
          <w:lang w:val="en-GB" w:eastAsia="en-GB"/>
        </w:rPr>
        <w:t>. 16. Taiwan: No MEAs identified. 17. UK (</w:t>
      </w:r>
      <w:r w:rsidR="00E93AD5" w:rsidRPr="00221992">
        <w:rPr>
          <w:lang w:val="en-GB" w:eastAsia="en-GB"/>
        </w:rPr>
        <w:t>England/Wales</w:t>
      </w:r>
      <w:r w:rsidRPr="00221992">
        <w:rPr>
          <w:lang w:val="en-GB" w:eastAsia="en-GB"/>
        </w:rPr>
        <w:t>)</w:t>
      </w:r>
      <w:r w:rsidR="000F2E8E" w:rsidRPr="00221992">
        <w:rPr>
          <w:lang w:val="en-GB" w:eastAsia="en-GB"/>
        </w:rPr>
        <w:t>, p</w:t>
      </w:r>
      <w:r w:rsidR="00406958" w:rsidRPr="00221992">
        <w:rPr>
          <w:lang w:val="en-GB" w:eastAsia="en-GB"/>
        </w:rPr>
        <w:t xml:space="preserve">. </w:t>
      </w:r>
      <w:r w:rsidR="000F2E8E" w:rsidRPr="00221992">
        <w:rPr>
          <w:lang w:val="en-GB" w:eastAsia="en-GB"/>
        </w:rPr>
        <w:t>16</w:t>
      </w:r>
      <w:r w:rsidR="008A6310">
        <w:rPr>
          <w:lang w:val="en-GB" w:eastAsia="en-GB"/>
        </w:rPr>
        <w:t xml:space="preserve"> </w:t>
      </w:r>
      <w:r w:rsidRPr="00221992">
        <w:rPr>
          <w:lang w:val="en-GB" w:eastAsia="en-GB"/>
        </w:rPr>
        <w:fldChar w:fldCharType="begin"/>
      </w:r>
      <w:r w:rsidR="005A67DD" w:rsidRPr="00221992">
        <w:rPr>
          <w:lang w:val="en-GB" w:eastAsia="en-GB"/>
        </w:rPr>
        <w:instrText xml:space="preserve"> ADDIN EN.CITE &lt;EndNote&gt;&lt;Cite&gt;&lt;Author&gt;Wenzl M&lt;/Author&gt;&lt;Year&gt;2019&lt;/Year&gt;&lt;RecNum&gt;477&lt;/RecNum&gt;&lt;DisplayText&gt;[6]&lt;/DisplayText&gt;&lt;record&gt;&lt;rec-number&gt;477&lt;/rec-number&gt;&lt;foreign-keys&gt;&lt;key app="EN" db-id="wzwwsfxe4peesxef95cxvrwjxts9rreasarf" timestamp="1692654671"&gt;477&lt;/key&gt;&lt;/foreign-keys&gt;&lt;ref-type name="Book Section"&gt;5&lt;/ref-type&gt;&lt;contributors&gt;&lt;authors&gt;&lt;author&gt;Wenzl M,&lt;/author&gt;&lt;author&gt;Chapman S.&lt;/author&gt;&lt;/authors&gt;&lt;/contributors&gt;&lt;titles&gt;&lt;title&gt;Performance-Based Managed Entry Agreements For New Medicines in OECD Countries and EU Member States: How They Work and Possible Improvements Going Forward.&lt;/title&gt;&lt;secondary-title&gt;OECD Health Working Papers,&lt;/secondary-title&gt;&lt;/titles&gt;&lt;volume&gt;No. 115&lt;/volume&gt;&lt;dates&gt;&lt;year&gt;2019&lt;/year&gt;&lt;/dates&gt;&lt;pub-location&gt;Paris&lt;/pub-location&gt;&lt;publisher&gt;OECD Publishing&lt;/publisher&gt;&lt;urls&gt;&lt;related-urls&gt;&lt;url&gt;https://www.oecd-ilibrary.org/content/paper/6e5e4c0f-en&lt;/url&gt;&lt;/related-urls&gt;&lt;/urls&gt;&lt;electronic-resource-num&gt;doi:https://doi.org/10.1787/6e5e4c0f-en&lt;/electronic-resource-num&gt;&lt;/record&gt;&lt;/Cite&gt;&lt;/EndNote&gt;</w:instrText>
      </w:r>
      <w:r w:rsidRPr="00221992">
        <w:rPr>
          <w:lang w:val="en-GB" w:eastAsia="en-GB"/>
        </w:rPr>
        <w:fldChar w:fldCharType="separate"/>
      </w:r>
      <w:r w:rsidR="005A67DD" w:rsidRPr="00221992">
        <w:rPr>
          <w:noProof/>
          <w:lang w:val="en-GB" w:eastAsia="en-GB"/>
        </w:rPr>
        <w:t>[6]</w:t>
      </w:r>
      <w:r w:rsidRPr="00221992">
        <w:rPr>
          <w:lang w:val="en-GB" w:eastAsia="en-GB"/>
        </w:rPr>
        <w:fldChar w:fldCharType="end"/>
      </w:r>
      <w:r w:rsidRPr="00221992">
        <w:rPr>
          <w:lang w:val="en-GB" w:eastAsia="en-GB"/>
        </w:rPr>
        <w:t>. Population CED and PbR was found in 2002. 18. Scotland</w:t>
      </w:r>
      <w:r w:rsidR="006E2AF0" w:rsidRPr="00221992">
        <w:rPr>
          <w:lang w:val="en-GB" w:eastAsia="en-GB"/>
        </w:rPr>
        <w:t>,</w:t>
      </w:r>
      <w:r w:rsidRPr="00221992">
        <w:rPr>
          <w:lang w:val="en-GB" w:eastAsia="en-GB"/>
        </w:rPr>
        <w:t xml:space="preserve"> </w:t>
      </w:r>
      <w:r w:rsidR="008B4FD8" w:rsidRPr="00221992">
        <w:rPr>
          <w:lang w:val="en-GB" w:eastAsia="en-GB"/>
        </w:rPr>
        <w:t>p</w:t>
      </w:r>
      <w:r w:rsidR="00406958" w:rsidRPr="00221992">
        <w:rPr>
          <w:lang w:val="en-GB" w:eastAsia="en-GB"/>
        </w:rPr>
        <w:t xml:space="preserve">. </w:t>
      </w:r>
      <w:r w:rsidR="008B4FD8" w:rsidRPr="00221992">
        <w:rPr>
          <w:lang w:val="en-GB" w:eastAsia="en-GB"/>
        </w:rPr>
        <w:t>16</w:t>
      </w:r>
      <w:r w:rsidRPr="00221992">
        <w:rPr>
          <w:lang w:val="en-GB" w:eastAsia="en-GB"/>
        </w:rPr>
        <w:t xml:space="preserve"> </w:t>
      </w:r>
      <w:r w:rsidRPr="00221992">
        <w:rPr>
          <w:lang w:val="en-GB" w:eastAsia="en-GB"/>
        </w:rPr>
        <w:fldChar w:fldCharType="begin"/>
      </w:r>
      <w:r w:rsidR="005A67DD" w:rsidRPr="00221992">
        <w:rPr>
          <w:lang w:val="en-GB" w:eastAsia="en-GB"/>
        </w:rPr>
        <w:instrText xml:space="preserve"> ADDIN EN.CITE &lt;EndNote&gt;&lt;Cite&gt;&lt;Author&gt;Wenzl M&lt;/Author&gt;&lt;Year&gt;2019&lt;/Year&gt;&lt;RecNum&gt;477&lt;/RecNum&gt;&lt;DisplayText&gt;[6]&lt;/DisplayText&gt;&lt;record&gt;&lt;rec-number&gt;477&lt;/rec-number&gt;&lt;foreign-keys&gt;&lt;key app="EN" db-id="wzwwsfxe4peesxef95cxvrwjxts9rreasarf" timestamp="1692654671"&gt;477&lt;/key&gt;&lt;/foreign-keys&gt;&lt;ref-type name="Book Section"&gt;5&lt;/ref-type&gt;&lt;contributors&gt;&lt;authors&gt;&lt;author&gt;Wenzl M,&lt;/author&gt;&lt;author&gt;Chapman S.&lt;/author&gt;&lt;/authors&gt;&lt;/contributors&gt;&lt;titles&gt;&lt;title&gt;Performance-Based Managed Entry Agreements For New Medicines in OECD Countries and EU Member States: How They Work and Possible Improvements Going Forward.&lt;/title&gt;&lt;secondary-title&gt;OECD Health Working Papers,&lt;/secondary-title&gt;&lt;/titles&gt;&lt;volume&gt;No. 115&lt;/volume&gt;&lt;dates&gt;&lt;year&gt;2019&lt;/year&gt;&lt;/dates&gt;&lt;pub-location&gt;Paris&lt;/pub-location&gt;&lt;publisher&gt;OECD Publishing&lt;/publisher&gt;&lt;urls&gt;&lt;related-urls&gt;&lt;url&gt;https://www.oecd-ilibrary.org/content/paper/6e5e4c0f-en&lt;/url&gt;&lt;/related-urls&gt;&lt;/urls&gt;&lt;electronic-resource-num&gt;doi:https://doi.org/10.1787/6e5e4c0f-en&lt;/electronic-resource-num&gt;&lt;/record&gt;&lt;/Cite&gt;&lt;/EndNote&gt;</w:instrText>
      </w:r>
      <w:r w:rsidRPr="00221992">
        <w:rPr>
          <w:lang w:val="en-GB" w:eastAsia="en-GB"/>
        </w:rPr>
        <w:fldChar w:fldCharType="separate"/>
      </w:r>
      <w:r w:rsidR="005A67DD" w:rsidRPr="00221992">
        <w:rPr>
          <w:noProof/>
          <w:lang w:val="en-GB" w:eastAsia="en-GB"/>
        </w:rPr>
        <w:t>[6]</w:t>
      </w:r>
      <w:r w:rsidRPr="00221992">
        <w:rPr>
          <w:lang w:val="en-GB" w:eastAsia="en-GB"/>
        </w:rPr>
        <w:fldChar w:fldCharType="end"/>
      </w:r>
      <w:r w:rsidR="008B4FD8" w:rsidRPr="00221992">
        <w:rPr>
          <w:lang w:val="en-GB" w:eastAsia="en-GB"/>
        </w:rPr>
        <w:t>.</w:t>
      </w:r>
    </w:p>
    <w:tbl>
      <w:tblPr>
        <w:tblStyle w:val="GridTable4-Accent31"/>
        <w:tblW w:w="0" w:type="auto"/>
        <w:tblBorders>
          <w:top w:val="single" w:sz="12" w:space="0" w:color="0F4BEB" w:themeColor="accent1"/>
          <w:left w:val="single" w:sz="12" w:space="0" w:color="0F4BEB" w:themeColor="accent1"/>
          <w:bottom w:val="single" w:sz="12" w:space="0" w:color="0F4BEB" w:themeColor="accent1"/>
          <w:right w:val="single" w:sz="12" w:space="0" w:color="0F4BEB" w:themeColor="accent1"/>
          <w:insideH w:val="single" w:sz="4" w:space="0" w:color="A5A5A5"/>
          <w:insideV w:val="single" w:sz="4" w:space="0" w:color="A5A5A5"/>
        </w:tblBorders>
        <w:tblLook w:val="04A0" w:firstRow="1" w:lastRow="0" w:firstColumn="1" w:lastColumn="0" w:noHBand="0" w:noVBand="1"/>
      </w:tblPr>
      <w:tblGrid>
        <w:gridCol w:w="9016"/>
      </w:tblGrid>
      <w:tr w:rsidR="001B7B90" w:rsidRPr="009D07B4" w14:paraId="72F5EDE7" w14:textId="77777777" w:rsidTr="009D07B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tcPr>
          <w:p w14:paraId="0816EFB0" w14:textId="0B160337" w:rsidR="001B7B90" w:rsidRPr="009D07B4" w:rsidRDefault="001B7B90" w:rsidP="001B7B90">
            <w:pPr>
              <w:spacing w:after="0" w:line="240" w:lineRule="auto"/>
              <w:jc w:val="center"/>
              <w:rPr>
                <w:rFonts w:ascii="Calibri" w:eastAsia="Calibri" w:hAnsi="Calibri" w:cs="Times New Roman"/>
                <w:b w:val="0"/>
                <w:sz w:val="22"/>
                <w:szCs w:val="22"/>
                <w:lang w:eastAsia="en-US"/>
              </w:rPr>
            </w:pPr>
            <w:r w:rsidRPr="009D07B4">
              <w:rPr>
                <w:rFonts w:ascii="Calibri" w:eastAsia="Calibri" w:hAnsi="Calibri" w:cs="Times New Roman"/>
                <w:sz w:val="22"/>
                <w:szCs w:val="22"/>
                <w:lang w:eastAsia="en-US"/>
              </w:rPr>
              <w:t>Why this matters</w:t>
            </w:r>
          </w:p>
        </w:tc>
      </w:tr>
      <w:tr w:rsidR="001B7B90" w:rsidRPr="009D07B4" w14:paraId="7239B80A" w14:textId="77777777" w:rsidTr="009D07B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tcPr>
          <w:p w14:paraId="5FB4B53F" w14:textId="0DC4DD83" w:rsidR="001B7B90" w:rsidRPr="009D07B4" w:rsidRDefault="00054CE5" w:rsidP="001B7B90">
            <w:pPr>
              <w:spacing w:after="0" w:line="240" w:lineRule="auto"/>
              <w:rPr>
                <w:rFonts w:eastAsia="Calibri" w:cs="Calibri Light"/>
                <w:sz w:val="22"/>
                <w:szCs w:val="22"/>
                <w:lang w:eastAsia="en-US"/>
              </w:rPr>
            </w:pPr>
            <w:r>
              <w:rPr>
                <w:rFonts w:eastAsia="Calibri" w:cs="Calibri Light"/>
                <w:b w:val="0"/>
                <w:sz w:val="22"/>
                <w:szCs w:val="22"/>
                <w:lang w:eastAsia="en-US"/>
              </w:rPr>
              <w:t>MEAs</w:t>
            </w:r>
            <w:r w:rsidR="001B7B90" w:rsidRPr="009D07B4">
              <w:rPr>
                <w:rFonts w:eastAsia="Calibri" w:cs="Calibri Light"/>
                <w:b w:val="0"/>
                <w:sz w:val="22"/>
                <w:szCs w:val="22"/>
                <w:lang w:eastAsia="en-US"/>
              </w:rPr>
              <w:t xml:space="preserve"> are </w:t>
            </w:r>
            <w:r w:rsidR="00C27421">
              <w:rPr>
                <w:rFonts w:eastAsia="Calibri" w:cs="Calibri Light"/>
                <w:b w:val="0"/>
                <w:sz w:val="22"/>
                <w:szCs w:val="22"/>
                <w:lang w:eastAsia="en-US"/>
              </w:rPr>
              <w:t>a</w:t>
            </w:r>
            <w:r w:rsidR="001B7B90" w:rsidRPr="009D07B4">
              <w:rPr>
                <w:rFonts w:eastAsia="Calibri" w:cs="Calibri Light"/>
                <w:b w:val="0"/>
                <w:sz w:val="22"/>
                <w:szCs w:val="22"/>
                <w:lang w:eastAsia="en-US"/>
              </w:rPr>
              <w:t xml:space="preserve"> key mechanism used in Australia and internationally to manage clinical, economic and financial uncertainty in the funding and reimbursement of pharmaceuticals and medical devices. </w:t>
            </w:r>
          </w:p>
          <w:p w14:paraId="329A152B" w14:textId="77777777" w:rsidR="001B7B90" w:rsidRPr="009D07B4" w:rsidRDefault="001B7B90" w:rsidP="001B7B90">
            <w:pPr>
              <w:spacing w:after="0" w:line="240" w:lineRule="auto"/>
              <w:rPr>
                <w:rFonts w:eastAsia="Calibri" w:cs="Calibri Light"/>
                <w:sz w:val="22"/>
                <w:szCs w:val="22"/>
                <w:lang w:eastAsia="en-US"/>
              </w:rPr>
            </w:pPr>
          </w:p>
          <w:p w14:paraId="5C2ADFF2" w14:textId="77777777" w:rsidR="001B7B90" w:rsidRPr="009D07B4" w:rsidRDefault="001B7B90" w:rsidP="001B7B90">
            <w:pPr>
              <w:spacing w:after="0" w:line="240" w:lineRule="auto"/>
              <w:rPr>
                <w:rFonts w:eastAsia="Calibri" w:cs="Calibri Light"/>
                <w:sz w:val="22"/>
                <w:szCs w:val="22"/>
                <w:lang w:eastAsia="en-US"/>
              </w:rPr>
            </w:pPr>
            <w:r w:rsidRPr="009D07B4">
              <w:rPr>
                <w:rFonts w:eastAsia="Calibri" w:cs="Calibri Light"/>
                <w:b w:val="0"/>
                <w:sz w:val="22"/>
                <w:szCs w:val="22"/>
                <w:lang w:eastAsia="en-US"/>
              </w:rPr>
              <w:t xml:space="preserve">They are defined as strategic arrangements between payers and sponsors, designed to address inherent uncertainties surrounding the value, uptake and performance of emerging technologies through conditional or managed reimbursement. </w:t>
            </w:r>
          </w:p>
          <w:p w14:paraId="73DE3222" w14:textId="77777777" w:rsidR="001B7B90" w:rsidRPr="009D07B4" w:rsidRDefault="001B7B90" w:rsidP="001B7B90">
            <w:pPr>
              <w:spacing w:after="0" w:line="240" w:lineRule="auto"/>
              <w:rPr>
                <w:rFonts w:eastAsia="Calibri" w:cs="Calibri Light"/>
                <w:sz w:val="22"/>
                <w:szCs w:val="22"/>
                <w:lang w:eastAsia="en-US"/>
              </w:rPr>
            </w:pPr>
          </w:p>
          <w:p w14:paraId="2E363FC8" w14:textId="335609A0" w:rsidR="001B7B90" w:rsidRPr="009D07B4" w:rsidRDefault="001B7B90" w:rsidP="001B7B90">
            <w:pPr>
              <w:spacing w:after="0" w:line="240" w:lineRule="auto"/>
              <w:rPr>
                <w:rFonts w:eastAsia="Calibri" w:cs="Calibri Light"/>
                <w:b w:val="0"/>
                <w:sz w:val="22"/>
                <w:szCs w:val="22"/>
                <w:lang w:eastAsia="en-US"/>
              </w:rPr>
            </w:pPr>
            <w:r w:rsidRPr="009D07B4">
              <w:rPr>
                <w:rFonts w:eastAsia="Calibri" w:cs="Calibri Light"/>
                <w:b w:val="0"/>
                <w:sz w:val="22"/>
                <w:szCs w:val="22"/>
                <w:lang w:eastAsia="en-US"/>
              </w:rPr>
              <w:t xml:space="preserve">While definitions vary, there are essentially two </w:t>
            </w:r>
            <w:r w:rsidR="0055161E">
              <w:rPr>
                <w:rFonts w:eastAsia="Calibri" w:cs="Calibri Light"/>
                <w:b w:val="0"/>
                <w:sz w:val="22"/>
                <w:szCs w:val="22"/>
                <w:lang w:eastAsia="en-US"/>
              </w:rPr>
              <w:t xml:space="preserve">main </w:t>
            </w:r>
            <w:r w:rsidRPr="009D07B4">
              <w:rPr>
                <w:rFonts w:eastAsia="Calibri" w:cs="Calibri Light"/>
                <w:b w:val="0"/>
                <w:sz w:val="22"/>
                <w:szCs w:val="22"/>
                <w:lang w:eastAsia="en-US"/>
              </w:rPr>
              <w:t>types of MEAs: performance or outcome</w:t>
            </w:r>
            <w:r w:rsidR="00344EA8">
              <w:rPr>
                <w:rFonts w:eastAsia="Calibri" w:cs="Calibri Light"/>
                <w:b w:val="0"/>
                <w:sz w:val="22"/>
                <w:szCs w:val="22"/>
                <w:lang w:eastAsia="en-US"/>
              </w:rPr>
              <w:t>-</w:t>
            </w:r>
            <w:r w:rsidRPr="009D07B4">
              <w:rPr>
                <w:rFonts w:eastAsia="Calibri" w:cs="Calibri Light"/>
                <w:b w:val="0"/>
                <w:sz w:val="22"/>
                <w:szCs w:val="22"/>
                <w:lang w:eastAsia="en-US"/>
              </w:rPr>
              <w:t xml:space="preserve">based MEAS, which link payment to treatment outcomes, and </w:t>
            </w:r>
            <w:r w:rsidR="00AE0447">
              <w:rPr>
                <w:rFonts w:eastAsia="Calibri" w:cs="Calibri Light"/>
                <w:b w:val="0"/>
                <w:sz w:val="22"/>
                <w:szCs w:val="22"/>
                <w:lang w:eastAsia="en-US"/>
              </w:rPr>
              <w:t>financial</w:t>
            </w:r>
            <w:r w:rsidRPr="009D07B4">
              <w:rPr>
                <w:rFonts w:eastAsia="Calibri" w:cs="Calibri Light"/>
                <w:b w:val="0"/>
                <w:sz w:val="22"/>
                <w:szCs w:val="22"/>
                <w:lang w:eastAsia="en-US"/>
              </w:rPr>
              <w:t xml:space="preserve"> MEAs, which aim to manage budget impact of new technologies through price controls, discounts or rebates</w:t>
            </w:r>
            <w:r w:rsidR="00344EA8">
              <w:rPr>
                <w:rFonts w:eastAsia="Calibri" w:cs="Calibri Light"/>
                <w:b w:val="0"/>
                <w:sz w:val="22"/>
                <w:szCs w:val="22"/>
                <w:lang w:eastAsia="en-US"/>
              </w:rPr>
              <w:t>,</w:t>
            </w:r>
            <w:r w:rsidRPr="009D07B4">
              <w:rPr>
                <w:rFonts w:eastAsia="Calibri" w:cs="Calibri Light"/>
                <w:b w:val="0"/>
                <w:sz w:val="22"/>
                <w:szCs w:val="22"/>
                <w:lang w:eastAsia="en-US"/>
              </w:rPr>
              <w:t xml:space="preserve"> without explicitly linking to a therapy’s performance. Hybrid models also exist. Financial MEAs are more commonly employed across most countries, due to the burden of data collection associated with </w:t>
            </w:r>
            <w:r w:rsidR="00661F62">
              <w:rPr>
                <w:rFonts w:eastAsia="Calibri" w:cs="Calibri Light"/>
                <w:b w:val="0"/>
                <w:sz w:val="22"/>
                <w:szCs w:val="22"/>
                <w:lang w:eastAsia="en-US"/>
              </w:rPr>
              <w:t>performance-based MEAs</w:t>
            </w:r>
            <w:r w:rsidRPr="009D07B4">
              <w:rPr>
                <w:rFonts w:eastAsia="Calibri" w:cs="Calibri Light"/>
                <w:b w:val="0"/>
                <w:sz w:val="22"/>
                <w:szCs w:val="22"/>
                <w:lang w:eastAsia="en-US"/>
              </w:rPr>
              <w:t>. However, the published evidence for financial MEAs is more limited,  due to confidentiality agreements</w:t>
            </w:r>
            <w:r w:rsidR="00784495" w:rsidRPr="009D07B4">
              <w:rPr>
                <w:rFonts w:eastAsia="Calibri" w:cs="Calibri Light"/>
                <w:b w:val="0"/>
                <w:sz w:val="22"/>
                <w:szCs w:val="22"/>
                <w:lang w:eastAsia="en-US"/>
              </w:rPr>
              <w:t xml:space="preserve"> [6]</w:t>
            </w:r>
            <w:r w:rsidRPr="009D07B4">
              <w:rPr>
                <w:rFonts w:eastAsia="Calibri" w:cs="Calibri Light"/>
                <w:b w:val="0"/>
                <w:sz w:val="22"/>
                <w:szCs w:val="22"/>
                <w:lang w:eastAsia="en-US"/>
              </w:rPr>
              <w:t xml:space="preserve">. </w:t>
            </w:r>
          </w:p>
        </w:tc>
      </w:tr>
    </w:tbl>
    <w:p w14:paraId="6873FDC2" w14:textId="28AC7F86" w:rsidR="00DA4CEB" w:rsidRPr="00221992" w:rsidRDefault="00DA4CEB" w:rsidP="00407BA7">
      <w:pPr>
        <w:pStyle w:val="NbrHeading3"/>
        <w:rPr>
          <w:lang w:val="en-GB"/>
        </w:rPr>
      </w:pPr>
      <w:bookmarkStart w:id="186" w:name="_Toc142742690"/>
      <w:bookmarkStart w:id="187" w:name="_Toc162950894"/>
      <w:r w:rsidRPr="00221992">
        <w:rPr>
          <w:lang w:val="en-GB"/>
        </w:rPr>
        <w:t xml:space="preserve">Data to inform </w:t>
      </w:r>
      <w:bookmarkEnd w:id="186"/>
      <w:r w:rsidR="00661F62">
        <w:rPr>
          <w:lang w:val="en-GB"/>
        </w:rPr>
        <w:t>performance-based MEAs</w:t>
      </w:r>
      <w:bookmarkEnd w:id="187"/>
    </w:p>
    <w:p w14:paraId="2C0F0DC5" w14:textId="00A8E56F" w:rsidR="00DA4CEB" w:rsidRPr="00221992" w:rsidRDefault="00691C4F" w:rsidP="00E1579A">
      <w:pPr>
        <w:rPr>
          <w:lang w:val="en-GB"/>
        </w:rPr>
      </w:pPr>
      <w:r>
        <w:rPr>
          <w:lang w:val="en-GB"/>
        </w:rPr>
        <w:t xml:space="preserve">A wide range of data sources are used to </w:t>
      </w:r>
      <w:r w:rsidR="00223408">
        <w:rPr>
          <w:lang w:val="en-GB"/>
        </w:rPr>
        <w:t xml:space="preserve"> inform</w:t>
      </w:r>
      <w:r>
        <w:rPr>
          <w:lang w:val="en-GB"/>
        </w:rPr>
        <w:t xml:space="preserve"> </w:t>
      </w:r>
      <w:r w:rsidR="00223408">
        <w:rPr>
          <w:lang w:val="en-GB"/>
        </w:rPr>
        <w:t>MEAs</w:t>
      </w:r>
      <w:r w:rsidR="005E46D7" w:rsidRPr="00221992">
        <w:rPr>
          <w:lang w:val="en-GB"/>
        </w:rPr>
        <w:t xml:space="preserve">, including </w:t>
      </w:r>
      <w:r w:rsidR="00F35689">
        <w:rPr>
          <w:lang w:val="en-GB"/>
        </w:rPr>
        <w:t xml:space="preserve">routine data </w:t>
      </w:r>
      <w:r w:rsidR="000D5A91">
        <w:rPr>
          <w:lang w:val="en-GB"/>
        </w:rPr>
        <w:t>sources</w:t>
      </w:r>
      <w:r w:rsidR="00861979">
        <w:rPr>
          <w:lang w:val="en-GB"/>
        </w:rPr>
        <w:t>, MEA</w:t>
      </w:r>
      <w:r w:rsidR="001F391D">
        <w:rPr>
          <w:lang w:val="en-GB"/>
        </w:rPr>
        <w:t>-</w:t>
      </w:r>
      <w:r w:rsidR="00861979">
        <w:rPr>
          <w:lang w:val="en-GB"/>
        </w:rPr>
        <w:t>specific registries</w:t>
      </w:r>
      <w:r w:rsidR="00F91936">
        <w:rPr>
          <w:lang w:val="en-GB"/>
        </w:rPr>
        <w:t xml:space="preserve">, prospective </w:t>
      </w:r>
      <w:r w:rsidR="006213C6">
        <w:rPr>
          <w:lang w:val="en-GB"/>
        </w:rPr>
        <w:t>studies,</w:t>
      </w:r>
      <w:r w:rsidR="00EA27F8">
        <w:rPr>
          <w:lang w:val="en-GB"/>
        </w:rPr>
        <w:t xml:space="preserve"> </w:t>
      </w:r>
      <w:r w:rsidR="001F391D">
        <w:rPr>
          <w:lang w:val="en-GB"/>
        </w:rPr>
        <w:t xml:space="preserve">and </w:t>
      </w:r>
      <w:r w:rsidR="00EA27F8">
        <w:rPr>
          <w:lang w:val="en-GB"/>
        </w:rPr>
        <w:t>post</w:t>
      </w:r>
      <w:r w:rsidR="001F391D">
        <w:rPr>
          <w:lang w:val="en-GB"/>
        </w:rPr>
        <w:t>-</w:t>
      </w:r>
      <w:r w:rsidR="00EA27F8">
        <w:rPr>
          <w:lang w:val="en-GB"/>
        </w:rPr>
        <w:t xml:space="preserve">market clinical studies. </w:t>
      </w:r>
      <w:r w:rsidR="00D41B93">
        <w:rPr>
          <w:lang w:val="en-GB"/>
        </w:rPr>
        <w:t xml:space="preserve">These sources </w:t>
      </w:r>
      <w:r w:rsidR="0013140C">
        <w:rPr>
          <w:lang w:val="en-GB"/>
        </w:rPr>
        <w:t xml:space="preserve">can be </w:t>
      </w:r>
      <w:r w:rsidR="00993D36">
        <w:rPr>
          <w:lang w:val="en-GB"/>
        </w:rPr>
        <w:t>primary, in the case of MEA</w:t>
      </w:r>
      <w:r w:rsidR="001F391D">
        <w:rPr>
          <w:lang w:val="en-GB"/>
        </w:rPr>
        <w:t>-</w:t>
      </w:r>
      <w:r w:rsidR="00993D36">
        <w:rPr>
          <w:lang w:val="en-GB"/>
        </w:rPr>
        <w:t xml:space="preserve">specific </w:t>
      </w:r>
      <w:r w:rsidR="00C35D94">
        <w:rPr>
          <w:lang w:val="en-GB"/>
        </w:rPr>
        <w:t>registries</w:t>
      </w:r>
      <w:r w:rsidR="00993D36">
        <w:rPr>
          <w:lang w:val="en-GB"/>
        </w:rPr>
        <w:t xml:space="preserve"> or secondary data, such as </w:t>
      </w:r>
      <w:r w:rsidR="00C35D94">
        <w:rPr>
          <w:lang w:val="en-GB"/>
        </w:rPr>
        <w:t>prescribing data.</w:t>
      </w:r>
      <w:r w:rsidR="005E46D7" w:rsidRPr="00221992">
        <w:rPr>
          <w:lang w:val="en-GB"/>
        </w:rPr>
        <w:t xml:space="preserve"> In Sweden, f</w:t>
      </w:r>
      <w:r w:rsidR="00DA4CEB" w:rsidRPr="00221992">
        <w:rPr>
          <w:lang w:val="en-GB"/>
        </w:rPr>
        <w:t>or example, patient response is sometimes judged using prescribing data. In this case</w:t>
      </w:r>
      <w:r w:rsidR="000665D8" w:rsidRPr="00221992">
        <w:rPr>
          <w:lang w:val="en-GB"/>
        </w:rPr>
        <w:t>,</w:t>
      </w:r>
      <w:r w:rsidR="00DA4CEB" w:rsidRPr="00221992">
        <w:rPr>
          <w:lang w:val="en-GB"/>
        </w:rPr>
        <w:t xml:space="preserve"> </w:t>
      </w:r>
      <w:r w:rsidR="00551786">
        <w:rPr>
          <w:lang w:val="en-GB"/>
        </w:rPr>
        <w:t>‘</w:t>
      </w:r>
      <w:r w:rsidR="00DA4CEB" w:rsidRPr="00221992">
        <w:rPr>
          <w:lang w:val="en-GB"/>
        </w:rPr>
        <w:t>patient response</w:t>
      </w:r>
      <w:r w:rsidR="00551786">
        <w:rPr>
          <w:lang w:val="en-GB"/>
        </w:rPr>
        <w:t>’</w:t>
      </w:r>
      <w:r w:rsidR="00DA4CEB" w:rsidRPr="00221992">
        <w:rPr>
          <w:lang w:val="en-GB"/>
        </w:rPr>
        <w:t xml:space="preserve"> is inferred by a continuation of treatment beyond a certain duration, and discontinuation is interpreted as </w:t>
      </w:r>
      <w:r w:rsidR="00551786">
        <w:rPr>
          <w:lang w:val="en-GB"/>
        </w:rPr>
        <w:t>‘</w:t>
      </w:r>
      <w:r w:rsidR="00DA4CEB" w:rsidRPr="00221992">
        <w:rPr>
          <w:lang w:val="en-GB"/>
        </w:rPr>
        <w:t>non-response</w:t>
      </w:r>
      <w:r w:rsidR="000665D8" w:rsidRPr="00221992">
        <w:rPr>
          <w:lang w:val="en-GB"/>
        </w:rPr>
        <w:t>.</w:t>
      </w:r>
      <w:r w:rsidR="00551786">
        <w:rPr>
          <w:lang w:val="en-GB"/>
        </w:rPr>
        <w:t>’</w:t>
      </w:r>
    </w:p>
    <w:p w14:paraId="44DAEF9E" w14:textId="40D1A540" w:rsidR="00DA4CEB" w:rsidRPr="00221992" w:rsidRDefault="000665D8" w:rsidP="00E1579A">
      <w:pPr>
        <w:rPr>
          <w:lang w:val="en-GB"/>
        </w:rPr>
      </w:pPr>
      <w:r w:rsidRPr="00221992">
        <w:rPr>
          <w:lang w:val="en-GB"/>
        </w:rPr>
        <w:t>I</w:t>
      </w:r>
      <w:r w:rsidR="00DA4CEB" w:rsidRPr="00221992">
        <w:rPr>
          <w:lang w:val="en-GB"/>
        </w:rPr>
        <w:t>nternationally</w:t>
      </w:r>
      <w:r w:rsidRPr="00221992">
        <w:rPr>
          <w:lang w:val="en-GB"/>
        </w:rPr>
        <w:t>,</w:t>
      </w:r>
      <w:r w:rsidR="00DA4CEB" w:rsidRPr="00221992">
        <w:rPr>
          <w:lang w:val="en-GB"/>
        </w:rPr>
        <w:t xml:space="preserve"> routine </w:t>
      </w:r>
      <w:r w:rsidRPr="00221992">
        <w:rPr>
          <w:lang w:val="en-GB"/>
        </w:rPr>
        <w:t>administrative</w:t>
      </w:r>
      <w:r w:rsidR="00DA4CEB" w:rsidRPr="00221992">
        <w:rPr>
          <w:lang w:val="en-GB"/>
        </w:rPr>
        <w:t xml:space="preserve"> </w:t>
      </w:r>
      <w:r w:rsidRPr="00221992">
        <w:rPr>
          <w:lang w:val="en-GB"/>
        </w:rPr>
        <w:t>data</w:t>
      </w:r>
      <w:r w:rsidR="00751765" w:rsidRPr="00221992">
        <w:rPr>
          <w:lang w:val="en-GB"/>
        </w:rPr>
        <w:t>—</w:t>
      </w:r>
      <w:r w:rsidR="00DA4CEB" w:rsidRPr="00221992">
        <w:rPr>
          <w:lang w:val="en-GB"/>
        </w:rPr>
        <w:t xml:space="preserve">including prescriptions, insurance claims, existing disease registries and electronic medical </w:t>
      </w:r>
      <w:r w:rsidR="007D0096" w:rsidRPr="00221992">
        <w:rPr>
          <w:lang w:val="en-GB"/>
        </w:rPr>
        <w:t xml:space="preserve">records </w:t>
      </w:r>
      <w:r w:rsidR="00DA4CEB" w:rsidRPr="00221992">
        <w:rPr>
          <w:lang w:val="en-GB"/>
        </w:rPr>
        <w:t xml:space="preserve">represents almost </w:t>
      </w:r>
      <w:r w:rsidR="00E37943">
        <w:rPr>
          <w:lang w:val="en-GB"/>
        </w:rPr>
        <w:t>half</w:t>
      </w:r>
      <w:r w:rsidR="00DA4CEB" w:rsidRPr="00221992">
        <w:rPr>
          <w:lang w:val="en-GB"/>
        </w:rPr>
        <w:t xml:space="preserve"> of </w:t>
      </w:r>
      <w:r w:rsidR="00E37943">
        <w:rPr>
          <w:lang w:val="en-GB"/>
        </w:rPr>
        <w:t>all</w:t>
      </w:r>
      <w:r w:rsidR="00DA4CEB" w:rsidRPr="00221992">
        <w:rPr>
          <w:lang w:val="en-GB"/>
        </w:rPr>
        <w:t xml:space="preserve"> data used to execute </w:t>
      </w:r>
      <w:r w:rsidR="265A9845" w:rsidRPr="00221992">
        <w:rPr>
          <w:lang w:val="en-GB"/>
        </w:rPr>
        <w:t xml:space="preserve">performance-based </w:t>
      </w:r>
      <w:r w:rsidR="00DA4CEB" w:rsidRPr="00221992">
        <w:rPr>
          <w:lang w:val="en-GB"/>
        </w:rPr>
        <w:t>agreement</w:t>
      </w:r>
      <w:r w:rsidR="00E1579A" w:rsidRPr="00221992">
        <w:rPr>
          <w:lang w:val="en-GB"/>
        </w:rPr>
        <w:t xml:space="preserve">s (see </w:t>
      </w:r>
      <w:r w:rsidR="00E1579A" w:rsidRPr="00221992">
        <w:rPr>
          <w:lang w:val="en-GB"/>
        </w:rPr>
        <w:fldChar w:fldCharType="begin"/>
      </w:r>
      <w:r w:rsidR="00E1579A" w:rsidRPr="00221992">
        <w:rPr>
          <w:lang w:val="en-GB"/>
        </w:rPr>
        <w:instrText xml:space="preserve"> REF _Ref143599693 \h </w:instrText>
      </w:r>
      <w:r w:rsidR="00E1579A" w:rsidRPr="00221992">
        <w:rPr>
          <w:lang w:val="en-GB"/>
        </w:rPr>
      </w:r>
      <w:r w:rsidR="00E1579A" w:rsidRPr="00221992">
        <w:rPr>
          <w:lang w:val="en-GB"/>
        </w:rPr>
        <w:fldChar w:fldCharType="separate"/>
      </w:r>
      <w:r w:rsidR="000E11E7" w:rsidRPr="00221992">
        <w:rPr>
          <w:lang w:val="en-GB"/>
        </w:rPr>
        <w:t xml:space="preserve">Figure </w:t>
      </w:r>
      <w:r w:rsidR="000E11E7">
        <w:rPr>
          <w:noProof/>
          <w:lang w:val="en-GB"/>
        </w:rPr>
        <w:t>31</w:t>
      </w:r>
      <w:r w:rsidR="00E1579A" w:rsidRPr="00221992">
        <w:rPr>
          <w:lang w:val="en-GB"/>
        </w:rPr>
        <w:fldChar w:fldCharType="end"/>
      </w:r>
      <w:r w:rsidR="00E1579A" w:rsidRPr="00221992">
        <w:rPr>
          <w:lang w:val="en-GB"/>
        </w:rPr>
        <w:t>)</w:t>
      </w:r>
      <w:r w:rsidR="00DA4CEB" w:rsidRPr="00221992">
        <w:rPr>
          <w:lang w:val="en-GB"/>
        </w:rPr>
        <w:t>. Other data sources commonly used include MEA</w:t>
      </w:r>
      <w:r w:rsidR="00751765" w:rsidRPr="00221992">
        <w:rPr>
          <w:lang w:val="en-GB"/>
        </w:rPr>
        <w:t>-</w:t>
      </w:r>
      <w:r w:rsidR="00DA4CEB" w:rsidRPr="00221992">
        <w:rPr>
          <w:lang w:val="en-GB"/>
        </w:rPr>
        <w:t>specific registries, prospective studies (</w:t>
      </w:r>
      <w:r w:rsidR="3CF42E53" w:rsidRPr="00221992">
        <w:rPr>
          <w:lang w:val="en-GB"/>
        </w:rPr>
        <w:t>37.5</w:t>
      </w:r>
      <w:r w:rsidR="00DA4CEB" w:rsidRPr="00221992">
        <w:rPr>
          <w:lang w:val="en-GB"/>
        </w:rPr>
        <w:t>%)</w:t>
      </w:r>
      <w:r w:rsidR="00F73BE8">
        <w:rPr>
          <w:lang w:val="en-GB"/>
        </w:rPr>
        <w:t xml:space="preserve"> and</w:t>
      </w:r>
      <w:r w:rsidR="00DA4CEB" w:rsidRPr="00221992">
        <w:rPr>
          <w:lang w:val="en-GB"/>
        </w:rPr>
        <w:t xml:space="preserve"> post</w:t>
      </w:r>
      <w:r w:rsidR="00FA3BEA" w:rsidRPr="00221992">
        <w:rPr>
          <w:lang w:val="en-GB"/>
        </w:rPr>
        <w:t>-</w:t>
      </w:r>
      <w:r w:rsidR="00DA4CEB" w:rsidRPr="00221992">
        <w:rPr>
          <w:lang w:val="en-GB"/>
        </w:rPr>
        <w:t>market clinical trial/study data (1</w:t>
      </w:r>
      <w:r w:rsidR="27BDE8E1" w:rsidRPr="00221992">
        <w:rPr>
          <w:lang w:val="en-GB"/>
        </w:rPr>
        <w:t>3.5</w:t>
      </w:r>
      <w:r w:rsidR="00DA4CEB" w:rsidRPr="00221992">
        <w:rPr>
          <w:lang w:val="en-GB"/>
        </w:rPr>
        <w:t xml:space="preserve">%) </w:t>
      </w:r>
      <w:r w:rsidR="00FA3BEA" w:rsidRPr="00221992">
        <w:rPr>
          <w:lang w:val="en-GB"/>
        </w:rPr>
        <w:t>(i.e.,</w:t>
      </w:r>
      <w:r w:rsidR="00DA4CEB" w:rsidRPr="00221992">
        <w:rPr>
          <w:lang w:val="en-GB"/>
        </w:rPr>
        <w:t xml:space="preserve"> studies conducted to assess </w:t>
      </w:r>
      <w:r w:rsidR="00FA3BEA" w:rsidRPr="00221992">
        <w:rPr>
          <w:lang w:val="en-GB"/>
        </w:rPr>
        <w:t>a</w:t>
      </w:r>
      <w:r w:rsidR="00DA4CEB" w:rsidRPr="00221992">
        <w:rPr>
          <w:lang w:val="en-GB"/>
        </w:rPr>
        <w:t xml:space="preserve"> product</w:t>
      </w:r>
      <w:r w:rsidR="00551786">
        <w:rPr>
          <w:lang w:val="en-GB"/>
        </w:rPr>
        <w:t>’</w:t>
      </w:r>
      <w:r w:rsidR="00DA4CEB" w:rsidRPr="00221992">
        <w:rPr>
          <w:lang w:val="en-GB"/>
        </w:rPr>
        <w:t>s safety, efficacy and real-world performance beyond the controlled setting of the clinical trial</w:t>
      </w:r>
      <w:r w:rsidR="00FA3BEA" w:rsidRPr="00221992">
        <w:rPr>
          <w:lang w:val="en-GB"/>
        </w:rPr>
        <w:t>)</w:t>
      </w:r>
      <w:r w:rsidR="2A01D176" w:rsidRPr="00221992">
        <w:rPr>
          <w:lang w:val="en-GB"/>
        </w:rPr>
        <w:t xml:space="preserve"> </w:t>
      </w:r>
      <w:r w:rsidRPr="00221992">
        <w:rPr>
          <w:lang w:val="en-GB" w:eastAsia="en-GB"/>
        </w:rPr>
        <w:fldChar w:fldCharType="begin"/>
      </w:r>
      <w:r w:rsidR="005A67DD" w:rsidRPr="00221992">
        <w:rPr>
          <w:lang w:val="en-GB" w:eastAsia="en-GB"/>
        </w:rPr>
        <w:instrText xml:space="preserve"> ADDIN EN.CITE &lt;EndNote&gt;&lt;Cite&gt;&lt;Author&gt;Wenzl M&lt;/Author&gt;&lt;Year&gt;2019&lt;/Year&gt;&lt;RecNum&gt;477&lt;/RecNum&gt;&lt;DisplayText&gt;[6]&lt;/DisplayText&gt;&lt;record&gt;&lt;rec-number&gt;477&lt;/rec-number&gt;&lt;foreign-keys&gt;&lt;key app="EN" db-id="wzwwsfxe4peesxef95cxvrwjxts9rreasarf" timestamp="1692654671"&gt;477&lt;/key&gt;&lt;/foreign-keys&gt;&lt;ref-type name="Book Section"&gt;5&lt;/ref-type&gt;&lt;contributors&gt;&lt;authors&gt;&lt;author&gt;Wenzl M,&lt;/author&gt;&lt;author&gt;Chapman S.&lt;/author&gt;&lt;/authors&gt;&lt;/contributors&gt;&lt;titles&gt;&lt;title&gt;Performance-Based Managed Entry Agreements For New Medicines in OECD Countries and EU Member States: How They Work and Possible Improvements Going Forward.&lt;/title&gt;&lt;secondary-title&gt;OECD Health Working Papers,&lt;/secondary-title&gt;&lt;/titles&gt;&lt;volume&gt;No. 115&lt;/volume&gt;&lt;dates&gt;&lt;year&gt;2019&lt;/year&gt;&lt;/dates&gt;&lt;pub-location&gt;Paris&lt;/pub-location&gt;&lt;publisher&gt;OECD Publishing&lt;/publisher&gt;&lt;urls&gt;&lt;related-urls&gt;&lt;url&gt;https://www.oecd-ilibrary.org/content/paper/6e5e4c0f-en&lt;/url&gt;&lt;/related-urls&gt;&lt;/urls&gt;&lt;electronic-resource-num&gt;doi:https://doi.org/10.1787/6e5e4c0f-en&lt;/electronic-resource-num&gt;&lt;/record&gt;&lt;/Cite&gt;&lt;/EndNote&gt;</w:instrText>
      </w:r>
      <w:r w:rsidRPr="00221992">
        <w:rPr>
          <w:lang w:val="en-GB" w:eastAsia="en-GB"/>
        </w:rPr>
        <w:fldChar w:fldCharType="separate"/>
      </w:r>
      <w:r w:rsidR="005A67DD" w:rsidRPr="00221992">
        <w:rPr>
          <w:noProof/>
          <w:lang w:val="en-GB" w:eastAsia="en-GB"/>
        </w:rPr>
        <w:t>[6]</w:t>
      </w:r>
      <w:r w:rsidRPr="00221992">
        <w:rPr>
          <w:lang w:val="en-GB" w:eastAsia="en-GB"/>
        </w:rPr>
        <w:fldChar w:fldCharType="end"/>
      </w:r>
      <w:r w:rsidR="00DA4CEB" w:rsidRPr="00221992">
        <w:rPr>
          <w:lang w:val="en-GB"/>
        </w:rPr>
        <w:t>.</w:t>
      </w:r>
    </w:p>
    <w:p w14:paraId="487FA55A" w14:textId="77777777" w:rsidR="00DA4CEB" w:rsidRPr="00221992" w:rsidRDefault="00DA4CEB" w:rsidP="00EF5B9A">
      <w:pPr>
        <w:pStyle w:val="BodyText"/>
        <w:rPr>
          <w:lang w:val="en-GB"/>
        </w:rPr>
      </w:pPr>
    </w:p>
    <w:p w14:paraId="38000E72" w14:textId="126EF3CD" w:rsidR="00E1579A" w:rsidRPr="00221992" w:rsidRDefault="00E1579A">
      <w:pPr>
        <w:pStyle w:val="Caption"/>
        <w:rPr>
          <w:lang w:val="en-GB"/>
        </w:rPr>
      </w:pPr>
      <w:bookmarkStart w:id="188" w:name="_Ref143599693"/>
      <w:bookmarkStart w:id="189" w:name="_Toc162950938"/>
      <w:r w:rsidRPr="00221992">
        <w:rPr>
          <w:lang w:val="en-GB"/>
        </w:rPr>
        <w:t xml:space="preserve">Figure </w:t>
      </w:r>
      <w:r w:rsidR="003F72DF" w:rsidRPr="00221992">
        <w:rPr>
          <w:lang w:val="en-GB"/>
        </w:rPr>
        <w:fldChar w:fldCharType="begin"/>
      </w:r>
      <w:r w:rsidR="003F72DF" w:rsidRPr="00221992">
        <w:rPr>
          <w:lang w:val="en-GB"/>
        </w:rPr>
        <w:instrText xml:space="preserve"> SEQ Figure \* ARABIC </w:instrText>
      </w:r>
      <w:r w:rsidR="003F72DF" w:rsidRPr="00221992">
        <w:rPr>
          <w:lang w:val="en-GB"/>
        </w:rPr>
        <w:fldChar w:fldCharType="separate"/>
      </w:r>
      <w:r w:rsidR="000E11E7">
        <w:rPr>
          <w:noProof/>
          <w:lang w:val="en-GB"/>
        </w:rPr>
        <w:t>31</w:t>
      </w:r>
      <w:r w:rsidR="003F72DF" w:rsidRPr="00221992">
        <w:rPr>
          <w:noProof/>
          <w:lang w:val="en-GB"/>
        </w:rPr>
        <w:fldChar w:fldCharType="end"/>
      </w:r>
      <w:bookmarkEnd w:id="188"/>
      <w:r w:rsidRPr="00221992">
        <w:rPr>
          <w:lang w:val="en-GB"/>
        </w:rPr>
        <w:t xml:space="preserve">. Data </w:t>
      </w:r>
      <w:r w:rsidR="00DD560C" w:rsidRPr="00221992">
        <w:rPr>
          <w:lang w:val="en-GB"/>
        </w:rPr>
        <w:t>s</w:t>
      </w:r>
      <w:r w:rsidRPr="00221992">
        <w:rPr>
          <w:lang w:val="en-GB"/>
        </w:rPr>
        <w:t xml:space="preserve">ources </w:t>
      </w:r>
      <w:r w:rsidR="00DD560C" w:rsidRPr="00221992">
        <w:rPr>
          <w:lang w:val="en-GB"/>
        </w:rPr>
        <w:t xml:space="preserve">used </w:t>
      </w:r>
      <w:r w:rsidRPr="00221992">
        <w:rPr>
          <w:lang w:val="en-GB"/>
        </w:rPr>
        <w:t xml:space="preserve">to inform </w:t>
      </w:r>
      <w:r w:rsidR="00661F62">
        <w:rPr>
          <w:lang w:val="en-GB"/>
        </w:rPr>
        <w:t>performance-based MEAs</w:t>
      </w:r>
      <w:bookmarkEnd w:id="189"/>
    </w:p>
    <w:p w14:paraId="5FDF8662" w14:textId="50C1BA04" w:rsidR="00DA4CEB" w:rsidRPr="00221992" w:rsidRDefault="53EAD666" w:rsidP="00EF5B9A">
      <w:pPr>
        <w:pStyle w:val="BodyText"/>
        <w:rPr>
          <w:lang w:val="en-GB"/>
        </w:rPr>
      </w:pPr>
      <w:r w:rsidRPr="00221992">
        <w:rPr>
          <w:noProof/>
          <w:lang w:val="en-GB"/>
        </w:rPr>
        <w:drawing>
          <wp:inline distT="0" distB="0" distL="0" distR="0" wp14:anchorId="5299F1A2" wp14:editId="6E1E5DEE">
            <wp:extent cx="5842768" cy="4029075"/>
            <wp:effectExtent l="0" t="0" r="0" b="0"/>
            <wp:docPr id="1544186429" name="Picture 1544186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extLst>
                        <a:ext uri="{28A0092B-C50C-407E-A947-70E740481C1C}">
                          <a14:useLocalDpi xmlns:a14="http://schemas.microsoft.com/office/drawing/2010/main" val="0"/>
                        </a:ext>
                      </a:extLst>
                    </a:blip>
                    <a:stretch>
                      <a:fillRect/>
                    </a:stretch>
                  </pic:blipFill>
                  <pic:spPr>
                    <a:xfrm>
                      <a:off x="0" y="0"/>
                      <a:ext cx="5842768" cy="4029075"/>
                    </a:xfrm>
                    <a:prstGeom prst="rect">
                      <a:avLst/>
                    </a:prstGeom>
                  </pic:spPr>
                </pic:pic>
              </a:graphicData>
            </a:graphic>
          </wp:inline>
        </w:drawing>
      </w:r>
    </w:p>
    <w:p w14:paraId="7A8AE54C" w14:textId="02B1CAAA" w:rsidR="00DA4CEB" w:rsidRPr="00221992" w:rsidRDefault="00DA4CEB" w:rsidP="00533CF1">
      <w:pPr>
        <w:pStyle w:val="TableNotes"/>
        <w:rPr>
          <w:lang w:val="en-GB"/>
        </w:rPr>
      </w:pPr>
      <w:r w:rsidRPr="00221992">
        <w:rPr>
          <w:lang w:val="en-GB"/>
        </w:rPr>
        <w:t xml:space="preserve">Source: </w:t>
      </w:r>
      <w:r w:rsidR="5D5F1E5C" w:rsidRPr="00221992">
        <w:rPr>
          <w:lang w:val="en-GB"/>
        </w:rPr>
        <w:t>Wenzl</w:t>
      </w:r>
      <w:r w:rsidR="009473E2" w:rsidRPr="00221992">
        <w:rPr>
          <w:lang w:val="en-GB"/>
        </w:rPr>
        <w:t>, M</w:t>
      </w:r>
      <w:r w:rsidR="00310048">
        <w:rPr>
          <w:lang w:val="en-GB"/>
        </w:rPr>
        <w:t>.</w:t>
      </w:r>
      <w:r w:rsidR="5D5F1E5C" w:rsidRPr="00221992">
        <w:rPr>
          <w:lang w:val="en-GB"/>
        </w:rPr>
        <w:t xml:space="preserve"> et al</w:t>
      </w:r>
      <w:r w:rsidR="00310048">
        <w:rPr>
          <w:lang w:val="en-GB"/>
        </w:rPr>
        <w:t>.</w:t>
      </w:r>
      <w:r w:rsidR="5D5F1E5C" w:rsidRPr="00221992">
        <w:rPr>
          <w:lang w:val="en-GB"/>
        </w:rPr>
        <w:t xml:space="preserve"> (2019)</w:t>
      </w:r>
      <w:r w:rsidR="00F216E8">
        <w:rPr>
          <w:lang w:val="en-GB"/>
        </w:rPr>
        <w:t>;</w:t>
      </w:r>
      <w:r w:rsidR="5D5F1E5C" w:rsidRPr="00221992">
        <w:rPr>
          <w:lang w:val="en-GB"/>
        </w:rPr>
        <w:t xml:space="preserve"> </w:t>
      </w:r>
      <w:r w:rsidR="5D5F1E5C" w:rsidRPr="00221992">
        <w:rPr>
          <w:noProof/>
          <w:lang w:val="en-GB"/>
        </w:rPr>
        <w:t>NHS England Cancer Drugs Fund Team (2022)</w:t>
      </w:r>
      <w:r w:rsidR="004A05E0">
        <w:rPr>
          <w:noProof/>
          <w:lang w:val="en-GB"/>
        </w:rPr>
        <w:t xml:space="preserve"> </w:t>
      </w:r>
      <w:r w:rsidR="00653F87" w:rsidRPr="00221992">
        <w:rPr>
          <w:lang w:val="en-GB"/>
        </w:rPr>
        <w:fldChar w:fldCharType="begin"/>
      </w:r>
      <w:r w:rsidR="00E5265C">
        <w:rPr>
          <w:lang w:val="en-GB"/>
        </w:rPr>
        <w:instrText xml:space="preserve"> ADDIN EN.CITE &lt;EndNote&gt;&lt;Cite&gt;&lt;Author&gt;Wenzl M&lt;/Author&gt;&lt;Year&gt;2019&lt;/Year&gt;&lt;RecNum&gt;477&lt;/RecNum&gt;&lt;DisplayText&gt;[6, 218]&lt;/DisplayText&gt;&lt;record&gt;&lt;rec-number&gt;477&lt;/rec-number&gt;&lt;foreign-keys&gt;&lt;key app="EN" db-id="wzwwsfxe4peesxef95cxvrwjxts9rreasarf" timestamp="1692654671"&gt;477&lt;/key&gt;&lt;/foreign-keys&gt;&lt;ref-type name="Book Section"&gt;5&lt;/ref-type&gt;&lt;contributors&gt;&lt;authors&gt;&lt;author&gt;Wenzl M,&lt;/author&gt;&lt;author&gt;Chapman S.&lt;/author&gt;&lt;/authors&gt;&lt;/contributors&gt;&lt;titles&gt;&lt;title&gt;Performance-Based Managed Entry Agreements For New Medicines in OECD Countries and EU Member States: How They Work and Possible Improvements Going Forward.&lt;/title&gt;&lt;secondary-title&gt;OECD Health Working Papers,&lt;/secondary-title&gt;&lt;/titles&gt;&lt;volume&gt;No. 115&lt;/volume&gt;&lt;dates&gt;&lt;year&gt;2019&lt;/year&gt;&lt;/dates&gt;&lt;pub-location&gt;Paris&lt;/pub-location&gt;&lt;publisher&gt;OECD Publishing&lt;/publisher&gt;&lt;urls&gt;&lt;related-urls&gt;&lt;url&gt;https://www.oecd-ilibrary.org/content/paper/6e5e4c0f-en&lt;/url&gt;&lt;/related-urls&gt;&lt;/urls&gt;&lt;electronic-resource-num&gt;doi:https://doi.org/10.1787/6e5e4c0f-en&lt;/electronic-resource-num&gt;&lt;/record&gt;&lt;/Cite&gt;&lt;Cite&gt;&lt;Author&gt;NHS England Cancer Drugs Fund Team&lt;/Author&gt;&lt;Year&gt;2022&lt;/Year&gt;&lt;RecNum&gt;351&lt;/RecNum&gt;&lt;record&gt;&lt;rec-number&gt;351&lt;/rec-number&gt;&lt;foreign-keys&gt;&lt;key app="EN" db-id="wzwwsfxe4peesxef95cxvrwjxts9rreasarf" timestamp="1692654670"&gt;351&lt;/key&gt;&lt;/foreign-keys&gt;&lt;ref-type name="Book Section"&gt;5&lt;/ref-type&gt;&lt;contributors&gt;&lt;authors&gt;&lt;author&gt;NHS England Cancer Drugs Fund Team,&lt;/author&gt;&lt;/authors&gt;&lt;/contributors&gt;&lt;titles&gt;&lt;title&gt;NHS commercial framework for new medicines&lt;/title&gt;&lt;/titles&gt;&lt;dates&gt;&lt;year&gt;2022&lt;/year&gt;&lt;/dates&gt;&lt;pub-location&gt;London, England&lt;/pub-location&gt;&lt;publisher&gt;NHS.&lt;/publisher&gt;&lt;urls&gt;&lt;related-urls&gt;&lt;url&gt;https://www.england.nhs.uk/wp-content/uploads/2021/02/B1688-nhs-commercial-framework-for-new-medicines-june-22.pdf&lt;/url&gt;&lt;/related-urls&gt;&lt;/urls&gt;&lt;/record&gt;&lt;/Cite&gt;&lt;/EndNote&gt;</w:instrText>
      </w:r>
      <w:r w:rsidR="00653F87" w:rsidRPr="00221992">
        <w:rPr>
          <w:lang w:val="en-GB"/>
        </w:rPr>
        <w:fldChar w:fldCharType="separate"/>
      </w:r>
      <w:r w:rsidR="00E5265C">
        <w:rPr>
          <w:noProof/>
          <w:lang w:val="en-GB"/>
        </w:rPr>
        <w:t>[6, 218]</w:t>
      </w:r>
      <w:r w:rsidR="00653F87" w:rsidRPr="00221992">
        <w:rPr>
          <w:lang w:val="en-GB"/>
        </w:rPr>
        <w:fldChar w:fldCharType="end"/>
      </w:r>
      <w:r w:rsidR="009473E2" w:rsidRPr="00221992">
        <w:rPr>
          <w:lang w:val="en-GB"/>
        </w:rPr>
        <w:t>.</w:t>
      </w:r>
    </w:p>
    <w:p w14:paraId="23E32FDD" w14:textId="1D803D13" w:rsidR="00CB4342" w:rsidRPr="00221992" w:rsidRDefault="00DA4CEB" w:rsidP="00DA2E9D">
      <w:pPr>
        <w:rPr>
          <w:lang w:val="en-GB"/>
        </w:rPr>
      </w:pPr>
      <w:r w:rsidRPr="00221992">
        <w:rPr>
          <w:lang w:val="en-GB"/>
        </w:rPr>
        <w:t xml:space="preserve">While </w:t>
      </w:r>
      <w:r w:rsidR="00775FAC" w:rsidRPr="00221992">
        <w:rPr>
          <w:lang w:val="en-GB"/>
        </w:rPr>
        <w:t>use of</w:t>
      </w:r>
      <w:r w:rsidRPr="00221992">
        <w:rPr>
          <w:lang w:val="en-GB"/>
        </w:rPr>
        <w:t xml:space="preserve"> secondary or routinely collected data </w:t>
      </w:r>
      <w:r w:rsidR="00775FAC" w:rsidRPr="00221992">
        <w:rPr>
          <w:lang w:val="en-GB"/>
        </w:rPr>
        <w:t>may</w:t>
      </w:r>
      <w:r w:rsidRPr="00221992">
        <w:rPr>
          <w:lang w:val="en-GB"/>
        </w:rPr>
        <w:t xml:space="preserve"> help reduce administrative burden, </w:t>
      </w:r>
      <w:r w:rsidR="0082607F" w:rsidRPr="00221992">
        <w:rPr>
          <w:lang w:val="en-GB"/>
        </w:rPr>
        <w:t>such data</w:t>
      </w:r>
      <w:r w:rsidR="00775FAC" w:rsidRPr="00221992">
        <w:rPr>
          <w:lang w:val="en-GB"/>
        </w:rPr>
        <w:t xml:space="preserve"> ha</w:t>
      </w:r>
      <w:r w:rsidR="0082607F" w:rsidRPr="00221992">
        <w:rPr>
          <w:lang w:val="en-GB"/>
        </w:rPr>
        <w:t>ve</w:t>
      </w:r>
      <w:r w:rsidR="00775FAC" w:rsidRPr="00221992">
        <w:rPr>
          <w:lang w:val="en-GB"/>
        </w:rPr>
        <w:t xml:space="preserve"> limited utility in</w:t>
      </w:r>
      <w:r w:rsidRPr="00221992">
        <w:rPr>
          <w:lang w:val="en-GB"/>
        </w:rPr>
        <w:t xml:space="preserve"> assessing </w:t>
      </w:r>
      <w:r w:rsidR="00551786">
        <w:rPr>
          <w:lang w:val="en-GB"/>
        </w:rPr>
        <w:t>‘</w:t>
      </w:r>
      <w:r w:rsidRPr="00221992">
        <w:rPr>
          <w:lang w:val="en-GB"/>
        </w:rPr>
        <w:t>true</w:t>
      </w:r>
      <w:r w:rsidR="00551786">
        <w:rPr>
          <w:lang w:val="en-GB"/>
        </w:rPr>
        <w:t>’</w:t>
      </w:r>
      <w:r w:rsidRPr="00221992">
        <w:rPr>
          <w:lang w:val="en-GB"/>
        </w:rPr>
        <w:t xml:space="preserve"> patient response and</w:t>
      </w:r>
      <w:r w:rsidR="00775FAC" w:rsidRPr="00221992">
        <w:rPr>
          <w:lang w:val="en-GB"/>
        </w:rPr>
        <w:t>, by extension,</w:t>
      </w:r>
      <w:r w:rsidRPr="00221992">
        <w:rPr>
          <w:lang w:val="en-GB"/>
        </w:rPr>
        <w:t xml:space="preserve"> </w:t>
      </w:r>
      <w:r w:rsidR="00895494" w:rsidRPr="00221992">
        <w:rPr>
          <w:lang w:val="en-GB"/>
        </w:rPr>
        <w:t>clinical effectiveness</w:t>
      </w:r>
      <w:r w:rsidRPr="00221992">
        <w:rPr>
          <w:lang w:val="en-GB"/>
        </w:rPr>
        <w:t xml:space="preserve"> </w:t>
      </w:r>
      <w:r w:rsidR="00653F87" w:rsidRPr="00221992">
        <w:rPr>
          <w:lang w:val="en-GB"/>
        </w:rPr>
        <w:fldChar w:fldCharType="begin"/>
      </w:r>
      <w:r w:rsidR="00E5265C">
        <w:rPr>
          <w:lang w:val="en-GB"/>
        </w:rPr>
        <w:instrText xml:space="preserve"> ADDIN EN.CITE &lt;EndNote&gt;&lt;Cite&gt;&lt;Author&gt;NICE&lt;/Author&gt;&lt;Year&gt;2022&lt;/Year&gt;&lt;RecNum&gt;353&lt;/RecNum&gt;&lt;DisplayText&gt;[219]&lt;/DisplayText&gt;&lt;record&gt;&lt;rec-number&gt;353&lt;/rec-number&gt;&lt;foreign-keys&gt;&lt;key app="EN" db-id="wzwwsfxe4peesxef95cxvrwjxts9rreasarf" timestamp="1692654670"&gt;353&lt;/key&gt;&lt;/foreign-keys&gt;&lt;ref-type name="Web Page"&gt;12&lt;/ref-type&gt;&lt;contributors&gt;&lt;authors&gt;&lt;author&gt;NICE,&lt;/author&gt;&lt;/authors&gt;&lt;/contributors&gt;&lt;titles&gt;&lt;title&gt;NICE real-world evidence framework https://www.nice.org.uk/corporate/ecd9/resources/nice-realworld-evidence-framework-pdf-1124020816837. Accessed 12 July 2023&lt;/title&gt;&lt;/titles&gt;&lt;dates&gt;&lt;year&gt;2022&lt;/year&gt;&lt;/dates&gt;&lt;pub-location&gt;London, England&lt;/pub-location&gt;&lt;publisher&gt;National Health Service&lt;/publisher&gt;&lt;urls&gt;&lt;/urls&gt;&lt;/record&gt;&lt;/Cite&gt;&lt;/EndNote&gt;</w:instrText>
      </w:r>
      <w:r w:rsidR="00653F87" w:rsidRPr="00221992">
        <w:rPr>
          <w:lang w:val="en-GB"/>
        </w:rPr>
        <w:fldChar w:fldCharType="separate"/>
      </w:r>
      <w:r w:rsidR="00E5265C">
        <w:rPr>
          <w:noProof/>
          <w:lang w:val="en-GB"/>
        </w:rPr>
        <w:t>[219]</w:t>
      </w:r>
      <w:r w:rsidR="00653F87" w:rsidRPr="00221992">
        <w:rPr>
          <w:lang w:val="en-GB"/>
        </w:rPr>
        <w:fldChar w:fldCharType="end"/>
      </w:r>
      <w:r w:rsidRPr="00221992">
        <w:rPr>
          <w:lang w:val="en-GB"/>
        </w:rPr>
        <w:t xml:space="preserve">. Furthermore, the source of </w:t>
      </w:r>
      <w:r w:rsidR="00895494" w:rsidRPr="00221992">
        <w:rPr>
          <w:lang w:val="en-GB"/>
        </w:rPr>
        <w:t xml:space="preserve">the </w:t>
      </w:r>
      <w:r w:rsidRPr="00221992">
        <w:rPr>
          <w:lang w:val="en-GB"/>
        </w:rPr>
        <w:t xml:space="preserve">data has implications </w:t>
      </w:r>
      <w:r w:rsidR="00895494" w:rsidRPr="00221992">
        <w:rPr>
          <w:lang w:val="en-GB"/>
        </w:rPr>
        <w:t>with respect to</w:t>
      </w:r>
      <w:r w:rsidRPr="00221992">
        <w:rPr>
          <w:lang w:val="en-GB"/>
        </w:rPr>
        <w:t xml:space="preserve"> ongoing analysis, as custodianship </w:t>
      </w:r>
      <w:r w:rsidR="00895494" w:rsidRPr="00221992">
        <w:rPr>
          <w:lang w:val="en-GB"/>
        </w:rPr>
        <w:t>may</w:t>
      </w:r>
      <w:r w:rsidRPr="00221992">
        <w:rPr>
          <w:lang w:val="en-GB"/>
        </w:rPr>
        <w:t xml:space="preserve"> vary </w:t>
      </w:r>
      <w:r w:rsidR="00895494" w:rsidRPr="00221992">
        <w:rPr>
          <w:lang w:val="en-GB"/>
        </w:rPr>
        <w:t>depending on</w:t>
      </w:r>
      <w:r w:rsidRPr="00221992">
        <w:rPr>
          <w:lang w:val="en-GB"/>
        </w:rPr>
        <w:t xml:space="preserve"> the payer (in the case of routine</w:t>
      </w:r>
      <w:r w:rsidR="00895494" w:rsidRPr="00221992">
        <w:rPr>
          <w:lang w:val="en-GB"/>
        </w:rPr>
        <w:t>ly collected</w:t>
      </w:r>
      <w:r w:rsidRPr="00221992">
        <w:rPr>
          <w:lang w:val="en-GB"/>
        </w:rPr>
        <w:t xml:space="preserve"> data) </w:t>
      </w:r>
      <w:r w:rsidR="00895494" w:rsidRPr="00221992">
        <w:rPr>
          <w:lang w:val="en-GB"/>
        </w:rPr>
        <w:t>and</w:t>
      </w:r>
      <w:r w:rsidRPr="00221992">
        <w:rPr>
          <w:lang w:val="en-GB"/>
        </w:rPr>
        <w:t xml:space="preserve"> </w:t>
      </w:r>
      <w:r w:rsidR="00895494" w:rsidRPr="00221992">
        <w:rPr>
          <w:lang w:val="en-GB"/>
        </w:rPr>
        <w:t>indication</w:t>
      </w:r>
      <w:r w:rsidRPr="00221992">
        <w:rPr>
          <w:lang w:val="en-GB"/>
        </w:rPr>
        <w:t xml:space="preserve"> (clinical trials </w:t>
      </w:r>
      <w:r w:rsidR="00895494" w:rsidRPr="00221992">
        <w:rPr>
          <w:lang w:val="en-GB"/>
        </w:rPr>
        <w:t>and</w:t>
      </w:r>
      <w:r w:rsidRPr="00221992">
        <w:rPr>
          <w:lang w:val="en-GB"/>
        </w:rPr>
        <w:t xml:space="preserve"> registries</w:t>
      </w:r>
      <w:r w:rsidR="00895494" w:rsidRPr="00221992">
        <w:rPr>
          <w:lang w:val="en-GB"/>
        </w:rPr>
        <w:t xml:space="preserve"> may be overseen by </w:t>
      </w:r>
      <w:r w:rsidR="0082607F" w:rsidRPr="00221992">
        <w:rPr>
          <w:lang w:val="en-GB"/>
        </w:rPr>
        <w:t>various</w:t>
      </w:r>
      <w:r w:rsidR="00895494" w:rsidRPr="00221992">
        <w:rPr>
          <w:lang w:val="en-GB"/>
        </w:rPr>
        <w:t xml:space="preserve"> regulatory authorities</w:t>
      </w:r>
      <w:r w:rsidRPr="00221992">
        <w:rPr>
          <w:lang w:val="en-GB"/>
        </w:rPr>
        <w:t xml:space="preserve">). </w:t>
      </w:r>
      <w:bookmarkStart w:id="190" w:name="_Toc142742691"/>
    </w:p>
    <w:p w14:paraId="045BDA8F" w14:textId="664F75F3" w:rsidR="00DC5B23" w:rsidRPr="00221992" w:rsidRDefault="00CB4342" w:rsidP="00DA2E9D">
      <w:pPr>
        <w:rPr>
          <w:lang w:val="en-GB"/>
        </w:rPr>
      </w:pPr>
      <w:r w:rsidRPr="00221992">
        <w:rPr>
          <w:lang w:val="en-GB"/>
        </w:rPr>
        <w:t xml:space="preserve">Within specific countries of interest to the Review, multiple types of data are often used to support </w:t>
      </w:r>
      <w:r w:rsidR="00661F62">
        <w:rPr>
          <w:lang w:val="en-GB"/>
        </w:rPr>
        <w:t>performance-based MEAs</w:t>
      </w:r>
      <w:r w:rsidRPr="00221992">
        <w:rPr>
          <w:lang w:val="en-GB"/>
        </w:rPr>
        <w:t xml:space="preserve">. </w:t>
      </w:r>
      <w:r w:rsidR="00DA2E9D" w:rsidRPr="00221992">
        <w:rPr>
          <w:lang w:val="en-GB"/>
        </w:rPr>
        <w:t>England/Wales</w:t>
      </w:r>
      <w:r w:rsidR="767085D5" w:rsidRPr="00221992">
        <w:rPr>
          <w:lang w:val="en-GB"/>
        </w:rPr>
        <w:t xml:space="preserve"> and Belgium, for instance, </w:t>
      </w:r>
      <w:r w:rsidRPr="00221992">
        <w:rPr>
          <w:lang w:val="en-GB"/>
        </w:rPr>
        <w:t xml:space="preserve">employ </w:t>
      </w:r>
      <w:r w:rsidR="00661F62">
        <w:rPr>
          <w:lang w:val="en-GB"/>
        </w:rPr>
        <w:t>performance-based MEAs</w:t>
      </w:r>
      <w:r w:rsidR="767085D5" w:rsidRPr="00221992">
        <w:rPr>
          <w:lang w:val="en-GB"/>
        </w:rPr>
        <w:t xml:space="preserve"> </w:t>
      </w:r>
      <w:r w:rsidRPr="00221992">
        <w:rPr>
          <w:lang w:val="en-GB"/>
        </w:rPr>
        <w:t xml:space="preserve">supported by </w:t>
      </w:r>
      <w:r w:rsidR="767085D5" w:rsidRPr="00221992">
        <w:rPr>
          <w:lang w:val="en-GB"/>
        </w:rPr>
        <w:t>routine disease registries, regulatory data</w:t>
      </w:r>
      <w:r w:rsidRPr="00221992">
        <w:rPr>
          <w:lang w:val="en-GB"/>
        </w:rPr>
        <w:t>,</w:t>
      </w:r>
      <w:r w:rsidR="767085D5" w:rsidRPr="00221992">
        <w:rPr>
          <w:lang w:val="en-GB"/>
        </w:rPr>
        <w:t xml:space="preserve"> and registries specific to MEAs. Australia</w:t>
      </w:r>
      <w:r w:rsidRPr="00221992">
        <w:rPr>
          <w:lang w:val="en-GB"/>
        </w:rPr>
        <w:t>, on the other hand,</w:t>
      </w:r>
      <w:r w:rsidR="767085D5" w:rsidRPr="00221992">
        <w:rPr>
          <w:lang w:val="en-GB"/>
        </w:rPr>
        <w:t xml:space="preserve"> predominantly relies on regulatory data, </w:t>
      </w:r>
      <w:r w:rsidRPr="00221992">
        <w:rPr>
          <w:lang w:val="en-GB"/>
        </w:rPr>
        <w:t>with</w:t>
      </w:r>
      <w:r w:rsidR="767085D5" w:rsidRPr="00221992">
        <w:rPr>
          <w:lang w:val="en-GB"/>
        </w:rPr>
        <w:t xml:space="preserve"> the sponsor retain</w:t>
      </w:r>
      <w:r w:rsidRPr="00221992">
        <w:rPr>
          <w:lang w:val="en-GB"/>
        </w:rPr>
        <w:t>ing custody of</w:t>
      </w:r>
      <w:r w:rsidR="767085D5" w:rsidRPr="00221992">
        <w:rPr>
          <w:lang w:val="en-GB"/>
        </w:rPr>
        <w:t xml:space="preserve"> data</w:t>
      </w:r>
      <w:r w:rsidR="00AE7CD7" w:rsidRPr="00AE7CD7">
        <w:rPr>
          <w:noProof/>
          <w:lang w:val="en-GB"/>
        </w:rPr>
        <w:t xml:space="preserve"> </w:t>
      </w:r>
      <w:r w:rsidR="00AE7CD7">
        <w:rPr>
          <w:noProof/>
          <w:lang w:val="en-GB"/>
        </w:rPr>
        <w:t>[</w:t>
      </w:r>
      <w:r w:rsidR="00AE7CD7" w:rsidRPr="00AE7CD7">
        <w:rPr>
          <w:lang w:val="en-GB"/>
        </w:rPr>
        <w:t>6</w:t>
      </w:r>
      <w:r w:rsidR="00AE7CD7">
        <w:rPr>
          <w:lang w:val="en-GB"/>
        </w:rPr>
        <w:t>]</w:t>
      </w:r>
      <w:r w:rsidR="767085D5" w:rsidRPr="00221992">
        <w:rPr>
          <w:lang w:val="en-GB"/>
        </w:rPr>
        <w:t>. Italy</w:t>
      </w:r>
      <w:r w:rsidR="590E8BF1" w:rsidRPr="00221992">
        <w:rPr>
          <w:lang w:val="en-GB"/>
        </w:rPr>
        <w:t xml:space="preserve"> is </w:t>
      </w:r>
      <w:r w:rsidRPr="00221992">
        <w:rPr>
          <w:lang w:val="en-GB"/>
        </w:rPr>
        <w:t>a notable</w:t>
      </w:r>
      <w:r w:rsidR="590E8BF1" w:rsidRPr="00221992">
        <w:rPr>
          <w:lang w:val="en-GB"/>
        </w:rPr>
        <w:t xml:space="preserve"> </w:t>
      </w:r>
      <w:r w:rsidRPr="00221992">
        <w:rPr>
          <w:lang w:val="en-GB"/>
        </w:rPr>
        <w:t>stand-out</w:t>
      </w:r>
      <w:r w:rsidR="767085D5" w:rsidRPr="00221992">
        <w:rPr>
          <w:lang w:val="en-GB"/>
        </w:rPr>
        <w:t xml:space="preserve">, </w:t>
      </w:r>
      <w:r w:rsidRPr="00221992">
        <w:rPr>
          <w:lang w:val="en-GB"/>
        </w:rPr>
        <w:t>with</w:t>
      </w:r>
      <w:r w:rsidR="767085D5" w:rsidRPr="00221992">
        <w:rPr>
          <w:lang w:val="en-GB"/>
        </w:rPr>
        <w:t xml:space="preserve"> </w:t>
      </w:r>
      <w:r w:rsidR="002476CA" w:rsidRPr="00221992">
        <w:rPr>
          <w:lang w:val="en-GB"/>
        </w:rPr>
        <w:t>L</w:t>
      </w:r>
      <w:r w:rsidR="00551786">
        <w:rPr>
          <w:lang w:val="en-GB"/>
        </w:rPr>
        <w:t>’</w:t>
      </w:r>
      <w:r w:rsidR="002476CA" w:rsidRPr="00221992">
        <w:rPr>
          <w:lang w:val="en-GB"/>
        </w:rPr>
        <w:t>Agenzia Italiana del Farmaco</w:t>
      </w:r>
      <w:r w:rsidR="767085D5" w:rsidRPr="00221992">
        <w:rPr>
          <w:lang w:val="en-GB"/>
        </w:rPr>
        <w:t xml:space="preserve"> (AIFA) act</w:t>
      </w:r>
      <w:r w:rsidRPr="00221992">
        <w:rPr>
          <w:lang w:val="en-GB"/>
        </w:rPr>
        <w:t>ing</w:t>
      </w:r>
      <w:r w:rsidR="767085D5" w:rsidRPr="00221992">
        <w:rPr>
          <w:lang w:val="en-GB"/>
        </w:rPr>
        <w:t xml:space="preserve"> as the </w:t>
      </w:r>
      <w:r w:rsidRPr="00221992">
        <w:rPr>
          <w:lang w:val="en-GB"/>
        </w:rPr>
        <w:t xml:space="preserve">sole </w:t>
      </w:r>
      <w:r w:rsidR="767085D5" w:rsidRPr="00221992">
        <w:rPr>
          <w:lang w:val="en-GB"/>
        </w:rPr>
        <w:t xml:space="preserve">custodian </w:t>
      </w:r>
      <w:r w:rsidR="0040371B" w:rsidRPr="00221992">
        <w:rPr>
          <w:lang w:val="en-GB"/>
        </w:rPr>
        <w:t>of</w:t>
      </w:r>
      <w:r w:rsidR="767085D5" w:rsidRPr="00221992">
        <w:rPr>
          <w:lang w:val="en-GB"/>
        </w:rPr>
        <w:t xml:space="preserve"> all data linked to MEAs.</w:t>
      </w:r>
    </w:p>
    <w:p w14:paraId="530C235F" w14:textId="5283D9CE" w:rsidR="00DA4CEB" w:rsidRPr="00221992" w:rsidRDefault="00DA4CEB" w:rsidP="00E01D7C">
      <w:pPr>
        <w:rPr>
          <w:rFonts w:ascii="Calibri" w:hAnsi="Calibri" w:cs="Calibri"/>
          <w:b/>
          <w:lang w:val="en-GB"/>
        </w:rPr>
      </w:pPr>
      <w:r w:rsidRPr="00221992">
        <w:rPr>
          <w:rFonts w:ascii="Calibri" w:hAnsi="Calibri" w:cs="Calibri"/>
          <w:b/>
          <w:lang w:val="en-GB"/>
        </w:rPr>
        <w:t>Case study: MEA registries in Italy</w:t>
      </w:r>
      <w:bookmarkEnd w:id="190"/>
      <w:r w:rsidRPr="00221992">
        <w:rPr>
          <w:rFonts w:ascii="Calibri" w:hAnsi="Calibri" w:cs="Calibri"/>
          <w:b/>
          <w:lang w:val="en-GB"/>
        </w:rPr>
        <w:t xml:space="preserve"> </w:t>
      </w:r>
    </w:p>
    <w:p w14:paraId="5D4661D2" w14:textId="68086D72" w:rsidR="009569AD" w:rsidRPr="00221992" w:rsidRDefault="00DA4CEB" w:rsidP="00E01D7C">
      <w:pPr>
        <w:rPr>
          <w:lang w:val="en-GB"/>
        </w:rPr>
      </w:pPr>
      <w:r w:rsidRPr="00221992">
        <w:rPr>
          <w:lang w:val="en-GB"/>
        </w:rPr>
        <w:t xml:space="preserve">In </w:t>
      </w:r>
      <w:r w:rsidR="002476CA" w:rsidRPr="00221992">
        <w:rPr>
          <w:lang w:val="en-GB"/>
        </w:rPr>
        <w:t>Italy,</w:t>
      </w:r>
      <w:r w:rsidR="009569AD" w:rsidRPr="00221992">
        <w:rPr>
          <w:lang w:val="en-GB"/>
        </w:rPr>
        <w:t xml:space="preserve"> </w:t>
      </w:r>
      <w:r w:rsidR="002476CA" w:rsidRPr="00221992">
        <w:rPr>
          <w:lang w:val="en-GB"/>
        </w:rPr>
        <w:t>AIFA</w:t>
      </w:r>
      <w:r w:rsidR="009569AD" w:rsidRPr="00221992">
        <w:rPr>
          <w:lang w:val="en-GB"/>
        </w:rPr>
        <w:t xml:space="preserve"> is the national regulatory authority responsible for pharmaceuticals, overseeing </w:t>
      </w:r>
      <w:r w:rsidR="002476CA" w:rsidRPr="00221992">
        <w:rPr>
          <w:lang w:val="en-GB"/>
        </w:rPr>
        <w:t xml:space="preserve">HTA appraisals, </w:t>
      </w:r>
      <w:r w:rsidR="009569AD" w:rsidRPr="00221992">
        <w:rPr>
          <w:lang w:val="en-GB"/>
        </w:rPr>
        <w:t>pricing</w:t>
      </w:r>
      <w:r w:rsidR="002476CA" w:rsidRPr="00221992">
        <w:rPr>
          <w:lang w:val="en-GB"/>
        </w:rPr>
        <w:t xml:space="preserve"> and</w:t>
      </w:r>
      <w:r w:rsidR="009569AD" w:rsidRPr="00221992">
        <w:rPr>
          <w:lang w:val="en-GB"/>
        </w:rPr>
        <w:t xml:space="preserve"> reimbursement</w:t>
      </w:r>
      <w:r w:rsidR="002476CA" w:rsidRPr="00221992">
        <w:rPr>
          <w:lang w:val="en-GB"/>
        </w:rPr>
        <w:t>, with</w:t>
      </w:r>
      <w:r w:rsidR="009569AD" w:rsidRPr="00221992">
        <w:rPr>
          <w:lang w:val="en-GB"/>
        </w:rPr>
        <w:t xml:space="preserve"> </w:t>
      </w:r>
      <w:r w:rsidR="002476CA" w:rsidRPr="00221992">
        <w:rPr>
          <w:lang w:val="en-GB"/>
        </w:rPr>
        <w:t>the support of</w:t>
      </w:r>
      <w:r w:rsidR="009569AD" w:rsidRPr="00221992">
        <w:rPr>
          <w:lang w:val="en-GB"/>
        </w:rPr>
        <w:t xml:space="preserve"> the Technical-Scientific Commission (CTS) and Pricing &amp; Reimbursement Committee (CPR). AIFA operates an extensive national system of online registries. The first registry was launched in November 2004, followed by the introduction of the </w:t>
      </w:r>
      <w:r w:rsidR="002476CA" w:rsidRPr="00221992">
        <w:rPr>
          <w:lang w:val="en-GB"/>
        </w:rPr>
        <w:t>country</w:t>
      </w:r>
      <w:r w:rsidR="00551786">
        <w:rPr>
          <w:lang w:val="en-GB"/>
        </w:rPr>
        <w:t>’</w:t>
      </w:r>
      <w:r w:rsidR="002476CA" w:rsidRPr="00221992">
        <w:rPr>
          <w:lang w:val="en-GB"/>
        </w:rPr>
        <w:t xml:space="preserve">s </w:t>
      </w:r>
      <w:r w:rsidR="009569AD" w:rsidRPr="00221992">
        <w:rPr>
          <w:lang w:val="en-GB"/>
        </w:rPr>
        <w:t>first performance-based MEA in 2006 (</w:t>
      </w:r>
      <w:r w:rsidR="002476CA" w:rsidRPr="00221992">
        <w:rPr>
          <w:lang w:val="en-GB"/>
        </w:rPr>
        <w:t>m</w:t>
      </w:r>
      <w:r w:rsidR="009569AD" w:rsidRPr="00221992">
        <w:rPr>
          <w:lang w:val="en-GB"/>
        </w:rPr>
        <w:t>onoclonal antibodies for cancer using a risk-sharing approach)</w:t>
      </w:r>
      <w:r w:rsidR="002476CA" w:rsidRPr="00221992">
        <w:rPr>
          <w:lang w:val="en-GB"/>
        </w:rPr>
        <w:t xml:space="preserve"> </w:t>
      </w:r>
      <w:r w:rsidR="00653F87" w:rsidRPr="00221992">
        <w:rPr>
          <w:lang w:val="en-GB"/>
        </w:rPr>
        <w:fldChar w:fldCharType="begin"/>
      </w:r>
      <w:r w:rsidR="00E5265C">
        <w:rPr>
          <w:lang w:val="en-GB"/>
        </w:rPr>
        <w:instrText xml:space="preserve"> ADDIN EN.CITE &lt;EndNote&gt;&lt;Cite&gt;&lt;Author&gt;Xoxi&lt;/Author&gt;&lt;Year&gt;2021&lt;/Year&gt;&lt;RecNum&gt;486&lt;/RecNum&gt;&lt;DisplayText&gt;[220]&lt;/DisplayText&gt;&lt;record&gt;&lt;rec-number&gt;486&lt;/rec-number&gt;&lt;foreign-keys&gt;&lt;key app="EN" db-id="wzwwsfxe4peesxef95cxvrwjxts9rreasarf" timestamp="1692654671"&gt;486&lt;/key&gt;&lt;/foreign-keys&gt;&lt;ref-type name="Journal Article"&gt;17&lt;/ref-type&gt;&lt;contributors&gt;&lt;authors&gt;&lt;author&gt;Xoxi, E.&lt;/author&gt;&lt;author&gt;Facey, K. M.&lt;/author&gt;&lt;author&gt;Cicchetti, A.&lt;/author&gt;&lt;/authors&gt;&lt;/contributors&gt;&lt;auth-address&gt;Graduate School of Health Economics and Management, Catholic University of the Sacred Heart, Rome, Italy&amp;#xD;Usher Institute, University of Edinburgh, Edinburgh, United Kingdom&lt;/auth-address&gt;&lt;titles&gt;&lt;title&gt;The Evolution of AIFA Registries to Support Managed Entry Agreements for Orphan Medicinal Products in Italy&lt;/title&gt;&lt;secondary-title&gt;Front Pharmacol&lt;/secondary-title&gt;&lt;/titles&gt;&lt;periodical&gt;&lt;full-title&gt;Front Pharmacol&lt;/full-title&gt;&lt;/periodical&gt;&lt;volume&gt;12&lt;/volume&gt;&lt;edition&gt;20210810&lt;/edition&gt;&lt;dates&gt;&lt;year&gt;2021&lt;/year&gt;&lt;/dates&gt;&lt;accession-num&gt;34456724&lt;/accession-num&gt;&lt;urls&gt;&lt;/urls&gt;&lt;custom2&gt;PMC8386173&lt;/custom2&gt;&lt;electronic-resource-num&gt;10.3389/fphar.2021.699466&lt;/electronic-resource-num&gt;&lt;language&gt;eng&lt;/language&gt;&lt;/record&gt;&lt;/Cite&gt;&lt;/EndNote&gt;</w:instrText>
      </w:r>
      <w:r w:rsidR="00653F87" w:rsidRPr="00221992">
        <w:rPr>
          <w:lang w:val="en-GB"/>
        </w:rPr>
        <w:fldChar w:fldCharType="separate"/>
      </w:r>
      <w:r w:rsidR="00E5265C">
        <w:rPr>
          <w:noProof/>
          <w:lang w:val="en-GB"/>
        </w:rPr>
        <w:t>[220]</w:t>
      </w:r>
      <w:r w:rsidR="00653F87" w:rsidRPr="00221992">
        <w:rPr>
          <w:lang w:val="en-GB"/>
        </w:rPr>
        <w:fldChar w:fldCharType="end"/>
      </w:r>
      <w:r w:rsidR="009569AD" w:rsidRPr="00221992">
        <w:rPr>
          <w:lang w:val="en-GB"/>
        </w:rPr>
        <w:t xml:space="preserve">. </w:t>
      </w:r>
    </w:p>
    <w:p w14:paraId="7023AC7F" w14:textId="665C1324" w:rsidR="009569AD" w:rsidRPr="00221992" w:rsidRDefault="00B14DD4" w:rsidP="00E01D7C">
      <w:pPr>
        <w:rPr>
          <w:lang w:val="en-GB"/>
        </w:rPr>
      </w:pPr>
      <w:r w:rsidRPr="00221992">
        <w:rPr>
          <w:lang w:val="en-GB"/>
        </w:rPr>
        <w:t>Italy</w:t>
      </w:r>
      <w:r w:rsidR="00551786">
        <w:rPr>
          <w:lang w:val="en-GB"/>
        </w:rPr>
        <w:t>’</w:t>
      </w:r>
      <w:r w:rsidRPr="00221992">
        <w:rPr>
          <w:lang w:val="en-GB"/>
        </w:rPr>
        <w:t>s registries</w:t>
      </w:r>
      <w:r w:rsidR="009569AD" w:rsidRPr="00221992">
        <w:rPr>
          <w:lang w:val="en-GB"/>
        </w:rPr>
        <w:t xml:space="preserve"> have evolved in phases. </w:t>
      </w:r>
      <w:r w:rsidR="00F76B25" w:rsidRPr="00221992">
        <w:rPr>
          <w:lang w:val="en-GB"/>
        </w:rPr>
        <w:t>While t</w:t>
      </w:r>
      <w:r w:rsidR="009569AD" w:rsidRPr="00221992">
        <w:rPr>
          <w:lang w:val="en-GB"/>
        </w:rPr>
        <w:t>he initial focus of the registries was cancer products (2005-2007)</w:t>
      </w:r>
      <w:r w:rsidR="00F76B25" w:rsidRPr="00221992">
        <w:rPr>
          <w:lang w:val="en-GB"/>
        </w:rPr>
        <w:t>,</w:t>
      </w:r>
      <w:r w:rsidR="009569AD" w:rsidRPr="00221992">
        <w:rPr>
          <w:lang w:val="en-GB"/>
        </w:rPr>
        <w:t xml:space="preserve"> </w:t>
      </w:r>
      <w:r w:rsidR="00F76B25" w:rsidRPr="00221992">
        <w:rPr>
          <w:lang w:val="en-GB"/>
        </w:rPr>
        <w:t xml:space="preserve">the </w:t>
      </w:r>
      <w:r w:rsidR="009569AD" w:rsidRPr="00221992">
        <w:rPr>
          <w:lang w:val="en-GB"/>
        </w:rPr>
        <w:t xml:space="preserve">use of registries has </w:t>
      </w:r>
      <w:r w:rsidR="00F76B25" w:rsidRPr="00221992">
        <w:rPr>
          <w:lang w:val="en-GB"/>
        </w:rPr>
        <w:t xml:space="preserve">since </w:t>
      </w:r>
      <w:r w:rsidR="009569AD" w:rsidRPr="00221992">
        <w:rPr>
          <w:lang w:val="en-GB"/>
        </w:rPr>
        <w:t xml:space="preserve">expanded to </w:t>
      </w:r>
      <w:r w:rsidRPr="00221992">
        <w:rPr>
          <w:lang w:val="en-GB"/>
        </w:rPr>
        <w:t>a range of</w:t>
      </w:r>
      <w:r w:rsidR="009569AD" w:rsidRPr="00221992">
        <w:rPr>
          <w:lang w:val="en-GB"/>
        </w:rPr>
        <w:t xml:space="preserve"> therapeutic areas (</w:t>
      </w:r>
      <w:r w:rsidR="00FC7545" w:rsidRPr="00221992">
        <w:rPr>
          <w:lang w:val="en-GB"/>
        </w:rPr>
        <w:t>e.g.</w:t>
      </w:r>
      <w:r w:rsidR="009569AD" w:rsidRPr="00221992">
        <w:rPr>
          <w:lang w:val="en-GB"/>
        </w:rPr>
        <w:t xml:space="preserve">, neurology, endocrinology and cardiology) where </w:t>
      </w:r>
      <w:r w:rsidR="00FC7545" w:rsidRPr="00221992">
        <w:rPr>
          <w:lang w:val="en-GB"/>
        </w:rPr>
        <w:t xml:space="preserve">AIFA </w:t>
      </w:r>
      <w:r w:rsidR="005254F7" w:rsidRPr="00221992">
        <w:rPr>
          <w:lang w:val="en-GB"/>
        </w:rPr>
        <w:t xml:space="preserve">has </w:t>
      </w:r>
      <w:r w:rsidR="009569AD" w:rsidRPr="00221992">
        <w:rPr>
          <w:lang w:val="en-GB"/>
        </w:rPr>
        <w:t xml:space="preserve">deemed verification of appropriate use and precise monitoring of </w:t>
      </w:r>
      <w:r w:rsidR="7408D0C1" w:rsidRPr="00221992">
        <w:rPr>
          <w:lang w:val="en-GB"/>
        </w:rPr>
        <w:t>Servizio Sanitario Nazionale (</w:t>
      </w:r>
      <w:r w:rsidR="005254F7" w:rsidRPr="00221992">
        <w:rPr>
          <w:lang w:val="en-GB"/>
        </w:rPr>
        <w:t>SSN</w:t>
      </w:r>
      <w:r w:rsidR="7408D0C1" w:rsidRPr="00221992">
        <w:rPr>
          <w:lang w:val="en-GB"/>
        </w:rPr>
        <w:t xml:space="preserve">) </w:t>
      </w:r>
      <w:r w:rsidR="009569AD" w:rsidRPr="00221992">
        <w:rPr>
          <w:lang w:val="en-GB"/>
        </w:rPr>
        <w:t xml:space="preserve">expenditure was needed. </w:t>
      </w:r>
    </w:p>
    <w:p w14:paraId="239D83F7" w14:textId="606554CE" w:rsidR="009569AD" w:rsidRPr="00221992" w:rsidRDefault="008D096E" w:rsidP="00E01D7C">
      <w:pPr>
        <w:rPr>
          <w:lang w:val="en-GB"/>
        </w:rPr>
      </w:pPr>
      <w:r w:rsidRPr="00221992">
        <w:rPr>
          <w:lang w:val="en-GB"/>
        </w:rPr>
        <w:t>From</w:t>
      </w:r>
      <w:r w:rsidR="009569AD" w:rsidRPr="00221992">
        <w:rPr>
          <w:lang w:val="en-GB"/>
        </w:rPr>
        <w:t xml:space="preserve"> 2012</w:t>
      </w:r>
      <w:r w:rsidRPr="00221992">
        <w:rPr>
          <w:lang w:val="en-GB"/>
        </w:rPr>
        <w:t>-</w:t>
      </w:r>
      <w:r w:rsidR="009569AD" w:rsidRPr="00221992">
        <w:rPr>
          <w:lang w:val="en-GB"/>
        </w:rPr>
        <w:t>2017</w:t>
      </w:r>
      <w:r w:rsidRPr="00221992">
        <w:rPr>
          <w:lang w:val="en-GB"/>
        </w:rPr>
        <w:t>,</w:t>
      </w:r>
      <w:r w:rsidR="009569AD" w:rsidRPr="00221992">
        <w:rPr>
          <w:lang w:val="en-GB"/>
        </w:rPr>
        <w:t xml:space="preserve"> </w:t>
      </w:r>
      <w:r w:rsidRPr="00221992">
        <w:rPr>
          <w:lang w:val="en-GB"/>
        </w:rPr>
        <w:t>AIFA</w:t>
      </w:r>
      <w:r w:rsidR="003B1289" w:rsidRPr="00221992">
        <w:rPr>
          <w:lang w:val="en-GB"/>
        </w:rPr>
        <w:t xml:space="preserve"> worked to improve its</w:t>
      </w:r>
      <w:r w:rsidRPr="00221992">
        <w:rPr>
          <w:lang w:val="en-GB"/>
        </w:rPr>
        <w:t xml:space="preserve"> web-based platform </w:t>
      </w:r>
      <w:r w:rsidR="003B1289" w:rsidRPr="00221992">
        <w:rPr>
          <w:lang w:val="en-GB"/>
        </w:rPr>
        <w:t>and implemented</w:t>
      </w:r>
      <w:r w:rsidRPr="00221992">
        <w:rPr>
          <w:lang w:val="en-GB"/>
        </w:rPr>
        <w:t xml:space="preserve"> regular, semi-annual analysis of data</w:t>
      </w:r>
      <w:r w:rsidR="009569AD" w:rsidRPr="00221992">
        <w:rPr>
          <w:lang w:val="en-GB"/>
        </w:rPr>
        <w:t xml:space="preserve"> to facilitate </w:t>
      </w:r>
      <w:r w:rsidR="003B1289" w:rsidRPr="00221992">
        <w:rPr>
          <w:lang w:val="en-GB"/>
        </w:rPr>
        <w:t>price</w:t>
      </w:r>
      <w:r w:rsidR="009569AD" w:rsidRPr="00221992">
        <w:rPr>
          <w:lang w:val="en-GB"/>
        </w:rPr>
        <w:t xml:space="preserve"> </w:t>
      </w:r>
      <w:r w:rsidR="003B1289" w:rsidRPr="00221992">
        <w:rPr>
          <w:lang w:val="en-GB"/>
        </w:rPr>
        <w:t>(</w:t>
      </w:r>
      <w:r w:rsidR="009569AD" w:rsidRPr="00221992">
        <w:rPr>
          <w:lang w:val="en-GB"/>
        </w:rPr>
        <w:t>re</w:t>
      </w:r>
      <w:r w:rsidR="003B1289" w:rsidRPr="00221992">
        <w:rPr>
          <w:lang w:val="en-GB"/>
        </w:rPr>
        <w:t>)</w:t>
      </w:r>
      <w:r w:rsidR="009569AD" w:rsidRPr="00221992">
        <w:rPr>
          <w:lang w:val="en-GB"/>
        </w:rPr>
        <w:t>negotiation</w:t>
      </w:r>
      <w:r w:rsidR="003B1289" w:rsidRPr="00221992">
        <w:rPr>
          <w:lang w:val="en-GB"/>
        </w:rPr>
        <w:t>s</w:t>
      </w:r>
      <w:r w:rsidR="009569AD" w:rsidRPr="00221992">
        <w:rPr>
          <w:lang w:val="en-GB"/>
        </w:rPr>
        <w:t xml:space="preserve">. In 2017, </w:t>
      </w:r>
      <w:r w:rsidRPr="00221992">
        <w:rPr>
          <w:lang w:val="en-GB"/>
        </w:rPr>
        <w:t>AIFA</w:t>
      </w:r>
      <w:r w:rsidR="009569AD" w:rsidRPr="00221992">
        <w:rPr>
          <w:lang w:val="en-GB"/>
        </w:rPr>
        <w:t xml:space="preserve"> initiated </w:t>
      </w:r>
      <w:r w:rsidRPr="00221992">
        <w:rPr>
          <w:lang w:val="en-GB"/>
        </w:rPr>
        <w:t xml:space="preserve">a process to </w:t>
      </w:r>
      <w:r w:rsidR="009569AD" w:rsidRPr="00221992">
        <w:rPr>
          <w:lang w:val="en-GB"/>
        </w:rPr>
        <w:t xml:space="preserve">strengthen the system for the evaluation of </w:t>
      </w:r>
      <w:r w:rsidR="009569AD" w:rsidRPr="00221992">
        <w:rPr>
          <w:color w:val="000000" w:themeColor="text1"/>
          <w:lang w:val="en-GB"/>
        </w:rPr>
        <w:t>innovation (</w:t>
      </w:r>
      <w:r w:rsidRPr="00221992">
        <w:rPr>
          <w:color w:val="000000" w:themeColor="text1"/>
          <w:lang w:val="en-GB"/>
        </w:rPr>
        <w:t>see</w:t>
      </w:r>
      <w:r w:rsidR="009569AD" w:rsidRPr="00221992">
        <w:rPr>
          <w:color w:val="000000" w:themeColor="text1"/>
          <w:lang w:val="en-GB"/>
        </w:rPr>
        <w:t xml:space="preserve"> </w:t>
      </w:r>
      <w:r w:rsidR="006873F7">
        <w:rPr>
          <w:color w:val="000000" w:themeColor="text1"/>
          <w:lang w:val="en-GB"/>
        </w:rPr>
        <w:t>C</w:t>
      </w:r>
      <w:r w:rsidR="004D7D30" w:rsidRPr="00221992">
        <w:rPr>
          <w:color w:val="000000" w:themeColor="text1"/>
          <w:lang w:val="en-GB"/>
        </w:rPr>
        <w:t>ase study</w:t>
      </w:r>
      <w:r w:rsidR="006873F7">
        <w:rPr>
          <w:color w:val="000000" w:themeColor="text1"/>
          <w:lang w:val="en-GB"/>
        </w:rPr>
        <w:t>—</w:t>
      </w:r>
      <w:r w:rsidR="004D7D30" w:rsidRPr="00221992">
        <w:rPr>
          <w:color w:val="000000" w:themeColor="text1"/>
          <w:lang w:val="en-GB"/>
        </w:rPr>
        <w:t>Value based pricing</w:t>
      </w:r>
      <w:r w:rsidR="00406958" w:rsidRPr="00221992">
        <w:rPr>
          <w:color w:val="000000" w:themeColor="text1"/>
          <w:lang w:val="en-GB"/>
        </w:rPr>
        <w:t xml:space="preserve"> in Italy</w:t>
      </w:r>
      <w:r w:rsidR="004D7D30" w:rsidRPr="00221992">
        <w:rPr>
          <w:color w:val="000000" w:themeColor="text1"/>
          <w:lang w:val="en-GB"/>
        </w:rPr>
        <w:t>)</w:t>
      </w:r>
      <w:r w:rsidR="009569AD" w:rsidRPr="00221992">
        <w:rPr>
          <w:color w:val="000000" w:themeColor="text1"/>
          <w:lang w:val="en-GB"/>
        </w:rPr>
        <w:t xml:space="preserve"> for </w:t>
      </w:r>
      <w:r w:rsidRPr="00221992">
        <w:rPr>
          <w:lang w:val="en-GB"/>
        </w:rPr>
        <w:t xml:space="preserve">a </w:t>
      </w:r>
      <w:r w:rsidR="009569AD" w:rsidRPr="00221992">
        <w:rPr>
          <w:lang w:val="en-GB"/>
        </w:rPr>
        <w:t xml:space="preserve">detailed description of innovation status initiatives). Specifically, the registries were aligned with legislation </w:t>
      </w:r>
      <w:r w:rsidR="003B1289" w:rsidRPr="00221992">
        <w:rPr>
          <w:lang w:val="en-GB"/>
        </w:rPr>
        <w:t>requiring</w:t>
      </w:r>
      <w:r w:rsidR="009569AD" w:rsidRPr="00221992">
        <w:rPr>
          <w:lang w:val="en-GB"/>
        </w:rPr>
        <w:t xml:space="preserve"> fully innovative products</w:t>
      </w:r>
      <w:r w:rsidR="003B1289" w:rsidRPr="00221992">
        <w:rPr>
          <w:lang w:val="en-GB"/>
        </w:rPr>
        <w:t xml:space="preserve"> to participate in</w:t>
      </w:r>
      <w:r w:rsidR="009569AD" w:rsidRPr="00221992">
        <w:rPr>
          <w:lang w:val="en-GB"/>
        </w:rPr>
        <w:t xml:space="preserve"> AIFA registries to manage pharmaceutical governance and related clinical and financial</w:t>
      </w:r>
      <w:r w:rsidR="007D713A" w:rsidRPr="00221992">
        <w:rPr>
          <w:lang w:val="en-GB"/>
        </w:rPr>
        <w:t xml:space="preserve"> uncertainties </w:t>
      </w:r>
      <w:r w:rsidR="007D713A" w:rsidRPr="00221992">
        <w:rPr>
          <w:lang w:val="en-GB"/>
        </w:rPr>
        <w:fldChar w:fldCharType="begin"/>
      </w:r>
      <w:r w:rsidR="00E5265C">
        <w:rPr>
          <w:lang w:val="en-GB"/>
        </w:rPr>
        <w:instrText xml:space="preserve"> ADDIN EN.CITE &lt;EndNote&gt;&lt;Cite&gt;&lt;Author&gt;Gazzetta Ufficiale&lt;/Author&gt;&lt;Year&gt;2016&lt;/Year&gt;&lt;RecNum&gt;174&lt;/RecNum&gt;&lt;DisplayText&gt;[221]&lt;/DisplayText&gt;&lt;record&gt;&lt;rec-number&gt;174&lt;/rec-number&gt;&lt;foreign-keys&gt;&lt;key app="EN" db-id="wzwwsfxe4peesxef95cxvrwjxts9rreasarf" timestamp="1692654670"&gt;174&lt;/key&gt;&lt;/foreign-keys&gt;&lt;ref-type name="Web Page"&gt;12&lt;/ref-type&gt;&lt;contributors&gt;&lt;authors&gt;&lt;author&gt;Gazzetta Ufficiale,&lt;/author&gt;&lt;/authors&gt;&lt;/contributors&gt;&lt;titles&gt;&lt;title&gt;Italian Law 11/12/2016 N. 232 Comma 404&lt;/title&gt;&lt;/titles&gt;&lt;number&gt;16 August 2023&lt;/number&gt;&lt;dates&gt;&lt;year&gt;2016&lt;/year&gt;&lt;/dates&gt;&lt;publisher&gt;Government of Italy&lt;/publisher&gt;&lt;urls&gt;&lt;related-urls&gt;&lt;url&gt;http://www.gazzettaufficiale.it/eli/id/2016/12/21/16G00242/sg &lt;/url&gt;&lt;/related-urls&gt;&lt;/urls&gt;&lt;/record&gt;&lt;/Cite&gt;&lt;/EndNote&gt;</w:instrText>
      </w:r>
      <w:r w:rsidR="007D713A" w:rsidRPr="00221992">
        <w:rPr>
          <w:lang w:val="en-GB"/>
        </w:rPr>
        <w:fldChar w:fldCharType="separate"/>
      </w:r>
      <w:r w:rsidR="00E5265C">
        <w:rPr>
          <w:noProof/>
          <w:lang w:val="en-GB"/>
        </w:rPr>
        <w:t>[221]</w:t>
      </w:r>
      <w:r w:rsidR="007D713A" w:rsidRPr="00221992">
        <w:rPr>
          <w:lang w:val="en-GB"/>
        </w:rPr>
        <w:fldChar w:fldCharType="end"/>
      </w:r>
      <w:r w:rsidR="007D713A" w:rsidRPr="00221992">
        <w:rPr>
          <w:lang w:val="en-GB"/>
        </w:rPr>
        <w:t>.</w:t>
      </w:r>
      <w:r w:rsidR="009569AD" w:rsidRPr="00221992">
        <w:rPr>
          <w:lang w:val="en-GB"/>
        </w:rPr>
        <w:t xml:space="preserve"> In this context, it was recognised that </w:t>
      </w:r>
      <w:r w:rsidR="003B1289" w:rsidRPr="00221992">
        <w:rPr>
          <w:lang w:val="en-GB"/>
        </w:rPr>
        <w:t xml:space="preserve">the </w:t>
      </w:r>
      <w:r w:rsidR="00875705" w:rsidRPr="00221992">
        <w:rPr>
          <w:lang w:val="en-GB"/>
        </w:rPr>
        <w:t xml:space="preserve">performance-based </w:t>
      </w:r>
      <w:r w:rsidR="009569AD" w:rsidRPr="00221992">
        <w:rPr>
          <w:lang w:val="en-GB"/>
        </w:rPr>
        <w:t>MEAs</w:t>
      </w:r>
      <w:r w:rsidR="003B1289" w:rsidRPr="00221992">
        <w:rPr>
          <w:lang w:val="en-GB"/>
        </w:rPr>
        <w:t xml:space="preserve"> then</w:t>
      </w:r>
      <w:r w:rsidR="009569AD" w:rsidRPr="00221992">
        <w:rPr>
          <w:lang w:val="en-GB"/>
        </w:rPr>
        <w:t xml:space="preserve"> in place may not adequately deal with clinical uncertainty associated with high-</w:t>
      </w:r>
      <w:r w:rsidR="00C90887" w:rsidRPr="00221992">
        <w:rPr>
          <w:lang w:val="en-GB"/>
        </w:rPr>
        <w:t>cost</w:t>
      </w:r>
      <w:r w:rsidR="009569AD" w:rsidRPr="00221992">
        <w:rPr>
          <w:lang w:val="en-GB"/>
        </w:rPr>
        <w:t xml:space="preserve"> treatments </w:t>
      </w:r>
      <w:r w:rsidR="00653F87" w:rsidRPr="00221992">
        <w:rPr>
          <w:lang w:val="en-GB"/>
        </w:rPr>
        <w:fldChar w:fldCharType="begin"/>
      </w:r>
      <w:r w:rsidR="00E5265C">
        <w:rPr>
          <w:lang w:val="en-GB"/>
        </w:rPr>
        <w:instrText xml:space="preserve"> ADDIN EN.CITE &lt;EndNote&gt;&lt;Cite&gt;&lt;Author&gt;Xoxi&lt;/Author&gt;&lt;Year&gt;2021&lt;/Year&gt;&lt;RecNum&gt;486&lt;/RecNum&gt;&lt;DisplayText&gt;[220]&lt;/DisplayText&gt;&lt;record&gt;&lt;rec-number&gt;486&lt;/rec-number&gt;&lt;foreign-keys&gt;&lt;key app="EN" db-id="wzwwsfxe4peesxef95cxvrwjxts9rreasarf" timestamp="1692654671"&gt;486&lt;/key&gt;&lt;/foreign-keys&gt;&lt;ref-type name="Journal Article"&gt;17&lt;/ref-type&gt;&lt;contributors&gt;&lt;authors&gt;&lt;author&gt;Xoxi, E.&lt;/author&gt;&lt;author&gt;Facey, K. M.&lt;/author&gt;&lt;author&gt;Cicchetti, A.&lt;/author&gt;&lt;/authors&gt;&lt;/contributors&gt;&lt;auth-address&gt;Graduate School of Health Economics and Management, Catholic University of the Sacred Heart, Rome, Italy&amp;#xD;Usher Institute, University of Edinburgh, Edinburgh, United Kingdom&lt;/auth-address&gt;&lt;titles&gt;&lt;title&gt;The Evolution of AIFA Registries to Support Managed Entry Agreements for Orphan Medicinal Products in Italy&lt;/title&gt;&lt;secondary-title&gt;Front Pharmacol&lt;/secondary-title&gt;&lt;/titles&gt;&lt;periodical&gt;&lt;full-title&gt;Front Pharmacol&lt;/full-title&gt;&lt;/periodical&gt;&lt;volume&gt;12&lt;/volume&gt;&lt;edition&gt;20210810&lt;/edition&gt;&lt;dates&gt;&lt;year&gt;2021&lt;/year&gt;&lt;/dates&gt;&lt;accession-num&gt;34456724&lt;/accession-num&gt;&lt;urls&gt;&lt;/urls&gt;&lt;custom2&gt;PMC8386173&lt;/custom2&gt;&lt;electronic-resource-num&gt;10.3389/fphar.2021.699466&lt;/electronic-resource-num&gt;&lt;language&gt;eng&lt;/language&gt;&lt;/record&gt;&lt;/Cite&gt;&lt;/EndNote&gt;</w:instrText>
      </w:r>
      <w:r w:rsidR="00653F87" w:rsidRPr="00221992">
        <w:rPr>
          <w:lang w:val="en-GB"/>
        </w:rPr>
        <w:fldChar w:fldCharType="separate"/>
      </w:r>
      <w:r w:rsidR="00E5265C">
        <w:rPr>
          <w:noProof/>
          <w:lang w:val="en-GB"/>
        </w:rPr>
        <w:t>[220]</w:t>
      </w:r>
      <w:r w:rsidR="00653F87" w:rsidRPr="00221992">
        <w:rPr>
          <w:lang w:val="en-GB"/>
        </w:rPr>
        <w:fldChar w:fldCharType="end"/>
      </w:r>
      <w:r w:rsidR="009569AD" w:rsidRPr="00221992">
        <w:rPr>
          <w:lang w:val="en-GB"/>
        </w:rPr>
        <w:t>.</w:t>
      </w:r>
      <w:r w:rsidR="00C32D2C">
        <w:rPr>
          <w:lang w:val="en-GB"/>
        </w:rPr>
        <w:t xml:space="preserve"> </w:t>
      </w:r>
    </w:p>
    <w:p w14:paraId="6CDC6FEC" w14:textId="6BB421C2" w:rsidR="009569AD" w:rsidRPr="00221992" w:rsidRDefault="009569AD" w:rsidP="00E01D7C">
      <w:pPr>
        <w:rPr>
          <w:lang w:val="en-GB"/>
        </w:rPr>
      </w:pPr>
      <w:r w:rsidRPr="00221992">
        <w:rPr>
          <w:lang w:val="en-GB"/>
        </w:rPr>
        <w:t xml:space="preserve">The main aims of the registries are to </w:t>
      </w:r>
      <w:r w:rsidR="000C6932" w:rsidRPr="00221992">
        <w:rPr>
          <w:lang w:val="en-GB"/>
        </w:rPr>
        <w:t xml:space="preserve">inform MEAs, </w:t>
      </w:r>
      <w:r w:rsidRPr="00221992">
        <w:rPr>
          <w:lang w:val="en-GB"/>
        </w:rPr>
        <w:t>verify use according to authorised indication, and monitor products with clinical, economic and financial uncertainty</w:t>
      </w:r>
      <w:r w:rsidR="000C6932" w:rsidRPr="00221992">
        <w:rPr>
          <w:lang w:val="en-GB"/>
        </w:rPr>
        <w:t>—</w:t>
      </w:r>
      <w:r w:rsidRPr="00221992">
        <w:rPr>
          <w:lang w:val="en-GB"/>
        </w:rPr>
        <w:t xml:space="preserve">notably innovative products. </w:t>
      </w:r>
    </w:p>
    <w:p w14:paraId="08CD287A" w14:textId="5FC4FB58" w:rsidR="00E01D7C" w:rsidRPr="00221992" w:rsidRDefault="00513EDD" w:rsidP="002B4FF3">
      <w:pPr>
        <w:rPr>
          <w:lang w:val="en-GB"/>
        </w:rPr>
      </w:pPr>
      <w:r w:rsidRPr="00221992">
        <w:rPr>
          <w:lang w:val="en-GB"/>
        </w:rPr>
        <w:t>K</w:t>
      </w:r>
      <w:r w:rsidR="009569AD" w:rsidRPr="00221992">
        <w:rPr>
          <w:lang w:val="en-GB"/>
        </w:rPr>
        <w:t xml:space="preserve">ey features of the </w:t>
      </w:r>
      <w:r w:rsidR="00C563D4" w:rsidRPr="00221992">
        <w:rPr>
          <w:lang w:val="en-GB"/>
        </w:rPr>
        <w:t>Italy</w:t>
      </w:r>
      <w:r w:rsidR="00551786">
        <w:rPr>
          <w:lang w:val="en-GB"/>
        </w:rPr>
        <w:t>’</w:t>
      </w:r>
      <w:r w:rsidR="00C563D4" w:rsidRPr="00221992">
        <w:rPr>
          <w:lang w:val="en-GB"/>
        </w:rPr>
        <w:t>s</w:t>
      </w:r>
      <w:r w:rsidRPr="00221992">
        <w:rPr>
          <w:lang w:val="en-GB"/>
        </w:rPr>
        <w:t xml:space="preserve"> </w:t>
      </w:r>
      <w:r w:rsidR="009569AD" w:rsidRPr="00221992">
        <w:rPr>
          <w:lang w:val="en-GB"/>
        </w:rPr>
        <w:t>registry system are outlined in</w:t>
      </w:r>
      <w:r w:rsidR="002B4FF3" w:rsidRPr="00221992">
        <w:rPr>
          <w:lang w:val="en-GB"/>
        </w:rPr>
        <w:t xml:space="preserve"> </w:t>
      </w:r>
      <w:r w:rsidR="0009490B" w:rsidRPr="00221992">
        <w:rPr>
          <w:lang w:val="en-GB"/>
        </w:rPr>
        <w:fldChar w:fldCharType="begin"/>
      </w:r>
      <w:r w:rsidR="0009490B">
        <w:instrText xml:space="preserve"> REF _Ref145408487 \h </w:instrText>
      </w:r>
      <w:r w:rsidR="0009490B" w:rsidRPr="00221992">
        <w:rPr>
          <w:lang w:val="en-GB"/>
        </w:rPr>
      </w:r>
      <w:r w:rsidR="0009490B" w:rsidRPr="00221992">
        <w:rPr>
          <w:lang w:val="en-GB"/>
        </w:rPr>
        <w:fldChar w:fldCharType="separate"/>
      </w:r>
      <w:r w:rsidR="000E11E7" w:rsidRPr="00221992">
        <w:rPr>
          <w:lang w:val="en-GB"/>
        </w:rPr>
        <w:t xml:space="preserve">Table </w:t>
      </w:r>
      <w:r w:rsidR="000E11E7">
        <w:rPr>
          <w:noProof/>
        </w:rPr>
        <w:t>21</w:t>
      </w:r>
      <w:r w:rsidR="0009490B" w:rsidRPr="00221992">
        <w:rPr>
          <w:lang w:val="en-GB"/>
        </w:rPr>
        <w:fldChar w:fldCharType="end"/>
      </w:r>
      <w:r w:rsidR="00E01D7C" w:rsidRPr="00221992">
        <w:rPr>
          <w:lang w:val="en-GB"/>
        </w:rPr>
        <w:t>.</w:t>
      </w:r>
    </w:p>
    <w:p w14:paraId="6DD97486" w14:textId="489BE963" w:rsidR="002B4FF3" w:rsidRPr="00221992" w:rsidRDefault="002B4FF3">
      <w:pPr>
        <w:pStyle w:val="Caption"/>
        <w:rPr>
          <w:lang w:val="en-GB"/>
        </w:rPr>
      </w:pPr>
      <w:bookmarkStart w:id="191" w:name="_Ref145408487"/>
      <w:bookmarkStart w:id="192" w:name="_Toc162950968"/>
      <w:r w:rsidRPr="00221992">
        <w:rPr>
          <w:lang w:val="en-GB"/>
        </w:rPr>
        <w:t xml:space="preserve">Table </w:t>
      </w:r>
      <w:r w:rsidR="003F72DF" w:rsidRPr="00221992">
        <w:rPr>
          <w:lang w:val="en-GB"/>
        </w:rPr>
        <w:fldChar w:fldCharType="begin"/>
      </w:r>
      <w:r w:rsidR="003F72DF">
        <w:instrText xml:space="preserve"> SEQ Table \* ARABIC </w:instrText>
      </w:r>
      <w:r w:rsidR="003F72DF" w:rsidRPr="00221992">
        <w:rPr>
          <w:lang w:val="en-GB"/>
        </w:rPr>
        <w:fldChar w:fldCharType="separate"/>
      </w:r>
      <w:r w:rsidR="000E11E7">
        <w:rPr>
          <w:noProof/>
        </w:rPr>
        <w:t>21</w:t>
      </w:r>
      <w:r w:rsidR="003F72DF" w:rsidRPr="00221992">
        <w:rPr>
          <w:noProof/>
          <w:lang w:val="en-GB"/>
        </w:rPr>
        <w:fldChar w:fldCharType="end"/>
      </w:r>
      <w:bookmarkEnd w:id="191"/>
      <w:r w:rsidRPr="00221992">
        <w:rPr>
          <w:lang w:val="en-GB"/>
        </w:rPr>
        <w:t>. Key features of Italy</w:t>
      </w:r>
      <w:r w:rsidR="00551786">
        <w:rPr>
          <w:lang w:val="en-GB"/>
        </w:rPr>
        <w:t>’</w:t>
      </w:r>
      <w:r w:rsidRPr="00221992">
        <w:rPr>
          <w:lang w:val="en-GB"/>
        </w:rPr>
        <w:t>s registry system</w:t>
      </w:r>
      <w:bookmarkEnd w:id="192"/>
    </w:p>
    <w:tbl>
      <w:tblPr>
        <w:tblStyle w:val="LinedBlueTable"/>
        <w:tblW w:w="0" w:type="auto"/>
        <w:tblLook w:val="04A0" w:firstRow="1" w:lastRow="0" w:firstColumn="1" w:lastColumn="0" w:noHBand="0" w:noVBand="1"/>
        <w:tblCaption w:val="Key features of Italy’s registry system"/>
      </w:tblPr>
      <w:tblGrid>
        <w:gridCol w:w="3114"/>
        <w:gridCol w:w="6090"/>
      </w:tblGrid>
      <w:tr w:rsidR="009569AD" w:rsidRPr="001E2E50" w14:paraId="23820F04" w14:textId="77777777" w:rsidTr="00613D1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04" w:type="dxa"/>
            <w:gridSpan w:val="2"/>
            <w:shd w:val="clear" w:color="auto" w:fill="1D8BCE"/>
          </w:tcPr>
          <w:p w14:paraId="516825E1" w14:textId="77777777" w:rsidR="009569AD" w:rsidRPr="001E2E50" w:rsidRDefault="009569AD" w:rsidP="000B7862">
            <w:pPr>
              <w:rPr>
                <w:sz w:val="20"/>
                <w:szCs w:val="20"/>
                <w:lang w:val="en-GB"/>
              </w:rPr>
            </w:pPr>
            <w:r w:rsidRPr="001E2E50">
              <w:rPr>
                <w:sz w:val="20"/>
                <w:szCs w:val="20"/>
                <w:lang w:val="en-GB"/>
              </w:rPr>
              <w:t>Key features</w:t>
            </w:r>
          </w:p>
        </w:tc>
      </w:tr>
      <w:tr w:rsidR="009569AD" w:rsidRPr="001E2E50" w14:paraId="4D32EA26" w14:textId="77777777" w:rsidTr="00613D1F">
        <w:tc>
          <w:tcPr>
            <w:cnfStyle w:val="001000000000" w:firstRow="0" w:lastRow="0" w:firstColumn="1" w:lastColumn="0" w:oddVBand="0" w:evenVBand="0" w:oddHBand="0" w:evenHBand="0" w:firstRowFirstColumn="0" w:firstRowLastColumn="0" w:lastRowFirstColumn="0" w:lastRowLastColumn="0"/>
            <w:tcW w:w="3114" w:type="dxa"/>
            <w:shd w:val="clear" w:color="auto" w:fill="1D8BCE"/>
          </w:tcPr>
          <w:p w14:paraId="4F86E3F8" w14:textId="77777777" w:rsidR="009569AD" w:rsidRPr="001E2E50" w:rsidRDefault="009569AD" w:rsidP="00F5000B">
            <w:pPr>
              <w:rPr>
                <w:sz w:val="20"/>
                <w:szCs w:val="20"/>
                <w:lang w:val="en-GB"/>
              </w:rPr>
            </w:pPr>
            <w:r w:rsidRPr="001E2E50">
              <w:rPr>
                <w:sz w:val="20"/>
                <w:szCs w:val="20"/>
                <w:lang w:val="en-GB"/>
              </w:rPr>
              <w:t xml:space="preserve">How are registries established? </w:t>
            </w:r>
          </w:p>
        </w:tc>
        <w:tc>
          <w:tcPr>
            <w:tcW w:w="6090" w:type="dxa"/>
          </w:tcPr>
          <w:p w14:paraId="04E480EE" w14:textId="279B5CE6" w:rsidR="009569AD" w:rsidRPr="001E2E50" w:rsidRDefault="009569AD" w:rsidP="00A663BF">
            <w:pPr>
              <w:pStyle w:val="Tablefonts"/>
              <w:spacing w:line="276" w:lineRule="auto"/>
              <w:cnfStyle w:val="000000000000" w:firstRow="0" w:lastRow="0" w:firstColumn="0" w:lastColumn="0" w:oddVBand="0" w:evenVBand="0" w:oddHBand="0" w:evenHBand="0" w:firstRowFirstColumn="0" w:firstRowLastColumn="0" w:lastRowFirstColumn="0" w:lastRowLastColumn="0"/>
              <w:rPr>
                <w:lang w:val="en-GB"/>
              </w:rPr>
            </w:pPr>
            <w:r w:rsidRPr="001E2E50">
              <w:rPr>
                <w:lang w:val="en-GB"/>
              </w:rPr>
              <w:t xml:space="preserve">For each </w:t>
            </w:r>
            <w:r w:rsidR="009525D2" w:rsidRPr="001E2E50">
              <w:rPr>
                <w:lang w:val="en-GB"/>
              </w:rPr>
              <w:t>product</w:t>
            </w:r>
            <w:r w:rsidRPr="001E2E50">
              <w:rPr>
                <w:lang w:val="en-GB"/>
              </w:rPr>
              <w:t>/indication, the CTS determines the place in therapy, reimbursement class</w:t>
            </w:r>
            <w:r w:rsidR="002F1015" w:rsidRPr="001E2E50">
              <w:rPr>
                <w:lang w:val="en-GB"/>
              </w:rPr>
              <w:t xml:space="preserve"> and</w:t>
            </w:r>
            <w:r w:rsidRPr="001E2E50">
              <w:rPr>
                <w:lang w:val="en-GB"/>
              </w:rPr>
              <w:t xml:space="preserve"> innovation status, and assesses the uncertainties. CTS issues a mandate to the AIFA registries office for the development of a registry and if a performance</w:t>
            </w:r>
            <w:r w:rsidR="002F1015" w:rsidRPr="001E2E50">
              <w:rPr>
                <w:lang w:val="en-GB"/>
              </w:rPr>
              <w:t>-based</w:t>
            </w:r>
            <w:r w:rsidRPr="001E2E50">
              <w:rPr>
                <w:lang w:val="en-GB"/>
              </w:rPr>
              <w:t xml:space="preserve"> MEA is to be enacted, clinical experts and the sponsor </w:t>
            </w:r>
            <w:r w:rsidR="002F1015" w:rsidRPr="001E2E50">
              <w:rPr>
                <w:lang w:val="en-GB"/>
              </w:rPr>
              <w:t>are engaged in its establishment</w:t>
            </w:r>
            <w:r w:rsidRPr="001E2E50">
              <w:rPr>
                <w:lang w:val="en-GB"/>
              </w:rPr>
              <w:t xml:space="preserve">. An agreement is made based on 1) eligibility for use of the product on the NHS, 2) clinical data to be collected, and 3) any MEA to be implemented. To complete the process, the CTS opinion then transfers to </w:t>
            </w:r>
            <w:r w:rsidR="002F1015" w:rsidRPr="001E2E50">
              <w:rPr>
                <w:lang w:val="en-GB"/>
              </w:rPr>
              <w:t xml:space="preserve">the </w:t>
            </w:r>
            <w:r w:rsidRPr="001E2E50">
              <w:rPr>
                <w:lang w:val="en-GB"/>
              </w:rPr>
              <w:t>CPR for price negotiation and discussion of any other agreements</w:t>
            </w:r>
            <w:r w:rsidR="002F1015" w:rsidRPr="001E2E50">
              <w:rPr>
                <w:lang w:val="en-GB"/>
              </w:rPr>
              <w:t>,</w:t>
            </w:r>
            <w:r w:rsidRPr="001E2E50">
              <w:rPr>
                <w:lang w:val="en-GB"/>
              </w:rPr>
              <w:t xml:space="preserve"> such as those relating to financial issues.</w:t>
            </w:r>
          </w:p>
        </w:tc>
      </w:tr>
      <w:tr w:rsidR="009569AD" w:rsidRPr="001E2E50" w14:paraId="5BF62256" w14:textId="77777777" w:rsidTr="00613D1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4" w:type="dxa"/>
            <w:shd w:val="clear" w:color="auto" w:fill="1D8BCE"/>
          </w:tcPr>
          <w:p w14:paraId="354D9CC8" w14:textId="77777777" w:rsidR="009569AD" w:rsidRPr="001E2E50" w:rsidRDefault="009569AD" w:rsidP="00F5000B">
            <w:pPr>
              <w:rPr>
                <w:sz w:val="20"/>
                <w:szCs w:val="20"/>
                <w:lang w:val="en-GB"/>
              </w:rPr>
            </w:pPr>
            <w:r w:rsidRPr="001E2E50">
              <w:rPr>
                <w:sz w:val="20"/>
                <w:szCs w:val="20"/>
                <w:lang w:val="en-GB"/>
              </w:rPr>
              <w:t>What data is collected?</w:t>
            </w:r>
          </w:p>
        </w:tc>
        <w:tc>
          <w:tcPr>
            <w:tcW w:w="6090" w:type="dxa"/>
            <w:shd w:val="clear" w:color="auto" w:fill="F2F2F2" w:themeFill="background1" w:themeFillShade="F2"/>
          </w:tcPr>
          <w:p w14:paraId="7D846A7C" w14:textId="48F41D98" w:rsidR="009569AD" w:rsidRPr="001E2E50" w:rsidRDefault="009569AD" w:rsidP="00A663BF">
            <w:pPr>
              <w:pStyle w:val="Tablefonts"/>
              <w:spacing w:line="276" w:lineRule="auto"/>
              <w:cnfStyle w:val="000000010000" w:firstRow="0" w:lastRow="0" w:firstColumn="0" w:lastColumn="0" w:oddVBand="0" w:evenVBand="0" w:oddHBand="0" w:evenHBand="1" w:firstRowFirstColumn="0" w:firstRowLastColumn="0" w:lastRowFirstColumn="0" w:lastRowLastColumn="0"/>
              <w:rPr>
                <w:lang w:val="en-GB"/>
              </w:rPr>
            </w:pPr>
            <w:r w:rsidRPr="001E2E50">
              <w:rPr>
                <w:lang w:val="en-GB"/>
              </w:rPr>
              <w:t>Registries are predominantly drug/indication based but in 2014</w:t>
            </w:r>
            <w:r w:rsidR="002F1015" w:rsidRPr="001E2E50">
              <w:rPr>
                <w:lang w:val="en-GB"/>
              </w:rPr>
              <w:t>,</w:t>
            </w:r>
            <w:r w:rsidRPr="001E2E50">
              <w:rPr>
                <w:lang w:val="en-GB"/>
              </w:rPr>
              <w:t xml:space="preserve"> a disease-based approach was </w:t>
            </w:r>
            <w:r w:rsidR="002F1015" w:rsidRPr="001E2E50">
              <w:rPr>
                <w:lang w:val="en-GB"/>
              </w:rPr>
              <w:t>initiated,</w:t>
            </w:r>
            <w:r w:rsidRPr="001E2E50">
              <w:rPr>
                <w:lang w:val="en-GB"/>
              </w:rPr>
              <w:t xml:space="preserve"> driven by regulatory adaptive pathway initiatives</w:t>
            </w:r>
            <w:r w:rsidR="00762634" w:rsidRPr="001E2E50">
              <w:rPr>
                <w:lang w:val="en-GB"/>
              </w:rPr>
              <w:t xml:space="preserve"> .</w:t>
            </w:r>
            <w:r w:rsidRPr="001E2E50">
              <w:rPr>
                <w:lang w:val="en-GB"/>
              </w:rPr>
              <w:t xml:space="preserve"> The aim is to standardize data collection by disease (same core data)</w:t>
            </w:r>
            <w:r w:rsidR="009A3DC3" w:rsidRPr="001E2E50">
              <w:rPr>
                <w:lang w:val="en-GB"/>
              </w:rPr>
              <w:t>,</w:t>
            </w:r>
            <w:r w:rsidRPr="001E2E50">
              <w:rPr>
                <w:lang w:val="en-GB"/>
              </w:rPr>
              <w:t xml:space="preserve"> altering the patient eligibility based on the authorization characteristics of each product (as a result of the EMA label indication and AIFA restrictions). The registries capture a wide range of information, including patient demographics, treatment patterns, clinical outcomes, adverse events, and other relevant data. They also capture information on the utilisation of new products in routine practice.</w:t>
            </w:r>
          </w:p>
        </w:tc>
      </w:tr>
      <w:tr w:rsidR="009569AD" w:rsidRPr="001E2E50" w14:paraId="644A77C0" w14:textId="77777777" w:rsidTr="00613D1F">
        <w:tc>
          <w:tcPr>
            <w:cnfStyle w:val="001000000000" w:firstRow="0" w:lastRow="0" w:firstColumn="1" w:lastColumn="0" w:oddVBand="0" w:evenVBand="0" w:oddHBand="0" w:evenHBand="0" w:firstRowFirstColumn="0" w:firstRowLastColumn="0" w:lastRowFirstColumn="0" w:lastRowLastColumn="0"/>
            <w:tcW w:w="3114" w:type="dxa"/>
            <w:shd w:val="clear" w:color="auto" w:fill="1D8BCE"/>
          </w:tcPr>
          <w:p w14:paraId="0C9030DC" w14:textId="6BF03876" w:rsidR="009569AD" w:rsidRPr="001E2E50" w:rsidRDefault="00D31807" w:rsidP="00F5000B">
            <w:pPr>
              <w:rPr>
                <w:sz w:val="20"/>
                <w:szCs w:val="20"/>
                <w:lang w:val="en-GB"/>
              </w:rPr>
            </w:pPr>
            <w:r w:rsidRPr="000C66C0">
              <w:rPr>
                <w:color w:val="F2F2F2" w:themeColor="background2"/>
                <w:sz w:val="20"/>
                <w:szCs w:val="20"/>
              </w:rPr>
              <w:t>How Is data collected</w:t>
            </w:r>
            <w:r w:rsidR="004908BD" w:rsidRPr="000C66C0">
              <w:rPr>
                <w:color w:val="F2F2F2" w:themeColor="background2"/>
                <w:sz w:val="20"/>
                <w:szCs w:val="20"/>
              </w:rPr>
              <w:t>?</w:t>
            </w:r>
            <w:r w:rsidR="108F9A37" w:rsidRPr="000C66C0">
              <w:rPr>
                <w:color w:val="F2F2F2" w:themeColor="background2"/>
                <w:sz w:val="20"/>
                <w:szCs w:val="20"/>
              </w:rPr>
              <w:t xml:space="preserve"> </w:t>
            </w:r>
            <w:r w:rsidR="002D2EFF" w:rsidRPr="001E2E50">
              <w:rPr>
                <w:sz w:val="20"/>
                <w:szCs w:val="20"/>
                <w:lang w:val="en-GB"/>
              </w:rPr>
              <w:fldChar w:fldCharType="begin">
                <w:fldData xml:space="preserve">PEVuZE5vdGU+PENpdGU+PEF1dGhvcj5GYXVsa25lcjwvQXV0aG9yPjxZZWFyPjIwMTY8L1llYXI+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</w:fldData>
              </w:fldChar>
            </w:r>
            <w:r w:rsidR="00E5265C">
              <w:rPr>
                <w:sz w:val="20"/>
                <w:szCs w:val="20"/>
                <w:lang w:val="en-GB"/>
              </w:rPr>
              <w:instrText xml:space="preserve"> ADDIN EN.CITE </w:instrText>
            </w:r>
            <w:r w:rsidR="00E5265C">
              <w:rPr>
                <w:sz w:val="20"/>
                <w:szCs w:val="20"/>
                <w:lang w:val="en-GB"/>
              </w:rPr>
              <w:fldChar w:fldCharType="begin">
                <w:fldData xml:space="preserve">PEVuZE5vdGU+PENpdGU+PEF1dGhvcj5GYXVsa25lcjwvQXV0aG9yPjxZZWFyPjIwMTY8L1llYXI+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</w:fldData>
              </w:fldChar>
            </w:r>
            <w:r w:rsidR="00E5265C">
              <w:rPr>
                <w:sz w:val="20"/>
                <w:szCs w:val="20"/>
                <w:lang w:val="en-GB"/>
              </w:rPr>
              <w:instrText xml:space="preserve"> ADDIN EN.CITE.DATA </w:instrText>
            </w:r>
            <w:r w:rsidR="00E5265C">
              <w:rPr>
                <w:sz w:val="20"/>
                <w:szCs w:val="20"/>
                <w:lang w:val="en-GB"/>
              </w:rPr>
            </w:r>
            <w:r w:rsidR="00E5265C">
              <w:rPr>
                <w:sz w:val="20"/>
                <w:szCs w:val="20"/>
                <w:lang w:val="en-GB"/>
              </w:rPr>
              <w:fldChar w:fldCharType="end"/>
            </w:r>
            <w:r w:rsidR="002D2EFF" w:rsidRPr="001E2E50">
              <w:rPr>
                <w:sz w:val="20"/>
                <w:szCs w:val="20"/>
                <w:lang w:val="en-GB"/>
              </w:rPr>
            </w:r>
            <w:r w:rsidR="002D2EFF" w:rsidRPr="001E2E50">
              <w:rPr>
                <w:sz w:val="20"/>
                <w:szCs w:val="20"/>
                <w:lang w:val="en-GB"/>
              </w:rPr>
              <w:fldChar w:fldCharType="separate"/>
            </w:r>
            <w:r w:rsidR="00E5265C">
              <w:rPr>
                <w:noProof/>
                <w:sz w:val="20"/>
                <w:szCs w:val="20"/>
                <w:lang w:val="en-GB"/>
              </w:rPr>
              <w:t>[222]</w:t>
            </w:r>
            <w:r w:rsidR="002D2EFF" w:rsidRPr="001E2E50">
              <w:rPr>
                <w:sz w:val="20"/>
                <w:szCs w:val="20"/>
                <w:lang w:val="en-GB"/>
              </w:rPr>
              <w:fldChar w:fldCharType="end"/>
            </w:r>
          </w:p>
        </w:tc>
        <w:tc>
          <w:tcPr>
            <w:tcW w:w="6090" w:type="dxa"/>
          </w:tcPr>
          <w:p w14:paraId="12AF25D1" w14:textId="32BD3D38" w:rsidR="009569AD" w:rsidRPr="001E2E50" w:rsidRDefault="009569AD" w:rsidP="00A663BF">
            <w:pPr>
              <w:pStyle w:val="Tablefonts"/>
              <w:spacing w:line="276" w:lineRule="auto"/>
              <w:cnfStyle w:val="000000000000" w:firstRow="0" w:lastRow="0" w:firstColumn="0" w:lastColumn="0" w:oddVBand="0" w:evenVBand="0" w:oddHBand="0" w:evenHBand="0" w:firstRowFirstColumn="0" w:firstRowLastColumn="0" w:lastRowFirstColumn="0" w:lastRowLastColumn="0"/>
              <w:rPr>
                <w:lang w:val="en-GB"/>
              </w:rPr>
            </w:pPr>
            <w:r w:rsidRPr="001E2E50">
              <w:rPr>
                <w:lang w:val="en-GB"/>
              </w:rPr>
              <w:t>The online registries collect prospective administrative data from clinical practice and have been designed to collect longitudinal data at public or private (</w:t>
            </w:r>
            <w:r w:rsidR="009A3DC3" w:rsidRPr="001E2E50">
              <w:rPr>
                <w:lang w:val="en-GB"/>
              </w:rPr>
              <w:t>Servizio Sanitario Nazionale</w:t>
            </w:r>
            <w:r w:rsidR="00E860D6" w:rsidRPr="001E2E50">
              <w:rPr>
                <w:lang w:val="en-GB"/>
              </w:rPr>
              <w:t>, SSN,</w:t>
            </w:r>
            <w:r w:rsidR="009A3DC3" w:rsidRPr="001E2E50">
              <w:rPr>
                <w:lang w:val="en-GB"/>
              </w:rPr>
              <w:t xml:space="preserve"> </w:t>
            </w:r>
            <w:r w:rsidRPr="001E2E50">
              <w:rPr>
                <w:lang w:val="en-GB"/>
              </w:rPr>
              <w:t>affiliates)</w:t>
            </w:r>
            <w:r w:rsidR="009A3DC3" w:rsidRPr="001E2E50">
              <w:rPr>
                <w:lang w:val="en-GB"/>
              </w:rPr>
              <w:t xml:space="preserve"> </w:t>
            </w:r>
            <w:r w:rsidRPr="001E2E50">
              <w:rPr>
                <w:lang w:val="en-GB"/>
              </w:rPr>
              <w:t xml:space="preserve">hospitals and pharmacies, regions, district health services, and </w:t>
            </w:r>
            <w:r w:rsidR="7D07BF61" w:rsidRPr="001E2E50">
              <w:rPr>
                <w:lang w:val="en-GB"/>
              </w:rPr>
              <w:t>the marketing authorisation holder (</w:t>
            </w:r>
            <w:r w:rsidRPr="001E2E50">
              <w:rPr>
                <w:lang w:val="en-GB"/>
              </w:rPr>
              <w:t>MAH</w:t>
            </w:r>
            <w:r w:rsidR="0DBFDEA2" w:rsidRPr="001E2E50">
              <w:rPr>
                <w:lang w:val="en-GB"/>
              </w:rPr>
              <w:t>)</w:t>
            </w:r>
            <w:r w:rsidRPr="001E2E50">
              <w:rPr>
                <w:lang w:val="en-GB"/>
              </w:rPr>
              <w:t xml:space="preserve">. Clinicians and pharmacists hold the main responsibility for data collection. </w:t>
            </w:r>
          </w:p>
        </w:tc>
      </w:tr>
      <w:tr w:rsidR="009569AD" w:rsidRPr="001E2E50" w14:paraId="1E64A744" w14:textId="77777777" w:rsidTr="00613D1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4" w:type="dxa"/>
            <w:shd w:val="clear" w:color="auto" w:fill="1D8BCE"/>
          </w:tcPr>
          <w:p w14:paraId="17E0DCC4" w14:textId="77777777" w:rsidR="009569AD" w:rsidRPr="001E2E50" w:rsidRDefault="009569AD" w:rsidP="00F5000B">
            <w:pPr>
              <w:rPr>
                <w:sz w:val="20"/>
                <w:szCs w:val="20"/>
                <w:lang w:val="en-GB"/>
              </w:rPr>
            </w:pPr>
            <w:r w:rsidRPr="001E2E50">
              <w:rPr>
                <w:sz w:val="20"/>
                <w:szCs w:val="20"/>
                <w:lang w:val="en-GB"/>
              </w:rPr>
              <w:t>How is data collection mandated?</w:t>
            </w:r>
          </w:p>
        </w:tc>
        <w:tc>
          <w:tcPr>
            <w:tcW w:w="6090" w:type="dxa"/>
            <w:shd w:val="clear" w:color="auto" w:fill="F2F2F2" w:themeFill="background1" w:themeFillShade="F2"/>
          </w:tcPr>
          <w:p w14:paraId="288200C7" w14:textId="16426B8A" w:rsidR="009569AD" w:rsidRPr="001E2E50" w:rsidRDefault="009569AD" w:rsidP="00A663BF">
            <w:pPr>
              <w:pStyle w:val="Tablefonts"/>
              <w:spacing w:line="276" w:lineRule="auto"/>
              <w:cnfStyle w:val="000000010000" w:firstRow="0" w:lastRow="0" w:firstColumn="0" w:lastColumn="0" w:oddVBand="0" w:evenVBand="0" w:oddHBand="0" w:evenHBand="1" w:firstRowFirstColumn="0" w:firstRowLastColumn="0" w:lastRowFirstColumn="0" w:lastRowLastColumn="0"/>
              <w:rPr>
                <w:lang w:val="en-GB"/>
              </w:rPr>
            </w:pPr>
            <w:r w:rsidRPr="001E2E50">
              <w:rPr>
                <w:lang w:val="en-GB"/>
              </w:rPr>
              <w:t xml:space="preserve">Integration with Reimbursement: AIFA integrates the registry systems with the reimbursement processes within the </w:t>
            </w:r>
            <w:r w:rsidR="00E860D6" w:rsidRPr="001E2E50">
              <w:rPr>
                <w:lang w:val="en-GB"/>
              </w:rPr>
              <w:t>SSN</w:t>
            </w:r>
            <w:r w:rsidRPr="001E2E50">
              <w:rPr>
                <w:lang w:val="en-GB"/>
              </w:rPr>
              <w:t xml:space="preserve">. Providers must enter data into the AIFA registry system before they can prescribe it or obtain </w:t>
            </w:r>
            <w:r w:rsidR="00E860D6" w:rsidRPr="001E2E50">
              <w:rPr>
                <w:lang w:val="en-GB"/>
              </w:rPr>
              <w:t>SSN</w:t>
            </w:r>
            <w:r w:rsidRPr="001E2E50">
              <w:rPr>
                <w:lang w:val="en-GB"/>
              </w:rPr>
              <w:t xml:space="preserve"> reimbursement</w:t>
            </w:r>
            <w:r w:rsidR="00E860D6" w:rsidRPr="001E2E50">
              <w:rPr>
                <w:lang w:val="en-GB"/>
              </w:rPr>
              <w:t>.</w:t>
            </w:r>
            <w:r w:rsidRPr="001E2E50">
              <w:rPr>
                <w:lang w:val="en-GB"/>
              </w:rPr>
              <w:t xml:space="preserve"> All fields are mandatory</w:t>
            </w:r>
            <w:r w:rsidR="00E860D6" w:rsidRPr="001E2E50">
              <w:rPr>
                <w:lang w:val="en-GB"/>
              </w:rPr>
              <w:t>;</w:t>
            </w:r>
            <w:r w:rsidRPr="001E2E50">
              <w:rPr>
                <w:lang w:val="en-GB"/>
              </w:rPr>
              <w:t xml:space="preserve"> some contribute to determining eligibility for treatment and outcome-based follow-ups at pre-specified timepoints.</w:t>
            </w:r>
          </w:p>
        </w:tc>
      </w:tr>
      <w:tr w:rsidR="009569AD" w:rsidRPr="001E2E50" w14:paraId="3644CB16" w14:textId="77777777" w:rsidTr="00613D1F">
        <w:trPr>
          <w:trHeight w:val="1394"/>
        </w:trPr>
        <w:tc>
          <w:tcPr>
            <w:cnfStyle w:val="001000000000" w:firstRow="0" w:lastRow="0" w:firstColumn="1" w:lastColumn="0" w:oddVBand="0" w:evenVBand="0" w:oddHBand="0" w:evenHBand="0" w:firstRowFirstColumn="0" w:firstRowLastColumn="0" w:lastRowFirstColumn="0" w:lastRowLastColumn="0"/>
            <w:tcW w:w="3114" w:type="dxa"/>
            <w:shd w:val="clear" w:color="auto" w:fill="1D8BCE"/>
          </w:tcPr>
          <w:p w14:paraId="16718E6F" w14:textId="3ECDBC85" w:rsidR="009569AD" w:rsidRPr="001E2E50" w:rsidRDefault="009569AD" w:rsidP="00F5000B">
            <w:pPr>
              <w:rPr>
                <w:sz w:val="20"/>
                <w:szCs w:val="20"/>
                <w:lang w:val="en-GB"/>
              </w:rPr>
            </w:pPr>
            <w:r w:rsidRPr="001E2E50">
              <w:rPr>
                <w:sz w:val="20"/>
                <w:szCs w:val="20"/>
                <w:lang w:val="en-GB"/>
              </w:rPr>
              <w:t xml:space="preserve">How is compliance </w:t>
            </w:r>
            <w:r w:rsidR="008D26B9">
              <w:rPr>
                <w:sz w:val="20"/>
                <w:szCs w:val="20"/>
                <w:lang w:val="en-GB"/>
              </w:rPr>
              <w:t>managed</w:t>
            </w:r>
            <w:r w:rsidRPr="001E2E50">
              <w:rPr>
                <w:sz w:val="20"/>
                <w:szCs w:val="20"/>
                <w:lang w:val="en-GB"/>
              </w:rPr>
              <w:t>?</w:t>
            </w:r>
          </w:p>
        </w:tc>
        <w:tc>
          <w:tcPr>
            <w:tcW w:w="6090" w:type="dxa"/>
          </w:tcPr>
          <w:p w14:paraId="1D71EAAE" w14:textId="46F142C0" w:rsidR="009569AD" w:rsidRPr="001E2E50" w:rsidRDefault="009569AD" w:rsidP="00A663BF">
            <w:pPr>
              <w:pStyle w:val="Tablefonts"/>
              <w:spacing w:line="276" w:lineRule="auto"/>
              <w:cnfStyle w:val="000000000000" w:firstRow="0" w:lastRow="0" w:firstColumn="0" w:lastColumn="0" w:oddVBand="0" w:evenVBand="0" w:oddHBand="0" w:evenHBand="0" w:firstRowFirstColumn="0" w:firstRowLastColumn="0" w:lastRowFirstColumn="0" w:lastRowLastColumn="0"/>
              <w:rPr>
                <w:lang w:val="en-GB"/>
              </w:rPr>
            </w:pPr>
            <w:r w:rsidRPr="001E2E50">
              <w:rPr>
                <w:lang w:val="en-GB"/>
              </w:rPr>
              <w:t>A comprehensive regulatory framework is in place to ensure compliance. This framework includes integrating registry systems with reimbursement processes, conducting monitoring and audits, and enforcing compliance through legal and regulatory means, including sanctions</w:t>
            </w:r>
            <w:r w:rsidR="00E860D6" w:rsidRPr="001E2E50">
              <w:rPr>
                <w:lang w:val="en-GB"/>
              </w:rPr>
              <w:t>.</w:t>
            </w:r>
          </w:p>
        </w:tc>
      </w:tr>
      <w:tr w:rsidR="009569AD" w:rsidRPr="001E2E50" w14:paraId="5D55E231" w14:textId="77777777" w:rsidTr="00613D1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4" w:type="dxa"/>
            <w:shd w:val="clear" w:color="auto" w:fill="1D8BCE"/>
          </w:tcPr>
          <w:p w14:paraId="082FD57A" w14:textId="77777777" w:rsidR="009569AD" w:rsidRPr="001E2E50" w:rsidRDefault="009569AD" w:rsidP="00F5000B">
            <w:pPr>
              <w:rPr>
                <w:sz w:val="20"/>
                <w:szCs w:val="20"/>
                <w:lang w:val="en-GB"/>
              </w:rPr>
            </w:pPr>
            <w:r w:rsidRPr="001E2E50">
              <w:rPr>
                <w:sz w:val="20"/>
                <w:szCs w:val="20"/>
                <w:lang w:val="en-GB"/>
              </w:rPr>
              <w:t xml:space="preserve">Who pays and who is responsible for governance? </w:t>
            </w:r>
          </w:p>
        </w:tc>
        <w:tc>
          <w:tcPr>
            <w:tcW w:w="6090" w:type="dxa"/>
            <w:shd w:val="clear" w:color="auto" w:fill="F2F2F2" w:themeFill="background1" w:themeFillShade="F2"/>
          </w:tcPr>
          <w:p w14:paraId="34E8AD87" w14:textId="15F38C1C" w:rsidR="009569AD" w:rsidRPr="001E2E50" w:rsidRDefault="009569AD" w:rsidP="004011D4">
            <w:pPr>
              <w:pStyle w:val="Tablefonts"/>
              <w:spacing w:line="276" w:lineRule="auto"/>
              <w:cnfStyle w:val="000000010000" w:firstRow="0" w:lastRow="0" w:firstColumn="0" w:lastColumn="0" w:oddVBand="0" w:evenVBand="0" w:oddHBand="0" w:evenHBand="1" w:firstRowFirstColumn="0" w:firstRowLastColumn="0" w:lastRowFirstColumn="0" w:lastRowLastColumn="0"/>
              <w:rPr>
                <w:lang w:val="en-GB"/>
              </w:rPr>
            </w:pPr>
            <w:r w:rsidRPr="001E2E50">
              <w:rPr>
                <w:lang w:val="en-GB"/>
              </w:rPr>
              <w:t xml:space="preserve">The infrastructure of the registries is funded by </w:t>
            </w:r>
            <w:r w:rsidR="00E860D6" w:rsidRPr="001E2E50">
              <w:rPr>
                <w:lang w:val="en-GB"/>
              </w:rPr>
              <w:t xml:space="preserve">the </w:t>
            </w:r>
            <w:r w:rsidRPr="001E2E50">
              <w:rPr>
                <w:lang w:val="en-GB"/>
              </w:rPr>
              <w:t>sponsor</w:t>
            </w:r>
            <w:r w:rsidR="00E860D6" w:rsidRPr="001E2E50">
              <w:rPr>
                <w:lang w:val="en-GB"/>
              </w:rPr>
              <w:t>s</w:t>
            </w:r>
            <w:r w:rsidRPr="001E2E50">
              <w:rPr>
                <w:lang w:val="en-GB"/>
              </w:rPr>
              <w:t xml:space="preserve">, but fully governed by AIFA. A fee of €30,000 is charged to sponsors, for a three-year inclusion of their products in a registry. This fee structure helps cover the ongoing management, administration, technical infrastructure, and continuous improvement of the registries. AIFA is the sole </w:t>
            </w:r>
            <w:r w:rsidR="004011D4">
              <w:rPr>
                <w:lang w:val="en-GB"/>
              </w:rPr>
              <w:t xml:space="preserve">data </w:t>
            </w:r>
            <w:r w:rsidRPr="001E2E50">
              <w:rPr>
                <w:lang w:val="en-GB"/>
              </w:rPr>
              <w:t xml:space="preserve">custodian and is responsible for </w:t>
            </w:r>
            <w:r w:rsidR="00E860D6" w:rsidRPr="001E2E50">
              <w:rPr>
                <w:lang w:val="en-GB"/>
              </w:rPr>
              <w:t>all</w:t>
            </w:r>
            <w:r w:rsidRPr="001E2E50">
              <w:rPr>
                <w:lang w:val="en-GB"/>
              </w:rPr>
              <w:t xml:space="preserve"> governance of the registries to ensure that prescription data is accurately and consistently entered</w:t>
            </w:r>
            <w:r w:rsidR="006D3F8B">
              <w:rPr>
                <w:lang w:val="en-GB"/>
              </w:rPr>
              <w:t>, and that</w:t>
            </w:r>
            <w:r w:rsidRPr="001E2E50">
              <w:rPr>
                <w:lang w:val="en-GB"/>
              </w:rPr>
              <w:t xml:space="preserve"> the registry systems align with </w:t>
            </w:r>
            <w:r w:rsidR="00E860D6" w:rsidRPr="001E2E50">
              <w:rPr>
                <w:lang w:val="en-GB"/>
              </w:rPr>
              <w:t>SSN</w:t>
            </w:r>
            <w:r w:rsidRPr="001E2E50">
              <w:rPr>
                <w:lang w:val="en-GB"/>
              </w:rPr>
              <w:t xml:space="preserve"> reimbursement.</w:t>
            </w:r>
          </w:p>
        </w:tc>
      </w:tr>
      <w:tr w:rsidR="009569AD" w:rsidRPr="001E2E50" w14:paraId="4846AB17" w14:textId="77777777" w:rsidTr="00613D1F">
        <w:tc>
          <w:tcPr>
            <w:cnfStyle w:val="001000000000" w:firstRow="0" w:lastRow="0" w:firstColumn="1" w:lastColumn="0" w:oddVBand="0" w:evenVBand="0" w:oddHBand="0" w:evenHBand="0" w:firstRowFirstColumn="0" w:firstRowLastColumn="0" w:lastRowFirstColumn="0" w:lastRowLastColumn="0"/>
            <w:tcW w:w="3114" w:type="dxa"/>
            <w:shd w:val="clear" w:color="auto" w:fill="1D8BCE"/>
          </w:tcPr>
          <w:p w14:paraId="42D35CF3" w14:textId="77777777" w:rsidR="009569AD" w:rsidRPr="001E2E50" w:rsidRDefault="009569AD" w:rsidP="00F5000B">
            <w:pPr>
              <w:rPr>
                <w:sz w:val="20"/>
                <w:szCs w:val="20"/>
                <w:lang w:val="en-GB"/>
              </w:rPr>
            </w:pPr>
            <w:r w:rsidRPr="001E2E50">
              <w:rPr>
                <w:sz w:val="20"/>
                <w:szCs w:val="20"/>
                <w:lang w:val="en-GB"/>
              </w:rPr>
              <w:t>Relationship between registry and Form of Regulatory Approval</w:t>
            </w:r>
          </w:p>
        </w:tc>
        <w:tc>
          <w:tcPr>
            <w:tcW w:w="6090" w:type="dxa"/>
          </w:tcPr>
          <w:p w14:paraId="41A1A660" w14:textId="33FBD9B0" w:rsidR="009569AD" w:rsidRPr="001E2E50" w:rsidRDefault="009569AD" w:rsidP="00A663BF">
            <w:pPr>
              <w:pStyle w:val="Tablefonts"/>
              <w:spacing w:line="276" w:lineRule="auto"/>
              <w:cnfStyle w:val="000000000000" w:firstRow="0" w:lastRow="0" w:firstColumn="0" w:lastColumn="0" w:oddVBand="0" w:evenVBand="0" w:oddHBand="0" w:evenHBand="0" w:firstRowFirstColumn="0" w:firstRowLastColumn="0" w:lastRowFirstColumn="0" w:lastRowLastColumn="0"/>
              <w:rPr>
                <w:lang w:val="en-GB"/>
              </w:rPr>
            </w:pPr>
            <w:r w:rsidRPr="001E2E50">
              <w:rPr>
                <w:lang w:val="en-GB"/>
              </w:rPr>
              <w:t xml:space="preserve">Based on all </w:t>
            </w:r>
            <w:r w:rsidR="00CB5979" w:rsidRPr="001E2E50">
              <w:rPr>
                <w:lang w:val="en-GB"/>
              </w:rPr>
              <w:t>medicinal products</w:t>
            </w:r>
            <w:r w:rsidRPr="001E2E50">
              <w:rPr>
                <w:lang w:val="en-GB"/>
              </w:rPr>
              <w:t xml:space="preserve"> in the database:</w:t>
            </w:r>
          </w:p>
          <w:p w14:paraId="71789161" w14:textId="3B52BA75" w:rsidR="009569AD" w:rsidRPr="001E2E50" w:rsidRDefault="009569AD" w:rsidP="00A663BF">
            <w:pPr>
              <w:pStyle w:val="Tablefonts"/>
              <w:spacing w:line="276" w:lineRule="auto"/>
              <w:cnfStyle w:val="000000000000" w:firstRow="0" w:lastRow="0" w:firstColumn="0" w:lastColumn="0" w:oddVBand="0" w:evenVBand="0" w:oddHBand="0" w:evenHBand="0" w:firstRowFirstColumn="0" w:firstRowLastColumn="0" w:lastRowFirstColumn="0" w:lastRowLastColumn="0"/>
              <w:rPr>
                <w:lang w:val="en-GB"/>
              </w:rPr>
            </w:pPr>
            <w:r w:rsidRPr="001E2E50">
              <w:rPr>
                <w:lang w:val="en-GB"/>
              </w:rPr>
              <w:t>78.5% go through the normal assessment route</w:t>
            </w:r>
            <w:r w:rsidR="00B93F8E">
              <w:rPr>
                <w:lang w:val="en-GB"/>
              </w:rPr>
              <w:t>,</w:t>
            </w:r>
          </w:p>
          <w:p w14:paraId="396E34A5" w14:textId="77777777" w:rsidR="009569AD" w:rsidRPr="001E2E50" w:rsidRDefault="009569AD" w:rsidP="00A663BF">
            <w:pPr>
              <w:pStyle w:val="Tablefonts"/>
              <w:spacing w:line="276" w:lineRule="auto"/>
              <w:cnfStyle w:val="000000000000" w:firstRow="0" w:lastRow="0" w:firstColumn="0" w:lastColumn="0" w:oddVBand="0" w:evenVBand="0" w:oddHBand="0" w:evenHBand="0" w:firstRowFirstColumn="0" w:firstRowLastColumn="0" w:lastRowFirstColumn="0" w:lastRowLastColumn="0"/>
              <w:rPr>
                <w:lang w:val="en-GB"/>
              </w:rPr>
            </w:pPr>
            <w:r w:rsidRPr="001E2E50">
              <w:rPr>
                <w:lang w:val="en-GB"/>
              </w:rPr>
              <w:t>13.4% have an accelerated assessment, and</w:t>
            </w:r>
          </w:p>
          <w:p w14:paraId="53E661E7" w14:textId="6FC7DB64" w:rsidR="009569AD" w:rsidRPr="001E2E50" w:rsidRDefault="009569AD" w:rsidP="00A663BF">
            <w:pPr>
              <w:pStyle w:val="Tablefonts"/>
              <w:spacing w:line="276" w:lineRule="auto"/>
              <w:cnfStyle w:val="000000000000" w:firstRow="0" w:lastRow="0" w:firstColumn="0" w:lastColumn="0" w:oddVBand="0" w:evenVBand="0" w:oddHBand="0" w:evenHBand="0" w:firstRowFirstColumn="0" w:firstRowLastColumn="0" w:lastRowFirstColumn="0" w:lastRowLastColumn="0"/>
              <w:rPr>
                <w:lang w:val="en-GB"/>
              </w:rPr>
            </w:pPr>
            <w:r w:rsidRPr="001E2E50">
              <w:rPr>
                <w:lang w:val="en-GB"/>
              </w:rPr>
              <w:t xml:space="preserve">8.3% have a conditional marketing authorisation/exceptional circumstances for </w:t>
            </w:r>
            <w:r w:rsidR="00E0119E" w:rsidRPr="001E2E50">
              <w:rPr>
                <w:lang w:val="en-GB"/>
              </w:rPr>
              <w:t>orphan medicinal products (OMPs)</w:t>
            </w:r>
            <w:r w:rsidR="00B93F8E">
              <w:rPr>
                <w:lang w:val="en-GB"/>
              </w:rPr>
              <w:t>.</w:t>
            </w:r>
            <w:r w:rsidRPr="001E2E50">
              <w:rPr>
                <w:vertAlign w:val="superscript"/>
                <w:lang w:val="en-GB"/>
              </w:rPr>
              <w:footnoteReference w:id="15"/>
            </w:r>
          </w:p>
        </w:tc>
      </w:tr>
      <w:tr w:rsidR="009569AD" w:rsidRPr="001E2E50" w14:paraId="399EBC3E" w14:textId="77777777" w:rsidTr="00613D1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4" w:type="dxa"/>
            <w:shd w:val="clear" w:color="auto" w:fill="1D8BCE"/>
          </w:tcPr>
          <w:p w14:paraId="5A1E78D5" w14:textId="77777777" w:rsidR="009569AD" w:rsidRPr="001E2E50" w:rsidRDefault="009569AD" w:rsidP="00F5000B">
            <w:pPr>
              <w:rPr>
                <w:sz w:val="20"/>
                <w:szCs w:val="20"/>
                <w:lang w:val="en-GB"/>
              </w:rPr>
            </w:pPr>
            <w:r w:rsidRPr="001E2E50">
              <w:rPr>
                <w:sz w:val="20"/>
                <w:szCs w:val="20"/>
                <w:lang w:val="en-GB"/>
              </w:rPr>
              <w:t>Types of registries</w:t>
            </w:r>
          </w:p>
        </w:tc>
        <w:tc>
          <w:tcPr>
            <w:tcW w:w="6090" w:type="dxa"/>
            <w:shd w:val="clear" w:color="auto" w:fill="F2F2F2" w:themeFill="background1" w:themeFillShade="F2"/>
          </w:tcPr>
          <w:p w14:paraId="6737E93B" w14:textId="76404DAA" w:rsidR="009569AD" w:rsidRPr="001E2E50" w:rsidRDefault="009569AD" w:rsidP="00A663BF">
            <w:pPr>
              <w:pStyle w:val="Tablefonts"/>
              <w:spacing w:line="276" w:lineRule="auto"/>
              <w:cnfStyle w:val="000000010000" w:firstRow="0" w:lastRow="0" w:firstColumn="0" w:lastColumn="0" w:oddVBand="0" w:evenVBand="0" w:oddHBand="0" w:evenHBand="1" w:firstRowFirstColumn="0" w:firstRowLastColumn="0" w:lastRowFirstColumn="0" w:lastRowLastColumn="0"/>
              <w:rPr>
                <w:lang w:val="en-GB"/>
              </w:rPr>
            </w:pPr>
            <w:r w:rsidRPr="001E2E50">
              <w:rPr>
                <w:lang w:val="en-GB"/>
              </w:rPr>
              <w:t>Between 2005 and 2019</w:t>
            </w:r>
            <w:r w:rsidR="00BD6027" w:rsidRPr="001E2E50">
              <w:rPr>
                <w:lang w:val="en-GB"/>
              </w:rPr>
              <w:t>,</w:t>
            </w:r>
            <w:r w:rsidRPr="001E2E50">
              <w:rPr>
                <w:lang w:val="en-GB"/>
              </w:rPr>
              <w:t xml:space="preserve"> there were 283 indication-based registries in place</w:t>
            </w:r>
            <w:r w:rsidR="00BD6027" w:rsidRPr="001E2E50">
              <w:rPr>
                <w:lang w:val="en-GB"/>
              </w:rPr>
              <w:t xml:space="preserve">, including </w:t>
            </w:r>
            <w:r w:rsidRPr="001E2E50">
              <w:rPr>
                <w:lang w:val="en-GB"/>
              </w:rPr>
              <w:t xml:space="preserve">182 registries to verify use according to authorized indication and avoid off-label use. These </w:t>
            </w:r>
            <w:r w:rsidR="00BD6027" w:rsidRPr="001E2E50">
              <w:rPr>
                <w:lang w:val="en-GB"/>
              </w:rPr>
              <w:t>have</w:t>
            </w:r>
            <w:r w:rsidRPr="001E2E50">
              <w:rPr>
                <w:lang w:val="en-GB"/>
              </w:rPr>
              <w:t xml:space="preserve"> be</w:t>
            </w:r>
            <w:r w:rsidR="00BD6027" w:rsidRPr="001E2E50">
              <w:rPr>
                <w:lang w:val="en-GB"/>
              </w:rPr>
              <w:t>en</w:t>
            </w:r>
            <w:r w:rsidRPr="001E2E50">
              <w:rPr>
                <w:lang w:val="en-GB"/>
              </w:rPr>
              <w:t xml:space="preserve"> augmented by </w:t>
            </w:r>
            <w:r w:rsidR="00BD6027" w:rsidRPr="001E2E50">
              <w:rPr>
                <w:lang w:val="en-GB"/>
              </w:rPr>
              <w:t xml:space="preserve">a range of </w:t>
            </w:r>
            <w:r w:rsidRPr="001E2E50">
              <w:rPr>
                <w:lang w:val="en-GB"/>
              </w:rPr>
              <w:t>MEAs</w:t>
            </w:r>
            <w:r w:rsidR="00BD6027" w:rsidRPr="001E2E50">
              <w:rPr>
                <w:lang w:val="en-GB"/>
              </w:rPr>
              <w:t>, including</w:t>
            </w:r>
            <w:r w:rsidRPr="001E2E50">
              <w:rPr>
                <w:lang w:val="en-GB"/>
              </w:rPr>
              <w:t>:</w:t>
            </w:r>
          </w:p>
          <w:p w14:paraId="66FB687A" w14:textId="11071E08" w:rsidR="009569AD" w:rsidRPr="001E2E50" w:rsidRDefault="009569AD" w:rsidP="00A663BF">
            <w:pPr>
              <w:pStyle w:val="Tablefonts"/>
              <w:spacing w:line="276" w:lineRule="auto"/>
              <w:cnfStyle w:val="000000010000" w:firstRow="0" w:lastRow="0" w:firstColumn="0" w:lastColumn="0" w:oddVBand="0" w:evenVBand="0" w:oddHBand="0" w:evenHBand="1" w:firstRowFirstColumn="0" w:firstRowLastColumn="0" w:lastRowFirstColumn="0" w:lastRowLastColumn="0"/>
              <w:rPr>
                <w:lang w:val="en-GB"/>
              </w:rPr>
            </w:pPr>
            <w:r w:rsidRPr="001E2E50">
              <w:rPr>
                <w:lang w:val="en-GB"/>
              </w:rPr>
              <w:t xml:space="preserve">35 </w:t>
            </w:r>
            <w:r w:rsidR="00AE0447" w:rsidRPr="001E2E50">
              <w:rPr>
                <w:lang w:val="en-GB"/>
              </w:rPr>
              <w:t>financial</w:t>
            </w:r>
            <w:r w:rsidRPr="001E2E50">
              <w:rPr>
                <w:lang w:val="en-GB"/>
              </w:rPr>
              <w:t xml:space="preserve"> MEA</w:t>
            </w:r>
            <w:r w:rsidR="00F5000B" w:rsidRPr="001E2E50">
              <w:rPr>
                <w:lang w:val="en-GB"/>
              </w:rPr>
              <w:t>s</w:t>
            </w:r>
            <w:r w:rsidR="00BD6027" w:rsidRPr="001E2E50">
              <w:rPr>
                <w:lang w:val="en-GB"/>
              </w:rPr>
              <w:t>;</w:t>
            </w:r>
          </w:p>
          <w:p w14:paraId="55E40DAD" w14:textId="3B6592BF" w:rsidR="009569AD" w:rsidRPr="001E2E50" w:rsidRDefault="009569AD" w:rsidP="00A663BF">
            <w:pPr>
              <w:pStyle w:val="Tablefonts"/>
              <w:spacing w:line="276" w:lineRule="auto"/>
              <w:cnfStyle w:val="000000010000" w:firstRow="0" w:lastRow="0" w:firstColumn="0" w:lastColumn="0" w:oddVBand="0" w:evenVBand="0" w:oddHBand="0" w:evenHBand="1" w:firstRowFirstColumn="0" w:firstRowLastColumn="0" w:lastRowFirstColumn="0" w:lastRowLastColumn="0"/>
              <w:rPr>
                <w:lang w:val="en-GB"/>
              </w:rPr>
            </w:pPr>
            <w:r w:rsidRPr="001E2E50">
              <w:rPr>
                <w:lang w:val="en-GB"/>
              </w:rPr>
              <w:t xml:space="preserve">60 </w:t>
            </w:r>
            <w:r w:rsidR="00661F62" w:rsidRPr="001E2E50">
              <w:rPr>
                <w:lang w:val="en-GB"/>
              </w:rPr>
              <w:t>performance-based MEAs</w:t>
            </w:r>
            <w:r w:rsidRPr="001E2E50">
              <w:rPr>
                <w:lang w:val="en-GB"/>
              </w:rPr>
              <w:t xml:space="preserve"> (patient</w:t>
            </w:r>
            <w:r w:rsidR="00BD6027" w:rsidRPr="001E2E50">
              <w:rPr>
                <w:lang w:val="en-GB"/>
              </w:rPr>
              <w:t>-</w:t>
            </w:r>
            <w:r w:rsidRPr="001E2E50">
              <w:rPr>
                <w:lang w:val="en-GB"/>
              </w:rPr>
              <w:t xml:space="preserve">level </w:t>
            </w:r>
            <w:r w:rsidR="00BD6027" w:rsidRPr="001E2E50">
              <w:rPr>
                <w:lang w:val="en-GB"/>
              </w:rPr>
              <w:t>PbR).</w:t>
            </w:r>
            <w:r w:rsidRPr="001E2E50">
              <w:rPr>
                <w:lang w:val="en-GB"/>
              </w:rPr>
              <w:t xml:space="preserve"> </w:t>
            </w:r>
            <w:r w:rsidR="00BD6027" w:rsidRPr="001E2E50">
              <w:rPr>
                <w:lang w:val="en-GB"/>
              </w:rPr>
              <w:t>I</w:t>
            </w:r>
            <w:r w:rsidRPr="001E2E50">
              <w:rPr>
                <w:lang w:val="en-GB"/>
              </w:rPr>
              <w:t>n 2019</w:t>
            </w:r>
            <w:r w:rsidR="00BD6027" w:rsidRPr="001E2E50">
              <w:rPr>
                <w:lang w:val="en-GB"/>
              </w:rPr>
              <w:t>,</w:t>
            </w:r>
            <w:r w:rsidRPr="001E2E50">
              <w:rPr>
                <w:lang w:val="en-GB"/>
              </w:rPr>
              <w:t xml:space="preserve"> a new type of MEA (Payment at Result</w:t>
            </w:r>
            <w:r w:rsidR="00BD6027" w:rsidRPr="001E2E50">
              <w:rPr>
                <w:lang w:val="en-GB"/>
              </w:rPr>
              <w:t>)</w:t>
            </w:r>
            <w:r w:rsidRPr="001E2E50">
              <w:rPr>
                <w:lang w:val="en-GB"/>
              </w:rPr>
              <w:t xml:space="preserve"> was established for two CAR-T therapies, </w:t>
            </w:r>
            <w:r w:rsidR="00BD6027" w:rsidRPr="001E2E50">
              <w:rPr>
                <w:lang w:val="en-GB"/>
              </w:rPr>
              <w:t>comprising</w:t>
            </w:r>
            <w:r w:rsidRPr="001E2E50">
              <w:rPr>
                <w:lang w:val="en-GB"/>
              </w:rPr>
              <w:t xml:space="preserve"> PbR </w:t>
            </w:r>
            <w:r w:rsidR="00BD6027" w:rsidRPr="001E2E50">
              <w:rPr>
                <w:lang w:val="en-GB"/>
              </w:rPr>
              <w:t xml:space="preserve">arrangements </w:t>
            </w:r>
            <w:r w:rsidRPr="001E2E50">
              <w:rPr>
                <w:lang w:val="en-GB"/>
              </w:rPr>
              <w:t>with the addition of instalment payments</w:t>
            </w:r>
            <w:r w:rsidR="00F5766F" w:rsidRPr="001E2E50">
              <w:rPr>
                <w:lang w:val="en-GB"/>
              </w:rPr>
              <w:t xml:space="preserve"> </w:t>
            </w:r>
            <w:r w:rsidR="00653F87" w:rsidRPr="001E2E50">
              <w:rPr>
                <w:lang w:val="en-GB"/>
              </w:rPr>
              <w:fldChar w:fldCharType="begin"/>
            </w:r>
            <w:r w:rsidR="00E5265C">
              <w:rPr>
                <w:lang w:val="en-GB"/>
              </w:rPr>
              <w:instrText xml:space="preserve"> ADDIN EN.CITE &lt;EndNote&gt;&lt;Cite&gt;&lt;Author&gt;Agenzia Italiana del Farmaco (AIFA)&lt;/Author&gt;&lt;Year&gt;2019&lt;/Year&gt;&lt;RecNum&gt;24&lt;/RecNum&gt;&lt;DisplayText&gt;[225-226]&lt;/DisplayText&gt;&lt;record&gt;&lt;rec-number&gt;24&lt;/rec-number&gt;&lt;foreign-keys&gt;&lt;key app="EN" db-id="wzwwsfxe4peesxef95cxvrwjxts9rreasarf" timestamp="1692654670"&gt;24&lt;/key&gt;&lt;/foreign-keys&gt;&lt;ref-type name="Web Page"&gt;12&lt;/ref-type&gt;&lt;contributors&gt;&lt;authors&gt;&lt;author&gt;Agenzia Italiana del Farmaco (AIFA),&lt;/author&gt;&lt;/authors&gt;&lt;/contributors&gt;&lt;titles&gt;&lt;title&gt;(PR Yescarta) Deliberation November 4, 2019&lt;/title&gt;&lt;/titles&gt;&lt;number&gt;16 August 2023&lt;/number&gt;&lt;dates&gt;&lt;year&gt;2019&lt;/year&gt;&lt;/dates&gt;&lt;publisher&gt;Government of Italy, Agenzia Italiana del Farmaco (AIFA)&lt;/publisher&gt;&lt;urls&gt;&lt;related-urls&gt;&lt;url&gt;https://www.aifa.gov.it/documents/20142/961234/Determina_DG-1643-2019_Yescarta.pdf/26464c52-5e7b-e97d-74d5-f66f69039fa0 &lt;/url&gt;&lt;/related-urls&gt;&lt;/urls&gt;&lt;/record&gt;&lt;/Cite&gt;&lt;Cite&gt;&lt;Author&gt;Agenzia Italiana del Farmaco (AIFA)&lt;/Author&gt;&lt;Year&gt;2019&lt;/Year&gt;&lt;RecNum&gt;23&lt;/RecNum&gt;&lt;record&gt;&lt;rec-number&gt;23&lt;/rec-number&gt;&lt;foreign-keys&gt;&lt;key app="EN" db-id="wzwwsfxe4peesxef95cxvrwjxts9rreasarf" timestamp="1692654670"&gt;23&lt;/key&gt;&lt;/foreign-keys&gt;&lt;ref-type name="Web Page"&gt;12&lt;/ref-type&gt;&lt;contributors&gt;&lt;authors&gt;&lt;author&gt;Agenzia Italiana del Farmaco (AIFA),&lt;/author&gt;&lt;/authors&gt;&lt;/contributors&gt;&lt;titles&gt;&lt;title&gt;(PR Kymriah) Deliberation August 7, 2019 Website.&lt;/title&gt;&lt;/titles&gt;&lt;number&gt;16 August 2023&lt;/number&gt;&lt;dates&gt;&lt;year&gt;2019&lt;/year&gt;&lt;/dates&gt;&lt;publisher&gt;Government of Italy, Agenzia Italiana del Farmaco (AIFA)&lt;/publisher&gt;&lt;urls&gt;&lt;related-urls&gt;&lt;url&gt;https://www.aifa.gov.it/documents/20142/847786/Determina_1264-2019_Kymriah.pdf/88f22d83-8907-9399-bda6-eb415690c144 &lt;/url&gt;&lt;/related-urls&gt;&lt;/urls&gt;&lt;/record&gt;&lt;/Cite&gt;&lt;/EndNote&gt;</w:instrText>
            </w:r>
            <w:r w:rsidR="00653F87" w:rsidRPr="001E2E50">
              <w:rPr>
                <w:lang w:val="en-GB"/>
              </w:rPr>
              <w:fldChar w:fldCharType="separate"/>
            </w:r>
            <w:r w:rsidR="00E5265C">
              <w:rPr>
                <w:noProof/>
                <w:lang w:val="en-GB"/>
              </w:rPr>
              <w:t>[225-226]</w:t>
            </w:r>
            <w:r w:rsidR="00653F87" w:rsidRPr="001E2E50">
              <w:rPr>
                <w:lang w:val="en-GB"/>
              </w:rPr>
              <w:fldChar w:fldCharType="end"/>
            </w:r>
            <w:r w:rsidR="00F5766F" w:rsidRPr="001E2E50">
              <w:rPr>
                <w:lang w:val="en-GB"/>
              </w:rPr>
              <w:t>.</w:t>
            </w:r>
            <w:r w:rsidRPr="001E2E50">
              <w:rPr>
                <w:lang w:val="en-GB"/>
              </w:rPr>
              <w:t xml:space="preserve"> </w:t>
            </w:r>
          </w:p>
          <w:p w14:paraId="28ED7B45" w14:textId="5AB0A684" w:rsidR="009569AD" w:rsidRPr="001E2E50" w:rsidRDefault="009569AD" w:rsidP="00A663BF">
            <w:pPr>
              <w:pStyle w:val="Tablefonts"/>
              <w:spacing w:line="276" w:lineRule="auto"/>
              <w:cnfStyle w:val="000000010000" w:firstRow="0" w:lastRow="0" w:firstColumn="0" w:lastColumn="0" w:oddVBand="0" w:evenVBand="0" w:oddHBand="0" w:evenHBand="1" w:firstRowFirstColumn="0" w:firstRowLastColumn="0" w:lastRowFirstColumn="0" w:lastRowLastColumn="0"/>
              <w:rPr>
                <w:lang w:val="en-GB"/>
              </w:rPr>
            </w:pPr>
            <w:r w:rsidRPr="001E2E50">
              <w:rPr>
                <w:lang w:val="en-GB"/>
              </w:rPr>
              <w:t>Since 2019 (with the introduction of innovative status)</w:t>
            </w:r>
            <w:r w:rsidR="00F5000B" w:rsidRPr="001E2E50">
              <w:rPr>
                <w:lang w:val="en-GB"/>
              </w:rPr>
              <w:t>,</w:t>
            </w:r>
            <w:r w:rsidRPr="001E2E50">
              <w:rPr>
                <w:lang w:val="en-GB"/>
              </w:rPr>
              <w:t xml:space="preserve"> PbRs have largely been replaced with appropriateness registries plus financial MEAs (such as risk shar</w:t>
            </w:r>
            <w:r w:rsidR="00BD6027" w:rsidRPr="001E2E50">
              <w:rPr>
                <w:lang w:val="en-GB"/>
              </w:rPr>
              <w:t>ing</w:t>
            </w:r>
            <w:r w:rsidRPr="001E2E50">
              <w:rPr>
                <w:lang w:val="en-GB"/>
              </w:rPr>
              <w:t>) or financial MEAs outside the registry system</w:t>
            </w:r>
            <w:r w:rsidR="00BD6027" w:rsidRPr="001E2E50">
              <w:rPr>
                <w:lang w:val="en-GB"/>
              </w:rPr>
              <w:t xml:space="preserve"> altogether</w:t>
            </w:r>
            <w:r w:rsidRPr="001E2E50">
              <w:rPr>
                <w:lang w:val="en-GB"/>
              </w:rPr>
              <w:t xml:space="preserve">. </w:t>
            </w:r>
          </w:p>
        </w:tc>
      </w:tr>
    </w:tbl>
    <w:p w14:paraId="19A85684" w14:textId="54B8DA99" w:rsidR="009569AD" w:rsidRPr="00221992" w:rsidRDefault="009569AD" w:rsidP="00533CF1">
      <w:pPr>
        <w:pStyle w:val="TableNotes"/>
        <w:rPr>
          <w:lang w:val="en-GB"/>
        </w:rPr>
      </w:pPr>
      <w:r w:rsidRPr="00221992">
        <w:rPr>
          <w:lang w:val="en-GB"/>
        </w:rPr>
        <w:t>Source:</w:t>
      </w:r>
      <w:r w:rsidRPr="00221992">
        <w:rPr>
          <w:lang w:val="en-GB"/>
        </w:rPr>
        <w:tab/>
      </w:r>
      <w:r w:rsidR="5BE28300" w:rsidRPr="00221992">
        <w:rPr>
          <w:noProof/>
          <w:lang w:val="en-GB"/>
        </w:rPr>
        <w:t>Facey</w:t>
      </w:r>
      <w:r w:rsidR="00A663BF" w:rsidRPr="00221992">
        <w:rPr>
          <w:noProof/>
          <w:lang w:val="en-GB"/>
        </w:rPr>
        <w:t>, K</w:t>
      </w:r>
      <w:r w:rsidR="00D001BA" w:rsidRPr="00221992">
        <w:rPr>
          <w:noProof/>
          <w:lang w:val="en-GB"/>
        </w:rPr>
        <w:t>.</w:t>
      </w:r>
      <w:r w:rsidR="5BE28300" w:rsidRPr="00221992">
        <w:rPr>
          <w:noProof/>
          <w:lang w:val="en-GB"/>
        </w:rPr>
        <w:t xml:space="preserve"> et al</w:t>
      </w:r>
      <w:r w:rsidR="00D001BA" w:rsidRPr="00221992">
        <w:rPr>
          <w:noProof/>
          <w:lang w:val="en-GB"/>
        </w:rPr>
        <w:t>.</w:t>
      </w:r>
      <w:r w:rsidR="5BE28300" w:rsidRPr="00221992">
        <w:rPr>
          <w:noProof/>
          <w:lang w:val="en-GB"/>
        </w:rPr>
        <w:t xml:space="preserve"> </w:t>
      </w:r>
      <w:r w:rsidR="5BE28300" w:rsidRPr="004908BD">
        <w:rPr>
          <w:lang w:val="es-CL"/>
        </w:rPr>
        <w:t>(2021); Xoxi</w:t>
      </w:r>
      <w:r w:rsidR="00C82D21" w:rsidRPr="004908BD">
        <w:rPr>
          <w:lang w:val="es-CL"/>
        </w:rPr>
        <w:t>, E</w:t>
      </w:r>
      <w:r w:rsidR="00D001BA" w:rsidRPr="004908BD">
        <w:rPr>
          <w:lang w:val="es-CL"/>
        </w:rPr>
        <w:t>.</w:t>
      </w:r>
      <w:r w:rsidR="5BE28300" w:rsidRPr="004908BD">
        <w:rPr>
          <w:lang w:val="es-CL"/>
        </w:rPr>
        <w:t xml:space="preserve"> et al. (2021)</w:t>
      </w:r>
      <w:r w:rsidR="505ABC0D" w:rsidRPr="004908BD">
        <w:rPr>
          <w:lang w:val="es-CL"/>
        </w:rPr>
        <w:t>;</w:t>
      </w:r>
      <w:r w:rsidR="3D40C717" w:rsidRPr="004908BD">
        <w:rPr>
          <w:lang w:val="es-CL"/>
        </w:rPr>
        <w:t xml:space="preserve"> Garattini, L. &amp; Casadei, G. (2011)</w:t>
      </w:r>
      <w:r w:rsidR="338D7A23" w:rsidRPr="004908BD">
        <w:rPr>
          <w:lang w:val="es-CL"/>
        </w:rPr>
        <w:t>;</w:t>
      </w:r>
      <w:r w:rsidR="3D40C717" w:rsidRPr="004908BD">
        <w:rPr>
          <w:lang w:val="es-CL"/>
        </w:rPr>
        <w:t xml:space="preserve"> Jørgensen</w:t>
      </w:r>
      <w:r w:rsidR="00A527F7" w:rsidRPr="004908BD">
        <w:rPr>
          <w:lang w:val="es-CL"/>
        </w:rPr>
        <w:t>, J</w:t>
      </w:r>
      <w:r w:rsidR="00D001BA" w:rsidRPr="004908BD">
        <w:rPr>
          <w:lang w:val="es-CL"/>
        </w:rPr>
        <w:t>.</w:t>
      </w:r>
      <w:r w:rsidR="3D40C717" w:rsidRPr="004908BD">
        <w:rPr>
          <w:lang w:val="es-CL"/>
        </w:rPr>
        <w:t xml:space="preserve"> et al</w:t>
      </w:r>
      <w:r w:rsidR="00D001BA" w:rsidRPr="004908BD">
        <w:rPr>
          <w:lang w:val="es-CL"/>
        </w:rPr>
        <w:t>.</w:t>
      </w:r>
      <w:r w:rsidR="748000D8" w:rsidRPr="004908BD">
        <w:rPr>
          <w:lang w:val="es-CL"/>
        </w:rPr>
        <w:t xml:space="preserve"> </w:t>
      </w:r>
      <w:r w:rsidR="748000D8" w:rsidRPr="00221992">
        <w:rPr>
          <w:noProof/>
          <w:lang w:val="en-GB"/>
        </w:rPr>
        <w:t>(2020)</w:t>
      </w:r>
      <w:r w:rsidR="5BE28300" w:rsidRPr="00221992">
        <w:rPr>
          <w:noProof/>
          <w:lang w:val="en-GB"/>
        </w:rPr>
        <w:t xml:space="preserve"> </w:t>
      </w:r>
      <w:r w:rsidR="00653F87" w:rsidRPr="00221992">
        <w:rPr>
          <w:lang w:val="en-GB"/>
        </w:rPr>
        <w:fldChar w:fldCharType="begin">
          <w:fldData xml:space="preserve">PEVuZE5vdGU+PENpdGU+PEF1dGhvcj5GYWNleTwvQXV0aG9yPjxZZWFyPjIwMjE8L1llYXI+PFJl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</w:fldData>
        </w:fldChar>
      </w:r>
      <w:r w:rsidR="00E5265C">
        <w:rPr>
          <w:lang w:val="en-GB"/>
        </w:rPr>
        <w:instrText xml:space="preserve"> ADDIN EN.CITE </w:instrText>
      </w:r>
      <w:r w:rsidR="00E5265C">
        <w:rPr>
          <w:lang w:val="en-GB"/>
        </w:rPr>
        <w:fldChar w:fldCharType="begin">
          <w:fldData xml:space="preserve">PEVuZE5vdGU+PENpdGU+PEF1dGhvcj5GYWNleTwvQXV0aG9yPjxZZWFyPjIwMjE8L1llYXI+PFJl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</w:fldData>
        </w:fldChar>
      </w:r>
      <w:r w:rsidR="00E5265C">
        <w:rPr>
          <w:lang w:val="en-GB"/>
        </w:rPr>
        <w:instrText xml:space="preserve"> ADDIN EN.CITE.DATA </w:instrText>
      </w:r>
      <w:r w:rsidR="00E5265C">
        <w:rPr>
          <w:lang w:val="en-GB"/>
        </w:rPr>
      </w:r>
      <w:r w:rsidR="00E5265C">
        <w:rPr>
          <w:lang w:val="en-GB"/>
        </w:rPr>
        <w:fldChar w:fldCharType="end"/>
      </w:r>
      <w:r w:rsidR="00653F87" w:rsidRPr="00221992">
        <w:rPr>
          <w:lang w:val="en-GB"/>
        </w:rPr>
      </w:r>
      <w:r w:rsidR="00653F87" w:rsidRPr="00221992">
        <w:rPr>
          <w:lang w:val="en-GB"/>
        </w:rPr>
        <w:fldChar w:fldCharType="separate"/>
      </w:r>
      <w:r w:rsidR="00E5265C">
        <w:rPr>
          <w:noProof/>
          <w:lang w:val="en-GB"/>
        </w:rPr>
        <w:t>[208, 220, 227-228]</w:t>
      </w:r>
      <w:r w:rsidR="00653F87" w:rsidRPr="00221992">
        <w:rPr>
          <w:lang w:val="en-GB"/>
        </w:rPr>
        <w:fldChar w:fldCharType="end"/>
      </w:r>
    </w:p>
    <w:tbl>
      <w:tblPr>
        <w:tblStyle w:val="GridTable4-Accent32"/>
        <w:tblW w:w="0" w:type="auto"/>
        <w:tblBorders>
          <w:top w:val="single" w:sz="12" w:space="0" w:color="0F4BEB" w:themeColor="accent1"/>
          <w:left w:val="single" w:sz="12" w:space="0" w:color="0F4BEB" w:themeColor="accent1"/>
          <w:bottom w:val="single" w:sz="12" w:space="0" w:color="0F4BEB" w:themeColor="accent1"/>
          <w:right w:val="single" w:sz="12" w:space="0" w:color="0F4BEB" w:themeColor="accent1"/>
          <w:insideH w:val="single" w:sz="4" w:space="0" w:color="A5A5A5"/>
          <w:insideV w:val="single" w:sz="4" w:space="0" w:color="A5A5A5"/>
        </w:tblBorders>
        <w:tblLook w:val="04A0" w:firstRow="1" w:lastRow="0" w:firstColumn="1" w:lastColumn="0" w:noHBand="0" w:noVBand="1"/>
      </w:tblPr>
      <w:tblGrid>
        <w:gridCol w:w="9016"/>
      </w:tblGrid>
      <w:tr w:rsidR="00D75C45" w:rsidRPr="009D07B4" w14:paraId="659DDF5F" w14:textId="77777777" w:rsidTr="009D07B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tcPr>
          <w:p w14:paraId="168774F0" w14:textId="27103A03" w:rsidR="00D75C45" w:rsidRPr="009D07B4" w:rsidRDefault="00D75C45" w:rsidP="00D75C45">
            <w:pPr>
              <w:spacing w:after="0" w:line="240" w:lineRule="auto"/>
              <w:jc w:val="center"/>
              <w:rPr>
                <w:rFonts w:ascii="Calibri" w:eastAsia="Calibri" w:hAnsi="Calibri" w:cs="Times New Roman"/>
                <w:lang w:eastAsia="en-US"/>
              </w:rPr>
            </w:pPr>
            <w:r w:rsidRPr="009D07B4">
              <w:rPr>
                <w:rFonts w:ascii="Calibri" w:eastAsia="Calibri" w:hAnsi="Calibri" w:cs="Times New Roman"/>
                <w:lang w:eastAsia="en-US"/>
              </w:rPr>
              <w:t>Why this matters</w:t>
            </w:r>
          </w:p>
        </w:tc>
      </w:tr>
      <w:tr w:rsidR="00D75C45" w:rsidRPr="009D07B4" w14:paraId="3CD3CC4D" w14:textId="77777777" w:rsidTr="009D07B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tcPr>
          <w:p w14:paraId="139B352A" w14:textId="4710CA8C" w:rsidR="009D07B4" w:rsidRDefault="00C27421" w:rsidP="009D07B4">
            <w:pPr>
              <w:spacing w:after="0" w:line="240" w:lineRule="auto"/>
              <w:rPr>
                <w:rFonts w:eastAsia="Calibri" w:cs="Calibri Light"/>
                <w:bCs w:val="0"/>
                <w:sz w:val="22"/>
                <w:szCs w:val="22"/>
                <w:lang w:eastAsia="en-US"/>
              </w:rPr>
            </w:pPr>
            <w:r>
              <w:rPr>
                <w:rFonts w:eastAsia="Calibri" w:cs="Calibri Light"/>
                <w:b w:val="0"/>
                <w:sz w:val="22"/>
                <w:szCs w:val="22"/>
                <w:lang w:val="en-GB" w:eastAsia="en-US"/>
              </w:rPr>
              <w:t>A</w:t>
            </w:r>
            <w:r w:rsidR="00D75C45" w:rsidRPr="009D07B4">
              <w:rPr>
                <w:rFonts w:eastAsia="Calibri" w:cs="Calibri Light"/>
                <w:b w:val="0"/>
                <w:sz w:val="22"/>
                <w:szCs w:val="22"/>
                <w:lang w:val="en-GB" w:eastAsia="en-US"/>
              </w:rPr>
              <w:t xml:space="preserve"> successful performance</w:t>
            </w:r>
            <w:r>
              <w:rPr>
                <w:rFonts w:eastAsia="Calibri" w:cs="Calibri Light"/>
                <w:b w:val="0"/>
                <w:sz w:val="22"/>
                <w:szCs w:val="22"/>
                <w:lang w:val="en-GB" w:eastAsia="en-US"/>
              </w:rPr>
              <w:t>-based</w:t>
            </w:r>
            <w:r w:rsidR="00D75C45" w:rsidRPr="009D07B4">
              <w:rPr>
                <w:rFonts w:eastAsia="Calibri" w:cs="Calibri Light"/>
                <w:b w:val="0"/>
                <w:sz w:val="22"/>
                <w:szCs w:val="22"/>
                <w:lang w:val="en-GB" w:eastAsia="en-US"/>
              </w:rPr>
              <w:t xml:space="preserve"> MEA framework </w:t>
            </w:r>
            <w:r>
              <w:rPr>
                <w:rFonts w:eastAsia="Calibri" w:cs="Calibri Light"/>
                <w:b w:val="0"/>
                <w:sz w:val="22"/>
                <w:szCs w:val="22"/>
                <w:lang w:val="en-GB" w:eastAsia="en-US"/>
              </w:rPr>
              <w:t>requires</w:t>
            </w:r>
            <w:r w:rsidR="00D75C45" w:rsidRPr="009D07B4">
              <w:rPr>
                <w:rFonts w:eastAsia="Calibri" w:cs="Calibri Light"/>
                <w:b w:val="0"/>
                <w:sz w:val="22"/>
                <w:szCs w:val="22"/>
                <w:lang w:val="en-GB" w:eastAsia="en-US"/>
              </w:rPr>
              <w:t xml:space="preserve"> robust data to inform decision making.</w:t>
            </w:r>
            <w:r w:rsidR="00D75C45" w:rsidRPr="009D07B4">
              <w:rPr>
                <w:rFonts w:eastAsia="Calibri" w:cs="Calibri Light"/>
                <w:b w:val="0"/>
                <w:sz w:val="22"/>
                <w:szCs w:val="22"/>
                <w:lang w:eastAsia="en-US"/>
              </w:rPr>
              <w:t> </w:t>
            </w:r>
          </w:p>
          <w:p w14:paraId="2F1A3168" w14:textId="77777777" w:rsidR="009D07B4" w:rsidRDefault="009D07B4" w:rsidP="009D07B4">
            <w:pPr>
              <w:spacing w:after="0" w:line="240" w:lineRule="auto"/>
              <w:rPr>
                <w:rFonts w:eastAsia="Calibri" w:cs="Calibri Light"/>
                <w:bCs w:val="0"/>
                <w:sz w:val="22"/>
                <w:szCs w:val="22"/>
                <w:lang w:val="en-GB" w:eastAsia="en-US"/>
              </w:rPr>
            </w:pPr>
          </w:p>
          <w:p w14:paraId="494EF223" w14:textId="52E31964" w:rsidR="00D75C45" w:rsidRPr="009D07B4" w:rsidRDefault="00D75C45" w:rsidP="009D07B4">
            <w:pPr>
              <w:spacing w:after="0" w:line="240" w:lineRule="auto"/>
              <w:rPr>
                <w:rFonts w:eastAsia="Calibri" w:cs="Calibri Light"/>
                <w:b w:val="0"/>
                <w:sz w:val="22"/>
                <w:szCs w:val="22"/>
                <w:lang w:eastAsia="en-US"/>
              </w:rPr>
            </w:pPr>
            <w:r w:rsidRPr="009D07B4">
              <w:rPr>
                <w:rFonts w:eastAsia="Calibri" w:cs="Calibri Light"/>
                <w:b w:val="0"/>
                <w:sz w:val="22"/>
                <w:szCs w:val="22"/>
                <w:lang w:val="en-GB" w:eastAsia="en-US"/>
              </w:rPr>
              <w:t>Italy has one such framework, whereby the data has been found to successfully inform MEA re-negotiation and is linked to efficient pay back for payment by response agreements.</w:t>
            </w:r>
            <w:r w:rsidRPr="009D07B4">
              <w:rPr>
                <w:rFonts w:eastAsia="Calibri" w:cs="Calibri Light"/>
                <w:b w:val="0"/>
                <w:sz w:val="22"/>
                <w:szCs w:val="22"/>
                <w:lang w:eastAsia="en-US"/>
              </w:rPr>
              <w:t> </w:t>
            </w:r>
            <w:r w:rsidRPr="009D07B4">
              <w:rPr>
                <w:rFonts w:eastAsia="Calibri" w:cs="Calibri Light"/>
                <w:b w:val="0"/>
                <w:sz w:val="22"/>
                <w:szCs w:val="22"/>
                <w:lang w:val="en-GB" w:eastAsia="en-US"/>
              </w:rPr>
              <w:t>In Australia, data is primarily collected through post</w:t>
            </w:r>
            <w:r w:rsidR="000E09B0">
              <w:rPr>
                <w:rFonts w:eastAsia="Calibri" w:cs="Calibri Light"/>
                <w:b w:val="0"/>
                <w:sz w:val="22"/>
                <w:szCs w:val="22"/>
                <w:lang w:val="en-GB" w:eastAsia="en-US"/>
              </w:rPr>
              <w:t>-</w:t>
            </w:r>
            <w:r w:rsidRPr="009D07B4">
              <w:rPr>
                <w:rFonts w:eastAsia="Calibri" w:cs="Calibri Light"/>
                <w:b w:val="0"/>
                <w:sz w:val="22"/>
                <w:szCs w:val="22"/>
                <w:lang w:val="en-GB" w:eastAsia="en-US"/>
              </w:rPr>
              <w:t>market clinical studies and MEA</w:t>
            </w:r>
            <w:r w:rsidR="000E09B0">
              <w:rPr>
                <w:rFonts w:eastAsia="Calibri" w:cs="Calibri Light"/>
                <w:b w:val="0"/>
                <w:sz w:val="22"/>
                <w:szCs w:val="22"/>
                <w:lang w:val="en-GB" w:eastAsia="en-US"/>
              </w:rPr>
              <w:t>-</w:t>
            </w:r>
            <w:r w:rsidRPr="009D07B4">
              <w:rPr>
                <w:rFonts w:eastAsia="Calibri" w:cs="Calibri Light"/>
                <w:b w:val="0"/>
                <w:sz w:val="22"/>
                <w:szCs w:val="22"/>
                <w:lang w:val="en-GB" w:eastAsia="en-US"/>
              </w:rPr>
              <w:t xml:space="preserve">specific registries. However, there is limited evidence that it uses these data effectively for decision making. </w:t>
            </w:r>
          </w:p>
          <w:p w14:paraId="74AC08C5" w14:textId="77777777" w:rsidR="00D75C45" w:rsidRPr="009D07B4" w:rsidRDefault="00D75C45" w:rsidP="00D75C45">
            <w:pPr>
              <w:spacing w:after="0" w:line="240" w:lineRule="auto"/>
              <w:rPr>
                <w:rFonts w:eastAsia="Calibri" w:cs="Calibri Light"/>
                <w:b w:val="0"/>
                <w:sz w:val="22"/>
                <w:szCs w:val="22"/>
                <w:lang w:val="en-GB" w:eastAsia="en-US"/>
              </w:rPr>
            </w:pPr>
          </w:p>
          <w:p w14:paraId="12F5C426" w14:textId="0503D407" w:rsidR="00D75C45" w:rsidRPr="009D07B4" w:rsidRDefault="00D75C45" w:rsidP="000C66C0">
            <w:pPr>
              <w:spacing w:after="0" w:line="240" w:lineRule="auto"/>
              <w:rPr>
                <w:rFonts w:eastAsia="Calibri" w:cs="Calibri Light"/>
                <w:b w:val="0"/>
                <w:sz w:val="22"/>
                <w:szCs w:val="22"/>
                <w:lang w:eastAsia="en-US"/>
              </w:rPr>
            </w:pPr>
            <w:r w:rsidRPr="009D07B4">
              <w:rPr>
                <w:rFonts w:eastAsia="Calibri" w:cs="Calibri Light"/>
                <w:b w:val="0"/>
                <w:sz w:val="22"/>
                <w:szCs w:val="22"/>
                <w:lang w:val="en-GB" w:eastAsia="en-US"/>
              </w:rPr>
              <w:t>To improve this</w:t>
            </w:r>
            <w:r w:rsidR="005064CF">
              <w:rPr>
                <w:rFonts w:eastAsia="Calibri" w:cs="Calibri Light"/>
                <w:b w:val="0"/>
                <w:sz w:val="22"/>
                <w:szCs w:val="22"/>
                <w:lang w:val="en-GB" w:eastAsia="en-US"/>
              </w:rPr>
              <w:t>,</w:t>
            </w:r>
            <w:r w:rsidRPr="009D07B4">
              <w:rPr>
                <w:rFonts w:eastAsia="Calibri" w:cs="Calibri Light"/>
                <w:b w:val="0"/>
                <w:sz w:val="22"/>
                <w:szCs w:val="22"/>
                <w:lang w:val="en-GB" w:eastAsia="en-US"/>
              </w:rPr>
              <w:t xml:space="preserve"> Australia </w:t>
            </w:r>
            <w:r w:rsidR="005064CF">
              <w:rPr>
                <w:rFonts w:eastAsia="Calibri" w:cs="Calibri Light"/>
                <w:b w:val="0"/>
                <w:sz w:val="22"/>
                <w:szCs w:val="22"/>
                <w:lang w:val="en-GB" w:eastAsia="en-US"/>
              </w:rPr>
              <w:t>may</w:t>
            </w:r>
            <w:r w:rsidR="005064CF" w:rsidRPr="009D07B4">
              <w:rPr>
                <w:rFonts w:eastAsia="Calibri" w:cs="Calibri Light"/>
                <w:b w:val="0"/>
                <w:sz w:val="22"/>
                <w:szCs w:val="22"/>
                <w:lang w:val="en-GB" w:eastAsia="en-US"/>
              </w:rPr>
              <w:t xml:space="preserve"> </w:t>
            </w:r>
            <w:r w:rsidRPr="009D07B4">
              <w:rPr>
                <w:rFonts w:eastAsia="Calibri" w:cs="Calibri Light"/>
                <w:b w:val="0"/>
                <w:sz w:val="22"/>
                <w:szCs w:val="22"/>
                <w:lang w:val="en-GB" w:eastAsia="en-US"/>
              </w:rPr>
              <w:t>consider implementing elements of Italy’s registry framework</w:t>
            </w:r>
            <w:r w:rsidR="005064CF">
              <w:rPr>
                <w:rFonts w:eastAsia="Calibri" w:cs="Calibri Light"/>
                <w:b w:val="0"/>
                <w:sz w:val="22"/>
                <w:szCs w:val="22"/>
                <w:lang w:val="en-GB" w:eastAsia="en-US"/>
              </w:rPr>
              <w:t>.</w:t>
            </w:r>
            <w:r w:rsidRPr="009D07B4">
              <w:rPr>
                <w:rFonts w:eastAsia="Calibri" w:cs="Calibri Light"/>
                <w:b w:val="0"/>
                <w:sz w:val="22"/>
                <w:szCs w:val="22"/>
                <w:lang w:val="en-GB" w:eastAsia="en-US"/>
              </w:rPr>
              <w:t xml:space="preserve"> </w:t>
            </w:r>
            <w:r w:rsidR="005064CF">
              <w:rPr>
                <w:rFonts w:eastAsia="Calibri" w:cs="Calibri Light"/>
                <w:b w:val="0"/>
                <w:sz w:val="22"/>
                <w:szCs w:val="22"/>
                <w:lang w:val="en-GB" w:eastAsia="en-US"/>
              </w:rPr>
              <w:t>T</w:t>
            </w:r>
            <w:r w:rsidRPr="009D07B4">
              <w:rPr>
                <w:rFonts w:eastAsia="Calibri" w:cs="Calibri Light"/>
                <w:b w:val="0"/>
                <w:sz w:val="22"/>
                <w:szCs w:val="22"/>
                <w:lang w:val="en-GB" w:eastAsia="en-US"/>
              </w:rPr>
              <w:t>his would require investment in</w:t>
            </w:r>
            <w:r w:rsidR="00E933DB">
              <w:rPr>
                <w:rFonts w:eastAsia="Calibri" w:cs="Calibri Light"/>
                <w:b w:val="0"/>
                <w:sz w:val="22"/>
                <w:szCs w:val="22"/>
                <w:lang w:eastAsia="en-US"/>
              </w:rPr>
              <w:t xml:space="preserve"> c</w:t>
            </w:r>
            <w:r w:rsidRPr="009D07B4">
              <w:rPr>
                <w:rFonts w:eastAsia="Calibri" w:cs="Calibri Light"/>
                <w:b w:val="0"/>
                <w:sz w:val="22"/>
                <w:szCs w:val="22"/>
                <w:lang w:eastAsia="en-US"/>
              </w:rPr>
              <w:t>entralised data infrastructure, in which the payer is the data custodian and is responsible for governance and regulatory compliance</w:t>
            </w:r>
            <w:r w:rsidR="00E933DB">
              <w:rPr>
                <w:rFonts w:eastAsia="Calibri" w:cs="Calibri Light"/>
                <w:b w:val="0"/>
                <w:sz w:val="22"/>
                <w:szCs w:val="22"/>
                <w:lang w:eastAsia="en-US"/>
              </w:rPr>
              <w:t>; i</w:t>
            </w:r>
            <w:r w:rsidRPr="009D07B4">
              <w:rPr>
                <w:rFonts w:eastAsia="Calibri" w:cs="Calibri Light"/>
                <w:b w:val="0"/>
                <w:sz w:val="22"/>
                <w:szCs w:val="22"/>
                <w:lang w:eastAsia="en-US"/>
              </w:rPr>
              <w:t>ntegration of data collection with reimbursement</w:t>
            </w:r>
            <w:r w:rsidR="00E933DB">
              <w:rPr>
                <w:rFonts w:eastAsia="Calibri" w:cs="Calibri Light"/>
                <w:b w:val="0"/>
                <w:sz w:val="22"/>
                <w:szCs w:val="22"/>
                <w:lang w:eastAsia="en-US"/>
              </w:rPr>
              <w:t xml:space="preserve">; and </w:t>
            </w:r>
            <w:r w:rsidR="00813224">
              <w:rPr>
                <w:rFonts w:eastAsia="Calibri" w:cs="Calibri Light"/>
                <w:b w:val="0"/>
                <w:sz w:val="22"/>
                <w:szCs w:val="22"/>
                <w:lang w:eastAsia="en-US"/>
              </w:rPr>
              <w:t>a robust r</w:t>
            </w:r>
            <w:r w:rsidRPr="009D07B4">
              <w:rPr>
                <w:rFonts w:eastAsia="Calibri" w:cs="Calibri Light"/>
                <w:b w:val="0"/>
                <w:sz w:val="22"/>
                <w:szCs w:val="22"/>
                <w:lang w:eastAsia="en-US"/>
              </w:rPr>
              <w:t xml:space="preserve">egulatory framework for compliance. </w:t>
            </w:r>
          </w:p>
          <w:p w14:paraId="79729BE6" w14:textId="77777777" w:rsidR="00D75C45" w:rsidRPr="009D07B4" w:rsidRDefault="00D75C45" w:rsidP="00D75C45">
            <w:pPr>
              <w:spacing w:after="0" w:line="240" w:lineRule="auto"/>
              <w:rPr>
                <w:rFonts w:eastAsia="Calibri" w:cs="Calibri Light"/>
                <w:b w:val="0"/>
                <w:szCs w:val="22"/>
                <w:lang w:eastAsia="en-US"/>
              </w:rPr>
            </w:pPr>
          </w:p>
        </w:tc>
      </w:tr>
    </w:tbl>
    <w:p w14:paraId="3877858D" w14:textId="77777777" w:rsidR="00542293" w:rsidRPr="00F3639D" w:rsidRDefault="00542293" w:rsidP="00407BA7">
      <w:pPr>
        <w:pStyle w:val="NbrHeading3"/>
        <w:rPr>
          <w:lang w:val="en-GB"/>
        </w:rPr>
      </w:pPr>
    </w:p>
    <w:p w14:paraId="46BB9A8D" w14:textId="72260AC1" w:rsidR="2454E2A8" w:rsidRPr="00221992" w:rsidRDefault="00B14705" w:rsidP="00407BA7">
      <w:pPr>
        <w:pStyle w:val="NbrHeading3"/>
        <w:rPr>
          <w:lang w:val="en-GB"/>
        </w:rPr>
      </w:pPr>
      <w:bookmarkStart w:id="193" w:name="_Toc162950895"/>
      <w:r w:rsidRPr="00221992">
        <w:rPr>
          <w:lang w:val="en-GB"/>
        </w:rPr>
        <w:t xml:space="preserve">Health Technology Reassessment (HTR) and </w:t>
      </w:r>
      <w:r w:rsidR="0051649B">
        <w:rPr>
          <w:lang w:val="en-GB"/>
        </w:rPr>
        <w:t>d</w:t>
      </w:r>
      <w:r w:rsidR="2454E2A8" w:rsidRPr="00221992">
        <w:rPr>
          <w:lang w:val="en-GB"/>
        </w:rPr>
        <w:t>isinvestment</w:t>
      </w:r>
      <w:bookmarkEnd w:id="193"/>
    </w:p>
    <w:p w14:paraId="4474DF60" w14:textId="483DF7E5" w:rsidR="002E3AFD" w:rsidRPr="00221992" w:rsidRDefault="00C1021A" w:rsidP="00074723">
      <w:pPr>
        <w:rPr>
          <w:lang w:val="en-GB"/>
        </w:rPr>
      </w:pPr>
      <w:r w:rsidRPr="00221992">
        <w:rPr>
          <w:lang w:val="en-GB"/>
        </w:rPr>
        <w:t xml:space="preserve">One of the objectives of </w:t>
      </w:r>
      <w:r w:rsidR="00661F62">
        <w:rPr>
          <w:lang w:val="en-GB"/>
        </w:rPr>
        <w:t>performance-based MEAs</w:t>
      </w:r>
      <w:r w:rsidRPr="00221992">
        <w:rPr>
          <w:lang w:val="en-GB"/>
        </w:rPr>
        <w:t xml:space="preserve"> is to provide a </w:t>
      </w:r>
      <w:r w:rsidR="00DE1ADC" w:rsidRPr="00221992">
        <w:rPr>
          <w:lang w:val="en-GB"/>
        </w:rPr>
        <w:t>mechanism</w:t>
      </w:r>
      <w:r w:rsidRPr="00221992">
        <w:rPr>
          <w:lang w:val="en-GB"/>
        </w:rPr>
        <w:t xml:space="preserve"> for Health Technology Reassessment (HTR). </w:t>
      </w:r>
      <w:r w:rsidR="42232F42" w:rsidRPr="00221992">
        <w:rPr>
          <w:lang w:val="en-GB"/>
        </w:rPr>
        <w:t>In the context of managing uncertainty, t</w:t>
      </w:r>
      <w:r w:rsidRPr="00221992">
        <w:rPr>
          <w:lang w:val="en-GB"/>
        </w:rPr>
        <w:t xml:space="preserve">his </w:t>
      </w:r>
      <w:r w:rsidR="000811CC" w:rsidRPr="00221992">
        <w:rPr>
          <w:lang w:val="en-GB"/>
        </w:rPr>
        <w:t xml:space="preserve">mechanism </w:t>
      </w:r>
      <w:r w:rsidRPr="00221992">
        <w:rPr>
          <w:lang w:val="en-GB"/>
        </w:rPr>
        <w:t xml:space="preserve">aims to </w:t>
      </w:r>
      <w:r w:rsidR="00DF4117" w:rsidRPr="00221992">
        <w:rPr>
          <w:lang w:val="en-GB"/>
        </w:rPr>
        <w:t>facilitate</w:t>
      </w:r>
      <w:r w:rsidRPr="00221992">
        <w:rPr>
          <w:lang w:val="en-GB"/>
        </w:rPr>
        <w:t xml:space="preserve"> several </w:t>
      </w:r>
      <w:r w:rsidR="00980BEC" w:rsidRPr="00221992">
        <w:rPr>
          <w:lang w:val="en-GB"/>
        </w:rPr>
        <w:t>possibl</w:t>
      </w:r>
      <w:r w:rsidR="007B60D5" w:rsidRPr="00221992">
        <w:rPr>
          <w:lang w:val="en-GB"/>
        </w:rPr>
        <w:t xml:space="preserve">e </w:t>
      </w:r>
      <w:r w:rsidRPr="00221992">
        <w:rPr>
          <w:lang w:val="en-GB"/>
        </w:rPr>
        <w:t>outcomes</w:t>
      </w:r>
      <w:r w:rsidR="1D1ACCB0" w:rsidRPr="00221992">
        <w:rPr>
          <w:lang w:val="en-GB"/>
        </w:rPr>
        <w:t xml:space="preserve">: </w:t>
      </w:r>
      <w:r w:rsidRPr="00221992">
        <w:rPr>
          <w:lang w:val="en-GB"/>
        </w:rPr>
        <w:t>maintain current funding arrangements, increas</w:t>
      </w:r>
      <w:r w:rsidR="785F5BDE" w:rsidRPr="00221992">
        <w:rPr>
          <w:lang w:val="en-GB"/>
        </w:rPr>
        <w:t>e</w:t>
      </w:r>
      <w:r w:rsidRPr="00221992">
        <w:rPr>
          <w:lang w:val="en-GB"/>
        </w:rPr>
        <w:t xml:space="preserve"> funding for high-value technologies, reduc</w:t>
      </w:r>
      <w:r w:rsidR="1D89955A" w:rsidRPr="00221992">
        <w:rPr>
          <w:lang w:val="en-GB"/>
        </w:rPr>
        <w:t>e</w:t>
      </w:r>
      <w:r w:rsidRPr="00221992">
        <w:rPr>
          <w:lang w:val="en-GB"/>
        </w:rPr>
        <w:t xml:space="preserve"> funding for low-value health technologies, </w:t>
      </w:r>
      <w:r w:rsidR="00E45743" w:rsidRPr="00221992">
        <w:rPr>
          <w:lang w:val="en-GB"/>
        </w:rPr>
        <w:t>and</w:t>
      </w:r>
      <w:r w:rsidRPr="00221992">
        <w:rPr>
          <w:lang w:val="en-GB"/>
        </w:rPr>
        <w:t xml:space="preserve"> disinvestment</w:t>
      </w:r>
      <w:r w:rsidR="00E45743" w:rsidRPr="00221992">
        <w:rPr>
          <w:lang w:val="en-GB"/>
        </w:rPr>
        <w:t xml:space="preserve"> (i.e., the </w:t>
      </w:r>
      <w:r w:rsidRPr="00221992">
        <w:rPr>
          <w:lang w:val="en-GB"/>
        </w:rPr>
        <w:t>withdraw</w:t>
      </w:r>
      <w:r w:rsidR="00E45743" w:rsidRPr="00221992">
        <w:rPr>
          <w:lang w:val="en-GB"/>
        </w:rPr>
        <w:t xml:space="preserve">al of </w:t>
      </w:r>
      <w:r w:rsidRPr="00221992">
        <w:rPr>
          <w:lang w:val="en-GB"/>
        </w:rPr>
        <w:t>funding for a specific technology or service</w:t>
      </w:r>
      <w:r w:rsidR="07CD723B" w:rsidRPr="00221992">
        <w:rPr>
          <w:lang w:val="en-GB"/>
        </w:rPr>
        <w:t xml:space="preserve"> identified as having </w:t>
      </w:r>
      <w:r w:rsidR="00E45743" w:rsidRPr="00221992">
        <w:rPr>
          <w:lang w:val="en-GB"/>
        </w:rPr>
        <w:t xml:space="preserve">insufficient </w:t>
      </w:r>
      <w:r w:rsidR="07CD723B" w:rsidRPr="00221992">
        <w:rPr>
          <w:lang w:val="en-GB"/>
        </w:rPr>
        <w:t>added value</w:t>
      </w:r>
      <w:r w:rsidR="00E45743" w:rsidRPr="00221992">
        <w:rPr>
          <w:lang w:val="en-GB"/>
        </w:rPr>
        <w:t>).</w:t>
      </w:r>
      <w:r w:rsidR="00E67F25" w:rsidRPr="00221992">
        <w:rPr>
          <w:lang w:val="en-GB"/>
        </w:rPr>
        <w:t xml:space="preserve"> </w:t>
      </w:r>
      <w:r w:rsidR="00CD4EFF" w:rsidRPr="00221992">
        <w:rPr>
          <w:lang w:val="en-GB"/>
        </w:rPr>
        <w:t>However, w</w:t>
      </w:r>
      <w:r w:rsidR="004F03EB" w:rsidRPr="00221992">
        <w:rPr>
          <w:lang w:val="en-GB"/>
        </w:rPr>
        <w:t>hile process</w:t>
      </w:r>
      <w:r w:rsidR="000D7F7A" w:rsidRPr="00221992">
        <w:rPr>
          <w:lang w:val="en-GB"/>
        </w:rPr>
        <w:t>es</w:t>
      </w:r>
      <w:r w:rsidR="004F03EB" w:rsidRPr="00221992">
        <w:rPr>
          <w:lang w:val="en-GB"/>
        </w:rPr>
        <w:t xml:space="preserve"> </w:t>
      </w:r>
      <w:r w:rsidR="000D7F7A" w:rsidRPr="00221992">
        <w:rPr>
          <w:lang w:val="en-GB"/>
        </w:rPr>
        <w:t>for</w:t>
      </w:r>
      <w:r w:rsidR="004F03EB" w:rsidRPr="00221992">
        <w:rPr>
          <w:lang w:val="en-GB"/>
        </w:rPr>
        <w:t xml:space="preserve"> </w:t>
      </w:r>
      <w:r w:rsidR="000D7F7A" w:rsidRPr="00221992">
        <w:rPr>
          <w:lang w:val="en-GB"/>
        </w:rPr>
        <w:t>allocating new</w:t>
      </w:r>
      <w:r w:rsidR="004F03EB" w:rsidRPr="00221992">
        <w:rPr>
          <w:lang w:val="en-GB"/>
        </w:rPr>
        <w:t xml:space="preserve"> resources to health technolog</w:t>
      </w:r>
      <w:r w:rsidR="000D7F7A" w:rsidRPr="00221992">
        <w:rPr>
          <w:lang w:val="en-GB"/>
        </w:rPr>
        <w:t>ies</w:t>
      </w:r>
      <w:r w:rsidR="004F03EB" w:rsidRPr="00221992">
        <w:rPr>
          <w:lang w:val="en-GB"/>
        </w:rPr>
        <w:t xml:space="preserve"> </w:t>
      </w:r>
      <w:r w:rsidR="00333200" w:rsidRPr="00221992">
        <w:rPr>
          <w:lang w:val="en-GB"/>
        </w:rPr>
        <w:t>are</w:t>
      </w:r>
      <w:r w:rsidR="004F03EB" w:rsidRPr="00221992">
        <w:rPr>
          <w:lang w:val="en-GB"/>
        </w:rPr>
        <w:t xml:space="preserve"> </w:t>
      </w:r>
      <w:r w:rsidR="000D7F7A" w:rsidRPr="00221992">
        <w:rPr>
          <w:lang w:val="en-GB"/>
        </w:rPr>
        <w:t>relatively</w:t>
      </w:r>
      <w:r w:rsidR="004F03EB" w:rsidRPr="00221992">
        <w:rPr>
          <w:lang w:val="en-GB"/>
        </w:rPr>
        <w:t xml:space="preserve"> </w:t>
      </w:r>
      <w:r w:rsidR="00333200" w:rsidRPr="00221992">
        <w:rPr>
          <w:lang w:val="en-GB"/>
        </w:rPr>
        <w:t xml:space="preserve">well-established and </w:t>
      </w:r>
      <w:r w:rsidR="004F03EB" w:rsidRPr="00221992">
        <w:rPr>
          <w:lang w:val="en-GB"/>
        </w:rPr>
        <w:t xml:space="preserve">straightforward, </w:t>
      </w:r>
      <w:r w:rsidR="000D7F7A" w:rsidRPr="00221992">
        <w:rPr>
          <w:lang w:val="en-GB"/>
        </w:rPr>
        <w:t>the withdrawal of</w:t>
      </w:r>
      <w:r w:rsidR="00E273FA" w:rsidRPr="00221992">
        <w:rPr>
          <w:lang w:val="en-GB"/>
        </w:rPr>
        <w:t xml:space="preserve"> resources</w:t>
      </w:r>
      <w:r w:rsidR="000D7F7A" w:rsidRPr="00221992">
        <w:rPr>
          <w:lang w:val="en-GB"/>
        </w:rPr>
        <w:t>—</w:t>
      </w:r>
      <w:r w:rsidR="00A80840" w:rsidRPr="00221992">
        <w:rPr>
          <w:lang w:val="en-GB"/>
        </w:rPr>
        <w:t xml:space="preserve">commonly referred to as </w:t>
      </w:r>
      <w:r w:rsidR="00551786">
        <w:rPr>
          <w:lang w:val="en-GB"/>
        </w:rPr>
        <w:t>‘</w:t>
      </w:r>
      <w:r w:rsidR="00E04353" w:rsidRPr="00221992">
        <w:rPr>
          <w:lang w:val="en-GB"/>
        </w:rPr>
        <w:t xml:space="preserve">active </w:t>
      </w:r>
      <w:r w:rsidR="00A80840" w:rsidRPr="00221992">
        <w:rPr>
          <w:lang w:val="en-GB"/>
        </w:rPr>
        <w:t>disinvestment</w:t>
      </w:r>
      <w:r w:rsidR="00551786">
        <w:rPr>
          <w:lang w:val="en-GB"/>
        </w:rPr>
        <w:t>’</w:t>
      </w:r>
      <w:r w:rsidR="000D7F7A" w:rsidRPr="00221992">
        <w:rPr>
          <w:lang w:val="en-GB"/>
        </w:rPr>
        <w:t>—</w:t>
      </w:r>
      <w:r w:rsidR="00FB359C" w:rsidRPr="00221992">
        <w:rPr>
          <w:lang w:val="en-GB"/>
        </w:rPr>
        <w:t xml:space="preserve">is </w:t>
      </w:r>
      <w:r w:rsidR="008B4BBC" w:rsidRPr="00221992">
        <w:rPr>
          <w:lang w:val="en-GB"/>
        </w:rPr>
        <w:t>widely ackno</w:t>
      </w:r>
      <w:r w:rsidR="00F31EAC" w:rsidRPr="00221992">
        <w:rPr>
          <w:lang w:val="en-GB"/>
        </w:rPr>
        <w:t xml:space="preserve">wledged as </w:t>
      </w:r>
      <w:r w:rsidR="00E273FA" w:rsidRPr="00221992">
        <w:rPr>
          <w:lang w:val="en-GB"/>
        </w:rPr>
        <w:t>more challenging</w:t>
      </w:r>
      <w:r w:rsidR="00943E48" w:rsidRPr="00221992">
        <w:rPr>
          <w:lang w:val="en-GB"/>
        </w:rPr>
        <w:t xml:space="preserve"> </w:t>
      </w:r>
      <w:r w:rsidR="007A2946" w:rsidRPr="00221992">
        <w:rPr>
          <w:lang w:val="en-GB"/>
        </w:rPr>
        <w:fldChar w:fldCharType="begin"/>
      </w:r>
      <w:r w:rsidR="00E5265C">
        <w:rPr>
          <w:lang w:val="en-GB"/>
        </w:rPr>
        <w:instrText xml:space="preserve"> ADDIN EN.CITE &lt;EndNote&gt;&lt;Cite&gt;&lt;Author&gt;Kamaruzaman&lt;/Author&gt;&lt;Year&gt;2022&lt;/Year&gt;&lt;RecNum&gt;684&lt;/RecNum&gt;&lt;DisplayText&gt;[229-230]&lt;/DisplayText&gt;&lt;record&gt;&lt;rec-number&gt;684&lt;/rec-number&gt;&lt;foreign-keys&gt;&lt;key app="EN" db-id="wzwwsfxe4peesxef95cxvrwjxts9rreasarf" timestamp="1695599692"&gt;684&lt;/key&gt;&lt;/foreign-keys&gt;&lt;ref-type name="Journal Article"&gt;17&lt;/ref-type&gt;&lt;contributors&gt;&lt;authors&gt;&lt;author&gt;Kamaruzaman, Hanin Farhana&lt;/author&gt;&lt;author&gt;Grieve, Eleanor&lt;/author&gt;&lt;author&gt;Wu, Olivia&lt;/author&gt;&lt;/authors&gt;&lt;/contributors&gt;&lt;titles&gt;&lt;title&gt;Disinvestment in healthcare: a scoping review of systematic reviews&lt;/title&gt;&lt;secondary-title&gt;International Journal of Technology Assessment in Health Care&lt;/secondary-title&gt;&lt;/titles&gt;&lt;pages&gt;1-39&lt;/pages&gt;&lt;dates&gt;&lt;year&gt;2022&lt;/year&gt;&lt;/dates&gt;&lt;isbn&gt;0266-4623&lt;/isbn&gt;&lt;urls&gt;&lt;/urls&gt;&lt;/record&gt;&lt;/Cite&gt;&lt;Cite&gt;&lt;Author&gt;Lewis&lt;/Author&gt;&lt;Year&gt;2019&lt;/Year&gt;&lt;RecNum&gt;685&lt;/RecNum&gt;&lt;record&gt;&lt;rec-number&gt;685&lt;/rec-number&gt;&lt;foreign-keys&gt;&lt;key app="EN" db-id="wzwwsfxe4peesxef95cxvrwjxts9rreasarf" timestamp="1695599816"&gt;685&lt;/key&gt;&lt;/foreign-keys&gt;&lt;ref-type name="Report"&gt;27&lt;/ref-type&gt;&lt;contributors&gt;&lt;authors&gt;&lt;author&gt;Lewis, S. &lt;/author&gt;&lt;author&gt;Campbell, S.&lt;/author&gt;&lt;author&gt;Norris, S.&lt;/author&gt;&lt;/authors&gt;&lt;tertiary-authors&gt;&lt;author&gt;Australian Government Department of Health and Aged Care,&lt;/author&gt;&lt;/tertiary-authors&gt;&lt;/contributors&gt;&lt;titles&gt;&lt;title&gt;Systematic literature review on international approaches to post-market reviews and technology re-assessment - Final Report&lt;/title&gt;&lt;/titles&gt;&lt;dates&gt;&lt;year&gt;2019&lt;/year&gt;&lt;/dates&gt;&lt;pub-location&gt;Canberra&lt;/pub-location&gt;&lt;urls&gt;&lt;/urls&gt;&lt;/record&gt;&lt;/Cite&gt;&lt;/EndNote&gt;</w:instrText>
      </w:r>
      <w:r w:rsidR="007A2946" w:rsidRPr="00221992">
        <w:rPr>
          <w:lang w:val="en-GB"/>
        </w:rPr>
        <w:fldChar w:fldCharType="separate"/>
      </w:r>
      <w:r w:rsidR="00E5265C">
        <w:rPr>
          <w:noProof/>
          <w:lang w:val="en-GB"/>
        </w:rPr>
        <w:t>[229-230]</w:t>
      </w:r>
      <w:r w:rsidR="007A2946" w:rsidRPr="00221992">
        <w:rPr>
          <w:lang w:val="en-GB"/>
        </w:rPr>
        <w:fldChar w:fldCharType="end"/>
      </w:r>
      <w:r w:rsidR="006122A0" w:rsidRPr="00221992">
        <w:rPr>
          <w:lang w:val="en-GB"/>
        </w:rPr>
        <w:t>.</w:t>
      </w:r>
      <w:r w:rsidR="009B52E2" w:rsidRPr="00221992">
        <w:rPr>
          <w:lang w:val="en-GB"/>
        </w:rPr>
        <w:t xml:space="preserve"> </w:t>
      </w:r>
      <w:r w:rsidR="00855BCA" w:rsidRPr="00221992">
        <w:rPr>
          <w:lang w:val="en-GB"/>
        </w:rPr>
        <w:t xml:space="preserve">Kamaruzaman </w:t>
      </w:r>
      <w:r w:rsidR="00FB359C" w:rsidRPr="00221992">
        <w:rPr>
          <w:lang w:val="en-GB"/>
        </w:rPr>
        <w:t>et al.</w:t>
      </w:r>
      <w:r w:rsidR="00855BCA" w:rsidRPr="00221992">
        <w:rPr>
          <w:lang w:val="en-GB"/>
        </w:rPr>
        <w:t xml:space="preserve"> (2022) </w:t>
      </w:r>
      <w:r w:rsidR="00B17655" w:rsidRPr="00221992">
        <w:rPr>
          <w:lang w:val="en-GB"/>
        </w:rPr>
        <w:t xml:space="preserve">conducted a scoping review of </w:t>
      </w:r>
      <w:r w:rsidR="0094323B" w:rsidRPr="00221992">
        <w:rPr>
          <w:lang w:val="en-GB"/>
        </w:rPr>
        <w:t xml:space="preserve">international approaches to HTR and </w:t>
      </w:r>
      <w:r w:rsidR="00B17655" w:rsidRPr="00221992">
        <w:rPr>
          <w:lang w:val="en-GB"/>
        </w:rPr>
        <w:t xml:space="preserve">disinvestment </w:t>
      </w:r>
      <w:r w:rsidR="00564F40" w:rsidRPr="00221992">
        <w:rPr>
          <w:lang w:val="en-GB"/>
        </w:rPr>
        <w:t xml:space="preserve">more broadly </w:t>
      </w:r>
      <w:r w:rsidR="0094323B" w:rsidRPr="00221992">
        <w:rPr>
          <w:lang w:val="en-GB"/>
        </w:rPr>
        <w:t xml:space="preserve">and </w:t>
      </w:r>
      <w:r w:rsidR="00712745" w:rsidRPr="00221992">
        <w:rPr>
          <w:lang w:val="en-GB"/>
        </w:rPr>
        <w:t>summarised the</w:t>
      </w:r>
      <w:r w:rsidR="003F7849" w:rsidRPr="00221992">
        <w:rPr>
          <w:lang w:val="en-GB"/>
        </w:rPr>
        <w:t xml:space="preserve"> main challenges and barriers </w:t>
      </w:r>
      <w:r w:rsidR="00630C6E" w:rsidRPr="00221992">
        <w:rPr>
          <w:lang w:val="en-GB"/>
        </w:rPr>
        <w:t xml:space="preserve">for implementation of </w:t>
      </w:r>
      <w:r w:rsidR="0010151D" w:rsidRPr="00221992">
        <w:rPr>
          <w:lang w:val="en-GB"/>
        </w:rPr>
        <w:t xml:space="preserve">active </w:t>
      </w:r>
      <w:r w:rsidR="00E04353" w:rsidRPr="00221992">
        <w:rPr>
          <w:lang w:val="en-GB"/>
        </w:rPr>
        <w:t xml:space="preserve">disinvestment </w:t>
      </w:r>
      <w:r w:rsidR="003F7849" w:rsidRPr="00221992">
        <w:rPr>
          <w:lang w:val="en-GB"/>
        </w:rPr>
        <w:t>into three themes: perception barriers</w:t>
      </w:r>
      <w:r w:rsidR="00030B0D" w:rsidRPr="00221992">
        <w:rPr>
          <w:lang w:val="en-GB"/>
        </w:rPr>
        <w:t>, technical or scientific barriers</w:t>
      </w:r>
      <w:r w:rsidR="00796DE3" w:rsidRPr="00221992">
        <w:rPr>
          <w:lang w:val="en-GB"/>
        </w:rPr>
        <w:t>,</w:t>
      </w:r>
      <w:r w:rsidR="00030B0D" w:rsidRPr="00221992">
        <w:rPr>
          <w:lang w:val="en-GB"/>
        </w:rPr>
        <w:t xml:space="preserve"> and organisational barriers.</w:t>
      </w:r>
      <w:r w:rsidR="00C32D2C">
        <w:rPr>
          <w:lang w:val="en-GB"/>
        </w:rPr>
        <w:t xml:space="preserve"> </w:t>
      </w:r>
    </w:p>
    <w:p w14:paraId="69F34EC9" w14:textId="38601D8A" w:rsidR="002E3AFD" w:rsidRPr="00221992" w:rsidRDefault="00074723" w:rsidP="00074723">
      <w:pPr>
        <w:rPr>
          <w:lang w:val="en-GB"/>
        </w:rPr>
      </w:pPr>
      <w:r w:rsidRPr="00221992">
        <w:rPr>
          <w:lang w:val="en-GB"/>
        </w:rPr>
        <w:t xml:space="preserve">Perception </w:t>
      </w:r>
      <w:r w:rsidR="00796DE3" w:rsidRPr="00221992">
        <w:rPr>
          <w:lang w:val="en-GB"/>
        </w:rPr>
        <w:t>b</w:t>
      </w:r>
      <w:r w:rsidRPr="00221992">
        <w:rPr>
          <w:lang w:val="en-GB"/>
        </w:rPr>
        <w:t>arriers</w:t>
      </w:r>
      <w:r w:rsidR="00796DE3" w:rsidRPr="00221992">
        <w:rPr>
          <w:lang w:val="en-GB"/>
        </w:rPr>
        <w:t>—</w:t>
      </w:r>
      <w:r w:rsidRPr="00221992">
        <w:rPr>
          <w:lang w:val="en-GB"/>
        </w:rPr>
        <w:t xml:space="preserve">Healthcare professionals </w:t>
      </w:r>
      <w:r w:rsidR="008C57FD" w:rsidRPr="00221992">
        <w:rPr>
          <w:lang w:val="en-GB"/>
        </w:rPr>
        <w:t>may resist removing established technologies due to their perceived importance in clinical practice</w:t>
      </w:r>
      <w:r w:rsidR="00D628B4" w:rsidRPr="00221992">
        <w:rPr>
          <w:lang w:val="en-GB"/>
        </w:rPr>
        <w:t xml:space="preserve"> </w:t>
      </w:r>
      <w:r w:rsidR="00333200" w:rsidRPr="00221992">
        <w:rPr>
          <w:lang w:val="en-GB"/>
        </w:rPr>
        <w:fldChar w:fldCharType="begin">
          <w:fldData xml:space="preserve">PEVuZE5vdGU+PENpdGU+PEF1dGhvcj5DaGFtYmVyczwvQXV0aG9yPjxZZWFyPjIwMTc8L1llYXI+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</w:fldData>
        </w:fldChar>
      </w:r>
      <w:r w:rsidR="00E5265C">
        <w:rPr>
          <w:lang w:val="en-GB"/>
        </w:rPr>
        <w:instrText xml:space="preserve"> ADDIN EN.CITE </w:instrText>
      </w:r>
      <w:r w:rsidR="00E5265C">
        <w:rPr>
          <w:lang w:val="en-GB"/>
        </w:rPr>
        <w:fldChar w:fldCharType="begin">
          <w:fldData xml:space="preserve">PEVuZE5vdGU+PENpdGU+PEF1dGhvcj5DaGFtYmVyczwvQXV0aG9yPjxZZWFyPjIwMTc8L1llYXI+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</w:fldData>
        </w:fldChar>
      </w:r>
      <w:r w:rsidR="00E5265C">
        <w:rPr>
          <w:lang w:val="en-GB"/>
        </w:rPr>
        <w:instrText xml:space="preserve"> ADDIN EN.CITE.DATA </w:instrText>
      </w:r>
      <w:r w:rsidR="00E5265C">
        <w:rPr>
          <w:lang w:val="en-GB"/>
        </w:rPr>
      </w:r>
      <w:r w:rsidR="00E5265C">
        <w:rPr>
          <w:lang w:val="en-GB"/>
        </w:rPr>
        <w:fldChar w:fldCharType="end"/>
      </w:r>
      <w:r w:rsidR="00333200" w:rsidRPr="00221992">
        <w:rPr>
          <w:lang w:val="en-GB"/>
        </w:rPr>
      </w:r>
      <w:r w:rsidR="00333200" w:rsidRPr="00221992">
        <w:rPr>
          <w:lang w:val="en-GB"/>
        </w:rPr>
        <w:fldChar w:fldCharType="separate"/>
      </w:r>
      <w:r w:rsidR="00E5265C">
        <w:rPr>
          <w:noProof/>
          <w:lang w:val="en-GB"/>
        </w:rPr>
        <w:t>[231-233]</w:t>
      </w:r>
      <w:r w:rsidR="00333200" w:rsidRPr="00221992">
        <w:rPr>
          <w:lang w:val="en-GB"/>
        </w:rPr>
        <w:fldChar w:fldCharType="end"/>
      </w:r>
      <w:r w:rsidRPr="00221992">
        <w:rPr>
          <w:lang w:val="en-GB"/>
        </w:rPr>
        <w:t>. Fear of patient question</w:t>
      </w:r>
      <w:r w:rsidR="008C57FD" w:rsidRPr="00221992">
        <w:rPr>
          <w:lang w:val="en-GB"/>
        </w:rPr>
        <w:t xml:space="preserve">s and concerns </w:t>
      </w:r>
      <w:r w:rsidR="00253A28" w:rsidRPr="00221992">
        <w:rPr>
          <w:lang w:val="en-GB"/>
        </w:rPr>
        <w:t xml:space="preserve">about reducing choices and the impact </w:t>
      </w:r>
      <w:r w:rsidR="00B80B13" w:rsidRPr="00221992">
        <w:rPr>
          <w:lang w:val="en-GB"/>
        </w:rPr>
        <w:t xml:space="preserve">it may have on </w:t>
      </w:r>
      <w:r w:rsidR="00253A28" w:rsidRPr="00221992">
        <w:rPr>
          <w:lang w:val="en-GB"/>
        </w:rPr>
        <w:t>subsidies</w:t>
      </w:r>
      <w:r w:rsidR="00B80B13" w:rsidRPr="00221992">
        <w:rPr>
          <w:lang w:val="en-GB"/>
        </w:rPr>
        <w:t xml:space="preserve"> can drive resistance</w:t>
      </w:r>
      <w:r w:rsidR="003154EC" w:rsidRPr="00221992">
        <w:rPr>
          <w:lang w:val="en-GB"/>
        </w:rPr>
        <w:t xml:space="preserve"> to disinvestment</w:t>
      </w:r>
      <w:r w:rsidR="00133D35" w:rsidRPr="00221992">
        <w:rPr>
          <w:lang w:val="en-GB"/>
        </w:rPr>
        <w:t xml:space="preserve"> </w:t>
      </w:r>
      <w:r w:rsidR="00133D35" w:rsidRPr="00221992">
        <w:rPr>
          <w:lang w:val="en-GB"/>
        </w:rPr>
        <w:fldChar w:fldCharType="begin"/>
      </w:r>
      <w:r w:rsidR="00E5265C">
        <w:rPr>
          <w:lang w:val="en-GB"/>
        </w:rPr>
        <w:instrText xml:space="preserve"> ADDIN EN.CITE &lt;EndNote&gt;&lt;Cite&gt;&lt;Author&gt;Parkinson&lt;/Author&gt;&lt;Year&gt;2015&lt;/Year&gt;&lt;RecNum&gt;690&lt;/RecNum&gt;&lt;DisplayText&gt;[234]&lt;/DisplayText&gt;&lt;record&gt;&lt;rec-number&gt;690&lt;/rec-number&gt;&lt;foreign-keys&gt;&lt;key app="EN" db-id="wzwwsfxe4peesxef95cxvrwjxts9rreasarf" timestamp="1695600065"&gt;690&lt;/key&gt;&lt;/foreign-keys&gt;&lt;ref-type name="Journal Article"&gt;17&lt;/ref-type&gt;&lt;contributors&gt;&lt;authors&gt;&lt;author&gt;Parkinson, Bonny&lt;/author&gt;&lt;author&gt;Sermet, Catherine&lt;/author&gt;&lt;author&gt;Clement, Fiona&lt;/author&gt;&lt;author&gt;Crausaz, Steffan&lt;/author&gt;&lt;author&gt;Godman, Brian&lt;/author&gt;&lt;author&gt;Garner, Sarah&lt;/author&gt;&lt;author&gt;Choudhury, Moni&lt;/author&gt;&lt;author&gt;Pearson, Sallie-Anne&lt;/author&gt;&lt;author&gt;Viney, Rosalie&lt;/author&gt;&lt;author&gt;Lopert, Ruth&lt;/author&gt;&lt;/authors&gt;&lt;/contributors&gt;&lt;titles&gt;&lt;title&gt;Disinvestment and value-based purchasing strategies for pharmaceuticals: an international review&lt;/title&gt;&lt;secondary-title&gt;Pharmacoeconomics&lt;/secondary-title&gt;&lt;/titles&gt;&lt;periodical&gt;&lt;full-title&gt;PharmacoEconomics&lt;/full-title&gt;&lt;/periodical&gt;&lt;pages&gt;905-924&lt;/pages&gt;&lt;volume&gt;33&lt;/volume&gt;&lt;dates&gt;&lt;year&gt;2015&lt;/year&gt;&lt;/dates&gt;&lt;isbn&gt;1170-7690&lt;/isbn&gt;&lt;urls&gt;&lt;/urls&gt;&lt;/record&gt;&lt;/Cite&gt;&lt;/EndNote&gt;</w:instrText>
      </w:r>
      <w:r w:rsidR="00133D35" w:rsidRPr="00221992">
        <w:rPr>
          <w:lang w:val="en-GB"/>
        </w:rPr>
        <w:fldChar w:fldCharType="separate"/>
      </w:r>
      <w:r w:rsidR="00E5265C">
        <w:rPr>
          <w:noProof/>
          <w:lang w:val="en-GB"/>
        </w:rPr>
        <w:t>[234]</w:t>
      </w:r>
      <w:r w:rsidR="00133D35" w:rsidRPr="00221992">
        <w:rPr>
          <w:lang w:val="en-GB"/>
        </w:rPr>
        <w:fldChar w:fldCharType="end"/>
      </w:r>
      <w:r w:rsidR="00B80B13" w:rsidRPr="00221992">
        <w:rPr>
          <w:lang w:val="en-GB"/>
        </w:rPr>
        <w:t>.</w:t>
      </w:r>
      <w:r w:rsidR="00C32D2C">
        <w:rPr>
          <w:lang w:val="en-GB"/>
        </w:rPr>
        <w:t xml:space="preserve"> </w:t>
      </w:r>
    </w:p>
    <w:p w14:paraId="6170EEF7" w14:textId="34E0CF85" w:rsidR="002E3AFD" w:rsidRPr="00221992" w:rsidRDefault="00074723" w:rsidP="00074723">
      <w:pPr>
        <w:rPr>
          <w:lang w:val="en-GB"/>
        </w:rPr>
      </w:pPr>
      <w:r w:rsidRPr="00221992">
        <w:rPr>
          <w:lang w:val="en-GB"/>
        </w:rPr>
        <w:t>Technical/</w:t>
      </w:r>
      <w:r w:rsidR="003154EC" w:rsidRPr="00221992">
        <w:rPr>
          <w:lang w:val="en-GB"/>
        </w:rPr>
        <w:t>s</w:t>
      </w:r>
      <w:r w:rsidRPr="00221992">
        <w:rPr>
          <w:lang w:val="en-GB"/>
        </w:rPr>
        <w:t xml:space="preserve">cientific </w:t>
      </w:r>
      <w:r w:rsidR="003154EC" w:rsidRPr="00221992">
        <w:rPr>
          <w:lang w:val="en-GB"/>
        </w:rPr>
        <w:t>b</w:t>
      </w:r>
      <w:r w:rsidRPr="00221992">
        <w:rPr>
          <w:lang w:val="en-GB"/>
        </w:rPr>
        <w:t>arriers</w:t>
      </w:r>
      <w:r w:rsidR="00796DE3" w:rsidRPr="00221992">
        <w:rPr>
          <w:lang w:val="en-GB"/>
        </w:rPr>
        <w:t>—</w:t>
      </w:r>
      <w:r w:rsidRPr="00221992">
        <w:rPr>
          <w:lang w:val="en-GB"/>
        </w:rPr>
        <w:t xml:space="preserve">Convincing stakeholders </w:t>
      </w:r>
      <w:r w:rsidR="00954385" w:rsidRPr="00221992">
        <w:rPr>
          <w:lang w:val="en-GB"/>
        </w:rPr>
        <w:t>of the safety of technology withdrawal is crucial to a successful disinvestment strategy</w:t>
      </w:r>
      <w:r w:rsidRPr="00221992">
        <w:rPr>
          <w:lang w:val="en-GB"/>
        </w:rPr>
        <w:t xml:space="preserve">. In some cases, </w:t>
      </w:r>
      <w:r w:rsidR="00511385" w:rsidRPr="00221992">
        <w:rPr>
          <w:lang w:val="en-GB"/>
        </w:rPr>
        <w:t xml:space="preserve">a lack of robust evidence to </w:t>
      </w:r>
      <w:r w:rsidRPr="00221992">
        <w:rPr>
          <w:lang w:val="en-GB"/>
        </w:rPr>
        <w:t>support</w:t>
      </w:r>
      <w:r w:rsidR="00511385" w:rsidRPr="00221992">
        <w:rPr>
          <w:lang w:val="en-GB"/>
        </w:rPr>
        <w:t xml:space="preserve"> a</w:t>
      </w:r>
      <w:r w:rsidRPr="00221992">
        <w:rPr>
          <w:lang w:val="en-GB"/>
        </w:rPr>
        <w:t xml:space="preserve"> </w:t>
      </w:r>
      <w:r w:rsidR="00700FD7" w:rsidRPr="00221992">
        <w:rPr>
          <w:lang w:val="en-GB"/>
        </w:rPr>
        <w:t>withdrawal decision</w:t>
      </w:r>
      <w:r w:rsidRPr="00221992">
        <w:rPr>
          <w:lang w:val="en-GB"/>
        </w:rPr>
        <w:t xml:space="preserve"> can hinder acceptance. Specific review methods, </w:t>
      </w:r>
      <w:r w:rsidR="001A34F5" w:rsidRPr="00221992">
        <w:rPr>
          <w:lang w:val="en-GB"/>
        </w:rPr>
        <w:t>for example,</w:t>
      </w:r>
      <w:r w:rsidRPr="00221992">
        <w:rPr>
          <w:lang w:val="en-GB"/>
        </w:rPr>
        <w:t xml:space="preserve"> Cochrane systematic reviews, may </w:t>
      </w:r>
      <w:r w:rsidR="00B53D68" w:rsidRPr="00221992">
        <w:rPr>
          <w:lang w:val="en-GB"/>
        </w:rPr>
        <w:t>highlight a lack of evidence rather than a lack of effectiveness</w:t>
      </w:r>
      <w:r w:rsidR="001A34F5" w:rsidRPr="00221992">
        <w:rPr>
          <w:lang w:val="en-GB"/>
        </w:rPr>
        <w:t xml:space="preserve"> </w:t>
      </w:r>
      <w:r w:rsidR="0064256C" w:rsidRPr="00221992">
        <w:rPr>
          <w:lang w:val="en-GB"/>
        </w:rPr>
        <w:fldChar w:fldCharType="begin"/>
      </w:r>
      <w:r w:rsidR="00E5265C">
        <w:rPr>
          <w:lang w:val="en-GB"/>
        </w:rPr>
        <w:instrText xml:space="preserve"> ADDIN EN.CITE &lt;EndNote&gt;&lt;Cite&gt;&lt;Author&gt;Garner&lt;/Author&gt;&lt;Year&gt;2013&lt;/Year&gt;&lt;RecNum&gt;691&lt;/RecNum&gt;&lt;DisplayText&gt;[235]&lt;/DisplayText&gt;&lt;record&gt;&lt;rec-number&gt;691&lt;/rec-number&gt;&lt;foreign-keys&gt;&lt;key app="EN" db-id="wzwwsfxe4peesxef95cxvrwjxts9rreasarf" timestamp="1695600288"&gt;691&lt;/key&gt;&lt;/foreign-keys&gt;&lt;ref-type name="Journal Article"&gt;17&lt;/ref-type&gt;&lt;contributors&gt;&lt;authors&gt;&lt;author&gt;Garner, Sarah&lt;/author&gt;&lt;author&gt;Docherty, Mary&lt;/author&gt;&lt;author&gt;Somner, John&lt;/author&gt;&lt;author&gt;Sharma, Tarang&lt;/author&gt;&lt;author&gt;Choudhury, Moni&lt;/author&gt;&lt;author&gt;Clarke, Mike&lt;/author&gt;&lt;author&gt;Littlejohns, Peter&lt;/author&gt;&lt;/authors&gt;&lt;/contributors&gt;&lt;titles&gt;&lt;title&gt;Reducing ineffective practice: challenges in identifying low-value health care using Cochrane systematic reviews&lt;/title&gt;&lt;secondary-title&gt;Journal of health services research &amp;amp; policy&lt;/secondary-title&gt;&lt;/titles&gt;&lt;periodical&gt;&lt;full-title&gt;Journal of health services research &amp;amp; policy&lt;/full-title&gt;&lt;/periodical&gt;&lt;pages&gt;6-12&lt;/pages&gt;&lt;volume&gt;18&lt;/volume&gt;&lt;number&gt;1&lt;/number&gt;&lt;dates&gt;&lt;year&gt;2013&lt;/year&gt;&lt;/dates&gt;&lt;isbn&gt;1355-8196&lt;/isbn&gt;&lt;urls&gt;&lt;/urls&gt;&lt;/record&gt;&lt;/Cite&gt;&lt;/EndNote&gt;</w:instrText>
      </w:r>
      <w:r w:rsidR="0064256C" w:rsidRPr="00221992">
        <w:rPr>
          <w:lang w:val="en-GB"/>
        </w:rPr>
        <w:fldChar w:fldCharType="separate"/>
      </w:r>
      <w:r w:rsidR="00E5265C">
        <w:rPr>
          <w:noProof/>
          <w:lang w:val="en-GB"/>
        </w:rPr>
        <w:t>[235]</w:t>
      </w:r>
      <w:r w:rsidR="0064256C" w:rsidRPr="00221992">
        <w:rPr>
          <w:lang w:val="en-GB"/>
        </w:rPr>
        <w:fldChar w:fldCharType="end"/>
      </w:r>
      <w:r w:rsidR="00B53D68" w:rsidRPr="00221992">
        <w:rPr>
          <w:lang w:val="en-GB"/>
        </w:rPr>
        <w:t xml:space="preserve">. </w:t>
      </w:r>
      <w:r w:rsidRPr="00221992">
        <w:rPr>
          <w:lang w:val="en-GB"/>
        </w:rPr>
        <w:t xml:space="preserve">Technical challenges include inconsistencies </w:t>
      </w:r>
      <w:r w:rsidR="005C34BC" w:rsidRPr="00221992">
        <w:rPr>
          <w:lang w:val="en-GB"/>
        </w:rPr>
        <w:t>in technology selection for disinvestment</w:t>
      </w:r>
      <w:r w:rsidR="00FE5E0F" w:rsidRPr="00221992">
        <w:rPr>
          <w:lang w:val="en-GB"/>
        </w:rPr>
        <w:t xml:space="preserve">, </w:t>
      </w:r>
      <w:r w:rsidR="002507A3" w:rsidRPr="00221992">
        <w:rPr>
          <w:lang w:val="en-GB"/>
        </w:rPr>
        <w:t xml:space="preserve">a lack of process transparency </w:t>
      </w:r>
      <w:r w:rsidR="00FE5E0F" w:rsidRPr="00221992">
        <w:rPr>
          <w:lang w:val="en-GB"/>
        </w:rPr>
        <w:t xml:space="preserve">due to confidentially agreements </w:t>
      </w:r>
      <w:r w:rsidR="002F73CB" w:rsidRPr="00221992">
        <w:rPr>
          <w:lang w:val="en-GB"/>
        </w:rPr>
        <w:t>and a f</w:t>
      </w:r>
      <w:r w:rsidRPr="00221992">
        <w:rPr>
          <w:lang w:val="en-GB"/>
        </w:rPr>
        <w:t>ailure to translate recommendations into binding guidelines and connect them to coverage decisions</w:t>
      </w:r>
      <w:r w:rsidR="00C93884" w:rsidRPr="00221992">
        <w:rPr>
          <w:lang w:val="en-GB"/>
        </w:rPr>
        <w:t>, which</w:t>
      </w:r>
      <w:r w:rsidRPr="00221992">
        <w:rPr>
          <w:lang w:val="en-GB"/>
        </w:rPr>
        <w:t xml:space="preserve"> can lead to stakeholder dissatisfaction</w:t>
      </w:r>
      <w:r w:rsidR="00A54C0A" w:rsidRPr="00221992">
        <w:rPr>
          <w:lang w:val="en-GB"/>
        </w:rPr>
        <w:t xml:space="preserve"> </w:t>
      </w:r>
      <w:r w:rsidR="00E25719" w:rsidRPr="00221992">
        <w:rPr>
          <w:lang w:val="en-GB"/>
        </w:rPr>
        <w:fldChar w:fldCharType="begin">
          <w:fldData xml:space="preserve">PEVuZE5vdGU+PENpdGU+PEF1dGhvcj5Fc2FuZGk8L0F1dGhvcj48WWVhcj4yMDIwPC9ZZWFyPjxS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</w:fldData>
        </w:fldChar>
      </w:r>
      <w:r w:rsidR="00E5265C">
        <w:rPr>
          <w:lang w:val="en-GB"/>
        </w:rPr>
        <w:instrText xml:space="preserve"> ADDIN EN.CITE </w:instrText>
      </w:r>
      <w:r w:rsidR="00E5265C">
        <w:rPr>
          <w:lang w:val="en-GB"/>
        </w:rPr>
        <w:fldChar w:fldCharType="begin">
          <w:fldData xml:space="preserve">PEVuZE5vdGU+PENpdGU+PEF1dGhvcj5Fc2FuZGk8L0F1dGhvcj48WWVhcj4yMDIwPC9ZZWFyPjxS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</w:fldData>
        </w:fldChar>
      </w:r>
      <w:r w:rsidR="00E5265C">
        <w:rPr>
          <w:lang w:val="en-GB"/>
        </w:rPr>
        <w:instrText xml:space="preserve"> ADDIN EN.CITE.DATA </w:instrText>
      </w:r>
      <w:r w:rsidR="00E5265C">
        <w:rPr>
          <w:lang w:val="en-GB"/>
        </w:rPr>
      </w:r>
      <w:r w:rsidR="00E5265C">
        <w:rPr>
          <w:lang w:val="en-GB"/>
        </w:rPr>
        <w:fldChar w:fldCharType="end"/>
      </w:r>
      <w:r w:rsidR="00E25719" w:rsidRPr="00221992">
        <w:rPr>
          <w:lang w:val="en-GB"/>
        </w:rPr>
      </w:r>
      <w:r w:rsidR="00E25719" w:rsidRPr="00221992">
        <w:rPr>
          <w:lang w:val="en-GB"/>
        </w:rPr>
        <w:fldChar w:fldCharType="separate"/>
      </w:r>
      <w:r w:rsidR="00E5265C">
        <w:rPr>
          <w:noProof/>
          <w:lang w:val="en-GB"/>
        </w:rPr>
        <w:t>[230, 236-237]</w:t>
      </w:r>
      <w:r w:rsidR="00E25719" w:rsidRPr="00221992">
        <w:rPr>
          <w:lang w:val="en-GB"/>
        </w:rPr>
        <w:fldChar w:fldCharType="end"/>
      </w:r>
      <w:r w:rsidRPr="00221992">
        <w:rPr>
          <w:lang w:val="en-GB"/>
        </w:rPr>
        <w:t>.</w:t>
      </w:r>
      <w:r w:rsidR="00DE10D4" w:rsidRPr="00221992">
        <w:rPr>
          <w:lang w:val="en-GB"/>
        </w:rPr>
        <w:t xml:space="preserve"> </w:t>
      </w:r>
      <w:r w:rsidR="00145A0D" w:rsidRPr="00221992">
        <w:rPr>
          <w:lang w:val="en-GB"/>
        </w:rPr>
        <w:t xml:space="preserve">Expert interviews conducted as part of </w:t>
      </w:r>
      <w:r w:rsidR="00E86D65" w:rsidRPr="00221992">
        <w:rPr>
          <w:lang w:val="en-GB"/>
        </w:rPr>
        <w:t>an</w:t>
      </w:r>
      <w:r w:rsidR="00145A0D" w:rsidRPr="00221992">
        <w:rPr>
          <w:lang w:val="en-GB"/>
        </w:rPr>
        <w:t xml:space="preserve"> </w:t>
      </w:r>
      <w:r w:rsidR="00B01199" w:rsidRPr="00221992">
        <w:rPr>
          <w:lang w:val="en-GB"/>
        </w:rPr>
        <w:t xml:space="preserve">OECD </w:t>
      </w:r>
      <w:r w:rsidR="00CF70DC" w:rsidRPr="00221992">
        <w:rPr>
          <w:lang w:val="en-GB"/>
        </w:rPr>
        <w:t>review (</w:t>
      </w:r>
      <w:r w:rsidR="00B01199" w:rsidRPr="00221992">
        <w:rPr>
          <w:lang w:val="en-GB"/>
        </w:rPr>
        <w:t>2019</w:t>
      </w:r>
      <w:r w:rsidR="00CF70DC" w:rsidRPr="00221992">
        <w:rPr>
          <w:lang w:val="en-GB"/>
        </w:rPr>
        <w:t>)</w:t>
      </w:r>
      <w:r w:rsidR="00B01199" w:rsidRPr="00221992">
        <w:rPr>
          <w:lang w:val="en-GB"/>
        </w:rPr>
        <w:t xml:space="preserve"> </w:t>
      </w:r>
      <w:r w:rsidR="00C93884" w:rsidRPr="00221992">
        <w:rPr>
          <w:lang w:val="en-GB"/>
        </w:rPr>
        <w:t>highlighted</w:t>
      </w:r>
      <w:r w:rsidR="00B01199" w:rsidRPr="00221992">
        <w:rPr>
          <w:lang w:val="en-GB"/>
        </w:rPr>
        <w:t xml:space="preserve"> that delisting products and reducing prices when MEAs identify underperformance have posed challenges</w:t>
      </w:r>
      <w:r w:rsidR="002E5304">
        <w:rPr>
          <w:lang w:val="en-GB"/>
        </w:rPr>
        <w:t xml:space="preserve">, </w:t>
      </w:r>
      <w:r w:rsidR="002E5304" w:rsidRPr="00221992">
        <w:rPr>
          <w:lang w:val="en-GB"/>
        </w:rPr>
        <w:t>particular</w:t>
      </w:r>
      <w:r w:rsidR="002E5304">
        <w:rPr>
          <w:lang w:val="en-GB"/>
        </w:rPr>
        <w:t>ly</w:t>
      </w:r>
      <w:r w:rsidR="00B01199" w:rsidRPr="00221992">
        <w:rPr>
          <w:lang w:val="en-GB"/>
        </w:rPr>
        <w:t xml:space="preserve"> for payers </w:t>
      </w:r>
      <w:r w:rsidR="004C4930" w:rsidRPr="00221992">
        <w:rPr>
          <w:lang w:val="en-GB" w:eastAsia="en-GB"/>
        </w:rPr>
        <w:fldChar w:fldCharType="begin"/>
      </w:r>
      <w:r w:rsidR="005A67DD" w:rsidRPr="00221992">
        <w:rPr>
          <w:lang w:val="en-GB" w:eastAsia="en-GB"/>
        </w:rPr>
        <w:instrText xml:space="preserve"> ADDIN EN.CITE &lt;EndNote&gt;&lt;Cite&gt;&lt;Author&gt;Wenzl M&lt;/Author&gt;&lt;Year&gt;2019&lt;/Year&gt;&lt;RecNum&gt;477&lt;/RecNum&gt;&lt;DisplayText&gt;[6]&lt;/DisplayText&gt;&lt;record&gt;&lt;rec-number&gt;477&lt;/rec-number&gt;&lt;foreign-keys&gt;&lt;key app="EN" db-id="wzwwsfxe4peesxef95cxvrwjxts9rreasarf" timestamp="1692654671"&gt;477&lt;/key&gt;&lt;/foreign-keys&gt;&lt;ref-type name="Book Section"&gt;5&lt;/ref-type&gt;&lt;contributors&gt;&lt;authors&gt;&lt;author&gt;Wenzl M,&lt;/author&gt;&lt;author&gt;Chapman S.&lt;/author&gt;&lt;/authors&gt;&lt;/contributors&gt;&lt;titles&gt;&lt;title&gt;Performance-Based Managed Entry Agreements For New Medicines in OECD Countries and EU Member States: How They Work and Possible Improvements Going Forward.&lt;/title&gt;&lt;secondary-title&gt;OECD Health Working Papers,&lt;/secondary-title&gt;&lt;/titles&gt;&lt;volume&gt;No. 115&lt;/volume&gt;&lt;dates&gt;&lt;year&gt;2019&lt;/year&gt;&lt;/dates&gt;&lt;pub-location&gt;Paris&lt;/pub-location&gt;&lt;publisher&gt;OECD Publishing&lt;/publisher&gt;&lt;urls&gt;&lt;related-urls&gt;&lt;url&gt;https://www.oecd-ilibrary.org/content/paper/6e5e4c0f-en&lt;/url&gt;&lt;/related-urls&gt;&lt;/urls&gt;&lt;electronic-resource-num&gt;doi:https://doi.org/10.1787/6e5e4c0f-en&lt;/electronic-resource-num&gt;&lt;/record&gt;&lt;/Cite&gt;&lt;/EndNote&gt;</w:instrText>
      </w:r>
      <w:r w:rsidR="004C4930" w:rsidRPr="00221992">
        <w:rPr>
          <w:lang w:val="en-GB" w:eastAsia="en-GB"/>
        </w:rPr>
        <w:fldChar w:fldCharType="separate"/>
      </w:r>
      <w:r w:rsidR="005A67DD" w:rsidRPr="00221992">
        <w:rPr>
          <w:noProof/>
          <w:lang w:val="en-GB" w:eastAsia="en-GB"/>
        </w:rPr>
        <w:t>[6]</w:t>
      </w:r>
      <w:r w:rsidR="004C4930" w:rsidRPr="00221992">
        <w:rPr>
          <w:lang w:val="en-GB" w:eastAsia="en-GB"/>
        </w:rPr>
        <w:fldChar w:fldCharType="end"/>
      </w:r>
      <w:r w:rsidR="00B01199" w:rsidRPr="00221992">
        <w:rPr>
          <w:lang w:val="en-GB"/>
        </w:rPr>
        <w:t xml:space="preserve">. </w:t>
      </w:r>
      <w:r w:rsidR="005A203D" w:rsidRPr="00221992">
        <w:rPr>
          <w:lang w:val="en-GB"/>
        </w:rPr>
        <w:t>The structure of</w:t>
      </w:r>
      <w:r w:rsidR="00B01199" w:rsidRPr="00221992">
        <w:rPr>
          <w:lang w:val="en-GB"/>
        </w:rPr>
        <w:t xml:space="preserve"> </w:t>
      </w:r>
      <w:r w:rsidR="00661F62">
        <w:rPr>
          <w:lang w:val="en-GB"/>
        </w:rPr>
        <w:t>performance-based MEAs</w:t>
      </w:r>
      <w:r w:rsidR="00005584">
        <w:rPr>
          <w:lang w:val="en-GB"/>
        </w:rPr>
        <w:t>,</w:t>
      </w:r>
      <w:r w:rsidR="00B01199" w:rsidRPr="00221992">
        <w:rPr>
          <w:lang w:val="en-GB"/>
        </w:rPr>
        <w:t xml:space="preserve"> including CED and PbR</w:t>
      </w:r>
      <w:r w:rsidR="00005584">
        <w:rPr>
          <w:lang w:val="en-GB"/>
        </w:rPr>
        <w:t>,</w:t>
      </w:r>
      <w:r w:rsidR="00B01199" w:rsidRPr="00221992">
        <w:rPr>
          <w:lang w:val="en-GB"/>
        </w:rPr>
        <w:t xml:space="preserve"> have often shifted </w:t>
      </w:r>
      <w:r w:rsidR="00C72A16" w:rsidRPr="00221992">
        <w:rPr>
          <w:lang w:val="en-GB"/>
        </w:rPr>
        <w:t xml:space="preserve">the </w:t>
      </w:r>
      <w:r w:rsidR="00B01199" w:rsidRPr="00221992">
        <w:rPr>
          <w:lang w:val="en-GB"/>
        </w:rPr>
        <w:t xml:space="preserve">financial risk to payers, as these </w:t>
      </w:r>
      <w:r w:rsidR="00E86D65" w:rsidRPr="00221992">
        <w:rPr>
          <w:lang w:val="en-GB"/>
        </w:rPr>
        <w:t xml:space="preserve">arrangements </w:t>
      </w:r>
      <w:r w:rsidR="00B01199" w:rsidRPr="00221992">
        <w:rPr>
          <w:lang w:val="en-GB"/>
        </w:rPr>
        <w:t>typically involve up-front payments to sponsors, with subsequent discontinuation of coverage, refunds or price reductions</w:t>
      </w:r>
      <w:r w:rsidR="00097B48" w:rsidRPr="00221992">
        <w:rPr>
          <w:lang w:val="en-GB"/>
        </w:rPr>
        <w:t>.</w:t>
      </w:r>
      <w:r w:rsidR="008A6310">
        <w:rPr>
          <w:lang w:val="en-GB"/>
        </w:rPr>
        <w:t xml:space="preserve"> </w:t>
      </w:r>
      <w:r w:rsidR="00AF041A" w:rsidRPr="00221992">
        <w:rPr>
          <w:lang w:val="en-GB"/>
        </w:rPr>
        <w:t>Additionally,</w:t>
      </w:r>
      <w:r w:rsidR="00241796" w:rsidRPr="00221992">
        <w:rPr>
          <w:lang w:val="en-GB"/>
        </w:rPr>
        <w:t xml:space="preserve"> </w:t>
      </w:r>
      <w:r w:rsidR="00AF041A" w:rsidRPr="00221992">
        <w:rPr>
          <w:lang w:val="en-GB"/>
        </w:rPr>
        <w:t>s</w:t>
      </w:r>
      <w:r w:rsidR="00B01199" w:rsidRPr="00221992">
        <w:rPr>
          <w:lang w:val="en-GB"/>
        </w:rPr>
        <w:t>uch arrangements do little to incentivise sponsors to generate additional evidence, especially if such evidence may reveal under-performance of the product (discussed further in Section 4.5.1: MEAs—Challenges and barriers to implementation, p</w:t>
      </w:r>
      <w:r w:rsidR="00796DE3" w:rsidRPr="00221992">
        <w:rPr>
          <w:lang w:val="en-GB"/>
        </w:rPr>
        <w:t>.</w:t>
      </w:r>
      <w:r w:rsidR="00B01199" w:rsidRPr="00221992">
        <w:rPr>
          <w:lang w:val="en-GB"/>
        </w:rPr>
        <w:t xml:space="preserve"> </w:t>
      </w:r>
      <w:r w:rsidR="00902C59" w:rsidRPr="00221992">
        <w:rPr>
          <w:lang w:val="en-GB"/>
        </w:rPr>
        <w:fldChar w:fldCharType="begin"/>
      </w:r>
      <w:r w:rsidR="00902C59" w:rsidRPr="00221992">
        <w:rPr>
          <w:lang w:val="en-GB"/>
        </w:rPr>
        <w:instrText xml:space="preserve"> PAGEREF _Ref146189954 \h </w:instrText>
      </w:r>
      <w:r w:rsidR="00902C59" w:rsidRPr="00221992">
        <w:rPr>
          <w:lang w:val="en-GB"/>
        </w:rPr>
      </w:r>
      <w:r w:rsidR="00902C59" w:rsidRPr="00221992">
        <w:rPr>
          <w:lang w:val="en-GB"/>
        </w:rPr>
        <w:fldChar w:fldCharType="separate"/>
      </w:r>
      <w:r w:rsidR="000E11E7">
        <w:rPr>
          <w:noProof/>
          <w:lang w:val="en-GB"/>
        </w:rPr>
        <w:t>154</w:t>
      </w:r>
      <w:r w:rsidR="00902C59" w:rsidRPr="00221992">
        <w:rPr>
          <w:lang w:val="en-GB"/>
        </w:rPr>
        <w:fldChar w:fldCharType="end"/>
      </w:r>
      <w:r w:rsidR="00B01199" w:rsidRPr="00221992">
        <w:rPr>
          <w:lang w:val="en-GB"/>
        </w:rPr>
        <w:t xml:space="preserve">). </w:t>
      </w:r>
    </w:p>
    <w:p w14:paraId="2C0A166C" w14:textId="2F36BB8D" w:rsidR="000A0580" w:rsidRPr="00221992" w:rsidRDefault="00074723" w:rsidP="00074723">
      <w:pPr>
        <w:rPr>
          <w:lang w:val="en-GB"/>
        </w:rPr>
      </w:pPr>
      <w:r w:rsidRPr="00221992">
        <w:rPr>
          <w:lang w:val="en-GB"/>
        </w:rPr>
        <w:t>Organi</w:t>
      </w:r>
      <w:r w:rsidR="007B68E8" w:rsidRPr="00221992">
        <w:rPr>
          <w:lang w:val="en-GB"/>
        </w:rPr>
        <w:t>s</w:t>
      </w:r>
      <w:r w:rsidRPr="00221992">
        <w:rPr>
          <w:lang w:val="en-GB"/>
        </w:rPr>
        <w:t xml:space="preserve">ational </w:t>
      </w:r>
      <w:r w:rsidR="00AD2BCC" w:rsidRPr="00221992">
        <w:rPr>
          <w:lang w:val="en-GB"/>
        </w:rPr>
        <w:t>b</w:t>
      </w:r>
      <w:r w:rsidRPr="00221992">
        <w:rPr>
          <w:lang w:val="en-GB"/>
        </w:rPr>
        <w:t>arriers</w:t>
      </w:r>
      <w:r w:rsidR="00AD2BCC" w:rsidRPr="00221992">
        <w:rPr>
          <w:lang w:val="en-GB"/>
        </w:rPr>
        <w:t>—</w:t>
      </w:r>
      <w:r w:rsidRPr="00221992">
        <w:rPr>
          <w:lang w:val="en-GB"/>
        </w:rPr>
        <w:t>Stakeholders often lack the political, administrative, and clinical will to support disinvestment initiatives</w:t>
      </w:r>
      <w:r w:rsidR="00F60796" w:rsidRPr="00221992">
        <w:rPr>
          <w:lang w:val="en-GB"/>
        </w:rPr>
        <w:t xml:space="preserve"> </w:t>
      </w:r>
      <w:r w:rsidR="00AD2BCC" w:rsidRPr="00221992">
        <w:rPr>
          <w:lang w:val="en-GB"/>
        </w:rPr>
        <w:fldChar w:fldCharType="begin"/>
      </w:r>
      <w:r w:rsidR="00E5265C">
        <w:rPr>
          <w:lang w:val="en-GB"/>
        </w:rPr>
        <w:instrText xml:space="preserve"> ADDIN EN.CITE &lt;EndNote&gt;&lt;Cite&gt;&lt;Author&gt;Maloney&lt;/Author&gt;&lt;Year&gt;2017&lt;/Year&gt;&lt;RecNum&gt;694&lt;/RecNum&gt;&lt;DisplayText&gt;[238]&lt;/DisplayText&gt;&lt;record&gt;&lt;rec-number&gt;694&lt;/rec-number&gt;&lt;foreign-keys&gt;&lt;key app="EN" db-id="wzwwsfxe4peesxef95cxvrwjxts9rreasarf" timestamp="1695600620"&gt;694&lt;/key&gt;&lt;/foreign-keys&gt;&lt;ref-type name="Journal Article"&gt;17&lt;/ref-type&gt;&lt;contributors&gt;&lt;authors&gt;&lt;author&gt;Maloney, Mary Alison&lt;/author&gt;&lt;author&gt;Schwartz, Lisa&lt;/author&gt;&lt;author&gt;O&amp;apos;Reilly, Daria&lt;/author&gt;&lt;author&gt;Levine, Mitchel&lt;/author&gt;&lt;/authors&gt;&lt;/contributors&gt;&lt;titles&gt;&lt;title&gt;Drug disinvestment frameworks: components, challenges, and solutions&lt;/title&gt;&lt;secondary-title&gt;International Journal of Technology Assessment in Health Care&lt;/secondary-title&gt;&lt;/titles&gt;&lt;pages&gt;261-269&lt;/pages&gt;&lt;volume&gt;33&lt;/volume&gt;&lt;number&gt;2&lt;/number&gt;&lt;dates&gt;&lt;year&gt;2017&lt;/year&gt;&lt;/dates&gt;&lt;isbn&gt;0266-4623&lt;/isbn&gt;&lt;urls&gt;&lt;/urls&gt;&lt;/record&gt;&lt;/Cite&gt;&lt;/EndNote&gt;</w:instrText>
      </w:r>
      <w:r w:rsidR="00AD2BCC" w:rsidRPr="00221992">
        <w:rPr>
          <w:lang w:val="en-GB"/>
        </w:rPr>
        <w:fldChar w:fldCharType="separate"/>
      </w:r>
      <w:r w:rsidR="00E5265C">
        <w:rPr>
          <w:noProof/>
          <w:lang w:val="en-GB"/>
        </w:rPr>
        <w:t>[238]</w:t>
      </w:r>
      <w:r w:rsidR="00AD2BCC" w:rsidRPr="00221992">
        <w:rPr>
          <w:lang w:val="en-GB"/>
        </w:rPr>
        <w:fldChar w:fldCharType="end"/>
      </w:r>
      <w:r w:rsidRPr="00221992">
        <w:rPr>
          <w:lang w:val="en-GB"/>
        </w:rPr>
        <w:t>. This results in reluctance to allocate adequate resources to disinvestment programs, including education, incentives for implementation, and research funding to address information and data gaps</w:t>
      </w:r>
      <w:r w:rsidR="000A0580" w:rsidRPr="00221992">
        <w:rPr>
          <w:lang w:val="en-GB"/>
        </w:rPr>
        <w:t>, which can impede progress</w:t>
      </w:r>
      <w:r w:rsidR="000A4144" w:rsidRPr="00221992">
        <w:rPr>
          <w:lang w:val="en-GB"/>
        </w:rPr>
        <w:t xml:space="preserve"> </w:t>
      </w:r>
      <w:r w:rsidR="00C979A9" w:rsidRPr="00221992">
        <w:rPr>
          <w:lang w:val="en-GB"/>
        </w:rPr>
        <w:fldChar w:fldCharType="begin"/>
      </w:r>
      <w:r w:rsidR="00E5265C">
        <w:rPr>
          <w:lang w:val="en-GB"/>
        </w:rPr>
        <w:instrText xml:space="preserve"> ADDIN EN.CITE &lt;EndNote&gt;&lt;Cite&gt;&lt;Author&gt;Leggett&lt;/Author&gt;&lt;Year&gt;2012&lt;/Year&gt;&lt;RecNum&gt;695&lt;/RecNum&gt;&lt;DisplayText&gt;[238-239]&lt;/DisplayText&gt;&lt;record&gt;&lt;rec-number&gt;695&lt;/rec-number&gt;&lt;foreign-keys&gt;&lt;key app="EN" db-id="wzwwsfxe4peesxef95cxvrwjxts9rreasarf" timestamp="1695600708"&gt;695&lt;/key&gt;&lt;/foreign-keys&gt;&lt;ref-type name="Journal Article"&gt;17&lt;/ref-type&gt;&lt;contributors&gt;&lt;authors&gt;&lt;author&gt;Leggett, Laura&lt;/author&gt;&lt;author&gt;Noseworthy, Tom W&lt;/author&gt;&lt;author&gt;Zarrabi, Mahmood&lt;/author&gt;&lt;author&gt;Lorenzetti, Diane&lt;/author&gt;&lt;author&gt;Sutherland, Lloyd R&lt;/author&gt;&lt;author&gt;Clement, Fiona M&lt;/author&gt;&lt;/authors&gt;&lt;/contributors&gt;&lt;titles&gt;&lt;title&gt;Health technology reassessment of non-drug technologies: current practices&lt;/title&gt;&lt;secondary-title&gt;International journal of technology assessment in health care&lt;/secondary-title&gt;&lt;/titles&gt;&lt;pages&gt;220-227&lt;/pages&gt;&lt;volume&gt;28&lt;/volume&gt;&lt;number&gt;3&lt;/number&gt;&lt;dates&gt;&lt;year&gt;2012&lt;/year&gt;&lt;/dates&gt;&lt;isbn&gt;0266-4623&lt;/isbn&gt;&lt;urls&gt;&lt;/urls&gt;&lt;/record&gt;&lt;/Cite&gt;&lt;Cite&gt;&lt;Author&gt;Maloney&lt;/Author&gt;&lt;Year&gt;2017&lt;/Year&gt;&lt;RecNum&gt;694&lt;/RecNum&gt;&lt;record&gt;&lt;rec-number&gt;694&lt;/rec-number&gt;&lt;foreign-keys&gt;&lt;key app="EN" db-id="wzwwsfxe4peesxef95cxvrwjxts9rreasarf" timestamp="1695600620"&gt;694&lt;/key&gt;&lt;/foreign-keys&gt;&lt;ref-type name="Journal Article"&gt;17&lt;/ref-type&gt;&lt;contributors&gt;&lt;authors&gt;&lt;author&gt;Maloney, Mary Alison&lt;/author&gt;&lt;author&gt;Schwartz, Lisa&lt;/author&gt;&lt;author&gt;O&amp;apos;Reilly, Daria&lt;/author&gt;&lt;author&gt;Levine, Mitchel&lt;/author&gt;&lt;/authors&gt;&lt;/contributors&gt;&lt;titles&gt;&lt;title&gt;Drug disinvestment frameworks: components, challenges, and solutions&lt;/title&gt;&lt;secondary-title&gt;International Journal of Technology Assessment in Health Care&lt;/secondary-title&gt;&lt;/titles&gt;&lt;pages&gt;261-269&lt;/pages&gt;&lt;volume&gt;33&lt;/volume&gt;&lt;number&gt;2&lt;/number&gt;&lt;dates&gt;&lt;year&gt;2017&lt;/year&gt;&lt;/dates&gt;&lt;isbn&gt;0266-4623&lt;/isbn&gt;&lt;urls&gt;&lt;/urls&gt;&lt;/record&gt;&lt;/Cite&gt;&lt;/EndNote&gt;</w:instrText>
      </w:r>
      <w:r w:rsidR="00C979A9" w:rsidRPr="00221992">
        <w:rPr>
          <w:lang w:val="en-GB"/>
        </w:rPr>
        <w:fldChar w:fldCharType="separate"/>
      </w:r>
      <w:r w:rsidR="00E5265C">
        <w:rPr>
          <w:noProof/>
          <w:lang w:val="en-GB"/>
        </w:rPr>
        <w:t>[238-239]</w:t>
      </w:r>
      <w:r w:rsidR="00C979A9" w:rsidRPr="00221992">
        <w:rPr>
          <w:lang w:val="en-GB"/>
        </w:rPr>
        <w:fldChar w:fldCharType="end"/>
      </w:r>
      <w:r w:rsidRPr="00221992">
        <w:rPr>
          <w:lang w:val="en-GB"/>
        </w:rPr>
        <w:t>.</w:t>
      </w:r>
      <w:r w:rsidR="000A0580" w:rsidRPr="00221992">
        <w:rPr>
          <w:lang w:val="en-GB"/>
        </w:rPr>
        <w:t xml:space="preserve"> </w:t>
      </w:r>
    </w:p>
    <w:p w14:paraId="3FEFD6DC" w14:textId="317D4036" w:rsidR="00A314B0" w:rsidRPr="00221992" w:rsidRDefault="002B39F4" w:rsidP="00EF5B9A">
      <w:pPr>
        <w:pStyle w:val="BodyText"/>
        <w:rPr>
          <w:lang w:val="en-GB"/>
        </w:rPr>
      </w:pPr>
      <w:r w:rsidRPr="00221992">
        <w:rPr>
          <w:lang w:val="en-GB"/>
        </w:rPr>
        <w:t>As a consequence of these challenges, many countries opt not to have formal disinvestment frameworks</w:t>
      </w:r>
      <w:r w:rsidR="00B8690F" w:rsidRPr="00221992">
        <w:rPr>
          <w:lang w:val="en-GB"/>
        </w:rPr>
        <w:t xml:space="preserve">. </w:t>
      </w:r>
      <w:r w:rsidR="00B33903" w:rsidRPr="00221992">
        <w:rPr>
          <w:lang w:val="en-GB"/>
        </w:rPr>
        <w:t xml:space="preserve">In England, for example, disinvestment initiatives have been carried </w:t>
      </w:r>
      <w:r w:rsidR="0010159C" w:rsidRPr="00221992">
        <w:rPr>
          <w:lang w:val="en-GB"/>
        </w:rPr>
        <w:t xml:space="preserve">out implicitly through NICE </w:t>
      </w:r>
      <w:r w:rsidR="001E665F" w:rsidRPr="00221992">
        <w:rPr>
          <w:lang w:val="en-GB"/>
        </w:rPr>
        <w:t>technology appraisals</w:t>
      </w:r>
      <w:r w:rsidR="00A6277F" w:rsidRPr="00221992">
        <w:rPr>
          <w:lang w:val="en-GB"/>
        </w:rPr>
        <w:t xml:space="preserve"> and</w:t>
      </w:r>
      <w:r w:rsidR="00483C9A" w:rsidRPr="00221992">
        <w:rPr>
          <w:lang w:val="en-GB"/>
        </w:rPr>
        <w:t>,</w:t>
      </w:r>
      <w:r w:rsidR="00A6277F" w:rsidRPr="00221992">
        <w:rPr>
          <w:lang w:val="en-GB"/>
        </w:rPr>
        <w:t xml:space="preserve"> more passively</w:t>
      </w:r>
      <w:r w:rsidR="00483C9A" w:rsidRPr="00221992">
        <w:rPr>
          <w:lang w:val="en-GB"/>
        </w:rPr>
        <w:t>,</w:t>
      </w:r>
      <w:r w:rsidR="00A6277F" w:rsidRPr="00221992">
        <w:rPr>
          <w:lang w:val="en-GB"/>
        </w:rPr>
        <w:t xml:space="preserve"> through</w:t>
      </w:r>
      <w:r w:rsidR="00AC0C5A" w:rsidRPr="00221992">
        <w:rPr>
          <w:lang w:val="en-GB"/>
        </w:rPr>
        <w:t xml:space="preserve"> clinical education by</w:t>
      </w:r>
      <w:r w:rsidR="00A6277F" w:rsidRPr="00221992">
        <w:rPr>
          <w:lang w:val="en-GB"/>
        </w:rPr>
        <w:t xml:space="preserve"> commissioning </w:t>
      </w:r>
      <w:r w:rsidR="00AC0C5A" w:rsidRPr="00221992">
        <w:rPr>
          <w:lang w:val="en-GB"/>
        </w:rPr>
        <w:t xml:space="preserve">guidelines for clinical practice. </w:t>
      </w:r>
      <w:r w:rsidR="003E3B13" w:rsidRPr="00221992">
        <w:rPr>
          <w:lang w:val="en-GB"/>
        </w:rPr>
        <w:t>In Australia</w:t>
      </w:r>
      <w:r w:rsidR="00483C9A" w:rsidRPr="00221992">
        <w:rPr>
          <w:lang w:val="en-GB"/>
        </w:rPr>
        <w:t>,</w:t>
      </w:r>
      <w:r w:rsidR="003E3B13" w:rsidRPr="00221992">
        <w:rPr>
          <w:lang w:val="en-GB"/>
        </w:rPr>
        <w:t xml:space="preserve"> </w:t>
      </w:r>
      <w:r w:rsidR="005E3DA3" w:rsidRPr="00221992">
        <w:rPr>
          <w:lang w:val="en-GB"/>
        </w:rPr>
        <w:t xml:space="preserve">HTR processes </w:t>
      </w:r>
      <w:r w:rsidR="00CD5AD0" w:rsidRPr="00221992">
        <w:rPr>
          <w:lang w:val="en-GB"/>
        </w:rPr>
        <w:t xml:space="preserve">are </w:t>
      </w:r>
      <w:r w:rsidR="00CE4432" w:rsidRPr="00221992">
        <w:rPr>
          <w:lang w:val="en-GB"/>
        </w:rPr>
        <w:t xml:space="preserve">largely </w:t>
      </w:r>
      <w:r w:rsidR="00CD5AD0" w:rsidRPr="00221992">
        <w:rPr>
          <w:lang w:val="en-GB"/>
        </w:rPr>
        <w:t>undertaken by</w:t>
      </w:r>
      <w:r w:rsidR="00225BDB" w:rsidRPr="00221992">
        <w:rPr>
          <w:lang w:val="en-GB"/>
        </w:rPr>
        <w:t xml:space="preserve"> the Technology Assessment &amp; Access Division of the Commonwealth Department of Health</w:t>
      </w:r>
      <w:r w:rsidR="003E4220">
        <w:rPr>
          <w:lang w:val="en-GB"/>
        </w:rPr>
        <w:t xml:space="preserve"> and Aged Care</w:t>
      </w:r>
      <w:r w:rsidR="00CE4432" w:rsidRPr="00221992">
        <w:rPr>
          <w:lang w:val="en-GB"/>
        </w:rPr>
        <w:t xml:space="preserve">, through routine monitoring </w:t>
      </w:r>
      <w:r w:rsidR="00C7044C" w:rsidRPr="00221992">
        <w:rPr>
          <w:lang w:val="en-GB"/>
        </w:rPr>
        <w:t>of major listings</w:t>
      </w:r>
      <w:r w:rsidR="001A5B83" w:rsidRPr="00221992">
        <w:rPr>
          <w:lang w:val="en-GB"/>
        </w:rPr>
        <w:t xml:space="preserve">, </w:t>
      </w:r>
      <w:r w:rsidR="004A52D3" w:rsidRPr="00221992">
        <w:rPr>
          <w:lang w:val="en-GB"/>
        </w:rPr>
        <w:t xml:space="preserve">or by </w:t>
      </w:r>
      <w:r w:rsidR="001A5B83" w:rsidRPr="00221992">
        <w:rPr>
          <w:lang w:val="en-GB"/>
        </w:rPr>
        <w:t xml:space="preserve">recommendations </w:t>
      </w:r>
      <w:r w:rsidR="004A52D3" w:rsidRPr="00221992">
        <w:rPr>
          <w:lang w:val="en-GB"/>
        </w:rPr>
        <w:t xml:space="preserve">made during the HTA </w:t>
      </w:r>
      <w:r w:rsidR="008F345C" w:rsidRPr="00221992">
        <w:rPr>
          <w:lang w:val="en-GB"/>
        </w:rPr>
        <w:t>process</w:t>
      </w:r>
      <w:r w:rsidR="00A81DB3" w:rsidRPr="00221992">
        <w:rPr>
          <w:lang w:val="en-GB"/>
        </w:rPr>
        <w:t>—e.g.,</w:t>
      </w:r>
      <w:r w:rsidR="009D15DF" w:rsidRPr="00221992">
        <w:rPr>
          <w:lang w:val="en-GB"/>
        </w:rPr>
        <w:t xml:space="preserve"> </w:t>
      </w:r>
      <w:r w:rsidR="001A5B83" w:rsidRPr="00221992">
        <w:rPr>
          <w:lang w:val="en-GB"/>
        </w:rPr>
        <w:t xml:space="preserve">PBAC </w:t>
      </w:r>
      <w:r w:rsidR="00A81DB3" w:rsidRPr="00221992">
        <w:rPr>
          <w:lang w:val="en-GB"/>
        </w:rPr>
        <w:t>may raise</w:t>
      </w:r>
      <w:r w:rsidR="009D15DF" w:rsidRPr="00221992">
        <w:rPr>
          <w:lang w:val="en-GB"/>
        </w:rPr>
        <w:t xml:space="preserve"> concerns</w:t>
      </w:r>
      <w:r w:rsidR="001A5B83" w:rsidRPr="00221992">
        <w:rPr>
          <w:lang w:val="en-GB"/>
        </w:rPr>
        <w:t xml:space="preserve"> </w:t>
      </w:r>
      <w:r w:rsidR="004A52D3" w:rsidRPr="00221992">
        <w:rPr>
          <w:lang w:val="en-GB"/>
        </w:rPr>
        <w:t>related to the quality use of a medicine, cost-effectiveness, clinical effectiveness, higher than predicted utilisation and/or international differences</w:t>
      </w:r>
      <w:r w:rsidR="006F31D7" w:rsidRPr="00221992">
        <w:rPr>
          <w:lang w:val="en-GB"/>
        </w:rPr>
        <w:t xml:space="preserve"> </w:t>
      </w:r>
      <w:r w:rsidR="006F31D7" w:rsidRPr="00221992">
        <w:rPr>
          <w:lang w:val="en-GB"/>
        </w:rPr>
        <w:fldChar w:fldCharType="begin"/>
      </w:r>
      <w:r w:rsidR="00E5265C">
        <w:rPr>
          <w:lang w:val="en-GB"/>
        </w:rPr>
        <w:instrText xml:space="preserve"> ADDIN EN.CITE &lt;EndNote&gt;&lt;Cite&gt;&lt;Author&gt;Lewis&lt;/Author&gt;&lt;Year&gt;2019&lt;/Year&gt;&lt;RecNum&gt;685&lt;/RecNum&gt;&lt;DisplayText&gt;[230]&lt;/DisplayText&gt;&lt;record&gt;&lt;rec-number&gt;685&lt;/rec-number&gt;&lt;foreign-keys&gt;&lt;key app="EN" db-id="wzwwsfxe4peesxef95cxvrwjxts9rreasarf" timestamp="1695599816"&gt;685&lt;/key&gt;&lt;/foreign-keys&gt;&lt;ref-type name="Report"&gt;27&lt;/ref-type&gt;&lt;contributors&gt;&lt;authors&gt;&lt;author&gt;Lewis, S. &lt;/author&gt;&lt;author&gt;Campbell, S.&lt;/author&gt;&lt;author&gt;Norris, S.&lt;/author&gt;&lt;/authors&gt;&lt;tertiary-authors&gt;&lt;author&gt;Australian Government Department of Health and Aged Care,&lt;/author&gt;&lt;/tertiary-authors&gt;&lt;/contributors&gt;&lt;titles&gt;&lt;title&gt;Systematic literature review on international approaches to post-market reviews and technology re-assessment - Final Report&lt;/title&gt;&lt;/titles&gt;&lt;dates&gt;&lt;year&gt;2019&lt;/year&gt;&lt;/dates&gt;&lt;pub-location&gt;Canberra&lt;/pub-location&gt;&lt;urls&gt;&lt;/urls&gt;&lt;/record&gt;&lt;/Cite&gt;&lt;/EndNote&gt;</w:instrText>
      </w:r>
      <w:r w:rsidR="006F31D7" w:rsidRPr="00221992">
        <w:rPr>
          <w:lang w:val="en-GB"/>
        </w:rPr>
        <w:fldChar w:fldCharType="separate"/>
      </w:r>
      <w:r w:rsidR="00E5265C">
        <w:rPr>
          <w:noProof/>
          <w:lang w:val="en-GB"/>
        </w:rPr>
        <w:t>[230]</w:t>
      </w:r>
      <w:r w:rsidR="006F31D7" w:rsidRPr="00221992">
        <w:rPr>
          <w:lang w:val="en-GB"/>
        </w:rPr>
        <w:fldChar w:fldCharType="end"/>
      </w:r>
      <w:r w:rsidR="009D15DF" w:rsidRPr="00221992">
        <w:rPr>
          <w:lang w:val="en-GB"/>
        </w:rPr>
        <w:t xml:space="preserve">. </w:t>
      </w:r>
      <w:r w:rsidR="0022625E" w:rsidRPr="00221992">
        <w:rPr>
          <w:lang w:val="en-GB"/>
        </w:rPr>
        <w:t xml:space="preserve">A systematic review commissioned by the Commonwealth Department of </w:t>
      </w:r>
      <w:r w:rsidR="009A67EE" w:rsidRPr="00221992">
        <w:rPr>
          <w:lang w:val="en-GB"/>
        </w:rPr>
        <w:t>H</w:t>
      </w:r>
      <w:r w:rsidR="0022625E" w:rsidRPr="00221992">
        <w:rPr>
          <w:lang w:val="en-GB"/>
        </w:rPr>
        <w:t>ealth</w:t>
      </w:r>
      <w:r w:rsidR="002B039E">
        <w:rPr>
          <w:lang w:val="en-GB"/>
        </w:rPr>
        <w:t xml:space="preserve"> and Aged Care</w:t>
      </w:r>
      <w:r w:rsidR="0022625E" w:rsidRPr="00221992">
        <w:rPr>
          <w:lang w:val="en-GB"/>
        </w:rPr>
        <w:t xml:space="preserve"> </w:t>
      </w:r>
      <w:r w:rsidR="006F31D7" w:rsidRPr="00221992">
        <w:rPr>
          <w:lang w:val="en-GB"/>
        </w:rPr>
        <w:t>(</w:t>
      </w:r>
      <w:r w:rsidR="0022625E" w:rsidRPr="00221992">
        <w:rPr>
          <w:lang w:val="en-GB"/>
        </w:rPr>
        <w:t>2019</w:t>
      </w:r>
      <w:r w:rsidR="006F31D7" w:rsidRPr="00221992">
        <w:rPr>
          <w:lang w:val="en-GB"/>
        </w:rPr>
        <w:t>)</w:t>
      </w:r>
      <w:r w:rsidR="00761A9D" w:rsidRPr="00221992">
        <w:rPr>
          <w:lang w:val="en-GB"/>
        </w:rPr>
        <w:t xml:space="preserve"> </w:t>
      </w:r>
      <w:r w:rsidR="0022625E" w:rsidRPr="00221992">
        <w:rPr>
          <w:lang w:val="en-GB"/>
        </w:rPr>
        <w:t xml:space="preserve">identified </w:t>
      </w:r>
      <w:r w:rsidR="00A921DA" w:rsidRPr="00221992">
        <w:rPr>
          <w:lang w:val="en-GB"/>
        </w:rPr>
        <w:t>considerations and options for developing a technology lifecycle approach</w:t>
      </w:r>
      <w:r w:rsidR="003329B6" w:rsidRPr="00221992">
        <w:rPr>
          <w:lang w:val="en-GB"/>
        </w:rPr>
        <w:t>,</w:t>
      </w:r>
      <w:r w:rsidR="00A921DA" w:rsidRPr="00221992">
        <w:rPr>
          <w:lang w:val="en-GB"/>
        </w:rPr>
        <w:t xml:space="preserve"> in which re-assessments </w:t>
      </w:r>
      <w:r w:rsidR="003329B6" w:rsidRPr="00221992">
        <w:rPr>
          <w:lang w:val="en-GB"/>
        </w:rPr>
        <w:t>would be</w:t>
      </w:r>
      <w:r w:rsidR="002B039E">
        <w:rPr>
          <w:lang w:val="en-GB"/>
        </w:rPr>
        <w:t xml:space="preserve"> routinely</w:t>
      </w:r>
      <w:r w:rsidR="00A921DA" w:rsidRPr="00221992">
        <w:rPr>
          <w:lang w:val="en-GB"/>
        </w:rPr>
        <w:t xml:space="preserve"> included within Australian HTA processe</w:t>
      </w:r>
      <w:r w:rsidR="00FF543B" w:rsidRPr="00221992">
        <w:rPr>
          <w:lang w:val="en-GB"/>
        </w:rPr>
        <w:t>s</w:t>
      </w:r>
      <w:r w:rsidR="003329B6" w:rsidRPr="00221992">
        <w:rPr>
          <w:lang w:val="en-GB"/>
        </w:rPr>
        <w:t xml:space="preserve"> </w:t>
      </w:r>
      <w:r w:rsidR="003329B6" w:rsidRPr="00221992">
        <w:rPr>
          <w:lang w:val="en-GB"/>
        </w:rPr>
        <w:fldChar w:fldCharType="begin"/>
      </w:r>
      <w:r w:rsidR="00E5265C">
        <w:rPr>
          <w:lang w:val="en-GB"/>
        </w:rPr>
        <w:instrText xml:space="preserve"> ADDIN EN.CITE &lt;EndNote&gt;&lt;Cite&gt;&lt;Author&gt;Lewis&lt;/Author&gt;&lt;Year&gt;2019&lt;/Year&gt;&lt;RecNum&gt;685&lt;/RecNum&gt;&lt;DisplayText&gt;[230]&lt;/DisplayText&gt;&lt;record&gt;&lt;rec-number&gt;685&lt;/rec-number&gt;&lt;foreign-keys&gt;&lt;key app="EN" db-id="wzwwsfxe4peesxef95cxvrwjxts9rreasarf" timestamp="1695599816"&gt;685&lt;/key&gt;&lt;/foreign-keys&gt;&lt;ref-type name="Report"&gt;27&lt;/ref-type&gt;&lt;contributors&gt;&lt;authors&gt;&lt;author&gt;Lewis, S. &lt;/author&gt;&lt;author&gt;Campbell, S.&lt;/author&gt;&lt;author&gt;Norris, S.&lt;/author&gt;&lt;/authors&gt;&lt;tertiary-authors&gt;&lt;author&gt;Australian Government Department of Health and Aged Care,&lt;/author&gt;&lt;/tertiary-authors&gt;&lt;/contributors&gt;&lt;titles&gt;&lt;title&gt;Systematic literature review on international approaches to post-market reviews and technology re-assessment - Final Report&lt;/title&gt;&lt;/titles&gt;&lt;dates&gt;&lt;year&gt;2019&lt;/year&gt;&lt;/dates&gt;&lt;pub-location&gt;Canberra&lt;/pub-location&gt;&lt;urls&gt;&lt;/urls&gt;&lt;/record&gt;&lt;/Cite&gt;&lt;/EndNote&gt;</w:instrText>
      </w:r>
      <w:r w:rsidR="003329B6" w:rsidRPr="00221992">
        <w:rPr>
          <w:lang w:val="en-GB"/>
        </w:rPr>
        <w:fldChar w:fldCharType="separate"/>
      </w:r>
      <w:r w:rsidR="00E5265C">
        <w:rPr>
          <w:noProof/>
          <w:lang w:val="en-GB"/>
        </w:rPr>
        <w:t>[230]</w:t>
      </w:r>
      <w:r w:rsidR="003329B6" w:rsidRPr="00221992">
        <w:rPr>
          <w:lang w:val="en-GB"/>
        </w:rPr>
        <w:fldChar w:fldCharType="end"/>
      </w:r>
      <w:r w:rsidR="00FF543B" w:rsidRPr="00221992">
        <w:rPr>
          <w:lang w:val="en-GB"/>
        </w:rPr>
        <w:t xml:space="preserve">. </w:t>
      </w:r>
    </w:p>
    <w:p w14:paraId="59284E09" w14:textId="559FCFA2" w:rsidR="4C4BBE38" w:rsidRPr="00221992" w:rsidRDefault="00152871" w:rsidP="003329B6">
      <w:pPr>
        <w:rPr>
          <w:lang w:val="en-GB"/>
        </w:rPr>
      </w:pPr>
      <w:r w:rsidRPr="00221992">
        <w:rPr>
          <w:lang w:val="en-GB"/>
        </w:rPr>
        <w:t>France and Italy</w:t>
      </w:r>
      <w:r w:rsidR="00B846B7" w:rsidRPr="00221992">
        <w:rPr>
          <w:lang w:val="en-GB"/>
        </w:rPr>
        <w:t xml:space="preserve">, on the other hand, </w:t>
      </w:r>
      <w:r w:rsidR="007832F3" w:rsidRPr="00221992">
        <w:rPr>
          <w:lang w:val="en-GB"/>
        </w:rPr>
        <w:t xml:space="preserve">have </w:t>
      </w:r>
      <w:r w:rsidR="00C33FCF" w:rsidRPr="00221992">
        <w:rPr>
          <w:lang w:val="en-GB"/>
        </w:rPr>
        <w:t xml:space="preserve">systematic </w:t>
      </w:r>
      <w:r w:rsidR="00640B9A" w:rsidRPr="00221992">
        <w:rPr>
          <w:lang w:val="en-GB"/>
        </w:rPr>
        <w:t>HTR process</w:t>
      </w:r>
      <w:r w:rsidR="00111817" w:rsidRPr="00221992">
        <w:rPr>
          <w:lang w:val="en-GB"/>
        </w:rPr>
        <w:t>es</w:t>
      </w:r>
      <w:r w:rsidR="00640B9A" w:rsidRPr="00221992">
        <w:rPr>
          <w:lang w:val="en-GB"/>
        </w:rPr>
        <w:t xml:space="preserve"> in place. </w:t>
      </w:r>
      <w:r w:rsidR="007832F3" w:rsidRPr="00221992">
        <w:rPr>
          <w:lang w:val="en-GB"/>
        </w:rPr>
        <w:t>France</w:t>
      </w:r>
      <w:r w:rsidR="00A45EA2" w:rsidRPr="00221992">
        <w:rPr>
          <w:lang w:val="en-GB"/>
        </w:rPr>
        <w:t xml:space="preserve"> </w:t>
      </w:r>
      <w:r w:rsidR="00C5176F" w:rsidRPr="00221992">
        <w:rPr>
          <w:lang w:val="en-GB"/>
        </w:rPr>
        <w:t xml:space="preserve">implements disinvestment through </w:t>
      </w:r>
      <w:r w:rsidR="007832F3" w:rsidRPr="00221992">
        <w:rPr>
          <w:lang w:val="en-GB"/>
        </w:rPr>
        <w:t xml:space="preserve">mandatory HTR </w:t>
      </w:r>
      <w:r w:rsidR="00C5176F" w:rsidRPr="00221992">
        <w:rPr>
          <w:lang w:val="en-GB"/>
        </w:rPr>
        <w:t xml:space="preserve">processes </w:t>
      </w:r>
      <w:r w:rsidR="00373E8E" w:rsidRPr="00221992">
        <w:rPr>
          <w:lang w:val="en-GB"/>
        </w:rPr>
        <w:t>(</w:t>
      </w:r>
      <w:r w:rsidR="007832F3" w:rsidRPr="00221992">
        <w:rPr>
          <w:lang w:val="en-GB"/>
        </w:rPr>
        <w:t xml:space="preserve">every </w:t>
      </w:r>
      <w:r w:rsidR="00111817" w:rsidRPr="00221992">
        <w:rPr>
          <w:lang w:val="en-GB"/>
        </w:rPr>
        <w:t>five</w:t>
      </w:r>
      <w:r w:rsidR="007832F3" w:rsidRPr="00221992">
        <w:rPr>
          <w:lang w:val="en-GB"/>
        </w:rPr>
        <w:t xml:space="preserve"> years for all </w:t>
      </w:r>
      <w:r w:rsidR="00640B9A" w:rsidRPr="00221992">
        <w:rPr>
          <w:lang w:val="en-GB"/>
        </w:rPr>
        <w:t>funded health technologies</w:t>
      </w:r>
      <w:r w:rsidR="00373E8E" w:rsidRPr="00221992">
        <w:rPr>
          <w:lang w:val="en-GB"/>
        </w:rPr>
        <w:t>)</w:t>
      </w:r>
      <w:r w:rsidR="00056E83" w:rsidRPr="00221992">
        <w:rPr>
          <w:lang w:val="en-GB"/>
        </w:rPr>
        <w:t>.</w:t>
      </w:r>
      <w:r w:rsidR="00640B9A" w:rsidRPr="00221992">
        <w:rPr>
          <w:lang w:val="en-GB"/>
        </w:rPr>
        <w:t xml:space="preserve"> </w:t>
      </w:r>
      <w:r w:rsidR="007832F3" w:rsidRPr="00221992">
        <w:rPr>
          <w:lang w:val="en-GB"/>
        </w:rPr>
        <w:t xml:space="preserve">Italy has a mandatory 36-month reassessment for products </w:t>
      </w:r>
      <w:r w:rsidR="00111817" w:rsidRPr="00221992">
        <w:rPr>
          <w:lang w:val="en-GB"/>
        </w:rPr>
        <w:t>listed</w:t>
      </w:r>
      <w:r w:rsidR="007832F3" w:rsidRPr="00221992">
        <w:rPr>
          <w:lang w:val="en-GB"/>
        </w:rPr>
        <w:t xml:space="preserve"> </w:t>
      </w:r>
      <w:r w:rsidR="00640B9A" w:rsidRPr="00221992">
        <w:rPr>
          <w:lang w:val="en-GB"/>
        </w:rPr>
        <w:t xml:space="preserve">under </w:t>
      </w:r>
      <w:r w:rsidR="00056E83" w:rsidRPr="00221992">
        <w:rPr>
          <w:lang w:val="en-GB"/>
        </w:rPr>
        <w:t>its</w:t>
      </w:r>
      <w:r w:rsidR="00640B9A" w:rsidRPr="00221992">
        <w:rPr>
          <w:lang w:val="en-GB"/>
        </w:rPr>
        <w:t xml:space="preserve"> </w:t>
      </w:r>
      <w:r w:rsidR="00551786">
        <w:rPr>
          <w:lang w:val="en-GB"/>
        </w:rPr>
        <w:t>‘</w:t>
      </w:r>
      <w:r w:rsidR="00640B9A" w:rsidRPr="00221992">
        <w:rPr>
          <w:lang w:val="en-GB"/>
        </w:rPr>
        <w:t>innovation</w:t>
      </w:r>
      <w:r w:rsidR="00971091" w:rsidRPr="00221992">
        <w:rPr>
          <w:lang w:val="en-GB"/>
        </w:rPr>
        <w:t xml:space="preserve"> program</w:t>
      </w:r>
      <w:r w:rsidR="00056E83" w:rsidRPr="00221992">
        <w:rPr>
          <w:lang w:val="en-GB"/>
        </w:rPr>
        <w:t>,</w:t>
      </w:r>
      <w:r w:rsidR="00551786">
        <w:rPr>
          <w:lang w:val="en-GB"/>
        </w:rPr>
        <w:t>’</w:t>
      </w:r>
      <w:r w:rsidR="00056E83" w:rsidRPr="00221992">
        <w:rPr>
          <w:lang w:val="en-GB"/>
        </w:rPr>
        <w:t xml:space="preserve"> which</w:t>
      </w:r>
      <w:r w:rsidR="00BE3581" w:rsidRPr="00221992">
        <w:rPr>
          <w:lang w:val="en-GB"/>
        </w:rPr>
        <w:t xml:space="preserve"> relies on </w:t>
      </w:r>
      <w:r w:rsidR="00056E83" w:rsidRPr="00221992">
        <w:rPr>
          <w:lang w:val="en-GB"/>
        </w:rPr>
        <w:t>national</w:t>
      </w:r>
      <w:r w:rsidR="00BE3581" w:rsidRPr="00221992">
        <w:rPr>
          <w:lang w:val="en-GB"/>
        </w:rPr>
        <w:t xml:space="preserve"> data registries to inform disinvestment decisions</w:t>
      </w:r>
      <w:r w:rsidR="00EC3670" w:rsidRPr="00221992">
        <w:rPr>
          <w:lang w:val="en-GB"/>
        </w:rPr>
        <w:t xml:space="preserve"> </w:t>
      </w:r>
      <w:r w:rsidR="00EC3670" w:rsidRPr="00221992">
        <w:rPr>
          <w:lang w:val="en-GB"/>
        </w:rPr>
        <w:fldChar w:fldCharType="begin"/>
      </w:r>
      <w:r w:rsidR="00E5265C">
        <w:rPr>
          <w:lang w:val="en-GB"/>
        </w:rPr>
        <w:instrText xml:space="preserve"> ADDIN EN.CITE &lt;EndNote&gt;&lt;Cite&gt;&lt;Author&gt;Lewis&lt;/Author&gt;&lt;Year&gt;2019&lt;/Year&gt;&lt;RecNum&gt;685&lt;/RecNum&gt;&lt;DisplayText&gt;[230]&lt;/DisplayText&gt;&lt;record&gt;&lt;rec-number&gt;685&lt;/rec-number&gt;&lt;foreign-keys&gt;&lt;key app="EN" db-id="wzwwsfxe4peesxef95cxvrwjxts9rreasarf" timestamp="1695599816"&gt;685&lt;/key&gt;&lt;/foreign-keys&gt;&lt;ref-type name="Report"&gt;27&lt;/ref-type&gt;&lt;contributors&gt;&lt;authors&gt;&lt;author&gt;Lewis, S. &lt;/author&gt;&lt;author&gt;Campbell, S.&lt;/author&gt;&lt;author&gt;Norris, S.&lt;/author&gt;&lt;/authors&gt;&lt;tertiary-authors&gt;&lt;author&gt;Australian Government Department of Health and Aged Care,&lt;/author&gt;&lt;/tertiary-authors&gt;&lt;/contributors&gt;&lt;titles&gt;&lt;title&gt;Systematic literature review on international approaches to post-market reviews and technology re-assessment - Final Report&lt;/title&gt;&lt;/titles&gt;&lt;dates&gt;&lt;year&gt;2019&lt;/year&gt;&lt;/dates&gt;&lt;pub-location&gt;Canberra&lt;/pub-location&gt;&lt;urls&gt;&lt;/urls&gt;&lt;/record&gt;&lt;/Cite&gt;&lt;/EndNote&gt;</w:instrText>
      </w:r>
      <w:r w:rsidR="00EC3670" w:rsidRPr="00221992">
        <w:rPr>
          <w:lang w:val="en-GB"/>
        </w:rPr>
        <w:fldChar w:fldCharType="separate"/>
      </w:r>
      <w:r w:rsidR="00E5265C">
        <w:rPr>
          <w:noProof/>
          <w:lang w:val="en-GB"/>
        </w:rPr>
        <w:t>[230]</w:t>
      </w:r>
      <w:r w:rsidR="00EC3670" w:rsidRPr="00221992">
        <w:rPr>
          <w:lang w:val="en-GB"/>
        </w:rPr>
        <w:fldChar w:fldCharType="end"/>
      </w:r>
      <w:r w:rsidR="00BE3581" w:rsidRPr="00221992">
        <w:rPr>
          <w:lang w:val="en-GB"/>
        </w:rPr>
        <w:t>.</w:t>
      </w:r>
      <w:r w:rsidR="00EC3670" w:rsidRPr="00221992">
        <w:rPr>
          <w:lang w:val="en-GB"/>
        </w:rPr>
        <w:t xml:space="preserve"> </w:t>
      </w:r>
      <w:r w:rsidR="00393EFD" w:rsidRPr="00221992">
        <w:rPr>
          <w:lang w:val="en-GB"/>
        </w:rPr>
        <w:t xml:space="preserve">The following section </w:t>
      </w:r>
      <w:r w:rsidR="00000C66" w:rsidRPr="00221992">
        <w:rPr>
          <w:lang w:val="en-GB"/>
        </w:rPr>
        <w:t xml:space="preserve">summarises </w:t>
      </w:r>
      <w:r w:rsidR="00436857" w:rsidRPr="00221992">
        <w:rPr>
          <w:lang w:val="en-GB"/>
        </w:rPr>
        <w:t>the impact of HTR processes and</w:t>
      </w:r>
      <w:r w:rsidR="00D23B28" w:rsidRPr="00221992">
        <w:rPr>
          <w:lang w:val="en-GB"/>
        </w:rPr>
        <w:t>,</w:t>
      </w:r>
      <w:r w:rsidR="00436857" w:rsidRPr="00221992">
        <w:rPr>
          <w:lang w:val="en-GB"/>
        </w:rPr>
        <w:t xml:space="preserve"> specifically</w:t>
      </w:r>
      <w:r w:rsidR="000A6218" w:rsidRPr="00221992">
        <w:rPr>
          <w:lang w:val="en-GB"/>
        </w:rPr>
        <w:t>,</w:t>
      </w:r>
      <w:r w:rsidR="00436857" w:rsidRPr="00221992">
        <w:rPr>
          <w:lang w:val="en-GB"/>
        </w:rPr>
        <w:t xml:space="preserve"> the use of registry data </w:t>
      </w:r>
      <w:r w:rsidR="000A6218" w:rsidRPr="00221992">
        <w:rPr>
          <w:lang w:val="en-GB"/>
        </w:rPr>
        <w:t>for</w:t>
      </w:r>
      <w:r w:rsidR="00436857" w:rsidRPr="00221992">
        <w:rPr>
          <w:lang w:val="en-GB"/>
        </w:rPr>
        <w:t xml:space="preserve"> decision</w:t>
      </w:r>
      <w:r w:rsidR="000A6218" w:rsidRPr="00221992">
        <w:rPr>
          <w:lang w:val="en-GB"/>
        </w:rPr>
        <w:t>-</w:t>
      </w:r>
      <w:r w:rsidR="00436857" w:rsidRPr="00221992">
        <w:rPr>
          <w:lang w:val="en-GB"/>
        </w:rPr>
        <w:t xml:space="preserve">making in Italy. </w:t>
      </w:r>
    </w:p>
    <w:p w14:paraId="6A0BBE12" w14:textId="2BBA080D" w:rsidR="009569AD" w:rsidRPr="00221992" w:rsidRDefault="00436857" w:rsidP="00436857">
      <w:pPr>
        <w:pStyle w:val="NbrHeading4"/>
        <w:numPr>
          <w:ilvl w:val="0"/>
          <w:numId w:val="0"/>
        </w:numPr>
        <w:ind w:left="1134" w:hanging="1134"/>
        <w:rPr>
          <w:lang w:val="en-GB"/>
        </w:rPr>
      </w:pPr>
      <w:r w:rsidRPr="00221992">
        <w:rPr>
          <w:lang w:val="en-GB"/>
        </w:rPr>
        <w:t xml:space="preserve">Case study: </w:t>
      </w:r>
      <w:r w:rsidR="00841B44" w:rsidRPr="00221992">
        <w:rPr>
          <w:lang w:val="en-GB"/>
        </w:rPr>
        <w:t xml:space="preserve">Measuring the </w:t>
      </w:r>
      <w:r w:rsidR="00236EC1" w:rsidRPr="00221992">
        <w:rPr>
          <w:lang w:val="en-GB"/>
        </w:rPr>
        <w:t>i</w:t>
      </w:r>
      <w:r w:rsidR="009569AD" w:rsidRPr="00221992">
        <w:rPr>
          <w:lang w:val="en-GB"/>
        </w:rPr>
        <w:t xml:space="preserve">mpact of </w:t>
      </w:r>
      <w:r w:rsidR="00D817D7" w:rsidRPr="00221992">
        <w:rPr>
          <w:lang w:val="en-GB"/>
        </w:rPr>
        <w:t xml:space="preserve">data collection </w:t>
      </w:r>
      <w:r w:rsidR="009569AD" w:rsidRPr="00221992">
        <w:rPr>
          <w:lang w:val="en-GB"/>
        </w:rPr>
        <w:t>on decision</w:t>
      </w:r>
      <w:r w:rsidR="009A7D1F" w:rsidRPr="00221992">
        <w:rPr>
          <w:lang w:val="en-GB"/>
        </w:rPr>
        <w:t>-</w:t>
      </w:r>
      <w:r w:rsidR="009569AD" w:rsidRPr="00221992">
        <w:rPr>
          <w:lang w:val="en-GB"/>
        </w:rPr>
        <w:t>making</w:t>
      </w:r>
      <w:r w:rsidRPr="00221992">
        <w:rPr>
          <w:lang w:val="en-GB"/>
        </w:rPr>
        <w:t xml:space="preserve"> in Italy.</w:t>
      </w:r>
    </w:p>
    <w:p w14:paraId="5B6B3752" w14:textId="3BC2D395" w:rsidR="009569AD" w:rsidRPr="00221992" w:rsidRDefault="009569AD" w:rsidP="00EF5B9A">
      <w:pPr>
        <w:pStyle w:val="BodyText"/>
        <w:rPr>
          <w:lang w:val="en-GB"/>
        </w:rPr>
      </w:pPr>
      <w:r w:rsidRPr="00221992">
        <w:rPr>
          <w:lang w:val="en-GB"/>
        </w:rPr>
        <w:t xml:space="preserve"> Xoxi</w:t>
      </w:r>
      <w:r w:rsidR="009A7D1F" w:rsidRPr="00221992">
        <w:rPr>
          <w:lang w:val="en-GB"/>
        </w:rPr>
        <w:t xml:space="preserve"> et al. </w:t>
      </w:r>
      <w:r w:rsidRPr="00221992">
        <w:rPr>
          <w:lang w:val="en-GB"/>
        </w:rPr>
        <w:t>(2021) analyse</w:t>
      </w:r>
      <w:r w:rsidR="008539A2" w:rsidRPr="00221992">
        <w:rPr>
          <w:lang w:val="en-GB"/>
        </w:rPr>
        <w:t>d</w:t>
      </w:r>
      <w:r w:rsidRPr="00221992">
        <w:rPr>
          <w:lang w:val="en-GB"/>
        </w:rPr>
        <w:t xml:space="preserve"> the impact of registries in relation to the implementation of </w:t>
      </w:r>
      <w:r w:rsidR="008539A2" w:rsidRPr="00221992">
        <w:rPr>
          <w:lang w:val="en-GB"/>
        </w:rPr>
        <w:t>MEA</w:t>
      </w:r>
      <w:r w:rsidRPr="00221992">
        <w:rPr>
          <w:lang w:val="en-GB"/>
        </w:rPr>
        <w:t>s</w:t>
      </w:r>
      <w:r w:rsidR="7CF4DF6E" w:rsidRPr="00221992">
        <w:rPr>
          <w:lang w:val="en-GB"/>
        </w:rPr>
        <w:t xml:space="preserve"> in Italy</w:t>
      </w:r>
      <w:r w:rsidRPr="00221992">
        <w:rPr>
          <w:lang w:val="en-GB"/>
        </w:rPr>
        <w:t xml:space="preserve">, focusing on </w:t>
      </w:r>
      <w:r w:rsidR="008539A2" w:rsidRPr="00221992">
        <w:rPr>
          <w:lang w:val="en-GB"/>
        </w:rPr>
        <w:t xml:space="preserve">AIFA </w:t>
      </w:r>
      <w:r w:rsidRPr="00221992">
        <w:rPr>
          <w:lang w:val="en-GB"/>
        </w:rPr>
        <w:t>reports and summary publications</w:t>
      </w:r>
      <w:r w:rsidR="009A7D1F" w:rsidRPr="00221992">
        <w:rPr>
          <w:lang w:val="en-GB"/>
        </w:rPr>
        <w:t xml:space="preserve"> </w:t>
      </w:r>
      <w:r w:rsidR="008539A2" w:rsidRPr="00221992">
        <w:rPr>
          <w:lang w:val="en-GB"/>
        </w:rPr>
        <w:fldChar w:fldCharType="begin"/>
      </w:r>
      <w:r w:rsidR="00E5265C">
        <w:rPr>
          <w:lang w:val="en-GB"/>
        </w:rPr>
        <w:instrText xml:space="preserve"> ADDIN EN.CITE &lt;EndNote&gt;&lt;Cite&gt;&lt;Author&gt;Xoxi&lt;/Author&gt;&lt;Year&gt;2021&lt;/Year&gt;&lt;RecNum&gt;486&lt;/RecNum&gt;&lt;DisplayText&gt;[220]&lt;/DisplayText&gt;&lt;record&gt;&lt;rec-number&gt;486&lt;/rec-number&gt;&lt;foreign-keys&gt;&lt;key app="EN" db-id="wzwwsfxe4peesxef95cxvrwjxts9rreasarf" timestamp="1692654671"&gt;486&lt;/key&gt;&lt;/foreign-keys&gt;&lt;ref-type name="Journal Article"&gt;17&lt;/ref-type&gt;&lt;contributors&gt;&lt;authors&gt;&lt;author&gt;Xoxi, E.&lt;/author&gt;&lt;author&gt;Facey, K. M.&lt;/author&gt;&lt;author&gt;Cicchetti, A.&lt;/author&gt;&lt;/authors&gt;&lt;/contributors&gt;&lt;auth-address&gt;Graduate School of Health Economics and Management, Catholic University of the Sacred Heart, Rome, Italy&amp;#xD;Usher Institute, University of Edinburgh, Edinburgh, United Kingdom&lt;/auth-address&gt;&lt;titles&gt;&lt;title&gt;The Evolution of AIFA Registries to Support Managed Entry Agreements for Orphan Medicinal Products in Italy&lt;/title&gt;&lt;secondary-title&gt;Front Pharmacol&lt;/secondary-title&gt;&lt;/titles&gt;&lt;periodical&gt;&lt;full-title&gt;Front Pharmacol&lt;/full-title&gt;&lt;/periodical&gt;&lt;volume&gt;12&lt;/volume&gt;&lt;edition&gt;20210810&lt;/edition&gt;&lt;dates&gt;&lt;year&gt;2021&lt;/year&gt;&lt;/dates&gt;&lt;accession-num&gt;34456724&lt;/accession-num&gt;&lt;urls&gt;&lt;/urls&gt;&lt;custom2&gt;PMC8386173&lt;/custom2&gt;&lt;electronic-resource-num&gt;10.3389/fphar.2021.699466&lt;/electronic-resource-num&gt;&lt;language&gt;eng&lt;/language&gt;&lt;/record&gt;&lt;/Cite&gt;&lt;/EndNote&gt;</w:instrText>
      </w:r>
      <w:r w:rsidR="008539A2" w:rsidRPr="00221992">
        <w:rPr>
          <w:lang w:val="en-GB"/>
        </w:rPr>
        <w:fldChar w:fldCharType="separate"/>
      </w:r>
      <w:r w:rsidR="00E5265C">
        <w:rPr>
          <w:noProof/>
          <w:lang w:val="en-GB"/>
        </w:rPr>
        <w:t>[220]</w:t>
      </w:r>
      <w:r w:rsidR="008539A2" w:rsidRPr="00221992">
        <w:rPr>
          <w:lang w:val="en-GB"/>
        </w:rPr>
        <w:fldChar w:fldCharType="end"/>
      </w:r>
      <w:r w:rsidRPr="00221992">
        <w:rPr>
          <w:lang w:val="en-GB"/>
        </w:rPr>
        <w:t>. As of the date of the study</w:t>
      </w:r>
      <w:r w:rsidR="008539A2" w:rsidRPr="00221992">
        <w:rPr>
          <w:lang w:val="en-GB"/>
        </w:rPr>
        <w:t>,</w:t>
      </w:r>
      <w:r w:rsidRPr="00221992">
        <w:rPr>
          <w:lang w:val="en-GB"/>
        </w:rPr>
        <w:t xml:space="preserve"> three published analysis reports</w:t>
      </w:r>
      <w:r w:rsidR="00217AB8" w:rsidRPr="00221992">
        <w:rPr>
          <w:lang w:val="en-GB"/>
        </w:rPr>
        <w:t xml:space="preserve"> were available for registries that were closed or altered </w:t>
      </w:r>
      <w:r w:rsidR="001B1519" w:rsidRPr="00221992">
        <w:rPr>
          <w:lang w:val="en-GB"/>
        </w:rPr>
        <w:t>with an</w:t>
      </w:r>
      <w:r w:rsidR="00217AB8" w:rsidRPr="00221992">
        <w:rPr>
          <w:lang w:val="en-GB"/>
        </w:rPr>
        <w:t xml:space="preserve"> MEA</w:t>
      </w:r>
      <w:r w:rsidR="001B1519" w:rsidRPr="00221992">
        <w:rPr>
          <w:lang w:val="en-GB"/>
        </w:rPr>
        <w:t xml:space="preserve"> in place</w:t>
      </w:r>
      <w:r w:rsidR="00217AB8" w:rsidRPr="00221992">
        <w:rPr>
          <w:lang w:val="en-GB"/>
        </w:rPr>
        <w:t>.</w:t>
      </w:r>
      <w:r w:rsidRPr="00221992">
        <w:rPr>
          <w:vertAlign w:val="superscript"/>
          <w:lang w:val="en-GB"/>
        </w:rPr>
        <w:footnoteReference w:id="16"/>
      </w:r>
      <w:r w:rsidRPr="00221992">
        <w:rPr>
          <w:lang w:val="en-GB"/>
        </w:rPr>
        <w:t xml:space="preserve"> These reports </w:t>
      </w:r>
      <w:r w:rsidR="00976591">
        <w:rPr>
          <w:lang w:val="en-GB"/>
        </w:rPr>
        <w:t>detail</w:t>
      </w:r>
      <w:r w:rsidR="00976591" w:rsidRPr="00221992">
        <w:rPr>
          <w:lang w:val="en-GB"/>
        </w:rPr>
        <w:t xml:space="preserve"> </w:t>
      </w:r>
      <w:r w:rsidRPr="00221992">
        <w:rPr>
          <w:lang w:val="en-GB"/>
        </w:rPr>
        <w:t xml:space="preserve">comprehensive data collection at both national and regional levels, including information about the number of ongoing treatment cycles, treatments that have concluded or </w:t>
      </w:r>
      <w:r w:rsidR="008539A2" w:rsidRPr="00221992">
        <w:rPr>
          <w:lang w:val="en-GB"/>
        </w:rPr>
        <w:t xml:space="preserve">been </w:t>
      </w:r>
      <w:r w:rsidRPr="00221992">
        <w:rPr>
          <w:lang w:val="en-GB"/>
        </w:rPr>
        <w:t xml:space="preserve">discontinued, patient demographics, dispensing packages, and reasons for treatment discontinuation. </w:t>
      </w:r>
      <w:r w:rsidR="008539A2" w:rsidRPr="00221992">
        <w:rPr>
          <w:lang w:val="en-GB"/>
        </w:rPr>
        <w:t>Notably, the</w:t>
      </w:r>
      <w:r w:rsidRPr="00221992">
        <w:rPr>
          <w:lang w:val="en-GB"/>
        </w:rPr>
        <w:t xml:space="preserve"> authors found minimal pending requests for data entry </w:t>
      </w:r>
      <w:r w:rsidR="000C636B" w:rsidRPr="00221992">
        <w:rPr>
          <w:lang w:val="en-GB"/>
        </w:rPr>
        <w:t>mandated by</w:t>
      </w:r>
      <w:r w:rsidRPr="00221992">
        <w:rPr>
          <w:lang w:val="en-GB"/>
        </w:rPr>
        <w:t xml:space="preserve"> MEAs</w:t>
      </w:r>
      <w:r w:rsidR="000C636B" w:rsidRPr="00221992">
        <w:rPr>
          <w:lang w:val="en-GB"/>
        </w:rPr>
        <w:t>,</w:t>
      </w:r>
      <w:r w:rsidRPr="00221992">
        <w:rPr>
          <w:lang w:val="en-GB"/>
        </w:rPr>
        <w:t xml:space="preserve"> </w:t>
      </w:r>
      <w:r w:rsidR="008539A2" w:rsidRPr="00221992">
        <w:rPr>
          <w:lang w:val="en-GB"/>
        </w:rPr>
        <w:t xml:space="preserve">underscoring </w:t>
      </w:r>
      <w:r w:rsidRPr="00221992">
        <w:rPr>
          <w:lang w:val="en-GB"/>
        </w:rPr>
        <w:t>the effective management of payback MEAs within the registry system.</w:t>
      </w:r>
      <w:r w:rsidR="002F4001" w:rsidRPr="00221992">
        <w:rPr>
          <w:lang w:val="en-GB"/>
        </w:rPr>
        <w:t xml:space="preserve"> Further, t</w:t>
      </w:r>
      <w:r w:rsidRPr="00221992">
        <w:rPr>
          <w:lang w:val="en-GB"/>
        </w:rPr>
        <w:t>he study found that the duration of data monitoring for closed registries ranged from 3.7 to 5 years (f</w:t>
      </w:r>
      <w:r w:rsidR="002F4001" w:rsidRPr="00221992">
        <w:rPr>
          <w:lang w:val="en-GB"/>
        </w:rPr>
        <w:t>or</w:t>
      </w:r>
      <w:r w:rsidRPr="00221992">
        <w:rPr>
          <w:lang w:val="en-GB"/>
        </w:rPr>
        <w:t xml:space="preserve"> the </w:t>
      </w:r>
      <w:r w:rsidR="002F4001" w:rsidRPr="00221992">
        <w:rPr>
          <w:lang w:val="en-GB"/>
        </w:rPr>
        <w:t>three</w:t>
      </w:r>
      <w:r w:rsidRPr="00221992">
        <w:rPr>
          <w:lang w:val="en-GB"/>
        </w:rPr>
        <w:t xml:space="preserve"> available reports), and up to 14 years for all </w:t>
      </w:r>
      <w:r w:rsidR="002F4001" w:rsidRPr="00221992">
        <w:rPr>
          <w:lang w:val="en-GB"/>
        </w:rPr>
        <w:t xml:space="preserve">77 </w:t>
      </w:r>
      <w:r w:rsidRPr="00221992">
        <w:rPr>
          <w:lang w:val="en-GB"/>
        </w:rPr>
        <w:t xml:space="preserve">of the registries </w:t>
      </w:r>
      <w:r w:rsidR="002F4001" w:rsidRPr="00221992">
        <w:rPr>
          <w:lang w:val="en-GB"/>
        </w:rPr>
        <w:t>that</w:t>
      </w:r>
      <w:r w:rsidRPr="00221992">
        <w:rPr>
          <w:lang w:val="en-GB"/>
        </w:rPr>
        <w:t xml:space="preserve"> have been closed. However, there was limited evidence on how these data have been utilised and</w:t>
      </w:r>
      <w:r w:rsidR="002F4001" w:rsidRPr="00221992">
        <w:rPr>
          <w:lang w:val="en-GB"/>
        </w:rPr>
        <w:t>,</w:t>
      </w:r>
      <w:r w:rsidRPr="00221992">
        <w:rPr>
          <w:lang w:val="en-GB"/>
        </w:rPr>
        <w:t xml:space="preserve"> specifically</w:t>
      </w:r>
      <w:r w:rsidR="002F4001" w:rsidRPr="00221992">
        <w:rPr>
          <w:lang w:val="en-GB"/>
        </w:rPr>
        <w:t>,</w:t>
      </w:r>
      <w:r w:rsidRPr="00221992">
        <w:rPr>
          <w:lang w:val="en-GB"/>
        </w:rPr>
        <w:t xml:space="preserve"> how these durations have </w:t>
      </w:r>
      <w:r w:rsidR="002F4001" w:rsidRPr="00221992">
        <w:rPr>
          <w:lang w:val="en-GB"/>
        </w:rPr>
        <w:t>impacted</w:t>
      </w:r>
      <w:r w:rsidRPr="00221992">
        <w:rPr>
          <w:lang w:val="en-GB"/>
        </w:rPr>
        <w:t xml:space="preserve"> decision</w:t>
      </w:r>
      <w:r w:rsidR="002F4001" w:rsidRPr="00221992">
        <w:rPr>
          <w:lang w:val="en-GB"/>
        </w:rPr>
        <w:t>-</w:t>
      </w:r>
      <w:r w:rsidRPr="00221992">
        <w:rPr>
          <w:lang w:val="en-GB"/>
        </w:rPr>
        <w:t>making</w:t>
      </w:r>
      <w:r w:rsidR="002F4001" w:rsidRPr="00221992">
        <w:rPr>
          <w:lang w:val="en-GB"/>
        </w:rPr>
        <w:t xml:space="preserve"> </w:t>
      </w:r>
      <w:r w:rsidR="002F4001" w:rsidRPr="00221992">
        <w:rPr>
          <w:lang w:val="en-GB"/>
        </w:rPr>
        <w:fldChar w:fldCharType="begin"/>
      </w:r>
      <w:r w:rsidR="00E5265C">
        <w:rPr>
          <w:lang w:val="en-GB"/>
        </w:rPr>
        <w:instrText xml:space="preserve"> ADDIN EN.CITE &lt;EndNote&gt;&lt;Cite&gt;&lt;Author&gt;Xoxi&lt;/Author&gt;&lt;Year&gt;2021&lt;/Year&gt;&lt;RecNum&gt;486&lt;/RecNum&gt;&lt;DisplayText&gt;[220]&lt;/DisplayText&gt;&lt;record&gt;&lt;rec-number&gt;486&lt;/rec-number&gt;&lt;foreign-keys&gt;&lt;key app="EN" db-id="wzwwsfxe4peesxef95cxvrwjxts9rreasarf" timestamp="1692654671"&gt;486&lt;/key&gt;&lt;/foreign-keys&gt;&lt;ref-type name="Journal Article"&gt;17&lt;/ref-type&gt;&lt;contributors&gt;&lt;authors&gt;&lt;author&gt;Xoxi, E.&lt;/author&gt;&lt;author&gt;Facey, K. M.&lt;/author&gt;&lt;author&gt;Cicchetti, A.&lt;/author&gt;&lt;/authors&gt;&lt;/contributors&gt;&lt;auth-address&gt;Graduate School of Health Economics and Management, Catholic University of the Sacred Heart, Rome, Italy&amp;#xD;Usher Institute, University of Edinburgh, Edinburgh, United Kingdom&lt;/auth-address&gt;&lt;titles&gt;&lt;title&gt;The Evolution of AIFA Registries to Support Managed Entry Agreements for Orphan Medicinal Products in Italy&lt;/title&gt;&lt;secondary-title&gt;Front Pharmacol&lt;/secondary-title&gt;&lt;/titles&gt;&lt;periodical&gt;&lt;full-title&gt;Front Pharmacol&lt;/full-title&gt;&lt;/periodical&gt;&lt;volume&gt;12&lt;/volume&gt;&lt;edition&gt;20210810&lt;/edition&gt;&lt;dates&gt;&lt;year&gt;2021&lt;/year&gt;&lt;/dates&gt;&lt;accession-num&gt;34456724&lt;/accession-num&gt;&lt;urls&gt;&lt;/urls&gt;&lt;custom2&gt;PMC8386173&lt;/custom2&gt;&lt;electronic-resource-num&gt;10.3389/fphar.2021.699466&lt;/electronic-resource-num&gt;&lt;language&gt;eng&lt;/language&gt;&lt;/record&gt;&lt;/Cite&gt;&lt;/EndNote&gt;</w:instrText>
      </w:r>
      <w:r w:rsidR="002F4001" w:rsidRPr="00221992">
        <w:rPr>
          <w:lang w:val="en-GB"/>
        </w:rPr>
        <w:fldChar w:fldCharType="separate"/>
      </w:r>
      <w:r w:rsidR="00E5265C">
        <w:rPr>
          <w:noProof/>
          <w:lang w:val="en-GB"/>
        </w:rPr>
        <w:t>[220]</w:t>
      </w:r>
      <w:r w:rsidR="002F4001" w:rsidRPr="00221992">
        <w:rPr>
          <w:lang w:val="en-GB"/>
        </w:rPr>
        <w:fldChar w:fldCharType="end"/>
      </w:r>
      <w:r w:rsidRPr="00221992">
        <w:rPr>
          <w:lang w:val="en-GB"/>
        </w:rPr>
        <w:t xml:space="preserve">. </w:t>
      </w:r>
    </w:p>
    <w:p w14:paraId="3B361C61" w14:textId="539426DA" w:rsidR="009569AD" w:rsidRPr="00221992" w:rsidRDefault="009569AD" w:rsidP="004F0A34">
      <w:pPr>
        <w:rPr>
          <w:lang w:val="en-GB"/>
        </w:rPr>
      </w:pPr>
      <w:r w:rsidRPr="00221992">
        <w:rPr>
          <w:lang w:val="en-GB"/>
        </w:rPr>
        <w:t xml:space="preserve">In terms of measuring </w:t>
      </w:r>
      <w:r w:rsidR="00535C2B" w:rsidRPr="00221992">
        <w:rPr>
          <w:lang w:val="en-GB"/>
        </w:rPr>
        <w:t>the</w:t>
      </w:r>
      <w:r w:rsidRPr="00221992">
        <w:rPr>
          <w:lang w:val="en-GB"/>
        </w:rPr>
        <w:t xml:space="preserve"> return on investment </w:t>
      </w:r>
      <w:r w:rsidR="006936EC" w:rsidRPr="00221992">
        <w:rPr>
          <w:lang w:val="en-GB"/>
        </w:rPr>
        <w:t xml:space="preserve">(ROI) </w:t>
      </w:r>
      <w:r w:rsidRPr="00221992">
        <w:rPr>
          <w:lang w:val="en-GB"/>
        </w:rPr>
        <w:t xml:space="preserve">of </w:t>
      </w:r>
      <w:r w:rsidR="00D23A4B" w:rsidRPr="00221992">
        <w:rPr>
          <w:lang w:val="en-GB"/>
        </w:rPr>
        <w:t xml:space="preserve">data collection through </w:t>
      </w:r>
      <w:r w:rsidR="00B92E44" w:rsidRPr="00221992">
        <w:rPr>
          <w:lang w:val="en-GB"/>
        </w:rPr>
        <w:t xml:space="preserve">HTR </w:t>
      </w:r>
      <w:r w:rsidR="00CE4DA2" w:rsidRPr="00221992">
        <w:rPr>
          <w:lang w:val="en-GB"/>
        </w:rPr>
        <w:t xml:space="preserve">initiatives such as </w:t>
      </w:r>
      <w:r w:rsidRPr="00221992">
        <w:rPr>
          <w:lang w:val="en-GB"/>
        </w:rPr>
        <w:t xml:space="preserve">registries, </w:t>
      </w:r>
      <w:r w:rsidR="00D23A4B" w:rsidRPr="00221992">
        <w:rPr>
          <w:lang w:val="en-GB"/>
        </w:rPr>
        <w:t>Xoxi et al</w:t>
      </w:r>
      <w:r w:rsidR="006B2B07" w:rsidRPr="00221992">
        <w:rPr>
          <w:lang w:val="en-GB"/>
        </w:rPr>
        <w:t>.</w:t>
      </w:r>
      <w:r w:rsidR="00D23A4B" w:rsidRPr="00221992">
        <w:rPr>
          <w:lang w:val="en-GB"/>
        </w:rPr>
        <w:t xml:space="preserve"> (20</w:t>
      </w:r>
      <w:r w:rsidR="00B57161" w:rsidRPr="00221992">
        <w:rPr>
          <w:lang w:val="en-GB"/>
        </w:rPr>
        <w:t>21</w:t>
      </w:r>
      <w:r w:rsidR="00D23A4B" w:rsidRPr="00221992">
        <w:rPr>
          <w:lang w:val="en-GB"/>
        </w:rPr>
        <w:t>)</w:t>
      </w:r>
      <w:r w:rsidRPr="00221992">
        <w:rPr>
          <w:lang w:val="en-GB"/>
        </w:rPr>
        <w:t xml:space="preserve"> </w:t>
      </w:r>
      <w:r w:rsidR="00E30BD3" w:rsidRPr="00221992">
        <w:rPr>
          <w:lang w:val="en-GB"/>
        </w:rPr>
        <w:t>investigated</w:t>
      </w:r>
      <w:r w:rsidR="008D564B" w:rsidRPr="00221992">
        <w:rPr>
          <w:lang w:val="en-GB"/>
        </w:rPr>
        <w:t xml:space="preserve"> whether it was feasible to </w:t>
      </w:r>
      <w:r w:rsidR="00226F37" w:rsidRPr="00221992">
        <w:rPr>
          <w:lang w:val="en-GB"/>
        </w:rPr>
        <w:t>meas</w:t>
      </w:r>
      <w:r w:rsidR="00765E8E" w:rsidRPr="00221992">
        <w:rPr>
          <w:lang w:val="en-GB"/>
        </w:rPr>
        <w:t>ure</w:t>
      </w:r>
      <w:r w:rsidR="002F0E92" w:rsidRPr="00221992">
        <w:rPr>
          <w:lang w:val="en-GB"/>
        </w:rPr>
        <w:t xml:space="preserve"> possible ROI </w:t>
      </w:r>
      <w:r w:rsidR="00C75F9D" w:rsidRPr="00221992">
        <w:rPr>
          <w:lang w:val="en-GB"/>
        </w:rPr>
        <w:t>outcomes such as</w:t>
      </w:r>
      <w:r w:rsidR="002F0E92" w:rsidRPr="00221992">
        <w:rPr>
          <w:lang w:val="en-GB"/>
        </w:rPr>
        <w:t xml:space="preserve"> the number of therapeutic failures</w:t>
      </w:r>
      <w:r w:rsidR="00C75F9D" w:rsidRPr="00221992">
        <w:rPr>
          <w:lang w:val="en-GB"/>
        </w:rPr>
        <w:t xml:space="preserve">, </w:t>
      </w:r>
      <w:r w:rsidR="00505B31" w:rsidRPr="00221992">
        <w:rPr>
          <w:lang w:val="en-GB"/>
        </w:rPr>
        <w:t xml:space="preserve">or </w:t>
      </w:r>
      <w:r w:rsidR="006B2B07" w:rsidRPr="00221992">
        <w:rPr>
          <w:lang w:val="en-GB"/>
        </w:rPr>
        <w:t xml:space="preserve">by </w:t>
      </w:r>
      <w:r w:rsidR="002F0E92" w:rsidRPr="00221992">
        <w:rPr>
          <w:lang w:val="en-GB"/>
        </w:rPr>
        <w:t xml:space="preserve">quantifying </w:t>
      </w:r>
      <w:r w:rsidR="00ED63E1" w:rsidRPr="00221992">
        <w:rPr>
          <w:lang w:val="en-GB"/>
        </w:rPr>
        <w:t xml:space="preserve">the </w:t>
      </w:r>
      <w:r w:rsidR="002F0E92" w:rsidRPr="00221992">
        <w:rPr>
          <w:lang w:val="en-GB"/>
        </w:rPr>
        <w:t>appropriateness of utilisatio</w:t>
      </w:r>
      <w:r w:rsidR="002721AB" w:rsidRPr="00221992">
        <w:rPr>
          <w:lang w:val="en-GB"/>
        </w:rPr>
        <w:t>n using Italy</w:t>
      </w:r>
      <w:r w:rsidR="00551786">
        <w:rPr>
          <w:lang w:val="en-GB"/>
        </w:rPr>
        <w:t>’</w:t>
      </w:r>
      <w:r w:rsidR="002721AB" w:rsidRPr="00221992">
        <w:rPr>
          <w:lang w:val="en-GB"/>
        </w:rPr>
        <w:t>s registr</w:t>
      </w:r>
      <w:r w:rsidR="006B2B07" w:rsidRPr="00221992">
        <w:rPr>
          <w:lang w:val="en-GB"/>
        </w:rPr>
        <w:t>y</w:t>
      </w:r>
      <w:r w:rsidR="002721AB" w:rsidRPr="00221992">
        <w:rPr>
          <w:lang w:val="en-GB"/>
        </w:rPr>
        <w:t xml:space="preserve"> system.</w:t>
      </w:r>
      <w:r w:rsidR="00ED63E1" w:rsidRPr="00221992">
        <w:rPr>
          <w:lang w:val="en-GB"/>
        </w:rPr>
        <w:t xml:space="preserve"> </w:t>
      </w:r>
      <w:r w:rsidR="00C243A3" w:rsidRPr="00221992">
        <w:rPr>
          <w:lang w:val="en-GB"/>
        </w:rPr>
        <w:t>T</w:t>
      </w:r>
      <w:r w:rsidR="002F0E92" w:rsidRPr="00221992">
        <w:rPr>
          <w:lang w:val="en-GB"/>
        </w:rPr>
        <w:t xml:space="preserve">he authors </w:t>
      </w:r>
      <w:r w:rsidR="00C243A3" w:rsidRPr="00221992">
        <w:rPr>
          <w:lang w:val="en-GB"/>
        </w:rPr>
        <w:t>concluded, however,</w:t>
      </w:r>
      <w:r w:rsidR="002F0E92" w:rsidRPr="00221992">
        <w:rPr>
          <w:lang w:val="en-GB"/>
        </w:rPr>
        <w:t xml:space="preserve"> </w:t>
      </w:r>
      <w:r w:rsidR="00ED63E1" w:rsidRPr="00221992">
        <w:rPr>
          <w:lang w:val="en-GB"/>
        </w:rPr>
        <w:t xml:space="preserve">that this type of analysis would </w:t>
      </w:r>
      <w:r w:rsidR="002F0E92" w:rsidRPr="00221992">
        <w:rPr>
          <w:lang w:val="en-GB"/>
        </w:rPr>
        <w:t xml:space="preserve">require </w:t>
      </w:r>
      <w:r w:rsidR="00C243A3" w:rsidRPr="00221992">
        <w:rPr>
          <w:lang w:val="en-GB"/>
        </w:rPr>
        <w:t xml:space="preserve">a </w:t>
      </w:r>
      <w:r w:rsidR="002F0E92" w:rsidRPr="00221992">
        <w:rPr>
          <w:lang w:val="en-GB"/>
        </w:rPr>
        <w:t xml:space="preserve">greater </w:t>
      </w:r>
      <w:r w:rsidR="00C243A3" w:rsidRPr="00221992">
        <w:rPr>
          <w:lang w:val="en-GB"/>
        </w:rPr>
        <w:t xml:space="preserve">level of </w:t>
      </w:r>
      <w:r w:rsidR="002F0E92" w:rsidRPr="00221992">
        <w:rPr>
          <w:lang w:val="en-GB"/>
        </w:rPr>
        <w:t>data transparency</w:t>
      </w:r>
      <w:r w:rsidR="00C243A3" w:rsidRPr="00221992">
        <w:rPr>
          <w:lang w:val="en-GB"/>
        </w:rPr>
        <w:t xml:space="preserve"> </w:t>
      </w:r>
      <w:r w:rsidR="00653F87" w:rsidRPr="00221992">
        <w:rPr>
          <w:lang w:val="en-GB"/>
        </w:rPr>
        <w:fldChar w:fldCharType="begin"/>
      </w:r>
      <w:r w:rsidR="00E5265C">
        <w:rPr>
          <w:lang w:val="en-GB"/>
        </w:rPr>
        <w:instrText xml:space="preserve"> ADDIN EN.CITE &lt;EndNote&gt;&lt;Cite&gt;&lt;Author&gt;Xoxi&lt;/Author&gt;&lt;Year&gt;2021&lt;/Year&gt;&lt;RecNum&gt;486&lt;/RecNum&gt;&lt;DisplayText&gt;[220]&lt;/DisplayText&gt;&lt;record&gt;&lt;rec-number&gt;486&lt;/rec-number&gt;&lt;foreign-keys&gt;&lt;key app="EN" db-id="wzwwsfxe4peesxef95cxvrwjxts9rreasarf" timestamp="1692654671"&gt;486&lt;/key&gt;&lt;/foreign-keys&gt;&lt;ref-type name="Journal Article"&gt;17&lt;/ref-type&gt;&lt;contributors&gt;&lt;authors&gt;&lt;author&gt;Xoxi, E.&lt;/author&gt;&lt;author&gt;Facey, K. M.&lt;/author&gt;&lt;author&gt;Cicchetti, A.&lt;/author&gt;&lt;/authors&gt;&lt;/contributors&gt;&lt;auth-address&gt;Graduate School of Health Economics and Management, Catholic University of the Sacred Heart, Rome, Italy&amp;#xD;Usher Institute, University of Edinburgh, Edinburgh, United Kingdom&lt;/auth-address&gt;&lt;titles&gt;&lt;title&gt;The Evolution of AIFA Registries to Support Managed Entry Agreements for Orphan Medicinal Products in Italy&lt;/title&gt;&lt;secondary-title&gt;Front Pharmacol&lt;/secondary-title&gt;&lt;/titles&gt;&lt;periodical&gt;&lt;full-title&gt;Front Pharmacol&lt;/full-title&gt;&lt;/periodical&gt;&lt;volume&gt;12&lt;/volume&gt;&lt;edition&gt;20210810&lt;/edition&gt;&lt;dates&gt;&lt;year&gt;2021&lt;/year&gt;&lt;/dates&gt;&lt;accession-num&gt;34456724&lt;/accession-num&gt;&lt;urls&gt;&lt;/urls&gt;&lt;custom2&gt;PMC8386173&lt;/custom2&gt;&lt;electronic-resource-num&gt;10.3389/fphar.2021.699466&lt;/electronic-resource-num&gt;&lt;language&gt;eng&lt;/language&gt;&lt;/record&gt;&lt;/Cite&gt;&lt;/EndNote&gt;</w:instrText>
      </w:r>
      <w:r w:rsidR="00653F87" w:rsidRPr="00221992">
        <w:rPr>
          <w:lang w:val="en-GB"/>
        </w:rPr>
        <w:fldChar w:fldCharType="separate"/>
      </w:r>
      <w:r w:rsidR="00E5265C">
        <w:rPr>
          <w:noProof/>
          <w:lang w:val="en-GB"/>
        </w:rPr>
        <w:t>[220]</w:t>
      </w:r>
      <w:r w:rsidR="00653F87" w:rsidRPr="00221992">
        <w:rPr>
          <w:lang w:val="en-GB"/>
        </w:rPr>
        <w:fldChar w:fldCharType="end"/>
      </w:r>
      <w:r w:rsidRPr="00221992">
        <w:rPr>
          <w:lang w:val="en-GB"/>
        </w:rPr>
        <w:t xml:space="preserve">. </w:t>
      </w:r>
    </w:p>
    <w:p w14:paraId="25EB9C0B" w14:textId="1875F69C" w:rsidR="009569AD" w:rsidRPr="00221992" w:rsidRDefault="009569AD" w:rsidP="004F0A34">
      <w:pPr>
        <w:rPr>
          <w:lang w:val="en-GB"/>
        </w:rPr>
      </w:pPr>
      <w:r w:rsidRPr="00221992">
        <w:rPr>
          <w:lang w:val="en-GB"/>
        </w:rPr>
        <w:t>The authors note</w:t>
      </w:r>
      <w:r w:rsidR="00C243A3" w:rsidRPr="00221992">
        <w:rPr>
          <w:lang w:val="en-GB"/>
        </w:rPr>
        <w:t>d</w:t>
      </w:r>
      <w:r w:rsidRPr="00221992">
        <w:rPr>
          <w:lang w:val="en-GB"/>
        </w:rPr>
        <w:t xml:space="preserve"> that AIFA reports for the year 2019 indicate approximately 20% of total MEA payback (€119,368,022) was connected to PbRs (i.e., lower-than-expected patient responses), which suggests that the registry framework effectively facilitates MEA paybacks and product re-negotiation</w:t>
      </w:r>
      <w:r w:rsidR="00B83D01" w:rsidRPr="00221992">
        <w:rPr>
          <w:lang w:val="en-GB"/>
        </w:rPr>
        <w:t xml:space="preserve"> </w:t>
      </w:r>
      <w:r w:rsidR="00B83D01" w:rsidRPr="00221992">
        <w:rPr>
          <w:lang w:val="en-GB"/>
        </w:rPr>
        <w:fldChar w:fldCharType="begin"/>
      </w:r>
      <w:r w:rsidR="00E5265C">
        <w:rPr>
          <w:lang w:val="en-GB"/>
        </w:rPr>
        <w:instrText xml:space="preserve"> ADDIN EN.CITE &lt;EndNote&gt;&lt;Cite&gt;&lt;Author&gt;Xoxi&lt;/Author&gt;&lt;Year&gt;2021&lt;/Year&gt;&lt;RecNum&gt;486&lt;/RecNum&gt;&lt;DisplayText&gt;[220]&lt;/DisplayText&gt;&lt;record&gt;&lt;rec-number&gt;486&lt;/rec-number&gt;&lt;foreign-keys&gt;&lt;key app="EN" db-id="wzwwsfxe4peesxef95cxvrwjxts9rreasarf" timestamp="1692654671"&gt;486&lt;/key&gt;&lt;/foreign-keys&gt;&lt;ref-type name="Journal Article"&gt;17&lt;/ref-type&gt;&lt;contributors&gt;&lt;authors&gt;&lt;author&gt;Xoxi, E.&lt;/author&gt;&lt;author&gt;Facey, K. M.&lt;/author&gt;&lt;author&gt;Cicchetti, A.&lt;/author&gt;&lt;/authors&gt;&lt;/contributors&gt;&lt;auth-address&gt;Graduate School of Health Economics and Management, Catholic University of the Sacred Heart, Rome, Italy&amp;#xD;Usher Institute, University of Edinburgh, Edinburgh, United Kingdom&lt;/auth-address&gt;&lt;titles&gt;&lt;title&gt;The Evolution of AIFA Registries to Support Managed Entry Agreements for Orphan Medicinal Products in Italy&lt;/title&gt;&lt;secondary-title&gt;Front Pharmacol&lt;/secondary-title&gt;&lt;/titles&gt;&lt;periodical&gt;&lt;full-title&gt;Front Pharmacol&lt;/full-title&gt;&lt;/periodical&gt;&lt;volume&gt;12&lt;/volume&gt;&lt;edition&gt;20210810&lt;/edition&gt;&lt;dates&gt;&lt;year&gt;2021&lt;/year&gt;&lt;/dates&gt;&lt;accession-num&gt;34456724&lt;/accession-num&gt;&lt;urls&gt;&lt;/urls&gt;&lt;custom2&gt;PMC8386173&lt;/custom2&gt;&lt;electronic-resource-num&gt;10.3389/fphar.2021.699466&lt;/electronic-resource-num&gt;&lt;language&gt;eng&lt;/language&gt;&lt;/record&gt;&lt;/Cite&gt;&lt;/EndNote&gt;</w:instrText>
      </w:r>
      <w:r w:rsidR="00B83D01" w:rsidRPr="00221992">
        <w:rPr>
          <w:lang w:val="en-GB"/>
        </w:rPr>
        <w:fldChar w:fldCharType="separate"/>
      </w:r>
      <w:r w:rsidR="00E5265C">
        <w:rPr>
          <w:noProof/>
          <w:lang w:val="en-GB"/>
        </w:rPr>
        <w:t>[220]</w:t>
      </w:r>
      <w:r w:rsidR="00B83D01" w:rsidRPr="00221992">
        <w:rPr>
          <w:lang w:val="en-GB"/>
        </w:rPr>
        <w:fldChar w:fldCharType="end"/>
      </w:r>
      <w:r w:rsidRPr="00221992">
        <w:rPr>
          <w:lang w:val="en-GB"/>
        </w:rPr>
        <w:t xml:space="preserve">. However, it is difficult to measure whether there </w:t>
      </w:r>
      <w:r w:rsidR="00501587" w:rsidRPr="00221992">
        <w:rPr>
          <w:lang w:val="en-GB"/>
        </w:rPr>
        <w:t>was</w:t>
      </w:r>
      <w:r w:rsidRPr="00221992">
        <w:rPr>
          <w:lang w:val="en-GB"/>
        </w:rPr>
        <w:t xml:space="preserve"> any additional value associated with disinvestment or discontinuation of coverage as a consequence of these paybacks.</w:t>
      </w:r>
      <w:r w:rsidR="007F2285" w:rsidRPr="00221992">
        <w:rPr>
          <w:lang w:val="en-GB"/>
        </w:rPr>
        <w:t xml:space="preserve"> </w:t>
      </w:r>
    </w:p>
    <w:p w14:paraId="5ACE0D90" w14:textId="2557BDD9" w:rsidR="009569AD" w:rsidRPr="00221992" w:rsidRDefault="009569AD" w:rsidP="004F0A34">
      <w:pPr>
        <w:rPr>
          <w:lang w:val="en-GB"/>
        </w:rPr>
      </w:pPr>
      <w:r w:rsidRPr="00221992">
        <w:rPr>
          <w:lang w:val="en-GB"/>
        </w:rPr>
        <w:t>Other measures of</w:t>
      </w:r>
      <w:r w:rsidR="006866C8" w:rsidRPr="00221992">
        <w:rPr>
          <w:lang w:val="en-GB"/>
        </w:rPr>
        <w:t xml:space="preserve"> the</w:t>
      </w:r>
      <w:r w:rsidRPr="00221992">
        <w:rPr>
          <w:lang w:val="en-GB"/>
        </w:rPr>
        <w:t xml:space="preserve"> effectiveness </w:t>
      </w:r>
      <w:r w:rsidR="006866C8" w:rsidRPr="00221992">
        <w:rPr>
          <w:lang w:val="en-GB"/>
        </w:rPr>
        <w:t xml:space="preserve">of </w:t>
      </w:r>
      <w:r w:rsidR="00E15D92" w:rsidRPr="00221992">
        <w:rPr>
          <w:lang w:val="en-GB"/>
        </w:rPr>
        <w:t>registries</w:t>
      </w:r>
      <w:r w:rsidRPr="00221992">
        <w:rPr>
          <w:lang w:val="en-GB"/>
        </w:rPr>
        <w:t xml:space="preserve"> </w:t>
      </w:r>
      <w:r w:rsidR="006866C8" w:rsidRPr="00221992">
        <w:rPr>
          <w:lang w:val="en-GB"/>
        </w:rPr>
        <w:t xml:space="preserve">and other data sources </w:t>
      </w:r>
      <w:r w:rsidRPr="00221992">
        <w:rPr>
          <w:lang w:val="en-GB"/>
        </w:rPr>
        <w:t>have been identified, includ</w:t>
      </w:r>
      <w:r w:rsidR="00276BBF" w:rsidRPr="00221992">
        <w:rPr>
          <w:lang w:val="en-GB"/>
        </w:rPr>
        <w:t>ing</w:t>
      </w:r>
      <w:r w:rsidRPr="00221992">
        <w:rPr>
          <w:lang w:val="en-GB"/>
        </w:rPr>
        <w:t xml:space="preserve"> the value of scientific contribution</w:t>
      </w:r>
      <w:r w:rsidR="00276BBF" w:rsidRPr="00221992">
        <w:rPr>
          <w:lang w:val="en-GB"/>
        </w:rPr>
        <w:t xml:space="preserve"> (e.g.,</w:t>
      </w:r>
      <w:r w:rsidRPr="00221992">
        <w:rPr>
          <w:lang w:val="en-GB"/>
        </w:rPr>
        <w:t xml:space="preserve"> measuring treatment discontinuation in the real-world setting</w:t>
      </w:r>
      <w:r w:rsidR="00276BBF" w:rsidRPr="00221992">
        <w:rPr>
          <w:lang w:val="en-GB"/>
        </w:rPr>
        <w:t>)</w:t>
      </w:r>
      <w:r w:rsidR="006866C8" w:rsidRPr="00221992">
        <w:rPr>
          <w:lang w:val="en-GB"/>
        </w:rPr>
        <w:t xml:space="preserve"> </w:t>
      </w:r>
      <w:r w:rsidR="00815483" w:rsidRPr="00221992">
        <w:rPr>
          <w:lang w:val="en-GB"/>
        </w:rPr>
        <w:fldChar w:fldCharType="begin">
          <w:fldData xml:space="preserve">PEVuZE5vdGU+PENpdGU+PEF1dGhvcj5CcmVjY2lhPC9BdXRob3I+PFllYXI+MjAyMDwvWWVhcj48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</w:fldData>
        </w:fldChar>
      </w:r>
      <w:r w:rsidR="00E5265C">
        <w:rPr>
          <w:lang w:val="en-GB"/>
        </w:rPr>
        <w:instrText xml:space="preserve"> ADDIN EN.CITE </w:instrText>
      </w:r>
      <w:r w:rsidR="00E5265C">
        <w:rPr>
          <w:lang w:val="en-GB"/>
        </w:rPr>
        <w:fldChar w:fldCharType="begin">
          <w:fldData xml:space="preserve">PEVuZE5vdGU+PENpdGU+PEF1dGhvcj5CcmVjY2lhPC9BdXRob3I+PFllYXI+MjAyMDwvWWVhcj48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</w:fldData>
        </w:fldChar>
      </w:r>
      <w:r w:rsidR="00E5265C">
        <w:rPr>
          <w:lang w:val="en-GB"/>
        </w:rPr>
        <w:instrText xml:space="preserve"> ADDIN EN.CITE.DATA </w:instrText>
      </w:r>
      <w:r w:rsidR="00E5265C">
        <w:rPr>
          <w:lang w:val="en-GB"/>
        </w:rPr>
      </w:r>
      <w:r w:rsidR="00E5265C">
        <w:rPr>
          <w:lang w:val="en-GB"/>
        </w:rPr>
        <w:fldChar w:fldCharType="end"/>
      </w:r>
      <w:r w:rsidR="00815483" w:rsidRPr="00221992">
        <w:rPr>
          <w:lang w:val="en-GB"/>
        </w:rPr>
      </w:r>
      <w:r w:rsidR="00815483" w:rsidRPr="00221992">
        <w:rPr>
          <w:lang w:val="en-GB"/>
        </w:rPr>
        <w:fldChar w:fldCharType="separate"/>
      </w:r>
      <w:r w:rsidR="00E5265C">
        <w:rPr>
          <w:noProof/>
          <w:lang w:val="en-GB"/>
        </w:rPr>
        <w:t>[243]</w:t>
      </w:r>
      <w:r w:rsidR="00815483" w:rsidRPr="00221992">
        <w:rPr>
          <w:lang w:val="en-GB"/>
        </w:rPr>
        <w:fldChar w:fldCharType="end"/>
      </w:r>
      <w:r w:rsidRPr="00221992">
        <w:rPr>
          <w:lang w:val="en-GB"/>
        </w:rPr>
        <w:t>. Breccia et al</w:t>
      </w:r>
      <w:r w:rsidR="00276BBF" w:rsidRPr="00221992">
        <w:rPr>
          <w:lang w:val="en-GB"/>
        </w:rPr>
        <w:t>.</w:t>
      </w:r>
      <w:r w:rsidRPr="00221992">
        <w:rPr>
          <w:lang w:val="en-GB"/>
        </w:rPr>
        <w:t xml:space="preserve"> </w:t>
      </w:r>
      <w:r w:rsidR="00276BBF" w:rsidRPr="00221992">
        <w:rPr>
          <w:lang w:val="en-GB"/>
        </w:rPr>
        <w:t>(</w:t>
      </w:r>
      <w:r w:rsidRPr="00221992">
        <w:rPr>
          <w:lang w:val="en-GB"/>
        </w:rPr>
        <w:t>2020</w:t>
      </w:r>
      <w:r w:rsidR="00276BBF" w:rsidRPr="00221992">
        <w:rPr>
          <w:lang w:val="en-GB"/>
        </w:rPr>
        <w:t>)</w:t>
      </w:r>
      <w:r w:rsidRPr="00221992">
        <w:rPr>
          <w:lang w:val="en-GB"/>
        </w:rPr>
        <w:t xml:space="preserve"> analysed the frequency of Italian patients who switched from a first</w:t>
      </w:r>
      <w:r w:rsidR="00276BBF" w:rsidRPr="00221992">
        <w:rPr>
          <w:lang w:val="en-GB"/>
        </w:rPr>
        <w:t>-</w:t>
      </w:r>
      <w:r w:rsidRPr="00221992">
        <w:rPr>
          <w:lang w:val="en-GB"/>
        </w:rPr>
        <w:t>line</w:t>
      </w:r>
      <w:r w:rsidR="00276BBF" w:rsidRPr="00221992">
        <w:rPr>
          <w:lang w:val="en-GB"/>
        </w:rPr>
        <w:t>,</w:t>
      </w:r>
      <w:r w:rsidRPr="00221992">
        <w:rPr>
          <w:lang w:val="en-GB"/>
        </w:rPr>
        <w:t xml:space="preserve"> second-generation tyrosine kinase inhibitor such </w:t>
      </w:r>
      <w:r w:rsidR="00276BBF" w:rsidRPr="00221992">
        <w:rPr>
          <w:lang w:val="en-GB"/>
        </w:rPr>
        <w:t xml:space="preserve">as </w:t>
      </w:r>
      <w:r w:rsidRPr="00221992">
        <w:rPr>
          <w:lang w:val="en-GB"/>
        </w:rPr>
        <w:t xml:space="preserve">asdasatinib (Sprycel®) and nilotinib (Tasigna®), to a second-line therapy based on appropriateness registries with </w:t>
      </w:r>
      <w:r w:rsidR="00276BBF" w:rsidRPr="00221992">
        <w:rPr>
          <w:lang w:val="en-GB"/>
        </w:rPr>
        <w:t xml:space="preserve">a </w:t>
      </w:r>
      <w:r w:rsidR="00AE0447">
        <w:rPr>
          <w:lang w:val="en-GB"/>
        </w:rPr>
        <w:t>financial</w:t>
      </w:r>
      <w:r w:rsidRPr="00221992">
        <w:rPr>
          <w:lang w:val="en-GB"/>
        </w:rPr>
        <w:t xml:space="preserve"> MEA for first</w:t>
      </w:r>
      <w:r w:rsidR="00276BBF" w:rsidRPr="00221992">
        <w:rPr>
          <w:lang w:val="en-GB"/>
        </w:rPr>
        <w:t>-</w:t>
      </w:r>
      <w:r w:rsidRPr="00221992">
        <w:rPr>
          <w:lang w:val="en-GB"/>
        </w:rPr>
        <w:t xml:space="preserve">line </w:t>
      </w:r>
      <w:r w:rsidR="00276BBF" w:rsidRPr="00221992">
        <w:rPr>
          <w:lang w:val="en-GB"/>
        </w:rPr>
        <w:t>c</w:t>
      </w:r>
      <w:r w:rsidRPr="00221992">
        <w:rPr>
          <w:lang w:val="en-GB"/>
        </w:rPr>
        <w:t xml:space="preserve">hronic </w:t>
      </w:r>
      <w:r w:rsidR="00276BBF" w:rsidRPr="00221992">
        <w:rPr>
          <w:lang w:val="en-GB"/>
        </w:rPr>
        <w:t>m</w:t>
      </w:r>
      <w:r w:rsidRPr="00221992">
        <w:rPr>
          <w:lang w:val="en-GB"/>
        </w:rPr>
        <w:t xml:space="preserve">yeloid </w:t>
      </w:r>
      <w:r w:rsidR="008F345C" w:rsidRPr="00221992">
        <w:rPr>
          <w:lang w:val="en-GB"/>
        </w:rPr>
        <w:t>leukaemia</w:t>
      </w:r>
      <w:r w:rsidR="00276BBF" w:rsidRPr="00221992">
        <w:rPr>
          <w:lang w:val="en-GB"/>
        </w:rPr>
        <w:t xml:space="preserve"> </w:t>
      </w:r>
      <w:r w:rsidR="00276BBF" w:rsidRPr="00221992">
        <w:rPr>
          <w:lang w:val="en-GB"/>
        </w:rPr>
        <w:fldChar w:fldCharType="begin">
          <w:fldData xml:space="preserve">PEVuZE5vdGU+PENpdGU+PEF1dGhvcj5CcmVjY2lhPC9BdXRob3I+PFllYXI+MjAyMDwvWWVhcj48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</w:fldData>
        </w:fldChar>
      </w:r>
      <w:r w:rsidR="00E5265C">
        <w:rPr>
          <w:lang w:val="en-GB"/>
        </w:rPr>
        <w:instrText xml:space="preserve"> ADDIN EN.CITE </w:instrText>
      </w:r>
      <w:r w:rsidR="00E5265C">
        <w:rPr>
          <w:lang w:val="en-GB"/>
        </w:rPr>
        <w:fldChar w:fldCharType="begin">
          <w:fldData xml:space="preserve">PEVuZE5vdGU+PENpdGU+PEF1dGhvcj5CcmVjY2lhPC9BdXRob3I+PFllYXI+MjAyMDwvWWVhcj48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</w:fldData>
        </w:fldChar>
      </w:r>
      <w:r w:rsidR="00E5265C">
        <w:rPr>
          <w:lang w:val="en-GB"/>
        </w:rPr>
        <w:instrText xml:space="preserve"> ADDIN EN.CITE.DATA </w:instrText>
      </w:r>
      <w:r w:rsidR="00E5265C">
        <w:rPr>
          <w:lang w:val="en-GB"/>
        </w:rPr>
      </w:r>
      <w:r w:rsidR="00E5265C">
        <w:rPr>
          <w:lang w:val="en-GB"/>
        </w:rPr>
        <w:fldChar w:fldCharType="end"/>
      </w:r>
      <w:r w:rsidR="00276BBF" w:rsidRPr="00221992">
        <w:rPr>
          <w:lang w:val="en-GB"/>
        </w:rPr>
      </w:r>
      <w:r w:rsidR="00276BBF" w:rsidRPr="00221992">
        <w:rPr>
          <w:lang w:val="en-GB"/>
        </w:rPr>
        <w:fldChar w:fldCharType="separate"/>
      </w:r>
      <w:r w:rsidR="00E5265C">
        <w:rPr>
          <w:noProof/>
          <w:lang w:val="en-GB"/>
        </w:rPr>
        <w:t>[243]</w:t>
      </w:r>
      <w:r w:rsidR="00276BBF" w:rsidRPr="00221992">
        <w:rPr>
          <w:lang w:val="en-GB"/>
        </w:rPr>
        <w:fldChar w:fldCharType="end"/>
      </w:r>
      <w:r w:rsidRPr="00221992">
        <w:rPr>
          <w:lang w:val="en-GB"/>
        </w:rPr>
        <w:t>. The authors concluded that the registry data adds to the published literature on the main causes and pattern</w:t>
      </w:r>
      <w:r w:rsidR="00276BBF" w:rsidRPr="00221992">
        <w:rPr>
          <w:lang w:val="en-GB"/>
        </w:rPr>
        <w:t>s</w:t>
      </w:r>
      <w:r w:rsidRPr="00221992">
        <w:rPr>
          <w:lang w:val="en-GB"/>
        </w:rPr>
        <w:t xml:space="preserve"> of choice to a second-line therapy in the real-</w:t>
      </w:r>
      <w:r w:rsidR="00276BBF" w:rsidRPr="00221992">
        <w:rPr>
          <w:lang w:val="en-GB"/>
        </w:rPr>
        <w:t>world</w:t>
      </w:r>
      <w:r w:rsidRPr="00221992">
        <w:rPr>
          <w:lang w:val="en-GB"/>
        </w:rPr>
        <w:t xml:space="preserve"> setting.</w:t>
      </w:r>
    </w:p>
    <w:p w14:paraId="2DEB36AA" w14:textId="123ADE4F" w:rsidR="009569AD" w:rsidRPr="00221992" w:rsidRDefault="009569AD" w:rsidP="004F0A34">
      <w:pPr>
        <w:rPr>
          <w:lang w:val="en-GB"/>
        </w:rPr>
      </w:pPr>
      <w:r w:rsidRPr="00221992">
        <w:rPr>
          <w:lang w:val="en-GB"/>
        </w:rPr>
        <w:t xml:space="preserve">Overall, </w:t>
      </w:r>
      <w:r w:rsidR="00150EBD" w:rsidRPr="00221992">
        <w:rPr>
          <w:lang w:val="en-GB"/>
        </w:rPr>
        <w:t xml:space="preserve">findings by </w:t>
      </w:r>
      <w:r w:rsidRPr="00221992">
        <w:rPr>
          <w:lang w:val="en-GB"/>
        </w:rPr>
        <w:t xml:space="preserve">Xoxi </w:t>
      </w:r>
      <w:r w:rsidR="00150EBD" w:rsidRPr="00221992">
        <w:rPr>
          <w:lang w:val="en-GB"/>
        </w:rPr>
        <w:t>et al. (2020)</w:t>
      </w:r>
      <w:r w:rsidRPr="00221992">
        <w:rPr>
          <w:lang w:val="en-GB"/>
        </w:rPr>
        <w:t xml:space="preserve"> indicate that </w:t>
      </w:r>
      <w:r w:rsidR="00B07E30" w:rsidRPr="00221992">
        <w:rPr>
          <w:lang w:val="en-GB"/>
        </w:rPr>
        <w:t>Italy</w:t>
      </w:r>
      <w:r w:rsidR="00551786">
        <w:rPr>
          <w:lang w:val="en-GB"/>
        </w:rPr>
        <w:t>’</w:t>
      </w:r>
      <w:r w:rsidR="00B07E30" w:rsidRPr="00221992">
        <w:rPr>
          <w:lang w:val="en-GB"/>
        </w:rPr>
        <w:t>s</w:t>
      </w:r>
      <w:r w:rsidRPr="00221992">
        <w:rPr>
          <w:lang w:val="en-GB"/>
        </w:rPr>
        <w:t xml:space="preserve"> national</w:t>
      </w:r>
      <w:r w:rsidR="00B07E30" w:rsidRPr="00221992">
        <w:rPr>
          <w:lang w:val="en-GB"/>
        </w:rPr>
        <w:t>,</w:t>
      </w:r>
      <w:r w:rsidRPr="00221992">
        <w:rPr>
          <w:lang w:val="en-GB"/>
        </w:rPr>
        <w:t xml:space="preserve"> web-based registry system, supported by an established legal framework and data platform, has effectively addressed numerous challenges commonly associated with MEAs</w:t>
      </w:r>
      <w:r w:rsidR="009446F5" w:rsidRPr="00221992">
        <w:rPr>
          <w:lang w:val="en-GB"/>
        </w:rPr>
        <w:t>,</w:t>
      </w:r>
      <w:r w:rsidRPr="00221992">
        <w:rPr>
          <w:lang w:val="en-GB"/>
        </w:rPr>
        <w:t xml:space="preserve"> includ</w:t>
      </w:r>
      <w:r w:rsidR="00BD35D5" w:rsidRPr="00221992">
        <w:rPr>
          <w:lang w:val="en-GB"/>
        </w:rPr>
        <w:t>ing</w:t>
      </w:r>
      <w:r w:rsidRPr="00221992">
        <w:rPr>
          <w:lang w:val="en-GB"/>
        </w:rPr>
        <w:t xml:space="preserve"> </w:t>
      </w:r>
      <w:r w:rsidR="00B07E30" w:rsidRPr="00221992">
        <w:rPr>
          <w:lang w:val="en-GB"/>
        </w:rPr>
        <w:t xml:space="preserve">barriers to </w:t>
      </w:r>
      <w:r w:rsidRPr="00221992">
        <w:rPr>
          <w:lang w:val="en-GB"/>
        </w:rPr>
        <w:t>recover</w:t>
      </w:r>
      <w:r w:rsidR="009446F5" w:rsidRPr="00221992">
        <w:rPr>
          <w:lang w:val="en-GB"/>
        </w:rPr>
        <w:t>y of</w:t>
      </w:r>
      <w:r w:rsidRPr="00221992">
        <w:rPr>
          <w:lang w:val="en-GB"/>
        </w:rPr>
        <w:t xml:space="preserve"> payments made to sponsors; </w:t>
      </w:r>
      <w:r w:rsidR="00B07E30" w:rsidRPr="00221992">
        <w:rPr>
          <w:lang w:val="en-GB"/>
        </w:rPr>
        <w:t xml:space="preserve">the </w:t>
      </w:r>
      <w:r w:rsidR="009446F5" w:rsidRPr="00221992">
        <w:rPr>
          <w:lang w:val="en-GB"/>
        </w:rPr>
        <w:t>delisting</w:t>
      </w:r>
      <w:r w:rsidRPr="00221992">
        <w:rPr>
          <w:lang w:val="en-GB"/>
        </w:rPr>
        <w:t xml:space="preserve"> </w:t>
      </w:r>
      <w:r w:rsidR="00B07E30" w:rsidRPr="00221992">
        <w:rPr>
          <w:lang w:val="en-GB"/>
        </w:rPr>
        <w:t xml:space="preserve">of </w:t>
      </w:r>
      <w:r w:rsidRPr="00221992">
        <w:rPr>
          <w:lang w:val="en-GB"/>
        </w:rPr>
        <w:t xml:space="preserve">treatments </w:t>
      </w:r>
      <w:r w:rsidR="009446F5" w:rsidRPr="00221992">
        <w:rPr>
          <w:lang w:val="en-GB"/>
        </w:rPr>
        <w:t>with</w:t>
      </w:r>
      <w:r w:rsidRPr="00221992">
        <w:rPr>
          <w:lang w:val="en-GB"/>
        </w:rPr>
        <w:t xml:space="preserve"> lower-than-expected effectiveness; a </w:t>
      </w:r>
      <w:r w:rsidR="009446F5" w:rsidRPr="00221992">
        <w:rPr>
          <w:lang w:val="en-GB"/>
        </w:rPr>
        <w:t xml:space="preserve">lack of </w:t>
      </w:r>
      <w:r w:rsidRPr="00221992">
        <w:rPr>
          <w:lang w:val="en-GB"/>
        </w:rPr>
        <w:t xml:space="preserve">regulatory </w:t>
      </w:r>
      <w:r w:rsidR="009446F5" w:rsidRPr="00221992">
        <w:rPr>
          <w:lang w:val="en-GB"/>
        </w:rPr>
        <w:t>incentives for</w:t>
      </w:r>
      <w:r w:rsidRPr="00221992">
        <w:rPr>
          <w:lang w:val="en-GB"/>
        </w:rPr>
        <w:t xml:space="preserve"> sponsors to collect</w:t>
      </w:r>
      <w:r w:rsidR="009446F5" w:rsidRPr="00221992">
        <w:rPr>
          <w:lang w:val="en-GB"/>
        </w:rPr>
        <w:t xml:space="preserve"> </w:t>
      </w:r>
      <w:r w:rsidRPr="00221992">
        <w:rPr>
          <w:lang w:val="en-GB"/>
        </w:rPr>
        <w:t>data after listing</w:t>
      </w:r>
      <w:r w:rsidR="009446F5" w:rsidRPr="00221992">
        <w:rPr>
          <w:lang w:val="en-GB"/>
        </w:rPr>
        <w:t xml:space="preserve">; and significant legal complexity and </w:t>
      </w:r>
      <w:r w:rsidR="006E1469" w:rsidRPr="00221992">
        <w:rPr>
          <w:lang w:val="en-GB"/>
        </w:rPr>
        <w:t xml:space="preserve">associated </w:t>
      </w:r>
      <w:r w:rsidR="009446F5" w:rsidRPr="00221992">
        <w:rPr>
          <w:lang w:val="en-GB"/>
        </w:rPr>
        <w:t>administrative burden</w:t>
      </w:r>
      <w:r w:rsidRPr="00221992">
        <w:rPr>
          <w:lang w:val="en-GB"/>
        </w:rPr>
        <w:t xml:space="preserve"> </w:t>
      </w:r>
      <w:r w:rsidR="00653F87" w:rsidRPr="00221992">
        <w:rPr>
          <w:lang w:val="en-GB"/>
        </w:rPr>
        <w:fldChar w:fldCharType="begin">
          <w:fldData xml:space="preserve">PEVuZE5vdGU+PENpdGU+PEF1dGhvcj5LYW5hdm9zPC9BdXRob3I+PFllYXI+MjAxNzwvWWVhcj48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</w:fldData>
        </w:fldChar>
      </w:r>
      <w:r w:rsidR="00E5265C">
        <w:rPr>
          <w:lang w:val="en-GB"/>
        </w:rPr>
        <w:instrText xml:space="preserve"> ADDIN EN.CITE </w:instrText>
      </w:r>
      <w:r w:rsidR="00E5265C">
        <w:rPr>
          <w:lang w:val="en-GB"/>
        </w:rPr>
        <w:fldChar w:fldCharType="begin">
          <w:fldData xml:space="preserve">PEVuZE5vdGU+PENpdGU+PEF1dGhvcj5LYW5hdm9zPC9BdXRob3I+PFllYXI+MjAxNzwvWWVhcj48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</w:fldData>
        </w:fldChar>
      </w:r>
      <w:r w:rsidR="00E5265C">
        <w:rPr>
          <w:lang w:val="en-GB"/>
        </w:rPr>
        <w:instrText xml:space="preserve"> ADDIN EN.CITE.DATA </w:instrText>
      </w:r>
      <w:r w:rsidR="00E5265C">
        <w:rPr>
          <w:lang w:val="en-GB"/>
        </w:rPr>
      </w:r>
      <w:r w:rsidR="00E5265C">
        <w:rPr>
          <w:lang w:val="en-GB"/>
        </w:rPr>
        <w:fldChar w:fldCharType="end"/>
      </w:r>
      <w:r w:rsidR="00653F87" w:rsidRPr="00221992">
        <w:rPr>
          <w:lang w:val="en-GB"/>
        </w:rPr>
      </w:r>
      <w:r w:rsidR="00653F87" w:rsidRPr="00221992">
        <w:rPr>
          <w:lang w:val="en-GB"/>
        </w:rPr>
        <w:fldChar w:fldCharType="separate"/>
      </w:r>
      <w:r w:rsidR="00E5265C">
        <w:rPr>
          <w:noProof/>
          <w:lang w:val="en-GB"/>
        </w:rPr>
        <w:t>[244-245]</w:t>
      </w:r>
      <w:r w:rsidR="00653F87" w:rsidRPr="00221992">
        <w:rPr>
          <w:lang w:val="en-GB"/>
        </w:rPr>
        <w:fldChar w:fldCharType="end"/>
      </w:r>
      <w:r w:rsidRPr="00221992">
        <w:rPr>
          <w:lang w:val="en-GB"/>
        </w:rPr>
        <w:t>.</w:t>
      </w:r>
    </w:p>
    <w:p w14:paraId="6EEFE3E1" w14:textId="2DCA2B4E" w:rsidR="00DA4CEB" w:rsidRPr="00221992" w:rsidRDefault="005679D4" w:rsidP="004F0A34">
      <w:pPr>
        <w:rPr>
          <w:lang w:val="en-GB"/>
        </w:rPr>
      </w:pPr>
      <w:r w:rsidRPr="00221992">
        <w:rPr>
          <w:lang w:val="en-GB"/>
        </w:rPr>
        <w:t xml:space="preserve">However, the authors note that several critical questions regarding registries, MEAs and the </w:t>
      </w:r>
      <w:r w:rsidR="00BD35D5" w:rsidRPr="00221992">
        <w:rPr>
          <w:lang w:val="en-GB"/>
        </w:rPr>
        <w:t>significant</w:t>
      </w:r>
      <w:r w:rsidRPr="00221992">
        <w:rPr>
          <w:lang w:val="en-GB"/>
        </w:rPr>
        <w:t xml:space="preserve"> </w:t>
      </w:r>
      <w:r w:rsidR="00BD35D5" w:rsidRPr="00221992">
        <w:rPr>
          <w:lang w:val="en-GB"/>
        </w:rPr>
        <w:t>requisite</w:t>
      </w:r>
      <w:r w:rsidRPr="00221992">
        <w:rPr>
          <w:lang w:val="en-GB"/>
        </w:rPr>
        <w:t xml:space="preserve"> investments in data </w:t>
      </w:r>
      <w:r w:rsidR="00BD35D5" w:rsidRPr="00221992">
        <w:rPr>
          <w:lang w:val="en-GB"/>
        </w:rPr>
        <w:t>infrastructure</w:t>
      </w:r>
      <w:r w:rsidRPr="00221992">
        <w:rPr>
          <w:lang w:val="en-GB"/>
        </w:rPr>
        <w:t xml:space="preserve"> remain unanswered</w:t>
      </w:r>
      <w:r w:rsidR="00BD35D5" w:rsidRPr="00221992">
        <w:rPr>
          <w:lang w:val="en-GB"/>
        </w:rPr>
        <w:t xml:space="preserve">, including </w:t>
      </w:r>
      <w:r w:rsidRPr="00221992">
        <w:rPr>
          <w:lang w:val="en-GB"/>
        </w:rPr>
        <w:t>the actual benefit of generating supplementary evidence</w:t>
      </w:r>
      <w:r w:rsidR="00BD35D5" w:rsidRPr="00221992">
        <w:rPr>
          <w:lang w:val="en-GB"/>
        </w:rPr>
        <w:t>; the added value of</w:t>
      </w:r>
      <w:r w:rsidRPr="00221992">
        <w:rPr>
          <w:lang w:val="en-GB"/>
        </w:rPr>
        <w:t xml:space="preserve"> </w:t>
      </w:r>
      <w:r w:rsidR="00BD35D5" w:rsidRPr="00221992">
        <w:rPr>
          <w:lang w:val="en-GB"/>
        </w:rPr>
        <w:t>extending the duration</w:t>
      </w:r>
      <w:r w:rsidRPr="00221992">
        <w:rPr>
          <w:lang w:val="en-GB"/>
        </w:rPr>
        <w:t xml:space="preserve"> </w:t>
      </w:r>
      <w:r w:rsidR="00F97733">
        <w:rPr>
          <w:lang w:val="en-GB"/>
        </w:rPr>
        <w:t xml:space="preserve">of </w:t>
      </w:r>
      <w:r w:rsidR="00BD35D5" w:rsidRPr="00221992">
        <w:rPr>
          <w:lang w:val="en-GB"/>
        </w:rPr>
        <w:t xml:space="preserve">certain </w:t>
      </w:r>
      <w:r w:rsidRPr="00221992">
        <w:rPr>
          <w:lang w:val="en-GB"/>
        </w:rPr>
        <w:t>MEAs</w:t>
      </w:r>
      <w:r w:rsidR="00BD35D5" w:rsidRPr="00221992">
        <w:rPr>
          <w:lang w:val="en-GB"/>
        </w:rPr>
        <w:t>;</w:t>
      </w:r>
      <w:r w:rsidRPr="00221992">
        <w:rPr>
          <w:lang w:val="en-GB"/>
        </w:rPr>
        <w:t xml:space="preserve"> </w:t>
      </w:r>
      <w:r w:rsidR="00BD35D5" w:rsidRPr="00221992">
        <w:rPr>
          <w:lang w:val="en-GB"/>
        </w:rPr>
        <w:t>the ways in which long-duration</w:t>
      </w:r>
      <w:r w:rsidRPr="00221992">
        <w:rPr>
          <w:lang w:val="en-GB"/>
        </w:rPr>
        <w:t xml:space="preserve"> MEAs contribute to </w:t>
      </w:r>
      <w:r w:rsidR="00BD35D5" w:rsidRPr="00221992">
        <w:rPr>
          <w:lang w:val="en-GB"/>
        </w:rPr>
        <w:t>evidence-</w:t>
      </w:r>
      <w:r w:rsidRPr="00221992">
        <w:rPr>
          <w:lang w:val="en-GB"/>
        </w:rPr>
        <w:t>informed decision-making</w:t>
      </w:r>
      <w:r w:rsidR="00BD35D5" w:rsidRPr="00221992">
        <w:rPr>
          <w:lang w:val="en-GB"/>
        </w:rPr>
        <w:t>;</w:t>
      </w:r>
      <w:r w:rsidRPr="00221992">
        <w:rPr>
          <w:lang w:val="en-GB"/>
        </w:rPr>
        <w:t xml:space="preserve"> </w:t>
      </w:r>
      <w:r w:rsidR="00BD35D5" w:rsidRPr="00221992">
        <w:rPr>
          <w:lang w:val="en-GB"/>
        </w:rPr>
        <w:t>and the extent to which</w:t>
      </w:r>
      <w:r w:rsidRPr="00221992">
        <w:rPr>
          <w:lang w:val="en-GB"/>
        </w:rPr>
        <w:t xml:space="preserve"> registries and MEAs </w:t>
      </w:r>
      <w:r w:rsidR="00BD35D5" w:rsidRPr="00221992">
        <w:rPr>
          <w:lang w:val="en-GB"/>
        </w:rPr>
        <w:t xml:space="preserve">have </w:t>
      </w:r>
      <w:r w:rsidRPr="00221992">
        <w:rPr>
          <w:lang w:val="en-GB"/>
        </w:rPr>
        <w:t xml:space="preserve">positively impacted the sustainability of </w:t>
      </w:r>
      <w:r w:rsidR="00BD35D5" w:rsidRPr="00221992">
        <w:rPr>
          <w:lang w:val="en-GB"/>
        </w:rPr>
        <w:t>Italy</w:t>
      </w:r>
      <w:r w:rsidR="00551786">
        <w:rPr>
          <w:lang w:val="en-GB"/>
        </w:rPr>
        <w:t>’</w:t>
      </w:r>
      <w:r w:rsidR="00BD35D5" w:rsidRPr="00221992">
        <w:rPr>
          <w:lang w:val="en-GB"/>
        </w:rPr>
        <w:t>s</w:t>
      </w:r>
      <w:r w:rsidRPr="00221992">
        <w:rPr>
          <w:lang w:val="en-GB"/>
        </w:rPr>
        <w:t xml:space="preserve"> healthcare system</w:t>
      </w:r>
      <w:r w:rsidR="00BD35D5" w:rsidRPr="00221992">
        <w:rPr>
          <w:lang w:val="en-GB"/>
        </w:rPr>
        <w:t xml:space="preserve"> and </w:t>
      </w:r>
      <w:r w:rsidRPr="00221992">
        <w:rPr>
          <w:lang w:val="en-GB"/>
        </w:rPr>
        <w:t>genuine</w:t>
      </w:r>
      <w:r w:rsidR="00BD35D5" w:rsidRPr="00221992">
        <w:rPr>
          <w:lang w:val="en-GB"/>
        </w:rPr>
        <w:t>ly</w:t>
      </w:r>
      <w:r w:rsidRPr="00221992">
        <w:rPr>
          <w:lang w:val="en-GB"/>
        </w:rPr>
        <w:t xml:space="preserve"> support</w:t>
      </w:r>
      <w:r w:rsidR="00BD35D5" w:rsidRPr="00221992">
        <w:rPr>
          <w:lang w:val="en-GB"/>
        </w:rPr>
        <w:t>ed</w:t>
      </w:r>
      <w:r w:rsidRPr="00221992">
        <w:rPr>
          <w:lang w:val="en-GB"/>
        </w:rPr>
        <w:t xml:space="preserve"> value-based pricing strategies</w:t>
      </w:r>
      <w:r w:rsidR="00BD35D5" w:rsidRPr="00221992">
        <w:rPr>
          <w:lang w:val="en-GB"/>
        </w:rPr>
        <w:t xml:space="preserve"> </w:t>
      </w:r>
      <w:r w:rsidR="00BD35D5" w:rsidRPr="00221992">
        <w:rPr>
          <w:lang w:val="en-GB"/>
        </w:rPr>
        <w:fldChar w:fldCharType="begin"/>
      </w:r>
      <w:r w:rsidR="00E5265C">
        <w:rPr>
          <w:lang w:val="en-GB"/>
        </w:rPr>
        <w:instrText xml:space="preserve"> ADDIN EN.CITE &lt;EndNote&gt;&lt;Cite&gt;&lt;Author&gt;Xoxi&lt;/Author&gt;&lt;Year&gt;2021&lt;/Year&gt;&lt;RecNum&gt;486&lt;/RecNum&gt;&lt;DisplayText&gt;[220]&lt;/DisplayText&gt;&lt;record&gt;&lt;rec-number&gt;486&lt;/rec-number&gt;&lt;foreign-keys&gt;&lt;key app="EN" db-id="wzwwsfxe4peesxef95cxvrwjxts9rreasarf" timestamp="1692654671"&gt;486&lt;/key&gt;&lt;/foreign-keys&gt;&lt;ref-type name="Journal Article"&gt;17&lt;/ref-type&gt;&lt;contributors&gt;&lt;authors&gt;&lt;author&gt;Xoxi, E.&lt;/author&gt;&lt;author&gt;Facey, K. M.&lt;/author&gt;&lt;author&gt;Cicchetti, A.&lt;/author&gt;&lt;/authors&gt;&lt;/contributors&gt;&lt;auth-address&gt;Graduate School of Health Economics and Management, Catholic University of the Sacred Heart, Rome, Italy&amp;#xD;Usher Institute, University of Edinburgh, Edinburgh, United Kingdom&lt;/auth-address&gt;&lt;titles&gt;&lt;title&gt;The Evolution of AIFA Registries to Support Managed Entry Agreements for Orphan Medicinal Products in Italy&lt;/title&gt;&lt;secondary-title&gt;Front Pharmacol&lt;/secondary-title&gt;&lt;/titles&gt;&lt;periodical&gt;&lt;full-title&gt;Front Pharmacol&lt;/full-title&gt;&lt;/periodical&gt;&lt;volume&gt;12&lt;/volume&gt;&lt;edition&gt;20210810&lt;/edition&gt;&lt;dates&gt;&lt;year&gt;2021&lt;/year&gt;&lt;/dates&gt;&lt;accession-num&gt;34456724&lt;/accession-num&gt;&lt;urls&gt;&lt;/urls&gt;&lt;custom2&gt;PMC8386173&lt;/custom2&gt;&lt;electronic-resource-num&gt;10.3389/fphar.2021.699466&lt;/electronic-resource-num&gt;&lt;language&gt;eng&lt;/language&gt;&lt;/record&gt;&lt;/Cite&gt;&lt;/EndNote&gt;</w:instrText>
      </w:r>
      <w:r w:rsidR="00BD35D5" w:rsidRPr="00221992">
        <w:rPr>
          <w:lang w:val="en-GB"/>
        </w:rPr>
        <w:fldChar w:fldCharType="separate"/>
      </w:r>
      <w:r w:rsidR="00E5265C">
        <w:rPr>
          <w:noProof/>
          <w:lang w:val="en-GB"/>
        </w:rPr>
        <w:t>[220]</w:t>
      </w:r>
      <w:r w:rsidR="00BD35D5" w:rsidRPr="00221992">
        <w:rPr>
          <w:lang w:val="en-GB"/>
        </w:rPr>
        <w:fldChar w:fldCharType="end"/>
      </w:r>
      <w:r w:rsidR="00BD35D5" w:rsidRPr="00221992">
        <w:rPr>
          <w:lang w:val="en-GB"/>
        </w:rPr>
        <w:t>.</w:t>
      </w:r>
      <w:r w:rsidRPr="00221992">
        <w:rPr>
          <w:lang w:val="en-GB"/>
        </w:rPr>
        <w:t xml:space="preserve"> They note that while the collected data and MEAs </w:t>
      </w:r>
      <w:r w:rsidR="00BD35D5" w:rsidRPr="00221992">
        <w:rPr>
          <w:lang w:val="en-GB"/>
        </w:rPr>
        <w:t>have become</w:t>
      </w:r>
      <w:r w:rsidRPr="00221992">
        <w:rPr>
          <w:lang w:val="en-GB"/>
        </w:rPr>
        <w:t xml:space="preserve"> integral to </w:t>
      </w:r>
      <w:r w:rsidR="00BD35D5" w:rsidRPr="00221992">
        <w:rPr>
          <w:lang w:val="en-GB"/>
        </w:rPr>
        <w:t>mainstream</w:t>
      </w:r>
      <w:r w:rsidRPr="00221992">
        <w:rPr>
          <w:lang w:val="en-GB"/>
        </w:rPr>
        <w:t xml:space="preserve"> PR renegotiations in Italy, </w:t>
      </w:r>
      <w:r w:rsidR="00BD35D5" w:rsidRPr="00221992">
        <w:rPr>
          <w:lang w:val="en-GB"/>
        </w:rPr>
        <w:t>confidentiality requirements ha</w:t>
      </w:r>
      <w:r w:rsidR="00304275">
        <w:rPr>
          <w:lang w:val="en-GB"/>
        </w:rPr>
        <w:t>ve</w:t>
      </w:r>
      <w:r w:rsidR="00BD35D5" w:rsidRPr="00221992">
        <w:rPr>
          <w:lang w:val="en-GB"/>
        </w:rPr>
        <w:t xml:space="preserve"> obscured the</w:t>
      </w:r>
      <w:r w:rsidRPr="00221992">
        <w:rPr>
          <w:lang w:val="en-GB"/>
        </w:rPr>
        <w:t xml:space="preserve"> efficacy and performance of </w:t>
      </w:r>
      <w:r w:rsidR="00BD35D5" w:rsidRPr="00221992">
        <w:rPr>
          <w:lang w:val="en-GB"/>
        </w:rPr>
        <w:t xml:space="preserve">the underlying </w:t>
      </w:r>
      <w:r w:rsidRPr="00221992">
        <w:rPr>
          <w:lang w:val="en-GB"/>
        </w:rPr>
        <w:t xml:space="preserve">MEAs. </w:t>
      </w:r>
      <w:r w:rsidR="00BD35D5" w:rsidRPr="00221992">
        <w:rPr>
          <w:lang w:val="en-GB"/>
        </w:rPr>
        <w:t>Nor has</w:t>
      </w:r>
      <w:r w:rsidRPr="00221992">
        <w:rPr>
          <w:lang w:val="en-GB"/>
        </w:rPr>
        <w:t xml:space="preserve"> </w:t>
      </w:r>
      <w:r w:rsidR="00BD35D5" w:rsidRPr="00221992">
        <w:rPr>
          <w:lang w:val="en-GB"/>
        </w:rPr>
        <w:t>the discontinuation</w:t>
      </w:r>
      <w:r w:rsidRPr="00221992">
        <w:rPr>
          <w:lang w:val="en-GB"/>
        </w:rPr>
        <w:t xml:space="preserve"> of reimbursement been documented</w:t>
      </w:r>
      <w:r w:rsidR="00BD35D5" w:rsidRPr="00221992">
        <w:rPr>
          <w:lang w:val="en-GB"/>
        </w:rPr>
        <w:t xml:space="preserve"> </w:t>
      </w:r>
      <w:r w:rsidR="00BD35D5" w:rsidRPr="00221992">
        <w:rPr>
          <w:lang w:val="en-GB"/>
        </w:rPr>
        <w:fldChar w:fldCharType="begin"/>
      </w:r>
      <w:r w:rsidR="00E5265C">
        <w:rPr>
          <w:lang w:val="en-GB"/>
        </w:rPr>
        <w:instrText xml:space="preserve"> ADDIN EN.CITE &lt;EndNote&gt;&lt;Cite&gt;&lt;Author&gt;Xoxi&lt;/Author&gt;&lt;Year&gt;2021&lt;/Year&gt;&lt;RecNum&gt;486&lt;/RecNum&gt;&lt;DisplayText&gt;[220]&lt;/DisplayText&gt;&lt;record&gt;&lt;rec-number&gt;486&lt;/rec-number&gt;&lt;foreign-keys&gt;&lt;key app="EN" db-id="wzwwsfxe4peesxef95cxvrwjxts9rreasarf" timestamp="1692654671"&gt;486&lt;/key&gt;&lt;/foreign-keys&gt;&lt;ref-type name="Journal Article"&gt;17&lt;/ref-type&gt;&lt;contributors&gt;&lt;authors&gt;&lt;author&gt;Xoxi, E.&lt;/author&gt;&lt;author&gt;Facey, K. M.&lt;/author&gt;&lt;author&gt;Cicchetti, A.&lt;/author&gt;&lt;/authors&gt;&lt;/contributors&gt;&lt;auth-address&gt;Graduate School of Health Economics and Management, Catholic University of the Sacred Heart, Rome, Italy&amp;#xD;Usher Institute, University of Edinburgh, Edinburgh, United Kingdom&lt;/auth-address&gt;&lt;titles&gt;&lt;title&gt;The Evolution of AIFA Registries to Support Managed Entry Agreements for Orphan Medicinal Products in Italy&lt;/title&gt;&lt;secondary-title&gt;Front Pharmacol&lt;/secondary-title&gt;&lt;/titles&gt;&lt;periodical&gt;&lt;full-title&gt;Front Pharmacol&lt;/full-title&gt;&lt;/periodical&gt;&lt;volume&gt;12&lt;/volume&gt;&lt;edition&gt;20210810&lt;/edition&gt;&lt;dates&gt;&lt;year&gt;2021&lt;/year&gt;&lt;/dates&gt;&lt;accession-num&gt;34456724&lt;/accession-num&gt;&lt;urls&gt;&lt;/urls&gt;&lt;custom2&gt;PMC8386173&lt;/custom2&gt;&lt;electronic-resource-num&gt;10.3389/fphar.2021.699466&lt;/electronic-resource-num&gt;&lt;language&gt;eng&lt;/language&gt;&lt;/record&gt;&lt;/Cite&gt;&lt;/EndNote&gt;</w:instrText>
      </w:r>
      <w:r w:rsidR="00BD35D5" w:rsidRPr="00221992">
        <w:rPr>
          <w:lang w:val="en-GB"/>
        </w:rPr>
        <w:fldChar w:fldCharType="separate"/>
      </w:r>
      <w:r w:rsidR="00E5265C">
        <w:rPr>
          <w:noProof/>
          <w:lang w:val="en-GB"/>
        </w:rPr>
        <w:t>[220]</w:t>
      </w:r>
      <w:r w:rsidR="00BD35D5" w:rsidRPr="00221992">
        <w:rPr>
          <w:lang w:val="en-GB"/>
        </w:rPr>
        <w:fldChar w:fldCharType="end"/>
      </w:r>
      <w:r w:rsidRPr="00221992">
        <w:rPr>
          <w:lang w:val="en-GB"/>
        </w:rPr>
        <w:t xml:space="preserve">. </w:t>
      </w:r>
    </w:p>
    <w:p w14:paraId="6AD42DB6" w14:textId="053EC90E" w:rsidR="00217AB8" w:rsidRPr="00221992" w:rsidRDefault="00327A12" w:rsidP="003C28CB">
      <w:pPr>
        <w:rPr>
          <w:lang w:val="en-GB"/>
        </w:rPr>
      </w:pPr>
      <w:r w:rsidRPr="00221992">
        <w:rPr>
          <w:lang w:val="en-GB"/>
        </w:rPr>
        <w:t>In Australia</w:t>
      </w:r>
      <w:r w:rsidR="002555C2" w:rsidRPr="00221992">
        <w:rPr>
          <w:lang w:val="en-GB"/>
        </w:rPr>
        <w:t>,</w:t>
      </w:r>
      <w:r w:rsidRPr="00221992">
        <w:rPr>
          <w:lang w:val="en-GB"/>
        </w:rPr>
        <w:t xml:space="preserve"> </w:t>
      </w:r>
      <w:r w:rsidR="005E77C5" w:rsidRPr="00221992">
        <w:rPr>
          <w:lang w:val="en-GB"/>
        </w:rPr>
        <w:t xml:space="preserve">the issue of disinvestment has been raised </w:t>
      </w:r>
      <w:r w:rsidR="006D3933" w:rsidRPr="00221992">
        <w:rPr>
          <w:lang w:val="en-GB"/>
        </w:rPr>
        <w:t>as a</w:t>
      </w:r>
      <w:r w:rsidR="00EC6E1C" w:rsidRPr="00221992">
        <w:rPr>
          <w:lang w:val="en-GB"/>
        </w:rPr>
        <w:t>n</w:t>
      </w:r>
      <w:r w:rsidR="006D3933" w:rsidRPr="00221992">
        <w:rPr>
          <w:lang w:val="en-GB"/>
        </w:rPr>
        <w:t xml:space="preserve"> important consideration for listings </w:t>
      </w:r>
      <w:r w:rsidR="00304275">
        <w:rPr>
          <w:lang w:val="en-GB"/>
        </w:rPr>
        <w:t>that</w:t>
      </w:r>
      <w:r w:rsidR="00304275" w:rsidRPr="00221992">
        <w:rPr>
          <w:lang w:val="en-GB"/>
        </w:rPr>
        <w:t xml:space="preserve"> </w:t>
      </w:r>
      <w:r w:rsidR="006D3933" w:rsidRPr="00221992">
        <w:rPr>
          <w:lang w:val="en-GB"/>
        </w:rPr>
        <w:t xml:space="preserve">are approved provisionally or </w:t>
      </w:r>
      <w:r w:rsidR="00304275">
        <w:rPr>
          <w:lang w:val="en-GB"/>
        </w:rPr>
        <w:t>via</w:t>
      </w:r>
      <w:r w:rsidR="00304275" w:rsidRPr="00221992">
        <w:rPr>
          <w:lang w:val="en-GB"/>
        </w:rPr>
        <w:t xml:space="preserve"> </w:t>
      </w:r>
      <w:r w:rsidR="006D3933" w:rsidRPr="00221992">
        <w:rPr>
          <w:lang w:val="en-GB"/>
        </w:rPr>
        <w:t xml:space="preserve">accelerated pathways. </w:t>
      </w:r>
      <w:r w:rsidR="0080397E" w:rsidRPr="00221992">
        <w:rPr>
          <w:lang w:val="en-GB"/>
        </w:rPr>
        <w:t>Spec</w:t>
      </w:r>
      <w:r w:rsidR="001873D0" w:rsidRPr="00221992">
        <w:rPr>
          <w:lang w:val="en-GB"/>
        </w:rPr>
        <w:t>ifically</w:t>
      </w:r>
      <w:r w:rsidR="00304275">
        <w:rPr>
          <w:lang w:val="en-GB"/>
        </w:rPr>
        <w:t>,</w:t>
      </w:r>
      <w:r w:rsidR="001873D0" w:rsidRPr="00221992">
        <w:rPr>
          <w:lang w:val="en-GB"/>
        </w:rPr>
        <w:t xml:space="preserve"> </w:t>
      </w:r>
      <w:r w:rsidR="002555C2" w:rsidRPr="00221992">
        <w:rPr>
          <w:lang w:val="en-GB"/>
        </w:rPr>
        <w:t>i</w:t>
      </w:r>
      <w:r w:rsidR="00217AB8" w:rsidRPr="00221992">
        <w:rPr>
          <w:lang w:val="en-GB"/>
        </w:rPr>
        <w:t xml:space="preserve">n its response to the </w:t>
      </w:r>
      <w:r w:rsidR="0068117A" w:rsidRPr="00221992">
        <w:rPr>
          <w:lang w:val="en-GB"/>
        </w:rPr>
        <w:t xml:space="preserve">report, </w:t>
      </w:r>
      <w:r w:rsidR="0068117A" w:rsidRPr="00221992">
        <w:rPr>
          <w:i/>
          <w:lang w:val="en-GB"/>
        </w:rPr>
        <w:t>A review of cancer related surrogate outcomes used for PBAC decision-making</w:t>
      </w:r>
      <w:r w:rsidR="0012754B" w:rsidRPr="00221992">
        <w:rPr>
          <w:lang w:val="en-GB"/>
        </w:rPr>
        <w:t>, PBAC</w:t>
      </w:r>
      <w:r w:rsidR="00551786">
        <w:rPr>
          <w:lang w:val="en-GB"/>
        </w:rPr>
        <w:t>’</w:t>
      </w:r>
      <w:r w:rsidR="0012754B" w:rsidRPr="00221992">
        <w:rPr>
          <w:lang w:val="en-GB"/>
        </w:rPr>
        <w:t>s Economic</w:t>
      </w:r>
      <w:r w:rsidR="00B2620F" w:rsidRPr="00221992">
        <w:rPr>
          <w:lang w:val="en-GB"/>
        </w:rPr>
        <w:t>s</w:t>
      </w:r>
      <w:r w:rsidR="0012754B" w:rsidRPr="00221992">
        <w:rPr>
          <w:lang w:val="en-GB"/>
        </w:rPr>
        <w:t xml:space="preserve"> Sub</w:t>
      </w:r>
      <w:r w:rsidR="00B2620F" w:rsidRPr="00221992">
        <w:rPr>
          <w:lang w:val="en-GB"/>
        </w:rPr>
        <w:t xml:space="preserve"> </w:t>
      </w:r>
      <w:r w:rsidR="0012754B" w:rsidRPr="00221992">
        <w:rPr>
          <w:lang w:val="en-GB"/>
        </w:rPr>
        <w:t>Committee</w:t>
      </w:r>
      <w:r w:rsidR="00B2620F" w:rsidRPr="00221992">
        <w:rPr>
          <w:lang w:val="en-GB"/>
        </w:rPr>
        <w:t xml:space="preserve"> (ESC)</w:t>
      </w:r>
      <w:r w:rsidR="00CB7C84" w:rsidRPr="00221992">
        <w:rPr>
          <w:lang w:val="en-GB"/>
        </w:rPr>
        <w:t xml:space="preserve"> noted that there was the potential for significant financial wastage and harm to patients from provisional and accelerated approval pathways, in cases where the final outcome data were worse than expected, as these pathways often provided around six years to provide additional data</w:t>
      </w:r>
      <w:r w:rsidR="0090337E" w:rsidRPr="00221992">
        <w:rPr>
          <w:lang w:val="en-GB"/>
        </w:rPr>
        <w:t xml:space="preserve"> (4.8)</w:t>
      </w:r>
      <w:r w:rsidR="006208A7" w:rsidRPr="00221992">
        <w:rPr>
          <w:lang w:val="en-GB"/>
        </w:rPr>
        <w:t xml:space="preserve"> </w:t>
      </w:r>
      <w:r w:rsidR="006208A7" w:rsidRPr="00221992">
        <w:rPr>
          <w:lang w:val="en-GB"/>
        </w:rPr>
        <w:fldChar w:fldCharType="begin"/>
      </w:r>
      <w:r w:rsidR="00E5265C">
        <w:rPr>
          <w:lang w:val="en-GB"/>
        </w:rPr>
        <w:instrText xml:space="preserve"> ADDIN EN.CITE &lt;EndNote&gt;&lt;Cite&gt;&lt;Author&gt;Sia&lt;/Author&gt;&lt;Year&gt;2023&lt;/Year&gt;&lt;RecNum&gt;678&lt;/RecNum&gt;&lt;DisplayText&gt;[246-247]&lt;/DisplayText&gt;&lt;record&gt;&lt;rec-number&gt;678&lt;/rec-number&gt;&lt;foreign-keys&gt;&lt;key app="EN" db-id="wzwwsfxe4peesxef95cxvrwjxts9rreasarf" timestamp="1694662435"&gt;678&lt;/key&gt;&lt;/foreign-keys&gt;&lt;ref-type name="Report"&gt;27&lt;/ref-type&gt;&lt;contributors&gt;&lt;authors&gt;&lt;author&gt;Sia, K.-L.,&lt;/author&gt;&lt;author&gt;Picton, L.&lt;/author&gt;&lt;author&gt;Chen, E.&lt;/author&gt;&lt;author&gt;Yong, K.&lt;/author&gt;&lt;author&gt;Petrie, D.,&lt;/author&gt;&lt;author&gt;Ghijben, P.&lt;/author&gt;&lt;author&gt;Geethadevi, G.&lt;/author&gt;&lt;author&gt;Winn, K.&lt;/author&gt;&lt;author&gt;Crothers, A.&lt;/author&gt;&lt;author&gt;Li, J.&lt;/author&gt;&lt;/authors&gt;&lt;tertiary-authors&gt;&lt;author&gt;Australian Government Department of Health and Aged Care,&lt;/author&gt;&lt;/tertiary-authors&gt;&lt;/contributors&gt;&lt;titles&gt;&lt;title&gt;A review of cancer related surrogate outcomes used for PBAC decision making&lt;/title&gt;&lt;/titles&gt;&lt;dates&gt;&lt;year&gt;2023&lt;/year&gt;&lt;/dates&gt;&lt;pub-location&gt;Canberra&lt;/pub-location&gt;&lt;urls&gt;&lt;/urls&gt;&lt;/record&gt;&lt;/Cite&gt;&lt;Cite&gt;&lt;Author&gt;Pharmaceutical Benefits Advisory Committee (PBAC)&lt;/Author&gt;&lt;Year&gt;2023&lt;/Year&gt;&lt;RecNum&gt;679&lt;/RecNum&gt;&lt;record&gt;&lt;rec-number&gt;679&lt;/rec-number&gt;&lt;foreign-keys&gt;&lt;key app="EN" db-id="wzwwsfxe4peesxef95cxvrwjxts9rreasarf" timestamp="1694662790"&gt;679&lt;/key&gt;&lt;/foreign-keys&gt;&lt;ref-type name="Report"&gt;27&lt;/ref-type&gt;&lt;contributors&gt;&lt;authors&gt;&lt;author&gt;Pharmaceutical Benefits Advisory Committee (PBAC),&lt;/author&gt;&lt;/authors&gt;&lt;tertiary-authors&gt;&lt;author&gt;Australian Government,, Department of Health and Aged Care, Pharmaceutical Benefits Advisory Committee (PBAC)&lt;/author&gt;&lt;/tertiary-authors&gt;&lt;/contributors&gt;&lt;titles&gt;&lt;title&gt;Ratified Minutes - July 2023 PBAC Meeting. A Review of caner related surrogate outcomes used for PBAC decision making&lt;/title&gt;&lt;/titles&gt;&lt;dates&gt;&lt;year&gt;2023&lt;/year&gt;&lt;/dates&gt;&lt;pub-location&gt;Canberra&lt;/pub-location&gt;&lt;urls&gt;&lt;/urls&gt;&lt;/record&gt;&lt;/Cite&gt;&lt;/EndNote&gt;</w:instrText>
      </w:r>
      <w:r w:rsidR="006208A7" w:rsidRPr="00221992">
        <w:rPr>
          <w:lang w:val="en-GB"/>
        </w:rPr>
        <w:fldChar w:fldCharType="separate"/>
      </w:r>
      <w:r w:rsidR="00E5265C">
        <w:rPr>
          <w:noProof/>
          <w:lang w:val="en-GB"/>
        </w:rPr>
        <w:t>[246-247]</w:t>
      </w:r>
      <w:r w:rsidR="006208A7" w:rsidRPr="00221992">
        <w:rPr>
          <w:lang w:val="en-GB"/>
        </w:rPr>
        <w:fldChar w:fldCharType="end"/>
      </w:r>
      <w:r w:rsidR="00CB7C84" w:rsidRPr="00221992">
        <w:rPr>
          <w:lang w:val="en-GB"/>
        </w:rPr>
        <w:t>.</w:t>
      </w:r>
      <w:r w:rsidR="00D50AA3" w:rsidRPr="00221992">
        <w:rPr>
          <w:lang w:val="en-GB"/>
        </w:rPr>
        <w:t xml:space="preserve"> </w:t>
      </w:r>
      <w:r w:rsidR="00CB7C84" w:rsidRPr="00221992">
        <w:rPr>
          <w:lang w:val="en-GB"/>
        </w:rPr>
        <w:t xml:space="preserve">The ESC considered that it may be useful for the Department </w:t>
      </w:r>
      <w:r w:rsidR="001B7DFC" w:rsidRPr="00221992">
        <w:rPr>
          <w:lang w:val="en-GB"/>
        </w:rPr>
        <w:t xml:space="preserve">of Health and Aged Care </w:t>
      </w:r>
      <w:r w:rsidR="00CB7C84" w:rsidRPr="00221992">
        <w:rPr>
          <w:lang w:val="en-GB"/>
        </w:rPr>
        <w:t xml:space="preserve">to set up active monitoring for final clinical trial results, where </w:t>
      </w:r>
      <w:r w:rsidR="001B7DFC" w:rsidRPr="00221992">
        <w:rPr>
          <w:lang w:val="en-GB"/>
        </w:rPr>
        <w:t>a listing has been</w:t>
      </w:r>
      <w:r w:rsidR="00CB7C84" w:rsidRPr="00221992">
        <w:rPr>
          <w:lang w:val="en-GB"/>
        </w:rPr>
        <w:t xml:space="preserve"> recommended based on immature or interim data, and reporting of these results to </w:t>
      </w:r>
      <w:r w:rsidR="001B7DFC" w:rsidRPr="00221992">
        <w:rPr>
          <w:lang w:val="en-GB"/>
        </w:rPr>
        <w:t xml:space="preserve">the </w:t>
      </w:r>
      <w:r w:rsidR="00E80036" w:rsidRPr="00221992">
        <w:rPr>
          <w:lang w:val="en-GB"/>
        </w:rPr>
        <w:t xml:space="preserve">PBAC (4.11) </w:t>
      </w:r>
      <w:r w:rsidR="00E80036" w:rsidRPr="00221992">
        <w:rPr>
          <w:lang w:val="en-GB"/>
        </w:rPr>
        <w:fldChar w:fldCharType="begin"/>
      </w:r>
      <w:r w:rsidR="00E5265C">
        <w:rPr>
          <w:lang w:val="en-GB"/>
        </w:rPr>
        <w:instrText xml:space="preserve"> ADDIN EN.CITE &lt;EndNote&gt;&lt;Cite&gt;&lt;Author&gt;Pharmaceutical Benefits Advisory Committee (PBAC)&lt;/Author&gt;&lt;Year&gt;2023&lt;/Year&gt;&lt;RecNum&gt;679&lt;/RecNum&gt;&lt;DisplayText&gt;[247]&lt;/DisplayText&gt;&lt;record&gt;&lt;rec-number&gt;679&lt;/rec-number&gt;&lt;foreign-keys&gt;&lt;key app="EN" db-id="wzwwsfxe4peesxef95cxvrwjxts9rreasarf" timestamp="1694662790"&gt;679&lt;/key&gt;&lt;/foreign-keys&gt;&lt;ref-type name="Report"&gt;27&lt;/ref-type&gt;&lt;contributors&gt;&lt;authors&gt;&lt;author&gt;Pharmaceutical Benefits Advisory Committee (PBAC),&lt;/author&gt;&lt;/authors&gt;&lt;tertiary-authors&gt;&lt;author&gt;Australian Government,, Department of Health and Aged Care, Pharmaceutical Benefits Advisory Committee (PBAC)&lt;/author&gt;&lt;/tertiary-authors&gt;&lt;/contributors&gt;&lt;titles&gt;&lt;title&gt;Ratified Minutes - July 2023 PBAC Meeting. A Review of caner related surrogate outcomes used for PBAC decision making&lt;/title&gt;&lt;/titles&gt;&lt;dates&gt;&lt;year&gt;2023&lt;/year&gt;&lt;/dates&gt;&lt;pub-location&gt;Canberra&lt;/pub-location&gt;&lt;urls&gt;&lt;/urls&gt;&lt;/record&gt;&lt;/Cite&gt;&lt;/EndNote&gt;</w:instrText>
      </w:r>
      <w:r w:rsidR="00E80036" w:rsidRPr="00221992">
        <w:rPr>
          <w:lang w:val="en-GB"/>
        </w:rPr>
        <w:fldChar w:fldCharType="separate"/>
      </w:r>
      <w:r w:rsidR="00E5265C">
        <w:rPr>
          <w:noProof/>
          <w:lang w:val="en-GB"/>
        </w:rPr>
        <w:t>[247]</w:t>
      </w:r>
      <w:r w:rsidR="00E80036" w:rsidRPr="00221992">
        <w:rPr>
          <w:lang w:val="en-GB"/>
        </w:rPr>
        <w:fldChar w:fldCharType="end"/>
      </w:r>
      <w:r w:rsidR="00CB7C84" w:rsidRPr="00221992">
        <w:rPr>
          <w:lang w:val="en-GB"/>
        </w:rPr>
        <w:t>.</w:t>
      </w:r>
      <w:r w:rsidR="003C28CB" w:rsidRPr="00221992">
        <w:rPr>
          <w:lang w:val="en-GB"/>
        </w:rPr>
        <w:t xml:space="preserve"> </w:t>
      </w:r>
      <w:r w:rsidR="00CB7C84" w:rsidRPr="00221992">
        <w:rPr>
          <w:lang w:val="en-GB"/>
        </w:rPr>
        <w:t xml:space="preserve">The ESC </w:t>
      </w:r>
      <w:r w:rsidR="003C28CB" w:rsidRPr="00221992">
        <w:rPr>
          <w:lang w:val="en-GB"/>
        </w:rPr>
        <w:t xml:space="preserve">further </w:t>
      </w:r>
      <w:r w:rsidR="00CB7C84" w:rsidRPr="00221992">
        <w:rPr>
          <w:lang w:val="en-GB"/>
        </w:rPr>
        <w:t xml:space="preserve">considered that it may be useful for PBAC and the Government to have a mechanism for rapidly changing PBS listings to withdraw subsidisation or to renegotiate price in circumstances where final trial results are worse than, or inconsistent with, the trial results used to support a listing. The ESC considered that it may be possible to incorporate this into RSAs, along with a mechanism to compel sponsors to provide final trial data within an agreed timeframe. The ESC noted that for medicines granted full </w:t>
      </w:r>
      <w:r w:rsidR="00A0562A" w:rsidRPr="00221992">
        <w:rPr>
          <w:lang w:val="en-GB"/>
        </w:rPr>
        <w:t>TGA</w:t>
      </w:r>
      <w:r w:rsidR="00CB7C84" w:rsidRPr="00221992">
        <w:rPr>
          <w:lang w:val="en-GB"/>
        </w:rPr>
        <w:t xml:space="preserve"> registration</w:t>
      </w:r>
      <w:r w:rsidR="00A0562A" w:rsidRPr="00221992">
        <w:rPr>
          <w:lang w:val="en-GB"/>
        </w:rPr>
        <w:t>,</w:t>
      </w:r>
      <w:r w:rsidR="00CB7C84" w:rsidRPr="00221992">
        <w:rPr>
          <w:lang w:val="en-GB"/>
        </w:rPr>
        <w:t xml:space="preserve"> it was difficult to remove this registration based on updated data showing a lack of clinical efficacy without clear evidence of a significant safety issue</w:t>
      </w:r>
      <w:r w:rsidR="00A0562A" w:rsidRPr="00221992">
        <w:rPr>
          <w:lang w:val="en-GB"/>
        </w:rPr>
        <w:t xml:space="preserve"> </w:t>
      </w:r>
      <w:r w:rsidR="004F04A8" w:rsidRPr="00221992">
        <w:rPr>
          <w:lang w:val="en-GB"/>
        </w:rPr>
        <w:t xml:space="preserve">(4.12) </w:t>
      </w:r>
      <w:r w:rsidR="004F04A8" w:rsidRPr="00221992">
        <w:rPr>
          <w:lang w:val="en-GB"/>
        </w:rPr>
        <w:fldChar w:fldCharType="begin"/>
      </w:r>
      <w:r w:rsidR="00E5265C">
        <w:rPr>
          <w:lang w:val="en-GB"/>
        </w:rPr>
        <w:instrText xml:space="preserve"> ADDIN EN.CITE &lt;EndNote&gt;&lt;Cite&gt;&lt;Author&gt;Pharmaceutical Benefits Advisory Committee (PBAC)&lt;/Author&gt;&lt;Year&gt;2023&lt;/Year&gt;&lt;RecNum&gt;679&lt;/RecNum&gt;&lt;DisplayText&gt;[247]&lt;/DisplayText&gt;&lt;record&gt;&lt;rec-number&gt;679&lt;/rec-number&gt;&lt;foreign-keys&gt;&lt;key app="EN" db-id="wzwwsfxe4peesxef95cxvrwjxts9rreasarf" timestamp="1694662790"&gt;679&lt;/key&gt;&lt;/foreign-keys&gt;&lt;ref-type name="Report"&gt;27&lt;/ref-type&gt;&lt;contributors&gt;&lt;authors&gt;&lt;author&gt;Pharmaceutical Benefits Advisory Committee (PBAC),&lt;/author&gt;&lt;/authors&gt;&lt;tertiary-authors&gt;&lt;author&gt;Australian Government,, Department of Health and Aged Care, Pharmaceutical Benefits Advisory Committee (PBAC)&lt;/author&gt;&lt;/tertiary-authors&gt;&lt;/contributors&gt;&lt;titles&gt;&lt;title&gt;Ratified Minutes - July 2023 PBAC Meeting. A Review of caner related surrogate outcomes used for PBAC decision making&lt;/title&gt;&lt;/titles&gt;&lt;dates&gt;&lt;year&gt;2023&lt;/year&gt;&lt;/dates&gt;&lt;pub-location&gt;Canberra&lt;/pub-location&gt;&lt;urls&gt;&lt;/urls&gt;&lt;/record&gt;&lt;/Cite&gt;&lt;/EndNote&gt;</w:instrText>
      </w:r>
      <w:r w:rsidR="004F04A8" w:rsidRPr="00221992">
        <w:rPr>
          <w:lang w:val="en-GB"/>
        </w:rPr>
        <w:fldChar w:fldCharType="separate"/>
      </w:r>
      <w:r w:rsidR="00E5265C">
        <w:rPr>
          <w:noProof/>
          <w:lang w:val="en-GB"/>
        </w:rPr>
        <w:t>[247]</w:t>
      </w:r>
      <w:r w:rsidR="004F04A8" w:rsidRPr="00221992">
        <w:rPr>
          <w:lang w:val="en-GB"/>
        </w:rPr>
        <w:fldChar w:fldCharType="end"/>
      </w:r>
      <w:r w:rsidR="00CB7C84" w:rsidRPr="00221992">
        <w:rPr>
          <w:lang w:val="en-GB"/>
        </w:rPr>
        <w:t>.</w:t>
      </w:r>
      <w:r w:rsidR="0012754B" w:rsidRPr="00221992">
        <w:rPr>
          <w:lang w:val="en-GB"/>
        </w:rPr>
        <w:t xml:space="preserve"> </w:t>
      </w:r>
    </w:p>
    <w:tbl>
      <w:tblPr>
        <w:tblStyle w:val="GridTable4-Accent33"/>
        <w:tblW w:w="0" w:type="auto"/>
        <w:tblBorders>
          <w:top w:val="single" w:sz="12" w:space="0" w:color="0F4BEB" w:themeColor="accent1"/>
          <w:left w:val="single" w:sz="12" w:space="0" w:color="0F4BEB" w:themeColor="accent1"/>
          <w:bottom w:val="single" w:sz="12" w:space="0" w:color="0F4BEB" w:themeColor="accent1"/>
          <w:right w:val="single" w:sz="12" w:space="0" w:color="0F4BEB" w:themeColor="accent1"/>
          <w:insideH w:val="single" w:sz="4" w:space="0" w:color="A5A5A5"/>
          <w:insideV w:val="single" w:sz="4" w:space="0" w:color="A5A5A5"/>
        </w:tblBorders>
        <w:tblLook w:val="04A0" w:firstRow="1" w:lastRow="0" w:firstColumn="1" w:lastColumn="0" w:noHBand="0" w:noVBand="1"/>
      </w:tblPr>
      <w:tblGrid>
        <w:gridCol w:w="9016"/>
      </w:tblGrid>
      <w:tr w:rsidR="00DB2EAA" w:rsidRPr="009D07B4" w14:paraId="29B07D3F" w14:textId="77777777" w:rsidTr="009D07B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tcPr>
          <w:p w14:paraId="73233B8D" w14:textId="797146BB" w:rsidR="00DB2EAA" w:rsidRPr="009D07B4" w:rsidRDefault="00DB2EAA" w:rsidP="00DB2EAA">
            <w:pPr>
              <w:spacing w:after="0" w:line="240" w:lineRule="auto"/>
              <w:jc w:val="center"/>
              <w:rPr>
                <w:rFonts w:ascii="Calibri" w:eastAsia="Calibri" w:hAnsi="Calibri" w:cs="Times New Roman"/>
                <w:sz w:val="22"/>
                <w:szCs w:val="22"/>
                <w:lang w:eastAsia="en-US"/>
              </w:rPr>
            </w:pPr>
            <w:r w:rsidRPr="009D07B4">
              <w:rPr>
                <w:rFonts w:ascii="Calibri" w:eastAsia="Calibri" w:hAnsi="Calibri" w:cs="Times New Roman"/>
                <w:sz w:val="22"/>
                <w:szCs w:val="22"/>
                <w:lang w:eastAsia="en-US"/>
              </w:rPr>
              <w:t>Why this matters</w:t>
            </w:r>
          </w:p>
        </w:tc>
      </w:tr>
      <w:tr w:rsidR="00DB2EAA" w:rsidRPr="009D07B4" w14:paraId="2B60C986" w14:textId="77777777" w:rsidTr="009D07B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tcPr>
          <w:p w14:paraId="72C19873" w14:textId="30DCF8FB" w:rsidR="00DB2EAA" w:rsidRPr="009D07B4" w:rsidRDefault="00DB2EAA" w:rsidP="00DB2EAA">
            <w:pPr>
              <w:spacing w:after="0" w:line="240" w:lineRule="auto"/>
              <w:rPr>
                <w:rFonts w:eastAsia="Calibri" w:cs="Calibri Light"/>
                <w:sz w:val="22"/>
                <w:szCs w:val="22"/>
                <w:lang w:eastAsia="en-US"/>
              </w:rPr>
            </w:pPr>
            <w:r w:rsidRPr="009D07B4">
              <w:rPr>
                <w:rFonts w:eastAsia="Calibri" w:cs="Calibri Light"/>
                <w:b w:val="0"/>
                <w:sz w:val="22"/>
                <w:szCs w:val="22"/>
                <w:lang w:eastAsia="en-US"/>
              </w:rPr>
              <w:t xml:space="preserve">One of the objectives of </w:t>
            </w:r>
            <w:r w:rsidR="00661F62">
              <w:rPr>
                <w:rFonts w:eastAsia="Calibri" w:cs="Calibri Light"/>
                <w:b w:val="0"/>
                <w:sz w:val="22"/>
                <w:szCs w:val="22"/>
                <w:lang w:eastAsia="en-US"/>
              </w:rPr>
              <w:t>performance-based MEAs</w:t>
            </w:r>
            <w:r w:rsidRPr="009D07B4">
              <w:rPr>
                <w:rFonts w:eastAsia="Calibri" w:cs="Calibri Light"/>
                <w:b w:val="0"/>
                <w:sz w:val="22"/>
                <w:szCs w:val="22"/>
                <w:lang w:eastAsia="en-US"/>
              </w:rPr>
              <w:t xml:space="preserve"> is to provide a mechanism for Health Technology Reassessment (HTR). In the context of managing uncertainty, this mechanism aims to facilitate several possible outcomes: maintain current funding arrangements, increase funding for high-value technologies, reduce funding for low-value health technologies, and disinvestment.</w:t>
            </w:r>
          </w:p>
          <w:p w14:paraId="08026752" w14:textId="77777777" w:rsidR="00DB2EAA" w:rsidRPr="009D07B4" w:rsidRDefault="00DB2EAA" w:rsidP="00DB2EAA">
            <w:pPr>
              <w:spacing w:after="0" w:line="240" w:lineRule="auto"/>
              <w:rPr>
                <w:rFonts w:eastAsia="Calibri" w:cs="Calibri Light"/>
                <w:sz w:val="22"/>
                <w:szCs w:val="22"/>
                <w:lang w:eastAsia="en-US"/>
              </w:rPr>
            </w:pPr>
          </w:p>
          <w:p w14:paraId="5F426BB6" w14:textId="77777777" w:rsidR="00DB2EAA" w:rsidRPr="009D07B4" w:rsidRDefault="00DB2EAA" w:rsidP="00DB2EAA">
            <w:pPr>
              <w:spacing w:after="0" w:line="240" w:lineRule="auto"/>
              <w:rPr>
                <w:rFonts w:eastAsia="Calibri" w:cs="Calibri Light"/>
                <w:sz w:val="22"/>
                <w:szCs w:val="22"/>
                <w:lang w:eastAsia="en-US"/>
              </w:rPr>
            </w:pPr>
            <w:r w:rsidRPr="009D07B4">
              <w:rPr>
                <w:rFonts w:eastAsia="Calibri" w:cs="Calibri Light"/>
                <w:b w:val="0"/>
                <w:sz w:val="22"/>
                <w:szCs w:val="22"/>
                <w:lang w:eastAsia="en-US"/>
              </w:rPr>
              <w:t>However, while processes for allocating new resources to health technologies are relatively well-established and straightforward, the withdrawal of resources—commonly referred to as ‘active disinvestment’—is widely acknowledged as more challenging [214-215].</w:t>
            </w:r>
            <w:r w:rsidRPr="009D07B4">
              <w:rPr>
                <w:rFonts w:ascii="Calibri" w:eastAsia="Calibri" w:hAnsi="Calibri" w:cs="Times New Roman"/>
                <w:sz w:val="22"/>
                <w:szCs w:val="22"/>
                <w:lang w:eastAsia="en-US"/>
              </w:rPr>
              <w:t xml:space="preserve"> </w:t>
            </w:r>
            <w:r w:rsidRPr="009D07B4">
              <w:rPr>
                <w:rFonts w:eastAsia="Calibri" w:cs="Calibri Light"/>
                <w:b w:val="0"/>
                <w:sz w:val="22"/>
                <w:szCs w:val="22"/>
                <w:lang w:eastAsia="en-US"/>
              </w:rPr>
              <w:t>In Australia, the issue of disinvestment has been raised as an important consideration for listings which are approved provisionally or as accelerated pathways [231-232].</w:t>
            </w:r>
          </w:p>
          <w:p w14:paraId="122B046E" w14:textId="77777777" w:rsidR="00DB2EAA" w:rsidRPr="009D07B4" w:rsidRDefault="00DB2EAA" w:rsidP="00DB2EAA">
            <w:pPr>
              <w:spacing w:after="0" w:line="240" w:lineRule="auto"/>
              <w:rPr>
                <w:rFonts w:eastAsia="Calibri" w:cs="Calibri Light"/>
                <w:sz w:val="22"/>
                <w:szCs w:val="22"/>
                <w:lang w:eastAsia="en-US"/>
              </w:rPr>
            </w:pPr>
          </w:p>
          <w:p w14:paraId="1755A53D" w14:textId="77777777" w:rsidR="00DB2EAA" w:rsidRPr="009D07B4" w:rsidRDefault="00DB2EAA" w:rsidP="00DB2EAA">
            <w:pPr>
              <w:spacing w:after="0" w:line="240" w:lineRule="auto"/>
              <w:rPr>
                <w:rFonts w:eastAsia="Calibri" w:cs="Calibri Light"/>
                <w:sz w:val="22"/>
                <w:szCs w:val="22"/>
                <w:lang w:eastAsia="en-US"/>
              </w:rPr>
            </w:pPr>
            <w:r w:rsidRPr="009D07B4">
              <w:rPr>
                <w:rFonts w:eastAsia="Calibri" w:cs="Calibri Light"/>
                <w:b w:val="0"/>
                <w:sz w:val="22"/>
                <w:szCs w:val="22"/>
                <w:lang w:eastAsia="en-US"/>
              </w:rPr>
              <w:t xml:space="preserve">As a consequence of these challenges, many countries opt not to have formal disinvestment frameworks. </w:t>
            </w:r>
          </w:p>
          <w:p w14:paraId="4BB0CE41" w14:textId="77777777" w:rsidR="00DB2EAA" w:rsidRPr="009D07B4" w:rsidRDefault="00DB2EAA" w:rsidP="00DB2EAA">
            <w:pPr>
              <w:spacing w:after="0" w:line="240" w:lineRule="auto"/>
              <w:rPr>
                <w:rFonts w:eastAsia="Calibri" w:cs="Calibri Light"/>
                <w:sz w:val="22"/>
                <w:szCs w:val="22"/>
                <w:lang w:eastAsia="en-US"/>
              </w:rPr>
            </w:pPr>
          </w:p>
          <w:p w14:paraId="58E57D30" w14:textId="1CB6A561" w:rsidR="00DB2EAA" w:rsidRPr="009D07B4" w:rsidRDefault="00DB2EAA" w:rsidP="00DB2EAA">
            <w:pPr>
              <w:spacing w:after="0" w:line="240" w:lineRule="auto"/>
              <w:rPr>
                <w:rFonts w:eastAsia="Calibri" w:cs="Calibri Light"/>
                <w:sz w:val="22"/>
                <w:szCs w:val="22"/>
                <w:lang w:eastAsia="en-US"/>
              </w:rPr>
            </w:pPr>
            <w:r w:rsidRPr="009D07B4">
              <w:rPr>
                <w:rFonts w:eastAsia="Calibri" w:cs="Calibri Light"/>
                <w:b w:val="0"/>
                <w:sz w:val="22"/>
                <w:szCs w:val="22"/>
                <w:lang w:eastAsia="en-US"/>
              </w:rPr>
              <w:t>In Australia, HTR processes are largely undertaken by the Technology Assessment &amp; Access Division of the Commonwealth Department of Health, through routine monitoring of major listings, or by recommendations made during the HTA process</w:t>
            </w:r>
            <w:r w:rsidR="326A1BB6" w:rsidRPr="009D07B4">
              <w:rPr>
                <w:rFonts w:eastAsia="Calibri" w:cs="Calibri Light"/>
                <w:b w:val="0"/>
                <w:bCs w:val="0"/>
                <w:sz w:val="22"/>
                <w:szCs w:val="22"/>
                <w:lang w:eastAsia="en-US"/>
              </w:rPr>
              <w:t xml:space="preserve"> [215].</w:t>
            </w:r>
            <w:r w:rsidRPr="009D07B4">
              <w:rPr>
                <w:rFonts w:eastAsia="Calibri" w:cs="Calibri Light"/>
                <w:b w:val="0"/>
                <w:sz w:val="22"/>
                <w:szCs w:val="22"/>
                <w:lang w:eastAsia="en-US"/>
              </w:rPr>
              <w:t xml:space="preserve"> A systematic review commissioned by the Commonwealth Department of Health (2019) identified considerations and options for developing a technology lifecycle approach, in which re-assessments would be included within Australian HTA processes [215].  </w:t>
            </w:r>
          </w:p>
          <w:p w14:paraId="770071A7" w14:textId="77777777" w:rsidR="00DB2EAA" w:rsidRPr="009D07B4" w:rsidRDefault="00DB2EAA" w:rsidP="00DB2EAA">
            <w:pPr>
              <w:spacing w:after="0" w:line="240" w:lineRule="auto"/>
              <w:rPr>
                <w:rFonts w:eastAsia="Calibri" w:cs="Calibri Light"/>
                <w:sz w:val="22"/>
                <w:szCs w:val="22"/>
                <w:lang w:eastAsia="en-US"/>
              </w:rPr>
            </w:pPr>
          </w:p>
          <w:p w14:paraId="6714FDFD" w14:textId="77777777" w:rsidR="00DB2EAA" w:rsidRPr="009D07B4" w:rsidRDefault="00DB2EAA" w:rsidP="00DB2EAA">
            <w:pPr>
              <w:spacing w:after="0" w:line="240" w:lineRule="auto"/>
              <w:rPr>
                <w:rFonts w:eastAsia="Calibri" w:cs="Calibri Light"/>
                <w:b w:val="0"/>
                <w:sz w:val="22"/>
                <w:szCs w:val="22"/>
                <w:lang w:eastAsia="en-US"/>
              </w:rPr>
            </w:pPr>
            <w:r w:rsidRPr="009D07B4">
              <w:rPr>
                <w:rFonts w:eastAsia="Calibri" w:cs="Calibri Light"/>
                <w:b w:val="0"/>
                <w:sz w:val="22"/>
                <w:szCs w:val="22"/>
                <w:lang w:eastAsia="en-US"/>
              </w:rPr>
              <w:t xml:space="preserve">In addition, Australia may wish to consider elements of active disinvestment approaches such as those implemented in France and Italy, whereby mandatory reassessment is part of the approval process. Italy’s ‘innovation’ program relies on national data registries to inform disinvestment decisions. </w:t>
            </w:r>
          </w:p>
        </w:tc>
      </w:tr>
    </w:tbl>
    <w:p w14:paraId="588E8686" w14:textId="260A9301" w:rsidR="004241E4" w:rsidRPr="00221992" w:rsidRDefault="6525BEE6" w:rsidP="00407BA7">
      <w:pPr>
        <w:pStyle w:val="NbrHeading3"/>
        <w:rPr>
          <w:lang w:val="en-GB"/>
        </w:rPr>
      </w:pPr>
      <w:bookmarkStart w:id="194" w:name="_Toc146275210"/>
      <w:bookmarkStart w:id="195" w:name="_Toc146276734"/>
      <w:bookmarkStart w:id="196" w:name="_Toc146276860"/>
      <w:bookmarkStart w:id="197" w:name="_Toc146530991"/>
      <w:bookmarkStart w:id="198" w:name="_Toc146530992"/>
      <w:bookmarkStart w:id="199" w:name="_Toc142742692"/>
      <w:bookmarkStart w:id="200" w:name="_Toc162950896"/>
      <w:bookmarkEnd w:id="194"/>
      <w:bookmarkEnd w:id="195"/>
      <w:bookmarkEnd w:id="196"/>
      <w:bookmarkEnd w:id="197"/>
      <w:bookmarkEnd w:id="198"/>
      <w:r w:rsidRPr="00221992">
        <w:rPr>
          <w:lang w:val="en-GB"/>
        </w:rPr>
        <w:t xml:space="preserve">The role of </w:t>
      </w:r>
      <w:r w:rsidR="5C97CF9F" w:rsidRPr="00221992">
        <w:rPr>
          <w:lang w:val="en-GB"/>
        </w:rPr>
        <w:t>MEAs in oncology and rare diseases</w:t>
      </w:r>
      <w:bookmarkEnd w:id="199"/>
      <w:bookmarkEnd w:id="200"/>
    </w:p>
    <w:p w14:paraId="283F6759" w14:textId="6F8DC95D" w:rsidR="0003498C" w:rsidRPr="00221992" w:rsidRDefault="006F0466" w:rsidP="006F0466">
      <w:pPr>
        <w:rPr>
          <w:lang w:val="en-GB"/>
        </w:rPr>
      </w:pPr>
      <w:r w:rsidRPr="00221992">
        <w:rPr>
          <w:lang w:val="en-GB"/>
        </w:rPr>
        <w:t>Evidence from the OECD suggests that</w:t>
      </w:r>
      <w:r w:rsidR="004241E4" w:rsidRPr="00221992">
        <w:rPr>
          <w:lang w:val="en-GB"/>
        </w:rPr>
        <w:t xml:space="preserve"> MEAs are </w:t>
      </w:r>
      <w:r w:rsidR="0003498C" w:rsidRPr="00221992">
        <w:rPr>
          <w:lang w:val="en-GB"/>
        </w:rPr>
        <w:t xml:space="preserve">most </w:t>
      </w:r>
      <w:r w:rsidR="00B121DF" w:rsidRPr="00221992">
        <w:rPr>
          <w:lang w:val="en-GB"/>
        </w:rPr>
        <w:t>commonly</w:t>
      </w:r>
      <w:r w:rsidR="0003498C" w:rsidRPr="00221992">
        <w:rPr>
          <w:lang w:val="en-GB"/>
        </w:rPr>
        <w:t xml:space="preserve"> </w:t>
      </w:r>
      <w:r w:rsidR="00B80022" w:rsidRPr="00221992">
        <w:rPr>
          <w:lang w:val="en-GB"/>
        </w:rPr>
        <w:t xml:space="preserve">used </w:t>
      </w:r>
      <w:r w:rsidR="0003498C" w:rsidRPr="00221992">
        <w:rPr>
          <w:lang w:val="en-GB"/>
        </w:rPr>
        <w:t>for high</w:t>
      </w:r>
      <w:r w:rsidR="007657C0" w:rsidRPr="00221992">
        <w:rPr>
          <w:lang w:val="en-GB"/>
        </w:rPr>
        <w:t>-</w:t>
      </w:r>
      <w:r w:rsidR="0003498C" w:rsidRPr="00221992">
        <w:rPr>
          <w:lang w:val="en-GB"/>
        </w:rPr>
        <w:t>cost therapies</w:t>
      </w:r>
      <w:r w:rsidRPr="00221992">
        <w:rPr>
          <w:lang w:val="en-GB"/>
        </w:rPr>
        <w:t xml:space="preserve"> for the</w:t>
      </w:r>
      <w:r w:rsidR="0003498C" w:rsidRPr="00221992">
        <w:rPr>
          <w:lang w:val="en-GB"/>
        </w:rPr>
        <w:t xml:space="preserve"> treat</w:t>
      </w:r>
      <w:r w:rsidRPr="00221992">
        <w:rPr>
          <w:lang w:val="en-GB"/>
        </w:rPr>
        <w:t>ment of</w:t>
      </w:r>
      <w:r w:rsidR="0003498C" w:rsidRPr="00221992">
        <w:rPr>
          <w:lang w:val="en-GB"/>
        </w:rPr>
        <w:t xml:space="preserve"> cancer </w:t>
      </w:r>
      <w:r w:rsidRPr="00221992">
        <w:rPr>
          <w:lang w:val="en-GB"/>
        </w:rPr>
        <w:t xml:space="preserve">(comprising approximately two-thirds of MEAs) </w:t>
      </w:r>
      <w:r w:rsidR="0003498C" w:rsidRPr="00221992">
        <w:rPr>
          <w:lang w:val="en-GB"/>
        </w:rPr>
        <w:t>and rare diseases</w:t>
      </w:r>
      <w:r w:rsidRPr="00221992">
        <w:rPr>
          <w:lang w:val="en-GB"/>
        </w:rPr>
        <w:t xml:space="preserve"> </w:t>
      </w:r>
      <w:r w:rsidRPr="00221992">
        <w:rPr>
          <w:lang w:val="en-GB"/>
        </w:rPr>
        <w:fldChar w:fldCharType="begin"/>
      </w:r>
      <w:r w:rsidR="005A67DD" w:rsidRPr="00221992">
        <w:rPr>
          <w:lang w:val="en-GB"/>
        </w:rPr>
        <w:instrText xml:space="preserve"> ADDIN EN.CITE &lt;EndNote&gt;&lt;Cite&gt;&lt;Author&gt;Wenzl M&lt;/Author&gt;&lt;Year&gt;2019&lt;/Year&gt;&lt;RecNum&gt;477&lt;/RecNum&gt;&lt;DisplayText&gt;[6]&lt;/DisplayText&gt;&lt;record&gt;&lt;rec-number&gt;477&lt;/rec-number&gt;&lt;foreign-keys&gt;&lt;key app="EN" db-id="wzwwsfxe4peesxef95cxvrwjxts9rreasarf" timestamp="1692654671"&gt;477&lt;/key&gt;&lt;/foreign-keys&gt;&lt;ref-type name="Book Section"&gt;5&lt;/ref-type&gt;&lt;contributors&gt;&lt;authors&gt;&lt;author&gt;Wenzl M,&lt;/author&gt;&lt;author&gt;Chapman S.&lt;/author&gt;&lt;/authors&gt;&lt;/contributors&gt;&lt;titles&gt;&lt;title&gt;Performance-Based Managed Entry Agreements For New Medicines in OECD Countries and EU Member States: How They Work and Possible Improvements Going Forward.&lt;/title&gt;&lt;secondary-title&gt;OECD Health Working Papers,&lt;/secondary-title&gt;&lt;/titles&gt;&lt;volume&gt;No. 115&lt;/volume&gt;&lt;dates&gt;&lt;year&gt;2019&lt;/year&gt;&lt;/dates&gt;&lt;pub-location&gt;Paris&lt;/pub-location&gt;&lt;publisher&gt;OECD Publishing&lt;/publisher&gt;&lt;urls&gt;&lt;related-urls&gt;&lt;url&gt;https://www.oecd-ilibrary.org/content/paper/6e5e4c0f-en&lt;/url&gt;&lt;/related-urls&gt;&lt;/urls&gt;&lt;electronic-resource-num&gt;doi:https://doi.org/10.1787/6e5e4c0f-en&lt;/electronic-resource-num&gt;&lt;/record&gt;&lt;/Cite&gt;&lt;/EndNote&gt;</w:instrText>
      </w:r>
      <w:r w:rsidRPr="00221992">
        <w:rPr>
          <w:lang w:val="en-GB"/>
        </w:rPr>
        <w:fldChar w:fldCharType="separate"/>
      </w:r>
      <w:r w:rsidR="005A67DD" w:rsidRPr="00221992">
        <w:rPr>
          <w:noProof/>
          <w:lang w:val="en-GB"/>
        </w:rPr>
        <w:t>[6]</w:t>
      </w:r>
      <w:r w:rsidRPr="00221992">
        <w:rPr>
          <w:lang w:val="en-GB"/>
        </w:rPr>
        <w:fldChar w:fldCharType="end"/>
      </w:r>
      <w:r w:rsidR="0003498C" w:rsidRPr="00221992">
        <w:rPr>
          <w:lang w:val="en-GB"/>
        </w:rPr>
        <w:t>.</w:t>
      </w:r>
      <w:r w:rsidR="007657C0" w:rsidRPr="00221992">
        <w:rPr>
          <w:rStyle w:val="FootnoteReference"/>
          <w:lang w:val="en-GB"/>
        </w:rPr>
        <w:footnoteReference w:id="17"/>
      </w:r>
      <w:r w:rsidR="007657C0" w:rsidRPr="00221992">
        <w:rPr>
          <w:lang w:val="en-GB"/>
        </w:rPr>
        <w:t xml:space="preserve"> </w:t>
      </w:r>
      <w:r w:rsidRPr="00221992">
        <w:rPr>
          <w:lang w:val="en-GB"/>
        </w:rPr>
        <w:t xml:space="preserve">A review of the peer-reviewed literature also indicates the use of </w:t>
      </w:r>
      <w:r w:rsidR="0003498C" w:rsidRPr="00221992">
        <w:rPr>
          <w:lang w:val="en-GB"/>
        </w:rPr>
        <w:t xml:space="preserve">MEAs </w:t>
      </w:r>
      <w:r w:rsidRPr="00221992">
        <w:rPr>
          <w:lang w:val="en-GB"/>
        </w:rPr>
        <w:t>in the listing of</w:t>
      </w:r>
      <w:r w:rsidR="007657C0" w:rsidRPr="00221992">
        <w:rPr>
          <w:lang w:val="en-GB"/>
        </w:rPr>
        <w:t xml:space="preserve"> </w:t>
      </w:r>
      <w:r w:rsidR="0003498C" w:rsidRPr="00221992">
        <w:rPr>
          <w:lang w:val="en-GB"/>
        </w:rPr>
        <w:t>treatments for diabetes and in neurology, rheumatology</w:t>
      </w:r>
      <w:r w:rsidR="00F13EC2" w:rsidRPr="00221992">
        <w:rPr>
          <w:lang w:val="en-GB"/>
        </w:rPr>
        <w:t>,</w:t>
      </w:r>
      <w:r w:rsidR="0003498C" w:rsidRPr="00221992">
        <w:rPr>
          <w:lang w:val="en-GB"/>
        </w:rPr>
        <w:t xml:space="preserve"> endocrinology</w:t>
      </w:r>
      <w:r w:rsidRPr="00221992">
        <w:rPr>
          <w:lang w:val="en-GB"/>
        </w:rPr>
        <w:t>, cardiology</w:t>
      </w:r>
      <w:r w:rsidR="0003498C" w:rsidRPr="00221992">
        <w:rPr>
          <w:lang w:val="en-GB"/>
        </w:rPr>
        <w:t xml:space="preserve"> </w:t>
      </w:r>
      <w:r w:rsidR="00F13EC2" w:rsidRPr="00221992">
        <w:rPr>
          <w:lang w:val="en-GB"/>
        </w:rPr>
        <w:t>and</w:t>
      </w:r>
      <w:r w:rsidRPr="00221992">
        <w:rPr>
          <w:lang w:val="en-GB"/>
        </w:rPr>
        <w:t>,</w:t>
      </w:r>
      <w:r w:rsidR="00F13EC2" w:rsidRPr="00221992">
        <w:rPr>
          <w:lang w:val="en-GB"/>
        </w:rPr>
        <w:t xml:space="preserve"> increasingly</w:t>
      </w:r>
      <w:r w:rsidRPr="00221992">
        <w:rPr>
          <w:lang w:val="en-GB"/>
        </w:rPr>
        <w:t>,</w:t>
      </w:r>
      <w:r w:rsidR="00F13EC2" w:rsidRPr="00221992">
        <w:rPr>
          <w:lang w:val="en-GB"/>
        </w:rPr>
        <w:t xml:space="preserve"> in </w:t>
      </w:r>
      <w:r w:rsidR="004702AF" w:rsidRPr="00221992">
        <w:rPr>
          <w:lang w:val="en-GB"/>
        </w:rPr>
        <w:t>personalised medicine</w:t>
      </w:r>
      <w:r w:rsidRPr="00221992">
        <w:rPr>
          <w:lang w:val="en-GB"/>
        </w:rPr>
        <w:t>s</w:t>
      </w:r>
      <w:r w:rsidR="004702AF" w:rsidRPr="00221992">
        <w:rPr>
          <w:lang w:val="en-GB"/>
        </w:rPr>
        <w:t xml:space="preserve"> </w:t>
      </w:r>
      <w:r w:rsidRPr="00221992">
        <w:rPr>
          <w:lang w:val="en-GB"/>
        </w:rPr>
        <w:t>including</w:t>
      </w:r>
      <w:r w:rsidR="004B35A6" w:rsidRPr="00221992">
        <w:rPr>
          <w:lang w:val="en-GB"/>
        </w:rPr>
        <w:t xml:space="preserve"> gene therapies </w:t>
      </w:r>
      <w:r w:rsidRPr="00221992">
        <w:rPr>
          <w:lang w:val="en-GB"/>
        </w:rPr>
        <w:fldChar w:fldCharType="begin">
          <w:fldData xml:space="preserve">PEVuZE5vdGU+PENpdGU+PEF1dGhvcj5NeXVuZzwvQXV0aG9yPjxZZWFyPjIwMjE8L1llYXI+PFJl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</w:fldData>
        </w:fldChar>
      </w:r>
      <w:r w:rsidR="00E5265C">
        <w:rPr>
          <w:lang w:val="en-GB"/>
        </w:rPr>
        <w:instrText xml:space="preserve"> ADDIN EN.CITE </w:instrText>
      </w:r>
      <w:r w:rsidR="00E5265C">
        <w:rPr>
          <w:lang w:val="en-GB"/>
        </w:rPr>
        <w:fldChar w:fldCharType="begin">
          <w:fldData xml:space="preserve">PEVuZE5vdGU+PENpdGU+PEF1dGhvcj5NeXVuZzwvQXV0aG9yPjxZZWFyPjIwMjE8L1llYXI+PFJl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</w:fldData>
        </w:fldChar>
      </w:r>
      <w:r w:rsidR="00E5265C">
        <w:rPr>
          <w:lang w:val="en-GB"/>
        </w:rPr>
        <w:instrText xml:space="preserve"> ADDIN EN.CITE.DATA </w:instrText>
      </w:r>
      <w:r w:rsidR="00E5265C">
        <w:rPr>
          <w:lang w:val="en-GB"/>
        </w:rPr>
      </w:r>
      <w:r w:rsidR="00E5265C">
        <w:rPr>
          <w:lang w:val="en-GB"/>
        </w:rPr>
        <w:fldChar w:fldCharType="end"/>
      </w:r>
      <w:r w:rsidRPr="00221992">
        <w:rPr>
          <w:lang w:val="en-GB"/>
        </w:rPr>
      </w:r>
      <w:r w:rsidRPr="00221992">
        <w:rPr>
          <w:lang w:val="en-GB"/>
        </w:rPr>
        <w:fldChar w:fldCharType="separate"/>
      </w:r>
      <w:r w:rsidR="00E5265C">
        <w:rPr>
          <w:noProof/>
          <w:lang w:val="en-GB"/>
        </w:rPr>
        <w:t>[193, 196, 202, 209-210, 213, 248]</w:t>
      </w:r>
      <w:r w:rsidRPr="00221992">
        <w:rPr>
          <w:lang w:val="en-GB"/>
        </w:rPr>
        <w:fldChar w:fldCharType="end"/>
      </w:r>
      <w:r w:rsidR="00E77AE5" w:rsidRPr="00221992">
        <w:rPr>
          <w:lang w:val="en-GB"/>
        </w:rPr>
        <w:t>.</w:t>
      </w:r>
      <w:r w:rsidR="0003498C" w:rsidRPr="00221992">
        <w:rPr>
          <w:lang w:val="en-GB"/>
        </w:rPr>
        <w:t xml:space="preserve"> </w:t>
      </w:r>
    </w:p>
    <w:p w14:paraId="64F954C3" w14:textId="73259D14" w:rsidR="00DA4CEB" w:rsidRPr="00221992" w:rsidRDefault="00536069" w:rsidP="00706F49">
      <w:pPr>
        <w:rPr>
          <w:lang w:val="en-GB"/>
        </w:rPr>
      </w:pPr>
      <w:r w:rsidRPr="00221992">
        <w:rPr>
          <w:lang w:val="en-GB"/>
        </w:rPr>
        <w:t>In a</w:t>
      </w:r>
      <w:r w:rsidR="007657C0" w:rsidRPr="00221992">
        <w:rPr>
          <w:lang w:val="en-GB"/>
        </w:rPr>
        <w:t xml:space="preserve"> review </w:t>
      </w:r>
      <w:r w:rsidR="00FD2E42" w:rsidRPr="00221992">
        <w:rPr>
          <w:lang w:val="en-GB"/>
        </w:rPr>
        <w:t xml:space="preserve">of </w:t>
      </w:r>
      <w:r w:rsidRPr="00221992">
        <w:rPr>
          <w:lang w:val="en-GB"/>
        </w:rPr>
        <w:t xml:space="preserve">orphan drug </w:t>
      </w:r>
      <w:r w:rsidR="00FB6D82" w:rsidRPr="00221992">
        <w:rPr>
          <w:lang w:val="en-GB"/>
        </w:rPr>
        <w:t>reimbursement decisions across seven European countries</w:t>
      </w:r>
      <w:r w:rsidRPr="00221992">
        <w:rPr>
          <w:lang w:val="en-GB"/>
        </w:rPr>
        <w:t xml:space="preserve"> Morel et al. (2013)</w:t>
      </w:r>
      <w:r w:rsidR="007657C0" w:rsidRPr="00221992">
        <w:rPr>
          <w:lang w:val="en-GB"/>
        </w:rPr>
        <w:t xml:space="preserve"> identified </w:t>
      </w:r>
      <w:r w:rsidR="00961150" w:rsidRPr="00221992">
        <w:rPr>
          <w:lang w:val="en-GB"/>
        </w:rPr>
        <w:t xml:space="preserve">that of </w:t>
      </w:r>
      <w:r w:rsidR="007657C0" w:rsidRPr="00221992">
        <w:rPr>
          <w:lang w:val="en-GB"/>
        </w:rPr>
        <w:t xml:space="preserve">42 MEAs for 26 orphan drugs adopted in Belgium, Italy, the Netherlands, </w:t>
      </w:r>
      <w:r w:rsidR="00B71521" w:rsidRPr="00221992">
        <w:rPr>
          <w:lang w:val="en-GB"/>
        </w:rPr>
        <w:t>Sweden,</w:t>
      </w:r>
      <w:r w:rsidR="007657C0" w:rsidRPr="00221992">
        <w:rPr>
          <w:lang w:val="en-GB"/>
        </w:rPr>
        <w:t xml:space="preserve"> and the United Kingdom, 55% were performance-based</w:t>
      </w:r>
      <w:r w:rsidR="00C44150" w:rsidRPr="00221992">
        <w:rPr>
          <w:lang w:val="en-GB"/>
        </w:rPr>
        <w:t>, with the highest number of MEAs in place for</w:t>
      </w:r>
      <w:r w:rsidR="00B520FE" w:rsidRPr="00221992">
        <w:rPr>
          <w:lang w:val="en-GB"/>
        </w:rPr>
        <w:t xml:space="preserve"> </w:t>
      </w:r>
      <w:r w:rsidR="00C44150" w:rsidRPr="00221992">
        <w:rPr>
          <w:lang w:val="en-GB"/>
        </w:rPr>
        <w:t>a</w:t>
      </w:r>
      <w:r w:rsidR="002F7197" w:rsidRPr="00221992">
        <w:rPr>
          <w:lang w:val="en-GB"/>
        </w:rPr>
        <w:t xml:space="preserve">ntineoplastic and immunomodulatory drugs </w:t>
      </w:r>
      <w:r w:rsidR="00653F87" w:rsidRPr="00221992">
        <w:rPr>
          <w:lang w:val="en-GB"/>
        </w:rPr>
        <w:fldChar w:fldCharType="begin">
          <w:fldData xml:space="preserve">PEVuZE5vdGU+PENpdGU+PEF1dGhvcj5Nb3JlbDwvQXV0aG9yPjxZZWFyPjIwMTM8L1llYXI+PFJl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</w:fldData>
        </w:fldChar>
      </w:r>
      <w:r w:rsidR="00E5265C">
        <w:rPr>
          <w:lang w:val="en-GB"/>
        </w:rPr>
        <w:instrText xml:space="preserve"> ADDIN EN.CITE </w:instrText>
      </w:r>
      <w:r w:rsidR="00E5265C">
        <w:rPr>
          <w:lang w:val="en-GB"/>
        </w:rPr>
        <w:fldChar w:fldCharType="begin">
          <w:fldData xml:space="preserve">PEVuZE5vdGU+PENpdGU+PEF1dGhvcj5Nb3JlbDwvQXV0aG9yPjxZZWFyPjIwMTM8L1llYXI+PFJl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</w:fldData>
        </w:fldChar>
      </w:r>
      <w:r w:rsidR="00E5265C">
        <w:rPr>
          <w:lang w:val="en-GB"/>
        </w:rPr>
        <w:instrText xml:space="preserve"> ADDIN EN.CITE.DATA </w:instrText>
      </w:r>
      <w:r w:rsidR="00E5265C">
        <w:rPr>
          <w:lang w:val="en-GB"/>
        </w:rPr>
      </w:r>
      <w:r w:rsidR="00E5265C">
        <w:rPr>
          <w:lang w:val="en-GB"/>
        </w:rPr>
        <w:fldChar w:fldCharType="end"/>
      </w:r>
      <w:r w:rsidR="00653F87" w:rsidRPr="00221992">
        <w:rPr>
          <w:lang w:val="en-GB"/>
        </w:rPr>
      </w:r>
      <w:r w:rsidR="00653F87" w:rsidRPr="00221992">
        <w:rPr>
          <w:lang w:val="en-GB"/>
        </w:rPr>
        <w:fldChar w:fldCharType="separate"/>
      </w:r>
      <w:r w:rsidR="00E5265C">
        <w:rPr>
          <w:noProof/>
          <w:lang w:val="en-GB"/>
        </w:rPr>
        <w:t>[249-250]</w:t>
      </w:r>
      <w:r w:rsidR="00653F87" w:rsidRPr="00221992">
        <w:rPr>
          <w:lang w:val="en-GB"/>
        </w:rPr>
        <w:fldChar w:fldCharType="end"/>
      </w:r>
      <w:r w:rsidR="007657C0" w:rsidRPr="00221992">
        <w:rPr>
          <w:lang w:val="en-GB"/>
        </w:rPr>
        <w:t>.</w:t>
      </w:r>
    </w:p>
    <w:p w14:paraId="16BB0CA8" w14:textId="2B728C62" w:rsidR="00C70DDF" w:rsidRPr="00221992" w:rsidRDefault="0718B33C" w:rsidP="00407BA7">
      <w:pPr>
        <w:pStyle w:val="NbrHeading3"/>
        <w:rPr>
          <w:lang w:val="en-GB"/>
        </w:rPr>
      </w:pPr>
      <w:bookmarkStart w:id="201" w:name="_Toc142742693"/>
      <w:bookmarkStart w:id="202" w:name="_Toc162950897"/>
      <w:r w:rsidRPr="00221992">
        <w:rPr>
          <w:lang w:val="en-GB"/>
        </w:rPr>
        <w:t>MEAs for medical devices</w:t>
      </w:r>
      <w:bookmarkEnd w:id="201"/>
      <w:bookmarkEnd w:id="202"/>
      <w:r w:rsidR="008A6310">
        <w:rPr>
          <w:lang w:val="en-GB"/>
        </w:rPr>
        <w:t xml:space="preserve"> </w:t>
      </w:r>
    </w:p>
    <w:p w14:paraId="17B06442" w14:textId="3ADB2D85" w:rsidR="00F01DE4" w:rsidRPr="00221992" w:rsidRDefault="008721AE" w:rsidP="00706F49">
      <w:pPr>
        <w:rPr>
          <w:lang w:val="en-GB"/>
        </w:rPr>
      </w:pPr>
      <w:r w:rsidRPr="00221992">
        <w:rPr>
          <w:lang w:val="en-GB"/>
        </w:rPr>
        <w:t>Use</w:t>
      </w:r>
      <w:r w:rsidR="009569AD" w:rsidRPr="00221992">
        <w:rPr>
          <w:lang w:val="en-GB"/>
        </w:rPr>
        <w:t xml:space="preserve"> of MEAs related </w:t>
      </w:r>
      <w:r w:rsidRPr="00221992">
        <w:rPr>
          <w:lang w:val="en-GB"/>
        </w:rPr>
        <w:t xml:space="preserve">to the reimbursement of </w:t>
      </w:r>
      <w:r w:rsidR="009569AD" w:rsidRPr="00221992">
        <w:rPr>
          <w:lang w:val="en-GB"/>
        </w:rPr>
        <w:t>medical devices</w:t>
      </w:r>
      <w:r w:rsidR="00D35505" w:rsidRPr="00221992">
        <w:rPr>
          <w:lang w:val="en-GB"/>
        </w:rPr>
        <w:t xml:space="preserve"> is relatively more common</w:t>
      </w:r>
      <w:r w:rsidR="009569AD" w:rsidRPr="00221992">
        <w:rPr>
          <w:lang w:val="en-GB"/>
        </w:rPr>
        <w:t xml:space="preserve"> </w:t>
      </w:r>
      <w:r w:rsidR="00D35505" w:rsidRPr="00221992">
        <w:rPr>
          <w:lang w:val="en-GB"/>
        </w:rPr>
        <w:t>in Japan, South Korea, the</w:t>
      </w:r>
      <w:r w:rsidR="009569AD" w:rsidRPr="00221992">
        <w:rPr>
          <w:lang w:val="en-GB"/>
        </w:rPr>
        <w:t xml:space="preserve"> UK and the US</w:t>
      </w:r>
      <w:r w:rsidR="00D35505" w:rsidRPr="00221992">
        <w:rPr>
          <w:lang w:val="en-GB"/>
        </w:rPr>
        <w:t xml:space="preserve"> </w:t>
      </w:r>
      <w:r w:rsidRPr="00221992">
        <w:rPr>
          <w:lang w:val="en-GB"/>
        </w:rPr>
        <w:fldChar w:fldCharType="begin"/>
      </w:r>
      <w:r w:rsidR="005A67DD" w:rsidRPr="00221992">
        <w:rPr>
          <w:lang w:val="en-GB"/>
        </w:rPr>
        <w:instrText xml:space="preserve"> ADDIN EN.CITE &lt;EndNote&gt;&lt;Cite&gt;&lt;Author&gt;Wenzl M&lt;/Author&gt;&lt;Year&gt;2019&lt;/Year&gt;&lt;RecNum&gt;477&lt;/RecNum&gt;&lt;DisplayText&gt;[6]&lt;/DisplayText&gt;&lt;record&gt;&lt;rec-number&gt;477&lt;/rec-number&gt;&lt;foreign-keys&gt;&lt;key app="EN" db-id="wzwwsfxe4peesxef95cxvrwjxts9rreasarf" timestamp="1692654671"&gt;477&lt;/key&gt;&lt;/foreign-keys&gt;&lt;ref-type name="Book Section"&gt;5&lt;/ref-type&gt;&lt;contributors&gt;&lt;authors&gt;&lt;author&gt;Wenzl M,&lt;/author&gt;&lt;author&gt;Chapman S.&lt;/author&gt;&lt;/authors&gt;&lt;/contributors&gt;&lt;titles&gt;&lt;title&gt;Performance-Based Managed Entry Agreements For New Medicines in OECD Countries and EU Member States: How They Work and Possible Improvements Going Forward.&lt;/title&gt;&lt;secondary-title&gt;OECD Health Working Papers,&lt;/secondary-title&gt;&lt;/titles&gt;&lt;volume&gt;No. 115&lt;/volume&gt;&lt;dates&gt;&lt;year&gt;2019&lt;/year&gt;&lt;/dates&gt;&lt;pub-location&gt;Paris&lt;/pub-location&gt;&lt;publisher&gt;OECD Publishing&lt;/publisher&gt;&lt;urls&gt;&lt;related-urls&gt;&lt;url&gt;https://www.oecd-ilibrary.org/content/paper/6e5e4c0f-en&lt;/url&gt;&lt;/related-urls&gt;&lt;/urls&gt;&lt;electronic-resource-num&gt;doi:https://doi.org/10.1787/6e5e4c0f-en&lt;/electronic-resource-num&gt;&lt;/record&gt;&lt;/Cite&gt;&lt;/EndNote&gt;</w:instrText>
      </w:r>
      <w:r w:rsidRPr="00221992">
        <w:rPr>
          <w:lang w:val="en-GB"/>
        </w:rPr>
        <w:fldChar w:fldCharType="separate"/>
      </w:r>
      <w:r w:rsidR="005A67DD" w:rsidRPr="00221992">
        <w:rPr>
          <w:noProof/>
          <w:lang w:val="en-GB"/>
        </w:rPr>
        <w:t>[6]</w:t>
      </w:r>
      <w:r w:rsidRPr="00221992">
        <w:rPr>
          <w:lang w:val="en-GB"/>
        </w:rPr>
        <w:fldChar w:fldCharType="end"/>
      </w:r>
      <w:r w:rsidR="00532B91" w:rsidRPr="00221992">
        <w:rPr>
          <w:lang w:val="en-GB"/>
        </w:rPr>
        <w:t xml:space="preserve">. </w:t>
      </w:r>
      <w:r w:rsidR="00F01DE4" w:rsidRPr="00221992">
        <w:rPr>
          <w:lang w:val="en-GB"/>
        </w:rPr>
        <w:t xml:space="preserve">In the UK, </w:t>
      </w:r>
      <w:r w:rsidR="00532B91" w:rsidRPr="00221992">
        <w:rPr>
          <w:lang w:val="en-GB"/>
        </w:rPr>
        <w:t xml:space="preserve">for example, </w:t>
      </w:r>
      <w:r w:rsidR="00F01DE4" w:rsidRPr="00221992">
        <w:rPr>
          <w:lang w:val="en-GB"/>
        </w:rPr>
        <w:t xml:space="preserve">the PAS framework </w:t>
      </w:r>
      <w:r w:rsidR="00D35505" w:rsidRPr="00221992">
        <w:rPr>
          <w:lang w:val="en-GB"/>
        </w:rPr>
        <w:t xml:space="preserve">is used to </w:t>
      </w:r>
      <w:r w:rsidR="00F01DE4" w:rsidRPr="00221992">
        <w:rPr>
          <w:lang w:val="en-GB"/>
        </w:rPr>
        <w:t>evaluate and reimburses medical devices</w:t>
      </w:r>
      <w:r w:rsidR="00007154" w:rsidRPr="00221992">
        <w:rPr>
          <w:lang w:val="en-GB"/>
        </w:rPr>
        <w:t>, and</w:t>
      </w:r>
      <w:r w:rsidR="00F01DE4" w:rsidRPr="00221992">
        <w:rPr>
          <w:lang w:val="en-GB"/>
        </w:rPr>
        <w:t xml:space="preserve"> </w:t>
      </w:r>
      <w:r w:rsidR="00007154" w:rsidRPr="00221992">
        <w:rPr>
          <w:lang w:val="en-GB"/>
        </w:rPr>
        <w:t xml:space="preserve">regularly </w:t>
      </w:r>
      <w:r w:rsidR="00F01DE4" w:rsidRPr="00221992">
        <w:rPr>
          <w:lang w:val="en-GB"/>
        </w:rPr>
        <w:t>incorporat</w:t>
      </w:r>
      <w:r w:rsidR="00007154" w:rsidRPr="00221992">
        <w:rPr>
          <w:lang w:val="en-GB"/>
        </w:rPr>
        <w:t>e</w:t>
      </w:r>
      <w:r w:rsidR="00F01DE4" w:rsidRPr="00221992">
        <w:rPr>
          <w:lang w:val="en-GB"/>
        </w:rPr>
        <w:t xml:space="preserve"> MEAs such as CED. </w:t>
      </w:r>
      <w:r w:rsidR="00884777" w:rsidRPr="00221992">
        <w:rPr>
          <w:lang w:val="en-GB"/>
        </w:rPr>
        <w:t>Such agreements</w:t>
      </w:r>
      <w:r w:rsidR="00F01DE4" w:rsidRPr="00221992">
        <w:rPr>
          <w:lang w:val="en-GB"/>
        </w:rPr>
        <w:t xml:space="preserve"> facilitate patient access to innovative medical devices while generating additional evidence to address uncertainties</w:t>
      </w:r>
      <w:r w:rsidR="00884777" w:rsidRPr="00221992">
        <w:rPr>
          <w:lang w:val="en-GB"/>
        </w:rPr>
        <w:t xml:space="preserve"> in the evaluation of their </w:t>
      </w:r>
      <w:r w:rsidR="003F0954" w:rsidRPr="00221992">
        <w:rPr>
          <w:lang w:val="en-GB"/>
        </w:rPr>
        <w:t xml:space="preserve">clinical and </w:t>
      </w:r>
      <w:r w:rsidR="00884777" w:rsidRPr="00221992">
        <w:rPr>
          <w:lang w:val="en-GB"/>
        </w:rPr>
        <w:t>cost-effectiveness</w:t>
      </w:r>
      <w:r w:rsidR="00F01DE4" w:rsidRPr="00221992">
        <w:rPr>
          <w:lang w:val="en-GB"/>
        </w:rPr>
        <w:t>.</w:t>
      </w:r>
    </w:p>
    <w:p w14:paraId="3EE3F239" w14:textId="419EC5C0" w:rsidR="00F01DE4" w:rsidRPr="00221992" w:rsidRDefault="00F01DE4" w:rsidP="00706F49">
      <w:pPr>
        <w:rPr>
          <w:lang w:val="en-GB"/>
        </w:rPr>
      </w:pPr>
      <w:r w:rsidRPr="00221992">
        <w:rPr>
          <w:lang w:val="en-GB"/>
        </w:rPr>
        <w:t xml:space="preserve">Korea </w:t>
      </w:r>
      <w:r w:rsidR="001B707F" w:rsidRPr="00221992">
        <w:rPr>
          <w:lang w:val="en-GB"/>
        </w:rPr>
        <w:t xml:space="preserve">has </w:t>
      </w:r>
      <w:r w:rsidRPr="00221992">
        <w:rPr>
          <w:lang w:val="en-GB"/>
        </w:rPr>
        <w:t>employ</w:t>
      </w:r>
      <w:r w:rsidR="001B707F" w:rsidRPr="00221992">
        <w:rPr>
          <w:lang w:val="en-GB"/>
        </w:rPr>
        <w:t>ed</w:t>
      </w:r>
      <w:r w:rsidRPr="00221992">
        <w:rPr>
          <w:lang w:val="en-GB"/>
        </w:rPr>
        <w:t xml:space="preserve"> MEAs for medical devices through</w:t>
      </w:r>
      <w:r w:rsidR="00532B91" w:rsidRPr="00221992">
        <w:rPr>
          <w:lang w:val="en-GB"/>
        </w:rPr>
        <w:t xml:space="preserve"> its </w:t>
      </w:r>
      <w:r w:rsidRPr="00221992">
        <w:rPr>
          <w:lang w:val="en-GB"/>
        </w:rPr>
        <w:t>Medical Benefit Evaluation (MBE) system. HIRA evaluates the clinical and economic value of medical devices and</w:t>
      </w:r>
      <w:r w:rsidR="003F0954" w:rsidRPr="00221992">
        <w:rPr>
          <w:lang w:val="en-GB"/>
        </w:rPr>
        <w:t>, where</w:t>
      </w:r>
      <w:r w:rsidRPr="00221992">
        <w:rPr>
          <w:lang w:val="en-GB"/>
        </w:rPr>
        <w:t xml:space="preserve"> uncertainties </w:t>
      </w:r>
      <w:r w:rsidR="003F0954" w:rsidRPr="00221992">
        <w:rPr>
          <w:lang w:val="en-GB"/>
        </w:rPr>
        <w:t>are identified</w:t>
      </w:r>
      <w:r w:rsidRPr="00221992">
        <w:rPr>
          <w:lang w:val="en-GB"/>
        </w:rPr>
        <w:t xml:space="preserve">, MEAs </w:t>
      </w:r>
      <w:r w:rsidR="003F0954" w:rsidRPr="00221992">
        <w:rPr>
          <w:lang w:val="en-GB"/>
        </w:rPr>
        <w:t>may be</w:t>
      </w:r>
      <w:r w:rsidRPr="00221992">
        <w:rPr>
          <w:lang w:val="en-GB"/>
        </w:rPr>
        <w:t xml:space="preserve"> </w:t>
      </w:r>
      <w:r w:rsidR="003F0954" w:rsidRPr="00221992">
        <w:rPr>
          <w:lang w:val="en-GB"/>
        </w:rPr>
        <w:t>used</w:t>
      </w:r>
      <w:r w:rsidRPr="00221992">
        <w:rPr>
          <w:lang w:val="en-GB"/>
        </w:rPr>
        <w:t xml:space="preserve"> to </w:t>
      </w:r>
      <w:r w:rsidR="003F0954" w:rsidRPr="00221992">
        <w:rPr>
          <w:lang w:val="en-GB"/>
        </w:rPr>
        <w:t>stipulate</w:t>
      </w:r>
      <w:r w:rsidRPr="00221992">
        <w:rPr>
          <w:lang w:val="en-GB"/>
        </w:rPr>
        <w:t xml:space="preserve"> pricing</w:t>
      </w:r>
      <w:r w:rsidR="003F0954" w:rsidRPr="00221992">
        <w:rPr>
          <w:lang w:val="en-GB"/>
        </w:rPr>
        <w:t xml:space="preserve"> parameters</w:t>
      </w:r>
      <w:r w:rsidRPr="00221992">
        <w:rPr>
          <w:lang w:val="en-GB"/>
        </w:rPr>
        <w:t>, data collection requirements and conditional coverage</w:t>
      </w:r>
      <w:r w:rsidR="003F0954" w:rsidRPr="00221992">
        <w:rPr>
          <w:lang w:val="en-GB"/>
        </w:rPr>
        <w:t xml:space="preserve"> conditions</w:t>
      </w:r>
      <w:r w:rsidRPr="00221992">
        <w:rPr>
          <w:lang w:val="en-GB"/>
        </w:rPr>
        <w:t xml:space="preserve">. </w:t>
      </w:r>
      <w:r w:rsidR="0086510D" w:rsidRPr="00221992">
        <w:rPr>
          <w:lang w:val="en-GB"/>
        </w:rPr>
        <w:t xml:space="preserve">Decisions are reviewed every </w:t>
      </w:r>
      <w:r w:rsidR="003F0954" w:rsidRPr="00221992">
        <w:rPr>
          <w:lang w:val="en-GB"/>
        </w:rPr>
        <w:t>five</w:t>
      </w:r>
      <w:r w:rsidR="0086510D" w:rsidRPr="00221992">
        <w:rPr>
          <w:lang w:val="en-GB"/>
        </w:rPr>
        <w:t xml:space="preserve"> years and </w:t>
      </w:r>
      <w:r w:rsidR="00AB2BDE" w:rsidRPr="00221992">
        <w:rPr>
          <w:lang w:val="en-GB"/>
        </w:rPr>
        <w:t xml:space="preserve">with sufficient evidence, </w:t>
      </w:r>
      <w:r w:rsidR="0086510D" w:rsidRPr="00221992">
        <w:rPr>
          <w:lang w:val="en-GB"/>
        </w:rPr>
        <w:t>device</w:t>
      </w:r>
      <w:r w:rsidR="00AB2BDE" w:rsidRPr="00221992">
        <w:rPr>
          <w:lang w:val="en-GB"/>
        </w:rPr>
        <w:t xml:space="preserve"> listings may become</w:t>
      </w:r>
      <w:r w:rsidR="0086510D" w:rsidRPr="00221992">
        <w:rPr>
          <w:lang w:val="en-GB"/>
        </w:rPr>
        <w:t xml:space="preserve"> </w:t>
      </w:r>
      <w:r w:rsidR="00551786">
        <w:rPr>
          <w:lang w:val="en-GB"/>
        </w:rPr>
        <w:t>‘</w:t>
      </w:r>
      <w:r w:rsidR="0086510D" w:rsidRPr="00221992">
        <w:rPr>
          <w:lang w:val="en-GB"/>
        </w:rPr>
        <w:t>unconditional</w:t>
      </w:r>
      <w:r w:rsidR="00551786">
        <w:rPr>
          <w:lang w:val="en-GB"/>
        </w:rPr>
        <w:t>’</w:t>
      </w:r>
      <w:r w:rsidR="0086510D" w:rsidRPr="00221992">
        <w:rPr>
          <w:lang w:val="en-GB"/>
        </w:rPr>
        <w:t xml:space="preserve"> </w:t>
      </w:r>
      <w:r w:rsidRPr="00221992">
        <w:rPr>
          <w:lang w:val="en-GB"/>
        </w:rPr>
        <w:fldChar w:fldCharType="begin"/>
      </w:r>
      <w:r w:rsidR="00E5265C">
        <w:rPr>
          <w:lang w:val="en-GB"/>
        </w:rPr>
        <w:instrText xml:space="preserve"> ADDIN EN.CITE &lt;EndNote&gt;&lt;Cite&gt;&lt;Author&gt;Kim&lt;/Author&gt;&lt;Year&gt;2023&lt;/Year&gt;&lt;RecNum&gt;259&lt;/RecNum&gt;&lt;DisplayText&gt;[192]&lt;/DisplayText&gt;&lt;record&gt;&lt;rec-number&gt;259&lt;/rec-number&gt;&lt;foreign-keys&gt;&lt;key app="EN" db-id="wzwwsfxe4peesxef95cxvrwjxts9rreasarf" timestamp="1692654670"&gt;259&lt;/key&gt;&lt;/foreign-keys&gt;&lt;ref-type name="Journal Article"&gt;17&lt;/ref-type&gt;&lt;contributors&gt;&lt;authors&gt;&lt;author&gt;Kim, H.&lt;/author&gt;&lt;author&gt;Godman, B.&lt;/author&gt;&lt;author&gt;Kwon, H. Y.&lt;/author&gt;&lt;author&gt;Hong, S. H.&lt;/author&gt;&lt;/authors&gt;&lt;/contributors&gt;&lt;auth-address&gt;College of Pharmacy, Seoul National University, Seoul, Republic of Korea&amp;#xD;Division of Pharmacoepidemiology, Strathclyde Institute of Pharmacy and Biomedical Sciences, University of Strathclyde, Glasgow, United Kingdom&amp;#xD;Division of Biology and Public Health, Mokwon University, Daejeon, Republic of Korea&lt;/auth-address&gt;&lt;titles&gt;&lt;title&gt;Introduction of managed entry agreements in Korea: Problem, policy, and politics&lt;/title&gt;&lt;secondary-title&gt;Front Pharmacol&lt;/secondary-title&gt;&lt;/titles&gt;&lt;periodical&gt;&lt;full-title&gt;Front Pharmacol&lt;/full-title&gt;&lt;/periodical&gt;&lt;volume&gt;14&lt;/volume&gt;&lt;edition&gt;20230413&lt;/edition&gt;&lt;dates&gt;&lt;year&gt;2023&lt;/year&gt;&lt;/dates&gt;&lt;accession-num&gt;37124231&lt;/accession-num&gt;&lt;urls&gt;&lt;/urls&gt;&lt;custom2&gt;PMC10133550&lt;/custom2&gt;&lt;electronic-resource-num&gt;10.3389/fphar.2023.999220&lt;/electronic-resource-num&gt;&lt;language&gt;eng&lt;/language&gt;&lt;/record&gt;&lt;/Cite&gt;&lt;/EndNote&gt;</w:instrText>
      </w:r>
      <w:r w:rsidRPr="00221992">
        <w:rPr>
          <w:lang w:val="en-GB"/>
        </w:rPr>
        <w:fldChar w:fldCharType="separate"/>
      </w:r>
      <w:r w:rsidR="00E5265C">
        <w:rPr>
          <w:noProof/>
          <w:lang w:val="en-GB"/>
        </w:rPr>
        <w:t>[192]</w:t>
      </w:r>
      <w:r w:rsidRPr="00221992">
        <w:rPr>
          <w:lang w:val="en-GB"/>
        </w:rPr>
        <w:fldChar w:fldCharType="end"/>
      </w:r>
      <w:r w:rsidR="0086510D" w:rsidRPr="00221992">
        <w:rPr>
          <w:lang w:val="en-GB"/>
        </w:rPr>
        <w:t xml:space="preserve">. </w:t>
      </w:r>
    </w:p>
    <w:p w14:paraId="49D04B66" w14:textId="67F0816E" w:rsidR="00F01DE4" w:rsidRPr="00221992" w:rsidRDefault="00F01DE4" w:rsidP="00706F49">
      <w:pPr>
        <w:rPr>
          <w:lang w:val="en-GB"/>
        </w:rPr>
      </w:pPr>
      <w:r w:rsidRPr="00221992">
        <w:rPr>
          <w:lang w:val="en-GB"/>
        </w:rPr>
        <w:t>Japan</w:t>
      </w:r>
      <w:r w:rsidR="00551786">
        <w:rPr>
          <w:lang w:val="en-GB"/>
        </w:rPr>
        <w:t>’</w:t>
      </w:r>
      <w:r w:rsidR="00AB2BDE" w:rsidRPr="00221992">
        <w:rPr>
          <w:lang w:val="en-GB"/>
        </w:rPr>
        <w:t xml:space="preserve">s </w:t>
      </w:r>
      <w:r w:rsidR="00551786">
        <w:rPr>
          <w:lang w:val="en-GB"/>
        </w:rPr>
        <w:t>‘</w:t>
      </w:r>
      <w:r w:rsidRPr="00221992">
        <w:rPr>
          <w:lang w:val="en-GB"/>
        </w:rPr>
        <w:t>Conditional Coverage</w:t>
      </w:r>
      <w:r w:rsidR="00551786">
        <w:rPr>
          <w:lang w:val="en-GB"/>
        </w:rPr>
        <w:t>’</w:t>
      </w:r>
      <w:r w:rsidRPr="00221992">
        <w:rPr>
          <w:lang w:val="en-GB"/>
        </w:rPr>
        <w:t xml:space="preserve"> system for medical devices allows for conditional reimbursement based on the collection of </w:t>
      </w:r>
      <w:r w:rsidR="00A5028B" w:rsidRPr="00221992">
        <w:rPr>
          <w:lang w:val="en-GB"/>
        </w:rPr>
        <w:t>RWE</w:t>
      </w:r>
      <w:r w:rsidRPr="00221992">
        <w:rPr>
          <w:lang w:val="en-GB"/>
        </w:rPr>
        <w:t xml:space="preserve">. Manufacturers are </w:t>
      </w:r>
      <w:r w:rsidR="00586188" w:rsidRPr="00221992">
        <w:rPr>
          <w:lang w:val="en-GB"/>
        </w:rPr>
        <w:t>obligated</w:t>
      </w:r>
      <w:r w:rsidRPr="00221992">
        <w:rPr>
          <w:lang w:val="en-GB"/>
        </w:rPr>
        <w:t xml:space="preserve"> to </w:t>
      </w:r>
      <w:r w:rsidR="00586188" w:rsidRPr="00221992">
        <w:rPr>
          <w:lang w:val="en-GB"/>
        </w:rPr>
        <w:t>undertake</w:t>
      </w:r>
      <w:r w:rsidRPr="00221992">
        <w:rPr>
          <w:lang w:val="en-GB"/>
        </w:rPr>
        <w:t xml:space="preserve"> post-market studies or registries to gather data on the device</w:t>
      </w:r>
      <w:r w:rsidR="00551786">
        <w:rPr>
          <w:lang w:val="en-GB"/>
        </w:rPr>
        <w:t>’</w:t>
      </w:r>
      <w:r w:rsidRPr="00221992">
        <w:rPr>
          <w:lang w:val="en-GB"/>
        </w:rPr>
        <w:t>s effectiveness, safety and other relevant outcomes. Th</w:t>
      </w:r>
      <w:r w:rsidR="00CA6E8E" w:rsidRPr="00221992">
        <w:rPr>
          <w:lang w:val="en-GB"/>
        </w:rPr>
        <w:t>is</w:t>
      </w:r>
      <w:r w:rsidRPr="00221992">
        <w:rPr>
          <w:lang w:val="en-GB"/>
        </w:rPr>
        <w:t xml:space="preserve"> data is </w:t>
      </w:r>
      <w:r w:rsidR="00CA6E8E" w:rsidRPr="00221992">
        <w:rPr>
          <w:lang w:val="en-GB"/>
        </w:rPr>
        <w:t>then</w:t>
      </w:r>
      <w:r w:rsidRPr="00221992">
        <w:rPr>
          <w:lang w:val="en-GB"/>
        </w:rPr>
        <w:t xml:space="preserve"> </w:t>
      </w:r>
      <w:r w:rsidR="00CA6E8E" w:rsidRPr="00221992">
        <w:rPr>
          <w:lang w:val="en-GB"/>
        </w:rPr>
        <w:t>used to assess</w:t>
      </w:r>
      <w:r w:rsidRPr="00221992">
        <w:rPr>
          <w:lang w:val="en-GB"/>
        </w:rPr>
        <w:t xml:space="preserve"> long-term coverage of the device</w:t>
      </w:r>
      <w:r w:rsidR="00CA6E8E" w:rsidRPr="00221992">
        <w:rPr>
          <w:lang w:val="en-GB"/>
        </w:rPr>
        <w:t xml:space="preserve"> </w:t>
      </w:r>
      <w:r w:rsidR="00653F87" w:rsidRPr="00221992">
        <w:rPr>
          <w:lang w:val="en-GB"/>
        </w:rPr>
        <w:fldChar w:fldCharType="begin"/>
      </w:r>
      <w:r w:rsidR="00E5265C">
        <w:rPr>
          <w:lang w:val="en-GB"/>
        </w:rPr>
        <w:instrText xml:space="preserve"> ADDIN EN.CITE &lt;EndNote&gt;&lt;Cite&gt;&lt;Author&gt;Myung&lt;/Author&gt;&lt;Year&gt;2021&lt;/Year&gt;&lt;RecNum&gt;340&lt;/RecNum&gt;&lt;DisplayText&gt;[193]&lt;/DisplayText&gt;&lt;record&gt;&lt;rec-number&gt;340&lt;/rec-number&gt;&lt;foreign-keys&gt;&lt;key app="EN" db-id="wzwwsfxe4peesxef95cxvrwjxts9rreasarf" timestamp="1692654670"&gt;340&lt;/key&gt;&lt;/foreign-keys&gt;&lt;ref-type name="Journal Article"&gt;17&lt;/ref-type&gt;&lt;contributors&gt;&lt;authors&gt;&lt;author&gt;Myung, J. E.&lt;/author&gt;&lt;author&gt;Tanaka, Y.&lt;/author&gt;&lt;author&gt;Choi, H.&lt;/author&gt;&lt;author&gt;Strachan, L.&lt;/author&gt;&lt;author&gt;Watanuki, T.&lt;/author&gt;&lt;author&gt;Lee, J. H.&lt;/author&gt;&lt;author&gt;Hwang, H.&lt;/author&gt;&lt;author&gt;Lee, S. S.&lt;/author&gt;&lt;/authors&gt;&lt;/contributors&gt;&lt;auth-address&gt;Healthcare Economics and Government Affairs, Medtronic Korea Ltd., Seoul, South Korea&amp;#xD;Healthcare Economics and Government Affairs, Medtronic Japan Ltd., Tokyo, Japan&amp;#xD;Global Health Policy, Medtronic Australasia Pty Ltd., Sydney, Australia&lt;/auth-address&gt;&lt;titles&gt;&lt;title&gt;Coverage with Evidence Development Programs for Medical Technologies in Asia-Pacific Regions: A Case Study of Japan and South Korea&lt;/title&gt;&lt;secondary-title&gt;Jma j&lt;/secondary-title&gt;&lt;/titles&gt;&lt;periodical&gt;&lt;full-title&gt;Jma j&lt;/full-title&gt;&lt;/periodical&gt;&lt;pages&gt;311-20&lt;/pages&gt;&lt;volume&gt;4&lt;/volume&gt;&lt;number&gt;4&lt;/number&gt;&lt;edition&gt;20210913&lt;/edition&gt;&lt;dates&gt;&lt;year&gt;2021&lt;/year&gt;&lt;pub-dates&gt;&lt;date&gt;Oct 15&lt;/date&gt;&lt;/pub-dates&gt;&lt;/dates&gt;&lt;isbn&gt;2433-328X (Print)&lt;/isbn&gt;&lt;accession-num&gt;34796285&lt;/accession-num&gt;&lt;urls&gt;&lt;related-urls&gt;&lt;url&gt;https://www.ncbi.nlm.nih.gov/pmc/articles/PMC8580702/pdf/2433-3298-4-4-0311.pdf&lt;/url&gt;&lt;/related-urls&gt;&lt;/urls&gt;&lt;custom2&gt;PMC8580702&lt;/custom2&gt;&lt;electronic-resource-num&gt;10.31662/jmaj.2021-0011&lt;/electronic-resource-num&gt;&lt;language&gt;eng&lt;/language&gt;&lt;/record&gt;&lt;/Cite&gt;&lt;/EndNote&gt;</w:instrText>
      </w:r>
      <w:r w:rsidR="00653F87" w:rsidRPr="00221992">
        <w:rPr>
          <w:lang w:val="en-GB"/>
        </w:rPr>
        <w:fldChar w:fldCharType="separate"/>
      </w:r>
      <w:r w:rsidR="00E5265C">
        <w:rPr>
          <w:noProof/>
          <w:lang w:val="en-GB"/>
        </w:rPr>
        <w:t>[193]</w:t>
      </w:r>
      <w:r w:rsidR="00653F87" w:rsidRPr="00221992">
        <w:rPr>
          <w:lang w:val="en-GB"/>
        </w:rPr>
        <w:fldChar w:fldCharType="end"/>
      </w:r>
      <w:r w:rsidRPr="00221992">
        <w:rPr>
          <w:lang w:val="en-GB"/>
        </w:rPr>
        <w:t>. Japan</w:t>
      </w:r>
      <w:r w:rsidR="00551786">
        <w:rPr>
          <w:lang w:val="en-GB"/>
        </w:rPr>
        <w:t>’</w:t>
      </w:r>
      <w:r w:rsidRPr="00221992">
        <w:rPr>
          <w:lang w:val="en-GB"/>
        </w:rPr>
        <w:t xml:space="preserve">s approach to MEAs for medical devices </w:t>
      </w:r>
      <w:r w:rsidR="00CA6E8E" w:rsidRPr="00221992">
        <w:rPr>
          <w:lang w:val="en-GB"/>
        </w:rPr>
        <w:t>is further elaborated in the case study</w:t>
      </w:r>
      <w:r w:rsidRPr="00221992">
        <w:rPr>
          <w:lang w:val="en-GB"/>
        </w:rPr>
        <w:t xml:space="preserve"> below.</w:t>
      </w:r>
    </w:p>
    <w:p w14:paraId="14F1133B" w14:textId="77A15543" w:rsidR="00C70DDF" w:rsidRPr="00221992" w:rsidRDefault="00C70DDF" w:rsidP="00706F49">
      <w:pPr>
        <w:rPr>
          <w:rFonts w:ascii="Calibri" w:hAnsi="Calibri" w:cs="Calibri"/>
          <w:b/>
          <w:lang w:val="en-GB"/>
        </w:rPr>
      </w:pPr>
      <w:bookmarkStart w:id="203" w:name="_Toc142742694"/>
      <w:r w:rsidRPr="00221992">
        <w:rPr>
          <w:rFonts w:ascii="Calibri" w:hAnsi="Calibri" w:cs="Calibri"/>
          <w:b/>
          <w:lang w:val="en-GB"/>
        </w:rPr>
        <w:t>Case Study</w:t>
      </w:r>
      <w:r w:rsidR="006C5D17" w:rsidRPr="00221992">
        <w:rPr>
          <w:rFonts w:ascii="Calibri" w:hAnsi="Calibri" w:cs="Calibri"/>
          <w:b/>
          <w:lang w:val="en-GB"/>
        </w:rPr>
        <w:t>: C</w:t>
      </w:r>
      <w:r w:rsidR="00117104" w:rsidRPr="00221992">
        <w:rPr>
          <w:rFonts w:ascii="Calibri" w:hAnsi="Calibri" w:cs="Calibri"/>
          <w:b/>
          <w:lang w:val="en-GB"/>
        </w:rPr>
        <w:t xml:space="preserve">onditional coverage for medical devices </w:t>
      </w:r>
      <w:r w:rsidR="006C5D17" w:rsidRPr="00221992">
        <w:rPr>
          <w:rFonts w:ascii="Calibri" w:hAnsi="Calibri" w:cs="Calibri"/>
          <w:b/>
          <w:lang w:val="en-GB"/>
        </w:rPr>
        <w:t>in Japan</w:t>
      </w:r>
      <w:bookmarkEnd w:id="203"/>
    </w:p>
    <w:p w14:paraId="7F1FF8BD" w14:textId="729F0A11" w:rsidR="00B145AA" w:rsidRPr="00221992" w:rsidRDefault="00B145AA" w:rsidP="005927FC">
      <w:pPr>
        <w:rPr>
          <w:lang w:val="en-GB"/>
        </w:rPr>
      </w:pPr>
      <w:r w:rsidRPr="00221992">
        <w:rPr>
          <w:lang w:val="en-GB"/>
        </w:rPr>
        <w:t xml:space="preserve">In 2018, </w:t>
      </w:r>
      <w:r w:rsidR="00CA6E8E" w:rsidRPr="00221992">
        <w:rPr>
          <w:lang w:val="en-GB"/>
        </w:rPr>
        <w:t>Japan</w:t>
      </w:r>
      <w:r w:rsidR="00551786">
        <w:rPr>
          <w:lang w:val="en-GB"/>
        </w:rPr>
        <w:t>’</w:t>
      </w:r>
      <w:r w:rsidR="00CA6E8E" w:rsidRPr="00221992">
        <w:rPr>
          <w:lang w:val="en-GB"/>
        </w:rPr>
        <w:t>s</w:t>
      </w:r>
      <w:r w:rsidRPr="00221992">
        <w:rPr>
          <w:lang w:val="en-GB"/>
        </w:rPr>
        <w:t xml:space="preserve"> Ministry of Health, Labour and Welfare (MHLW) introduced the </w:t>
      </w:r>
      <w:r w:rsidR="00551786">
        <w:rPr>
          <w:lang w:val="en-GB"/>
        </w:rPr>
        <w:t>‘</w:t>
      </w:r>
      <w:r w:rsidRPr="00221992">
        <w:rPr>
          <w:lang w:val="en-GB"/>
        </w:rPr>
        <w:t>Challenge Application</w:t>
      </w:r>
      <w:r w:rsidR="00551786">
        <w:rPr>
          <w:lang w:val="en-GB"/>
        </w:rPr>
        <w:t>’</w:t>
      </w:r>
      <w:r w:rsidRPr="00221992">
        <w:rPr>
          <w:lang w:val="en-GB"/>
        </w:rPr>
        <w:t xml:space="preserve"> program, a</w:t>
      </w:r>
      <w:r w:rsidR="00DB6960" w:rsidRPr="00221992">
        <w:rPr>
          <w:lang w:val="en-GB"/>
        </w:rPr>
        <w:t>n</w:t>
      </w:r>
      <w:r w:rsidRPr="00221992">
        <w:rPr>
          <w:lang w:val="en-GB"/>
        </w:rPr>
        <w:t xml:space="preserve"> initiative </w:t>
      </w:r>
      <w:r w:rsidR="00DB6960" w:rsidRPr="00221992">
        <w:rPr>
          <w:lang w:val="en-GB"/>
        </w:rPr>
        <w:t>to</w:t>
      </w:r>
      <w:r w:rsidRPr="00221992">
        <w:rPr>
          <w:lang w:val="en-GB"/>
        </w:rPr>
        <w:t xml:space="preserve"> address specific challenges associated with evaluating the value and cost-effectiveness of new medical technologies, particularly non</w:t>
      </w:r>
      <w:r w:rsidR="00DB6960" w:rsidRPr="00221992">
        <w:rPr>
          <w:lang w:val="en-GB"/>
        </w:rPr>
        <w:t>-</w:t>
      </w:r>
      <w:r w:rsidRPr="00221992">
        <w:rPr>
          <w:lang w:val="en-GB"/>
        </w:rPr>
        <w:t>drug medical technologies. These technologies, which include implantable or disposable medical devices, surgical equipment, and in vitro diagnostics, possess distinct characteristics that require different approach</w:t>
      </w:r>
      <w:r w:rsidR="00C90A7F" w:rsidRPr="00221992">
        <w:rPr>
          <w:lang w:val="en-GB"/>
        </w:rPr>
        <w:t>es to evaluation relative</w:t>
      </w:r>
      <w:r w:rsidRPr="00221992">
        <w:rPr>
          <w:lang w:val="en-GB"/>
        </w:rPr>
        <w:t xml:space="preserve"> to pharmaceuticals</w:t>
      </w:r>
      <w:r w:rsidR="00B24505" w:rsidRPr="00221992">
        <w:rPr>
          <w:lang w:val="en-GB"/>
        </w:rPr>
        <w:t xml:space="preserve"> </w:t>
      </w:r>
      <w:r w:rsidR="00653F87" w:rsidRPr="00221992">
        <w:rPr>
          <w:lang w:val="en-GB"/>
        </w:rPr>
        <w:fldChar w:fldCharType="begin"/>
      </w:r>
      <w:r w:rsidR="00E5265C">
        <w:rPr>
          <w:lang w:val="en-GB"/>
        </w:rPr>
        <w:instrText xml:space="preserve"> ADDIN EN.CITE &lt;EndNote&gt;&lt;Cite&gt;&lt;Author&gt;Myung&lt;/Author&gt;&lt;Year&gt;2021&lt;/Year&gt;&lt;RecNum&gt;340&lt;/RecNum&gt;&lt;DisplayText&gt;[193]&lt;/DisplayText&gt;&lt;record&gt;&lt;rec-number&gt;340&lt;/rec-number&gt;&lt;foreign-keys&gt;&lt;key app="EN" db-id="wzwwsfxe4peesxef95cxvrwjxts9rreasarf" timestamp="1692654670"&gt;340&lt;/key&gt;&lt;/foreign-keys&gt;&lt;ref-type name="Journal Article"&gt;17&lt;/ref-type&gt;&lt;contributors&gt;&lt;authors&gt;&lt;author&gt;Myung, J. E.&lt;/author&gt;&lt;author&gt;Tanaka, Y.&lt;/author&gt;&lt;author&gt;Choi, H.&lt;/author&gt;&lt;author&gt;Strachan, L.&lt;/author&gt;&lt;author&gt;Watanuki, T.&lt;/author&gt;&lt;author&gt;Lee, J. H.&lt;/author&gt;&lt;author&gt;Hwang, H.&lt;/author&gt;&lt;author&gt;Lee, S. S.&lt;/author&gt;&lt;/authors&gt;&lt;/contributors&gt;&lt;auth-address&gt;Healthcare Economics and Government Affairs, Medtronic Korea Ltd., Seoul, South Korea&amp;#xD;Healthcare Economics and Government Affairs, Medtronic Japan Ltd., Tokyo, Japan&amp;#xD;Global Health Policy, Medtronic Australasia Pty Ltd., Sydney, Australia&lt;/auth-address&gt;&lt;titles&gt;&lt;title&gt;Coverage with Evidence Development Programs for Medical Technologies in Asia-Pacific Regions: A Case Study of Japan and South Korea&lt;/title&gt;&lt;secondary-title&gt;Jma j&lt;/secondary-title&gt;&lt;/titles&gt;&lt;periodical&gt;&lt;full-title&gt;Jma j&lt;/full-title&gt;&lt;/periodical&gt;&lt;pages&gt;311-20&lt;/pages&gt;&lt;volume&gt;4&lt;/volume&gt;&lt;number&gt;4&lt;/number&gt;&lt;edition&gt;20210913&lt;/edition&gt;&lt;dates&gt;&lt;year&gt;2021&lt;/year&gt;&lt;pub-dates&gt;&lt;date&gt;Oct 15&lt;/date&gt;&lt;/pub-dates&gt;&lt;/dates&gt;&lt;isbn&gt;2433-328X (Print)&lt;/isbn&gt;&lt;accession-num&gt;34796285&lt;/accession-num&gt;&lt;urls&gt;&lt;related-urls&gt;&lt;url&gt;https://www.ncbi.nlm.nih.gov/pmc/articles/PMC8580702/pdf/2433-3298-4-4-0311.pdf&lt;/url&gt;&lt;/related-urls&gt;&lt;/urls&gt;&lt;custom2&gt;PMC8580702&lt;/custom2&gt;&lt;electronic-resource-num&gt;10.31662/jmaj.2021-0011&lt;/electronic-resource-num&gt;&lt;language&gt;eng&lt;/language&gt;&lt;/record&gt;&lt;/Cite&gt;&lt;/EndNote&gt;</w:instrText>
      </w:r>
      <w:r w:rsidR="00653F87" w:rsidRPr="00221992">
        <w:rPr>
          <w:lang w:val="en-GB"/>
        </w:rPr>
        <w:fldChar w:fldCharType="separate"/>
      </w:r>
      <w:r w:rsidR="00E5265C">
        <w:rPr>
          <w:noProof/>
          <w:lang w:val="en-GB"/>
        </w:rPr>
        <w:t>[193]</w:t>
      </w:r>
      <w:r w:rsidR="00653F87" w:rsidRPr="00221992">
        <w:rPr>
          <w:lang w:val="en-GB"/>
        </w:rPr>
        <w:fldChar w:fldCharType="end"/>
      </w:r>
      <w:r w:rsidRPr="00221992">
        <w:rPr>
          <w:lang w:val="en-GB"/>
        </w:rPr>
        <w:t>.</w:t>
      </w:r>
      <w:r w:rsidR="00494581" w:rsidRPr="00221992">
        <w:rPr>
          <w:lang w:val="en-GB"/>
        </w:rPr>
        <w:t xml:space="preserve"> The program aims to tackle challenges in measuring the long-term benefits of products such as implantable technologies or highly innovative medical technologies before they are listed for coverage and reimbursement.</w:t>
      </w:r>
    </w:p>
    <w:p w14:paraId="21862983" w14:textId="3056A9B4" w:rsidR="00DA4CEB" w:rsidRPr="00221992" w:rsidRDefault="00DA4CEB" w:rsidP="005927FC">
      <w:pPr>
        <w:rPr>
          <w:lang w:val="en-GB"/>
        </w:rPr>
      </w:pPr>
      <w:r w:rsidRPr="00221992">
        <w:rPr>
          <w:lang w:val="en-GB"/>
        </w:rPr>
        <w:t xml:space="preserve">Under the CA program, medical technologies that lack </w:t>
      </w:r>
      <w:r w:rsidR="00494581" w:rsidRPr="00221992">
        <w:rPr>
          <w:lang w:val="en-GB"/>
        </w:rPr>
        <w:t>sufficient</w:t>
      </w:r>
      <w:r w:rsidRPr="00221992">
        <w:rPr>
          <w:lang w:val="en-GB"/>
        </w:rPr>
        <w:t xml:space="preserve"> clinical evidence at </w:t>
      </w:r>
      <w:r w:rsidR="00494581" w:rsidRPr="00221992">
        <w:rPr>
          <w:lang w:val="en-GB"/>
        </w:rPr>
        <w:t xml:space="preserve">the </w:t>
      </w:r>
      <w:r w:rsidRPr="00221992">
        <w:rPr>
          <w:lang w:val="en-GB"/>
        </w:rPr>
        <w:t>initial listing stage are eligible for re</w:t>
      </w:r>
      <w:r w:rsidR="008E4DEA" w:rsidRPr="00221992">
        <w:rPr>
          <w:lang w:val="en-GB"/>
        </w:rPr>
        <w:t>-</w:t>
      </w:r>
      <w:r w:rsidRPr="00221992">
        <w:rPr>
          <w:lang w:val="en-GB"/>
        </w:rPr>
        <w:t xml:space="preserve">evaluation </w:t>
      </w:r>
      <w:r w:rsidR="007442AB" w:rsidRPr="00221992">
        <w:rPr>
          <w:lang w:val="en-GB"/>
        </w:rPr>
        <w:t>once</w:t>
      </w:r>
      <w:r w:rsidRPr="00221992">
        <w:rPr>
          <w:lang w:val="en-GB"/>
        </w:rPr>
        <w:t xml:space="preserve"> evidence has been generated</w:t>
      </w:r>
      <w:r w:rsidR="00D64686" w:rsidRPr="00221992">
        <w:rPr>
          <w:lang w:val="en-GB"/>
        </w:rPr>
        <w:t xml:space="preserve">, facilitating </w:t>
      </w:r>
      <w:r w:rsidRPr="00221992">
        <w:rPr>
          <w:lang w:val="en-GB"/>
        </w:rPr>
        <w:t>earlier access</w:t>
      </w:r>
      <w:r w:rsidR="00D64686" w:rsidRPr="00221992">
        <w:rPr>
          <w:lang w:val="en-GB"/>
        </w:rPr>
        <w:t xml:space="preserve"> for patients</w:t>
      </w:r>
      <w:r w:rsidRPr="00221992">
        <w:rPr>
          <w:lang w:val="en-GB"/>
        </w:rPr>
        <w:t xml:space="preserve"> and </w:t>
      </w:r>
      <w:r w:rsidR="005D7779" w:rsidRPr="00221992">
        <w:rPr>
          <w:lang w:val="en-GB"/>
        </w:rPr>
        <w:t xml:space="preserve">enabling manufacturers to garner </w:t>
      </w:r>
      <w:r w:rsidRPr="00221992">
        <w:rPr>
          <w:lang w:val="en-GB"/>
        </w:rPr>
        <w:t>premium prices by proving clinical value with additional evidence.</w:t>
      </w:r>
      <w:r w:rsidR="003558D9" w:rsidRPr="00221992">
        <w:rPr>
          <w:rStyle w:val="FootnoteReference"/>
          <w:lang w:val="en-GB"/>
        </w:rPr>
        <w:footnoteReference w:id="18"/>
      </w:r>
    </w:p>
    <w:p w14:paraId="79D86F94" w14:textId="467C4ACE" w:rsidR="00B145AA" w:rsidRPr="00221992" w:rsidRDefault="00B145AA" w:rsidP="005927FC">
      <w:pPr>
        <w:rPr>
          <w:lang w:val="en-GB"/>
        </w:rPr>
      </w:pPr>
      <w:r w:rsidRPr="00221992">
        <w:rPr>
          <w:lang w:val="en-GB"/>
        </w:rPr>
        <w:t xml:space="preserve">Under the CA program, pharmaceutical companies and medical device manufacturers </w:t>
      </w:r>
      <w:r w:rsidR="005D7779" w:rsidRPr="00221992">
        <w:rPr>
          <w:lang w:val="en-GB"/>
        </w:rPr>
        <w:t>may</w:t>
      </w:r>
      <w:r w:rsidRPr="00221992">
        <w:rPr>
          <w:lang w:val="en-GB"/>
        </w:rPr>
        <w:t xml:space="preserve"> submit proposals for </w:t>
      </w:r>
      <w:r w:rsidR="00064F15" w:rsidRPr="00221992">
        <w:rPr>
          <w:lang w:val="en-GB"/>
        </w:rPr>
        <w:t>MEAs</w:t>
      </w:r>
      <w:r w:rsidRPr="00221992">
        <w:rPr>
          <w:lang w:val="en-GB"/>
        </w:rPr>
        <w:t xml:space="preserve"> as part of the reimbursement process.</w:t>
      </w:r>
      <w:r w:rsidR="00B60EA8" w:rsidRPr="00221992">
        <w:rPr>
          <w:lang w:val="en-GB"/>
        </w:rPr>
        <w:t xml:space="preserve"> </w:t>
      </w:r>
      <w:r w:rsidRPr="00221992">
        <w:rPr>
          <w:lang w:val="en-GB"/>
        </w:rPr>
        <w:t>These proposals outline the terms and conditions for the technology</w:t>
      </w:r>
      <w:r w:rsidR="00551786">
        <w:rPr>
          <w:lang w:val="en-GB"/>
        </w:rPr>
        <w:t>’</w:t>
      </w:r>
      <w:r w:rsidRPr="00221992">
        <w:rPr>
          <w:lang w:val="en-GB"/>
        </w:rPr>
        <w:t>s availability to patients, including pricing</w:t>
      </w:r>
      <w:r w:rsidR="009E54C9" w:rsidRPr="00221992">
        <w:rPr>
          <w:lang w:val="en-GB"/>
        </w:rPr>
        <w:t xml:space="preserve"> and plans for </w:t>
      </w:r>
      <w:r w:rsidRPr="00221992">
        <w:rPr>
          <w:lang w:val="en-GB"/>
        </w:rPr>
        <w:t xml:space="preserve">data collection and evaluation. The MHLW evaluates these proposals based on criteria </w:t>
      </w:r>
      <w:r w:rsidR="009E54C9" w:rsidRPr="00221992">
        <w:rPr>
          <w:lang w:val="en-GB"/>
        </w:rPr>
        <w:t>including</w:t>
      </w:r>
      <w:r w:rsidRPr="00221992">
        <w:rPr>
          <w:lang w:val="en-GB"/>
        </w:rPr>
        <w:t xml:space="preserve"> clinical need, scientific rationale, and the feasibility of data collection.</w:t>
      </w:r>
      <w:r w:rsidR="0031395C" w:rsidRPr="00221992">
        <w:rPr>
          <w:lang w:val="en-GB"/>
        </w:rPr>
        <w:t xml:space="preserve"> </w:t>
      </w:r>
      <w:r w:rsidR="00532B91" w:rsidRPr="00221992">
        <w:rPr>
          <w:lang w:val="en-GB"/>
        </w:rPr>
        <w:t xml:space="preserve">On approval, </w:t>
      </w:r>
      <w:r w:rsidRPr="00221992">
        <w:rPr>
          <w:lang w:val="en-GB"/>
        </w:rPr>
        <w:t>the technology is granted conditional coverage for a specific perio</w:t>
      </w:r>
      <w:r w:rsidR="00B64056" w:rsidRPr="00221992">
        <w:rPr>
          <w:lang w:val="en-GB"/>
        </w:rPr>
        <w:t xml:space="preserve">d, </w:t>
      </w:r>
      <w:r w:rsidR="001C769F" w:rsidRPr="00221992">
        <w:rPr>
          <w:lang w:val="en-GB"/>
        </w:rPr>
        <w:t xml:space="preserve">during </w:t>
      </w:r>
      <w:r w:rsidR="00B64056" w:rsidRPr="00221992">
        <w:rPr>
          <w:lang w:val="en-GB"/>
        </w:rPr>
        <w:t>which</w:t>
      </w:r>
      <w:r w:rsidRPr="00221992">
        <w:rPr>
          <w:lang w:val="en-GB"/>
        </w:rPr>
        <w:t xml:space="preserve"> the manufacturer is required to collect and submit </w:t>
      </w:r>
      <w:r w:rsidR="00EE5347" w:rsidRPr="00221992">
        <w:rPr>
          <w:lang w:val="en-GB"/>
        </w:rPr>
        <w:t>RWE</w:t>
      </w:r>
      <w:r w:rsidRPr="00221992">
        <w:rPr>
          <w:lang w:val="en-GB"/>
        </w:rPr>
        <w:t xml:space="preserve"> on the technology</w:t>
      </w:r>
      <w:r w:rsidR="00551786">
        <w:rPr>
          <w:lang w:val="en-GB"/>
        </w:rPr>
        <w:t>’</w:t>
      </w:r>
      <w:r w:rsidRPr="00221992">
        <w:rPr>
          <w:lang w:val="en-GB"/>
        </w:rPr>
        <w:t>s effectiveness, safety and other relevant outcomes. The MHLW closely monitors the data collection process and assesses the accumulated evidence to determine the long-term coverage status of the technology.</w:t>
      </w:r>
    </w:p>
    <w:p w14:paraId="0B67DDE7" w14:textId="6BB1A625" w:rsidR="00344E45" w:rsidRPr="00221992" w:rsidRDefault="00344E45" w:rsidP="00913AEC">
      <w:pPr>
        <w:rPr>
          <w:lang w:val="en-GB"/>
        </w:rPr>
      </w:pPr>
      <w:r w:rsidRPr="00221992">
        <w:rPr>
          <w:lang w:val="en-GB"/>
        </w:rPr>
        <w:t>An example of a successful application of the Conditional Approval (CA) process is illustrated by a pacemaker with enhanced functionality known as the reactive anti-tachycardia pacing (rATP) algorithm. Initially, the pacemaker manufacturer submitted an application in 2007, which obtained a new functional category with a 5% utility premium</w:t>
      </w:r>
      <w:r w:rsidR="00830BD4" w:rsidRPr="00221992">
        <w:rPr>
          <w:lang w:val="en-GB"/>
        </w:rPr>
        <w:t>,</w:t>
      </w:r>
      <w:r w:rsidRPr="00221992">
        <w:rPr>
          <w:lang w:val="en-GB"/>
        </w:rPr>
        <w:t xml:space="preserve"> but </w:t>
      </w:r>
      <w:r w:rsidR="00830BD4" w:rsidRPr="00221992">
        <w:rPr>
          <w:lang w:val="en-GB"/>
        </w:rPr>
        <w:t>with</w:t>
      </w:r>
      <w:r w:rsidRPr="00221992">
        <w:rPr>
          <w:lang w:val="en-GB"/>
        </w:rPr>
        <w:t xml:space="preserve"> </w:t>
      </w:r>
      <w:r w:rsidR="00830BD4" w:rsidRPr="00221992">
        <w:rPr>
          <w:lang w:val="en-GB"/>
        </w:rPr>
        <w:t>in</w:t>
      </w:r>
      <w:r w:rsidRPr="00221992">
        <w:rPr>
          <w:lang w:val="en-GB"/>
        </w:rPr>
        <w:t>adequate assessment of the rATP algorithm due to limited clinical evidence</w:t>
      </w:r>
      <w:r w:rsidR="003558D9" w:rsidRPr="00221992">
        <w:rPr>
          <w:lang w:val="en-GB"/>
        </w:rPr>
        <w:t xml:space="preserve"> </w:t>
      </w:r>
      <w:r w:rsidRPr="00221992">
        <w:rPr>
          <w:lang w:val="en-GB"/>
        </w:rPr>
        <w:t>[4].</w:t>
      </w:r>
      <w:r w:rsidR="00913AEC" w:rsidRPr="00221992">
        <w:rPr>
          <w:lang w:val="en-GB"/>
        </w:rPr>
        <w:t xml:space="preserve"> </w:t>
      </w:r>
      <w:r w:rsidRPr="00221992">
        <w:rPr>
          <w:lang w:val="en-GB"/>
        </w:rPr>
        <w:t>In 2012, a next-generation pacemaker was introduced with improved features, including conditional magnetic resonance imaging (MRI) compatibility and the rATP algorithm. However, during the evaluation process, the algorithm was once again not funded.</w:t>
      </w:r>
      <w:r w:rsidR="00913AEC" w:rsidRPr="00221992">
        <w:rPr>
          <w:lang w:val="en-GB"/>
        </w:rPr>
        <w:t xml:space="preserve"> </w:t>
      </w:r>
      <w:r w:rsidRPr="00221992">
        <w:rPr>
          <w:lang w:val="en-GB"/>
        </w:rPr>
        <w:t>In 2014, new clinical evidence supporting the efficacy of the rATP algorithm and highlighting the risks of stroke and heart failure associated with atrial fibrillation (AF) progression became available. With the introduction of the CA program, the manufacturer utilised this evidence to request a re-evaluation of the algorithm in 2019.</w:t>
      </w:r>
    </w:p>
    <w:p w14:paraId="2AB89DC4" w14:textId="1C525DFA" w:rsidR="00344E45" w:rsidRPr="00221992" w:rsidRDefault="00344E45" w:rsidP="005927FC">
      <w:pPr>
        <w:rPr>
          <w:lang w:val="en-GB"/>
        </w:rPr>
      </w:pPr>
      <w:r w:rsidRPr="00221992">
        <w:rPr>
          <w:lang w:val="en-GB"/>
        </w:rPr>
        <w:t>Recogni</w:t>
      </w:r>
      <w:r w:rsidR="00DA4CEB" w:rsidRPr="00221992">
        <w:rPr>
          <w:lang w:val="en-GB"/>
        </w:rPr>
        <w:t>s</w:t>
      </w:r>
      <w:r w:rsidRPr="00221992">
        <w:rPr>
          <w:lang w:val="en-GB"/>
        </w:rPr>
        <w:t>ing the potential for improved patient outcomes, the MHLW</w:t>
      </w:r>
      <w:r w:rsidR="0474FB00" w:rsidRPr="00221992">
        <w:rPr>
          <w:lang w:val="en-GB"/>
        </w:rPr>
        <w:t xml:space="preserve"> </w:t>
      </w:r>
      <w:r w:rsidRPr="00221992">
        <w:rPr>
          <w:lang w:val="en-GB"/>
        </w:rPr>
        <w:t xml:space="preserve">created a new functional category and provided a 3% premium price for the pacemaker in 2019. </w:t>
      </w:r>
    </w:p>
    <w:p w14:paraId="0719B022" w14:textId="1726D689" w:rsidR="008A1E26" w:rsidRPr="00221992" w:rsidRDefault="00B63FD2" w:rsidP="00407BA7">
      <w:pPr>
        <w:pStyle w:val="NbrHeading3"/>
        <w:rPr>
          <w:lang w:val="en-GB" w:eastAsia="en-GB"/>
        </w:rPr>
      </w:pPr>
      <w:bookmarkStart w:id="204" w:name="_Toc142565024"/>
      <w:bookmarkStart w:id="205" w:name="_Toc142742695"/>
      <w:bookmarkStart w:id="206" w:name="_Toc142565025"/>
      <w:bookmarkStart w:id="207" w:name="_Toc142742696"/>
      <w:bookmarkStart w:id="208" w:name="_Toc142565026"/>
      <w:bookmarkStart w:id="209" w:name="_Toc142742697"/>
      <w:bookmarkStart w:id="210" w:name="_Toc142565027"/>
      <w:bookmarkStart w:id="211" w:name="_Toc142742698"/>
      <w:bookmarkStart w:id="212" w:name="_Toc142565028"/>
      <w:bookmarkStart w:id="213" w:name="_Toc142742699"/>
      <w:bookmarkStart w:id="214" w:name="_Toc142565029"/>
      <w:bookmarkStart w:id="215" w:name="_Toc142742700"/>
      <w:bookmarkStart w:id="216" w:name="_Toc142565030"/>
      <w:bookmarkStart w:id="217" w:name="_Toc142742701"/>
      <w:bookmarkStart w:id="218" w:name="_Toc142565031"/>
      <w:bookmarkStart w:id="219" w:name="_Toc142742702"/>
      <w:bookmarkStart w:id="220" w:name="_Toc142565032"/>
      <w:bookmarkStart w:id="221" w:name="_Toc142742703"/>
      <w:bookmarkStart w:id="222" w:name="_Toc142565033"/>
      <w:bookmarkStart w:id="223" w:name="_Toc142742704"/>
      <w:bookmarkStart w:id="224" w:name="_Toc142565034"/>
      <w:bookmarkStart w:id="225" w:name="_Toc142742705"/>
      <w:bookmarkStart w:id="226" w:name="_Toc142565035"/>
      <w:bookmarkStart w:id="227" w:name="_Toc142742706"/>
      <w:bookmarkStart w:id="228" w:name="_Toc142565036"/>
      <w:bookmarkStart w:id="229" w:name="_Toc142742707"/>
      <w:bookmarkStart w:id="230" w:name="_Toc142565037"/>
      <w:bookmarkStart w:id="231" w:name="_Toc142742708"/>
      <w:bookmarkStart w:id="232" w:name="_Toc142565038"/>
      <w:bookmarkStart w:id="233" w:name="_Toc142742709"/>
      <w:bookmarkStart w:id="234" w:name="_Toc142565039"/>
      <w:bookmarkStart w:id="235" w:name="_Toc142742710"/>
      <w:bookmarkStart w:id="236" w:name="_Toc142565040"/>
      <w:bookmarkStart w:id="237" w:name="_Toc142742711"/>
      <w:bookmarkStart w:id="238" w:name="_Toc139657555"/>
      <w:bookmarkStart w:id="239" w:name="_Toc139657556"/>
      <w:bookmarkStart w:id="240" w:name="_Toc142742712"/>
      <w:bookmarkStart w:id="241" w:name="_Toc162950898"/>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r w:rsidRPr="00221992">
        <w:rPr>
          <w:lang w:val="en-GB"/>
        </w:rPr>
        <w:t>E</w:t>
      </w:r>
      <w:r w:rsidR="00247430" w:rsidRPr="00221992">
        <w:rPr>
          <w:lang w:val="en-GB"/>
        </w:rPr>
        <w:t>merging policy and practice</w:t>
      </w:r>
      <w:bookmarkStart w:id="242" w:name="_Toc139560819"/>
      <w:bookmarkStart w:id="243" w:name="_Toc139657558"/>
      <w:bookmarkStart w:id="244" w:name="_Toc139560820"/>
      <w:bookmarkStart w:id="245" w:name="_Toc139657559"/>
      <w:bookmarkStart w:id="246" w:name="_Toc139560821"/>
      <w:bookmarkStart w:id="247" w:name="_Toc139657560"/>
      <w:bookmarkStart w:id="248" w:name="_Toc139560822"/>
      <w:bookmarkStart w:id="249" w:name="_Toc139657561"/>
      <w:bookmarkStart w:id="250" w:name="_Toc139560823"/>
      <w:bookmarkStart w:id="251" w:name="_Toc139657562"/>
      <w:bookmarkStart w:id="252" w:name="_Toc139560824"/>
      <w:bookmarkStart w:id="253" w:name="_Toc139657563"/>
      <w:bookmarkStart w:id="254" w:name="_Toc139560825"/>
      <w:bookmarkStart w:id="255" w:name="_Toc139657564"/>
      <w:bookmarkStart w:id="256" w:name="_Toc139560826"/>
      <w:bookmarkStart w:id="257" w:name="_Toc139657565"/>
      <w:bookmarkStart w:id="258" w:name="_Toc139560827"/>
      <w:bookmarkStart w:id="259" w:name="_Toc139657566"/>
      <w:bookmarkStart w:id="260" w:name="_Toc139560828"/>
      <w:bookmarkStart w:id="261" w:name="_Toc139657567"/>
      <w:bookmarkStart w:id="262" w:name="_Toc139560829"/>
      <w:bookmarkStart w:id="263" w:name="_Toc139657568"/>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p>
    <w:p w14:paraId="3BF8C25C" w14:textId="207C0C6B" w:rsidR="00DB6384" w:rsidRPr="00221992" w:rsidRDefault="006F0626" w:rsidP="005927FC">
      <w:pPr>
        <w:rPr>
          <w:lang w:val="en-GB" w:eastAsia="en-GB"/>
        </w:rPr>
      </w:pPr>
      <w:r w:rsidRPr="00221992">
        <w:rPr>
          <w:lang w:val="en-GB" w:eastAsia="en-GB"/>
        </w:rPr>
        <w:t>The</w:t>
      </w:r>
      <w:r w:rsidR="00DB6384" w:rsidRPr="00221992">
        <w:rPr>
          <w:lang w:val="en-GB" w:eastAsia="en-GB"/>
        </w:rPr>
        <w:t xml:space="preserve"> following section provides an overview of emerging policies and approaches in addressing uncertainty through </w:t>
      </w:r>
      <w:r w:rsidR="00064F15" w:rsidRPr="00221992">
        <w:rPr>
          <w:lang w:val="en-GB" w:eastAsia="en-GB"/>
        </w:rPr>
        <w:t>MEA</w:t>
      </w:r>
      <w:r w:rsidR="00DB6384" w:rsidRPr="00221992">
        <w:rPr>
          <w:lang w:val="en-GB" w:eastAsia="en-GB"/>
        </w:rPr>
        <w:t>s and how countries have adapted their strategies over time. The available literature on the effectiveness of MEAs in managing uncertainty is limited due to the lack of publicly available evaluations</w:t>
      </w:r>
      <w:r w:rsidR="00B07E30" w:rsidRPr="00221992">
        <w:rPr>
          <w:lang w:val="en-GB" w:eastAsia="en-GB"/>
        </w:rPr>
        <w:t xml:space="preserve"> </w:t>
      </w:r>
      <w:r w:rsidR="00653F87" w:rsidRPr="00221992">
        <w:rPr>
          <w:lang w:val="en-GB" w:eastAsia="en-GB"/>
        </w:rPr>
        <w:fldChar w:fldCharType="begin"/>
      </w:r>
      <w:r w:rsidR="00E5265C">
        <w:rPr>
          <w:lang w:val="en-GB" w:eastAsia="en-GB"/>
        </w:rPr>
        <w:instrText xml:space="preserve"> ADDIN EN.CITE &lt;EndNote&gt;&lt;Cite&gt;&lt;Author&gt;Kanavos&lt;/Author&gt;&lt;Year&gt;2017&lt;/Year&gt;&lt;RecNum&gt;246&lt;/RecNum&gt;&lt;DisplayText&gt;[244]&lt;/DisplayText&gt;&lt;record&gt;&lt;rec-number&gt;246&lt;/rec-number&gt;&lt;foreign-keys&gt;&lt;key app="EN" db-id="wzwwsfxe4peesxef95cxvrwjxts9rreasarf" timestamp="1692654670"&gt;246&lt;/key&gt;&lt;/foreign-keys&gt;&lt;ref-type name="Journal Article"&gt;17&lt;/ref-type&gt;&lt;contributors&gt;&lt;authors&gt;&lt;author&gt;Kanavos, Panos&lt;/author&gt;&lt;author&gt;Ferrario, Alessandra&lt;/author&gt;&lt;author&gt;Tafuri, Giovanni&lt;/author&gt;&lt;author&gt;Siviero, Paolo&lt;/author&gt;&lt;/authors&gt;&lt;/contributors&gt;&lt;titles&gt;&lt;title&gt;Managing Risk and Uncertainty in Health Technology Introduction: The Role of Managed Entry Agreements&lt;/title&gt;&lt;secondary-title&gt;Global Policy&lt;/secondary-title&gt;&lt;/titles&gt;&lt;periodical&gt;&lt;full-title&gt;Global Policy&lt;/full-title&gt;&lt;/periodical&gt;&lt;pages&gt;84-92&lt;/pages&gt;&lt;volume&gt;8&lt;/volume&gt;&lt;number&gt;S2&lt;/number&gt;&lt;dates&gt;&lt;year&gt;2017&lt;/year&gt;&lt;/dates&gt;&lt;isbn&gt;1758-5880&lt;/isbn&gt;&lt;urls&gt;&lt;related-urls&gt;&lt;url&gt;https://onlinelibrary.wiley.com/doi/abs/10.1111/1758-5899.12386&lt;/url&gt;&lt;url&gt;https://onlinelibrary.wiley.com/doi/pdfdirect/10.1111/1758-5899.12386?download=true&lt;/url&gt;&lt;/related-urls&gt;&lt;/urls&gt;&lt;electronic-resource-num&gt;https://doi.org/10.1111/1758-5899.12386&lt;/electronic-resource-num&gt;&lt;/record&gt;&lt;/Cite&gt;&lt;/EndNote&gt;</w:instrText>
      </w:r>
      <w:r w:rsidR="00653F87" w:rsidRPr="00221992">
        <w:rPr>
          <w:lang w:val="en-GB" w:eastAsia="en-GB"/>
        </w:rPr>
        <w:fldChar w:fldCharType="separate"/>
      </w:r>
      <w:r w:rsidR="00E5265C">
        <w:rPr>
          <w:noProof/>
          <w:lang w:val="en-GB" w:eastAsia="en-GB"/>
        </w:rPr>
        <w:t>[244]</w:t>
      </w:r>
      <w:r w:rsidR="00653F87" w:rsidRPr="00221992">
        <w:rPr>
          <w:lang w:val="en-GB" w:eastAsia="en-GB"/>
        </w:rPr>
        <w:fldChar w:fldCharType="end"/>
      </w:r>
      <w:r w:rsidR="00DB6384" w:rsidRPr="00221992">
        <w:rPr>
          <w:lang w:val="en-GB" w:eastAsia="en-GB"/>
        </w:rPr>
        <w:t>. Most evaluations have been conducted internally and their findings remain confidential. Consequently, important details regarding MEAs, such as health outcome measures, product performance analyses and resulting decisions are not readily accessible.</w:t>
      </w:r>
    </w:p>
    <w:p w14:paraId="6CCE41DA" w14:textId="205647DE" w:rsidR="00DB6384" w:rsidRPr="00221992" w:rsidRDefault="00DB6384" w:rsidP="005927FC">
      <w:pPr>
        <w:rPr>
          <w:lang w:val="en-GB" w:eastAsia="en-GB"/>
        </w:rPr>
      </w:pPr>
      <w:r w:rsidRPr="00221992">
        <w:rPr>
          <w:lang w:val="en-GB" w:eastAsia="en-GB"/>
        </w:rPr>
        <w:t xml:space="preserve">Similarly, </w:t>
      </w:r>
      <w:r w:rsidR="001C613E" w:rsidRPr="00221992">
        <w:rPr>
          <w:lang w:val="en-GB" w:eastAsia="en-GB"/>
        </w:rPr>
        <w:t xml:space="preserve">a review in </w:t>
      </w:r>
      <w:r w:rsidRPr="00221992">
        <w:rPr>
          <w:lang w:val="en-GB" w:eastAsia="en-GB"/>
        </w:rPr>
        <w:t xml:space="preserve">Sweden prior to 2010 </w:t>
      </w:r>
      <w:r w:rsidR="001C613E" w:rsidRPr="00221992">
        <w:rPr>
          <w:lang w:val="en-GB" w:eastAsia="en-GB"/>
        </w:rPr>
        <w:t>continues to</w:t>
      </w:r>
      <w:r w:rsidRPr="00221992">
        <w:rPr>
          <w:lang w:val="en-GB" w:eastAsia="en-GB"/>
        </w:rPr>
        <w:t xml:space="preserve"> inform current MEA policies</w:t>
      </w:r>
      <w:r w:rsidR="001C613E" w:rsidRPr="00221992">
        <w:rPr>
          <w:lang w:val="en-GB" w:eastAsia="en-GB"/>
        </w:rPr>
        <w:t xml:space="preserve"> in that country</w:t>
      </w:r>
      <w:r w:rsidRPr="00221992">
        <w:rPr>
          <w:lang w:val="en-GB" w:eastAsia="en-GB"/>
        </w:rPr>
        <w:t xml:space="preserve">. Additionally, in 2019, the OECD conducted expert interviews across multiple countries to </w:t>
      </w:r>
      <w:r w:rsidR="00B96B61" w:rsidRPr="00221992">
        <w:rPr>
          <w:lang w:val="en-GB" w:eastAsia="en-GB"/>
        </w:rPr>
        <w:t>evaluate the</w:t>
      </w:r>
      <w:r w:rsidRPr="00221992">
        <w:rPr>
          <w:lang w:val="en-GB" w:eastAsia="en-GB"/>
        </w:rPr>
        <w:t xml:space="preserve"> effectiveness of MEAs. </w:t>
      </w:r>
      <w:r w:rsidR="00F82451" w:rsidRPr="00221992">
        <w:rPr>
          <w:lang w:val="en-GB" w:eastAsia="en-GB"/>
        </w:rPr>
        <w:t>Findings of t</w:t>
      </w:r>
      <w:r w:rsidRPr="00221992">
        <w:rPr>
          <w:lang w:val="en-GB" w:eastAsia="en-GB"/>
        </w:rPr>
        <w:t>hese reviews</w:t>
      </w:r>
      <w:r w:rsidR="00F82451" w:rsidRPr="00221992">
        <w:rPr>
          <w:lang w:val="en-GB" w:eastAsia="en-GB"/>
        </w:rPr>
        <w:t xml:space="preserve"> and the peer-reviewed and grey</w:t>
      </w:r>
      <w:r w:rsidRPr="00221992">
        <w:rPr>
          <w:lang w:val="en-GB" w:eastAsia="en-GB"/>
        </w:rPr>
        <w:t xml:space="preserve"> literature offer valuable insights into the overall effectiveness of MEAs.</w:t>
      </w:r>
    </w:p>
    <w:p w14:paraId="5EFFD354" w14:textId="77A61EE0" w:rsidR="00D03985" w:rsidRPr="00221992" w:rsidRDefault="00212481" w:rsidP="005927FC">
      <w:pPr>
        <w:rPr>
          <w:lang w:val="en-GB" w:eastAsia="en-GB"/>
        </w:rPr>
      </w:pPr>
      <w:r w:rsidRPr="00221992">
        <w:rPr>
          <w:lang w:val="en-GB" w:eastAsia="en-GB"/>
        </w:rPr>
        <w:t>C</w:t>
      </w:r>
      <w:r w:rsidR="00D03985" w:rsidRPr="00221992">
        <w:rPr>
          <w:lang w:val="en-GB" w:eastAsia="en-GB"/>
        </w:rPr>
        <w:t xml:space="preserve">ase studies in </w:t>
      </w:r>
      <w:r w:rsidRPr="00221992">
        <w:rPr>
          <w:lang w:val="en-GB" w:eastAsia="en-GB"/>
        </w:rPr>
        <w:t>the following</w:t>
      </w:r>
      <w:r w:rsidR="00D03985" w:rsidRPr="00221992">
        <w:rPr>
          <w:lang w:val="en-GB" w:eastAsia="en-GB"/>
        </w:rPr>
        <w:t xml:space="preserve"> section </w:t>
      </w:r>
      <w:r w:rsidRPr="00221992">
        <w:rPr>
          <w:lang w:val="en-GB" w:eastAsia="en-GB"/>
        </w:rPr>
        <w:t>elaborate up</w:t>
      </w:r>
      <w:r w:rsidR="00D03985" w:rsidRPr="00221992">
        <w:rPr>
          <w:lang w:val="en-GB" w:eastAsia="en-GB"/>
        </w:rPr>
        <w:t xml:space="preserve">on initiatives implemented </w:t>
      </w:r>
      <w:r w:rsidR="00BD6322">
        <w:rPr>
          <w:lang w:val="en-GB" w:eastAsia="en-GB"/>
        </w:rPr>
        <w:t>by</w:t>
      </w:r>
      <w:r w:rsidR="00BD6322" w:rsidRPr="00221992">
        <w:rPr>
          <w:lang w:val="en-GB" w:eastAsia="en-GB"/>
        </w:rPr>
        <w:t xml:space="preserve"> </w:t>
      </w:r>
      <w:r w:rsidR="00D03985" w:rsidRPr="00221992">
        <w:rPr>
          <w:lang w:val="en-GB" w:eastAsia="en-GB"/>
        </w:rPr>
        <w:t>the UK</w:t>
      </w:r>
      <w:r w:rsidRPr="00221992">
        <w:rPr>
          <w:lang w:val="en-GB" w:eastAsia="en-GB"/>
        </w:rPr>
        <w:t>,</w:t>
      </w:r>
      <w:r w:rsidR="005E42AA" w:rsidRPr="00221992">
        <w:rPr>
          <w:lang w:val="en-GB" w:eastAsia="en-GB"/>
        </w:rPr>
        <w:t xml:space="preserve"> </w:t>
      </w:r>
      <w:r w:rsidR="00D03985" w:rsidRPr="00221992">
        <w:rPr>
          <w:lang w:val="en-GB" w:eastAsia="en-GB"/>
        </w:rPr>
        <w:t>Italy</w:t>
      </w:r>
      <w:r w:rsidRPr="00221992">
        <w:rPr>
          <w:lang w:val="en-GB" w:eastAsia="en-GB"/>
        </w:rPr>
        <w:t xml:space="preserve"> and</w:t>
      </w:r>
      <w:r w:rsidR="00D03985" w:rsidRPr="00221992">
        <w:rPr>
          <w:lang w:val="en-GB" w:eastAsia="en-GB"/>
        </w:rPr>
        <w:t xml:space="preserve"> </w:t>
      </w:r>
      <w:r w:rsidRPr="00221992">
        <w:rPr>
          <w:lang w:val="en-GB" w:eastAsia="en-GB"/>
        </w:rPr>
        <w:t>the</w:t>
      </w:r>
      <w:r w:rsidR="00D03985" w:rsidRPr="00221992">
        <w:rPr>
          <w:lang w:val="en-GB" w:eastAsia="en-GB"/>
        </w:rPr>
        <w:t xml:space="preserve"> EU to address uncertainty associated with </w:t>
      </w:r>
      <w:r w:rsidR="00CB4086" w:rsidRPr="00221992">
        <w:rPr>
          <w:lang w:val="en-GB" w:eastAsia="en-GB"/>
        </w:rPr>
        <w:t>emerging</w:t>
      </w:r>
      <w:r w:rsidR="00D03985" w:rsidRPr="00221992">
        <w:rPr>
          <w:lang w:val="en-GB" w:eastAsia="en-GB"/>
        </w:rPr>
        <w:t xml:space="preserve"> therapies. These examples highlight the evolving landscape of MEAs</w:t>
      </w:r>
      <w:r w:rsidR="00F756A9" w:rsidRPr="00221992">
        <w:rPr>
          <w:lang w:val="en-GB" w:eastAsia="en-GB"/>
        </w:rPr>
        <w:t>,</w:t>
      </w:r>
      <w:r w:rsidR="00D03985" w:rsidRPr="00221992">
        <w:rPr>
          <w:lang w:val="en-GB" w:eastAsia="en-GB"/>
        </w:rPr>
        <w:t xml:space="preserve"> the increasing use of RWE</w:t>
      </w:r>
      <w:r w:rsidR="00F756A9" w:rsidRPr="00221992">
        <w:rPr>
          <w:lang w:val="en-GB" w:eastAsia="en-GB"/>
        </w:rPr>
        <w:t>,</w:t>
      </w:r>
      <w:r w:rsidR="00D03985" w:rsidRPr="00221992">
        <w:rPr>
          <w:lang w:val="en-GB" w:eastAsia="en-GB"/>
        </w:rPr>
        <w:t xml:space="preserve"> </w:t>
      </w:r>
      <w:r w:rsidR="00F756A9" w:rsidRPr="00221992">
        <w:rPr>
          <w:lang w:val="en-GB" w:eastAsia="en-GB"/>
        </w:rPr>
        <w:t>and the growing role of</w:t>
      </w:r>
      <w:r w:rsidR="00D03985" w:rsidRPr="00221992">
        <w:rPr>
          <w:lang w:val="en-GB" w:eastAsia="en-GB"/>
        </w:rPr>
        <w:t xml:space="preserve"> digital health</w:t>
      </w:r>
      <w:r w:rsidR="00F756A9" w:rsidRPr="00221992">
        <w:rPr>
          <w:lang w:val="en-GB" w:eastAsia="en-GB"/>
        </w:rPr>
        <w:t xml:space="preserve"> technologies</w:t>
      </w:r>
      <w:r w:rsidR="00D03985" w:rsidRPr="00221992">
        <w:rPr>
          <w:lang w:val="en-GB" w:eastAsia="en-GB"/>
        </w:rPr>
        <w:t xml:space="preserve"> in evidence generation. The integration of RWE and digital health has become a significant consideration in HTA frameworks as countries strive to adapt to the changing healthcare landscape and improve decision-making processes. </w:t>
      </w:r>
    </w:p>
    <w:p w14:paraId="15C3D0DE" w14:textId="175B1556" w:rsidR="00006821" w:rsidRPr="00221992" w:rsidRDefault="00136AC9" w:rsidP="00407BA7">
      <w:pPr>
        <w:pStyle w:val="NbrHeading3"/>
        <w:rPr>
          <w:lang w:val="en-GB"/>
        </w:rPr>
      </w:pPr>
      <w:bookmarkStart w:id="264" w:name="_Toc142742713"/>
      <w:bookmarkStart w:id="265" w:name="_Toc162950899"/>
      <w:r w:rsidRPr="00221992">
        <w:rPr>
          <w:lang w:val="en-GB"/>
        </w:rPr>
        <w:t>Evolution</w:t>
      </w:r>
      <w:r w:rsidR="00006821" w:rsidRPr="00221992">
        <w:rPr>
          <w:lang w:val="en-GB"/>
        </w:rPr>
        <w:t xml:space="preserve"> of MEAs</w:t>
      </w:r>
      <w:bookmarkEnd w:id="264"/>
      <w:bookmarkEnd w:id="265"/>
    </w:p>
    <w:p w14:paraId="2A56C393" w14:textId="3A8A7EFC" w:rsidR="00290A08" w:rsidRPr="00221992" w:rsidRDefault="00032122" w:rsidP="005927FC">
      <w:pPr>
        <w:rPr>
          <w:lang w:val="en-GB"/>
        </w:rPr>
      </w:pPr>
      <w:r w:rsidRPr="00221992">
        <w:rPr>
          <w:lang w:val="en-GB"/>
        </w:rPr>
        <w:t>E</w:t>
      </w:r>
      <w:r w:rsidR="00AC73D8" w:rsidRPr="00221992">
        <w:rPr>
          <w:lang w:val="en-GB"/>
        </w:rPr>
        <w:t xml:space="preserve">vidence from </w:t>
      </w:r>
      <w:r w:rsidR="00DA4CEB" w:rsidRPr="00221992">
        <w:rPr>
          <w:lang w:val="en-GB"/>
        </w:rPr>
        <w:t xml:space="preserve">the </w:t>
      </w:r>
      <w:r w:rsidR="00AC73D8" w:rsidRPr="00221992">
        <w:rPr>
          <w:lang w:val="en-GB"/>
        </w:rPr>
        <w:t xml:space="preserve">literature suggests that </w:t>
      </w:r>
      <w:r w:rsidR="00014F44" w:rsidRPr="00221992">
        <w:rPr>
          <w:lang w:val="en-GB"/>
        </w:rPr>
        <w:t>initially,</w:t>
      </w:r>
      <w:r w:rsidR="007A7050" w:rsidRPr="00221992">
        <w:rPr>
          <w:lang w:val="en-GB"/>
        </w:rPr>
        <w:t xml:space="preserve"> </w:t>
      </w:r>
      <w:r w:rsidR="00014F44" w:rsidRPr="00221992">
        <w:rPr>
          <w:lang w:val="en-GB"/>
        </w:rPr>
        <w:t xml:space="preserve">the ability of </w:t>
      </w:r>
      <w:r w:rsidR="00661F62">
        <w:rPr>
          <w:lang w:val="en-GB"/>
        </w:rPr>
        <w:t>performance-based MEAs</w:t>
      </w:r>
      <w:r w:rsidR="00EF1967" w:rsidRPr="00221992">
        <w:rPr>
          <w:lang w:val="en-GB"/>
        </w:rPr>
        <w:t xml:space="preserve"> </w:t>
      </w:r>
      <w:r w:rsidR="00014F44" w:rsidRPr="00221992">
        <w:rPr>
          <w:lang w:val="en-GB"/>
        </w:rPr>
        <w:t>to</w:t>
      </w:r>
      <w:r w:rsidR="00AC73D8" w:rsidRPr="00221992">
        <w:rPr>
          <w:lang w:val="en-GB"/>
        </w:rPr>
        <w:t xml:space="preserve"> reduc</w:t>
      </w:r>
      <w:r w:rsidR="00EF1967" w:rsidRPr="00221992">
        <w:rPr>
          <w:lang w:val="en-GB"/>
        </w:rPr>
        <w:t>e</w:t>
      </w:r>
      <w:r w:rsidR="00AC73D8" w:rsidRPr="00221992">
        <w:rPr>
          <w:lang w:val="en-GB"/>
        </w:rPr>
        <w:t xml:space="preserve"> uncertainty</w:t>
      </w:r>
      <w:r w:rsidR="00EF1967" w:rsidRPr="00221992">
        <w:rPr>
          <w:lang w:val="en-GB"/>
        </w:rPr>
        <w:t xml:space="preserve"> was limited</w:t>
      </w:r>
      <w:r w:rsidR="00AC73D8" w:rsidRPr="00221992">
        <w:rPr>
          <w:lang w:val="en-GB"/>
        </w:rPr>
        <w:t xml:space="preserve">. </w:t>
      </w:r>
    </w:p>
    <w:p w14:paraId="43C7ED2E" w14:textId="6D2D0DDF" w:rsidR="008C5A34" w:rsidRPr="00221992" w:rsidRDefault="00A92997" w:rsidP="00702C58">
      <w:pPr>
        <w:rPr>
          <w:lang w:val="en-GB"/>
        </w:rPr>
      </w:pPr>
      <w:r>
        <w:rPr>
          <w:lang w:val="en-GB" w:eastAsia="en-GB"/>
        </w:rPr>
        <w:t xml:space="preserve">[START HERE] </w:t>
      </w:r>
      <w:r w:rsidR="00C361F1" w:rsidRPr="00221992">
        <w:rPr>
          <w:lang w:val="en-GB" w:eastAsia="en-GB"/>
        </w:rPr>
        <w:t>A</w:t>
      </w:r>
      <w:r w:rsidR="00D4007F">
        <w:rPr>
          <w:lang w:val="en-GB" w:eastAsia="en-GB"/>
        </w:rPr>
        <w:t>n</w:t>
      </w:r>
      <w:r w:rsidR="00C361F1" w:rsidRPr="00221992">
        <w:rPr>
          <w:lang w:val="en-GB" w:eastAsia="en-GB"/>
        </w:rPr>
        <w:t xml:space="preserve"> independent review </w:t>
      </w:r>
      <w:r w:rsidR="001B1599" w:rsidRPr="00221992">
        <w:rPr>
          <w:lang w:val="en-GB" w:eastAsia="en-GB"/>
        </w:rPr>
        <w:t>(2017) undertaken by</w:t>
      </w:r>
      <w:r w:rsidR="00C361F1" w:rsidRPr="00221992">
        <w:rPr>
          <w:lang w:val="en-GB" w:eastAsia="en-GB"/>
        </w:rPr>
        <w:t xml:space="preserve"> the Belgian Health Care Knowledge Centre (KCE) </w:t>
      </w:r>
      <w:r w:rsidR="008C5A34" w:rsidRPr="00221992">
        <w:rPr>
          <w:lang w:val="en-GB" w:eastAsia="en-GB"/>
        </w:rPr>
        <w:t xml:space="preserve">found that </w:t>
      </w:r>
      <w:r w:rsidR="00661F62">
        <w:rPr>
          <w:lang w:val="en-GB" w:eastAsia="en-GB"/>
        </w:rPr>
        <w:t>performance-based MEAs</w:t>
      </w:r>
      <w:r w:rsidR="008C5A34" w:rsidRPr="00221992">
        <w:rPr>
          <w:lang w:val="en-GB" w:eastAsia="en-GB"/>
        </w:rPr>
        <w:t xml:space="preserve"> </w:t>
      </w:r>
      <w:r w:rsidR="00E62B11" w:rsidRPr="00221992">
        <w:rPr>
          <w:lang w:val="en-GB" w:eastAsia="en-GB"/>
        </w:rPr>
        <w:t>had</w:t>
      </w:r>
      <w:r w:rsidR="008C5A34" w:rsidRPr="00221992">
        <w:rPr>
          <w:lang w:val="en-GB" w:eastAsia="en-GB"/>
        </w:rPr>
        <w:t xml:space="preserve"> not effectively address</w:t>
      </w:r>
      <w:r w:rsidR="00E62B11" w:rsidRPr="00221992">
        <w:rPr>
          <w:lang w:val="en-GB" w:eastAsia="en-GB"/>
        </w:rPr>
        <w:t>ed</w:t>
      </w:r>
      <w:r w:rsidR="008C5A34" w:rsidRPr="00221992">
        <w:rPr>
          <w:lang w:val="en-GB" w:eastAsia="en-GB"/>
        </w:rPr>
        <w:t xml:space="preserve"> uncertainties related to </w:t>
      </w:r>
      <w:r w:rsidR="00DA4CEB" w:rsidRPr="00221992">
        <w:rPr>
          <w:lang w:val="en-GB" w:eastAsia="en-GB"/>
        </w:rPr>
        <w:t xml:space="preserve">clinical </w:t>
      </w:r>
      <w:r w:rsidR="008C5A34" w:rsidRPr="00221992">
        <w:rPr>
          <w:lang w:val="en-GB" w:eastAsia="en-GB"/>
        </w:rPr>
        <w:t>and cost-effectiveness</w:t>
      </w:r>
      <w:r w:rsidR="00212481" w:rsidRPr="00221992">
        <w:rPr>
          <w:lang w:val="en-GB" w:eastAsia="en-GB"/>
        </w:rPr>
        <w:t xml:space="preserve"> </w:t>
      </w:r>
      <w:r w:rsidR="00653F87" w:rsidRPr="00221992">
        <w:rPr>
          <w:lang w:val="en-GB" w:eastAsia="en-GB"/>
        </w:rPr>
        <w:fldChar w:fldCharType="begin"/>
      </w:r>
      <w:r w:rsidR="00E5265C">
        <w:rPr>
          <w:lang w:val="en-GB" w:eastAsia="en-GB"/>
        </w:rPr>
        <w:instrText xml:space="preserve"> ADDIN EN.CITE &lt;EndNote&gt;&lt;Cite&gt;&lt;Author&gt;Neyt&lt;/Author&gt;&lt;Year&gt;2020&lt;/Year&gt;&lt;RecNum&gt;346&lt;/RecNum&gt;&lt;DisplayText&gt;[251]&lt;/DisplayText&gt;&lt;record&gt;&lt;rec-number&gt;346&lt;/rec-number&gt;&lt;foreign-keys&gt;&lt;key app="EN" db-id="wzwwsfxe4peesxef95cxvrwjxts9rreasarf" timestamp="1692654670"&gt;346&lt;/key&gt;&lt;/foreign-keys&gt;&lt;ref-type name="Journal Article"&gt;17&lt;/ref-type&gt;&lt;contributors&gt;&lt;authors&gt;&lt;author&gt;Neyt, M.&lt;/author&gt;&lt;author&gt;Gerkens, S.&lt;/author&gt;&lt;author&gt;San Miguel, L.&lt;/author&gt;&lt;author&gt;Vinck, I.&lt;/author&gt;&lt;author&gt;Thiry, N.&lt;/author&gt;&lt;author&gt;Cleemput, I.&lt;/author&gt;&lt;/authors&gt;&lt;/contributors&gt;&lt;auth-address&gt;Belgian Health Care Knowledge Centre (KCE), Brussels, Belgium. Electronic address: mattias.neyt@kce.fgov.be.&amp;#xD;Belgian Health Care Knowledge Centre (KCE), Brussels, Belgium.&lt;/auth-address&gt;&lt;titles&gt;&lt;title&gt;An evaluation of managed entry agreements in Belgium: A system with threats and (high) potential if properly applied&lt;/title&gt;&lt;secondary-title&gt;Health Policy&lt;/secondary-title&gt;&lt;/titles&gt;&lt;periodical&gt;&lt;full-title&gt;Health Policy&lt;/full-title&gt;&lt;abbr-1&gt;Health Policy&lt;/abbr-1&gt;&lt;/periodical&gt;&lt;pages&gt;959-964&lt;/pages&gt;&lt;volume&gt;124&lt;/volume&gt;&lt;number&gt;9&lt;/number&gt;&lt;edition&gt;20200618&lt;/edition&gt;&lt;keywords&gt;&lt;keyword&gt;Belgium&lt;/keyword&gt;&lt;keyword&gt;*Drug Industry&lt;/keyword&gt;&lt;keyword&gt;Humans&lt;/keyword&gt;&lt;keyword&gt;Uncertainty&lt;/keyword&gt;&lt;keyword&gt;Antineoplastic agents&lt;/keyword&gt;&lt;keyword&gt;Contracts&lt;/keyword&gt;&lt;keyword&gt;Cost control&lt;/keyword&gt;&lt;keyword&gt;Data collection&lt;/keyword&gt;&lt;keyword&gt;Insurance, health, reimbursement&lt;/keyword&gt;&lt;keyword&gt;Insurance, pharmaceutical services&lt;/keyword&gt;&lt;/keywords&gt;&lt;dates&gt;&lt;year&gt;2020&lt;/year&gt;&lt;pub-dates&gt;&lt;date&gt;Sep&lt;/date&gt;&lt;/pub-dates&gt;&lt;/dates&gt;&lt;isbn&gt;0168-8510&lt;/isbn&gt;&lt;accession-num&gt;32616313&lt;/accession-num&gt;&lt;urls&gt;&lt;related-urls&gt;&lt;url&gt;https://www.sciencedirect.com/science/article/pii/S0168851020301615?via%3Dihub&lt;/url&gt;&lt;/related-urls&gt;&lt;/urls&gt;&lt;custom1&gt;Declaration of Competing Interest We have no relevant interests to declare.&lt;/custom1&gt;&lt;electronic-resource-num&gt;10.1016/j.healthpol.2020.06.007&lt;/electronic-resource-num&gt;&lt;remote-database-provider&gt;NLM&lt;/remote-database-provider&gt;&lt;language&gt;eng&lt;/language&gt;&lt;/record&gt;&lt;/Cite&gt;&lt;/EndNote&gt;</w:instrText>
      </w:r>
      <w:r w:rsidR="00653F87" w:rsidRPr="00221992">
        <w:rPr>
          <w:lang w:val="en-GB" w:eastAsia="en-GB"/>
        </w:rPr>
        <w:fldChar w:fldCharType="separate"/>
      </w:r>
      <w:r w:rsidR="00E5265C">
        <w:rPr>
          <w:noProof/>
          <w:lang w:val="en-GB" w:eastAsia="en-GB"/>
        </w:rPr>
        <w:t>[251]</w:t>
      </w:r>
      <w:r w:rsidR="00653F87" w:rsidRPr="00221992">
        <w:rPr>
          <w:lang w:val="en-GB" w:eastAsia="en-GB"/>
        </w:rPr>
        <w:fldChar w:fldCharType="end"/>
      </w:r>
      <w:r w:rsidR="008C5A34" w:rsidRPr="00221992">
        <w:rPr>
          <w:lang w:val="en-GB" w:eastAsia="en-GB"/>
        </w:rPr>
        <w:t xml:space="preserve">. The </w:t>
      </w:r>
      <w:r w:rsidR="00E62B11" w:rsidRPr="00221992">
        <w:rPr>
          <w:lang w:val="en-GB" w:eastAsia="en-GB"/>
        </w:rPr>
        <w:t>review</w:t>
      </w:r>
      <w:r w:rsidR="008C5A34" w:rsidRPr="00221992">
        <w:rPr>
          <w:lang w:val="en-GB" w:eastAsia="en-GB"/>
        </w:rPr>
        <w:t xml:space="preserve"> also highlighted that although MEAs </w:t>
      </w:r>
      <w:r w:rsidR="00A77422" w:rsidRPr="00221992">
        <w:rPr>
          <w:lang w:val="en-GB" w:eastAsia="en-GB"/>
        </w:rPr>
        <w:t>facilitated expedited</w:t>
      </w:r>
      <w:r w:rsidR="008C5A34" w:rsidRPr="00221992">
        <w:rPr>
          <w:lang w:val="en-GB" w:eastAsia="en-GB"/>
        </w:rPr>
        <w:t xml:space="preserve"> coverage for new medications at discounted prices, the</w:t>
      </w:r>
      <w:r w:rsidR="009101D2" w:rsidRPr="00221992">
        <w:rPr>
          <w:lang w:val="en-GB" w:eastAsia="en-GB"/>
        </w:rPr>
        <w:t>re was a</w:t>
      </w:r>
      <w:r w:rsidR="008C5A34" w:rsidRPr="00221992">
        <w:rPr>
          <w:lang w:val="en-GB" w:eastAsia="en-GB"/>
        </w:rPr>
        <w:t xml:space="preserve"> lack of transparency regarding financial arrangements within the agreements and </w:t>
      </w:r>
      <w:r w:rsidR="009101D2" w:rsidRPr="00221992">
        <w:rPr>
          <w:lang w:val="en-GB" w:eastAsia="en-GB"/>
        </w:rPr>
        <w:t>an</w:t>
      </w:r>
      <w:r w:rsidR="008C5A34" w:rsidRPr="00221992">
        <w:rPr>
          <w:lang w:val="en-GB" w:eastAsia="en-GB"/>
        </w:rPr>
        <w:t xml:space="preserve"> absence of public</w:t>
      </w:r>
      <w:r w:rsidR="009101D2" w:rsidRPr="00221992">
        <w:rPr>
          <w:lang w:val="en-GB" w:eastAsia="en-GB"/>
        </w:rPr>
        <w:t>ly available</w:t>
      </w:r>
      <w:r w:rsidR="008C5A34" w:rsidRPr="00221992">
        <w:rPr>
          <w:lang w:val="en-GB" w:eastAsia="en-GB"/>
        </w:rPr>
        <w:t xml:space="preserve"> </w:t>
      </w:r>
      <w:r w:rsidR="009101D2" w:rsidRPr="00221992">
        <w:rPr>
          <w:lang w:val="en-GB" w:eastAsia="en-GB"/>
        </w:rPr>
        <w:t>data</w:t>
      </w:r>
      <w:r w:rsidR="008C5A34" w:rsidRPr="00221992">
        <w:rPr>
          <w:lang w:val="en-GB" w:eastAsia="en-GB"/>
        </w:rPr>
        <w:t xml:space="preserve"> </w:t>
      </w:r>
      <w:r w:rsidR="009101D2" w:rsidRPr="00221992">
        <w:rPr>
          <w:lang w:val="en-GB" w:eastAsia="en-GB"/>
        </w:rPr>
        <w:t>needed for a</w:t>
      </w:r>
      <w:r w:rsidR="008C5A34" w:rsidRPr="00221992">
        <w:rPr>
          <w:lang w:val="en-GB" w:eastAsia="en-GB"/>
        </w:rPr>
        <w:t xml:space="preserve"> thorough evaluation of the impact of these agreements on product performance uncertainties and healthcare budgets</w:t>
      </w:r>
      <w:r w:rsidR="00E77AE5" w:rsidRPr="00221992">
        <w:rPr>
          <w:lang w:val="en-GB" w:eastAsia="en-GB"/>
        </w:rPr>
        <w:t xml:space="preserve"> </w:t>
      </w:r>
      <w:r w:rsidR="000A19AE" w:rsidRPr="00221992">
        <w:rPr>
          <w:lang w:val="en-GB" w:eastAsia="en-GB"/>
        </w:rPr>
        <w:fldChar w:fldCharType="begin"/>
      </w:r>
      <w:r w:rsidR="00E5265C">
        <w:rPr>
          <w:lang w:val="en-GB" w:eastAsia="en-GB"/>
        </w:rPr>
        <w:instrText xml:space="preserve"> ADDIN EN.CITE &lt;EndNote&gt;&lt;Cite&gt;&lt;Author&gt;Simoens&lt;/Author&gt;&lt;Year&gt;2022&lt;/Year&gt;&lt;RecNum&gt;428&lt;/RecNum&gt;&lt;DisplayText&gt;[252]&lt;/DisplayText&gt;&lt;record&gt;&lt;rec-number&gt;428&lt;/rec-number&gt;&lt;foreign-keys&gt;&lt;key app="EN" db-id="wzwwsfxe4peesxef95cxvrwjxts9rreasarf" timestamp="1692654670"&gt;428&lt;/key&gt;&lt;/foreign-keys&gt;&lt;ref-type name="Journal Article"&gt;17&lt;/ref-type&gt;&lt;contributors&gt;&lt;authors&gt;&lt;author&gt;Simoens, S.&lt;/author&gt;&lt;author&gt;Abdallah, K.&lt;/author&gt;&lt;author&gt;Barbier, L.&lt;/author&gt;&lt;author&gt;Lacosta, T. B.&lt;/author&gt;&lt;author&gt;Blonda, A.&lt;/author&gt;&lt;author&gt;Car, E.&lt;/author&gt;&lt;author&gt;Claessens, Z.&lt;/author&gt;&lt;author&gt;Desmet, T.&lt;/author&gt;&lt;author&gt;De Sutter, E.&lt;/author&gt;&lt;author&gt;Govaerts, L.&lt;/author&gt;&lt;author&gt;Janssens, R.&lt;/author&gt;&lt;author&gt;Lalova, T.&lt;/author&gt;&lt;author&gt;Moorkens, E.&lt;/author&gt;&lt;author&gt;Saesen, R.&lt;/author&gt;&lt;author&gt;Schoefs, E.&lt;/author&gt;&lt;author&gt;Vandenplas, Y.&lt;/author&gt;&lt;author&gt;Van Overbeeke, E.&lt;/author&gt;&lt;author&gt;Verbaanderd, C.&lt;/author&gt;&lt;author&gt;Huys, I.&lt;/author&gt;&lt;/authors&gt;&lt;/contributors&gt;&lt;auth-address&gt;KU Leuven Department of Pharmaceutical and Pharmacological Sciences, Leuven, Belgium&lt;/auth-address&gt;&lt;titles&gt;&lt;title&gt;How to balance valuable innovation with affordable access to medicines in Belgium?&lt;/title&gt;&lt;secondary-title&gt;Front Pharmacol&lt;/secondary-title&gt;&lt;/titles&gt;&lt;periodical&gt;&lt;full-title&gt;Front Pharmacol&lt;/full-title&gt;&lt;/periodical&gt;&lt;volume&gt;13&lt;/volume&gt;&lt;edition&gt;20220916&lt;/edition&gt;&lt;dates&gt;&lt;year&gt;2022&lt;/year&gt;&lt;/dates&gt;&lt;accession-num&gt;36188534&lt;/accession-num&gt;&lt;urls&gt;&lt;/urls&gt;&lt;custom2&gt;PMC9523170&lt;/custom2&gt;&lt;electronic-resource-num&gt;10.3389/fphar.2022.960701&lt;/electronic-resource-num&gt;&lt;language&gt;eng&lt;/language&gt;&lt;/record&gt;&lt;/Cite&gt;&lt;/EndNote&gt;</w:instrText>
      </w:r>
      <w:r w:rsidR="000A19AE" w:rsidRPr="00221992">
        <w:rPr>
          <w:lang w:val="en-GB" w:eastAsia="en-GB"/>
        </w:rPr>
        <w:fldChar w:fldCharType="separate"/>
      </w:r>
      <w:r w:rsidR="00E5265C">
        <w:rPr>
          <w:noProof/>
          <w:lang w:val="en-GB" w:eastAsia="en-GB"/>
        </w:rPr>
        <w:t>[252]</w:t>
      </w:r>
      <w:r w:rsidR="000A19AE" w:rsidRPr="00221992">
        <w:rPr>
          <w:lang w:val="en-GB" w:eastAsia="en-GB"/>
        </w:rPr>
        <w:fldChar w:fldCharType="end"/>
      </w:r>
      <w:r w:rsidR="008C5A34" w:rsidRPr="00221992">
        <w:rPr>
          <w:lang w:val="en-GB" w:eastAsia="en-GB"/>
        </w:rPr>
        <w:t>.</w:t>
      </w:r>
      <w:r w:rsidR="008C5A34" w:rsidRPr="00221992" w:rsidDel="008C5A34">
        <w:rPr>
          <w:lang w:val="en-GB"/>
        </w:rPr>
        <w:t xml:space="preserve"> </w:t>
      </w:r>
    </w:p>
    <w:p w14:paraId="296A2B19" w14:textId="093FDC06" w:rsidR="003811AD" w:rsidRPr="00221992" w:rsidRDefault="00290A08" w:rsidP="004A308D">
      <w:pPr>
        <w:rPr>
          <w:lang w:val="en-GB"/>
        </w:rPr>
      </w:pPr>
      <w:r w:rsidRPr="00221992">
        <w:rPr>
          <w:lang w:val="en-GB"/>
        </w:rPr>
        <w:t>Similarly, i</w:t>
      </w:r>
      <w:r w:rsidR="00E30E5C" w:rsidRPr="00221992">
        <w:rPr>
          <w:lang w:val="en-GB"/>
        </w:rPr>
        <w:t>n Sweden, an evaluation</w:t>
      </w:r>
      <w:r w:rsidR="00DA4CEB" w:rsidRPr="00221992">
        <w:rPr>
          <w:lang w:val="en-GB"/>
        </w:rPr>
        <w:t xml:space="preserve"> of early MEAs implemented </w:t>
      </w:r>
      <w:r w:rsidR="00F07ECC" w:rsidRPr="00221992">
        <w:rPr>
          <w:lang w:val="en-GB"/>
        </w:rPr>
        <w:t>prior to</w:t>
      </w:r>
      <w:r w:rsidR="00DA4CEB" w:rsidRPr="00221992">
        <w:rPr>
          <w:lang w:val="en-GB"/>
        </w:rPr>
        <w:t xml:space="preserve"> 2007</w:t>
      </w:r>
      <w:r w:rsidR="00E30E5C" w:rsidRPr="00221992">
        <w:rPr>
          <w:lang w:val="en-GB"/>
        </w:rPr>
        <w:t xml:space="preserve"> revealed that CED agreements, which required </w:t>
      </w:r>
      <w:r w:rsidR="00A5028B" w:rsidRPr="00221992">
        <w:rPr>
          <w:lang w:val="en-GB"/>
        </w:rPr>
        <w:t>sponsor</w:t>
      </w:r>
      <w:r w:rsidR="00E30E5C" w:rsidRPr="00221992">
        <w:rPr>
          <w:lang w:val="en-GB"/>
        </w:rPr>
        <w:t xml:space="preserve">s to assess the effectiveness of medicines in clinical practice, </w:t>
      </w:r>
      <w:r w:rsidR="00AF2AB4" w:rsidRPr="00221992">
        <w:rPr>
          <w:lang w:val="en-GB"/>
        </w:rPr>
        <w:t>yielded</w:t>
      </w:r>
      <w:r w:rsidR="00E30E5C" w:rsidRPr="00221992">
        <w:rPr>
          <w:lang w:val="en-GB"/>
        </w:rPr>
        <w:t xml:space="preserve"> studies of poor quality that failed to address the research questions effectively. As a result, the design of </w:t>
      </w:r>
      <w:r w:rsidR="00661F62">
        <w:rPr>
          <w:lang w:val="en-GB"/>
        </w:rPr>
        <w:t>performance-based MEAs</w:t>
      </w:r>
      <w:r w:rsidR="00E30E5C" w:rsidRPr="00221992">
        <w:rPr>
          <w:lang w:val="en-GB"/>
        </w:rPr>
        <w:t xml:space="preserve"> in Sweden</w:t>
      </w:r>
      <w:r w:rsidR="00940E6B" w:rsidRPr="00221992">
        <w:rPr>
          <w:lang w:val="en-GB"/>
        </w:rPr>
        <w:t xml:space="preserve"> has shifted</w:t>
      </w:r>
      <w:r w:rsidR="00E30E5C" w:rsidRPr="00221992">
        <w:rPr>
          <w:lang w:val="en-GB"/>
        </w:rPr>
        <w:t xml:space="preserve"> </w:t>
      </w:r>
      <w:r w:rsidR="00A30AD5" w:rsidRPr="00221992">
        <w:rPr>
          <w:lang w:val="en-GB"/>
        </w:rPr>
        <w:t>towards temporary coverage</w:t>
      </w:r>
      <w:r w:rsidR="00940E6B" w:rsidRPr="00221992">
        <w:rPr>
          <w:lang w:val="en-GB"/>
        </w:rPr>
        <w:t xml:space="preserve"> arrangements</w:t>
      </w:r>
      <w:r w:rsidR="00A30AD5" w:rsidRPr="00221992">
        <w:rPr>
          <w:lang w:val="en-GB"/>
        </w:rPr>
        <w:t xml:space="preserve"> </w:t>
      </w:r>
      <w:r w:rsidR="00E30E5C" w:rsidRPr="00221992">
        <w:rPr>
          <w:lang w:val="en-GB"/>
        </w:rPr>
        <w:t xml:space="preserve">and </w:t>
      </w:r>
      <w:r w:rsidR="00940E6B" w:rsidRPr="00221992">
        <w:rPr>
          <w:lang w:val="en-GB"/>
        </w:rPr>
        <w:t>a greater use of</w:t>
      </w:r>
      <w:r w:rsidR="00E30E5C" w:rsidRPr="00221992">
        <w:rPr>
          <w:lang w:val="en-GB"/>
        </w:rPr>
        <w:t xml:space="preserve"> </w:t>
      </w:r>
      <w:r w:rsidR="00B033B0" w:rsidRPr="00221992">
        <w:rPr>
          <w:lang w:val="en-GB"/>
        </w:rPr>
        <w:t>PbR</w:t>
      </w:r>
      <w:r w:rsidR="00E30E5C" w:rsidRPr="00221992">
        <w:rPr>
          <w:lang w:val="en-GB"/>
        </w:rPr>
        <w:t xml:space="preserve"> mechanisms based on utili</w:t>
      </w:r>
      <w:r w:rsidRPr="00221992">
        <w:rPr>
          <w:lang w:val="en-GB"/>
        </w:rPr>
        <w:t>s</w:t>
      </w:r>
      <w:r w:rsidR="00E30E5C" w:rsidRPr="00221992">
        <w:rPr>
          <w:lang w:val="en-GB"/>
        </w:rPr>
        <w:t>ation data</w:t>
      </w:r>
      <w:r w:rsidR="00E77AE5" w:rsidRPr="00221992">
        <w:rPr>
          <w:lang w:val="en-GB"/>
        </w:rPr>
        <w:t xml:space="preserve"> </w:t>
      </w:r>
      <w:r w:rsidRPr="00221992">
        <w:rPr>
          <w:lang w:val="en-GB"/>
        </w:rPr>
        <w:fldChar w:fldCharType="begin">
          <w:fldData xml:space="preserve">PEVuZE5vdGU+PENpdGU+PEF1dGhvcj5XaWxsaXM8L0F1dGhvcj48WWVhcj4yMDEwPC9ZZWFyPjxS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</w:fldData>
        </w:fldChar>
      </w:r>
      <w:r w:rsidR="00E5265C">
        <w:rPr>
          <w:lang w:val="en-GB"/>
        </w:rPr>
        <w:instrText xml:space="preserve"> ADDIN EN.CITE </w:instrText>
      </w:r>
      <w:r w:rsidR="00E5265C">
        <w:rPr>
          <w:lang w:val="en-GB"/>
        </w:rPr>
        <w:fldChar w:fldCharType="begin">
          <w:fldData xml:space="preserve">PEVuZE5vdGU+PENpdGU+PEF1dGhvcj5XaWxsaXM8L0F1dGhvcj48WWVhcj4yMDEwPC9ZZWFyPjxS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</w:fldData>
        </w:fldChar>
      </w:r>
      <w:r w:rsidR="00E5265C">
        <w:rPr>
          <w:lang w:val="en-GB"/>
        </w:rPr>
        <w:instrText xml:space="preserve"> ADDIN EN.CITE.DATA </w:instrText>
      </w:r>
      <w:r w:rsidR="00E5265C">
        <w:rPr>
          <w:lang w:val="en-GB"/>
        </w:rPr>
      </w:r>
      <w:r w:rsidR="00E5265C">
        <w:rPr>
          <w:lang w:val="en-GB"/>
        </w:rPr>
        <w:fldChar w:fldCharType="end"/>
      </w:r>
      <w:r w:rsidRPr="00221992">
        <w:rPr>
          <w:lang w:val="en-GB"/>
        </w:rPr>
      </w:r>
      <w:r w:rsidRPr="00221992">
        <w:rPr>
          <w:lang w:val="en-GB"/>
        </w:rPr>
        <w:fldChar w:fldCharType="separate"/>
      </w:r>
      <w:r w:rsidR="00E5265C">
        <w:rPr>
          <w:noProof/>
          <w:lang w:val="en-GB"/>
        </w:rPr>
        <w:t>[253-254]</w:t>
      </w:r>
      <w:r w:rsidRPr="00221992">
        <w:rPr>
          <w:lang w:val="en-GB"/>
        </w:rPr>
        <w:fldChar w:fldCharType="end"/>
      </w:r>
      <w:r w:rsidR="00E30E5C" w:rsidRPr="00221992">
        <w:rPr>
          <w:lang w:val="en-GB"/>
        </w:rPr>
        <w:t>.</w:t>
      </w:r>
      <w:r w:rsidR="004A308D" w:rsidRPr="00221992">
        <w:rPr>
          <w:lang w:val="en-GB"/>
        </w:rPr>
        <w:t xml:space="preserve"> Following its review, t</w:t>
      </w:r>
      <w:r w:rsidR="00E30E5C" w:rsidRPr="00221992">
        <w:rPr>
          <w:lang w:val="en-GB"/>
        </w:rPr>
        <w:t xml:space="preserve">he Swedish TLV adopted </w:t>
      </w:r>
      <w:r w:rsidR="002A1CE1" w:rsidRPr="00221992">
        <w:rPr>
          <w:lang w:val="en-GB"/>
        </w:rPr>
        <w:t xml:space="preserve">Temporary Coverage with Continued Evaluation (TCE), which </w:t>
      </w:r>
      <w:r w:rsidR="00E30E5C" w:rsidRPr="00221992">
        <w:rPr>
          <w:lang w:val="en-GB"/>
        </w:rPr>
        <w:t>recommend</w:t>
      </w:r>
      <w:r w:rsidR="002A1CE1" w:rsidRPr="00221992">
        <w:rPr>
          <w:lang w:val="en-GB"/>
        </w:rPr>
        <w:t>s</w:t>
      </w:r>
      <w:r w:rsidR="00E30E5C" w:rsidRPr="00221992">
        <w:rPr>
          <w:lang w:val="en-GB"/>
        </w:rPr>
        <w:t xml:space="preserve"> temporary coverage instead of CED agreements</w:t>
      </w:r>
      <w:r w:rsidR="006D6FD3" w:rsidRPr="00221992">
        <w:rPr>
          <w:lang w:val="en-GB"/>
        </w:rPr>
        <w:t xml:space="preserve"> </w:t>
      </w:r>
      <w:r w:rsidRPr="00221992">
        <w:rPr>
          <w:lang w:val="en-GB"/>
        </w:rPr>
        <w:fldChar w:fldCharType="begin"/>
      </w:r>
      <w:r w:rsidR="00E5265C">
        <w:rPr>
          <w:lang w:val="en-GB"/>
        </w:rPr>
        <w:instrText xml:space="preserve"> ADDIN EN.CITE &lt;EndNote&gt;&lt;Cite&gt;&lt;Author&gt;Dental and Pharmaceutical Benefits Agency (TLV)&lt;/Author&gt;&lt;Year&gt;2021&lt;/Year&gt;&lt;RecNum&gt;12&lt;/RecNum&gt;&lt;DisplayText&gt;[211]&lt;/DisplayText&gt;&lt;record&gt;&lt;rec-number&gt;12&lt;/rec-number&gt;&lt;foreign-keys&gt;&lt;key app="EN" db-id="wzwwsfxe4peesxef95cxvrwjxts9rreasarf" timestamp="1692654670"&gt;12&lt;/key&gt;&lt;/foreign-keys&gt;&lt;ref-type name="Report"&gt;27&lt;/ref-type&gt;&lt;contributors&gt;&lt;authors&gt;&lt;author&gt;Dental and Pharmaceutical Benefits Agency (TLV),&lt;/author&gt;&lt;/authors&gt;&lt;/contributors&gt;&lt;titles&gt;&lt;title&gt;How should we assess and pay? Health-economic assessments and payment models for precision medicines and ATMPs&lt;/title&gt;&lt;/titles&gt;&lt;volume&gt;01761/2020&lt;/volume&gt;&lt;dates&gt;&lt;year&gt;2021&lt;/year&gt;&lt;/dates&gt;&lt;pub-location&gt;Stockholm&lt;/pub-location&gt;&lt;publisher&gt;Dental and Pharmaceutical Benefits Agency (TLV)&lt;/publisher&gt;&lt;urls&gt;&lt;related-urls&gt;&lt;url&gt;https://www.tlv.se/download/18.2f080b7e182629be22dd4e3c/1660743327830/rapport_rupm_atmp_eng.pdf&lt;/url&gt;&lt;/related-urls&gt;&lt;/urls&gt;&lt;/record&gt;&lt;/Cite&gt;&lt;/EndNote&gt;</w:instrText>
      </w:r>
      <w:r w:rsidRPr="00221992">
        <w:rPr>
          <w:lang w:val="en-GB"/>
        </w:rPr>
        <w:fldChar w:fldCharType="separate"/>
      </w:r>
      <w:r w:rsidR="00E5265C">
        <w:rPr>
          <w:noProof/>
          <w:lang w:val="en-GB"/>
        </w:rPr>
        <w:t>[211]</w:t>
      </w:r>
      <w:r w:rsidRPr="00221992">
        <w:rPr>
          <w:lang w:val="en-GB"/>
        </w:rPr>
        <w:fldChar w:fldCharType="end"/>
      </w:r>
      <w:r w:rsidR="00E30E5C" w:rsidRPr="00221992">
        <w:rPr>
          <w:lang w:val="en-GB"/>
        </w:rPr>
        <w:t>. Under</w:t>
      </w:r>
      <w:r w:rsidR="00413ABA" w:rsidRPr="00221992">
        <w:rPr>
          <w:lang w:val="en-GB"/>
        </w:rPr>
        <w:t xml:space="preserve"> TCE</w:t>
      </w:r>
      <w:r w:rsidR="00E30E5C" w:rsidRPr="00221992">
        <w:rPr>
          <w:lang w:val="en-GB"/>
        </w:rPr>
        <w:t xml:space="preserve">, products are typically granted conditional coverage for a period of </w:t>
      </w:r>
      <w:r w:rsidR="00214AA1" w:rsidRPr="00221992">
        <w:rPr>
          <w:lang w:val="en-GB"/>
        </w:rPr>
        <w:t>two</w:t>
      </w:r>
      <w:r w:rsidR="00E30E5C" w:rsidRPr="00221992">
        <w:rPr>
          <w:lang w:val="en-GB"/>
        </w:rPr>
        <w:t xml:space="preserve"> years, subject to the provi</w:t>
      </w:r>
      <w:r w:rsidR="00413ABA" w:rsidRPr="00221992">
        <w:rPr>
          <w:lang w:val="en-GB"/>
        </w:rPr>
        <w:t>sion of</w:t>
      </w:r>
      <w:r w:rsidR="00E30E5C" w:rsidRPr="00221992">
        <w:rPr>
          <w:lang w:val="en-GB"/>
        </w:rPr>
        <w:t xml:space="preserve"> additional evidence </w:t>
      </w:r>
      <w:r w:rsidR="00413ABA" w:rsidRPr="00221992">
        <w:rPr>
          <w:lang w:val="en-GB"/>
        </w:rPr>
        <w:t>by sponsors</w:t>
      </w:r>
      <w:r w:rsidR="00E30E5C" w:rsidRPr="00221992">
        <w:rPr>
          <w:lang w:val="en-GB"/>
        </w:rPr>
        <w:t xml:space="preserve">. </w:t>
      </w:r>
      <w:r w:rsidR="00413ABA" w:rsidRPr="00221992">
        <w:rPr>
          <w:lang w:val="en-GB"/>
        </w:rPr>
        <w:t>E</w:t>
      </w:r>
      <w:r w:rsidR="003528EB" w:rsidRPr="00221992">
        <w:rPr>
          <w:lang w:val="en-GB"/>
        </w:rPr>
        <w:t xml:space="preserve">vidence may be </w:t>
      </w:r>
      <w:r w:rsidR="00413ABA" w:rsidRPr="00221992">
        <w:rPr>
          <w:lang w:val="en-GB"/>
        </w:rPr>
        <w:t>generated</w:t>
      </w:r>
      <w:r w:rsidR="003528EB" w:rsidRPr="00221992">
        <w:rPr>
          <w:lang w:val="en-GB"/>
        </w:rPr>
        <w:t xml:space="preserve"> through</w:t>
      </w:r>
      <w:r w:rsidR="002C0F4E">
        <w:rPr>
          <w:lang w:val="en-GB"/>
        </w:rPr>
        <w:t xml:space="preserve"> a range of methods, including</w:t>
      </w:r>
      <w:r w:rsidR="003528EB" w:rsidRPr="00221992">
        <w:rPr>
          <w:lang w:val="en-GB"/>
        </w:rPr>
        <w:t xml:space="preserve"> post-marketing studies</w:t>
      </w:r>
      <w:r w:rsidR="002C0F4E">
        <w:rPr>
          <w:lang w:val="en-GB"/>
        </w:rPr>
        <w:t xml:space="preserve"> and analysis of</w:t>
      </w:r>
      <w:r w:rsidR="003528EB" w:rsidRPr="00221992">
        <w:rPr>
          <w:lang w:val="en-GB"/>
        </w:rPr>
        <w:t xml:space="preserve"> </w:t>
      </w:r>
      <w:r w:rsidR="00EE5347" w:rsidRPr="00221992">
        <w:rPr>
          <w:lang w:val="en-GB"/>
        </w:rPr>
        <w:t>RWE</w:t>
      </w:r>
      <w:r w:rsidR="00413ABA" w:rsidRPr="00221992">
        <w:rPr>
          <w:lang w:val="en-GB"/>
        </w:rPr>
        <w:t>.</w:t>
      </w:r>
      <w:r w:rsidR="003528EB" w:rsidRPr="00221992">
        <w:rPr>
          <w:lang w:val="en-GB"/>
        </w:rPr>
        <w:t xml:space="preserve"> </w:t>
      </w:r>
      <w:r w:rsidR="00E30E5C" w:rsidRPr="00221992">
        <w:rPr>
          <w:lang w:val="en-GB"/>
        </w:rPr>
        <w:t xml:space="preserve">After </w:t>
      </w:r>
      <w:r w:rsidR="002C0F4E">
        <w:rPr>
          <w:lang w:val="en-GB"/>
        </w:rPr>
        <w:t>a</w:t>
      </w:r>
      <w:r w:rsidR="002C0F4E" w:rsidRPr="00221992">
        <w:rPr>
          <w:lang w:val="en-GB"/>
        </w:rPr>
        <w:t xml:space="preserve"> </w:t>
      </w:r>
      <w:r w:rsidR="00E30E5C" w:rsidRPr="00221992">
        <w:rPr>
          <w:lang w:val="en-GB"/>
        </w:rPr>
        <w:t xml:space="preserve">specified period, the product is re-evaluated, which can result in </w:t>
      </w:r>
      <w:r w:rsidR="001F7F16" w:rsidRPr="00221992">
        <w:rPr>
          <w:lang w:val="en-GB"/>
        </w:rPr>
        <w:t xml:space="preserve">a recommendation for </w:t>
      </w:r>
      <w:r w:rsidR="00E30E5C" w:rsidRPr="00221992">
        <w:rPr>
          <w:lang w:val="en-GB"/>
        </w:rPr>
        <w:t xml:space="preserve">permanent coverage, </w:t>
      </w:r>
      <w:r w:rsidR="001F7F16" w:rsidRPr="00221992">
        <w:rPr>
          <w:lang w:val="en-GB"/>
        </w:rPr>
        <w:t>disinvestment</w:t>
      </w:r>
      <w:r w:rsidR="00E30E5C" w:rsidRPr="00221992">
        <w:rPr>
          <w:lang w:val="en-GB"/>
        </w:rPr>
        <w:t xml:space="preserve"> or price adjustments. Financial MEAs may be in place during this period, but they are not directly tied to the generation of additional evidence. </w:t>
      </w:r>
      <w:r w:rsidR="00FA5E0F" w:rsidRPr="00221992">
        <w:rPr>
          <w:lang w:val="en-GB"/>
        </w:rPr>
        <w:t>Notably,</w:t>
      </w:r>
      <w:r w:rsidR="00E30E5C" w:rsidRPr="00221992">
        <w:rPr>
          <w:lang w:val="en-GB"/>
        </w:rPr>
        <w:t xml:space="preserve"> </w:t>
      </w:r>
      <w:r w:rsidR="00FA5E0F" w:rsidRPr="00221992">
        <w:rPr>
          <w:lang w:val="en-GB"/>
        </w:rPr>
        <w:t>TCE arrangements</w:t>
      </w:r>
      <w:r w:rsidR="00E30E5C" w:rsidRPr="00221992">
        <w:rPr>
          <w:lang w:val="en-GB"/>
        </w:rPr>
        <w:t xml:space="preserve"> ha</w:t>
      </w:r>
      <w:r w:rsidR="00FA5E0F" w:rsidRPr="00221992">
        <w:rPr>
          <w:lang w:val="en-GB"/>
        </w:rPr>
        <w:t>ve</w:t>
      </w:r>
      <w:r w:rsidR="00E30E5C" w:rsidRPr="00221992">
        <w:rPr>
          <w:lang w:val="en-GB"/>
        </w:rPr>
        <w:t xml:space="preserve"> </w:t>
      </w:r>
      <w:r w:rsidR="00936E31" w:rsidRPr="00221992">
        <w:rPr>
          <w:lang w:val="en-GB"/>
        </w:rPr>
        <w:t xml:space="preserve">precipitated price adjustments but, </w:t>
      </w:r>
      <w:r w:rsidR="00FA5E0F" w:rsidRPr="00221992">
        <w:rPr>
          <w:lang w:val="en-GB"/>
        </w:rPr>
        <w:t>to date</w:t>
      </w:r>
      <w:r w:rsidR="00936E31" w:rsidRPr="00221992">
        <w:rPr>
          <w:lang w:val="en-GB"/>
        </w:rPr>
        <w:t>, have</w:t>
      </w:r>
      <w:r w:rsidR="00FA5E0F" w:rsidRPr="00221992">
        <w:rPr>
          <w:lang w:val="en-GB"/>
        </w:rPr>
        <w:t xml:space="preserve"> not led</w:t>
      </w:r>
      <w:r w:rsidR="00E30E5C" w:rsidRPr="00221992">
        <w:rPr>
          <w:lang w:val="en-GB"/>
        </w:rPr>
        <w:t xml:space="preserve"> to</w:t>
      </w:r>
      <w:r w:rsidR="00936E31" w:rsidRPr="00221992">
        <w:rPr>
          <w:lang w:val="en-GB"/>
        </w:rPr>
        <w:t xml:space="preserve"> any cases of</w:t>
      </w:r>
      <w:r w:rsidR="00E30E5C" w:rsidRPr="00221992">
        <w:rPr>
          <w:lang w:val="en-GB"/>
        </w:rPr>
        <w:t xml:space="preserve"> </w:t>
      </w:r>
      <w:r w:rsidR="00FA5E0F" w:rsidRPr="00221992">
        <w:rPr>
          <w:lang w:val="en-GB"/>
        </w:rPr>
        <w:t>disinvestment</w:t>
      </w:r>
      <w:r w:rsidR="00E30E5C" w:rsidRPr="00221992">
        <w:rPr>
          <w:lang w:val="en-GB"/>
        </w:rPr>
        <w:t>.</w:t>
      </w:r>
    </w:p>
    <w:p w14:paraId="142DD6E5" w14:textId="15F38EB4" w:rsidR="006F0626" w:rsidRPr="00221992" w:rsidRDefault="00E31E31" w:rsidP="005927FC">
      <w:pPr>
        <w:rPr>
          <w:lang w:val="en-GB"/>
        </w:rPr>
      </w:pPr>
      <w:r w:rsidRPr="00221992">
        <w:rPr>
          <w:lang w:val="en-GB"/>
        </w:rPr>
        <w:t xml:space="preserve">The Netherlands </w:t>
      </w:r>
      <w:r w:rsidR="004515C0" w:rsidRPr="00221992">
        <w:rPr>
          <w:lang w:val="en-GB"/>
        </w:rPr>
        <w:t>has</w:t>
      </w:r>
      <w:r w:rsidR="00B6113D" w:rsidRPr="00221992">
        <w:rPr>
          <w:lang w:val="en-GB"/>
        </w:rPr>
        <w:t xml:space="preserve"> </w:t>
      </w:r>
      <w:r w:rsidR="00A30AD5" w:rsidRPr="00221992">
        <w:rPr>
          <w:lang w:val="en-GB"/>
        </w:rPr>
        <w:t xml:space="preserve">also </w:t>
      </w:r>
      <w:r w:rsidR="009F62D0" w:rsidRPr="00221992">
        <w:rPr>
          <w:lang w:val="en-GB"/>
        </w:rPr>
        <w:t>modified</w:t>
      </w:r>
      <w:r w:rsidR="00B6113D" w:rsidRPr="00221992">
        <w:rPr>
          <w:lang w:val="en-GB"/>
        </w:rPr>
        <w:t xml:space="preserve"> </w:t>
      </w:r>
      <w:r w:rsidR="009F62D0" w:rsidRPr="00221992">
        <w:rPr>
          <w:lang w:val="en-GB"/>
        </w:rPr>
        <w:t>national</w:t>
      </w:r>
      <w:r w:rsidR="00B6113D" w:rsidRPr="00221992">
        <w:rPr>
          <w:lang w:val="en-GB"/>
        </w:rPr>
        <w:t xml:space="preserve"> strategies for CED, opting to discontinue agreements in favo</w:t>
      </w:r>
      <w:r w:rsidR="00E324DC" w:rsidRPr="00221992">
        <w:rPr>
          <w:lang w:val="en-GB"/>
        </w:rPr>
        <w:t>u</w:t>
      </w:r>
      <w:r w:rsidR="00B6113D" w:rsidRPr="00221992">
        <w:rPr>
          <w:lang w:val="en-GB"/>
        </w:rPr>
        <w:t>r of alternative approaches</w:t>
      </w:r>
      <w:r w:rsidR="009F62D0" w:rsidRPr="00221992">
        <w:rPr>
          <w:lang w:val="en-GB"/>
        </w:rPr>
        <w:t>, including</w:t>
      </w:r>
      <w:r w:rsidR="00B6113D" w:rsidRPr="00221992">
        <w:rPr>
          <w:lang w:val="en-GB"/>
        </w:rPr>
        <w:t xml:space="preserve"> restricted or conditional coverage without a formal </w:t>
      </w:r>
      <w:r w:rsidR="00064F15" w:rsidRPr="00221992">
        <w:rPr>
          <w:lang w:val="en-GB"/>
        </w:rPr>
        <w:t>MEA</w:t>
      </w:r>
      <w:r w:rsidR="004515C0" w:rsidRPr="00221992">
        <w:rPr>
          <w:lang w:val="en-GB"/>
        </w:rPr>
        <w:t xml:space="preserve">. A case study </w:t>
      </w:r>
      <w:r w:rsidR="00E324DC" w:rsidRPr="00221992">
        <w:rPr>
          <w:lang w:val="en-GB"/>
        </w:rPr>
        <w:t xml:space="preserve">of </w:t>
      </w:r>
      <w:r w:rsidR="00965CB5">
        <w:rPr>
          <w:lang w:val="en-GB"/>
        </w:rPr>
        <w:t>the Netherlands</w:t>
      </w:r>
      <w:r w:rsidR="00E324DC" w:rsidRPr="00221992">
        <w:rPr>
          <w:lang w:val="en-GB"/>
        </w:rPr>
        <w:t xml:space="preserve"> and </w:t>
      </w:r>
      <w:r w:rsidR="004515C0" w:rsidRPr="00221992">
        <w:rPr>
          <w:lang w:val="en-GB"/>
        </w:rPr>
        <w:t xml:space="preserve">is </w:t>
      </w:r>
      <w:r w:rsidR="009F62D0" w:rsidRPr="00221992">
        <w:rPr>
          <w:lang w:val="en-GB"/>
        </w:rPr>
        <w:t>presented</w:t>
      </w:r>
      <w:r w:rsidR="00E324DC" w:rsidRPr="00221992">
        <w:rPr>
          <w:lang w:val="en-GB"/>
        </w:rPr>
        <w:t xml:space="preserve"> below. </w:t>
      </w:r>
    </w:p>
    <w:p w14:paraId="646A003A" w14:textId="701A71BA" w:rsidR="006F0626" w:rsidRPr="00221992" w:rsidRDefault="00E30E5C" w:rsidP="005927FC">
      <w:pPr>
        <w:rPr>
          <w:rFonts w:ascii="Calibri" w:hAnsi="Calibri" w:cs="Calibri"/>
          <w:b/>
          <w:lang w:val="en-GB"/>
        </w:rPr>
      </w:pPr>
      <w:bookmarkStart w:id="266" w:name="_Toc142742714"/>
      <w:r w:rsidRPr="00221992">
        <w:rPr>
          <w:rFonts w:ascii="Calibri" w:hAnsi="Calibri" w:cs="Calibri"/>
          <w:b/>
          <w:lang w:val="en-GB"/>
        </w:rPr>
        <w:t>Case Study</w:t>
      </w:r>
      <w:r w:rsidR="00882709" w:rsidRPr="00221992">
        <w:rPr>
          <w:rFonts w:ascii="Calibri" w:hAnsi="Calibri" w:cs="Calibri"/>
          <w:b/>
          <w:lang w:val="en-GB"/>
        </w:rPr>
        <w:t>:</w:t>
      </w:r>
      <w:r w:rsidRPr="00221992">
        <w:rPr>
          <w:rFonts w:ascii="Calibri" w:hAnsi="Calibri" w:cs="Calibri"/>
          <w:b/>
          <w:lang w:val="en-GB"/>
        </w:rPr>
        <w:t xml:space="preserve"> The Netherlands</w:t>
      </w:r>
      <w:bookmarkEnd w:id="266"/>
      <w:r w:rsidRPr="00221992">
        <w:rPr>
          <w:rFonts w:ascii="Calibri" w:hAnsi="Calibri" w:cs="Calibri"/>
          <w:b/>
          <w:lang w:val="en-GB"/>
        </w:rPr>
        <w:t xml:space="preserve"> </w:t>
      </w:r>
    </w:p>
    <w:p w14:paraId="1EBBD96F" w14:textId="35F40D5F" w:rsidR="00DA4CEB" w:rsidRPr="00221992" w:rsidRDefault="0088686A" w:rsidP="005927FC">
      <w:pPr>
        <w:rPr>
          <w:lang w:val="en-GB"/>
        </w:rPr>
      </w:pPr>
      <w:r w:rsidRPr="00221992">
        <w:rPr>
          <w:lang w:val="en-GB"/>
        </w:rPr>
        <w:t>A</w:t>
      </w:r>
      <w:r w:rsidR="002607DA" w:rsidRPr="00221992">
        <w:rPr>
          <w:lang w:val="en-GB"/>
        </w:rPr>
        <w:t xml:space="preserve">n early adopter of </w:t>
      </w:r>
      <w:r w:rsidR="00064F15" w:rsidRPr="00221992">
        <w:rPr>
          <w:lang w:val="en-GB"/>
        </w:rPr>
        <w:t>MEA</w:t>
      </w:r>
      <w:r w:rsidR="002607DA" w:rsidRPr="00221992">
        <w:rPr>
          <w:lang w:val="en-GB"/>
        </w:rPr>
        <w:t xml:space="preserve">s in Europe, </w:t>
      </w:r>
      <w:r w:rsidRPr="00221992">
        <w:rPr>
          <w:lang w:val="en-GB"/>
        </w:rPr>
        <w:t xml:space="preserve">the Netherlands </w:t>
      </w:r>
      <w:r w:rsidR="002607DA" w:rsidRPr="00221992">
        <w:rPr>
          <w:lang w:val="en-GB"/>
        </w:rPr>
        <w:t>implement</w:t>
      </w:r>
      <w:r w:rsidRPr="00221992">
        <w:rPr>
          <w:lang w:val="en-GB"/>
        </w:rPr>
        <w:t>ed</w:t>
      </w:r>
      <w:r w:rsidR="002607DA" w:rsidRPr="00221992">
        <w:rPr>
          <w:lang w:val="en-GB"/>
        </w:rPr>
        <w:t xml:space="preserve"> </w:t>
      </w:r>
      <w:r w:rsidR="00153914" w:rsidRPr="00221992">
        <w:rPr>
          <w:lang w:val="en-GB"/>
        </w:rPr>
        <w:t>the Conditional Access Scheme (CAS</w:t>
      </w:r>
      <w:r w:rsidR="00EC67A5" w:rsidRPr="00221992">
        <w:rPr>
          <w:lang w:val="en-GB"/>
        </w:rPr>
        <w:t>),</w:t>
      </w:r>
      <w:r w:rsidR="00153914" w:rsidRPr="00221992">
        <w:rPr>
          <w:lang w:val="en-GB"/>
        </w:rPr>
        <w:t xml:space="preserve"> </w:t>
      </w:r>
      <w:r w:rsidR="002607DA" w:rsidRPr="00221992">
        <w:rPr>
          <w:lang w:val="en-GB"/>
        </w:rPr>
        <w:t>a four-year CED framework for high-cost hospital medicines</w:t>
      </w:r>
      <w:r w:rsidR="00BE1D2B" w:rsidRPr="00221992">
        <w:rPr>
          <w:lang w:val="en-GB"/>
        </w:rPr>
        <w:t>,</w:t>
      </w:r>
      <w:r w:rsidR="00EC67A5" w:rsidRPr="00221992">
        <w:rPr>
          <w:lang w:val="en-GB"/>
        </w:rPr>
        <w:t xml:space="preserve"> between 2006 and 2012</w:t>
      </w:r>
      <w:r w:rsidR="002607DA" w:rsidRPr="00221992">
        <w:rPr>
          <w:lang w:val="en-GB"/>
        </w:rPr>
        <w:t xml:space="preserve">. </w:t>
      </w:r>
      <w:r w:rsidR="00D07E52" w:rsidRPr="00221992">
        <w:rPr>
          <w:lang w:val="en-GB"/>
        </w:rPr>
        <w:t>S</w:t>
      </w:r>
      <w:r w:rsidR="002607DA" w:rsidRPr="00221992">
        <w:rPr>
          <w:lang w:val="en-GB"/>
        </w:rPr>
        <w:t xml:space="preserve">election criteria for medicines included a budget impact above </w:t>
      </w:r>
      <w:r w:rsidR="00CE5343" w:rsidRPr="00221992">
        <w:rPr>
          <w:lang w:val="en-GB"/>
        </w:rPr>
        <w:t>€</w:t>
      </w:r>
      <w:r w:rsidR="002607DA" w:rsidRPr="00221992">
        <w:rPr>
          <w:lang w:val="en-GB"/>
        </w:rPr>
        <w:t>2.5 million</w:t>
      </w:r>
      <w:r w:rsidR="00CE5343" w:rsidRPr="00221992">
        <w:rPr>
          <w:lang w:val="en-GB"/>
        </w:rPr>
        <w:t xml:space="preserve"> per annum</w:t>
      </w:r>
      <w:r w:rsidR="002607DA" w:rsidRPr="00221992">
        <w:rPr>
          <w:lang w:val="en-GB"/>
        </w:rPr>
        <w:t>, proven additional therapeutic value compared to existing treatments, and a well-defined proposal for outcomes research to address uncertainties related to appropriate use and cost-effectiveness in routine practic</w:t>
      </w:r>
      <w:r w:rsidR="00DA4CEB" w:rsidRPr="00221992">
        <w:rPr>
          <w:lang w:val="en-GB"/>
        </w:rPr>
        <w:t>e (</w:t>
      </w:r>
      <w:r w:rsidR="000672C1" w:rsidRPr="00221992">
        <w:rPr>
          <w:lang w:val="en-GB"/>
        </w:rPr>
        <w:t xml:space="preserve">known as </w:t>
      </w:r>
      <w:r w:rsidR="00DA4CEB" w:rsidRPr="00221992">
        <w:rPr>
          <w:lang w:val="en-GB"/>
        </w:rPr>
        <w:t>the critical question)</w:t>
      </w:r>
      <w:r w:rsidR="002607DA" w:rsidRPr="00221992">
        <w:rPr>
          <w:lang w:val="en-GB"/>
        </w:rPr>
        <w:t>.</w:t>
      </w:r>
      <w:r w:rsidR="00DA4CEB" w:rsidRPr="00221992">
        <w:rPr>
          <w:lang w:val="en-GB"/>
        </w:rPr>
        <w:t xml:space="preserve"> </w:t>
      </w:r>
    </w:p>
    <w:p w14:paraId="3F5BD55A" w14:textId="7A331670" w:rsidR="00DA4CEB" w:rsidRPr="00221992" w:rsidRDefault="00DA4CEB" w:rsidP="005927FC">
      <w:pPr>
        <w:rPr>
          <w:lang w:val="en-GB"/>
        </w:rPr>
      </w:pPr>
      <w:r w:rsidRPr="00221992">
        <w:rPr>
          <w:lang w:val="en-GB"/>
        </w:rPr>
        <w:t xml:space="preserve">Key features of </w:t>
      </w:r>
      <w:r w:rsidR="00BE1D2B" w:rsidRPr="00221992">
        <w:rPr>
          <w:lang w:val="en-GB"/>
        </w:rPr>
        <w:t xml:space="preserve">the </w:t>
      </w:r>
      <w:r w:rsidR="00900FEA" w:rsidRPr="00221992">
        <w:rPr>
          <w:lang w:val="en-GB"/>
        </w:rPr>
        <w:t xml:space="preserve">CAS </w:t>
      </w:r>
      <w:r w:rsidRPr="00221992">
        <w:rPr>
          <w:lang w:val="en-GB"/>
        </w:rPr>
        <w:t>included</w:t>
      </w:r>
      <w:r w:rsidR="00EE10FD" w:rsidRPr="00221992">
        <w:rPr>
          <w:lang w:val="en-GB"/>
        </w:rPr>
        <w:t xml:space="preserve"> </w:t>
      </w:r>
      <w:r w:rsidR="00653F87" w:rsidRPr="00221992">
        <w:rPr>
          <w:lang w:val="en-GB"/>
        </w:rPr>
        <w:fldChar w:fldCharType="begin">
          <w:fldData xml:space="preserve">PEVuZE5vdGU+PENpdGU+PEF1dGhvcj52YW4gZGUgV2V0ZXJpbmc8L0F1dGhvcj48WWVhcj4yMDE3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</w:fldData>
        </w:fldChar>
      </w:r>
      <w:r w:rsidR="00E5265C">
        <w:rPr>
          <w:lang w:val="en-GB"/>
        </w:rPr>
        <w:instrText xml:space="preserve"> ADDIN EN.CITE </w:instrText>
      </w:r>
      <w:r w:rsidR="00E5265C">
        <w:rPr>
          <w:lang w:val="en-GB"/>
        </w:rPr>
        <w:fldChar w:fldCharType="begin">
          <w:fldData xml:space="preserve">PEVuZE5vdGU+PENpdGU+PEF1dGhvcj52YW4gZGUgV2V0ZXJpbmc8L0F1dGhvcj48WWVhcj4yMDE3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</w:fldData>
        </w:fldChar>
      </w:r>
      <w:r w:rsidR="00E5265C">
        <w:rPr>
          <w:lang w:val="en-GB"/>
        </w:rPr>
        <w:instrText xml:space="preserve"> ADDIN EN.CITE.DATA </w:instrText>
      </w:r>
      <w:r w:rsidR="00E5265C">
        <w:rPr>
          <w:lang w:val="en-GB"/>
        </w:rPr>
      </w:r>
      <w:r w:rsidR="00E5265C">
        <w:rPr>
          <w:lang w:val="en-GB"/>
        </w:rPr>
        <w:fldChar w:fldCharType="end"/>
      </w:r>
      <w:r w:rsidR="00653F87" w:rsidRPr="00221992">
        <w:rPr>
          <w:lang w:val="en-GB"/>
        </w:rPr>
      </w:r>
      <w:r w:rsidR="00653F87" w:rsidRPr="00221992">
        <w:rPr>
          <w:lang w:val="en-GB"/>
        </w:rPr>
        <w:fldChar w:fldCharType="separate"/>
      </w:r>
      <w:r w:rsidR="00E5265C">
        <w:rPr>
          <w:noProof/>
          <w:lang w:val="en-GB"/>
        </w:rPr>
        <w:t>[255]</w:t>
      </w:r>
      <w:r w:rsidR="00653F87" w:rsidRPr="00221992">
        <w:rPr>
          <w:lang w:val="en-GB"/>
        </w:rPr>
        <w:fldChar w:fldCharType="end"/>
      </w:r>
      <w:r w:rsidRPr="00221992">
        <w:rPr>
          <w:lang w:val="en-GB"/>
        </w:rPr>
        <w:t>:</w:t>
      </w:r>
    </w:p>
    <w:p w14:paraId="53926BC7" w14:textId="7DE0535C" w:rsidR="00DA4CEB" w:rsidRPr="00221992" w:rsidRDefault="00DA4CEB" w:rsidP="00957584">
      <w:pPr>
        <w:pStyle w:val="ListParagraph"/>
        <w:numPr>
          <w:ilvl w:val="0"/>
          <w:numId w:val="37"/>
        </w:numPr>
        <w:rPr>
          <w:lang w:val="en-GB"/>
        </w:rPr>
      </w:pPr>
      <w:r w:rsidRPr="00221992">
        <w:rPr>
          <w:lang w:val="en-GB"/>
        </w:rPr>
        <w:t xml:space="preserve">Innovative Treatments: The CAS was primarily intended for innovative </w:t>
      </w:r>
      <w:r w:rsidR="005A3EBF" w:rsidRPr="00221992">
        <w:rPr>
          <w:lang w:val="en-GB"/>
        </w:rPr>
        <w:t>health technologies</w:t>
      </w:r>
      <w:r w:rsidRPr="00221992">
        <w:rPr>
          <w:lang w:val="en-GB"/>
        </w:rPr>
        <w:t xml:space="preserve"> </w:t>
      </w:r>
      <w:r w:rsidR="003D0DF4" w:rsidRPr="00221992">
        <w:rPr>
          <w:lang w:val="en-GB"/>
        </w:rPr>
        <w:t>with</w:t>
      </w:r>
      <w:r w:rsidRPr="00221992">
        <w:rPr>
          <w:lang w:val="en-GB"/>
        </w:rPr>
        <w:t xml:space="preserve"> the potential to offer significant benefits to patients</w:t>
      </w:r>
      <w:r w:rsidR="005A3EBF" w:rsidRPr="00221992">
        <w:rPr>
          <w:lang w:val="en-GB"/>
        </w:rPr>
        <w:t>,</w:t>
      </w:r>
      <w:r w:rsidRPr="00221992">
        <w:rPr>
          <w:lang w:val="en-GB"/>
        </w:rPr>
        <w:t xml:space="preserve"> but</w:t>
      </w:r>
      <w:r w:rsidR="003D0DF4" w:rsidRPr="00221992">
        <w:rPr>
          <w:lang w:val="en-GB"/>
        </w:rPr>
        <w:t xml:space="preserve"> which</w:t>
      </w:r>
      <w:r w:rsidRPr="00221992">
        <w:rPr>
          <w:lang w:val="en-GB"/>
        </w:rPr>
        <w:t xml:space="preserve"> lack</w:t>
      </w:r>
      <w:r w:rsidR="005A3EBF" w:rsidRPr="00221992">
        <w:rPr>
          <w:lang w:val="en-GB"/>
        </w:rPr>
        <w:t>ed</w:t>
      </w:r>
      <w:r w:rsidRPr="00221992">
        <w:rPr>
          <w:lang w:val="en-GB"/>
        </w:rPr>
        <w:t xml:space="preserve"> complete clinical evidence.</w:t>
      </w:r>
    </w:p>
    <w:p w14:paraId="59DBD6DC" w14:textId="257F7BBE" w:rsidR="00DA4CEB" w:rsidRPr="00221992" w:rsidRDefault="00DA4CEB" w:rsidP="00957584">
      <w:pPr>
        <w:pStyle w:val="ListParagraph"/>
        <w:numPr>
          <w:ilvl w:val="0"/>
          <w:numId w:val="37"/>
        </w:numPr>
        <w:rPr>
          <w:lang w:val="en-GB"/>
        </w:rPr>
      </w:pPr>
      <w:r w:rsidRPr="00221992">
        <w:rPr>
          <w:lang w:val="en-GB"/>
        </w:rPr>
        <w:t>Conditional Access: Under the CAS, eligible patients could access innovative treatment</w:t>
      </w:r>
      <w:r w:rsidR="00C05687" w:rsidRPr="00221992">
        <w:rPr>
          <w:lang w:val="en-GB"/>
        </w:rPr>
        <w:t>s</w:t>
      </w:r>
      <w:r w:rsidRPr="00221992">
        <w:rPr>
          <w:lang w:val="en-GB"/>
        </w:rPr>
        <w:t xml:space="preserve"> even if </w:t>
      </w:r>
      <w:r w:rsidR="00C05687" w:rsidRPr="00221992">
        <w:rPr>
          <w:lang w:val="en-GB"/>
        </w:rPr>
        <w:t>they</w:t>
      </w:r>
      <w:r w:rsidRPr="00221992">
        <w:rPr>
          <w:lang w:val="en-GB"/>
        </w:rPr>
        <w:t xml:space="preserve"> ha</w:t>
      </w:r>
      <w:r w:rsidR="00C05687" w:rsidRPr="00221992">
        <w:rPr>
          <w:lang w:val="en-GB"/>
        </w:rPr>
        <w:t>d</w:t>
      </w:r>
      <w:r w:rsidRPr="00221992">
        <w:rPr>
          <w:lang w:val="en-GB"/>
        </w:rPr>
        <w:t xml:space="preserve"> not yet received reimbursement approval. Access </w:t>
      </w:r>
      <w:r w:rsidR="00C05687" w:rsidRPr="00221992">
        <w:rPr>
          <w:lang w:val="en-GB"/>
        </w:rPr>
        <w:t>was</w:t>
      </w:r>
      <w:r w:rsidRPr="00221992">
        <w:rPr>
          <w:lang w:val="en-GB"/>
        </w:rPr>
        <w:t xml:space="preserve"> provided </w:t>
      </w:r>
      <w:r w:rsidR="00C05687" w:rsidRPr="00221992">
        <w:rPr>
          <w:lang w:val="en-GB"/>
        </w:rPr>
        <w:t>with</w:t>
      </w:r>
      <w:r w:rsidRPr="00221992">
        <w:rPr>
          <w:lang w:val="en-GB"/>
        </w:rPr>
        <w:t xml:space="preserve"> conditions, </w:t>
      </w:r>
      <w:r w:rsidR="00C05687" w:rsidRPr="00221992">
        <w:rPr>
          <w:lang w:val="en-GB"/>
        </w:rPr>
        <w:t>including</w:t>
      </w:r>
      <w:r w:rsidRPr="00221992">
        <w:rPr>
          <w:lang w:val="en-GB"/>
        </w:rPr>
        <w:t xml:space="preserve"> specific patient criteria, treatment protocols and data collection requirements.</w:t>
      </w:r>
    </w:p>
    <w:p w14:paraId="4F33FD91" w14:textId="4A920936" w:rsidR="00DA4CEB" w:rsidRPr="00221992" w:rsidRDefault="00DA4CEB" w:rsidP="00957584">
      <w:pPr>
        <w:pStyle w:val="ListParagraph"/>
        <w:numPr>
          <w:ilvl w:val="0"/>
          <w:numId w:val="37"/>
        </w:numPr>
        <w:rPr>
          <w:lang w:val="en-GB"/>
        </w:rPr>
      </w:pPr>
      <w:r w:rsidRPr="00221992">
        <w:rPr>
          <w:lang w:val="en-GB"/>
        </w:rPr>
        <w:t>Limited Evidence: The CAS was often used for treatments that ha</w:t>
      </w:r>
      <w:r w:rsidR="00A84A00" w:rsidRPr="00221992">
        <w:rPr>
          <w:lang w:val="en-GB"/>
        </w:rPr>
        <w:t>d</w:t>
      </w:r>
      <w:r w:rsidRPr="00221992">
        <w:rPr>
          <w:lang w:val="en-GB"/>
        </w:rPr>
        <w:t xml:space="preserve"> demonstrated promising results in early clinical studies but </w:t>
      </w:r>
      <w:r w:rsidR="00A84A00" w:rsidRPr="00221992">
        <w:rPr>
          <w:lang w:val="en-GB"/>
        </w:rPr>
        <w:t>which</w:t>
      </w:r>
      <w:r w:rsidRPr="00221992">
        <w:rPr>
          <w:lang w:val="en-GB"/>
        </w:rPr>
        <w:t xml:space="preserve"> require</w:t>
      </w:r>
      <w:r w:rsidR="00A84A00" w:rsidRPr="00221992">
        <w:rPr>
          <w:lang w:val="en-GB"/>
        </w:rPr>
        <w:t>d</w:t>
      </w:r>
      <w:r w:rsidRPr="00221992">
        <w:rPr>
          <w:lang w:val="en-GB"/>
        </w:rPr>
        <w:t xml:space="preserve"> further </w:t>
      </w:r>
      <w:r w:rsidR="00A84A00" w:rsidRPr="00221992">
        <w:rPr>
          <w:lang w:val="en-GB"/>
        </w:rPr>
        <w:t>study</w:t>
      </w:r>
      <w:r w:rsidRPr="00221992">
        <w:rPr>
          <w:lang w:val="en-GB"/>
        </w:rPr>
        <w:t xml:space="preserve"> to confirm their long-term safety, effectiveness and cost-effectiveness.</w:t>
      </w:r>
    </w:p>
    <w:p w14:paraId="6FE0C47D" w14:textId="45FE42A0" w:rsidR="00DA4CEB" w:rsidRPr="00221992" w:rsidRDefault="00DA4CEB" w:rsidP="00957584">
      <w:pPr>
        <w:pStyle w:val="ListParagraph"/>
        <w:numPr>
          <w:ilvl w:val="0"/>
          <w:numId w:val="37"/>
        </w:numPr>
        <w:rPr>
          <w:lang w:val="en-GB"/>
        </w:rPr>
      </w:pPr>
      <w:r w:rsidRPr="00221992">
        <w:rPr>
          <w:lang w:val="en-GB"/>
        </w:rPr>
        <w:t>Data Collection and Evaluation: As part of the conditional access arrangement</w:t>
      </w:r>
      <w:r w:rsidR="003C0F68" w:rsidRPr="00221992">
        <w:rPr>
          <w:lang w:val="en-GB"/>
        </w:rPr>
        <w:t>s</w:t>
      </w:r>
      <w:r w:rsidRPr="00221992">
        <w:rPr>
          <w:lang w:val="en-GB"/>
        </w:rPr>
        <w:t>, manufacturers, healthcare providers and regulatory authorities collaborate</w:t>
      </w:r>
      <w:r w:rsidR="003C0F68" w:rsidRPr="00221992">
        <w:rPr>
          <w:lang w:val="en-GB"/>
        </w:rPr>
        <w:t>d</w:t>
      </w:r>
      <w:r w:rsidRPr="00221992">
        <w:rPr>
          <w:lang w:val="en-GB"/>
        </w:rPr>
        <w:t xml:space="preserve"> to collect </w:t>
      </w:r>
      <w:r w:rsidR="00EE5347" w:rsidRPr="00221992">
        <w:rPr>
          <w:lang w:val="en-GB"/>
        </w:rPr>
        <w:t>RWE</w:t>
      </w:r>
      <w:r w:rsidRPr="00221992">
        <w:rPr>
          <w:lang w:val="en-GB"/>
        </w:rPr>
        <w:t xml:space="preserve"> on performance.</w:t>
      </w:r>
      <w:r w:rsidR="003C0F68" w:rsidRPr="00221992">
        <w:rPr>
          <w:lang w:val="en-GB"/>
        </w:rPr>
        <w:t xml:space="preserve"> </w:t>
      </w:r>
      <w:r w:rsidRPr="00221992">
        <w:rPr>
          <w:lang w:val="en-GB"/>
        </w:rPr>
        <w:t xml:space="preserve">This data was used to assess the </w:t>
      </w:r>
      <w:r w:rsidR="003C0F68" w:rsidRPr="00221992">
        <w:rPr>
          <w:lang w:val="en-GB"/>
        </w:rPr>
        <w:t>technology</w:t>
      </w:r>
      <w:r w:rsidR="00551786">
        <w:rPr>
          <w:lang w:val="en-GB"/>
        </w:rPr>
        <w:t>’</w:t>
      </w:r>
      <w:r w:rsidR="003C0F68" w:rsidRPr="00221992">
        <w:rPr>
          <w:lang w:val="en-GB"/>
        </w:rPr>
        <w:t>s</w:t>
      </w:r>
      <w:r w:rsidRPr="00221992">
        <w:rPr>
          <w:lang w:val="en-GB"/>
        </w:rPr>
        <w:t xml:space="preserve"> impact on patient outcomes, healthcare costs, and overall health system benefits.</w:t>
      </w:r>
    </w:p>
    <w:p w14:paraId="2F5ECE6D" w14:textId="083E3473" w:rsidR="00DA4CEB" w:rsidRPr="00221992" w:rsidRDefault="00DA4CEB" w:rsidP="00957584">
      <w:pPr>
        <w:pStyle w:val="ListParagraph"/>
        <w:numPr>
          <w:ilvl w:val="0"/>
          <w:numId w:val="37"/>
        </w:numPr>
        <w:rPr>
          <w:lang w:val="en-GB"/>
        </w:rPr>
      </w:pPr>
      <w:r w:rsidRPr="00221992">
        <w:rPr>
          <w:lang w:val="en-GB"/>
        </w:rPr>
        <w:t xml:space="preserve">Risk-Sharing Agreements: Conditional access </w:t>
      </w:r>
      <w:r w:rsidR="00B5543C" w:rsidRPr="00221992">
        <w:rPr>
          <w:lang w:val="en-GB"/>
        </w:rPr>
        <w:t>was also managed through</w:t>
      </w:r>
      <w:r w:rsidRPr="00221992">
        <w:rPr>
          <w:lang w:val="en-GB"/>
        </w:rPr>
        <w:t xml:space="preserve"> risk-sharing agreements between manufacturer</w:t>
      </w:r>
      <w:r w:rsidR="00B5543C" w:rsidRPr="00221992">
        <w:rPr>
          <w:lang w:val="en-GB"/>
        </w:rPr>
        <w:t>s</w:t>
      </w:r>
      <w:r w:rsidRPr="00221992">
        <w:rPr>
          <w:lang w:val="en-GB"/>
        </w:rPr>
        <w:t xml:space="preserve"> and the healthcare system. </w:t>
      </w:r>
    </w:p>
    <w:p w14:paraId="26DEFD69" w14:textId="3B69D8CD" w:rsidR="00DA4CEB" w:rsidRPr="00221992" w:rsidRDefault="00DA4CEB" w:rsidP="00957584">
      <w:pPr>
        <w:pStyle w:val="ListParagraph"/>
        <w:numPr>
          <w:ilvl w:val="0"/>
          <w:numId w:val="37"/>
        </w:numPr>
        <w:rPr>
          <w:lang w:val="en-GB"/>
        </w:rPr>
      </w:pPr>
      <w:r w:rsidRPr="00221992">
        <w:rPr>
          <w:lang w:val="en-GB"/>
        </w:rPr>
        <w:t xml:space="preserve">Regular Review: </w:t>
      </w:r>
      <w:r w:rsidR="00B5543C" w:rsidRPr="00221992">
        <w:rPr>
          <w:lang w:val="en-GB"/>
        </w:rPr>
        <w:t>D</w:t>
      </w:r>
      <w:r w:rsidRPr="00221992">
        <w:rPr>
          <w:lang w:val="en-GB"/>
        </w:rPr>
        <w:t xml:space="preserve">ata collected during the conditional access period </w:t>
      </w:r>
      <w:r w:rsidR="00B5543C" w:rsidRPr="00221992">
        <w:rPr>
          <w:lang w:val="en-GB"/>
        </w:rPr>
        <w:t>was</w:t>
      </w:r>
      <w:r w:rsidRPr="00221992">
        <w:rPr>
          <w:lang w:val="en-GB"/>
        </w:rPr>
        <w:t xml:space="preserve"> regularly reviewed to determine whether </w:t>
      </w:r>
      <w:r w:rsidR="00080569" w:rsidRPr="00221992">
        <w:rPr>
          <w:lang w:val="en-GB"/>
        </w:rPr>
        <w:t>technologies met</w:t>
      </w:r>
      <w:r w:rsidRPr="00221992">
        <w:rPr>
          <w:lang w:val="en-GB"/>
        </w:rPr>
        <w:t xml:space="preserve"> the expected clinical and cost-effectiveness criteria. Based on the review outcomes, a decision </w:t>
      </w:r>
      <w:r w:rsidR="00080569" w:rsidRPr="00221992">
        <w:rPr>
          <w:lang w:val="en-GB"/>
        </w:rPr>
        <w:t>was</w:t>
      </w:r>
      <w:r w:rsidRPr="00221992">
        <w:rPr>
          <w:lang w:val="en-GB"/>
        </w:rPr>
        <w:t xml:space="preserve"> made regarding full reimbursement, continuation of conditional access, or withdrawal of the </w:t>
      </w:r>
      <w:r w:rsidR="00080569" w:rsidRPr="00221992">
        <w:rPr>
          <w:lang w:val="en-GB"/>
        </w:rPr>
        <w:t>technology</w:t>
      </w:r>
      <w:r w:rsidRPr="00221992">
        <w:rPr>
          <w:lang w:val="en-GB"/>
        </w:rPr>
        <w:t xml:space="preserve"> from the scheme.</w:t>
      </w:r>
    </w:p>
    <w:p w14:paraId="19099852" w14:textId="3B392DA8" w:rsidR="00DA4CEB" w:rsidRPr="00221992" w:rsidRDefault="00DA4CEB" w:rsidP="00957584">
      <w:pPr>
        <w:pStyle w:val="ListParagraph"/>
        <w:numPr>
          <w:ilvl w:val="0"/>
          <w:numId w:val="37"/>
        </w:numPr>
        <w:rPr>
          <w:lang w:val="en-GB"/>
        </w:rPr>
      </w:pPr>
      <w:r w:rsidRPr="00221992">
        <w:rPr>
          <w:lang w:val="en-GB"/>
        </w:rPr>
        <w:t>Patient Informed Consent: Patients participating in the CAS were typically required to provide informed consent, acknowledging that they underst</w:t>
      </w:r>
      <w:r w:rsidR="00080569" w:rsidRPr="00221992">
        <w:rPr>
          <w:lang w:val="en-GB"/>
        </w:rPr>
        <w:t>ood</w:t>
      </w:r>
      <w:r w:rsidRPr="00221992">
        <w:rPr>
          <w:lang w:val="en-GB"/>
        </w:rPr>
        <w:t xml:space="preserve"> the limited evidence surrounding the treatment and the conditions of its use.</w:t>
      </w:r>
    </w:p>
    <w:p w14:paraId="296AA55A" w14:textId="47070765" w:rsidR="002607DA" w:rsidRPr="00221992" w:rsidRDefault="00CA138C" w:rsidP="00815512">
      <w:pPr>
        <w:rPr>
          <w:lang w:val="en-GB"/>
        </w:rPr>
      </w:pPr>
      <w:r w:rsidRPr="00221992">
        <w:rPr>
          <w:lang w:val="en-GB"/>
        </w:rPr>
        <w:t>E</w:t>
      </w:r>
      <w:r w:rsidR="00F732AA" w:rsidRPr="00221992">
        <w:rPr>
          <w:lang w:val="en-GB"/>
        </w:rPr>
        <w:t>valuating the CAS, Makady</w:t>
      </w:r>
      <w:r w:rsidRPr="00221992">
        <w:rPr>
          <w:lang w:val="en-GB"/>
        </w:rPr>
        <w:t xml:space="preserve"> et al.</w:t>
      </w:r>
      <w:r w:rsidR="00F732AA" w:rsidRPr="00221992">
        <w:rPr>
          <w:lang w:val="en-GB"/>
        </w:rPr>
        <w:t xml:space="preserve"> (2019, a,b) and Pouwels </w:t>
      </w:r>
      <w:r w:rsidRPr="00221992">
        <w:rPr>
          <w:lang w:val="en-GB"/>
        </w:rPr>
        <w:t xml:space="preserve">et al. </w:t>
      </w:r>
      <w:r w:rsidR="00F732AA" w:rsidRPr="00221992">
        <w:rPr>
          <w:lang w:val="en-GB"/>
        </w:rPr>
        <w:t xml:space="preserve">(2019) found that while the scheme accelerated patient access to medicines, the additional evidence generated inadequately addressed uncertainties </w:t>
      </w:r>
      <w:r w:rsidR="006B4B6D" w:rsidRPr="00221992">
        <w:rPr>
          <w:lang w:val="en-GB"/>
        </w:rPr>
        <w:fldChar w:fldCharType="begin">
          <w:fldData xml:space="preserve">PEVuZE5vdGU+PENpdGU+PEF1dGhvcj5NYWthZHk8L0F1dGhvcj48WWVhcj4yMDE5PC9ZZWFyPjxS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</w:fldData>
        </w:fldChar>
      </w:r>
      <w:r w:rsidR="00E5265C">
        <w:rPr>
          <w:lang w:val="en-GB"/>
        </w:rPr>
        <w:instrText xml:space="preserve"> ADDIN EN.CITE </w:instrText>
      </w:r>
      <w:r w:rsidR="00E5265C">
        <w:rPr>
          <w:lang w:val="en-GB"/>
        </w:rPr>
        <w:fldChar w:fldCharType="begin">
          <w:fldData xml:space="preserve">PEVuZE5vdGU+PENpdGU+PEF1dGhvcj5NYWthZHk8L0F1dGhvcj48WWVhcj4yMDE5PC9ZZWFyPjxS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</w:fldData>
        </w:fldChar>
      </w:r>
      <w:r w:rsidR="00E5265C">
        <w:rPr>
          <w:lang w:val="en-GB"/>
        </w:rPr>
        <w:instrText xml:space="preserve"> ADDIN EN.CITE.DATA </w:instrText>
      </w:r>
      <w:r w:rsidR="00E5265C">
        <w:rPr>
          <w:lang w:val="en-GB"/>
        </w:rPr>
      </w:r>
      <w:r w:rsidR="00E5265C">
        <w:rPr>
          <w:lang w:val="en-GB"/>
        </w:rPr>
        <w:fldChar w:fldCharType="end"/>
      </w:r>
      <w:r w:rsidR="006B4B6D" w:rsidRPr="00221992">
        <w:rPr>
          <w:lang w:val="en-GB"/>
        </w:rPr>
      </w:r>
      <w:r w:rsidR="006B4B6D" w:rsidRPr="00221992">
        <w:rPr>
          <w:lang w:val="en-GB"/>
        </w:rPr>
        <w:fldChar w:fldCharType="separate"/>
      </w:r>
      <w:r w:rsidR="00E5265C">
        <w:rPr>
          <w:noProof/>
          <w:lang w:val="en-GB"/>
        </w:rPr>
        <w:t>[245, 256-257]</w:t>
      </w:r>
      <w:r w:rsidR="006B4B6D" w:rsidRPr="00221992">
        <w:rPr>
          <w:lang w:val="en-GB"/>
        </w:rPr>
        <w:fldChar w:fldCharType="end"/>
      </w:r>
      <w:r w:rsidR="00F732AA" w:rsidRPr="00221992">
        <w:rPr>
          <w:lang w:val="en-GB"/>
        </w:rPr>
        <w:t>.</w:t>
      </w:r>
    </w:p>
    <w:p w14:paraId="3309BDBC" w14:textId="37B7E3F0" w:rsidR="002607DA" w:rsidRPr="00221992" w:rsidRDefault="002607DA" w:rsidP="00815512">
      <w:pPr>
        <w:rPr>
          <w:lang w:val="en-GB"/>
        </w:rPr>
      </w:pPr>
      <w:r w:rsidRPr="00221992">
        <w:rPr>
          <w:lang w:val="en-GB"/>
        </w:rPr>
        <w:t>Makady et al. (201</w:t>
      </w:r>
      <w:r w:rsidR="00AB7C84" w:rsidRPr="00221992">
        <w:rPr>
          <w:lang w:val="en-GB"/>
        </w:rPr>
        <w:t>9</w:t>
      </w:r>
      <w:r w:rsidR="003341D2" w:rsidRPr="00221992">
        <w:rPr>
          <w:lang w:val="en-GB"/>
        </w:rPr>
        <w:t>b</w:t>
      </w:r>
      <w:r w:rsidRPr="00221992">
        <w:rPr>
          <w:lang w:val="en-GB"/>
        </w:rPr>
        <w:t xml:space="preserve">) identified weaknesses in the design and implementation of </w:t>
      </w:r>
      <w:r w:rsidR="00D23C9D" w:rsidRPr="00221992">
        <w:rPr>
          <w:lang w:val="en-GB"/>
        </w:rPr>
        <w:t>CAS</w:t>
      </w:r>
      <w:r w:rsidRPr="00221992">
        <w:rPr>
          <w:lang w:val="en-GB"/>
        </w:rPr>
        <w:t xml:space="preserve">. Only 12 of 25 included medicines </w:t>
      </w:r>
      <w:r w:rsidR="00F42176" w:rsidRPr="00221992">
        <w:rPr>
          <w:lang w:val="en-GB"/>
        </w:rPr>
        <w:t>were found to have</w:t>
      </w:r>
      <w:r w:rsidRPr="00221992">
        <w:rPr>
          <w:lang w:val="en-GB"/>
        </w:rPr>
        <w:t xml:space="preserve"> undergone full reassessment by December 2017, with the remaining medicines either undergoing or pending reassessment. </w:t>
      </w:r>
      <w:r w:rsidR="005A4AD4" w:rsidRPr="00221992">
        <w:rPr>
          <w:lang w:val="en-GB"/>
        </w:rPr>
        <w:t xml:space="preserve">The authors found that </w:t>
      </w:r>
      <w:r w:rsidR="00027078">
        <w:rPr>
          <w:lang w:val="en-GB"/>
        </w:rPr>
        <w:t>i</w:t>
      </w:r>
      <w:r w:rsidRPr="00221992">
        <w:rPr>
          <w:lang w:val="en-GB"/>
        </w:rPr>
        <w:t xml:space="preserve">nsufficient evidence </w:t>
      </w:r>
      <w:r w:rsidR="005A4AD4" w:rsidRPr="00221992">
        <w:rPr>
          <w:lang w:val="en-GB"/>
        </w:rPr>
        <w:t>had been</w:t>
      </w:r>
      <w:r w:rsidRPr="00221992">
        <w:rPr>
          <w:lang w:val="en-GB"/>
        </w:rPr>
        <w:t xml:space="preserve"> generated to draw grounded conclusions for a significant </w:t>
      </w:r>
      <w:r w:rsidR="005A4AD4" w:rsidRPr="00221992">
        <w:rPr>
          <w:lang w:val="en-GB"/>
        </w:rPr>
        <w:t>pro</w:t>
      </w:r>
      <w:r w:rsidRPr="00221992">
        <w:rPr>
          <w:lang w:val="en-GB"/>
        </w:rPr>
        <w:t xml:space="preserve">portion of research questions, and </w:t>
      </w:r>
      <w:r w:rsidR="005A4AD4" w:rsidRPr="00221992">
        <w:rPr>
          <w:lang w:val="en-GB"/>
        </w:rPr>
        <w:t xml:space="preserve">that </w:t>
      </w:r>
      <w:r w:rsidRPr="00221992">
        <w:rPr>
          <w:lang w:val="en-GB"/>
        </w:rPr>
        <w:t>further evidence was required for half of the reassessed medicines</w:t>
      </w:r>
      <w:r w:rsidR="00CB10EA" w:rsidRPr="00221992">
        <w:rPr>
          <w:lang w:val="en-GB"/>
        </w:rPr>
        <w:t xml:space="preserve"> </w:t>
      </w:r>
      <w:r w:rsidR="00CB10EA" w:rsidRPr="00221992">
        <w:rPr>
          <w:lang w:val="en-GB"/>
        </w:rPr>
        <w:fldChar w:fldCharType="begin">
          <w:fldData xml:space="preserve">PEVuZE5vdGU+PENpdGU+PEF1dGhvcj5NYWthZHk8L0F1dGhvcj48WWVhcj4yMDE5PC9ZZWFyPjxS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</w:fldData>
        </w:fldChar>
      </w:r>
      <w:r w:rsidR="00E5265C">
        <w:rPr>
          <w:lang w:val="en-GB"/>
        </w:rPr>
        <w:instrText xml:space="preserve"> ADDIN EN.CITE </w:instrText>
      </w:r>
      <w:r w:rsidR="00E5265C">
        <w:rPr>
          <w:lang w:val="en-GB"/>
        </w:rPr>
        <w:fldChar w:fldCharType="begin">
          <w:fldData xml:space="preserve">PEVuZE5vdGU+PENpdGU+PEF1dGhvcj5NYWthZHk8L0F1dGhvcj48WWVhcj4yMDE5PC9ZZWFyPjxS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</w:fldData>
        </w:fldChar>
      </w:r>
      <w:r w:rsidR="00E5265C">
        <w:rPr>
          <w:lang w:val="en-GB"/>
        </w:rPr>
        <w:instrText xml:space="preserve"> ADDIN EN.CITE.DATA </w:instrText>
      </w:r>
      <w:r w:rsidR="00E5265C">
        <w:rPr>
          <w:lang w:val="en-GB"/>
        </w:rPr>
      </w:r>
      <w:r w:rsidR="00E5265C">
        <w:rPr>
          <w:lang w:val="en-GB"/>
        </w:rPr>
        <w:fldChar w:fldCharType="end"/>
      </w:r>
      <w:r w:rsidR="00CB10EA" w:rsidRPr="00221992">
        <w:rPr>
          <w:lang w:val="en-GB"/>
        </w:rPr>
      </w:r>
      <w:r w:rsidR="00CB10EA" w:rsidRPr="00221992">
        <w:rPr>
          <w:lang w:val="en-GB"/>
        </w:rPr>
        <w:fldChar w:fldCharType="separate"/>
      </w:r>
      <w:r w:rsidR="00E5265C">
        <w:rPr>
          <w:noProof/>
          <w:lang w:val="en-GB"/>
        </w:rPr>
        <w:t>[257]</w:t>
      </w:r>
      <w:r w:rsidR="00CB10EA" w:rsidRPr="00221992">
        <w:rPr>
          <w:lang w:val="en-GB"/>
        </w:rPr>
        <w:fldChar w:fldCharType="end"/>
      </w:r>
      <w:r w:rsidRPr="00221992">
        <w:rPr>
          <w:lang w:val="en-GB"/>
        </w:rPr>
        <w:t>.</w:t>
      </w:r>
    </w:p>
    <w:p w14:paraId="539EBF52" w14:textId="37FFF8D4" w:rsidR="002607DA" w:rsidRPr="00221992" w:rsidRDefault="00384E8D" w:rsidP="00815512">
      <w:pPr>
        <w:rPr>
          <w:lang w:val="en-GB"/>
        </w:rPr>
      </w:pPr>
      <w:r w:rsidRPr="00221992">
        <w:rPr>
          <w:lang w:val="en-GB"/>
        </w:rPr>
        <w:t xml:space="preserve">Out of the 12 medicines reassessed under the </w:t>
      </w:r>
      <w:r w:rsidR="00CA7A70" w:rsidRPr="00221992">
        <w:rPr>
          <w:lang w:val="en-GB"/>
        </w:rPr>
        <w:t>CAS</w:t>
      </w:r>
      <w:r w:rsidRPr="00221992">
        <w:rPr>
          <w:lang w:val="en-GB"/>
        </w:rPr>
        <w:t>, five lacked sufficient additional research to determine cost-effectiveness and appropriate use. As a result, two of these medicines were recommended for discontinuation of coverage due to inconclusive findings on appropriate clinical use and unsupported incremental cost-effectiveness ratios (ICERs). However, one medicine remained covered in the basic healthcare package due to acceptable cost-effectiveness prior to patent expiry</w:t>
      </w:r>
      <w:r w:rsidR="002607DA" w:rsidRPr="00221992">
        <w:rPr>
          <w:lang w:val="en-GB"/>
        </w:rPr>
        <w:t>.</w:t>
      </w:r>
    </w:p>
    <w:p w14:paraId="0C1E8DF9" w14:textId="1AF73C22" w:rsidR="002607DA" w:rsidRPr="00221992" w:rsidRDefault="004303BA" w:rsidP="00815512">
      <w:pPr>
        <w:rPr>
          <w:lang w:val="en-GB"/>
        </w:rPr>
      </w:pPr>
      <w:r w:rsidRPr="00221992">
        <w:rPr>
          <w:lang w:val="en-GB"/>
        </w:rPr>
        <w:t>T</w:t>
      </w:r>
      <w:r w:rsidR="00384E8D" w:rsidRPr="00221992">
        <w:rPr>
          <w:lang w:val="en-GB"/>
        </w:rPr>
        <w:t>he remaining seven medicines</w:t>
      </w:r>
      <w:r w:rsidRPr="00221992">
        <w:rPr>
          <w:lang w:val="en-GB"/>
        </w:rPr>
        <w:t xml:space="preserve"> were </w:t>
      </w:r>
      <w:r w:rsidR="00384E8D" w:rsidRPr="00221992">
        <w:rPr>
          <w:lang w:val="en-GB"/>
        </w:rPr>
        <w:t xml:space="preserve">deemed to </w:t>
      </w:r>
      <w:r w:rsidRPr="00221992">
        <w:rPr>
          <w:lang w:val="en-GB"/>
        </w:rPr>
        <w:t>have</w:t>
      </w:r>
      <w:r w:rsidR="00384E8D" w:rsidRPr="00221992">
        <w:rPr>
          <w:lang w:val="en-GB"/>
        </w:rPr>
        <w:t xml:space="preserve"> enough evidence to </w:t>
      </w:r>
      <w:r w:rsidRPr="00221992">
        <w:rPr>
          <w:lang w:val="en-GB"/>
        </w:rPr>
        <w:t>draw</w:t>
      </w:r>
      <w:r w:rsidR="00384E8D" w:rsidRPr="00221992">
        <w:rPr>
          <w:lang w:val="en-GB"/>
        </w:rPr>
        <w:t xml:space="preserve"> conclusions about appropriate use and cost-effectiveness, leading to recommendation</w:t>
      </w:r>
      <w:r w:rsidR="00931992">
        <w:rPr>
          <w:lang w:val="en-GB"/>
        </w:rPr>
        <w:t>s</w:t>
      </w:r>
      <w:r w:rsidR="00384E8D" w:rsidRPr="00221992">
        <w:rPr>
          <w:lang w:val="en-GB"/>
        </w:rPr>
        <w:t xml:space="preserve"> to maintain coverage. Although the ICERs for four of these medicines exceeded the threshold (the specific ICER value was not disclosed), it was still advised to continue coverage with a call for further evidence generation.</w:t>
      </w:r>
    </w:p>
    <w:p w14:paraId="3144A792" w14:textId="2AD65EF9" w:rsidR="002607DA" w:rsidRPr="00221992" w:rsidRDefault="00D008CC" w:rsidP="00815512">
      <w:pPr>
        <w:rPr>
          <w:lang w:val="en-GB"/>
        </w:rPr>
      </w:pPr>
      <w:r w:rsidRPr="00221992">
        <w:rPr>
          <w:lang w:val="en-GB"/>
        </w:rPr>
        <w:t xml:space="preserve">Pouwels et al. (2019) investigated </w:t>
      </w:r>
      <w:r w:rsidR="00A34AD4" w:rsidRPr="00221992">
        <w:rPr>
          <w:lang w:val="en-GB"/>
        </w:rPr>
        <w:t>the extent to which</w:t>
      </w:r>
      <w:r w:rsidRPr="00221992">
        <w:rPr>
          <w:lang w:val="en-GB"/>
        </w:rPr>
        <w:t xml:space="preserve"> conditional listing effectively addressed uncertainties in practice</w:t>
      </w:r>
      <w:r w:rsidR="00A34AD4" w:rsidRPr="00221992">
        <w:rPr>
          <w:lang w:val="en-GB"/>
        </w:rPr>
        <w:t xml:space="preserve">, finding </w:t>
      </w:r>
      <w:r w:rsidRPr="00221992">
        <w:rPr>
          <w:lang w:val="en-GB"/>
        </w:rPr>
        <w:t>that only 40% of the areas with identified uncertainties during initial assessments were covered in the research plans of the conditional access framework</w:t>
      </w:r>
      <w:r w:rsidR="00BA6FCB" w:rsidRPr="00221992">
        <w:rPr>
          <w:lang w:val="en-GB"/>
        </w:rPr>
        <w:t xml:space="preserve"> and </w:t>
      </w:r>
      <w:r w:rsidRPr="00221992">
        <w:rPr>
          <w:lang w:val="en-GB"/>
        </w:rPr>
        <w:t xml:space="preserve">that </w:t>
      </w:r>
      <w:r w:rsidR="008D6120" w:rsidRPr="00221992">
        <w:rPr>
          <w:lang w:val="en-GB"/>
        </w:rPr>
        <w:t>data collected through the framework</w:t>
      </w:r>
      <w:r w:rsidRPr="00221992">
        <w:rPr>
          <w:lang w:val="en-GB"/>
        </w:rPr>
        <w:t xml:space="preserve"> did not adequately address </w:t>
      </w:r>
      <w:r w:rsidR="008D6120" w:rsidRPr="00221992">
        <w:rPr>
          <w:lang w:val="en-GB"/>
        </w:rPr>
        <w:t>identified</w:t>
      </w:r>
      <w:r w:rsidRPr="00221992">
        <w:rPr>
          <w:lang w:val="en-GB"/>
        </w:rPr>
        <w:t xml:space="preserve"> uncertainties </w:t>
      </w:r>
      <w:r w:rsidR="00653F87" w:rsidRPr="00221992">
        <w:rPr>
          <w:lang w:val="en-GB"/>
        </w:rPr>
        <w:fldChar w:fldCharType="begin"/>
      </w:r>
      <w:r w:rsidR="00E5265C">
        <w:rPr>
          <w:lang w:val="en-GB"/>
        </w:rPr>
        <w:instrText xml:space="preserve"> ADDIN EN.CITE &lt;EndNote&gt;&lt;Cite&gt;&lt;Author&gt;Pouwels&lt;/Author&gt;&lt;Year&gt;2019&lt;/Year&gt;&lt;RecNum&gt;394&lt;/RecNum&gt;&lt;DisplayText&gt;[245]&lt;/DisplayText&gt;&lt;record&gt;&lt;rec-number&gt;394&lt;/rec-number&gt;&lt;foreign-keys&gt;&lt;key app="EN" db-id="wzwwsfxe4peesxef95cxvrwjxts9rreasarf" timestamp="1692654670"&gt;394&lt;/key&gt;&lt;/foreign-keys&gt;&lt;ref-type name="Journal Article"&gt;17&lt;/ref-type&gt;&lt;contributors&gt;&lt;authors&gt;&lt;author&gt;Pouwels, Xavier G. L. V.&lt;/author&gt;&lt;author&gt;Grutters, Janneke P. C.&lt;/author&gt;&lt;author&gt;Bindels, Jill&lt;/author&gt;&lt;author&gt;Ramaekers, Bram L. T.&lt;/author&gt;&lt;author&gt;Joore, Manuela A.&lt;/author&gt;&lt;/authors&gt;&lt;/contributors&gt;&lt;titles&gt;&lt;title&gt;Uncertainty and Coverage With Evidence Development: Does Practice Meet Theory?&lt;/title&gt;&lt;secondary-title&gt;Value in Health&lt;/secondary-title&gt;&lt;/titles&gt;&lt;periodical&gt;&lt;full-title&gt;Value in Health&lt;/full-title&gt;&lt;/periodical&gt;&lt;pages&gt;799-807&lt;/pages&gt;&lt;volume&gt;22&lt;/volume&gt;&lt;number&gt;7&lt;/number&gt;&lt;dates&gt;&lt;year&gt;2019&lt;/year&gt;&lt;/dates&gt;&lt;publisher&gt;Elsevier&lt;/publisher&gt;&lt;isbn&gt;1098-3015&lt;/isbn&gt;&lt;urls&gt;&lt;related-urls&gt;&lt;url&gt;https://doi.org/10.1016/j.jval.2018.11.010&lt;/url&gt;&lt;url&gt;https://www.valueinhealthjournal.com/article/S1098-3015(18)36311-3/pdf&lt;/url&gt;&lt;/related-urls&gt;&lt;/urls&gt;&lt;electronic-resource-num&gt;10.1016/j.jval.2018.11.010&lt;/electronic-resource-num&gt;&lt;access-date&gt;2023/07/08&lt;/access-date&gt;&lt;/record&gt;&lt;/Cite&gt;&lt;/EndNote&gt;</w:instrText>
      </w:r>
      <w:r w:rsidR="00653F87" w:rsidRPr="00221992">
        <w:rPr>
          <w:lang w:val="en-GB"/>
        </w:rPr>
        <w:fldChar w:fldCharType="separate"/>
      </w:r>
      <w:r w:rsidR="00E5265C">
        <w:rPr>
          <w:noProof/>
          <w:lang w:val="en-GB"/>
        </w:rPr>
        <w:t>[245]</w:t>
      </w:r>
      <w:r w:rsidR="00653F87" w:rsidRPr="00221992">
        <w:rPr>
          <w:lang w:val="en-GB"/>
        </w:rPr>
        <w:fldChar w:fldCharType="end"/>
      </w:r>
      <w:r w:rsidR="002607DA" w:rsidRPr="00221992">
        <w:rPr>
          <w:lang w:val="en-GB"/>
        </w:rPr>
        <w:t>.</w:t>
      </w:r>
    </w:p>
    <w:p w14:paraId="4905269A" w14:textId="3BDA71A3" w:rsidR="003528EB" w:rsidRPr="00221992" w:rsidRDefault="00D008CC" w:rsidP="00815512">
      <w:pPr>
        <w:rPr>
          <w:lang w:val="en-GB"/>
        </w:rPr>
      </w:pPr>
      <w:r w:rsidRPr="00221992">
        <w:rPr>
          <w:lang w:val="en-GB"/>
        </w:rPr>
        <w:t>Makady et al. (2019</w:t>
      </w:r>
      <w:r w:rsidR="003341D2" w:rsidRPr="00221992">
        <w:rPr>
          <w:lang w:val="en-GB"/>
        </w:rPr>
        <w:t>a</w:t>
      </w:r>
      <w:r w:rsidRPr="00221992">
        <w:rPr>
          <w:lang w:val="en-GB"/>
        </w:rPr>
        <w:t>) conducted an evaluation involving 30 stakeholders from both public and private sectors regarding the implementation of the conditional access scheme. Stakeholders held varying perceptions about the scheme</w:t>
      </w:r>
      <w:r w:rsidR="00551786">
        <w:rPr>
          <w:lang w:val="en-GB"/>
        </w:rPr>
        <w:t>’</w:t>
      </w:r>
      <w:r w:rsidRPr="00221992">
        <w:rPr>
          <w:lang w:val="en-GB"/>
        </w:rPr>
        <w:t>s goals, with some viewing it as a way to balance early access and evidence generation. Concerns raised by stakeholders included the limited four-year timeframe, the quality of studies conducted, and external political influence during the reassessment phase. Despite some positive outcomes, such as increased awareness about high drug prices and contributions to healthcare system sustainability, half of the stakeholders believed the scheme had not fully achieved its intended goal</w:t>
      </w:r>
      <w:r w:rsidR="000A19AE" w:rsidRPr="00221992">
        <w:rPr>
          <w:lang w:val="en-GB"/>
        </w:rPr>
        <w:t xml:space="preserve">s </w:t>
      </w:r>
      <w:r w:rsidR="002852DD" w:rsidRPr="00221992">
        <w:rPr>
          <w:lang w:val="en-GB"/>
        </w:rPr>
        <w:fldChar w:fldCharType="begin">
          <w:fldData xml:space="preserve">PEVuZE5vdGU+PENpdGU+PEF1dGhvcj5NYWthZHk8L0F1dGhvcj48WWVhcj4yMDE5PC9ZZWFyPjxS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</w:fldData>
        </w:fldChar>
      </w:r>
      <w:r w:rsidR="00E5265C">
        <w:rPr>
          <w:lang w:val="en-GB"/>
        </w:rPr>
        <w:instrText xml:space="preserve"> ADDIN EN.CITE </w:instrText>
      </w:r>
      <w:r w:rsidR="00E5265C">
        <w:rPr>
          <w:lang w:val="en-GB"/>
        </w:rPr>
        <w:fldChar w:fldCharType="begin">
          <w:fldData xml:space="preserve">PEVuZE5vdGU+PENpdGU+PEF1dGhvcj5NYWthZHk8L0F1dGhvcj48WWVhcj4yMDE5PC9ZZWFyPjxS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</w:fldData>
        </w:fldChar>
      </w:r>
      <w:r w:rsidR="00E5265C">
        <w:rPr>
          <w:lang w:val="en-GB"/>
        </w:rPr>
        <w:instrText xml:space="preserve"> ADDIN EN.CITE.DATA </w:instrText>
      </w:r>
      <w:r w:rsidR="00E5265C">
        <w:rPr>
          <w:lang w:val="en-GB"/>
        </w:rPr>
      </w:r>
      <w:r w:rsidR="00E5265C">
        <w:rPr>
          <w:lang w:val="en-GB"/>
        </w:rPr>
        <w:fldChar w:fldCharType="end"/>
      </w:r>
      <w:r w:rsidR="002852DD" w:rsidRPr="00221992">
        <w:rPr>
          <w:lang w:val="en-GB"/>
        </w:rPr>
      </w:r>
      <w:r w:rsidR="002852DD" w:rsidRPr="00221992">
        <w:rPr>
          <w:lang w:val="en-GB"/>
        </w:rPr>
        <w:fldChar w:fldCharType="separate"/>
      </w:r>
      <w:r w:rsidR="00E5265C">
        <w:rPr>
          <w:noProof/>
          <w:lang w:val="en-GB"/>
        </w:rPr>
        <w:t>[256]</w:t>
      </w:r>
      <w:r w:rsidR="002852DD" w:rsidRPr="00221992">
        <w:rPr>
          <w:lang w:val="en-GB"/>
        </w:rPr>
        <w:fldChar w:fldCharType="end"/>
      </w:r>
      <w:r w:rsidR="002607DA" w:rsidRPr="00221992">
        <w:rPr>
          <w:lang w:val="en-GB"/>
        </w:rPr>
        <w:t xml:space="preserve">. </w:t>
      </w:r>
    </w:p>
    <w:p w14:paraId="139D714E" w14:textId="2336FAE5" w:rsidR="002607DA" w:rsidRPr="00221992" w:rsidRDefault="002607DA" w:rsidP="00815512">
      <w:pPr>
        <w:rPr>
          <w:lang w:val="en-GB"/>
        </w:rPr>
      </w:pPr>
      <w:r w:rsidRPr="00221992">
        <w:rPr>
          <w:lang w:val="en-GB"/>
        </w:rPr>
        <w:t xml:space="preserve">Most stakeholders suggested replacing or improving the scheme, with options including </w:t>
      </w:r>
      <w:r w:rsidR="00DA4CEB" w:rsidRPr="00221992">
        <w:rPr>
          <w:lang w:val="en-GB"/>
        </w:rPr>
        <w:t xml:space="preserve">horizon scanning </w:t>
      </w:r>
      <w:r w:rsidRPr="00221992">
        <w:rPr>
          <w:lang w:val="en-GB"/>
        </w:rPr>
        <w:t>adaptive pathways</w:t>
      </w:r>
      <w:r w:rsidR="00DA4CEB" w:rsidRPr="00221992">
        <w:rPr>
          <w:lang w:val="en-GB"/>
        </w:rPr>
        <w:t xml:space="preserve"> or</w:t>
      </w:r>
      <w:r w:rsidR="004869FC">
        <w:rPr>
          <w:lang w:val="en-GB"/>
        </w:rPr>
        <w:t xml:space="preserve"> an</w:t>
      </w:r>
      <w:r w:rsidRPr="00221992">
        <w:rPr>
          <w:lang w:val="en-GB"/>
        </w:rPr>
        <w:t xml:space="preserve"> adaptive pricing</w:t>
      </w:r>
      <w:r w:rsidR="00DA4CEB" w:rsidRPr="00221992">
        <w:rPr>
          <w:lang w:val="en-GB"/>
        </w:rPr>
        <w:t xml:space="preserve"> approach developed by the EU (discussed below)</w:t>
      </w:r>
      <w:r w:rsidRPr="00221992">
        <w:rPr>
          <w:lang w:val="en-GB"/>
        </w:rPr>
        <w:t xml:space="preserve">, or </w:t>
      </w:r>
      <w:r w:rsidR="001729DE">
        <w:rPr>
          <w:lang w:val="en-GB"/>
        </w:rPr>
        <w:t>use of</w:t>
      </w:r>
      <w:r w:rsidR="001729DE" w:rsidRPr="00221992">
        <w:rPr>
          <w:lang w:val="en-GB"/>
        </w:rPr>
        <w:t xml:space="preserve"> </w:t>
      </w:r>
      <w:r w:rsidRPr="00221992">
        <w:rPr>
          <w:lang w:val="en-GB"/>
        </w:rPr>
        <w:t xml:space="preserve">electronic health records for data generation. A </w:t>
      </w:r>
      <w:r w:rsidR="002A3FAA" w:rsidRPr="00221992">
        <w:rPr>
          <w:lang w:val="en-GB"/>
        </w:rPr>
        <w:t>minority</w:t>
      </w:r>
      <w:r w:rsidRPr="00221992">
        <w:rPr>
          <w:lang w:val="en-GB"/>
        </w:rPr>
        <w:t xml:space="preserve"> of stakeholders </w:t>
      </w:r>
      <w:r w:rsidR="002A3FAA" w:rsidRPr="00221992">
        <w:rPr>
          <w:lang w:val="en-GB"/>
        </w:rPr>
        <w:t>maintained</w:t>
      </w:r>
      <w:r w:rsidRPr="00221992">
        <w:rPr>
          <w:lang w:val="en-GB"/>
        </w:rPr>
        <w:t xml:space="preserve"> </w:t>
      </w:r>
      <w:r w:rsidR="002A3FAA" w:rsidRPr="00221992">
        <w:rPr>
          <w:lang w:val="en-GB"/>
        </w:rPr>
        <w:t xml:space="preserve">discontinuation </w:t>
      </w:r>
      <w:r w:rsidR="00973118" w:rsidRPr="00221992">
        <w:rPr>
          <w:lang w:val="en-GB"/>
        </w:rPr>
        <w:t>as</w:t>
      </w:r>
      <w:r w:rsidRPr="00221992">
        <w:rPr>
          <w:lang w:val="en-GB"/>
        </w:rPr>
        <w:t xml:space="preserve"> CED </w:t>
      </w:r>
      <w:r w:rsidR="00973118" w:rsidRPr="00221992">
        <w:rPr>
          <w:lang w:val="en-GB"/>
        </w:rPr>
        <w:t>arrangements were</w:t>
      </w:r>
      <w:r w:rsidRPr="00221992">
        <w:rPr>
          <w:lang w:val="en-GB"/>
        </w:rPr>
        <w:t xml:space="preserve"> not effective in practice</w:t>
      </w:r>
      <w:r w:rsidR="00973118" w:rsidRPr="00221992">
        <w:rPr>
          <w:lang w:val="en-GB"/>
        </w:rPr>
        <w:t xml:space="preserve"> </w:t>
      </w:r>
      <w:r w:rsidR="00D7330D" w:rsidRPr="00221992">
        <w:rPr>
          <w:lang w:val="en-GB"/>
        </w:rPr>
        <w:fldChar w:fldCharType="begin">
          <w:fldData xml:space="preserve">PEVuZE5vdGU+PENpdGU+PEF1dGhvcj5NYWthZHk8L0F1dGhvcj48WWVhcj4yMDE5PC9ZZWFyPjxS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</w:fldData>
        </w:fldChar>
      </w:r>
      <w:r w:rsidR="00E5265C">
        <w:rPr>
          <w:lang w:val="en-GB"/>
        </w:rPr>
        <w:instrText xml:space="preserve"> ADDIN EN.CITE </w:instrText>
      </w:r>
      <w:r w:rsidR="00E5265C">
        <w:rPr>
          <w:lang w:val="en-GB"/>
        </w:rPr>
        <w:fldChar w:fldCharType="begin">
          <w:fldData xml:space="preserve">PEVuZE5vdGU+PENpdGU+PEF1dGhvcj5NYWthZHk8L0F1dGhvcj48WWVhcj4yMDE5PC9ZZWFyPjxS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</w:fldData>
        </w:fldChar>
      </w:r>
      <w:r w:rsidR="00E5265C">
        <w:rPr>
          <w:lang w:val="en-GB"/>
        </w:rPr>
        <w:instrText xml:space="preserve"> ADDIN EN.CITE.DATA </w:instrText>
      </w:r>
      <w:r w:rsidR="00E5265C">
        <w:rPr>
          <w:lang w:val="en-GB"/>
        </w:rPr>
      </w:r>
      <w:r w:rsidR="00E5265C">
        <w:rPr>
          <w:lang w:val="en-GB"/>
        </w:rPr>
        <w:fldChar w:fldCharType="end"/>
      </w:r>
      <w:r w:rsidR="00D7330D" w:rsidRPr="00221992">
        <w:rPr>
          <w:lang w:val="en-GB"/>
        </w:rPr>
      </w:r>
      <w:r w:rsidR="00D7330D" w:rsidRPr="00221992">
        <w:rPr>
          <w:lang w:val="en-GB"/>
        </w:rPr>
        <w:fldChar w:fldCharType="separate"/>
      </w:r>
      <w:r w:rsidR="00E5265C">
        <w:rPr>
          <w:noProof/>
          <w:lang w:val="en-GB"/>
        </w:rPr>
        <w:t>[256]</w:t>
      </w:r>
      <w:r w:rsidR="00D7330D" w:rsidRPr="00221992">
        <w:rPr>
          <w:lang w:val="en-GB"/>
        </w:rPr>
        <w:fldChar w:fldCharType="end"/>
      </w:r>
      <w:r w:rsidRPr="00221992">
        <w:rPr>
          <w:lang w:val="en-GB"/>
        </w:rPr>
        <w:t>.</w:t>
      </w:r>
    </w:p>
    <w:p w14:paraId="2A2FD078" w14:textId="3E14FE3F" w:rsidR="003A2BCB" w:rsidRPr="00221992" w:rsidRDefault="009B5AEB" w:rsidP="00957359">
      <w:pPr>
        <w:rPr>
          <w:lang w:val="en-GB"/>
        </w:rPr>
      </w:pPr>
      <w:r w:rsidRPr="00221992">
        <w:rPr>
          <w:lang w:val="en-GB"/>
        </w:rPr>
        <w:t xml:space="preserve">Ultimately, the Netherlands found </w:t>
      </w:r>
      <w:r w:rsidR="3DAD805A" w:rsidRPr="00221992">
        <w:rPr>
          <w:lang w:val="en-GB"/>
        </w:rPr>
        <w:t xml:space="preserve">the </w:t>
      </w:r>
      <w:r w:rsidR="2B675732" w:rsidRPr="00221992">
        <w:rPr>
          <w:lang w:val="en-GB"/>
        </w:rPr>
        <w:t xml:space="preserve">CAS </w:t>
      </w:r>
      <w:r w:rsidR="00EE10FD" w:rsidRPr="00221992">
        <w:rPr>
          <w:lang w:val="en-GB"/>
        </w:rPr>
        <w:t xml:space="preserve">to be </w:t>
      </w:r>
      <w:r w:rsidR="3DAD805A" w:rsidRPr="00221992">
        <w:rPr>
          <w:lang w:val="en-GB"/>
        </w:rPr>
        <w:t>ineffective in reducing uncertainty surrounding product performance for coverage decisions and terminated</w:t>
      </w:r>
      <w:r w:rsidRPr="00221992">
        <w:rPr>
          <w:lang w:val="en-GB"/>
        </w:rPr>
        <w:t xml:space="preserve"> the program</w:t>
      </w:r>
      <w:r w:rsidR="3DAD805A" w:rsidRPr="00221992">
        <w:rPr>
          <w:lang w:val="en-GB"/>
        </w:rPr>
        <w:t xml:space="preserve">. </w:t>
      </w:r>
      <w:r w:rsidR="00957359" w:rsidRPr="00221992">
        <w:rPr>
          <w:lang w:val="en-GB"/>
        </w:rPr>
        <w:t>T</w:t>
      </w:r>
      <w:r w:rsidR="3DAD805A" w:rsidRPr="00221992">
        <w:rPr>
          <w:lang w:val="en-GB"/>
        </w:rPr>
        <w:t>he Netherlands has</w:t>
      </w:r>
      <w:r w:rsidR="00957359" w:rsidRPr="00221992">
        <w:rPr>
          <w:lang w:val="en-GB"/>
        </w:rPr>
        <w:t xml:space="preserve"> since</w:t>
      </w:r>
      <w:r w:rsidR="3DAD805A" w:rsidRPr="00221992">
        <w:rPr>
          <w:lang w:val="en-GB"/>
        </w:rPr>
        <w:t xml:space="preserve"> introduced a new policy called </w:t>
      </w:r>
      <w:r w:rsidR="00551786">
        <w:rPr>
          <w:lang w:val="en-GB"/>
        </w:rPr>
        <w:t>‘</w:t>
      </w:r>
      <w:r w:rsidR="3DAD805A" w:rsidRPr="00221992">
        <w:rPr>
          <w:lang w:val="en-GB"/>
        </w:rPr>
        <w:t>Conditional Approval of Coverage</w:t>
      </w:r>
      <w:r w:rsidR="00551786">
        <w:rPr>
          <w:lang w:val="en-GB"/>
        </w:rPr>
        <w:t>’</w:t>
      </w:r>
      <w:r w:rsidR="00FB67C5" w:rsidRPr="00221992">
        <w:rPr>
          <w:lang w:val="en-GB"/>
        </w:rPr>
        <w:t xml:space="preserve"> (CAC)</w:t>
      </w:r>
      <w:r w:rsidR="3DAD805A" w:rsidRPr="00221992">
        <w:rPr>
          <w:lang w:val="en-GB"/>
        </w:rPr>
        <w:t xml:space="preserve"> as an alternative to traditional </w:t>
      </w:r>
      <w:r w:rsidR="00957359" w:rsidRPr="00221992">
        <w:rPr>
          <w:lang w:val="en-GB"/>
        </w:rPr>
        <w:t>MEAs</w:t>
      </w:r>
      <w:r w:rsidR="3DAD805A" w:rsidRPr="00221992">
        <w:rPr>
          <w:lang w:val="en-GB"/>
        </w:rPr>
        <w:t xml:space="preserve"> </w:t>
      </w:r>
      <w:r w:rsidR="00653F87" w:rsidRPr="00221992">
        <w:rPr>
          <w:lang w:val="en-GB"/>
        </w:rPr>
        <w:fldChar w:fldCharType="begin"/>
      </w:r>
      <w:r w:rsidR="00E5265C">
        <w:rPr>
          <w:lang w:val="en-GB"/>
        </w:rPr>
        <w:instrText xml:space="preserve"> ADDIN EN.CITE &lt;EndNote&gt;&lt;Cite&gt;&lt;Author&gt;Dabbous&lt;/Author&gt;&lt;Year&gt;2020&lt;/Year&gt;&lt;RecNum&gt;106&lt;/RecNum&gt;&lt;DisplayText&gt;[258]&lt;/DisplayText&gt;&lt;record&gt;&lt;rec-number&gt;106&lt;/rec-number&gt;&lt;foreign-keys&gt;&lt;key app="EN" db-id="wzwwsfxe4peesxef95cxvrwjxts9rreasarf" timestamp="1692654670"&gt;106&lt;/key&gt;&lt;/foreign-keys&gt;&lt;ref-type name="Journal Article"&gt;17&lt;/ref-type&gt;&lt;contributors&gt;&lt;authors&gt;&lt;author&gt;Dabbous, M.&lt;/author&gt;&lt;author&gt;Chachoua, L.&lt;/author&gt;&lt;author&gt;Caban, A.&lt;/author&gt;&lt;author&gt;Toumi, M.&lt;/author&gt;&lt;/authors&gt;&lt;/contributors&gt;&lt;auth-address&gt;Aix-Marseille University, Marseille, France. Electronic address: monique.dabbous@etu.univ-amu.fr.&amp;#xD;Aix-Marseille University, Marseille, France.&amp;#xD;Creativ-Ceutical, Krakow, Poland.&lt;/auth-address&gt;&lt;titles&gt;&lt;title&gt;Managed Entry Agreements: Policy Analysis From the European Perspective&lt;/title&gt;&lt;secondary-title&gt;Value Health&lt;/secondary-title&gt;&lt;/titles&gt;&lt;periodical&gt;&lt;full-title&gt;Value Health&lt;/full-title&gt;&lt;/periodical&gt;&lt;pages&gt;425-433&lt;/pages&gt;&lt;volume&gt;23&lt;/volume&gt;&lt;number&gt;4&lt;/number&gt;&lt;keywords&gt;&lt;keyword&gt;Biomedical Technology/*economics&lt;/keyword&gt;&lt;keyword&gt;Cost Control&lt;/keyword&gt;&lt;keyword&gt;Delivery of Health Care/*economics&lt;/keyword&gt;&lt;keyword&gt;Drug Industry/economics&lt;/keyword&gt;&lt;keyword&gt;Europe&lt;/keyword&gt;&lt;keyword&gt;*Health Policy&lt;/keyword&gt;&lt;keyword&gt;Humans&lt;/keyword&gt;&lt;keyword&gt;Policy Making&lt;/keyword&gt;&lt;keyword&gt;Technology Assessment, Biomedical/economics&lt;/keyword&gt;&lt;keyword&gt;applicability&lt;/keyword&gt;&lt;keyword&gt;finance-based agreements (FBAs)&lt;/keyword&gt;&lt;keyword&gt;managed entry agreements (MEAs)&lt;/keyword&gt;&lt;keyword&gt;performance-based agreements (PBAs)&lt;/keyword&gt;&lt;keyword&gt;service-based agreements (SBAs)&lt;/keyword&gt;&lt;/keywords&gt;&lt;dates&gt;&lt;year&gt;2020&lt;/year&gt;&lt;pub-dates&gt;&lt;date&gt;Apr&lt;/date&gt;&lt;/pub-dates&gt;&lt;/dates&gt;&lt;isbn&gt;1098-3015&lt;/isbn&gt;&lt;accession-num&gt;32327159&lt;/accession-num&gt;&lt;urls&gt;&lt;related-urls&gt;&lt;url&gt;https://www.valueinhealthjournal.com/article/S1098-3015(20)30041-3/pdf&lt;/url&gt;&lt;/related-urls&gt;&lt;/urls&gt;&lt;electronic-resource-num&gt;10.1016/j.jval.2019.12.008&lt;/electronic-resource-num&gt;&lt;remote-database-provider&gt;NLM&lt;/remote-database-provider&gt;&lt;language&gt;eng&lt;/language&gt;&lt;/record&gt;&lt;/Cite&gt;&lt;/EndNote&gt;</w:instrText>
      </w:r>
      <w:r w:rsidR="00653F87" w:rsidRPr="00221992">
        <w:rPr>
          <w:lang w:val="en-GB"/>
        </w:rPr>
        <w:fldChar w:fldCharType="separate"/>
      </w:r>
      <w:r w:rsidR="00E5265C">
        <w:rPr>
          <w:noProof/>
          <w:lang w:val="en-GB"/>
        </w:rPr>
        <w:t>[258]</w:t>
      </w:r>
      <w:r w:rsidR="00653F87" w:rsidRPr="00221992">
        <w:rPr>
          <w:lang w:val="en-GB"/>
        </w:rPr>
        <w:fldChar w:fldCharType="end"/>
      </w:r>
      <w:r w:rsidR="3DAD805A" w:rsidRPr="00221992">
        <w:rPr>
          <w:lang w:val="en-GB"/>
        </w:rPr>
        <w:t xml:space="preserve">. </w:t>
      </w:r>
      <w:r w:rsidR="003A2BCB" w:rsidRPr="00221992">
        <w:rPr>
          <w:lang w:val="en-GB"/>
        </w:rPr>
        <w:t xml:space="preserve">To be considered </w:t>
      </w:r>
      <w:r w:rsidR="00FB67C5" w:rsidRPr="00221992">
        <w:rPr>
          <w:lang w:val="en-GB"/>
        </w:rPr>
        <w:t>for CAC</w:t>
      </w:r>
      <w:r w:rsidR="003A2BCB" w:rsidRPr="00221992">
        <w:rPr>
          <w:lang w:val="en-GB"/>
        </w:rPr>
        <w:t>, medicine</w:t>
      </w:r>
      <w:r w:rsidR="00FB67C5" w:rsidRPr="00221992">
        <w:rPr>
          <w:lang w:val="en-GB"/>
        </w:rPr>
        <w:t>s</w:t>
      </w:r>
      <w:r w:rsidR="003A2BCB" w:rsidRPr="00221992">
        <w:rPr>
          <w:lang w:val="en-GB"/>
        </w:rPr>
        <w:t xml:space="preserve"> must meet specific criteria, such as being designated as an orphan drug, conditional or exceptional for the indication, addressing an unmet </w:t>
      </w:r>
      <w:r w:rsidR="004E6FF4" w:rsidRPr="00221992">
        <w:rPr>
          <w:lang w:val="en-GB"/>
        </w:rPr>
        <w:t>clinical</w:t>
      </w:r>
      <w:r w:rsidR="003A2BCB" w:rsidRPr="00221992">
        <w:rPr>
          <w:lang w:val="en-GB"/>
        </w:rPr>
        <w:t xml:space="preserve"> need, and having plausible future data that justifies inclusion in the basic healthcare package. Additionally, there should be a likelihood that </w:t>
      </w:r>
      <w:r w:rsidR="00EE10FD" w:rsidRPr="00221992">
        <w:rPr>
          <w:lang w:val="en-GB"/>
        </w:rPr>
        <w:t xml:space="preserve">nominated uncertainties will be </w:t>
      </w:r>
      <w:r w:rsidR="00E579EF" w:rsidRPr="00221992">
        <w:rPr>
          <w:lang w:val="en-GB"/>
        </w:rPr>
        <w:t>resolved</w:t>
      </w:r>
      <w:r w:rsidR="003A2BCB" w:rsidRPr="00221992">
        <w:rPr>
          <w:lang w:val="en-GB"/>
        </w:rPr>
        <w:t xml:space="preserve"> within the conditional inclusion period, which can be up to </w:t>
      </w:r>
      <w:r w:rsidR="00FF78C1" w:rsidRPr="00221992">
        <w:rPr>
          <w:lang w:val="en-GB"/>
        </w:rPr>
        <w:t>seven</w:t>
      </w:r>
      <w:r w:rsidR="003A2BCB" w:rsidRPr="00221992">
        <w:rPr>
          <w:lang w:val="en-GB"/>
        </w:rPr>
        <w:t xml:space="preserve"> or 14 years</w:t>
      </w:r>
      <w:r w:rsidR="00F82014" w:rsidRPr="00221992">
        <w:rPr>
          <w:lang w:val="en-GB"/>
        </w:rPr>
        <w:t xml:space="preserve"> </w:t>
      </w:r>
      <w:r w:rsidR="00653F87" w:rsidRPr="00221992">
        <w:rPr>
          <w:lang w:val="en-GB"/>
        </w:rPr>
        <w:fldChar w:fldCharType="begin"/>
      </w:r>
      <w:r w:rsidR="00E5265C">
        <w:rPr>
          <w:lang w:val="en-GB"/>
        </w:rPr>
        <w:instrText xml:space="preserve"> ADDIN EN.CITE &lt;EndNote&gt;&lt;Cite&gt;&lt;Author&gt;NHCI&lt;/Author&gt;&lt;Year&gt;2020&lt;/Year&gt;&lt;RecNum&gt;348&lt;/RecNum&gt;&lt;DisplayText&gt;[259]&lt;/DisplayText&gt;&lt;record&gt;&lt;rec-number&gt;348&lt;/rec-number&gt;&lt;foreign-keys&gt;&lt;key app="EN" db-id="wzwwsfxe4peesxef95cxvrwjxts9rreasarf" timestamp="1692654670"&gt;348&lt;/key&gt;&lt;/foreign-keys&gt;&lt;ref-type name="Book Section"&gt;5&lt;/ref-type&gt;&lt;contributors&gt;&lt;authors&gt;&lt;author&gt;NHCI&lt;/author&gt;&lt;/authors&gt;&lt;/contributors&gt;&lt;titles&gt;&lt;title&gt;Conditional listing pathways (Netherlands), consultation document June 2023.&lt;/title&gt;&lt;/titles&gt;&lt;dates&gt;&lt;year&gt;2020&lt;/year&gt;&lt;/dates&gt;&lt;urls&gt;&lt;/urls&gt;&lt;/record&gt;&lt;/Cite&gt;&lt;/EndNote&gt;</w:instrText>
      </w:r>
      <w:r w:rsidR="00653F87" w:rsidRPr="00221992">
        <w:rPr>
          <w:lang w:val="en-GB"/>
        </w:rPr>
        <w:fldChar w:fldCharType="separate"/>
      </w:r>
      <w:r w:rsidR="00E5265C">
        <w:rPr>
          <w:noProof/>
          <w:lang w:val="en-GB"/>
        </w:rPr>
        <w:t>[259]</w:t>
      </w:r>
      <w:r w:rsidR="00653F87" w:rsidRPr="00221992">
        <w:rPr>
          <w:lang w:val="en-GB"/>
        </w:rPr>
        <w:fldChar w:fldCharType="end"/>
      </w:r>
      <w:r w:rsidR="003A2BCB" w:rsidRPr="00221992">
        <w:rPr>
          <w:lang w:val="en-GB"/>
        </w:rPr>
        <w:t>.</w:t>
      </w:r>
    </w:p>
    <w:p w14:paraId="075D5A0C" w14:textId="7073D542" w:rsidR="003A2BCB" w:rsidRPr="00221992" w:rsidRDefault="00CF19B6" w:rsidP="00815512">
      <w:pPr>
        <w:rPr>
          <w:lang w:val="en-GB"/>
        </w:rPr>
      </w:pPr>
      <w:r w:rsidRPr="00221992">
        <w:rPr>
          <w:lang w:val="en-GB"/>
        </w:rPr>
        <w:t>As in Sweden</w:t>
      </w:r>
      <w:r w:rsidR="003A2BCB" w:rsidRPr="00221992">
        <w:rPr>
          <w:lang w:val="en-GB"/>
        </w:rPr>
        <w:t xml:space="preserve">, products granted conditional approval are not initially included in the basic package of covered products. Instead, the </w:t>
      </w:r>
      <w:r w:rsidRPr="00221992">
        <w:rPr>
          <w:lang w:val="en-GB"/>
        </w:rPr>
        <w:t xml:space="preserve">Dutch </w:t>
      </w:r>
      <w:r w:rsidR="003A2BCB" w:rsidRPr="00221992">
        <w:rPr>
          <w:lang w:val="en-GB"/>
        </w:rPr>
        <w:t xml:space="preserve">Ministry of Health funds additional research and treatment for patients participating in the studies. These studies follow a research protocol developed by a scientific assessment body and approved by all stakeholders. The entire process and research findings are made publicly accessible, with only pricing information remaining confidential. </w:t>
      </w:r>
      <w:r w:rsidR="00E33720" w:rsidRPr="00221992">
        <w:rPr>
          <w:lang w:val="en-GB"/>
        </w:rPr>
        <w:t>The program involves annual monitoring, including an interim go/no-go assessment</w:t>
      </w:r>
      <w:r w:rsidR="00916FE8" w:rsidRPr="00221992">
        <w:rPr>
          <w:lang w:val="en-GB"/>
        </w:rPr>
        <w:t xml:space="preserve"> by the Zorginstituut, with </w:t>
      </w:r>
      <w:r w:rsidR="00F52790" w:rsidRPr="00221992">
        <w:rPr>
          <w:lang w:val="en-GB"/>
        </w:rPr>
        <w:t>HT</w:t>
      </w:r>
      <w:r w:rsidR="00E73907">
        <w:rPr>
          <w:lang w:val="en-GB"/>
        </w:rPr>
        <w:t>R</w:t>
      </w:r>
      <w:r w:rsidR="00916FE8" w:rsidRPr="00221992">
        <w:rPr>
          <w:lang w:val="en-GB"/>
        </w:rPr>
        <w:t xml:space="preserve"> conducted at the end of the conditional approval period. If the evidence is insufficient or the product lacks cost-effectiveness, </w:t>
      </w:r>
      <w:r w:rsidR="00F52790" w:rsidRPr="00221992">
        <w:rPr>
          <w:lang w:val="en-GB"/>
        </w:rPr>
        <w:t>disinvestment</w:t>
      </w:r>
      <w:r w:rsidR="00E73907">
        <w:rPr>
          <w:lang w:val="en-GB"/>
        </w:rPr>
        <w:t xml:space="preserve"> may be recommended</w:t>
      </w:r>
      <w:r w:rsidR="00916FE8" w:rsidRPr="00221992">
        <w:rPr>
          <w:lang w:val="en-GB"/>
        </w:rPr>
        <w:t>.</w:t>
      </w:r>
      <w:r w:rsidR="00E33720" w:rsidRPr="00221992">
        <w:rPr>
          <w:rStyle w:val="FootnoteReference"/>
          <w:lang w:val="en-GB"/>
        </w:rPr>
        <w:footnoteReference w:id="19"/>
      </w:r>
      <w:r w:rsidR="00E33720" w:rsidRPr="00221992">
        <w:rPr>
          <w:lang w:val="en-GB"/>
        </w:rPr>
        <w:t xml:space="preserve"> </w:t>
      </w:r>
      <w:r w:rsidR="00DA4CEB" w:rsidRPr="00221992">
        <w:rPr>
          <w:lang w:val="en-GB"/>
        </w:rPr>
        <w:t xml:space="preserve">If </w:t>
      </w:r>
      <w:r w:rsidR="000134A0" w:rsidRPr="00221992">
        <w:rPr>
          <w:lang w:val="en-GB"/>
        </w:rPr>
        <w:t>a</w:t>
      </w:r>
      <w:r w:rsidR="00DA4CEB" w:rsidRPr="00221992">
        <w:rPr>
          <w:lang w:val="en-GB"/>
        </w:rPr>
        <w:t xml:space="preserve"> </w:t>
      </w:r>
      <w:r w:rsidR="000134A0" w:rsidRPr="00221992">
        <w:rPr>
          <w:lang w:val="en-GB"/>
        </w:rPr>
        <w:t>product listing</w:t>
      </w:r>
      <w:r w:rsidR="00DA4CEB" w:rsidRPr="00221992">
        <w:rPr>
          <w:lang w:val="en-GB"/>
        </w:rPr>
        <w:t xml:space="preserve"> is deemed </w:t>
      </w:r>
      <w:r w:rsidR="000134A0" w:rsidRPr="00221992">
        <w:rPr>
          <w:lang w:val="en-GB"/>
        </w:rPr>
        <w:t>appropriate</w:t>
      </w:r>
      <w:r w:rsidR="00DA4CEB" w:rsidRPr="00221992">
        <w:rPr>
          <w:lang w:val="en-GB"/>
        </w:rPr>
        <w:t xml:space="preserve"> for listing, price negotiation commences. </w:t>
      </w:r>
      <w:r w:rsidR="00A62BA6" w:rsidRPr="00221992">
        <w:rPr>
          <w:lang w:val="en-GB"/>
        </w:rPr>
        <w:t>I</w:t>
      </w:r>
      <w:r w:rsidR="00DA4CEB" w:rsidRPr="00221992">
        <w:rPr>
          <w:lang w:val="en-GB"/>
        </w:rPr>
        <w:t xml:space="preserve">f a price is agreed, the product is listed and the price is made public. </w:t>
      </w:r>
    </w:p>
    <w:p w14:paraId="5C046D85" w14:textId="5429A31B" w:rsidR="00845D04" w:rsidRPr="00221992" w:rsidRDefault="00815512" w:rsidP="00407BA7">
      <w:pPr>
        <w:pStyle w:val="NbrHeading3"/>
        <w:rPr>
          <w:lang w:val="en-GB"/>
        </w:rPr>
      </w:pPr>
      <w:bookmarkStart w:id="267" w:name="_Ref146189954"/>
      <w:bookmarkStart w:id="268" w:name="_Toc162950900"/>
      <w:r w:rsidRPr="00221992">
        <w:rPr>
          <w:lang w:val="en-GB"/>
        </w:rPr>
        <w:t>MEAs—Challenges and barriers to implementation</w:t>
      </w:r>
      <w:bookmarkEnd w:id="267"/>
      <w:bookmarkEnd w:id="268"/>
      <w:r w:rsidRPr="00221992">
        <w:rPr>
          <w:lang w:val="en-GB"/>
        </w:rPr>
        <w:t xml:space="preserve"> </w:t>
      </w:r>
    </w:p>
    <w:p w14:paraId="65D6CFA3" w14:textId="6637180C" w:rsidR="00845D04" w:rsidRPr="00221992" w:rsidRDefault="00842D4A" w:rsidP="00BB5BC6">
      <w:pPr>
        <w:rPr>
          <w:lang w:val="en-GB"/>
        </w:rPr>
      </w:pPr>
      <w:r w:rsidRPr="00221992">
        <w:rPr>
          <w:lang w:val="en-GB"/>
        </w:rPr>
        <w:t xml:space="preserve">There </w:t>
      </w:r>
      <w:r w:rsidR="00297CBC" w:rsidRPr="00221992">
        <w:rPr>
          <w:lang w:val="en-GB"/>
        </w:rPr>
        <w:t xml:space="preserve">are few </w:t>
      </w:r>
      <w:r w:rsidR="00845D04" w:rsidRPr="00221992">
        <w:rPr>
          <w:lang w:val="en-GB"/>
        </w:rPr>
        <w:t>comprehensive evaluations</w:t>
      </w:r>
      <w:r w:rsidR="00297CBC" w:rsidRPr="00221992">
        <w:rPr>
          <w:lang w:val="en-GB"/>
        </w:rPr>
        <w:t xml:space="preserve"> of MEA</w:t>
      </w:r>
      <w:r w:rsidR="00282F53" w:rsidRPr="00221992">
        <w:rPr>
          <w:lang w:val="en-GB"/>
        </w:rPr>
        <w:t xml:space="preserve"> frameworks</w:t>
      </w:r>
      <w:r w:rsidR="00297CBC" w:rsidRPr="00221992">
        <w:rPr>
          <w:lang w:val="en-GB"/>
        </w:rPr>
        <w:t xml:space="preserve"> internationally. However,</w:t>
      </w:r>
      <w:r w:rsidR="00845D04" w:rsidRPr="00221992">
        <w:rPr>
          <w:lang w:val="en-GB"/>
        </w:rPr>
        <w:t xml:space="preserve"> </w:t>
      </w:r>
      <w:r w:rsidR="006561DE" w:rsidRPr="00221992">
        <w:rPr>
          <w:lang w:val="en-GB"/>
        </w:rPr>
        <w:t xml:space="preserve">qualitative </w:t>
      </w:r>
      <w:r w:rsidR="00297CBC" w:rsidRPr="00221992">
        <w:rPr>
          <w:lang w:val="en-GB"/>
        </w:rPr>
        <w:t>studies</w:t>
      </w:r>
      <w:r w:rsidR="001F5545" w:rsidRPr="00221992">
        <w:rPr>
          <w:lang w:val="en-GB"/>
        </w:rPr>
        <w:t xml:space="preserve"> conducted by the OECD and Canada</w:t>
      </w:r>
      <w:r w:rsidR="00297CBC" w:rsidRPr="00221992">
        <w:rPr>
          <w:lang w:val="en-GB"/>
        </w:rPr>
        <w:t xml:space="preserve"> reveal </w:t>
      </w:r>
      <w:r w:rsidR="00282F53" w:rsidRPr="00221992">
        <w:rPr>
          <w:lang w:val="en-GB"/>
        </w:rPr>
        <w:t>a range of</w:t>
      </w:r>
      <w:r w:rsidR="00297CBC" w:rsidRPr="00221992">
        <w:rPr>
          <w:lang w:val="en-GB"/>
        </w:rPr>
        <w:t xml:space="preserve"> opinions on the effectiveness of </w:t>
      </w:r>
      <w:r w:rsidR="00282F53" w:rsidRPr="00221992">
        <w:rPr>
          <w:lang w:val="en-GB"/>
        </w:rPr>
        <w:t>such schemes</w:t>
      </w:r>
      <w:r w:rsidR="001F5545" w:rsidRPr="00221992">
        <w:rPr>
          <w:lang w:val="en-GB"/>
        </w:rPr>
        <w:t xml:space="preserve"> </w:t>
      </w:r>
      <w:r w:rsidR="00653F87" w:rsidRPr="00221992">
        <w:rPr>
          <w:lang w:val="en-GB"/>
        </w:rPr>
        <w:fldChar w:fldCharType="begin">
          <w:fldData xml:space="preserve">PEVuZE5vdGU+PENpdGU+PEF1dGhvcj5UaG9tcHNvbjwvQXV0aG9yPjxZZWFyPjIwMTY8L1llYXI+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==
</w:fldData>
        </w:fldChar>
      </w:r>
      <w:r w:rsidR="00E5265C">
        <w:rPr>
          <w:lang w:val="en-GB"/>
        </w:rPr>
        <w:instrText xml:space="preserve"> ADDIN EN.CITE </w:instrText>
      </w:r>
      <w:r w:rsidR="00E5265C">
        <w:rPr>
          <w:lang w:val="en-GB"/>
        </w:rPr>
        <w:fldChar w:fldCharType="begin">
          <w:fldData xml:space="preserve">PEVuZE5vdGU+PENpdGU+PEF1dGhvcj5UaG9tcHNvbjwvQXV0aG9yPjxZZWFyPjIwMTY8L1llYXI+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==
</w:fldData>
        </w:fldChar>
      </w:r>
      <w:r w:rsidR="00E5265C">
        <w:rPr>
          <w:lang w:val="en-GB"/>
        </w:rPr>
        <w:instrText xml:space="preserve"> ADDIN EN.CITE.DATA </w:instrText>
      </w:r>
      <w:r w:rsidR="00E5265C">
        <w:rPr>
          <w:lang w:val="en-GB"/>
        </w:rPr>
      </w:r>
      <w:r w:rsidR="00E5265C">
        <w:rPr>
          <w:lang w:val="en-GB"/>
        </w:rPr>
        <w:fldChar w:fldCharType="end"/>
      </w:r>
      <w:r w:rsidR="00653F87" w:rsidRPr="00221992">
        <w:rPr>
          <w:lang w:val="en-GB"/>
        </w:rPr>
      </w:r>
      <w:r w:rsidR="00653F87" w:rsidRPr="00221992">
        <w:rPr>
          <w:lang w:val="en-GB"/>
        </w:rPr>
        <w:fldChar w:fldCharType="separate"/>
      </w:r>
      <w:r w:rsidR="00E5265C">
        <w:rPr>
          <w:noProof/>
          <w:lang w:val="en-GB"/>
        </w:rPr>
        <w:t>[6, 191]</w:t>
      </w:r>
      <w:r w:rsidR="00653F87" w:rsidRPr="00221992">
        <w:rPr>
          <w:lang w:val="en-GB"/>
        </w:rPr>
        <w:fldChar w:fldCharType="end"/>
      </w:r>
      <w:r w:rsidR="00845D04" w:rsidRPr="00221992">
        <w:rPr>
          <w:lang w:val="en-GB"/>
        </w:rPr>
        <w:t>.</w:t>
      </w:r>
      <w:r w:rsidR="00D73B8D" w:rsidRPr="00221992">
        <w:rPr>
          <w:rStyle w:val="FootnoteReference"/>
          <w:lang w:val="en-GB"/>
        </w:rPr>
        <w:footnoteReference w:id="20"/>
      </w:r>
      <w:r w:rsidR="00845D04" w:rsidRPr="00221992">
        <w:rPr>
          <w:lang w:val="en-GB"/>
        </w:rPr>
        <w:t xml:space="preserve"> Generally, </w:t>
      </w:r>
      <w:r w:rsidR="00661F62">
        <w:rPr>
          <w:lang w:val="en-GB"/>
        </w:rPr>
        <w:t>performance-based MEAs</w:t>
      </w:r>
      <w:r w:rsidR="00845D04" w:rsidRPr="00221992">
        <w:rPr>
          <w:lang w:val="en-GB"/>
        </w:rPr>
        <w:t xml:space="preserve"> were viewed as expediting coverage decisions and improving patient access to new medicines in the face of uncertainty. Specifically, PbR</w:t>
      </w:r>
      <w:r w:rsidR="00064F15" w:rsidRPr="00221992">
        <w:rPr>
          <w:lang w:val="en-GB"/>
        </w:rPr>
        <w:t xml:space="preserve"> </w:t>
      </w:r>
      <w:r w:rsidR="00845D04" w:rsidRPr="00221992">
        <w:rPr>
          <w:lang w:val="en-GB"/>
        </w:rPr>
        <w:t xml:space="preserve">agreements </w:t>
      </w:r>
      <w:r w:rsidR="00067E95" w:rsidRPr="00221992">
        <w:rPr>
          <w:lang w:val="en-GB"/>
        </w:rPr>
        <w:t>were</w:t>
      </w:r>
      <w:r w:rsidR="00845D04" w:rsidRPr="00221992">
        <w:rPr>
          <w:lang w:val="en-GB"/>
        </w:rPr>
        <w:t xml:space="preserve"> seen as an effective approach for managing budget impact by limiting payment</w:t>
      </w:r>
      <w:r w:rsidR="00D83915" w:rsidRPr="00221992">
        <w:rPr>
          <w:lang w:val="en-GB"/>
        </w:rPr>
        <w:t xml:space="preserve"> </w:t>
      </w:r>
      <w:r w:rsidR="00845D04" w:rsidRPr="00221992">
        <w:rPr>
          <w:lang w:val="en-GB"/>
        </w:rPr>
        <w:t xml:space="preserve">to patients who respond positively to treatment. However, </w:t>
      </w:r>
      <w:r w:rsidR="008C5A34" w:rsidRPr="00221992">
        <w:rPr>
          <w:lang w:val="en-GB"/>
        </w:rPr>
        <w:t>experts</w:t>
      </w:r>
      <w:r w:rsidR="00845D04" w:rsidRPr="00221992">
        <w:rPr>
          <w:lang w:val="en-GB"/>
        </w:rPr>
        <w:t xml:space="preserve"> </w:t>
      </w:r>
      <w:r w:rsidR="00B952F0" w:rsidRPr="00221992">
        <w:rPr>
          <w:lang w:val="en-GB"/>
        </w:rPr>
        <w:t xml:space="preserve">have </w:t>
      </w:r>
      <w:r w:rsidR="00845D04" w:rsidRPr="00221992">
        <w:rPr>
          <w:lang w:val="en-GB"/>
        </w:rPr>
        <w:t>express</w:t>
      </w:r>
      <w:r w:rsidR="0053134B" w:rsidRPr="00221992">
        <w:rPr>
          <w:lang w:val="en-GB"/>
        </w:rPr>
        <w:t>ed</w:t>
      </w:r>
      <w:r w:rsidR="00845D04" w:rsidRPr="00221992">
        <w:rPr>
          <w:lang w:val="en-GB"/>
        </w:rPr>
        <w:t xml:space="preserve"> doubt about the ability of CED</w:t>
      </w:r>
      <w:r w:rsidR="00064F15" w:rsidRPr="00221992">
        <w:rPr>
          <w:lang w:val="en-GB"/>
        </w:rPr>
        <w:t xml:space="preserve"> </w:t>
      </w:r>
      <w:r w:rsidR="00845D04" w:rsidRPr="00221992">
        <w:rPr>
          <w:lang w:val="en-GB"/>
        </w:rPr>
        <w:t xml:space="preserve">schemes to reduce uncertainty surrounding </w:t>
      </w:r>
      <w:r w:rsidR="00DA4CEB" w:rsidRPr="00221992">
        <w:rPr>
          <w:lang w:val="en-GB"/>
        </w:rPr>
        <w:t>clinical</w:t>
      </w:r>
      <w:r w:rsidR="00845D04" w:rsidRPr="00221992">
        <w:rPr>
          <w:lang w:val="en-GB"/>
        </w:rPr>
        <w:t xml:space="preserve"> or cost-effectiveness</w:t>
      </w:r>
      <w:r w:rsidR="00BB5BC6" w:rsidRPr="00221992">
        <w:rPr>
          <w:lang w:val="en-GB"/>
        </w:rPr>
        <w:t>. Namely, c</w:t>
      </w:r>
      <w:r w:rsidR="00845D04" w:rsidRPr="00221992">
        <w:rPr>
          <w:lang w:val="en-GB"/>
        </w:rPr>
        <w:t xml:space="preserve">hallenges </w:t>
      </w:r>
      <w:r w:rsidR="00BB5BC6" w:rsidRPr="00221992">
        <w:rPr>
          <w:lang w:val="en-GB"/>
        </w:rPr>
        <w:t>have been identified</w:t>
      </w:r>
      <w:r w:rsidR="00845D04" w:rsidRPr="00221992">
        <w:rPr>
          <w:lang w:val="en-GB"/>
        </w:rPr>
        <w:t xml:space="preserve"> </w:t>
      </w:r>
      <w:r w:rsidR="002123B4" w:rsidRPr="00221992">
        <w:rPr>
          <w:lang w:val="en-GB"/>
        </w:rPr>
        <w:t>with respect to the</w:t>
      </w:r>
      <w:r w:rsidR="00845D04" w:rsidRPr="00221992">
        <w:rPr>
          <w:lang w:val="en-GB"/>
        </w:rPr>
        <w:t xml:space="preserve"> limited </w:t>
      </w:r>
      <w:r w:rsidR="002123B4" w:rsidRPr="00221992">
        <w:rPr>
          <w:lang w:val="en-GB"/>
        </w:rPr>
        <w:t xml:space="preserve">availability of </w:t>
      </w:r>
      <w:r w:rsidR="00845D04" w:rsidRPr="00221992">
        <w:rPr>
          <w:lang w:val="en-GB"/>
        </w:rPr>
        <w:t xml:space="preserve">data on relevant health outcomes </w:t>
      </w:r>
      <w:r w:rsidR="002123B4" w:rsidRPr="00221992">
        <w:rPr>
          <w:lang w:val="en-GB"/>
        </w:rPr>
        <w:t>and</w:t>
      </w:r>
      <w:r w:rsidR="00845D04" w:rsidRPr="00221992">
        <w:rPr>
          <w:lang w:val="en-GB"/>
        </w:rPr>
        <w:t xml:space="preserve"> other parameters of product performance, as well as with data quality and </w:t>
      </w:r>
      <w:r w:rsidR="002123B4" w:rsidRPr="00221992">
        <w:rPr>
          <w:lang w:val="en-GB"/>
        </w:rPr>
        <w:t xml:space="preserve">broader </w:t>
      </w:r>
      <w:r w:rsidR="00845D04" w:rsidRPr="00221992">
        <w:rPr>
          <w:lang w:val="en-GB"/>
        </w:rPr>
        <w:t xml:space="preserve">methodological </w:t>
      </w:r>
      <w:r w:rsidR="0080002E" w:rsidRPr="00221992">
        <w:rPr>
          <w:lang w:val="en-GB"/>
        </w:rPr>
        <w:t xml:space="preserve">issues </w:t>
      </w:r>
      <w:r w:rsidR="00DE72A7" w:rsidRPr="00221992">
        <w:rPr>
          <w:lang w:val="en-GB"/>
        </w:rPr>
        <w:fldChar w:fldCharType="begin"/>
      </w:r>
      <w:r w:rsidR="005A67DD" w:rsidRPr="00221992">
        <w:rPr>
          <w:lang w:val="en-GB"/>
        </w:rPr>
        <w:instrText xml:space="preserve"> ADDIN EN.CITE &lt;EndNote&gt;&lt;Cite&gt;&lt;Author&gt;Wenzl M&lt;/Author&gt;&lt;Year&gt;2019&lt;/Year&gt;&lt;RecNum&gt;477&lt;/RecNum&gt;&lt;DisplayText&gt;[6]&lt;/DisplayText&gt;&lt;record&gt;&lt;rec-number&gt;477&lt;/rec-number&gt;&lt;foreign-keys&gt;&lt;key app="EN" db-id="wzwwsfxe4peesxef95cxvrwjxts9rreasarf" timestamp="1692654671"&gt;477&lt;/key&gt;&lt;/foreign-keys&gt;&lt;ref-type name="Book Section"&gt;5&lt;/ref-type&gt;&lt;contributors&gt;&lt;authors&gt;&lt;author&gt;Wenzl M,&lt;/author&gt;&lt;author&gt;Chapman S.&lt;/author&gt;&lt;/authors&gt;&lt;/contributors&gt;&lt;titles&gt;&lt;title&gt;Performance-Based Managed Entry Agreements For New Medicines in OECD Countries and EU Member States: How They Work and Possible Improvements Going Forward.&lt;/title&gt;&lt;secondary-title&gt;OECD Health Working Papers,&lt;/secondary-title&gt;&lt;/titles&gt;&lt;volume&gt;No. 115&lt;/volume&gt;&lt;dates&gt;&lt;year&gt;2019&lt;/year&gt;&lt;/dates&gt;&lt;pub-location&gt;Paris&lt;/pub-location&gt;&lt;publisher&gt;OECD Publishing&lt;/publisher&gt;&lt;urls&gt;&lt;related-urls&gt;&lt;url&gt;https://www.oecd-ilibrary.org/content/paper/6e5e4c0f-en&lt;/url&gt;&lt;/related-urls&gt;&lt;/urls&gt;&lt;electronic-resource-num&gt;doi:https://doi.org/10.1787/6e5e4c0f-en&lt;/electronic-resource-num&gt;&lt;/record&gt;&lt;/Cite&gt;&lt;/EndNote&gt;</w:instrText>
      </w:r>
      <w:r w:rsidR="00DE72A7" w:rsidRPr="00221992">
        <w:rPr>
          <w:lang w:val="en-GB"/>
        </w:rPr>
        <w:fldChar w:fldCharType="separate"/>
      </w:r>
      <w:r w:rsidR="005A67DD" w:rsidRPr="00221992">
        <w:rPr>
          <w:noProof/>
          <w:lang w:val="en-GB"/>
        </w:rPr>
        <w:t>[6]</w:t>
      </w:r>
      <w:r w:rsidR="00DE72A7" w:rsidRPr="00221992">
        <w:rPr>
          <w:lang w:val="en-GB"/>
        </w:rPr>
        <w:fldChar w:fldCharType="end"/>
      </w:r>
      <w:r w:rsidR="00845D04" w:rsidRPr="00221992">
        <w:rPr>
          <w:lang w:val="en-GB"/>
        </w:rPr>
        <w:t>.</w:t>
      </w:r>
    </w:p>
    <w:p w14:paraId="65F63445" w14:textId="0451FFD7" w:rsidR="002E00DC" w:rsidRPr="00221992" w:rsidRDefault="002E00DC" w:rsidP="00815512">
      <w:pPr>
        <w:rPr>
          <w:lang w:val="en-GB"/>
        </w:rPr>
      </w:pPr>
      <w:r w:rsidRPr="00221992">
        <w:rPr>
          <w:lang w:val="en-GB"/>
        </w:rPr>
        <w:t xml:space="preserve">Concerns regarding the administrative burden associated with the implementation of </w:t>
      </w:r>
      <w:r w:rsidR="00661F62">
        <w:rPr>
          <w:lang w:val="en-GB"/>
        </w:rPr>
        <w:t>performance-based MEAs</w:t>
      </w:r>
      <w:r w:rsidRPr="00221992">
        <w:rPr>
          <w:lang w:val="en-GB"/>
        </w:rPr>
        <w:t xml:space="preserve"> were frequently raised, particularly in countries with highly regionali</w:t>
      </w:r>
      <w:r w:rsidR="00DA4CEB" w:rsidRPr="00221992">
        <w:rPr>
          <w:lang w:val="en-GB"/>
        </w:rPr>
        <w:t>s</w:t>
      </w:r>
      <w:r w:rsidRPr="00221992">
        <w:rPr>
          <w:lang w:val="en-GB"/>
        </w:rPr>
        <w:t xml:space="preserve">ed healthcare systems like Canada, Italy, and Spain </w:t>
      </w:r>
      <w:r w:rsidR="00653F87" w:rsidRPr="00221992">
        <w:rPr>
          <w:lang w:val="en-GB"/>
        </w:rPr>
        <w:fldChar w:fldCharType="begin"/>
      </w:r>
      <w:r w:rsidR="00E5265C">
        <w:rPr>
          <w:lang w:val="en-GB"/>
        </w:rPr>
        <w:instrText xml:space="preserve"> ADDIN EN.CITE &lt;EndNote&gt;&lt;Cite&gt;&lt;Author&gt;Thompson&lt;/Author&gt;&lt;Year&gt;2016&lt;/Year&gt;&lt;RecNum&gt;447&lt;/RecNum&gt;&lt;DisplayText&gt;[191]&lt;/DisplayText&gt;&lt;record&gt;&lt;rec-number&gt;447&lt;/rec-number&gt;&lt;foreign-keys&gt;&lt;key app="EN" db-id="wzwwsfxe4peesxef95cxvrwjxts9rreasarf" timestamp="1692654670"&gt;447&lt;/key&gt;&lt;/foreign-keys&gt;&lt;ref-type name="Journal Article"&gt;17&lt;/ref-type&gt;&lt;contributors&gt;&lt;authors&gt;&lt;author&gt;Thompson, M.&lt;/author&gt;&lt;author&gt;Henshall, C.&lt;/author&gt;&lt;author&gt;Garrison, L. P.&lt;/author&gt;&lt;author&gt;Griffin, A. D.&lt;/author&gt;&lt;author&gt;Coyle, D.&lt;/author&gt;&lt;author&gt;Long, S.&lt;/author&gt;&lt;author&gt;Khayat, Z. A.&lt;/author&gt;&lt;author&gt;Anger, D. L.&lt;/author&gt;&lt;author&gt;Yu, R.&lt;/author&gt;&lt;/authors&gt;&lt;/contributors&gt;&lt;auth-address&gt;Cornerstone Research Group Inc., Burlington, ON, Canada&amp;#xD;Health Economics Research Group, Brunel University London, London UK&amp;#xD;Pharmaceutical Outcomes Research and Policy Program, School of Pharmacy, University of Washington, Seattle, WA, USA&amp;#xD;Government Affairs &amp;amp; Policy, Johnson &amp;amp; Johnson, High Wycombe, UK&amp;#xD;Health and Life Sciences, Global Public Affairs, Calgary, AB&amp;#xD;Health Systems Innovation at MaRS Discovery District, Toronto, ON, Canada&amp;#xD;Strategic Health Technology Assessment, Government Affairs &amp;amp; Market Access, Janssen Inc., Toronto, ON, Canada&lt;/auth-address&gt;&lt;titles&gt;&lt;title&gt;Targeting improved patient outcomes using innovative product listing agreements: a survey of Canadian and international key opinion leaders&lt;/title&gt;&lt;secondary-title&gt;Clinicoecon Outcomes Res&lt;/secondary-title&gt;&lt;/titles&gt;&lt;periodical&gt;&lt;full-title&gt;Clinicoecon Outcomes Res&lt;/full-title&gt;&lt;/periodical&gt;&lt;pages&gt;427-33&lt;/pages&gt;&lt;volume&gt;8&lt;/volume&gt;&lt;edition&gt;20160826&lt;/edition&gt;&lt;dates&gt;&lt;year&gt;2016&lt;/year&gt;&lt;/dates&gt;&lt;accession-num&gt;27616892&lt;/accession-num&gt;&lt;urls&gt;&lt;related-urls&gt;&lt;url&gt;https://www.ncbi.nlm.nih.gov/pmc/articles/PMC5008446/pdf/ceor-8-427.pdf&lt;/url&gt;&lt;/related-urls&gt;&lt;/urls&gt;&lt;custom2&gt;PMC5008446&lt;/custom2&gt;&lt;electronic-resource-num&gt;10.2147/ceor.S96616&lt;/electronic-resource-num&gt;&lt;language&gt;eng&lt;/language&gt;&lt;/record&gt;&lt;/Cite&gt;&lt;/EndNote&gt;</w:instrText>
      </w:r>
      <w:r w:rsidR="00653F87" w:rsidRPr="00221992">
        <w:rPr>
          <w:lang w:val="en-GB"/>
        </w:rPr>
        <w:fldChar w:fldCharType="separate"/>
      </w:r>
      <w:r w:rsidR="00E5265C">
        <w:rPr>
          <w:noProof/>
          <w:lang w:val="en-GB"/>
        </w:rPr>
        <w:t>[191]</w:t>
      </w:r>
      <w:r w:rsidR="00653F87" w:rsidRPr="00221992">
        <w:rPr>
          <w:lang w:val="en-GB"/>
        </w:rPr>
        <w:fldChar w:fldCharType="end"/>
      </w:r>
      <w:r w:rsidRPr="00221992">
        <w:rPr>
          <w:lang w:val="en-GB"/>
        </w:rPr>
        <w:t>. These concerns also apply to the context of international collaboration</w:t>
      </w:r>
      <w:r w:rsidR="00DA4CEB" w:rsidRPr="00221992">
        <w:rPr>
          <w:lang w:val="en-GB"/>
        </w:rPr>
        <w:t xml:space="preserve"> and </w:t>
      </w:r>
      <w:r w:rsidR="00516779" w:rsidRPr="00221992">
        <w:rPr>
          <w:lang w:val="en-GB"/>
        </w:rPr>
        <w:t>data</w:t>
      </w:r>
      <w:r w:rsidR="00DA4CEB" w:rsidRPr="00221992">
        <w:rPr>
          <w:lang w:val="en-GB"/>
        </w:rPr>
        <w:t xml:space="preserve"> sharing </w:t>
      </w:r>
      <w:r w:rsidR="008A7A68" w:rsidRPr="00221992">
        <w:rPr>
          <w:lang w:val="en-GB"/>
        </w:rPr>
        <w:t>more broadly</w:t>
      </w:r>
      <w:r w:rsidRPr="00221992">
        <w:rPr>
          <w:lang w:val="en-GB"/>
        </w:rPr>
        <w:t xml:space="preserve">. </w:t>
      </w:r>
      <w:r w:rsidR="00516779" w:rsidRPr="00221992">
        <w:rPr>
          <w:lang w:val="en-GB"/>
        </w:rPr>
        <w:t>Identified b</w:t>
      </w:r>
      <w:r w:rsidRPr="00221992">
        <w:rPr>
          <w:lang w:val="en-GB"/>
        </w:rPr>
        <w:t xml:space="preserve">arriers to the implementation of MEAs included the challenge of reaching consensus on </w:t>
      </w:r>
      <w:r w:rsidR="00CD19A2" w:rsidRPr="00221992">
        <w:rPr>
          <w:lang w:val="en-GB"/>
        </w:rPr>
        <w:t>what</w:t>
      </w:r>
      <w:r w:rsidRPr="00221992">
        <w:rPr>
          <w:lang w:val="en-GB"/>
        </w:rPr>
        <w:t xml:space="preserve"> clinical outcomes to measure, the fragmented nature of policies and budgets, the difficulty of adapting existing practices to facilitate data collection, and the limited availability of data across jurisdictions</w:t>
      </w:r>
      <w:r w:rsidR="00616065" w:rsidRPr="00221992">
        <w:rPr>
          <w:lang w:val="en-GB"/>
        </w:rPr>
        <w:t xml:space="preserve"> </w:t>
      </w:r>
      <w:r w:rsidR="009C3ACF" w:rsidRPr="00221992">
        <w:rPr>
          <w:lang w:val="en-GB"/>
        </w:rPr>
        <w:fldChar w:fldCharType="begin"/>
      </w:r>
      <w:r w:rsidR="00E5265C">
        <w:rPr>
          <w:lang w:val="en-GB"/>
        </w:rPr>
        <w:instrText xml:space="preserve"> ADDIN EN.CITE &lt;EndNote&gt;&lt;Cite&gt;&lt;Author&gt;Thompson&lt;/Author&gt;&lt;Year&gt;2016&lt;/Year&gt;&lt;RecNum&gt;447&lt;/RecNum&gt;&lt;DisplayText&gt;[191]&lt;/DisplayText&gt;&lt;record&gt;&lt;rec-number&gt;447&lt;/rec-number&gt;&lt;foreign-keys&gt;&lt;key app="EN" db-id="wzwwsfxe4peesxef95cxvrwjxts9rreasarf" timestamp="1692654670"&gt;447&lt;/key&gt;&lt;/foreign-keys&gt;&lt;ref-type name="Journal Article"&gt;17&lt;/ref-type&gt;&lt;contributors&gt;&lt;authors&gt;&lt;author&gt;Thompson, M.&lt;/author&gt;&lt;author&gt;Henshall, C.&lt;/author&gt;&lt;author&gt;Garrison, L. P.&lt;/author&gt;&lt;author&gt;Griffin, A. D.&lt;/author&gt;&lt;author&gt;Coyle, D.&lt;/author&gt;&lt;author&gt;Long, S.&lt;/author&gt;&lt;author&gt;Khayat, Z. A.&lt;/author&gt;&lt;author&gt;Anger, D. L.&lt;/author&gt;&lt;author&gt;Yu, R.&lt;/author&gt;&lt;/authors&gt;&lt;/contributors&gt;&lt;auth-address&gt;Cornerstone Research Group Inc., Burlington, ON, Canada&amp;#xD;Health Economics Research Group, Brunel University London, London UK&amp;#xD;Pharmaceutical Outcomes Research and Policy Program, School of Pharmacy, University of Washington, Seattle, WA, USA&amp;#xD;Government Affairs &amp;amp; Policy, Johnson &amp;amp; Johnson, High Wycombe, UK&amp;#xD;Health and Life Sciences, Global Public Affairs, Calgary, AB&amp;#xD;Health Systems Innovation at MaRS Discovery District, Toronto, ON, Canada&amp;#xD;Strategic Health Technology Assessment, Government Affairs &amp;amp; Market Access, Janssen Inc., Toronto, ON, Canada&lt;/auth-address&gt;&lt;titles&gt;&lt;title&gt;Targeting improved patient outcomes using innovative product listing agreements: a survey of Canadian and international key opinion leaders&lt;/title&gt;&lt;secondary-title&gt;Clinicoecon Outcomes Res&lt;/secondary-title&gt;&lt;/titles&gt;&lt;periodical&gt;&lt;full-title&gt;Clinicoecon Outcomes Res&lt;/full-title&gt;&lt;/periodical&gt;&lt;pages&gt;427-33&lt;/pages&gt;&lt;volume&gt;8&lt;/volume&gt;&lt;edition&gt;20160826&lt;/edition&gt;&lt;dates&gt;&lt;year&gt;2016&lt;/year&gt;&lt;/dates&gt;&lt;accession-num&gt;27616892&lt;/accession-num&gt;&lt;urls&gt;&lt;related-urls&gt;&lt;url&gt;https://www.ncbi.nlm.nih.gov/pmc/articles/PMC5008446/pdf/ceor-8-427.pdf&lt;/url&gt;&lt;/related-urls&gt;&lt;/urls&gt;&lt;custom2&gt;PMC5008446&lt;/custom2&gt;&lt;electronic-resource-num&gt;10.2147/ceor.S96616&lt;/electronic-resource-num&gt;&lt;language&gt;eng&lt;/language&gt;&lt;/record&gt;&lt;/Cite&gt;&lt;/EndNote&gt;</w:instrText>
      </w:r>
      <w:r w:rsidR="009C3ACF" w:rsidRPr="00221992">
        <w:rPr>
          <w:lang w:val="en-GB"/>
        </w:rPr>
        <w:fldChar w:fldCharType="separate"/>
      </w:r>
      <w:r w:rsidR="00E5265C">
        <w:rPr>
          <w:noProof/>
          <w:lang w:val="en-GB"/>
        </w:rPr>
        <w:t>[191]</w:t>
      </w:r>
      <w:r w:rsidR="009C3ACF" w:rsidRPr="00221992">
        <w:rPr>
          <w:lang w:val="en-GB"/>
        </w:rPr>
        <w:fldChar w:fldCharType="end"/>
      </w:r>
      <w:r w:rsidRPr="00221992">
        <w:rPr>
          <w:lang w:val="en-GB"/>
        </w:rPr>
        <w:t>.</w:t>
      </w:r>
    </w:p>
    <w:p w14:paraId="31402B03" w14:textId="37E765D7" w:rsidR="002E00DC" w:rsidRPr="00221992" w:rsidRDefault="00C023F9" w:rsidP="00815512">
      <w:pPr>
        <w:rPr>
          <w:lang w:val="en-GB"/>
        </w:rPr>
      </w:pPr>
      <w:r w:rsidRPr="00221992">
        <w:rPr>
          <w:lang w:val="en-GB"/>
        </w:rPr>
        <w:t>High administrative</w:t>
      </w:r>
      <w:r w:rsidR="002E00DC" w:rsidRPr="00221992">
        <w:rPr>
          <w:lang w:val="en-GB"/>
        </w:rPr>
        <w:t xml:space="preserve"> burden is particularly notable in PbR agreements that rely on routine data </w:t>
      </w:r>
      <w:r w:rsidRPr="00221992">
        <w:rPr>
          <w:lang w:val="en-GB"/>
        </w:rPr>
        <w:t>collection</w:t>
      </w:r>
      <w:r w:rsidR="002E00DC" w:rsidRPr="00221992">
        <w:rPr>
          <w:lang w:val="en-GB"/>
        </w:rPr>
        <w:t xml:space="preserve"> to monitor patient response and determine payment or refund triggers. In cases where registries are specifically established for MEAs, as seen in Italy, additional data collection by healthcare professionals and substantial resources for data analysis by payers or providers </w:t>
      </w:r>
      <w:r w:rsidR="00524C17" w:rsidRPr="00221992">
        <w:rPr>
          <w:lang w:val="en-GB"/>
        </w:rPr>
        <w:t>are</w:t>
      </w:r>
      <w:r w:rsidR="002E00DC" w:rsidRPr="00221992">
        <w:rPr>
          <w:lang w:val="en-GB"/>
        </w:rPr>
        <w:t xml:space="preserve"> </w:t>
      </w:r>
      <w:r w:rsidR="00524C17" w:rsidRPr="00221992">
        <w:rPr>
          <w:lang w:val="en-GB"/>
        </w:rPr>
        <w:t>required</w:t>
      </w:r>
      <w:r w:rsidR="002E00DC" w:rsidRPr="00221992">
        <w:rPr>
          <w:lang w:val="en-GB"/>
        </w:rPr>
        <w:t>.</w:t>
      </w:r>
    </w:p>
    <w:p w14:paraId="504B4733" w14:textId="6A48E035" w:rsidR="00845D04" w:rsidRPr="00221992" w:rsidRDefault="00845D04" w:rsidP="00815512">
      <w:pPr>
        <w:rPr>
          <w:lang w:val="en-GB"/>
        </w:rPr>
      </w:pPr>
      <w:r w:rsidRPr="00221992">
        <w:rPr>
          <w:lang w:val="en-GB"/>
        </w:rPr>
        <w:t xml:space="preserve">Experts also noted that the objective of managing budget impact through PbR </w:t>
      </w:r>
      <w:r w:rsidR="00524C17" w:rsidRPr="00221992">
        <w:rPr>
          <w:lang w:val="en-GB"/>
        </w:rPr>
        <w:t xml:space="preserve">arrangements </w:t>
      </w:r>
      <w:r w:rsidRPr="00221992">
        <w:rPr>
          <w:lang w:val="en-GB"/>
        </w:rPr>
        <w:t>could potentially be achieved through simpler mechanisms</w:t>
      </w:r>
      <w:r w:rsidR="00524C17" w:rsidRPr="00221992">
        <w:rPr>
          <w:lang w:val="en-GB"/>
        </w:rPr>
        <w:t>,</w:t>
      </w:r>
      <w:r w:rsidRPr="00221992">
        <w:rPr>
          <w:lang w:val="en-GB"/>
        </w:rPr>
        <w:t xml:space="preserve"> like price reductions or financial MEAs such as budget caps, eliminating the need for tracking patient response and the associated administrative burden</w:t>
      </w:r>
      <w:r w:rsidR="008C1836" w:rsidRPr="00221992">
        <w:rPr>
          <w:lang w:val="en-GB"/>
        </w:rPr>
        <w:t xml:space="preserve"> </w:t>
      </w:r>
      <w:r w:rsidR="008C1836" w:rsidRPr="00221992">
        <w:rPr>
          <w:lang w:val="en-GB"/>
        </w:rPr>
        <w:fldChar w:fldCharType="begin"/>
      </w:r>
      <w:r w:rsidR="005A67DD" w:rsidRPr="00221992">
        <w:rPr>
          <w:lang w:val="en-GB"/>
        </w:rPr>
        <w:instrText xml:space="preserve"> ADDIN EN.CITE &lt;EndNote&gt;&lt;Cite&gt;&lt;Author&gt;Wenzl M&lt;/Author&gt;&lt;Year&gt;2019&lt;/Year&gt;&lt;RecNum&gt;477&lt;/RecNum&gt;&lt;DisplayText&gt;[6]&lt;/DisplayText&gt;&lt;record&gt;&lt;rec-number&gt;477&lt;/rec-number&gt;&lt;foreign-keys&gt;&lt;key app="EN" db-id="wzwwsfxe4peesxef95cxvrwjxts9rreasarf" timestamp="1692654671"&gt;477&lt;/key&gt;&lt;/foreign-keys&gt;&lt;ref-type name="Book Section"&gt;5&lt;/ref-type&gt;&lt;contributors&gt;&lt;authors&gt;&lt;author&gt;Wenzl M,&lt;/author&gt;&lt;author&gt;Chapman S.&lt;/author&gt;&lt;/authors&gt;&lt;/contributors&gt;&lt;titles&gt;&lt;title&gt;Performance-Based Managed Entry Agreements For New Medicines in OECD Countries and EU Member States: How They Work and Possible Improvements Going Forward.&lt;/title&gt;&lt;secondary-title&gt;OECD Health Working Papers,&lt;/secondary-title&gt;&lt;/titles&gt;&lt;volume&gt;No. 115&lt;/volume&gt;&lt;dates&gt;&lt;year&gt;2019&lt;/year&gt;&lt;/dates&gt;&lt;pub-location&gt;Paris&lt;/pub-location&gt;&lt;publisher&gt;OECD Publishing&lt;/publisher&gt;&lt;urls&gt;&lt;related-urls&gt;&lt;url&gt;https://www.oecd-ilibrary.org/content/paper/6e5e4c0f-en&lt;/url&gt;&lt;/related-urls&gt;&lt;/urls&gt;&lt;electronic-resource-num&gt;doi:https://doi.org/10.1787/6e5e4c0f-en&lt;/electronic-resource-num&gt;&lt;/record&gt;&lt;/Cite&gt;&lt;/EndNote&gt;</w:instrText>
      </w:r>
      <w:r w:rsidR="008C1836" w:rsidRPr="00221992">
        <w:rPr>
          <w:lang w:val="en-GB"/>
        </w:rPr>
        <w:fldChar w:fldCharType="separate"/>
      </w:r>
      <w:r w:rsidR="005A67DD" w:rsidRPr="00221992">
        <w:rPr>
          <w:noProof/>
          <w:lang w:val="en-GB"/>
        </w:rPr>
        <w:t>[6]</w:t>
      </w:r>
      <w:r w:rsidR="008C1836" w:rsidRPr="00221992">
        <w:rPr>
          <w:lang w:val="en-GB"/>
        </w:rPr>
        <w:fldChar w:fldCharType="end"/>
      </w:r>
      <w:r w:rsidRPr="00221992">
        <w:rPr>
          <w:lang w:val="en-GB"/>
        </w:rPr>
        <w:t>. In the case of CED agreements,</w:t>
      </w:r>
      <w:r w:rsidR="00FE0A3B" w:rsidRPr="00221992">
        <w:rPr>
          <w:lang w:val="en-GB"/>
        </w:rPr>
        <w:t xml:space="preserve"> </w:t>
      </w:r>
      <w:r w:rsidR="00B37F98" w:rsidRPr="00221992">
        <w:rPr>
          <w:lang w:val="en-GB"/>
        </w:rPr>
        <w:t xml:space="preserve">experts </w:t>
      </w:r>
      <w:r w:rsidR="00FE0A3B" w:rsidRPr="00221992">
        <w:rPr>
          <w:lang w:val="en-GB"/>
        </w:rPr>
        <w:t>noted that</w:t>
      </w:r>
      <w:r w:rsidRPr="00221992">
        <w:rPr>
          <w:lang w:val="en-GB"/>
        </w:rPr>
        <w:t xml:space="preserve"> it is more common for pharmaceutical companies to undertake data collection and analysis to support their claims of product effectiveness or cost-effectiveness when resubmitting </w:t>
      </w:r>
      <w:r w:rsidR="008409F7" w:rsidRPr="00221992">
        <w:rPr>
          <w:lang w:val="en-GB"/>
        </w:rPr>
        <w:t xml:space="preserve">applications </w:t>
      </w:r>
      <w:r w:rsidRPr="00221992">
        <w:rPr>
          <w:lang w:val="en-GB"/>
        </w:rPr>
        <w:t>to payers or HTA agencies, thus minimising the administrative burden on payers</w:t>
      </w:r>
      <w:r w:rsidR="00CD4BCC" w:rsidRPr="00221992">
        <w:rPr>
          <w:lang w:val="en-GB"/>
        </w:rPr>
        <w:t xml:space="preserve"> </w:t>
      </w:r>
      <w:r w:rsidR="00CD4BCC" w:rsidRPr="00221992">
        <w:rPr>
          <w:lang w:val="en-GB"/>
        </w:rPr>
        <w:fldChar w:fldCharType="begin"/>
      </w:r>
      <w:r w:rsidR="005A67DD" w:rsidRPr="00221992">
        <w:rPr>
          <w:lang w:val="en-GB"/>
        </w:rPr>
        <w:instrText xml:space="preserve"> ADDIN EN.CITE &lt;EndNote&gt;&lt;Cite&gt;&lt;Author&gt;Wenzl M&lt;/Author&gt;&lt;Year&gt;2019&lt;/Year&gt;&lt;RecNum&gt;477&lt;/RecNum&gt;&lt;DisplayText&gt;[6]&lt;/DisplayText&gt;&lt;record&gt;&lt;rec-number&gt;477&lt;/rec-number&gt;&lt;foreign-keys&gt;&lt;key app="EN" db-id="wzwwsfxe4peesxef95cxvrwjxts9rreasarf" timestamp="1692654671"&gt;477&lt;/key&gt;&lt;/foreign-keys&gt;&lt;ref-type name="Book Section"&gt;5&lt;/ref-type&gt;&lt;contributors&gt;&lt;authors&gt;&lt;author&gt;Wenzl M,&lt;/author&gt;&lt;author&gt;Chapman S.&lt;/author&gt;&lt;/authors&gt;&lt;/contributors&gt;&lt;titles&gt;&lt;title&gt;Performance-Based Managed Entry Agreements For New Medicines in OECD Countries and EU Member States: How They Work and Possible Improvements Going Forward.&lt;/title&gt;&lt;secondary-title&gt;OECD Health Working Papers,&lt;/secondary-title&gt;&lt;/titles&gt;&lt;volume&gt;No. 115&lt;/volume&gt;&lt;dates&gt;&lt;year&gt;2019&lt;/year&gt;&lt;/dates&gt;&lt;pub-location&gt;Paris&lt;/pub-location&gt;&lt;publisher&gt;OECD Publishing&lt;/publisher&gt;&lt;urls&gt;&lt;related-urls&gt;&lt;url&gt;https://www.oecd-ilibrary.org/content/paper/6e5e4c0f-en&lt;/url&gt;&lt;/related-urls&gt;&lt;/urls&gt;&lt;electronic-resource-num&gt;doi:https://doi.org/10.1787/6e5e4c0f-en&lt;/electronic-resource-num&gt;&lt;/record&gt;&lt;/Cite&gt;&lt;/EndNote&gt;</w:instrText>
      </w:r>
      <w:r w:rsidR="00CD4BCC" w:rsidRPr="00221992">
        <w:rPr>
          <w:lang w:val="en-GB"/>
        </w:rPr>
        <w:fldChar w:fldCharType="separate"/>
      </w:r>
      <w:r w:rsidR="005A67DD" w:rsidRPr="00221992">
        <w:rPr>
          <w:noProof/>
          <w:lang w:val="en-GB"/>
        </w:rPr>
        <w:t>[6]</w:t>
      </w:r>
      <w:r w:rsidR="00CD4BCC" w:rsidRPr="00221992">
        <w:rPr>
          <w:lang w:val="en-GB"/>
        </w:rPr>
        <w:fldChar w:fldCharType="end"/>
      </w:r>
      <w:r w:rsidRPr="00221992">
        <w:rPr>
          <w:lang w:val="en-GB"/>
        </w:rPr>
        <w:t>.</w:t>
      </w:r>
    </w:p>
    <w:p w14:paraId="177DE204" w14:textId="54ECA9E5" w:rsidR="00845D04" w:rsidRPr="00221992" w:rsidRDefault="00845D04" w:rsidP="00815512">
      <w:pPr>
        <w:rPr>
          <w:lang w:val="en-GB"/>
        </w:rPr>
      </w:pPr>
      <w:r w:rsidRPr="00221992">
        <w:rPr>
          <w:lang w:val="en-GB"/>
        </w:rPr>
        <w:t>Confidentiality emerged as another significant concern raised in the interviews</w:t>
      </w:r>
      <w:r w:rsidR="00CD4BCC" w:rsidRPr="00221992">
        <w:rPr>
          <w:lang w:val="en-GB"/>
        </w:rPr>
        <w:t>,</w:t>
      </w:r>
      <w:r w:rsidR="003E2F1F" w:rsidRPr="00221992">
        <w:rPr>
          <w:lang w:val="en-GB"/>
        </w:rPr>
        <w:t xml:space="preserve"> and this is consistent with the literature</w:t>
      </w:r>
      <w:r w:rsidR="00E579EF" w:rsidRPr="00221992">
        <w:rPr>
          <w:lang w:val="en-GB"/>
        </w:rPr>
        <w:t xml:space="preserve"> </w:t>
      </w:r>
      <w:r w:rsidR="00653F87" w:rsidRPr="00221992">
        <w:rPr>
          <w:lang w:val="en-GB"/>
        </w:rPr>
        <w:fldChar w:fldCharType="begin">
          <w:fldData xml:space="preserve">PEVuZE5vdGU+PENpdGU+PEF1dGhvcj5SdXNzbzwvQXV0aG9yPjxZZWFyPjIwMjE8L1llYXI+PFJl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</w:fldData>
        </w:fldChar>
      </w:r>
      <w:r w:rsidR="00E5265C">
        <w:rPr>
          <w:lang w:val="en-GB"/>
        </w:rPr>
        <w:instrText xml:space="preserve"> ADDIN EN.CITE </w:instrText>
      </w:r>
      <w:r w:rsidR="00E5265C">
        <w:rPr>
          <w:lang w:val="en-GB"/>
        </w:rPr>
        <w:fldChar w:fldCharType="begin">
          <w:fldData xml:space="preserve">PEVuZE5vdGU+PENpdGU+PEF1dGhvcj5SdXNzbzwvQXV0aG9yPjxZZWFyPjIwMjE8L1llYXI+PFJl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</w:fldData>
        </w:fldChar>
      </w:r>
      <w:r w:rsidR="00E5265C">
        <w:rPr>
          <w:lang w:val="en-GB"/>
        </w:rPr>
        <w:instrText xml:space="preserve"> ADDIN EN.CITE.DATA </w:instrText>
      </w:r>
      <w:r w:rsidR="00E5265C">
        <w:rPr>
          <w:lang w:val="en-GB"/>
        </w:rPr>
      </w:r>
      <w:r w:rsidR="00E5265C">
        <w:rPr>
          <w:lang w:val="en-GB"/>
        </w:rPr>
        <w:fldChar w:fldCharType="end"/>
      </w:r>
      <w:r w:rsidR="00653F87" w:rsidRPr="00221992">
        <w:rPr>
          <w:lang w:val="en-GB"/>
        </w:rPr>
      </w:r>
      <w:r w:rsidR="00653F87" w:rsidRPr="00221992">
        <w:rPr>
          <w:lang w:val="en-GB"/>
        </w:rPr>
        <w:fldChar w:fldCharType="separate"/>
      </w:r>
      <w:r w:rsidR="00E5265C">
        <w:rPr>
          <w:noProof/>
          <w:lang w:val="en-GB"/>
        </w:rPr>
        <w:t>[260]</w:t>
      </w:r>
      <w:r w:rsidR="00653F87" w:rsidRPr="00221992">
        <w:rPr>
          <w:lang w:val="en-GB"/>
        </w:rPr>
        <w:fldChar w:fldCharType="end"/>
      </w:r>
      <w:r w:rsidRPr="00221992">
        <w:rPr>
          <w:lang w:val="en-GB"/>
        </w:rPr>
        <w:t>. While most experts agree</w:t>
      </w:r>
      <w:r w:rsidR="0081659E" w:rsidRPr="00221992">
        <w:rPr>
          <w:lang w:val="en-GB"/>
        </w:rPr>
        <w:t>d</w:t>
      </w:r>
      <w:r w:rsidRPr="00221992">
        <w:rPr>
          <w:lang w:val="en-GB"/>
        </w:rPr>
        <w:t xml:space="preserve"> that information related to product performance should not be confidential, and only commercial information such as prices should be protected,</w:t>
      </w:r>
      <w:r w:rsidR="00BB7294">
        <w:rPr>
          <w:lang w:val="en-GB"/>
        </w:rPr>
        <w:t xml:space="preserve"> in practice,</w:t>
      </w:r>
      <w:r w:rsidRPr="00221992">
        <w:rPr>
          <w:lang w:val="en-GB"/>
        </w:rPr>
        <w:t xml:space="preserve"> the high level of confidentiality surrounding MEAs </w:t>
      </w:r>
      <w:r w:rsidR="0081659E" w:rsidRPr="00221992">
        <w:rPr>
          <w:lang w:val="en-GB"/>
        </w:rPr>
        <w:t xml:space="preserve">was seen to </w:t>
      </w:r>
      <w:r w:rsidRPr="00221992">
        <w:rPr>
          <w:lang w:val="en-GB"/>
        </w:rPr>
        <w:t>hinder information sharing with third parties and complicate coverage decisions for payers</w:t>
      </w:r>
      <w:r w:rsidR="0081659E" w:rsidRPr="00221992">
        <w:rPr>
          <w:lang w:val="en-GB"/>
        </w:rPr>
        <w:t xml:space="preserve"> </w:t>
      </w:r>
      <w:r w:rsidR="005A3F26" w:rsidRPr="00221992">
        <w:rPr>
          <w:lang w:val="en-GB"/>
        </w:rPr>
        <w:fldChar w:fldCharType="begin"/>
      </w:r>
      <w:r w:rsidR="005A67DD" w:rsidRPr="00221992">
        <w:rPr>
          <w:lang w:val="en-GB"/>
        </w:rPr>
        <w:instrText xml:space="preserve"> ADDIN EN.CITE &lt;EndNote&gt;&lt;Cite&gt;&lt;Author&gt;Wenzl M&lt;/Author&gt;&lt;Year&gt;2019&lt;/Year&gt;&lt;RecNum&gt;477&lt;/RecNum&gt;&lt;DisplayText&gt;[6]&lt;/DisplayText&gt;&lt;record&gt;&lt;rec-number&gt;477&lt;/rec-number&gt;&lt;foreign-keys&gt;&lt;key app="EN" db-id="wzwwsfxe4peesxef95cxvrwjxts9rreasarf" timestamp="1692654671"&gt;477&lt;/key&gt;&lt;/foreign-keys&gt;&lt;ref-type name="Book Section"&gt;5&lt;/ref-type&gt;&lt;contributors&gt;&lt;authors&gt;&lt;author&gt;Wenzl M,&lt;/author&gt;&lt;author&gt;Chapman S.&lt;/author&gt;&lt;/authors&gt;&lt;/contributors&gt;&lt;titles&gt;&lt;title&gt;Performance-Based Managed Entry Agreements For New Medicines in OECD Countries and EU Member States: How They Work and Possible Improvements Going Forward.&lt;/title&gt;&lt;secondary-title&gt;OECD Health Working Papers,&lt;/secondary-title&gt;&lt;/titles&gt;&lt;volume&gt;No. 115&lt;/volume&gt;&lt;dates&gt;&lt;year&gt;2019&lt;/year&gt;&lt;/dates&gt;&lt;pub-location&gt;Paris&lt;/pub-location&gt;&lt;publisher&gt;OECD Publishing&lt;/publisher&gt;&lt;urls&gt;&lt;related-urls&gt;&lt;url&gt;https://www.oecd-ilibrary.org/content/paper/6e5e4c0f-en&lt;/url&gt;&lt;/related-urls&gt;&lt;/urls&gt;&lt;electronic-resource-num&gt;doi:https://doi.org/10.1787/6e5e4c0f-en&lt;/electronic-resource-num&gt;&lt;/record&gt;&lt;/Cite&gt;&lt;/EndNote&gt;</w:instrText>
      </w:r>
      <w:r w:rsidR="005A3F26" w:rsidRPr="00221992">
        <w:rPr>
          <w:lang w:val="en-GB"/>
        </w:rPr>
        <w:fldChar w:fldCharType="separate"/>
      </w:r>
      <w:r w:rsidR="005A67DD" w:rsidRPr="00221992">
        <w:rPr>
          <w:noProof/>
          <w:lang w:val="en-GB"/>
        </w:rPr>
        <w:t>[6]</w:t>
      </w:r>
      <w:r w:rsidR="005A3F26" w:rsidRPr="00221992">
        <w:rPr>
          <w:lang w:val="en-GB"/>
        </w:rPr>
        <w:fldChar w:fldCharType="end"/>
      </w:r>
      <w:r w:rsidRPr="00221992">
        <w:rPr>
          <w:lang w:val="en-GB"/>
        </w:rPr>
        <w:t>. Lack of transparency regarding effectiveness, cost-effectiveness</w:t>
      </w:r>
      <w:r w:rsidR="00D428E6" w:rsidRPr="00221992">
        <w:rPr>
          <w:lang w:val="en-GB"/>
        </w:rPr>
        <w:t xml:space="preserve"> and</w:t>
      </w:r>
      <w:r w:rsidRPr="00221992">
        <w:rPr>
          <w:lang w:val="en-GB"/>
        </w:rPr>
        <w:t xml:space="preserve"> comparator prices during the evaluation process </w:t>
      </w:r>
      <w:r w:rsidR="005A3F26" w:rsidRPr="00221992">
        <w:rPr>
          <w:lang w:val="en-GB"/>
        </w:rPr>
        <w:t xml:space="preserve">were also identified as challenges, </w:t>
      </w:r>
      <w:r w:rsidR="00AC2A30" w:rsidRPr="00221992">
        <w:rPr>
          <w:lang w:val="en-GB"/>
        </w:rPr>
        <w:t>notwithstanding experts</w:t>
      </w:r>
      <w:r w:rsidR="00551786">
        <w:rPr>
          <w:lang w:val="en-GB"/>
        </w:rPr>
        <w:t>’</w:t>
      </w:r>
      <w:r w:rsidRPr="00221992">
        <w:rPr>
          <w:lang w:val="en-GB"/>
        </w:rPr>
        <w:t xml:space="preserve"> concerns that increasing transparency in future MEAs could hinder negotiations with pharmaceutical </w:t>
      </w:r>
      <w:r w:rsidR="00A5028B" w:rsidRPr="00221992">
        <w:rPr>
          <w:lang w:val="en-GB"/>
        </w:rPr>
        <w:t>sponsor</w:t>
      </w:r>
      <w:r w:rsidRPr="00221992">
        <w:rPr>
          <w:lang w:val="en-GB"/>
        </w:rPr>
        <w:t>s and work against payers</w:t>
      </w:r>
      <w:r w:rsidR="00551786">
        <w:rPr>
          <w:lang w:val="en-GB"/>
        </w:rPr>
        <w:t>’</w:t>
      </w:r>
      <w:r w:rsidRPr="00221992">
        <w:rPr>
          <w:lang w:val="en-GB"/>
        </w:rPr>
        <w:t xml:space="preserve"> primary goal of providing access to new medicine</w:t>
      </w:r>
      <w:r w:rsidR="004B52D3" w:rsidRPr="00221992">
        <w:rPr>
          <w:lang w:val="en-GB"/>
        </w:rPr>
        <w:t>s</w:t>
      </w:r>
      <w:r w:rsidR="00D428E6" w:rsidRPr="00221992">
        <w:rPr>
          <w:lang w:val="en-GB"/>
        </w:rPr>
        <w:t xml:space="preserve"> </w:t>
      </w:r>
      <w:r w:rsidR="00D428E6" w:rsidRPr="00221992">
        <w:rPr>
          <w:lang w:val="en-GB"/>
        </w:rPr>
        <w:fldChar w:fldCharType="begin"/>
      </w:r>
      <w:r w:rsidR="005A67DD" w:rsidRPr="00221992">
        <w:rPr>
          <w:lang w:val="en-GB"/>
        </w:rPr>
        <w:instrText xml:space="preserve"> ADDIN EN.CITE &lt;EndNote&gt;&lt;Cite&gt;&lt;Author&gt;Wenzl M&lt;/Author&gt;&lt;Year&gt;2019&lt;/Year&gt;&lt;RecNum&gt;477&lt;/RecNum&gt;&lt;DisplayText&gt;[6]&lt;/DisplayText&gt;&lt;record&gt;&lt;rec-number&gt;477&lt;/rec-number&gt;&lt;foreign-keys&gt;&lt;key app="EN" db-id="wzwwsfxe4peesxef95cxvrwjxts9rreasarf" timestamp="1692654671"&gt;477&lt;/key&gt;&lt;/foreign-keys&gt;&lt;ref-type name="Book Section"&gt;5&lt;/ref-type&gt;&lt;contributors&gt;&lt;authors&gt;&lt;author&gt;Wenzl M,&lt;/author&gt;&lt;author&gt;Chapman S.&lt;/author&gt;&lt;/authors&gt;&lt;/contributors&gt;&lt;titles&gt;&lt;title&gt;Performance-Based Managed Entry Agreements For New Medicines in OECD Countries and EU Member States: How They Work and Possible Improvements Going Forward.&lt;/title&gt;&lt;secondary-title&gt;OECD Health Working Papers,&lt;/secondary-title&gt;&lt;/titles&gt;&lt;volume&gt;No. 115&lt;/volume&gt;&lt;dates&gt;&lt;year&gt;2019&lt;/year&gt;&lt;/dates&gt;&lt;pub-location&gt;Paris&lt;/pub-location&gt;&lt;publisher&gt;OECD Publishing&lt;/publisher&gt;&lt;urls&gt;&lt;related-urls&gt;&lt;url&gt;https://www.oecd-ilibrary.org/content/paper/6e5e4c0f-en&lt;/url&gt;&lt;/related-urls&gt;&lt;/urls&gt;&lt;electronic-resource-num&gt;doi:https://doi.org/10.1787/6e5e4c0f-en&lt;/electronic-resource-num&gt;&lt;/record&gt;&lt;/Cite&gt;&lt;/EndNote&gt;</w:instrText>
      </w:r>
      <w:r w:rsidR="00D428E6" w:rsidRPr="00221992">
        <w:rPr>
          <w:lang w:val="en-GB"/>
        </w:rPr>
        <w:fldChar w:fldCharType="separate"/>
      </w:r>
      <w:r w:rsidR="005A67DD" w:rsidRPr="00221992">
        <w:rPr>
          <w:noProof/>
          <w:lang w:val="en-GB"/>
        </w:rPr>
        <w:t>[6]</w:t>
      </w:r>
      <w:r w:rsidR="00D428E6" w:rsidRPr="00221992">
        <w:rPr>
          <w:lang w:val="en-GB"/>
        </w:rPr>
        <w:fldChar w:fldCharType="end"/>
      </w:r>
      <w:r w:rsidR="004B52D3" w:rsidRPr="00221992">
        <w:rPr>
          <w:lang w:val="en-GB"/>
        </w:rPr>
        <w:t>.</w:t>
      </w:r>
    </w:p>
    <w:p w14:paraId="6AD15622" w14:textId="01A6E662" w:rsidR="00AB28D2" w:rsidRPr="00221992" w:rsidRDefault="00ED046C" w:rsidP="00815512">
      <w:pPr>
        <w:rPr>
          <w:lang w:val="en-GB"/>
        </w:rPr>
      </w:pPr>
      <w:r w:rsidRPr="00221992">
        <w:rPr>
          <w:lang w:val="en-GB"/>
        </w:rPr>
        <w:t>Some e</w:t>
      </w:r>
      <w:r w:rsidR="00AB28D2" w:rsidRPr="00221992">
        <w:rPr>
          <w:lang w:val="en-GB"/>
        </w:rPr>
        <w:t>xperts</w:t>
      </w:r>
      <w:r w:rsidRPr="00221992">
        <w:rPr>
          <w:lang w:val="en-GB"/>
        </w:rPr>
        <w:t xml:space="preserve"> interviewed by the OECD asserted that</w:t>
      </w:r>
      <w:r w:rsidR="00AB28D2" w:rsidRPr="00221992">
        <w:rPr>
          <w:lang w:val="en-GB"/>
        </w:rPr>
        <w:t xml:space="preserve"> the implementation of performance-based </w:t>
      </w:r>
      <w:r w:rsidR="00064F15" w:rsidRPr="00221992">
        <w:rPr>
          <w:lang w:val="en-GB"/>
        </w:rPr>
        <w:t>MEA</w:t>
      </w:r>
      <w:r w:rsidR="00AB28D2" w:rsidRPr="00221992">
        <w:rPr>
          <w:lang w:val="en-GB"/>
        </w:rPr>
        <w:t xml:space="preserve">s </w:t>
      </w:r>
      <w:r w:rsidR="004313A2" w:rsidRPr="00221992">
        <w:rPr>
          <w:lang w:val="en-GB"/>
        </w:rPr>
        <w:t>is</w:t>
      </w:r>
      <w:r w:rsidR="00AB28D2" w:rsidRPr="00221992">
        <w:rPr>
          <w:lang w:val="en-GB"/>
        </w:rPr>
        <w:t xml:space="preserve"> driven by public and industry pressure to ensure coverage for innovative and high-cost medicines</w:t>
      </w:r>
      <w:r w:rsidR="004313A2" w:rsidRPr="00221992">
        <w:rPr>
          <w:lang w:val="en-GB"/>
        </w:rPr>
        <w:t xml:space="preserve"> </w:t>
      </w:r>
      <w:r w:rsidR="004313A2" w:rsidRPr="00221992">
        <w:rPr>
          <w:lang w:val="en-GB"/>
        </w:rPr>
        <w:fldChar w:fldCharType="begin"/>
      </w:r>
      <w:r w:rsidR="005A67DD" w:rsidRPr="00221992">
        <w:rPr>
          <w:lang w:val="en-GB"/>
        </w:rPr>
        <w:instrText xml:space="preserve"> ADDIN EN.CITE &lt;EndNote&gt;&lt;Cite&gt;&lt;Author&gt;Wenzl M&lt;/Author&gt;&lt;Year&gt;2019&lt;/Year&gt;&lt;RecNum&gt;477&lt;/RecNum&gt;&lt;DisplayText&gt;[6]&lt;/DisplayText&gt;&lt;record&gt;&lt;rec-number&gt;477&lt;/rec-number&gt;&lt;foreign-keys&gt;&lt;key app="EN" db-id="wzwwsfxe4peesxef95cxvrwjxts9rreasarf" timestamp="1692654671"&gt;477&lt;/key&gt;&lt;/foreign-keys&gt;&lt;ref-type name="Book Section"&gt;5&lt;/ref-type&gt;&lt;contributors&gt;&lt;authors&gt;&lt;author&gt;Wenzl M,&lt;/author&gt;&lt;author&gt;Chapman S.&lt;/author&gt;&lt;/authors&gt;&lt;/contributors&gt;&lt;titles&gt;&lt;title&gt;Performance-Based Managed Entry Agreements For New Medicines in OECD Countries and EU Member States: How They Work and Possible Improvements Going Forward.&lt;/title&gt;&lt;secondary-title&gt;OECD Health Working Papers,&lt;/secondary-title&gt;&lt;/titles&gt;&lt;volume&gt;No. 115&lt;/volume&gt;&lt;dates&gt;&lt;year&gt;2019&lt;/year&gt;&lt;/dates&gt;&lt;pub-location&gt;Paris&lt;/pub-location&gt;&lt;publisher&gt;OECD Publishing&lt;/publisher&gt;&lt;urls&gt;&lt;related-urls&gt;&lt;url&gt;https://www.oecd-ilibrary.org/content/paper/6e5e4c0f-en&lt;/url&gt;&lt;/related-urls&gt;&lt;/urls&gt;&lt;electronic-resource-num&gt;doi:https://doi.org/10.1787/6e5e4c0f-en&lt;/electronic-resource-num&gt;&lt;/record&gt;&lt;/Cite&gt;&lt;/EndNote&gt;</w:instrText>
      </w:r>
      <w:r w:rsidR="004313A2" w:rsidRPr="00221992">
        <w:rPr>
          <w:lang w:val="en-GB"/>
        </w:rPr>
        <w:fldChar w:fldCharType="separate"/>
      </w:r>
      <w:r w:rsidR="005A67DD" w:rsidRPr="00221992">
        <w:rPr>
          <w:noProof/>
          <w:lang w:val="en-GB"/>
        </w:rPr>
        <w:t>[6]</w:t>
      </w:r>
      <w:r w:rsidR="004313A2" w:rsidRPr="00221992">
        <w:rPr>
          <w:lang w:val="en-GB"/>
        </w:rPr>
        <w:fldChar w:fldCharType="end"/>
      </w:r>
      <w:r w:rsidR="00AB28D2" w:rsidRPr="00221992">
        <w:rPr>
          <w:lang w:val="en-GB"/>
        </w:rPr>
        <w:t xml:space="preserve">. Payers </w:t>
      </w:r>
      <w:r w:rsidR="00F45FBF" w:rsidRPr="00221992">
        <w:rPr>
          <w:lang w:val="en-GB"/>
        </w:rPr>
        <w:t xml:space="preserve">were seen to </w:t>
      </w:r>
      <w:r w:rsidR="00AB28D2" w:rsidRPr="00221992">
        <w:rPr>
          <w:lang w:val="en-GB"/>
        </w:rPr>
        <w:t xml:space="preserve">frequently accept agreements proposed by </w:t>
      </w:r>
      <w:r w:rsidR="00A5028B" w:rsidRPr="00221992">
        <w:rPr>
          <w:lang w:val="en-GB"/>
        </w:rPr>
        <w:t>sponsor</w:t>
      </w:r>
      <w:r w:rsidR="00AB28D2" w:rsidRPr="00221992">
        <w:rPr>
          <w:lang w:val="en-GB"/>
        </w:rPr>
        <w:t xml:space="preserve">s </w:t>
      </w:r>
      <w:r w:rsidR="005512CE" w:rsidRPr="00221992">
        <w:rPr>
          <w:lang w:val="en-GB"/>
        </w:rPr>
        <w:t>to</w:t>
      </w:r>
      <w:r w:rsidR="00AB28D2" w:rsidRPr="00221992">
        <w:rPr>
          <w:lang w:val="en-GB"/>
        </w:rPr>
        <w:t xml:space="preserve"> make high-cost treatments more affordable, while the </w:t>
      </w:r>
      <w:r w:rsidR="00A5028B" w:rsidRPr="00221992">
        <w:rPr>
          <w:lang w:val="en-GB"/>
        </w:rPr>
        <w:t>sponsor</w:t>
      </w:r>
      <w:r w:rsidR="00AB28D2" w:rsidRPr="00221992">
        <w:rPr>
          <w:lang w:val="en-GB"/>
        </w:rPr>
        <w:t xml:space="preserve">s themselves utilised these agreements to justify their </w:t>
      </w:r>
      <w:r w:rsidR="002741B3" w:rsidRPr="00221992">
        <w:rPr>
          <w:lang w:val="en-GB"/>
        </w:rPr>
        <w:t xml:space="preserve">high </w:t>
      </w:r>
      <w:r w:rsidR="00AB28D2" w:rsidRPr="00221992">
        <w:rPr>
          <w:lang w:val="en-GB"/>
        </w:rPr>
        <w:t>pricing strategies</w:t>
      </w:r>
      <w:r w:rsidR="002741B3" w:rsidRPr="00221992">
        <w:rPr>
          <w:lang w:val="en-GB"/>
        </w:rPr>
        <w:t xml:space="preserve">. </w:t>
      </w:r>
      <w:r w:rsidR="00B74906" w:rsidRPr="00221992">
        <w:rPr>
          <w:lang w:val="en-GB"/>
        </w:rPr>
        <w:t>Nonetheless</w:t>
      </w:r>
      <w:r w:rsidR="00AB28D2" w:rsidRPr="00221992">
        <w:rPr>
          <w:lang w:val="en-GB"/>
        </w:rPr>
        <w:t xml:space="preserve">, </w:t>
      </w:r>
      <w:r w:rsidR="00CA7AE6" w:rsidRPr="00221992">
        <w:rPr>
          <w:lang w:val="en-GB"/>
        </w:rPr>
        <w:t xml:space="preserve">as observed in Canada, </w:t>
      </w:r>
      <w:r w:rsidR="00B74906" w:rsidRPr="00221992">
        <w:rPr>
          <w:lang w:val="en-GB"/>
        </w:rPr>
        <w:t>obstacles remain</w:t>
      </w:r>
      <w:r w:rsidR="00AB28D2" w:rsidRPr="00221992">
        <w:rPr>
          <w:lang w:val="en-GB"/>
        </w:rPr>
        <w:t xml:space="preserve"> </w:t>
      </w:r>
      <w:r w:rsidR="00B74906" w:rsidRPr="00221992">
        <w:rPr>
          <w:lang w:val="en-GB"/>
        </w:rPr>
        <w:t xml:space="preserve">to the </w:t>
      </w:r>
      <w:r w:rsidR="00AB28D2" w:rsidRPr="00221992">
        <w:rPr>
          <w:lang w:val="en-GB"/>
        </w:rPr>
        <w:t>use of innovative pricing and reimbursement agreements</w:t>
      </w:r>
      <w:r w:rsidR="00B74906" w:rsidRPr="00221992">
        <w:rPr>
          <w:lang w:val="en-GB"/>
        </w:rPr>
        <w:t>,</w:t>
      </w:r>
      <w:r w:rsidR="00AB28D2" w:rsidRPr="00221992">
        <w:rPr>
          <w:lang w:val="en-GB"/>
        </w:rPr>
        <w:t xml:space="preserve"> </w:t>
      </w:r>
      <w:r w:rsidR="00B74906" w:rsidRPr="00221992">
        <w:rPr>
          <w:lang w:val="en-GB"/>
        </w:rPr>
        <w:t>including</w:t>
      </w:r>
      <w:r w:rsidR="00AB28D2" w:rsidRPr="00221992">
        <w:rPr>
          <w:lang w:val="en-GB"/>
        </w:rPr>
        <w:t xml:space="preserve"> reluctance to assume risks and a lack of trust among stakeholders</w:t>
      </w:r>
      <w:r w:rsidR="003A02D8" w:rsidRPr="00221992">
        <w:rPr>
          <w:lang w:val="en-GB"/>
        </w:rPr>
        <w:t xml:space="preserve"> </w:t>
      </w:r>
      <w:r w:rsidR="00653F87" w:rsidRPr="00221992">
        <w:rPr>
          <w:lang w:val="en-GB"/>
        </w:rPr>
        <w:fldChar w:fldCharType="begin"/>
      </w:r>
      <w:r w:rsidR="00E5265C">
        <w:rPr>
          <w:lang w:val="en-GB"/>
        </w:rPr>
        <w:instrText xml:space="preserve"> ADDIN EN.CITE &lt;EndNote&gt;&lt;Cite&gt;&lt;Author&gt;Thompson&lt;/Author&gt;&lt;Year&gt;2016&lt;/Year&gt;&lt;RecNum&gt;447&lt;/RecNum&gt;&lt;DisplayText&gt;[191]&lt;/DisplayText&gt;&lt;record&gt;&lt;rec-number&gt;447&lt;/rec-number&gt;&lt;foreign-keys&gt;&lt;key app="EN" db-id="wzwwsfxe4peesxef95cxvrwjxts9rreasarf" timestamp="1692654670"&gt;447&lt;/key&gt;&lt;/foreign-keys&gt;&lt;ref-type name="Journal Article"&gt;17&lt;/ref-type&gt;&lt;contributors&gt;&lt;authors&gt;&lt;author&gt;Thompson, M.&lt;/author&gt;&lt;author&gt;Henshall, C.&lt;/author&gt;&lt;author&gt;Garrison, L. P.&lt;/author&gt;&lt;author&gt;Griffin, A. D.&lt;/author&gt;&lt;author&gt;Coyle, D.&lt;/author&gt;&lt;author&gt;Long, S.&lt;/author&gt;&lt;author&gt;Khayat, Z. A.&lt;/author&gt;&lt;author&gt;Anger, D. L.&lt;/author&gt;&lt;author&gt;Yu, R.&lt;/author&gt;&lt;/authors&gt;&lt;/contributors&gt;&lt;auth-address&gt;Cornerstone Research Group Inc., Burlington, ON, Canada&amp;#xD;Health Economics Research Group, Brunel University London, London UK&amp;#xD;Pharmaceutical Outcomes Research and Policy Program, School of Pharmacy, University of Washington, Seattle, WA, USA&amp;#xD;Government Affairs &amp;amp; Policy, Johnson &amp;amp; Johnson, High Wycombe, UK&amp;#xD;Health and Life Sciences, Global Public Affairs, Calgary, AB&amp;#xD;Health Systems Innovation at MaRS Discovery District, Toronto, ON, Canada&amp;#xD;Strategic Health Technology Assessment, Government Affairs &amp;amp; Market Access, Janssen Inc., Toronto, ON, Canada&lt;/auth-address&gt;&lt;titles&gt;&lt;title&gt;Targeting improved patient outcomes using innovative product listing agreements: a survey of Canadian and international key opinion leaders&lt;/title&gt;&lt;secondary-title&gt;Clinicoecon Outcomes Res&lt;/secondary-title&gt;&lt;/titles&gt;&lt;periodical&gt;&lt;full-title&gt;Clinicoecon Outcomes Res&lt;/full-title&gt;&lt;/periodical&gt;&lt;pages&gt;427-33&lt;/pages&gt;&lt;volume&gt;8&lt;/volume&gt;&lt;edition&gt;20160826&lt;/edition&gt;&lt;dates&gt;&lt;year&gt;2016&lt;/year&gt;&lt;/dates&gt;&lt;accession-num&gt;27616892&lt;/accession-num&gt;&lt;urls&gt;&lt;related-urls&gt;&lt;url&gt;https://www.ncbi.nlm.nih.gov/pmc/articles/PMC5008446/pdf/ceor-8-427.pdf&lt;/url&gt;&lt;/related-urls&gt;&lt;/urls&gt;&lt;custom2&gt;PMC5008446&lt;/custom2&gt;&lt;electronic-resource-num&gt;10.2147/ceor.S96616&lt;/electronic-resource-num&gt;&lt;language&gt;eng&lt;/language&gt;&lt;/record&gt;&lt;/Cite&gt;&lt;/EndNote&gt;</w:instrText>
      </w:r>
      <w:r w:rsidR="00653F87" w:rsidRPr="00221992">
        <w:rPr>
          <w:lang w:val="en-GB"/>
        </w:rPr>
        <w:fldChar w:fldCharType="separate"/>
      </w:r>
      <w:r w:rsidR="00E5265C">
        <w:rPr>
          <w:noProof/>
          <w:lang w:val="en-GB"/>
        </w:rPr>
        <w:t>[191]</w:t>
      </w:r>
      <w:r w:rsidR="00653F87" w:rsidRPr="00221992">
        <w:rPr>
          <w:lang w:val="en-GB"/>
        </w:rPr>
        <w:fldChar w:fldCharType="end"/>
      </w:r>
      <w:r w:rsidR="00AB28D2" w:rsidRPr="00221992">
        <w:rPr>
          <w:lang w:val="en-GB"/>
        </w:rPr>
        <w:t>.</w:t>
      </w:r>
    </w:p>
    <w:p w14:paraId="197D1A14" w14:textId="079A9A38" w:rsidR="002607DA" w:rsidRPr="00221992" w:rsidRDefault="00D07936" w:rsidP="00815512">
      <w:pPr>
        <w:rPr>
          <w:lang w:val="en-GB"/>
        </w:rPr>
      </w:pPr>
      <w:r w:rsidRPr="00221992">
        <w:rPr>
          <w:lang w:val="en-GB"/>
        </w:rPr>
        <w:t>Finally</w:t>
      </w:r>
      <w:r w:rsidR="00845D04" w:rsidRPr="00221992">
        <w:rPr>
          <w:lang w:val="en-GB"/>
        </w:rPr>
        <w:t xml:space="preserve">, </w:t>
      </w:r>
      <w:r w:rsidRPr="00221992">
        <w:rPr>
          <w:lang w:val="en-GB"/>
        </w:rPr>
        <w:t>experts expressed</w:t>
      </w:r>
      <w:r w:rsidR="00845D04" w:rsidRPr="00221992">
        <w:rPr>
          <w:lang w:val="en-GB"/>
        </w:rPr>
        <w:t xml:space="preserve"> concern that PbR </w:t>
      </w:r>
      <w:r w:rsidRPr="00221992">
        <w:rPr>
          <w:lang w:val="en-GB"/>
        </w:rPr>
        <w:t>agreements</w:t>
      </w:r>
      <w:r w:rsidR="00845D04" w:rsidRPr="00221992">
        <w:rPr>
          <w:lang w:val="en-GB"/>
        </w:rPr>
        <w:t xml:space="preserve"> could potentially lead to </w:t>
      </w:r>
      <w:r w:rsidRPr="00221992">
        <w:rPr>
          <w:lang w:val="en-GB"/>
        </w:rPr>
        <w:t xml:space="preserve">adverse </w:t>
      </w:r>
      <w:r w:rsidR="00845D04" w:rsidRPr="00221992">
        <w:rPr>
          <w:lang w:val="en-GB"/>
        </w:rPr>
        <w:t>risk selection in the treated patient populatio</w:t>
      </w:r>
      <w:r w:rsidR="00B86F6C">
        <w:rPr>
          <w:lang w:val="en-GB"/>
        </w:rPr>
        <w:t xml:space="preserve">, as </w:t>
      </w:r>
      <w:r w:rsidR="003777CD" w:rsidRPr="00221992">
        <w:rPr>
          <w:lang w:val="en-GB"/>
        </w:rPr>
        <w:t>limiting</w:t>
      </w:r>
      <w:r w:rsidR="00845D04" w:rsidRPr="00221992">
        <w:rPr>
          <w:lang w:val="en-GB"/>
        </w:rPr>
        <w:t xml:space="preserve"> pa</w:t>
      </w:r>
      <w:r w:rsidR="003777CD" w:rsidRPr="00221992">
        <w:rPr>
          <w:lang w:val="en-GB"/>
        </w:rPr>
        <w:t>yment</w:t>
      </w:r>
      <w:r w:rsidR="00845D04" w:rsidRPr="00221992">
        <w:rPr>
          <w:lang w:val="en-GB"/>
        </w:rPr>
        <w:t xml:space="preserve"> </w:t>
      </w:r>
      <w:r w:rsidR="00070A38" w:rsidRPr="00221992">
        <w:rPr>
          <w:lang w:val="en-GB"/>
        </w:rPr>
        <w:t>to</w:t>
      </w:r>
      <w:r w:rsidR="00845D04" w:rsidRPr="00221992">
        <w:rPr>
          <w:lang w:val="en-GB"/>
        </w:rPr>
        <w:t xml:space="preserve"> treatments with positive outcomes </w:t>
      </w:r>
      <w:r w:rsidR="003777CD" w:rsidRPr="00221992">
        <w:rPr>
          <w:lang w:val="en-GB"/>
        </w:rPr>
        <w:t>may</w:t>
      </w:r>
      <w:r w:rsidR="00845D04" w:rsidRPr="00221992">
        <w:rPr>
          <w:lang w:val="en-GB"/>
        </w:rPr>
        <w:t xml:space="preserve"> incentiv</w:t>
      </w:r>
      <w:r w:rsidR="00070A38" w:rsidRPr="00221992">
        <w:rPr>
          <w:lang w:val="en-GB"/>
        </w:rPr>
        <w:t>ise</w:t>
      </w:r>
      <w:r w:rsidR="00845D04" w:rsidRPr="00221992">
        <w:rPr>
          <w:lang w:val="en-GB"/>
        </w:rPr>
        <w:t xml:space="preserve"> </w:t>
      </w:r>
      <w:r w:rsidR="00A5028B" w:rsidRPr="00221992">
        <w:rPr>
          <w:lang w:val="en-GB"/>
        </w:rPr>
        <w:t>sponsor</w:t>
      </w:r>
      <w:r w:rsidR="00845D04" w:rsidRPr="00221992">
        <w:rPr>
          <w:lang w:val="en-GB"/>
        </w:rPr>
        <w:t xml:space="preserve">s to encourage providers to </w:t>
      </w:r>
      <w:r w:rsidR="00AE1882" w:rsidRPr="00221992">
        <w:rPr>
          <w:lang w:val="en-GB"/>
        </w:rPr>
        <w:t>treat</w:t>
      </w:r>
      <w:r w:rsidR="00845D04" w:rsidRPr="00221992">
        <w:rPr>
          <w:lang w:val="en-GB"/>
        </w:rPr>
        <w:t xml:space="preserve"> patient</w:t>
      </w:r>
      <w:r w:rsidR="00AE1882" w:rsidRPr="00221992">
        <w:rPr>
          <w:lang w:val="en-GB"/>
        </w:rPr>
        <w:t>s</w:t>
      </w:r>
      <w:r w:rsidR="00845D04" w:rsidRPr="00221992">
        <w:rPr>
          <w:lang w:val="en-GB"/>
        </w:rPr>
        <w:t xml:space="preserve"> </w:t>
      </w:r>
      <w:r w:rsidR="00AE1882" w:rsidRPr="00221992">
        <w:rPr>
          <w:lang w:val="en-GB"/>
        </w:rPr>
        <w:t>with a higher probability of</w:t>
      </w:r>
      <w:r w:rsidR="00845D04" w:rsidRPr="00221992">
        <w:rPr>
          <w:lang w:val="en-GB"/>
        </w:rPr>
        <w:t xml:space="preserve"> success</w:t>
      </w:r>
      <w:r w:rsidR="00232B7B" w:rsidRPr="00221992">
        <w:rPr>
          <w:lang w:val="en-GB"/>
        </w:rPr>
        <w:t xml:space="preserve"> </w:t>
      </w:r>
      <w:r w:rsidR="00232B7B" w:rsidRPr="00221992">
        <w:rPr>
          <w:lang w:val="en-GB"/>
        </w:rPr>
        <w:fldChar w:fldCharType="begin"/>
      </w:r>
      <w:r w:rsidR="005A67DD" w:rsidRPr="00221992">
        <w:rPr>
          <w:lang w:val="en-GB"/>
        </w:rPr>
        <w:instrText xml:space="preserve"> ADDIN EN.CITE &lt;EndNote&gt;&lt;Cite&gt;&lt;Author&gt;Wenzl M&lt;/Author&gt;&lt;Year&gt;2019&lt;/Year&gt;&lt;RecNum&gt;477&lt;/RecNum&gt;&lt;DisplayText&gt;[6]&lt;/DisplayText&gt;&lt;record&gt;&lt;rec-number&gt;477&lt;/rec-number&gt;&lt;foreign-keys&gt;&lt;key app="EN" db-id="wzwwsfxe4peesxef95cxvrwjxts9rreasarf" timestamp="1692654671"&gt;477&lt;/key&gt;&lt;/foreign-keys&gt;&lt;ref-type name="Book Section"&gt;5&lt;/ref-type&gt;&lt;contributors&gt;&lt;authors&gt;&lt;author&gt;Wenzl M,&lt;/author&gt;&lt;author&gt;Chapman S.&lt;/author&gt;&lt;/authors&gt;&lt;/contributors&gt;&lt;titles&gt;&lt;title&gt;Performance-Based Managed Entry Agreements For New Medicines in OECD Countries and EU Member States: How They Work and Possible Improvements Going Forward.&lt;/title&gt;&lt;secondary-title&gt;OECD Health Working Papers,&lt;/secondary-title&gt;&lt;/titles&gt;&lt;volume&gt;No. 115&lt;/volume&gt;&lt;dates&gt;&lt;year&gt;2019&lt;/year&gt;&lt;/dates&gt;&lt;pub-location&gt;Paris&lt;/pub-location&gt;&lt;publisher&gt;OECD Publishing&lt;/publisher&gt;&lt;urls&gt;&lt;related-urls&gt;&lt;url&gt;https://www.oecd-ilibrary.org/content/paper/6e5e4c0f-en&lt;/url&gt;&lt;/related-urls&gt;&lt;/urls&gt;&lt;electronic-resource-num&gt;doi:https://doi.org/10.1787/6e5e4c0f-en&lt;/electronic-resource-num&gt;&lt;/record&gt;&lt;/Cite&gt;&lt;/EndNote&gt;</w:instrText>
      </w:r>
      <w:r w:rsidR="00232B7B" w:rsidRPr="00221992">
        <w:rPr>
          <w:lang w:val="en-GB"/>
        </w:rPr>
        <w:fldChar w:fldCharType="separate"/>
      </w:r>
      <w:r w:rsidR="005A67DD" w:rsidRPr="00221992">
        <w:rPr>
          <w:noProof/>
          <w:lang w:val="en-GB"/>
        </w:rPr>
        <w:t>[6]</w:t>
      </w:r>
      <w:r w:rsidR="00232B7B" w:rsidRPr="00221992">
        <w:rPr>
          <w:lang w:val="en-GB"/>
        </w:rPr>
        <w:fldChar w:fldCharType="end"/>
      </w:r>
      <w:r w:rsidR="00845D04" w:rsidRPr="00221992">
        <w:rPr>
          <w:lang w:val="en-GB"/>
        </w:rPr>
        <w:t>.</w:t>
      </w:r>
    </w:p>
    <w:p w14:paraId="20E7E0EF" w14:textId="7FAA2B22" w:rsidR="001B2639" w:rsidRPr="00221992" w:rsidRDefault="00316707" w:rsidP="00815512">
      <w:pPr>
        <w:rPr>
          <w:lang w:val="en-GB"/>
        </w:rPr>
      </w:pPr>
      <w:r w:rsidRPr="00221992">
        <w:rPr>
          <w:lang w:val="en-GB"/>
        </w:rPr>
        <w:t xml:space="preserve">Other </w:t>
      </w:r>
      <w:r w:rsidR="00A438CB" w:rsidRPr="00221992">
        <w:rPr>
          <w:lang w:val="en-GB"/>
        </w:rPr>
        <w:t xml:space="preserve">weaknesses identified </w:t>
      </w:r>
      <w:r w:rsidRPr="00221992">
        <w:rPr>
          <w:lang w:val="en-GB"/>
        </w:rPr>
        <w:t>include</w:t>
      </w:r>
      <w:r w:rsidR="00346D33" w:rsidRPr="00221992">
        <w:rPr>
          <w:lang w:val="en-GB"/>
        </w:rPr>
        <w:t xml:space="preserve"> </w:t>
      </w:r>
      <w:r w:rsidR="003924B7" w:rsidRPr="00221992">
        <w:rPr>
          <w:lang w:val="en-GB"/>
        </w:rPr>
        <w:t xml:space="preserve">difficulties for payers in reducing prices, recovering payments made to </w:t>
      </w:r>
      <w:r w:rsidR="00A5028B" w:rsidRPr="00221992">
        <w:rPr>
          <w:lang w:val="en-GB"/>
        </w:rPr>
        <w:t>sponsor</w:t>
      </w:r>
      <w:r w:rsidR="003924B7" w:rsidRPr="00221992">
        <w:rPr>
          <w:lang w:val="en-GB"/>
        </w:rPr>
        <w:t xml:space="preserve">s, </w:t>
      </w:r>
      <w:r w:rsidR="00843637" w:rsidRPr="00221992">
        <w:rPr>
          <w:lang w:val="en-GB"/>
        </w:rPr>
        <w:t>and</w:t>
      </w:r>
      <w:r w:rsidR="003924B7" w:rsidRPr="00221992">
        <w:rPr>
          <w:lang w:val="en-GB"/>
        </w:rPr>
        <w:t xml:space="preserve"> </w:t>
      </w:r>
      <w:r w:rsidR="00843637" w:rsidRPr="00221992">
        <w:rPr>
          <w:lang w:val="en-GB"/>
        </w:rPr>
        <w:t>disinvestment</w:t>
      </w:r>
      <w:r w:rsidR="00A35D2E" w:rsidRPr="00221992">
        <w:rPr>
          <w:lang w:val="en-GB"/>
        </w:rPr>
        <w:t xml:space="preserve"> processes, as well as</w:t>
      </w:r>
      <w:r w:rsidR="003478B9" w:rsidRPr="00221992">
        <w:rPr>
          <w:lang w:val="en-GB"/>
        </w:rPr>
        <w:t xml:space="preserve"> </w:t>
      </w:r>
      <w:r w:rsidR="00A35D2E" w:rsidRPr="00221992">
        <w:rPr>
          <w:lang w:val="en-GB"/>
        </w:rPr>
        <w:t xml:space="preserve">a </w:t>
      </w:r>
      <w:r w:rsidRPr="00221992">
        <w:rPr>
          <w:lang w:val="en-GB"/>
        </w:rPr>
        <w:t>regulatory environment</w:t>
      </w:r>
      <w:r w:rsidR="003478B9" w:rsidRPr="00221992">
        <w:rPr>
          <w:lang w:val="en-GB"/>
        </w:rPr>
        <w:t xml:space="preserve"> </w:t>
      </w:r>
      <w:r w:rsidRPr="00221992">
        <w:rPr>
          <w:lang w:val="en-GB"/>
        </w:rPr>
        <w:t>that does not</w:t>
      </w:r>
      <w:r w:rsidR="003478B9" w:rsidRPr="00221992">
        <w:rPr>
          <w:lang w:val="en-GB"/>
        </w:rPr>
        <w:t xml:space="preserve"> incentivise </w:t>
      </w:r>
      <w:r w:rsidR="00A5028B" w:rsidRPr="00221992">
        <w:rPr>
          <w:lang w:val="en-GB"/>
        </w:rPr>
        <w:t>sponsor</w:t>
      </w:r>
      <w:r w:rsidR="003478B9" w:rsidRPr="00221992">
        <w:rPr>
          <w:lang w:val="en-GB"/>
        </w:rPr>
        <w:t>s to collect additional data</w:t>
      </w:r>
      <w:r w:rsidRPr="00221992">
        <w:rPr>
          <w:lang w:val="en-GB"/>
        </w:rPr>
        <w:t xml:space="preserve"> after listing</w:t>
      </w:r>
      <w:r w:rsidR="00A62BA6" w:rsidRPr="00221992">
        <w:rPr>
          <w:lang w:val="en-GB"/>
        </w:rPr>
        <w:t xml:space="preserve"> </w:t>
      </w:r>
      <w:r w:rsidR="00653F87" w:rsidRPr="00221992">
        <w:rPr>
          <w:lang w:val="en-GB"/>
        </w:rPr>
        <w:fldChar w:fldCharType="begin">
          <w:fldData xml:space="preserve">PEVuZE5vdGU+PENpdGU+PEF1dGhvcj5LYW5hdm9zPC9BdXRob3I+PFllYXI+MjAxNzwvWWVhcj48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</w:fldData>
        </w:fldChar>
      </w:r>
      <w:r w:rsidR="00E5265C">
        <w:rPr>
          <w:lang w:val="en-GB"/>
        </w:rPr>
        <w:instrText xml:space="preserve"> ADDIN EN.CITE </w:instrText>
      </w:r>
      <w:r w:rsidR="00E5265C">
        <w:rPr>
          <w:lang w:val="en-GB"/>
        </w:rPr>
        <w:fldChar w:fldCharType="begin">
          <w:fldData xml:space="preserve">PEVuZE5vdGU+PENpdGU+PEF1dGhvcj5LYW5hdm9zPC9BdXRob3I+PFllYXI+MjAxNzwvWWVhcj48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</w:fldData>
        </w:fldChar>
      </w:r>
      <w:r w:rsidR="00E5265C">
        <w:rPr>
          <w:lang w:val="en-GB"/>
        </w:rPr>
        <w:instrText xml:space="preserve"> ADDIN EN.CITE.DATA </w:instrText>
      </w:r>
      <w:r w:rsidR="00E5265C">
        <w:rPr>
          <w:lang w:val="en-GB"/>
        </w:rPr>
      </w:r>
      <w:r w:rsidR="00E5265C">
        <w:rPr>
          <w:lang w:val="en-GB"/>
        </w:rPr>
        <w:fldChar w:fldCharType="end"/>
      </w:r>
      <w:r w:rsidR="00653F87" w:rsidRPr="00221992">
        <w:rPr>
          <w:lang w:val="en-GB"/>
        </w:rPr>
      </w:r>
      <w:r w:rsidR="00653F87" w:rsidRPr="00221992">
        <w:rPr>
          <w:lang w:val="en-GB"/>
        </w:rPr>
        <w:fldChar w:fldCharType="separate"/>
      </w:r>
      <w:r w:rsidR="00E5265C">
        <w:rPr>
          <w:noProof/>
          <w:lang w:val="en-GB"/>
        </w:rPr>
        <w:t>[244-245]</w:t>
      </w:r>
      <w:r w:rsidR="00653F87" w:rsidRPr="00221992">
        <w:rPr>
          <w:lang w:val="en-GB"/>
        </w:rPr>
        <w:fldChar w:fldCharType="end"/>
      </w:r>
      <w:r w:rsidRPr="00221992">
        <w:rPr>
          <w:lang w:val="en-GB"/>
        </w:rPr>
        <w:t xml:space="preserve">. </w:t>
      </w:r>
    </w:p>
    <w:p w14:paraId="2DD4F916" w14:textId="4634FDAE" w:rsidR="00A438CB" w:rsidRPr="00221992" w:rsidRDefault="00A438CB" w:rsidP="00815512">
      <w:pPr>
        <w:rPr>
          <w:lang w:val="en-GB"/>
        </w:rPr>
      </w:pPr>
      <w:r w:rsidRPr="00221992">
        <w:rPr>
          <w:lang w:val="en-GB"/>
        </w:rPr>
        <w:t>Overall, finding</w:t>
      </w:r>
      <w:r w:rsidR="00895DA1" w:rsidRPr="00221992">
        <w:rPr>
          <w:lang w:val="en-GB"/>
        </w:rPr>
        <w:t>s</w:t>
      </w:r>
      <w:r w:rsidRPr="00221992">
        <w:rPr>
          <w:lang w:val="en-GB"/>
        </w:rPr>
        <w:t xml:space="preserve"> emphasi</w:t>
      </w:r>
      <w:r w:rsidR="00316707" w:rsidRPr="00221992">
        <w:rPr>
          <w:lang w:val="en-GB"/>
        </w:rPr>
        <w:t>s</w:t>
      </w:r>
      <w:r w:rsidRPr="00221992">
        <w:rPr>
          <w:lang w:val="en-GB"/>
        </w:rPr>
        <w:t>e the need to address administrative burden, improve transparency, enhance data infrastructure, and consider potential risks associated with MEAs.</w:t>
      </w:r>
    </w:p>
    <w:p w14:paraId="518C8826" w14:textId="77777777" w:rsidR="00D17A00" w:rsidRPr="00546FC2" w:rsidRDefault="00006821" w:rsidP="004908BD">
      <w:pPr>
        <w:pStyle w:val="Heading3"/>
        <w:rPr>
          <w:rFonts w:ascii="Calibri Light" w:hAnsi="Calibri Light" w:cs="Calibri Light"/>
          <w:b w:val="0"/>
          <w:bCs w:val="0"/>
          <w:i/>
          <w:iCs/>
          <w:lang w:val="en-GB"/>
        </w:rPr>
      </w:pPr>
      <w:bookmarkStart w:id="269" w:name="_Toc142742716"/>
      <w:bookmarkStart w:id="270" w:name="_Toc162950901"/>
      <w:r w:rsidRPr="00546FC2">
        <w:rPr>
          <w:rFonts w:ascii="Calibri Light" w:hAnsi="Calibri Light" w:cs="Calibri Light"/>
          <w:b w:val="0"/>
          <w:bCs w:val="0"/>
          <w:i/>
          <w:iCs/>
          <w:lang w:val="en-GB"/>
        </w:rPr>
        <w:t>Innovative therapies</w:t>
      </w:r>
      <w:bookmarkEnd w:id="269"/>
      <w:bookmarkEnd w:id="270"/>
    </w:p>
    <w:p w14:paraId="4C7E8376" w14:textId="7F459068" w:rsidR="00931E40" w:rsidRPr="00221992" w:rsidRDefault="00FA1357" w:rsidP="00990FE4">
      <w:pPr>
        <w:rPr>
          <w:lang w:val="en-GB"/>
        </w:rPr>
      </w:pPr>
      <w:r w:rsidRPr="00221992">
        <w:rPr>
          <w:lang w:val="en-GB"/>
        </w:rPr>
        <w:t xml:space="preserve">As </w:t>
      </w:r>
      <w:r w:rsidR="001E2834" w:rsidRPr="00221992">
        <w:rPr>
          <w:lang w:val="en-GB"/>
        </w:rPr>
        <w:t>a growing number of</w:t>
      </w:r>
      <w:r w:rsidRPr="00221992">
        <w:rPr>
          <w:lang w:val="en-GB"/>
        </w:rPr>
        <w:t xml:space="preserve"> emerging </w:t>
      </w:r>
      <w:r w:rsidR="00006821" w:rsidRPr="00221992">
        <w:rPr>
          <w:lang w:val="en-GB"/>
        </w:rPr>
        <w:t xml:space="preserve">therapies address significant unmet clinical needs, HTA authorities </w:t>
      </w:r>
      <w:r w:rsidR="0006703F" w:rsidRPr="00221992">
        <w:rPr>
          <w:lang w:val="en-GB"/>
        </w:rPr>
        <w:t xml:space="preserve">around the world </w:t>
      </w:r>
      <w:r w:rsidR="00D300C4" w:rsidRPr="00221992">
        <w:rPr>
          <w:lang w:val="en-GB"/>
        </w:rPr>
        <w:t xml:space="preserve">have </w:t>
      </w:r>
      <w:r w:rsidR="0006703F" w:rsidRPr="00221992">
        <w:rPr>
          <w:lang w:val="en-GB"/>
        </w:rPr>
        <w:t>continued</w:t>
      </w:r>
      <w:r w:rsidR="00D300C4" w:rsidRPr="00221992">
        <w:rPr>
          <w:lang w:val="en-GB"/>
        </w:rPr>
        <w:t xml:space="preserve"> to </w:t>
      </w:r>
      <w:r w:rsidR="00BF406F" w:rsidRPr="00221992">
        <w:rPr>
          <w:lang w:val="en-GB"/>
        </w:rPr>
        <w:t>refine their approaches to</w:t>
      </w:r>
      <w:r w:rsidR="00006821" w:rsidRPr="00221992">
        <w:rPr>
          <w:lang w:val="en-GB"/>
        </w:rPr>
        <w:t xml:space="preserve"> </w:t>
      </w:r>
      <w:r w:rsidR="00064F15" w:rsidRPr="00221992">
        <w:rPr>
          <w:lang w:val="en-GB"/>
        </w:rPr>
        <w:t>MEA</w:t>
      </w:r>
      <w:r w:rsidR="00006821" w:rsidRPr="00221992">
        <w:rPr>
          <w:lang w:val="en-GB"/>
        </w:rPr>
        <w:t>s.</w:t>
      </w:r>
      <w:r w:rsidR="00D300C4" w:rsidRPr="00221992">
        <w:rPr>
          <w:lang w:val="en-GB"/>
        </w:rPr>
        <w:t xml:space="preserve"> Notably, the UK </w:t>
      </w:r>
      <w:r w:rsidR="001B4B53" w:rsidRPr="00221992">
        <w:rPr>
          <w:lang w:val="en-GB"/>
        </w:rPr>
        <w:t xml:space="preserve">and Italy </w:t>
      </w:r>
      <w:r w:rsidR="00D300C4" w:rsidRPr="00221992">
        <w:rPr>
          <w:lang w:val="en-GB"/>
        </w:rPr>
        <w:t>ha</w:t>
      </w:r>
      <w:r w:rsidR="001B4B53" w:rsidRPr="00221992">
        <w:rPr>
          <w:lang w:val="en-GB"/>
        </w:rPr>
        <w:t>ve</w:t>
      </w:r>
      <w:r w:rsidR="00D300C4" w:rsidRPr="00221992">
        <w:rPr>
          <w:lang w:val="en-GB"/>
        </w:rPr>
        <w:t xml:space="preserve"> developed successful innovative access agreements</w:t>
      </w:r>
      <w:r w:rsidR="0006703F" w:rsidRPr="00221992">
        <w:rPr>
          <w:lang w:val="en-GB"/>
        </w:rPr>
        <w:t xml:space="preserve"> </w:t>
      </w:r>
      <w:r w:rsidR="00653F87" w:rsidRPr="00221992">
        <w:rPr>
          <w:lang w:val="en-GB"/>
        </w:rPr>
        <w:fldChar w:fldCharType="begin"/>
      </w:r>
      <w:r w:rsidR="00E5265C">
        <w:rPr>
          <w:lang w:val="en-GB"/>
        </w:rPr>
        <w:instrText xml:space="preserve"> ADDIN EN.CITE &lt;EndNote&gt;&lt;Cite&gt;&lt;Author&gt;Stafinski&lt;/Author&gt;&lt;Year&gt;2022&lt;/Year&gt;&lt;RecNum&gt;434&lt;/RecNum&gt;&lt;DisplayText&gt;[261]&lt;/DisplayText&gt;&lt;record&gt;&lt;rec-number&gt;434&lt;/rec-number&gt;&lt;foreign-keys&gt;&lt;key app="EN" db-id="wzwwsfxe4peesxef95cxvrwjxts9rreasarf" timestamp="1692654670"&gt;434&lt;/key&gt;&lt;/foreign-keys&gt;&lt;ref-type name="Journal Article"&gt;17&lt;/ref-type&gt;&lt;contributors&gt;&lt;authors&gt;&lt;author&gt;Stafinski, T.&lt;/author&gt;&lt;author&gt;Glennie, J.&lt;/author&gt;&lt;author&gt;Young, A.&lt;/author&gt;&lt;author&gt;Menon, D.&lt;/author&gt;&lt;/authors&gt;&lt;/contributors&gt;&lt;auth-address&gt;grid.17089.370000 0001 2190 316XHealth Technology and Policy Unit, School of Public Health, University of Alberta, Edmonton, T6G 1C9 Canada&amp;#xD;J. L. Glennie Consulting Inc., Knowledge Broker Consultant, PRISM Research Collaborative, Aurora, Canada&lt;/auth-address&gt;&lt;titles&gt;&lt;title&gt;HTA decision-making for drugs for rare diseases: comparison of processes across countries&lt;/title&gt;&lt;secondary-title&gt;Orphanet J Rare Dis&lt;/secondary-title&gt;&lt;/titles&gt;&lt;periodical&gt;&lt;full-title&gt;Orphanet J Rare Dis&lt;/full-title&gt;&lt;/periodical&gt;&lt;volume&gt;17&lt;/volume&gt;&lt;edition&gt;20220708&lt;/edition&gt;&lt;dates&gt;&lt;year&gt;2022&lt;/year&gt;&lt;/dates&gt;&lt;accession-num&gt;35804398&lt;/accession-num&gt;&lt;urls&gt;&lt;related-urls&gt;&lt;url&gt;https://ojrd.biomedcentral.com/counter/pdf/10.1186/s13023-022-02397-4.pdf&lt;/url&gt;&lt;/related-urls&gt;&lt;/urls&gt;&lt;custom2&gt;PMC9264608&lt;/custom2&gt;&lt;electronic-resource-num&gt;10.1186/s13023-022-02397-4&lt;/electronic-resource-num&gt;&lt;language&gt;eng&lt;/language&gt;&lt;/record&gt;&lt;/Cite&gt;&lt;/EndNote&gt;</w:instrText>
      </w:r>
      <w:r w:rsidR="00653F87" w:rsidRPr="00221992">
        <w:rPr>
          <w:lang w:val="en-GB"/>
        </w:rPr>
        <w:fldChar w:fldCharType="separate"/>
      </w:r>
      <w:r w:rsidR="00E5265C">
        <w:rPr>
          <w:noProof/>
          <w:lang w:val="en-GB"/>
        </w:rPr>
        <w:t>[261]</w:t>
      </w:r>
      <w:r w:rsidR="00653F87" w:rsidRPr="00221992">
        <w:rPr>
          <w:lang w:val="en-GB"/>
        </w:rPr>
        <w:fldChar w:fldCharType="end"/>
      </w:r>
      <w:r w:rsidR="001B4B53" w:rsidRPr="00221992">
        <w:rPr>
          <w:lang w:val="en-GB"/>
        </w:rPr>
        <w:t>.</w:t>
      </w:r>
      <w:r w:rsidR="00F86B35" w:rsidRPr="00221992">
        <w:rPr>
          <w:lang w:val="en-GB"/>
        </w:rPr>
        <w:t xml:space="preserve"> Additionally, the EMA </w:t>
      </w:r>
      <w:r w:rsidR="00454C9D" w:rsidRPr="00221992">
        <w:rPr>
          <w:lang w:val="en-GB"/>
        </w:rPr>
        <w:t xml:space="preserve">is leading a regulatory approach of </w:t>
      </w:r>
      <w:r w:rsidR="00551786">
        <w:rPr>
          <w:lang w:val="en-GB"/>
        </w:rPr>
        <w:t>‘</w:t>
      </w:r>
      <w:r w:rsidR="00454C9D" w:rsidRPr="00221992">
        <w:rPr>
          <w:lang w:val="en-GB"/>
        </w:rPr>
        <w:t>adaptive pathways</w:t>
      </w:r>
      <w:r w:rsidR="00551786">
        <w:rPr>
          <w:lang w:val="en-GB"/>
        </w:rPr>
        <w:t>’</w:t>
      </w:r>
      <w:r w:rsidR="00454C9D" w:rsidRPr="00221992">
        <w:rPr>
          <w:lang w:val="en-GB"/>
        </w:rPr>
        <w:t xml:space="preserve"> within the </w:t>
      </w:r>
      <w:r w:rsidR="0042490E" w:rsidRPr="00221992">
        <w:rPr>
          <w:lang w:val="en-GB"/>
        </w:rPr>
        <w:t>EU,</w:t>
      </w:r>
      <w:r w:rsidR="00454C9D" w:rsidRPr="00221992">
        <w:rPr>
          <w:lang w:val="en-GB"/>
        </w:rPr>
        <w:t xml:space="preserve"> </w:t>
      </w:r>
      <w:r w:rsidR="008D5626" w:rsidRPr="00221992">
        <w:rPr>
          <w:lang w:val="en-GB"/>
        </w:rPr>
        <w:t>informed by</w:t>
      </w:r>
      <w:r w:rsidR="00454C9D" w:rsidRPr="00221992">
        <w:rPr>
          <w:lang w:val="en-GB"/>
        </w:rPr>
        <w:t xml:space="preserve"> initiatives </w:t>
      </w:r>
      <w:r w:rsidR="0042490E" w:rsidRPr="00221992">
        <w:rPr>
          <w:lang w:val="en-GB"/>
        </w:rPr>
        <w:t xml:space="preserve">including the </w:t>
      </w:r>
      <w:r w:rsidR="00551786">
        <w:rPr>
          <w:lang w:val="en-GB"/>
        </w:rPr>
        <w:t>‘</w:t>
      </w:r>
      <w:r w:rsidR="00454C9D" w:rsidRPr="00221992">
        <w:rPr>
          <w:lang w:val="en-GB"/>
        </w:rPr>
        <w:t>Early Access to Medicines</w:t>
      </w:r>
      <w:r w:rsidR="00551786">
        <w:rPr>
          <w:lang w:val="en-GB"/>
        </w:rPr>
        <w:t>’</w:t>
      </w:r>
      <w:r w:rsidR="00454C9D" w:rsidRPr="00221992">
        <w:rPr>
          <w:lang w:val="en-GB"/>
        </w:rPr>
        <w:t xml:space="preserve"> program in the UK and the </w:t>
      </w:r>
      <w:r w:rsidR="00551786">
        <w:rPr>
          <w:lang w:val="en-GB"/>
        </w:rPr>
        <w:t>‘</w:t>
      </w:r>
      <w:r w:rsidR="00454C9D" w:rsidRPr="00221992">
        <w:rPr>
          <w:lang w:val="en-GB"/>
        </w:rPr>
        <w:t>Medicines Adaptive Pathways to Patients</w:t>
      </w:r>
      <w:r w:rsidR="00551786">
        <w:rPr>
          <w:lang w:val="en-GB"/>
        </w:rPr>
        <w:t>’</w:t>
      </w:r>
      <w:r w:rsidR="00454C9D" w:rsidRPr="00221992">
        <w:rPr>
          <w:lang w:val="en-GB"/>
        </w:rPr>
        <w:t xml:space="preserve"> (MAPPs) program in the US</w:t>
      </w:r>
      <w:r w:rsidR="0042490E" w:rsidRPr="00221992">
        <w:rPr>
          <w:lang w:val="en-GB"/>
        </w:rPr>
        <w:t xml:space="preserve"> </w:t>
      </w:r>
      <w:r w:rsidR="00653F87" w:rsidRPr="00221992">
        <w:rPr>
          <w:lang w:val="en-GB"/>
        </w:rPr>
        <w:fldChar w:fldCharType="begin">
          <w:fldData xml:space="preserve">PEVuZE5vdGU+PENpdGU+PEF1dGhvcj5WZWxsYSBCb25hbm5vPC9BdXRob3I+PFllYXI+MjAxNzwv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</w:fldData>
        </w:fldChar>
      </w:r>
      <w:r w:rsidR="00E5265C">
        <w:rPr>
          <w:lang w:val="en-GB"/>
        </w:rPr>
        <w:instrText xml:space="preserve"> ADDIN EN.CITE </w:instrText>
      </w:r>
      <w:r w:rsidR="00E5265C">
        <w:rPr>
          <w:lang w:val="en-GB"/>
        </w:rPr>
        <w:fldChar w:fldCharType="begin">
          <w:fldData xml:space="preserve">PEVuZE5vdGU+PENpdGU+PEF1dGhvcj5WZWxsYSBCb25hbm5vPC9BdXRob3I+PFllYXI+MjAxNzwv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</w:fldData>
        </w:fldChar>
      </w:r>
      <w:r w:rsidR="00E5265C">
        <w:rPr>
          <w:lang w:val="en-GB"/>
        </w:rPr>
        <w:instrText xml:space="preserve"> ADDIN EN.CITE.DATA </w:instrText>
      </w:r>
      <w:r w:rsidR="00E5265C">
        <w:rPr>
          <w:lang w:val="en-GB"/>
        </w:rPr>
      </w:r>
      <w:r w:rsidR="00E5265C">
        <w:rPr>
          <w:lang w:val="en-GB"/>
        </w:rPr>
        <w:fldChar w:fldCharType="end"/>
      </w:r>
      <w:r w:rsidR="00653F87" w:rsidRPr="00221992">
        <w:rPr>
          <w:lang w:val="en-GB"/>
        </w:rPr>
      </w:r>
      <w:r w:rsidR="00653F87" w:rsidRPr="00221992">
        <w:rPr>
          <w:lang w:val="en-GB"/>
        </w:rPr>
        <w:fldChar w:fldCharType="separate"/>
      </w:r>
      <w:r w:rsidR="00E5265C">
        <w:rPr>
          <w:noProof/>
          <w:lang w:val="en-GB"/>
        </w:rPr>
        <w:t>[262]</w:t>
      </w:r>
      <w:r w:rsidR="00653F87" w:rsidRPr="00221992">
        <w:rPr>
          <w:lang w:val="en-GB"/>
        </w:rPr>
        <w:fldChar w:fldCharType="end"/>
      </w:r>
      <w:r w:rsidR="00454C9D" w:rsidRPr="00221992">
        <w:rPr>
          <w:lang w:val="en-GB"/>
        </w:rPr>
        <w:t>.</w:t>
      </w:r>
      <w:r w:rsidR="36F29837" w:rsidRPr="00221992">
        <w:rPr>
          <w:lang w:val="en-GB"/>
        </w:rPr>
        <w:t xml:space="preserve"> </w:t>
      </w:r>
      <w:r w:rsidR="00BB770D" w:rsidRPr="00BB770D">
        <w:rPr>
          <w:lang w:val="en-GB"/>
        </w:rPr>
        <w:t xml:space="preserve">Australia has its counterpart to these initiatives </w:t>
      </w:r>
      <w:r w:rsidR="007D7F7E">
        <w:rPr>
          <w:lang w:val="en-GB"/>
        </w:rPr>
        <w:t>in</w:t>
      </w:r>
      <w:r w:rsidR="007D7F7E" w:rsidRPr="00BB770D">
        <w:rPr>
          <w:lang w:val="en-GB"/>
        </w:rPr>
        <w:t xml:space="preserve"> </w:t>
      </w:r>
      <w:r w:rsidR="00BB770D" w:rsidRPr="00BB770D">
        <w:rPr>
          <w:lang w:val="en-GB"/>
        </w:rPr>
        <w:t>the Managed Access Program (MAP)</w:t>
      </w:r>
      <w:r w:rsidR="0006392C" w:rsidRPr="0006392C">
        <w:rPr>
          <w:lang w:val="en-GB"/>
        </w:rPr>
        <w:t xml:space="preserve"> </w:t>
      </w:r>
      <w:r w:rsidR="0006392C" w:rsidRPr="00221992">
        <w:rPr>
          <w:lang w:val="en-GB"/>
        </w:rPr>
        <w:fldChar w:fldCharType="begin"/>
      </w:r>
      <w:r w:rsidR="00E5265C">
        <w:rPr>
          <w:lang w:val="en-GB"/>
        </w:rPr>
        <w:instrText xml:space="preserve"> ADDIN EN.CITE &lt;EndNote&gt;&lt;Cite&gt;&lt;Author&gt;Department of Health and Aged Care&lt;/Author&gt;&lt;Year&gt;2023&lt;/Year&gt;&lt;RecNum&gt;25905&lt;/RecNum&gt;&lt;DisplayText&gt;[263]&lt;/DisplayText&gt;&lt;record&gt;&lt;rec-number&gt;25905&lt;/rec-number&gt;&lt;foreign-keys&gt;&lt;key app="EN" db-id="wvwf2ewpevpr0oer0zmxwpzrwvev5pwf925p" timestamp="1693133858" guid="6c5a2dd7-6f83-47d9-a4fb-2681acd4f927"&gt;25905&lt;/key&gt;&lt;/foreign-keys&gt;&lt;ref-type name="Web Page"&gt;12&lt;/ref-type&gt;&lt;contributors&gt;&lt;authors&gt;&lt;author&gt;Department of Health and Aged Care,&lt;/author&gt;&lt;/authors&gt;&lt;/contributors&gt;&lt;titles&gt;&lt;title&gt;Preparation Of Additional Access Arrangements&lt;/title&gt;&lt;/titles&gt;&lt;number&gt;16 July 2023&lt;/number&gt;&lt;dates&gt;&lt;year&gt;2023&lt;/year&gt;&lt;/dates&gt;&lt;pub-location&gt;Canberra&lt;/pub-location&gt;&lt;publisher&gt;Australian Government, Department of Health and Aged Care&lt;/publisher&gt;&lt;urls&gt;&lt;related-urls&gt;&lt;url&gt;https://www.pbs.gov.au/pbs/industry/listing/procedure-guidance/8-procedures-positive-recommendation-list/8-7-preparation-of-additional-access-arrangements&lt;/url&gt;&lt;/related-urls&gt;&lt;/urls&gt;&lt;/record&gt;&lt;/Cite&gt;&lt;/EndNote&gt;</w:instrText>
      </w:r>
      <w:r w:rsidR="0006392C" w:rsidRPr="00221992">
        <w:rPr>
          <w:lang w:val="en-GB"/>
        </w:rPr>
        <w:fldChar w:fldCharType="separate"/>
      </w:r>
      <w:r w:rsidR="00E5265C">
        <w:rPr>
          <w:noProof/>
          <w:lang w:val="en-GB"/>
        </w:rPr>
        <w:t>[263]</w:t>
      </w:r>
      <w:r w:rsidR="0006392C" w:rsidRPr="00221992">
        <w:rPr>
          <w:lang w:val="en-GB"/>
        </w:rPr>
        <w:fldChar w:fldCharType="end"/>
      </w:r>
      <w:r w:rsidR="00BB770D" w:rsidRPr="00BB770D">
        <w:rPr>
          <w:lang w:val="en-GB"/>
        </w:rPr>
        <w:t xml:space="preserve">. Additionally, Canada has recently improved its approach to evaluating innovative therapies by incorporating </w:t>
      </w:r>
      <w:r w:rsidR="00CA785D">
        <w:rPr>
          <w:lang w:val="en-GB"/>
        </w:rPr>
        <w:t>‘</w:t>
      </w:r>
      <w:r w:rsidR="00BB770D" w:rsidRPr="00BB770D">
        <w:rPr>
          <w:lang w:val="en-GB"/>
        </w:rPr>
        <w:t>willingness to pay</w:t>
      </w:r>
      <w:r w:rsidR="00CA785D">
        <w:rPr>
          <w:lang w:val="en-GB"/>
        </w:rPr>
        <w:t>’</w:t>
      </w:r>
      <w:r w:rsidR="00BB770D" w:rsidRPr="00BB770D">
        <w:rPr>
          <w:lang w:val="en-GB"/>
        </w:rPr>
        <w:t xml:space="preserve"> thresholds (WTP) for pricing guidance.</w:t>
      </w:r>
    </w:p>
    <w:p w14:paraId="54FC8A4E" w14:textId="63FFA7A4" w:rsidR="00931E40" w:rsidRPr="00221992" w:rsidRDefault="00931E40" w:rsidP="00990FE4">
      <w:pPr>
        <w:rPr>
          <w:rFonts w:ascii="Calibri" w:hAnsi="Calibri" w:cs="Calibri"/>
          <w:b/>
          <w:lang w:val="en-GB"/>
        </w:rPr>
      </w:pPr>
      <w:bookmarkStart w:id="271" w:name="_Toc142742717"/>
      <w:r w:rsidRPr="00221992">
        <w:rPr>
          <w:rFonts w:ascii="Calibri" w:hAnsi="Calibri" w:cs="Calibri"/>
          <w:b/>
          <w:lang w:val="en-GB"/>
        </w:rPr>
        <w:t xml:space="preserve">Case study: Development of </w:t>
      </w:r>
      <w:r w:rsidR="009A699B" w:rsidRPr="00221992">
        <w:rPr>
          <w:rFonts w:ascii="Calibri" w:hAnsi="Calibri" w:cs="Calibri"/>
          <w:b/>
          <w:lang w:val="en-GB"/>
        </w:rPr>
        <w:t xml:space="preserve">a </w:t>
      </w:r>
      <w:r w:rsidR="00DC68AE">
        <w:rPr>
          <w:rFonts w:ascii="Calibri" w:hAnsi="Calibri" w:cs="Calibri"/>
          <w:b/>
          <w:lang w:val="en-GB"/>
        </w:rPr>
        <w:t>c</w:t>
      </w:r>
      <w:r w:rsidRPr="00221992">
        <w:rPr>
          <w:rFonts w:ascii="Calibri" w:hAnsi="Calibri" w:cs="Calibri"/>
          <w:b/>
          <w:lang w:val="en-GB"/>
        </w:rPr>
        <w:t xml:space="preserve">ommercial </w:t>
      </w:r>
      <w:r w:rsidR="00DC68AE">
        <w:rPr>
          <w:rFonts w:ascii="Calibri" w:hAnsi="Calibri" w:cs="Calibri"/>
          <w:b/>
          <w:lang w:val="en-GB"/>
        </w:rPr>
        <w:t>f</w:t>
      </w:r>
      <w:r w:rsidRPr="00221992">
        <w:rPr>
          <w:rFonts w:ascii="Calibri" w:hAnsi="Calibri" w:cs="Calibri"/>
          <w:b/>
          <w:lang w:val="en-GB"/>
        </w:rPr>
        <w:t>ramework for new medicines</w:t>
      </w:r>
      <w:r w:rsidR="006C5D17" w:rsidRPr="00221992">
        <w:rPr>
          <w:rFonts w:ascii="Calibri" w:hAnsi="Calibri" w:cs="Calibri"/>
          <w:b/>
          <w:lang w:val="en-GB"/>
        </w:rPr>
        <w:t xml:space="preserve"> in the </w:t>
      </w:r>
      <w:r w:rsidR="00B56D46" w:rsidRPr="00221992">
        <w:rPr>
          <w:rFonts w:ascii="Calibri" w:hAnsi="Calibri" w:cs="Calibri"/>
          <w:b/>
          <w:lang w:val="en-GB"/>
        </w:rPr>
        <w:t>United Kingdom</w:t>
      </w:r>
      <w:bookmarkEnd w:id="271"/>
      <w:r w:rsidRPr="00221992">
        <w:rPr>
          <w:rFonts w:ascii="Calibri" w:hAnsi="Calibri" w:cs="Calibri"/>
          <w:b/>
          <w:lang w:val="en-GB"/>
        </w:rPr>
        <w:t xml:space="preserve"> </w:t>
      </w:r>
    </w:p>
    <w:p w14:paraId="4EEECB0F" w14:textId="0FCC384A" w:rsidR="002243FD" w:rsidRPr="00221992" w:rsidRDefault="003B3B58" w:rsidP="00043645">
      <w:pPr>
        <w:rPr>
          <w:lang w:val="en-GB"/>
        </w:rPr>
      </w:pPr>
      <w:r w:rsidRPr="00221992">
        <w:rPr>
          <w:lang w:val="en-GB"/>
        </w:rPr>
        <w:t>The United Kingdom</w:t>
      </w:r>
      <w:r w:rsidR="00551786">
        <w:rPr>
          <w:lang w:val="en-GB"/>
        </w:rPr>
        <w:t>’</w:t>
      </w:r>
      <w:r w:rsidRPr="00221992">
        <w:rPr>
          <w:lang w:val="en-GB"/>
        </w:rPr>
        <w:t xml:space="preserve">s </w:t>
      </w:r>
      <w:r w:rsidR="00174732" w:rsidRPr="00221992">
        <w:rPr>
          <w:lang w:val="en-GB"/>
        </w:rPr>
        <w:t>approach to</w:t>
      </w:r>
      <w:r w:rsidRPr="00221992">
        <w:rPr>
          <w:lang w:val="en-GB"/>
        </w:rPr>
        <w:t xml:space="preserve"> </w:t>
      </w:r>
      <w:r w:rsidR="00064F15" w:rsidRPr="00221992">
        <w:rPr>
          <w:lang w:val="en-GB"/>
        </w:rPr>
        <w:t>MEA</w:t>
      </w:r>
      <w:r w:rsidRPr="00221992">
        <w:rPr>
          <w:lang w:val="en-GB"/>
        </w:rPr>
        <w:t>s has evolved over time to address the limitations and challenges associated with performance</w:t>
      </w:r>
      <w:r w:rsidR="00DC68AE">
        <w:rPr>
          <w:lang w:val="en-GB"/>
        </w:rPr>
        <w:t>-</w:t>
      </w:r>
      <w:r w:rsidRPr="00221992">
        <w:rPr>
          <w:lang w:val="en-GB"/>
        </w:rPr>
        <w:t xml:space="preserve">based agreements. </w:t>
      </w:r>
      <w:r w:rsidR="00DA4CEB" w:rsidRPr="00221992">
        <w:rPr>
          <w:lang w:val="en-GB"/>
        </w:rPr>
        <w:t>Up until 2016</w:t>
      </w:r>
      <w:r w:rsidRPr="00221992">
        <w:rPr>
          <w:lang w:val="en-GB"/>
        </w:rPr>
        <w:t xml:space="preserve">, </w:t>
      </w:r>
      <w:r w:rsidR="00EB2E73" w:rsidRPr="00221992">
        <w:rPr>
          <w:lang w:val="en-GB"/>
        </w:rPr>
        <w:t>MEAs initiated under the auspices of NICE</w:t>
      </w:r>
      <w:r w:rsidR="00551786">
        <w:rPr>
          <w:lang w:val="en-GB"/>
        </w:rPr>
        <w:t>’</w:t>
      </w:r>
      <w:r w:rsidR="00EB2E73" w:rsidRPr="00221992">
        <w:rPr>
          <w:lang w:val="en-GB"/>
        </w:rPr>
        <w:t xml:space="preserve">s </w:t>
      </w:r>
      <w:r w:rsidR="00B91746" w:rsidRPr="00221992">
        <w:rPr>
          <w:lang w:val="en-GB"/>
        </w:rPr>
        <w:t>Patient Access Scheme were predominantly</w:t>
      </w:r>
      <w:r w:rsidRPr="00221992">
        <w:rPr>
          <w:lang w:val="en-GB"/>
        </w:rPr>
        <w:t xml:space="preserve"> </w:t>
      </w:r>
      <w:r w:rsidR="00A5028B" w:rsidRPr="00221992">
        <w:rPr>
          <w:lang w:val="en-GB"/>
        </w:rPr>
        <w:t>performance</w:t>
      </w:r>
      <w:r w:rsidR="008B4252">
        <w:rPr>
          <w:lang w:val="en-GB"/>
        </w:rPr>
        <w:t xml:space="preserve"> </w:t>
      </w:r>
      <w:r w:rsidR="00A5028B" w:rsidRPr="00221992">
        <w:rPr>
          <w:lang w:val="en-GB"/>
        </w:rPr>
        <w:t>based</w:t>
      </w:r>
      <w:r w:rsidRPr="00221992">
        <w:rPr>
          <w:lang w:val="en-GB"/>
        </w:rPr>
        <w:t xml:space="preserve">. However, recognising the need for improvement, the </w:t>
      </w:r>
      <w:r w:rsidR="00043645" w:rsidRPr="00221992">
        <w:rPr>
          <w:lang w:val="en-GB"/>
        </w:rPr>
        <w:t xml:space="preserve">has </w:t>
      </w:r>
      <w:r w:rsidRPr="00221992">
        <w:rPr>
          <w:lang w:val="en-GB"/>
        </w:rPr>
        <w:t>UK introduced several new initiatives under a broader commercial framework for new medicines</w:t>
      </w:r>
      <w:r w:rsidR="00043645" w:rsidRPr="00221992">
        <w:rPr>
          <w:lang w:val="en-GB"/>
        </w:rPr>
        <w:t>, including</w:t>
      </w:r>
      <w:r w:rsidR="00A62BA6" w:rsidRPr="00221992">
        <w:rPr>
          <w:lang w:val="en-GB"/>
        </w:rPr>
        <w:t xml:space="preserve"> </w:t>
      </w:r>
      <w:r w:rsidR="00043645" w:rsidRPr="00221992">
        <w:rPr>
          <w:lang w:val="en-GB"/>
        </w:rPr>
        <w:t xml:space="preserve">implementation of a CED scheme in 2016 as part of the restructured Cancer Drugs Fund </w:t>
      </w:r>
      <w:r w:rsidR="00653F87" w:rsidRPr="00221992">
        <w:rPr>
          <w:lang w:val="en-GB"/>
        </w:rPr>
        <w:fldChar w:fldCharType="begin">
          <w:fldData xml:space="preserve">PEVuZE5vdGU+PENpdGU+PEF1dGhvcj5WLjwvQXV0aG9yPjxZZWFyPjIwMjM8L1llYXI+PFJlY051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</w:fldData>
        </w:fldChar>
      </w:r>
      <w:r w:rsidR="00E5265C">
        <w:rPr>
          <w:lang w:val="en-GB"/>
        </w:rPr>
        <w:instrText xml:space="preserve"> ADDIN EN.CITE </w:instrText>
      </w:r>
      <w:r w:rsidR="00E5265C">
        <w:rPr>
          <w:lang w:val="en-GB"/>
        </w:rPr>
        <w:fldChar w:fldCharType="begin">
          <w:fldData xml:space="preserve">PEVuZE5vdGU+PENpdGU+PEF1dGhvcj5WLjwvQXV0aG9yPjxZZWFyPjIwMjM8L1llYXI+PFJlY051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</w:fldData>
        </w:fldChar>
      </w:r>
      <w:r w:rsidR="00E5265C">
        <w:rPr>
          <w:lang w:val="en-GB"/>
        </w:rPr>
        <w:instrText xml:space="preserve"> ADDIN EN.CITE.DATA </w:instrText>
      </w:r>
      <w:r w:rsidR="00E5265C">
        <w:rPr>
          <w:lang w:val="en-GB"/>
        </w:rPr>
      </w:r>
      <w:r w:rsidR="00E5265C">
        <w:rPr>
          <w:lang w:val="en-GB"/>
        </w:rPr>
        <w:fldChar w:fldCharType="end"/>
      </w:r>
      <w:r w:rsidR="00653F87" w:rsidRPr="00221992">
        <w:rPr>
          <w:lang w:val="en-GB"/>
        </w:rPr>
      </w:r>
      <w:r w:rsidR="00653F87" w:rsidRPr="00221992">
        <w:rPr>
          <w:lang w:val="en-GB"/>
        </w:rPr>
        <w:fldChar w:fldCharType="separate"/>
      </w:r>
      <w:r w:rsidR="00E5265C">
        <w:rPr>
          <w:noProof/>
          <w:lang w:val="en-GB"/>
        </w:rPr>
        <w:t>[194, 218, 264-265]</w:t>
      </w:r>
      <w:r w:rsidR="00653F87" w:rsidRPr="00221992">
        <w:rPr>
          <w:lang w:val="en-GB"/>
        </w:rPr>
        <w:fldChar w:fldCharType="end"/>
      </w:r>
      <w:r w:rsidR="002243FD" w:rsidRPr="00221992">
        <w:rPr>
          <w:lang w:val="en-GB"/>
        </w:rPr>
        <w:t>.</w:t>
      </w:r>
      <w:r w:rsidR="00043645" w:rsidRPr="00221992">
        <w:rPr>
          <w:lang w:val="en-GB"/>
        </w:rPr>
        <w:t xml:space="preserve"> </w:t>
      </w:r>
    </w:p>
    <w:p w14:paraId="1FCF19D8" w14:textId="6C04FB75" w:rsidR="00990FE4" w:rsidRPr="00221992" w:rsidRDefault="002243FD" w:rsidP="00990FE4">
      <w:pPr>
        <w:rPr>
          <w:lang w:val="en-GB"/>
        </w:rPr>
      </w:pPr>
      <w:r w:rsidRPr="00221992">
        <w:rPr>
          <w:lang w:val="en-GB"/>
        </w:rPr>
        <w:t xml:space="preserve">The Cancer Drugs Fund serves as an exemplar of a CED scheme integrated </w:t>
      </w:r>
      <w:r w:rsidR="00D14B98" w:rsidRPr="00221992">
        <w:rPr>
          <w:lang w:val="en-GB"/>
        </w:rPr>
        <w:t>within</w:t>
      </w:r>
      <w:r w:rsidRPr="00221992">
        <w:rPr>
          <w:lang w:val="en-GB"/>
        </w:rPr>
        <w:t xml:space="preserve"> </w:t>
      </w:r>
      <w:r w:rsidR="00D14B98" w:rsidRPr="00221992">
        <w:rPr>
          <w:lang w:val="en-GB"/>
        </w:rPr>
        <w:t>a</w:t>
      </w:r>
      <w:r w:rsidRPr="00221992">
        <w:rPr>
          <w:lang w:val="en-GB"/>
        </w:rPr>
        <w:t xml:space="preserve"> national HTA process</w:t>
      </w:r>
      <w:r w:rsidR="00217C68" w:rsidRPr="00221992">
        <w:rPr>
          <w:lang w:val="en-GB"/>
        </w:rPr>
        <w:t>,</w:t>
      </w:r>
      <w:r w:rsidRPr="00221992">
        <w:rPr>
          <w:lang w:val="en-GB"/>
        </w:rPr>
        <w:t xml:space="preserve"> </w:t>
      </w:r>
      <w:r w:rsidR="00217C68" w:rsidRPr="00221992">
        <w:rPr>
          <w:lang w:val="en-GB"/>
        </w:rPr>
        <w:t>ensuring that patients have access to promising cancer drugs while generating additional evidence to address uncertain clinical effectiveness. The framework is</w:t>
      </w:r>
      <w:r w:rsidRPr="00221992">
        <w:rPr>
          <w:lang w:val="en-GB"/>
        </w:rPr>
        <w:t xml:space="preserve"> designed with clear entry criteria, a defined period of temporary coverage tied to the generation of evidence, transparency in non-commercial aspects of the agreements, and a well-defined process for exiting the scheme </w:t>
      </w:r>
      <w:r w:rsidR="00653F87" w:rsidRPr="00221992">
        <w:rPr>
          <w:lang w:val="en-GB"/>
        </w:rPr>
        <w:fldChar w:fldCharType="begin"/>
      </w:r>
      <w:r w:rsidR="005A67DD" w:rsidRPr="00221992">
        <w:rPr>
          <w:lang w:val="en-GB"/>
        </w:rPr>
        <w:instrText xml:space="preserve"> ADDIN EN.CITE &lt;EndNote&gt;&lt;Cite&gt;&lt;Author&gt;Wenzl M&lt;/Author&gt;&lt;Year&gt;2019&lt;/Year&gt;&lt;RecNum&gt;477&lt;/RecNum&gt;&lt;DisplayText&gt;[6]&lt;/DisplayText&gt;&lt;record&gt;&lt;rec-number&gt;477&lt;/rec-number&gt;&lt;foreign-keys&gt;&lt;key app="EN" db-id="wzwwsfxe4peesxef95cxvrwjxts9rreasarf" timestamp="1692654671"&gt;477&lt;/key&gt;&lt;/foreign-keys&gt;&lt;ref-type name="Book Section"&gt;5&lt;/ref-type&gt;&lt;contributors&gt;&lt;authors&gt;&lt;author&gt;Wenzl M,&lt;/author&gt;&lt;author&gt;Chapman S.&lt;/author&gt;&lt;/authors&gt;&lt;/contributors&gt;&lt;titles&gt;&lt;title&gt;Performance-Based Managed Entry Agreements For New Medicines in OECD Countries and EU Member States: How They Work and Possible Improvements Going Forward.&lt;/title&gt;&lt;secondary-title&gt;OECD Health Working Papers,&lt;/secondary-title&gt;&lt;/titles&gt;&lt;volume&gt;No. 115&lt;/volume&gt;&lt;dates&gt;&lt;year&gt;2019&lt;/year&gt;&lt;/dates&gt;&lt;pub-location&gt;Paris&lt;/pub-location&gt;&lt;publisher&gt;OECD Publishing&lt;/publisher&gt;&lt;urls&gt;&lt;related-urls&gt;&lt;url&gt;https://www.oecd-ilibrary.org/content/paper/6e5e4c0f-en&lt;/url&gt;&lt;/related-urls&gt;&lt;/urls&gt;&lt;electronic-resource-num&gt;doi:https://doi.org/10.1787/6e5e4c0f-en&lt;/electronic-resource-num&gt;&lt;/record&gt;&lt;/Cite&gt;&lt;/EndNote&gt;</w:instrText>
      </w:r>
      <w:r w:rsidR="00653F87" w:rsidRPr="00221992">
        <w:rPr>
          <w:lang w:val="en-GB"/>
        </w:rPr>
        <w:fldChar w:fldCharType="separate"/>
      </w:r>
      <w:r w:rsidR="005A67DD" w:rsidRPr="00221992">
        <w:rPr>
          <w:noProof/>
          <w:lang w:val="en-GB"/>
        </w:rPr>
        <w:t>[6]</w:t>
      </w:r>
      <w:r w:rsidR="00653F87" w:rsidRPr="00221992">
        <w:rPr>
          <w:lang w:val="en-GB"/>
        </w:rPr>
        <w:fldChar w:fldCharType="end"/>
      </w:r>
      <w:r w:rsidR="00990FE4" w:rsidRPr="00221992">
        <w:rPr>
          <w:lang w:val="en-GB"/>
        </w:rPr>
        <w:t>.</w:t>
      </w:r>
    </w:p>
    <w:p w14:paraId="3BAD89B3" w14:textId="4F5ED3F0" w:rsidR="00990FE4" w:rsidRPr="00221992" w:rsidRDefault="002243FD" w:rsidP="00990FE4">
      <w:pPr>
        <w:rPr>
          <w:lang w:val="en-GB"/>
        </w:rPr>
      </w:pPr>
      <w:r w:rsidRPr="00221992">
        <w:rPr>
          <w:lang w:val="en-GB"/>
        </w:rPr>
        <w:t xml:space="preserve">Expansion of </w:t>
      </w:r>
      <w:r w:rsidR="00217C68" w:rsidRPr="00221992">
        <w:rPr>
          <w:lang w:val="en-GB"/>
        </w:rPr>
        <w:t>t</w:t>
      </w:r>
      <w:r w:rsidR="00CC239F" w:rsidRPr="00221992">
        <w:rPr>
          <w:lang w:val="en-GB"/>
        </w:rPr>
        <w:t xml:space="preserve">he </w:t>
      </w:r>
      <w:r w:rsidRPr="00221992">
        <w:rPr>
          <w:lang w:val="en-GB"/>
        </w:rPr>
        <w:t xml:space="preserve">MEA </w:t>
      </w:r>
      <w:r w:rsidR="00CC239F" w:rsidRPr="00221992">
        <w:rPr>
          <w:lang w:val="en-GB"/>
        </w:rPr>
        <w:t>f</w:t>
      </w:r>
      <w:r w:rsidRPr="00221992">
        <w:rPr>
          <w:lang w:val="en-GB"/>
        </w:rPr>
        <w:t>ramework in the UK</w:t>
      </w:r>
      <w:r w:rsidR="00990FE4" w:rsidRPr="00221992">
        <w:rPr>
          <w:lang w:val="en-GB"/>
        </w:rPr>
        <w:t>—</w:t>
      </w:r>
      <w:r w:rsidR="00CC239F" w:rsidRPr="00221992">
        <w:rPr>
          <w:lang w:val="en-GB"/>
        </w:rPr>
        <w:t>P</w:t>
      </w:r>
      <w:r w:rsidRPr="00221992">
        <w:rPr>
          <w:lang w:val="en-GB"/>
        </w:rPr>
        <w:t>ositive outcomes achieved through the post-2016 Cancer Drugs Fund in England</w:t>
      </w:r>
      <w:r w:rsidR="00CC239F" w:rsidRPr="00221992">
        <w:rPr>
          <w:lang w:val="en-GB"/>
        </w:rPr>
        <w:t>/Wales</w:t>
      </w:r>
      <w:r w:rsidRPr="00221992">
        <w:rPr>
          <w:lang w:val="en-GB"/>
        </w:rPr>
        <w:t xml:space="preserve"> led to the introduction of broader adapt</w:t>
      </w:r>
      <w:r w:rsidR="005A36F1">
        <w:rPr>
          <w:lang w:val="en-GB"/>
        </w:rPr>
        <w:t>at</w:t>
      </w:r>
      <w:r w:rsidRPr="00221992">
        <w:rPr>
          <w:lang w:val="en-GB"/>
        </w:rPr>
        <w:t>ions in the MEA framework. In 2021, the NHS launched a comprehensive Commercial Framework for New Medicines, aimed at guiding the managed entry of new medicines and improving patient access to innovative treatments</w:t>
      </w:r>
      <w:r w:rsidR="00A62BA6" w:rsidRPr="00221992">
        <w:rPr>
          <w:lang w:val="en-GB"/>
        </w:rPr>
        <w:t xml:space="preserve"> </w:t>
      </w:r>
      <w:r w:rsidR="00653F87" w:rsidRPr="00221992">
        <w:rPr>
          <w:lang w:val="en-GB"/>
        </w:rPr>
        <w:fldChar w:fldCharType="begin"/>
      </w:r>
      <w:r w:rsidR="00E5265C">
        <w:rPr>
          <w:lang w:val="en-GB"/>
        </w:rPr>
        <w:instrText xml:space="preserve"> ADDIN EN.CITE &lt;EndNote&gt;&lt;Cite&gt;&lt;Author&gt;NHS England Cancer Drugs Fund Team&lt;/Author&gt;&lt;Year&gt;2022&lt;/Year&gt;&lt;RecNum&gt;351&lt;/RecNum&gt;&lt;DisplayText&gt;[218]&lt;/DisplayText&gt;&lt;record&gt;&lt;rec-number&gt;351&lt;/rec-number&gt;&lt;foreign-keys&gt;&lt;key app="EN" db-id="wzwwsfxe4peesxef95cxvrwjxts9rreasarf" timestamp="1692654670"&gt;351&lt;/key&gt;&lt;/foreign-keys&gt;&lt;ref-type name="Book Section"&gt;5&lt;/ref-type&gt;&lt;contributors&gt;&lt;authors&gt;&lt;author&gt;NHS England Cancer Drugs Fund Team,&lt;/author&gt;&lt;/authors&gt;&lt;/contributors&gt;&lt;titles&gt;&lt;title&gt;NHS commercial framework for new medicines&lt;/title&gt;&lt;/titles&gt;&lt;dates&gt;&lt;year&gt;2022&lt;/year&gt;&lt;/dates&gt;&lt;pub-location&gt;London, England&lt;/pub-location&gt;&lt;publisher&gt;NHS.&lt;/publisher&gt;&lt;urls&gt;&lt;related-urls&gt;&lt;url&gt;https://www.england.nhs.uk/wp-content/uploads/2021/02/B1688-nhs-commercial-framework-for-new-medicines-june-22.pdf&lt;/url&gt;&lt;/related-urls&gt;&lt;/urls&gt;&lt;/record&gt;&lt;/Cite&gt;&lt;/EndNote&gt;</w:instrText>
      </w:r>
      <w:r w:rsidR="00653F87" w:rsidRPr="00221992">
        <w:rPr>
          <w:lang w:val="en-GB"/>
        </w:rPr>
        <w:fldChar w:fldCharType="separate"/>
      </w:r>
      <w:r w:rsidR="00E5265C">
        <w:rPr>
          <w:noProof/>
          <w:lang w:val="en-GB"/>
        </w:rPr>
        <w:t>[218]</w:t>
      </w:r>
      <w:r w:rsidR="00653F87" w:rsidRPr="00221992">
        <w:rPr>
          <w:lang w:val="en-GB"/>
        </w:rPr>
        <w:fldChar w:fldCharType="end"/>
      </w:r>
      <w:r w:rsidRPr="00221992">
        <w:rPr>
          <w:lang w:val="en-GB"/>
        </w:rPr>
        <w:t>.</w:t>
      </w:r>
    </w:p>
    <w:p w14:paraId="3F2DBCF0" w14:textId="0B4F2B22" w:rsidR="00990FE4" w:rsidRPr="00221992" w:rsidRDefault="002243FD" w:rsidP="00990FE4">
      <w:pPr>
        <w:rPr>
          <w:lang w:val="en-GB"/>
        </w:rPr>
      </w:pPr>
      <w:r w:rsidRPr="00221992">
        <w:rPr>
          <w:lang w:val="en-GB"/>
        </w:rPr>
        <w:t xml:space="preserve">Under this framework, several initiatives have been implemented to facilitate timely access to innovative therapies. The Accelerated Access Review, commissioned by the UK government, proposed risk-sharing arrangements between the NHS and manufacturers to expedite access to innovative therapies. </w:t>
      </w:r>
    </w:p>
    <w:p w14:paraId="080AE207" w14:textId="3D4C7B40" w:rsidR="002243FD" w:rsidRPr="00221992" w:rsidRDefault="002243FD" w:rsidP="00990FE4">
      <w:pPr>
        <w:rPr>
          <w:lang w:val="en-GB"/>
        </w:rPr>
      </w:pPr>
      <w:r w:rsidRPr="00221992">
        <w:rPr>
          <w:lang w:val="en-GB"/>
        </w:rPr>
        <w:t>The Innovative Licensing and Access Pathway (ILAP)</w:t>
      </w:r>
      <w:r w:rsidR="003A02D8" w:rsidRPr="00221992">
        <w:rPr>
          <w:lang w:val="en-GB"/>
        </w:rPr>
        <w:t xml:space="preserve"> was </w:t>
      </w:r>
      <w:r w:rsidRPr="00221992">
        <w:rPr>
          <w:lang w:val="en-GB"/>
        </w:rPr>
        <w:t xml:space="preserve">introduced in 2021. </w:t>
      </w:r>
      <w:r w:rsidR="003A02D8" w:rsidRPr="00221992">
        <w:rPr>
          <w:lang w:val="en-GB"/>
        </w:rPr>
        <w:t>S</w:t>
      </w:r>
      <w:r w:rsidR="00DA4CEB" w:rsidRPr="00221992">
        <w:rPr>
          <w:lang w:val="en-GB"/>
        </w:rPr>
        <w:t>imilar to the adaptive pathways</w:t>
      </w:r>
      <w:r w:rsidR="003A02D8" w:rsidRPr="00221992">
        <w:rPr>
          <w:lang w:val="en-GB"/>
        </w:rPr>
        <w:t xml:space="preserve"> in the EU, this horizon</w:t>
      </w:r>
      <w:r w:rsidR="00D46B29" w:rsidRPr="00221992">
        <w:rPr>
          <w:lang w:val="en-GB"/>
        </w:rPr>
        <w:t>-</w:t>
      </w:r>
      <w:r w:rsidR="003A02D8" w:rsidRPr="00221992">
        <w:rPr>
          <w:lang w:val="en-GB"/>
        </w:rPr>
        <w:t>scanning approach</w:t>
      </w:r>
      <w:r w:rsidR="00DA4CEB" w:rsidRPr="00221992">
        <w:rPr>
          <w:lang w:val="en-GB"/>
        </w:rPr>
        <w:t xml:space="preserve"> </w:t>
      </w:r>
      <w:r w:rsidR="003A02D8" w:rsidRPr="00221992">
        <w:rPr>
          <w:lang w:val="en-GB"/>
        </w:rPr>
        <w:t>streamlines</w:t>
      </w:r>
      <w:r w:rsidRPr="00221992">
        <w:rPr>
          <w:lang w:val="en-GB"/>
        </w:rPr>
        <w:t xml:space="preserve"> </w:t>
      </w:r>
      <w:r w:rsidR="003A02D8" w:rsidRPr="00221992">
        <w:rPr>
          <w:lang w:val="en-GB"/>
        </w:rPr>
        <w:t>the</w:t>
      </w:r>
      <w:r w:rsidRPr="00221992">
        <w:rPr>
          <w:lang w:val="en-GB"/>
        </w:rPr>
        <w:t xml:space="preserve"> evaluati</w:t>
      </w:r>
      <w:r w:rsidR="003A02D8" w:rsidRPr="00221992">
        <w:rPr>
          <w:lang w:val="en-GB"/>
        </w:rPr>
        <w:t>on</w:t>
      </w:r>
      <w:r w:rsidRPr="00221992">
        <w:rPr>
          <w:lang w:val="en-GB"/>
        </w:rPr>
        <w:t xml:space="preserve"> and authori</w:t>
      </w:r>
      <w:r w:rsidR="00DA4CEB" w:rsidRPr="00221992">
        <w:rPr>
          <w:lang w:val="en-GB"/>
        </w:rPr>
        <w:t>s</w:t>
      </w:r>
      <w:r w:rsidR="003A02D8" w:rsidRPr="00221992">
        <w:rPr>
          <w:lang w:val="en-GB"/>
        </w:rPr>
        <w:t>ation of</w:t>
      </w:r>
      <w:r w:rsidRPr="00221992">
        <w:rPr>
          <w:lang w:val="en-GB"/>
        </w:rPr>
        <w:t xml:space="preserve"> new medicines </w:t>
      </w:r>
      <w:r w:rsidR="003A02D8" w:rsidRPr="00221992">
        <w:rPr>
          <w:lang w:val="en-GB"/>
        </w:rPr>
        <w:t>with demonstrated</w:t>
      </w:r>
      <w:r w:rsidRPr="00221992">
        <w:rPr>
          <w:lang w:val="en-GB"/>
        </w:rPr>
        <w:t xml:space="preserve"> therapeutic potential</w:t>
      </w:r>
      <w:r w:rsidR="003A02D8" w:rsidRPr="00221992">
        <w:rPr>
          <w:lang w:val="en-GB"/>
        </w:rPr>
        <w:t xml:space="preserve"> </w:t>
      </w:r>
      <w:r w:rsidR="00653F87" w:rsidRPr="00221992">
        <w:rPr>
          <w:lang w:val="en-GB"/>
        </w:rPr>
        <w:fldChar w:fldCharType="begin"/>
      </w:r>
      <w:r w:rsidR="00E5265C">
        <w:rPr>
          <w:lang w:val="en-GB"/>
        </w:rPr>
        <w:instrText xml:space="preserve"> ADDIN EN.CITE &lt;EndNote&gt;&lt;Cite&gt;&lt;Author&gt;NHS England&lt;/Author&gt;&lt;Year&gt;2022&lt;/Year&gt;&lt;RecNum&gt;349&lt;/RecNum&gt;&lt;DisplayText&gt;[266]&lt;/DisplayText&gt;&lt;record&gt;&lt;rec-number&gt;349&lt;/rec-number&gt;&lt;foreign-keys&gt;&lt;key app="EN" db-id="wzwwsfxe4peesxef95cxvrwjxts9rreasarf" timestamp="1692654670"&gt;349&lt;/key&gt;&lt;/foreign-keys&gt;&lt;ref-type name="Web Page"&gt;12&lt;/ref-type&gt;&lt;contributors&gt;&lt;authors&gt;&lt;author&gt;NHS England,&lt;/author&gt;&lt;/authors&gt;&lt;/contributors&gt;&lt;titles&gt;&lt;title&gt;NHS saves £1.2 billion on medicines over three years&lt;/title&gt;&lt;/titles&gt;&lt;number&gt;23 August 2023&lt;/number&gt;&lt;dates&gt;&lt;year&gt;2022&lt;/year&gt;&lt;/dates&gt;&lt;publisher&gt;NHS England&lt;/publisher&gt;&lt;urls&gt;&lt;related-urls&gt;&lt;url&gt;https://www.england.nhs.uk/2022/07/nhs-saves-1-2-billion-on-medicines-over-three-years/&lt;/url&gt;&lt;/related-urls&gt;&lt;/urls&gt;&lt;/record&gt;&lt;/Cite&gt;&lt;/EndNote&gt;</w:instrText>
      </w:r>
      <w:r w:rsidR="00653F87" w:rsidRPr="00221992">
        <w:rPr>
          <w:lang w:val="en-GB"/>
        </w:rPr>
        <w:fldChar w:fldCharType="separate"/>
      </w:r>
      <w:r w:rsidR="00E5265C">
        <w:rPr>
          <w:noProof/>
          <w:lang w:val="en-GB"/>
        </w:rPr>
        <w:t>[266]</w:t>
      </w:r>
      <w:r w:rsidR="00653F87" w:rsidRPr="00221992">
        <w:rPr>
          <w:lang w:val="en-GB"/>
        </w:rPr>
        <w:fldChar w:fldCharType="end"/>
      </w:r>
      <w:r w:rsidRPr="00221992">
        <w:rPr>
          <w:lang w:val="en-GB"/>
        </w:rPr>
        <w:t>.</w:t>
      </w:r>
      <w:r w:rsidR="00DA4CEB" w:rsidRPr="00221992">
        <w:rPr>
          <w:lang w:val="en-GB"/>
        </w:rPr>
        <w:t xml:space="preserve"> The ILAP includes two steps: the innovative passport application</w:t>
      </w:r>
      <w:r w:rsidR="00182EFD">
        <w:rPr>
          <w:lang w:val="en-GB"/>
        </w:rPr>
        <w:t xml:space="preserve">, </w:t>
      </w:r>
      <w:r w:rsidR="00D46B29" w:rsidRPr="00221992">
        <w:rPr>
          <w:lang w:val="en-GB"/>
        </w:rPr>
        <w:t xml:space="preserve">which provides sponsors </w:t>
      </w:r>
      <w:r w:rsidR="00DA4CEB" w:rsidRPr="00221992">
        <w:rPr>
          <w:lang w:val="en-GB"/>
        </w:rPr>
        <w:t xml:space="preserve">an opportunity to engage with payers in a consultation at the pre-clinical stage of development for products </w:t>
      </w:r>
      <w:r w:rsidR="0069095D" w:rsidRPr="00221992">
        <w:rPr>
          <w:lang w:val="en-GB"/>
        </w:rPr>
        <w:t>comprising</w:t>
      </w:r>
      <w:r w:rsidR="00DA4CEB" w:rsidRPr="00221992">
        <w:rPr>
          <w:lang w:val="en-GB"/>
        </w:rPr>
        <w:t xml:space="preserve"> new chemical entities, biological medicines, new indications, or re-purposed medicines; and a </w:t>
      </w:r>
      <w:r w:rsidR="00551786">
        <w:rPr>
          <w:lang w:val="en-GB"/>
        </w:rPr>
        <w:t>‘</w:t>
      </w:r>
      <w:r w:rsidR="00DA4CEB" w:rsidRPr="00221992">
        <w:rPr>
          <w:lang w:val="en-GB"/>
        </w:rPr>
        <w:t>target development profile toolkit</w:t>
      </w:r>
      <w:r w:rsidR="00A12D68" w:rsidRPr="00221992">
        <w:rPr>
          <w:lang w:val="en-GB"/>
        </w:rPr>
        <w:t>,</w:t>
      </w:r>
      <w:r w:rsidR="00551786">
        <w:rPr>
          <w:lang w:val="en-GB"/>
        </w:rPr>
        <w:t>’</w:t>
      </w:r>
      <w:r w:rsidR="00DA4CEB" w:rsidRPr="00221992">
        <w:rPr>
          <w:lang w:val="en-GB"/>
        </w:rPr>
        <w:t xml:space="preserve"> which provides ongoing policy engagement and regulatory guidance for the development of medicine</w:t>
      </w:r>
      <w:r w:rsidR="00A12D68" w:rsidRPr="00221992">
        <w:rPr>
          <w:lang w:val="en-GB"/>
        </w:rPr>
        <w:t>s</w:t>
      </w:r>
      <w:r w:rsidR="00DA4CEB" w:rsidRPr="00221992">
        <w:rPr>
          <w:lang w:val="en-GB"/>
        </w:rPr>
        <w:t xml:space="preserve">. </w:t>
      </w:r>
      <w:r w:rsidR="00A12D68" w:rsidRPr="00221992">
        <w:rPr>
          <w:lang w:val="en-GB"/>
        </w:rPr>
        <w:t>T</w:t>
      </w:r>
      <w:r w:rsidR="00DA4CEB" w:rsidRPr="00221992">
        <w:rPr>
          <w:lang w:val="en-GB"/>
        </w:rPr>
        <w:t>he toolkit include</w:t>
      </w:r>
      <w:r w:rsidR="00B228B5" w:rsidRPr="00221992">
        <w:rPr>
          <w:lang w:val="en-GB"/>
        </w:rPr>
        <w:t>s</w:t>
      </w:r>
      <w:r w:rsidR="00DA4CEB" w:rsidRPr="00221992">
        <w:rPr>
          <w:lang w:val="en-GB"/>
        </w:rPr>
        <w:t xml:space="preserve"> a compliance readiness inspection, which provides specific feedback on licencing and statutory requirements for proposed medicine</w:t>
      </w:r>
      <w:r w:rsidR="00B228B5" w:rsidRPr="00221992">
        <w:rPr>
          <w:lang w:val="en-GB"/>
        </w:rPr>
        <w:t>s</w:t>
      </w:r>
      <w:r w:rsidR="00DA4CEB" w:rsidRPr="00221992">
        <w:rPr>
          <w:lang w:val="en-GB"/>
        </w:rPr>
        <w:t>, a continuous benefit</w:t>
      </w:r>
      <w:r w:rsidR="00B228B5" w:rsidRPr="00221992">
        <w:rPr>
          <w:lang w:val="en-GB"/>
        </w:rPr>
        <w:t>/</w:t>
      </w:r>
      <w:r w:rsidR="00DA4CEB" w:rsidRPr="00221992">
        <w:rPr>
          <w:lang w:val="en-GB"/>
        </w:rPr>
        <w:t>risk assessment using RWE to offer guidance around the development of up</w:t>
      </w:r>
      <w:r w:rsidR="00B228B5" w:rsidRPr="00221992">
        <w:rPr>
          <w:lang w:val="en-GB"/>
        </w:rPr>
        <w:t>-</w:t>
      </w:r>
      <w:r w:rsidR="00DA4CEB" w:rsidRPr="00221992">
        <w:rPr>
          <w:lang w:val="en-GB"/>
        </w:rPr>
        <w:t>front and ongoing data collection</w:t>
      </w:r>
      <w:r w:rsidR="00B228B5" w:rsidRPr="00221992">
        <w:rPr>
          <w:lang w:val="en-GB"/>
        </w:rPr>
        <w:t>,</w:t>
      </w:r>
      <w:r w:rsidR="00DA4CEB" w:rsidRPr="00221992">
        <w:rPr>
          <w:lang w:val="en-GB"/>
        </w:rPr>
        <w:t xml:space="preserve"> </w:t>
      </w:r>
      <w:r w:rsidR="00B228B5" w:rsidRPr="00221992">
        <w:rPr>
          <w:lang w:val="en-GB"/>
        </w:rPr>
        <w:t>and</w:t>
      </w:r>
      <w:r w:rsidR="00DA4CEB" w:rsidRPr="00221992">
        <w:rPr>
          <w:lang w:val="en-GB"/>
        </w:rPr>
        <w:t xml:space="preserve"> early engagement with HTA stakeholders to </w:t>
      </w:r>
      <w:r w:rsidR="000D5DEC" w:rsidRPr="00221992">
        <w:rPr>
          <w:lang w:val="en-GB"/>
        </w:rPr>
        <w:t xml:space="preserve">identify </w:t>
      </w:r>
      <w:r w:rsidR="00DA4CEB" w:rsidRPr="00221992">
        <w:rPr>
          <w:lang w:val="en-GB"/>
        </w:rPr>
        <w:t xml:space="preserve">where </w:t>
      </w:r>
      <w:r w:rsidR="000D5DEC" w:rsidRPr="00221992">
        <w:rPr>
          <w:lang w:val="en-GB"/>
        </w:rPr>
        <w:t>a</w:t>
      </w:r>
      <w:r w:rsidR="00DA4CEB" w:rsidRPr="00221992">
        <w:rPr>
          <w:lang w:val="en-GB"/>
        </w:rPr>
        <w:t xml:space="preserve"> technology may fit in the care pathway, aimed at optimising market access strateg</w:t>
      </w:r>
      <w:r w:rsidR="000D5DEC" w:rsidRPr="00221992">
        <w:rPr>
          <w:lang w:val="en-GB"/>
        </w:rPr>
        <w:t>ies</w:t>
      </w:r>
      <w:r w:rsidR="003A02D8" w:rsidRPr="00221992">
        <w:rPr>
          <w:lang w:val="en-GB"/>
        </w:rPr>
        <w:t xml:space="preserve"> </w:t>
      </w:r>
      <w:r w:rsidR="00653F87" w:rsidRPr="00221992">
        <w:rPr>
          <w:lang w:val="en-GB"/>
        </w:rPr>
        <w:fldChar w:fldCharType="begin"/>
      </w:r>
      <w:r w:rsidR="00E5265C">
        <w:rPr>
          <w:lang w:val="en-GB"/>
        </w:rPr>
        <w:instrText xml:space="preserve"> ADDIN EN.CITE &lt;EndNote&gt;&lt;Cite&gt;&lt;Author&gt;Medicines and Healthcare Products Regulatory Agency&lt;/Author&gt;&lt;Year&gt;2021&lt;/Year&gt;&lt;RecNum&gt;321&lt;/RecNum&gt;&lt;DisplayText&gt;[267]&lt;/DisplayText&gt;&lt;record&gt;&lt;rec-number&gt;321&lt;/rec-number&gt;&lt;foreign-keys&gt;&lt;key app="EN" db-id="wzwwsfxe4peesxef95cxvrwjxts9rreasarf" timestamp="1692654670"&gt;321&lt;/key&gt;&lt;/foreign-keys&gt;&lt;ref-type name="Book Section"&gt;5&lt;/ref-type&gt;&lt;contributors&gt;&lt;authors&gt;&lt;author&gt;Medicines and Healthcare Products Regulatory Agency,&lt;/author&gt;&lt;/authors&gt;&lt;/contributors&gt;&lt;titles&gt;&lt;title&gt;Innovative Licensing and Access Pathway&lt;/title&gt;&lt;/titles&gt;&lt;dates&gt;&lt;year&gt;2021&lt;/year&gt;&lt;/dates&gt;&lt;publisher&gt;UK Govt.&lt;/publisher&gt;&lt;urls&gt;&lt;related-urls&gt;&lt;url&gt;https://www.gov.uk/guidance/innovative-licensing-and-access-pathway#overview&lt;/url&gt;&lt;/related-urls&gt;&lt;/urls&gt;&lt;/record&gt;&lt;/Cite&gt;&lt;/EndNote&gt;</w:instrText>
      </w:r>
      <w:r w:rsidR="00653F87" w:rsidRPr="00221992">
        <w:rPr>
          <w:lang w:val="en-GB"/>
        </w:rPr>
        <w:fldChar w:fldCharType="separate"/>
      </w:r>
      <w:r w:rsidR="00E5265C">
        <w:rPr>
          <w:noProof/>
          <w:lang w:val="en-GB"/>
        </w:rPr>
        <w:t>[267]</w:t>
      </w:r>
      <w:r w:rsidR="00653F87" w:rsidRPr="00221992">
        <w:rPr>
          <w:lang w:val="en-GB"/>
        </w:rPr>
        <w:fldChar w:fldCharType="end"/>
      </w:r>
      <w:r w:rsidR="00DA4CEB" w:rsidRPr="00221992">
        <w:rPr>
          <w:lang w:val="en-GB"/>
        </w:rPr>
        <w:t>.</w:t>
      </w:r>
      <w:r w:rsidR="008A6310">
        <w:rPr>
          <w:lang w:val="en-GB"/>
        </w:rPr>
        <w:t xml:space="preserve"> </w:t>
      </w:r>
    </w:p>
    <w:p w14:paraId="6E905EE7" w14:textId="76481D1E" w:rsidR="002243FD" w:rsidRPr="00221992" w:rsidRDefault="002243FD" w:rsidP="00990FE4">
      <w:pPr>
        <w:rPr>
          <w:lang w:val="en-GB"/>
        </w:rPr>
      </w:pPr>
      <w:r w:rsidRPr="00221992">
        <w:rPr>
          <w:lang w:val="en-GB"/>
        </w:rPr>
        <w:t xml:space="preserve">The NHS has also negotiated </w:t>
      </w:r>
      <w:r w:rsidR="00551786">
        <w:rPr>
          <w:lang w:val="en-GB"/>
        </w:rPr>
        <w:t>‘</w:t>
      </w:r>
      <w:r w:rsidRPr="00221992">
        <w:rPr>
          <w:lang w:val="en-GB"/>
        </w:rPr>
        <w:t>smart deals</w:t>
      </w:r>
      <w:r w:rsidR="00551786">
        <w:rPr>
          <w:lang w:val="en-GB"/>
        </w:rPr>
        <w:t>’</w:t>
      </w:r>
      <w:r w:rsidRPr="00221992">
        <w:rPr>
          <w:lang w:val="en-GB"/>
        </w:rPr>
        <w:t xml:space="preserve"> as part of the Commercial Framework for New Medicines. These agreements encompass cutting-edge therapies, including cell and gene therapies, hepatitis C treatments, cystic fibrosis drugs, and population health management agreements in dyslipidemia and oncology. The aim of the smart deals is to optimi</w:t>
      </w:r>
      <w:r w:rsidR="00DA4CEB" w:rsidRPr="00221992">
        <w:rPr>
          <w:lang w:val="en-GB"/>
        </w:rPr>
        <w:t>s</w:t>
      </w:r>
      <w:r w:rsidRPr="00221992">
        <w:rPr>
          <w:lang w:val="en-GB"/>
        </w:rPr>
        <w:t xml:space="preserve">e patient access to advanced therapies while effectively managing budget impact. They involve </w:t>
      </w:r>
      <w:r w:rsidR="00DA4CEB" w:rsidRPr="00221992">
        <w:rPr>
          <w:lang w:val="en-GB"/>
        </w:rPr>
        <w:t>case-by-case commercial arrangements</w:t>
      </w:r>
      <w:r w:rsidR="00277791">
        <w:rPr>
          <w:lang w:val="en-GB"/>
        </w:rPr>
        <w:t>,</w:t>
      </w:r>
      <w:r w:rsidR="00DA4CEB" w:rsidRPr="00221992">
        <w:rPr>
          <w:lang w:val="en-GB"/>
        </w:rPr>
        <w:t xml:space="preserve"> such as </w:t>
      </w:r>
      <w:r w:rsidR="25A7ED88" w:rsidRPr="00221992">
        <w:rPr>
          <w:lang w:val="en-GB"/>
        </w:rPr>
        <w:t>bespoke</w:t>
      </w:r>
      <w:r w:rsidRPr="00221992">
        <w:rPr>
          <w:lang w:val="en-GB"/>
        </w:rPr>
        <w:t xml:space="preserve"> pricing models, </w:t>
      </w:r>
      <w:r w:rsidR="00DA4CEB" w:rsidRPr="00221992">
        <w:rPr>
          <w:lang w:val="en-GB"/>
        </w:rPr>
        <w:t>performance</w:t>
      </w:r>
      <w:r w:rsidRPr="00221992">
        <w:rPr>
          <w:lang w:val="en-GB"/>
        </w:rPr>
        <w:t xml:space="preserve">-based </w:t>
      </w:r>
      <w:r w:rsidR="00DA4CEB" w:rsidRPr="00221992">
        <w:rPr>
          <w:lang w:val="en-GB"/>
        </w:rPr>
        <w:t>MEAs</w:t>
      </w:r>
      <w:r w:rsidRPr="00221992">
        <w:rPr>
          <w:lang w:val="en-GB"/>
        </w:rPr>
        <w:t xml:space="preserve">, </w:t>
      </w:r>
      <w:r w:rsidR="00277791">
        <w:rPr>
          <w:lang w:val="en-GB"/>
        </w:rPr>
        <w:t>and</w:t>
      </w:r>
      <w:r w:rsidR="00277791" w:rsidRPr="00221992">
        <w:rPr>
          <w:lang w:val="en-GB"/>
        </w:rPr>
        <w:t xml:space="preserve"> </w:t>
      </w:r>
      <w:r w:rsidRPr="00221992">
        <w:rPr>
          <w:lang w:val="en-GB"/>
        </w:rPr>
        <w:t>risk-sharing mechanisms</w:t>
      </w:r>
      <w:r w:rsidR="00D008CC" w:rsidRPr="00221992">
        <w:rPr>
          <w:lang w:val="en-GB"/>
        </w:rPr>
        <w:t xml:space="preserve"> </w:t>
      </w:r>
      <w:r w:rsidRPr="00221992">
        <w:rPr>
          <w:lang w:val="en-GB"/>
        </w:rPr>
        <w:t xml:space="preserve">to ensure that prices align with </w:t>
      </w:r>
      <w:r w:rsidR="00277791">
        <w:rPr>
          <w:lang w:val="en-GB"/>
        </w:rPr>
        <w:t>therapies’</w:t>
      </w:r>
      <w:r w:rsidR="00277791" w:rsidRPr="00221992">
        <w:rPr>
          <w:lang w:val="en-GB"/>
        </w:rPr>
        <w:t xml:space="preserve"> </w:t>
      </w:r>
      <w:r w:rsidRPr="00221992">
        <w:rPr>
          <w:lang w:val="en-GB"/>
        </w:rPr>
        <w:t>clinical benefits and long-term value</w:t>
      </w:r>
      <w:r w:rsidR="000A19AE" w:rsidRPr="00221992">
        <w:rPr>
          <w:lang w:val="en-GB"/>
        </w:rPr>
        <w:t xml:space="preserve"> </w:t>
      </w:r>
      <w:r w:rsidR="002852DD" w:rsidRPr="00221992">
        <w:rPr>
          <w:lang w:val="en-GB"/>
        </w:rPr>
        <w:fldChar w:fldCharType="begin"/>
      </w:r>
      <w:r w:rsidR="00E5265C">
        <w:rPr>
          <w:lang w:val="en-GB"/>
        </w:rPr>
        <w:instrText xml:space="preserve"> ADDIN EN.CITE &lt;EndNote&gt;&lt;Cite&gt;&lt;Author&gt;NHS England&lt;/Author&gt;&lt;Year&gt;2022&lt;/Year&gt;&lt;RecNum&gt;349&lt;/RecNum&gt;&lt;DisplayText&gt;[266]&lt;/DisplayText&gt;&lt;record&gt;&lt;rec-number&gt;349&lt;/rec-number&gt;&lt;foreign-keys&gt;&lt;key app="EN" db-id="wzwwsfxe4peesxef95cxvrwjxts9rreasarf" timestamp="1692654670"&gt;349&lt;/key&gt;&lt;/foreign-keys&gt;&lt;ref-type name="Web Page"&gt;12&lt;/ref-type&gt;&lt;contributors&gt;&lt;authors&gt;&lt;author&gt;NHS England,&lt;/author&gt;&lt;/authors&gt;&lt;/contributors&gt;&lt;titles&gt;&lt;title&gt;NHS saves £1.2 billion on medicines over three years&lt;/title&gt;&lt;/titles&gt;&lt;number&gt;23 August 2023&lt;/number&gt;&lt;dates&gt;&lt;year&gt;2022&lt;/year&gt;&lt;/dates&gt;&lt;publisher&gt;NHS England&lt;/publisher&gt;&lt;urls&gt;&lt;related-urls&gt;&lt;url&gt;https://www.england.nhs.uk/2022/07/nhs-saves-1-2-billion-on-medicines-over-three-years/&lt;/url&gt;&lt;/related-urls&gt;&lt;/urls&gt;&lt;/record&gt;&lt;/Cite&gt;&lt;/EndNote&gt;</w:instrText>
      </w:r>
      <w:r w:rsidR="002852DD" w:rsidRPr="00221992">
        <w:rPr>
          <w:lang w:val="en-GB"/>
        </w:rPr>
        <w:fldChar w:fldCharType="separate"/>
      </w:r>
      <w:r w:rsidR="00E5265C">
        <w:rPr>
          <w:noProof/>
          <w:lang w:val="en-GB"/>
        </w:rPr>
        <w:t>[266]</w:t>
      </w:r>
      <w:r w:rsidR="002852DD" w:rsidRPr="00221992">
        <w:rPr>
          <w:lang w:val="en-GB"/>
        </w:rPr>
        <w:fldChar w:fldCharType="end"/>
      </w:r>
      <w:r w:rsidR="1D2403CB" w:rsidRPr="00221992">
        <w:rPr>
          <w:lang w:val="en-GB"/>
        </w:rPr>
        <w:t xml:space="preserve"> The details of these smart deals are commercial</w:t>
      </w:r>
      <w:r w:rsidR="001226D0">
        <w:rPr>
          <w:lang w:val="en-GB"/>
        </w:rPr>
        <w:t>-</w:t>
      </w:r>
      <w:r w:rsidR="1D2403CB" w:rsidRPr="00221992">
        <w:rPr>
          <w:lang w:val="en-GB"/>
        </w:rPr>
        <w:t>in</w:t>
      </w:r>
      <w:r w:rsidR="001226D0">
        <w:rPr>
          <w:lang w:val="en-GB"/>
        </w:rPr>
        <w:t>-</w:t>
      </w:r>
      <w:r w:rsidR="1D2403CB" w:rsidRPr="00221992">
        <w:rPr>
          <w:lang w:val="en-GB"/>
        </w:rPr>
        <w:t>confidence</w:t>
      </w:r>
      <w:r w:rsidRPr="00221992">
        <w:rPr>
          <w:lang w:val="en-GB"/>
        </w:rPr>
        <w:t>.</w:t>
      </w:r>
    </w:p>
    <w:p w14:paraId="1232FACA" w14:textId="6173D59A" w:rsidR="002243FD" w:rsidRPr="00221992" w:rsidRDefault="002243FD" w:rsidP="00990FE4">
      <w:pPr>
        <w:rPr>
          <w:lang w:val="en-GB"/>
        </w:rPr>
      </w:pPr>
      <w:r w:rsidRPr="00221992">
        <w:rPr>
          <w:lang w:val="en-GB"/>
        </w:rPr>
        <w:t>Furthermore, population health management deals have been established to prioriti</w:t>
      </w:r>
      <w:r w:rsidR="00DA4CEB" w:rsidRPr="00221992">
        <w:rPr>
          <w:lang w:val="en-GB"/>
        </w:rPr>
        <w:t>s</w:t>
      </w:r>
      <w:r w:rsidRPr="00221992">
        <w:rPr>
          <w:lang w:val="en-GB"/>
        </w:rPr>
        <w:t xml:space="preserve">e maximizing patient population coverage while ensuring affordable pricing. These agreements, such as the population health management deal in cancer signed by NHS England in October 2021, </w:t>
      </w:r>
      <w:r w:rsidR="00632E30" w:rsidRPr="00221992">
        <w:rPr>
          <w:lang w:val="en-GB"/>
        </w:rPr>
        <w:t>comprise</w:t>
      </w:r>
      <w:r w:rsidR="00DA4CEB" w:rsidRPr="00221992">
        <w:rPr>
          <w:lang w:val="en-GB"/>
        </w:rPr>
        <w:t xml:space="preserve"> </w:t>
      </w:r>
      <w:r w:rsidR="00632E30" w:rsidRPr="00221992">
        <w:rPr>
          <w:lang w:val="en-GB"/>
        </w:rPr>
        <w:t>arrangements</w:t>
      </w:r>
      <w:r w:rsidR="00DA4CEB" w:rsidRPr="00221992">
        <w:rPr>
          <w:lang w:val="en-GB"/>
        </w:rPr>
        <w:t xml:space="preserve"> between health care providers, sponsors and payers to collectively target a specific population using innovative therapies. They include elements such as </w:t>
      </w:r>
      <w:r w:rsidR="00661F62">
        <w:rPr>
          <w:lang w:val="en-GB"/>
        </w:rPr>
        <w:t>performance-based MEAs</w:t>
      </w:r>
      <w:r w:rsidR="00DA4CEB" w:rsidRPr="00221992">
        <w:rPr>
          <w:lang w:val="en-GB"/>
        </w:rPr>
        <w:t xml:space="preserve">, data sharing and analysis, </w:t>
      </w:r>
      <w:r w:rsidR="00B55909" w:rsidRPr="00221992">
        <w:rPr>
          <w:lang w:val="en-GB"/>
        </w:rPr>
        <w:t>RSAs</w:t>
      </w:r>
      <w:r w:rsidR="00DA4CEB" w:rsidRPr="00221992">
        <w:rPr>
          <w:lang w:val="en-GB"/>
        </w:rPr>
        <w:t xml:space="preserve"> </w:t>
      </w:r>
      <w:r w:rsidR="00B55909" w:rsidRPr="00221992">
        <w:rPr>
          <w:lang w:val="en-GB"/>
        </w:rPr>
        <w:t>and</w:t>
      </w:r>
      <w:r w:rsidR="00DA4CEB" w:rsidRPr="00221992">
        <w:rPr>
          <w:lang w:val="en-GB"/>
        </w:rPr>
        <w:t xml:space="preserve"> patient support programs.</w:t>
      </w:r>
    </w:p>
    <w:p w14:paraId="4EC7795C" w14:textId="6147D4E9" w:rsidR="002243FD" w:rsidRPr="00221992" w:rsidRDefault="002243FD" w:rsidP="00990FE4">
      <w:pPr>
        <w:rPr>
          <w:lang w:val="en-GB"/>
        </w:rPr>
      </w:pPr>
      <w:r w:rsidRPr="00221992">
        <w:rPr>
          <w:lang w:val="en-GB"/>
        </w:rPr>
        <w:t xml:space="preserve">Additionally, the </w:t>
      </w:r>
      <w:r w:rsidR="006B43AD" w:rsidRPr="00221992">
        <w:rPr>
          <w:lang w:val="en-GB"/>
        </w:rPr>
        <w:t>S</w:t>
      </w:r>
      <w:r w:rsidRPr="00221992">
        <w:rPr>
          <w:lang w:val="en-GB"/>
        </w:rPr>
        <w:t xml:space="preserve">ubscription </w:t>
      </w:r>
      <w:r w:rsidR="006B43AD" w:rsidRPr="00221992">
        <w:rPr>
          <w:lang w:val="en-GB"/>
        </w:rPr>
        <w:t>M</w:t>
      </w:r>
      <w:r w:rsidRPr="00221992">
        <w:rPr>
          <w:lang w:val="en-GB"/>
        </w:rPr>
        <w:t xml:space="preserve">odel, also known as </w:t>
      </w:r>
      <w:r w:rsidR="00551786">
        <w:rPr>
          <w:lang w:val="en-GB"/>
        </w:rPr>
        <w:t>‘</w:t>
      </w:r>
      <w:r w:rsidR="0052022C" w:rsidRPr="00221992">
        <w:rPr>
          <w:lang w:val="en-GB"/>
        </w:rPr>
        <w:t>d</w:t>
      </w:r>
      <w:r w:rsidRPr="00221992">
        <w:rPr>
          <w:lang w:val="en-GB"/>
        </w:rPr>
        <w:t xml:space="preserve">elinked </w:t>
      </w:r>
      <w:r w:rsidR="0052022C" w:rsidRPr="00221992">
        <w:rPr>
          <w:lang w:val="en-GB"/>
        </w:rPr>
        <w:t>p</w:t>
      </w:r>
      <w:r w:rsidRPr="00221992">
        <w:rPr>
          <w:lang w:val="en-GB"/>
        </w:rPr>
        <w:t>ayment,</w:t>
      </w:r>
      <w:r w:rsidR="00551786">
        <w:rPr>
          <w:lang w:val="en-GB"/>
        </w:rPr>
        <w:t>’</w:t>
      </w:r>
      <w:r w:rsidRPr="00221992">
        <w:rPr>
          <w:lang w:val="en-GB"/>
        </w:rPr>
        <w:t xml:space="preserve"> has been introduced in the UK as an innovative payment approach specifically applied to selected antibiotics. This model guarantees a fixed payment to developers of antibiotics, regardless of the volume or frequency of prescription. By decoupling payment from utili</w:t>
      </w:r>
      <w:r w:rsidR="00DA4CEB" w:rsidRPr="00221992">
        <w:rPr>
          <w:lang w:val="en-GB"/>
        </w:rPr>
        <w:t>s</w:t>
      </w:r>
      <w:r w:rsidRPr="00221992">
        <w:rPr>
          <w:lang w:val="en-GB"/>
        </w:rPr>
        <w:t>ation, the Subscription Model incentivi</w:t>
      </w:r>
      <w:r w:rsidR="00DA4CEB" w:rsidRPr="00221992">
        <w:rPr>
          <w:lang w:val="en-GB"/>
        </w:rPr>
        <w:t>s</w:t>
      </w:r>
      <w:r w:rsidRPr="00221992">
        <w:rPr>
          <w:lang w:val="en-GB"/>
        </w:rPr>
        <w:t xml:space="preserve">es the development of new antibiotics while addressing the urgent </w:t>
      </w:r>
      <w:r w:rsidR="00776C38" w:rsidRPr="00221992">
        <w:rPr>
          <w:lang w:val="en-GB"/>
        </w:rPr>
        <w:t>issue</w:t>
      </w:r>
      <w:r w:rsidRPr="00221992">
        <w:rPr>
          <w:lang w:val="en-GB"/>
        </w:rPr>
        <w:t xml:space="preserve"> of antimicrobial resistance. This approach </w:t>
      </w:r>
      <w:r w:rsidR="005140E8" w:rsidRPr="00221992">
        <w:rPr>
          <w:lang w:val="en-GB"/>
        </w:rPr>
        <w:t xml:space="preserve">aims to </w:t>
      </w:r>
      <w:r w:rsidRPr="00221992">
        <w:rPr>
          <w:lang w:val="en-GB"/>
        </w:rPr>
        <w:t>ensure a reliable financial incentive for antibiotic development, contributing to effective treatment options for infectious diseases</w:t>
      </w:r>
      <w:r w:rsidR="00A62BA6" w:rsidRPr="00221992">
        <w:rPr>
          <w:lang w:val="en-GB"/>
        </w:rPr>
        <w:t xml:space="preserve"> </w:t>
      </w:r>
      <w:r w:rsidR="00653F87" w:rsidRPr="00221992">
        <w:rPr>
          <w:lang w:val="en-GB"/>
        </w:rPr>
        <w:fldChar w:fldCharType="begin"/>
      </w:r>
      <w:r w:rsidR="00E5265C">
        <w:rPr>
          <w:lang w:val="en-GB"/>
        </w:rPr>
        <w:instrText xml:space="preserve"> ADDIN EN.CITE &lt;EndNote&gt;&lt;Cite&gt;&lt;Author&gt;Barlow&lt;/Author&gt;&lt;Year&gt;2022&lt;/Year&gt;&lt;RecNum&gt;45&lt;/RecNum&gt;&lt;DisplayText&gt;[268]&lt;/DisplayText&gt;&lt;record&gt;&lt;rec-number&gt;45&lt;/rec-number&gt;&lt;foreign-keys&gt;&lt;key app="EN" db-id="wzwwsfxe4peesxef95cxvrwjxts9rreasarf" timestamp="1692654670"&gt;45&lt;/key&gt;&lt;/foreign-keys&gt;&lt;ref-type name="Journal Article"&gt;17&lt;/ref-type&gt;&lt;contributors&gt;&lt;authors&gt;&lt;author&gt;Barlow, Euan&lt;/author&gt;&lt;author&gt;Morton, Alec&lt;/author&gt;&lt;author&gt;Megiddo, Itamar&lt;/author&gt;&lt;author&gt;Colson, Abigail&lt;/author&gt;&lt;/authors&gt;&lt;/contributors&gt;&lt;titles&gt;&lt;title&gt;Optimal subscription models to pay for antibiotics&lt;/title&gt;&lt;secondary-title&gt;Social Science &amp;amp; Medicine&lt;/secondary-title&gt;&lt;/titles&gt;&lt;periodical&gt;&lt;full-title&gt;Social Science &amp;amp; Medicine&lt;/full-title&gt;&lt;/periodical&gt;&lt;pages&gt;114818&lt;/pages&gt;&lt;volume&gt;298&lt;/volume&gt;&lt;keywords&gt;&lt;keyword&gt;Subscription payment models&lt;/keyword&gt;&lt;keyword&gt;use of novel antibiotics&lt;/keyword&gt;&lt;keyword&gt;antimicrobial resistance&lt;/keyword&gt;&lt;keyword&gt;evidence-based health policies&lt;/keyword&gt;&lt;/keywords&gt;&lt;dates&gt;&lt;year&gt;2022&lt;/year&gt;&lt;pub-dates&gt;&lt;date&gt;2022/04/01/&lt;/date&gt;&lt;/pub-dates&gt;&lt;/dates&gt;&lt;isbn&gt;0277-9536&lt;/isbn&gt;&lt;urls&gt;&lt;related-urls&gt;&lt;url&gt;https://www.sciencedirect.com/science/article/pii/S0277953622001241&lt;/url&gt;&lt;url&gt;https://www.sciencedirect.com/science/article/pii/S0277953622001241?via%3Dihub&lt;/url&gt;&lt;/related-urls&gt;&lt;/urls&gt;&lt;electronic-resource-num&gt;https://doi.org/10.1016/j.socscimed.2022.114818&lt;/electronic-resource-num&gt;&lt;/record&gt;&lt;/Cite&gt;&lt;/EndNote&gt;</w:instrText>
      </w:r>
      <w:r w:rsidR="00653F87" w:rsidRPr="00221992">
        <w:rPr>
          <w:lang w:val="en-GB"/>
        </w:rPr>
        <w:fldChar w:fldCharType="separate"/>
      </w:r>
      <w:r w:rsidR="00E5265C">
        <w:rPr>
          <w:noProof/>
          <w:lang w:val="en-GB"/>
        </w:rPr>
        <w:t>[268]</w:t>
      </w:r>
      <w:r w:rsidR="00653F87" w:rsidRPr="00221992">
        <w:rPr>
          <w:lang w:val="en-GB"/>
        </w:rPr>
        <w:fldChar w:fldCharType="end"/>
      </w:r>
      <w:r w:rsidRPr="00221992">
        <w:rPr>
          <w:lang w:val="en-GB"/>
        </w:rPr>
        <w:t>.</w:t>
      </w:r>
    </w:p>
    <w:p w14:paraId="317EE87A" w14:textId="215DBA9D" w:rsidR="00E324DC" w:rsidRPr="00221992" w:rsidRDefault="00431679" w:rsidP="00990FE4">
      <w:pPr>
        <w:rPr>
          <w:lang w:val="en-GB"/>
        </w:rPr>
      </w:pPr>
      <w:r w:rsidRPr="00221992">
        <w:rPr>
          <w:lang w:val="en-GB"/>
        </w:rPr>
        <w:t>These d</w:t>
      </w:r>
      <w:r w:rsidR="002243FD" w:rsidRPr="00221992">
        <w:rPr>
          <w:lang w:val="en-GB"/>
        </w:rPr>
        <w:t>evelopments in the MEA framework, starting with the Cancer Drugs Fund, have laid the foundation for the broader implementation of adaptive strategies in the UK</w:t>
      </w:r>
      <w:r w:rsidR="00551786">
        <w:rPr>
          <w:lang w:val="en-GB"/>
        </w:rPr>
        <w:t>’</w:t>
      </w:r>
      <w:r w:rsidR="002243FD" w:rsidRPr="00221992">
        <w:rPr>
          <w:lang w:val="en-GB"/>
        </w:rPr>
        <w:t>s healthcare system</w:t>
      </w:r>
      <w:r w:rsidR="00D1112E" w:rsidRPr="00221992">
        <w:rPr>
          <w:lang w:val="en-GB"/>
        </w:rPr>
        <w:t>.</w:t>
      </w:r>
    </w:p>
    <w:p w14:paraId="75B479B8" w14:textId="56F08464" w:rsidR="00DA31E0" w:rsidRPr="00221992" w:rsidRDefault="00DA31E0" w:rsidP="00D97A5B">
      <w:pPr>
        <w:rPr>
          <w:lang w:val="en-GB"/>
        </w:rPr>
      </w:pPr>
      <w:bookmarkStart w:id="272" w:name="_Toc142742718"/>
      <w:r w:rsidRPr="00221992">
        <w:rPr>
          <w:rFonts w:ascii="Calibri" w:hAnsi="Calibri" w:cs="Calibri"/>
          <w:b/>
          <w:lang w:val="en-GB"/>
        </w:rPr>
        <w:t xml:space="preserve">Case study: </w:t>
      </w:r>
      <w:r w:rsidR="006C5D17" w:rsidRPr="00221992">
        <w:rPr>
          <w:rFonts w:ascii="Calibri" w:hAnsi="Calibri" w:cs="Calibri"/>
          <w:b/>
          <w:lang w:val="en-GB"/>
        </w:rPr>
        <w:t>V</w:t>
      </w:r>
      <w:r w:rsidR="006C4512" w:rsidRPr="00221992">
        <w:rPr>
          <w:rFonts w:ascii="Calibri" w:hAnsi="Calibri" w:cs="Calibri"/>
          <w:b/>
          <w:lang w:val="en-GB"/>
        </w:rPr>
        <w:t>alue-based</w:t>
      </w:r>
      <w:r w:rsidRPr="00221992">
        <w:rPr>
          <w:rFonts w:ascii="Calibri" w:hAnsi="Calibri" w:cs="Calibri"/>
          <w:b/>
          <w:lang w:val="en-GB"/>
        </w:rPr>
        <w:t xml:space="preserve"> pricing</w:t>
      </w:r>
      <w:r w:rsidR="00A64C1B" w:rsidRPr="00221992">
        <w:rPr>
          <w:rFonts w:ascii="Calibri" w:hAnsi="Calibri" w:cs="Calibri"/>
          <w:b/>
          <w:lang w:val="en-GB"/>
        </w:rPr>
        <w:t xml:space="preserve"> in Italy</w:t>
      </w:r>
      <w:bookmarkEnd w:id="272"/>
      <w:r w:rsidR="00A64C1B" w:rsidRPr="00221992">
        <w:rPr>
          <w:lang w:val="en-GB"/>
        </w:rPr>
        <w:t xml:space="preserve"> </w:t>
      </w:r>
    </w:p>
    <w:p w14:paraId="12A03856" w14:textId="33D666FD" w:rsidR="00A770E1" w:rsidRPr="00D96368" w:rsidRDefault="005311FF" w:rsidP="00D97A5B">
      <w:pPr>
        <w:rPr>
          <w:lang w:val="en-GB"/>
        </w:rPr>
      </w:pPr>
      <w:r w:rsidRPr="00221992">
        <w:rPr>
          <w:lang w:val="en-GB"/>
        </w:rPr>
        <w:t xml:space="preserve">In 2017, Italy introduced the assessment of </w:t>
      </w:r>
      <w:r w:rsidR="00551786">
        <w:rPr>
          <w:lang w:val="en-GB"/>
        </w:rPr>
        <w:t>‘</w:t>
      </w:r>
      <w:r w:rsidRPr="00221992">
        <w:rPr>
          <w:lang w:val="en-GB"/>
        </w:rPr>
        <w:t xml:space="preserve">innovation </w:t>
      </w:r>
      <w:r w:rsidR="00FD32E5" w:rsidRPr="00221992">
        <w:rPr>
          <w:lang w:val="en-GB"/>
        </w:rPr>
        <w:t>status</w:t>
      </w:r>
      <w:r w:rsidR="00551786">
        <w:rPr>
          <w:lang w:val="en-GB"/>
        </w:rPr>
        <w:t>’</w:t>
      </w:r>
      <w:r w:rsidRPr="00221992">
        <w:rPr>
          <w:lang w:val="en-GB"/>
        </w:rPr>
        <w:t xml:space="preserve"> for medicinal products as part of </w:t>
      </w:r>
      <w:r w:rsidR="009575CB">
        <w:rPr>
          <w:lang w:val="en-GB"/>
        </w:rPr>
        <w:t>its</w:t>
      </w:r>
      <w:r w:rsidR="009575CB" w:rsidRPr="00221992">
        <w:rPr>
          <w:lang w:val="en-GB"/>
        </w:rPr>
        <w:t xml:space="preserve"> </w:t>
      </w:r>
      <w:r w:rsidRPr="00221992">
        <w:rPr>
          <w:lang w:val="en-GB"/>
        </w:rPr>
        <w:t>pricing and reimbursement (PR) decision process</w:t>
      </w:r>
      <w:r w:rsidR="00806F0F" w:rsidRPr="00221992">
        <w:rPr>
          <w:lang w:val="en-GB"/>
        </w:rPr>
        <w:t>.</w:t>
      </w:r>
      <w:r w:rsidRPr="00221992">
        <w:rPr>
          <w:lang w:val="en-GB"/>
        </w:rPr>
        <w:t xml:space="preserve"> </w:t>
      </w:r>
      <w:r w:rsidR="00806F0F" w:rsidRPr="00221992">
        <w:rPr>
          <w:lang w:val="en-GB"/>
        </w:rPr>
        <w:t>A</w:t>
      </w:r>
      <w:r w:rsidR="00566B65" w:rsidRPr="00221992">
        <w:rPr>
          <w:lang w:val="en-GB"/>
        </w:rPr>
        <w:t>s outlined in t</w:t>
      </w:r>
      <w:r w:rsidR="002832A8" w:rsidRPr="00221992">
        <w:rPr>
          <w:lang w:val="en-GB"/>
        </w:rPr>
        <w:t>he 2017 Budget Law</w:t>
      </w:r>
      <w:r w:rsidR="00806F0F" w:rsidRPr="00221992">
        <w:rPr>
          <w:lang w:val="en-GB"/>
        </w:rPr>
        <w:t>,</w:t>
      </w:r>
      <w:r w:rsidRPr="00221992">
        <w:rPr>
          <w:lang w:val="en-GB"/>
        </w:rPr>
        <w:t xml:space="preserve"> </w:t>
      </w:r>
      <w:r w:rsidR="00806F0F" w:rsidRPr="00221992">
        <w:rPr>
          <w:lang w:val="en-GB"/>
        </w:rPr>
        <w:t>a</w:t>
      </w:r>
      <w:r w:rsidR="002832A8" w:rsidRPr="00221992">
        <w:rPr>
          <w:lang w:val="en-GB"/>
        </w:rPr>
        <w:t xml:space="preserve">pplications are made for innovation status according to </w:t>
      </w:r>
      <w:r w:rsidR="007F2852" w:rsidRPr="00221992">
        <w:rPr>
          <w:lang w:val="en-GB"/>
        </w:rPr>
        <w:t>specific criteri</w:t>
      </w:r>
      <w:r w:rsidR="00870937" w:rsidRPr="00221992">
        <w:rPr>
          <w:lang w:val="en-GB"/>
        </w:rPr>
        <w:t>a</w:t>
      </w:r>
      <w:r w:rsidR="007F2852" w:rsidRPr="00221992">
        <w:rPr>
          <w:lang w:val="en-GB"/>
        </w:rPr>
        <w:t xml:space="preserve"> of unmet need</w:t>
      </w:r>
      <w:r w:rsidRPr="00221992">
        <w:rPr>
          <w:lang w:val="en-GB"/>
        </w:rPr>
        <w:t xml:space="preserve">, added </w:t>
      </w:r>
      <w:r w:rsidR="00A770E1" w:rsidRPr="00221992">
        <w:rPr>
          <w:lang w:val="en-GB"/>
        </w:rPr>
        <w:t xml:space="preserve">clinical </w:t>
      </w:r>
      <w:r w:rsidRPr="00221992">
        <w:rPr>
          <w:lang w:val="en-GB"/>
        </w:rPr>
        <w:t xml:space="preserve">value and </w:t>
      </w:r>
      <w:r w:rsidR="00E53C40" w:rsidRPr="00221992">
        <w:rPr>
          <w:lang w:val="en-GB"/>
        </w:rPr>
        <w:t xml:space="preserve">the </w:t>
      </w:r>
      <w:r w:rsidRPr="00221992">
        <w:rPr>
          <w:lang w:val="en-GB"/>
        </w:rPr>
        <w:t xml:space="preserve">robustness of </w:t>
      </w:r>
      <w:r w:rsidR="00E53C40" w:rsidRPr="00221992">
        <w:rPr>
          <w:lang w:val="en-GB"/>
        </w:rPr>
        <w:t xml:space="preserve">available </w:t>
      </w:r>
      <w:r w:rsidRPr="00221992">
        <w:rPr>
          <w:lang w:val="en-GB"/>
        </w:rPr>
        <w:t>clinical evidence</w:t>
      </w:r>
      <w:r w:rsidR="002832A8" w:rsidRPr="00221992">
        <w:rPr>
          <w:lang w:val="en-GB"/>
        </w:rPr>
        <w:t xml:space="preserve">. </w:t>
      </w:r>
    </w:p>
    <w:p w14:paraId="03B056AD" w14:textId="68FF349E" w:rsidR="009B38B0" w:rsidRPr="00221992" w:rsidRDefault="00DA4CEB" w:rsidP="00D97A5B">
      <w:pPr>
        <w:rPr>
          <w:lang w:val="en-GB"/>
        </w:rPr>
      </w:pPr>
      <w:r w:rsidRPr="00221992">
        <w:rPr>
          <w:lang w:val="en-GB"/>
        </w:rPr>
        <w:t xml:space="preserve">AIFA evaluates the therapeutic indication and rates it on a five-point </w:t>
      </w:r>
      <w:r w:rsidR="00202DE8" w:rsidRPr="00221992">
        <w:rPr>
          <w:lang w:val="en-GB"/>
        </w:rPr>
        <w:t xml:space="preserve">innovation </w:t>
      </w:r>
      <w:r w:rsidRPr="00221992">
        <w:rPr>
          <w:lang w:val="en-GB"/>
        </w:rPr>
        <w:t>scale. This assessment is based on criteria consider</w:t>
      </w:r>
      <w:r w:rsidR="00202DE8" w:rsidRPr="00221992">
        <w:rPr>
          <w:lang w:val="en-GB"/>
        </w:rPr>
        <w:t>ing</w:t>
      </w:r>
      <w:r w:rsidRPr="00221992">
        <w:rPr>
          <w:lang w:val="en-GB"/>
        </w:rPr>
        <w:t xml:space="preserve"> </w:t>
      </w:r>
      <w:r w:rsidR="0031766D" w:rsidRPr="00221992">
        <w:rPr>
          <w:lang w:val="en-GB"/>
        </w:rPr>
        <w:t>clinical</w:t>
      </w:r>
      <w:r w:rsidRPr="00221992">
        <w:rPr>
          <w:lang w:val="en-GB"/>
        </w:rPr>
        <w:t xml:space="preserve"> need and added therapeutic value to determine a score from </w:t>
      </w:r>
      <w:r w:rsidR="00551786">
        <w:rPr>
          <w:lang w:val="en-GB"/>
        </w:rPr>
        <w:t>‘</w:t>
      </w:r>
      <w:r w:rsidRPr="00221992">
        <w:rPr>
          <w:lang w:val="en-GB"/>
        </w:rPr>
        <w:t>no innovation</w:t>
      </w:r>
      <w:r w:rsidR="00551786">
        <w:rPr>
          <w:lang w:val="en-GB"/>
        </w:rPr>
        <w:t>’</w:t>
      </w:r>
      <w:r w:rsidRPr="00221992">
        <w:rPr>
          <w:lang w:val="en-GB"/>
        </w:rPr>
        <w:t xml:space="preserve"> to </w:t>
      </w:r>
      <w:r w:rsidR="00551786">
        <w:rPr>
          <w:lang w:val="en-GB"/>
        </w:rPr>
        <w:t>‘</w:t>
      </w:r>
      <w:r w:rsidRPr="00221992">
        <w:rPr>
          <w:lang w:val="en-GB"/>
        </w:rPr>
        <w:t>high innovation.</w:t>
      </w:r>
      <w:r w:rsidR="00551786">
        <w:rPr>
          <w:lang w:val="en-GB"/>
        </w:rPr>
        <w:t>’</w:t>
      </w:r>
      <w:r w:rsidRPr="00221992">
        <w:rPr>
          <w:lang w:val="en-GB"/>
        </w:rPr>
        <w:t xml:space="preserve"> Additionally,</w:t>
      </w:r>
      <w:r w:rsidR="009B38B0" w:rsidRPr="00221992">
        <w:rPr>
          <w:lang w:val="en-GB"/>
        </w:rPr>
        <w:t xml:space="preserve"> a four-point </w:t>
      </w:r>
      <w:r w:rsidR="00551786">
        <w:rPr>
          <w:lang w:val="en-GB"/>
        </w:rPr>
        <w:t>‘</w:t>
      </w:r>
      <w:r w:rsidR="009B38B0" w:rsidRPr="00221992">
        <w:rPr>
          <w:lang w:val="en-GB"/>
        </w:rPr>
        <w:t>GRADE</w:t>
      </w:r>
      <w:r w:rsidR="00551786">
        <w:rPr>
          <w:lang w:val="en-GB"/>
        </w:rPr>
        <w:t>’</w:t>
      </w:r>
      <w:r w:rsidR="009B38B0" w:rsidRPr="00221992">
        <w:rPr>
          <w:lang w:val="en-GB"/>
        </w:rPr>
        <w:t xml:space="preserve"> score </w:t>
      </w:r>
      <w:r w:rsidR="00E86CD8" w:rsidRPr="00221992">
        <w:rPr>
          <w:lang w:val="en-GB"/>
        </w:rPr>
        <w:t xml:space="preserve">for the quality of evidence is used to </w:t>
      </w:r>
      <w:r w:rsidR="0031766D" w:rsidRPr="00221992">
        <w:rPr>
          <w:lang w:val="en-GB"/>
        </w:rPr>
        <w:t>ascribe</w:t>
      </w:r>
      <w:r w:rsidR="00E86CD8" w:rsidRPr="00221992">
        <w:rPr>
          <w:lang w:val="en-GB"/>
        </w:rPr>
        <w:t xml:space="preserve"> temporary/conditional or </w:t>
      </w:r>
      <w:r w:rsidR="00551786">
        <w:rPr>
          <w:lang w:val="en-GB"/>
        </w:rPr>
        <w:t>‘</w:t>
      </w:r>
      <w:r w:rsidR="00E86CD8" w:rsidRPr="00221992">
        <w:rPr>
          <w:lang w:val="en-GB"/>
        </w:rPr>
        <w:t>fully innovative</w:t>
      </w:r>
      <w:r w:rsidR="00551786">
        <w:rPr>
          <w:lang w:val="en-GB"/>
        </w:rPr>
        <w:t>’</w:t>
      </w:r>
      <w:r w:rsidR="00E86CD8" w:rsidRPr="00221992">
        <w:rPr>
          <w:lang w:val="en-GB"/>
        </w:rPr>
        <w:t xml:space="preserve"> status </w:t>
      </w:r>
      <w:r w:rsidR="00653F87" w:rsidRPr="00221992">
        <w:rPr>
          <w:lang w:val="en-GB"/>
        </w:rPr>
        <w:fldChar w:fldCharType="begin"/>
      </w:r>
      <w:r w:rsidR="00E5265C">
        <w:rPr>
          <w:lang w:val="en-GB"/>
        </w:rPr>
        <w:instrText xml:space="preserve"> ADDIN EN.CITE &lt;EndNote&gt;&lt;Cite&gt;&lt;Author&gt;Fortinguerra&lt;/Author&gt;&lt;Year&gt;2020&lt;/Year&gt;&lt;RecNum&gt;158&lt;/RecNum&gt;&lt;DisplayText&gt;[269]&lt;/DisplayText&gt;&lt;record&gt;&lt;rec-number&gt;158&lt;/rec-number&gt;&lt;foreign-keys&gt;&lt;key app="EN" db-id="wzwwsfxe4peesxef95cxvrwjxts9rreasarf" timestamp="1692654670"&gt;158&lt;/key&gt;&lt;/foreign-keys&gt;&lt;ref-type name="Journal Article"&gt;17&lt;/ref-type&gt;&lt;contributors&gt;&lt;authors&gt;&lt;author&gt;Fortinguerra, F.&lt;/author&gt;&lt;author&gt;Tafuri, G.&lt;/author&gt;&lt;author&gt;Trotta, F.&lt;/author&gt;&lt;author&gt;Addis, A.&lt;/author&gt;&lt;/authors&gt;&lt;/contributors&gt;&lt;auth-address&gt;Italian Medicines Agency (AIFA), Rome, Italy.&amp;#xD;Department of Epidemiology, Lazio Regional Health Service, Rome, Italy.&lt;/auth-address&gt;&lt;titles&gt;&lt;title&gt;Using GRADE methodology to assess innovation of new medicinal products in Italy&lt;/title&gt;&lt;secondary-title&gt;Br J Clin Pharmacol&lt;/secondary-title&gt;&lt;/titles&gt;&lt;periodical&gt;&lt;full-title&gt;Br J Clin Pharmacol&lt;/full-title&gt;&lt;/periodical&gt;&lt;pages&gt;93-105&lt;/pages&gt;&lt;volume&gt;86&lt;/volume&gt;&lt;number&gt;1&lt;/number&gt;&lt;edition&gt;20191121&lt;/edition&gt;&lt;keywords&gt;&lt;keyword&gt;Humans&lt;/keyword&gt;&lt;keyword&gt;Italy&lt;/keyword&gt;&lt;keyword&gt;*Research Report&lt;/keyword&gt;&lt;keyword&gt;Retrospective Studies&lt;/keyword&gt;&lt;keyword&gt;Grade&lt;/keyword&gt;&lt;keyword&gt;added therapeutic value&lt;/keyword&gt;&lt;keyword&gt;drug therapy&lt;/keyword&gt;&lt;keyword&gt;innovativeness&lt;/keyword&gt;&lt;keyword&gt;therapeutic need&lt;/keyword&gt;&lt;/keywords&gt;&lt;dates&gt;&lt;year&gt;2020&lt;/year&gt;&lt;pub-dates&gt;&lt;date&gt;Jan&lt;/date&gt;&lt;/pub-dates&gt;&lt;/dates&gt;&lt;isbn&gt;0306-5251 (Print)&amp;#xD;0306-5251&lt;/isbn&gt;&lt;accession-num&gt;31656055&lt;/accession-num&gt;&lt;urls&gt;&lt;related-urls&gt;&lt;url&gt;https://www.ncbi.nlm.nih.gov/pmc/articles/PMC6983505/pdf/BCP-86-93.pdf&lt;/url&gt;&lt;/related-urls&gt;&lt;/urls&gt;&lt;custom1&gt;There are no competing interests to declare.&lt;/custom1&gt;&lt;custom2&gt;PMC6983505&lt;/custom2&gt;&lt;electronic-resource-num&gt;10.1111/bcp.14138&lt;/electronic-resource-num&gt;&lt;remote-database-provider&gt;NLM&lt;/remote-database-provider&gt;&lt;language&gt;eng&lt;/language&gt;&lt;/record&gt;&lt;/Cite&gt;&lt;/EndNote&gt;</w:instrText>
      </w:r>
      <w:r w:rsidR="00653F87" w:rsidRPr="00221992">
        <w:rPr>
          <w:lang w:val="en-GB"/>
        </w:rPr>
        <w:fldChar w:fldCharType="separate"/>
      </w:r>
      <w:r w:rsidR="00E5265C">
        <w:rPr>
          <w:noProof/>
          <w:lang w:val="en-GB"/>
        </w:rPr>
        <w:t>[269]</w:t>
      </w:r>
      <w:r w:rsidR="00653F87" w:rsidRPr="00221992">
        <w:rPr>
          <w:lang w:val="en-GB"/>
        </w:rPr>
        <w:fldChar w:fldCharType="end"/>
      </w:r>
      <w:r w:rsidR="005B3919" w:rsidRPr="00221992">
        <w:rPr>
          <w:lang w:val="en-GB"/>
        </w:rPr>
        <w:t>.</w:t>
      </w:r>
      <w:r w:rsidR="0031395C" w:rsidRPr="00221992">
        <w:rPr>
          <w:rStyle w:val="FootnoteReference"/>
          <w:lang w:val="en-GB"/>
        </w:rPr>
        <w:footnoteReference w:id="21"/>
      </w:r>
      <w:r w:rsidR="0031395C" w:rsidRPr="00221992">
        <w:rPr>
          <w:lang w:val="en-GB"/>
        </w:rPr>
        <w:t xml:space="preserve"> </w:t>
      </w:r>
    </w:p>
    <w:p w14:paraId="20F94D42" w14:textId="3211126B" w:rsidR="00D050CC" w:rsidRPr="00221992" w:rsidRDefault="00E86CD8" w:rsidP="00D97A5B">
      <w:pPr>
        <w:rPr>
          <w:lang w:val="en-GB"/>
        </w:rPr>
      </w:pPr>
      <w:r w:rsidRPr="00221992">
        <w:rPr>
          <w:lang w:val="en-GB"/>
        </w:rPr>
        <w:t>B</w:t>
      </w:r>
      <w:r w:rsidR="00D050CC" w:rsidRPr="00221992">
        <w:rPr>
          <w:lang w:val="en-GB"/>
        </w:rPr>
        <w:t xml:space="preserve">enefits of </w:t>
      </w:r>
      <w:r w:rsidR="0031766D" w:rsidRPr="00221992">
        <w:rPr>
          <w:lang w:val="en-GB"/>
        </w:rPr>
        <w:t xml:space="preserve">the </w:t>
      </w:r>
      <w:r w:rsidR="00551786">
        <w:rPr>
          <w:lang w:val="en-GB"/>
        </w:rPr>
        <w:t>‘</w:t>
      </w:r>
      <w:r w:rsidR="00FF7CC8" w:rsidRPr="00221992">
        <w:rPr>
          <w:lang w:val="en-GB"/>
        </w:rPr>
        <w:t>fully innovative</w:t>
      </w:r>
      <w:r w:rsidR="00551786">
        <w:rPr>
          <w:lang w:val="en-GB"/>
        </w:rPr>
        <w:t>’</w:t>
      </w:r>
      <w:r w:rsidR="00FF7CC8" w:rsidRPr="00221992">
        <w:rPr>
          <w:lang w:val="en-GB"/>
        </w:rPr>
        <w:t xml:space="preserve"> status</w:t>
      </w:r>
      <w:r w:rsidR="00D050CC" w:rsidRPr="00221992">
        <w:rPr>
          <w:lang w:val="en-GB"/>
        </w:rPr>
        <w:t xml:space="preserve"> include:</w:t>
      </w:r>
    </w:p>
    <w:p w14:paraId="46E468A0" w14:textId="08DF4648" w:rsidR="00D050CC" w:rsidRPr="00221992" w:rsidRDefault="00D050CC" w:rsidP="00957584">
      <w:pPr>
        <w:pStyle w:val="ListParagraph"/>
        <w:numPr>
          <w:ilvl w:val="0"/>
          <w:numId w:val="38"/>
        </w:numPr>
        <w:rPr>
          <w:lang w:val="en-GB"/>
        </w:rPr>
      </w:pPr>
      <w:r w:rsidRPr="00221992">
        <w:rPr>
          <w:lang w:val="en-GB"/>
        </w:rPr>
        <w:t>Recognition and differentiation:</w:t>
      </w:r>
      <w:r w:rsidR="00E86CD8" w:rsidRPr="00221992">
        <w:rPr>
          <w:lang w:val="en-GB"/>
        </w:rPr>
        <w:t xml:space="preserve"> </w:t>
      </w:r>
      <w:r w:rsidRPr="00221992">
        <w:rPr>
          <w:lang w:val="en-GB"/>
        </w:rPr>
        <w:t xml:space="preserve">The assessment of innovation status allows for the identification and recognition of innovative </w:t>
      </w:r>
      <w:r w:rsidR="00D3042F" w:rsidRPr="00221992">
        <w:rPr>
          <w:lang w:val="en-GB"/>
        </w:rPr>
        <w:t>medicinal products</w:t>
      </w:r>
      <w:r w:rsidRPr="00221992">
        <w:rPr>
          <w:lang w:val="en-GB"/>
        </w:rPr>
        <w:t>. This helps distinguish these products from conventional therapies and highlights their potential to bring significant advancements in patient care.</w:t>
      </w:r>
    </w:p>
    <w:p w14:paraId="4C9B8862" w14:textId="1CD4F25C" w:rsidR="00D050CC" w:rsidRPr="00221992" w:rsidRDefault="00D050CC" w:rsidP="00957584">
      <w:pPr>
        <w:pStyle w:val="ListParagraph"/>
        <w:numPr>
          <w:ilvl w:val="0"/>
          <w:numId w:val="38"/>
        </w:numPr>
        <w:rPr>
          <w:lang w:val="en-GB"/>
        </w:rPr>
      </w:pPr>
      <w:r w:rsidRPr="00221992">
        <w:rPr>
          <w:lang w:val="en-GB"/>
        </w:rPr>
        <w:t xml:space="preserve">Improved patient access: Innovative </w:t>
      </w:r>
      <w:r w:rsidR="005F7535" w:rsidRPr="00221992">
        <w:rPr>
          <w:lang w:val="en-GB"/>
        </w:rPr>
        <w:t>m</w:t>
      </w:r>
      <w:r w:rsidR="00EC48D1" w:rsidRPr="00221992">
        <w:rPr>
          <w:lang w:val="en-GB"/>
        </w:rPr>
        <w:t>edicinal products</w:t>
      </w:r>
      <w:r w:rsidRPr="00221992">
        <w:rPr>
          <w:lang w:val="en-GB"/>
        </w:rPr>
        <w:t xml:space="preserve"> </w:t>
      </w:r>
      <w:r w:rsidR="005F7535" w:rsidRPr="00221992">
        <w:rPr>
          <w:lang w:val="en-GB"/>
        </w:rPr>
        <w:t>recognised</w:t>
      </w:r>
      <w:r w:rsidRPr="00221992">
        <w:rPr>
          <w:lang w:val="en-GB"/>
        </w:rPr>
        <w:t xml:space="preserve"> </w:t>
      </w:r>
      <w:r w:rsidR="005F7535" w:rsidRPr="00221992">
        <w:rPr>
          <w:lang w:val="en-GB"/>
        </w:rPr>
        <w:t>as</w:t>
      </w:r>
      <w:r w:rsidRPr="00221992">
        <w:rPr>
          <w:lang w:val="en-GB"/>
        </w:rPr>
        <w:t xml:space="preserve"> innovati</w:t>
      </w:r>
      <w:r w:rsidR="005F7535" w:rsidRPr="00221992">
        <w:rPr>
          <w:lang w:val="en-GB"/>
        </w:rPr>
        <w:t xml:space="preserve">ve </w:t>
      </w:r>
      <w:r w:rsidRPr="00221992">
        <w:rPr>
          <w:lang w:val="en-GB"/>
        </w:rPr>
        <w:t xml:space="preserve">gain enhanced access to the market. They are included in </w:t>
      </w:r>
      <w:r w:rsidR="00DA4CEB" w:rsidRPr="00221992">
        <w:rPr>
          <w:lang w:val="en-GB"/>
        </w:rPr>
        <w:t xml:space="preserve">a dedicated cancer or </w:t>
      </w:r>
      <w:r w:rsidR="0043334E" w:rsidRPr="00221992">
        <w:rPr>
          <w:lang w:val="en-GB"/>
        </w:rPr>
        <w:t>other</w:t>
      </w:r>
      <w:r w:rsidR="00DA4CEB" w:rsidRPr="00221992">
        <w:rPr>
          <w:lang w:val="en-GB"/>
        </w:rPr>
        <w:t xml:space="preserve"> innovative </w:t>
      </w:r>
      <w:r w:rsidR="00EC48D1" w:rsidRPr="00221992">
        <w:rPr>
          <w:lang w:val="en-GB"/>
        </w:rPr>
        <w:t>medicinal product</w:t>
      </w:r>
      <w:r w:rsidR="00DA4CEB" w:rsidRPr="00221992">
        <w:rPr>
          <w:lang w:val="en-GB"/>
        </w:rPr>
        <w:t xml:space="preserve"> fund</w:t>
      </w:r>
      <w:r w:rsidRPr="00221992">
        <w:rPr>
          <w:lang w:val="en-GB"/>
        </w:rPr>
        <w:t xml:space="preserve">, each amounting to </w:t>
      </w:r>
      <w:r w:rsidR="0008337D" w:rsidRPr="00221992">
        <w:rPr>
          <w:lang w:val="en-GB"/>
        </w:rPr>
        <w:t>a total of</w:t>
      </w:r>
      <w:r w:rsidRPr="00221992">
        <w:rPr>
          <w:lang w:val="en-GB"/>
        </w:rPr>
        <w:t xml:space="preserve"> €500 million. </w:t>
      </w:r>
      <w:r w:rsidR="0043334E" w:rsidRPr="00221992">
        <w:rPr>
          <w:lang w:val="en-GB"/>
        </w:rPr>
        <w:t>I</w:t>
      </w:r>
      <w:r w:rsidRPr="00221992">
        <w:rPr>
          <w:lang w:val="en-GB"/>
        </w:rPr>
        <w:t xml:space="preserve">nclusion facilitates patient access by providing funding support and ensuring availability </w:t>
      </w:r>
      <w:r w:rsidR="00704FE4" w:rsidRPr="00221992">
        <w:rPr>
          <w:lang w:val="en-GB"/>
        </w:rPr>
        <w:t>on</w:t>
      </w:r>
      <w:r w:rsidRPr="00221992">
        <w:rPr>
          <w:lang w:val="en-GB"/>
        </w:rPr>
        <w:t xml:space="preserve"> regional therapeutic formularies.</w:t>
      </w:r>
      <w:r w:rsidR="00F12C88" w:rsidRPr="00221992">
        <w:rPr>
          <w:lang w:val="en-GB"/>
        </w:rPr>
        <w:t xml:space="preserve"> </w:t>
      </w:r>
      <w:r w:rsidRPr="00221992">
        <w:rPr>
          <w:lang w:val="en-GB"/>
        </w:rPr>
        <w:t xml:space="preserve">The duration of innovation status is set at maximum of 36 months, providing a significant period for treatments to have </w:t>
      </w:r>
      <w:r w:rsidR="00F12C88" w:rsidRPr="00221992">
        <w:rPr>
          <w:lang w:val="en-GB"/>
        </w:rPr>
        <w:t xml:space="preserve">a </w:t>
      </w:r>
      <w:r w:rsidRPr="00221992">
        <w:rPr>
          <w:lang w:val="en-GB"/>
        </w:rPr>
        <w:t xml:space="preserve">sustained </w:t>
      </w:r>
      <w:r w:rsidR="00F12C88" w:rsidRPr="00221992">
        <w:rPr>
          <w:lang w:val="en-GB"/>
        </w:rPr>
        <w:t xml:space="preserve">period for </w:t>
      </w:r>
      <w:r w:rsidRPr="00221992">
        <w:rPr>
          <w:lang w:val="en-GB"/>
        </w:rPr>
        <w:t>access and reimbursement</w:t>
      </w:r>
      <w:r w:rsidR="00A770E1" w:rsidRPr="00221992">
        <w:rPr>
          <w:lang w:val="en-GB"/>
        </w:rPr>
        <w:t xml:space="preserve">. </w:t>
      </w:r>
    </w:p>
    <w:p w14:paraId="09C9CD86" w14:textId="4339BCEB" w:rsidR="00D050CC" w:rsidRPr="00221992" w:rsidRDefault="6DACFE8C" w:rsidP="00D97A5B">
      <w:pPr>
        <w:rPr>
          <w:lang w:val="en-GB"/>
        </w:rPr>
      </w:pPr>
      <w:r w:rsidRPr="00221992">
        <w:rPr>
          <w:lang w:val="en-GB"/>
        </w:rPr>
        <w:t>The process incorporates a re-evaluation mechanism for conditionally or potentially innovative products. This mandatory re-evaluation at least 18 months after</w:t>
      </w:r>
      <w:r w:rsidR="57558E01" w:rsidRPr="00221992">
        <w:rPr>
          <w:lang w:val="en-GB"/>
        </w:rPr>
        <w:t xml:space="preserve"> initial listing </w:t>
      </w:r>
      <w:r w:rsidRPr="00221992">
        <w:rPr>
          <w:lang w:val="en-GB"/>
        </w:rPr>
        <w:t xml:space="preserve">ensures that evolving evidence can be considered to potentially upgrade the innovation status to </w:t>
      </w:r>
      <w:r w:rsidR="00551786">
        <w:rPr>
          <w:lang w:val="en-GB"/>
        </w:rPr>
        <w:t>‘</w:t>
      </w:r>
      <w:r w:rsidRPr="00221992">
        <w:rPr>
          <w:lang w:val="en-GB"/>
        </w:rPr>
        <w:t>fully innovative</w:t>
      </w:r>
      <w:r w:rsidR="0030571D" w:rsidRPr="00221992">
        <w:rPr>
          <w:lang w:val="en-GB"/>
        </w:rPr>
        <w:t>.</w:t>
      </w:r>
      <w:r w:rsidR="00551786">
        <w:rPr>
          <w:lang w:val="en-GB"/>
        </w:rPr>
        <w:t>’</w:t>
      </w:r>
      <w:r w:rsidRPr="00221992">
        <w:rPr>
          <w:lang w:val="en-GB"/>
        </w:rPr>
        <w:t xml:space="preserve"> This mechanism allows for continuous assessment and adjustment based on emerging data.</w:t>
      </w:r>
      <w:r w:rsidR="07CE2676" w:rsidRPr="00221992">
        <w:rPr>
          <w:lang w:val="en-GB"/>
        </w:rPr>
        <w:t xml:space="preserve"> For fully innovative products, participation in AIFA registries is mandatory </w:t>
      </w:r>
      <w:r w:rsidR="36FDD590" w:rsidRPr="00221992">
        <w:rPr>
          <w:lang w:val="en-GB"/>
        </w:rPr>
        <w:t>(i.e.</w:t>
      </w:r>
      <w:r w:rsidR="0030571D" w:rsidRPr="00221992">
        <w:rPr>
          <w:lang w:val="en-GB"/>
        </w:rPr>
        <w:t xml:space="preserve">, </w:t>
      </w:r>
      <w:r w:rsidR="000452F1">
        <w:rPr>
          <w:lang w:val="en-GB"/>
        </w:rPr>
        <w:t>participation</w:t>
      </w:r>
      <w:r w:rsidR="000452F1" w:rsidRPr="00221992">
        <w:rPr>
          <w:lang w:val="en-GB"/>
        </w:rPr>
        <w:t xml:space="preserve"> </w:t>
      </w:r>
      <w:r w:rsidR="0030571D" w:rsidRPr="00221992">
        <w:rPr>
          <w:lang w:val="en-GB"/>
        </w:rPr>
        <w:t>is</w:t>
      </w:r>
      <w:r w:rsidR="36FDD590" w:rsidRPr="00221992">
        <w:rPr>
          <w:lang w:val="en-GB"/>
        </w:rPr>
        <w:t xml:space="preserve"> linked to reimbursement) </w:t>
      </w:r>
      <w:r w:rsidR="07CE2676" w:rsidRPr="00221992">
        <w:rPr>
          <w:lang w:val="en-GB"/>
        </w:rPr>
        <w:t>as part of pharmaceutical governance to manage clinical and financial uncertaint</w:t>
      </w:r>
      <w:r w:rsidR="002D5F11" w:rsidRPr="00221992">
        <w:rPr>
          <w:lang w:val="en-GB"/>
        </w:rPr>
        <w:t>y</w:t>
      </w:r>
      <w:r w:rsidR="07CE2676" w:rsidRPr="00221992">
        <w:rPr>
          <w:lang w:val="en-GB"/>
        </w:rPr>
        <w:t xml:space="preserve">. </w:t>
      </w:r>
    </w:p>
    <w:p w14:paraId="1261D69F" w14:textId="76BE9FAE" w:rsidR="00CA0AE6" w:rsidRPr="00221992" w:rsidRDefault="002832A8" w:rsidP="0068662E">
      <w:pPr>
        <w:rPr>
          <w:lang w:val="en-GB"/>
        </w:rPr>
      </w:pPr>
      <w:r w:rsidRPr="00221992">
        <w:rPr>
          <w:lang w:val="en-GB"/>
        </w:rPr>
        <w:t xml:space="preserve">In </w:t>
      </w:r>
      <w:r w:rsidR="00C27ECF" w:rsidRPr="00221992">
        <w:rPr>
          <w:lang w:val="en-GB"/>
        </w:rPr>
        <w:t>2022</w:t>
      </w:r>
      <w:r w:rsidR="00EF42B5" w:rsidRPr="00221992">
        <w:rPr>
          <w:lang w:val="en-GB"/>
        </w:rPr>
        <w:t>,</w:t>
      </w:r>
      <w:r w:rsidR="00C27ECF" w:rsidRPr="00221992">
        <w:rPr>
          <w:lang w:val="en-GB"/>
        </w:rPr>
        <w:t xml:space="preserve"> </w:t>
      </w:r>
      <w:r w:rsidRPr="00221992">
        <w:rPr>
          <w:lang w:val="en-GB"/>
        </w:rPr>
        <w:t xml:space="preserve">a new </w:t>
      </w:r>
      <w:r w:rsidR="00B25E94" w:rsidRPr="00221992">
        <w:rPr>
          <w:lang w:val="en-GB"/>
        </w:rPr>
        <w:t xml:space="preserve">methodological </w:t>
      </w:r>
      <w:r w:rsidRPr="00221992">
        <w:rPr>
          <w:lang w:val="en-GB"/>
        </w:rPr>
        <w:t>approach was proposed</w:t>
      </w:r>
      <w:r w:rsidR="000E2B92" w:rsidRPr="00221992">
        <w:rPr>
          <w:lang w:val="en-GB"/>
        </w:rPr>
        <w:t xml:space="preserve"> that </w:t>
      </w:r>
      <w:r w:rsidR="00B25E94" w:rsidRPr="00221992">
        <w:rPr>
          <w:lang w:val="en-GB"/>
        </w:rPr>
        <w:t>combines a value-based</w:t>
      </w:r>
      <w:r w:rsidR="00373A35" w:rsidRPr="00221992">
        <w:rPr>
          <w:lang w:val="en-GB"/>
        </w:rPr>
        <w:t xml:space="preserve"> pricing approach to</w:t>
      </w:r>
      <w:r w:rsidR="00B25E94" w:rsidRPr="00221992">
        <w:rPr>
          <w:lang w:val="en-GB"/>
        </w:rPr>
        <w:t xml:space="preserve"> MEA</w:t>
      </w:r>
      <w:r w:rsidR="0066423E">
        <w:rPr>
          <w:lang w:val="en-GB"/>
        </w:rPr>
        <w:t>s</w:t>
      </w:r>
      <w:r w:rsidR="00B25E94" w:rsidRPr="00221992">
        <w:rPr>
          <w:lang w:val="en-GB"/>
        </w:rPr>
        <w:t xml:space="preserve"> (</w:t>
      </w:r>
      <w:r w:rsidR="0066423E">
        <w:rPr>
          <w:lang w:val="en-GB"/>
        </w:rPr>
        <w:t xml:space="preserve">i.e., </w:t>
      </w:r>
      <w:r w:rsidR="00B25E94" w:rsidRPr="00221992">
        <w:rPr>
          <w:lang w:val="en-GB"/>
        </w:rPr>
        <w:t xml:space="preserve">VBMEA) with a new model of </w:t>
      </w:r>
      <w:r w:rsidR="00963AE3" w:rsidRPr="00221992">
        <w:rPr>
          <w:lang w:val="en-GB"/>
        </w:rPr>
        <w:t>price</w:t>
      </w:r>
      <w:r w:rsidR="00B25E94" w:rsidRPr="00221992">
        <w:rPr>
          <w:lang w:val="en-GB"/>
        </w:rPr>
        <w:t xml:space="preserve"> negotiation</w:t>
      </w:r>
      <w:r w:rsidR="00C97257" w:rsidRPr="00221992">
        <w:rPr>
          <w:lang w:val="en-GB"/>
        </w:rPr>
        <w:t xml:space="preserve"> (see </w:t>
      </w:r>
      <w:r w:rsidR="00055080" w:rsidRPr="00221992">
        <w:rPr>
          <w:lang w:val="en-GB"/>
        </w:rPr>
        <w:fldChar w:fldCharType="begin"/>
      </w:r>
      <w:r w:rsidR="00055080">
        <w:instrText xml:space="preserve"> REF _Ref145507284 \h </w:instrText>
      </w:r>
      <w:r w:rsidR="00055080" w:rsidRPr="00221992">
        <w:rPr>
          <w:lang w:val="en-GB"/>
        </w:rPr>
      </w:r>
      <w:r w:rsidR="00055080" w:rsidRPr="00221992">
        <w:rPr>
          <w:lang w:val="en-GB"/>
        </w:rPr>
        <w:fldChar w:fldCharType="separate"/>
      </w:r>
      <w:r w:rsidR="000E11E7" w:rsidRPr="00221992">
        <w:rPr>
          <w:lang w:val="en-GB"/>
        </w:rPr>
        <w:t xml:space="preserve">Figure </w:t>
      </w:r>
      <w:r w:rsidR="000E11E7">
        <w:rPr>
          <w:noProof/>
          <w:lang w:val="en-GB"/>
        </w:rPr>
        <w:t>32</w:t>
      </w:r>
      <w:r w:rsidR="00055080" w:rsidRPr="00221992">
        <w:rPr>
          <w:lang w:val="en-GB"/>
        </w:rPr>
        <w:fldChar w:fldCharType="end"/>
      </w:r>
      <w:r w:rsidR="00C97257" w:rsidRPr="00221992">
        <w:rPr>
          <w:lang w:val="en-GB"/>
        </w:rPr>
        <w:t>)</w:t>
      </w:r>
      <w:r w:rsidR="000C0396" w:rsidRPr="00221992">
        <w:rPr>
          <w:lang w:val="en-GB"/>
        </w:rPr>
        <w:t>. This approach</w:t>
      </w:r>
      <w:r w:rsidR="00B25E94" w:rsidRPr="00221992">
        <w:rPr>
          <w:lang w:val="en-GB"/>
        </w:rPr>
        <w:t xml:space="preserve"> </w:t>
      </w:r>
      <w:r w:rsidR="00963AE3" w:rsidRPr="00221992">
        <w:rPr>
          <w:lang w:val="en-GB"/>
        </w:rPr>
        <w:t>aims</w:t>
      </w:r>
      <w:r w:rsidR="00373A35" w:rsidRPr="00221992">
        <w:rPr>
          <w:lang w:val="en-GB"/>
        </w:rPr>
        <w:t xml:space="preserve"> to bridge</w:t>
      </w:r>
      <w:r w:rsidR="00B25E94" w:rsidRPr="00221992">
        <w:rPr>
          <w:lang w:val="en-GB"/>
        </w:rPr>
        <w:t xml:space="preserve"> the gap </w:t>
      </w:r>
      <w:r w:rsidR="00373A35" w:rsidRPr="00221992">
        <w:rPr>
          <w:lang w:val="en-GB"/>
        </w:rPr>
        <w:t xml:space="preserve">between clinical trial data and </w:t>
      </w:r>
      <w:r w:rsidR="00697606" w:rsidRPr="00221992">
        <w:rPr>
          <w:lang w:val="en-GB"/>
        </w:rPr>
        <w:t>RWE</w:t>
      </w:r>
      <w:r w:rsidR="00373A35" w:rsidRPr="00221992">
        <w:rPr>
          <w:lang w:val="en-GB"/>
        </w:rPr>
        <w:t>, by ensuring that the price and negotiated conditions are verified through the AIFA registries platform</w:t>
      </w:r>
      <w:r w:rsidR="000C0396" w:rsidRPr="00221992">
        <w:rPr>
          <w:lang w:val="en-GB"/>
        </w:rPr>
        <w:t xml:space="preserve"> </w:t>
      </w:r>
      <w:r w:rsidR="00653F87" w:rsidRPr="00221992">
        <w:rPr>
          <w:lang w:val="en-GB"/>
        </w:rPr>
        <w:fldChar w:fldCharType="begin"/>
      </w:r>
      <w:r w:rsidR="00E5265C">
        <w:rPr>
          <w:lang w:val="en-GB"/>
        </w:rPr>
        <w:instrText xml:space="preserve"> ADDIN EN.CITE &lt;EndNote&gt;&lt;Cite&gt;&lt;Author&gt;Xoxi&lt;/Author&gt;&lt;Year&gt;2022&lt;/Year&gt;&lt;RecNum&gt;487&lt;/RecNum&gt;&lt;DisplayText&gt;[210]&lt;/DisplayText&gt;&lt;record&gt;&lt;rec-number&gt;487&lt;/rec-number&gt;&lt;foreign-keys&gt;&lt;key app="EN" db-id="wzwwsfxe4peesxef95cxvrwjxts9rreasarf" timestamp="1692654671"&gt;487&lt;/key&gt;&lt;/foreign-keys&gt;&lt;ref-type name="Journal Article"&gt;17&lt;/ref-type&gt;&lt;contributors&gt;&lt;authors&gt;&lt;author&gt;Xoxi, E.&lt;/author&gt;&lt;author&gt;Rumi, F.&lt;/author&gt;&lt;author&gt;Kanavos, P.&lt;/author&gt;&lt;author&gt;Dauben, H. P.&lt;/author&gt;&lt;author&gt;Gutierrez-Ibarluzea, I.&lt;/author&gt;&lt;author&gt;Wong, O.&lt;/author&gt;&lt;author&gt;Rasi, G.&lt;/author&gt;&lt;author&gt;Cicchetti, A.&lt;/author&gt;&lt;/authors&gt;&lt;/contributors&gt;&lt;auth-address&gt;Postgraduate School of Health Economics and Management (ALTEMS), Università Cattolica del Sacro Cuore, Rome, Italy&amp;#xD;London School of Economics and Political Science, London, United Kingdom&amp;#xD;Rheinische Fachhochschule Köln, University for Applied Science, Köln, Germany&amp;#xD;BIOEF, Public Foundation of the Department of Health to Promote Innovation and Research in Euskadi, Bilbao, Spain&amp;#xD;Medi-Qualité Omega, Paris, France&amp;#xD;Clinical Trial Center, Policlinico Universitario Agostino Gemelli IRCCS, Rome, Italy&lt;/auth-address&gt;&lt;titles&gt;&lt;title&gt;A Proposal for Value-Based Managed Entry Agreements in an Environment of Technological Change and Economic Challenge for Publicly Funded Healthcare Systems&lt;/title&gt;&lt;secondary-title&gt;Front Med Technol&lt;/secondary-title&gt;&lt;/titles&gt;&lt;periodical&gt;&lt;full-title&gt;Front Med Technol&lt;/full-title&gt;&lt;/periodical&gt;&lt;volume&gt;4&lt;/volume&gt;&lt;edition&gt;20220616&lt;/edition&gt;&lt;dates&gt;&lt;year&gt;2022&lt;/year&gt;&lt;/dates&gt;&lt;accession-num&gt;35782579&lt;/accession-num&gt;&lt;urls&gt;&lt;/urls&gt;&lt;custom2&gt;PMC9245041&lt;/custom2&gt;&lt;electronic-resource-num&gt;10.3389/fmedt.2022.888404&lt;/electronic-resource-num&gt;&lt;language&gt;eng&lt;/language&gt;&lt;/record&gt;&lt;/Cite&gt;&lt;/EndNote&gt;</w:instrText>
      </w:r>
      <w:r w:rsidR="00653F87" w:rsidRPr="00221992">
        <w:rPr>
          <w:lang w:val="en-GB"/>
        </w:rPr>
        <w:fldChar w:fldCharType="separate"/>
      </w:r>
      <w:r w:rsidR="00E5265C">
        <w:rPr>
          <w:noProof/>
          <w:lang w:val="en-GB"/>
        </w:rPr>
        <w:t>[210]</w:t>
      </w:r>
      <w:r w:rsidR="00653F87" w:rsidRPr="00221992">
        <w:rPr>
          <w:lang w:val="en-GB"/>
        </w:rPr>
        <w:fldChar w:fldCharType="end"/>
      </w:r>
      <w:r w:rsidR="00867165" w:rsidRPr="00221992">
        <w:rPr>
          <w:lang w:val="en-GB"/>
        </w:rPr>
        <w:t xml:space="preserve">. </w:t>
      </w:r>
      <w:r w:rsidR="00CA0AE6" w:rsidRPr="00221992">
        <w:rPr>
          <w:lang w:val="en-GB"/>
        </w:rPr>
        <w:t xml:space="preserve">The approach is </w:t>
      </w:r>
      <w:r w:rsidR="000C0396" w:rsidRPr="00221992">
        <w:rPr>
          <w:lang w:val="en-GB"/>
        </w:rPr>
        <w:t>motivated</w:t>
      </w:r>
      <w:r w:rsidR="00CA0AE6" w:rsidRPr="00221992">
        <w:rPr>
          <w:lang w:val="en-GB"/>
        </w:rPr>
        <w:t xml:space="preserve"> by several factors. First, </w:t>
      </w:r>
      <w:r w:rsidR="00DA4CEB" w:rsidRPr="00221992">
        <w:rPr>
          <w:lang w:val="en-GB"/>
        </w:rPr>
        <w:t>in the current reimbursement process</w:t>
      </w:r>
      <w:r w:rsidR="00C33A92" w:rsidRPr="00221992">
        <w:rPr>
          <w:lang w:val="en-GB"/>
        </w:rPr>
        <w:t>,</w:t>
      </w:r>
      <w:r w:rsidR="00DA4CEB" w:rsidRPr="00221992">
        <w:rPr>
          <w:lang w:val="en-GB"/>
        </w:rPr>
        <w:t xml:space="preserve"> registry data is used to inform MEA</w:t>
      </w:r>
      <w:r w:rsidR="00C33A92" w:rsidRPr="00221992">
        <w:rPr>
          <w:lang w:val="en-GB"/>
        </w:rPr>
        <w:t>s</w:t>
      </w:r>
      <w:r w:rsidR="00DA4CEB" w:rsidRPr="00221992">
        <w:rPr>
          <w:lang w:val="en-GB"/>
        </w:rPr>
        <w:t xml:space="preserve"> and AIFA</w:t>
      </w:r>
      <w:r w:rsidR="00551786">
        <w:rPr>
          <w:lang w:val="en-GB"/>
        </w:rPr>
        <w:t>’</w:t>
      </w:r>
      <w:r w:rsidR="00DA4CEB" w:rsidRPr="00221992">
        <w:rPr>
          <w:lang w:val="en-GB"/>
        </w:rPr>
        <w:t xml:space="preserve">s re-evaluation of new products after an initial coverage period of two years. The new proposal identifies </w:t>
      </w:r>
      <w:r w:rsidR="00CA0AE6" w:rsidRPr="00221992">
        <w:rPr>
          <w:lang w:val="en-GB"/>
        </w:rPr>
        <w:t>a need to avoid increases in public expenditure caused by frequent renegotiations based on the results from AIFA registries every 24 months</w:t>
      </w:r>
      <w:r w:rsidR="00C627E6" w:rsidRPr="00221992">
        <w:rPr>
          <w:lang w:val="en-GB"/>
        </w:rPr>
        <w:t xml:space="preserve"> </w:t>
      </w:r>
      <w:r w:rsidR="003A7B8F" w:rsidRPr="00221992">
        <w:rPr>
          <w:lang w:val="en-GB"/>
        </w:rPr>
        <w:fldChar w:fldCharType="begin"/>
      </w:r>
      <w:r w:rsidR="00E5265C">
        <w:rPr>
          <w:lang w:val="en-GB"/>
        </w:rPr>
        <w:instrText xml:space="preserve"> ADDIN EN.CITE &lt;EndNote&gt;&lt;Cite&gt;&lt;Author&gt;Xoxi&lt;/Author&gt;&lt;Year&gt;2022&lt;/Year&gt;&lt;RecNum&gt;487&lt;/RecNum&gt;&lt;DisplayText&gt;[210]&lt;/DisplayText&gt;&lt;record&gt;&lt;rec-number&gt;487&lt;/rec-number&gt;&lt;foreign-keys&gt;&lt;key app="EN" db-id="wzwwsfxe4peesxef95cxvrwjxts9rreasarf" timestamp="1692654671"&gt;487&lt;/key&gt;&lt;/foreign-keys&gt;&lt;ref-type name="Journal Article"&gt;17&lt;/ref-type&gt;&lt;contributors&gt;&lt;authors&gt;&lt;author&gt;Xoxi, E.&lt;/author&gt;&lt;author&gt;Rumi, F.&lt;/author&gt;&lt;author&gt;Kanavos, P.&lt;/author&gt;&lt;author&gt;Dauben, H. P.&lt;/author&gt;&lt;author&gt;Gutierrez-Ibarluzea, I.&lt;/author&gt;&lt;author&gt;Wong, O.&lt;/author&gt;&lt;author&gt;Rasi, G.&lt;/author&gt;&lt;author&gt;Cicchetti, A.&lt;/author&gt;&lt;/authors&gt;&lt;/contributors&gt;&lt;auth-address&gt;Postgraduate School of Health Economics and Management (ALTEMS), Università Cattolica del Sacro Cuore, Rome, Italy&amp;#xD;London School of Economics and Political Science, London, United Kingdom&amp;#xD;Rheinische Fachhochschule Köln, University for Applied Science, Köln, Germany&amp;#xD;BIOEF, Public Foundation of the Department of Health to Promote Innovation and Research in Euskadi, Bilbao, Spain&amp;#xD;Medi-Qualité Omega, Paris, France&amp;#xD;Clinical Trial Center, Policlinico Universitario Agostino Gemelli IRCCS, Rome, Italy&lt;/auth-address&gt;&lt;titles&gt;&lt;title&gt;A Proposal for Value-Based Managed Entry Agreements in an Environment of Technological Change and Economic Challenge for Publicly Funded Healthcare Systems&lt;/title&gt;&lt;secondary-title&gt;Front Med Technol&lt;/secondary-title&gt;&lt;/titles&gt;&lt;periodical&gt;&lt;full-title&gt;Front Med Technol&lt;/full-title&gt;&lt;/periodical&gt;&lt;volume&gt;4&lt;/volume&gt;&lt;edition&gt;20220616&lt;/edition&gt;&lt;dates&gt;&lt;year&gt;2022&lt;/year&gt;&lt;/dates&gt;&lt;accession-num&gt;35782579&lt;/accession-num&gt;&lt;urls&gt;&lt;/urls&gt;&lt;custom2&gt;PMC9245041&lt;/custom2&gt;&lt;electronic-resource-num&gt;10.3389/fmedt.2022.888404&lt;/electronic-resource-num&gt;&lt;language&gt;eng&lt;/language&gt;&lt;/record&gt;&lt;/Cite&gt;&lt;/EndNote&gt;</w:instrText>
      </w:r>
      <w:r w:rsidR="003A7B8F" w:rsidRPr="00221992">
        <w:rPr>
          <w:lang w:val="en-GB"/>
        </w:rPr>
        <w:fldChar w:fldCharType="separate"/>
      </w:r>
      <w:r w:rsidR="00E5265C">
        <w:rPr>
          <w:noProof/>
          <w:lang w:val="en-GB"/>
        </w:rPr>
        <w:t>[210]</w:t>
      </w:r>
      <w:r w:rsidR="003A7B8F" w:rsidRPr="00221992">
        <w:rPr>
          <w:lang w:val="en-GB"/>
        </w:rPr>
        <w:fldChar w:fldCharType="end"/>
      </w:r>
      <w:r w:rsidR="00CA0AE6" w:rsidRPr="00221992">
        <w:rPr>
          <w:lang w:val="en-GB"/>
        </w:rPr>
        <w:t xml:space="preserve">. </w:t>
      </w:r>
      <w:r w:rsidR="00D03985" w:rsidRPr="00221992">
        <w:rPr>
          <w:lang w:val="en-GB"/>
        </w:rPr>
        <w:t>This is crucial in the face of demographic changes, such as an aging population and the rise of chronic diseases, as well as ongoing technological advancements strain</w:t>
      </w:r>
      <w:r w:rsidR="00637B2C" w:rsidRPr="00221992">
        <w:rPr>
          <w:lang w:val="en-GB"/>
        </w:rPr>
        <w:t>ing</w:t>
      </w:r>
      <w:r w:rsidR="00D03985" w:rsidRPr="00221992">
        <w:rPr>
          <w:lang w:val="en-GB"/>
        </w:rPr>
        <w:t xml:space="preserve"> the healthcare </w:t>
      </w:r>
      <w:r w:rsidR="00DA4CEB" w:rsidRPr="00221992">
        <w:rPr>
          <w:lang w:val="en-GB"/>
        </w:rPr>
        <w:t>budget.</w:t>
      </w:r>
      <w:r w:rsidR="00D03985" w:rsidRPr="00221992">
        <w:rPr>
          <w:lang w:val="en-GB"/>
        </w:rPr>
        <w:t xml:space="preserve"> </w:t>
      </w:r>
      <w:r w:rsidR="36C963A6" w:rsidRPr="00221992">
        <w:rPr>
          <w:lang w:val="en-GB"/>
        </w:rPr>
        <w:t xml:space="preserve">Second, </w:t>
      </w:r>
      <w:r w:rsidR="11E4784E" w:rsidRPr="00221992">
        <w:rPr>
          <w:lang w:val="en-GB"/>
        </w:rPr>
        <w:t xml:space="preserve">the proposed model addresses some of the limitations in </w:t>
      </w:r>
      <w:r w:rsidR="00EE7FE4" w:rsidRPr="00221992">
        <w:rPr>
          <w:lang w:val="en-GB"/>
        </w:rPr>
        <w:t>Italy</w:t>
      </w:r>
      <w:r w:rsidR="00551786">
        <w:rPr>
          <w:lang w:val="en-GB"/>
        </w:rPr>
        <w:t>’</w:t>
      </w:r>
      <w:r w:rsidR="00EE7FE4" w:rsidRPr="00221992">
        <w:rPr>
          <w:lang w:val="en-GB"/>
        </w:rPr>
        <w:t>s</w:t>
      </w:r>
      <w:r w:rsidR="11E4784E" w:rsidRPr="00221992">
        <w:rPr>
          <w:lang w:val="en-GB"/>
        </w:rPr>
        <w:t xml:space="preserve"> u</w:t>
      </w:r>
      <w:r w:rsidR="06BFC26C" w:rsidRPr="00221992">
        <w:rPr>
          <w:lang w:val="en-GB"/>
        </w:rPr>
        <w:t xml:space="preserve">se </w:t>
      </w:r>
      <w:r w:rsidR="34FA64AC" w:rsidRPr="00221992">
        <w:rPr>
          <w:lang w:val="en-GB"/>
        </w:rPr>
        <w:t>of registry data</w:t>
      </w:r>
      <w:r w:rsidR="277C5CBD" w:rsidRPr="00221992">
        <w:rPr>
          <w:lang w:val="en-GB"/>
        </w:rPr>
        <w:t xml:space="preserve"> to inform MEAs,</w:t>
      </w:r>
      <w:r w:rsidR="34FA64AC" w:rsidRPr="00221992">
        <w:rPr>
          <w:lang w:val="en-GB"/>
        </w:rPr>
        <w:t xml:space="preserve"> such as pati</w:t>
      </w:r>
      <w:r w:rsidR="6F211E02" w:rsidRPr="00221992">
        <w:rPr>
          <w:lang w:val="en-GB"/>
        </w:rPr>
        <w:t>ent eligibility, areas of uncertainty</w:t>
      </w:r>
      <w:r w:rsidR="00951B1D" w:rsidRPr="00221992">
        <w:rPr>
          <w:lang w:val="en-GB"/>
        </w:rPr>
        <w:t>,</w:t>
      </w:r>
      <w:r w:rsidR="6F211E02" w:rsidRPr="00221992">
        <w:rPr>
          <w:lang w:val="en-GB"/>
        </w:rPr>
        <w:t xml:space="preserve"> and </w:t>
      </w:r>
      <w:r w:rsidR="00601A4F" w:rsidRPr="00221992">
        <w:rPr>
          <w:lang w:val="en-GB"/>
        </w:rPr>
        <w:t xml:space="preserve">rationalised </w:t>
      </w:r>
      <w:r w:rsidR="00951B1D" w:rsidRPr="00221992">
        <w:rPr>
          <w:lang w:val="en-GB"/>
        </w:rPr>
        <w:t>timeframe</w:t>
      </w:r>
      <w:r w:rsidR="00601A4F" w:rsidRPr="00221992">
        <w:rPr>
          <w:lang w:val="en-GB"/>
        </w:rPr>
        <w:t>s</w:t>
      </w:r>
      <w:r w:rsidR="6F211E02" w:rsidRPr="00221992">
        <w:rPr>
          <w:lang w:val="en-GB"/>
        </w:rPr>
        <w:t xml:space="preserve"> </w:t>
      </w:r>
      <w:r w:rsidR="00951B1D" w:rsidRPr="00221992">
        <w:rPr>
          <w:lang w:val="en-GB"/>
        </w:rPr>
        <w:t>for</w:t>
      </w:r>
      <w:r w:rsidR="6F211E02" w:rsidRPr="00221992">
        <w:rPr>
          <w:lang w:val="en-GB"/>
        </w:rPr>
        <w:t xml:space="preserve"> MEA</w:t>
      </w:r>
      <w:r w:rsidR="00951B1D" w:rsidRPr="00221992">
        <w:rPr>
          <w:lang w:val="en-GB"/>
        </w:rPr>
        <w:t>s</w:t>
      </w:r>
      <w:r w:rsidR="6F211E02" w:rsidRPr="00221992">
        <w:rPr>
          <w:lang w:val="en-GB"/>
        </w:rPr>
        <w:t xml:space="preserve">. </w:t>
      </w:r>
      <w:r w:rsidR="00601A4F" w:rsidRPr="00221992">
        <w:rPr>
          <w:lang w:val="en-GB"/>
        </w:rPr>
        <w:t>I</w:t>
      </w:r>
      <w:r w:rsidR="1F93FF7D" w:rsidRPr="00221992">
        <w:rPr>
          <w:lang w:val="en-GB"/>
        </w:rPr>
        <w:t xml:space="preserve">ncorporating </w:t>
      </w:r>
      <w:r w:rsidR="009406FB">
        <w:rPr>
          <w:lang w:val="en-GB"/>
        </w:rPr>
        <w:t>RWE</w:t>
      </w:r>
      <w:r w:rsidR="1F93FF7D" w:rsidRPr="00221992">
        <w:rPr>
          <w:lang w:val="en-GB"/>
        </w:rPr>
        <w:t xml:space="preserve"> </w:t>
      </w:r>
      <w:r w:rsidR="6F65458C" w:rsidRPr="00221992">
        <w:rPr>
          <w:lang w:val="en-GB"/>
        </w:rPr>
        <w:t>into decision</w:t>
      </w:r>
      <w:r w:rsidR="00601A4F" w:rsidRPr="00221992">
        <w:rPr>
          <w:lang w:val="en-GB"/>
        </w:rPr>
        <w:t>-</w:t>
      </w:r>
      <w:r w:rsidR="6F65458C" w:rsidRPr="00221992">
        <w:rPr>
          <w:lang w:val="en-GB"/>
        </w:rPr>
        <w:t xml:space="preserve">making </w:t>
      </w:r>
      <w:r w:rsidR="00C11BBF" w:rsidRPr="00221992">
        <w:rPr>
          <w:lang w:val="en-GB"/>
        </w:rPr>
        <w:t>aims to inform price negotiation</w:t>
      </w:r>
      <w:r w:rsidR="1F93FF7D" w:rsidRPr="00221992">
        <w:rPr>
          <w:lang w:val="en-GB"/>
        </w:rPr>
        <w:t xml:space="preserve"> based on </w:t>
      </w:r>
      <w:r w:rsidR="00551786">
        <w:rPr>
          <w:lang w:val="en-GB"/>
        </w:rPr>
        <w:t>‘</w:t>
      </w:r>
      <w:r w:rsidR="6F65458C" w:rsidRPr="00221992">
        <w:rPr>
          <w:lang w:val="en-GB"/>
        </w:rPr>
        <w:t>value</w:t>
      </w:r>
      <w:r w:rsidR="00551786">
        <w:rPr>
          <w:lang w:val="en-GB"/>
        </w:rPr>
        <w:t>’</w:t>
      </w:r>
      <w:r w:rsidR="6F65458C" w:rsidRPr="00221992">
        <w:rPr>
          <w:lang w:val="en-GB"/>
        </w:rPr>
        <w:t xml:space="preserve"> </w:t>
      </w:r>
      <w:r w:rsidR="0034580C" w:rsidRPr="00221992">
        <w:rPr>
          <w:lang w:val="en-GB"/>
        </w:rPr>
        <w:t>supported</w:t>
      </w:r>
      <w:r w:rsidR="6F65458C" w:rsidRPr="00221992">
        <w:rPr>
          <w:lang w:val="en-GB"/>
        </w:rPr>
        <w:t xml:space="preserve"> by</w:t>
      </w:r>
      <w:r w:rsidR="1F93FF7D" w:rsidRPr="00221992">
        <w:rPr>
          <w:lang w:val="en-GB"/>
        </w:rPr>
        <w:t xml:space="preserve"> </w:t>
      </w:r>
      <w:r w:rsidR="0034580C" w:rsidRPr="00221992">
        <w:rPr>
          <w:lang w:val="en-GB"/>
        </w:rPr>
        <w:t>empirical</w:t>
      </w:r>
      <w:r w:rsidR="1F93FF7D" w:rsidRPr="00221992">
        <w:rPr>
          <w:lang w:val="en-GB"/>
        </w:rPr>
        <w:t xml:space="preserve"> treatment outcomes</w:t>
      </w:r>
      <w:r w:rsidR="5DFBDCE2" w:rsidRPr="00221992">
        <w:rPr>
          <w:lang w:val="en-GB"/>
        </w:rPr>
        <w:t xml:space="preserve">. </w:t>
      </w:r>
      <w:r w:rsidR="216B220C" w:rsidRPr="00221992">
        <w:rPr>
          <w:lang w:val="en-GB"/>
        </w:rPr>
        <w:t xml:space="preserve">If a treatment has been </w:t>
      </w:r>
      <w:r w:rsidR="00551786">
        <w:rPr>
          <w:lang w:val="en-GB"/>
        </w:rPr>
        <w:t>‘</w:t>
      </w:r>
      <w:r w:rsidR="216B220C" w:rsidRPr="00221992">
        <w:rPr>
          <w:lang w:val="en-GB"/>
        </w:rPr>
        <w:t>overvalued</w:t>
      </w:r>
      <w:r w:rsidR="0034580C" w:rsidRPr="00221992">
        <w:rPr>
          <w:lang w:val="en-GB"/>
        </w:rPr>
        <w:t>,</w:t>
      </w:r>
      <w:r w:rsidR="00551786">
        <w:rPr>
          <w:lang w:val="en-GB"/>
        </w:rPr>
        <w:t>’</w:t>
      </w:r>
      <w:r w:rsidR="216B220C" w:rsidRPr="00221992">
        <w:rPr>
          <w:lang w:val="en-GB"/>
        </w:rPr>
        <w:t xml:space="preserve"> a</w:t>
      </w:r>
      <w:r w:rsidR="6F65458C" w:rsidRPr="00221992">
        <w:rPr>
          <w:lang w:val="en-GB"/>
        </w:rPr>
        <w:t xml:space="preserve">ny cost differential </w:t>
      </w:r>
      <w:r w:rsidR="216B220C" w:rsidRPr="00221992">
        <w:rPr>
          <w:lang w:val="en-GB"/>
        </w:rPr>
        <w:t xml:space="preserve">is </w:t>
      </w:r>
      <w:r w:rsidR="6F65458C" w:rsidRPr="00221992">
        <w:rPr>
          <w:lang w:val="en-GB"/>
        </w:rPr>
        <w:t xml:space="preserve">refunded to the </w:t>
      </w:r>
      <w:r w:rsidR="0034580C" w:rsidRPr="00221992">
        <w:rPr>
          <w:lang w:val="en-GB"/>
        </w:rPr>
        <w:t>SSN</w:t>
      </w:r>
      <w:r w:rsidR="6F65458C" w:rsidRPr="00221992">
        <w:rPr>
          <w:lang w:val="en-GB"/>
        </w:rPr>
        <w:t xml:space="preserve">. </w:t>
      </w:r>
      <w:r w:rsidR="00CA0AE6" w:rsidRPr="00221992">
        <w:rPr>
          <w:lang w:val="en-GB"/>
        </w:rPr>
        <w:t xml:space="preserve">Finally, </w:t>
      </w:r>
      <w:r w:rsidR="00AD0CC2" w:rsidRPr="00221992">
        <w:rPr>
          <w:lang w:val="en-GB"/>
        </w:rPr>
        <w:t>the new</w:t>
      </w:r>
      <w:r w:rsidR="00CA0AE6" w:rsidRPr="00221992">
        <w:rPr>
          <w:lang w:val="en-GB"/>
        </w:rPr>
        <w:t xml:space="preserve"> procedure</w:t>
      </w:r>
      <w:r w:rsidR="00AD0CC2" w:rsidRPr="00221992">
        <w:rPr>
          <w:lang w:val="en-GB"/>
        </w:rPr>
        <w:t>s</w:t>
      </w:r>
      <w:r w:rsidR="00CA0AE6" w:rsidRPr="00221992">
        <w:rPr>
          <w:lang w:val="en-GB"/>
        </w:rPr>
        <w:t xml:space="preserve"> </w:t>
      </w:r>
      <w:r w:rsidR="008221BB" w:rsidRPr="00221992">
        <w:rPr>
          <w:lang w:val="en-GB"/>
        </w:rPr>
        <w:t>aims to</w:t>
      </w:r>
      <w:r w:rsidR="00DA4CEB" w:rsidRPr="00221992">
        <w:rPr>
          <w:lang w:val="en-GB"/>
        </w:rPr>
        <w:t xml:space="preserve"> </w:t>
      </w:r>
      <w:r w:rsidR="00AD0CC2" w:rsidRPr="00221992">
        <w:rPr>
          <w:lang w:val="en-GB"/>
        </w:rPr>
        <w:t>enhance the</w:t>
      </w:r>
      <w:r w:rsidR="00CA0AE6" w:rsidRPr="00221992">
        <w:rPr>
          <w:lang w:val="en-GB"/>
        </w:rPr>
        <w:t xml:space="preserve"> transparency </w:t>
      </w:r>
      <w:r w:rsidR="008221BB" w:rsidRPr="00221992">
        <w:rPr>
          <w:lang w:val="en-GB"/>
        </w:rPr>
        <w:t xml:space="preserve">and accountability by basing </w:t>
      </w:r>
      <w:r w:rsidR="00CA0AE6" w:rsidRPr="00221992">
        <w:rPr>
          <w:lang w:val="en-GB"/>
        </w:rPr>
        <w:t>pric</w:t>
      </w:r>
      <w:r w:rsidR="008221BB" w:rsidRPr="00221992">
        <w:rPr>
          <w:lang w:val="en-GB"/>
        </w:rPr>
        <w:t>ing and reimbursement</w:t>
      </w:r>
      <w:r w:rsidR="00CA0AE6" w:rsidRPr="00221992">
        <w:rPr>
          <w:lang w:val="en-GB"/>
        </w:rPr>
        <w:t xml:space="preserve"> negotiations on </w:t>
      </w:r>
      <w:r w:rsidR="00DA4CEB" w:rsidRPr="00221992">
        <w:rPr>
          <w:lang w:val="en-GB"/>
        </w:rPr>
        <w:t xml:space="preserve">more </w:t>
      </w:r>
      <w:r w:rsidR="00CA0AE6" w:rsidRPr="00221992">
        <w:rPr>
          <w:lang w:val="en-GB"/>
        </w:rPr>
        <w:t xml:space="preserve">reliable </w:t>
      </w:r>
      <w:r w:rsidR="00697606" w:rsidRPr="00221992">
        <w:rPr>
          <w:lang w:val="en-GB"/>
        </w:rPr>
        <w:t>RWE</w:t>
      </w:r>
      <w:r w:rsidR="00CA0AE6" w:rsidRPr="00221992">
        <w:rPr>
          <w:lang w:val="en-GB"/>
        </w:rPr>
        <w:t xml:space="preserve">. </w:t>
      </w:r>
      <w:r w:rsidR="00BA153E" w:rsidRPr="00221992">
        <w:rPr>
          <w:lang w:val="en-GB"/>
        </w:rPr>
        <w:t xml:space="preserve">If successful, this innovative status methodology is expected to be </w:t>
      </w:r>
      <w:r w:rsidR="00AA3193" w:rsidRPr="00221992">
        <w:rPr>
          <w:lang w:val="en-GB"/>
        </w:rPr>
        <w:t xml:space="preserve">more </w:t>
      </w:r>
      <w:r w:rsidR="00BA153E" w:rsidRPr="00221992">
        <w:rPr>
          <w:lang w:val="en-GB"/>
        </w:rPr>
        <w:t>widely adopted across Italy</w:t>
      </w:r>
      <w:r w:rsidR="00551786">
        <w:rPr>
          <w:lang w:val="en-GB"/>
        </w:rPr>
        <w:t>’</w:t>
      </w:r>
      <w:r w:rsidR="00BA153E" w:rsidRPr="00221992">
        <w:rPr>
          <w:lang w:val="en-GB"/>
        </w:rPr>
        <w:t>s standard reimbursement pathways</w:t>
      </w:r>
      <w:r w:rsidR="005F3EEE" w:rsidRPr="00221992">
        <w:rPr>
          <w:lang w:val="en-GB"/>
        </w:rPr>
        <w:t xml:space="preserve"> </w:t>
      </w:r>
      <w:r w:rsidR="005F3EEE" w:rsidRPr="00221992">
        <w:rPr>
          <w:lang w:val="en-GB"/>
        </w:rPr>
        <w:fldChar w:fldCharType="begin"/>
      </w:r>
      <w:r w:rsidR="00E5265C">
        <w:rPr>
          <w:lang w:val="en-GB"/>
        </w:rPr>
        <w:instrText xml:space="preserve"> ADDIN EN.CITE &lt;EndNote&gt;&lt;Cite&gt;&lt;Author&gt;Xoxi&lt;/Author&gt;&lt;Year&gt;2022&lt;/Year&gt;&lt;RecNum&gt;487&lt;/RecNum&gt;&lt;DisplayText&gt;[210]&lt;/DisplayText&gt;&lt;record&gt;&lt;rec-number&gt;487&lt;/rec-number&gt;&lt;foreign-keys&gt;&lt;key app="EN" db-id="wzwwsfxe4peesxef95cxvrwjxts9rreasarf" timestamp="1692654671"&gt;487&lt;/key&gt;&lt;/foreign-keys&gt;&lt;ref-type name="Journal Article"&gt;17&lt;/ref-type&gt;&lt;contributors&gt;&lt;authors&gt;&lt;author&gt;Xoxi, E.&lt;/author&gt;&lt;author&gt;Rumi, F.&lt;/author&gt;&lt;author&gt;Kanavos, P.&lt;/author&gt;&lt;author&gt;Dauben, H. P.&lt;/author&gt;&lt;author&gt;Gutierrez-Ibarluzea, I.&lt;/author&gt;&lt;author&gt;Wong, O.&lt;/author&gt;&lt;author&gt;Rasi, G.&lt;/author&gt;&lt;author&gt;Cicchetti, A.&lt;/author&gt;&lt;/authors&gt;&lt;/contributors&gt;&lt;auth-address&gt;Postgraduate School of Health Economics and Management (ALTEMS), Università Cattolica del Sacro Cuore, Rome, Italy&amp;#xD;London School of Economics and Political Science, London, United Kingdom&amp;#xD;Rheinische Fachhochschule Köln, University for Applied Science, Köln, Germany&amp;#xD;BIOEF, Public Foundation of the Department of Health to Promote Innovation and Research in Euskadi, Bilbao, Spain&amp;#xD;Medi-Qualité Omega, Paris, France&amp;#xD;Clinical Trial Center, Policlinico Universitario Agostino Gemelli IRCCS, Rome, Italy&lt;/auth-address&gt;&lt;titles&gt;&lt;title&gt;A Proposal for Value-Based Managed Entry Agreements in an Environment of Technological Change and Economic Challenge for Publicly Funded Healthcare Systems&lt;/title&gt;&lt;secondary-title&gt;Front Med Technol&lt;/secondary-title&gt;&lt;/titles&gt;&lt;periodical&gt;&lt;full-title&gt;Front Med Technol&lt;/full-title&gt;&lt;/periodical&gt;&lt;volume&gt;4&lt;/volume&gt;&lt;edition&gt;20220616&lt;/edition&gt;&lt;dates&gt;&lt;year&gt;2022&lt;/year&gt;&lt;/dates&gt;&lt;accession-num&gt;35782579&lt;/accession-num&gt;&lt;urls&gt;&lt;/urls&gt;&lt;custom2&gt;PMC9245041&lt;/custom2&gt;&lt;electronic-resource-num&gt;10.3389/fmedt.2022.888404&lt;/electronic-resource-num&gt;&lt;language&gt;eng&lt;/language&gt;&lt;/record&gt;&lt;/Cite&gt;&lt;/EndNote&gt;</w:instrText>
      </w:r>
      <w:r w:rsidR="005F3EEE" w:rsidRPr="00221992">
        <w:rPr>
          <w:lang w:val="en-GB"/>
        </w:rPr>
        <w:fldChar w:fldCharType="separate"/>
      </w:r>
      <w:r w:rsidR="00E5265C">
        <w:rPr>
          <w:noProof/>
          <w:lang w:val="en-GB"/>
        </w:rPr>
        <w:t>[210]</w:t>
      </w:r>
      <w:r w:rsidR="005F3EEE" w:rsidRPr="00221992">
        <w:rPr>
          <w:lang w:val="en-GB"/>
        </w:rPr>
        <w:fldChar w:fldCharType="end"/>
      </w:r>
      <w:r w:rsidR="00BA153E" w:rsidRPr="00221992">
        <w:rPr>
          <w:lang w:val="en-GB"/>
        </w:rPr>
        <w:t>.</w:t>
      </w:r>
    </w:p>
    <w:p w14:paraId="30ADB85E" w14:textId="308A421C" w:rsidR="00C97257" w:rsidRPr="00221992" w:rsidRDefault="00C97257">
      <w:pPr>
        <w:pStyle w:val="Caption"/>
        <w:rPr>
          <w:lang w:val="en-GB"/>
        </w:rPr>
      </w:pPr>
      <w:bookmarkStart w:id="273" w:name="_Ref145507284"/>
      <w:bookmarkStart w:id="274" w:name="_Toc162950939"/>
      <w:r w:rsidRPr="00221992">
        <w:rPr>
          <w:lang w:val="en-GB"/>
        </w:rPr>
        <w:t xml:space="preserve">Figure </w:t>
      </w:r>
      <w:r w:rsidR="003F72DF" w:rsidRPr="00221992">
        <w:rPr>
          <w:lang w:val="en-GB"/>
        </w:rPr>
        <w:fldChar w:fldCharType="begin"/>
      </w:r>
      <w:r w:rsidR="003F72DF" w:rsidRPr="00221992">
        <w:rPr>
          <w:lang w:val="en-GB"/>
        </w:rPr>
        <w:instrText xml:space="preserve"> SEQ Figure \* ARABIC </w:instrText>
      </w:r>
      <w:r w:rsidR="003F72DF" w:rsidRPr="00221992">
        <w:rPr>
          <w:lang w:val="en-GB"/>
        </w:rPr>
        <w:fldChar w:fldCharType="separate"/>
      </w:r>
      <w:r w:rsidR="000E11E7">
        <w:rPr>
          <w:noProof/>
          <w:lang w:val="en-GB"/>
        </w:rPr>
        <w:t>32</w:t>
      </w:r>
      <w:r w:rsidR="003F72DF" w:rsidRPr="00221992">
        <w:rPr>
          <w:noProof/>
          <w:lang w:val="en-GB"/>
        </w:rPr>
        <w:fldChar w:fldCharType="end"/>
      </w:r>
      <w:bookmarkEnd w:id="273"/>
      <w:r w:rsidRPr="00221992">
        <w:rPr>
          <w:lang w:val="en-GB"/>
        </w:rPr>
        <w:t>. Italy</w:t>
      </w:r>
      <w:r w:rsidR="00551786">
        <w:rPr>
          <w:lang w:val="en-GB"/>
        </w:rPr>
        <w:t>’</w:t>
      </w:r>
      <w:r w:rsidRPr="00221992">
        <w:rPr>
          <w:lang w:val="en-GB"/>
        </w:rPr>
        <w:t>s value based pricing model – (VBMEA)</w:t>
      </w:r>
      <w:bookmarkEnd w:id="274"/>
    </w:p>
    <w:p w14:paraId="791F64DE" w14:textId="446D9DA5" w:rsidR="00C97257" w:rsidRPr="00221992" w:rsidRDefault="00C97257" w:rsidP="0068662E">
      <w:pPr>
        <w:rPr>
          <w:lang w:val="en-GB"/>
        </w:rPr>
      </w:pPr>
      <w:r w:rsidRPr="00221992">
        <w:rPr>
          <w:noProof/>
          <w:lang w:val="en-GB"/>
        </w:rPr>
        <w:drawing>
          <wp:inline distT="0" distB="0" distL="0" distR="0" wp14:anchorId="3C45ACAA" wp14:editId="06CE553C">
            <wp:extent cx="5686744" cy="3192804"/>
            <wp:effectExtent l="0" t="0" r="0" b="0"/>
            <wp:docPr id="1596271098" name="Picture 1596271098" descr="a diagram of Italy's value based pricing model – (VBM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6271098"/>
                    <pic:cNvPicPr/>
                  </pic:nvPicPr>
                  <pic:blipFill>
                    <a:blip r:embed="rId61">
                      <a:extLst>
                        <a:ext uri="{28A0092B-C50C-407E-A947-70E740481C1C}">
                          <a14:useLocalDpi xmlns:a14="http://schemas.microsoft.com/office/drawing/2010/main" val="0"/>
                        </a:ext>
                      </a:extLst>
                    </a:blip>
                    <a:srcRect/>
                    <a:stretch>
                      <a:fillRect/>
                    </a:stretch>
                  </pic:blipFill>
                  <pic:spPr>
                    <a:xfrm>
                      <a:off x="0" y="0"/>
                      <a:ext cx="5686744" cy="3192804"/>
                    </a:xfrm>
                    <a:prstGeom prst="rect">
                      <a:avLst/>
                    </a:prstGeom>
                  </pic:spPr>
                </pic:pic>
              </a:graphicData>
            </a:graphic>
          </wp:inline>
        </w:drawing>
      </w:r>
    </w:p>
    <w:p w14:paraId="283C7E64" w14:textId="19712F8C" w:rsidR="00CA0AE6" w:rsidRPr="00221992" w:rsidRDefault="68F595E7" w:rsidP="00533CF1">
      <w:pPr>
        <w:pStyle w:val="TableNotes"/>
        <w:rPr>
          <w:lang w:val="en-GB"/>
        </w:rPr>
      </w:pPr>
      <w:r w:rsidRPr="00221992">
        <w:rPr>
          <w:lang w:val="en-GB"/>
        </w:rPr>
        <w:t>Acronyms:</w:t>
      </w:r>
      <w:r w:rsidR="00BA153E" w:rsidRPr="00221992">
        <w:rPr>
          <w:lang w:val="en-GB"/>
        </w:rPr>
        <w:tab/>
      </w:r>
      <w:r w:rsidRPr="00221992">
        <w:rPr>
          <w:lang w:val="en-GB"/>
        </w:rPr>
        <w:t>AIFA</w:t>
      </w:r>
      <w:r w:rsidR="2A83F8C0" w:rsidRPr="00221992">
        <w:rPr>
          <w:lang w:val="en-GB"/>
        </w:rPr>
        <w:t>,</w:t>
      </w:r>
      <w:r w:rsidRPr="00221992">
        <w:rPr>
          <w:lang w:val="en-GB"/>
        </w:rPr>
        <w:t xml:space="preserve"> Agenzia Italiana del Farmaco</w:t>
      </w:r>
      <w:r w:rsidR="04551036" w:rsidRPr="00221992">
        <w:rPr>
          <w:lang w:val="en-GB"/>
        </w:rPr>
        <w:t>;</w:t>
      </w:r>
      <w:r w:rsidRPr="00221992">
        <w:rPr>
          <w:lang w:val="en-GB"/>
        </w:rPr>
        <w:t xml:space="preserve"> CED</w:t>
      </w:r>
      <w:r w:rsidR="29CBED3B" w:rsidRPr="00221992">
        <w:rPr>
          <w:lang w:val="en-GB"/>
        </w:rPr>
        <w:t>,</w:t>
      </w:r>
      <w:r w:rsidRPr="00221992">
        <w:rPr>
          <w:lang w:val="en-GB"/>
        </w:rPr>
        <w:t xml:space="preserve"> Coverage with Evidence De</w:t>
      </w:r>
      <w:r w:rsidR="5A905755" w:rsidRPr="00221992">
        <w:rPr>
          <w:lang w:val="en-GB"/>
        </w:rPr>
        <w:t>velopment</w:t>
      </w:r>
      <w:r w:rsidR="1BD55C7E" w:rsidRPr="00221992">
        <w:rPr>
          <w:lang w:val="en-GB"/>
        </w:rPr>
        <w:t>;</w:t>
      </w:r>
      <w:r w:rsidR="5A905755" w:rsidRPr="00221992">
        <w:rPr>
          <w:lang w:val="en-GB"/>
        </w:rPr>
        <w:t xml:space="preserve"> CPR</w:t>
      </w:r>
      <w:r w:rsidR="613CC70B" w:rsidRPr="00221992">
        <w:rPr>
          <w:lang w:val="en-GB"/>
        </w:rPr>
        <w:t>,</w:t>
      </w:r>
      <w:r w:rsidR="5A905755" w:rsidRPr="00221992">
        <w:rPr>
          <w:lang w:val="en-GB"/>
        </w:rPr>
        <w:t xml:space="preserve"> Comitato Prezzi e Rimborso, CTS</w:t>
      </w:r>
      <w:r w:rsidR="755816F1" w:rsidRPr="00221992">
        <w:rPr>
          <w:lang w:val="en-GB"/>
        </w:rPr>
        <w:t>,</w:t>
      </w:r>
      <w:r w:rsidR="5A905755" w:rsidRPr="00221992">
        <w:rPr>
          <w:lang w:val="en-GB"/>
        </w:rPr>
        <w:t xml:space="preserve"> Commissione Tecnico-Scientifica</w:t>
      </w:r>
      <w:r w:rsidR="22D2E4BB" w:rsidRPr="00221992">
        <w:rPr>
          <w:lang w:val="en-GB"/>
        </w:rPr>
        <w:t>;</w:t>
      </w:r>
      <w:r w:rsidR="5A905755" w:rsidRPr="00221992">
        <w:rPr>
          <w:lang w:val="en-GB"/>
        </w:rPr>
        <w:t xml:space="preserve"> EMA</w:t>
      </w:r>
      <w:r w:rsidR="7D0F7066" w:rsidRPr="00221992">
        <w:rPr>
          <w:lang w:val="en-GB"/>
        </w:rPr>
        <w:t xml:space="preserve">, </w:t>
      </w:r>
      <w:r w:rsidR="5A905755" w:rsidRPr="00221992">
        <w:rPr>
          <w:lang w:val="en-GB"/>
        </w:rPr>
        <w:t>European Medicine Agency</w:t>
      </w:r>
      <w:r w:rsidR="207FF61C" w:rsidRPr="00221992">
        <w:rPr>
          <w:lang w:val="en-GB"/>
        </w:rPr>
        <w:t>;</w:t>
      </w:r>
      <w:r w:rsidR="5A905755" w:rsidRPr="00221992">
        <w:rPr>
          <w:lang w:val="en-GB"/>
        </w:rPr>
        <w:t xml:space="preserve"> MAH</w:t>
      </w:r>
      <w:r w:rsidR="55B79C13" w:rsidRPr="00221992">
        <w:rPr>
          <w:lang w:val="en-GB"/>
        </w:rPr>
        <w:t>,</w:t>
      </w:r>
      <w:r w:rsidR="5A905755" w:rsidRPr="00221992">
        <w:rPr>
          <w:lang w:val="en-GB"/>
        </w:rPr>
        <w:t xml:space="preserve"> </w:t>
      </w:r>
      <w:r w:rsidR="1B072E2B" w:rsidRPr="00221992">
        <w:rPr>
          <w:lang w:val="en-GB"/>
        </w:rPr>
        <w:t>Medicine Authorisation Holder</w:t>
      </w:r>
      <w:r w:rsidR="65E05DE0" w:rsidRPr="00221992">
        <w:rPr>
          <w:lang w:val="en-GB"/>
        </w:rPr>
        <w:t>;</w:t>
      </w:r>
      <w:r w:rsidR="1B072E2B" w:rsidRPr="00221992">
        <w:rPr>
          <w:lang w:val="en-GB"/>
        </w:rPr>
        <w:t xml:space="preserve"> MEA</w:t>
      </w:r>
      <w:r w:rsidR="20352794" w:rsidRPr="00221992">
        <w:rPr>
          <w:lang w:val="en-GB"/>
        </w:rPr>
        <w:t>,</w:t>
      </w:r>
      <w:r w:rsidR="1B072E2B" w:rsidRPr="00221992">
        <w:rPr>
          <w:lang w:val="en-GB"/>
        </w:rPr>
        <w:t xml:space="preserve"> Managed </w:t>
      </w:r>
      <w:r w:rsidR="404B55DE" w:rsidRPr="00221992">
        <w:rPr>
          <w:lang w:val="en-GB"/>
        </w:rPr>
        <w:t>E</w:t>
      </w:r>
      <w:r w:rsidR="1B072E2B" w:rsidRPr="00221992">
        <w:rPr>
          <w:lang w:val="en-GB"/>
        </w:rPr>
        <w:t xml:space="preserve">ntry </w:t>
      </w:r>
      <w:r w:rsidR="10B4E965" w:rsidRPr="00221992">
        <w:rPr>
          <w:lang w:val="en-GB"/>
        </w:rPr>
        <w:t>A</w:t>
      </w:r>
      <w:r w:rsidR="1B072E2B" w:rsidRPr="00221992">
        <w:rPr>
          <w:lang w:val="en-GB"/>
        </w:rPr>
        <w:t>greement</w:t>
      </w:r>
      <w:r w:rsidR="14FF08D8" w:rsidRPr="00221992">
        <w:rPr>
          <w:lang w:val="en-GB"/>
        </w:rPr>
        <w:t>;</w:t>
      </w:r>
      <w:r w:rsidR="1B072E2B" w:rsidRPr="00221992">
        <w:rPr>
          <w:lang w:val="en-GB"/>
        </w:rPr>
        <w:t xml:space="preserve"> MoA</w:t>
      </w:r>
      <w:r w:rsidR="4026E802" w:rsidRPr="00221992">
        <w:rPr>
          <w:lang w:val="en-GB"/>
        </w:rPr>
        <w:t>,</w:t>
      </w:r>
      <w:r w:rsidR="1B072E2B" w:rsidRPr="00221992">
        <w:rPr>
          <w:lang w:val="en-GB"/>
        </w:rPr>
        <w:t xml:space="preserve"> Mechanism of </w:t>
      </w:r>
      <w:r w:rsidR="2EE6E29C" w:rsidRPr="00221992">
        <w:rPr>
          <w:lang w:val="en-GB"/>
        </w:rPr>
        <w:t>A</w:t>
      </w:r>
      <w:r w:rsidR="1B072E2B" w:rsidRPr="00221992">
        <w:rPr>
          <w:lang w:val="en-GB"/>
        </w:rPr>
        <w:t>ction</w:t>
      </w:r>
      <w:r w:rsidR="1C72B1C5" w:rsidRPr="00221992">
        <w:rPr>
          <w:lang w:val="en-GB"/>
        </w:rPr>
        <w:t>;</w:t>
      </w:r>
      <w:r w:rsidR="1B072E2B" w:rsidRPr="00221992">
        <w:rPr>
          <w:lang w:val="en-GB"/>
        </w:rPr>
        <w:t xml:space="preserve"> </w:t>
      </w:r>
      <w:r w:rsidR="1F979537" w:rsidRPr="00221992">
        <w:rPr>
          <w:lang w:val="en-GB"/>
        </w:rPr>
        <w:t>MP</w:t>
      </w:r>
      <w:r w:rsidR="6232CAA6" w:rsidRPr="00221992">
        <w:rPr>
          <w:lang w:val="en-GB"/>
        </w:rPr>
        <w:t xml:space="preserve">, </w:t>
      </w:r>
      <w:r w:rsidR="1F979537" w:rsidRPr="00221992">
        <w:rPr>
          <w:lang w:val="en-GB"/>
        </w:rPr>
        <w:t>Medicinal Product</w:t>
      </w:r>
      <w:r w:rsidR="5F3084A1" w:rsidRPr="00221992">
        <w:rPr>
          <w:lang w:val="en-GB"/>
        </w:rPr>
        <w:t>;</w:t>
      </w:r>
      <w:r w:rsidR="1F979537" w:rsidRPr="00221992">
        <w:rPr>
          <w:lang w:val="en-GB"/>
        </w:rPr>
        <w:t xml:space="preserve"> NICE</w:t>
      </w:r>
      <w:r w:rsidR="0979DDE0" w:rsidRPr="00221992">
        <w:rPr>
          <w:lang w:val="en-GB"/>
        </w:rPr>
        <w:t>,</w:t>
      </w:r>
      <w:r w:rsidR="008A6310">
        <w:rPr>
          <w:lang w:val="en-GB"/>
        </w:rPr>
        <w:t xml:space="preserve"> </w:t>
      </w:r>
      <w:r w:rsidR="1F979537" w:rsidRPr="00221992">
        <w:rPr>
          <w:lang w:val="en-GB"/>
        </w:rPr>
        <w:t>National Institute of Health Care Excellence</w:t>
      </w:r>
      <w:r w:rsidR="1FC6E087" w:rsidRPr="00221992">
        <w:rPr>
          <w:lang w:val="en-GB"/>
        </w:rPr>
        <w:t>;</w:t>
      </w:r>
      <w:r w:rsidR="1F979537" w:rsidRPr="00221992">
        <w:rPr>
          <w:lang w:val="en-GB"/>
        </w:rPr>
        <w:t xml:space="preserve"> OJ</w:t>
      </w:r>
      <w:r w:rsidR="4CD50603" w:rsidRPr="00221992">
        <w:rPr>
          <w:lang w:val="en-GB"/>
        </w:rPr>
        <w:t>,</w:t>
      </w:r>
      <w:r w:rsidR="000C2CC4">
        <w:rPr>
          <w:lang w:val="en-GB"/>
        </w:rPr>
        <w:t xml:space="preserve"> </w:t>
      </w:r>
      <w:r w:rsidR="1F979537" w:rsidRPr="00221992">
        <w:rPr>
          <w:lang w:val="en-GB"/>
        </w:rPr>
        <w:t>Official Journal, PASS</w:t>
      </w:r>
      <w:r w:rsidR="6F1815C9" w:rsidRPr="00221992">
        <w:rPr>
          <w:lang w:val="en-GB"/>
        </w:rPr>
        <w:t>,</w:t>
      </w:r>
      <w:r w:rsidR="1F979537" w:rsidRPr="00221992">
        <w:rPr>
          <w:lang w:val="en-GB"/>
        </w:rPr>
        <w:t xml:space="preserve"> Post</w:t>
      </w:r>
      <w:r w:rsidR="32574298" w:rsidRPr="00221992">
        <w:rPr>
          <w:lang w:val="en-GB"/>
        </w:rPr>
        <w:t>-</w:t>
      </w:r>
      <w:r w:rsidR="1F979537" w:rsidRPr="00221992">
        <w:rPr>
          <w:lang w:val="en-GB"/>
        </w:rPr>
        <w:t>ap</w:t>
      </w:r>
      <w:r w:rsidR="3E9697EF" w:rsidRPr="00221992">
        <w:rPr>
          <w:lang w:val="en-GB"/>
        </w:rPr>
        <w:t xml:space="preserve">proval </w:t>
      </w:r>
      <w:r w:rsidR="296E3580" w:rsidRPr="00221992">
        <w:rPr>
          <w:lang w:val="en-GB"/>
        </w:rPr>
        <w:t>S</w:t>
      </w:r>
      <w:r w:rsidR="3E9697EF" w:rsidRPr="00221992">
        <w:rPr>
          <w:lang w:val="en-GB"/>
        </w:rPr>
        <w:t xml:space="preserve">afety </w:t>
      </w:r>
      <w:r w:rsidR="05CEF538" w:rsidRPr="00221992">
        <w:rPr>
          <w:lang w:val="en-GB"/>
        </w:rPr>
        <w:t>S</w:t>
      </w:r>
      <w:r w:rsidR="3E9697EF" w:rsidRPr="00221992">
        <w:rPr>
          <w:lang w:val="en-GB"/>
        </w:rPr>
        <w:t>tudies</w:t>
      </w:r>
      <w:r w:rsidR="7763CD9A" w:rsidRPr="00221992">
        <w:rPr>
          <w:lang w:val="en-GB"/>
        </w:rPr>
        <w:t>;</w:t>
      </w:r>
      <w:r w:rsidR="60DF0F50" w:rsidRPr="00221992">
        <w:rPr>
          <w:lang w:val="en-GB"/>
        </w:rPr>
        <w:t xml:space="preserve"> PAES</w:t>
      </w:r>
      <w:r w:rsidR="1C80C9DE" w:rsidRPr="00221992">
        <w:rPr>
          <w:lang w:val="en-GB"/>
        </w:rPr>
        <w:t>,</w:t>
      </w:r>
      <w:r w:rsidR="60DF0F50" w:rsidRPr="00221992">
        <w:rPr>
          <w:lang w:val="en-GB"/>
        </w:rPr>
        <w:t xml:space="preserve"> Post-approval Effectiveness Studies</w:t>
      </w:r>
      <w:r w:rsidR="1942F695" w:rsidRPr="00221992">
        <w:rPr>
          <w:lang w:val="en-GB"/>
        </w:rPr>
        <w:t>;</w:t>
      </w:r>
      <w:r w:rsidR="60DF0F50" w:rsidRPr="00221992">
        <w:rPr>
          <w:lang w:val="en-GB"/>
        </w:rPr>
        <w:t xml:space="preserve"> PICOE</w:t>
      </w:r>
      <w:r w:rsidR="09866B31" w:rsidRPr="00221992">
        <w:rPr>
          <w:lang w:val="en-GB"/>
        </w:rPr>
        <w:t>,</w:t>
      </w:r>
      <w:r w:rsidR="60DF0F50" w:rsidRPr="00221992">
        <w:rPr>
          <w:lang w:val="en-GB"/>
        </w:rPr>
        <w:t xml:space="preserve"> Population, Inter</w:t>
      </w:r>
      <w:r w:rsidR="1F1ED127" w:rsidRPr="00221992">
        <w:rPr>
          <w:lang w:val="en-GB"/>
        </w:rPr>
        <w:t>vention, Comparator, Outcome, Economic</w:t>
      </w:r>
      <w:r w:rsidR="7F371B35" w:rsidRPr="00221992">
        <w:rPr>
          <w:lang w:val="en-GB"/>
        </w:rPr>
        <w:t>; VBMEA</w:t>
      </w:r>
      <w:r w:rsidR="2CDA1C86" w:rsidRPr="00221992">
        <w:rPr>
          <w:lang w:val="en-GB"/>
        </w:rPr>
        <w:t>,</w:t>
      </w:r>
      <w:r w:rsidR="7F371B35" w:rsidRPr="00221992">
        <w:rPr>
          <w:lang w:val="en-GB"/>
        </w:rPr>
        <w:t xml:space="preserve"> Value-</w:t>
      </w:r>
      <w:r w:rsidR="116D03B5" w:rsidRPr="00221992">
        <w:rPr>
          <w:lang w:val="en-GB"/>
        </w:rPr>
        <w:t>B</w:t>
      </w:r>
      <w:r w:rsidR="7F371B35" w:rsidRPr="00221992">
        <w:rPr>
          <w:lang w:val="en-GB"/>
        </w:rPr>
        <w:t>ased MEA.</w:t>
      </w:r>
    </w:p>
    <w:p w14:paraId="4D75FE5E" w14:textId="153B7E0F" w:rsidR="00CA0AE6" w:rsidRPr="00221992" w:rsidRDefault="00BA153E" w:rsidP="00D97A5B">
      <w:pPr>
        <w:rPr>
          <w:lang w:val="en-GB"/>
        </w:rPr>
      </w:pPr>
      <w:r w:rsidRPr="00221992">
        <w:rPr>
          <w:lang w:val="en-GB"/>
        </w:rPr>
        <w:t>I</w:t>
      </w:r>
      <w:r w:rsidR="1F93FF7D" w:rsidRPr="00221992">
        <w:rPr>
          <w:lang w:val="en-GB"/>
        </w:rPr>
        <w:t>mplementation of the new p</w:t>
      </w:r>
      <w:r w:rsidR="322AF8C8" w:rsidRPr="00221992">
        <w:rPr>
          <w:lang w:val="en-GB"/>
        </w:rPr>
        <w:t>rocess</w:t>
      </w:r>
      <w:r w:rsidR="1F93FF7D" w:rsidRPr="00221992">
        <w:rPr>
          <w:lang w:val="en-GB"/>
        </w:rPr>
        <w:t xml:space="preserve"> </w:t>
      </w:r>
      <w:r w:rsidR="522F8794" w:rsidRPr="00221992">
        <w:rPr>
          <w:lang w:val="en-GB"/>
        </w:rPr>
        <w:t>may</w:t>
      </w:r>
      <w:r w:rsidR="1F93FF7D" w:rsidRPr="00221992">
        <w:rPr>
          <w:lang w:val="en-GB"/>
        </w:rPr>
        <w:t xml:space="preserve"> offer several advantages for </w:t>
      </w:r>
      <w:r w:rsidR="2C9D9B8A" w:rsidRPr="00221992">
        <w:rPr>
          <w:lang w:val="en-GB"/>
        </w:rPr>
        <w:t>sponsors</w:t>
      </w:r>
      <w:r w:rsidR="1F93FF7D" w:rsidRPr="00221992">
        <w:rPr>
          <w:lang w:val="en-GB"/>
        </w:rPr>
        <w:t xml:space="preserve">, including </w:t>
      </w:r>
      <w:r w:rsidR="00D409F9" w:rsidRPr="00221992">
        <w:rPr>
          <w:lang w:val="en-GB"/>
        </w:rPr>
        <w:t>shorter pricing and reimbursement</w:t>
      </w:r>
      <w:r w:rsidR="1F93FF7D" w:rsidRPr="00221992">
        <w:rPr>
          <w:lang w:val="en-GB"/>
        </w:rPr>
        <w:t xml:space="preserve"> negotiation process</w:t>
      </w:r>
      <w:r w:rsidR="008206D7" w:rsidRPr="00221992">
        <w:rPr>
          <w:lang w:val="en-GB"/>
        </w:rPr>
        <w:t>es and faster market access</w:t>
      </w:r>
      <w:r w:rsidR="1F93FF7D" w:rsidRPr="00221992">
        <w:rPr>
          <w:lang w:val="en-GB"/>
        </w:rPr>
        <w:t>. AIFA</w:t>
      </w:r>
      <w:r w:rsidR="00551786">
        <w:rPr>
          <w:lang w:val="en-GB"/>
        </w:rPr>
        <w:t>’</w:t>
      </w:r>
      <w:r w:rsidR="1F93FF7D" w:rsidRPr="00221992">
        <w:rPr>
          <w:lang w:val="en-GB"/>
        </w:rPr>
        <w:t xml:space="preserve">s decision not to adopt the new procedure </w:t>
      </w:r>
      <w:r w:rsidR="6F65458C" w:rsidRPr="00221992">
        <w:rPr>
          <w:lang w:val="en-GB"/>
        </w:rPr>
        <w:t xml:space="preserve">under VBMEA </w:t>
      </w:r>
      <w:r w:rsidR="2B675732" w:rsidRPr="00221992">
        <w:rPr>
          <w:lang w:val="en-GB"/>
        </w:rPr>
        <w:t>does not impact the</w:t>
      </w:r>
      <w:r w:rsidR="008A6310">
        <w:rPr>
          <w:lang w:val="en-GB"/>
        </w:rPr>
        <w:t xml:space="preserve"> </w:t>
      </w:r>
      <w:r w:rsidR="2B675732" w:rsidRPr="00221992">
        <w:rPr>
          <w:lang w:val="en-GB"/>
        </w:rPr>
        <w:t xml:space="preserve">standard </w:t>
      </w:r>
      <w:r w:rsidR="6F65458C" w:rsidRPr="00221992">
        <w:rPr>
          <w:lang w:val="en-GB"/>
        </w:rPr>
        <w:t xml:space="preserve">parallel approval </w:t>
      </w:r>
      <w:r w:rsidR="1F93FF7D" w:rsidRPr="00221992">
        <w:rPr>
          <w:lang w:val="en-GB"/>
        </w:rPr>
        <w:t>process</w:t>
      </w:r>
      <w:r w:rsidR="2B675732" w:rsidRPr="00221992">
        <w:rPr>
          <w:lang w:val="en-GB"/>
        </w:rPr>
        <w:t xml:space="preserve"> </w:t>
      </w:r>
      <w:r w:rsidR="1F93FF7D" w:rsidRPr="00221992">
        <w:rPr>
          <w:lang w:val="en-GB"/>
        </w:rPr>
        <w:t xml:space="preserve">based on the existing methodology. </w:t>
      </w:r>
    </w:p>
    <w:p w14:paraId="76C9D987" w14:textId="62478484" w:rsidR="002832A8" w:rsidRPr="00221992" w:rsidRDefault="7EC1425D" w:rsidP="00D97A5B">
      <w:pPr>
        <w:rPr>
          <w:lang w:val="en-GB"/>
        </w:rPr>
      </w:pPr>
      <w:r w:rsidRPr="00221992">
        <w:rPr>
          <w:lang w:val="en-GB"/>
        </w:rPr>
        <w:t xml:space="preserve">The key features of this </w:t>
      </w:r>
      <w:r w:rsidR="2B675732" w:rsidRPr="00221992">
        <w:rPr>
          <w:lang w:val="en-GB"/>
        </w:rPr>
        <w:t xml:space="preserve">proposed </w:t>
      </w:r>
      <w:r w:rsidRPr="00221992">
        <w:rPr>
          <w:lang w:val="en-GB"/>
        </w:rPr>
        <w:t>pathway include</w:t>
      </w:r>
      <w:r w:rsidR="0A9A9DAD" w:rsidRPr="00221992">
        <w:rPr>
          <w:lang w:val="en-GB"/>
        </w:rPr>
        <w:t>:</w:t>
      </w:r>
    </w:p>
    <w:p w14:paraId="6A8C6B23" w14:textId="5CD725E5" w:rsidR="00373A35" w:rsidRPr="00221992" w:rsidRDefault="00373A35" w:rsidP="00957584">
      <w:pPr>
        <w:pStyle w:val="ListParagraph"/>
        <w:numPr>
          <w:ilvl w:val="0"/>
          <w:numId w:val="39"/>
        </w:numPr>
        <w:rPr>
          <w:lang w:val="en-GB"/>
        </w:rPr>
      </w:pPr>
      <w:r w:rsidRPr="00221992">
        <w:rPr>
          <w:lang w:val="en-GB"/>
        </w:rPr>
        <w:t>Parallel application for</w:t>
      </w:r>
      <w:r w:rsidR="00841FBC" w:rsidRPr="00221992">
        <w:rPr>
          <w:lang w:val="en-GB"/>
        </w:rPr>
        <w:t xml:space="preserve"> </w:t>
      </w:r>
      <w:r w:rsidRPr="00221992">
        <w:rPr>
          <w:lang w:val="en-GB"/>
        </w:rPr>
        <w:t>EMA and VBMEA approval</w:t>
      </w:r>
      <w:r w:rsidR="00841FBC" w:rsidRPr="00221992">
        <w:rPr>
          <w:lang w:val="en-GB"/>
        </w:rPr>
        <w:t>.</w:t>
      </w:r>
    </w:p>
    <w:p w14:paraId="5C1341CD" w14:textId="4995A92A" w:rsidR="00373A35" w:rsidRPr="00221992" w:rsidRDefault="7EC1425D" w:rsidP="00957584">
      <w:pPr>
        <w:pStyle w:val="ListParagraph"/>
        <w:numPr>
          <w:ilvl w:val="0"/>
          <w:numId w:val="39"/>
        </w:numPr>
        <w:rPr>
          <w:lang w:val="en-GB"/>
        </w:rPr>
      </w:pPr>
      <w:r w:rsidRPr="00221992">
        <w:rPr>
          <w:lang w:val="en-GB"/>
        </w:rPr>
        <w:t xml:space="preserve">A joint AIFA CTS and CPR appraisal in the first </w:t>
      </w:r>
      <w:r w:rsidR="00BA37D0" w:rsidRPr="00221992">
        <w:rPr>
          <w:lang w:val="en-GB"/>
        </w:rPr>
        <w:t>six</w:t>
      </w:r>
      <w:r w:rsidRPr="00221992">
        <w:rPr>
          <w:lang w:val="en-GB"/>
        </w:rPr>
        <w:t xml:space="preserve"> months</w:t>
      </w:r>
      <w:r w:rsidR="0A9A9DAD" w:rsidRPr="00221992">
        <w:rPr>
          <w:lang w:val="en-GB"/>
        </w:rPr>
        <w:t xml:space="preserve"> </w:t>
      </w:r>
      <w:r w:rsidR="00BA37D0" w:rsidRPr="00221992">
        <w:rPr>
          <w:lang w:val="en-GB"/>
        </w:rPr>
        <w:t>that</w:t>
      </w:r>
      <w:r w:rsidR="40A012E3" w:rsidRPr="00221992">
        <w:rPr>
          <w:lang w:val="en-GB"/>
        </w:rPr>
        <w:t xml:space="preserve"> considers the </w:t>
      </w:r>
      <w:r w:rsidR="0A9A9DAD" w:rsidRPr="00221992">
        <w:rPr>
          <w:lang w:val="en-GB"/>
        </w:rPr>
        <w:t>criteria of: therapeutic unmet need, added value and uncertainty</w:t>
      </w:r>
      <w:r w:rsidR="00BA37D0" w:rsidRPr="00221992">
        <w:rPr>
          <w:lang w:val="en-GB"/>
        </w:rPr>
        <w:t>,</w:t>
      </w:r>
      <w:r w:rsidR="0A9A9DAD" w:rsidRPr="00221992">
        <w:rPr>
          <w:lang w:val="en-GB"/>
        </w:rPr>
        <w:t xml:space="preserve"> plus the EMA approval</w:t>
      </w:r>
      <w:r w:rsidR="00BA37D0" w:rsidRPr="00221992">
        <w:rPr>
          <w:lang w:val="en-GB"/>
        </w:rPr>
        <w:t>,</w:t>
      </w:r>
      <w:r w:rsidR="0A9A9DAD" w:rsidRPr="00221992">
        <w:rPr>
          <w:lang w:val="en-GB"/>
        </w:rPr>
        <w:t xml:space="preserve"> which considers conditional approval status/adaptive pathways/orphan designation. </w:t>
      </w:r>
    </w:p>
    <w:p w14:paraId="5D0D3C79" w14:textId="05CF41CF" w:rsidR="00D97A5B" w:rsidRPr="00221992" w:rsidRDefault="00DC5959" w:rsidP="00957584">
      <w:pPr>
        <w:pStyle w:val="ListParagraph"/>
        <w:numPr>
          <w:ilvl w:val="0"/>
          <w:numId w:val="39"/>
        </w:numPr>
        <w:rPr>
          <w:lang w:val="en-GB"/>
        </w:rPr>
      </w:pPr>
      <w:r w:rsidRPr="00221992">
        <w:rPr>
          <w:lang w:val="en-GB"/>
        </w:rPr>
        <w:t>Details of MEA defined: (</w:t>
      </w:r>
      <w:r w:rsidR="00872E4F" w:rsidRPr="00221992">
        <w:rPr>
          <w:lang w:val="en-GB"/>
        </w:rPr>
        <w:t>f</w:t>
      </w:r>
      <w:r w:rsidRPr="00221992">
        <w:rPr>
          <w:lang w:val="en-GB"/>
        </w:rPr>
        <w:t xml:space="preserve">or example: </w:t>
      </w:r>
      <w:r w:rsidR="00872E4F" w:rsidRPr="00221992">
        <w:rPr>
          <w:lang w:val="en-GB"/>
        </w:rPr>
        <w:t>p</w:t>
      </w:r>
      <w:r w:rsidRPr="00221992">
        <w:rPr>
          <w:lang w:val="en-GB"/>
        </w:rPr>
        <w:t xml:space="preserve">urpose </w:t>
      </w:r>
      <w:r w:rsidR="00872E4F" w:rsidRPr="00221992">
        <w:rPr>
          <w:lang w:val="en-GB"/>
        </w:rPr>
        <w:t xml:space="preserve">, commencement and duration </w:t>
      </w:r>
      <w:r w:rsidRPr="00221992">
        <w:rPr>
          <w:lang w:val="en-GB"/>
        </w:rPr>
        <w:t>of the agreement; patient eligibility; areas of clinical certainty; data source</w:t>
      </w:r>
      <w:r w:rsidR="004366D4" w:rsidRPr="00221992">
        <w:rPr>
          <w:lang w:val="en-GB"/>
        </w:rPr>
        <w:t>s</w:t>
      </w:r>
      <w:r w:rsidRPr="00221992">
        <w:rPr>
          <w:lang w:val="en-GB"/>
        </w:rPr>
        <w:t>; outcome</w:t>
      </w:r>
      <w:r w:rsidR="004366D4" w:rsidRPr="00221992">
        <w:rPr>
          <w:lang w:val="en-GB"/>
        </w:rPr>
        <w:t>s</w:t>
      </w:r>
      <w:r w:rsidRPr="00221992">
        <w:rPr>
          <w:lang w:val="en-GB"/>
        </w:rPr>
        <w:t>; data analysis plan</w:t>
      </w:r>
      <w:r w:rsidR="004366D4" w:rsidRPr="00221992">
        <w:rPr>
          <w:lang w:val="en-GB"/>
        </w:rPr>
        <w:t>;</w:t>
      </w:r>
      <w:r w:rsidRPr="00221992">
        <w:rPr>
          <w:lang w:val="en-GB"/>
        </w:rPr>
        <w:t xml:space="preserve"> and ownership and publication of the data)</w:t>
      </w:r>
      <w:r w:rsidR="000C1AB5" w:rsidRPr="00221992">
        <w:rPr>
          <w:lang w:val="en-GB"/>
        </w:rPr>
        <w:t xml:space="preserve"> </w:t>
      </w:r>
    </w:p>
    <w:p w14:paraId="7D158BBE" w14:textId="7E02ACA3" w:rsidR="00963AE3" w:rsidRPr="00221992" w:rsidRDefault="00963AE3" w:rsidP="00957584">
      <w:pPr>
        <w:pStyle w:val="ListParagraph"/>
        <w:numPr>
          <w:ilvl w:val="0"/>
          <w:numId w:val="39"/>
        </w:numPr>
        <w:rPr>
          <w:lang w:val="en-GB"/>
        </w:rPr>
      </w:pPr>
      <w:r w:rsidRPr="00221992">
        <w:rPr>
          <w:lang w:val="en-GB"/>
        </w:rPr>
        <w:t>Confidential commercial agreement (of</w:t>
      </w:r>
      <w:r w:rsidR="000E7047" w:rsidRPr="00221992">
        <w:rPr>
          <w:lang w:val="en-GB"/>
        </w:rPr>
        <w:t xml:space="preserve"> ≥</w:t>
      </w:r>
      <w:r w:rsidRPr="00221992">
        <w:rPr>
          <w:lang w:val="en-GB"/>
        </w:rPr>
        <w:t xml:space="preserve"> 24 months)</w:t>
      </w:r>
      <w:r w:rsidR="00841FBC" w:rsidRPr="00221992">
        <w:rPr>
          <w:lang w:val="en-GB"/>
        </w:rPr>
        <w:t xml:space="preserve"> to include:</w:t>
      </w:r>
    </w:p>
    <w:p w14:paraId="4514DA0C" w14:textId="4DAFE6CD" w:rsidR="00963AE3" w:rsidRPr="00221992" w:rsidRDefault="0A9A9DAD" w:rsidP="00957584">
      <w:pPr>
        <w:pStyle w:val="ListParagraph"/>
        <w:numPr>
          <w:ilvl w:val="1"/>
          <w:numId w:val="39"/>
        </w:numPr>
        <w:rPr>
          <w:lang w:val="en-GB"/>
        </w:rPr>
      </w:pPr>
      <w:r w:rsidRPr="00221992">
        <w:rPr>
          <w:lang w:val="en-GB"/>
        </w:rPr>
        <w:t xml:space="preserve">definition </w:t>
      </w:r>
      <w:r w:rsidR="1C423727" w:rsidRPr="00221992">
        <w:rPr>
          <w:lang w:val="en-GB"/>
        </w:rPr>
        <w:t>of an</w:t>
      </w:r>
      <w:r w:rsidRPr="00221992">
        <w:rPr>
          <w:lang w:val="en-GB"/>
        </w:rPr>
        <w:t xml:space="preserve"> initial parity price</w:t>
      </w:r>
      <w:r w:rsidR="1C423727" w:rsidRPr="00221992">
        <w:rPr>
          <w:lang w:val="en-GB"/>
        </w:rPr>
        <w:t xml:space="preserve"> </w:t>
      </w:r>
    </w:p>
    <w:p w14:paraId="21FD8D7D" w14:textId="47A5DB7B" w:rsidR="00963AE3" w:rsidRPr="00221992" w:rsidRDefault="1C423727" w:rsidP="00957584">
      <w:pPr>
        <w:pStyle w:val="ListParagraph"/>
        <w:numPr>
          <w:ilvl w:val="1"/>
          <w:numId w:val="39"/>
        </w:numPr>
        <w:rPr>
          <w:lang w:val="en-GB"/>
        </w:rPr>
      </w:pPr>
      <w:r w:rsidRPr="00221992">
        <w:rPr>
          <w:lang w:val="en-GB"/>
        </w:rPr>
        <w:t>d</w:t>
      </w:r>
      <w:r w:rsidR="0A9A9DAD" w:rsidRPr="00221992">
        <w:rPr>
          <w:lang w:val="en-GB"/>
        </w:rPr>
        <w:t>efinition of minimum discount</w:t>
      </w:r>
      <w:r w:rsidRPr="00221992">
        <w:rPr>
          <w:lang w:val="en-GB"/>
        </w:rPr>
        <w:t xml:space="preserve"> </w:t>
      </w:r>
    </w:p>
    <w:p w14:paraId="3CE7B36A" w14:textId="40E1D7AC" w:rsidR="272EE9D4" w:rsidRPr="00221992" w:rsidRDefault="272EE9D4" w:rsidP="00957584">
      <w:pPr>
        <w:pStyle w:val="ListParagraph"/>
        <w:numPr>
          <w:ilvl w:val="1"/>
          <w:numId w:val="39"/>
        </w:numPr>
        <w:rPr>
          <w:lang w:val="en-GB"/>
        </w:rPr>
      </w:pPr>
      <w:r w:rsidRPr="00221992">
        <w:rPr>
          <w:lang w:val="en-GB"/>
        </w:rPr>
        <w:t>data entry into the registry is linked with reimbursement</w:t>
      </w:r>
    </w:p>
    <w:p w14:paraId="00A80120" w14:textId="5262D988" w:rsidR="00867165" w:rsidRPr="00221992" w:rsidRDefault="00963AE3" w:rsidP="00D97A5B">
      <w:pPr>
        <w:rPr>
          <w:lang w:val="en-GB"/>
        </w:rPr>
      </w:pPr>
      <w:r w:rsidRPr="00221992">
        <w:rPr>
          <w:lang w:val="en-GB"/>
        </w:rPr>
        <w:t xml:space="preserve">Data collection </w:t>
      </w:r>
      <w:r w:rsidR="00867165" w:rsidRPr="00221992">
        <w:rPr>
          <w:lang w:val="en-GB"/>
        </w:rPr>
        <w:t xml:space="preserve">becomes </w:t>
      </w:r>
      <w:r w:rsidRPr="00221992">
        <w:rPr>
          <w:lang w:val="en-GB"/>
        </w:rPr>
        <w:t xml:space="preserve">active and price negotiation occurs based on the VBMEA registry result </w:t>
      </w:r>
      <w:r w:rsidR="00867165" w:rsidRPr="00221992">
        <w:rPr>
          <w:lang w:val="en-GB"/>
        </w:rPr>
        <w:t xml:space="preserve">(at 24 months) </w:t>
      </w:r>
      <w:r w:rsidRPr="00221992">
        <w:rPr>
          <w:lang w:val="en-GB"/>
        </w:rPr>
        <w:t>and any differential cost (</w:t>
      </w:r>
      <w:r w:rsidR="004D0396" w:rsidRPr="00221992">
        <w:rPr>
          <w:lang w:val="en-GB"/>
        </w:rPr>
        <w:t xml:space="preserve">i.e., </w:t>
      </w:r>
      <w:r w:rsidRPr="00221992">
        <w:rPr>
          <w:lang w:val="en-GB"/>
        </w:rPr>
        <w:t>the difference between the price defined at entry and the negotiated price considering the VBMEA registry</w:t>
      </w:r>
      <w:r w:rsidR="004D0396" w:rsidRPr="00221992">
        <w:rPr>
          <w:lang w:val="en-GB"/>
        </w:rPr>
        <w:t>)</w:t>
      </w:r>
      <w:r w:rsidRPr="00221992">
        <w:rPr>
          <w:lang w:val="en-GB"/>
        </w:rPr>
        <w:t xml:space="preserve"> is refunded</w:t>
      </w:r>
      <w:r w:rsidR="00A62BA6" w:rsidRPr="00221992">
        <w:rPr>
          <w:lang w:val="en-GB"/>
        </w:rPr>
        <w:t>.</w:t>
      </w:r>
      <w:r w:rsidR="003D3E9F" w:rsidRPr="00221992">
        <w:rPr>
          <w:lang w:val="en-GB"/>
        </w:rPr>
        <w:t xml:space="preserve"> </w:t>
      </w:r>
      <w:r w:rsidR="00867165" w:rsidRPr="00221992">
        <w:rPr>
          <w:lang w:val="en-GB"/>
        </w:rPr>
        <w:t>Value</w:t>
      </w:r>
      <w:r w:rsidR="00342E4C">
        <w:rPr>
          <w:lang w:val="en-GB"/>
        </w:rPr>
        <w:t xml:space="preserve">-based </w:t>
      </w:r>
      <w:r w:rsidR="00867165" w:rsidRPr="00221992">
        <w:rPr>
          <w:lang w:val="en-GB"/>
        </w:rPr>
        <w:t xml:space="preserve">pricing implies that the value of </w:t>
      </w:r>
      <w:r w:rsidR="00551786">
        <w:rPr>
          <w:lang w:val="en-GB"/>
        </w:rPr>
        <w:t>‘</w:t>
      </w:r>
      <w:r w:rsidR="00867165" w:rsidRPr="00221992">
        <w:rPr>
          <w:lang w:val="en-GB"/>
        </w:rPr>
        <w:t>uncertainty</w:t>
      </w:r>
      <w:r w:rsidR="00551786">
        <w:rPr>
          <w:lang w:val="en-GB"/>
        </w:rPr>
        <w:t>’</w:t>
      </w:r>
      <w:r w:rsidR="00867165" w:rsidRPr="00221992">
        <w:rPr>
          <w:lang w:val="en-GB"/>
        </w:rPr>
        <w:t xml:space="preserve"> is considered when prices are established. A performance-based MEA is proposed (either population</w:t>
      </w:r>
      <w:r w:rsidR="00DB4922">
        <w:rPr>
          <w:lang w:val="en-GB"/>
        </w:rPr>
        <w:t>-level</w:t>
      </w:r>
      <w:r w:rsidR="00867165" w:rsidRPr="00221992">
        <w:rPr>
          <w:lang w:val="en-GB"/>
        </w:rPr>
        <w:t xml:space="preserve"> CED or PbR) and may be adjusted across different indication</w:t>
      </w:r>
      <w:r w:rsidR="00372221" w:rsidRPr="00221992">
        <w:rPr>
          <w:lang w:val="en-GB"/>
        </w:rPr>
        <w:t>s</w:t>
      </w:r>
      <w:r w:rsidR="00CA0AE6" w:rsidRPr="00221992">
        <w:rPr>
          <w:lang w:val="en-GB"/>
        </w:rPr>
        <w:t xml:space="preserve">. </w:t>
      </w:r>
    </w:p>
    <w:p w14:paraId="0EEEF5E6" w14:textId="431F7003" w:rsidR="005311FF" w:rsidRPr="00221992" w:rsidRDefault="005311FF" w:rsidP="00D97A5B">
      <w:pPr>
        <w:rPr>
          <w:lang w:val="en-GB"/>
        </w:rPr>
      </w:pPr>
      <w:r w:rsidRPr="00221992">
        <w:rPr>
          <w:lang w:val="en-GB"/>
        </w:rPr>
        <w:t xml:space="preserve">Overall, AIFA and its registries play a vital </w:t>
      </w:r>
      <w:r w:rsidR="00372221" w:rsidRPr="00221992">
        <w:rPr>
          <w:lang w:val="en-GB"/>
        </w:rPr>
        <w:t xml:space="preserve">and increasing </w:t>
      </w:r>
      <w:r w:rsidRPr="00221992">
        <w:rPr>
          <w:lang w:val="en-GB"/>
        </w:rPr>
        <w:t xml:space="preserve">role in pharmaceutical regulation and reimbursement in Italy. Efforts are being made to address challenges related to administrative burden, data quality and patient access, with a focus on implementing innovative approaches that </w:t>
      </w:r>
      <w:r w:rsidR="00010CF7" w:rsidRPr="00221992">
        <w:rPr>
          <w:lang w:val="en-GB"/>
        </w:rPr>
        <w:t>leverage</w:t>
      </w:r>
      <w:r w:rsidRPr="00221992">
        <w:rPr>
          <w:lang w:val="en-GB"/>
        </w:rPr>
        <w:t xml:space="preserve"> </w:t>
      </w:r>
      <w:r w:rsidR="00A5028B" w:rsidRPr="00221992">
        <w:rPr>
          <w:lang w:val="en-GB"/>
        </w:rPr>
        <w:t>RWE</w:t>
      </w:r>
      <w:r w:rsidRPr="00221992">
        <w:rPr>
          <w:lang w:val="en-GB"/>
        </w:rPr>
        <w:t xml:space="preserve"> and value-based pricing.</w:t>
      </w:r>
    </w:p>
    <w:p w14:paraId="0B85EAC3" w14:textId="6084B39C" w:rsidR="00700BD8" w:rsidRPr="00221992" w:rsidRDefault="00700BD8" w:rsidP="00D97A5B">
      <w:pPr>
        <w:rPr>
          <w:rFonts w:ascii="Calibri" w:hAnsi="Calibri" w:cs="Calibri"/>
          <w:b/>
          <w:lang w:val="en-GB"/>
        </w:rPr>
      </w:pPr>
      <w:bookmarkStart w:id="275" w:name="_Toc141110088"/>
      <w:bookmarkStart w:id="276" w:name="_Toc142742719"/>
      <w:r w:rsidRPr="00221992">
        <w:rPr>
          <w:rFonts w:ascii="Calibri" w:hAnsi="Calibri" w:cs="Calibri"/>
          <w:b/>
          <w:lang w:val="en-GB"/>
        </w:rPr>
        <w:t>Case study: Willingness</w:t>
      </w:r>
      <w:r w:rsidR="0055650C" w:rsidRPr="00221992">
        <w:rPr>
          <w:rFonts w:ascii="Calibri" w:hAnsi="Calibri" w:cs="Calibri"/>
          <w:b/>
          <w:lang w:val="en-GB"/>
        </w:rPr>
        <w:t>-</w:t>
      </w:r>
      <w:r w:rsidRPr="00221992">
        <w:rPr>
          <w:rFonts w:ascii="Calibri" w:hAnsi="Calibri" w:cs="Calibri"/>
          <w:b/>
          <w:lang w:val="en-GB"/>
        </w:rPr>
        <w:t>to</w:t>
      </w:r>
      <w:r w:rsidR="0055650C" w:rsidRPr="00221992">
        <w:rPr>
          <w:rFonts w:ascii="Calibri" w:hAnsi="Calibri" w:cs="Calibri"/>
          <w:b/>
          <w:lang w:val="en-GB"/>
        </w:rPr>
        <w:t>-</w:t>
      </w:r>
      <w:r w:rsidRPr="00221992">
        <w:rPr>
          <w:rFonts w:ascii="Calibri" w:hAnsi="Calibri" w:cs="Calibri"/>
          <w:b/>
          <w:lang w:val="en-GB"/>
        </w:rPr>
        <w:t>pay thresholds in Canada</w:t>
      </w:r>
      <w:bookmarkEnd w:id="275"/>
      <w:bookmarkEnd w:id="276"/>
    </w:p>
    <w:p w14:paraId="2B8BF1B0" w14:textId="1E5CEC95" w:rsidR="00700BD8" w:rsidRPr="00221992" w:rsidRDefault="00700BD8" w:rsidP="00D97A5B">
      <w:pPr>
        <w:rPr>
          <w:lang w:val="en-GB"/>
        </w:rPr>
      </w:pPr>
      <w:r w:rsidRPr="00221992">
        <w:rPr>
          <w:lang w:val="en-GB"/>
        </w:rPr>
        <w:t xml:space="preserve">In Canada, CADTH and INESSS play key roles in </w:t>
      </w:r>
      <w:r w:rsidR="0055650C" w:rsidRPr="00221992">
        <w:rPr>
          <w:lang w:val="en-GB"/>
        </w:rPr>
        <w:t>HTA</w:t>
      </w:r>
      <w:r w:rsidRPr="00221992">
        <w:rPr>
          <w:lang w:val="en-GB"/>
        </w:rPr>
        <w:t xml:space="preserve"> and pricing decisions</w:t>
      </w:r>
      <w:r w:rsidR="00A62BA6" w:rsidRPr="00221992">
        <w:rPr>
          <w:lang w:val="en-GB"/>
        </w:rPr>
        <w:t>.</w:t>
      </w:r>
    </w:p>
    <w:p w14:paraId="1B74148E" w14:textId="2E710A9A" w:rsidR="00700BD8" w:rsidRPr="00221992" w:rsidRDefault="00700BD8" w:rsidP="00D9287D">
      <w:pPr>
        <w:rPr>
          <w:lang w:val="en-GB"/>
        </w:rPr>
      </w:pPr>
      <w:r w:rsidRPr="00221992">
        <w:rPr>
          <w:lang w:val="en-GB"/>
        </w:rPr>
        <w:t xml:space="preserve">The Canadian government has recently implemented reforms to the </w:t>
      </w:r>
      <w:r w:rsidR="0055650C" w:rsidRPr="00221992">
        <w:rPr>
          <w:lang w:val="en-GB"/>
        </w:rPr>
        <w:t>HTA</w:t>
      </w:r>
      <w:r w:rsidRPr="00221992">
        <w:rPr>
          <w:lang w:val="en-GB"/>
        </w:rPr>
        <w:t xml:space="preserve"> process, enabling economic evaluations to be used as a price regulation tool through amendments to the federal Patented Medicines Regulations</w:t>
      </w:r>
      <w:r w:rsidR="00A62BA6" w:rsidRPr="00221992">
        <w:rPr>
          <w:lang w:val="en-GB"/>
        </w:rPr>
        <w:t xml:space="preserve"> </w:t>
      </w:r>
      <w:r w:rsidR="00653F87" w:rsidRPr="00221992">
        <w:rPr>
          <w:lang w:val="en-GB"/>
        </w:rPr>
        <w:fldChar w:fldCharType="begin">
          <w:fldData xml:space="preserve">PEVuZE5vdGU+PENpdGU+PEF1dGhvcj5CYWxpamVwYWxsaTwvQXV0aG9yPjxZZWFyPjIwMjA8L1ll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</w:fldData>
        </w:fldChar>
      </w:r>
      <w:r w:rsidR="00E5265C">
        <w:rPr>
          <w:lang w:val="en-GB"/>
        </w:rPr>
        <w:instrText xml:space="preserve"> ADDIN EN.CITE </w:instrText>
      </w:r>
      <w:r w:rsidR="00E5265C">
        <w:rPr>
          <w:lang w:val="en-GB"/>
        </w:rPr>
        <w:fldChar w:fldCharType="begin">
          <w:fldData xml:space="preserve">PEVuZE5vdGU+PENpdGU+PEF1dGhvcj5CYWxpamVwYWxsaTwvQXV0aG9yPjxZZWFyPjIwMjA8L1ll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</w:fldData>
        </w:fldChar>
      </w:r>
      <w:r w:rsidR="00E5265C">
        <w:rPr>
          <w:lang w:val="en-GB"/>
        </w:rPr>
        <w:instrText xml:space="preserve"> ADDIN EN.CITE.DATA </w:instrText>
      </w:r>
      <w:r w:rsidR="00E5265C">
        <w:rPr>
          <w:lang w:val="en-GB"/>
        </w:rPr>
      </w:r>
      <w:r w:rsidR="00E5265C">
        <w:rPr>
          <w:lang w:val="en-GB"/>
        </w:rPr>
        <w:fldChar w:fldCharType="end"/>
      </w:r>
      <w:r w:rsidR="00653F87" w:rsidRPr="00221992">
        <w:rPr>
          <w:lang w:val="en-GB"/>
        </w:rPr>
      </w:r>
      <w:r w:rsidR="00653F87" w:rsidRPr="00221992">
        <w:rPr>
          <w:lang w:val="en-GB"/>
        </w:rPr>
        <w:fldChar w:fldCharType="separate"/>
      </w:r>
      <w:r w:rsidR="00E5265C">
        <w:rPr>
          <w:noProof/>
          <w:lang w:val="en-GB"/>
        </w:rPr>
        <w:t>[270]</w:t>
      </w:r>
      <w:r w:rsidR="00653F87" w:rsidRPr="00221992">
        <w:rPr>
          <w:lang w:val="en-GB"/>
        </w:rPr>
        <w:fldChar w:fldCharType="end"/>
      </w:r>
      <w:r w:rsidRPr="00221992">
        <w:rPr>
          <w:lang w:val="en-GB"/>
        </w:rPr>
        <w:t xml:space="preserve">. These amendments empower the Canadian Patented Medicine Review Board (PMPRB), a quasi-judicial federal agency, to utilise HTA assessment </w:t>
      </w:r>
      <w:r w:rsidR="00572335" w:rsidRPr="00221992">
        <w:rPr>
          <w:lang w:val="en-GB"/>
        </w:rPr>
        <w:t>outcomes</w:t>
      </w:r>
      <w:r w:rsidRPr="00221992">
        <w:rPr>
          <w:lang w:val="en-GB"/>
        </w:rPr>
        <w:t xml:space="preserve"> from CADTH and INESSS </w:t>
      </w:r>
      <w:r w:rsidR="00572335" w:rsidRPr="00221992">
        <w:rPr>
          <w:lang w:val="en-GB"/>
        </w:rPr>
        <w:t>in</w:t>
      </w:r>
      <w:r w:rsidRPr="00221992">
        <w:rPr>
          <w:lang w:val="en-GB"/>
        </w:rPr>
        <w:t xml:space="preserve"> setting the maximum allowable price for certain patented medicines.</w:t>
      </w:r>
      <w:r w:rsidR="00D9287D" w:rsidRPr="00221992">
        <w:rPr>
          <w:lang w:val="en-GB"/>
        </w:rPr>
        <w:t xml:space="preserve"> </w:t>
      </w:r>
      <w:r w:rsidRPr="00221992">
        <w:rPr>
          <w:lang w:val="en-GB"/>
        </w:rPr>
        <w:t>Under this approach, economic evaluations submitted during the HTA process play a crucial role in determining the maximum list price of new medicines. Initially, an interim Maximum List Price (iMLP) is set to the median international ex-factory list price of 11 comparator countries for which the patentee has provided information. This iMLP remains valid for three years from the date of introduction of the new patented medicine in Canada. Subsequently, when the patentee files international prices, the iMLP is replaced by the Maximum List Price (MLP).</w:t>
      </w:r>
    </w:p>
    <w:p w14:paraId="4F45444E" w14:textId="1D752CA0" w:rsidR="00700BD8" w:rsidRPr="00221992" w:rsidRDefault="00700BD8" w:rsidP="00D97A5B">
      <w:pPr>
        <w:rPr>
          <w:lang w:val="en-GB"/>
        </w:rPr>
      </w:pPr>
      <w:r w:rsidRPr="00221992">
        <w:rPr>
          <w:lang w:val="en-GB"/>
        </w:rPr>
        <w:t xml:space="preserve">For medicines falling under the category of significant unmet clinical need, a third step involves calculating the Maximum Rebated Price (MRP) from the iMLP/MLP, considering scientific information, including therapeutic effect and </w:t>
      </w:r>
      <w:r w:rsidR="008B66F0" w:rsidRPr="00221992">
        <w:rPr>
          <w:lang w:val="en-GB"/>
        </w:rPr>
        <w:t xml:space="preserve">estimated </w:t>
      </w:r>
      <w:r w:rsidR="0073710A" w:rsidRPr="00221992">
        <w:rPr>
          <w:lang w:val="en-GB"/>
        </w:rPr>
        <w:t xml:space="preserve">gain in </w:t>
      </w:r>
      <w:r w:rsidRPr="00221992">
        <w:rPr>
          <w:lang w:val="en-GB"/>
        </w:rPr>
        <w:t>QALY</w:t>
      </w:r>
      <w:r w:rsidR="00E656D7" w:rsidRPr="00221992">
        <w:rPr>
          <w:lang w:val="en-GB"/>
        </w:rPr>
        <w:t>s</w:t>
      </w:r>
      <w:r w:rsidRPr="00221992">
        <w:rPr>
          <w:lang w:val="en-GB"/>
        </w:rPr>
        <w:t xml:space="preserve">. </w:t>
      </w:r>
      <w:r w:rsidR="008B66F0" w:rsidRPr="00221992">
        <w:rPr>
          <w:lang w:val="en-GB"/>
        </w:rPr>
        <w:t>N</w:t>
      </w:r>
      <w:r w:rsidRPr="00221992">
        <w:rPr>
          <w:lang w:val="en-GB"/>
        </w:rPr>
        <w:t>ew medicines are classified into four Therapeutic Criteria Levels (TC Level I-IV), with TC Level I defined as the highest QALY gain and TC Level IV defined as no QALY gain. A pharmacoeconomic value threshold (PVT) is set at C</w:t>
      </w:r>
      <w:r w:rsidR="004F5FDC" w:rsidRPr="00221992">
        <w:rPr>
          <w:lang w:val="en-GB"/>
        </w:rPr>
        <w:t>AD</w:t>
      </w:r>
      <w:r w:rsidRPr="00221992">
        <w:rPr>
          <w:lang w:val="en-GB"/>
        </w:rPr>
        <w:t xml:space="preserve">$200,000 per QALY for TC Level I, and CAD$150,000 per QALY for TC Levels II, III and IV. The MRP is then determined with a reduction of 20% off </w:t>
      </w:r>
      <w:r w:rsidR="00432365" w:rsidRPr="00221992">
        <w:rPr>
          <w:lang w:val="en-GB"/>
        </w:rPr>
        <w:t xml:space="preserve">the </w:t>
      </w:r>
      <w:r w:rsidRPr="00221992">
        <w:rPr>
          <w:lang w:val="en-GB"/>
        </w:rPr>
        <w:t xml:space="preserve">MLP for TC Level I, 30% for TC Level II, 40% for TC Level III, and 50% for TC Level IV. Additionally, if sales of the new medicine </w:t>
      </w:r>
      <w:r w:rsidR="00432365" w:rsidRPr="00221992">
        <w:rPr>
          <w:lang w:val="en-GB"/>
        </w:rPr>
        <w:t xml:space="preserve">are expected to </w:t>
      </w:r>
      <w:r w:rsidRPr="00221992">
        <w:rPr>
          <w:lang w:val="en-GB"/>
        </w:rPr>
        <w:t xml:space="preserve">exceed </w:t>
      </w:r>
      <w:r w:rsidR="00950D21">
        <w:rPr>
          <w:lang w:val="en-GB"/>
        </w:rPr>
        <w:t>CAD</w:t>
      </w:r>
      <w:r w:rsidRPr="00221992">
        <w:rPr>
          <w:lang w:val="en-GB"/>
        </w:rPr>
        <w:t>$50</w:t>
      </w:r>
      <w:r w:rsidR="0087176B">
        <w:rPr>
          <w:lang w:val="en-GB"/>
        </w:rPr>
        <w:t xml:space="preserve"> million</w:t>
      </w:r>
      <w:r w:rsidRPr="00221992">
        <w:rPr>
          <w:lang w:val="en-GB"/>
        </w:rPr>
        <w:t xml:space="preserve"> per year, the MRP is further adjusted </w:t>
      </w:r>
      <w:r w:rsidR="00250F85" w:rsidRPr="00221992">
        <w:rPr>
          <w:lang w:val="en-GB"/>
        </w:rPr>
        <w:t>by</w:t>
      </w:r>
      <w:r w:rsidRPr="00221992">
        <w:rPr>
          <w:lang w:val="en-GB"/>
        </w:rPr>
        <w:t xml:space="preserve"> an additional 25%-35% off the MRP calculated using PVT </w:t>
      </w:r>
      <w:r w:rsidR="00653F87" w:rsidRPr="00221992">
        <w:rPr>
          <w:lang w:val="en-GB"/>
        </w:rPr>
        <w:fldChar w:fldCharType="begin"/>
      </w:r>
      <w:r w:rsidR="00E5265C">
        <w:rPr>
          <w:lang w:val="en-GB"/>
        </w:rPr>
        <w:instrText xml:space="preserve"> ADDIN EN.CITE &lt;EndNote&gt;&lt;Cite&gt;&lt;Author&gt;Rawson NSL&lt;/Author&gt;&lt;Year&gt;January 2020&lt;/Year&gt;&lt;RecNum&gt;403&lt;/RecNum&gt;&lt;DisplayText&gt;[271-272]&lt;/DisplayText&gt;&lt;record&gt;&lt;rec-number&gt;403&lt;/rec-number&gt;&lt;foreign-keys&gt;&lt;key app="EN" db-id="wzwwsfxe4peesxef95cxvrwjxts9rreasarf" timestamp="1692654670"&gt;403&lt;/key&gt;&lt;/foreign-keys&gt;&lt;ref-type name="Book Section"&gt;5&lt;/ref-type&gt;&lt;contributors&gt;&lt;authors&gt;&lt;author&gt;Rawson NSL,&lt;/author&gt;&lt;/authors&gt;&lt;/contributors&gt;&lt;titles&gt;&lt;title&gt;Donna New Patented Medicine Regulations in Canada: Updated Case Study of a Manufacturer’s Decision-Making About a Regulatory Submission for a Rare Disorder Treatment.&lt;/title&gt;&lt;secondary-title&gt;Canadian Health Policy&lt;/secondary-title&gt;&lt;/titles&gt;&lt;dates&gt;&lt;year&gt;January 2020&lt;/year&gt;&lt;/dates&gt;&lt;urls&gt;&lt;/urls&gt;&lt;/record&gt;&lt;/Cite&gt;&lt;Cite ExcludeYear="1"&gt;&lt;Author&gt;TPMPR&lt;/Author&gt;&lt;RecNum&gt;452&lt;/RecNum&gt;&lt;record&gt;&lt;rec-number&gt;452&lt;/rec-number&gt;&lt;foreign-keys&gt;&lt;key app="EN" db-id="wzwwsfxe4peesxef95cxvrwjxts9rreasarf" timestamp="1692654670"&gt;452&lt;/key&gt;&lt;/foreign-keys&gt;&lt;ref-type name="Book Section"&gt;5&lt;/ref-type&gt;&lt;contributors&gt;&lt;authors&gt;&lt;author&gt;Board TPMPR&lt;/author&gt;&lt;/authors&gt;&lt;/contributors&gt;&lt;titles&gt;&lt;title&gt;PMPRB draft guidelines 2020 Available from: https://www.canada.ca/content/dam/pmprb-cepmb/documents/consultations/draft-guidelines/2020/PMPRB-Guidelines2020-en.pdf. Accessed JJuly 25, 2023.&lt;/title&gt;&lt;/titles&gt;&lt;dates&gt;&lt;/dates&gt;&lt;urls&gt;&lt;/urls&gt;&lt;/record&gt;&lt;/Cite&gt;&lt;/EndNote&gt;</w:instrText>
      </w:r>
      <w:r w:rsidR="00653F87" w:rsidRPr="00221992">
        <w:rPr>
          <w:lang w:val="en-GB"/>
        </w:rPr>
        <w:fldChar w:fldCharType="separate"/>
      </w:r>
      <w:r w:rsidR="00E5265C">
        <w:rPr>
          <w:noProof/>
          <w:lang w:val="en-GB"/>
        </w:rPr>
        <w:t>[271-272]</w:t>
      </w:r>
      <w:r w:rsidR="00653F87" w:rsidRPr="00221992">
        <w:rPr>
          <w:lang w:val="en-GB"/>
        </w:rPr>
        <w:fldChar w:fldCharType="end"/>
      </w:r>
      <w:r w:rsidRPr="00221992">
        <w:rPr>
          <w:lang w:val="en-GB"/>
        </w:rPr>
        <w:t>.</w:t>
      </w:r>
    </w:p>
    <w:p w14:paraId="31D9CCD3" w14:textId="3F934B07" w:rsidR="00700BD8" w:rsidRPr="00221992" w:rsidRDefault="00700BD8" w:rsidP="00D97A5B">
      <w:pPr>
        <w:rPr>
          <w:lang w:val="en-GB"/>
        </w:rPr>
      </w:pPr>
      <w:r w:rsidRPr="00221992">
        <w:rPr>
          <w:lang w:val="en-GB"/>
        </w:rPr>
        <w:t>By incorporating economic evaluations in the HTA process and using this information to set maximum prices, Canada aims to strike a balance between ensuring patient access to innovative therapies and managing healthcare costs effectively. The reforms signal a significant step towards adopting value-based pricing approaches to optimise patient access to innovative treatments.</w:t>
      </w:r>
    </w:p>
    <w:p w14:paraId="6F7D0BCD" w14:textId="636C13DA" w:rsidR="00454C9D" w:rsidRPr="00221992" w:rsidRDefault="6BE6FE7E" w:rsidP="00D97A5B">
      <w:pPr>
        <w:rPr>
          <w:rFonts w:ascii="Calibri" w:hAnsi="Calibri" w:cs="Calibri"/>
          <w:b/>
          <w:lang w:val="en-GB"/>
        </w:rPr>
      </w:pPr>
      <w:bookmarkStart w:id="277" w:name="_Toc142742720"/>
      <w:r w:rsidRPr="00221992">
        <w:rPr>
          <w:rFonts w:ascii="Calibri" w:hAnsi="Calibri" w:cs="Calibri"/>
          <w:b/>
          <w:lang w:val="en-GB"/>
        </w:rPr>
        <w:t xml:space="preserve">Case study: </w:t>
      </w:r>
      <w:r w:rsidR="00F0290F" w:rsidRPr="00221992">
        <w:rPr>
          <w:rFonts w:ascii="Calibri" w:hAnsi="Calibri" w:cs="Calibri"/>
          <w:b/>
          <w:lang w:val="en-GB"/>
        </w:rPr>
        <w:t>A</w:t>
      </w:r>
      <w:r w:rsidRPr="00221992">
        <w:rPr>
          <w:rFonts w:ascii="Calibri" w:hAnsi="Calibri" w:cs="Calibri"/>
          <w:b/>
          <w:lang w:val="en-GB"/>
        </w:rPr>
        <w:t>daptive pathways</w:t>
      </w:r>
      <w:r w:rsidR="4B6D7769" w:rsidRPr="00221992">
        <w:rPr>
          <w:rFonts w:ascii="Calibri" w:hAnsi="Calibri" w:cs="Calibri"/>
          <w:b/>
          <w:lang w:val="en-GB"/>
        </w:rPr>
        <w:t xml:space="preserve"> in the </w:t>
      </w:r>
      <w:r w:rsidR="1C69B4EC" w:rsidRPr="00221992">
        <w:rPr>
          <w:rFonts w:ascii="Calibri" w:hAnsi="Calibri" w:cs="Calibri"/>
          <w:b/>
          <w:lang w:val="en-GB"/>
        </w:rPr>
        <w:t>European Union</w:t>
      </w:r>
      <w:bookmarkEnd w:id="277"/>
    </w:p>
    <w:p w14:paraId="277C5C42" w14:textId="51E120CD" w:rsidR="00C94FB5" w:rsidRPr="00221992" w:rsidRDefault="00454C9D" w:rsidP="00DF64A0">
      <w:pPr>
        <w:rPr>
          <w:lang w:val="en-GB"/>
        </w:rPr>
      </w:pPr>
      <w:r w:rsidRPr="00221992">
        <w:rPr>
          <w:lang w:val="en-GB"/>
        </w:rPr>
        <w:t xml:space="preserve">Adaptive pathways </w:t>
      </w:r>
      <w:r w:rsidR="00763ADB" w:rsidRPr="00221992">
        <w:rPr>
          <w:lang w:val="en-GB"/>
        </w:rPr>
        <w:t>are</w:t>
      </w:r>
      <w:r w:rsidRPr="00221992">
        <w:rPr>
          <w:lang w:val="en-GB"/>
        </w:rPr>
        <w:t xml:space="preserve"> an innovative regulatory concept that aims to accelerate patient access to promising new therapies, particularly in areas of high unmet medical need. </w:t>
      </w:r>
      <w:r w:rsidR="001F4C9B" w:rsidRPr="00221992">
        <w:rPr>
          <w:lang w:val="en-GB"/>
        </w:rPr>
        <w:t>This</w:t>
      </w:r>
      <w:r w:rsidRPr="00221992">
        <w:rPr>
          <w:lang w:val="en-GB"/>
        </w:rPr>
        <w:t xml:space="preserve"> flexible and iterative approach allows for early approval and subsequent adaptation of treatment strategies based on evolving evidence</w:t>
      </w:r>
      <w:r w:rsidR="008674C1">
        <w:rPr>
          <w:lang w:val="en-GB"/>
        </w:rPr>
        <w:t>, including</w:t>
      </w:r>
      <w:r w:rsidRPr="00221992">
        <w:rPr>
          <w:lang w:val="en-GB"/>
        </w:rPr>
        <w:t xml:space="preserve"> </w:t>
      </w:r>
      <w:r w:rsidR="00697606" w:rsidRPr="00221992">
        <w:rPr>
          <w:lang w:val="en-GB"/>
        </w:rPr>
        <w:t>RWE</w:t>
      </w:r>
      <w:r w:rsidR="00A62BA6" w:rsidRPr="00221992">
        <w:rPr>
          <w:lang w:val="en-GB"/>
        </w:rPr>
        <w:t xml:space="preserve"> </w:t>
      </w:r>
      <w:r w:rsidR="00653F87" w:rsidRPr="00221992">
        <w:rPr>
          <w:lang w:val="en-GB"/>
        </w:rPr>
        <w:fldChar w:fldCharType="begin"/>
      </w:r>
      <w:r w:rsidR="00E5265C">
        <w:rPr>
          <w:lang w:val="en-GB"/>
        </w:rPr>
        <w:instrText xml:space="preserve"> ADDIN EN.CITE &lt;EndNote&gt;&lt;Cite&gt;&lt;Author&gt;European Medicines Agency (EMA)&lt;/Author&gt;&lt;Year&gt;2016&lt;/Year&gt;&lt;RecNum&gt;4&lt;/RecNum&gt;&lt;DisplayText&gt;[273]&lt;/DisplayText&gt;&lt;record&gt;&lt;rec-number&gt;4&lt;/rec-number&gt;&lt;foreign-keys&gt;&lt;key app="EN" db-id="wzwwsfxe4peesxef95cxvrwjxts9rreasarf" timestamp="1692654670"&gt;4&lt;/key&gt;&lt;/foreign-keys&gt;&lt;ref-type name="Report"&gt;27&lt;/ref-type&gt;&lt;contributors&gt;&lt;authors&gt;&lt;author&gt;European Medicines Agency (EMA),&lt;/author&gt;&lt;/authors&gt;&lt;tertiary-authors&gt;&lt;author&gt;European Medicines Agency (EMA),&lt;/author&gt;&lt;/tertiary-authors&gt;&lt;/contributors&gt;&lt;titles&gt;&lt;title&gt;Adaptive Pathways Workshop&lt;/title&gt;&lt;/titles&gt;&lt;dates&gt;&lt;year&gt;2016&lt;/year&gt;&lt;/dates&gt;&lt;pub-location&gt;London&lt;/pub-location&gt;&lt;urls&gt;&lt;/urls&gt;&lt;/record&gt;&lt;/Cite&gt;&lt;/EndNote&gt;</w:instrText>
      </w:r>
      <w:r w:rsidR="00653F87" w:rsidRPr="00221992">
        <w:rPr>
          <w:lang w:val="en-GB"/>
        </w:rPr>
        <w:fldChar w:fldCharType="separate"/>
      </w:r>
      <w:r w:rsidR="00E5265C">
        <w:rPr>
          <w:noProof/>
          <w:lang w:val="en-GB"/>
        </w:rPr>
        <w:t>[273]</w:t>
      </w:r>
      <w:r w:rsidR="00653F87" w:rsidRPr="00221992">
        <w:rPr>
          <w:lang w:val="en-GB"/>
        </w:rPr>
        <w:fldChar w:fldCharType="end"/>
      </w:r>
      <w:r w:rsidRPr="00221992">
        <w:rPr>
          <w:lang w:val="en-GB"/>
        </w:rPr>
        <w:t>.</w:t>
      </w:r>
      <w:r w:rsidR="00D82F0D" w:rsidRPr="00221992">
        <w:rPr>
          <w:lang w:val="en-GB"/>
        </w:rPr>
        <w:t xml:space="preserve"> </w:t>
      </w:r>
      <w:r w:rsidRPr="00221992">
        <w:rPr>
          <w:lang w:val="en-GB"/>
        </w:rPr>
        <w:t xml:space="preserve">The concept of adaptive pathways emerged </w:t>
      </w:r>
      <w:r w:rsidR="005E42AA" w:rsidRPr="00221992">
        <w:rPr>
          <w:lang w:val="en-GB"/>
        </w:rPr>
        <w:t>in</w:t>
      </w:r>
      <w:r w:rsidRPr="00221992">
        <w:rPr>
          <w:lang w:val="en-GB"/>
        </w:rPr>
        <w:t xml:space="preserve"> response to the challenges of traditional drug development and regulatory pathways, which often involve lengthy timelines and </w:t>
      </w:r>
      <w:r w:rsidR="00A63E24" w:rsidRPr="00221992">
        <w:rPr>
          <w:lang w:val="en-GB"/>
        </w:rPr>
        <w:t>may serve to</w:t>
      </w:r>
      <w:r w:rsidR="00D82F0D" w:rsidRPr="00221992">
        <w:rPr>
          <w:lang w:val="en-GB"/>
        </w:rPr>
        <w:t xml:space="preserve"> delay</w:t>
      </w:r>
      <w:r w:rsidRPr="00221992">
        <w:rPr>
          <w:lang w:val="en-GB"/>
        </w:rPr>
        <w:t xml:space="preserve"> patient access to potentially life-saving treatments </w:t>
      </w:r>
      <w:r w:rsidR="00653F87" w:rsidRPr="00221992">
        <w:rPr>
          <w:lang w:val="en-GB"/>
        </w:rPr>
        <w:fldChar w:fldCharType="begin"/>
      </w:r>
      <w:r w:rsidR="00E5265C">
        <w:rPr>
          <w:lang w:val="en-GB"/>
        </w:rPr>
        <w:instrText xml:space="preserve"> ADDIN EN.CITE &lt;EndNote&gt;&lt;Cite&gt;&lt;Author&gt;Leyens&lt;/Author&gt;&lt;Year&gt;2016&lt;/Year&gt;&lt;RecNum&gt;290&lt;/RecNum&gt;&lt;DisplayText&gt;[274]&lt;/DisplayText&gt;&lt;record&gt;&lt;rec-number&gt;290&lt;/rec-number&gt;&lt;foreign-keys&gt;&lt;key app="EN" db-id="wzwwsfxe4peesxef95cxvrwjxts9rreasarf" timestamp="1692654670"&gt;290&lt;/key&gt;&lt;/foreign-keys&gt;&lt;ref-type name="Journal Article"&gt;17&lt;/ref-type&gt;&lt;contributors&gt;&lt;authors&gt;&lt;author&gt;Leyens, L.&lt;/author&gt;&lt;author&gt;Brand, A.&lt;/author&gt;&lt;/authors&gt;&lt;/contributors&gt;&lt;auth-address&gt;Maastricht Economic and Social Research Institute on Innovation and Technology (MERIT), Maastricht University, Maastricht, The Netherlands.&lt;/auth-address&gt;&lt;titles&gt;&lt;title&gt;Early Patient Access to Medicines: Health Technology Assessment Bodies Need to Catch Up with New Marketing Authorization Methods&lt;/title&gt;&lt;secondary-title&gt;Public Health Genomics&lt;/secondary-title&gt;&lt;/titles&gt;&lt;periodical&gt;&lt;full-title&gt;Public Health Genomics&lt;/full-title&gt;&lt;/periodical&gt;&lt;pages&gt;187-91&lt;/pages&gt;&lt;volume&gt;19&lt;/volume&gt;&lt;number&gt;3&lt;/number&gt;&lt;edition&gt;20160601&lt;/edition&gt;&lt;keywords&gt;&lt;keyword&gt;Drug Approval/*organization &amp;amp; administration&lt;/keyword&gt;&lt;keyword&gt;Europe&lt;/keyword&gt;&lt;keyword&gt;*Health Services Accessibility&lt;/keyword&gt;&lt;keyword&gt;Humans&lt;/keyword&gt;&lt;keyword&gt;Marketing/*methods&lt;/keyword&gt;&lt;keyword&gt;Technology Assessment, Biomedical/*methods&lt;/keyword&gt;&lt;keyword&gt;United States&lt;/keyword&gt;&lt;keyword&gt;United States Food and Drug Administration&lt;/keyword&gt;&lt;/keywords&gt;&lt;dates&gt;&lt;year&gt;2016&lt;/year&gt;&lt;/dates&gt;&lt;isbn&gt;1662-8063 (Electronic)&amp;#xD;1662-4246 (Print)&amp;#xD;1662-4246 (Linking)&lt;/isbn&gt;&lt;accession-num&gt;27238553&lt;/accession-num&gt;&lt;urls&gt;&lt;related-urls&gt;&lt;url&gt;https://www.ncbi.nlm.nih.gov/pubmed/27238553&lt;/url&gt;&lt;url&gt;https://karger.com/phg/article-pdf/19/3/187/3427471/000446537.pdf&lt;/url&gt;&lt;/related-urls&gt;&lt;/urls&gt;&lt;custom2&gt;PMC5296921&lt;/custom2&gt;&lt;electronic-resource-num&gt;10.1159/000446537&lt;/electronic-resource-num&gt;&lt;remote-database-name&gt;Medline&lt;/remote-database-name&gt;&lt;remote-database-provider&gt;NLM&lt;/remote-database-provider&gt;&lt;/record&gt;&lt;/Cite&gt;&lt;/EndNote&gt;</w:instrText>
      </w:r>
      <w:r w:rsidR="00653F87" w:rsidRPr="00221992">
        <w:rPr>
          <w:lang w:val="en-GB"/>
        </w:rPr>
        <w:fldChar w:fldCharType="separate"/>
      </w:r>
      <w:r w:rsidR="00E5265C">
        <w:rPr>
          <w:noProof/>
          <w:lang w:val="en-GB"/>
        </w:rPr>
        <w:t>[274]</w:t>
      </w:r>
      <w:r w:rsidR="00653F87" w:rsidRPr="00221992">
        <w:rPr>
          <w:lang w:val="en-GB"/>
        </w:rPr>
        <w:fldChar w:fldCharType="end"/>
      </w:r>
      <w:r w:rsidRPr="00221992">
        <w:rPr>
          <w:lang w:val="en-GB"/>
        </w:rPr>
        <w:t>.</w:t>
      </w:r>
      <w:r w:rsidR="003F19BE" w:rsidRPr="00221992">
        <w:rPr>
          <w:lang w:val="en-GB"/>
        </w:rPr>
        <w:t xml:space="preserve"> </w:t>
      </w:r>
      <w:r w:rsidRPr="00221992">
        <w:rPr>
          <w:lang w:val="en-GB"/>
        </w:rPr>
        <w:t xml:space="preserve">The evolution of the concept can be traced to initiatives such as the </w:t>
      </w:r>
      <w:r w:rsidR="00551786">
        <w:rPr>
          <w:lang w:val="en-GB"/>
        </w:rPr>
        <w:t>‘</w:t>
      </w:r>
      <w:r w:rsidRPr="00221992">
        <w:rPr>
          <w:lang w:val="en-GB"/>
        </w:rPr>
        <w:t>Early Access to Medicines</w:t>
      </w:r>
      <w:r w:rsidR="00551786">
        <w:rPr>
          <w:lang w:val="en-GB"/>
        </w:rPr>
        <w:t>’</w:t>
      </w:r>
      <w:r w:rsidRPr="00221992">
        <w:rPr>
          <w:lang w:val="en-GB"/>
        </w:rPr>
        <w:t xml:space="preserve"> program in the United Kingdom and the MAPP program in the United States</w:t>
      </w:r>
      <w:r w:rsidR="00A62BA6" w:rsidRPr="00221992">
        <w:rPr>
          <w:lang w:val="en-GB"/>
        </w:rPr>
        <w:t xml:space="preserve"> </w:t>
      </w:r>
      <w:r w:rsidR="00653F87" w:rsidRPr="00221992">
        <w:rPr>
          <w:lang w:val="en-GB"/>
        </w:rPr>
        <w:fldChar w:fldCharType="begin">
          <w:fldData xml:space="preserve">PEVuZE5vdGU+PENpdGU+PEF1dGhvcj5WZWxsYSBCb25hbm5vPC9BdXRob3I+PFllYXI+MjAxNzwv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</w:fldData>
        </w:fldChar>
      </w:r>
      <w:r w:rsidR="00E5265C">
        <w:rPr>
          <w:lang w:val="en-GB"/>
        </w:rPr>
        <w:instrText xml:space="preserve"> ADDIN EN.CITE </w:instrText>
      </w:r>
      <w:r w:rsidR="00E5265C">
        <w:rPr>
          <w:lang w:val="en-GB"/>
        </w:rPr>
        <w:fldChar w:fldCharType="begin">
          <w:fldData xml:space="preserve">PEVuZE5vdGU+PENpdGU+PEF1dGhvcj5WZWxsYSBCb25hbm5vPC9BdXRob3I+PFllYXI+MjAxNzwv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</w:fldData>
        </w:fldChar>
      </w:r>
      <w:r w:rsidR="00E5265C">
        <w:rPr>
          <w:lang w:val="en-GB"/>
        </w:rPr>
        <w:instrText xml:space="preserve"> ADDIN EN.CITE.DATA </w:instrText>
      </w:r>
      <w:r w:rsidR="00E5265C">
        <w:rPr>
          <w:lang w:val="en-GB"/>
        </w:rPr>
      </w:r>
      <w:r w:rsidR="00E5265C">
        <w:rPr>
          <w:lang w:val="en-GB"/>
        </w:rPr>
        <w:fldChar w:fldCharType="end"/>
      </w:r>
      <w:r w:rsidR="00653F87" w:rsidRPr="00221992">
        <w:rPr>
          <w:lang w:val="en-GB"/>
        </w:rPr>
      </w:r>
      <w:r w:rsidR="00653F87" w:rsidRPr="00221992">
        <w:rPr>
          <w:lang w:val="en-GB"/>
        </w:rPr>
        <w:fldChar w:fldCharType="separate"/>
      </w:r>
      <w:r w:rsidR="00E5265C">
        <w:rPr>
          <w:noProof/>
          <w:lang w:val="en-GB"/>
        </w:rPr>
        <w:t>[262]</w:t>
      </w:r>
      <w:r w:rsidR="00653F87" w:rsidRPr="00221992">
        <w:rPr>
          <w:lang w:val="en-GB"/>
        </w:rPr>
        <w:fldChar w:fldCharType="end"/>
      </w:r>
      <w:r w:rsidRPr="00221992">
        <w:rPr>
          <w:lang w:val="en-GB"/>
        </w:rPr>
        <w:t xml:space="preserve">. The EMA </w:t>
      </w:r>
      <w:r w:rsidR="00C94FB5" w:rsidRPr="00221992">
        <w:rPr>
          <w:lang w:val="en-GB"/>
        </w:rPr>
        <w:t xml:space="preserve">has </w:t>
      </w:r>
      <w:r w:rsidRPr="00221992">
        <w:rPr>
          <w:lang w:val="en-GB"/>
        </w:rPr>
        <w:t>played a significant role in further developing th</w:t>
      </w:r>
      <w:r w:rsidR="00C95E38">
        <w:rPr>
          <w:lang w:val="en-GB"/>
        </w:rPr>
        <w:t>is</w:t>
      </w:r>
      <w:r w:rsidRPr="00221992">
        <w:rPr>
          <w:lang w:val="en-GB"/>
        </w:rPr>
        <w:t xml:space="preserve"> concept. </w:t>
      </w:r>
    </w:p>
    <w:p w14:paraId="74353ECA" w14:textId="198BAF16" w:rsidR="00454C9D" w:rsidRPr="00221992" w:rsidRDefault="00454C9D" w:rsidP="00C94FB5">
      <w:pPr>
        <w:rPr>
          <w:lang w:val="en-GB"/>
        </w:rPr>
      </w:pPr>
      <w:r w:rsidRPr="00221992">
        <w:rPr>
          <w:lang w:val="en-GB"/>
        </w:rPr>
        <w:t xml:space="preserve">In 2014, the EMA launched a pilot project called the </w:t>
      </w:r>
      <w:r w:rsidR="00551786">
        <w:rPr>
          <w:lang w:val="en-GB"/>
        </w:rPr>
        <w:t>‘</w:t>
      </w:r>
      <w:r w:rsidRPr="00221992">
        <w:rPr>
          <w:lang w:val="en-GB"/>
        </w:rPr>
        <w:t>Adaptive Pathways</w:t>
      </w:r>
      <w:r w:rsidR="00551786">
        <w:rPr>
          <w:lang w:val="en-GB"/>
        </w:rPr>
        <w:t>’</w:t>
      </w:r>
      <w:r w:rsidRPr="00221992">
        <w:rPr>
          <w:lang w:val="en-GB"/>
        </w:rPr>
        <w:t xml:space="preserve"> approach, which aimed to explore </w:t>
      </w:r>
      <w:r w:rsidR="00C94FB5" w:rsidRPr="00221992">
        <w:rPr>
          <w:lang w:val="en-GB"/>
        </w:rPr>
        <w:t>the</w:t>
      </w:r>
      <w:r w:rsidRPr="00221992">
        <w:rPr>
          <w:lang w:val="en-GB"/>
        </w:rPr>
        <w:t xml:space="preserve"> feasibility and potential benefits </w:t>
      </w:r>
      <w:r w:rsidR="008804EF" w:rsidRPr="00221992">
        <w:rPr>
          <w:lang w:val="en-GB"/>
        </w:rPr>
        <w:t>of the program within the</w:t>
      </w:r>
      <w:r w:rsidRPr="00221992">
        <w:rPr>
          <w:lang w:val="en-GB"/>
        </w:rPr>
        <w:t xml:space="preserve"> European regulatory framework </w:t>
      </w:r>
      <w:r w:rsidR="00653F87" w:rsidRPr="00221992">
        <w:rPr>
          <w:lang w:val="en-GB"/>
        </w:rPr>
        <w:fldChar w:fldCharType="begin"/>
      </w:r>
      <w:r w:rsidR="00E5265C">
        <w:rPr>
          <w:lang w:val="en-GB"/>
        </w:rPr>
        <w:instrText xml:space="preserve"> ADDIN EN.CITE &lt;EndNote&gt;&lt;Cite&gt;&lt;Author&gt;European Medicines Agency (EMA)&lt;/Author&gt;&lt;Year&gt;2016&lt;/Year&gt;&lt;RecNum&gt;4&lt;/RecNum&gt;&lt;DisplayText&gt;[273]&lt;/DisplayText&gt;&lt;record&gt;&lt;rec-number&gt;4&lt;/rec-number&gt;&lt;foreign-keys&gt;&lt;key app="EN" db-id="wzwwsfxe4peesxef95cxvrwjxts9rreasarf" timestamp="1692654670"&gt;4&lt;/key&gt;&lt;/foreign-keys&gt;&lt;ref-type name="Report"&gt;27&lt;/ref-type&gt;&lt;contributors&gt;&lt;authors&gt;&lt;author&gt;European Medicines Agency (EMA),&lt;/author&gt;&lt;/authors&gt;&lt;tertiary-authors&gt;&lt;author&gt;European Medicines Agency (EMA),&lt;/author&gt;&lt;/tertiary-authors&gt;&lt;/contributors&gt;&lt;titles&gt;&lt;title&gt;Adaptive Pathways Workshop&lt;/title&gt;&lt;/titles&gt;&lt;dates&gt;&lt;year&gt;2016&lt;/year&gt;&lt;/dates&gt;&lt;pub-location&gt;London&lt;/pub-location&gt;&lt;urls&gt;&lt;/urls&gt;&lt;/record&gt;&lt;/Cite&gt;&lt;/EndNote&gt;</w:instrText>
      </w:r>
      <w:r w:rsidR="00653F87" w:rsidRPr="00221992">
        <w:rPr>
          <w:lang w:val="en-GB"/>
        </w:rPr>
        <w:fldChar w:fldCharType="separate"/>
      </w:r>
      <w:r w:rsidR="00E5265C">
        <w:rPr>
          <w:noProof/>
          <w:lang w:val="en-GB"/>
        </w:rPr>
        <w:t>[273]</w:t>
      </w:r>
      <w:r w:rsidR="00653F87" w:rsidRPr="00221992">
        <w:rPr>
          <w:lang w:val="en-GB"/>
        </w:rPr>
        <w:fldChar w:fldCharType="end"/>
      </w:r>
      <w:r w:rsidRPr="00221992">
        <w:rPr>
          <w:lang w:val="en-GB"/>
        </w:rPr>
        <w:t>.</w:t>
      </w:r>
      <w:r w:rsidR="00C94FB5" w:rsidRPr="00221992">
        <w:rPr>
          <w:lang w:val="en-GB"/>
        </w:rPr>
        <w:t xml:space="preserve"> </w:t>
      </w:r>
      <w:r w:rsidRPr="00221992">
        <w:rPr>
          <w:lang w:val="en-GB"/>
        </w:rPr>
        <w:t>It typically involves three key stages:</w:t>
      </w:r>
    </w:p>
    <w:p w14:paraId="32A4C293" w14:textId="7D5968B4" w:rsidR="00454C9D" w:rsidRPr="00221992" w:rsidRDefault="00454C9D" w:rsidP="00957584">
      <w:pPr>
        <w:pStyle w:val="ListParagraph"/>
        <w:numPr>
          <w:ilvl w:val="0"/>
          <w:numId w:val="40"/>
        </w:numPr>
        <w:rPr>
          <w:lang w:val="en-GB"/>
        </w:rPr>
      </w:pPr>
      <w:r w:rsidRPr="00221992">
        <w:rPr>
          <w:lang w:val="en-GB"/>
        </w:rPr>
        <w:t xml:space="preserve">Exploratory Stage: </w:t>
      </w:r>
      <w:r w:rsidR="00C95E38">
        <w:rPr>
          <w:lang w:val="en-GB"/>
        </w:rPr>
        <w:t>F</w:t>
      </w:r>
      <w:r w:rsidRPr="00221992">
        <w:rPr>
          <w:lang w:val="en-GB"/>
        </w:rPr>
        <w:t>ocus is on early dialogue and collaboration between regulators, industry and other stakeholders to identify promising therapeutic interventions. The goal is to gather sufficient evidence to support a conditional approval or early access program.</w:t>
      </w:r>
    </w:p>
    <w:p w14:paraId="4579B0D4" w14:textId="6880B7E1" w:rsidR="00454C9D" w:rsidRPr="00221992" w:rsidRDefault="00454C9D" w:rsidP="00957584">
      <w:pPr>
        <w:pStyle w:val="ListParagraph"/>
        <w:numPr>
          <w:ilvl w:val="0"/>
          <w:numId w:val="40"/>
        </w:numPr>
        <w:rPr>
          <w:lang w:val="en-GB"/>
        </w:rPr>
      </w:pPr>
      <w:r w:rsidRPr="00221992">
        <w:rPr>
          <w:lang w:val="en-GB"/>
        </w:rPr>
        <w:t>Con</w:t>
      </w:r>
      <w:r w:rsidR="00A5028B" w:rsidRPr="00221992">
        <w:rPr>
          <w:lang w:val="en-GB"/>
        </w:rPr>
        <w:t>firm</w:t>
      </w:r>
      <w:r w:rsidRPr="00221992">
        <w:rPr>
          <w:lang w:val="en-GB"/>
        </w:rPr>
        <w:t xml:space="preserve">atory Stage: After conditional approval or early access, additional data are collected </w:t>
      </w:r>
      <w:r w:rsidR="00D17BE3">
        <w:rPr>
          <w:lang w:val="en-GB"/>
        </w:rPr>
        <w:t>via</w:t>
      </w:r>
      <w:r w:rsidR="007044A4" w:rsidRPr="00221992">
        <w:rPr>
          <w:lang w:val="en-GB"/>
        </w:rPr>
        <w:t xml:space="preserve"> </w:t>
      </w:r>
      <w:r w:rsidRPr="00221992">
        <w:rPr>
          <w:lang w:val="en-GB"/>
        </w:rPr>
        <w:t xml:space="preserve">post-marketing studies, </w:t>
      </w:r>
      <w:r w:rsidR="007044A4" w:rsidRPr="00221992">
        <w:rPr>
          <w:lang w:val="en-GB"/>
        </w:rPr>
        <w:t xml:space="preserve">patient registries and </w:t>
      </w:r>
      <w:r w:rsidR="00A5028B" w:rsidRPr="00221992">
        <w:rPr>
          <w:lang w:val="en-GB"/>
        </w:rPr>
        <w:t>RWE</w:t>
      </w:r>
      <w:r w:rsidRPr="00221992">
        <w:rPr>
          <w:lang w:val="en-GB"/>
        </w:rPr>
        <w:t>. This stage aims to generate robust evidence on efficacy, safety and value in specific patient populations.</w:t>
      </w:r>
    </w:p>
    <w:p w14:paraId="4EC228AD" w14:textId="0C8F3B6D" w:rsidR="00454C9D" w:rsidRPr="00221992" w:rsidRDefault="00454C9D" w:rsidP="00957584">
      <w:pPr>
        <w:pStyle w:val="ListParagraph"/>
        <w:numPr>
          <w:ilvl w:val="0"/>
          <w:numId w:val="40"/>
        </w:numPr>
        <w:rPr>
          <w:lang w:val="en-GB"/>
        </w:rPr>
      </w:pPr>
      <w:r w:rsidRPr="00221992">
        <w:rPr>
          <w:lang w:val="en-GB"/>
        </w:rPr>
        <w:t>Evolutionary Stage: Based on the accumulated evidence, treatment strategies and indications can be refined, expanded or narrowed, ensuring that the therapy is used in the most appropriate patient populations. This stage involves continuous evaluation and adaptation of the treatment pathway.</w:t>
      </w:r>
    </w:p>
    <w:p w14:paraId="40F937D5" w14:textId="09FF0AB9" w:rsidR="00454C9D" w:rsidRPr="00221992" w:rsidRDefault="008804EF" w:rsidP="00681BEC">
      <w:pPr>
        <w:rPr>
          <w:lang w:val="en-GB"/>
        </w:rPr>
      </w:pPr>
      <w:r w:rsidRPr="00221992">
        <w:rPr>
          <w:lang w:val="en-GB"/>
        </w:rPr>
        <w:t>The pathway</w:t>
      </w:r>
      <w:r w:rsidR="003F19BE" w:rsidRPr="00221992">
        <w:rPr>
          <w:lang w:val="en-GB"/>
        </w:rPr>
        <w:t xml:space="preserve"> requires</w:t>
      </w:r>
      <w:r w:rsidR="00454C9D" w:rsidRPr="00221992">
        <w:rPr>
          <w:lang w:val="en-GB"/>
        </w:rPr>
        <w:t xml:space="preserve"> close collaboration and engagement among regulators, healthcare providers, patients and industry stakeholders throughout the entire drug development and evaluation process. It promotes a shared decision-making process that considers the needs of patients, scientific evidence and societal values.</w:t>
      </w:r>
    </w:p>
    <w:p w14:paraId="29317DC7" w14:textId="52286EB4" w:rsidR="00454C9D" w:rsidRPr="00221992" w:rsidRDefault="00454C9D" w:rsidP="00681BEC">
      <w:pPr>
        <w:rPr>
          <w:lang w:val="en-GB"/>
        </w:rPr>
      </w:pPr>
      <w:r w:rsidRPr="00221992">
        <w:rPr>
          <w:lang w:val="en-GB"/>
        </w:rPr>
        <w:t>While adaptive pathways hold promise for improving patient access to innovative therapies, they also pose challenges and require careful monitoring and evaluation</w:t>
      </w:r>
      <w:r w:rsidR="003A02D8" w:rsidRPr="00221992">
        <w:rPr>
          <w:lang w:val="en-GB"/>
        </w:rPr>
        <w:t xml:space="preserve"> </w:t>
      </w:r>
      <w:r w:rsidR="00653F87" w:rsidRPr="00221992">
        <w:rPr>
          <w:lang w:val="en-GB"/>
        </w:rPr>
        <w:fldChar w:fldCharType="begin">
          <w:fldData xml:space="preserve">PEVuZE5vdGU+PENpdGU+PEF1dGhvcj5WZWxsYSBCb25hbm5vPC9BdXRob3I+PFllYXI+MjAxNzwv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</w:fldData>
        </w:fldChar>
      </w:r>
      <w:r w:rsidR="00E5265C">
        <w:rPr>
          <w:lang w:val="en-GB"/>
        </w:rPr>
        <w:instrText xml:space="preserve"> ADDIN EN.CITE </w:instrText>
      </w:r>
      <w:r w:rsidR="00E5265C">
        <w:rPr>
          <w:lang w:val="en-GB"/>
        </w:rPr>
        <w:fldChar w:fldCharType="begin">
          <w:fldData xml:space="preserve">PEVuZE5vdGU+PENpdGU+PEF1dGhvcj5WZWxsYSBCb25hbm5vPC9BdXRob3I+PFllYXI+MjAxNzwv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</w:fldData>
        </w:fldChar>
      </w:r>
      <w:r w:rsidR="00E5265C">
        <w:rPr>
          <w:lang w:val="en-GB"/>
        </w:rPr>
        <w:instrText xml:space="preserve"> ADDIN EN.CITE.DATA </w:instrText>
      </w:r>
      <w:r w:rsidR="00E5265C">
        <w:rPr>
          <w:lang w:val="en-GB"/>
        </w:rPr>
      </w:r>
      <w:r w:rsidR="00E5265C">
        <w:rPr>
          <w:lang w:val="en-GB"/>
        </w:rPr>
        <w:fldChar w:fldCharType="end"/>
      </w:r>
      <w:r w:rsidR="00653F87" w:rsidRPr="00221992">
        <w:rPr>
          <w:lang w:val="en-GB"/>
        </w:rPr>
      </w:r>
      <w:r w:rsidR="00653F87" w:rsidRPr="00221992">
        <w:rPr>
          <w:lang w:val="en-GB"/>
        </w:rPr>
        <w:fldChar w:fldCharType="separate"/>
      </w:r>
      <w:r w:rsidR="00E5265C">
        <w:rPr>
          <w:noProof/>
          <w:lang w:val="en-GB"/>
        </w:rPr>
        <w:t>[262]</w:t>
      </w:r>
      <w:r w:rsidR="00653F87" w:rsidRPr="00221992">
        <w:rPr>
          <w:lang w:val="en-GB"/>
        </w:rPr>
        <w:fldChar w:fldCharType="end"/>
      </w:r>
      <w:r w:rsidRPr="00221992">
        <w:rPr>
          <w:lang w:val="en-GB"/>
        </w:rPr>
        <w:t>. The approach requires balancing the need for early access with the generation of robust evidence and the ongoing assessment of risks and benefits.</w:t>
      </w:r>
    </w:p>
    <w:p w14:paraId="6AB2FF67" w14:textId="2D31BA1E" w:rsidR="00454C9D" w:rsidRPr="00221992" w:rsidRDefault="00454C9D" w:rsidP="00681BEC">
      <w:pPr>
        <w:rPr>
          <w:lang w:val="en-GB"/>
        </w:rPr>
      </w:pPr>
      <w:r w:rsidRPr="00221992">
        <w:rPr>
          <w:lang w:val="en-GB"/>
        </w:rPr>
        <w:t>Overall, the concept of adaptive pathways represents a paradigm shift in drug development and regulatory decision-making, aiming to optimi</w:t>
      </w:r>
      <w:r w:rsidR="00F23DDE" w:rsidRPr="00221992">
        <w:rPr>
          <w:lang w:val="en-GB"/>
        </w:rPr>
        <w:t>s</w:t>
      </w:r>
      <w:r w:rsidRPr="00221992">
        <w:rPr>
          <w:lang w:val="en-GB"/>
        </w:rPr>
        <w:t xml:space="preserve">e patient access to innovative therapies while ensuring continuous learning and adaptation based on </w:t>
      </w:r>
      <w:r w:rsidR="00A5028B" w:rsidRPr="00221992">
        <w:rPr>
          <w:lang w:val="en-GB"/>
        </w:rPr>
        <w:t>RWE</w:t>
      </w:r>
      <w:r w:rsidRPr="00221992">
        <w:rPr>
          <w:lang w:val="en-GB"/>
        </w:rPr>
        <w:t>.</w:t>
      </w:r>
      <w:r w:rsidR="00B136BC" w:rsidRPr="00221992">
        <w:rPr>
          <w:lang w:val="en-GB"/>
        </w:rPr>
        <w:t xml:space="preserve"> Some countries within the EU have incorporated elements of adaptive pathways </w:t>
      </w:r>
      <w:r w:rsidR="003973DD" w:rsidRPr="00221992">
        <w:rPr>
          <w:lang w:val="en-GB"/>
        </w:rPr>
        <w:t>within</w:t>
      </w:r>
      <w:r w:rsidR="00B136BC" w:rsidRPr="00221992">
        <w:rPr>
          <w:lang w:val="en-GB"/>
        </w:rPr>
        <w:t xml:space="preserve"> their regulatory frameworks, </w:t>
      </w:r>
      <w:r w:rsidR="003973DD" w:rsidRPr="00221992">
        <w:rPr>
          <w:lang w:val="en-GB"/>
        </w:rPr>
        <w:t>including</w:t>
      </w:r>
      <w:r w:rsidR="00DA4CEB" w:rsidRPr="00221992">
        <w:rPr>
          <w:lang w:val="en-GB"/>
        </w:rPr>
        <w:t xml:space="preserve"> </w:t>
      </w:r>
      <w:r w:rsidR="003973DD" w:rsidRPr="00221992">
        <w:rPr>
          <w:lang w:val="en-GB"/>
        </w:rPr>
        <w:t>t</w:t>
      </w:r>
      <w:r w:rsidR="00DA4CEB" w:rsidRPr="00221992">
        <w:rPr>
          <w:lang w:val="en-GB"/>
        </w:rPr>
        <w:t>he Netherlands and Sweden, who have adopted modified MEA programs, to include a formalised approach of collecting RWE (discussed in Section 1.4.1). However, the</w:t>
      </w:r>
      <w:r w:rsidR="00B136BC" w:rsidRPr="00221992">
        <w:rPr>
          <w:lang w:val="en-GB"/>
        </w:rPr>
        <w:t xml:space="preserve"> extent of </w:t>
      </w:r>
      <w:r w:rsidR="00DA4CEB" w:rsidRPr="00221992">
        <w:rPr>
          <w:lang w:val="en-GB"/>
        </w:rPr>
        <w:t xml:space="preserve">the </w:t>
      </w:r>
      <w:r w:rsidR="00B136BC" w:rsidRPr="00221992">
        <w:rPr>
          <w:lang w:val="en-GB"/>
        </w:rPr>
        <w:t xml:space="preserve">adoption </w:t>
      </w:r>
      <w:r w:rsidR="00DA4CEB" w:rsidRPr="00221992">
        <w:rPr>
          <w:lang w:val="en-GB"/>
        </w:rPr>
        <w:t xml:space="preserve">of adaptive pathways </w:t>
      </w:r>
      <w:r w:rsidR="00B136BC" w:rsidRPr="00221992">
        <w:rPr>
          <w:lang w:val="en-GB"/>
        </w:rPr>
        <w:t>var</w:t>
      </w:r>
      <w:r w:rsidR="00EA7B09">
        <w:rPr>
          <w:lang w:val="en-GB"/>
        </w:rPr>
        <w:t>ies</w:t>
      </w:r>
      <w:r w:rsidR="00B136BC" w:rsidRPr="00221992">
        <w:rPr>
          <w:lang w:val="en-GB"/>
        </w:rPr>
        <w:t xml:space="preserve"> as regulatory practices and policies continue to evolve. </w:t>
      </w:r>
      <w:r w:rsidR="009F1DA1" w:rsidRPr="00221992">
        <w:rPr>
          <w:lang w:val="en-GB"/>
        </w:rPr>
        <w:t>Beyond</w:t>
      </w:r>
      <w:r w:rsidR="00B136BC" w:rsidRPr="00221992">
        <w:rPr>
          <w:lang w:val="en-GB"/>
        </w:rPr>
        <w:t xml:space="preserve"> the EU</w:t>
      </w:r>
      <w:r w:rsidR="009F1DA1" w:rsidRPr="00221992">
        <w:rPr>
          <w:lang w:val="en-GB"/>
        </w:rPr>
        <w:t xml:space="preserve">, </w:t>
      </w:r>
      <w:r w:rsidR="00F21128" w:rsidRPr="00221992">
        <w:rPr>
          <w:lang w:val="en-GB"/>
        </w:rPr>
        <w:t>countries</w:t>
      </w:r>
      <w:r w:rsidR="00B136BC" w:rsidRPr="00221992">
        <w:rPr>
          <w:lang w:val="en-GB"/>
        </w:rPr>
        <w:t xml:space="preserve"> have shown interest in adaptive pathways</w:t>
      </w:r>
      <w:r w:rsidR="00F21128" w:rsidRPr="00221992">
        <w:rPr>
          <w:lang w:val="en-GB"/>
        </w:rPr>
        <w:t>, for example,</w:t>
      </w:r>
      <w:r w:rsidR="00B136BC" w:rsidRPr="00221992">
        <w:rPr>
          <w:lang w:val="en-GB"/>
        </w:rPr>
        <w:t xml:space="preserve"> </w:t>
      </w:r>
      <w:r w:rsidR="00B253D9" w:rsidRPr="00221992">
        <w:rPr>
          <w:lang w:val="en-GB"/>
        </w:rPr>
        <w:t>in the development of</w:t>
      </w:r>
      <w:r w:rsidR="00DA4CEB" w:rsidRPr="00221992">
        <w:rPr>
          <w:lang w:val="en-GB"/>
        </w:rPr>
        <w:t xml:space="preserve"> Canada</w:t>
      </w:r>
      <w:r w:rsidR="00551786">
        <w:rPr>
          <w:lang w:val="en-GB"/>
        </w:rPr>
        <w:t>’</w:t>
      </w:r>
      <w:r w:rsidR="00B253D9" w:rsidRPr="00221992">
        <w:rPr>
          <w:lang w:val="en-GB"/>
        </w:rPr>
        <w:t>s</w:t>
      </w:r>
      <w:r w:rsidR="00DA4CEB" w:rsidRPr="00221992">
        <w:rPr>
          <w:lang w:val="en-GB"/>
        </w:rPr>
        <w:t xml:space="preserve"> managed entry approach for new innovation</w:t>
      </w:r>
      <w:r w:rsidR="00595A37" w:rsidRPr="00221992">
        <w:rPr>
          <w:lang w:val="en-GB"/>
        </w:rPr>
        <w:t xml:space="preserve"> and the UK</w:t>
      </w:r>
      <w:r w:rsidR="00551786">
        <w:rPr>
          <w:lang w:val="en-GB"/>
        </w:rPr>
        <w:t>’</w:t>
      </w:r>
      <w:r w:rsidR="00B253D9" w:rsidRPr="00221992">
        <w:rPr>
          <w:lang w:val="en-GB"/>
        </w:rPr>
        <w:t>s</w:t>
      </w:r>
      <w:r w:rsidR="00595A37" w:rsidRPr="00221992">
        <w:rPr>
          <w:lang w:val="en-GB"/>
        </w:rPr>
        <w:t xml:space="preserve"> Innovative Licensing and Access Pathway</w:t>
      </w:r>
      <w:r w:rsidR="003A02D8" w:rsidRPr="00221992">
        <w:rPr>
          <w:lang w:val="en-GB"/>
        </w:rPr>
        <w:t xml:space="preserve"> </w:t>
      </w:r>
      <w:r w:rsidR="00653F87" w:rsidRPr="00221992">
        <w:rPr>
          <w:lang w:val="en-GB"/>
        </w:rPr>
        <w:fldChar w:fldCharType="begin"/>
      </w:r>
      <w:r w:rsidR="00E5265C">
        <w:rPr>
          <w:lang w:val="en-GB"/>
        </w:rPr>
        <w:instrText xml:space="preserve"> ADDIN EN.CITE &lt;EndNote&gt;&lt;Cite&gt;&lt;Author&gt;V.&lt;/Author&gt;&lt;Year&gt;2023&lt;/Year&gt;&lt;RecNum&gt;456&lt;/RecNum&gt;&lt;DisplayText&gt;[194]&lt;/DisplayText&gt;&lt;record&gt;&lt;rec-number&gt;456&lt;/rec-number&gt;&lt;foreign-keys&gt;&lt;key app="EN" db-id="wzwwsfxe4peesxef95cxvrwjxts9rreasarf" timestamp="1692654670"&gt;456&lt;/key&gt;&lt;/foreign-keys&gt;&lt;ref-type name="Conference Paper"&gt;47&lt;/ref-type&gt;&lt;contributors&gt;&lt;authors&gt;&lt;author&gt;Roman V.&lt;/author&gt;&lt;author&gt;Farago J.&lt;/author&gt;&lt;author&gt;Grubert N.&lt;/author&gt;&lt;/authors&gt;&lt;/contributors&gt;&lt;titles&gt;&lt;title&gt;Developing a Canadian managed entry approach for new innovation: What can Canada learn from Europe?&lt;/title&gt;&lt;/titles&gt;&lt;dates&gt;&lt;year&gt;2023&lt;/year&gt;&lt;/dates&gt;&lt;publisher&gt;Innovative Medicines Canada&lt;/publisher&gt;&lt;urls&gt;&lt;related-urls&gt;&lt;url&gt;https://innovativemedicines.ca/wp-content/uploads/2023/05/20230800-Symposium-Poster_EN_V5.pdf&lt;/url&gt;&lt;/related-urls&gt;&lt;/urls&gt;&lt;/record&gt;&lt;/Cite&gt;&lt;Cite&gt;&lt;Author&gt;V.&lt;/Author&gt;&lt;Year&gt;2023&lt;/Year&gt;&lt;RecNum&gt;456&lt;/RecNum&gt;&lt;record&gt;&lt;rec-number&gt;456&lt;/rec-number&gt;&lt;foreign-keys&gt;&lt;key app="EN" db-id="wzwwsfxe4peesxef95cxvrwjxts9rreasarf" timestamp="1692654670"&gt;456&lt;/key&gt;&lt;/foreign-keys&gt;&lt;ref-type name="Conference Paper"&gt;47&lt;/ref-type&gt;&lt;contributors&gt;&lt;authors&gt;&lt;author&gt;Roman V.&lt;/author&gt;&lt;author&gt;Farago J.&lt;/author&gt;&lt;author&gt;Grubert N.&lt;/author&gt;&lt;/authors&gt;&lt;/contributors&gt;&lt;titles&gt;&lt;title&gt;Developing a Canadian managed entry approach for new innovation: What can Canada learn from Europe?&lt;/title&gt;&lt;/titles&gt;&lt;dates&gt;&lt;year&gt;2023&lt;/year&gt;&lt;/dates&gt;&lt;publisher&gt;Innovative Medicines Canada&lt;/publisher&gt;&lt;urls&gt;&lt;related-urls&gt;&lt;url&gt;https://innovativemedicines.ca/wp-content/uploads/2023/05/20230800-Symposium-Poster_EN_V5.pdf&lt;/url&gt;&lt;/related-urls&gt;&lt;/urls&gt;&lt;/record&gt;&lt;/Cite&gt;&lt;/EndNote&gt;</w:instrText>
      </w:r>
      <w:r w:rsidR="00653F87" w:rsidRPr="00221992">
        <w:rPr>
          <w:lang w:val="en-GB"/>
        </w:rPr>
        <w:fldChar w:fldCharType="separate"/>
      </w:r>
      <w:r w:rsidR="00E5265C">
        <w:rPr>
          <w:noProof/>
          <w:lang w:val="en-GB"/>
        </w:rPr>
        <w:t>[194]</w:t>
      </w:r>
      <w:r w:rsidR="00653F87" w:rsidRPr="00221992">
        <w:rPr>
          <w:lang w:val="en-GB"/>
        </w:rPr>
        <w:fldChar w:fldCharType="end"/>
      </w:r>
      <w:r w:rsidR="00B136BC" w:rsidRPr="00221992">
        <w:rPr>
          <w:lang w:val="en-GB"/>
        </w:rPr>
        <w:t>.</w:t>
      </w:r>
    </w:p>
    <w:tbl>
      <w:tblPr>
        <w:tblStyle w:val="GridTable4-Accent34"/>
        <w:tblW w:w="0" w:type="auto"/>
        <w:tblBorders>
          <w:top w:val="single" w:sz="12" w:space="0" w:color="0F4BEB" w:themeColor="accent1"/>
          <w:left w:val="single" w:sz="12" w:space="0" w:color="0F4BEB" w:themeColor="accent1"/>
          <w:bottom w:val="single" w:sz="12" w:space="0" w:color="0F4BEB" w:themeColor="accent1"/>
          <w:right w:val="single" w:sz="12" w:space="0" w:color="0F4BEB" w:themeColor="accent1"/>
          <w:insideH w:val="single" w:sz="4" w:space="0" w:color="A5A5A5"/>
          <w:insideV w:val="single" w:sz="4" w:space="0" w:color="A5A5A5"/>
        </w:tblBorders>
        <w:tblLook w:val="04A0" w:firstRow="1" w:lastRow="0" w:firstColumn="1" w:lastColumn="0" w:noHBand="0" w:noVBand="1"/>
      </w:tblPr>
      <w:tblGrid>
        <w:gridCol w:w="9016"/>
      </w:tblGrid>
      <w:tr w:rsidR="009B5DF1" w:rsidRPr="009D07B4" w14:paraId="2E0DBB9C" w14:textId="77777777" w:rsidTr="009D07B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tcPr>
          <w:p w14:paraId="3FFB7D96" w14:textId="12931441" w:rsidR="009B5DF1" w:rsidRPr="009D07B4" w:rsidRDefault="009B5DF1" w:rsidP="009B5DF1">
            <w:pPr>
              <w:spacing w:after="0" w:line="240" w:lineRule="auto"/>
              <w:jc w:val="center"/>
              <w:rPr>
                <w:rFonts w:ascii="Calibri" w:eastAsia="Calibri" w:hAnsi="Calibri" w:cs="Times New Roman"/>
                <w:sz w:val="22"/>
                <w:szCs w:val="22"/>
                <w:lang w:eastAsia="en-US"/>
              </w:rPr>
            </w:pPr>
            <w:r w:rsidRPr="009D07B4">
              <w:rPr>
                <w:rFonts w:ascii="Calibri" w:eastAsia="Calibri" w:hAnsi="Calibri" w:cs="Times New Roman"/>
                <w:sz w:val="22"/>
                <w:szCs w:val="22"/>
                <w:lang w:eastAsia="en-US"/>
              </w:rPr>
              <w:t>Why this matters</w:t>
            </w:r>
          </w:p>
        </w:tc>
      </w:tr>
      <w:tr w:rsidR="009B5DF1" w:rsidRPr="009D07B4" w14:paraId="2D323073" w14:textId="77777777" w:rsidTr="009D07B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tcPr>
          <w:p w14:paraId="5FE31A86" w14:textId="2A4E4939" w:rsidR="009B5DF1" w:rsidRPr="009D07B4" w:rsidRDefault="009B5DF1" w:rsidP="009B5DF1">
            <w:pPr>
              <w:spacing w:after="0" w:line="240" w:lineRule="auto"/>
              <w:rPr>
                <w:rFonts w:eastAsia="Calibri" w:cs="Calibri Light"/>
                <w:sz w:val="22"/>
                <w:szCs w:val="22"/>
                <w:lang w:eastAsia="en-US"/>
              </w:rPr>
            </w:pPr>
            <w:r w:rsidRPr="009D07B4">
              <w:rPr>
                <w:rFonts w:eastAsia="Calibri" w:cs="Calibri Light"/>
                <w:b w:val="0"/>
                <w:sz w:val="22"/>
                <w:szCs w:val="22"/>
                <w:lang w:eastAsia="en-US"/>
              </w:rPr>
              <w:t xml:space="preserve">In addition to issues </w:t>
            </w:r>
            <w:r w:rsidR="00E5284E">
              <w:rPr>
                <w:rFonts w:eastAsia="Calibri" w:cs="Calibri Light"/>
                <w:b w:val="0"/>
                <w:sz w:val="22"/>
                <w:szCs w:val="22"/>
                <w:lang w:eastAsia="en-US"/>
              </w:rPr>
              <w:t>around</w:t>
            </w:r>
            <w:r w:rsidR="00E5284E" w:rsidRPr="009D07B4">
              <w:rPr>
                <w:rFonts w:eastAsia="Calibri" w:cs="Calibri Light"/>
                <w:b w:val="0"/>
                <w:sz w:val="22"/>
                <w:szCs w:val="22"/>
                <w:lang w:eastAsia="en-US"/>
              </w:rPr>
              <w:t xml:space="preserve"> </w:t>
            </w:r>
            <w:r w:rsidRPr="009D07B4">
              <w:rPr>
                <w:rFonts w:eastAsia="Calibri" w:cs="Calibri Light"/>
                <w:b w:val="0"/>
                <w:sz w:val="22"/>
                <w:szCs w:val="22"/>
                <w:lang w:eastAsia="en-US"/>
              </w:rPr>
              <w:t xml:space="preserve">disinvestment, several international independent reviews from Sweden, the Netherlands, the OECD and Canada have identified possible improvements in MEA frameworks </w:t>
            </w:r>
            <w:r w:rsidR="57B1BE50" w:rsidRPr="009D07B4">
              <w:rPr>
                <w:rFonts w:eastAsia="Calibri" w:cs="Calibri Light"/>
                <w:b w:val="0"/>
                <w:bCs w:val="0"/>
                <w:sz w:val="22"/>
                <w:szCs w:val="22"/>
                <w:lang w:eastAsia="en-US"/>
              </w:rPr>
              <w:t xml:space="preserve">to </w:t>
            </w:r>
            <w:r w:rsidR="52CBF1C5" w:rsidRPr="009D07B4">
              <w:rPr>
                <w:rFonts w:eastAsia="Calibri" w:cs="Calibri Light"/>
                <w:b w:val="0"/>
                <w:bCs w:val="0"/>
                <w:sz w:val="22"/>
                <w:szCs w:val="22"/>
                <w:lang w:eastAsia="en-US"/>
              </w:rPr>
              <w:t>reduc</w:t>
            </w:r>
            <w:r w:rsidR="4D0D4F45" w:rsidRPr="009D07B4">
              <w:rPr>
                <w:rFonts w:eastAsia="Calibri" w:cs="Calibri Light"/>
                <w:b w:val="0"/>
                <w:bCs w:val="0"/>
                <w:sz w:val="22"/>
                <w:szCs w:val="22"/>
                <w:lang w:eastAsia="en-US"/>
              </w:rPr>
              <w:t>e</w:t>
            </w:r>
            <w:r w:rsidR="00A27D19" w:rsidRPr="009D07B4">
              <w:rPr>
                <w:rFonts w:eastAsia="Calibri" w:cs="Calibri Light"/>
                <w:b w:val="0"/>
                <w:sz w:val="22"/>
                <w:szCs w:val="22"/>
                <w:lang w:eastAsia="en-US"/>
              </w:rPr>
              <w:t xml:space="preserve"> </w:t>
            </w:r>
            <w:r w:rsidRPr="009D07B4">
              <w:rPr>
                <w:rFonts w:eastAsia="Calibri" w:cs="Calibri Light"/>
                <w:b w:val="0"/>
                <w:sz w:val="22"/>
                <w:szCs w:val="22"/>
                <w:lang w:eastAsia="en-US"/>
              </w:rPr>
              <w:t xml:space="preserve">administrative burden, </w:t>
            </w:r>
            <w:r w:rsidR="6CE19E5C" w:rsidRPr="009D07B4">
              <w:rPr>
                <w:rFonts w:eastAsia="Calibri" w:cs="Calibri Light"/>
                <w:b w:val="0"/>
                <w:bCs w:val="0"/>
                <w:sz w:val="22"/>
                <w:szCs w:val="22"/>
                <w:lang w:eastAsia="en-US"/>
              </w:rPr>
              <w:t>improv</w:t>
            </w:r>
            <w:r w:rsidR="41C2E0F6" w:rsidRPr="009D07B4">
              <w:rPr>
                <w:rFonts w:eastAsia="Calibri" w:cs="Calibri Light"/>
                <w:b w:val="0"/>
                <w:bCs w:val="0"/>
                <w:sz w:val="22"/>
                <w:szCs w:val="22"/>
                <w:lang w:eastAsia="en-US"/>
              </w:rPr>
              <w:t>e</w:t>
            </w:r>
            <w:r w:rsidRPr="009D07B4">
              <w:rPr>
                <w:rFonts w:eastAsia="Calibri" w:cs="Calibri Light"/>
                <w:b w:val="0"/>
                <w:sz w:val="22"/>
                <w:szCs w:val="22"/>
                <w:lang w:eastAsia="en-US"/>
              </w:rPr>
              <w:t xml:space="preserve"> transparency, </w:t>
            </w:r>
            <w:r w:rsidR="6CE19E5C" w:rsidRPr="009D07B4">
              <w:rPr>
                <w:rFonts w:eastAsia="Calibri" w:cs="Calibri Light"/>
                <w:b w:val="0"/>
                <w:bCs w:val="0"/>
                <w:sz w:val="22"/>
                <w:szCs w:val="22"/>
                <w:lang w:eastAsia="en-US"/>
              </w:rPr>
              <w:t>enhanc</w:t>
            </w:r>
            <w:r w:rsidR="0FB3AB28" w:rsidRPr="009D07B4">
              <w:rPr>
                <w:rFonts w:eastAsia="Calibri" w:cs="Calibri Light"/>
                <w:b w:val="0"/>
                <w:bCs w:val="0"/>
                <w:sz w:val="22"/>
                <w:szCs w:val="22"/>
                <w:lang w:eastAsia="en-US"/>
              </w:rPr>
              <w:t>e</w:t>
            </w:r>
            <w:r w:rsidRPr="009D07B4">
              <w:rPr>
                <w:rFonts w:eastAsia="Calibri" w:cs="Calibri Light"/>
                <w:b w:val="0"/>
                <w:sz w:val="22"/>
                <w:szCs w:val="22"/>
                <w:lang w:eastAsia="en-US"/>
              </w:rPr>
              <w:t xml:space="preserve"> data infrastructure, and </w:t>
            </w:r>
            <w:r w:rsidR="45B23B84" w:rsidRPr="009D07B4">
              <w:rPr>
                <w:rFonts w:eastAsia="Calibri" w:cs="Calibri Light"/>
                <w:b w:val="0"/>
                <w:bCs w:val="0"/>
                <w:sz w:val="22"/>
                <w:szCs w:val="22"/>
                <w:lang w:eastAsia="en-US"/>
              </w:rPr>
              <w:t xml:space="preserve">explicitly </w:t>
            </w:r>
            <w:r w:rsidR="6CE19E5C" w:rsidRPr="009D07B4">
              <w:rPr>
                <w:rFonts w:eastAsia="Calibri" w:cs="Calibri Light"/>
                <w:b w:val="0"/>
                <w:bCs w:val="0"/>
                <w:sz w:val="22"/>
                <w:szCs w:val="22"/>
                <w:lang w:eastAsia="en-US"/>
              </w:rPr>
              <w:t>consider</w:t>
            </w:r>
            <w:r w:rsidRPr="009D07B4">
              <w:rPr>
                <w:rFonts w:eastAsia="Calibri" w:cs="Calibri Light"/>
                <w:b w:val="0"/>
                <w:sz w:val="22"/>
                <w:szCs w:val="22"/>
                <w:lang w:eastAsia="en-US"/>
              </w:rPr>
              <w:t xml:space="preserve"> the potential risks associated with MEAs </w:t>
            </w:r>
            <w:r w:rsidRPr="009D07B4">
              <w:rPr>
                <w:rFonts w:eastAsia="Calibri" w:cs="Calibri Light"/>
                <w:b w:val="0"/>
                <w:sz w:val="22"/>
                <w:szCs w:val="22"/>
                <w:lang w:val="en-GB" w:eastAsia="en-US"/>
              </w:rPr>
              <w:t>[229-230]. </w:t>
            </w:r>
            <w:r w:rsidRPr="009D07B4">
              <w:rPr>
                <w:rFonts w:eastAsia="Calibri" w:cs="Calibri Light"/>
                <w:b w:val="0"/>
                <w:sz w:val="22"/>
                <w:szCs w:val="22"/>
                <w:lang w:eastAsia="en-US"/>
              </w:rPr>
              <w:t> </w:t>
            </w:r>
          </w:p>
          <w:p w14:paraId="267D7221" w14:textId="77777777" w:rsidR="009B5DF1" w:rsidRPr="009D07B4" w:rsidRDefault="009B5DF1" w:rsidP="009B5DF1">
            <w:pPr>
              <w:spacing w:after="0" w:line="240" w:lineRule="auto"/>
              <w:rPr>
                <w:rFonts w:eastAsia="Calibri" w:cs="Calibri Light"/>
                <w:sz w:val="22"/>
                <w:szCs w:val="22"/>
                <w:lang w:eastAsia="en-US"/>
              </w:rPr>
            </w:pPr>
          </w:p>
          <w:p w14:paraId="35902199" w14:textId="77777777" w:rsidR="009B5DF1" w:rsidRPr="009D07B4" w:rsidRDefault="009B5DF1" w:rsidP="009B5DF1">
            <w:pPr>
              <w:spacing w:after="0" w:line="240" w:lineRule="auto"/>
              <w:rPr>
                <w:rFonts w:eastAsia="Calibri" w:cs="Calibri Light"/>
                <w:sz w:val="22"/>
                <w:szCs w:val="22"/>
                <w:lang w:eastAsia="en-US"/>
              </w:rPr>
            </w:pPr>
            <w:r w:rsidRPr="009D07B4">
              <w:rPr>
                <w:rFonts w:eastAsia="Calibri" w:cs="Calibri Light"/>
                <w:b w:val="0"/>
                <w:sz w:val="22"/>
                <w:szCs w:val="22"/>
                <w:lang w:eastAsia="en-US"/>
              </w:rPr>
              <w:t xml:space="preserve">Further, as a growing number of emerging therapies address significant unmet clinical needs, HTA authorities around the world have continued to refine their approaches to MEAs for innovative therapies, by developing wide ranging and bespoke initiatives. </w:t>
            </w:r>
          </w:p>
          <w:p w14:paraId="7565BA9A" w14:textId="77777777" w:rsidR="009B5DF1" w:rsidRPr="009D07B4" w:rsidRDefault="009B5DF1" w:rsidP="009B5DF1">
            <w:pPr>
              <w:spacing w:after="0" w:line="240" w:lineRule="auto"/>
              <w:rPr>
                <w:rFonts w:eastAsia="Calibri" w:cs="Calibri Light"/>
                <w:sz w:val="22"/>
                <w:szCs w:val="22"/>
                <w:lang w:eastAsia="en-US"/>
              </w:rPr>
            </w:pPr>
          </w:p>
          <w:p w14:paraId="5F4B5211" w14:textId="69C6B020" w:rsidR="009B5DF1" w:rsidRPr="009D07B4" w:rsidRDefault="7F912F66" w:rsidP="009B5DF1">
            <w:pPr>
              <w:spacing w:after="0" w:line="240" w:lineRule="auto"/>
              <w:rPr>
                <w:rFonts w:ascii="Calibri" w:eastAsia="Calibri" w:hAnsi="Calibri" w:cs="Times New Roman"/>
                <w:b w:val="0"/>
                <w:sz w:val="22"/>
                <w:szCs w:val="22"/>
                <w:lang w:eastAsia="en-US"/>
              </w:rPr>
            </w:pPr>
            <w:r w:rsidRPr="009D07B4">
              <w:rPr>
                <w:rFonts w:eastAsia="Calibri" w:cs="Calibri Light"/>
                <w:b w:val="0"/>
                <w:bCs w:val="0"/>
                <w:sz w:val="22"/>
                <w:szCs w:val="22"/>
                <w:lang w:eastAsia="en-US"/>
              </w:rPr>
              <w:t>Examples of these initiatives include</w:t>
            </w:r>
            <w:r w:rsidR="33E49165" w:rsidRPr="009D07B4">
              <w:rPr>
                <w:rFonts w:eastAsia="Calibri" w:cs="Calibri Light"/>
                <w:b w:val="0"/>
                <w:bCs w:val="0"/>
                <w:sz w:val="22"/>
                <w:szCs w:val="22"/>
                <w:lang w:eastAsia="en-US"/>
              </w:rPr>
              <w:t>:</w:t>
            </w:r>
            <w:r w:rsidR="009B5DF1" w:rsidRPr="009D07B4">
              <w:rPr>
                <w:rFonts w:eastAsia="Calibri" w:cs="Calibri Light"/>
                <w:b w:val="0"/>
                <w:sz w:val="22"/>
                <w:szCs w:val="22"/>
                <w:lang w:eastAsia="en-US"/>
              </w:rPr>
              <w:t xml:space="preserve"> The Innovative Licensing and Access Pathway (ILAP), ‘smart deals’ as part of the Commercial Framework for New Medicines and the Subscription Model, also known as ‘delinked payment</w:t>
            </w:r>
            <w:r w:rsidR="69F83F5B" w:rsidRPr="009D07B4">
              <w:rPr>
                <w:rFonts w:eastAsia="Calibri" w:cs="Calibri Light"/>
                <w:b w:val="0"/>
                <w:bCs w:val="0"/>
                <w:sz w:val="22"/>
                <w:szCs w:val="22"/>
                <w:lang w:eastAsia="en-US"/>
              </w:rPr>
              <w:t xml:space="preserve"> in the UK;</w:t>
            </w:r>
            <w:r w:rsidR="009B5DF1" w:rsidRPr="009D07B4">
              <w:rPr>
                <w:rFonts w:eastAsia="Calibri" w:cs="Calibri Light"/>
                <w:b w:val="0"/>
                <w:sz w:val="22"/>
                <w:szCs w:val="22"/>
                <w:lang w:eastAsia="en-US"/>
              </w:rPr>
              <w:t xml:space="preserve"> and value-based pricing</w:t>
            </w:r>
            <w:r w:rsidR="6A363A13" w:rsidRPr="009D07B4">
              <w:rPr>
                <w:rFonts w:eastAsia="Calibri" w:cs="Calibri Light"/>
                <w:b w:val="0"/>
                <w:bCs w:val="0"/>
                <w:sz w:val="22"/>
                <w:szCs w:val="22"/>
                <w:lang w:eastAsia="en-US"/>
              </w:rPr>
              <w:t xml:space="preserve"> </w:t>
            </w:r>
            <w:r w:rsidR="607B73CE" w:rsidRPr="009D07B4">
              <w:rPr>
                <w:rFonts w:eastAsia="Calibri" w:cs="Calibri Light"/>
                <w:b w:val="0"/>
                <w:bCs w:val="0"/>
                <w:sz w:val="22"/>
                <w:szCs w:val="22"/>
                <w:lang w:eastAsia="en-US"/>
              </w:rPr>
              <w:t>in Italy</w:t>
            </w:r>
            <w:r w:rsidR="6CE19E5C" w:rsidRPr="009D07B4">
              <w:rPr>
                <w:rFonts w:eastAsia="Calibri" w:cs="Calibri Light"/>
                <w:b w:val="0"/>
                <w:bCs w:val="0"/>
                <w:sz w:val="22"/>
                <w:szCs w:val="22"/>
                <w:lang w:eastAsia="en-US"/>
              </w:rPr>
              <w:t xml:space="preserve"> [246].</w:t>
            </w:r>
            <w:r w:rsidR="009B5DF1" w:rsidRPr="009D07B4">
              <w:rPr>
                <w:rFonts w:eastAsia="Calibri" w:cs="Calibri Light"/>
                <w:b w:val="0"/>
                <w:sz w:val="22"/>
                <w:szCs w:val="22"/>
                <w:lang w:eastAsia="en-US"/>
              </w:rPr>
              <w:t xml:space="preserve"> The European Medicines Agency (EMA) is leading a regulatory approach of ‘adaptive pathways’ within the EU, informed by initiatives including the ‘Early Access to Medicines’ program in the UK and MAPP in the US [247]. Additionally, Canada has recently improved its approach to evaluating innovative therapies by incorporating </w:t>
            </w:r>
            <w:r w:rsidR="008B2464">
              <w:rPr>
                <w:rFonts w:eastAsia="Calibri" w:cs="Calibri Light"/>
                <w:b w:val="0"/>
                <w:sz w:val="22"/>
                <w:szCs w:val="22"/>
                <w:lang w:eastAsia="en-US"/>
              </w:rPr>
              <w:t>WTP thresholds</w:t>
            </w:r>
            <w:r w:rsidR="009B5DF1" w:rsidRPr="009D07B4">
              <w:rPr>
                <w:rFonts w:eastAsia="Calibri" w:cs="Calibri Light"/>
                <w:b w:val="0"/>
                <w:sz w:val="22"/>
                <w:szCs w:val="22"/>
                <w:lang w:eastAsia="en-US"/>
              </w:rPr>
              <w:t xml:space="preserve"> for pricing guidance.</w:t>
            </w:r>
            <w:r w:rsidR="009B5DF1" w:rsidRPr="009D07B4">
              <w:rPr>
                <w:rFonts w:ascii="Calibri" w:eastAsia="Calibri" w:hAnsi="Calibri" w:cs="Times New Roman"/>
                <w:sz w:val="22"/>
                <w:szCs w:val="22"/>
                <w:lang w:eastAsia="en-US"/>
              </w:rPr>
              <w:t xml:space="preserve"> </w:t>
            </w:r>
          </w:p>
          <w:p w14:paraId="67984704" w14:textId="77777777" w:rsidR="009B5DF1" w:rsidRPr="009D07B4" w:rsidRDefault="009B5DF1" w:rsidP="009B5DF1">
            <w:pPr>
              <w:spacing w:after="0" w:line="240" w:lineRule="auto"/>
              <w:rPr>
                <w:rFonts w:ascii="Calibri" w:eastAsia="Calibri" w:hAnsi="Calibri" w:cs="Times New Roman"/>
                <w:b w:val="0"/>
                <w:sz w:val="22"/>
                <w:szCs w:val="22"/>
                <w:lang w:eastAsia="en-US"/>
              </w:rPr>
            </w:pPr>
          </w:p>
          <w:p w14:paraId="57E9536C" w14:textId="514D6F05" w:rsidR="009B5DF1" w:rsidRPr="009D07B4" w:rsidRDefault="009B5DF1" w:rsidP="009B5DF1">
            <w:pPr>
              <w:spacing w:after="0" w:line="240" w:lineRule="auto"/>
              <w:rPr>
                <w:rFonts w:eastAsia="Calibri" w:cs="Calibri Light"/>
                <w:sz w:val="22"/>
                <w:szCs w:val="22"/>
                <w:lang w:eastAsia="en-US"/>
              </w:rPr>
            </w:pPr>
            <w:r w:rsidRPr="009D07B4">
              <w:rPr>
                <w:rFonts w:eastAsia="Calibri" w:cs="Calibri Light"/>
                <w:b w:val="0"/>
                <w:sz w:val="22"/>
                <w:szCs w:val="22"/>
                <w:lang w:eastAsia="en-US"/>
              </w:rPr>
              <w:t xml:space="preserve">Australia has its counterpart to these initiatives </w:t>
            </w:r>
            <w:r w:rsidR="00993387">
              <w:rPr>
                <w:rFonts w:eastAsia="Calibri" w:cs="Calibri Light"/>
                <w:b w:val="0"/>
                <w:sz w:val="22"/>
                <w:szCs w:val="22"/>
                <w:lang w:eastAsia="en-US"/>
              </w:rPr>
              <w:t>in</w:t>
            </w:r>
            <w:r w:rsidR="00993387" w:rsidRPr="009D07B4">
              <w:rPr>
                <w:rFonts w:eastAsia="Calibri" w:cs="Calibri Light"/>
                <w:b w:val="0"/>
                <w:sz w:val="22"/>
                <w:szCs w:val="22"/>
                <w:lang w:eastAsia="en-US"/>
              </w:rPr>
              <w:t xml:space="preserve"> </w:t>
            </w:r>
            <w:r w:rsidR="008B2464">
              <w:rPr>
                <w:rFonts w:eastAsia="Calibri" w:cs="Calibri Light"/>
                <w:b w:val="0"/>
                <w:sz w:val="22"/>
                <w:szCs w:val="22"/>
                <w:lang w:eastAsia="en-US"/>
              </w:rPr>
              <w:t>MAP</w:t>
            </w:r>
            <w:r w:rsidR="00993387">
              <w:rPr>
                <w:rFonts w:eastAsia="Calibri" w:cs="Calibri Light"/>
                <w:b w:val="0"/>
                <w:sz w:val="22"/>
                <w:szCs w:val="22"/>
                <w:lang w:eastAsia="en-US"/>
              </w:rPr>
              <w:t>s</w:t>
            </w:r>
            <w:r w:rsidRPr="009D07B4">
              <w:rPr>
                <w:rFonts w:eastAsia="Calibri" w:cs="Calibri Light"/>
                <w:b w:val="0"/>
                <w:sz w:val="22"/>
                <w:szCs w:val="22"/>
                <w:lang w:eastAsia="en-US"/>
              </w:rPr>
              <w:t xml:space="preserve"> [271]. However, the evidence suggests that the uptake of MAP</w:t>
            </w:r>
            <w:r w:rsidR="00993387">
              <w:rPr>
                <w:rFonts w:eastAsia="Calibri" w:cs="Calibri Light"/>
                <w:b w:val="0"/>
                <w:sz w:val="22"/>
                <w:szCs w:val="22"/>
                <w:lang w:eastAsia="en-US"/>
              </w:rPr>
              <w:t>s</w:t>
            </w:r>
            <w:r w:rsidRPr="009D07B4">
              <w:rPr>
                <w:rFonts w:eastAsia="Calibri" w:cs="Calibri Light"/>
                <w:b w:val="0"/>
                <w:sz w:val="22"/>
                <w:szCs w:val="22"/>
                <w:lang w:eastAsia="en-US"/>
              </w:rPr>
              <w:t xml:space="preserve"> has been low</w:t>
            </w:r>
            <w:r w:rsidR="003B0088">
              <w:rPr>
                <w:rFonts w:eastAsia="Calibri" w:cs="Calibri Light"/>
                <w:b w:val="0"/>
                <w:sz w:val="22"/>
                <w:szCs w:val="22"/>
                <w:lang w:eastAsia="en-US"/>
              </w:rPr>
              <w:t>.</w:t>
            </w:r>
            <w:r w:rsidRPr="009D07B4">
              <w:rPr>
                <w:rFonts w:eastAsia="Calibri" w:cs="Calibri Light"/>
                <w:b w:val="0"/>
                <w:sz w:val="22"/>
                <w:szCs w:val="22"/>
                <w:lang w:eastAsia="en-US"/>
              </w:rPr>
              <w:t xml:space="preserve"> Australia may benefit from a comprehensive and independent evaluation of </w:t>
            </w:r>
            <w:r w:rsidR="001734E2">
              <w:rPr>
                <w:rFonts w:eastAsia="Calibri" w:cs="Calibri Light"/>
                <w:b w:val="0"/>
                <w:sz w:val="22"/>
                <w:szCs w:val="22"/>
                <w:lang w:eastAsia="en-US"/>
              </w:rPr>
              <w:t xml:space="preserve">its </w:t>
            </w:r>
            <w:r w:rsidRPr="009D07B4">
              <w:rPr>
                <w:rFonts w:eastAsia="Calibri" w:cs="Calibri Light"/>
                <w:b w:val="0"/>
                <w:sz w:val="22"/>
                <w:szCs w:val="22"/>
                <w:lang w:eastAsia="en-US"/>
              </w:rPr>
              <w:t>MAP</w:t>
            </w:r>
            <w:r w:rsidR="001734E2">
              <w:rPr>
                <w:rFonts w:eastAsia="Calibri" w:cs="Calibri Light"/>
                <w:b w:val="0"/>
                <w:sz w:val="22"/>
                <w:szCs w:val="22"/>
                <w:lang w:eastAsia="en-US"/>
              </w:rPr>
              <w:t>s</w:t>
            </w:r>
            <w:r w:rsidRPr="009D07B4">
              <w:rPr>
                <w:rFonts w:eastAsia="Calibri" w:cs="Calibri Light"/>
                <w:b w:val="0"/>
                <w:sz w:val="22"/>
                <w:szCs w:val="22"/>
                <w:lang w:eastAsia="en-US"/>
              </w:rPr>
              <w:t xml:space="preserve"> to assess their effectiveness in managing uncertainty and achieving desired outcomes. Currently, publicly accessible evaluations are limited and the confidential nature of MEAs hinders assessment of their </w:t>
            </w:r>
            <w:r w:rsidR="00BC75AF">
              <w:rPr>
                <w:rFonts w:eastAsia="Calibri" w:cs="Calibri Light"/>
                <w:b w:val="0"/>
                <w:sz w:val="22"/>
                <w:szCs w:val="22"/>
                <w:lang w:eastAsia="en-US"/>
              </w:rPr>
              <w:t>ability to mitigate uncertainty</w:t>
            </w:r>
            <w:r w:rsidRPr="009D07B4">
              <w:rPr>
                <w:rFonts w:eastAsia="Calibri" w:cs="Calibri Light"/>
                <w:b w:val="0"/>
                <w:sz w:val="22"/>
                <w:szCs w:val="22"/>
                <w:lang w:eastAsia="en-US"/>
              </w:rPr>
              <w:t xml:space="preserve"> </w:t>
            </w:r>
            <w:r w:rsidR="36A1F760" w:rsidRPr="009D07B4">
              <w:rPr>
                <w:rFonts w:eastAsia="Calibri" w:cs="Calibri Light"/>
                <w:b w:val="0"/>
                <w:bCs w:val="0"/>
                <w:sz w:val="22"/>
                <w:szCs w:val="22"/>
                <w:lang w:eastAsia="en-US"/>
              </w:rPr>
              <w:t>[6]</w:t>
            </w:r>
            <w:r w:rsidR="6CE19E5C" w:rsidRPr="009D07B4">
              <w:rPr>
                <w:rFonts w:eastAsia="Calibri" w:cs="Calibri Light"/>
                <w:b w:val="0"/>
                <w:bCs w:val="0"/>
                <w:sz w:val="22"/>
                <w:szCs w:val="22"/>
                <w:lang w:eastAsia="en-US"/>
              </w:rPr>
              <w:t>.</w:t>
            </w:r>
            <w:r w:rsidRPr="009D07B4">
              <w:rPr>
                <w:rFonts w:eastAsia="Calibri" w:cs="Calibri Light"/>
                <w:b w:val="0"/>
                <w:sz w:val="22"/>
                <w:szCs w:val="22"/>
                <w:lang w:eastAsia="en-US"/>
              </w:rPr>
              <w:t xml:space="preserve"> Elements of these international initiatives could be applied </w:t>
            </w:r>
            <w:r w:rsidR="00975292" w:rsidRPr="009D07B4">
              <w:rPr>
                <w:rFonts w:eastAsia="Calibri" w:cs="Calibri Light"/>
                <w:b w:val="0"/>
                <w:sz w:val="22"/>
                <w:szCs w:val="22"/>
                <w:lang w:eastAsia="en-US"/>
              </w:rPr>
              <w:t xml:space="preserve">to the </w:t>
            </w:r>
            <w:r w:rsidRPr="009D07B4">
              <w:rPr>
                <w:rFonts w:eastAsia="Calibri" w:cs="Calibri Light"/>
                <w:b w:val="0"/>
                <w:sz w:val="22"/>
                <w:szCs w:val="22"/>
                <w:lang w:eastAsia="en-US"/>
              </w:rPr>
              <w:t>Australian context.</w:t>
            </w:r>
          </w:p>
        </w:tc>
      </w:tr>
    </w:tbl>
    <w:p w14:paraId="603B652B" w14:textId="71E09CBA" w:rsidR="734EDF34" w:rsidRDefault="734EDF34" w:rsidP="734EDF34">
      <w:pPr>
        <w:rPr>
          <w:lang w:val="en-GB"/>
        </w:rPr>
      </w:pPr>
    </w:p>
    <w:p w14:paraId="57DCDFD9" w14:textId="46D495ED" w:rsidR="00D1112E" w:rsidRPr="00221992" w:rsidRDefault="00D1112E" w:rsidP="00407BA7">
      <w:pPr>
        <w:pStyle w:val="NbrHeading3"/>
        <w:rPr>
          <w:lang w:val="en-GB"/>
        </w:rPr>
      </w:pPr>
      <w:bookmarkStart w:id="278" w:name="_Toc142742721"/>
      <w:bookmarkStart w:id="279" w:name="_Toc162950902"/>
      <w:r w:rsidRPr="00221992">
        <w:rPr>
          <w:lang w:val="en-GB"/>
        </w:rPr>
        <w:t>Real</w:t>
      </w:r>
      <w:r w:rsidR="0009373B" w:rsidRPr="00221992">
        <w:rPr>
          <w:lang w:val="en-GB"/>
        </w:rPr>
        <w:t>-</w:t>
      </w:r>
      <w:r w:rsidRPr="00221992">
        <w:rPr>
          <w:lang w:val="en-GB"/>
        </w:rPr>
        <w:t>world evidence</w:t>
      </w:r>
      <w:bookmarkEnd w:id="278"/>
      <w:bookmarkEnd w:id="279"/>
    </w:p>
    <w:p w14:paraId="20D68DEC" w14:textId="211F1AB2" w:rsidR="00927AE5" w:rsidRPr="00221992" w:rsidRDefault="0053205A" w:rsidP="00AB38E2">
      <w:pPr>
        <w:rPr>
          <w:lang w:val="en-GB"/>
        </w:rPr>
      </w:pPr>
      <w:r w:rsidRPr="00221992">
        <w:rPr>
          <w:lang w:val="en-GB"/>
        </w:rPr>
        <w:t>RWE</w:t>
      </w:r>
      <w:r w:rsidR="00A62BA6" w:rsidRPr="00221992">
        <w:rPr>
          <w:lang w:val="en-GB"/>
        </w:rPr>
        <w:t xml:space="preserve"> plays a crucial role in value-based pricing and early access pathways.</w:t>
      </w:r>
      <w:r w:rsidR="00DA1BE3" w:rsidRPr="00221992">
        <w:rPr>
          <w:rStyle w:val="FootnoteReference"/>
          <w:lang w:val="en-GB"/>
        </w:rPr>
        <w:footnoteReference w:id="22"/>
      </w:r>
      <w:r w:rsidR="008E2C1F" w:rsidRPr="00221992">
        <w:rPr>
          <w:lang w:val="en-GB"/>
        </w:rPr>
        <w:t xml:space="preserve"> </w:t>
      </w:r>
      <w:r w:rsidR="00927AE5" w:rsidRPr="00221992">
        <w:rPr>
          <w:lang w:val="en-GB"/>
        </w:rPr>
        <w:t>Over the past decade, several European countries</w:t>
      </w:r>
      <w:r w:rsidR="0026127B" w:rsidRPr="00221992">
        <w:rPr>
          <w:lang w:val="en-GB"/>
        </w:rPr>
        <w:t xml:space="preserve"> and </w:t>
      </w:r>
      <w:r w:rsidR="00927AE5" w:rsidRPr="00221992">
        <w:rPr>
          <w:lang w:val="en-GB"/>
        </w:rPr>
        <w:t xml:space="preserve">the UK have made significant investments in developing robust digital infrastructure to collect </w:t>
      </w:r>
      <w:r w:rsidR="00697606" w:rsidRPr="00221992">
        <w:rPr>
          <w:lang w:val="en-GB"/>
        </w:rPr>
        <w:t>RWE</w:t>
      </w:r>
      <w:r w:rsidR="00927AE5" w:rsidRPr="00221992">
        <w:rPr>
          <w:lang w:val="en-GB"/>
        </w:rPr>
        <w:t xml:space="preserve"> for performance and outcome-based agreements. The </w:t>
      </w:r>
      <w:r w:rsidR="00D315A5" w:rsidRPr="00221992">
        <w:rPr>
          <w:lang w:val="en-GB"/>
        </w:rPr>
        <w:t>EU</w:t>
      </w:r>
      <w:r w:rsidR="00927AE5" w:rsidRPr="00221992">
        <w:rPr>
          <w:lang w:val="en-GB"/>
        </w:rPr>
        <w:t xml:space="preserve"> has also actively promot</w:t>
      </w:r>
      <w:r w:rsidR="00D315A5" w:rsidRPr="00221992">
        <w:rPr>
          <w:lang w:val="en-GB"/>
        </w:rPr>
        <w:t>ed</w:t>
      </w:r>
      <w:r w:rsidR="00927AE5" w:rsidRPr="00221992">
        <w:rPr>
          <w:lang w:val="en-GB"/>
        </w:rPr>
        <w:t xml:space="preserve"> the use of </w:t>
      </w:r>
      <w:r w:rsidR="00DA1BE3" w:rsidRPr="00221992">
        <w:rPr>
          <w:lang w:val="en-GB"/>
        </w:rPr>
        <w:t>RWE</w:t>
      </w:r>
      <w:r w:rsidR="00927AE5" w:rsidRPr="00221992">
        <w:rPr>
          <w:lang w:val="en-GB"/>
        </w:rPr>
        <w:t xml:space="preserve"> through initiatives like the European Health Data &amp; Evidence Network (EHDEN) and the GetReal Institute (GRI), which aim to standardise and harmoni</w:t>
      </w:r>
      <w:r w:rsidR="00517A03" w:rsidRPr="00221992">
        <w:rPr>
          <w:lang w:val="en-GB"/>
        </w:rPr>
        <w:t>s</w:t>
      </w:r>
      <w:r w:rsidR="00927AE5" w:rsidRPr="00221992">
        <w:rPr>
          <w:lang w:val="en-GB"/>
        </w:rPr>
        <w:t xml:space="preserve">e </w:t>
      </w:r>
      <w:r w:rsidR="00D315A5" w:rsidRPr="00221992">
        <w:rPr>
          <w:lang w:val="en-GB"/>
        </w:rPr>
        <w:t xml:space="preserve">the collection of </w:t>
      </w:r>
      <w:r w:rsidR="00927AE5" w:rsidRPr="00221992">
        <w:rPr>
          <w:lang w:val="en-GB"/>
        </w:rPr>
        <w:t xml:space="preserve">health data for research purposes and </w:t>
      </w:r>
      <w:r w:rsidR="00285485" w:rsidRPr="00221992">
        <w:rPr>
          <w:lang w:val="en-GB"/>
        </w:rPr>
        <w:t xml:space="preserve">to </w:t>
      </w:r>
      <w:r w:rsidR="00927AE5" w:rsidRPr="00221992">
        <w:rPr>
          <w:lang w:val="en-GB"/>
        </w:rPr>
        <w:t xml:space="preserve">advance the use of </w:t>
      </w:r>
      <w:r w:rsidR="00DA1BE3" w:rsidRPr="00221992">
        <w:rPr>
          <w:lang w:val="en-GB"/>
        </w:rPr>
        <w:t>RWE</w:t>
      </w:r>
      <w:r w:rsidR="00927AE5" w:rsidRPr="00221992">
        <w:rPr>
          <w:lang w:val="en-GB"/>
        </w:rPr>
        <w:t xml:space="preserve"> in </w:t>
      </w:r>
      <w:r w:rsidR="00285485" w:rsidRPr="00221992">
        <w:rPr>
          <w:lang w:val="en-GB"/>
        </w:rPr>
        <w:t>the</w:t>
      </w:r>
      <w:r w:rsidR="00927AE5" w:rsidRPr="00221992">
        <w:rPr>
          <w:lang w:val="en-GB"/>
        </w:rPr>
        <w:t xml:space="preserve"> development and evaluation</w:t>
      </w:r>
      <w:r w:rsidR="00285485" w:rsidRPr="00221992">
        <w:rPr>
          <w:lang w:val="en-GB"/>
        </w:rPr>
        <w:t xml:space="preserve"> of health technologies</w:t>
      </w:r>
      <w:r w:rsidR="00927AE5" w:rsidRPr="00221992">
        <w:rPr>
          <w:lang w:val="en-GB"/>
        </w:rPr>
        <w:t>.</w:t>
      </w:r>
    </w:p>
    <w:p w14:paraId="03843E6B" w14:textId="20D6202D" w:rsidR="00927AE5" w:rsidRPr="00221992" w:rsidRDefault="00927AE5" w:rsidP="00AB38E2">
      <w:pPr>
        <w:rPr>
          <w:lang w:val="en-GB"/>
        </w:rPr>
      </w:pPr>
      <w:r w:rsidRPr="00221992">
        <w:rPr>
          <w:lang w:val="en-GB"/>
        </w:rPr>
        <w:t xml:space="preserve">In line with these efforts, the EMA has </w:t>
      </w:r>
      <w:r w:rsidR="00DA4CEB" w:rsidRPr="00221992">
        <w:rPr>
          <w:lang w:val="en-GB"/>
        </w:rPr>
        <w:t xml:space="preserve">set up an </w:t>
      </w:r>
      <w:r w:rsidR="004B7D05" w:rsidRPr="00221992">
        <w:rPr>
          <w:lang w:val="en-GB"/>
        </w:rPr>
        <w:t>EU</w:t>
      </w:r>
      <w:r w:rsidRPr="00221992">
        <w:rPr>
          <w:lang w:val="en-GB"/>
        </w:rPr>
        <w:t>-wide framework on patient registries</w:t>
      </w:r>
      <w:r w:rsidR="00DA4CEB" w:rsidRPr="00221992">
        <w:rPr>
          <w:lang w:val="en-GB"/>
        </w:rPr>
        <w:t xml:space="preserve"> to make better use </w:t>
      </w:r>
      <w:r w:rsidR="004B7D05" w:rsidRPr="00221992">
        <w:rPr>
          <w:lang w:val="en-GB"/>
        </w:rPr>
        <w:t>of</w:t>
      </w:r>
      <w:r w:rsidR="00DA4CEB" w:rsidRPr="00221992">
        <w:rPr>
          <w:lang w:val="en-GB"/>
        </w:rPr>
        <w:t xml:space="preserve"> existing registries and facilitate the establishment of new registries as a source of post-</w:t>
      </w:r>
      <w:r w:rsidR="004B7D05" w:rsidRPr="00221992">
        <w:rPr>
          <w:lang w:val="en-GB"/>
        </w:rPr>
        <w:t>market</w:t>
      </w:r>
      <w:r w:rsidR="00DA4CEB" w:rsidRPr="00221992">
        <w:rPr>
          <w:lang w:val="en-GB"/>
        </w:rPr>
        <w:t xml:space="preserve"> data for regulatory decision</w:t>
      </w:r>
      <w:r w:rsidR="004B7D05" w:rsidRPr="00221992">
        <w:rPr>
          <w:lang w:val="en-GB"/>
        </w:rPr>
        <w:t>-</w:t>
      </w:r>
      <w:r w:rsidR="00DA4CEB" w:rsidRPr="00221992">
        <w:rPr>
          <w:lang w:val="en-GB"/>
        </w:rPr>
        <w:t>making</w:t>
      </w:r>
      <w:r w:rsidR="00A62BA6" w:rsidRPr="00221992">
        <w:rPr>
          <w:lang w:val="en-GB"/>
        </w:rPr>
        <w:t xml:space="preserve"> </w:t>
      </w:r>
      <w:r w:rsidRPr="00221992">
        <w:rPr>
          <w:lang w:val="en-GB"/>
        </w:rPr>
        <w:fldChar w:fldCharType="begin"/>
      </w:r>
      <w:r w:rsidR="00E5265C">
        <w:rPr>
          <w:lang w:val="en-GB"/>
        </w:rPr>
        <w:instrText xml:space="preserve"> ADDIN EN.CITE &lt;EndNote&gt;&lt;Cite&gt;&lt;Author&gt;European Medicines Agency (EMA)&lt;/Author&gt;&lt;Year&gt;2017&lt;/Year&gt;&lt;RecNum&gt;131&lt;/RecNum&gt;&lt;DisplayText&gt;[276]&lt;/DisplayText&gt;&lt;record&gt;&lt;rec-number&gt;131&lt;/rec-number&gt;&lt;foreign-keys&gt;&lt;key app="EN" db-id="wzwwsfxe4peesxef95cxvrwjxts9rreasarf" timestamp="1692654670"&gt;131&lt;/key&gt;&lt;/foreign-keys&gt;&lt;ref-type name="Report"&gt;27&lt;/ref-type&gt;&lt;contributors&gt;&lt;authors&gt;&lt;author&gt;European Medicines Agency (EMA),&lt;/author&gt;&lt;/authors&gt;&lt;tertiary-authors&gt;&lt;author&gt;European Medicines Agency (EMA),&lt;/author&gt;&lt;/tertiary-authors&gt;&lt;/contributors&gt;&lt;titles&gt;&lt;title&gt;Patient Registry Initiative - Strategy and Mandate of the Cross-Committee Task Force&lt;/title&gt;&lt;/titles&gt;&lt;dates&gt;&lt;year&gt;2017&lt;/year&gt;&lt;/dates&gt;&lt;pub-location&gt;London&lt;/pub-location&gt;&lt;urls&gt;&lt;related-urls&gt;&lt;url&gt;https://www.ema.europa.eu/en/documents/other/patient-registry-initiative-strategy-mandate-cross-committee-task-force_en.pdf&lt;/url&gt;&lt;/related-urls&gt;&lt;/urls&gt;&lt;/record&gt;&lt;/Cite&gt;&lt;/EndNote&gt;</w:instrText>
      </w:r>
      <w:r w:rsidRPr="00221992">
        <w:rPr>
          <w:lang w:val="en-GB"/>
        </w:rPr>
        <w:fldChar w:fldCharType="separate"/>
      </w:r>
      <w:r w:rsidR="00E5265C">
        <w:rPr>
          <w:noProof/>
          <w:lang w:val="en-GB"/>
        </w:rPr>
        <w:t>[276]</w:t>
      </w:r>
      <w:r w:rsidRPr="00221992">
        <w:rPr>
          <w:lang w:val="en-GB"/>
        </w:rPr>
        <w:fldChar w:fldCharType="end"/>
      </w:r>
      <w:r w:rsidR="00DA4CEB" w:rsidRPr="00221992">
        <w:rPr>
          <w:lang w:val="en-GB"/>
        </w:rPr>
        <w:t xml:space="preserve">. </w:t>
      </w:r>
      <w:r w:rsidRPr="00221992">
        <w:rPr>
          <w:lang w:val="en-GB"/>
        </w:rPr>
        <w:t xml:space="preserve">This framework aims to foster collaboration among various stakeholders, including registry coordinators such as physician </w:t>
      </w:r>
      <w:r w:rsidR="002279E3" w:rsidRPr="00221992">
        <w:rPr>
          <w:lang w:val="en-GB"/>
        </w:rPr>
        <w:t>and</w:t>
      </w:r>
      <w:r w:rsidRPr="00221992">
        <w:rPr>
          <w:lang w:val="en-GB"/>
        </w:rPr>
        <w:t xml:space="preserve"> patient associations, academic institutions, national healthcare service oversight agencies</w:t>
      </w:r>
      <w:r w:rsidR="002279E3" w:rsidRPr="00221992">
        <w:rPr>
          <w:lang w:val="en-GB"/>
        </w:rPr>
        <w:t>,</w:t>
      </w:r>
      <w:r w:rsidRPr="00221992">
        <w:rPr>
          <w:lang w:val="en-GB"/>
        </w:rPr>
        <w:t xml:space="preserve"> and potential users of registry data</w:t>
      </w:r>
      <w:r w:rsidR="002279E3" w:rsidRPr="00221992">
        <w:rPr>
          <w:lang w:val="en-GB"/>
        </w:rPr>
        <w:t>,</w:t>
      </w:r>
      <w:r w:rsidRPr="00221992">
        <w:rPr>
          <w:lang w:val="en-GB"/>
        </w:rPr>
        <w:t xml:space="preserve"> </w:t>
      </w:r>
      <w:r w:rsidR="002279E3" w:rsidRPr="00221992">
        <w:rPr>
          <w:lang w:val="en-GB"/>
        </w:rPr>
        <w:t>including</w:t>
      </w:r>
      <w:r w:rsidRPr="00221992">
        <w:rPr>
          <w:lang w:val="en-GB"/>
        </w:rPr>
        <w:t xml:space="preserve"> regulators and pharmaceutical companies. This framework addresses challenges </w:t>
      </w:r>
      <w:r w:rsidR="00DA4CEB" w:rsidRPr="00221992">
        <w:rPr>
          <w:lang w:val="en-GB"/>
        </w:rPr>
        <w:t xml:space="preserve">in </w:t>
      </w:r>
      <w:r w:rsidR="002279E3" w:rsidRPr="00221992">
        <w:rPr>
          <w:lang w:val="en-GB"/>
        </w:rPr>
        <w:t xml:space="preserve">the use </w:t>
      </w:r>
      <w:r w:rsidR="00373670" w:rsidRPr="00221992">
        <w:rPr>
          <w:lang w:val="en-GB"/>
        </w:rPr>
        <w:t xml:space="preserve">and establishment of </w:t>
      </w:r>
      <w:r w:rsidR="00DA4CEB" w:rsidRPr="00221992">
        <w:rPr>
          <w:lang w:val="en-GB"/>
        </w:rPr>
        <w:t>registries to support product listing</w:t>
      </w:r>
      <w:r w:rsidRPr="00221992">
        <w:rPr>
          <w:lang w:val="en-GB"/>
        </w:rPr>
        <w:t>, such as the lack of coordination, harmoni</w:t>
      </w:r>
      <w:r w:rsidR="007C524A" w:rsidRPr="00221992">
        <w:rPr>
          <w:lang w:val="en-GB"/>
        </w:rPr>
        <w:t>s</w:t>
      </w:r>
      <w:r w:rsidRPr="00221992">
        <w:rPr>
          <w:lang w:val="en-GB"/>
        </w:rPr>
        <w:t>ed protocols, scientific methods, data structures, and issues related to data sharing and transparency</w:t>
      </w:r>
      <w:r w:rsidR="00A62BA6" w:rsidRPr="00221992">
        <w:rPr>
          <w:lang w:val="en-GB"/>
        </w:rPr>
        <w:t xml:space="preserve"> </w:t>
      </w:r>
      <w:r w:rsidRPr="00221992">
        <w:rPr>
          <w:lang w:val="en-GB"/>
        </w:rPr>
        <w:fldChar w:fldCharType="begin"/>
      </w:r>
      <w:r w:rsidR="00E5265C">
        <w:rPr>
          <w:lang w:val="en-GB"/>
        </w:rPr>
        <w:instrText xml:space="preserve"> ADDIN EN.CITE &lt;EndNote&gt;&lt;Cite&gt;&lt;Author&gt;European Medicines Agency (EMA)&lt;/Author&gt;&lt;Year&gt;2017&lt;/Year&gt;&lt;RecNum&gt;131&lt;/RecNum&gt;&lt;DisplayText&gt;[276]&lt;/DisplayText&gt;&lt;record&gt;&lt;rec-number&gt;131&lt;/rec-number&gt;&lt;foreign-keys&gt;&lt;key app="EN" db-id="wzwwsfxe4peesxef95cxvrwjxts9rreasarf" timestamp="1692654670"&gt;131&lt;/key&gt;&lt;/foreign-keys&gt;&lt;ref-type name="Report"&gt;27&lt;/ref-type&gt;&lt;contributors&gt;&lt;authors&gt;&lt;author&gt;European Medicines Agency (EMA),&lt;/author&gt;&lt;/authors&gt;&lt;tertiary-authors&gt;&lt;author&gt;European Medicines Agency (EMA),&lt;/author&gt;&lt;/tertiary-authors&gt;&lt;/contributors&gt;&lt;titles&gt;&lt;title&gt;Patient Registry Initiative - Strategy and Mandate of the Cross-Committee Task Force&lt;/title&gt;&lt;/titles&gt;&lt;dates&gt;&lt;year&gt;2017&lt;/year&gt;&lt;/dates&gt;&lt;pub-location&gt;London&lt;/pub-location&gt;&lt;urls&gt;&lt;related-urls&gt;&lt;url&gt;https://www.ema.europa.eu/en/documents/other/patient-registry-initiative-strategy-mandate-cross-committee-task-force_en.pdf&lt;/url&gt;&lt;/related-urls&gt;&lt;/urls&gt;&lt;/record&gt;&lt;/Cite&gt;&lt;/EndNote&gt;</w:instrText>
      </w:r>
      <w:r w:rsidRPr="00221992">
        <w:rPr>
          <w:lang w:val="en-GB"/>
        </w:rPr>
        <w:fldChar w:fldCharType="separate"/>
      </w:r>
      <w:r w:rsidR="00E5265C">
        <w:rPr>
          <w:noProof/>
          <w:lang w:val="en-GB"/>
        </w:rPr>
        <w:t>[276]</w:t>
      </w:r>
      <w:r w:rsidRPr="00221992">
        <w:rPr>
          <w:lang w:val="en-GB"/>
        </w:rPr>
        <w:fldChar w:fldCharType="end"/>
      </w:r>
      <w:r w:rsidRPr="00221992">
        <w:rPr>
          <w:lang w:val="en-GB"/>
        </w:rPr>
        <w:t xml:space="preserve">. </w:t>
      </w:r>
      <w:r w:rsidR="00DA4CEB" w:rsidRPr="00221992">
        <w:rPr>
          <w:lang w:val="en-GB"/>
        </w:rPr>
        <w:t xml:space="preserve">This </w:t>
      </w:r>
      <w:r w:rsidR="00373670" w:rsidRPr="00221992">
        <w:rPr>
          <w:lang w:val="en-GB"/>
        </w:rPr>
        <w:t xml:space="preserve">ongoing </w:t>
      </w:r>
      <w:r w:rsidR="00DA4CEB" w:rsidRPr="00221992">
        <w:rPr>
          <w:lang w:val="en-GB"/>
        </w:rPr>
        <w:t xml:space="preserve">initiative is supported by </w:t>
      </w:r>
      <w:r w:rsidRPr="00221992">
        <w:rPr>
          <w:lang w:val="en-GB"/>
        </w:rPr>
        <w:t>a</w:t>
      </w:r>
      <w:r w:rsidR="00373670" w:rsidRPr="00221992">
        <w:rPr>
          <w:lang w:val="en-GB"/>
        </w:rPr>
        <w:t>n</w:t>
      </w:r>
      <w:r w:rsidRPr="00221992">
        <w:rPr>
          <w:lang w:val="en-GB"/>
        </w:rPr>
        <w:t xml:space="preserve"> </w:t>
      </w:r>
      <w:r w:rsidR="00373670" w:rsidRPr="00221992">
        <w:rPr>
          <w:lang w:val="en-GB"/>
        </w:rPr>
        <w:t>inter</w:t>
      </w:r>
      <w:r w:rsidRPr="00221992">
        <w:rPr>
          <w:lang w:val="en-GB"/>
        </w:rPr>
        <w:t>-committee task force on registries comprising representatives from scientific committees, working parties and national authorities.</w:t>
      </w:r>
    </w:p>
    <w:p w14:paraId="3ED330D2" w14:textId="6A3493EF" w:rsidR="00927AE5" w:rsidRPr="00221992" w:rsidRDefault="00927AE5" w:rsidP="00AB38E2">
      <w:pPr>
        <w:rPr>
          <w:lang w:val="en-GB"/>
        </w:rPr>
      </w:pPr>
      <w:r w:rsidRPr="00221992">
        <w:rPr>
          <w:lang w:val="en-GB"/>
        </w:rPr>
        <w:t xml:space="preserve">Other notable initiatives include the </w:t>
      </w:r>
      <w:r w:rsidR="002664A1" w:rsidRPr="00221992">
        <w:rPr>
          <w:lang w:val="en-GB"/>
        </w:rPr>
        <w:t xml:space="preserve">Agencia Española de Medicamentos y Productos Sanitarios </w:t>
      </w:r>
      <w:r w:rsidRPr="00221992">
        <w:rPr>
          <w:lang w:val="en-GB"/>
        </w:rPr>
        <w:t xml:space="preserve">(AEMPS) </w:t>
      </w:r>
      <w:r w:rsidR="00470F7A">
        <w:rPr>
          <w:lang w:val="en-GB"/>
        </w:rPr>
        <w:t xml:space="preserve">in Spain </w:t>
      </w:r>
      <w:r w:rsidRPr="00221992">
        <w:rPr>
          <w:lang w:val="en-GB"/>
        </w:rPr>
        <w:t xml:space="preserve">launching </w:t>
      </w:r>
      <w:r w:rsidR="002664A1" w:rsidRPr="00221992">
        <w:rPr>
          <w:lang w:val="en-GB"/>
        </w:rPr>
        <w:t>the</w:t>
      </w:r>
      <w:r w:rsidRPr="00221992">
        <w:rPr>
          <w:lang w:val="en-GB"/>
        </w:rPr>
        <w:t xml:space="preserve"> online registry platform</w:t>
      </w:r>
      <w:r w:rsidR="002664A1" w:rsidRPr="00221992">
        <w:rPr>
          <w:lang w:val="en-GB"/>
        </w:rPr>
        <w:t>,</w:t>
      </w:r>
      <w:r w:rsidRPr="00221992">
        <w:rPr>
          <w:lang w:val="en-GB"/>
        </w:rPr>
        <w:t xml:space="preserve"> VALTERMED</w:t>
      </w:r>
      <w:r w:rsidR="002664A1" w:rsidRPr="00221992">
        <w:rPr>
          <w:lang w:val="en-GB"/>
        </w:rPr>
        <w:t>,</w:t>
      </w:r>
      <w:r w:rsidRPr="00221992">
        <w:rPr>
          <w:lang w:val="en-GB"/>
        </w:rPr>
        <w:t xml:space="preserve"> in 2019</w:t>
      </w:r>
      <w:r w:rsidR="00A62BA6" w:rsidRPr="00221992">
        <w:rPr>
          <w:lang w:val="en-GB"/>
        </w:rPr>
        <w:t xml:space="preserve"> </w:t>
      </w:r>
      <w:r w:rsidR="00653F87" w:rsidRPr="00221992">
        <w:rPr>
          <w:lang w:val="en-GB"/>
        </w:rPr>
        <w:fldChar w:fldCharType="begin"/>
      </w:r>
      <w:r w:rsidR="00E5265C">
        <w:rPr>
          <w:lang w:val="en-GB"/>
        </w:rPr>
        <w:instrText xml:space="preserve"> ADDIN EN.CITE &lt;EndNote&gt;&lt;Cite&gt;&lt;Author&gt;V.&lt;/Author&gt;&lt;Year&gt;2023&lt;/Year&gt;&lt;RecNum&gt;456&lt;/RecNum&gt;&lt;DisplayText&gt;[194]&lt;/DisplayText&gt;&lt;record&gt;&lt;rec-number&gt;456&lt;/rec-number&gt;&lt;foreign-keys&gt;&lt;key app="EN" db-id="wzwwsfxe4peesxef95cxvrwjxts9rreasarf" timestamp="1692654670"&gt;456&lt;/key&gt;&lt;/foreign-keys&gt;&lt;ref-type name="Conference Paper"&gt;47&lt;/ref-type&gt;&lt;contributors&gt;&lt;authors&gt;&lt;author&gt;Roman V.&lt;/author&gt;&lt;author&gt;Farago J.&lt;/author&gt;&lt;author&gt;Grubert N.&lt;/author&gt;&lt;/authors&gt;&lt;/contributors&gt;&lt;titles&gt;&lt;title&gt;Developing a Canadian managed entry approach for new innovation: What can Canada learn from Europe?&lt;/title&gt;&lt;/titles&gt;&lt;dates&gt;&lt;year&gt;2023&lt;/year&gt;&lt;/dates&gt;&lt;publisher&gt;Innovative Medicines Canada&lt;/publisher&gt;&lt;urls&gt;&lt;related-urls&gt;&lt;url&gt;https://innovativemedicines.ca/wp-content/uploads/2023/05/20230800-Symposium-Poster_EN_V5.pdf&lt;/url&gt;&lt;/related-urls&gt;&lt;/urls&gt;&lt;/record&gt;&lt;/Cite&gt;&lt;/EndNote&gt;</w:instrText>
      </w:r>
      <w:r w:rsidR="00653F87" w:rsidRPr="00221992">
        <w:rPr>
          <w:lang w:val="en-GB"/>
        </w:rPr>
        <w:fldChar w:fldCharType="separate"/>
      </w:r>
      <w:r w:rsidR="00E5265C">
        <w:rPr>
          <w:noProof/>
          <w:lang w:val="en-GB"/>
        </w:rPr>
        <w:t>[194]</w:t>
      </w:r>
      <w:r w:rsidR="00653F87" w:rsidRPr="00221992">
        <w:rPr>
          <w:lang w:val="en-GB"/>
        </w:rPr>
        <w:fldChar w:fldCharType="end"/>
      </w:r>
      <w:r w:rsidRPr="00221992">
        <w:rPr>
          <w:lang w:val="en-GB"/>
        </w:rPr>
        <w:t>. This platform enables the systematic collection of data on drug utilization, costs, clinical outcomes and other relevant factors</w:t>
      </w:r>
      <w:r w:rsidR="002E248C" w:rsidRPr="00221992">
        <w:rPr>
          <w:lang w:val="en-GB"/>
        </w:rPr>
        <w:t xml:space="preserve"> to</w:t>
      </w:r>
      <w:r w:rsidRPr="00221992">
        <w:rPr>
          <w:lang w:val="en-GB"/>
        </w:rPr>
        <w:t xml:space="preserve"> inform pricing and reimbursement decisions, healthcare resource allocation and</w:t>
      </w:r>
      <w:r w:rsidR="002E248C" w:rsidRPr="00221992">
        <w:rPr>
          <w:lang w:val="en-GB"/>
        </w:rPr>
        <w:t xml:space="preserve"> other</w:t>
      </w:r>
      <w:r w:rsidRPr="00221992">
        <w:rPr>
          <w:lang w:val="en-GB"/>
        </w:rPr>
        <w:t xml:space="preserve"> policy-making processes. </w:t>
      </w:r>
      <w:r w:rsidR="002E248C" w:rsidRPr="00221992">
        <w:rPr>
          <w:lang w:val="en-GB"/>
        </w:rPr>
        <w:t>In England/Wales</w:t>
      </w:r>
      <w:r w:rsidRPr="00221992">
        <w:rPr>
          <w:lang w:val="en-GB"/>
        </w:rPr>
        <w:t xml:space="preserve">, </w:t>
      </w:r>
      <w:r w:rsidR="002E248C" w:rsidRPr="00221992">
        <w:rPr>
          <w:lang w:val="en-GB"/>
        </w:rPr>
        <w:t>NICE</w:t>
      </w:r>
      <w:r w:rsidRPr="00221992">
        <w:rPr>
          <w:lang w:val="en-GB"/>
        </w:rPr>
        <w:t xml:space="preserve"> </w:t>
      </w:r>
      <w:r w:rsidR="00637CB3" w:rsidRPr="00221992">
        <w:rPr>
          <w:lang w:val="en-GB"/>
        </w:rPr>
        <w:t xml:space="preserve">has recently </w:t>
      </w:r>
      <w:r w:rsidRPr="00221992">
        <w:rPr>
          <w:lang w:val="en-GB"/>
        </w:rPr>
        <w:t xml:space="preserve">published </w:t>
      </w:r>
      <w:r w:rsidR="002E248C" w:rsidRPr="00221992">
        <w:rPr>
          <w:lang w:val="en-GB"/>
        </w:rPr>
        <w:t>its</w:t>
      </w:r>
      <w:r w:rsidRPr="00221992">
        <w:rPr>
          <w:lang w:val="en-GB"/>
        </w:rPr>
        <w:t xml:space="preserve"> Real-World Evidence Framework </w:t>
      </w:r>
      <w:r w:rsidR="00637CB3" w:rsidRPr="00221992">
        <w:rPr>
          <w:lang w:val="en-GB"/>
        </w:rPr>
        <w:t>(</w:t>
      </w:r>
      <w:r w:rsidRPr="00221992">
        <w:rPr>
          <w:lang w:val="en-GB"/>
        </w:rPr>
        <w:t>2022</w:t>
      </w:r>
      <w:r w:rsidR="00637CB3" w:rsidRPr="00221992">
        <w:rPr>
          <w:lang w:val="en-GB"/>
        </w:rPr>
        <w:t>)</w:t>
      </w:r>
      <w:r w:rsidR="00A62BA6" w:rsidRPr="00221992">
        <w:rPr>
          <w:lang w:val="en-GB"/>
        </w:rPr>
        <w:t xml:space="preserve"> </w:t>
      </w:r>
      <w:r w:rsidR="00653F87" w:rsidRPr="00221992">
        <w:rPr>
          <w:lang w:val="en-GB"/>
        </w:rPr>
        <w:fldChar w:fldCharType="begin"/>
      </w:r>
      <w:r w:rsidR="00E5265C">
        <w:rPr>
          <w:lang w:val="en-GB"/>
        </w:rPr>
        <w:instrText xml:space="preserve"> ADDIN EN.CITE &lt;EndNote&gt;&lt;Cite&gt;&lt;Author&gt;NICE&lt;/Author&gt;&lt;Year&gt;2022&lt;/Year&gt;&lt;RecNum&gt;353&lt;/RecNum&gt;&lt;DisplayText&gt;[219]&lt;/DisplayText&gt;&lt;record&gt;&lt;rec-number&gt;353&lt;/rec-number&gt;&lt;foreign-keys&gt;&lt;key app="EN" db-id="wzwwsfxe4peesxef95cxvrwjxts9rreasarf" timestamp="1692654670"&gt;353&lt;/key&gt;&lt;/foreign-keys&gt;&lt;ref-type name="Web Page"&gt;12&lt;/ref-type&gt;&lt;contributors&gt;&lt;authors&gt;&lt;author&gt;NICE,&lt;/author&gt;&lt;/authors&gt;&lt;/contributors&gt;&lt;titles&gt;&lt;title&gt;NICE real-world evidence framework https://www.nice.org.uk/corporate/ecd9/resources/nice-realworld-evidence-framework-pdf-1124020816837. Accessed 12 July 2023&lt;/title&gt;&lt;/titles&gt;&lt;dates&gt;&lt;year&gt;2022&lt;/year&gt;&lt;/dates&gt;&lt;pub-location&gt;London, England&lt;/pub-location&gt;&lt;publisher&gt;National Health Service&lt;/publisher&gt;&lt;urls&gt;&lt;/urls&gt;&lt;/record&gt;&lt;/Cite&gt;&lt;/EndNote&gt;</w:instrText>
      </w:r>
      <w:r w:rsidR="00653F87" w:rsidRPr="00221992">
        <w:rPr>
          <w:lang w:val="en-GB"/>
        </w:rPr>
        <w:fldChar w:fldCharType="separate"/>
      </w:r>
      <w:r w:rsidR="00E5265C">
        <w:rPr>
          <w:noProof/>
          <w:lang w:val="en-GB"/>
        </w:rPr>
        <w:t>[219]</w:t>
      </w:r>
      <w:r w:rsidR="00653F87" w:rsidRPr="00221992">
        <w:rPr>
          <w:lang w:val="en-GB"/>
        </w:rPr>
        <w:fldChar w:fldCharType="end"/>
      </w:r>
      <w:r w:rsidRPr="00221992">
        <w:rPr>
          <w:lang w:val="en-GB"/>
        </w:rPr>
        <w:t xml:space="preserve">, </w:t>
      </w:r>
      <w:r w:rsidR="00637CB3" w:rsidRPr="00221992">
        <w:rPr>
          <w:lang w:val="en-GB"/>
        </w:rPr>
        <w:t>which acknowledges</w:t>
      </w:r>
      <w:r w:rsidRPr="00221992">
        <w:rPr>
          <w:lang w:val="en-GB"/>
        </w:rPr>
        <w:t xml:space="preserve"> the potential of </w:t>
      </w:r>
      <w:r w:rsidR="00697606" w:rsidRPr="00221992">
        <w:rPr>
          <w:lang w:val="en-GB"/>
        </w:rPr>
        <w:t>RWE</w:t>
      </w:r>
      <w:r w:rsidRPr="00221992">
        <w:rPr>
          <w:lang w:val="en-GB"/>
        </w:rPr>
        <w:t xml:space="preserve"> </w:t>
      </w:r>
      <w:r w:rsidR="00637CB3" w:rsidRPr="00221992">
        <w:rPr>
          <w:lang w:val="en-GB"/>
        </w:rPr>
        <w:t>to</w:t>
      </w:r>
      <w:r w:rsidRPr="00221992">
        <w:rPr>
          <w:lang w:val="en-GB"/>
        </w:rPr>
        <w:t xml:space="preserve"> </w:t>
      </w:r>
      <w:r w:rsidR="00637CB3" w:rsidRPr="00221992">
        <w:rPr>
          <w:lang w:val="en-GB"/>
        </w:rPr>
        <w:t>address</w:t>
      </w:r>
      <w:r w:rsidRPr="00221992">
        <w:rPr>
          <w:lang w:val="en-GB"/>
        </w:rPr>
        <w:t xml:space="preserve"> knowledge gaps and improv</w:t>
      </w:r>
      <w:r w:rsidR="00637CB3" w:rsidRPr="00221992">
        <w:rPr>
          <w:lang w:val="en-GB"/>
        </w:rPr>
        <w:t>e</w:t>
      </w:r>
      <w:r w:rsidRPr="00221992">
        <w:rPr>
          <w:lang w:val="en-GB"/>
        </w:rPr>
        <w:t xml:space="preserve"> access to innovative treatments. </w:t>
      </w:r>
      <w:r w:rsidR="00BD5868" w:rsidRPr="00221992">
        <w:rPr>
          <w:lang w:val="en-GB"/>
        </w:rPr>
        <w:t xml:space="preserve">In 2019, </w:t>
      </w:r>
      <w:r w:rsidRPr="00221992">
        <w:rPr>
          <w:lang w:val="en-GB"/>
        </w:rPr>
        <w:t xml:space="preserve">Taiwan established a national registry </w:t>
      </w:r>
      <w:r w:rsidR="00BD5868" w:rsidRPr="00221992">
        <w:rPr>
          <w:lang w:val="en-GB"/>
        </w:rPr>
        <w:t>of</w:t>
      </w:r>
      <w:r w:rsidRPr="00221992">
        <w:rPr>
          <w:lang w:val="en-GB"/>
        </w:rPr>
        <w:t xml:space="preserve"> patients undergoing cancer immunotherapy</w:t>
      </w:r>
      <w:r w:rsidR="00BD5868" w:rsidRPr="00221992">
        <w:rPr>
          <w:lang w:val="en-GB"/>
        </w:rPr>
        <w:t xml:space="preserve"> to </w:t>
      </w:r>
      <w:r w:rsidRPr="00221992">
        <w:rPr>
          <w:lang w:val="en-GB"/>
        </w:rPr>
        <w:t xml:space="preserve">collect data on clinical characteristics, treatment duration, toxicity and treatment outcomes. </w:t>
      </w:r>
      <w:r w:rsidR="00697606" w:rsidRPr="00221992">
        <w:rPr>
          <w:lang w:val="en-GB"/>
        </w:rPr>
        <w:t>RWE</w:t>
      </w:r>
      <w:r w:rsidRPr="00221992">
        <w:rPr>
          <w:lang w:val="en-GB"/>
        </w:rPr>
        <w:t xml:space="preserve"> </w:t>
      </w:r>
      <w:r w:rsidR="002B56E9" w:rsidRPr="00221992">
        <w:rPr>
          <w:lang w:val="en-GB"/>
        </w:rPr>
        <w:t>generated through this registry is used to</w:t>
      </w:r>
      <w:r w:rsidRPr="00221992">
        <w:rPr>
          <w:lang w:val="en-GB"/>
        </w:rPr>
        <w:t xml:space="preserve"> evaluat</w:t>
      </w:r>
      <w:r w:rsidR="002B56E9" w:rsidRPr="00221992">
        <w:rPr>
          <w:lang w:val="en-GB"/>
        </w:rPr>
        <w:t>e</w:t>
      </w:r>
      <w:r w:rsidRPr="00221992">
        <w:rPr>
          <w:lang w:val="en-GB"/>
        </w:rPr>
        <w:t xml:space="preserve"> the effectiveness of immunotherap</w:t>
      </w:r>
      <w:r w:rsidR="00DB3674" w:rsidRPr="00221992">
        <w:rPr>
          <w:lang w:val="en-GB"/>
        </w:rPr>
        <w:t>ies</w:t>
      </w:r>
      <w:r w:rsidRPr="00221992">
        <w:rPr>
          <w:lang w:val="en-GB"/>
        </w:rPr>
        <w:t xml:space="preserve"> in Taiwanese patients and </w:t>
      </w:r>
      <w:r w:rsidR="00DB3674" w:rsidRPr="00221992">
        <w:rPr>
          <w:lang w:val="en-GB"/>
        </w:rPr>
        <w:t>inform</w:t>
      </w:r>
      <w:r w:rsidR="00006134" w:rsidRPr="00221992">
        <w:rPr>
          <w:lang w:val="en-GB"/>
        </w:rPr>
        <w:t xml:space="preserve"> the development of appropriate</w:t>
      </w:r>
      <w:r w:rsidRPr="00221992">
        <w:rPr>
          <w:lang w:val="en-GB"/>
        </w:rPr>
        <w:t xml:space="preserve"> payment</w:t>
      </w:r>
      <w:r w:rsidR="00006134" w:rsidRPr="00221992">
        <w:rPr>
          <w:lang w:val="en-GB"/>
        </w:rPr>
        <w:t>/</w:t>
      </w:r>
      <w:r w:rsidRPr="00221992">
        <w:rPr>
          <w:lang w:val="en-GB"/>
        </w:rPr>
        <w:t xml:space="preserve">reimbursement policies </w:t>
      </w:r>
      <w:r w:rsidR="00653F87" w:rsidRPr="00221992">
        <w:rPr>
          <w:lang w:val="en-GB"/>
        </w:rPr>
        <w:fldChar w:fldCharType="begin">
          <w:fldData xml:space="preserve">PEVuZE5vdGU+PENpdGU+PEF1dGhvcj5IdWFuZzwvQXV0aG9yPjxZZWFyPjIwMjA8L1llYXI+PFJl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</w:fldData>
        </w:fldChar>
      </w:r>
      <w:r w:rsidR="00E5265C">
        <w:rPr>
          <w:lang w:val="en-GB"/>
        </w:rPr>
        <w:instrText xml:space="preserve"> ADDIN EN.CITE </w:instrText>
      </w:r>
      <w:r w:rsidR="00E5265C">
        <w:rPr>
          <w:lang w:val="en-GB"/>
        </w:rPr>
        <w:fldChar w:fldCharType="begin">
          <w:fldData xml:space="preserve">PEVuZE5vdGU+PENpdGU+PEF1dGhvcj5IdWFuZzwvQXV0aG9yPjxZZWFyPjIwMjA8L1llYXI+PFJl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</w:fldData>
        </w:fldChar>
      </w:r>
      <w:r w:rsidR="00E5265C">
        <w:rPr>
          <w:lang w:val="en-GB"/>
        </w:rPr>
        <w:instrText xml:space="preserve"> ADDIN EN.CITE.DATA </w:instrText>
      </w:r>
      <w:r w:rsidR="00E5265C">
        <w:rPr>
          <w:lang w:val="en-GB"/>
        </w:rPr>
      </w:r>
      <w:r w:rsidR="00E5265C">
        <w:rPr>
          <w:lang w:val="en-GB"/>
        </w:rPr>
        <w:fldChar w:fldCharType="end"/>
      </w:r>
      <w:r w:rsidR="00653F87" w:rsidRPr="00221992">
        <w:rPr>
          <w:lang w:val="en-GB"/>
        </w:rPr>
      </w:r>
      <w:r w:rsidR="00653F87" w:rsidRPr="00221992">
        <w:rPr>
          <w:lang w:val="en-GB"/>
        </w:rPr>
        <w:fldChar w:fldCharType="separate"/>
      </w:r>
      <w:r w:rsidR="00E5265C">
        <w:rPr>
          <w:noProof/>
          <w:lang w:val="en-GB"/>
        </w:rPr>
        <w:t>[207]</w:t>
      </w:r>
      <w:r w:rsidR="00653F87" w:rsidRPr="00221992">
        <w:rPr>
          <w:lang w:val="en-GB"/>
        </w:rPr>
        <w:fldChar w:fldCharType="end"/>
      </w:r>
      <w:r w:rsidRPr="00221992">
        <w:rPr>
          <w:lang w:val="en-GB"/>
        </w:rPr>
        <w:t>.</w:t>
      </w:r>
    </w:p>
    <w:p w14:paraId="7A644BE8" w14:textId="66D9BB19" w:rsidR="00C77BDE" w:rsidRPr="00221992" w:rsidRDefault="00C77BDE" w:rsidP="00AB38E2">
      <w:pPr>
        <w:pStyle w:val="Heading4"/>
        <w:rPr>
          <w:lang w:val="en-GB"/>
        </w:rPr>
      </w:pPr>
      <w:bookmarkStart w:id="280" w:name="_Toc142742722"/>
      <w:r w:rsidRPr="00221992">
        <w:rPr>
          <w:lang w:val="en-GB"/>
        </w:rPr>
        <w:t xml:space="preserve">Integration of </w:t>
      </w:r>
      <w:r w:rsidR="00B3491D" w:rsidRPr="00221992">
        <w:rPr>
          <w:lang w:val="en-GB"/>
        </w:rPr>
        <w:t>real-world evidence</w:t>
      </w:r>
      <w:r w:rsidRPr="00221992">
        <w:rPr>
          <w:lang w:val="en-GB"/>
        </w:rPr>
        <w:t xml:space="preserve"> and digital health</w:t>
      </w:r>
      <w:bookmarkEnd w:id="280"/>
    </w:p>
    <w:p w14:paraId="74C0ECC7" w14:textId="1FD5B20B" w:rsidR="00C77BDE" w:rsidRPr="00221992" w:rsidRDefault="00992F0C" w:rsidP="00AB38E2">
      <w:pPr>
        <w:rPr>
          <w:lang w:val="en-GB"/>
        </w:rPr>
      </w:pPr>
      <w:r w:rsidRPr="00221992">
        <w:rPr>
          <w:lang w:val="en-GB"/>
        </w:rPr>
        <w:t>Technological a</w:t>
      </w:r>
      <w:r w:rsidR="00BB15CC" w:rsidRPr="00221992">
        <w:rPr>
          <w:lang w:val="en-GB"/>
        </w:rPr>
        <w:t xml:space="preserve">dvancements and the growing use of </w:t>
      </w:r>
      <w:r w:rsidR="00A758D4" w:rsidRPr="00221992">
        <w:rPr>
          <w:lang w:val="en-GB"/>
        </w:rPr>
        <w:t>individual-level</w:t>
      </w:r>
      <w:r w:rsidR="00BB15CC" w:rsidRPr="00221992">
        <w:rPr>
          <w:lang w:val="en-GB"/>
        </w:rPr>
        <w:t xml:space="preserve"> digital health data present new opportunities to complement traditional electronic health data. Digital health and RWE are closely connected, with digital health playing a crucial role in providing </w:t>
      </w:r>
      <w:r w:rsidR="00A758D4" w:rsidRPr="00221992">
        <w:rPr>
          <w:lang w:val="en-GB"/>
        </w:rPr>
        <w:t xml:space="preserve">new forms of </w:t>
      </w:r>
      <w:r w:rsidR="00BB15CC" w:rsidRPr="00221992">
        <w:rPr>
          <w:lang w:val="en-GB"/>
        </w:rPr>
        <w:t xml:space="preserve">RWE </w:t>
      </w:r>
      <w:r w:rsidR="00A758D4" w:rsidRPr="00221992">
        <w:rPr>
          <w:lang w:val="en-GB"/>
        </w:rPr>
        <w:t>to</w:t>
      </w:r>
      <w:r w:rsidR="00BB15CC" w:rsidRPr="00221992">
        <w:rPr>
          <w:lang w:val="en-GB"/>
        </w:rPr>
        <w:t xml:space="preserve"> address</w:t>
      </w:r>
      <w:r w:rsidR="00A758D4" w:rsidRPr="00221992">
        <w:rPr>
          <w:lang w:val="en-GB"/>
        </w:rPr>
        <w:t xml:space="preserve"> complex</w:t>
      </w:r>
      <w:r w:rsidR="00BB15CC" w:rsidRPr="00221992">
        <w:rPr>
          <w:lang w:val="en-GB"/>
        </w:rPr>
        <w:t xml:space="preserve"> data requirements</w:t>
      </w:r>
      <w:r w:rsidR="00C77BDE" w:rsidRPr="00221992">
        <w:rPr>
          <w:lang w:val="en-GB"/>
        </w:rPr>
        <w:t xml:space="preserve"> </w:t>
      </w:r>
      <w:r w:rsidR="00653F87" w:rsidRPr="00221992">
        <w:rPr>
          <w:lang w:val="en-GB"/>
        </w:rPr>
        <w:fldChar w:fldCharType="begin">
          <w:fldData xml:space="preserve">PEVuZE5vdGU+PENpdGU+PEF1dGhvcj5LaG9zbGE8L0F1dGhvcj48WWVhcj4yMDIxPC9ZZWFyPjxS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</w:fldData>
        </w:fldChar>
      </w:r>
      <w:r w:rsidR="00E5265C">
        <w:rPr>
          <w:lang w:val="en-GB"/>
        </w:rPr>
        <w:instrText xml:space="preserve"> ADDIN EN.CITE </w:instrText>
      </w:r>
      <w:r w:rsidR="00E5265C">
        <w:rPr>
          <w:lang w:val="en-GB"/>
        </w:rPr>
        <w:fldChar w:fldCharType="begin">
          <w:fldData xml:space="preserve">PEVuZE5vdGU+PENpdGU+PEF1dGhvcj5LaG9zbGE8L0F1dGhvcj48WWVhcj4yMDIxPC9ZZWFyPjxS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</w:fldData>
        </w:fldChar>
      </w:r>
      <w:r w:rsidR="00E5265C">
        <w:rPr>
          <w:lang w:val="en-GB"/>
        </w:rPr>
        <w:instrText xml:space="preserve"> ADDIN EN.CITE.DATA </w:instrText>
      </w:r>
      <w:r w:rsidR="00E5265C">
        <w:rPr>
          <w:lang w:val="en-GB"/>
        </w:rPr>
      </w:r>
      <w:r w:rsidR="00E5265C">
        <w:rPr>
          <w:lang w:val="en-GB"/>
        </w:rPr>
        <w:fldChar w:fldCharType="end"/>
      </w:r>
      <w:r w:rsidR="00653F87" w:rsidRPr="00221992">
        <w:rPr>
          <w:lang w:val="en-GB"/>
        </w:rPr>
      </w:r>
      <w:r w:rsidR="00653F87" w:rsidRPr="00221992">
        <w:rPr>
          <w:lang w:val="en-GB"/>
        </w:rPr>
        <w:fldChar w:fldCharType="separate"/>
      </w:r>
      <w:r w:rsidR="00E5265C">
        <w:rPr>
          <w:noProof/>
          <w:lang w:val="en-GB"/>
        </w:rPr>
        <w:t>[275]</w:t>
      </w:r>
      <w:r w:rsidR="00653F87" w:rsidRPr="00221992">
        <w:rPr>
          <w:lang w:val="en-GB"/>
        </w:rPr>
        <w:fldChar w:fldCharType="end"/>
      </w:r>
      <w:r w:rsidR="00C77BDE" w:rsidRPr="00221992">
        <w:rPr>
          <w:lang w:val="en-GB"/>
        </w:rPr>
        <w:t xml:space="preserve">. </w:t>
      </w:r>
    </w:p>
    <w:p w14:paraId="284884E8" w14:textId="5CA4D7D6" w:rsidR="00C77BDE" w:rsidRPr="00221992" w:rsidRDefault="00C77BDE" w:rsidP="00AB38E2">
      <w:pPr>
        <w:rPr>
          <w:lang w:val="en-GB"/>
        </w:rPr>
      </w:pPr>
      <w:r w:rsidRPr="00221992">
        <w:rPr>
          <w:lang w:val="en-GB"/>
        </w:rPr>
        <w:t>International health bodies such as the International Coalition of Medicines Regulatory Authorities (ICMRA) are working to align the role of digital health and its impact on healthcare</w:t>
      </w:r>
      <w:r w:rsidR="00A62BA6" w:rsidRPr="00221992">
        <w:rPr>
          <w:lang w:val="en-GB"/>
        </w:rPr>
        <w:t xml:space="preserve"> </w:t>
      </w:r>
      <w:r w:rsidR="00653F87" w:rsidRPr="00221992">
        <w:rPr>
          <w:lang w:val="en-GB"/>
        </w:rPr>
        <w:fldChar w:fldCharType="begin"/>
      </w:r>
      <w:r w:rsidR="00E5265C">
        <w:rPr>
          <w:lang w:val="en-GB"/>
        </w:rPr>
        <w:instrText xml:space="preserve"> ADDIN EN.CITE &lt;EndNote&gt;&lt;Cite&gt;&lt;Author&gt;International Coalition of Medicines Regulatory Authorities (ICMRA)&lt;/Author&gt;&lt;Year&gt;2019&lt;/Year&gt;&lt;RecNum&gt;217&lt;/RecNum&gt;&lt;DisplayText&gt;[277]&lt;/DisplayText&gt;&lt;record&gt;&lt;rec-number&gt;217&lt;/rec-number&gt;&lt;foreign-keys&gt;&lt;key app="EN" db-id="wzwwsfxe4peesxef95cxvrwjxts9rreasarf" timestamp="1692654670"&gt;217&lt;/key&gt;&lt;/foreign-keys&gt;&lt;ref-type name="Report"&gt;27&lt;/ref-type&gt;&lt;contributors&gt;&lt;authors&gt;&lt;author&gt;International Coalition of Medicines Regulatory Authorities (ICMRA),&lt;/author&gt;&lt;/authors&gt;&lt;tertiary-authors&gt;&lt;author&gt;International Coalition of Medicines Regulatory Authorities (ICMRA),&lt;/author&gt;&lt;/tertiary-authors&gt;&lt;/contributors&gt;&lt;titles&gt;&lt;title&gt;Innovation strategic Priority Report&lt;/title&gt;&lt;/titles&gt;&lt;number&gt;12 July 2023&lt;/number&gt;&lt;dates&gt;&lt;year&gt;2019&lt;/year&gt;&lt;/dates&gt;&lt;urls&gt;&lt;related-urls&gt;&lt;url&gt; http://icmra.info/drupal/sites/default/files/2019-04/Innovation%20Strategic%20Priority%20Final%20Report.pdf&lt;/url&gt;&lt;/related-urls&gt;&lt;/urls&gt;&lt;/record&gt;&lt;/Cite&gt;&lt;/EndNote&gt;</w:instrText>
      </w:r>
      <w:r w:rsidR="00653F87" w:rsidRPr="00221992">
        <w:rPr>
          <w:lang w:val="en-GB"/>
        </w:rPr>
        <w:fldChar w:fldCharType="separate"/>
      </w:r>
      <w:r w:rsidR="00E5265C">
        <w:rPr>
          <w:noProof/>
          <w:lang w:val="en-GB"/>
        </w:rPr>
        <w:t>[277]</w:t>
      </w:r>
      <w:r w:rsidR="00653F87" w:rsidRPr="00221992">
        <w:rPr>
          <w:lang w:val="en-GB"/>
        </w:rPr>
        <w:fldChar w:fldCharType="end"/>
      </w:r>
      <w:r w:rsidRPr="00221992">
        <w:rPr>
          <w:lang w:val="en-GB"/>
        </w:rPr>
        <w:t xml:space="preserve">. Efforts include establishing data </w:t>
      </w:r>
      <w:r w:rsidR="00F6292A" w:rsidRPr="00221992">
        <w:rPr>
          <w:lang w:val="en-GB"/>
        </w:rPr>
        <w:t>re</w:t>
      </w:r>
      <w:r w:rsidRPr="00221992">
        <w:rPr>
          <w:lang w:val="en-GB"/>
        </w:rPr>
        <w:t xml:space="preserve">source networks, implementing safety and monitoring systems, and </w:t>
      </w:r>
      <w:r w:rsidR="00EE3FAC" w:rsidRPr="00221992">
        <w:rPr>
          <w:lang w:val="en-GB"/>
        </w:rPr>
        <w:t>delineating</w:t>
      </w:r>
      <w:r w:rsidRPr="00221992">
        <w:rPr>
          <w:lang w:val="en-GB"/>
        </w:rPr>
        <w:t xml:space="preserve"> patient cohorts for analysis using common data models. </w:t>
      </w:r>
    </w:p>
    <w:p w14:paraId="011F8071" w14:textId="50DA74F4" w:rsidR="00C77BDE" w:rsidRPr="00221992" w:rsidRDefault="00BB15CC" w:rsidP="00AB38E2">
      <w:pPr>
        <w:rPr>
          <w:lang w:val="en-GB"/>
        </w:rPr>
      </w:pPr>
      <w:r w:rsidRPr="00221992">
        <w:rPr>
          <w:lang w:val="en-GB"/>
        </w:rPr>
        <w:t xml:space="preserve">Recognising the evolving landscape, </w:t>
      </w:r>
      <w:r w:rsidR="001B3361" w:rsidRPr="00221992">
        <w:rPr>
          <w:lang w:val="en-GB"/>
        </w:rPr>
        <w:t>international</w:t>
      </w:r>
      <w:r w:rsidR="006D7D6F" w:rsidRPr="00221992">
        <w:rPr>
          <w:lang w:val="en-GB"/>
        </w:rPr>
        <w:t xml:space="preserve"> </w:t>
      </w:r>
      <w:r w:rsidRPr="00221992">
        <w:rPr>
          <w:lang w:val="en-GB"/>
        </w:rPr>
        <w:t xml:space="preserve">regulators </w:t>
      </w:r>
      <w:r w:rsidR="001B3361" w:rsidRPr="00221992">
        <w:rPr>
          <w:lang w:val="en-GB"/>
        </w:rPr>
        <w:t>and healthcare bodies</w:t>
      </w:r>
      <w:r w:rsidRPr="00221992">
        <w:rPr>
          <w:lang w:val="en-GB"/>
        </w:rPr>
        <w:t xml:space="preserve"> have published guidelines addressing regulatory and RWE requirements for digital health</w:t>
      </w:r>
      <w:r w:rsidR="00C77BDE" w:rsidRPr="00221992">
        <w:rPr>
          <w:lang w:val="en-GB"/>
        </w:rPr>
        <w:t xml:space="preserve">. A review </w:t>
      </w:r>
      <w:r w:rsidRPr="00221992">
        <w:rPr>
          <w:lang w:val="en-GB"/>
        </w:rPr>
        <w:t xml:space="preserve">of recent digital health guidelines in the EU and </w:t>
      </w:r>
      <w:r w:rsidR="004F22D7" w:rsidRPr="00221992">
        <w:rPr>
          <w:lang w:val="en-GB"/>
        </w:rPr>
        <w:t>US</w:t>
      </w:r>
      <w:r w:rsidRPr="00221992">
        <w:rPr>
          <w:lang w:val="en-GB"/>
        </w:rPr>
        <w:t xml:space="preserve"> by Khosla et al</w:t>
      </w:r>
      <w:r w:rsidR="004F22D7" w:rsidRPr="00221992">
        <w:rPr>
          <w:lang w:val="en-GB"/>
        </w:rPr>
        <w:t>.</w:t>
      </w:r>
      <w:r w:rsidRPr="00221992">
        <w:rPr>
          <w:lang w:val="en-GB"/>
        </w:rPr>
        <w:t xml:space="preserve"> (2021) identified two main categories: high-level overviews encompassing various aspects of digital health</w:t>
      </w:r>
      <w:r w:rsidR="004410BC" w:rsidRPr="00221992">
        <w:rPr>
          <w:lang w:val="en-GB"/>
        </w:rPr>
        <w:t>,</w:t>
      </w:r>
      <w:r w:rsidRPr="00221992">
        <w:rPr>
          <w:lang w:val="en-GB"/>
        </w:rPr>
        <w:t xml:space="preserve"> and detailed guidance focusing on specific components such as health apps</w:t>
      </w:r>
      <w:r w:rsidR="004F22D7" w:rsidRPr="00221992">
        <w:rPr>
          <w:lang w:val="en-GB"/>
        </w:rPr>
        <w:t xml:space="preserve"> </w:t>
      </w:r>
      <w:r w:rsidR="003C13E1" w:rsidRPr="00221992">
        <w:rPr>
          <w:lang w:val="en-GB"/>
        </w:rPr>
        <w:fldChar w:fldCharType="begin">
          <w:fldData xml:space="preserve">PEVuZE5vdGU+PENpdGU+PEF1dGhvcj5LaG9zbGE8L0F1dGhvcj48WWVhcj4yMDIxPC9ZZWFyPjxS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</w:fldData>
        </w:fldChar>
      </w:r>
      <w:r w:rsidR="00E5265C">
        <w:rPr>
          <w:lang w:val="en-GB"/>
        </w:rPr>
        <w:instrText xml:space="preserve"> ADDIN EN.CITE </w:instrText>
      </w:r>
      <w:r w:rsidR="00E5265C">
        <w:rPr>
          <w:lang w:val="en-GB"/>
        </w:rPr>
        <w:fldChar w:fldCharType="begin">
          <w:fldData xml:space="preserve">PEVuZE5vdGU+PENpdGU+PEF1dGhvcj5LaG9zbGE8L0F1dGhvcj48WWVhcj4yMDIxPC9ZZWFyPjxS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</w:fldData>
        </w:fldChar>
      </w:r>
      <w:r w:rsidR="00E5265C">
        <w:rPr>
          <w:lang w:val="en-GB"/>
        </w:rPr>
        <w:instrText xml:space="preserve"> ADDIN EN.CITE.DATA </w:instrText>
      </w:r>
      <w:r w:rsidR="00E5265C">
        <w:rPr>
          <w:lang w:val="en-GB"/>
        </w:rPr>
      </w:r>
      <w:r w:rsidR="00E5265C">
        <w:rPr>
          <w:lang w:val="en-GB"/>
        </w:rPr>
        <w:fldChar w:fldCharType="end"/>
      </w:r>
      <w:r w:rsidR="003C13E1" w:rsidRPr="00221992">
        <w:rPr>
          <w:lang w:val="en-GB"/>
        </w:rPr>
      </w:r>
      <w:r w:rsidR="003C13E1" w:rsidRPr="00221992">
        <w:rPr>
          <w:lang w:val="en-GB"/>
        </w:rPr>
        <w:fldChar w:fldCharType="separate"/>
      </w:r>
      <w:r w:rsidR="00E5265C">
        <w:rPr>
          <w:noProof/>
          <w:lang w:val="en-GB"/>
        </w:rPr>
        <w:t>[275]</w:t>
      </w:r>
      <w:r w:rsidR="003C13E1" w:rsidRPr="00221992">
        <w:rPr>
          <w:lang w:val="en-GB"/>
        </w:rPr>
        <w:fldChar w:fldCharType="end"/>
      </w:r>
      <w:r w:rsidRPr="00221992">
        <w:rPr>
          <w:lang w:val="en-GB"/>
        </w:rPr>
        <w:t>. Noteworthy</w:t>
      </w:r>
      <w:r w:rsidR="00C77BDE" w:rsidRPr="00221992">
        <w:rPr>
          <w:lang w:val="en-GB"/>
        </w:rPr>
        <w:t xml:space="preserve"> guidelines falling under the high-level category include those from NICE</w:t>
      </w:r>
      <w:r w:rsidR="004410BC" w:rsidRPr="00221992">
        <w:rPr>
          <w:lang w:val="en-GB"/>
        </w:rPr>
        <w:t xml:space="preserve"> (UK), FDA (US), European Commission </w:t>
      </w:r>
      <w:r w:rsidR="00F23D68" w:rsidRPr="00221992">
        <w:rPr>
          <w:lang w:val="en-GB"/>
        </w:rPr>
        <w:t>and EMA (EU)</w:t>
      </w:r>
      <w:r w:rsidR="00177A60" w:rsidRPr="00221992">
        <w:rPr>
          <w:lang w:val="en-GB"/>
        </w:rPr>
        <w:t>,</w:t>
      </w:r>
      <w:r w:rsidR="00F23D68" w:rsidRPr="00221992">
        <w:rPr>
          <w:lang w:val="en-GB"/>
        </w:rPr>
        <w:t xml:space="preserve"> and WHO (global)</w:t>
      </w:r>
      <w:r w:rsidR="00A62BA6" w:rsidRPr="00221992">
        <w:rPr>
          <w:lang w:val="en-GB"/>
        </w:rPr>
        <w:t xml:space="preserve"> </w:t>
      </w:r>
      <w:r w:rsidR="00653F87" w:rsidRPr="00221992">
        <w:rPr>
          <w:lang w:val="en-GB"/>
        </w:rPr>
        <w:fldChar w:fldCharType="begin">
          <w:fldData xml:space="preserve">PEVuZE5vdGU+PENpdGU+PEF1dGhvcj5OYXRpb25hbCBJbnN0aXR1dGUgZm9yIEhlYWx0aCBhbmQg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</w:fldData>
        </w:fldChar>
      </w:r>
      <w:r w:rsidR="00E5265C">
        <w:rPr>
          <w:lang w:val="en-GB"/>
        </w:rPr>
        <w:instrText xml:space="preserve"> ADDIN EN.CITE </w:instrText>
      </w:r>
      <w:r w:rsidR="00E5265C">
        <w:rPr>
          <w:lang w:val="en-GB"/>
        </w:rPr>
        <w:fldChar w:fldCharType="begin">
          <w:fldData xml:space="preserve">PEVuZE5vdGU+PENpdGU+PEF1dGhvcj5OYXRpb25hbCBJbnN0aXR1dGUgZm9yIEhlYWx0aCBhbmQg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</w:fldData>
        </w:fldChar>
      </w:r>
      <w:r w:rsidR="00E5265C">
        <w:rPr>
          <w:lang w:val="en-GB"/>
        </w:rPr>
        <w:instrText xml:space="preserve"> ADDIN EN.CITE.DATA </w:instrText>
      </w:r>
      <w:r w:rsidR="00E5265C">
        <w:rPr>
          <w:lang w:val="en-GB"/>
        </w:rPr>
      </w:r>
      <w:r w:rsidR="00E5265C">
        <w:rPr>
          <w:lang w:val="en-GB"/>
        </w:rPr>
        <w:fldChar w:fldCharType="end"/>
      </w:r>
      <w:r w:rsidR="00653F87" w:rsidRPr="00221992">
        <w:rPr>
          <w:lang w:val="en-GB"/>
        </w:rPr>
      </w:r>
      <w:r w:rsidR="00653F87" w:rsidRPr="00221992">
        <w:rPr>
          <w:lang w:val="en-GB"/>
        </w:rPr>
        <w:fldChar w:fldCharType="separate"/>
      </w:r>
      <w:r w:rsidR="00E5265C">
        <w:rPr>
          <w:noProof/>
          <w:lang w:val="en-GB"/>
        </w:rPr>
        <w:t>[278-282]</w:t>
      </w:r>
      <w:r w:rsidR="00653F87" w:rsidRPr="00221992">
        <w:rPr>
          <w:lang w:val="en-GB"/>
        </w:rPr>
        <w:fldChar w:fldCharType="end"/>
      </w:r>
      <w:r w:rsidR="00C77BDE" w:rsidRPr="00221992">
        <w:rPr>
          <w:lang w:val="en-GB"/>
        </w:rPr>
        <w:t xml:space="preserve">. While these strategic documents offer recommendations on the efficient utilisation of digital technologies in healthcare, they also highlight areas where digital advances </w:t>
      </w:r>
      <w:r w:rsidR="00E12824" w:rsidRPr="00221992">
        <w:rPr>
          <w:lang w:val="en-GB"/>
        </w:rPr>
        <w:t>may</w:t>
      </w:r>
      <w:r w:rsidR="00C77BDE" w:rsidRPr="00221992">
        <w:rPr>
          <w:lang w:val="en-GB"/>
        </w:rPr>
        <w:t xml:space="preserve"> be leveraged</w:t>
      </w:r>
      <w:r w:rsidR="006D7E6D" w:rsidRPr="00221992">
        <w:rPr>
          <w:lang w:val="en-GB"/>
        </w:rPr>
        <w:t xml:space="preserve"> to </w:t>
      </w:r>
      <w:r w:rsidR="00C77BDE" w:rsidRPr="00221992">
        <w:rPr>
          <w:lang w:val="en-GB"/>
        </w:rPr>
        <w:t xml:space="preserve">address the </w:t>
      </w:r>
      <w:r w:rsidR="00F93E24" w:rsidRPr="00221992">
        <w:rPr>
          <w:lang w:val="en-GB"/>
        </w:rPr>
        <w:t xml:space="preserve">specific </w:t>
      </w:r>
      <w:r w:rsidR="00C77BDE" w:rsidRPr="00221992">
        <w:rPr>
          <w:lang w:val="en-GB"/>
        </w:rPr>
        <w:t>needs of decision-makers</w:t>
      </w:r>
      <w:r w:rsidR="006D7E6D" w:rsidRPr="00221992">
        <w:rPr>
          <w:lang w:val="en-GB"/>
        </w:rPr>
        <w:t>. For example,</w:t>
      </w:r>
      <w:r w:rsidR="00C23ADD" w:rsidRPr="00221992">
        <w:rPr>
          <w:lang w:val="en-GB"/>
        </w:rPr>
        <w:t xml:space="preserve"> </w:t>
      </w:r>
      <w:r w:rsidR="00FE32B5" w:rsidRPr="00221992">
        <w:rPr>
          <w:lang w:val="en-GB"/>
        </w:rPr>
        <w:t>with respect to managing</w:t>
      </w:r>
      <w:r w:rsidR="00C23ADD" w:rsidRPr="00221992">
        <w:rPr>
          <w:lang w:val="en-GB"/>
        </w:rPr>
        <w:t xml:space="preserve"> uncertainty,</w:t>
      </w:r>
      <w:r w:rsidR="006D7E6D" w:rsidRPr="00221992">
        <w:rPr>
          <w:lang w:val="en-GB"/>
        </w:rPr>
        <w:t xml:space="preserve"> this could include the creation of external comparator arms for clinical trials, the selection of clinically relevant variable</w:t>
      </w:r>
      <w:r w:rsidR="00DF2D95" w:rsidRPr="00221992">
        <w:rPr>
          <w:lang w:val="en-GB"/>
        </w:rPr>
        <w:t>s for data</w:t>
      </w:r>
      <w:r w:rsidR="006D7E6D" w:rsidRPr="00221992">
        <w:rPr>
          <w:lang w:val="en-GB"/>
        </w:rPr>
        <w:t xml:space="preserve"> collection, appropriate use of robust analytical processes</w:t>
      </w:r>
      <w:r w:rsidR="00DF2D95" w:rsidRPr="00221992">
        <w:rPr>
          <w:lang w:val="en-GB"/>
        </w:rPr>
        <w:t>,</w:t>
      </w:r>
      <w:r w:rsidR="006D7E6D" w:rsidRPr="00221992">
        <w:rPr>
          <w:lang w:val="en-GB"/>
        </w:rPr>
        <w:t xml:space="preserve"> </w:t>
      </w:r>
      <w:r w:rsidR="00DF2D95" w:rsidRPr="00221992">
        <w:rPr>
          <w:lang w:val="en-GB"/>
        </w:rPr>
        <w:t>and</w:t>
      </w:r>
      <w:r w:rsidR="006D7E6D" w:rsidRPr="00221992">
        <w:rPr>
          <w:lang w:val="en-GB"/>
        </w:rPr>
        <w:t xml:space="preserve"> support </w:t>
      </w:r>
      <w:r w:rsidR="00DF2D95" w:rsidRPr="00221992">
        <w:rPr>
          <w:lang w:val="en-GB"/>
        </w:rPr>
        <w:t xml:space="preserve">of </w:t>
      </w:r>
      <w:r w:rsidR="006D7E6D" w:rsidRPr="00221992">
        <w:rPr>
          <w:lang w:val="en-GB"/>
        </w:rPr>
        <w:t>post-authorisation safety commitments</w:t>
      </w:r>
      <w:r w:rsidR="00C77BDE" w:rsidRPr="00221992">
        <w:rPr>
          <w:lang w:val="en-GB"/>
        </w:rPr>
        <w:t xml:space="preserve">. </w:t>
      </w:r>
    </w:p>
    <w:p w14:paraId="308F1F75" w14:textId="550D12F8" w:rsidR="00C77BDE" w:rsidRPr="00221992" w:rsidRDefault="00C77BDE" w:rsidP="00AB38E2">
      <w:pPr>
        <w:rPr>
          <w:lang w:val="en-GB"/>
        </w:rPr>
      </w:pPr>
      <w:r w:rsidRPr="00221992">
        <w:rPr>
          <w:lang w:val="en-GB"/>
        </w:rPr>
        <w:t xml:space="preserve">Other guidelines provide more specific guidance on topics </w:t>
      </w:r>
      <w:r w:rsidR="00142DA7" w:rsidRPr="00221992">
        <w:rPr>
          <w:lang w:val="en-GB"/>
        </w:rPr>
        <w:t>including</w:t>
      </w:r>
      <w:r w:rsidRPr="00221992">
        <w:rPr>
          <w:lang w:val="en-GB"/>
        </w:rPr>
        <w:t xml:space="preserve"> health apps (e.g., HAS, France</w:t>
      </w:r>
      <w:r w:rsidR="00AB4BAC" w:rsidRPr="00221992">
        <w:rPr>
          <w:lang w:val="en-GB"/>
        </w:rPr>
        <w:t>;</w:t>
      </w:r>
      <w:r w:rsidR="00F20EBF" w:rsidRPr="00221992">
        <w:rPr>
          <w:lang w:val="en-GB"/>
        </w:rPr>
        <w:t xml:space="preserve"> MHRA</w:t>
      </w:r>
      <w:r w:rsidR="00AB4BAC" w:rsidRPr="00221992">
        <w:rPr>
          <w:lang w:val="en-GB"/>
        </w:rPr>
        <w:t>,</w:t>
      </w:r>
      <w:r w:rsidR="00185AC6" w:rsidRPr="00221992">
        <w:rPr>
          <w:lang w:val="en-GB"/>
        </w:rPr>
        <w:t xml:space="preserve"> </w:t>
      </w:r>
      <w:r w:rsidR="00F20EBF" w:rsidRPr="00221992">
        <w:rPr>
          <w:lang w:val="en-GB"/>
        </w:rPr>
        <w:t>UK)</w:t>
      </w:r>
      <w:r w:rsidR="00AB4BAC" w:rsidRPr="00221992">
        <w:rPr>
          <w:lang w:val="en-GB"/>
        </w:rPr>
        <w:t>,</w:t>
      </w:r>
      <w:r w:rsidR="00A62BA6" w:rsidRPr="00221992">
        <w:rPr>
          <w:lang w:val="en-GB"/>
        </w:rPr>
        <w:t xml:space="preserve"> </w:t>
      </w:r>
      <w:r w:rsidR="00AB4BAC" w:rsidRPr="00221992">
        <w:rPr>
          <w:lang w:val="en-GB"/>
        </w:rPr>
        <w:t xml:space="preserve">telemedicine (e.g., </w:t>
      </w:r>
      <w:r w:rsidR="00185AC6" w:rsidRPr="00221992">
        <w:rPr>
          <w:lang w:val="en-GB"/>
        </w:rPr>
        <w:t>SSN, Italy)</w:t>
      </w:r>
      <w:r w:rsidR="00AB4BAC" w:rsidRPr="00221992">
        <w:rPr>
          <w:lang w:val="en-GB"/>
        </w:rPr>
        <w:t xml:space="preserve"> and </w:t>
      </w:r>
      <w:r w:rsidR="00185AC6" w:rsidRPr="00221992">
        <w:rPr>
          <w:lang w:val="en-GB"/>
        </w:rPr>
        <w:t>artificial intelligence</w:t>
      </w:r>
      <w:r w:rsidR="00AB4BAC" w:rsidRPr="00221992">
        <w:rPr>
          <w:lang w:val="en-GB"/>
        </w:rPr>
        <w:t xml:space="preserve"> (e.g., FDA, </w:t>
      </w:r>
      <w:r w:rsidR="00185AC6" w:rsidRPr="00221992">
        <w:rPr>
          <w:lang w:val="en-GB"/>
        </w:rPr>
        <w:t>US)</w:t>
      </w:r>
      <w:r w:rsidR="00AB4BAC" w:rsidRPr="00221992">
        <w:rPr>
          <w:lang w:val="en-GB"/>
        </w:rPr>
        <w:t xml:space="preserve"> </w:t>
      </w:r>
      <w:r w:rsidR="00653F87" w:rsidRPr="00221992">
        <w:rPr>
          <w:lang w:val="en-GB"/>
        </w:rPr>
        <w:fldChar w:fldCharType="begin">
          <w:fldData xml:space="preserve">PEVuZE5vdGU+PENpdGU+PEF1dGhvcj5IYXV0ZSBBdXRvcml0ZSBkZSBTYW50w6k8L0F1dGhvcj48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</w:fldData>
        </w:fldChar>
      </w:r>
      <w:r w:rsidR="00E5265C">
        <w:rPr>
          <w:lang w:val="en-GB"/>
        </w:rPr>
        <w:instrText xml:space="preserve"> ADDIN EN.CITE </w:instrText>
      </w:r>
      <w:r w:rsidR="00E5265C">
        <w:rPr>
          <w:lang w:val="en-GB"/>
        </w:rPr>
        <w:fldChar w:fldCharType="begin">
          <w:fldData xml:space="preserve">PEVuZE5vdGU+PENpdGU+PEF1dGhvcj5IYXV0ZSBBdXRvcml0ZSBkZSBTYW50w6k8L0F1dGhvcj48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</w:fldData>
        </w:fldChar>
      </w:r>
      <w:r w:rsidR="00E5265C">
        <w:rPr>
          <w:lang w:val="en-GB"/>
        </w:rPr>
        <w:instrText xml:space="preserve"> ADDIN EN.CITE.DATA </w:instrText>
      </w:r>
      <w:r w:rsidR="00E5265C">
        <w:rPr>
          <w:lang w:val="en-GB"/>
        </w:rPr>
      </w:r>
      <w:r w:rsidR="00E5265C">
        <w:rPr>
          <w:lang w:val="en-GB"/>
        </w:rPr>
        <w:fldChar w:fldCharType="end"/>
      </w:r>
      <w:r w:rsidR="00653F87" w:rsidRPr="00221992">
        <w:rPr>
          <w:lang w:val="en-GB"/>
        </w:rPr>
      </w:r>
      <w:r w:rsidR="00653F87" w:rsidRPr="00221992">
        <w:rPr>
          <w:lang w:val="en-GB"/>
        </w:rPr>
        <w:fldChar w:fldCharType="separate"/>
      </w:r>
      <w:r w:rsidR="00E5265C">
        <w:rPr>
          <w:noProof/>
          <w:lang w:val="en-GB"/>
        </w:rPr>
        <w:t>[283-286]</w:t>
      </w:r>
      <w:r w:rsidR="00653F87" w:rsidRPr="00221992">
        <w:rPr>
          <w:lang w:val="en-GB"/>
        </w:rPr>
        <w:fldChar w:fldCharType="end"/>
      </w:r>
      <w:r w:rsidRPr="00221992">
        <w:rPr>
          <w:lang w:val="en-GB"/>
        </w:rPr>
        <w:t xml:space="preserve">. MHRA guidance on medical device software and </w:t>
      </w:r>
      <w:r w:rsidR="00E21BAE" w:rsidRPr="00221992">
        <w:rPr>
          <w:lang w:val="en-GB"/>
        </w:rPr>
        <w:t>applications, for example,</w:t>
      </w:r>
      <w:r w:rsidRPr="00221992">
        <w:rPr>
          <w:lang w:val="en-GB"/>
        </w:rPr>
        <w:t xml:space="preserve"> clarifies when an app</w:t>
      </w:r>
      <w:r w:rsidR="00E21BAE" w:rsidRPr="00221992">
        <w:rPr>
          <w:lang w:val="en-GB"/>
        </w:rPr>
        <w:t>lication</w:t>
      </w:r>
      <w:r w:rsidRPr="00221992">
        <w:rPr>
          <w:lang w:val="en-GB"/>
        </w:rPr>
        <w:t xml:space="preserve"> qualifies as a medical device and provides guidance on CE marking requirements, including post-market surveillance.</w:t>
      </w:r>
      <w:r w:rsidR="001F47D5" w:rsidRPr="00221992">
        <w:rPr>
          <w:rStyle w:val="FootnoteReference"/>
          <w:lang w:val="en-GB"/>
        </w:rPr>
        <w:footnoteReference w:id="23"/>
      </w:r>
      <w:r w:rsidRPr="00221992">
        <w:rPr>
          <w:lang w:val="en-GB"/>
        </w:rPr>
        <w:t xml:space="preserve"> </w:t>
      </w:r>
      <w:r w:rsidR="009C35EF" w:rsidRPr="00221992">
        <w:rPr>
          <w:lang w:val="en-GB"/>
        </w:rPr>
        <w:t>While</w:t>
      </w:r>
      <w:r w:rsidRPr="00221992">
        <w:rPr>
          <w:lang w:val="en-GB"/>
        </w:rPr>
        <w:t xml:space="preserve"> these guidelines do not </w:t>
      </w:r>
      <w:r w:rsidR="001F47D5" w:rsidRPr="00221992">
        <w:rPr>
          <w:lang w:val="en-GB"/>
        </w:rPr>
        <w:t>directly address</w:t>
      </w:r>
      <w:r w:rsidRPr="00221992">
        <w:rPr>
          <w:lang w:val="en-GB"/>
        </w:rPr>
        <w:t xml:space="preserve"> data</w:t>
      </w:r>
      <w:r w:rsidR="00141655" w:rsidRPr="00221992">
        <w:rPr>
          <w:lang w:val="en-GB"/>
        </w:rPr>
        <w:t xml:space="preserve"> sources and </w:t>
      </w:r>
      <w:r w:rsidRPr="00221992">
        <w:rPr>
          <w:lang w:val="en-GB"/>
        </w:rPr>
        <w:t>collection, they do reference legal requirements related to data protection.</w:t>
      </w:r>
      <w:r w:rsidR="001F47D5" w:rsidRPr="00221992">
        <w:rPr>
          <w:rStyle w:val="FootnoteReference"/>
          <w:lang w:val="en-GB"/>
        </w:rPr>
        <w:t xml:space="preserve"> </w:t>
      </w:r>
    </w:p>
    <w:p w14:paraId="6539D456" w14:textId="5050E1F1" w:rsidR="00C77BDE" w:rsidRPr="00221992" w:rsidRDefault="00C77BDE" w:rsidP="00492475">
      <w:pPr>
        <w:rPr>
          <w:lang w:val="en-GB"/>
        </w:rPr>
      </w:pPr>
      <w:r w:rsidRPr="00221992">
        <w:rPr>
          <w:lang w:val="en-GB"/>
        </w:rPr>
        <w:t xml:space="preserve">Overall, </w:t>
      </w:r>
      <w:r w:rsidR="004D21F8" w:rsidRPr="00221992">
        <w:rPr>
          <w:lang w:val="en-GB"/>
        </w:rPr>
        <w:t xml:space="preserve">advancements in </w:t>
      </w:r>
      <w:r w:rsidRPr="00221992">
        <w:rPr>
          <w:lang w:val="en-GB"/>
        </w:rPr>
        <w:t xml:space="preserve">digital health </w:t>
      </w:r>
      <w:r w:rsidR="004D21F8" w:rsidRPr="00221992">
        <w:rPr>
          <w:lang w:val="en-GB"/>
        </w:rPr>
        <w:t>are facilitating</w:t>
      </w:r>
      <w:r w:rsidRPr="00221992">
        <w:rPr>
          <w:lang w:val="en-GB"/>
        </w:rPr>
        <w:t xml:space="preserve"> a </w:t>
      </w:r>
      <w:r w:rsidR="004D21F8" w:rsidRPr="00221992">
        <w:rPr>
          <w:lang w:val="en-GB"/>
        </w:rPr>
        <w:t xml:space="preserve">more </w:t>
      </w:r>
      <w:r w:rsidRPr="00221992">
        <w:rPr>
          <w:lang w:val="en-GB"/>
        </w:rPr>
        <w:t>comprehensive understanding of disease and treatment</w:t>
      </w:r>
      <w:r w:rsidR="004D21F8" w:rsidRPr="00221992">
        <w:rPr>
          <w:lang w:val="en-GB"/>
        </w:rPr>
        <w:t>,</w:t>
      </w:r>
      <w:r w:rsidRPr="00221992">
        <w:rPr>
          <w:lang w:val="en-GB"/>
        </w:rPr>
        <w:t xml:space="preserve"> generati</w:t>
      </w:r>
      <w:r w:rsidR="00DA7B5A" w:rsidRPr="00221992">
        <w:rPr>
          <w:lang w:val="en-GB"/>
        </w:rPr>
        <w:t>ng</w:t>
      </w:r>
      <w:r w:rsidRPr="00221992">
        <w:rPr>
          <w:lang w:val="en-GB"/>
        </w:rPr>
        <w:t xml:space="preserve"> new data </w:t>
      </w:r>
      <w:r w:rsidR="00F93E24" w:rsidRPr="00221992">
        <w:rPr>
          <w:lang w:val="en-GB"/>
        </w:rPr>
        <w:t>to manage uncertainty</w:t>
      </w:r>
      <w:r w:rsidR="00DA7B5A" w:rsidRPr="00221992">
        <w:rPr>
          <w:lang w:val="en-GB"/>
        </w:rPr>
        <w:t>.</w:t>
      </w:r>
      <w:r w:rsidRPr="00221992">
        <w:rPr>
          <w:lang w:val="en-GB"/>
        </w:rPr>
        <w:t xml:space="preserve"> </w:t>
      </w:r>
      <w:r w:rsidR="00DA7B5A" w:rsidRPr="00221992">
        <w:rPr>
          <w:lang w:val="en-GB"/>
        </w:rPr>
        <w:t>However, significant</w:t>
      </w:r>
      <w:r w:rsidRPr="00221992">
        <w:rPr>
          <w:lang w:val="en-GB"/>
        </w:rPr>
        <w:t xml:space="preserve"> challenges still need to be addressed to fully reali</w:t>
      </w:r>
      <w:r w:rsidR="00F93E24" w:rsidRPr="00221992">
        <w:rPr>
          <w:lang w:val="en-GB"/>
        </w:rPr>
        <w:t>s</w:t>
      </w:r>
      <w:r w:rsidRPr="00221992">
        <w:rPr>
          <w:lang w:val="en-GB"/>
        </w:rPr>
        <w:t xml:space="preserve">e the potential benefits of </w:t>
      </w:r>
      <w:r w:rsidR="00852295" w:rsidRPr="00221992">
        <w:rPr>
          <w:lang w:val="en-GB"/>
        </w:rPr>
        <w:t>digital health in the generation of</w:t>
      </w:r>
      <w:r w:rsidRPr="00221992">
        <w:rPr>
          <w:lang w:val="en-GB"/>
        </w:rPr>
        <w:t xml:space="preserve"> RWE </w:t>
      </w:r>
      <w:r w:rsidR="00653F87" w:rsidRPr="00221992">
        <w:rPr>
          <w:lang w:val="en-GB"/>
        </w:rPr>
        <w:fldChar w:fldCharType="begin">
          <w:fldData xml:space="preserve">PEVuZE5vdGU+PENpdGU+PEF1dGhvcj5LaG9zbGE8L0F1dGhvcj48WWVhcj4yMDIxPC9ZZWFyPjxS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</w:fldData>
        </w:fldChar>
      </w:r>
      <w:r w:rsidR="00E5265C">
        <w:rPr>
          <w:lang w:val="en-GB"/>
        </w:rPr>
        <w:instrText xml:space="preserve"> ADDIN EN.CITE </w:instrText>
      </w:r>
      <w:r w:rsidR="00E5265C">
        <w:rPr>
          <w:lang w:val="en-GB"/>
        </w:rPr>
        <w:fldChar w:fldCharType="begin">
          <w:fldData xml:space="preserve">PEVuZE5vdGU+PENpdGU+PEF1dGhvcj5LaG9zbGE8L0F1dGhvcj48WWVhcj4yMDIxPC9ZZWFyPjxS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</w:fldData>
        </w:fldChar>
      </w:r>
      <w:r w:rsidR="00E5265C">
        <w:rPr>
          <w:lang w:val="en-GB"/>
        </w:rPr>
        <w:instrText xml:space="preserve"> ADDIN EN.CITE.DATA </w:instrText>
      </w:r>
      <w:r w:rsidR="00E5265C">
        <w:rPr>
          <w:lang w:val="en-GB"/>
        </w:rPr>
      </w:r>
      <w:r w:rsidR="00E5265C">
        <w:rPr>
          <w:lang w:val="en-GB"/>
        </w:rPr>
        <w:fldChar w:fldCharType="end"/>
      </w:r>
      <w:r w:rsidR="00653F87" w:rsidRPr="00221992">
        <w:rPr>
          <w:lang w:val="en-GB"/>
        </w:rPr>
      </w:r>
      <w:r w:rsidR="00653F87" w:rsidRPr="00221992">
        <w:rPr>
          <w:lang w:val="en-GB"/>
        </w:rPr>
        <w:fldChar w:fldCharType="separate"/>
      </w:r>
      <w:r w:rsidR="00E5265C">
        <w:rPr>
          <w:noProof/>
          <w:lang w:val="en-GB"/>
        </w:rPr>
        <w:t>[275]</w:t>
      </w:r>
      <w:r w:rsidR="00653F87" w:rsidRPr="00221992">
        <w:rPr>
          <w:lang w:val="en-GB"/>
        </w:rPr>
        <w:fldChar w:fldCharType="end"/>
      </w:r>
      <w:r w:rsidRPr="00221992">
        <w:rPr>
          <w:lang w:val="en-GB"/>
        </w:rPr>
        <w:t>.</w:t>
      </w:r>
    </w:p>
    <w:tbl>
      <w:tblPr>
        <w:tblStyle w:val="GridTable4-Accent35"/>
        <w:tblW w:w="0" w:type="auto"/>
        <w:tblBorders>
          <w:top w:val="single" w:sz="12" w:space="0" w:color="0F4BEB" w:themeColor="accent1"/>
          <w:left w:val="single" w:sz="12" w:space="0" w:color="0F4BEB" w:themeColor="accent1"/>
          <w:bottom w:val="single" w:sz="12" w:space="0" w:color="0F4BEB" w:themeColor="accent1"/>
          <w:right w:val="single" w:sz="12" w:space="0" w:color="0F4BEB" w:themeColor="accent1"/>
          <w:insideH w:val="single" w:sz="4" w:space="0" w:color="A5A5A5"/>
          <w:insideV w:val="single" w:sz="4" w:space="0" w:color="A5A5A5"/>
        </w:tblBorders>
        <w:tblLook w:val="04A0" w:firstRow="1" w:lastRow="0" w:firstColumn="1" w:lastColumn="0" w:noHBand="0" w:noVBand="1"/>
      </w:tblPr>
      <w:tblGrid>
        <w:gridCol w:w="9016"/>
      </w:tblGrid>
      <w:tr w:rsidR="007B1F1C" w:rsidRPr="00BF37FA" w14:paraId="533D857A" w14:textId="77777777" w:rsidTr="00BF37F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tcPr>
          <w:p w14:paraId="0E75AB69" w14:textId="2AB06EAE" w:rsidR="007B1F1C" w:rsidRPr="00BF37FA" w:rsidRDefault="007B1F1C" w:rsidP="007B1F1C">
            <w:pPr>
              <w:spacing w:after="0" w:line="240" w:lineRule="auto"/>
              <w:jc w:val="center"/>
              <w:rPr>
                <w:rFonts w:ascii="Calibri" w:eastAsia="Calibri" w:hAnsi="Calibri" w:cs="Times New Roman"/>
                <w:sz w:val="22"/>
                <w:szCs w:val="22"/>
                <w:lang w:eastAsia="en-US"/>
              </w:rPr>
            </w:pPr>
            <w:r w:rsidRPr="00BF37FA">
              <w:rPr>
                <w:rFonts w:ascii="Calibri" w:eastAsia="Calibri" w:hAnsi="Calibri" w:cs="Times New Roman"/>
                <w:sz w:val="22"/>
                <w:szCs w:val="22"/>
                <w:lang w:eastAsia="en-US"/>
              </w:rPr>
              <w:t>Why this matters</w:t>
            </w:r>
          </w:p>
        </w:tc>
      </w:tr>
      <w:tr w:rsidR="007B1F1C" w:rsidRPr="00BF37FA" w14:paraId="78BAE321" w14:textId="77777777" w:rsidTr="00BF37F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tcPr>
          <w:p w14:paraId="7A368B35" w14:textId="3EEEA142" w:rsidR="007B1F1C" w:rsidRPr="00BF37FA" w:rsidRDefault="007B1F1C" w:rsidP="00F0736E">
            <w:pPr>
              <w:spacing w:after="0" w:line="240" w:lineRule="auto"/>
              <w:rPr>
                <w:rFonts w:eastAsia="Calibri" w:cs="Calibri Light"/>
                <w:sz w:val="22"/>
                <w:szCs w:val="22"/>
                <w:lang w:eastAsia="en-US"/>
              </w:rPr>
            </w:pPr>
            <w:r w:rsidRPr="00BF37FA">
              <w:rPr>
                <w:rFonts w:eastAsia="Calibri" w:cs="Calibri Light"/>
                <w:b w:val="0"/>
                <w:sz w:val="22"/>
                <w:szCs w:val="22"/>
                <w:lang w:eastAsia="en-US"/>
              </w:rPr>
              <w:t xml:space="preserve">RWE plays a crucial role in early access pathways [21]. </w:t>
            </w:r>
            <w:r w:rsidR="00F0736E" w:rsidRPr="00BF37FA">
              <w:rPr>
                <w:rFonts w:eastAsia="Calibri" w:cs="Calibri Light"/>
                <w:b w:val="0"/>
                <w:sz w:val="22"/>
                <w:szCs w:val="22"/>
                <w:lang w:eastAsia="en-US"/>
              </w:rPr>
              <w:t>Technological advancements and the growing use of individual-level digital health data present new opportunities to complement traditional electronic health data.</w:t>
            </w:r>
            <w:r w:rsidR="00F0736E">
              <w:rPr>
                <w:rFonts w:eastAsia="Calibri" w:cs="Calibri Light"/>
                <w:b w:val="0"/>
                <w:sz w:val="22"/>
                <w:szCs w:val="22"/>
                <w:lang w:eastAsia="en-US"/>
              </w:rPr>
              <w:t xml:space="preserve"> </w:t>
            </w:r>
            <w:r w:rsidRPr="00BF37FA">
              <w:rPr>
                <w:rFonts w:eastAsia="Calibri" w:cs="Calibri Light"/>
                <w:b w:val="0"/>
                <w:sz w:val="22"/>
                <w:szCs w:val="22"/>
                <w:lang w:eastAsia="en-US"/>
              </w:rPr>
              <w:t>Over the past decade, several European countries and the UK have made significant investments in developing robust digital infrastructure to collect RWE for performance and outcome-based agreements.</w:t>
            </w:r>
          </w:p>
          <w:p w14:paraId="3CB3F45C" w14:textId="77777777" w:rsidR="007B1F1C" w:rsidRPr="00BF37FA" w:rsidRDefault="007B1F1C" w:rsidP="007B1F1C">
            <w:pPr>
              <w:spacing w:after="0" w:line="240" w:lineRule="auto"/>
              <w:rPr>
                <w:rFonts w:eastAsia="Calibri" w:cs="Calibri Light"/>
                <w:sz w:val="22"/>
                <w:szCs w:val="22"/>
                <w:lang w:eastAsia="en-US"/>
              </w:rPr>
            </w:pPr>
          </w:p>
          <w:p w14:paraId="0EE9A69F" w14:textId="45059550" w:rsidR="007B1F1C" w:rsidRPr="00BF37FA" w:rsidRDefault="007B1F1C" w:rsidP="1E9AF302">
            <w:pPr>
              <w:spacing w:after="0" w:line="240" w:lineRule="auto"/>
              <w:rPr>
                <w:rFonts w:eastAsia="Calibri" w:cs="Calibri Light"/>
                <w:sz w:val="22"/>
                <w:szCs w:val="22"/>
                <w:lang w:eastAsia="en-US"/>
              </w:rPr>
            </w:pPr>
            <w:r w:rsidRPr="00BF37FA">
              <w:rPr>
                <w:rFonts w:eastAsia="Calibri" w:cs="Calibri Light"/>
                <w:b w:val="0"/>
                <w:sz w:val="22"/>
                <w:szCs w:val="22"/>
                <w:lang w:eastAsia="en-US"/>
              </w:rPr>
              <w:t>Recognising the evolving landscape, international regulators and healthcare bodies have published guidelines addressing regulatory and RWE requirements for digital health. Noteworthy guidelines falling under the high-level category include those from NICE (UK), FDA (US), European Commission and EMA (EU), and WHO (global) [262-266].</w:t>
            </w:r>
            <w:r w:rsidR="00937A66" w:rsidRPr="00BF37FA">
              <w:rPr>
                <w:rFonts w:eastAsia="Calibri" w:cs="Calibri Light"/>
                <w:b w:val="0"/>
                <w:sz w:val="22"/>
                <w:szCs w:val="22"/>
                <w:lang w:eastAsia="en-US"/>
              </w:rPr>
              <w:t xml:space="preserve"> </w:t>
            </w:r>
          </w:p>
          <w:p w14:paraId="344EC2DC" w14:textId="20D15662" w:rsidR="007B1F1C" w:rsidRPr="00BF37FA" w:rsidRDefault="007B1F1C" w:rsidP="1E9AF302">
            <w:pPr>
              <w:spacing w:after="0" w:line="240" w:lineRule="auto"/>
              <w:rPr>
                <w:rFonts w:eastAsia="Calibri" w:cs="Calibri Light"/>
                <w:b w:val="0"/>
                <w:bCs w:val="0"/>
                <w:sz w:val="22"/>
                <w:szCs w:val="22"/>
                <w:lang w:eastAsia="en-US"/>
              </w:rPr>
            </w:pPr>
          </w:p>
          <w:p w14:paraId="58B26A9D" w14:textId="08C285E7" w:rsidR="007B1F1C" w:rsidRPr="00BF37FA" w:rsidRDefault="0069142F" w:rsidP="007B1F1C">
            <w:pPr>
              <w:spacing w:after="0" w:line="240" w:lineRule="auto"/>
              <w:rPr>
                <w:rFonts w:eastAsia="Calibri" w:cs="Calibri Light"/>
                <w:bCs w:val="0"/>
                <w:sz w:val="22"/>
                <w:szCs w:val="22"/>
                <w:lang w:eastAsia="en-US"/>
              </w:rPr>
            </w:pPr>
            <w:r w:rsidRPr="00BF37FA">
              <w:rPr>
                <w:rFonts w:eastAsia="Calibri" w:cs="Calibri Light"/>
                <w:b w:val="0"/>
                <w:sz w:val="22"/>
                <w:szCs w:val="22"/>
                <w:lang w:eastAsia="en-US"/>
              </w:rPr>
              <w:t xml:space="preserve">Australia </w:t>
            </w:r>
            <w:r w:rsidR="5C7CBF3E" w:rsidRPr="00BF37FA">
              <w:rPr>
                <w:rFonts w:eastAsia="Calibri" w:cs="Calibri Light"/>
                <w:b w:val="0"/>
                <w:bCs w:val="0"/>
                <w:sz w:val="22"/>
                <w:szCs w:val="22"/>
                <w:lang w:eastAsia="en-US"/>
              </w:rPr>
              <w:t>currently relies on post</w:t>
            </w:r>
            <w:r w:rsidR="00582899">
              <w:rPr>
                <w:rFonts w:eastAsia="Calibri" w:cs="Calibri Light"/>
                <w:b w:val="0"/>
                <w:bCs w:val="0"/>
                <w:sz w:val="22"/>
                <w:szCs w:val="22"/>
                <w:lang w:eastAsia="en-US"/>
              </w:rPr>
              <w:t>-</w:t>
            </w:r>
            <w:r w:rsidR="5C7CBF3E" w:rsidRPr="00BF37FA">
              <w:rPr>
                <w:rFonts w:eastAsia="Calibri" w:cs="Calibri Light"/>
                <w:b w:val="0"/>
                <w:bCs w:val="0"/>
                <w:sz w:val="22"/>
                <w:szCs w:val="22"/>
                <w:lang w:eastAsia="en-US"/>
              </w:rPr>
              <w:t>market clinical data and registries</w:t>
            </w:r>
            <w:r w:rsidRPr="00BF37FA">
              <w:rPr>
                <w:rFonts w:eastAsia="Calibri" w:cs="Calibri Light"/>
                <w:b w:val="0"/>
                <w:sz w:val="22"/>
                <w:szCs w:val="22"/>
                <w:lang w:eastAsia="en-US"/>
              </w:rPr>
              <w:t xml:space="preserve"> to </w:t>
            </w:r>
            <w:r w:rsidR="5C7CBF3E" w:rsidRPr="00BF37FA">
              <w:rPr>
                <w:rFonts w:eastAsia="Calibri" w:cs="Calibri Light"/>
                <w:b w:val="0"/>
                <w:bCs w:val="0"/>
                <w:sz w:val="22"/>
                <w:szCs w:val="22"/>
                <w:lang w:eastAsia="en-US"/>
              </w:rPr>
              <w:t>inform MEAs</w:t>
            </w:r>
            <w:r w:rsidR="16E764C5" w:rsidRPr="00BF37FA">
              <w:rPr>
                <w:rFonts w:eastAsia="Calibri" w:cs="Calibri Light"/>
                <w:b w:val="0"/>
                <w:bCs w:val="0"/>
                <w:sz w:val="22"/>
                <w:szCs w:val="22"/>
                <w:lang w:eastAsia="en-US"/>
              </w:rPr>
              <w:t>, which have been shown to have limitations (</w:t>
            </w:r>
            <w:r w:rsidR="2390EEFB" w:rsidRPr="00BF37FA">
              <w:rPr>
                <w:rFonts w:eastAsia="Calibri" w:cs="Calibri Light"/>
                <w:b w:val="0"/>
                <w:bCs w:val="0"/>
                <w:sz w:val="22"/>
                <w:szCs w:val="22"/>
                <w:lang w:eastAsia="en-US"/>
              </w:rPr>
              <w:t xml:space="preserve">Section </w:t>
            </w:r>
            <w:r w:rsidR="00002667" w:rsidRPr="00BF37FA">
              <w:rPr>
                <w:rFonts w:eastAsia="Calibri" w:cs="Calibri Light"/>
                <w:b w:val="0"/>
                <w:bCs w:val="0"/>
                <w:sz w:val="22"/>
                <w:szCs w:val="22"/>
                <w:lang w:eastAsia="en-US"/>
              </w:rPr>
              <w:t xml:space="preserve">4.5). </w:t>
            </w:r>
            <w:r w:rsidR="2390EEFB" w:rsidRPr="00BF37FA">
              <w:rPr>
                <w:rFonts w:eastAsia="Calibri" w:cs="Calibri Light"/>
                <w:b w:val="0"/>
                <w:bCs w:val="0"/>
                <w:sz w:val="22"/>
                <w:szCs w:val="22"/>
                <w:lang w:eastAsia="en-US"/>
              </w:rPr>
              <w:t xml:space="preserve"> </w:t>
            </w:r>
            <w:r w:rsidR="16E764C5" w:rsidRPr="00BF37FA">
              <w:rPr>
                <w:rFonts w:eastAsia="Calibri" w:cs="Calibri Light"/>
                <w:b w:val="0"/>
                <w:bCs w:val="0"/>
                <w:sz w:val="22"/>
                <w:szCs w:val="22"/>
                <w:lang w:eastAsia="en-US"/>
              </w:rPr>
              <w:t>As the role of RWE evolves</w:t>
            </w:r>
            <w:r w:rsidR="04BC05DD" w:rsidRPr="00BF37FA">
              <w:rPr>
                <w:rFonts w:eastAsia="Calibri" w:cs="Calibri Light"/>
                <w:b w:val="0"/>
                <w:bCs w:val="0"/>
                <w:sz w:val="22"/>
                <w:szCs w:val="22"/>
                <w:lang w:eastAsia="en-US"/>
              </w:rPr>
              <w:t xml:space="preserve">, </w:t>
            </w:r>
            <w:r w:rsidR="7D51AF8D" w:rsidRPr="00BF37FA">
              <w:rPr>
                <w:rFonts w:eastAsia="Calibri" w:cs="Calibri Light"/>
                <w:b w:val="0"/>
                <w:bCs w:val="0"/>
                <w:sz w:val="22"/>
                <w:szCs w:val="22"/>
                <w:lang w:eastAsia="en-US"/>
              </w:rPr>
              <w:t xml:space="preserve">Australia may wish to consider </w:t>
            </w:r>
            <w:r w:rsidR="61532EBC" w:rsidRPr="00BF37FA">
              <w:rPr>
                <w:rFonts w:eastAsia="Calibri" w:cs="Calibri Light"/>
                <w:b w:val="0"/>
                <w:bCs w:val="0"/>
                <w:sz w:val="22"/>
                <w:szCs w:val="22"/>
                <w:lang w:eastAsia="en-US"/>
              </w:rPr>
              <w:t>international</w:t>
            </w:r>
            <w:r w:rsidRPr="00BF37FA">
              <w:rPr>
                <w:rFonts w:eastAsia="Calibri" w:cs="Calibri Light"/>
                <w:b w:val="0"/>
                <w:sz w:val="22"/>
                <w:szCs w:val="22"/>
                <w:lang w:eastAsia="en-US"/>
              </w:rPr>
              <w:t xml:space="preserve"> guidelines </w:t>
            </w:r>
            <w:r w:rsidR="00D9286F" w:rsidRPr="00BF37FA">
              <w:rPr>
                <w:rFonts w:eastAsia="Calibri" w:cs="Calibri Light"/>
                <w:b w:val="0"/>
                <w:sz w:val="22"/>
                <w:szCs w:val="22"/>
                <w:lang w:eastAsia="en-US"/>
              </w:rPr>
              <w:t xml:space="preserve">when implementing </w:t>
            </w:r>
            <w:r w:rsidR="00582899">
              <w:rPr>
                <w:rFonts w:eastAsia="Calibri" w:cs="Calibri Light"/>
                <w:b w:val="0"/>
                <w:sz w:val="22"/>
                <w:szCs w:val="22"/>
                <w:lang w:eastAsia="en-US"/>
              </w:rPr>
              <w:t>local</w:t>
            </w:r>
            <w:r w:rsidR="00D9286F" w:rsidRPr="00BF37FA">
              <w:rPr>
                <w:rFonts w:eastAsia="Calibri" w:cs="Calibri Light"/>
                <w:b w:val="0"/>
                <w:sz w:val="22"/>
                <w:szCs w:val="22"/>
                <w:lang w:eastAsia="en-US"/>
              </w:rPr>
              <w:t xml:space="preserve"> RWE</w:t>
            </w:r>
            <w:r w:rsidRPr="00BF37FA">
              <w:rPr>
                <w:rFonts w:eastAsia="Calibri" w:cs="Calibri Light"/>
                <w:b w:val="0"/>
                <w:sz w:val="22"/>
                <w:szCs w:val="22"/>
                <w:lang w:eastAsia="en-US"/>
              </w:rPr>
              <w:t xml:space="preserve"> </w:t>
            </w:r>
            <w:r w:rsidR="00937A66" w:rsidRPr="00BF37FA">
              <w:rPr>
                <w:rFonts w:eastAsia="Calibri" w:cs="Calibri Light"/>
                <w:b w:val="0"/>
                <w:sz w:val="22"/>
                <w:szCs w:val="22"/>
                <w:lang w:eastAsia="en-US"/>
              </w:rPr>
              <w:t xml:space="preserve">initiatives. </w:t>
            </w:r>
          </w:p>
          <w:p w14:paraId="5EB24982" w14:textId="25076532" w:rsidR="00937A66" w:rsidRPr="00BF37FA" w:rsidRDefault="00937A66" w:rsidP="007B1F1C">
            <w:pPr>
              <w:spacing w:after="0" w:line="240" w:lineRule="auto"/>
              <w:rPr>
                <w:rFonts w:eastAsia="Calibri" w:cs="Calibri Light"/>
                <w:b w:val="0"/>
                <w:sz w:val="22"/>
                <w:szCs w:val="22"/>
                <w:lang w:eastAsia="en-US"/>
              </w:rPr>
            </w:pPr>
          </w:p>
        </w:tc>
      </w:tr>
    </w:tbl>
    <w:p w14:paraId="2CD30F2B" w14:textId="77777777" w:rsidR="009B5DF1" w:rsidRPr="00221992" w:rsidRDefault="009B5DF1" w:rsidP="00492475">
      <w:pPr>
        <w:rPr>
          <w:lang w:val="en-GB"/>
        </w:rPr>
      </w:pPr>
    </w:p>
    <w:p w14:paraId="3FABD5E2" w14:textId="0E83DA14" w:rsidR="00FE359E" w:rsidRPr="00221992" w:rsidRDefault="00FE359E" w:rsidP="00407BA7">
      <w:pPr>
        <w:pStyle w:val="NbrHeading3"/>
        <w:rPr>
          <w:lang w:val="en-GB"/>
        </w:rPr>
      </w:pPr>
      <w:bookmarkStart w:id="281" w:name="_Toc142742723"/>
      <w:bookmarkStart w:id="282" w:name="_Toc162950903"/>
      <w:r w:rsidRPr="00221992">
        <w:rPr>
          <w:lang w:val="en-GB"/>
        </w:rPr>
        <w:t>Future initiatives</w:t>
      </w:r>
      <w:bookmarkEnd w:id="281"/>
      <w:bookmarkEnd w:id="282"/>
    </w:p>
    <w:p w14:paraId="28B2A903" w14:textId="5B48A82F" w:rsidR="00A07059" w:rsidRPr="00221992" w:rsidRDefault="00A07059" w:rsidP="007D1F68">
      <w:pPr>
        <w:rPr>
          <w:lang w:val="en-GB"/>
        </w:rPr>
      </w:pPr>
      <w:bookmarkStart w:id="283" w:name="_Toc142742724"/>
      <w:r w:rsidRPr="00221992">
        <w:rPr>
          <w:lang w:val="en-GB"/>
        </w:rPr>
        <w:t xml:space="preserve">France is currently conducting a two-year trial for pharmaceutical products </w:t>
      </w:r>
      <w:r w:rsidR="00F74879" w:rsidRPr="00221992">
        <w:rPr>
          <w:lang w:val="en-GB"/>
        </w:rPr>
        <w:t>that</w:t>
      </w:r>
      <w:r w:rsidRPr="00221992">
        <w:rPr>
          <w:lang w:val="en-GB"/>
        </w:rPr>
        <w:t xml:space="preserve"> receive an ASMR rating of IV or better (i.e., the new product represents a clinical benefit over current treatment) [52]. The scheme allows patient access to new treatments immediately after </w:t>
      </w:r>
      <w:r w:rsidR="00D7483E" w:rsidRPr="00221992">
        <w:rPr>
          <w:lang w:val="en-GB"/>
        </w:rPr>
        <w:t xml:space="preserve">an </w:t>
      </w:r>
      <w:r w:rsidRPr="00221992">
        <w:rPr>
          <w:lang w:val="en-GB"/>
        </w:rPr>
        <w:t xml:space="preserve">ASMR rating is assigned by HAS, but before a final price is negotiated by the CEPS. The French trial is </w:t>
      </w:r>
      <w:r w:rsidR="00C352F6" w:rsidRPr="00221992">
        <w:rPr>
          <w:lang w:val="en-GB"/>
        </w:rPr>
        <w:t>distinct</w:t>
      </w:r>
      <w:r w:rsidRPr="00221992">
        <w:rPr>
          <w:lang w:val="en-GB"/>
        </w:rPr>
        <w:t xml:space="preserve"> </w:t>
      </w:r>
      <w:r w:rsidR="00C352F6" w:rsidRPr="00221992">
        <w:rPr>
          <w:lang w:val="en-GB"/>
        </w:rPr>
        <w:t>from the</w:t>
      </w:r>
      <w:r w:rsidRPr="00221992">
        <w:rPr>
          <w:lang w:val="en-GB"/>
        </w:rPr>
        <w:t xml:space="preserve"> German</w:t>
      </w:r>
      <w:r w:rsidR="00C352F6" w:rsidRPr="00221992">
        <w:rPr>
          <w:lang w:val="en-GB"/>
        </w:rPr>
        <w:t xml:space="preserve"> approach</w:t>
      </w:r>
      <w:r w:rsidRPr="00221992">
        <w:rPr>
          <w:lang w:val="en-GB"/>
        </w:rPr>
        <w:t>, which allows new products to be listed prior to HTA evaluation</w:t>
      </w:r>
      <w:r w:rsidR="00C352F6" w:rsidRPr="00221992">
        <w:rPr>
          <w:lang w:val="en-GB"/>
        </w:rPr>
        <w:t xml:space="preserve"> (see Section </w:t>
      </w:r>
      <w:r w:rsidR="00950CA6" w:rsidRPr="00221992">
        <w:rPr>
          <w:lang w:val="en-GB"/>
        </w:rPr>
        <w:fldChar w:fldCharType="begin"/>
      </w:r>
      <w:r w:rsidR="00950CA6" w:rsidRPr="00221992">
        <w:rPr>
          <w:lang w:val="en-GB"/>
        </w:rPr>
        <w:instrText xml:space="preserve"> REF _Ref145420589 \n \h </w:instrText>
      </w:r>
      <w:r w:rsidR="00950CA6" w:rsidRPr="00221992">
        <w:rPr>
          <w:lang w:val="en-GB"/>
        </w:rPr>
      </w:r>
      <w:r w:rsidR="00950CA6" w:rsidRPr="00221992">
        <w:rPr>
          <w:lang w:val="en-GB"/>
        </w:rPr>
        <w:fldChar w:fldCharType="separate"/>
      </w:r>
      <w:r w:rsidR="000E11E7">
        <w:rPr>
          <w:lang w:val="en-GB"/>
        </w:rPr>
        <w:t>4.1</w:t>
      </w:r>
      <w:r w:rsidR="00950CA6" w:rsidRPr="00221992">
        <w:rPr>
          <w:lang w:val="en-GB"/>
        </w:rPr>
        <w:fldChar w:fldCharType="end"/>
      </w:r>
      <w:r w:rsidR="00C352F6" w:rsidRPr="00221992">
        <w:rPr>
          <w:lang w:val="en-GB"/>
        </w:rPr>
        <w:t>)</w:t>
      </w:r>
      <w:r w:rsidRPr="00221992">
        <w:rPr>
          <w:lang w:val="en-GB"/>
        </w:rPr>
        <w:t xml:space="preserve">. In the French trial, products must </w:t>
      </w:r>
      <w:r w:rsidR="0085126D" w:rsidRPr="00221992">
        <w:rPr>
          <w:lang w:val="en-GB"/>
        </w:rPr>
        <w:t xml:space="preserve">first </w:t>
      </w:r>
      <w:r w:rsidRPr="00221992">
        <w:rPr>
          <w:lang w:val="en-GB"/>
        </w:rPr>
        <w:t>receive an HTA evaluation, which takes approximately three months, prior to listing</w:t>
      </w:r>
      <w:r w:rsidR="0085126D" w:rsidRPr="00221992">
        <w:rPr>
          <w:lang w:val="en-GB"/>
        </w:rPr>
        <w:t>.</w:t>
      </w:r>
      <w:r w:rsidRPr="00221992">
        <w:rPr>
          <w:lang w:val="en-GB"/>
        </w:rPr>
        <w:t xml:space="preserve"> Only 32% of new products assessed by HAS in 2019 received an ASMR I-IV, meaning most new treatments will not </w:t>
      </w:r>
      <w:r w:rsidR="001140E3" w:rsidRPr="00221992">
        <w:rPr>
          <w:lang w:val="en-GB"/>
        </w:rPr>
        <w:t>be eligible for</w:t>
      </w:r>
      <w:r w:rsidRPr="00221992">
        <w:rPr>
          <w:lang w:val="en-GB"/>
        </w:rPr>
        <w:t xml:space="preserve"> th</w:t>
      </w:r>
      <w:r w:rsidR="001140E3" w:rsidRPr="00221992">
        <w:rPr>
          <w:lang w:val="en-GB"/>
        </w:rPr>
        <w:t>e</w:t>
      </w:r>
      <w:r w:rsidRPr="00221992">
        <w:rPr>
          <w:lang w:val="en-GB"/>
        </w:rPr>
        <w:t xml:space="preserve"> early reimbursement pathway</w:t>
      </w:r>
      <w:r w:rsidR="001140E3" w:rsidRPr="00221992">
        <w:rPr>
          <w:lang w:val="en-GB"/>
        </w:rPr>
        <w:t xml:space="preserve"> </w:t>
      </w:r>
      <w:r w:rsidR="004978F4" w:rsidRPr="00221992">
        <w:rPr>
          <w:lang w:val="en-GB"/>
        </w:rPr>
        <w:fldChar w:fldCharType="begin"/>
      </w:r>
      <w:r w:rsidR="00112E71">
        <w:rPr>
          <w:lang w:val="en-GB"/>
        </w:rPr>
        <w:instrText xml:space="preserve"> ADDIN EN.CITE &lt;EndNote&gt;&lt;Cite&gt;&lt;Author&gt;Kurani&lt;/Author&gt;&lt;Year&gt;2022&lt;/Year&gt;&lt;RecNum&gt;617&lt;/RecNum&gt;&lt;DisplayText&gt;[58]&lt;/DisplayText&gt;&lt;record&gt;&lt;rec-number&gt;617&lt;/rec-number&gt;&lt;foreign-keys&gt;&lt;key app="EN" db-id="wzwwsfxe4peesxef95cxvrwjxts9rreasarf" timestamp="1692763542"&gt;617&lt;/key&gt;&lt;/foreign-keys&gt;&lt;ref-type name="Web Page"&gt;12&lt;/ref-type&gt;&lt;contributors&gt;&lt;authors&gt;&lt;author&gt;Kurani, N.&lt;/author&gt;&lt;author&gt;Cotliar, D.&lt;/author&gt;&lt;author&gt;Cox, C.&lt;/author&gt;&lt;/authors&gt;&lt;/contributors&gt;&lt;titles&gt;&lt;title&gt;How do prescription drug costs in the United States compare to other countries?&lt;/title&gt;&lt;/titles&gt;&lt;number&gt;23 August 2023&lt;/number&gt;&lt;dates&gt;&lt;year&gt;2022&lt;/year&gt;&lt;/dates&gt;&lt;publisher&gt;Peterson-KFF&lt;/publisher&gt;&lt;urls&gt;&lt;related-urls&gt;&lt;url&gt;https://www.healthsystemtracker.org/chart-collection/how-do-prescription-drug-costs-in-the-united-states-compare-to-other-countries/#Per%20capita%20prescribed%20medicine%20spending,%20U.S.%20dollars,%202004-2019&lt;/url&gt;&lt;/related-urls&gt;&lt;/urls&gt;&lt;/record&gt;&lt;/Cite&gt;&lt;/EndNote&gt;</w:instrText>
      </w:r>
      <w:r w:rsidR="004978F4" w:rsidRPr="00221992">
        <w:rPr>
          <w:lang w:val="en-GB"/>
        </w:rPr>
        <w:fldChar w:fldCharType="separate"/>
      </w:r>
      <w:r w:rsidR="00112E71">
        <w:rPr>
          <w:noProof/>
          <w:lang w:val="en-GB"/>
        </w:rPr>
        <w:t>[58]</w:t>
      </w:r>
      <w:r w:rsidR="004978F4" w:rsidRPr="00221992">
        <w:rPr>
          <w:lang w:val="en-GB"/>
        </w:rPr>
        <w:fldChar w:fldCharType="end"/>
      </w:r>
      <w:r w:rsidRPr="00221992">
        <w:rPr>
          <w:lang w:val="en-GB"/>
        </w:rPr>
        <w:t xml:space="preserve">. </w:t>
      </w:r>
    </w:p>
    <w:p w14:paraId="71F3FC5A" w14:textId="006F6EE2" w:rsidR="00A07059" w:rsidRPr="00221992" w:rsidRDefault="00A07059" w:rsidP="007D1F68">
      <w:pPr>
        <w:rPr>
          <w:lang w:val="en-GB"/>
        </w:rPr>
      </w:pPr>
      <w:r w:rsidRPr="00221992">
        <w:rPr>
          <w:lang w:val="en-GB"/>
        </w:rPr>
        <w:t>It is currently unclear how drugs are priced when listed prior to pric</w:t>
      </w:r>
      <w:r w:rsidR="00CD62C4" w:rsidRPr="00221992">
        <w:rPr>
          <w:lang w:val="en-GB"/>
        </w:rPr>
        <w:t>e</w:t>
      </w:r>
      <w:r w:rsidRPr="00221992">
        <w:rPr>
          <w:lang w:val="en-GB"/>
        </w:rPr>
        <w:t xml:space="preserve"> negotiations in the French trial. </w:t>
      </w:r>
      <w:r w:rsidR="00CD62C4" w:rsidRPr="00221992">
        <w:rPr>
          <w:lang w:val="en-GB"/>
        </w:rPr>
        <w:t>D</w:t>
      </w:r>
      <w:r w:rsidRPr="00221992">
        <w:rPr>
          <w:lang w:val="en-GB"/>
        </w:rPr>
        <w:t xml:space="preserve">irect market access allows pharmaceutical manufacturers one year from launch to complete negotiations with CEPS, but it remains to be seen whether paybacks for expenditure above the negotiated price in the interim period will be applied, such as </w:t>
      </w:r>
      <w:r w:rsidR="00CD4882" w:rsidRPr="00221992">
        <w:rPr>
          <w:lang w:val="en-GB"/>
        </w:rPr>
        <w:t>those</w:t>
      </w:r>
      <w:r w:rsidRPr="00221992">
        <w:rPr>
          <w:lang w:val="en-GB"/>
        </w:rPr>
        <w:t xml:space="preserve"> required </w:t>
      </w:r>
      <w:r w:rsidR="00F32029" w:rsidRPr="00221992">
        <w:rPr>
          <w:lang w:val="en-GB"/>
        </w:rPr>
        <w:t xml:space="preserve">through the </w:t>
      </w:r>
      <w:r w:rsidR="00551786">
        <w:rPr>
          <w:lang w:val="en-GB"/>
        </w:rPr>
        <w:t>‘</w:t>
      </w:r>
      <w:r w:rsidRPr="00221992">
        <w:rPr>
          <w:lang w:val="en-GB"/>
        </w:rPr>
        <w:t>autorisation d</w:t>
      </w:r>
      <w:r w:rsidR="00551786">
        <w:rPr>
          <w:lang w:val="en-GB"/>
        </w:rPr>
        <w:t>’</w:t>
      </w:r>
      <w:r w:rsidRPr="00221992">
        <w:rPr>
          <w:lang w:val="en-GB"/>
        </w:rPr>
        <w:t>accès précoce</w:t>
      </w:r>
      <w:r w:rsidR="00551786">
        <w:rPr>
          <w:lang w:val="en-GB"/>
        </w:rPr>
        <w:t>’</w:t>
      </w:r>
      <w:r w:rsidRPr="00221992">
        <w:rPr>
          <w:lang w:val="en-GB"/>
        </w:rPr>
        <w:t xml:space="preserve"> (AAP) </w:t>
      </w:r>
      <w:r w:rsidR="00551786">
        <w:rPr>
          <w:lang w:val="en-GB"/>
        </w:rPr>
        <w:t>‘</w:t>
      </w:r>
      <w:r w:rsidRPr="00221992">
        <w:rPr>
          <w:lang w:val="en-GB"/>
        </w:rPr>
        <w:t>Autorisation Temporaire d</w:t>
      </w:r>
      <w:r w:rsidR="00551786">
        <w:rPr>
          <w:lang w:val="en-GB"/>
        </w:rPr>
        <w:t>’</w:t>
      </w:r>
      <w:r w:rsidRPr="00221992">
        <w:rPr>
          <w:lang w:val="en-GB"/>
        </w:rPr>
        <w:t>Utilisation” (ATU) early access pathway [52].</w:t>
      </w:r>
    </w:p>
    <w:p w14:paraId="13B60CCD" w14:textId="6D965C98" w:rsidR="008A5987" w:rsidRPr="00221992" w:rsidRDefault="00B91AD8" w:rsidP="00492475">
      <w:pPr>
        <w:pStyle w:val="Heading4"/>
        <w:rPr>
          <w:lang w:val="en-GB"/>
        </w:rPr>
      </w:pPr>
      <w:r w:rsidRPr="00221992">
        <w:rPr>
          <w:lang w:val="en-GB"/>
        </w:rPr>
        <w:t xml:space="preserve">Regulatory </w:t>
      </w:r>
      <w:r w:rsidR="008147FC" w:rsidRPr="00221992">
        <w:rPr>
          <w:lang w:val="en-GB"/>
        </w:rPr>
        <w:t xml:space="preserve">pricing and reimbursement </w:t>
      </w:r>
      <w:r w:rsidRPr="00221992">
        <w:rPr>
          <w:lang w:val="en-GB"/>
        </w:rPr>
        <w:t>reform</w:t>
      </w:r>
      <w:r w:rsidR="004D4BD4" w:rsidRPr="00221992">
        <w:rPr>
          <w:lang w:val="en-GB"/>
        </w:rPr>
        <w:t>—</w:t>
      </w:r>
      <w:r w:rsidR="006B4C1F" w:rsidRPr="00221992">
        <w:rPr>
          <w:lang w:val="en-GB"/>
        </w:rPr>
        <w:t xml:space="preserve">beyond </w:t>
      </w:r>
      <w:r w:rsidR="008147FC" w:rsidRPr="00221992">
        <w:rPr>
          <w:lang w:val="en-GB"/>
        </w:rPr>
        <w:t xml:space="preserve">2025 </w:t>
      </w:r>
      <w:bookmarkEnd w:id="283"/>
    </w:p>
    <w:p w14:paraId="19AC9941" w14:textId="07F388EC" w:rsidR="008147FC" w:rsidRPr="00221992" w:rsidRDefault="000A139D" w:rsidP="00492475">
      <w:pPr>
        <w:rPr>
          <w:lang w:val="en-GB"/>
        </w:rPr>
      </w:pPr>
      <w:r w:rsidRPr="00221992">
        <w:rPr>
          <w:lang w:val="en-GB"/>
        </w:rPr>
        <w:t xml:space="preserve">The European Commission has recently implemented a new </w:t>
      </w:r>
      <w:r w:rsidR="005F584A" w:rsidRPr="00221992">
        <w:rPr>
          <w:lang w:val="en-GB"/>
        </w:rPr>
        <w:t xml:space="preserve">regulatory framework </w:t>
      </w:r>
      <w:r w:rsidR="00DF3BF3" w:rsidRPr="00221992">
        <w:rPr>
          <w:lang w:val="en-GB"/>
        </w:rPr>
        <w:t>that</w:t>
      </w:r>
      <w:r w:rsidR="008804EF" w:rsidRPr="00221992">
        <w:rPr>
          <w:lang w:val="en-GB"/>
        </w:rPr>
        <w:t xml:space="preserve"> </w:t>
      </w:r>
      <w:r w:rsidR="00C23ADD" w:rsidRPr="00221992">
        <w:rPr>
          <w:lang w:val="en-GB"/>
        </w:rPr>
        <w:t xml:space="preserve">includes key recommendations on managing uncertainty, </w:t>
      </w:r>
      <w:r w:rsidR="00DF3BF3" w:rsidRPr="00221992">
        <w:rPr>
          <w:lang w:val="en-GB"/>
        </w:rPr>
        <w:t xml:space="preserve">including </w:t>
      </w:r>
      <w:r w:rsidR="005F584A" w:rsidRPr="00221992">
        <w:rPr>
          <w:lang w:val="en-GB"/>
        </w:rPr>
        <w:t xml:space="preserve">integration of </w:t>
      </w:r>
      <w:r w:rsidR="00A5028B" w:rsidRPr="00221992">
        <w:rPr>
          <w:lang w:val="en-GB"/>
        </w:rPr>
        <w:t>RWE</w:t>
      </w:r>
      <w:r w:rsidR="005F584A" w:rsidRPr="00221992">
        <w:rPr>
          <w:lang w:val="en-GB"/>
        </w:rPr>
        <w:t xml:space="preserve"> </w:t>
      </w:r>
      <w:r w:rsidR="004A7733" w:rsidRPr="00221992">
        <w:rPr>
          <w:lang w:val="en-GB"/>
        </w:rPr>
        <w:t>for</w:t>
      </w:r>
      <w:r w:rsidR="00DA1BE3" w:rsidRPr="00221992">
        <w:rPr>
          <w:lang w:val="en-GB"/>
        </w:rPr>
        <w:t xml:space="preserve"> early access</w:t>
      </w:r>
      <w:r w:rsidR="005F584A" w:rsidRPr="00221992">
        <w:rPr>
          <w:lang w:val="en-GB"/>
        </w:rPr>
        <w:t xml:space="preserve"> pathways</w:t>
      </w:r>
      <w:r w:rsidR="00A62BA6" w:rsidRPr="00221992">
        <w:rPr>
          <w:lang w:val="en-GB"/>
        </w:rPr>
        <w:t xml:space="preserve"> </w:t>
      </w:r>
      <w:r w:rsidR="00653F87" w:rsidRPr="00221992">
        <w:rPr>
          <w:lang w:val="en-GB"/>
        </w:rPr>
        <w:fldChar w:fldCharType="begin"/>
      </w:r>
      <w:r w:rsidR="00E5265C">
        <w:rPr>
          <w:lang w:val="en-GB"/>
        </w:rPr>
        <w:instrText xml:space="preserve"> ADDIN EN.CITE &lt;EndNote&gt;&lt;Cite&gt;&lt;Author&gt;European Medicines Agency (EMA)&lt;/Author&gt;&lt;Year&gt;2018&lt;/Year&gt;&lt;RecNum&gt;132&lt;/RecNum&gt;&lt;DisplayText&gt;[281]&lt;/DisplayText&gt;&lt;record&gt;&lt;rec-number&gt;132&lt;/rec-number&gt;&lt;foreign-keys&gt;&lt;key app="EN" db-id="wzwwsfxe4peesxef95cxvrwjxts9rreasarf" timestamp="1692654670"&gt;132&lt;/key&gt;&lt;/foreign-keys&gt;&lt;ref-type name="Report"&gt;27&lt;/ref-type&gt;&lt;contributors&gt;&lt;authors&gt;&lt;author&gt;European Medicines Agency (EMA),&lt;/author&gt;&lt;/authors&gt;&lt;/contributors&gt;&lt;titles&gt;&lt;title&gt;EMA. Regulatory Science to 2025 - Strategic Reflection&lt;/title&gt;&lt;/titles&gt;&lt;number&gt;12 July 2023&lt;/number&gt;&lt;dates&gt;&lt;year&gt;2018&lt;/year&gt;&lt;/dates&gt;&lt;pub-location&gt;London&lt;/pub-location&gt;&lt;publisher&gt;European Medicines Agency (EMA),&lt;/publisher&gt;&lt;urls&gt;&lt;related-urls&gt;&lt;url&gt;https://www.ema.europa.eu/en/documents/regulatory-procedural-guideline/ema-regulatory-science-2025-strategic-reflection_en.pdf&lt;/url&gt;&lt;/related-urls&gt;&lt;/urls&gt;&lt;/record&gt;&lt;/Cite&gt;&lt;/EndNote&gt;</w:instrText>
      </w:r>
      <w:r w:rsidR="00653F87" w:rsidRPr="00221992">
        <w:rPr>
          <w:lang w:val="en-GB"/>
        </w:rPr>
        <w:fldChar w:fldCharType="separate"/>
      </w:r>
      <w:r w:rsidR="00E5265C">
        <w:rPr>
          <w:noProof/>
          <w:lang w:val="en-GB"/>
        </w:rPr>
        <w:t>[281]</w:t>
      </w:r>
      <w:r w:rsidR="00653F87" w:rsidRPr="00221992">
        <w:rPr>
          <w:lang w:val="en-GB"/>
        </w:rPr>
        <w:fldChar w:fldCharType="end"/>
      </w:r>
      <w:r w:rsidR="005F584A" w:rsidRPr="00221992">
        <w:rPr>
          <w:lang w:val="en-GB"/>
        </w:rPr>
        <w:t xml:space="preserve">. </w:t>
      </w:r>
      <w:r w:rsidR="003262EA" w:rsidRPr="00221992">
        <w:rPr>
          <w:lang w:val="en-GB"/>
        </w:rPr>
        <w:t>Adopted in 2021, t</w:t>
      </w:r>
      <w:r w:rsidR="008147FC" w:rsidRPr="00221992">
        <w:rPr>
          <w:lang w:val="en-GB"/>
        </w:rPr>
        <w:t xml:space="preserve">he </w:t>
      </w:r>
      <w:r w:rsidR="00C23ADD" w:rsidRPr="00221992">
        <w:rPr>
          <w:lang w:val="en-GB"/>
        </w:rPr>
        <w:t xml:space="preserve">overarching aim of the </w:t>
      </w:r>
      <w:r w:rsidR="008147FC" w:rsidRPr="00221992">
        <w:rPr>
          <w:lang w:val="en-GB"/>
        </w:rPr>
        <w:t>EU HTA Regulation</w:t>
      </w:r>
      <w:r w:rsidR="003262EA" w:rsidRPr="00221992">
        <w:rPr>
          <w:lang w:val="en-GB"/>
        </w:rPr>
        <w:t xml:space="preserve"> </w:t>
      </w:r>
      <w:r w:rsidR="00C23ADD" w:rsidRPr="00221992">
        <w:rPr>
          <w:lang w:val="en-GB"/>
        </w:rPr>
        <w:t>is to</w:t>
      </w:r>
      <w:r w:rsidR="008147FC" w:rsidRPr="00221992">
        <w:rPr>
          <w:lang w:val="en-GB"/>
        </w:rPr>
        <w:t xml:space="preserve"> strengthen the quality of HTA</w:t>
      </w:r>
      <w:r w:rsidR="00460E12" w:rsidRPr="00221992">
        <w:rPr>
          <w:lang w:val="en-GB"/>
        </w:rPr>
        <w:t xml:space="preserve">, </w:t>
      </w:r>
      <w:r w:rsidR="008147FC" w:rsidRPr="00221992">
        <w:rPr>
          <w:lang w:val="en-GB"/>
        </w:rPr>
        <w:t>ensure efficient use of resources</w:t>
      </w:r>
      <w:r w:rsidR="00460E12" w:rsidRPr="00221992">
        <w:rPr>
          <w:lang w:val="en-GB"/>
        </w:rPr>
        <w:t xml:space="preserve">, avoid duplication of industry and national HTA body efforts, and facilitate long-term EU HTA collaboration. </w:t>
      </w:r>
      <w:r w:rsidR="00544534" w:rsidRPr="00221992">
        <w:rPr>
          <w:lang w:val="en-GB"/>
        </w:rPr>
        <w:t>Phased</w:t>
      </w:r>
      <w:r w:rsidR="008147FC" w:rsidRPr="00221992">
        <w:rPr>
          <w:lang w:val="en-GB"/>
        </w:rPr>
        <w:t xml:space="preserve"> implement</w:t>
      </w:r>
      <w:r w:rsidR="00544534" w:rsidRPr="00221992">
        <w:rPr>
          <w:lang w:val="en-GB"/>
        </w:rPr>
        <w:t xml:space="preserve">ation will begin </w:t>
      </w:r>
      <w:r w:rsidR="008147FC" w:rsidRPr="00221992">
        <w:rPr>
          <w:lang w:val="en-GB"/>
        </w:rPr>
        <w:t>with oncologic and advanced therapy medicinal products (ATMPs</w:t>
      </w:r>
      <w:r w:rsidR="00544534" w:rsidRPr="00221992">
        <w:rPr>
          <w:lang w:val="en-GB"/>
        </w:rPr>
        <w:t>) in 2025, followed by OMPs in 2028 and all other</w:t>
      </w:r>
      <w:r w:rsidR="008147FC" w:rsidRPr="00221992">
        <w:rPr>
          <w:lang w:val="en-GB"/>
        </w:rPr>
        <w:t xml:space="preserve"> centrally approved medicines from 2030 onwards.</w:t>
      </w:r>
    </w:p>
    <w:p w14:paraId="5768CAD7" w14:textId="12E41C32" w:rsidR="008147FC" w:rsidRPr="00221992" w:rsidRDefault="008147FC" w:rsidP="00340310">
      <w:pPr>
        <w:rPr>
          <w:lang w:val="en-GB"/>
        </w:rPr>
      </w:pPr>
      <w:r w:rsidRPr="00221992">
        <w:rPr>
          <w:lang w:val="en-GB"/>
        </w:rPr>
        <w:t>A key element of the regulation is the introduction of EU-level Joint Clinical Assessments (JCAs). These assessments involve experts from national HTA bodies conducting comparative analys</w:t>
      </w:r>
      <w:r w:rsidR="00BE0551" w:rsidRPr="00221992">
        <w:rPr>
          <w:lang w:val="en-GB"/>
        </w:rPr>
        <w:t>e</w:t>
      </w:r>
      <w:r w:rsidRPr="00221992">
        <w:rPr>
          <w:lang w:val="en-GB"/>
        </w:rPr>
        <w:t>s of available clinical evidence for health technolog</w:t>
      </w:r>
      <w:r w:rsidR="00BE0551" w:rsidRPr="00221992">
        <w:rPr>
          <w:lang w:val="en-GB"/>
        </w:rPr>
        <w:t>ies</w:t>
      </w:r>
      <w:r w:rsidRPr="00221992">
        <w:rPr>
          <w:lang w:val="en-GB"/>
        </w:rPr>
        <w:t xml:space="preserve">. The JCA dossier </w:t>
      </w:r>
      <w:r w:rsidR="00BE0551" w:rsidRPr="00221992">
        <w:rPr>
          <w:lang w:val="en-GB"/>
        </w:rPr>
        <w:t>is to</w:t>
      </w:r>
      <w:r w:rsidRPr="00221992">
        <w:rPr>
          <w:lang w:val="en-GB"/>
        </w:rPr>
        <w:t xml:space="preserve"> be submitted prior to </w:t>
      </w:r>
      <w:r w:rsidR="00BE0551" w:rsidRPr="00221992">
        <w:rPr>
          <w:lang w:val="en-GB"/>
        </w:rPr>
        <w:t xml:space="preserve">EMA </w:t>
      </w:r>
      <w:r w:rsidRPr="00221992">
        <w:rPr>
          <w:lang w:val="en-GB"/>
        </w:rPr>
        <w:t xml:space="preserve">regulatory assessment and </w:t>
      </w:r>
      <w:r w:rsidR="00BE0551" w:rsidRPr="00221992">
        <w:rPr>
          <w:lang w:val="en-GB"/>
        </w:rPr>
        <w:t xml:space="preserve">will </w:t>
      </w:r>
      <w:r w:rsidRPr="00221992">
        <w:rPr>
          <w:lang w:val="en-GB"/>
        </w:rPr>
        <w:t>serve as the basis for national value assessments and price negotiations.</w:t>
      </w:r>
      <w:r w:rsidR="00340310" w:rsidRPr="00221992">
        <w:rPr>
          <w:lang w:val="en-GB"/>
        </w:rPr>
        <w:t xml:space="preserve"> </w:t>
      </w:r>
      <w:r w:rsidRPr="00221992">
        <w:rPr>
          <w:lang w:val="en-GB"/>
        </w:rPr>
        <w:t xml:space="preserve">The phased introduction of JCAs will impact centrally authorised products and high-risk medical devices. </w:t>
      </w:r>
      <w:r w:rsidR="00340310" w:rsidRPr="00221992">
        <w:rPr>
          <w:lang w:val="en-GB"/>
        </w:rPr>
        <w:t>A</w:t>
      </w:r>
      <w:r w:rsidRPr="00221992">
        <w:rPr>
          <w:lang w:val="en-GB"/>
        </w:rPr>
        <w:t xml:space="preserve">ssessments will run parallel to the regulatory process and continue afterward, providing high-quality scientific reports to support member states in making </w:t>
      </w:r>
      <w:r w:rsidR="00021CA6" w:rsidRPr="00221992">
        <w:rPr>
          <w:lang w:val="en-GB"/>
        </w:rPr>
        <w:t xml:space="preserve">timely, </w:t>
      </w:r>
      <w:r w:rsidRPr="00221992">
        <w:rPr>
          <w:lang w:val="en-GB"/>
        </w:rPr>
        <w:t xml:space="preserve">evidence-based decisions on patient access to new medicines. The </w:t>
      </w:r>
      <w:r w:rsidR="00460E12" w:rsidRPr="00221992">
        <w:rPr>
          <w:lang w:val="en-GB"/>
        </w:rPr>
        <w:t>intention</w:t>
      </w:r>
      <w:r w:rsidRPr="00221992">
        <w:rPr>
          <w:lang w:val="en-GB"/>
        </w:rPr>
        <w:t xml:space="preserve"> is </w:t>
      </w:r>
      <w:r w:rsidR="00021CA6" w:rsidRPr="00221992">
        <w:rPr>
          <w:lang w:val="en-GB"/>
        </w:rPr>
        <w:t>for</w:t>
      </w:r>
      <w:r w:rsidRPr="00221992">
        <w:rPr>
          <w:lang w:val="en-GB"/>
        </w:rPr>
        <w:t xml:space="preserve"> JCAs </w:t>
      </w:r>
      <w:r w:rsidR="00021CA6" w:rsidRPr="00221992">
        <w:rPr>
          <w:lang w:val="en-GB"/>
        </w:rPr>
        <w:t>to</w:t>
      </w:r>
      <w:r w:rsidRPr="00221992">
        <w:rPr>
          <w:lang w:val="en-GB"/>
        </w:rPr>
        <w:t xml:space="preserve"> bring greater clarity and predictability to HTA clinical evidence requirements, </w:t>
      </w:r>
      <w:r w:rsidR="00021CA6" w:rsidRPr="00221992">
        <w:rPr>
          <w:lang w:val="en-GB"/>
        </w:rPr>
        <w:t>while</w:t>
      </w:r>
      <w:r w:rsidRPr="00221992">
        <w:rPr>
          <w:lang w:val="en-GB"/>
        </w:rPr>
        <w:t xml:space="preserve"> harmonising aspects such as populations and comparators.</w:t>
      </w:r>
    </w:p>
    <w:p w14:paraId="535D6784" w14:textId="435E2155" w:rsidR="3C841AC8" w:rsidRDefault="008147FC" w:rsidP="002A32FA">
      <w:pPr>
        <w:rPr>
          <w:lang w:val="en-GB"/>
        </w:rPr>
      </w:pPr>
      <w:r w:rsidRPr="00221992">
        <w:rPr>
          <w:lang w:val="en-GB"/>
        </w:rPr>
        <w:t xml:space="preserve">During the implementation period (2022-2024), the </w:t>
      </w:r>
      <w:r w:rsidR="00253867" w:rsidRPr="00221992">
        <w:rPr>
          <w:lang w:val="en-GB"/>
        </w:rPr>
        <w:t>European Commission</w:t>
      </w:r>
      <w:r w:rsidRPr="00221992">
        <w:rPr>
          <w:lang w:val="en-GB"/>
        </w:rPr>
        <w:t xml:space="preserve"> will work with </w:t>
      </w:r>
      <w:r w:rsidR="00916276" w:rsidRPr="00221992">
        <w:rPr>
          <w:lang w:val="en-GB"/>
        </w:rPr>
        <w:t xml:space="preserve">the </w:t>
      </w:r>
      <w:r w:rsidRPr="00221992">
        <w:rPr>
          <w:lang w:val="en-GB"/>
        </w:rPr>
        <w:t>EUnetHTA21</w:t>
      </w:r>
      <w:r w:rsidR="00916276" w:rsidRPr="00221992">
        <w:rPr>
          <w:lang w:val="en-GB"/>
        </w:rPr>
        <w:t xml:space="preserve"> consortium</w:t>
      </w:r>
      <w:r w:rsidRPr="00221992">
        <w:rPr>
          <w:lang w:val="en-GB"/>
        </w:rPr>
        <w:t xml:space="preserve"> to develop assessment methodologies and procedural guidelines. EUnetHTA21</w:t>
      </w:r>
      <w:r w:rsidR="00551786">
        <w:rPr>
          <w:lang w:val="en-GB"/>
        </w:rPr>
        <w:t>’</w:t>
      </w:r>
      <w:r w:rsidRPr="00221992">
        <w:rPr>
          <w:lang w:val="en-GB"/>
        </w:rPr>
        <w:t xml:space="preserve">s deliverables will form the basis for future rules and methodologies of the EU HTA system. </w:t>
      </w:r>
    </w:p>
    <w:p w14:paraId="536F44FC" w14:textId="333EC389" w:rsidR="00904E4C" w:rsidRPr="00E63F44" w:rsidRDefault="00E63F44" w:rsidP="005A5188">
      <w:pPr>
        <w:pStyle w:val="NbrHeading4"/>
        <w:numPr>
          <w:ilvl w:val="0"/>
          <w:numId w:val="0"/>
        </w:numPr>
        <w:ind w:left="1134" w:hanging="1134"/>
        <w:rPr>
          <w:rFonts w:ascii="Calibri Light" w:hAnsi="Calibri Light" w:cs="Calibri Light"/>
          <w:b w:val="0"/>
          <w:bCs w:val="0"/>
          <w:i/>
          <w:iCs/>
          <w:lang w:val="en-GB"/>
        </w:rPr>
      </w:pPr>
      <w:r>
        <w:rPr>
          <w:rFonts w:ascii="Calibri Light" w:hAnsi="Calibri Light" w:cs="Calibri Light"/>
          <w:b w:val="0"/>
          <w:bCs w:val="0"/>
          <w:i/>
          <w:iCs/>
          <w:lang w:val="en-GB"/>
        </w:rPr>
        <w:t>Discussion</w:t>
      </w:r>
    </w:p>
    <w:p w14:paraId="2B64045E" w14:textId="73A4B2ED" w:rsidR="141C2768" w:rsidRDefault="00E63F44" w:rsidP="141C2768">
      <w:r>
        <w:rPr>
          <w:rFonts w:eastAsia="Calibri Light" w:cs="Calibri Light"/>
          <w:color w:val="000000" w:themeColor="text1"/>
        </w:rPr>
        <w:t>T</w:t>
      </w:r>
      <w:r w:rsidR="5E03B208" w:rsidRPr="141C2768">
        <w:rPr>
          <w:rFonts w:eastAsia="Calibri Light" w:cs="Calibri Light"/>
          <w:color w:val="000000" w:themeColor="text1"/>
        </w:rPr>
        <w:t>his section has provided an overview of how international countries deal with uncertainty in the fund</w:t>
      </w:r>
      <w:r w:rsidR="03B63A00" w:rsidRPr="141C2768">
        <w:rPr>
          <w:rFonts w:eastAsia="Calibri Light" w:cs="Calibri Light"/>
          <w:color w:val="000000" w:themeColor="text1"/>
        </w:rPr>
        <w:t>i</w:t>
      </w:r>
      <w:r w:rsidR="5E03B208" w:rsidRPr="141C2768">
        <w:rPr>
          <w:rFonts w:eastAsia="Calibri Light" w:cs="Calibri Light"/>
          <w:color w:val="000000" w:themeColor="text1"/>
        </w:rPr>
        <w:t>ng and purchasing of new pharmaceuticals and medical services. It has explored the use of MEAs</w:t>
      </w:r>
      <w:r w:rsidR="5E03B208" w:rsidRPr="3E21A1C9">
        <w:rPr>
          <w:rFonts w:eastAsia="Calibri Light" w:cs="Calibri Light"/>
          <w:color w:val="000000" w:themeColor="text1"/>
        </w:rPr>
        <w:t>,</w:t>
      </w:r>
      <w:r w:rsidR="5E03B208" w:rsidRPr="141C2768">
        <w:rPr>
          <w:rFonts w:eastAsia="Calibri Light" w:cs="Calibri Light"/>
          <w:color w:val="000000" w:themeColor="text1"/>
        </w:rPr>
        <w:t xml:space="preserve"> encompassing both financial and performance-based arrangements. These frameworks have seen significant evolution to tackle general challenges in MEAs, like insufficient evidence, a lack of transparency, and issues related to product renegotiation or disinvestment. Furthermore, these mechanisms have been refined and adapted to cater to the specific challenges associated with </w:t>
      </w:r>
      <w:r w:rsidR="67AB9ED4" w:rsidRPr="3E21A1C9">
        <w:rPr>
          <w:rFonts w:eastAsia="Calibri Light" w:cs="Calibri Light"/>
          <w:color w:val="000000" w:themeColor="text1"/>
        </w:rPr>
        <w:t xml:space="preserve">rare and </w:t>
      </w:r>
      <w:r w:rsidR="5E03B208" w:rsidRPr="141C2768">
        <w:rPr>
          <w:rFonts w:eastAsia="Calibri Light" w:cs="Calibri Light"/>
          <w:color w:val="000000" w:themeColor="text1"/>
        </w:rPr>
        <w:t xml:space="preserve">innovative treatments. </w:t>
      </w:r>
      <w:r w:rsidR="7FBCC89C" w:rsidRPr="3E21A1C9">
        <w:rPr>
          <w:rFonts w:eastAsia="Calibri Light" w:cs="Calibri Light"/>
          <w:color w:val="000000" w:themeColor="text1"/>
        </w:rPr>
        <w:t>For example,</w:t>
      </w:r>
      <w:r w:rsidR="5E03B208" w:rsidRPr="141C2768">
        <w:rPr>
          <w:rFonts w:eastAsia="Calibri Light" w:cs="Calibri Light"/>
          <w:color w:val="000000" w:themeColor="text1"/>
        </w:rPr>
        <w:t xml:space="preserve"> facilitating early access </w:t>
      </w:r>
      <w:r w:rsidR="2BF311F7" w:rsidRPr="3E21A1C9">
        <w:rPr>
          <w:rFonts w:eastAsia="Calibri Light" w:cs="Calibri Light"/>
          <w:color w:val="000000" w:themeColor="text1"/>
        </w:rPr>
        <w:t>to</w:t>
      </w:r>
      <w:r w:rsidR="5E03B208" w:rsidRPr="141C2768">
        <w:rPr>
          <w:rFonts w:eastAsia="Calibri Light" w:cs="Calibri Light"/>
          <w:color w:val="000000" w:themeColor="text1"/>
        </w:rPr>
        <w:t xml:space="preserve"> products </w:t>
      </w:r>
      <w:r w:rsidR="36A799AB" w:rsidRPr="3E21A1C9">
        <w:rPr>
          <w:rFonts w:eastAsia="Calibri Light" w:cs="Calibri Light"/>
          <w:color w:val="000000" w:themeColor="text1"/>
        </w:rPr>
        <w:t xml:space="preserve">which </w:t>
      </w:r>
      <w:r w:rsidR="5E03B208" w:rsidRPr="3E21A1C9">
        <w:rPr>
          <w:rFonts w:eastAsia="Calibri Light" w:cs="Calibri Light"/>
          <w:color w:val="000000" w:themeColor="text1"/>
        </w:rPr>
        <w:t>address</w:t>
      </w:r>
      <w:r w:rsidR="5E03B208" w:rsidRPr="141C2768">
        <w:rPr>
          <w:rFonts w:eastAsia="Calibri Light" w:cs="Calibri Light"/>
          <w:color w:val="000000" w:themeColor="text1"/>
        </w:rPr>
        <w:t xml:space="preserve"> high unmet needs but</w:t>
      </w:r>
      <w:r w:rsidR="725C64D6" w:rsidRPr="141C2768">
        <w:rPr>
          <w:rFonts w:eastAsia="Calibri Light" w:cs="Calibri Light"/>
          <w:color w:val="000000" w:themeColor="text1"/>
        </w:rPr>
        <w:t xml:space="preserve"> have</w:t>
      </w:r>
      <w:r w:rsidR="5E03B208" w:rsidRPr="141C2768">
        <w:rPr>
          <w:rFonts w:eastAsia="Calibri Light" w:cs="Calibri Light"/>
          <w:color w:val="000000" w:themeColor="text1"/>
        </w:rPr>
        <w:t xml:space="preserve"> </w:t>
      </w:r>
      <w:r w:rsidR="0BF2FA7E">
        <w:t>otherwise unacceptable clinical or economic uncertainty</w:t>
      </w:r>
      <w:r w:rsidR="18D2A697" w:rsidRPr="3E21A1C9">
        <w:rPr>
          <w:rStyle w:val="normaltextrun"/>
          <w:rFonts w:cs="Calibri Light"/>
          <w:color w:val="000000" w:themeColor="text1"/>
        </w:rPr>
        <w:t>.</w:t>
      </w:r>
    </w:p>
    <w:p w14:paraId="74531893" w14:textId="6B0A17C3" w:rsidR="00436373" w:rsidRPr="006C32AA" w:rsidDel="006C32AA" w:rsidRDefault="00436373" w:rsidP="141C2768">
      <w:r w:rsidRPr="006C32AA" w:rsidDel="006C32AA">
        <w:t xml:space="preserve">In the following section, the </w:t>
      </w:r>
      <w:r w:rsidR="008902F5">
        <w:t xml:space="preserve">key </w:t>
      </w:r>
      <w:r w:rsidRPr="006C32AA" w:rsidDel="008902F5">
        <w:t>implications for Australia</w:t>
      </w:r>
      <w:r w:rsidR="00BC05FF" w:rsidDel="008902F5">
        <w:t xml:space="preserve"> will</w:t>
      </w:r>
      <w:r w:rsidR="008902F5">
        <w:t xml:space="preserve"> be outlined.</w:t>
      </w:r>
      <w:r w:rsidR="00BC05FF">
        <w:t xml:space="preserve"> </w:t>
      </w:r>
      <w:r w:rsidR="002A32FA" w:rsidRPr="002A32FA">
        <w:t xml:space="preserve">For context, a brief summary </w:t>
      </w:r>
      <w:r w:rsidR="00EF59C4">
        <w:t>of</w:t>
      </w:r>
      <w:r w:rsidR="00EF59C4" w:rsidDel="004E2D57">
        <w:t xml:space="preserve"> </w:t>
      </w:r>
      <w:r w:rsidR="00B4797A">
        <w:t xml:space="preserve">Australia’s </w:t>
      </w:r>
      <w:r w:rsidR="52055D0B">
        <w:t>managed</w:t>
      </w:r>
      <w:r w:rsidR="00EF59C4">
        <w:t xml:space="preserve"> access arrangements </w:t>
      </w:r>
      <w:r w:rsidR="0B2A1AE6">
        <w:t>are identified</w:t>
      </w:r>
      <w:r w:rsidR="004373C5">
        <w:t xml:space="preserve">. </w:t>
      </w:r>
    </w:p>
    <w:p w14:paraId="21DA49C6" w14:textId="0DC77E10" w:rsidR="00DA4CEB" w:rsidRPr="00221992" w:rsidRDefault="00AE286E" w:rsidP="00543DD1">
      <w:pPr>
        <w:pStyle w:val="Heading4"/>
        <w:rPr>
          <w:lang w:val="en-GB"/>
        </w:rPr>
      </w:pPr>
      <w:bookmarkStart w:id="284" w:name="_Toc142742726"/>
      <w:bookmarkStart w:id="285" w:name="_Hlk153873118"/>
      <w:r w:rsidRPr="00221992">
        <w:rPr>
          <w:lang w:val="en-GB"/>
        </w:rPr>
        <w:t xml:space="preserve">Managed </w:t>
      </w:r>
      <w:r w:rsidR="00C401DD">
        <w:rPr>
          <w:lang w:val="en-GB"/>
        </w:rPr>
        <w:t>access</w:t>
      </w:r>
      <w:r w:rsidR="00C401DD" w:rsidRPr="00221992" w:rsidDel="00075913">
        <w:rPr>
          <w:lang w:val="en-GB"/>
        </w:rPr>
        <w:t xml:space="preserve"> </w:t>
      </w:r>
      <w:r w:rsidR="452969B9" w:rsidRPr="2A82867A">
        <w:rPr>
          <w:lang w:val="en-GB"/>
        </w:rPr>
        <w:t xml:space="preserve">arrangements </w:t>
      </w:r>
      <w:r w:rsidRPr="00221992">
        <w:rPr>
          <w:lang w:val="en-GB"/>
        </w:rPr>
        <w:t xml:space="preserve">in </w:t>
      </w:r>
      <w:r w:rsidR="00DA4CEB" w:rsidRPr="00221992">
        <w:rPr>
          <w:lang w:val="en-GB"/>
        </w:rPr>
        <w:t>Australia</w:t>
      </w:r>
      <w:bookmarkEnd w:id="284"/>
    </w:p>
    <w:p w14:paraId="28CC9E35" w14:textId="5E47CF9F" w:rsidR="00C331E3" w:rsidRDefault="2EF0567F" w:rsidP="141C2768">
      <w:pPr>
        <w:rPr>
          <w:lang w:val="en-GB"/>
        </w:rPr>
      </w:pPr>
      <w:r w:rsidRPr="5DCDFEE0">
        <w:rPr>
          <w:lang w:val="en-GB"/>
        </w:rPr>
        <w:t xml:space="preserve">Australia currently operates </w:t>
      </w:r>
      <w:r w:rsidR="003F7219">
        <w:rPr>
          <w:lang w:val="en-GB"/>
        </w:rPr>
        <w:t xml:space="preserve">several </w:t>
      </w:r>
      <w:r w:rsidR="7A623FA9" w:rsidRPr="5DCDFEE0">
        <w:rPr>
          <w:lang w:val="en-GB"/>
        </w:rPr>
        <w:t xml:space="preserve">early </w:t>
      </w:r>
      <w:r w:rsidR="32F807A7" w:rsidRPr="141C2768">
        <w:rPr>
          <w:lang w:val="en-GB"/>
        </w:rPr>
        <w:t xml:space="preserve">managed </w:t>
      </w:r>
      <w:r w:rsidR="7A623FA9" w:rsidRPr="5DCDFEE0">
        <w:rPr>
          <w:lang w:val="en-GB"/>
        </w:rPr>
        <w:t>access arrangements</w:t>
      </w:r>
      <w:r w:rsidR="18532C0D" w:rsidRPr="5DCDFEE0" w:rsidDel="6ACDAE0F">
        <w:rPr>
          <w:lang w:val="en-GB"/>
        </w:rPr>
        <w:t xml:space="preserve"> or pathways</w:t>
      </w:r>
      <w:r w:rsidR="009B50FA">
        <w:rPr>
          <w:lang w:val="en-GB"/>
        </w:rPr>
        <w:t>, including</w:t>
      </w:r>
      <w:r w:rsidR="03014F86" w:rsidRPr="5DCDFEE0">
        <w:rPr>
          <w:lang w:val="en-GB"/>
        </w:rPr>
        <w:t xml:space="preserve"> </w:t>
      </w:r>
      <w:r w:rsidR="00C401DD">
        <w:rPr>
          <w:lang w:val="en-GB"/>
        </w:rPr>
        <w:t xml:space="preserve">the </w:t>
      </w:r>
      <w:r w:rsidR="18532C0D" w:rsidRPr="5DCDFEE0" w:rsidDel="4768445E">
        <w:rPr>
          <w:lang w:val="en-GB"/>
        </w:rPr>
        <w:t>Managed Access Program (</w:t>
      </w:r>
      <w:r w:rsidR="4768445E" w:rsidRPr="5DCDFEE0">
        <w:rPr>
          <w:lang w:val="en-GB"/>
        </w:rPr>
        <w:t>MAP</w:t>
      </w:r>
      <w:r w:rsidR="18532C0D" w:rsidRPr="141C2768" w:rsidDel="18532C0D">
        <w:rPr>
          <w:lang w:val="en-GB"/>
        </w:rPr>
        <w:t>)</w:t>
      </w:r>
      <w:r w:rsidR="00957A02">
        <w:rPr>
          <w:lang w:val="en-GB"/>
        </w:rPr>
        <w:t xml:space="preserve"> </w:t>
      </w:r>
      <w:r w:rsidR="06F641CF" w:rsidRPr="5DCDFEE0">
        <w:rPr>
          <w:lang w:val="en-GB"/>
        </w:rPr>
        <w:t xml:space="preserve">to provide </w:t>
      </w:r>
      <w:r w:rsidR="175310D8" w:rsidRPr="5DCDFEE0">
        <w:rPr>
          <w:lang w:val="en-GB"/>
        </w:rPr>
        <w:t xml:space="preserve">access to products with a </w:t>
      </w:r>
      <w:r w:rsidR="175310D8" w:rsidRPr="00B5740B">
        <w:rPr>
          <w:lang w:val="en-GB"/>
        </w:rPr>
        <w:t>high unmet need</w:t>
      </w:r>
      <w:r w:rsidR="1C86D016" w:rsidRPr="141C2768">
        <w:rPr>
          <w:lang w:val="en-GB"/>
        </w:rPr>
        <w:t xml:space="preserve"> but </w:t>
      </w:r>
      <w:r w:rsidR="3A76D347" w:rsidRPr="6B8D136C">
        <w:rPr>
          <w:lang w:val="en-GB"/>
        </w:rPr>
        <w:t>which</w:t>
      </w:r>
      <w:r w:rsidR="2E08FBE8" w:rsidRPr="6B8D136C">
        <w:rPr>
          <w:lang w:val="en-GB"/>
        </w:rPr>
        <w:t xml:space="preserve"> </w:t>
      </w:r>
      <w:r w:rsidR="00B2308A">
        <w:rPr>
          <w:lang w:val="en-GB"/>
        </w:rPr>
        <w:t xml:space="preserve">have </w:t>
      </w:r>
      <w:r w:rsidR="1C86D016" w:rsidRPr="141C2768">
        <w:rPr>
          <w:lang w:val="en-GB"/>
        </w:rPr>
        <w:t xml:space="preserve">been </w:t>
      </w:r>
      <w:r w:rsidR="5ED4E5B0" w:rsidRPr="141C2768">
        <w:rPr>
          <w:lang w:val="en-GB"/>
        </w:rPr>
        <w:t>identified by the PBAC</w:t>
      </w:r>
      <w:r w:rsidR="5EED1EA6" w:rsidRPr="6B8D136C">
        <w:rPr>
          <w:lang w:val="en-GB"/>
        </w:rPr>
        <w:t xml:space="preserve">/MSAC </w:t>
      </w:r>
      <w:r w:rsidR="6F5AEF4D" w:rsidRPr="6B8D136C">
        <w:rPr>
          <w:lang w:val="en-GB"/>
        </w:rPr>
        <w:t xml:space="preserve"> </w:t>
      </w:r>
      <w:r w:rsidR="16714EE7" w:rsidRPr="6B8D136C">
        <w:rPr>
          <w:lang w:val="en-GB"/>
        </w:rPr>
        <w:t>(in usual processes)</w:t>
      </w:r>
      <w:r w:rsidR="5ED4E5B0" w:rsidRPr="141C2768">
        <w:rPr>
          <w:lang w:val="en-GB"/>
        </w:rPr>
        <w:t xml:space="preserve"> as </w:t>
      </w:r>
      <w:r w:rsidR="3E275849" w:rsidRPr="141C2768">
        <w:rPr>
          <w:lang w:val="en-GB"/>
        </w:rPr>
        <w:t xml:space="preserve">having </w:t>
      </w:r>
      <w:r w:rsidR="1C86D016" w:rsidRPr="00B5740B">
        <w:rPr>
          <w:rStyle w:val="normaltextrun"/>
          <w:rFonts w:cs="Calibri Light"/>
          <w:color w:val="000000" w:themeColor="text1"/>
        </w:rPr>
        <w:t>otherwise unacceptable clinical or economic uncertainty</w:t>
      </w:r>
      <w:r w:rsidR="00B2308A">
        <w:rPr>
          <w:rStyle w:val="normaltextrun"/>
          <w:rFonts w:cs="Calibri Light"/>
          <w:color w:val="000000" w:themeColor="text1"/>
        </w:rPr>
        <w:t>.</w:t>
      </w:r>
      <w:r w:rsidR="1BEA38CF" w:rsidRPr="6B8D136C">
        <w:rPr>
          <w:lang w:val="en-GB"/>
        </w:rPr>
        <w:t xml:space="preserve"> </w:t>
      </w:r>
      <w:bookmarkEnd w:id="285"/>
      <w:r w:rsidR="1BEA38CF" w:rsidRPr="6B8D136C">
        <w:rPr>
          <w:lang w:val="en-GB"/>
        </w:rPr>
        <w:t>A</w:t>
      </w:r>
      <w:r w:rsidR="06F5C37E" w:rsidRPr="6B8D136C">
        <w:rPr>
          <w:lang w:val="en-GB"/>
        </w:rPr>
        <w:t>dditionally</w:t>
      </w:r>
      <w:r w:rsidR="76EA7E06" w:rsidRPr="5DCDFEE0">
        <w:rPr>
          <w:lang w:val="en-GB"/>
        </w:rPr>
        <w:t>, PBAC and MSAC may recommend that specific products be subject to financial MEAs (</w:t>
      </w:r>
      <w:r w:rsidR="00C401DD">
        <w:rPr>
          <w:lang w:val="en-GB"/>
        </w:rPr>
        <w:t>including</w:t>
      </w:r>
      <w:r w:rsidR="76EA7E06" w:rsidRPr="5DCDFEE0">
        <w:rPr>
          <w:lang w:val="en-GB"/>
        </w:rPr>
        <w:t xml:space="preserve"> discounts, rebates, and volume/expenditure caps), or performance</w:t>
      </w:r>
      <w:r w:rsidR="18532C0D" w:rsidRPr="5DCDFEE0" w:rsidDel="76EA7E06">
        <w:rPr>
          <w:lang w:val="en-GB"/>
        </w:rPr>
        <w:t>-</w:t>
      </w:r>
      <w:r w:rsidR="76EA7E06" w:rsidRPr="5DCDFEE0">
        <w:rPr>
          <w:lang w:val="en-GB"/>
        </w:rPr>
        <w:t xml:space="preserve">based MEAs (typically </w:t>
      </w:r>
      <w:r w:rsidR="00C51B74">
        <w:rPr>
          <w:lang w:val="en-GB"/>
        </w:rPr>
        <w:t>CED</w:t>
      </w:r>
      <w:r w:rsidR="76EA7E06" w:rsidRPr="5DCDFEE0">
        <w:rPr>
          <w:lang w:val="en-GB"/>
        </w:rPr>
        <w:t xml:space="preserve"> or </w:t>
      </w:r>
      <w:r w:rsidR="00C51B74">
        <w:rPr>
          <w:lang w:val="en-GB"/>
        </w:rPr>
        <w:t>P</w:t>
      </w:r>
      <w:r w:rsidR="76EA7E06" w:rsidRPr="5DCDFEE0">
        <w:rPr>
          <w:lang w:val="en-GB"/>
        </w:rPr>
        <w:t>b</w:t>
      </w:r>
      <w:r w:rsidR="00C51B74">
        <w:rPr>
          <w:lang w:val="en-GB"/>
        </w:rPr>
        <w:t>R</w:t>
      </w:r>
      <w:r w:rsidR="76EA7E06" w:rsidRPr="5DCDFEE0">
        <w:rPr>
          <w:lang w:val="en-GB"/>
        </w:rPr>
        <w:t xml:space="preserve">), within a risk-share arrangement context. </w:t>
      </w:r>
      <w:r w:rsidR="53FDF117" w:rsidRPr="141C2768">
        <w:rPr>
          <w:lang w:val="en-GB"/>
        </w:rPr>
        <w:t xml:space="preserve">MEAs can </w:t>
      </w:r>
      <w:r w:rsidR="7A7DA029" w:rsidRPr="141C2768">
        <w:rPr>
          <w:lang w:val="en-GB"/>
        </w:rPr>
        <w:t xml:space="preserve">be considered within the usual PBAC/MSAC pathways and/or </w:t>
      </w:r>
      <w:r w:rsidR="53FDF117" w:rsidRPr="141C2768">
        <w:rPr>
          <w:lang w:val="en-GB"/>
        </w:rPr>
        <w:t>within the pathways of MAPs and</w:t>
      </w:r>
      <w:r w:rsidR="00B830A3">
        <w:rPr>
          <w:lang w:val="en-GB"/>
        </w:rPr>
        <w:t xml:space="preserve"> the</w:t>
      </w:r>
      <w:r w:rsidR="53FDF117" w:rsidRPr="141C2768">
        <w:rPr>
          <w:lang w:val="en-GB"/>
        </w:rPr>
        <w:t xml:space="preserve"> LDSP.</w:t>
      </w:r>
      <w:r w:rsidR="26885DC9" w:rsidRPr="141C2768">
        <w:rPr>
          <w:lang w:val="en-GB"/>
        </w:rPr>
        <w:t xml:space="preserve"> </w:t>
      </w:r>
      <w:r w:rsidR="00504D6A">
        <w:rPr>
          <w:lang w:val="en-GB"/>
        </w:rPr>
        <w:fldChar w:fldCharType="begin"/>
      </w:r>
      <w:r w:rsidR="00504D6A">
        <w:rPr>
          <w:lang w:val="en-GB"/>
        </w:rPr>
        <w:instrText xml:space="preserve"> REF _Ref149301887 \h </w:instrText>
      </w:r>
      <w:r w:rsidR="00504D6A">
        <w:rPr>
          <w:lang w:val="en-GB"/>
        </w:rPr>
      </w:r>
      <w:r w:rsidR="00504D6A">
        <w:rPr>
          <w:lang w:val="en-GB"/>
        </w:rPr>
        <w:fldChar w:fldCharType="separate"/>
      </w:r>
      <w:r w:rsidR="000E11E7">
        <w:t xml:space="preserve">Figure </w:t>
      </w:r>
      <w:r w:rsidR="000E11E7">
        <w:rPr>
          <w:noProof/>
        </w:rPr>
        <w:t>33</w:t>
      </w:r>
      <w:r w:rsidR="00504D6A">
        <w:rPr>
          <w:lang w:val="en-GB"/>
        </w:rPr>
        <w:fldChar w:fldCharType="end"/>
      </w:r>
      <w:r w:rsidR="00504D6A">
        <w:rPr>
          <w:lang w:val="en-GB"/>
        </w:rPr>
        <w:t xml:space="preserve"> </w:t>
      </w:r>
      <w:r w:rsidR="4BBEF369" w:rsidRPr="141C2768">
        <w:rPr>
          <w:lang w:val="en-GB"/>
        </w:rPr>
        <w:t xml:space="preserve">summarises these </w:t>
      </w:r>
      <w:r w:rsidR="4E045DED" w:rsidRPr="6B8D136C">
        <w:rPr>
          <w:lang w:val="en-GB"/>
        </w:rPr>
        <w:t>m</w:t>
      </w:r>
      <w:r w:rsidR="41970C69" w:rsidRPr="6B8D136C">
        <w:rPr>
          <w:lang w:val="en-GB"/>
        </w:rPr>
        <w:t>anaged</w:t>
      </w:r>
      <w:r w:rsidR="4BBEF369" w:rsidRPr="141C2768">
        <w:rPr>
          <w:lang w:val="en-GB"/>
        </w:rPr>
        <w:t xml:space="preserve"> access arrangements.</w:t>
      </w:r>
      <w:r w:rsidR="26885DC9" w:rsidRPr="141C2768">
        <w:rPr>
          <w:lang w:val="en-GB"/>
        </w:rPr>
        <w:t xml:space="preserve"> </w:t>
      </w:r>
      <w:r w:rsidR="58E44854" w:rsidRPr="141C2768">
        <w:rPr>
          <w:lang w:val="en-GB"/>
        </w:rPr>
        <w:t xml:space="preserve">The most current version of the </w:t>
      </w:r>
      <w:r w:rsidR="6510ADB3" w:rsidRPr="6B8D136C">
        <w:rPr>
          <w:lang w:val="en-GB"/>
        </w:rPr>
        <w:t>MAP</w:t>
      </w:r>
      <w:r w:rsidR="48DF2414" w:rsidRPr="6B8D136C">
        <w:rPr>
          <w:lang w:val="en-GB"/>
        </w:rPr>
        <w:t>s</w:t>
      </w:r>
      <w:r w:rsidR="58E44854" w:rsidRPr="141C2768">
        <w:rPr>
          <w:lang w:val="en-GB"/>
        </w:rPr>
        <w:t xml:space="preserve"> is set out on the PBS website</w:t>
      </w:r>
      <w:r w:rsidR="00A71763">
        <w:rPr>
          <w:lang w:val="en-GB"/>
        </w:rPr>
        <w:t xml:space="preserve"> and is defined below </w:t>
      </w:r>
      <w:r w:rsidR="18532C0D" w:rsidRPr="141C2768">
        <w:rPr>
          <w:lang w:val="en-GB"/>
        </w:rPr>
        <w:fldChar w:fldCharType="begin"/>
      </w:r>
      <w:r w:rsidR="00E5265C">
        <w:rPr>
          <w:lang w:val="en-GB"/>
        </w:rPr>
        <w:instrText xml:space="preserve"> ADDIN EN.CITE &lt;EndNote&gt;&lt;Cite&gt;&lt;Author&gt;Department of Health and Aged Care&lt;/Author&gt;&lt;Year&gt;2023&lt;/Year&gt;&lt;RecNum&gt;25905&lt;/RecNum&gt;&lt;DisplayText&gt;[263]&lt;/DisplayText&gt;&lt;record&gt;&lt;rec-number&gt;25905&lt;/rec-number&gt;&lt;foreign-keys&gt;&lt;key app="EN" db-id="wvwf2ewpevpr0oer0zmxwpzrwvev5pwf925p" timestamp="1693133858" guid="6c5a2dd7-6f83-47d9-a4fb-2681acd4f927"&gt;25905&lt;/key&gt;&lt;/foreign-keys&gt;&lt;ref-type name="Web Page"&gt;12&lt;/ref-type&gt;&lt;contributors&gt;&lt;authors&gt;&lt;author&gt;Department of Health and Aged Care,&lt;/author&gt;&lt;/authors&gt;&lt;/contributors&gt;&lt;titles&gt;&lt;title&gt;Preparation Of Additional Access Arrangements&lt;/title&gt;&lt;/titles&gt;&lt;number&gt;16 July 2023&lt;/number&gt;&lt;dates&gt;&lt;year&gt;2023&lt;/year&gt;&lt;/dates&gt;&lt;pub-location&gt;Canberra&lt;/pub-location&gt;&lt;publisher&gt;Australian Government, Department of Health and Aged Care&lt;/publisher&gt;&lt;urls&gt;&lt;related-urls&gt;&lt;url&gt;https://www.pbs.gov.au/pbs/industry/listing/procedure-guidance/8-procedures-positive-recommendation-list/8-7-preparation-of-additional-access-arrangements&lt;/url&gt;&lt;/related-urls&gt;&lt;/urls&gt;&lt;/record&gt;&lt;/Cite&gt;&lt;/EndNote&gt;</w:instrText>
      </w:r>
      <w:r w:rsidR="18532C0D" w:rsidRPr="141C2768">
        <w:rPr>
          <w:lang w:val="en-GB"/>
        </w:rPr>
        <w:fldChar w:fldCharType="separate"/>
      </w:r>
      <w:r w:rsidR="00E5265C">
        <w:rPr>
          <w:noProof/>
          <w:lang w:val="en-GB"/>
        </w:rPr>
        <w:t>[263]</w:t>
      </w:r>
      <w:r w:rsidR="18532C0D" w:rsidRPr="141C2768">
        <w:rPr>
          <w:lang w:val="en-GB"/>
        </w:rPr>
        <w:fldChar w:fldCharType="end"/>
      </w:r>
      <w:r w:rsidR="007911D5">
        <w:rPr>
          <w:lang w:val="en-GB"/>
        </w:rPr>
        <w:t xml:space="preserve">. MAPs </w:t>
      </w:r>
      <w:r w:rsidR="004908BD">
        <w:rPr>
          <w:lang w:val="en-GB"/>
        </w:rPr>
        <w:t>may</w:t>
      </w:r>
      <w:r w:rsidR="007911D5">
        <w:rPr>
          <w:lang w:val="en-GB"/>
        </w:rPr>
        <w:t xml:space="preserve"> apply to both PBAC and MSAC processes. </w:t>
      </w:r>
    </w:p>
    <w:p w14:paraId="5A192B2C" w14:textId="2563D0B0" w:rsidR="6B8D136C" w:rsidRDefault="00027550">
      <w:pPr>
        <w:pStyle w:val="Caption"/>
        <w:rPr>
          <w:lang w:val="en-GB"/>
        </w:rPr>
      </w:pPr>
      <w:bookmarkStart w:id="286" w:name="_Ref149301887"/>
      <w:bookmarkStart w:id="287" w:name="_Toc162950940"/>
      <w:r>
        <w:t xml:space="preserve">Figure </w:t>
      </w:r>
      <w:fldSimple w:instr=" SEQ Figure \* ARABIC ">
        <w:r w:rsidR="000E11E7">
          <w:rPr>
            <w:noProof/>
          </w:rPr>
          <w:t>33</w:t>
        </w:r>
      </w:fldSimple>
      <w:bookmarkEnd w:id="286"/>
      <w:r w:rsidR="00D533E3">
        <w:t>.</w:t>
      </w:r>
      <w:r>
        <w:t xml:space="preserve"> Managed access arrangements in Australia</w:t>
      </w:r>
      <w:bookmarkEnd w:id="287"/>
    </w:p>
    <w:p w14:paraId="6899F7D6" w14:textId="2C256C14" w:rsidR="66360924" w:rsidRDefault="538C033D" w:rsidP="40F6B0F1">
      <w:r>
        <w:rPr>
          <w:noProof/>
        </w:rPr>
        <w:drawing>
          <wp:inline distT="0" distB="0" distL="0" distR="0" wp14:anchorId="7552723E" wp14:editId="1471FEF0">
            <wp:extent cx="4819650" cy="3413919"/>
            <wp:effectExtent l="0" t="0" r="0" b="2540"/>
            <wp:docPr id="1092240334" name="Picture 1092240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extLst>
                        <a:ext uri="{28A0092B-C50C-407E-A947-70E740481C1C}">
                          <a14:useLocalDpi xmlns:a14="http://schemas.microsoft.com/office/drawing/2010/main" val="0"/>
                        </a:ext>
                      </a:extLst>
                    </a:blip>
                    <a:stretch>
                      <a:fillRect/>
                    </a:stretch>
                  </pic:blipFill>
                  <pic:spPr>
                    <a:xfrm>
                      <a:off x="0" y="0"/>
                      <a:ext cx="4851941" cy="3436792"/>
                    </a:xfrm>
                    <a:prstGeom prst="rect">
                      <a:avLst/>
                    </a:prstGeom>
                  </pic:spPr>
                </pic:pic>
              </a:graphicData>
            </a:graphic>
          </wp:inline>
        </w:drawing>
      </w:r>
    </w:p>
    <w:p w14:paraId="52AA974A" w14:textId="3E4B0377" w:rsidR="66360924" w:rsidRDefault="66360924" w:rsidP="00533CF1">
      <w:pPr>
        <w:pStyle w:val="TableNotes"/>
      </w:pPr>
      <w:r>
        <w:t xml:space="preserve">Source: </w:t>
      </w:r>
      <w:r w:rsidR="004908BD">
        <w:tab/>
      </w:r>
      <w:r w:rsidR="00C51B74">
        <w:t>D</w:t>
      </w:r>
      <w:r>
        <w:t>eveloped as part of the review.</w:t>
      </w:r>
    </w:p>
    <w:p w14:paraId="274CFEFC" w14:textId="16FBD39D" w:rsidR="66360924" w:rsidRDefault="00E94F62" w:rsidP="00533CF1">
      <w:pPr>
        <w:pStyle w:val="TableNotes"/>
      </w:pPr>
      <w:r>
        <w:t>Acronyms:</w:t>
      </w:r>
      <w:r>
        <w:tab/>
      </w:r>
      <w:r w:rsidR="66360924">
        <w:t>MAPs</w:t>
      </w:r>
      <w:r>
        <w:t xml:space="preserve"> </w:t>
      </w:r>
      <w:r w:rsidR="41778259">
        <w:t>=</w:t>
      </w:r>
      <w:r>
        <w:t xml:space="preserve"> </w:t>
      </w:r>
      <w:r w:rsidR="66360924">
        <w:t>Managed access program; MEA</w:t>
      </w:r>
      <w:r>
        <w:t xml:space="preserve"> </w:t>
      </w:r>
      <w:r w:rsidR="66360924">
        <w:t>= Managed entry agreement. HTA</w:t>
      </w:r>
      <w:r>
        <w:t xml:space="preserve"> </w:t>
      </w:r>
      <w:r w:rsidR="66360924">
        <w:t>= health technology assessm</w:t>
      </w:r>
      <w:r w:rsidR="0A419F78">
        <w:t xml:space="preserve">ent </w:t>
      </w:r>
    </w:p>
    <w:p w14:paraId="73960FD7" w14:textId="5ED0C219" w:rsidR="00DB6713" w:rsidRDefault="00E94F62" w:rsidP="00DB6713">
      <w:pPr>
        <w:rPr>
          <w:i/>
        </w:rPr>
      </w:pPr>
      <w:r>
        <w:t>Australia’s</w:t>
      </w:r>
      <w:r w:rsidR="002E34B6" w:rsidRPr="00E94F62">
        <w:t xml:space="preserve"> </w:t>
      </w:r>
      <w:r w:rsidR="00C51B74">
        <w:t xml:space="preserve">MAP </w:t>
      </w:r>
      <w:r w:rsidR="002E34B6" w:rsidRPr="00E94F62">
        <w:t>enables listing of products</w:t>
      </w:r>
      <w:r>
        <w:t xml:space="preserve"> on the PBS</w:t>
      </w:r>
      <w:r w:rsidR="002E34B6" w:rsidRPr="00E94F62">
        <w:t xml:space="preserve"> under special circumstances of high unmet clinical need, on terms that allow for the resolution of otherwise unacceptable clinical or economic uncertainty for the Pharmaceutical Benefits Advisory Committee (PBAC). It seeks to enhance the quality and strength of evidence provided to decision-makers in reimbursement applications.</w:t>
      </w:r>
      <w:r w:rsidR="002E34B6" w:rsidRPr="00E94F62">
        <w:rPr>
          <w:i/>
        </w:rPr>
        <w:t> </w:t>
      </w:r>
    </w:p>
    <w:p w14:paraId="745C1D0A" w14:textId="36D56ECD" w:rsidR="00DB6713" w:rsidRDefault="002E34B6" w:rsidP="00DB6713">
      <w:pPr>
        <w:rPr>
          <w:rFonts w:eastAsia="Calibri Light" w:cs="Calibri Light"/>
          <w:i/>
        </w:rPr>
      </w:pPr>
      <w:r w:rsidRPr="00DB6713">
        <w:rPr>
          <w:rFonts w:eastAsia="Calibri Light" w:cs="Calibri Light"/>
        </w:rPr>
        <w:t>Listing is in conjunction with, and linked to, the subsequent provision of more convincing evidence that is able to resolve specific existing areas of uncertainty as identified by the PBAC. The PBAC provides advice in relation to the initial sources of uncertainty and whether the evidence provided in the submission is sufficient to support initial listing under this program until a final review of the additional evidence is completed at a prede</w:t>
      </w:r>
      <w:r w:rsidR="006E3147">
        <w:rPr>
          <w:rFonts w:eastAsia="Calibri Light" w:cs="Calibri Light"/>
        </w:rPr>
        <w:t>termined</w:t>
      </w:r>
      <w:r w:rsidRPr="00DB6713">
        <w:rPr>
          <w:rFonts w:eastAsia="Calibri Light" w:cs="Calibri Light"/>
        </w:rPr>
        <w:t xml:space="preserve"> point in time.</w:t>
      </w:r>
      <w:r w:rsidRPr="00296BF7">
        <w:rPr>
          <w:rFonts w:eastAsia="Calibri Light" w:cs="Calibri Light"/>
          <w:i/>
        </w:rPr>
        <w:t> </w:t>
      </w:r>
    </w:p>
    <w:p w14:paraId="5A312CF1" w14:textId="2B28B1A1" w:rsidR="00DB6713" w:rsidRDefault="002E34B6" w:rsidP="00DB6713">
      <w:pPr>
        <w:rPr>
          <w:rFonts w:eastAsia="Calibri Light" w:cs="Calibri Light"/>
          <w:i/>
        </w:rPr>
      </w:pPr>
      <w:r w:rsidRPr="00DB6713">
        <w:rPr>
          <w:rFonts w:eastAsia="Calibri Light" w:cs="Calibri Light"/>
        </w:rPr>
        <w:t>As part of the MAP submission process, the PBAC consider</w:t>
      </w:r>
      <w:r w:rsidR="006E3147">
        <w:rPr>
          <w:rFonts w:eastAsia="Calibri Light" w:cs="Calibri Light"/>
        </w:rPr>
        <w:t>s</w:t>
      </w:r>
      <w:r w:rsidRPr="00DB6713">
        <w:rPr>
          <w:rFonts w:eastAsia="Calibri Light" w:cs="Calibri Light"/>
        </w:rPr>
        <w:t xml:space="preserve"> the usual clinical and economic evidence available at the time of the initial </w:t>
      </w:r>
      <w:r w:rsidR="009005D3">
        <w:rPr>
          <w:rFonts w:eastAsia="Calibri Light" w:cs="Calibri Light"/>
        </w:rPr>
        <w:t>application</w:t>
      </w:r>
      <w:r w:rsidRPr="00DB6713">
        <w:rPr>
          <w:rFonts w:eastAsia="Calibri Light" w:cs="Calibri Light"/>
        </w:rPr>
        <w:t>, and the additional information relevant to the provision of further evidence in a subsequent submission to the PBAC under the MAP framework.</w:t>
      </w:r>
      <w:r w:rsidRPr="00296BF7">
        <w:rPr>
          <w:rFonts w:eastAsia="Calibri Light" w:cs="Calibri Light"/>
          <w:i/>
        </w:rPr>
        <w:t> </w:t>
      </w:r>
    </w:p>
    <w:p w14:paraId="44832CF3" w14:textId="357CF276" w:rsidR="00DB6713" w:rsidRDefault="002E34B6" w:rsidP="00DB6713">
      <w:pPr>
        <w:rPr>
          <w:rFonts w:eastAsia="Calibri Light" w:cs="Calibri Light"/>
          <w:i/>
        </w:rPr>
      </w:pPr>
      <w:r w:rsidRPr="005F11E1">
        <w:rPr>
          <w:rFonts w:eastAsia="Calibri Light" w:cs="Calibri Light"/>
        </w:rPr>
        <w:t xml:space="preserve">In summary, a submission that would not normally be recommended for listing by the PBAC because of unacceptable clinical and/or economic uncertainty </w:t>
      </w:r>
      <w:r w:rsidR="009005D3">
        <w:rPr>
          <w:rFonts w:eastAsia="Calibri Light" w:cs="Calibri Light"/>
        </w:rPr>
        <w:t>may</w:t>
      </w:r>
      <w:r w:rsidR="009005D3" w:rsidRPr="005F11E1">
        <w:rPr>
          <w:rFonts w:eastAsia="Calibri Light" w:cs="Calibri Light"/>
        </w:rPr>
        <w:t xml:space="preserve"> </w:t>
      </w:r>
      <w:r w:rsidRPr="005F11E1">
        <w:rPr>
          <w:rFonts w:eastAsia="Calibri Light" w:cs="Calibri Light"/>
        </w:rPr>
        <w:t xml:space="preserve">be recommended under a MAP provided </w:t>
      </w:r>
      <w:r w:rsidR="009005D3">
        <w:rPr>
          <w:rFonts w:eastAsia="Calibri Light" w:cs="Calibri Light"/>
        </w:rPr>
        <w:t>its</w:t>
      </w:r>
      <w:r w:rsidRPr="005F11E1">
        <w:rPr>
          <w:rFonts w:eastAsia="Calibri Light" w:cs="Calibri Light"/>
        </w:rPr>
        <w:t xml:space="preserve"> parameters are met. This </w:t>
      </w:r>
      <w:r w:rsidR="005F11E1">
        <w:rPr>
          <w:rFonts w:eastAsia="Calibri Light" w:cs="Calibri Light"/>
        </w:rPr>
        <w:t>enables</w:t>
      </w:r>
      <w:r w:rsidRPr="005F11E1">
        <w:rPr>
          <w:rFonts w:eastAsia="Calibri Light" w:cs="Calibri Light"/>
        </w:rPr>
        <w:t>:</w:t>
      </w:r>
      <w:r w:rsidRPr="00296BF7">
        <w:rPr>
          <w:rFonts w:eastAsia="Calibri Light" w:cs="Calibri Light"/>
          <w:i/>
        </w:rPr>
        <w:t> </w:t>
      </w:r>
    </w:p>
    <w:p w14:paraId="163E6D51" w14:textId="77777777" w:rsidR="005F11E1" w:rsidRPr="005F11E1" w:rsidRDefault="005F11E1" w:rsidP="00957584">
      <w:pPr>
        <w:pStyle w:val="ListParagraph"/>
        <w:numPr>
          <w:ilvl w:val="0"/>
          <w:numId w:val="73"/>
        </w:numPr>
        <w:rPr>
          <w:rFonts w:eastAsia="Calibri Light"/>
        </w:rPr>
      </w:pPr>
      <w:r w:rsidRPr="005F11E1">
        <w:rPr>
          <w:rFonts w:eastAsia="Calibri Light"/>
        </w:rPr>
        <w:t xml:space="preserve">earlier access to the drugs by patients; </w:t>
      </w:r>
    </w:p>
    <w:p w14:paraId="73F47AD7" w14:textId="156E6645" w:rsidR="005F11E1" w:rsidRPr="005F11E1" w:rsidRDefault="005F11E1" w:rsidP="00957584">
      <w:pPr>
        <w:pStyle w:val="ListParagraph"/>
        <w:numPr>
          <w:ilvl w:val="0"/>
          <w:numId w:val="73"/>
        </w:numPr>
        <w:rPr>
          <w:rFonts w:eastAsia="Calibri Light"/>
        </w:rPr>
      </w:pPr>
      <w:r w:rsidRPr="005F11E1">
        <w:rPr>
          <w:rFonts w:eastAsia="Calibri Light"/>
        </w:rPr>
        <w:t xml:space="preserve">earlier access to a subsidised market for the sponsor whilst acknowledging that some form of confidential discount may be required in recognition that the initial evidence is </w:t>
      </w:r>
      <w:r w:rsidR="000F3AD7">
        <w:rPr>
          <w:rFonts w:eastAsia="Calibri Light"/>
        </w:rPr>
        <w:t>uncertain</w:t>
      </w:r>
      <w:r w:rsidRPr="005F11E1">
        <w:rPr>
          <w:rFonts w:eastAsia="Calibri Light"/>
        </w:rPr>
        <w:t xml:space="preserve">; </w:t>
      </w:r>
    </w:p>
    <w:p w14:paraId="05196FB6" w14:textId="77777777" w:rsidR="005F11E1" w:rsidRPr="005F11E1" w:rsidRDefault="005F11E1" w:rsidP="00957584">
      <w:pPr>
        <w:pStyle w:val="ListParagraph"/>
        <w:numPr>
          <w:ilvl w:val="0"/>
          <w:numId w:val="73"/>
        </w:numPr>
        <w:rPr>
          <w:rFonts w:eastAsia="Calibri Light"/>
        </w:rPr>
      </w:pPr>
      <w:r w:rsidRPr="005F11E1">
        <w:rPr>
          <w:rFonts w:eastAsia="Calibri Light"/>
        </w:rPr>
        <w:t xml:space="preserve">clear articulation of the evidence required to resolve the identified area of uncertainty and the consequences of potential outcomes from the additional evidence; </w:t>
      </w:r>
    </w:p>
    <w:p w14:paraId="3BDF5848" w14:textId="77777777" w:rsidR="005F11E1" w:rsidRPr="005F11E1" w:rsidRDefault="005F11E1" w:rsidP="00957584">
      <w:pPr>
        <w:pStyle w:val="ListParagraph"/>
        <w:numPr>
          <w:ilvl w:val="0"/>
          <w:numId w:val="73"/>
        </w:numPr>
        <w:rPr>
          <w:rFonts w:eastAsia="Calibri Light"/>
        </w:rPr>
      </w:pPr>
      <w:r w:rsidRPr="005F11E1">
        <w:rPr>
          <w:rFonts w:eastAsia="Calibri Light"/>
        </w:rPr>
        <w:t xml:space="preserve">agreement by the PBAC to review a submission once the additional evidence becomes available and to reconsider the listing in light of the new evidence; </w:t>
      </w:r>
    </w:p>
    <w:p w14:paraId="2B605ED6" w14:textId="024AA0B8" w:rsidR="00DB6713" w:rsidRPr="00DB6713" w:rsidRDefault="005F11E1" w:rsidP="00957584">
      <w:pPr>
        <w:pStyle w:val="ListParagraph"/>
        <w:numPr>
          <w:ilvl w:val="0"/>
          <w:numId w:val="73"/>
        </w:numPr>
        <w:rPr>
          <w:rFonts w:eastAsia="Calibri Light"/>
        </w:rPr>
      </w:pPr>
      <w:r w:rsidRPr="005F11E1">
        <w:rPr>
          <w:rFonts w:eastAsia="Calibri Light"/>
        </w:rPr>
        <w:t>appropriate sharing of risk.</w:t>
      </w:r>
    </w:p>
    <w:p w14:paraId="22DF1E6D" w14:textId="114AC416" w:rsidR="00DA4CEB" w:rsidRPr="00DB6713" w:rsidRDefault="00DE2A5C" w:rsidP="00DB6713">
      <w:pPr>
        <w:rPr>
          <w:i/>
          <w:color w:val="000000"/>
        </w:rPr>
      </w:pPr>
      <w:r w:rsidRPr="0FE10010" w:rsidDel="00C573A2">
        <w:rPr>
          <w:rFonts w:cs="Calibri Light"/>
          <w:lang w:val="en-GB"/>
        </w:rPr>
        <w:t>R</w:t>
      </w:r>
      <w:r w:rsidRPr="0FE10010">
        <w:rPr>
          <w:rFonts w:cs="Calibri Light"/>
          <w:lang w:val="en-GB"/>
        </w:rPr>
        <w:t>elative</w:t>
      </w:r>
      <w:r w:rsidR="00DA4CEB" w:rsidRPr="0FE10010">
        <w:rPr>
          <w:rFonts w:cs="Calibri Light"/>
          <w:lang w:val="en-GB"/>
        </w:rPr>
        <w:t xml:space="preserve"> </w:t>
      </w:r>
      <w:r w:rsidR="00DA4CEB">
        <w:t xml:space="preserve">to other </w:t>
      </w:r>
      <w:r>
        <w:t xml:space="preserve">national </w:t>
      </w:r>
      <w:r w:rsidR="00DA4CEB">
        <w:t xml:space="preserve">jurisdictions, uptake </w:t>
      </w:r>
      <w:r w:rsidR="00DA4CEB" w:rsidDel="00436C9F">
        <w:t xml:space="preserve">of </w:t>
      </w:r>
      <w:r w:rsidR="00DA4CEB">
        <w:t>MEA</w:t>
      </w:r>
      <w:r>
        <w:t xml:space="preserve">s </w:t>
      </w:r>
      <w:r w:rsidR="005F11E1">
        <w:t>through</w:t>
      </w:r>
      <w:r w:rsidR="00A61728">
        <w:t xml:space="preserve"> Australia’s</w:t>
      </w:r>
      <w:r w:rsidR="2CD1B2B8">
        <w:t xml:space="preserve"> </w:t>
      </w:r>
      <w:r w:rsidR="2CD1B2B8" w:rsidRPr="0FE10010">
        <w:rPr>
          <w:rFonts w:cs="Calibri Light"/>
          <w:lang w:val="en-GB"/>
        </w:rPr>
        <w:t>MAP</w:t>
      </w:r>
      <w:r w:rsidR="00DA4CEB">
        <w:t xml:space="preserve"> </w:t>
      </w:r>
      <w:r w:rsidR="00A61728">
        <w:rPr>
          <w:rFonts w:cs="Calibri Light"/>
          <w:lang w:val="en-GB"/>
        </w:rPr>
        <w:t>has</w:t>
      </w:r>
      <w:r w:rsidRPr="00735917">
        <w:rPr>
          <w:rFonts w:cs="Calibri Light"/>
          <w:lang w:val="en-GB"/>
        </w:rPr>
        <w:t xml:space="preserve"> been low</w:t>
      </w:r>
      <w:r w:rsidR="00DA4CEB" w:rsidRPr="00735917">
        <w:rPr>
          <w:rFonts w:cs="Calibri Light"/>
          <w:lang w:val="en-GB"/>
        </w:rPr>
        <w:t>, possibly due to:</w:t>
      </w:r>
    </w:p>
    <w:p w14:paraId="649F09E5" w14:textId="01F3EAE8" w:rsidR="00DA4CEB" w:rsidRPr="00505C4E" w:rsidRDefault="00DA4CEB" w:rsidP="00957584">
      <w:pPr>
        <w:pStyle w:val="ListParagraph"/>
        <w:numPr>
          <w:ilvl w:val="0"/>
          <w:numId w:val="41"/>
        </w:numPr>
        <w:rPr>
          <w:lang w:val="en-GB"/>
        </w:rPr>
      </w:pPr>
      <w:r w:rsidRPr="00505C4E">
        <w:rPr>
          <w:lang w:val="en-GB"/>
        </w:rPr>
        <w:t>administrative burden associated with monitoring, data collection and analysis</w:t>
      </w:r>
      <w:r w:rsidR="00DE2A5C" w:rsidRPr="00505C4E">
        <w:rPr>
          <w:lang w:val="en-GB"/>
        </w:rPr>
        <w:t>,</w:t>
      </w:r>
      <w:r w:rsidRPr="00505C4E">
        <w:rPr>
          <w:lang w:val="en-GB"/>
        </w:rPr>
        <w:t xml:space="preserve"> </w:t>
      </w:r>
      <w:r w:rsidR="00DE2A5C" w:rsidRPr="00505C4E">
        <w:rPr>
          <w:lang w:val="en-GB"/>
        </w:rPr>
        <w:t>and review</w:t>
      </w:r>
      <w:r w:rsidRPr="00505C4E">
        <w:rPr>
          <w:lang w:val="en-GB"/>
        </w:rPr>
        <w:t>;</w:t>
      </w:r>
    </w:p>
    <w:p w14:paraId="444B8F47" w14:textId="506AE5F4" w:rsidR="00DA4CEB" w:rsidRPr="00505C4E" w:rsidRDefault="00DA4CEB" w:rsidP="00957584">
      <w:pPr>
        <w:pStyle w:val="ListParagraph"/>
        <w:numPr>
          <w:ilvl w:val="0"/>
          <w:numId w:val="41"/>
        </w:numPr>
        <w:rPr>
          <w:lang w:val="en-GB"/>
        </w:rPr>
      </w:pPr>
      <w:r w:rsidRPr="00505C4E">
        <w:rPr>
          <w:lang w:val="en-GB"/>
        </w:rPr>
        <w:t xml:space="preserve">lack of </w:t>
      </w:r>
      <w:r w:rsidR="00DE2A5C" w:rsidRPr="00505C4E">
        <w:rPr>
          <w:lang w:val="en-GB"/>
        </w:rPr>
        <w:t xml:space="preserve">nationally </w:t>
      </w:r>
      <w:r w:rsidRPr="00505C4E">
        <w:rPr>
          <w:lang w:val="en-GB"/>
        </w:rPr>
        <w:t xml:space="preserve">consistent </w:t>
      </w:r>
      <w:r w:rsidR="00DE2A5C" w:rsidRPr="00505C4E">
        <w:rPr>
          <w:lang w:val="en-GB"/>
        </w:rPr>
        <w:t xml:space="preserve">governance and </w:t>
      </w:r>
      <w:r w:rsidRPr="00505C4E">
        <w:rPr>
          <w:lang w:val="en-GB"/>
        </w:rPr>
        <w:t xml:space="preserve">administrative </w:t>
      </w:r>
      <w:r w:rsidR="00DE2A5C" w:rsidRPr="00505C4E">
        <w:rPr>
          <w:lang w:val="en-GB"/>
        </w:rPr>
        <w:t xml:space="preserve">arrangements, </w:t>
      </w:r>
      <w:r w:rsidRPr="00505C4E">
        <w:rPr>
          <w:lang w:val="en-GB"/>
        </w:rPr>
        <w:t xml:space="preserve">and </w:t>
      </w:r>
      <w:r w:rsidR="00DE2A5C" w:rsidRPr="00505C4E">
        <w:rPr>
          <w:lang w:val="en-GB"/>
        </w:rPr>
        <w:t>requisite information technology infrastructure</w:t>
      </w:r>
      <w:r w:rsidRPr="00505C4E">
        <w:rPr>
          <w:lang w:val="en-GB"/>
        </w:rPr>
        <w:t xml:space="preserve"> to support ongoing monitoring as set out in the MEA; </w:t>
      </w:r>
    </w:p>
    <w:p w14:paraId="056FE791" w14:textId="5DA649CE" w:rsidR="00DA4CEB" w:rsidRPr="00505C4E" w:rsidRDefault="00DA4CEB" w:rsidP="00957584">
      <w:pPr>
        <w:pStyle w:val="ListParagraph"/>
        <w:numPr>
          <w:ilvl w:val="0"/>
          <w:numId w:val="41"/>
        </w:numPr>
        <w:rPr>
          <w:lang w:val="en-GB"/>
        </w:rPr>
      </w:pPr>
      <w:r w:rsidRPr="00505C4E">
        <w:rPr>
          <w:lang w:val="en-GB"/>
        </w:rPr>
        <w:t xml:space="preserve">perceived risk associated with future changes </w:t>
      </w:r>
      <w:r w:rsidR="00DE2A5C" w:rsidRPr="00505C4E">
        <w:rPr>
          <w:lang w:val="en-GB"/>
        </w:rPr>
        <w:t>to</w:t>
      </w:r>
      <w:r w:rsidRPr="00505C4E">
        <w:rPr>
          <w:lang w:val="en-GB"/>
        </w:rPr>
        <w:t xml:space="preserve"> the PBS listing due to change</w:t>
      </w:r>
      <w:r w:rsidR="00DE2A5C" w:rsidRPr="00505C4E">
        <w:rPr>
          <w:lang w:val="en-GB"/>
        </w:rPr>
        <w:t>d</w:t>
      </w:r>
      <w:r w:rsidRPr="00505C4E">
        <w:rPr>
          <w:lang w:val="en-GB"/>
        </w:rPr>
        <w:t xml:space="preserve"> HTA outcome</w:t>
      </w:r>
      <w:r w:rsidR="00DE2A5C" w:rsidRPr="00505C4E">
        <w:rPr>
          <w:lang w:val="en-GB"/>
        </w:rPr>
        <w:t>s</w:t>
      </w:r>
      <w:r w:rsidRPr="00505C4E">
        <w:rPr>
          <w:lang w:val="en-GB"/>
        </w:rPr>
        <w:t xml:space="preserve"> </w:t>
      </w:r>
      <w:r w:rsidR="00DE2A5C" w:rsidRPr="00505C4E">
        <w:rPr>
          <w:lang w:val="en-GB"/>
        </w:rPr>
        <w:t xml:space="preserve">upon </w:t>
      </w:r>
      <w:r w:rsidRPr="00505C4E">
        <w:rPr>
          <w:lang w:val="en-GB"/>
        </w:rPr>
        <w:t xml:space="preserve">review, especially as </w:t>
      </w:r>
      <w:r w:rsidR="00DE2A5C" w:rsidRPr="00505C4E">
        <w:rPr>
          <w:lang w:val="en-GB"/>
        </w:rPr>
        <w:t>early and managed access arrangements</w:t>
      </w:r>
      <w:r w:rsidRPr="00505C4E">
        <w:rPr>
          <w:lang w:val="en-GB"/>
        </w:rPr>
        <w:t xml:space="preserve"> do not have clear </w:t>
      </w:r>
      <w:r w:rsidR="00551786" w:rsidRPr="00505C4E">
        <w:rPr>
          <w:lang w:val="en-GB"/>
        </w:rPr>
        <w:t>‘</w:t>
      </w:r>
      <w:r w:rsidRPr="00505C4E">
        <w:rPr>
          <w:lang w:val="en-GB"/>
        </w:rPr>
        <w:t>interim</w:t>
      </w:r>
      <w:r w:rsidR="00551786" w:rsidRPr="00505C4E">
        <w:rPr>
          <w:lang w:val="en-GB"/>
        </w:rPr>
        <w:t>’</w:t>
      </w:r>
      <w:r w:rsidRPr="00505C4E">
        <w:rPr>
          <w:lang w:val="en-GB"/>
        </w:rPr>
        <w:t xml:space="preserve"> status in legislation</w:t>
      </w:r>
      <w:r w:rsidR="00DE2A5C" w:rsidRPr="00505C4E">
        <w:rPr>
          <w:lang w:val="en-GB"/>
        </w:rPr>
        <w:t>;</w:t>
      </w:r>
      <w:r w:rsidRPr="00505C4E">
        <w:rPr>
          <w:lang w:val="en-GB"/>
        </w:rPr>
        <w:t xml:space="preserve"> </w:t>
      </w:r>
    </w:p>
    <w:p w14:paraId="1508A302" w14:textId="762A0837" w:rsidR="00DA4CEB" w:rsidRPr="00505C4E" w:rsidRDefault="00DE2A5C" w:rsidP="00957584">
      <w:pPr>
        <w:pStyle w:val="ListParagraph"/>
        <w:numPr>
          <w:ilvl w:val="0"/>
          <w:numId w:val="41"/>
        </w:numPr>
        <w:rPr>
          <w:lang w:val="en-GB"/>
        </w:rPr>
      </w:pPr>
      <w:r w:rsidRPr="00505C4E">
        <w:rPr>
          <w:lang w:val="en-GB"/>
        </w:rPr>
        <w:t>l</w:t>
      </w:r>
      <w:r w:rsidR="00DA4CEB" w:rsidRPr="00505C4E">
        <w:rPr>
          <w:lang w:val="en-GB"/>
        </w:rPr>
        <w:t>ack of clear exit strategies for disinvestment in cases where medicines do not meet clinical and/or cost</w:t>
      </w:r>
      <w:r w:rsidRPr="00505C4E">
        <w:rPr>
          <w:lang w:val="en-GB"/>
        </w:rPr>
        <w:t>-</w:t>
      </w:r>
      <w:r w:rsidR="00DA4CEB" w:rsidRPr="00505C4E">
        <w:rPr>
          <w:lang w:val="en-GB"/>
        </w:rPr>
        <w:t xml:space="preserve">effectiveness outcomes </w:t>
      </w:r>
      <w:r w:rsidRPr="00505C4E">
        <w:rPr>
          <w:lang w:val="en-GB"/>
        </w:rPr>
        <w:t>upon review</w:t>
      </w:r>
      <w:r w:rsidR="00DA4CEB" w:rsidRPr="00505C4E">
        <w:rPr>
          <w:lang w:val="en-GB"/>
        </w:rPr>
        <w:t xml:space="preserve"> (</w:t>
      </w:r>
      <w:r w:rsidRPr="00505C4E">
        <w:rPr>
          <w:lang w:val="en-GB"/>
        </w:rPr>
        <w:t xml:space="preserve">a </w:t>
      </w:r>
      <w:r w:rsidR="00DA4CEB" w:rsidRPr="00505C4E">
        <w:rPr>
          <w:lang w:val="en-GB"/>
        </w:rPr>
        <w:t xml:space="preserve">risk </w:t>
      </w:r>
      <w:r w:rsidRPr="00505C4E">
        <w:rPr>
          <w:lang w:val="en-GB"/>
        </w:rPr>
        <w:t>to</w:t>
      </w:r>
      <w:r w:rsidR="00DA4CEB" w:rsidRPr="00505C4E">
        <w:rPr>
          <w:lang w:val="en-GB"/>
        </w:rPr>
        <w:t xml:space="preserve"> both payer and sponsor).</w:t>
      </w:r>
    </w:p>
    <w:p w14:paraId="69103F12" w14:textId="4D277192" w:rsidR="009A6233" w:rsidRPr="00221992" w:rsidRDefault="008A7A68" w:rsidP="009A6233">
      <w:pPr>
        <w:rPr>
          <w:b/>
          <w:lang w:val="en-GB"/>
        </w:rPr>
      </w:pPr>
      <w:r w:rsidRPr="00221992">
        <w:rPr>
          <w:lang w:val="en-GB"/>
        </w:rPr>
        <w:t xml:space="preserve">However, barriers </w:t>
      </w:r>
      <w:r w:rsidR="009A6233" w:rsidRPr="00221992">
        <w:rPr>
          <w:lang w:val="en-GB"/>
        </w:rPr>
        <w:t xml:space="preserve">identified in the Australian context </w:t>
      </w:r>
      <w:r w:rsidR="00A61728">
        <w:rPr>
          <w:lang w:val="en-GB"/>
        </w:rPr>
        <w:t xml:space="preserve">generally </w:t>
      </w:r>
      <w:r w:rsidR="00A8522F">
        <w:rPr>
          <w:lang w:val="en-GB"/>
        </w:rPr>
        <w:t xml:space="preserve">appear to be </w:t>
      </w:r>
      <w:r w:rsidRPr="00221992">
        <w:rPr>
          <w:lang w:val="en-GB"/>
        </w:rPr>
        <w:t xml:space="preserve">consistent with the </w:t>
      </w:r>
      <w:r w:rsidR="009A6233" w:rsidRPr="00221992">
        <w:rPr>
          <w:lang w:val="en-GB"/>
        </w:rPr>
        <w:t>those</w:t>
      </w:r>
      <w:r w:rsidRPr="00221992">
        <w:rPr>
          <w:lang w:val="en-GB"/>
        </w:rPr>
        <w:t xml:space="preserve"> identified for MEAs</w:t>
      </w:r>
      <w:r w:rsidR="009A6233" w:rsidRPr="00221992">
        <w:rPr>
          <w:lang w:val="en-GB"/>
        </w:rPr>
        <w:t xml:space="preserve"> internationally, which offer a few </w:t>
      </w:r>
      <w:r w:rsidR="00D46D4B" w:rsidRPr="00221992">
        <w:rPr>
          <w:lang w:val="en-GB"/>
        </w:rPr>
        <w:t>key takeaways:</w:t>
      </w:r>
    </w:p>
    <w:p w14:paraId="3184E854" w14:textId="1A62014A" w:rsidR="009A6233" w:rsidRPr="00221992" w:rsidRDefault="00CC2194" w:rsidP="00957584">
      <w:pPr>
        <w:pStyle w:val="ListParagraph"/>
        <w:numPr>
          <w:ilvl w:val="0"/>
          <w:numId w:val="57"/>
        </w:numPr>
        <w:rPr>
          <w:b/>
          <w:lang w:val="en-GB"/>
        </w:rPr>
      </w:pPr>
      <w:r w:rsidRPr="00221992">
        <w:rPr>
          <w:lang w:val="en-GB"/>
        </w:rPr>
        <w:t xml:space="preserve">Appropriateness of </w:t>
      </w:r>
      <w:r w:rsidR="00661F62">
        <w:rPr>
          <w:lang w:val="en-GB"/>
        </w:rPr>
        <w:t>performance-based MEAs</w:t>
      </w:r>
      <w:r w:rsidR="009A6233" w:rsidRPr="00221992">
        <w:rPr>
          <w:lang w:val="en-GB"/>
        </w:rPr>
        <w:t xml:space="preserve">: To </w:t>
      </w:r>
      <w:r w:rsidR="00F77637" w:rsidRPr="00221992">
        <w:rPr>
          <w:lang w:val="en-GB"/>
        </w:rPr>
        <w:t xml:space="preserve">address the identified limitations of </w:t>
      </w:r>
      <w:r w:rsidRPr="00221992">
        <w:rPr>
          <w:lang w:val="en-GB"/>
        </w:rPr>
        <w:t>performance</w:t>
      </w:r>
      <w:r w:rsidR="00EB5064">
        <w:rPr>
          <w:lang w:val="en-GB"/>
        </w:rPr>
        <w:t>-based</w:t>
      </w:r>
      <w:r w:rsidR="00F77637" w:rsidRPr="00221992">
        <w:rPr>
          <w:lang w:val="en-GB"/>
        </w:rPr>
        <w:t xml:space="preserve"> </w:t>
      </w:r>
      <w:r w:rsidR="00EC1B9D" w:rsidRPr="00221992">
        <w:rPr>
          <w:lang w:val="en-GB"/>
        </w:rPr>
        <w:t>MEAs</w:t>
      </w:r>
      <w:r w:rsidRPr="00221992">
        <w:rPr>
          <w:lang w:val="en-GB"/>
        </w:rPr>
        <w:t xml:space="preserve"> requires </w:t>
      </w:r>
      <w:r w:rsidR="00F16C35" w:rsidRPr="00221992">
        <w:rPr>
          <w:lang w:val="en-GB"/>
        </w:rPr>
        <w:t xml:space="preserve">the </w:t>
      </w:r>
      <w:r w:rsidRPr="00221992">
        <w:rPr>
          <w:lang w:val="en-GB"/>
        </w:rPr>
        <w:t>develop</w:t>
      </w:r>
      <w:r w:rsidR="00F16C35" w:rsidRPr="00221992">
        <w:rPr>
          <w:lang w:val="en-GB"/>
        </w:rPr>
        <w:t>ment of</w:t>
      </w:r>
      <w:r w:rsidRPr="00221992">
        <w:rPr>
          <w:lang w:val="en-GB"/>
        </w:rPr>
        <w:t xml:space="preserve"> an overarching strategy and clear guidelines to determine when to use such agreements</w:t>
      </w:r>
      <w:r w:rsidR="00F16C35" w:rsidRPr="00221992">
        <w:rPr>
          <w:lang w:val="en-GB"/>
        </w:rPr>
        <w:t>. This could be</w:t>
      </w:r>
      <w:r w:rsidRPr="00221992">
        <w:rPr>
          <w:lang w:val="en-GB"/>
        </w:rPr>
        <w:t xml:space="preserve"> </w:t>
      </w:r>
      <w:r w:rsidR="009A6233" w:rsidRPr="00221992">
        <w:rPr>
          <w:lang w:val="en-GB"/>
        </w:rPr>
        <w:t>supported by collaborative</w:t>
      </w:r>
      <w:r w:rsidR="00BE3D5B" w:rsidRPr="00221992">
        <w:rPr>
          <w:lang w:val="en-GB"/>
        </w:rPr>
        <w:t xml:space="preserve"> horizon scanning to </w:t>
      </w:r>
      <w:r w:rsidRPr="00221992">
        <w:rPr>
          <w:lang w:val="en-GB"/>
        </w:rPr>
        <w:t xml:space="preserve">consider factors like </w:t>
      </w:r>
      <w:r w:rsidR="00BE3D5B" w:rsidRPr="00221992">
        <w:rPr>
          <w:lang w:val="en-GB"/>
        </w:rPr>
        <w:t xml:space="preserve">barriers to market access and </w:t>
      </w:r>
      <w:r w:rsidRPr="00221992">
        <w:rPr>
          <w:lang w:val="en-GB"/>
        </w:rPr>
        <w:t>potential competition. Balancing the need to address uncertainties with avoiding impediments to market competition is essential.</w:t>
      </w:r>
      <w:r w:rsidR="00120E76" w:rsidRPr="00221992">
        <w:rPr>
          <w:b/>
          <w:lang w:val="en-GB"/>
        </w:rPr>
        <w:t xml:space="preserve"> </w:t>
      </w:r>
      <w:r w:rsidR="00BE3D5B" w:rsidRPr="00221992">
        <w:rPr>
          <w:lang w:val="en-GB"/>
        </w:rPr>
        <w:t xml:space="preserve">A possible framework has been suggested, for example, by NICE in </w:t>
      </w:r>
      <w:r w:rsidR="00E93AD5" w:rsidRPr="00221992">
        <w:rPr>
          <w:lang w:val="en-GB"/>
        </w:rPr>
        <w:t>England/Wales</w:t>
      </w:r>
      <w:r w:rsidR="00BE3D5B" w:rsidRPr="00221992">
        <w:rPr>
          <w:lang w:val="en-GB"/>
        </w:rPr>
        <w:t xml:space="preserve"> </w:t>
      </w:r>
      <w:r w:rsidRPr="00221992">
        <w:rPr>
          <w:lang w:val="en-GB"/>
        </w:rPr>
        <w:fldChar w:fldCharType="begin">
          <w:fldData xml:space="preserve">PEVuZE5vdGU+PENpdGU+PEF1dGhvcj5HcmltbTwvQXV0aG9yPjxZZWFyPjIwMjE8L1llYXI+PFJl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</w:fldData>
        </w:fldChar>
      </w:r>
      <w:r w:rsidR="00E5265C">
        <w:rPr>
          <w:lang w:val="en-GB"/>
        </w:rPr>
        <w:instrText xml:space="preserve"> ADDIN EN.CITE </w:instrText>
      </w:r>
      <w:r w:rsidR="00E5265C">
        <w:rPr>
          <w:lang w:val="en-GB"/>
        </w:rPr>
        <w:fldChar w:fldCharType="begin">
          <w:fldData xml:space="preserve">PEVuZE5vdGU+PENpdGU+PEF1dGhvcj5HcmltbTwvQXV0aG9yPjxZZWFyPjIwMjE8L1llYXI+PFJl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</w:fldData>
        </w:fldChar>
      </w:r>
      <w:r w:rsidR="00E5265C">
        <w:rPr>
          <w:lang w:val="en-GB"/>
        </w:rPr>
        <w:instrText xml:space="preserve"> ADDIN EN.CITE.DATA </w:instrText>
      </w:r>
      <w:r w:rsidR="00E5265C">
        <w:rPr>
          <w:lang w:val="en-GB"/>
        </w:rPr>
      </w:r>
      <w:r w:rsidR="00E5265C">
        <w:rPr>
          <w:lang w:val="en-GB"/>
        </w:rPr>
        <w:fldChar w:fldCharType="end"/>
      </w:r>
      <w:r w:rsidRPr="00221992">
        <w:rPr>
          <w:lang w:val="en-GB"/>
        </w:rPr>
      </w:r>
      <w:r w:rsidRPr="00221992">
        <w:rPr>
          <w:lang w:val="en-GB"/>
        </w:rPr>
        <w:fldChar w:fldCharType="separate"/>
      </w:r>
      <w:r w:rsidR="00E5265C">
        <w:rPr>
          <w:noProof/>
          <w:lang w:val="en-GB"/>
        </w:rPr>
        <w:t>[287-289]</w:t>
      </w:r>
      <w:r w:rsidRPr="00221992">
        <w:rPr>
          <w:lang w:val="en-GB"/>
        </w:rPr>
        <w:fldChar w:fldCharType="end"/>
      </w:r>
      <w:r w:rsidR="00BE3D5B" w:rsidRPr="00221992">
        <w:rPr>
          <w:lang w:val="en-GB"/>
        </w:rPr>
        <w:t xml:space="preserve"> which includes</w:t>
      </w:r>
      <w:r w:rsidR="008A6310">
        <w:rPr>
          <w:lang w:val="en-GB"/>
        </w:rPr>
        <w:t xml:space="preserve"> </w:t>
      </w:r>
      <w:r w:rsidR="00BE3D5B" w:rsidRPr="00221992">
        <w:rPr>
          <w:lang w:val="en-GB"/>
        </w:rPr>
        <w:t xml:space="preserve">utilising a value of information framework to guide decision-making, comparing the incremental value of information gained through the agreement with the costs of negotiation and execution. It is crucial to assess uncertainties that may lead to incorrect coverage decisions without MEAs and integrate the decision within the </w:t>
      </w:r>
      <w:r w:rsidR="00A5028B" w:rsidRPr="00221992">
        <w:rPr>
          <w:lang w:val="en-GB"/>
        </w:rPr>
        <w:t>HTA</w:t>
      </w:r>
      <w:r w:rsidR="00BE3D5B" w:rsidRPr="00221992">
        <w:rPr>
          <w:lang w:val="en-GB"/>
        </w:rPr>
        <w:t xml:space="preserve"> process. Guidelines and decision trees can help determine the suitability of MEAs by considering factors such as unmet medical need, disruptive technologies, limited data availability, and the urgency to provide access.</w:t>
      </w:r>
    </w:p>
    <w:p w14:paraId="087B1132" w14:textId="500D204D" w:rsidR="0065535A" w:rsidRDefault="00293C84" w:rsidP="00957584">
      <w:pPr>
        <w:pStyle w:val="ListParagraph"/>
        <w:numPr>
          <w:ilvl w:val="0"/>
          <w:numId w:val="57"/>
        </w:numPr>
        <w:rPr>
          <w:lang w:val="en-GB"/>
        </w:rPr>
      </w:pPr>
      <w:r w:rsidRPr="00221992">
        <w:rPr>
          <w:lang w:val="en-GB"/>
        </w:rPr>
        <w:t xml:space="preserve">Process </w:t>
      </w:r>
      <w:r w:rsidR="009A6233" w:rsidRPr="00221992">
        <w:rPr>
          <w:lang w:val="en-GB"/>
        </w:rPr>
        <w:t>g</w:t>
      </w:r>
      <w:r w:rsidR="00A14AFC" w:rsidRPr="00221992">
        <w:rPr>
          <w:lang w:val="en-GB"/>
        </w:rPr>
        <w:t>overnance</w:t>
      </w:r>
      <w:r w:rsidRPr="00221992">
        <w:rPr>
          <w:lang w:val="en-GB"/>
        </w:rPr>
        <w:t xml:space="preserve"> and transparency</w:t>
      </w:r>
      <w:r w:rsidR="009A6233" w:rsidRPr="00221992">
        <w:rPr>
          <w:lang w:val="en-GB"/>
        </w:rPr>
        <w:t xml:space="preserve">: </w:t>
      </w:r>
      <w:r w:rsidRPr="00221992">
        <w:rPr>
          <w:lang w:val="en-GB"/>
        </w:rPr>
        <w:t xml:space="preserve">A robust governance framework is essential to ensure transparency in the </w:t>
      </w:r>
      <w:r w:rsidR="00B20CCB" w:rsidRPr="00221992">
        <w:rPr>
          <w:lang w:val="en-GB"/>
        </w:rPr>
        <w:t>managed entry</w:t>
      </w:r>
      <w:r w:rsidR="00BC72BC" w:rsidRPr="00221992">
        <w:rPr>
          <w:lang w:val="en-GB"/>
        </w:rPr>
        <w:t xml:space="preserve"> </w:t>
      </w:r>
      <w:r w:rsidRPr="00221992">
        <w:rPr>
          <w:lang w:val="en-GB"/>
        </w:rPr>
        <w:t xml:space="preserve">process and enable effective action </w:t>
      </w:r>
      <w:r w:rsidR="00BC72BC" w:rsidRPr="00221992">
        <w:rPr>
          <w:lang w:val="en-GB"/>
        </w:rPr>
        <w:t xml:space="preserve">(e.g., </w:t>
      </w:r>
      <w:r w:rsidRPr="00221992">
        <w:rPr>
          <w:lang w:val="en-GB"/>
        </w:rPr>
        <w:t>based on the results</w:t>
      </w:r>
      <w:r w:rsidR="00BC72BC" w:rsidRPr="00221992">
        <w:rPr>
          <w:lang w:val="en-GB"/>
        </w:rPr>
        <w:t xml:space="preserve"> </w:t>
      </w:r>
      <w:r w:rsidRPr="00221992">
        <w:rPr>
          <w:lang w:val="en-GB"/>
        </w:rPr>
        <w:t xml:space="preserve">of </w:t>
      </w:r>
      <w:r w:rsidR="00A5028B" w:rsidRPr="00221992">
        <w:rPr>
          <w:lang w:val="en-GB"/>
        </w:rPr>
        <w:t>performance-based</w:t>
      </w:r>
      <w:r w:rsidRPr="00221992">
        <w:rPr>
          <w:lang w:val="en-GB"/>
        </w:rPr>
        <w:t xml:space="preserve"> </w:t>
      </w:r>
      <w:r w:rsidR="009A6233" w:rsidRPr="00221992">
        <w:rPr>
          <w:lang w:val="en-GB"/>
        </w:rPr>
        <w:t>criteria</w:t>
      </w:r>
      <w:r w:rsidR="00BC72BC" w:rsidRPr="00221992">
        <w:rPr>
          <w:lang w:val="en-GB"/>
        </w:rPr>
        <w:t>)</w:t>
      </w:r>
      <w:r w:rsidR="00DA4CEB" w:rsidRPr="00221992">
        <w:rPr>
          <w:lang w:val="en-GB"/>
        </w:rPr>
        <w:t xml:space="preserve"> </w:t>
      </w:r>
      <w:r w:rsidR="00653F87" w:rsidRPr="00221992">
        <w:rPr>
          <w:lang w:val="en-GB"/>
        </w:rPr>
        <w:fldChar w:fldCharType="begin">
          <w:fldData xml:space="preserve">PEVuZE5vdGU+PENpdGU+PEF1dGhvcj5HYXJyaXNvbjwvQXV0aG9yPjxZZWFyPjIwMTM8L1llYXI+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==
</w:fldData>
        </w:fldChar>
      </w:r>
      <w:r w:rsidR="00E5265C">
        <w:rPr>
          <w:lang w:val="en-GB"/>
        </w:rPr>
        <w:instrText xml:space="preserve"> ADDIN EN.CITE </w:instrText>
      </w:r>
      <w:r w:rsidR="00E5265C">
        <w:rPr>
          <w:lang w:val="en-GB"/>
        </w:rPr>
        <w:fldChar w:fldCharType="begin">
          <w:fldData xml:space="preserve">PEVuZE5vdGU+PENpdGU+PEF1dGhvcj5HYXJyaXNvbjwvQXV0aG9yPjxZZWFyPjIwMTM8L1llYXI+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==
</w:fldData>
        </w:fldChar>
      </w:r>
      <w:r w:rsidR="00E5265C">
        <w:rPr>
          <w:lang w:val="en-GB"/>
        </w:rPr>
        <w:instrText xml:space="preserve"> ADDIN EN.CITE.DATA </w:instrText>
      </w:r>
      <w:r w:rsidR="00E5265C">
        <w:rPr>
          <w:lang w:val="en-GB"/>
        </w:rPr>
      </w:r>
      <w:r w:rsidR="00E5265C">
        <w:rPr>
          <w:lang w:val="en-GB"/>
        </w:rPr>
        <w:fldChar w:fldCharType="end"/>
      </w:r>
      <w:r w:rsidR="00653F87" w:rsidRPr="00221992">
        <w:rPr>
          <w:lang w:val="en-GB"/>
        </w:rPr>
      </w:r>
      <w:r w:rsidR="00653F87" w:rsidRPr="00221992">
        <w:rPr>
          <w:lang w:val="en-GB"/>
        </w:rPr>
        <w:fldChar w:fldCharType="separate"/>
      </w:r>
      <w:r w:rsidR="00E5265C">
        <w:rPr>
          <w:noProof/>
          <w:lang w:val="en-GB"/>
        </w:rPr>
        <w:t>[290]</w:t>
      </w:r>
      <w:r w:rsidR="00653F87" w:rsidRPr="00221992">
        <w:rPr>
          <w:lang w:val="en-GB"/>
        </w:rPr>
        <w:fldChar w:fldCharType="end"/>
      </w:r>
      <w:r w:rsidR="00BD018C" w:rsidRPr="00221992">
        <w:rPr>
          <w:lang w:val="en-GB"/>
        </w:rPr>
        <w:t xml:space="preserve">. </w:t>
      </w:r>
      <w:r w:rsidR="009A6233" w:rsidRPr="00221992">
        <w:rPr>
          <w:lang w:val="en-GB"/>
        </w:rPr>
        <w:t>Stakeholder accountability requires</w:t>
      </w:r>
      <w:r w:rsidRPr="00221992">
        <w:rPr>
          <w:lang w:val="en-GB"/>
        </w:rPr>
        <w:t xml:space="preserve"> transparency </w:t>
      </w:r>
      <w:r w:rsidR="009A6233" w:rsidRPr="00221992">
        <w:rPr>
          <w:lang w:val="en-GB"/>
        </w:rPr>
        <w:t>with respect to</w:t>
      </w:r>
      <w:r w:rsidRPr="00221992">
        <w:rPr>
          <w:lang w:val="en-GB"/>
        </w:rPr>
        <w:t xml:space="preserve"> MEA</w:t>
      </w:r>
      <w:r w:rsidR="009A6233" w:rsidRPr="00221992">
        <w:rPr>
          <w:lang w:val="en-GB"/>
        </w:rPr>
        <w:t xml:space="preserve"> initiation</w:t>
      </w:r>
      <w:r w:rsidRPr="00221992">
        <w:rPr>
          <w:lang w:val="en-GB"/>
        </w:rPr>
        <w:t xml:space="preserve">, data collection and analysis, </w:t>
      </w:r>
      <w:r w:rsidR="009A6233" w:rsidRPr="00221992">
        <w:rPr>
          <w:lang w:val="en-GB"/>
        </w:rPr>
        <w:t xml:space="preserve">and </w:t>
      </w:r>
      <w:r w:rsidRPr="00221992">
        <w:rPr>
          <w:lang w:val="en-GB"/>
        </w:rPr>
        <w:t xml:space="preserve">decision-making based on </w:t>
      </w:r>
      <w:r w:rsidR="009A6233" w:rsidRPr="00221992">
        <w:rPr>
          <w:lang w:val="en-GB"/>
        </w:rPr>
        <w:t>results</w:t>
      </w:r>
      <w:r w:rsidRPr="00221992">
        <w:rPr>
          <w:lang w:val="en-GB"/>
        </w:rPr>
        <w:t>,</w:t>
      </w:r>
      <w:r w:rsidR="009A6233" w:rsidRPr="00221992">
        <w:rPr>
          <w:lang w:val="en-GB"/>
        </w:rPr>
        <w:t xml:space="preserve"> including price re-negotiation and disinvestment.</w:t>
      </w:r>
      <w:r w:rsidRPr="00221992">
        <w:rPr>
          <w:lang w:val="en-GB"/>
        </w:rPr>
        <w:t xml:space="preserve"> Governance processes should </w:t>
      </w:r>
      <w:r w:rsidR="00B20CCB" w:rsidRPr="00221992">
        <w:rPr>
          <w:lang w:val="en-GB"/>
        </w:rPr>
        <w:t>allow for</w:t>
      </w:r>
      <w:r w:rsidRPr="00221992">
        <w:rPr>
          <w:lang w:val="en-GB"/>
        </w:rPr>
        <w:t xml:space="preserve"> independe</w:t>
      </w:r>
      <w:r w:rsidR="009A6233" w:rsidRPr="00221992">
        <w:rPr>
          <w:lang w:val="en-GB"/>
        </w:rPr>
        <w:t>nt review and account for issues around</w:t>
      </w:r>
      <w:r w:rsidRPr="00221992">
        <w:rPr>
          <w:lang w:val="en-GB"/>
        </w:rPr>
        <w:t xml:space="preserve"> data ownership, audit, transparency and </w:t>
      </w:r>
      <w:r w:rsidR="000777B6" w:rsidRPr="00221992">
        <w:rPr>
          <w:lang w:val="en-GB"/>
        </w:rPr>
        <w:t>stakeholder engagement</w:t>
      </w:r>
      <w:r w:rsidR="00DA4CEB" w:rsidRPr="00221992">
        <w:rPr>
          <w:lang w:val="en-GB"/>
        </w:rPr>
        <w:t xml:space="preserve">. </w:t>
      </w:r>
      <w:r w:rsidRPr="00221992">
        <w:rPr>
          <w:lang w:val="en-GB"/>
        </w:rPr>
        <w:t>Although complete independence may be challenging to achieve in practice, mechanisms should minimi</w:t>
      </w:r>
      <w:r w:rsidR="00CD1673" w:rsidRPr="00221992">
        <w:rPr>
          <w:lang w:val="en-GB"/>
        </w:rPr>
        <w:t>s</w:t>
      </w:r>
      <w:r w:rsidRPr="00221992">
        <w:rPr>
          <w:lang w:val="en-GB"/>
        </w:rPr>
        <w:t>e conflicts of interest and allow for independent scrutiny.</w:t>
      </w:r>
      <w:r w:rsidR="00120E76" w:rsidRPr="00221992">
        <w:rPr>
          <w:lang w:val="en-GB"/>
        </w:rPr>
        <w:t xml:space="preserve"> </w:t>
      </w:r>
    </w:p>
    <w:p w14:paraId="27775E34" w14:textId="77777777" w:rsidR="0065535A" w:rsidRDefault="0065535A" w:rsidP="00957584">
      <w:pPr>
        <w:pStyle w:val="ListParagraph2"/>
        <w:rPr>
          <w:lang w:val="en-GB"/>
        </w:rPr>
      </w:pPr>
    </w:p>
    <w:p w14:paraId="38FA44DE" w14:textId="3D13F5A8" w:rsidR="006A4BC6" w:rsidRPr="0065535A" w:rsidRDefault="0065535A" w:rsidP="00957584">
      <w:pPr>
        <w:pStyle w:val="ListParagraph2"/>
        <w:rPr>
          <w:lang w:val="en-GB"/>
        </w:rPr>
      </w:pPr>
      <w:r>
        <w:rPr>
          <w:lang w:val="en-GB"/>
        </w:rPr>
        <w:t>Regarding d</w:t>
      </w:r>
      <w:r w:rsidR="235C022B" w:rsidRPr="0065535A">
        <w:rPr>
          <w:lang w:val="en-GB"/>
        </w:rPr>
        <w:t>isinvestment</w:t>
      </w:r>
      <w:r>
        <w:rPr>
          <w:lang w:val="en-GB"/>
        </w:rPr>
        <w:t>, the</w:t>
      </w:r>
      <w:r w:rsidR="235C022B" w:rsidRPr="0065535A">
        <w:rPr>
          <w:lang w:val="en-GB"/>
        </w:rPr>
        <w:t xml:space="preserve"> d</w:t>
      </w:r>
      <w:r w:rsidR="4DB5F2B5" w:rsidRPr="0065535A">
        <w:rPr>
          <w:lang w:val="en-GB"/>
        </w:rPr>
        <w:t>elisting</w:t>
      </w:r>
      <w:r w:rsidR="00293C84" w:rsidRPr="0065535A">
        <w:rPr>
          <w:lang w:val="en-GB"/>
        </w:rPr>
        <w:t xml:space="preserve"> </w:t>
      </w:r>
      <w:r w:rsidR="00621B1A">
        <w:rPr>
          <w:lang w:val="en-GB"/>
        </w:rPr>
        <w:t xml:space="preserve">of </w:t>
      </w:r>
      <w:r w:rsidR="00293C84" w:rsidRPr="0065535A">
        <w:rPr>
          <w:lang w:val="en-GB"/>
        </w:rPr>
        <w:t>products and reduc</w:t>
      </w:r>
      <w:r w:rsidR="00621B1A">
        <w:rPr>
          <w:lang w:val="en-GB"/>
        </w:rPr>
        <w:t>tion of</w:t>
      </w:r>
      <w:r w:rsidR="00293C84" w:rsidRPr="0065535A">
        <w:rPr>
          <w:lang w:val="en-GB"/>
        </w:rPr>
        <w:t xml:space="preserve"> prices when MEAs identify underperformance ha</w:t>
      </w:r>
      <w:r w:rsidR="00E717B9" w:rsidRPr="0065535A">
        <w:rPr>
          <w:lang w:val="en-GB"/>
        </w:rPr>
        <w:t>ve</w:t>
      </w:r>
      <w:r w:rsidR="00293C84" w:rsidRPr="0065535A">
        <w:rPr>
          <w:lang w:val="en-GB"/>
        </w:rPr>
        <w:t xml:space="preserve"> posed challenges for payers. In the past, </w:t>
      </w:r>
      <w:r w:rsidR="00E717B9" w:rsidRPr="0065535A">
        <w:rPr>
          <w:lang w:val="en-GB"/>
        </w:rPr>
        <w:t>performance-based arrang</w:t>
      </w:r>
      <w:r w:rsidR="00F34892" w:rsidRPr="0065535A">
        <w:rPr>
          <w:lang w:val="en-GB"/>
        </w:rPr>
        <w:t>e</w:t>
      </w:r>
      <w:r w:rsidR="00E717B9" w:rsidRPr="0065535A">
        <w:rPr>
          <w:lang w:val="en-GB"/>
        </w:rPr>
        <w:t>ments including</w:t>
      </w:r>
      <w:r w:rsidR="00293C84" w:rsidRPr="0065535A">
        <w:rPr>
          <w:lang w:val="en-GB"/>
        </w:rPr>
        <w:t xml:space="preserve"> CED and PbR have often</w:t>
      </w:r>
      <w:r w:rsidR="00E717B9" w:rsidRPr="0065535A">
        <w:rPr>
          <w:lang w:val="en-GB"/>
        </w:rPr>
        <w:t xml:space="preserve"> shifted financial risk to payers, involving </w:t>
      </w:r>
      <w:r w:rsidR="00293C84" w:rsidRPr="0065535A">
        <w:rPr>
          <w:lang w:val="en-GB"/>
        </w:rPr>
        <w:t>up</w:t>
      </w:r>
      <w:r w:rsidR="00E717B9" w:rsidRPr="0065535A">
        <w:rPr>
          <w:lang w:val="en-GB"/>
        </w:rPr>
        <w:t>-</w:t>
      </w:r>
      <w:r w:rsidR="00293C84" w:rsidRPr="0065535A">
        <w:rPr>
          <w:lang w:val="en-GB"/>
        </w:rPr>
        <w:t xml:space="preserve">front payments to </w:t>
      </w:r>
      <w:r w:rsidR="00A5028B" w:rsidRPr="0065535A">
        <w:rPr>
          <w:lang w:val="en-GB"/>
        </w:rPr>
        <w:t>sponsor</w:t>
      </w:r>
      <w:r w:rsidR="00293C84" w:rsidRPr="0065535A">
        <w:rPr>
          <w:lang w:val="en-GB"/>
        </w:rPr>
        <w:t>s</w:t>
      </w:r>
      <w:r w:rsidR="00E717B9" w:rsidRPr="0065535A">
        <w:rPr>
          <w:lang w:val="en-GB"/>
        </w:rPr>
        <w:t>, with</w:t>
      </w:r>
      <w:r w:rsidR="00293C84" w:rsidRPr="0065535A">
        <w:rPr>
          <w:lang w:val="en-GB"/>
        </w:rPr>
        <w:t xml:space="preserve"> subsequent discontinuation of coverage, refunds or price reductions. </w:t>
      </w:r>
      <w:r w:rsidR="00E717B9" w:rsidRPr="0065535A">
        <w:rPr>
          <w:lang w:val="en-GB"/>
        </w:rPr>
        <w:t>Such</w:t>
      </w:r>
      <w:r w:rsidR="00293C84" w:rsidRPr="0065535A">
        <w:rPr>
          <w:lang w:val="en-GB"/>
        </w:rPr>
        <w:t xml:space="preserve"> arrangement</w:t>
      </w:r>
      <w:r w:rsidR="00E717B9" w:rsidRPr="0065535A">
        <w:rPr>
          <w:lang w:val="en-GB"/>
        </w:rPr>
        <w:t>s</w:t>
      </w:r>
      <w:r w:rsidR="00293C84" w:rsidRPr="0065535A">
        <w:rPr>
          <w:lang w:val="en-GB"/>
        </w:rPr>
        <w:t xml:space="preserve"> </w:t>
      </w:r>
      <w:r w:rsidR="00E717B9" w:rsidRPr="0065535A">
        <w:rPr>
          <w:lang w:val="en-GB"/>
        </w:rPr>
        <w:t>do little to incentivise</w:t>
      </w:r>
      <w:r w:rsidR="00293C84" w:rsidRPr="0065535A">
        <w:rPr>
          <w:lang w:val="en-GB"/>
        </w:rPr>
        <w:t xml:space="preserve"> </w:t>
      </w:r>
      <w:r w:rsidR="00A5028B" w:rsidRPr="0065535A">
        <w:rPr>
          <w:lang w:val="en-GB"/>
        </w:rPr>
        <w:t>sponsor</w:t>
      </w:r>
      <w:r w:rsidR="00293C84" w:rsidRPr="0065535A">
        <w:rPr>
          <w:lang w:val="en-GB"/>
        </w:rPr>
        <w:t xml:space="preserve">s to generate additional evidence, especially if such evidence may reveal under-performance of the product. </w:t>
      </w:r>
      <w:r w:rsidR="00E717B9" w:rsidRPr="0065535A">
        <w:rPr>
          <w:lang w:val="en-GB"/>
        </w:rPr>
        <w:t>It is t</w:t>
      </w:r>
      <w:r w:rsidR="00293C84" w:rsidRPr="0065535A">
        <w:rPr>
          <w:lang w:val="en-GB"/>
        </w:rPr>
        <w:t>herefore</w:t>
      </w:r>
      <w:r w:rsidR="00E717B9" w:rsidRPr="0065535A">
        <w:rPr>
          <w:lang w:val="en-GB"/>
        </w:rPr>
        <w:t xml:space="preserve"> </w:t>
      </w:r>
      <w:r w:rsidR="00293C84" w:rsidRPr="0065535A">
        <w:rPr>
          <w:lang w:val="en-GB"/>
        </w:rPr>
        <w:t xml:space="preserve">beneficial to differentiate between MEA designs that penalise under-performance </w:t>
      </w:r>
      <w:r w:rsidR="00E717B9" w:rsidRPr="0065535A">
        <w:rPr>
          <w:lang w:val="en-GB"/>
        </w:rPr>
        <w:t>from</w:t>
      </w:r>
      <w:r w:rsidR="00293C84" w:rsidRPr="0065535A">
        <w:rPr>
          <w:lang w:val="en-GB"/>
        </w:rPr>
        <w:t xml:space="preserve"> those that reward performance</w:t>
      </w:r>
      <w:r w:rsidR="00E717B9" w:rsidRPr="0065535A">
        <w:rPr>
          <w:lang w:val="en-GB"/>
        </w:rPr>
        <w:t xml:space="preserve">, and to structure agreements </w:t>
      </w:r>
      <w:r w:rsidR="0060011B" w:rsidRPr="0065535A">
        <w:rPr>
          <w:lang w:val="en-GB"/>
        </w:rPr>
        <w:t>to appropriately incentivise stakeholders</w:t>
      </w:r>
      <w:r w:rsidR="00E717B9" w:rsidRPr="0065535A">
        <w:rPr>
          <w:lang w:val="en-GB"/>
        </w:rPr>
        <w:t xml:space="preserve"> </w:t>
      </w:r>
      <w:r w:rsidR="00293C84" w:rsidRPr="0065535A">
        <w:rPr>
          <w:lang w:val="en-GB"/>
        </w:rPr>
        <w:t xml:space="preserve">[45]. </w:t>
      </w:r>
      <w:r w:rsidR="0060011B" w:rsidRPr="0065535A">
        <w:rPr>
          <w:lang w:val="en-GB"/>
        </w:rPr>
        <w:t>Inclusion of c</w:t>
      </w:r>
      <w:r w:rsidR="00293C84" w:rsidRPr="0065535A">
        <w:rPr>
          <w:lang w:val="en-GB"/>
        </w:rPr>
        <w:t xml:space="preserve">lauses </w:t>
      </w:r>
      <w:r w:rsidR="0060011B" w:rsidRPr="0065535A">
        <w:rPr>
          <w:lang w:val="en-GB"/>
        </w:rPr>
        <w:t>that trigger</w:t>
      </w:r>
      <w:r w:rsidR="00293C84" w:rsidRPr="0065535A">
        <w:rPr>
          <w:lang w:val="en-GB"/>
        </w:rPr>
        <w:t xml:space="preserve"> review and termination of agreements </w:t>
      </w:r>
      <w:r w:rsidR="0060011B" w:rsidRPr="0065535A">
        <w:rPr>
          <w:lang w:val="en-GB"/>
        </w:rPr>
        <w:t>have been identified as</w:t>
      </w:r>
      <w:r w:rsidR="00293C84" w:rsidRPr="0065535A">
        <w:rPr>
          <w:lang w:val="en-GB"/>
        </w:rPr>
        <w:t xml:space="preserve"> important elements to appropriately address breaches of contract </w:t>
      </w:r>
      <w:r w:rsidR="00653F87" w:rsidRPr="0065535A">
        <w:rPr>
          <w:lang w:val="en-GB"/>
        </w:rPr>
        <w:fldChar w:fldCharType="begin"/>
      </w:r>
      <w:r w:rsidR="00E5265C">
        <w:rPr>
          <w:lang w:val="en-GB"/>
        </w:rPr>
        <w:instrText xml:space="preserve"> ADDIN EN.CITE &lt;EndNote&gt;&lt;Cite&gt;&lt;Author&gt;Menon&lt;/Author&gt;&lt;Year&gt;2010&lt;/Year&gt;&lt;RecNum&gt;325&lt;/RecNum&gt;&lt;DisplayText&gt;[291]&lt;/DisplayText&gt;&lt;record&gt;&lt;rec-number&gt;325&lt;/rec-number&gt;&lt;foreign-keys&gt;&lt;key app="EN" db-id="wzwwsfxe4peesxef95cxvrwjxts9rreasarf" timestamp="1692654670"&gt;325&lt;/key&gt;&lt;/foreign-keys&gt;&lt;ref-type name="Journal Article"&gt;17&lt;/ref-type&gt;&lt;contributors&gt;&lt;authors&gt;&lt;author&gt;Menon, D.&lt;/author&gt;&lt;author&gt;McCabe, C. J.&lt;/author&gt;&lt;author&gt;Stafinski, T.&lt;/author&gt;&lt;author&gt;Edlin, R.&lt;/author&gt;&lt;author&gt;signatories to the Consensus, Statement&lt;/author&gt;&lt;/authors&gt;&lt;/contributors&gt;&lt;auth-address&gt;Department of Public Health Sciences, University of Alberta, Edmonton, Alberta, Canada.&lt;/auth-address&gt;&lt;titles&gt;&lt;title&gt;Principles of design of access with evidence development approaches: a consensus statement from the Banff Summit&lt;/title&gt;&lt;secondary-title&gt;Pharmacoeconomics&lt;/secondary-title&gt;&lt;/titles&gt;&lt;periodical&gt;&lt;full-title&gt;PharmacoEconomics&lt;/full-title&gt;&lt;/periodical&gt;&lt;pages&gt;109-11&lt;/pages&gt;&lt;volume&gt;28&lt;/volume&gt;&lt;number&gt;2&lt;/number&gt;&lt;keywords&gt;&lt;keyword&gt;Consensus Development Conferences as Topic&lt;/keyword&gt;&lt;keyword&gt;*Decision Making&lt;/keyword&gt;&lt;keyword&gt;Evidence-Based Medicine&lt;/keyword&gt;&lt;keyword&gt;*Health Services Accessibility&lt;/keyword&gt;&lt;keyword&gt;Humans&lt;/keyword&gt;&lt;keyword&gt;Policy Making&lt;/keyword&gt;&lt;keyword&gt;*Reimbursement Mechanisms&lt;/keyword&gt;&lt;keyword&gt;Risk Sharing, Financial&lt;/keyword&gt;&lt;/keywords&gt;&lt;dates&gt;&lt;year&gt;2010&lt;/year&gt;&lt;/dates&gt;&lt;isbn&gt;1179-2027 (Electronic)&amp;#xD;1170-7690 (Linking)&lt;/isbn&gt;&lt;accession-num&gt;20085388&lt;/accession-num&gt;&lt;urls&gt;&lt;related-urls&gt;&lt;url&gt;https://www.ncbi.nlm.nih.gov/pubmed/20085388&lt;/url&gt;&lt;/related-urls&gt;&lt;/urls&gt;&lt;electronic-resource-num&gt;10.2165/11530860-000000000-00000&lt;/electronic-resource-num&gt;&lt;remote-database-name&gt;Medline&lt;/remote-database-name&gt;&lt;remote-database-provider&gt;NLM&lt;/remote-database-provider&gt;&lt;/record&gt;&lt;/Cite&gt;&lt;/EndNote&gt;</w:instrText>
      </w:r>
      <w:r w:rsidR="00653F87" w:rsidRPr="0065535A">
        <w:rPr>
          <w:lang w:val="en-GB"/>
        </w:rPr>
        <w:fldChar w:fldCharType="separate"/>
      </w:r>
      <w:r w:rsidR="00E5265C">
        <w:rPr>
          <w:noProof/>
          <w:lang w:val="en-GB"/>
        </w:rPr>
        <w:t>[291]</w:t>
      </w:r>
      <w:r w:rsidR="00653F87" w:rsidRPr="0065535A">
        <w:rPr>
          <w:lang w:val="en-GB"/>
        </w:rPr>
        <w:fldChar w:fldCharType="end"/>
      </w:r>
      <w:r w:rsidR="00293C84" w:rsidRPr="0065535A">
        <w:rPr>
          <w:lang w:val="en-GB"/>
        </w:rPr>
        <w:t>.</w:t>
      </w:r>
    </w:p>
    <w:p w14:paraId="7A063C95" w14:textId="4899629B" w:rsidR="006A4BC6" w:rsidRPr="00221992" w:rsidRDefault="00CC2194" w:rsidP="00957584">
      <w:pPr>
        <w:pStyle w:val="ListParagraph"/>
        <w:numPr>
          <w:ilvl w:val="0"/>
          <w:numId w:val="57"/>
        </w:numPr>
        <w:rPr>
          <w:rFonts w:eastAsia="Arial" w:cs="Arial"/>
          <w:lang w:val="en-GB"/>
        </w:rPr>
      </w:pPr>
      <w:r w:rsidRPr="00221992">
        <w:rPr>
          <w:lang w:val="en-GB"/>
        </w:rPr>
        <w:t>Design</w:t>
      </w:r>
      <w:r w:rsidR="006A4BC6" w:rsidRPr="00221992">
        <w:rPr>
          <w:lang w:val="en-GB"/>
        </w:rPr>
        <w:t xml:space="preserve">: </w:t>
      </w:r>
      <w:r w:rsidR="00D26BF7" w:rsidRPr="00221992">
        <w:rPr>
          <w:lang w:val="en-GB"/>
        </w:rPr>
        <w:t>MEAs</w:t>
      </w:r>
      <w:r w:rsidR="0002741E" w:rsidRPr="00221992">
        <w:rPr>
          <w:lang w:val="en-GB"/>
        </w:rPr>
        <w:t xml:space="preserve"> may need to be adapted to </w:t>
      </w:r>
      <w:r w:rsidR="00B800A6" w:rsidRPr="00221992">
        <w:rPr>
          <w:lang w:val="en-GB"/>
        </w:rPr>
        <w:t>better suit emerging health technologies</w:t>
      </w:r>
      <w:r w:rsidR="00D26BF7" w:rsidRPr="00221992">
        <w:rPr>
          <w:lang w:val="en-GB"/>
        </w:rPr>
        <w:t xml:space="preserve">. </w:t>
      </w:r>
      <w:r w:rsidR="00B800A6" w:rsidRPr="00221992">
        <w:rPr>
          <w:lang w:val="en-GB"/>
        </w:rPr>
        <w:t>A combined approach to</w:t>
      </w:r>
      <w:r w:rsidR="00D26BF7" w:rsidRPr="00221992">
        <w:rPr>
          <w:lang w:val="en-GB"/>
        </w:rPr>
        <w:t xml:space="preserve"> MEA</w:t>
      </w:r>
      <w:r w:rsidR="00B800A6" w:rsidRPr="00221992">
        <w:rPr>
          <w:lang w:val="en-GB"/>
        </w:rPr>
        <w:t>s</w:t>
      </w:r>
      <w:r w:rsidR="00D26BF7" w:rsidRPr="00221992">
        <w:rPr>
          <w:lang w:val="en-GB"/>
        </w:rPr>
        <w:t xml:space="preserve">, </w:t>
      </w:r>
      <w:r w:rsidR="00B800A6" w:rsidRPr="00221992">
        <w:rPr>
          <w:lang w:val="en-GB"/>
        </w:rPr>
        <w:t>for example, may have advantages over</w:t>
      </w:r>
      <w:r w:rsidR="00D26BF7" w:rsidRPr="00221992">
        <w:rPr>
          <w:lang w:val="en-GB"/>
        </w:rPr>
        <w:t xml:space="preserve"> single-purpose agreements. </w:t>
      </w:r>
      <w:r w:rsidR="00B800A6" w:rsidRPr="00221992">
        <w:rPr>
          <w:lang w:val="en-GB"/>
        </w:rPr>
        <w:t>A</w:t>
      </w:r>
      <w:r w:rsidR="00D26BF7" w:rsidRPr="00221992">
        <w:rPr>
          <w:lang w:val="en-GB"/>
        </w:rPr>
        <w:t xml:space="preserve"> flexible approach </w:t>
      </w:r>
      <w:r w:rsidR="00B800A6" w:rsidRPr="00221992">
        <w:rPr>
          <w:lang w:val="en-GB"/>
        </w:rPr>
        <w:t xml:space="preserve">to price-setting, usage, payment structure and other conditions may </w:t>
      </w:r>
      <w:r w:rsidR="00D26BF7" w:rsidRPr="00221992">
        <w:rPr>
          <w:lang w:val="en-GB"/>
        </w:rPr>
        <w:t>allow decision-makers to tailor reimbursement mechanism</w:t>
      </w:r>
      <w:r w:rsidR="00B800A6" w:rsidRPr="00221992">
        <w:rPr>
          <w:lang w:val="en-GB"/>
        </w:rPr>
        <w:t>s</w:t>
      </w:r>
      <w:r w:rsidR="00D26BF7" w:rsidRPr="00221992">
        <w:rPr>
          <w:lang w:val="en-GB"/>
        </w:rPr>
        <w:t xml:space="preserve"> to </w:t>
      </w:r>
      <w:r w:rsidR="00B800A6" w:rsidRPr="00221992">
        <w:rPr>
          <w:lang w:val="en-GB"/>
        </w:rPr>
        <w:t xml:space="preserve">the characteristics of </w:t>
      </w:r>
      <w:r w:rsidR="00D26BF7" w:rsidRPr="00221992">
        <w:rPr>
          <w:lang w:val="en-GB"/>
        </w:rPr>
        <w:t>specific therap</w:t>
      </w:r>
      <w:r w:rsidR="00B800A6" w:rsidRPr="00221992">
        <w:rPr>
          <w:lang w:val="en-GB"/>
        </w:rPr>
        <w:t>ies</w:t>
      </w:r>
      <w:r w:rsidR="00D26BF7" w:rsidRPr="00221992">
        <w:rPr>
          <w:lang w:val="en-GB"/>
        </w:rPr>
        <w:t xml:space="preserve"> and the healthcare system</w:t>
      </w:r>
      <w:r w:rsidR="00B800A6" w:rsidRPr="00221992">
        <w:rPr>
          <w:lang w:val="en-GB"/>
        </w:rPr>
        <w:t xml:space="preserve"> more broadly </w:t>
      </w:r>
      <w:r w:rsidR="002852DD" w:rsidRPr="00221992">
        <w:rPr>
          <w:lang w:val="en-GB"/>
        </w:rPr>
        <w:fldChar w:fldCharType="begin">
          <w:fldData xml:space="preserve">PEVuZE5vdGU+PENpdGU+PEF1dGhvcj5WcmVtYW48L0F1dGhvcj48WWVhcj4yMDIwPC9ZZWFyPjxS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</w:fldData>
        </w:fldChar>
      </w:r>
      <w:r w:rsidR="00E5265C">
        <w:rPr>
          <w:lang w:val="en-GB"/>
        </w:rPr>
        <w:instrText xml:space="preserve"> ADDIN EN.CITE </w:instrText>
      </w:r>
      <w:r w:rsidR="00E5265C">
        <w:rPr>
          <w:lang w:val="en-GB"/>
        </w:rPr>
        <w:fldChar w:fldCharType="begin">
          <w:fldData xml:space="preserve">PEVuZE5vdGU+PENpdGU+PEF1dGhvcj5WcmVtYW48L0F1dGhvcj48WWVhcj4yMDIwPC9ZZWFyPjxS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</w:fldData>
        </w:fldChar>
      </w:r>
      <w:r w:rsidR="00E5265C">
        <w:rPr>
          <w:lang w:val="en-GB"/>
        </w:rPr>
        <w:instrText xml:space="preserve"> ADDIN EN.CITE.DATA </w:instrText>
      </w:r>
      <w:r w:rsidR="00E5265C">
        <w:rPr>
          <w:lang w:val="en-GB"/>
        </w:rPr>
      </w:r>
      <w:r w:rsidR="00E5265C">
        <w:rPr>
          <w:lang w:val="en-GB"/>
        </w:rPr>
        <w:fldChar w:fldCharType="end"/>
      </w:r>
      <w:r w:rsidR="002852DD" w:rsidRPr="00221992">
        <w:rPr>
          <w:lang w:val="en-GB"/>
        </w:rPr>
      </w:r>
      <w:r w:rsidR="002852DD" w:rsidRPr="00221992">
        <w:rPr>
          <w:lang w:val="en-GB"/>
        </w:rPr>
        <w:fldChar w:fldCharType="separate"/>
      </w:r>
      <w:r w:rsidR="00E5265C">
        <w:rPr>
          <w:noProof/>
          <w:lang w:val="en-GB"/>
        </w:rPr>
        <w:t>[292]</w:t>
      </w:r>
      <w:r w:rsidR="002852DD" w:rsidRPr="00221992">
        <w:rPr>
          <w:lang w:val="en-GB"/>
        </w:rPr>
        <w:fldChar w:fldCharType="end"/>
      </w:r>
      <w:r w:rsidR="00D26BF7" w:rsidRPr="00221992">
        <w:rPr>
          <w:lang w:val="en-GB"/>
        </w:rPr>
        <w:t>.</w:t>
      </w:r>
      <w:r w:rsidR="006A4BC6" w:rsidRPr="00221992">
        <w:rPr>
          <w:lang w:val="en-GB"/>
        </w:rPr>
        <w:t xml:space="preserve"> </w:t>
      </w:r>
      <w:r w:rsidR="005204A4" w:rsidRPr="00221992">
        <w:rPr>
          <w:lang w:val="en-GB"/>
        </w:rPr>
        <w:t xml:space="preserve">Additional adaptable frameworks that have been explored in Italy and </w:t>
      </w:r>
      <w:r w:rsidR="00666A5D" w:rsidRPr="00221992">
        <w:rPr>
          <w:lang w:val="en-GB"/>
        </w:rPr>
        <w:t xml:space="preserve">the EU </w:t>
      </w:r>
      <w:r w:rsidR="009A568A" w:rsidRPr="00221992">
        <w:rPr>
          <w:lang w:val="en-GB"/>
        </w:rPr>
        <w:t xml:space="preserve">focus </w:t>
      </w:r>
      <w:r w:rsidR="00B91196" w:rsidRPr="00221992">
        <w:rPr>
          <w:lang w:val="en-GB"/>
        </w:rPr>
        <w:t>on parallel</w:t>
      </w:r>
      <w:r w:rsidR="005204A4" w:rsidRPr="00221992">
        <w:rPr>
          <w:lang w:val="en-GB"/>
        </w:rPr>
        <w:t xml:space="preserve"> processes in HTA to generate value-based pricing. </w:t>
      </w:r>
    </w:p>
    <w:p w14:paraId="29EB2835" w14:textId="0D97E1BD" w:rsidR="00F75640" w:rsidRPr="00221992" w:rsidRDefault="00CC2194" w:rsidP="00957584">
      <w:pPr>
        <w:pStyle w:val="ListParagraph"/>
        <w:numPr>
          <w:ilvl w:val="0"/>
          <w:numId w:val="57"/>
        </w:numPr>
        <w:rPr>
          <w:rFonts w:eastAsia="Arial" w:cs="Arial"/>
          <w:lang w:val="en-GB"/>
        </w:rPr>
      </w:pPr>
      <w:r w:rsidRPr="00221992">
        <w:rPr>
          <w:lang w:val="en-GB"/>
        </w:rPr>
        <w:t>Evaluation</w:t>
      </w:r>
      <w:r w:rsidR="00F75640" w:rsidRPr="00221992">
        <w:rPr>
          <w:lang w:val="en-GB"/>
        </w:rPr>
        <w:t xml:space="preserve">: </w:t>
      </w:r>
      <w:r w:rsidRPr="00221992">
        <w:rPr>
          <w:lang w:val="en-GB"/>
        </w:rPr>
        <w:t xml:space="preserve">Australia </w:t>
      </w:r>
      <w:r w:rsidR="007D7C78" w:rsidRPr="00221992">
        <w:rPr>
          <w:lang w:val="en-GB"/>
        </w:rPr>
        <w:t>may</w:t>
      </w:r>
      <w:r w:rsidRPr="00221992">
        <w:rPr>
          <w:lang w:val="en-GB"/>
        </w:rPr>
        <w:t xml:space="preserve"> benefit from </w:t>
      </w:r>
      <w:r w:rsidR="007D7C78" w:rsidRPr="00221992">
        <w:rPr>
          <w:lang w:val="en-GB"/>
        </w:rPr>
        <w:t>a</w:t>
      </w:r>
      <w:r w:rsidRPr="00221992">
        <w:rPr>
          <w:lang w:val="en-GB"/>
        </w:rPr>
        <w:t xml:space="preserve"> comprehensive and independent evaluation of MEAs to assess their effectiveness in managing uncertainty and achieving desired outcomes. Currently, publicly accessible evaluations are limited and the confidential nature of MEA</w:t>
      </w:r>
      <w:r w:rsidR="007D7C78" w:rsidRPr="00221992">
        <w:rPr>
          <w:lang w:val="en-GB"/>
        </w:rPr>
        <w:t>s</w:t>
      </w:r>
      <w:r w:rsidRPr="00221992">
        <w:rPr>
          <w:lang w:val="en-GB"/>
        </w:rPr>
        <w:t xml:space="preserve"> findings hinders </w:t>
      </w:r>
      <w:r w:rsidR="007D7C78" w:rsidRPr="00221992">
        <w:rPr>
          <w:lang w:val="en-GB"/>
        </w:rPr>
        <w:t>assessment</w:t>
      </w:r>
      <w:r w:rsidRPr="00221992">
        <w:rPr>
          <w:lang w:val="en-GB"/>
        </w:rPr>
        <w:t xml:space="preserve"> of their impact on product performance and healthcare budgets. Thorough evaluations would provide insights into the strengths and weaknesses of MEAs, enabling informed policy decisions.</w:t>
      </w:r>
    </w:p>
    <w:p w14:paraId="786F655B" w14:textId="06AB39DF" w:rsidR="0012192D" w:rsidRPr="00221992" w:rsidRDefault="00F75640" w:rsidP="00957584">
      <w:pPr>
        <w:pStyle w:val="ListParagraph"/>
        <w:numPr>
          <w:ilvl w:val="0"/>
          <w:numId w:val="57"/>
        </w:numPr>
        <w:rPr>
          <w:lang w:val="en-GB"/>
        </w:rPr>
      </w:pPr>
      <w:r w:rsidRPr="00221992">
        <w:rPr>
          <w:lang w:val="en-GB"/>
        </w:rPr>
        <w:t>T</w:t>
      </w:r>
      <w:r w:rsidR="00697887" w:rsidRPr="00221992">
        <w:rPr>
          <w:lang w:val="en-GB"/>
        </w:rPr>
        <w:t>ransparency</w:t>
      </w:r>
      <w:r w:rsidRPr="00221992">
        <w:rPr>
          <w:lang w:val="en-GB"/>
        </w:rPr>
        <w:t xml:space="preserve">: </w:t>
      </w:r>
      <w:r w:rsidR="001E554D" w:rsidRPr="00221992">
        <w:rPr>
          <w:lang w:val="en-GB"/>
        </w:rPr>
        <w:t>A</w:t>
      </w:r>
      <w:r w:rsidR="00EF12E3" w:rsidRPr="00221992">
        <w:rPr>
          <w:lang w:val="en-GB"/>
        </w:rPr>
        <w:t xml:space="preserve"> wide range of MEAs are </w:t>
      </w:r>
      <w:r w:rsidR="001E554D" w:rsidRPr="00221992">
        <w:rPr>
          <w:lang w:val="en-GB"/>
        </w:rPr>
        <w:t xml:space="preserve">currently </w:t>
      </w:r>
      <w:r w:rsidR="00EF12E3" w:rsidRPr="00221992">
        <w:rPr>
          <w:lang w:val="en-GB"/>
        </w:rPr>
        <w:t>employed</w:t>
      </w:r>
      <w:r w:rsidR="001E554D" w:rsidRPr="00221992">
        <w:rPr>
          <w:lang w:val="en-GB"/>
        </w:rPr>
        <w:t xml:space="preserve"> in Australia,</w:t>
      </w:r>
      <w:r w:rsidR="001744DD" w:rsidRPr="00221992">
        <w:rPr>
          <w:lang w:val="en-GB"/>
        </w:rPr>
        <w:t xml:space="preserve"> </w:t>
      </w:r>
      <w:r w:rsidR="00EF12E3" w:rsidRPr="00221992">
        <w:rPr>
          <w:lang w:val="en-GB"/>
        </w:rPr>
        <w:t xml:space="preserve">including hybrid combinations </w:t>
      </w:r>
      <w:r w:rsidR="00653F87" w:rsidRPr="00221992">
        <w:rPr>
          <w:lang w:val="en-GB"/>
        </w:rPr>
        <w:fldChar w:fldCharType="begin">
          <w:fldData xml:space="preserve">PEVuZE5vdGU+PENpdGU+PEF1dGhvcj5NYWtpbm88L0F1dGhvcj48WWVhcj4yMDE0PC9ZZWFyPjxS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==
</w:fldData>
        </w:fldChar>
      </w:r>
      <w:r w:rsidR="00E5265C">
        <w:rPr>
          <w:lang w:val="en-GB"/>
        </w:rPr>
        <w:instrText xml:space="preserve"> ADDIN EN.CITE </w:instrText>
      </w:r>
      <w:r w:rsidR="00E5265C">
        <w:rPr>
          <w:lang w:val="en-GB"/>
        </w:rPr>
        <w:fldChar w:fldCharType="begin">
          <w:fldData xml:space="preserve">PEVuZE5vdGU+PENpdGU+PEF1dGhvcj5NYWtpbm88L0F1dGhvcj48WWVhcj4yMDE0PC9ZZWFyPjxS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==
</w:fldData>
        </w:fldChar>
      </w:r>
      <w:r w:rsidR="00E5265C">
        <w:rPr>
          <w:lang w:val="en-GB"/>
        </w:rPr>
        <w:instrText xml:space="preserve"> ADDIN EN.CITE.DATA </w:instrText>
      </w:r>
      <w:r w:rsidR="00E5265C">
        <w:rPr>
          <w:lang w:val="en-GB"/>
        </w:rPr>
      </w:r>
      <w:r w:rsidR="00E5265C">
        <w:rPr>
          <w:lang w:val="en-GB"/>
        </w:rPr>
        <w:fldChar w:fldCharType="end"/>
      </w:r>
      <w:r w:rsidR="00653F87" w:rsidRPr="00221992">
        <w:rPr>
          <w:lang w:val="en-GB"/>
        </w:rPr>
      </w:r>
      <w:r w:rsidR="00653F87" w:rsidRPr="00221992">
        <w:rPr>
          <w:lang w:val="en-GB"/>
        </w:rPr>
        <w:fldChar w:fldCharType="separate"/>
      </w:r>
      <w:r w:rsidR="00E5265C">
        <w:rPr>
          <w:noProof/>
          <w:lang w:val="en-GB"/>
        </w:rPr>
        <w:t>[5-6, 200-202]</w:t>
      </w:r>
      <w:r w:rsidR="00653F87" w:rsidRPr="00221992">
        <w:rPr>
          <w:lang w:val="en-GB"/>
        </w:rPr>
        <w:fldChar w:fldCharType="end"/>
      </w:r>
      <w:r w:rsidR="001744DD" w:rsidRPr="00221992">
        <w:rPr>
          <w:lang w:val="en-GB"/>
        </w:rPr>
        <w:t>.</w:t>
      </w:r>
      <w:r w:rsidR="001744DD" w:rsidRPr="00221992">
        <w:rPr>
          <w:rStyle w:val="FootnoteReference"/>
          <w:lang w:val="en-GB"/>
        </w:rPr>
        <w:footnoteReference w:id="24"/>
      </w:r>
      <w:r w:rsidR="00EF12E3" w:rsidRPr="00221992">
        <w:rPr>
          <w:lang w:val="en-GB"/>
        </w:rPr>
        <w:t xml:space="preserve"> The lack of transparency surrounding financial terms, outcomes of data analysis, and product efficacy has been recognised as a limitation in the international independent evaluation of MEAs</w:t>
      </w:r>
      <w:r w:rsidR="005C5CC9" w:rsidRPr="00221992">
        <w:rPr>
          <w:lang w:val="en-GB"/>
        </w:rPr>
        <w:t xml:space="preserve"> and Australia has been singled out as a country with comparatively </w:t>
      </w:r>
      <w:r w:rsidR="000D25DA" w:rsidRPr="00221992">
        <w:rPr>
          <w:lang w:val="en-GB"/>
        </w:rPr>
        <w:t>higher</w:t>
      </w:r>
      <w:r w:rsidR="005C5CC9" w:rsidRPr="00221992">
        <w:rPr>
          <w:lang w:val="en-GB"/>
        </w:rPr>
        <w:t xml:space="preserve"> levels of confidentiality in this regard </w:t>
      </w:r>
      <w:r w:rsidR="00653F87" w:rsidRPr="00221992">
        <w:rPr>
          <w:lang w:val="en-GB"/>
        </w:rPr>
        <w:fldChar w:fldCharType="begin">
          <w:fldData xml:space="preserve">PEVuZE5vdGU+PENpdGU+PEF1dGhvcj5XZW56bCBNPC9BdXRob3I+PFllYXI+MjAxOTwvWWVhcj48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</w:fldData>
        </w:fldChar>
      </w:r>
      <w:r w:rsidR="00E5265C">
        <w:rPr>
          <w:lang w:val="en-GB"/>
        </w:rPr>
        <w:instrText xml:space="preserve"> ADDIN EN.CITE </w:instrText>
      </w:r>
      <w:r w:rsidR="00E5265C">
        <w:rPr>
          <w:lang w:val="en-GB"/>
        </w:rPr>
        <w:fldChar w:fldCharType="begin">
          <w:fldData xml:space="preserve">PEVuZE5vdGU+PENpdGU+PEF1dGhvcj5XZW56bCBNPC9BdXRob3I+PFllYXI+MjAxOTwvWWVhcj48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</w:fldData>
        </w:fldChar>
      </w:r>
      <w:r w:rsidR="00E5265C">
        <w:rPr>
          <w:lang w:val="en-GB"/>
        </w:rPr>
        <w:instrText xml:space="preserve"> ADDIN EN.CITE.DATA </w:instrText>
      </w:r>
      <w:r w:rsidR="00E5265C">
        <w:rPr>
          <w:lang w:val="en-GB"/>
        </w:rPr>
      </w:r>
      <w:r w:rsidR="00E5265C">
        <w:rPr>
          <w:lang w:val="en-GB"/>
        </w:rPr>
        <w:fldChar w:fldCharType="end"/>
      </w:r>
      <w:r w:rsidR="00653F87" w:rsidRPr="00221992">
        <w:rPr>
          <w:lang w:val="en-GB"/>
        </w:rPr>
      </w:r>
      <w:r w:rsidR="00653F87" w:rsidRPr="00221992">
        <w:rPr>
          <w:lang w:val="en-GB"/>
        </w:rPr>
        <w:fldChar w:fldCharType="separate"/>
      </w:r>
      <w:r w:rsidR="00E5265C">
        <w:rPr>
          <w:noProof/>
          <w:lang w:val="en-GB"/>
        </w:rPr>
        <w:t>[6, 196, 244-245]</w:t>
      </w:r>
      <w:r w:rsidR="00653F87" w:rsidRPr="00221992">
        <w:rPr>
          <w:lang w:val="en-GB"/>
        </w:rPr>
        <w:fldChar w:fldCharType="end"/>
      </w:r>
      <w:r w:rsidR="00EF12E3" w:rsidRPr="00221992">
        <w:rPr>
          <w:lang w:val="en-GB"/>
        </w:rPr>
        <w:t xml:space="preserve">. </w:t>
      </w:r>
      <w:r w:rsidR="000D25DA" w:rsidRPr="00221992">
        <w:rPr>
          <w:lang w:val="en-GB"/>
        </w:rPr>
        <w:t>A</w:t>
      </w:r>
      <w:r w:rsidR="00EF12E3" w:rsidRPr="00221992">
        <w:rPr>
          <w:lang w:val="en-GB"/>
        </w:rPr>
        <w:t xml:space="preserve"> survey </w:t>
      </w:r>
      <w:r w:rsidR="000D25DA" w:rsidRPr="00221992">
        <w:rPr>
          <w:lang w:val="en-GB"/>
        </w:rPr>
        <w:t>undertaken by the OECD</w:t>
      </w:r>
      <w:r w:rsidR="00EF12E3" w:rsidRPr="00221992">
        <w:rPr>
          <w:lang w:val="en-GB"/>
        </w:rPr>
        <w:t xml:space="preserve"> request</w:t>
      </w:r>
      <w:r w:rsidR="000D25DA" w:rsidRPr="00221992">
        <w:rPr>
          <w:lang w:val="en-GB"/>
        </w:rPr>
        <w:t>ed</w:t>
      </w:r>
      <w:r w:rsidR="00EF12E3" w:rsidRPr="00221992">
        <w:rPr>
          <w:lang w:val="en-GB"/>
        </w:rPr>
        <w:t xml:space="preserve"> member nations provide information about the types of MEAs in place for 104 product/indication combinations</w:t>
      </w:r>
      <w:r w:rsidR="00421796" w:rsidRPr="00221992">
        <w:rPr>
          <w:lang w:val="en-GB"/>
        </w:rPr>
        <w:t xml:space="preserve"> </w:t>
      </w:r>
      <w:r w:rsidR="00D82A97" w:rsidRPr="00221992">
        <w:rPr>
          <w:lang w:val="en-GB"/>
        </w:rPr>
        <w:fldChar w:fldCharType="begin"/>
      </w:r>
      <w:r w:rsidR="005A67DD" w:rsidRPr="00221992">
        <w:rPr>
          <w:lang w:val="en-GB"/>
        </w:rPr>
        <w:instrText xml:space="preserve"> ADDIN EN.CITE &lt;EndNote&gt;&lt;Cite&gt;&lt;Author&gt;Wenzl M&lt;/Author&gt;&lt;Year&gt;2019&lt;/Year&gt;&lt;RecNum&gt;477&lt;/RecNum&gt;&lt;DisplayText&gt;[6]&lt;/DisplayText&gt;&lt;record&gt;&lt;rec-number&gt;477&lt;/rec-number&gt;&lt;foreign-keys&gt;&lt;key app="EN" db-id="wzwwsfxe4peesxef95cxvrwjxts9rreasarf" timestamp="1692654671"&gt;477&lt;/key&gt;&lt;/foreign-keys&gt;&lt;ref-type name="Book Section"&gt;5&lt;/ref-type&gt;&lt;contributors&gt;&lt;authors&gt;&lt;author&gt;Wenzl M,&lt;/author&gt;&lt;author&gt;Chapman S.&lt;/author&gt;&lt;/authors&gt;&lt;/contributors&gt;&lt;titles&gt;&lt;title&gt;Performance-Based Managed Entry Agreements For New Medicines in OECD Countries and EU Member States: How They Work and Possible Improvements Going Forward.&lt;/title&gt;&lt;secondary-title&gt;OECD Health Working Papers,&lt;/secondary-title&gt;&lt;/titles&gt;&lt;volume&gt;No. 115&lt;/volume&gt;&lt;dates&gt;&lt;year&gt;2019&lt;/year&gt;&lt;/dates&gt;&lt;pub-location&gt;Paris&lt;/pub-location&gt;&lt;publisher&gt;OECD Publishing&lt;/publisher&gt;&lt;urls&gt;&lt;related-urls&gt;&lt;url&gt;https://www.oecd-ilibrary.org/content/paper/6e5e4c0f-en&lt;/url&gt;&lt;/related-urls&gt;&lt;/urls&gt;&lt;electronic-resource-num&gt;doi:https://doi.org/10.1787/6e5e4c0f-en&lt;/electronic-resource-num&gt;&lt;/record&gt;&lt;/Cite&gt;&lt;/EndNote&gt;</w:instrText>
      </w:r>
      <w:r w:rsidR="00D82A97" w:rsidRPr="00221992">
        <w:rPr>
          <w:lang w:val="en-GB"/>
        </w:rPr>
        <w:fldChar w:fldCharType="separate"/>
      </w:r>
      <w:r w:rsidR="005A67DD" w:rsidRPr="00221992">
        <w:rPr>
          <w:noProof/>
          <w:lang w:val="en-GB"/>
        </w:rPr>
        <w:t>[6]</w:t>
      </w:r>
      <w:r w:rsidR="00D82A97" w:rsidRPr="00221992">
        <w:rPr>
          <w:lang w:val="en-GB"/>
        </w:rPr>
        <w:fldChar w:fldCharType="end"/>
      </w:r>
      <w:r w:rsidR="00EF12E3" w:rsidRPr="00221992">
        <w:rPr>
          <w:lang w:val="en-GB"/>
        </w:rPr>
        <w:t xml:space="preserve">. </w:t>
      </w:r>
      <w:r w:rsidR="00BA7F81" w:rsidRPr="00221992">
        <w:rPr>
          <w:lang w:val="en-GB"/>
        </w:rPr>
        <w:t>A</w:t>
      </w:r>
      <w:r w:rsidR="00EF12E3" w:rsidRPr="00221992">
        <w:rPr>
          <w:lang w:val="en-GB"/>
        </w:rPr>
        <w:t>cross 14 countries information on the presence of a MEA for a specific product</w:t>
      </w:r>
      <w:r w:rsidR="00741783" w:rsidRPr="00221992">
        <w:rPr>
          <w:lang w:val="en-GB"/>
        </w:rPr>
        <w:t>/</w:t>
      </w:r>
      <w:r w:rsidR="00EF12E3" w:rsidRPr="00221992">
        <w:rPr>
          <w:lang w:val="en-GB"/>
        </w:rPr>
        <w:t xml:space="preserve">indication is </w:t>
      </w:r>
      <w:r w:rsidR="00741783" w:rsidRPr="00221992">
        <w:rPr>
          <w:lang w:val="en-GB"/>
        </w:rPr>
        <w:t xml:space="preserve">generally </w:t>
      </w:r>
      <w:r w:rsidR="00EF12E3" w:rsidRPr="00221992">
        <w:rPr>
          <w:lang w:val="en-GB"/>
        </w:rPr>
        <w:t>not treated as confidential</w:t>
      </w:r>
      <w:r w:rsidR="00741783" w:rsidRPr="00221992">
        <w:rPr>
          <w:lang w:val="en-GB"/>
        </w:rPr>
        <w:t>;</w:t>
      </w:r>
      <w:r w:rsidR="00EF12E3" w:rsidRPr="00221992">
        <w:rPr>
          <w:lang w:val="en-GB"/>
        </w:rPr>
        <w:t xml:space="preserve"> in Australia,</w:t>
      </w:r>
      <w:r w:rsidR="00741783" w:rsidRPr="00221992">
        <w:rPr>
          <w:lang w:val="en-GB"/>
        </w:rPr>
        <w:t xml:space="preserve"> however,</w:t>
      </w:r>
      <w:r w:rsidR="00EF12E3" w:rsidRPr="00221992">
        <w:rPr>
          <w:lang w:val="en-GB"/>
        </w:rPr>
        <w:t xml:space="preserve"> </w:t>
      </w:r>
      <w:r w:rsidR="00741783" w:rsidRPr="00221992">
        <w:rPr>
          <w:lang w:val="en-GB"/>
        </w:rPr>
        <w:t>the</w:t>
      </w:r>
      <w:r w:rsidR="00EF12E3" w:rsidRPr="00221992">
        <w:rPr>
          <w:lang w:val="en-GB"/>
        </w:rPr>
        <w:t xml:space="preserve"> </w:t>
      </w:r>
      <w:r w:rsidR="00741783" w:rsidRPr="00221992">
        <w:rPr>
          <w:lang w:val="en-GB"/>
        </w:rPr>
        <w:t xml:space="preserve">very </w:t>
      </w:r>
      <w:r w:rsidR="00EF12E3" w:rsidRPr="00221992">
        <w:rPr>
          <w:lang w:val="en-GB"/>
        </w:rPr>
        <w:t xml:space="preserve">existence of a MEA may be </w:t>
      </w:r>
      <w:r w:rsidR="00741783" w:rsidRPr="00221992">
        <w:rPr>
          <w:lang w:val="en-GB"/>
        </w:rPr>
        <w:t>commercial-in-confidence</w:t>
      </w:r>
      <w:r w:rsidR="00EF12E3" w:rsidRPr="00221992">
        <w:rPr>
          <w:lang w:val="en-GB"/>
        </w:rPr>
        <w:t xml:space="preserve"> in </w:t>
      </w:r>
      <w:r w:rsidR="00741783" w:rsidRPr="00221992">
        <w:rPr>
          <w:lang w:val="en-GB"/>
        </w:rPr>
        <w:t>some</w:t>
      </w:r>
      <w:r w:rsidR="00EF12E3" w:rsidRPr="00221992">
        <w:rPr>
          <w:lang w:val="en-GB"/>
        </w:rPr>
        <w:t xml:space="preserve"> instances.</w:t>
      </w:r>
      <w:r w:rsidR="000C0EE6" w:rsidRPr="00221992">
        <w:rPr>
          <w:rStyle w:val="FootnoteReference"/>
          <w:lang w:val="en-GB"/>
        </w:rPr>
        <w:footnoteReference w:id="25"/>
      </w:r>
      <w:r w:rsidR="00EF12E3" w:rsidRPr="00221992">
        <w:rPr>
          <w:lang w:val="en-GB"/>
        </w:rPr>
        <w:t xml:space="preserve"> </w:t>
      </w:r>
      <w:r w:rsidR="007F7A70" w:rsidRPr="00221992">
        <w:rPr>
          <w:lang w:val="en-GB"/>
        </w:rPr>
        <w:t>The relative t</w:t>
      </w:r>
      <w:r w:rsidR="005D1413" w:rsidRPr="00221992">
        <w:rPr>
          <w:lang w:val="en-GB"/>
        </w:rPr>
        <w:t xml:space="preserve">ransparency </w:t>
      </w:r>
      <w:r w:rsidR="007F7A70" w:rsidRPr="00221992">
        <w:rPr>
          <w:lang w:val="en-GB"/>
        </w:rPr>
        <w:t>of performance-based MEAs in Australia, Belgium, Czech Republic, Estonia, France, Hungary, Italy, Korea, Lithuania, Netherlands, Sweden and the UK is summarised in</w:t>
      </w:r>
      <w:r w:rsidR="005D1413" w:rsidRPr="00221992">
        <w:rPr>
          <w:lang w:val="en-GB"/>
        </w:rPr>
        <w:t xml:space="preserve"> </w:t>
      </w:r>
      <w:r w:rsidR="002466FF" w:rsidRPr="00221992">
        <w:rPr>
          <w:lang w:val="en-GB"/>
        </w:rPr>
        <w:fldChar w:fldCharType="begin"/>
      </w:r>
      <w:r w:rsidR="002466FF" w:rsidRPr="00221992">
        <w:rPr>
          <w:lang w:val="en-GB"/>
        </w:rPr>
        <w:instrText xml:space="preserve"> REF _Ref145505081 \h </w:instrText>
      </w:r>
      <w:r w:rsidR="002466FF" w:rsidRPr="00221992">
        <w:rPr>
          <w:lang w:val="en-GB"/>
        </w:rPr>
      </w:r>
      <w:r w:rsidR="002466FF" w:rsidRPr="00221992">
        <w:rPr>
          <w:lang w:val="en-GB"/>
        </w:rPr>
        <w:fldChar w:fldCharType="separate"/>
      </w:r>
      <w:r w:rsidR="000E11E7" w:rsidRPr="00221992">
        <w:rPr>
          <w:lang w:val="en-GB"/>
        </w:rPr>
        <w:t xml:space="preserve">Figure </w:t>
      </w:r>
      <w:r w:rsidR="000E11E7">
        <w:rPr>
          <w:noProof/>
          <w:lang w:val="en-GB"/>
        </w:rPr>
        <w:t>34</w:t>
      </w:r>
      <w:r w:rsidR="002466FF" w:rsidRPr="00221992">
        <w:rPr>
          <w:lang w:val="en-GB"/>
        </w:rPr>
        <w:fldChar w:fldCharType="end"/>
      </w:r>
      <w:r w:rsidR="00EF12E3" w:rsidRPr="00221992">
        <w:rPr>
          <w:lang w:val="en-GB"/>
        </w:rPr>
        <w:t>.</w:t>
      </w:r>
      <w:r w:rsidRPr="00221992">
        <w:rPr>
          <w:lang w:val="en-GB"/>
        </w:rPr>
        <w:t xml:space="preserve"> </w:t>
      </w:r>
      <w:r w:rsidR="0012192D" w:rsidRPr="00221992">
        <w:rPr>
          <w:lang w:val="en-GB"/>
        </w:rPr>
        <w:t xml:space="preserve">In </w:t>
      </w:r>
      <w:r w:rsidR="007F7A70" w:rsidRPr="00221992">
        <w:rPr>
          <w:lang w:val="en-GB"/>
        </w:rPr>
        <w:t>some</w:t>
      </w:r>
      <w:r w:rsidR="0012192D" w:rsidRPr="00221992">
        <w:rPr>
          <w:lang w:val="en-GB"/>
        </w:rPr>
        <w:t xml:space="preserve"> countries, such as Australia and </w:t>
      </w:r>
      <w:r w:rsidR="00E93AD5" w:rsidRPr="00221992">
        <w:rPr>
          <w:lang w:val="en-GB"/>
        </w:rPr>
        <w:t>England/Wales</w:t>
      </w:r>
      <w:r w:rsidR="0012192D" w:rsidRPr="00221992">
        <w:rPr>
          <w:lang w:val="en-GB"/>
        </w:rPr>
        <w:t xml:space="preserve">, the level of confidentiality </w:t>
      </w:r>
      <w:r w:rsidR="007F7A70" w:rsidRPr="00221992">
        <w:rPr>
          <w:lang w:val="en-GB"/>
        </w:rPr>
        <w:t>around</w:t>
      </w:r>
      <w:r w:rsidR="0012192D" w:rsidRPr="00221992">
        <w:rPr>
          <w:lang w:val="en-GB"/>
        </w:rPr>
        <w:t xml:space="preserve"> MEAs var</w:t>
      </w:r>
      <w:r w:rsidR="007F7A70" w:rsidRPr="00221992">
        <w:rPr>
          <w:lang w:val="en-GB"/>
        </w:rPr>
        <w:t>ies</w:t>
      </w:r>
      <w:r w:rsidR="0012192D" w:rsidRPr="00221992">
        <w:rPr>
          <w:lang w:val="en-GB"/>
        </w:rPr>
        <w:t xml:space="preserve"> </w:t>
      </w:r>
      <w:r w:rsidR="007F7A70" w:rsidRPr="00221992">
        <w:rPr>
          <w:lang w:val="en-GB"/>
        </w:rPr>
        <w:t>by</w:t>
      </w:r>
      <w:r w:rsidR="0012192D" w:rsidRPr="00221992">
        <w:rPr>
          <w:lang w:val="en-GB"/>
        </w:rPr>
        <w:t xml:space="preserve"> type of agreement or scheme involved. </w:t>
      </w:r>
      <w:r w:rsidR="008501C9" w:rsidRPr="00221992">
        <w:rPr>
          <w:lang w:val="en-GB"/>
        </w:rPr>
        <w:t>I</w:t>
      </w:r>
      <w:r w:rsidR="0012192D" w:rsidRPr="00221992">
        <w:rPr>
          <w:lang w:val="en-GB"/>
        </w:rPr>
        <w:t xml:space="preserve">n </w:t>
      </w:r>
      <w:r w:rsidR="00E93AD5" w:rsidRPr="00221992">
        <w:rPr>
          <w:lang w:val="en-GB"/>
        </w:rPr>
        <w:t>England/Wales</w:t>
      </w:r>
      <w:r w:rsidR="0012192D" w:rsidRPr="00221992">
        <w:rPr>
          <w:lang w:val="en-GB"/>
        </w:rPr>
        <w:t xml:space="preserve">, CED agreements </w:t>
      </w:r>
      <w:r w:rsidR="00D45CB2" w:rsidRPr="00221992">
        <w:rPr>
          <w:lang w:val="en-GB"/>
        </w:rPr>
        <w:t>(</w:t>
      </w:r>
      <w:r w:rsidR="0012192D" w:rsidRPr="00221992">
        <w:rPr>
          <w:lang w:val="en-GB"/>
        </w:rPr>
        <w:t xml:space="preserve">locally </w:t>
      </w:r>
      <w:r w:rsidR="00D45CB2" w:rsidRPr="00221992">
        <w:rPr>
          <w:lang w:val="en-GB"/>
        </w:rPr>
        <w:t>known</w:t>
      </w:r>
      <w:r w:rsidR="0012192D" w:rsidRPr="00221992">
        <w:rPr>
          <w:lang w:val="en-GB"/>
        </w:rPr>
        <w:t xml:space="preserve"> as Managed Access Agreements</w:t>
      </w:r>
      <w:r w:rsidR="00D45CB2" w:rsidRPr="00221992">
        <w:rPr>
          <w:lang w:val="en-GB"/>
        </w:rPr>
        <w:t>)</w:t>
      </w:r>
      <w:r w:rsidR="0012192D" w:rsidRPr="00221992">
        <w:rPr>
          <w:lang w:val="en-GB"/>
        </w:rPr>
        <w:t xml:space="preserve"> tend to be more transparent than other </w:t>
      </w:r>
      <w:r w:rsidR="00D45CB2" w:rsidRPr="00221992">
        <w:rPr>
          <w:lang w:val="en-GB"/>
        </w:rPr>
        <w:t xml:space="preserve">forms of </w:t>
      </w:r>
      <w:r w:rsidR="00661F62">
        <w:rPr>
          <w:lang w:val="en-GB"/>
        </w:rPr>
        <w:t>performance-based MEAs</w:t>
      </w:r>
      <w:r w:rsidR="00D45CB2" w:rsidRPr="00221992">
        <w:rPr>
          <w:lang w:val="en-GB"/>
        </w:rPr>
        <w:t>,</w:t>
      </w:r>
      <w:r w:rsidR="0012192D" w:rsidRPr="00221992">
        <w:rPr>
          <w:lang w:val="en-GB"/>
        </w:rPr>
        <w:t xml:space="preserve"> such as </w:t>
      </w:r>
      <w:r w:rsidR="00D45CB2" w:rsidRPr="00221992">
        <w:rPr>
          <w:lang w:val="en-GB"/>
        </w:rPr>
        <w:t xml:space="preserve">the </w:t>
      </w:r>
      <w:r w:rsidR="0012192D" w:rsidRPr="00221992">
        <w:rPr>
          <w:lang w:val="en-GB"/>
        </w:rPr>
        <w:t>complex PAS.</w:t>
      </w:r>
    </w:p>
    <w:p w14:paraId="18F7988E" w14:textId="00F394C0" w:rsidR="0093508C" w:rsidRPr="00221992" w:rsidRDefault="0093508C">
      <w:pPr>
        <w:pStyle w:val="Caption"/>
        <w:rPr>
          <w:lang w:val="en-GB"/>
        </w:rPr>
      </w:pPr>
      <w:bookmarkStart w:id="288" w:name="_Ref145505081"/>
      <w:bookmarkStart w:id="289" w:name="_Toc162950941"/>
      <w:r w:rsidRPr="00221992">
        <w:rPr>
          <w:lang w:val="en-GB"/>
        </w:rPr>
        <w:t xml:space="preserve">Figure </w:t>
      </w:r>
      <w:r w:rsidR="003F72DF" w:rsidRPr="00221992">
        <w:rPr>
          <w:lang w:val="en-GB"/>
        </w:rPr>
        <w:fldChar w:fldCharType="begin"/>
      </w:r>
      <w:r w:rsidR="003F72DF" w:rsidRPr="00221992">
        <w:rPr>
          <w:lang w:val="en-GB"/>
        </w:rPr>
        <w:instrText xml:space="preserve"> SEQ Figure \* ARABIC </w:instrText>
      </w:r>
      <w:r w:rsidR="003F72DF" w:rsidRPr="00221992">
        <w:rPr>
          <w:lang w:val="en-GB"/>
        </w:rPr>
        <w:fldChar w:fldCharType="separate"/>
      </w:r>
      <w:r w:rsidR="000E11E7">
        <w:rPr>
          <w:noProof/>
          <w:lang w:val="en-GB"/>
        </w:rPr>
        <w:t>34</w:t>
      </w:r>
      <w:r w:rsidR="003F72DF" w:rsidRPr="00221992">
        <w:rPr>
          <w:noProof/>
          <w:lang w:val="en-GB"/>
        </w:rPr>
        <w:fldChar w:fldCharType="end"/>
      </w:r>
      <w:bookmarkEnd w:id="288"/>
      <w:r w:rsidRPr="00221992">
        <w:rPr>
          <w:lang w:val="en-GB"/>
        </w:rPr>
        <w:t>. Transparency of MEA measures</w:t>
      </w:r>
      <w:bookmarkEnd w:id="289"/>
    </w:p>
    <w:p w14:paraId="38B41D80" w14:textId="0A231305" w:rsidR="00D203A7" w:rsidRPr="00221992" w:rsidRDefault="00D203A7" w:rsidP="00EF5B9A">
      <w:pPr>
        <w:pStyle w:val="BodyText"/>
        <w:rPr>
          <w:lang w:val="en-GB"/>
        </w:rPr>
      </w:pPr>
      <w:r w:rsidRPr="00221992">
        <w:rPr>
          <w:noProof/>
          <w:lang w:val="en-GB"/>
        </w:rPr>
        <w:drawing>
          <wp:inline distT="0" distB="0" distL="0" distR="0" wp14:anchorId="593D4740" wp14:editId="5C9BEB51">
            <wp:extent cx="5611598" cy="2423808"/>
            <wp:effectExtent l="0" t="0" r="0" b="0"/>
            <wp:docPr id="2040074399" name="Picture 2040074399" descr="a Chart of the Transparency of MEA measur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0074399"/>
                    <pic:cNvPicPr/>
                  </pic:nvPicPr>
                  <pic:blipFill>
                    <a:blip r:embed="rId63">
                      <a:extLst>
                        <a:ext uri="{28A0092B-C50C-407E-A947-70E740481C1C}">
                          <a14:useLocalDpi xmlns:a14="http://schemas.microsoft.com/office/drawing/2010/main" val="0"/>
                        </a:ext>
                      </a:extLst>
                    </a:blip>
                    <a:srcRect/>
                    <a:stretch>
                      <a:fillRect/>
                    </a:stretch>
                  </pic:blipFill>
                  <pic:spPr>
                    <a:xfrm>
                      <a:off x="0" y="0"/>
                      <a:ext cx="5611598" cy="2423808"/>
                    </a:xfrm>
                    <a:prstGeom prst="rect">
                      <a:avLst/>
                    </a:prstGeom>
                  </pic:spPr>
                </pic:pic>
              </a:graphicData>
            </a:graphic>
          </wp:inline>
        </w:drawing>
      </w:r>
    </w:p>
    <w:p w14:paraId="2AE09FFC" w14:textId="5D2C2897" w:rsidR="584F72B4" w:rsidRPr="00221992" w:rsidRDefault="0E509BF0" w:rsidP="00533CF1">
      <w:pPr>
        <w:pStyle w:val="TableNotes"/>
        <w:rPr>
          <w:lang w:val="en-GB"/>
        </w:rPr>
      </w:pPr>
      <w:r w:rsidRPr="00221992">
        <w:rPr>
          <w:lang w:val="en-GB"/>
        </w:rPr>
        <w:t xml:space="preserve">Source: </w:t>
      </w:r>
      <w:r w:rsidRPr="00221992">
        <w:rPr>
          <w:lang w:val="en-GB"/>
        </w:rPr>
        <w:tab/>
        <w:t>Wenzl</w:t>
      </w:r>
      <w:r w:rsidR="001A739B" w:rsidRPr="00221992">
        <w:rPr>
          <w:lang w:val="en-GB"/>
        </w:rPr>
        <w:t>, M</w:t>
      </w:r>
      <w:r w:rsidR="00924094">
        <w:rPr>
          <w:lang w:val="en-GB"/>
        </w:rPr>
        <w:t>.</w:t>
      </w:r>
      <w:r w:rsidRPr="00221992">
        <w:rPr>
          <w:lang w:val="en-GB"/>
        </w:rPr>
        <w:t xml:space="preserve"> et al</w:t>
      </w:r>
      <w:r w:rsidR="00924094">
        <w:rPr>
          <w:lang w:val="en-GB"/>
        </w:rPr>
        <w:t>.</w:t>
      </w:r>
      <w:r w:rsidRPr="00221992">
        <w:rPr>
          <w:lang w:val="en-GB"/>
        </w:rPr>
        <w:t xml:space="preserve"> (2019)</w:t>
      </w:r>
      <w:r w:rsidR="00542C2F" w:rsidRPr="00221992">
        <w:rPr>
          <w:lang w:val="en-GB"/>
        </w:rPr>
        <w:t>, p</w:t>
      </w:r>
      <w:r w:rsidR="00924094">
        <w:rPr>
          <w:lang w:val="en-GB"/>
        </w:rPr>
        <w:t xml:space="preserve">. </w:t>
      </w:r>
      <w:r w:rsidR="00542C2F" w:rsidRPr="00221992">
        <w:rPr>
          <w:lang w:val="en-GB"/>
        </w:rPr>
        <w:t>5</w:t>
      </w:r>
      <w:r w:rsidRPr="00221992">
        <w:rPr>
          <w:lang w:val="en-GB"/>
        </w:rPr>
        <w:t xml:space="preserve"> </w:t>
      </w:r>
      <w:r w:rsidRPr="00221992">
        <w:rPr>
          <w:lang w:val="en-GB"/>
        </w:rPr>
        <w:fldChar w:fldCharType="begin"/>
      </w:r>
      <w:r w:rsidR="005A67DD" w:rsidRPr="00221992">
        <w:rPr>
          <w:lang w:val="en-GB"/>
        </w:rPr>
        <w:instrText xml:space="preserve"> ADDIN EN.CITE &lt;EndNote&gt;&lt;Cite&gt;&lt;Author&gt;Wenzl M&lt;/Author&gt;&lt;Year&gt;2019&lt;/Year&gt;&lt;RecNum&gt;477&lt;/RecNum&gt;&lt;DisplayText&gt;[6]&lt;/DisplayText&gt;&lt;record&gt;&lt;rec-number&gt;477&lt;/rec-number&gt;&lt;foreign-keys&gt;&lt;key app="EN" db-id="wzwwsfxe4peesxef95cxvrwjxts9rreasarf" timestamp="1692654671"&gt;477&lt;/key&gt;&lt;/foreign-keys&gt;&lt;ref-type name="Book Section"&gt;5&lt;/ref-type&gt;&lt;contributors&gt;&lt;authors&gt;&lt;author&gt;Wenzl M,&lt;/author&gt;&lt;author&gt;Chapman S.&lt;/author&gt;&lt;/authors&gt;&lt;/contributors&gt;&lt;titles&gt;&lt;title&gt;Performance-Based Managed Entry Agreements For New Medicines in OECD Countries and EU Member States: How They Work and Possible Improvements Going Forward.&lt;/title&gt;&lt;secondary-title&gt;OECD Health Working Papers,&lt;/secondary-title&gt;&lt;/titles&gt;&lt;volume&gt;No. 115&lt;/volume&gt;&lt;dates&gt;&lt;year&gt;2019&lt;/year&gt;&lt;/dates&gt;&lt;pub-location&gt;Paris&lt;/pub-location&gt;&lt;publisher&gt;OECD Publishing&lt;/publisher&gt;&lt;urls&gt;&lt;related-urls&gt;&lt;url&gt;https://www.oecd-ilibrary.org/content/paper/6e5e4c0f-en&lt;/url&gt;&lt;/related-urls&gt;&lt;/urls&gt;&lt;electronic-resource-num&gt;doi:https://doi.org/10.1787/6e5e4c0f-en&lt;/electronic-resource-num&gt;&lt;/record&gt;&lt;/Cite&gt;&lt;/EndNote&gt;</w:instrText>
      </w:r>
      <w:r w:rsidRPr="00221992">
        <w:rPr>
          <w:lang w:val="en-GB"/>
        </w:rPr>
        <w:fldChar w:fldCharType="separate"/>
      </w:r>
      <w:r w:rsidR="005A67DD" w:rsidRPr="00221992">
        <w:rPr>
          <w:noProof/>
          <w:lang w:val="en-GB"/>
        </w:rPr>
        <w:t>[6]</w:t>
      </w:r>
      <w:r w:rsidRPr="00221992">
        <w:rPr>
          <w:lang w:val="en-GB"/>
        </w:rPr>
        <w:fldChar w:fldCharType="end"/>
      </w:r>
      <w:r w:rsidR="00542C2F" w:rsidRPr="00221992">
        <w:rPr>
          <w:lang w:val="en-GB"/>
        </w:rPr>
        <w:t>.</w:t>
      </w:r>
    </w:p>
    <w:p w14:paraId="21A5A4E8" w14:textId="24BA7FC4" w:rsidR="2A13180F" w:rsidRPr="00221992" w:rsidRDefault="2A13180F" w:rsidP="00533CF1">
      <w:pPr>
        <w:pStyle w:val="TableNotes"/>
        <w:rPr>
          <w:lang w:val="en-GB"/>
        </w:rPr>
      </w:pPr>
      <w:r w:rsidRPr="00221992">
        <w:rPr>
          <w:lang w:val="en-GB"/>
        </w:rPr>
        <w:t>Notes:</w:t>
      </w:r>
      <w:r w:rsidRPr="00221992">
        <w:rPr>
          <w:lang w:val="en-GB"/>
        </w:rPr>
        <w:tab/>
        <w:t>(cited from sou</w:t>
      </w:r>
      <w:r w:rsidR="29A76C59" w:rsidRPr="00221992">
        <w:rPr>
          <w:lang w:val="en-GB"/>
        </w:rPr>
        <w:t xml:space="preserve">rce) </w:t>
      </w:r>
      <w:r w:rsidRPr="00221992">
        <w:rPr>
          <w:lang w:val="en-GB"/>
        </w:rPr>
        <w:t>MEA- Managed Entry Agreement</w:t>
      </w:r>
      <w:r w:rsidR="52FB61FF" w:rsidRPr="00221992">
        <w:rPr>
          <w:lang w:val="en-GB"/>
        </w:rPr>
        <w:t xml:space="preserve">; </w:t>
      </w:r>
      <w:r w:rsidRPr="00221992">
        <w:rPr>
          <w:lang w:val="en-GB"/>
        </w:rPr>
        <w:t>Published</w:t>
      </w:r>
      <w:r w:rsidR="47F6830A" w:rsidRPr="00221992">
        <w:rPr>
          <w:lang w:val="en-GB"/>
        </w:rPr>
        <w:t>:</w:t>
      </w:r>
      <w:r w:rsidR="72BAAD50" w:rsidRPr="00221992">
        <w:rPr>
          <w:lang w:val="en-GB"/>
        </w:rPr>
        <w:t xml:space="preserve"> </w:t>
      </w:r>
      <w:r w:rsidRPr="00221992">
        <w:rPr>
          <w:lang w:val="en-GB"/>
        </w:rPr>
        <w:t xml:space="preserve">information is readily available in </w:t>
      </w:r>
      <w:r w:rsidR="1F7F5309" w:rsidRPr="00221992">
        <w:rPr>
          <w:lang w:val="en-GB"/>
        </w:rPr>
        <w:t>public domain (e.g</w:t>
      </w:r>
      <w:r w:rsidR="1CDF4E2C" w:rsidRPr="00221992">
        <w:rPr>
          <w:lang w:val="en-GB"/>
        </w:rPr>
        <w:t>.,</w:t>
      </w:r>
      <w:r w:rsidR="1F7F5309" w:rsidRPr="00221992">
        <w:rPr>
          <w:lang w:val="en-GB"/>
        </w:rPr>
        <w:t xml:space="preserve"> on the internet</w:t>
      </w:r>
      <w:r w:rsidR="01450D9C" w:rsidRPr="00221992">
        <w:rPr>
          <w:lang w:val="en-GB"/>
        </w:rPr>
        <w:t>);</w:t>
      </w:r>
      <w:r w:rsidR="1F7F5309" w:rsidRPr="00221992">
        <w:rPr>
          <w:lang w:val="en-GB"/>
        </w:rPr>
        <w:t xml:space="preserve"> Not published: </w:t>
      </w:r>
      <w:r w:rsidR="10F62382" w:rsidRPr="00221992">
        <w:rPr>
          <w:lang w:val="en-GB"/>
        </w:rPr>
        <w:t xml:space="preserve">information is not available in the public domain, but may be shared with 3rd parties upon request; Confidential: information is not available in the public domain and cannot be shared with 3rd parties even upon request. Information </w:t>
      </w:r>
      <w:r w:rsidR="50CFE244" w:rsidRPr="00221992">
        <w:rPr>
          <w:lang w:val="en-GB"/>
        </w:rPr>
        <w:t xml:space="preserve">for Australia refers to ad-hoc agreements only. Information for England refers to Managed Access Agreements only (31 agreements under </w:t>
      </w:r>
      <w:r w:rsidR="2290E6B5" w:rsidRPr="00221992">
        <w:rPr>
          <w:lang w:val="en-GB"/>
        </w:rPr>
        <w:t>the</w:t>
      </w:r>
      <w:r w:rsidR="50CFE244" w:rsidRPr="00221992">
        <w:rPr>
          <w:lang w:val="en-GB"/>
        </w:rPr>
        <w:t xml:space="preserve"> Cancer Drug Funds for 4 of the other disease are</w:t>
      </w:r>
      <w:r w:rsidR="4BBF998E" w:rsidRPr="00221992">
        <w:rPr>
          <w:lang w:val="en-GB"/>
        </w:rPr>
        <w:t xml:space="preserve">as reviewed by the OECD), which are publicly available, not to Patient Access Scheme. </w:t>
      </w:r>
    </w:p>
    <w:p w14:paraId="6CC808A6" w14:textId="39ABFA4D" w:rsidR="00B02F37" w:rsidRPr="00221992" w:rsidRDefault="00B02F37" w:rsidP="00533CF1">
      <w:pPr>
        <w:pStyle w:val="TableNotes"/>
        <w:rPr>
          <w:lang w:val="en-GB"/>
        </w:rPr>
        <w:sectPr w:rsidR="00B02F37" w:rsidRPr="00221992" w:rsidSect="004A6C73">
          <w:pgSz w:w="11906" w:h="16838" w:code="9"/>
          <w:pgMar w:top="1701" w:right="1275" w:bottom="1247" w:left="1417" w:header="567" w:footer="57" w:gutter="0"/>
          <w:cols w:space="708"/>
          <w:docGrid w:linePitch="360"/>
        </w:sectPr>
      </w:pPr>
    </w:p>
    <w:p w14:paraId="58B7804F" w14:textId="6F162AF9" w:rsidR="00EC282D" w:rsidRPr="00221992" w:rsidRDefault="00EC282D" w:rsidP="0087244F">
      <w:pPr>
        <w:pStyle w:val="UTSTitles"/>
        <w:tabs>
          <w:tab w:val="clear" w:pos="1134"/>
        </w:tabs>
        <w:rPr>
          <w:lang w:val="en-GB"/>
        </w:rPr>
      </w:pPr>
      <w:bookmarkStart w:id="290" w:name="_Toc162950904"/>
      <w:r w:rsidRPr="00221992">
        <w:rPr>
          <w:lang w:val="en-GB"/>
        </w:rPr>
        <w:t>References</w:t>
      </w:r>
      <w:bookmarkEnd w:id="290"/>
    </w:p>
    <w:p w14:paraId="66D22BA2" w14:textId="77777777" w:rsidR="00E5265C" w:rsidRPr="00E5265C" w:rsidRDefault="00653F87" w:rsidP="00E5265C">
      <w:pPr>
        <w:pStyle w:val="EndNoteBibliography"/>
        <w:spacing w:after="0"/>
        <w:ind w:left="720" w:hanging="720"/>
        <w:rPr>
          <w:noProof/>
        </w:rPr>
      </w:pPr>
      <w:r w:rsidRPr="00221992">
        <w:rPr>
          <w:lang w:val="en-GB" w:eastAsia="en-US"/>
        </w:rPr>
        <w:fldChar w:fldCharType="begin"/>
      </w:r>
      <w:r>
        <w:instrText xml:space="preserve"> ADDIN EN.REFLIST </w:instrText>
      </w:r>
      <w:r w:rsidRPr="00221992">
        <w:rPr>
          <w:lang w:val="en-GB" w:eastAsia="en-US"/>
        </w:rPr>
        <w:fldChar w:fldCharType="separate"/>
      </w:r>
      <w:r w:rsidR="00E5265C" w:rsidRPr="00E5265C">
        <w:rPr>
          <w:noProof/>
        </w:rPr>
        <w:t>[1] Australian Government. (2021). Strategic Agreement in relation to reimbursement, health technology assessment and other matters. Canberra: Australian Government, Department of Health and Aged Care.</w:t>
      </w:r>
    </w:p>
    <w:p w14:paraId="061309B2" w14:textId="77777777" w:rsidR="00E5265C" w:rsidRPr="00E5265C" w:rsidRDefault="00E5265C" w:rsidP="00E5265C">
      <w:pPr>
        <w:pStyle w:val="EndNoteBibliography"/>
        <w:spacing w:after="0"/>
        <w:ind w:left="720" w:hanging="720"/>
        <w:rPr>
          <w:noProof/>
        </w:rPr>
      </w:pPr>
      <w:r w:rsidRPr="00E5265C">
        <w:rPr>
          <w:noProof/>
        </w:rPr>
        <w:t>[2] Australian Government. (2023). Health Technology Assessment Policy and Methods Review: Terms of Reference. Canberra: Australian Government, Department of Health and Aged Care.</w:t>
      </w:r>
    </w:p>
    <w:p w14:paraId="770C123D" w14:textId="4C0F7EE7" w:rsidR="00E5265C" w:rsidRPr="00E5265C" w:rsidRDefault="00E5265C" w:rsidP="00E5265C">
      <w:pPr>
        <w:pStyle w:val="EndNoteBibliography"/>
        <w:spacing w:after="0"/>
        <w:ind w:left="720" w:hanging="720"/>
        <w:rPr>
          <w:noProof/>
        </w:rPr>
      </w:pPr>
      <w:r w:rsidRPr="00E5265C">
        <w:rPr>
          <w:noProof/>
        </w:rPr>
        <w:t xml:space="preserve">[3] IQVIA (Producer). (2023). EFPIA Patients W.A.I.T. Indicator 2022 Survey. Retrieved from </w:t>
      </w:r>
      <w:hyperlink r:id="rId64" w:history="1">
        <w:r w:rsidRPr="00E5265C">
          <w:rPr>
            <w:rStyle w:val="Hyperlink"/>
            <w:noProof/>
          </w:rPr>
          <w:t>https://www.efpia.eu/media/s4qf1eqo/efpia_patient_wait_indicator_final_report.pdf</w:t>
        </w:r>
      </w:hyperlink>
    </w:p>
    <w:p w14:paraId="083CBA40" w14:textId="0CEFAB86" w:rsidR="00E5265C" w:rsidRPr="00E5265C" w:rsidRDefault="00E5265C" w:rsidP="00E5265C">
      <w:pPr>
        <w:pStyle w:val="EndNoteBibliography"/>
        <w:spacing w:after="0"/>
        <w:ind w:left="720" w:hanging="720"/>
        <w:rPr>
          <w:noProof/>
        </w:rPr>
      </w:pPr>
      <w:r w:rsidRPr="00E5265C">
        <w:rPr>
          <w:noProof/>
        </w:rPr>
        <w:t xml:space="preserve">[4] IQVIA (Producer). (2021). EFPIA Patients W.A.I.T. Indicator 2020 Survey. Retrieved from </w:t>
      </w:r>
      <w:hyperlink r:id="rId65" w:history="1">
        <w:r w:rsidRPr="00E5265C">
          <w:rPr>
            <w:rStyle w:val="Hyperlink"/>
            <w:noProof/>
          </w:rPr>
          <w:t>https://www.efpia.eu/media/602652/efpia-patient-wait-indicator-final-250521.pdf</w:t>
        </w:r>
      </w:hyperlink>
    </w:p>
    <w:p w14:paraId="708BC55C" w14:textId="77777777" w:rsidR="00E5265C" w:rsidRPr="00E5265C" w:rsidRDefault="00E5265C" w:rsidP="00E5265C">
      <w:pPr>
        <w:pStyle w:val="EndNoteBibliography"/>
        <w:spacing w:after="0"/>
        <w:ind w:left="720" w:hanging="720"/>
        <w:rPr>
          <w:noProof/>
        </w:rPr>
      </w:pPr>
      <w:r w:rsidRPr="00E5265C">
        <w:rPr>
          <w:noProof/>
        </w:rPr>
        <w:t xml:space="preserve">[5] Lee, B., Bae, E. Y., Bae, S., Choi, H. J., Son, K. B., Lee, Y. S., Jang, S. &amp; Lee, T. J. (2021). How can we improve patients’ access to new drugs under uncertainties? : South Korea’s experience with risk sharing arrangements. </w:t>
      </w:r>
      <w:r w:rsidRPr="00E5265C">
        <w:rPr>
          <w:i/>
          <w:noProof/>
        </w:rPr>
        <w:t>BMC Health Serv Res, 21</w:t>
      </w:r>
      <w:r w:rsidRPr="00E5265C">
        <w:rPr>
          <w:noProof/>
        </w:rPr>
        <w:t>.</w:t>
      </w:r>
    </w:p>
    <w:p w14:paraId="6BCB5997" w14:textId="77777777" w:rsidR="00E5265C" w:rsidRPr="00E5265C" w:rsidRDefault="00E5265C" w:rsidP="00E5265C">
      <w:pPr>
        <w:pStyle w:val="EndNoteBibliography"/>
        <w:spacing w:after="0"/>
        <w:ind w:left="720" w:hanging="720"/>
        <w:rPr>
          <w:noProof/>
        </w:rPr>
      </w:pPr>
      <w:r w:rsidRPr="00E5265C">
        <w:rPr>
          <w:noProof/>
        </w:rPr>
        <w:t xml:space="preserve">[6] Wenzl M &amp; S., C. (2019). Performance-Based Managed Entry Agreements For New Medicines in OECD Countries and EU Member States: How They Work and Possible Improvements Going Forward. </w:t>
      </w:r>
      <w:r w:rsidRPr="00E5265C">
        <w:rPr>
          <w:i/>
          <w:noProof/>
        </w:rPr>
        <w:t>OECD Health Working Papers,</w:t>
      </w:r>
      <w:r w:rsidRPr="00E5265C">
        <w:rPr>
          <w:noProof/>
        </w:rPr>
        <w:t xml:space="preserve"> (Vol. No. 115). Paris: OECD Publishing.</w:t>
      </w:r>
    </w:p>
    <w:p w14:paraId="421846A5" w14:textId="77777777" w:rsidR="00E5265C" w:rsidRPr="00E5265C" w:rsidRDefault="00E5265C" w:rsidP="00E5265C">
      <w:pPr>
        <w:pStyle w:val="EndNoteBibliography"/>
        <w:spacing w:after="0"/>
        <w:ind w:left="720" w:hanging="720"/>
        <w:rPr>
          <w:noProof/>
        </w:rPr>
      </w:pPr>
      <w:r w:rsidRPr="00E5265C">
        <w:rPr>
          <w:noProof/>
        </w:rPr>
        <w:t xml:space="preserve">[7] Fontrier, A. M., Visintin, E. &amp; Kanavos, P. (2022). Similarities and Differences in Health Technology Assessment Systems and Implications for Coverage Decisions: Evidence from 32 Countries. </w:t>
      </w:r>
      <w:r w:rsidRPr="00E5265C">
        <w:rPr>
          <w:i/>
          <w:noProof/>
        </w:rPr>
        <w:t>Pharmacoecon Open, 6</w:t>
      </w:r>
      <w:r w:rsidRPr="00E5265C">
        <w:rPr>
          <w:noProof/>
        </w:rPr>
        <w:t>(3), 315-328.</w:t>
      </w:r>
    </w:p>
    <w:p w14:paraId="70563F02" w14:textId="77777777" w:rsidR="00E5265C" w:rsidRPr="00E5265C" w:rsidRDefault="00E5265C" w:rsidP="00E5265C">
      <w:pPr>
        <w:pStyle w:val="EndNoteBibliography"/>
        <w:spacing w:after="0"/>
        <w:ind w:left="720" w:hanging="720"/>
        <w:rPr>
          <w:noProof/>
        </w:rPr>
      </w:pPr>
      <w:r w:rsidRPr="00E5265C">
        <w:rPr>
          <w:noProof/>
        </w:rPr>
        <w:t xml:space="preserve">[8] Angelis, A., Lange, A. &amp; Kanavos, P. (2018). Using health technology assessment to assess the value of new medicines: results of a systematic review and expert consultation across eight European countries. </w:t>
      </w:r>
      <w:r w:rsidRPr="00E5265C">
        <w:rPr>
          <w:i/>
          <w:noProof/>
        </w:rPr>
        <w:t>Eur J Health Econ, 19</w:t>
      </w:r>
      <w:r w:rsidRPr="00E5265C">
        <w:rPr>
          <w:noProof/>
        </w:rPr>
        <w:t>(1), 123-152.</w:t>
      </w:r>
    </w:p>
    <w:p w14:paraId="6156A419" w14:textId="5D510D4A" w:rsidR="00E5265C" w:rsidRPr="00E5265C" w:rsidRDefault="00E5265C" w:rsidP="00E5265C">
      <w:pPr>
        <w:pStyle w:val="EndNoteBibliography"/>
        <w:spacing w:after="0"/>
        <w:ind w:left="720" w:hanging="720"/>
        <w:rPr>
          <w:noProof/>
        </w:rPr>
      </w:pPr>
      <w:r w:rsidRPr="00E5265C">
        <w:rPr>
          <w:noProof/>
        </w:rPr>
        <w:t xml:space="preserve">[9] Pownell, A. (2023). Your guide to the German HTA system. Retrieved 1 July 2023, from: </w:t>
      </w:r>
      <w:hyperlink r:id="rId66" w:history="1">
        <w:r w:rsidRPr="00E5265C">
          <w:rPr>
            <w:rStyle w:val="Hyperlink"/>
            <w:noProof/>
          </w:rPr>
          <w:t>https://germanmarketaccesssimplified.com/</w:t>
        </w:r>
      </w:hyperlink>
      <w:r w:rsidRPr="00E5265C">
        <w:rPr>
          <w:noProof/>
        </w:rPr>
        <w:t>.</w:t>
      </w:r>
    </w:p>
    <w:p w14:paraId="2B5A37F0" w14:textId="77777777" w:rsidR="00E5265C" w:rsidRPr="00E5265C" w:rsidRDefault="00E5265C" w:rsidP="00E5265C">
      <w:pPr>
        <w:pStyle w:val="EndNoteBibliography"/>
        <w:spacing w:after="0"/>
        <w:ind w:left="720" w:hanging="720"/>
        <w:rPr>
          <w:noProof/>
        </w:rPr>
      </w:pPr>
      <w:r w:rsidRPr="00E5265C">
        <w:rPr>
          <w:noProof/>
        </w:rPr>
        <w:t>[10] Kahveci, R., Oortwijn, W., Godman, B., Koç, E. &amp; Tibet, B. (2018). Role of Health Technology Assessment in Pharmaceutical Market Access in Developed Countries (pp. 223-254).</w:t>
      </w:r>
    </w:p>
    <w:p w14:paraId="2220E041" w14:textId="303E8DA1" w:rsidR="00E5265C" w:rsidRPr="00E5265C" w:rsidRDefault="00E5265C" w:rsidP="00E5265C">
      <w:pPr>
        <w:pStyle w:val="EndNoteBibliography"/>
        <w:spacing w:after="0"/>
        <w:ind w:left="720" w:hanging="720"/>
        <w:rPr>
          <w:noProof/>
        </w:rPr>
      </w:pPr>
      <w:r w:rsidRPr="00E5265C">
        <w:rPr>
          <w:noProof/>
        </w:rPr>
        <w:t xml:space="preserve">[11] National Institute for Health and Care Excellence (NICE). (2023). Technology appraisals and the NHS Constitution. National Institute for Health and Care Excellence (NICE). Retrieved 25 September 2023, from: </w:t>
      </w:r>
      <w:hyperlink r:id="rId67" w:history="1">
        <w:r w:rsidRPr="00E5265C">
          <w:rPr>
            <w:rStyle w:val="Hyperlink"/>
            <w:noProof/>
          </w:rPr>
          <w:t>https://www.nice.org.uk/about/what-we-do/our-programmes/nice-guidance/nice-technology-appraisal-guidance</w:t>
        </w:r>
      </w:hyperlink>
      <w:r w:rsidRPr="00E5265C">
        <w:rPr>
          <w:noProof/>
        </w:rPr>
        <w:t>.</w:t>
      </w:r>
    </w:p>
    <w:p w14:paraId="17A96863" w14:textId="3876BDFC" w:rsidR="00E5265C" w:rsidRPr="00E5265C" w:rsidRDefault="00E5265C" w:rsidP="00E5265C">
      <w:pPr>
        <w:pStyle w:val="EndNoteBibliography"/>
        <w:spacing w:after="0"/>
        <w:ind w:left="720" w:hanging="720"/>
        <w:rPr>
          <w:noProof/>
        </w:rPr>
      </w:pPr>
      <w:r w:rsidRPr="00E5265C">
        <w:rPr>
          <w:noProof/>
        </w:rPr>
        <w:t xml:space="preserve">[12] Department of Health and Aged Care. (2023). Procedures for a positive recommendation to list. Canberra: Australian Government, Department of Health and Aged Care. Retrieved 23 August 2023, from: </w:t>
      </w:r>
      <w:hyperlink r:id="rId68" w:history="1">
        <w:r w:rsidRPr="00E5265C">
          <w:rPr>
            <w:rStyle w:val="Hyperlink"/>
            <w:noProof/>
          </w:rPr>
          <w:t>https://www.pbs.gov.au/info/industry/listing/procedure-guidance/8-procedures-positive-recommendation-list/8-procedures-for-a-positive-recommendation-to-list</w:t>
        </w:r>
      </w:hyperlink>
      <w:r w:rsidRPr="00E5265C">
        <w:rPr>
          <w:noProof/>
        </w:rPr>
        <w:t>.</w:t>
      </w:r>
    </w:p>
    <w:p w14:paraId="58886B9F" w14:textId="643EE311" w:rsidR="00E5265C" w:rsidRPr="00E5265C" w:rsidRDefault="00E5265C" w:rsidP="00E5265C">
      <w:pPr>
        <w:pStyle w:val="EndNoteBibliography"/>
        <w:spacing w:after="0"/>
        <w:ind w:left="720" w:hanging="720"/>
        <w:rPr>
          <w:noProof/>
        </w:rPr>
      </w:pPr>
      <w:r w:rsidRPr="00E5265C">
        <w:rPr>
          <w:noProof/>
        </w:rPr>
        <w:t xml:space="preserve">[13] National Institute for Health and Care Excellence (NICE). (2023). Types of technology appraisal recommendation. London: National Institute for Health and Care Excellence (NICE). Retrieved 23 August 2023, from: </w:t>
      </w:r>
      <w:hyperlink r:id="rId69" w:history="1">
        <w:r w:rsidRPr="00E5265C">
          <w:rPr>
            <w:rStyle w:val="Hyperlink"/>
            <w:noProof/>
          </w:rPr>
          <w:t>https://www.nice.org.uk/about/what-we-do/our-programmes/nice-guidance/nice-technology-appraisal-guidance/types-of-recommendation</w:t>
        </w:r>
      </w:hyperlink>
      <w:r w:rsidRPr="00E5265C">
        <w:rPr>
          <w:noProof/>
        </w:rPr>
        <w:t>.</w:t>
      </w:r>
    </w:p>
    <w:p w14:paraId="2AB196E9" w14:textId="68E61F1C" w:rsidR="00E5265C" w:rsidRPr="00E5265C" w:rsidRDefault="00E5265C" w:rsidP="00E5265C">
      <w:pPr>
        <w:pStyle w:val="EndNoteBibliography"/>
        <w:spacing w:after="0"/>
        <w:ind w:left="720" w:hanging="720"/>
        <w:rPr>
          <w:noProof/>
        </w:rPr>
      </w:pPr>
      <w:r w:rsidRPr="00E5265C">
        <w:rPr>
          <w:noProof/>
        </w:rPr>
        <w:t xml:space="preserve">[14] Haute Autorité de Santé. (2014). Pricing &amp; Reimbursement of drugs and HTA policies in France. Retrieved 15 July 2023, from: </w:t>
      </w:r>
      <w:hyperlink r:id="rId70" w:history="1">
        <w:r w:rsidRPr="00E5265C">
          <w:rPr>
            <w:rStyle w:val="Hyperlink"/>
            <w:noProof/>
          </w:rPr>
          <w:t>https://www.has-sante.fr/?id=c_1729388</w:t>
        </w:r>
      </w:hyperlink>
      <w:r w:rsidRPr="00E5265C">
        <w:rPr>
          <w:noProof/>
        </w:rPr>
        <w:t>.</w:t>
      </w:r>
    </w:p>
    <w:p w14:paraId="512996BB" w14:textId="77777777" w:rsidR="00E5265C" w:rsidRPr="00E5265C" w:rsidRDefault="00E5265C" w:rsidP="00E5265C">
      <w:pPr>
        <w:pStyle w:val="EndNoteBibliography"/>
        <w:spacing w:after="0"/>
        <w:ind w:left="720" w:hanging="720"/>
        <w:rPr>
          <w:noProof/>
        </w:rPr>
      </w:pPr>
      <w:r w:rsidRPr="00E5265C">
        <w:rPr>
          <w:noProof/>
        </w:rPr>
        <w:t>[15] Harousseau, J.-L. (2011). Haute Autorité de Santé and the evolution and impact of HTA in France. Paris: Haute Autorité de Santé.</w:t>
      </w:r>
    </w:p>
    <w:p w14:paraId="62067AC8" w14:textId="7209897C" w:rsidR="00E5265C" w:rsidRPr="00E5265C" w:rsidRDefault="00E5265C" w:rsidP="00E5265C">
      <w:pPr>
        <w:pStyle w:val="EndNoteBibliography"/>
        <w:spacing w:after="0"/>
        <w:ind w:left="720" w:hanging="720"/>
        <w:rPr>
          <w:noProof/>
        </w:rPr>
      </w:pPr>
      <w:r w:rsidRPr="00E5265C">
        <w:rPr>
          <w:noProof/>
        </w:rPr>
        <w:t xml:space="preserve">[16] Anozie, A., Vincent, J.-C. &amp; Minhas, P. (2023, 10 August 2023). What are the pricing and repricing mechanisms in Japan’s P&amp;R system that pharma must understand when considering a launch in Japan? : Eradigm Consulting. from: </w:t>
      </w:r>
      <w:hyperlink r:id="rId71" w:history="1">
        <w:r w:rsidRPr="00E5265C">
          <w:rPr>
            <w:rStyle w:val="Hyperlink"/>
            <w:noProof/>
          </w:rPr>
          <w:t>https://eradigm.com/white-paper/breaking-down-japans-drug-pricing-system/</w:t>
        </w:r>
      </w:hyperlink>
      <w:r w:rsidRPr="00E5265C">
        <w:rPr>
          <w:noProof/>
        </w:rPr>
        <w:t>.</w:t>
      </w:r>
    </w:p>
    <w:p w14:paraId="40EA07D1" w14:textId="0ABE9BE5" w:rsidR="00E5265C" w:rsidRPr="00E5265C" w:rsidRDefault="00E5265C" w:rsidP="00E5265C">
      <w:pPr>
        <w:pStyle w:val="EndNoteBibliography"/>
        <w:spacing w:after="0"/>
        <w:ind w:left="720" w:hanging="720"/>
        <w:rPr>
          <w:noProof/>
        </w:rPr>
      </w:pPr>
      <w:r w:rsidRPr="00E5265C">
        <w:rPr>
          <w:noProof/>
        </w:rPr>
        <w:t xml:space="preserve">[17] Voldstad, L. &amp; Åkermoen, T. (2022). Pricing &amp; Reimbursement Laws and Regulations 2022 - Norway. Global Legal Insights. from: </w:t>
      </w:r>
      <w:hyperlink r:id="rId72" w:history="1">
        <w:r w:rsidRPr="00E5265C">
          <w:rPr>
            <w:rStyle w:val="Hyperlink"/>
            <w:noProof/>
          </w:rPr>
          <w:t>https://www.globallegalinsights.com/practice-areas/pricing-and-reimbursement-laws-and-regulations/norway</w:t>
        </w:r>
      </w:hyperlink>
      <w:r w:rsidRPr="00E5265C">
        <w:rPr>
          <w:noProof/>
        </w:rPr>
        <w:t>.</w:t>
      </w:r>
    </w:p>
    <w:p w14:paraId="552064E4" w14:textId="204E8AC8" w:rsidR="00E5265C" w:rsidRPr="00E5265C" w:rsidRDefault="00E5265C" w:rsidP="00E5265C">
      <w:pPr>
        <w:pStyle w:val="EndNoteBibliography"/>
        <w:spacing w:after="0"/>
        <w:ind w:left="720" w:hanging="720"/>
        <w:rPr>
          <w:noProof/>
        </w:rPr>
      </w:pPr>
      <w:r w:rsidRPr="00E5265C">
        <w:rPr>
          <w:noProof/>
        </w:rPr>
        <w:t xml:space="preserve">[18] Statens legemiddelverk, Legemiddelverket. (2023). Guidelines for price setting in Norway. Statens legemiddelverk, Legemiddelverket. Retrieved 23 September 2023, from: </w:t>
      </w:r>
      <w:hyperlink r:id="rId73" w:history="1">
        <w:r w:rsidRPr="00E5265C">
          <w:rPr>
            <w:rStyle w:val="Hyperlink"/>
            <w:noProof/>
          </w:rPr>
          <w:t>https://legemiddelverket.no/Documents/English/Public%20funding%20and%20pricing/Maximum%20Price/Price%20guidelines.docx.pdf</w:t>
        </w:r>
      </w:hyperlink>
      <w:r w:rsidRPr="00E5265C">
        <w:rPr>
          <w:noProof/>
        </w:rPr>
        <w:t>.</w:t>
      </w:r>
    </w:p>
    <w:p w14:paraId="5984FD5C" w14:textId="608BD3AA" w:rsidR="00E5265C" w:rsidRPr="00E5265C" w:rsidRDefault="00E5265C" w:rsidP="00E5265C">
      <w:pPr>
        <w:pStyle w:val="EndNoteBibliography"/>
        <w:spacing w:after="0"/>
        <w:ind w:left="720" w:hanging="720"/>
        <w:rPr>
          <w:noProof/>
        </w:rPr>
      </w:pPr>
      <w:r w:rsidRPr="00E5265C">
        <w:rPr>
          <w:noProof/>
        </w:rPr>
        <w:t xml:space="preserve">[19] Choi, K., Lee, Y. &amp; Jo, Y. (2022). Pricing &amp; Reimbursement Laws and Regulations 2022 - Korea. Global Legal Insights. Retrieved 23 August 2023, from: </w:t>
      </w:r>
      <w:hyperlink r:id="rId74" w:history="1">
        <w:r w:rsidRPr="00E5265C">
          <w:rPr>
            <w:rStyle w:val="Hyperlink"/>
            <w:noProof/>
          </w:rPr>
          <w:t>https://www.globallegalinsights.com/practice-areas/pricing-and-reimbursement-laws-and-regulations/korea</w:t>
        </w:r>
      </w:hyperlink>
      <w:r w:rsidRPr="00E5265C">
        <w:rPr>
          <w:noProof/>
        </w:rPr>
        <w:t>.</w:t>
      </w:r>
    </w:p>
    <w:p w14:paraId="0A8C3CE8" w14:textId="0BD7770D" w:rsidR="00E5265C" w:rsidRPr="00E5265C" w:rsidRDefault="00E5265C" w:rsidP="00E5265C">
      <w:pPr>
        <w:pStyle w:val="EndNoteBibliography"/>
        <w:spacing w:after="0"/>
        <w:ind w:left="720" w:hanging="720"/>
        <w:rPr>
          <w:noProof/>
        </w:rPr>
      </w:pPr>
      <w:r w:rsidRPr="00E5265C">
        <w:rPr>
          <w:noProof/>
        </w:rPr>
        <w:t xml:space="preserve">[20] Department of Health and Aged Care. (2023). Resubmission pathways. Canberra: Australian Government, Department of Health and Aged Care. Retrieved 23 August 2023, from: </w:t>
      </w:r>
      <w:hyperlink r:id="rId75" w:history="1">
        <w:r w:rsidRPr="00E5265C">
          <w:rPr>
            <w:rStyle w:val="Hyperlink"/>
            <w:noProof/>
          </w:rPr>
          <w:t>https://www.pbs.gov.au/info/industry/listing/procedure-guidance/9-review-pbs-listings/9-1-Resubmission-pathways</w:t>
        </w:r>
      </w:hyperlink>
      <w:r w:rsidRPr="00E5265C">
        <w:rPr>
          <w:noProof/>
        </w:rPr>
        <w:t>.</w:t>
      </w:r>
    </w:p>
    <w:p w14:paraId="28605743" w14:textId="4B70C2AB" w:rsidR="00E5265C" w:rsidRPr="00E5265C" w:rsidRDefault="00E5265C" w:rsidP="00E5265C">
      <w:pPr>
        <w:pStyle w:val="EndNoteBibliography"/>
        <w:spacing w:after="0"/>
        <w:ind w:left="720" w:hanging="720"/>
        <w:rPr>
          <w:noProof/>
        </w:rPr>
      </w:pPr>
      <w:r w:rsidRPr="00E5265C">
        <w:rPr>
          <w:noProof/>
        </w:rPr>
        <w:t xml:space="preserve">[21] Canadian Agency for Drugs and Technologies in Health (CADTH). (2023). Procedures for CADTH Reimbursement Reviews. Ottowa: Canadian Agency for Drugs and Technologies in Health (CADTH),. Retrieved 23 August 2023, from: </w:t>
      </w:r>
      <w:hyperlink r:id="rId76" w:history="1">
        <w:r w:rsidRPr="00E5265C">
          <w:rPr>
            <w:rStyle w:val="Hyperlink"/>
            <w:noProof/>
          </w:rPr>
          <w:t>https://www.cadth.ca/sites/default/files/Drug_Review_Process/CADTH%20Drug%20Reimbursement%20Review%20Procedures.pdf</w:t>
        </w:r>
      </w:hyperlink>
      <w:r w:rsidRPr="00E5265C">
        <w:rPr>
          <w:noProof/>
        </w:rPr>
        <w:t>.</w:t>
      </w:r>
    </w:p>
    <w:p w14:paraId="6CAD55A2" w14:textId="31103501" w:rsidR="00E5265C" w:rsidRPr="00E5265C" w:rsidRDefault="00E5265C" w:rsidP="00E5265C">
      <w:pPr>
        <w:pStyle w:val="EndNoteBibliography"/>
        <w:spacing w:after="0"/>
        <w:ind w:left="720" w:hanging="720"/>
        <w:rPr>
          <w:noProof/>
        </w:rPr>
      </w:pPr>
      <w:r w:rsidRPr="00E5265C">
        <w:rPr>
          <w:noProof/>
        </w:rPr>
        <w:t xml:space="preserve">[22] National Institute for Health and Care Excellence (NICE). (2018, 8 July 2023). Guide to the processes of technology appraisal. London: National Institute for Health and Care Excellence (NICE). from: </w:t>
      </w:r>
      <w:hyperlink r:id="rId77" w:history="1">
        <w:r w:rsidRPr="00E5265C">
          <w:rPr>
            <w:rStyle w:val="Hyperlink"/>
            <w:noProof/>
          </w:rPr>
          <w:t>https://www.nice.org.uk/process/pmg19/resources/guide-to-the-processes-of-technology-appraisal-pdf-72286663351237</w:t>
        </w:r>
      </w:hyperlink>
      <w:r w:rsidRPr="00E5265C">
        <w:rPr>
          <w:noProof/>
        </w:rPr>
        <w:t>.</w:t>
      </w:r>
    </w:p>
    <w:p w14:paraId="36C8B529" w14:textId="77777777" w:rsidR="00E5265C" w:rsidRPr="00E5265C" w:rsidRDefault="00E5265C" w:rsidP="00E5265C">
      <w:pPr>
        <w:pStyle w:val="EndNoteBibliography"/>
        <w:spacing w:after="0"/>
        <w:ind w:left="720" w:hanging="720"/>
        <w:rPr>
          <w:noProof/>
        </w:rPr>
      </w:pPr>
      <w:r w:rsidRPr="00E5265C">
        <w:rPr>
          <w:noProof/>
        </w:rPr>
        <w:t xml:space="preserve">[23] Hasegawa, M., Komoto, S., Shiroiwa, T. &amp; Fukuda, T. (2020). Formal Implementation of Cost-Effectiveness Evaluations in Japan: A Unique Health Technology Assessment System. </w:t>
      </w:r>
      <w:r w:rsidRPr="00E5265C">
        <w:rPr>
          <w:i/>
          <w:noProof/>
        </w:rPr>
        <w:t>Value in Health, 23</w:t>
      </w:r>
      <w:r w:rsidRPr="00E5265C">
        <w:rPr>
          <w:noProof/>
        </w:rPr>
        <w:t>(1), 43-51.</w:t>
      </w:r>
    </w:p>
    <w:p w14:paraId="3AFACFB0" w14:textId="77777777" w:rsidR="00E5265C" w:rsidRPr="00E5265C" w:rsidRDefault="00E5265C" w:rsidP="00E5265C">
      <w:pPr>
        <w:pStyle w:val="EndNoteBibliography"/>
        <w:spacing w:after="0"/>
        <w:ind w:left="720" w:hanging="720"/>
        <w:rPr>
          <w:noProof/>
        </w:rPr>
      </w:pPr>
      <w:r w:rsidRPr="00E5265C">
        <w:rPr>
          <w:noProof/>
        </w:rPr>
        <w:t>[24] NHS Scotland. (2023). Patient Access Scheme (PAS) Guidance. Edinburgh: NHS Scotland.</w:t>
      </w:r>
    </w:p>
    <w:p w14:paraId="33A16018" w14:textId="5F24D24D" w:rsidR="00E5265C" w:rsidRPr="00E5265C" w:rsidRDefault="00E5265C" w:rsidP="00E5265C">
      <w:pPr>
        <w:pStyle w:val="EndNoteBibliography"/>
        <w:spacing w:after="0"/>
        <w:ind w:left="720" w:hanging="720"/>
        <w:rPr>
          <w:noProof/>
        </w:rPr>
      </w:pPr>
      <w:r w:rsidRPr="00E5265C">
        <w:rPr>
          <w:noProof/>
        </w:rPr>
        <w:t xml:space="preserve">[25] Scottish Medicines Consortium. (2023). </w:t>
      </w:r>
      <w:r w:rsidRPr="00E5265C">
        <w:rPr>
          <w:i/>
          <w:noProof/>
        </w:rPr>
        <w:t>Guidance to submitting companies: fast-track resubmission process</w:t>
      </w:r>
      <w:r w:rsidRPr="00E5265C">
        <w:rPr>
          <w:noProof/>
        </w:rPr>
        <w:t xml:space="preserve">.  Glasgow: Scottish Medicines Consortium Retrieved from </w:t>
      </w:r>
      <w:hyperlink r:id="rId78" w:history="1">
        <w:r w:rsidRPr="00E5265C">
          <w:rPr>
            <w:rStyle w:val="Hyperlink"/>
            <w:noProof/>
          </w:rPr>
          <w:t>https://www.scottishmedicines.org.uk/media/5000/guidance-to-submitting-companies-fast-track-resubmission-process-v20.pdf</w:t>
        </w:r>
      </w:hyperlink>
      <w:r w:rsidRPr="00E5265C">
        <w:rPr>
          <w:noProof/>
        </w:rPr>
        <w:t>.</w:t>
      </w:r>
    </w:p>
    <w:p w14:paraId="4CFB8CF1" w14:textId="77777777" w:rsidR="00E5265C" w:rsidRPr="00E5265C" w:rsidRDefault="00E5265C" w:rsidP="00E5265C">
      <w:pPr>
        <w:pStyle w:val="EndNoteBibliography"/>
        <w:spacing w:after="0"/>
        <w:ind w:left="720" w:hanging="720"/>
        <w:rPr>
          <w:noProof/>
        </w:rPr>
      </w:pPr>
      <w:r w:rsidRPr="00E5265C">
        <w:rPr>
          <w:noProof/>
        </w:rPr>
        <w:t xml:space="preserve">[26] Bae, E. Y., Hong, J. M., Kwon, H. Y., Jang, S., Lee, H. J., Bae, S. &amp; Yang, B. M. (2016). Eight-year experience of using HTA in drug reimbursement: South Korea. </w:t>
      </w:r>
      <w:r w:rsidRPr="00E5265C">
        <w:rPr>
          <w:i/>
          <w:noProof/>
        </w:rPr>
        <w:t>Health Policy, 120</w:t>
      </w:r>
      <w:r w:rsidRPr="00E5265C">
        <w:rPr>
          <w:noProof/>
        </w:rPr>
        <w:t>(6), 612-620.</w:t>
      </w:r>
    </w:p>
    <w:p w14:paraId="5F9CD045" w14:textId="77777777" w:rsidR="00E5265C" w:rsidRPr="00E5265C" w:rsidRDefault="00E5265C" w:rsidP="00E5265C">
      <w:pPr>
        <w:pStyle w:val="EndNoteBibliography"/>
        <w:spacing w:after="0"/>
        <w:ind w:left="720" w:hanging="720"/>
        <w:rPr>
          <w:noProof/>
        </w:rPr>
      </w:pPr>
      <w:r w:rsidRPr="00E5265C">
        <w:rPr>
          <w:noProof/>
        </w:rPr>
        <w:t>[27] Department of Health and Aged Care. (2015). Pharmaceutical Benefits Pricing Authority Policies, Procedures and Methods. Canberra: Australian Government, Department of Health and Aged Care.</w:t>
      </w:r>
    </w:p>
    <w:p w14:paraId="7D195215" w14:textId="41BA8C26" w:rsidR="00E5265C" w:rsidRPr="00E5265C" w:rsidRDefault="00E5265C" w:rsidP="00E5265C">
      <w:pPr>
        <w:pStyle w:val="EndNoteBibliography"/>
        <w:spacing w:after="0"/>
        <w:ind w:left="720" w:hanging="720"/>
        <w:rPr>
          <w:noProof/>
        </w:rPr>
      </w:pPr>
      <w:r w:rsidRPr="00E5265C">
        <w:rPr>
          <w:noProof/>
        </w:rPr>
        <w:t xml:space="preserve">[28] Department of Health and Aged Care. (2023). 8.4 Negotiation and agreement. Canberra: Australian Government, Department of Health and Aged Care. Retrieved 13 November 2-23, from: </w:t>
      </w:r>
      <w:hyperlink r:id="rId79" w:history="1">
        <w:r w:rsidRPr="00E5265C">
          <w:rPr>
            <w:rStyle w:val="Hyperlink"/>
            <w:noProof/>
          </w:rPr>
          <w:t>https://www.pbs.gov.au/pbs/industry/listing/procedure-guidance/8-procedures-positive-recommendation-list/8-4-negotiation-and-agreement</w:t>
        </w:r>
      </w:hyperlink>
      <w:r w:rsidRPr="00E5265C">
        <w:rPr>
          <w:noProof/>
        </w:rPr>
        <w:t>.</w:t>
      </w:r>
    </w:p>
    <w:p w14:paraId="76A55519" w14:textId="1FFE1A5B" w:rsidR="00E5265C" w:rsidRPr="00E5265C" w:rsidRDefault="00E5265C" w:rsidP="00E5265C">
      <w:pPr>
        <w:pStyle w:val="EndNoteBibliography"/>
        <w:spacing w:after="0"/>
        <w:ind w:left="720" w:hanging="720"/>
        <w:rPr>
          <w:noProof/>
        </w:rPr>
      </w:pPr>
      <w:r w:rsidRPr="00E5265C">
        <w:rPr>
          <w:noProof/>
        </w:rPr>
        <w:t xml:space="preserve">[29] Wyckmans, P., D’herde, M. &amp; Meskens, P. (2022). Pricing &amp; Reimbursement Laws and Regulations 2022 - Belgium. pGlobal Legal Insights. Retrieved 23 August 2023, from: </w:t>
      </w:r>
      <w:hyperlink r:id="rId80" w:history="1">
        <w:r w:rsidRPr="00E5265C">
          <w:rPr>
            <w:rStyle w:val="Hyperlink"/>
            <w:noProof/>
          </w:rPr>
          <w:t>https://www.globallegalinsights.com/practice-areas/pricing-and-reimbursement-laws-and-regulations/belgium</w:t>
        </w:r>
      </w:hyperlink>
      <w:r w:rsidRPr="00E5265C">
        <w:rPr>
          <w:noProof/>
        </w:rPr>
        <w:t>.</w:t>
      </w:r>
    </w:p>
    <w:p w14:paraId="1E8262EF" w14:textId="3A555FDB" w:rsidR="00E5265C" w:rsidRPr="00E5265C" w:rsidRDefault="00E5265C" w:rsidP="00E5265C">
      <w:pPr>
        <w:pStyle w:val="EndNoteBibliography"/>
        <w:spacing w:after="0"/>
        <w:ind w:left="720" w:hanging="720"/>
        <w:rPr>
          <w:noProof/>
        </w:rPr>
      </w:pPr>
      <w:r w:rsidRPr="00E5265C">
        <w:rPr>
          <w:noProof/>
        </w:rPr>
        <w:t xml:space="preserve">[30] pan-Canadian Pharmaceutical Alliance (pCPA). (2019). pCPA Brand Process Guidelines. Ontario: pan-Canadian Pharmaceutical Alliance. Retrieved 23 August 2023, from: </w:t>
      </w:r>
      <w:hyperlink r:id="rId81" w:history="1">
        <w:r w:rsidRPr="00E5265C">
          <w:rPr>
            <w:rStyle w:val="Hyperlink"/>
            <w:noProof/>
          </w:rPr>
          <w:t>https://www.pcpacanada.ca/sites/default/files/aoda/pCPA_Brand_Process_Guidelines_EN_FINAL-s.pdf</w:t>
        </w:r>
      </w:hyperlink>
      <w:r w:rsidRPr="00E5265C">
        <w:rPr>
          <w:noProof/>
        </w:rPr>
        <w:t>.</w:t>
      </w:r>
    </w:p>
    <w:p w14:paraId="0307FAB2" w14:textId="55E3AAAD" w:rsidR="00E5265C" w:rsidRPr="00E5265C" w:rsidRDefault="00E5265C" w:rsidP="00E5265C">
      <w:pPr>
        <w:pStyle w:val="EndNoteBibliography"/>
        <w:spacing w:after="0"/>
        <w:ind w:left="720" w:hanging="720"/>
        <w:rPr>
          <w:noProof/>
        </w:rPr>
      </w:pPr>
      <w:r w:rsidRPr="00E5265C">
        <w:rPr>
          <w:noProof/>
        </w:rPr>
        <w:t xml:space="preserve">[31] Castle, G., Kelly, B. &amp; Gathan, R. (2022). Pricing &amp; Reimbursement Laws and Regulations 2022 - United Kingdom. Global Legal Insights. Retrieved 23 August 2023, from: </w:t>
      </w:r>
      <w:hyperlink r:id="rId82" w:history="1">
        <w:r w:rsidRPr="00E5265C">
          <w:rPr>
            <w:rStyle w:val="Hyperlink"/>
            <w:noProof/>
          </w:rPr>
          <w:t>https://www.globallegalinsights.com/practice-areas/pricing-and-reimbursement-laws-and-regulations/united-kingdom</w:t>
        </w:r>
      </w:hyperlink>
      <w:r w:rsidRPr="00E5265C">
        <w:rPr>
          <w:noProof/>
        </w:rPr>
        <w:t>.</w:t>
      </w:r>
    </w:p>
    <w:p w14:paraId="5D7B4CD1" w14:textId="65E87733" w:rsidR="00E5265C" w:rsidRPr="00E5265C" w:rsidRDefault="00E5265C" w:rsidP="00E5265C">
      <w:pPr>
        <w:pStyle w:val="EndNoteBibliography"/>
        <w:spacing w:after="0"/>
        <w:ind w:left="720" w:hanging="720"/>
        <w:rPr>
          <w:noProof/>
        </w:rPr>
      </w:pPr>
      <w:r w:rsidRPr="00E5265C">
        <w:rPr>
          <w:noProof/>
        </w:rPr>
        <w:t xml:space="preserve">[32] Robson, K. (2020). </w:t>
      </w:r>
      <w:r w:rsidRPr="00E5265C">
        <w:rPr>
          <w:i/>
          <w:noProof/>
        </w:rPr>
        <w:t>Medicines in Scotland</w:t>
      </w:r>
      <w:r w:rsidRPr="00E5265C">
        <w:rPr>
          <w:noProof/>
        </w:rPr>
        <w:t xml:space="preserve">. The Scottish Parliament Retrieved from </w:t>
      </w:r>
      <w:hyperlink r:id="rId83" w:history="1">
        <w:r w:rsidRPr="00E5265C">
          <w:rPr>
            <w:rStyle w:val="Hyperlink"/>
            <w:noProof/>
          </w:rPr>
          <w:t>https://digitalpublications.parliament.scot/ResearchBriefings/Report/2020/1/16/Medicines-in-Scotland-1</w:t>
        </w:r>
      </w:hyperlink>
      <w:r w:rsidRPr="00E5265C">
        <w:rPr>
          <w:noProof/>
        </w:rPr>
        <w:t>.</w:t>
      </w:r>
    </w:p>
    <w:p w14:paraId="7811814F" w14:textId="079786B6" w:rsidR="00E5265C" w:rsidRPr="00E5265C" w:rsidRDefault="00E5265C" w:rsidP="00E5265C">
      <w:pPr>
        <w:pStyle w:val="EndNoteBibliography"/>
        <w:spacing w:after="0"/>
        <w:ind w:left="720" w:hanging="720"/>
        <w:rPr>
          <w:noProof/>
        </w:rPr>
      </w:pPr>
      <w:r w:rsidRPr="00E5265C">
        <w:rPr>
          <w:noProof/>
        </w:rPr>
        <w:t xml:space="preserve">[33] Selletti, S., Putignano, M. &amp; Tiboni, F. (2022). Pricing &amp; Reimbursement Laws and Regulations 2022 - Italy. Global Legal Insights. Retrieved 23 August 2023, from: </w:t>
      </w:r>
      <w:hyperlink r:id="rId84" w:history="1">
        <w:r w:rsidRPr="00E5265C">
          <w:rPr>
            <w:rStyle w:val="Hyperlink"/>
            <w:noProof/>
          </w:rPr>
          <w:t>https://www.globallegalinsights.com/practice-areas/pricing-and-reimbursement-laws-and-regulations/italy</w:t>
        </w:r>
      </w:hyperlink>
      <w:r w:rsidRPr="00E5265C">
        <w:rPr>
          <w:noProof/>
        </w:rPr>
        <w:t>.</w:t>
      </w:r>
    </w:p>
    <w:p w14:paraId="1586E490" w14:textId="77777777" w:rsidR="00E5265C" w:rsidRPr="00E5265C" w:rsidRDefault="00E5265C" w:rsidP="00E5265C">
      <w:pPr>
        <w:pStyle w:val="EndNoteBibliography"/>
        <w:spacing w:after="0"/>
        <w:ind w:left="720" w:hanging="720"/>
        <w:rPr>
          <w:noProof/>
        </w:rPr>
      </w:pPr>
      <w:r w:rsidRPr="00E5265C">
        <w:rPr>
          <w:noProof/>
        </w:rPr>
        <w:t xml:space="preserve">[34] Ragupathy, R., Kilpatrick, K. &amp; Babar, Z.-U.-D. (2015). Pharmaceutical Pricing in New Zealand. </w:t>
      </w:r>
      <w:r w:rsidRPr="00E5265C">
        <w:rPr>
          <w:i/>
          <w:noProof/>
        </w:rPr>
        <w:t>Pharmaceutical Prices in the 21st Century</w:t>
      </w:r>
      <w:r w:rsidRPr="00E5265C">
        <w:rPr>
          <w:noProof/>
        </w:rPr>
        <w:t>, 189-207.</w:t>
      </w:r>
    </w:p>
    <w:p w14:paraId="0AA5373A" w14:textId="77777777" w:rsidR="00E5265C" w:rsidRPr="00E5265C" w:rsidRDefault="00E5265C" w:rsidP="00E5265C">
      <w:pPr>
        <w:pStyle w:val="EndNoteBibliography"/>
        <w:spacing w:after="0"/>
        <w:ind w:left="720" w:hanging="720"/>
        <w:rPr>
          <w:noProof/>
        </w:rPr>
      </w:pPr>
      <w:r w:rsidRPr="00E5265C">
        <w:rPr>
          <w:noProof/>
        </w:rPr>
        <w:t>[35] Agency for Care Effectiveness (ACE). (2021). Drug and Vaccine Evaluation Methods and Process Guide. Singapore: Ministry of Health Singapore, Agency for Care Effectiveness (ACE).</w:t>
      </w:r>
    </w:p>
    <w:p w14:paraId="5B98DA05" w14:textId="66658966" w:rsidR="00E5265C" w:rsidRPr="00E5265C" w:rsidRDefault="00E5265C" w:rsidP="00E5265C">
      <w:pPr>
        <w:pStyle w:val="EndNoteBibliography"/>
        <w:spacing w:after="0"/>
        <w:ind w:left="720" w:hanging="720"/>
        <w:rPr>
          <w:noProof/>
        </w:rPr>
      </w:pPr>
      <w:r w:rsidRPr="00E5265C">
        <w:rPr>
          <w:noProof/>
        </w:rPr>
        <w:t xml:space="preserve">[36] Faus, J., Alcover, L. &amp; Bailach, J. (2022). Pricing &amp; Reimbursement Laws and Regulations 2022 - Spain. Global Legal Insights. Retrieved 23 August 2023, from: </w:t>
      </w:r>
      <w:hyperlink r:id="rId85" w:history="1">
        <w:r w:rsidRPr="00E5265C">
          <w:rPr>
            <w:rStyle w:val="Hyperlink"/>
            <w:noProof/>
          </w:rPr>
          <w:t>https://www.globallegalinsights.com/practice-areas/pricing-and-reimbursement-laws-and-regulations/spain</w:t>
        </w:r>
      </w:hyperlink>
      <w:r w:rsidRPr="00E5265C">
        <w:rPr>
          <w:noProof/>
        </w:rPr>
        <w:t>.</w:t>
      </w:r>
    </w:p>
    <w:p w14:paraId="1D7CCA72" w14:textId="19FC9217" w:rsidR="00E5265C" w:rsidRPr="00E5265C" w:rsidRDefault="00E5265C" w:rsidP="00E5265C">
      <w:pPr>
        <w:pStyle w:val="EndNoteBibliography"/>
        <w:spacing w:after="0"/>
        <w:ind w:left="720" w:hanging="720"/>
        <w:rPr>
          <w:noProof/>
        </w:rPr>
      </w:pPr>
      <w:r w:rsidRPr="00E5265C">
        <w:rPr>
          <w:noProof/>
        </w:rPr>
        <w:t xml:space="preserve">[37] Swarting, O., Hedman, P. &amp; Tilus, H. (2022). Pricing &amp; Reimbursement Laws and Regulations 2022 - Sweden. Global Legal Insights. Retrieved 23 August 2023, from: </w:t>
      </w:r>
      <w:hyperlink r:id="rId86" w:history="1">
        <w:r w:rsidRPr="00E5265C">
          <w:rPr>
            <w:rStyle w:val="Hyperlink"/>
            <w:noProof/>
          </w:rPr>
          <w:t>https://www.globallegalinsights.com/practice-areas/pricing-and-reimbursement-laws-and-regulations/sweden</w:t>
        </w:r>
      </w:hyperlink>
      <w:r w:rsidRPr="00E5265C">
        <w:rPr>
          <w:noProof/>
        </w:rPr>
        <w:t>.</w:t>
      </w:r>
    </w:p>
    <w:p w14:paraId="431C5148" w14:textId="77777777" w:rsidR="00E5265C" w:rsidRPr="00E5265C" w:rsidRDefault="00E5265C" w:rsidP="00E5265C">
      <w:pPr>
        <w:pStyle w:val="EndNoteBibliography"/>
        <w:spacing w:after="0"/>
        <w:ind w:left="720" w:hanging="720"/>
        <w:rPr>
          <w:noProof/>
        </w:rPr>
      </w:pPr>
      <w:r w:rsidRPr="00E5265C">
        <w:rPr>
          <w:noProof/>
        </w:rPr>
        <w:t xml:space="preserve">[38] Chen, G.-T., Chang, S.-C. &amp; Chang, C.-J. (2018). New Drug Reimbursement and Pricing Policy in Taiwan. </w:t>
      </w:r>
      <w:r w:rsidRPr="00E5265C">
        <w:rPr>
          <w:i/>
          <w:noProof/>
        </w:rPr>
        <w:t>Value in Health Regional Issues, 15</w:t>
      </w:r>
      <w:r w:rsidRPr="00E5265C">
        <w:rPr>
          <w:noProof/>
        </w:rPr>
        <w:t>, 127-132.</w:t>
      </w:r>
    </w:p>
    <w:p w14:paraId="60B8BBE9" w14:textId="6E3C88DB" w:rsidR="00E5265C" w:rsidRPr="00E5265C" w:rsidRDefault="00E5265C" w:rsidP="00E5265C">
      <w:pPr>
        <w:pStyle w:val="EndNoteBibliography"/>
        <w:spacing w:after="0"/>
        <w:ind w:left="720" w:hanging="720"/>
        <w:rPr>
          <w:noProof/>
        </w:rPr>
      </w:pPr>
      <w:r w:rsidRPr="00E5265C">
        <w:rPr>
          <w:noProof/>
        </w:rPr>
        <w:t xml:space="preserve">[39] Kloeke, K. (2022). Pricing &amp; Reimbursement Laws and Regulations 2022 - Netherlands. Global Legal Insights. Retrieved 23 August 2023, from: </w:t>
      </w:r>
      <w:hyperlink r:id="rId87" w:history="1">
        <w:r w:rsidRPr="00E5265C">
          <w:rPr>
            <w:rStyle w:val="Hyperlink"/>
            <w:noProof/>
          </w:rPr>
          <w:t>https://www.globallegalinsights.com/practice-areas/pricing-and-reimbursement-laws-and-regulations/netherlands</w:t>
        </w:r>
      </w:hyperlink>
      <w:r w:rsidRPr="00E5265C">
        <w:rPr>
          <w:noProof/>
        </w:rPr>
        <w:t>.</w:t>
      </w:r>
    </w:p>
    <w:p w14:paraId="10775B55" w14:textId="4871D6C0" w:rsidR="00E5265C" w:rsidRPr="00E5265C" w:rsidRDefault="00E5265C" w:rsidP="00E5265C">
      <w:pPr>
        <w:pStyle w:val="EndNoteBibliography"/>
        <w:spacing w:after="0"/>
        <w:ind w:left="720" w:hanging="720"/>
        <w:rPr>
          <w:noProof/>
        </w:rPr>
      </w:pPr>
      <w:r w:rsidRPr="00E5265C">
        <w:rPr>
          <w:noProof/>
        </w:rPr>
        <w:t xml:space="preserve">[40] Reese, U. &amp; Kemmner, C. (2022). Pricing &amp; Reimbursement Laws and Regulations 2022 - Germany. Global Legal Insights. Retrieved 23 August 2023, from: </w:t>
      </w:r>
      <w:hyperlink r:id="rId88" w:history="1">
        <w:r w:rsidRPr="00E5265C">
          <w:rPr>
            <w:rStyle w:val="Hyperlink"/>
            <w:noProof/>
          </w:rPr>
          <w:t>https://www.globallegalinsights.com/practice-areas/pricing-and-reimbursement-laws-and-regulations/germany</w:t>
        </w:r>
      </w:hyperlink>
      <w:r w:rsidRPr="00E5265C">
        <w:rPr>
          <w:noProof/>
        </w:rPr>
        <w:t>.</w:t>
      </w:r>
    </w:p>
    <w:p w14:paraId="09FAB5A5" w14:textId="4878C05C" w:rsidR="00E5265C" w:rsidRPr="00E5265C" w:rsidRDefault="00E5265C" w:rsidP="00E5265C">
      <w:pPr>
        <w:pStyle w:val="EndNoteBibliography"/>
        <w:spacing w:after="0"/>
        <w:ind w:left="720" w:hanging="720"/>
        <w:rPr>
          <w:noProof/>
        </w:rPr>
      </w:pPr>
      <w:r w:rsidRPr="00E5265C">
        <w:rPr>
          <w:noProof/>
        </w:rPr>
        <w:t xml:space="preserve">[41] Wenzl, M. &amp; Paris, V. (2018). Pharmaceutical Reimbursement and Pricing in Germany. Paris: Organisation for Economic Co-operation and Development. from: </w:t>
      </w:r>
      <w:hyperlink r:id="rId89" w:history="1">
        <w:r w:rsidRPr="00E5265C">
          <w:rPr>
            <w:rStyle w:val="Hyperlink"/>
            <w:noProof/>
          </w:rPr>
          <w:t>https://www.oecd.org/health/health-systems/Pharmaceutical-Reimbursement-and-Pricing-in-Germany.pdf</w:t>
        </w:r>
      </w:hyperlink>
      <w:r w:rsidRPr="00E5265C">
        <w:rPr>
          <w:noProof/>
        </w:rPr>
        <w:t>.</w:t>
      </w:r>
    </w:p>
    <w:p w14:paraId="46340179" w14:textId="71ADEFF7" w:rsidR="00E5265C" w:rsidRPr="00E5265C" w:rsidRDefault="00E5265C" w:rsidP="00E5265C">
      <w:pPr>
        <w:pStyle w:val="EndNoteBibliography"/>
        <w:spacing w:after="0"/>
        <w:ind w:left="720" w:hanging="720"/>
        <w:rPr>
          <w:noProof/>
        </w:rPr>
      </w:pPr>
      <w:r w:rsidRPr="00E5265C">
        <w:rPr>
          <w:noProof/>
        </w:rPr>
        <w:t xml:space="preserve">[42] Robinson, J., Ex, P. &amp; Panteli, D. (2019). How Drug Prices Are Negotiated in Germany. The Commonwealth Fund. from: </w:t>
      </w:r>
      <w:hyperlink r:id="rId90" w:history="1">
        <w:r w:rsidRPr="00E5265C">
          <w:rPr>
            <w:rStyle w:val="Hyperlink"/>
            <w:noProof/>
          </w:rPr>
          <w:t>https://www.commonwealthfund.org/blog/2019/how-drug-prices-are-negotiated-germany</w:t>
        </w:r>
      </w:hyperlink>
      <w:r w:rsidRPr="00E5265C">
        <w:rPr>
          <w:noProof/>
        </w:rPr>
        <w:t>.</w:t>
      </w:r>
    </w:p>
    <w:p w14:paraId="11747F4D" w14:textId="77777777" w:rsidR="00E5265C" w:rsidRPr="00E5265C" w:rsidRDefault="00E5265C" w:rsidP="00E5265C">
      <w:pPr>
        <w:pStyle w:val="EndNoteBibliography"/>
        <w:spacing w:after="0"/>
        <w:ind w:left="720" w:hanging="720"/>
        <w:rPr>
          <w:noProof/>
        </w:rPr>
      </w:pPr>
      <w:r w:rsidRPr="00E5265C">
        <w:rPr>
          <w:noProof/>
        </w:rPr>
        <w:t xml:space="preserve">[43] Ludwig, S. &amp; Dintsios, C.-M. (2016). Arbitration Board Setting Reimbursement Amounts for Pharmaceutical Innovations in Germany When Price Negations between Payers and Manufacturers Fail: An Empirical Analysis of 5 Years’ Experience. </w:t>
      </w:r>
      <w:r w:rsidRPr="00E5265C">
        <w:rPr>
          <w:i/>
          <w:noProof/>
        </w:rPr>
        <w:t>Value in Health, 19</w:t>
      </w:r>
      <w:r w:rsidRPr="00E5265C">
        <w:rPr>
          <w:noProof/>
        </w:rPr>
        <w:t>(8), 1016-1025.</w:t>
      </w:r>
    </w:p>
    <w:p w14:paraId="51E5285E" w14:textId="043004D7" w:rsidR="00E5265C" w:rsidRPr="00E5265C" w:rsidRDefault="00E5265C" w:rsidP="00E5265C">
      <w:pPr>
        <w:pStyle w:val="EndNoteBibliography"/>
        <w:spacing w:after="0"/>
        <w:ind w:left="720" w:hanging="720"/>
        <w:rPr>
          <w:noProof/>
        </w:rPr>
      </w:pPr>
      <w:r w:rsidRPr="00E5265C">
        <w:rPr>
          <w:noProof/>
        </w:rPr>
        <w:t xml:space="preserve">[44] Medicines Australia. (2023). Reforming Australia’s Health Technology Assessment (HTA) System. Deakin: Medicines Australia. Retrieved 23 August 2023, from: </w:t>
      </w:r>
      <w:hyperlink r:id="rId91" w:history="1">
        <w:r w:rsidRPr="00E5265C">
          <w:rPr>
            <w:rStyle w:val="Hyperlink"/>
            <w:noProof/>
          </w:rPr>
          <w:t>https://www.medicinesaustralia.com.au/policy/health-technology-assessment-hta/</w:t>
        </w:r>
      </w:hyperlink>
      <w:r w:rsidRPr="00E5265C">
        <w:rPr>
          <w:noProof/>
        </w:rPr>
        <w:t>.</w:t>
      </w:r>
    </w:p>
    <w:p w14:paraId="5B2491C8" w14:textId="17BAE594" w:rsidR="00E5265C" w:rsidRPr="00E5265C" w:rsidRDefault="00E5265C" w:rsidP="00E5265C">
      <w:pPr>
        <w:pStyle w:val="EndNoteBibliography"/>
        <w:spacing w:after="0"/>
        <w:ind w:left="720" w:hanging="720"/>
        <w:rPr>
          <w:noProof/>
        </w:rPr>
      </w:pPr>
      <w:r w:rsidRPr="00E5265C">
        <w:rPr>
          <w:noProof/>
        </w:rPr>
        <w:t xml:space="preserve">[45] Merck Sharp &amp; Dohme (Australia) Pty Ltd. (2021). Australians deserve faster access to new medicines. Merck Sharp &amp; Dohme (Australia) Pty Ltd. Retrieved 23 August 2023, from: </w:t>
      </w:r>
      <w:hyperlink r:id="rId92" w:history="1">
        <w:r w:rsidRPr="00E5265C">
          <w:rPr>
            <w:rStyle w:val="Hyperlink"/>
            <w:noProof/>
          </w:rPr>
          <w:t>https://www.msd-australia.com.au/news/parliamentary-inquiry-to-hear-from-pharmaceutical-leaders-today/</w:t>
        </w:r>
      </w:hyperlink>
      <w:r w:rsidRPr="00E5265C">
        <w:rPr>
          <w:noProof/>
        </w:rPr>
        <w:t>.</w:t>
      </w:r>
    </w:p>
    <w:p w14:paraId="15BC18DC" w14:textId="77777777" w:rsidR="00E5265C" w:rsidRPr="00E5265C" w:rsidRDefault="00E5265C" w:rsidP="00E5265C">
      <w:pPr>
        <w:pStyle w:val="EndNoteBibliography"/>
        <w:spacing w:after="0"/>
        <w:ind w:left="720" w:hanging="720"/>
        <w:rPr>
          <w:noProof/>
        </w:rPr>
      </w:pPr>
      <w:r w:rsidRPr="00E5265C">
        <w:rPr>
          <w:noProof/>
        </w:rPr>
        <w:t>[46] Medicines Australia. (2018). Comparison of Access and Reimbursement Environments. Deakin: Medicines Australia.</w:t>
      </w:r>
    </w:p>
    <w:p w14:paraId="7C5B5EF5" w14:textId="423757DA" w:rsidR="00E5265C" w:rsidRPr="00E5265C" w:rsidRDefault="00E5265C" w:rsidP="00E5265C">
      <w:pPr>
        <w:pStyle w:val="EndNoteBibliography"/>
        <w:spacing w:after="0"/>
        <w:ind w:left="720" w:hanging="720"/>
        <w:rPr>
          <w:noProof/>
        </w:rPr>
      </w:pPr>
      <w:r w:rsidRPr="00E5265C">
        <w:rPr>
          <w:noProof/>
        </w:rPr>
        <w:t xml:space="preserve">[47] Center for Drug Evaluation, Taiwan. (2018). Health Technology Assessment. Retrieved 23 August 2023, from: </w:t>
      </w:r>
      <w:hyperlink r:id="rId93" w:history="1">
        <w:r w:rsidRPr="00E5265C">
          <w:rPr>
            <w:rStyle w:val="Hyperlink"/>
            <w:noProof/>
          </w:rPr>
          <w:t>https://www.cde.org.tw/eng/HTA/</w:t>
        </w:r>
      </w:hyperlink>
      <w:r w:rsidRPr="00E5265C">
        <w:rPr>
          <w:noProof/>
        </w:rPr>
        <w:t>.</w:t>
      </w:r>
    </w:p>
    <w:p w14:paraId="7A459C71" w14:textId="2114E11F" w:rsidR="00E5265C" w:rsidRPr="00E5265C" w:rsidRDefault="00E5265C" w:rsidP="00E5265C">
      <w:pPr>
        <w:pStyle w:val="EndNoteBibliography"/>
        <w:spacing w:after="0"/>
        <w:ind w:left="720" w:hanging="720"/>
        <w:rPr>
          <w:noProof/>
        </w:rPr>
      </w:pPr>
      <w:r w:rsidRPr="00E5265C">
        <w:rPr>
          <w:noProof/>
        </w:rPr>
        <w:t xml:space="preserve">[48] Department of Health and Aged Care. (2023). </w:t>
      </w:r>
      <w:r w:rsidRPr="00E5265C">
        <w:rPr>
          <w:i/>
          <w:noProof/>
        </w:rPr>
        <w:t>PBAC Cycle Timeframe for 2023 - 2024</w:t>
      </w:r>
      <w:r w:rsidRPr="00E5265C">
        <w:rPr>
          <w:noProof/>
        </w:rPr>
        <w:t xml:space="preserve">.  Canberra: Australian Government, Department of Health and Aged Care. Retrieved from </w:t>
      </w:r>
      <w:hyperlink r:id="rId94" w:history="1">
        <w:r w:rsidRPr="00E5265C">
          <w:rPr>
            <w:rStyle w:val="Hyperlink"/>
            <w:noProof/>
          </w:rPr>
          <w:t>https://www.pbs.gov.au/info/industry/useful-resources/pbs-calendar</w:t>
        </w:r>
      </w:hyperlink>
      <w:r w:rsidRPr="00E5265C">
        <w:rPr>
          <w:noProof/>
        </w:rPr>
        <w:t>.</w:t>
      </w:r>
    </w:p>
    <w:p w14:paraId="692BAA81" w14:textId="77777777" w:rsidR="00E5265C" w:rsidRPr="00E5265C" w:rsidRDefault="00E5265C" w:rsidP="00E5265C">
      <w:pPr>
        <w:pStyle w:val="EndNoteBibliography"/>
        <w:spacing w:after="0"/>
        <w:ind w:left="720" w:hanging="720"/>
        <w:rPr>
          <w:noProof/>
        </w:rPr>
      </w:pPr>
      <w:r w:rsidRPr="00E5265C">
        <w:rPr>
          <w:noProof/>
        </w:rPr>
        <w:t xml:space="preserve">[49] Anderson, M., Drummond, M., Taylor, D., McGuire, A., Carter, P. &amp; Mossialos, E. (2022). Promoting innovation while controlling cost: The UK's approach to health technology assessment. </w:t>
      </w:r>
      <w:r w:rsidRPr="00E5265C">
        <w:rPr>
          <w:i/>
          <w:noProof/>
        </w:rPr>
        <w:t>Health Policy, 126</w:t>
      </w:r>
      <w:r w:rsidRPr="00E5265C">
        <w:rPr>
          <w:noProof/>
        </w:rPr>
        <w:t>(3), 224-233.</w:t>
      </w:r>
    </w:p>
    <w:p w14:paraId="633A7244" w14:textId="77777777" w:rsidR="00E5265C" w:rsidRPr="00E5265C" w:rsidRDefault="00E5265C" w:rsidP="00E5265C">
      <w:pPr>
        <w:pStyle w:val="EndNoteBibliography"/>
        <w:spacing w:after="0"/>
        <w:ind w:left="720" w:hanging="720"/>
        <w:rPr>
          <w:noProof/>
        </w:rPr>
      </w:pPr>
      <w:r w:rsidRPr="00E5265C">
        <w:rPr>
          <w:noProof/>
        </w:rPr>
        <w:t xml:space="preserve">[50] Lopes, E., Street, J., Carter, D., Merlin, T. &amp; Stafinski, T. (2020). Understanding Canadian Health Technology Assessment through a systems lens. </w:t>
      </w:r>
      <w:r w:rsidRPr="00E5265C">
        <w:rPr>
          <w:i/>
          <w:noProof/>
        </w:rPr>
        <w:t>Health Policy, 124</w:t>
      </w:r>
      <w:r w:rsidRPr="00E5265C">
        <w:rPr>
          <w:noProof/>
        </w:rPr>
        <w:t>(9), 952-958.</w:t>
      </w:r>
    </w:p>
    <w:p w14:paraId="05E272BF" w14:textId="39CC9A24" w:rsidR="00E5265C" w:rsidRPr="00E5265C" w:rsidRDefault="00E5265C" w:rsidP="00E5265C">
      <w:pPr>
        <w:pStyle w:val="EndNoteBibliography"/>
        <w:spacing w:after="0"/>
        <w:ind w:left="720" w:hanging="720"/>
        <w:rPr>
          <w:noProof/>
        </w:rPr>
      </w:pPr>
      <w:r w:rsidRPr="00E5265C">
        <w:rPr>
          <w:noProof/>
        </w:rPr>
        <w:t xml:space="preserve">[51] Beneluxa Initiative on Pharmaceutical Policy. (2023). HTA procedures within the Beneluxa Initiative. Beneluxa Initiative on Pharmaceutical Policy. Retrieved 23 August 2023, from: </w:t>
      </w:r>
      <w:hyperlink r:id="rId95" w:history="1">
        <w:r w:rsidRPr="00E5265C">
          <w:rPr>
            <w:rStyle w:val="Hyperlink"/>
            <w:noProof/>
          </w:rPr>
          <w:t>https://beneluxa.org/HTA_procedures</w:t>
        </w:r>
      </w:hyperlink>
      <w:r w:rsidRPr="00E5265C">
        <w:rPr>
          <w:noProof/>
        </w:rPr>
        <w:t>.</w:t>
      </w:r>
    </w:p>
    <w:p w14:paraId="2453D0D6" w14:textId="77777777" w:rsidR="00E5265C" w:rsidRPr="00E5265C" w:rsidRDefault="00E5265C" w:rsidP="00E5265C">
      <w:pPr>
        <w:pStyle w:val="EndNoteBibliography"/>
        <w:spacing w:after="0"/>
        <w:ind w:left="720" w:hanging="720"/>
        <w:rPr>
          <w:noProof/>
        </w:rPr>
      </w:pPr>
      <w:r w:rsidRPr="00E5265C">
        <w:rPr>
          <w:noProof/>
        </w:rPr>
        <w:t xml:space="preserve">[52] Sharaf, A. (2018). Pharmaceutical market access in Denmark, Sweden, and TheNetherlands: An overview. In G. Kockaya &amp; A. Wertheimer (Eds.), </w:t>
      </w:r>
      <w:r w:rsidRPr="00E5265C">
        <w:rPr>
          <w:i/>
          <w:noProof/>
        </w:rPr>
        <w:t>Pharmaceutical Market Access in Developed Markets</w:t>
      </w:r>
      <w:r w:rsidRPr="00E5265C">
        <w:rPr>
          <w:noProof/>
        </w:rPr>
        <w:t>. Torino: SEED.</w:t>
      </w:r>
    </w:p>
    <w:p w14:paraId="3798C423" w14:textId="77777777" w:rsidR="00E5265C" w:rsidRPr="00E5265C" w:rsidRDefault="00E5265C" w:rsidP="00E5265C">
      <w:pPr>
        <w:pStyle w:val="EndNoteBibliography"/>
        <w:spacing w:after="0"/>
        <w:ind w:left="720" w:hanging="720"/>
        <w:rPr>
          <w:noProof/>
        </w:rPr>
      </w:pPr>
      <w:r w:rsidRPr="00E5265C">
        <w:rPr>
          <w:noProof/>
        </w:rPr>
        <w:t xml:space="preserve">[53] Bae, E.-Y. (2019). Role of Health Technology Assessment in Drug Policies: Korea. </w:t>
      </w:r>
      <w:r w:rsidRPr="00E5265C">
        <w:rPr>
          <w:i/>
          <w:noProof/>
        </w:rPr>
        <w:t>Value in Health Regional Issues, 18</w:t>
      </w:r>
      <w:r w:rsidRPr="00E5265C">
        <w:rPr>
          <w:noProof/>
        </w:rPr>
        <w:t>, 24-29.</w:t>
      </w:r>
    </w:p>
    <w:p w14:paraId="2C4D3D4B" w14:textId="130B46FC" w:rsidR="00E5265C" w:rsidRPr="00E5265C" w:rsidRDefault="00E5265C" w:rsidP="00E5265C">
      <w:pPr>
        <w:pStyle w:val="EndNoteBibliography"/>
        <w:spacing w:after="0"/>
        <w:ind w:left="720" w:hanging="720"/>
        <w:rPr>
          <w:noProof/>
        </w:rPr>
      </w:pPr>
      <w:r w:rsidRPr="00E5265C">
        <w:rPr>
          <w:noProof/>
        </w:rPr>
        <w:t xml:space="preserve">[54] Core2Health. (2022). Roles of C2H in cost-effectiveness evaluation. National Institute of Public Health, C2H. Retrieved 23 August 2023, from: </w:t>
      </w:r>
      <w:hyperlink r:id="rId96" w:history="1">
        <w:r w:rsidRPr="00E5265C">
          <w:rPr>
            <w:rStyle w:val="Hyperlink"/>
            <w:noProof/>
          </w:rPr>
          <w:t>https://c2h.niph.go.jp/en/assessment/roles/</w:t>
        </w:r>
      </w:hyperlink>
      <w:r w:rsidRPr="00E5265C">
        <w:rPr>
          <w:noProof/>
        </w:rPr>
        <w:t>.</w:t>
      </w:r>
    </w:p>
    <w:p w14:paraId="7979AB1F" w14:textId="54ADEE1C" w:rsidR="00E5265C" w:rsidRPr="00E5265C" w:rsidRDefault="00E5265C" w:rsidP="00E5265C">
      <w:pPr>
        <w:pStyle w:val="EndNoteBibliography"/>
        <w:spacing w:after="0"/>
        <w:ind w:left="720" w:hanging="720"/>
        <w:rPr>
          <w:noProof/>
        </w:rPr>
      </w:pPr>
      <w:r w:rsidRPr="00E5265C">
        <w:rPr>
          <w:noProof/>
        </w:rPr>
        <w:t xml:space="preserve">[55] The Pharmaceutical Management Agency (PHARMAC). (2023). Prioritisation: How we decide which medicines need funding first. Wellington: New Zealand Government, The Pharmaceutical Management Agency (PHARMAC). Retrieved 23 August 2023, from: </w:t>
      </w:r>
      <w:hyperlink r:id="rId97" w:anchor="howlong" w:history="1">
        <w:r w:rsidRPr="00E5265C">
          <w:rPr>
            <w:rStyle w:val="Hyperlink"/>
            <w:noProof/>
          </w:rPr>
          <w:t>https://pharmac.govt.nz/medicine-funding-and-supply/the-funding-process/prioritisation/#howlong</w:t>
        </w:r>
      </w:hyperlink>
      <w:r w:rsidRPr="00E5265C">
        <w:rPr>
          <w:noProof/>
        </w:rPr>
        <w:t>.</w:t>
      </w:r>
    </w:p>
    <w:p w14:paraId="594A29B3" w14:textId="77777777" w:rsidR="00E5265C" w:rsidRPr="00E5265C" w:rsidRDefault="00E5265C" w:rsidP="00E5265C">
      <w:pPr>
        <w:pStyle w:val="EndNoteBibliography"/>
        <w:spacing w:after="0"/>
        <w:ind w:left="720" w:hanging="720"/>
        <w:rPr>
          <w:noProof/>
        </w:rPr>
      </w:pPr>
      <w:r w:rsidRPr="00E5265C">
        <w:rPr>
          <w:noProof/>
        </w:rPr>
        <w:t>[56] Wang, T., Cai, J., McAuslane, N. &amp; Munro, J. (2019). R&amp;D Briefing 73: Review of HTA outcomes and timelines in Australia, Canada and Europe 2014 -2018. London: C. f. I. i. R. Science.</w:t>
      </w:r>
    </w:p>
    <w:p w14:paraId="607678ED" w14:textId="0C765E00" w:rsidR="00E5265C" w:rsidRPr="00E5265C" w:rsidRDefault="00E5265C" w:rsidP="00E5265C">
      <w:pPr>
        <w:pStyle w:val="EndNoteBibliography"/>
        <w:spacing w:after="0"/>
        <w:ind w:left="720" w:hanging="720"/>
        <w:rPr>
          <w:noProof/>
        </w:rPr>
      </w:pPr>
      <w:r w:rsidRPr="00E5265C">
        <w:rPr>
          <w:noProof/>
        </w:rPr>
        <w:t xml:space="preserve">[57] Dana Sarnak, D. S., Greg Kuzmak, Shawn Bishop. (2017). Paying for Prescription Drugs Around the World: Why Is the U.S. an Outlier? </w:t>
      </w:r>
      <w:hyperlink r:id="rId98" w:history="1">
        <w:r w:rsidRPr="00E5265C">
          <w:rPr>
            <w:rStyle w:val="Hyperlink"/>
            <w:noProof/>
          </w:rPr>
          <w:t>https://www.commonwealthfund.org/</w:t>
        </w:r>
      </w:hyperlink>
      <w:r w:rsidRPr="00E5265C">
        <w:rPr>
          <w:noProof/>
        </w:rPr>
        <w:t>.</w:t>
      </w:r>
    </w:p>
    <w:p w14:paraId="4EE3DAF1" w14:textId="09ADF901" w:rsidR="00E5265C" w:rsidRPr="00E5265C" w:rsidRDefault="00E5265C" w:rsidP="00E5265C">
      <w:pPr>
        <w:pStyle w:val="EndNoteBibliography"/>
        <w:spacing w:after="0"/>
        <w:ind w:left="720" w:hanging="720"/>
        <w:rPr>
          <w:noProof/>
        </w:rPr>
      </w:pPr>
      <w:r w:rsidRPr="00E5265C">
        <w:rPr>
          <w:noProof/>
        </w:rPr>
        <w:t xml:space="preserve">[58] Kurani, N., Cotliar, D. &amp; Cox, C. (2022). How do prescription drug costs in the United States compare to other countries? : Peterson-KFF. Retrieved 23 August 2023, from: </w:t>
      </w:r>
      <w:hyperlink r:id="rId99" w:anchor="Per%20capita%20prescribed%20medicine%20spending,%20U.S.%20dollars,%202004-2019" w:history="1">
        <w:r w:rsidRPr="00E5265C">
          <w:rPr>
            <w:rStyle w:val="Hyperlink"/>
            <w:noProof/>
          </w:rPr>
          <w:t>https://www.healthsystemtracker.org/chart-collection/how-do-prescription-drug-costs-in-the-united-states-compare-to-other-countries/#Per%20capita%20prescribed%20medicine%20spending,%20U.S.%20dollars,%202004-2019</w:t>
        </w:r>
      </w:hyperlink>
      <w:r w:rsidRPr="00E5265C">
        <w:rPr>
          <w:noProof/>
        </w:rPr>
        <w:t>.</w:t>
      </w:r>
    </w:p>
    <w:p w14:paraId="45DC1276" w14:textId="77777777" w:rsidR="00E5265C" w:rsidRPr="00E5265C" w:rsidRDefault="00E5265C" w:rsidP="00E5265C">
      <w:pPr>
        <w:pStyle w:val="EndNoteBibliography"/>
        <w:spacing w:after="0"/>
        <w:ind w:left="720" w:hanging="720"/>
        <w:rPr>
          <w:noProof/>
        </w:rPr>
      </w:pPr>
      <w:r w:rsidRPr="00E5265C">
        <w:rPr>
          <w:noProof/>
        </w:rPr>
        <w:t xml:space="preserve">[59] Conway, J. (2013). The role of companion diagnostic testing in payer decision making. </w:t>
      </w:r>
      <w:r w:rsidRPr="00E5265C">
        <w:rPr>
          <w:i/>
          <w:noProof/>
        </w:rPr>
        <w:t>American Journal of Managed Care, 19</w:t>
      </w:r>
      <w:r w:rsidRPr="00E5265C">
        <w:rPr>
          <w:noProof/>
        </w:rPr>
        <w:t>(1 Spec No), cover, SP44-45.</w:t>
      </w:r>
    </w:p>
    <w:p w14:paraId="0DFE4B57" w14:textId="02496CB7" w:rsidR="00E5265C" w:rsidRPr="00E5265C" w:rsidRDefault="00E5265C" w:rsidP="00E5265C">
      <w:pPr>
        <w:pStyle w:val="EndNoteBibliography"/>
        <w:spacing w:after="0"/>
        <w:ind w:left="720" w:hanging="720"/>
        <w:rPr>
          <w:noProof/>
        </w:rPr>
      </w:pPr>
      <w:r w:rsidRPr="00E5265C">
        <w:rPr>
          <w:noProof/>
        </w:rPr>
        <w:t xml:space="preserve">[60] ReportBuyer. (2014). Companion diagnostics: Technologies and markets. ReportBuyer. Retrieved 23 August 2023, from: </w:t>
      </w:r>
      <w:hyperlink r:id="rId100" w:history="1">
        <w:r w:rsidRPr="00E5265C">
          <w:rPr>
            <w:rStyle w:val="Hyperlink"/>
            <w:noProof/>
          </w:rPr>
          <w:t>https://www.prnewswire.com/news-releases/companion-diagnostics-technologies-and-markets-273660871.html</w:t>
        </w:r>
      </w:hyperlink>
      <w:r w:rsidRPr="00E5265C">
        <w:rPr>
          <w:noProof/>
        </w:rPr>
        <w:t>.</w:t>
      </w:r>
    </w:p>
    <w:p w14:paraId="74656090" w14:textId="6FDC4325" w:rsidR="00E5265C" w:rsidRPr="00E5265C" w:rsidRDefault="00E5265C" w:rsidP="00E5265C">
      <w:pPr>
        <w:pStyle w:val="EndNoteBibliography"/>
        <w:spacing w:after="0"/>
        <w:ind w:left="720" w:hanging="720"/>
        <w:rPr>
          <w:noProof/>
        </w:rPr>
      </w:pPr>
      <w:r w:rsidRPr="00E5265C">
        <w:rPr>
          <w:noProof/>
        </w:rPr>
        <w:t xml:space="preserve">[61] Markets and Markets. (2022). Companion Diagnostics Market by Product (Assays, Kits, Software &amp; Services), Technology (PCR, NGS, ISH, IHC), Indication (Breast, Blood, Lung, Colorectal Cancer, Neurology Diseases), End User (Pharma Companies, CROs) &amp;&amp; Region - Global Forecast to 2026. Markets and Markets. from: </w:t>
      </w:r>
      <w:hyperlink r:id="rId101" w:history="1">
        <w:r w:rsidRPr="00E5265C">
          <w:rPr>
            <w:rStyle w:val="Hyperlink"/>
            <w:noProof/>
          </w:rPr>
          <w:t>https://www.marketsandmarkets.com/Market-Reports/companion-diagnostics-market-155571681.html</w:t>
        </w:r>
      </w:hyperlink>
      <w:r w:rsidRPr="00E5265C">
        <w:rPr>
          <w:noProof/>
        </w:rPr>
        <w:t>.</w:t>
      </w:r>
    </w:p>
    <w:p w14:paraId="70DC4342" w14:textId="77777777" w:rsidR="00E5265C" w:rsidRPr="00E5265C" w:rsidRDefault="00E5265C" w:rsidP="00E5265C">
      <w:pPr>
        <w:pStyle w:val="EndNoteBibliography"/>
        <w:spacing w:after="0"/>
        <w:ind w:left="720" w:hanging="720"/>
        <w:rPr>
          <w:noProof/>
        </w:rPr>
      </w:pPr>
      <w:r w:rsidRPr="00E5265C">
        <w:rPr>
          <w:noProof/>
        </w:rPr>
        <w:t xml:space="preserve">[62] Enzmann, H., Meyer, R. &amp; Broich, K. (2016). The new EU regulation on in vitro diagnostics: potential issues at the interface of medicines and companion diagnostics. </w:t>
      </w:r>
      <w:r w:rsidRPr="00E5265C">
        <w:rPr>
          <w:i/>
          <w:noProof/>
        </w:rPr>
        <w:t>Biomarkers in Medicine, 10</w:t>
      </w:r>
      <w:r w:rsidRPr="00E5265C">
        <w:rPr>
          <w:noProof/>
        </w:rPr>
        <w:t>(12), 1261-1268.</w:t>
      </w:r>
    </w:p>
    <w:p w14:paraId="3D9F03D9" w14:textId="77777777" w:rsidR="00E5265C" w:rsidRPr="00E5265C" w:rsidRDefault="00E5265C" w:rsidP="00E5265C">
      <w:pPr>
        <w:pStyle w:val="EndNoteBibliography"/>
        <w:spacing w:after="0"/>
        <w:ind w:left="720" w:hanging="720"/>
        <w:rPr>
          <w:noProof/>
        </w:rPr>
      </w:pPr>
      <w:r w:rsidRPr="00E5265C">
        <w:rPr>
          <w:noProof/>
        </w:rPr>
        <w:t>[63] The Federation of European Academies of Medicine (FEAM). (2018). Companion diagnostics and precision medicine: regulatory and uptake barriers to patient access. Brussels: The Federation of European Academies of Medicine (FEAM).</w:t>
      </w:r>
    </w:p>
    <w:p w14:paraId="3E9201E3" w14:textId="77777777" w:rsidR="00E5265C" w:rsidRPr="00E5265C" w:rsidRDefault="00E5265C" w:rsidP="00E5265C">
      <w:pPr>
        <w:pStyle w:val="EndNoteBibliography"/>
        <w:spacing w:after="0"/>
        <w:ind w:left="720" w:hanging="720"/>
        <w:rPr>
          <w:noProof/>
        </w:rPr>
      </w:pPr>
      <w:r w:rsidRPr="00E5265C">
        <w:rPr>
          <w:noProof/>
        </w:rPr>
        <w:t xml:space="preserve">[64] Byron, S., Crabb, N., George, E., Marlow, M. &amp; Newland, A. (2014). The Health Technology Assessment of companion diagnostics: experience of NICE. </w:t>
      </w:r>
      <w:r w:rsidRPr="00E5265C">
        <w:rPr>
          <w:i/>
          <w:noProof/>
        </w:rPr>
        <w:t>Clinical Cancer Research, 20</w:t>
      </w:r>
      <w:r w:rsidRPr="00E5265C">
        <w:rPr>
          <w:noProof/>
        </w:rPr>
        <w:t>(6), 1469-1476.</w:t>
      </w:r>
    </w:p>
    <w:p w14:paraId="7200C6E9" w14:textId="77777777" w:rsidR="00E5265C" w:rsidRPr="00E5265C" w:rsidRDefault="00E5265C" w:rsidP="00E5265C">
      <w:pPr>
        <w:pStyle w:val="EndNoteBibliography"/>
        <w:spacing w:after="0"/>
        <w:ind w:left="720" w:hanging="720"/>
        <w:rPr>
          <w:noProof/>
        </w:rPr>
      </w:pPr>
      <w:r w:rsidRPr="00E5265C">
        <w:rPr>
          <w:noProof/>
        </w:rPr>
        <w:t xml:space="preserve">[65] Kasztura, M., Richard, A., Bempong, N. E., Loncar, D. &amp; Flahault, A. (2019). Cost-effectiveness of precision medicine: a scoping review. </w:t>
      </w:r>
      <w:r w:rsidRPr="00E5265C">
        <w:rPr>
          <w:i/>
          <w:noProof/>
        </w:rPr>
        <w:t>International Journal of Public Health, 64</w:t>
      </w:r>
      <w:r w:rsidRPr="00E5265C">
        <w:rPr>
          <w:noProof/>
        </w:rPr>
        <w:t>(9), 1261-1271.</w:t>
      </w:r>
    </w:p>
    <w:p w14:paraId="5D5C469B" w14:textId="77777777" w:rsidR="00E5265C" w:rsidRPr="00E5265C" w:rsidRDefault="00E5265C" w:rsidP="00E5265C">
      <w:pPr>
        <w:pStyle w:val="EndNoteBibliography"/>
        <w:spacing w:after="0"/>
        <w:ind w:left="720" w:hanging="720"/>
        <w:rPr>
          <w:noProof/>
        </w:rPr>
      </w:pPr>
      <w:r w:rsidRPr="00E5265C">
        <w:rPr>
          <w:noProof/>
        </w:rPr>
        <w:t xml:space="preserve">[66] Gomez Montero, M., El Alili, H., Hashim, M., Wigfield, P., Dimova, M., Riley, R. &amp; Pascoe, K. (2022). How are Companion Diagnostics Considered in Economic Evaluations of Oncology Treatments? A Review of Health Technology Assessments. </w:t>
      </w:r>
      <w:r w:rsidRPr="00E5265C">
        <w:rPr>
          <w:i/>
          <w:noProof/>
        </w:rPr>
        <w:t>PharmacoEconomics - Open, 6</w:t>
      </w:r>
      <w:r w:rsidRPr="00E5265C">
        <w:rPr>
          <w:noProof/>
        </w:rPr>
        <w:t>(5), 637-646.</w:t>
      </w:r>
    </w:p>
    <w:p w14:paraId="1D7D8979" w14:textId="77777777" w:rsidR="00E5265C" w:rsidRPr="00E5265C" w:rsidRDefault="00E5265C" w:rsidP="00E5265C">
      <w:pPr>
        <w:pStyle w:val="EndNoteBibliography"/>
        <w:spacing w:after="0"/>
        <w:ind w:left="720" w:hanging="720"/>
        <w:rPr>
          <w:noProof/>
        </w:rPr>
      </w:pPr>
      <w:r w:rsidRPr="00E5265C">
        <w:rPr>
          <w:noProof/>
        </w:rPr>
        <w:t xml:space="preserve">[67] Jørgensen, J., Winther, H., Askaa, J., Andresen, L., Olsen, D. &amp; Mollerup, J. (2021). A Companion Diagnostic With Significant Clinical Impact in Treatment of Breast and Gastric Cancer. </w:t>
      </w:r>
      <w:r w:rsidRPr="00E5265C">
        <w:rPr>
          <w:i/>
          <w:noProof/>
        </w:rPr>
        <w:t>Front Oncol, 11</w:t>
      </w:r>
      <w:r w:rsidRPr="00E5265C">
        <w:rPr>
          <w:noProof/>
        </w:rPr>
        <w:t>, 676939.</w:t>
      </w:r>
    </w:p>
    <w:p w14:paraId="30FB37A2" w14:textId="77777777" w:rsidR="00E5265C" w:rsidRPr="00E5265C" w:rsidRDefault="00E5265C" w:rsidP="00E5265C">
      <w:pPr>
        <w:pStyle w:val="EndNoteBibliography"/>
        <w:spacing w:after="0"/>
        <w:ind w:left="720" w:hanging="720"/>
        <w:rPr>
          <w:noProof/>
        </w:rPr>
      </w:pPr>
      <w:r w:rsidRPr="00E5265C">
        <w:rPr>
          <w:noProof/>
        </w:rPr>
        <w:t xml:space="preserve">[68] San Miguel, L. &amp; Hulstaert, F. (2015). The importance of test accuracy in economic evaluations of companion diagnostics. </w:t>
      </w:r>
      <w:r w:rsidRPr="00E5265C">
        <w:rPr>
          <w:i/>
          <w:noProof/>
        </w:rPr>
        <w:t>Journal of Comparative Effectiveness Research, 4</w:t>
      </w:r>
      <w:r w:rsidRPr="00E5265C">
        <w:rPr>
          <w:noProof/>
        </w:rPr>
        <w:t>(6), 569-577.</w:t>
      </w:r>
    </w:p>
    <w:p w14:paraId="7073C483" w14:textId="77777777" w:rsidR="00E5265C" w:rsidRPr="00E5265C" w:rsidRDefault="00E5265C" w:rsidP="00E5265C">
      <w:pPr>
        <w:pStyle w:val="EndNoteBibliography"/>
        <w:spacing w:after="0"/>
        <w:ind w:left="720" w:hanging="720"/>
        <w:rPr>
          <w:noProof/>
        </w:rPr>
      </w:pPr>
      <w:r w:rsidRPr="00E5265C">
        <w:rPr>
          <w:noProof/>
        </w:rPr>
        <w:t xml:space="preserve">[69] Govaerts, L., Simoens, S., Van Dyck, W. &amp; Huys, I. (2020). Shedding Light on Reimbursement Policies of Companion Diagnostics in European Countries. </w:t>
      </w:r>
      <w:r w:rsidRPr="00E5265C">
        <w:rPr>
          <w:i/>
          <w:noProof/>
        </w:rPr>
        <w:t>Value in Health, 23</w:t>
      </w:r>
      <w:r w:rsidRPr="00E5265C">
        <w:rPr>
          <w:noProof/>
        </w:rPr>
        <w:t>(5), 606-615.</w:t>
      </w:r>
    </w:p>
    <w:p w14:paraId="75511D36" w14:textId="1C9EB419" w:rsidR="00E5265C" w:rsidRPr="00E5265C" w:rsidRDefault="00E5265C" w:rsidP="00E5265C">
      <w:pPr>
        <w:pStyle w:val="EndNoteBibliography"/>
        <w:spacing w:after="0"/>
        <w:ind w:left="720" w:hanging="720"/>
        <w:rPr>
          <w:noProof/>
        </w:rPr>
      </w:pPr>
      <w:r w:rsidRPr="00E5265C">
        <w:rPr>
          <w:noProof/>
        </w:rPr>
        <w:t xml:space="preserve">[70] Department of Health and Aged Care. (2016). Product type 4 – Codependent technologies. Canberra: Australian Government, Department of Health and Aged Care. Retrieved 23 August 2023, from: </w:t>
      </w:r>
      <w:hyperlink r:id="rId102" w:history="1">
        <w:r w:rsidRPr="00E5265C">
          <w:rPr>
            <w:rStyle w:val="Hyperlink"/>
            <w:noProof/>
          </w:rPr>
          <w:t>https://pbac.pbs.gov.au/product-type-4-codependent-technologies.html</w:t>
        </w:r>
      </w:hyperlink>
      <w:r w:rsidRPr="00E5265C">
        <w:rPr>
          <w:noProof/>
        </w:rPr>
        <w:t>.</w:t>
      </w:r>
    </w:p>
    <w:p w14:paraId="3024C756" w14:textId="77777777" w:rsidR="00E5265C" w:rsidRPr="00E5265C" w:rsidRDefault="00E5265C" w:rsidP="00E5265C">
      <w:pPr>
        <w:pStyle w:val="EndNoteBibliography"/>
        <w:spacing w:after="0"/>
        <w:ind w:left="720" w:hanging="720"/>
        <w:rPr>
          <w:noProof/>
        </w:rPr>
      </w:pPr>
      <w:r w:rsidRPr="00E5265C">
        <w:rPr>
          <w:noProof/>
        </w:rPr>
        <w:t xml:space="preserve">[71] Tran, G., Underwood, B. &amp; Wonder, M. (2019). Are cancer drugs associated with a companion diagnostic test taking longer to be reimbursed in Australia? </w:t>
      </w:r>
      <w:r w:rsidRPr="00E5265C">
        <w:rPr>
          <w:i/>
          <w:noProof/>
        </w:rPr>
        <w:t>Value in Health, 22</w:t>
      </w:r>
      <w:r w:rsidRPr="00E5265C">
        <w:rPr>
          <w:noProof/>
        </w:rPr>
        <w:t>, S505.</w:t>
      </w:r>
    </w:p>
    <w:p w14:paraId="60621BEB" w14:textId="77777777" w:rsidR="00E5265C" w:rsidRPr="00E5265C" w:rsidRDefault="00E5265C" w:rsidP="00E5265C">
      <w:pPr>
        <w:pStyle w:val="EndNoteBibliography"/>
        <w:spacing w:after="0"/>
        <w:ind w:left="720" w:hanging="720"/>
        <w:rPr>
          <w:noProof/>
        </w:rPr>
      </w:pPr>
      <w:r w:rsidRPr="00E5265C">
        <w:rPr>
          <w:noProof/>
        </w:rPr>
        <w:t>[72] Canadian Agency for Drugs and Technologies in Health (CADTH). (2023). Challenges in Regulating and Evaluating Precision Medicine Technologies. Ottowa: Canadian Agency for Drugs and Technologies in Health (CADTH).</w:t>
      </w:r>
    </w:p>
    <w:p w14:paraId="1B10740D" w14:textId="77777777" w:rsidR="00E5265C" w:rsidRPr="00E5265C" w:rsidRDefault="00E5265C" w:rsidP="00E5265C">
      <w:pPr>
        <w:pStyle w:val="EndNoteBibliography"/>
        <w:spacing w:after="0"/>
        <w:ind w:left="720" w:hanging="720"/>
        <w:rPr>
          <w:noProof/>
        </w:rPr>
      </w:pPr>
      <w:r w:rsidRPr="00E5265C">
        <w:rPr>
          <w:noProof/>
        </w:rPr>
        <w:t>[73] Department of Health and Aged Care. (2020). 2020–25 National Health Reform Agreement (NHRA). Canberra: Australian Government, Department of Health and Aged Care.</w:t>
      </w:r>
    </w:p>
    <w:p w14:paraId="0E578FAB" w14:textId="77777777" w:rsidR="00E5265C" w:rsidRPr="00E5265C" w:rsidRDefault="00E5265C" w:rsidP="00E5265C">
      <w:pPr>
        <w:pStyle w:val="EndNoteBibliography"/>
        <w:spacing w:after="0"/>
        <w:ind w:left="720" w:hanging="720"/>
        <w:rPr>
          <w:noProof/>
        </w:rPr>
      </w:pPr>
      <w:r w:rsidRPr="00E5265C">
        <w:rPr>
          <w:noProof/>
        </w:rPr>
        <w:t>[74] Department of Health and Aged Care. (2021). National Health Reform Agreement (NHRA) – Long-term health reforms roadmap. Canberra: Australian Government, Department of Health and Aged Care.</w:t>
      </w:r>
    </w:p>
    <w:p w14:paraId="74EB6DAF" w14:textId="77777777" w:rsidR="00E5265C" w:rsidRPr="00E5265C" w:rsidRDefault="00E5265C" w:rsidP="00E5265C">
      <w:pPr>
        <w:pStyle w:val="EndNoteBibliography"/>
        <w:spacing w:after="0"/>
        <w:ind w:left="720" w:hanging="720"/>
        <w:rPr>
          <w:noProof/>
        </w:rPr>
      </w:pPr>
      <w:r w:rsidRPr="00E5265C">
        <w:rPr>
          <w:noProof/>
        </w:rPr>
        <w:t>[75] Department of Health and Aged Care. (2023). NHRA Mid-term Review Final Report. Canberra: Australian Government Department, of Health and Aged Care.</w:t>
      </w:r>
    </w:p>
    <w:p w14:paraId="3B48C16C" w14:textId="2698D11C" w:rsidR="00E5265C" w:rsidRPr="00E5265C" w:rsidRDefault="00E5265C" w:rsidP="00E5265C">
      <w:pPr>
        <w:pStyle w:val="EndNoteBibliography"/>
        <w:spacing w:after="0"/>
        <w:ind w:left="720" w:hanging="720"/>
        <w:rPr>
          <w:noProof/>
        </w:rPr>
      </w:pPr>
      <w:r w:rsidRPr="00E5265C">
        <w:rPr>
          <w:noProof/>
        </w:rPr>
        <w:t xml:space="preserve">[76] World Health Organization. (2021). Health Equity. Geneva. from: </w:t>
      </w:r>
      <w:hyperlink r:id="rId103" w:anchor="tab=tab_1" w:history="1">
        <w:r w:rsidRPr="00E5265C">
          <w:rPr>
            <w:rStyle w:val="Hyperlink"/>
            <w:noProof/>
          </w:rPr>
          <w:t>https://www.who.int/health-topics/health-equity#tab=tab_1</w:t>
        </w:r>
      </w:hyperlink>
      <w:r w:rsidRPr="00E5265C">
        <w:rPr>
          <w:noProof/>
        </w:rPr>
        <w:t>.</w:t>
      </w:r>
    </w:p>
    <w:p w14:paraId="12EB0F09" w14:textId="77777777" w:rsidR="00E5265C" w:rsidRPr="00E5265C" w:rsidRDefault="00E5265C" w:rsidP="00E5265C">
      <w:pPr>
        <w:pStyle w:val="EndNoteBibliography"/>
        <w:spacing w:after="0"/>
        <w:ind w:left="720" w:hanging="720"/>
        <w:rPr>
          <w:noProof/>
        </w:rPr>
      </w:pPr>
      <w:r w:rsidRPr="00E5265C">
        <w:rPr>
          <w:noProof/>
        </w:rPr>
        <w:t xml:space="preserve">[77] Culyer, A. J. &amp; Bombard, Y. (2012). An equity framework for health technology assessments. </w:t>
      </w:r>
      <w:r w:rsidRPr="00E5265C">
        <w:rPr>
          <w:i/>
          <w:noProof/>
        </w:rPr>
        <w:t>Med Decis Making, 32</w:t>
      </w:r>
      <w:r w:rsidRPr="00E5265C">
        <w:rPr>
          <w:noProof/>
        </w:rPr>
        <w:t>(3), 428-441.</w:t>
      </w:r>
    </w:p>
    <w:p w14:paraId="7A332EC4" w14:textId="77777777" w:rsidR="00E5265C" w:rsidRPr="00E5265C" w:rsidRDefault="00E5265C" w:rsidP="00E5265C">
      <w:pPr>
        <w:pStyle w:val="EndNoteBibliography"/>
        <w:spacing w:after="0"/>
        <w:ind w:left="720" w:hanging="720"/>
        <w:rPr>
          <w:noProof/>
        </w:rPr>
      </w:pPr>
      <w:r w:rsidRPr="00E5265C">
        <w:rPr>
          <w:noProof/>
        </w:rPr>
        <w:t xml:space="preserve">[78] Cookson, R., Mirelman, A. J., Griffin, S., Asaria, M., Dawkins, B., Norheim, O. F., Verguet, S. &amp; A, J. C. (2017). Using Cost-Effectiveness Analysis to Address Health Equity Concerns. </w:t>
      </w:r>
      <w:r w:rsidRPr="00E5265C">
        <w:rPr>
          <w:i/>
          <w:noProof/>
        </w:rPr>
        <w:t>Value Health, 20</w:t>
      </w:r>
      <w:r w:rsidRPr="00E5265C">
        <w:rPr>
          <w:noProof/>
        </w:rPr>
        <w:t>(2), 206-212.</w:t>
      </w:r>
    </w:p>
    <w:p w14:paraId="0573637E" w14:textId="77777777" w:rsidR="00E5265C" w:rsidRPr="00E5265C" w:rsidRDefault="00E5265C" w:rsidP="00E5265C">
      <w:pPr>
        <w:pStyle w:val="EndNoteBibliography"/>
        <w:spacing w:after="0"/>
        <w:ind w:left="720" w:hanging="720"/>
        <w:rPr>
          <w:noProof/>
        </w:rPr>
      </w:pPr>
      <w:r w:rsidRPr="00E5265C">
        <w:rPr>
          <w:noProof/>
        </w:rPr>
        <w:t xml:space="preserve">[79] Van de Wetering, E., Stolk, E., Van Exel, N. &amp; Brouwer, W. B. (2013). Balancing equity and efficiency in the Dutch basic benefits package using the principle of proportional shortfall. </w:t>
      </w:r>
      <w:r w:rsidRPr="00E5265C">
        <w:rPr>
          <w:i/>
          <w:noProof/>
        </w:rPr>
        <w:t>The European journal of health economics, 14</w:t>
      </w:r>
      <w:r w:rsidRPr="00E5265C">
        <w:rPr>
          <w:noProof/>
        </w:rPr>
        <w:t>, 107-115.</w:t>
      </w:r>
    </w:p>
    <w:p w14:paraId="769F45D8" w14:textId="77777777" w:rsidR="00E5265C" w:rsidRPr="00E5265C" w:rsidRDefault="00E5265C" w:rsidP="00E5265C">
      <w:pPr>
        <w:pStyle w:val="EndNoteBibliography"/>
        <w:spacing w:after="0"/>
        <w:ind w:left="720" w:hanging="720"/>
        <w:rPr>
          <w:noProof/>
        </w:rPr>
      </w:pPr>
      <w:r w:rsidRPr="00E5265C">
        <w:rPr>
          <w:noProof/>
        </w:rPr>
        <w:t xml:space="preserve">[80] Adkins, E. M., Nicholson, L., Floyd, D., Ratcliffe, M. &amp; Chevrou-Severac, H. (2017). Oncology drugs for orphan indications: how are HTA processes evolving for this specific drug category? </w:t>
      </w:r>
      <w:r w:rsidRPr="00E5265C">
        <w:rPr>
          <w:i/>
          <w:noProof/>
        </w:rPr>
        <w:t>ClinicoEconomics and outcomes research : CEOR, 9</w:t>
      </w:r>
      <w:r w:rsidRPr="00E5265C">
        <w:rPr>
          <w:noProof/>
        </w:rPr>
        <w:t>, 327-342.</w:t>
      </w:r>
    </w:p>
    <w:p w14:paraId="6BF85B31" w14:textId="77777777" w:rsidR="00E5265C" w:rsidRPr="00E5265C" w:rsidRDefault="00E5265C" w:rsidP="00E5265C">
      <w:pPr>
        <w:pStyle w:val="EndNoteBibliography"/>
        <w:spacing w:after="0"/>
        <w:ind w:left="720" w:hanging="720"/>
        <w:rPr>
          <w:noProof/>
        </w:rPr>
      </w:pPr>
      <w:r w:rsidRPr="00E5265C">
        <w:rPr>
          <w:noProof/>
        </w:rPr>
        <w:t xml:space="preserve">[81] Jansen, J. P., Trikalinos, T. A. &amp; Phillips, K. A. (2022). Assessments of the Value of New Interventions Should Include Health Equity Impact. </w:t>
      </w:r>
      <w:r w:rsidRPr="00E5265C">
        <w:rPr>
          <w:i/>
          <w:noProof/>
        </w:rPr>
        <w:t>PharmacoEconomics, 40</w:t>
      </w:r>
      <w:r w:rsidRPr="00E5265C">
        <w:rPr>
          <w:noProof/>
        </w:rPr>
        <w:t>(5), 489-495.</w:t>
      </w:r>
    </w:p>
    <w:p w14:paraId="44495014" w14:textId="77777777" w:rsidR="00E5265C" w:rsidRPr="00E5265C" w:rsidRDefault="00E5265C" w:rsidP="00E5265C">
      <w:pPr>
        <w:pStyle w:val="EndNoteBibliography"/>
        <w:spacing w:after="0"/>
        <w:ind w:left="720" w:hanging="720"/>
        <w:rPr>
          <w:noProof/>
        </w:rPr>
      </w:pPr>
      <w:r w:rsidRPr="00E5265C">
        <w:rPr>
          <w:noProof/>
        </w:rPr>
        <w:t>[82] Department of Health and Aged Care. (2022). National Medicines Policy. Canberra: Australian Government, Department of Health and Aged Care.</w:t>
      </w:r>
    </w:p>
    <w:p w14:paraId="46EEED22" w14:textId="6AE8FC03" w:rsidR="00E5265C" w:rsidRPr="00E5265C" w:rsidRDefault="00E5265C" w:rsidP="00E5265C">
      <w:pPr>
        <w:pStyle w:val="EndNoteBibliography"/>
        <w:spacing w:after="0"/>
        <w:ind w:left="720" w:hanging="720"/>
        <w:rPr>
          <w:noProof/>
        </w:rPr>
      </w:pPr>
      <w:r w:rsidRPr="00E5265C">
        <w:rPr>
          <w:noProof/>
        </w:rPr>
        <w:t xml:space="preserve">[83] National Institute for Health and Care Excellence (NICE). (2023). Our principles: The principles that guide the development of NICE guidance and standards. Manchester: 2023. Retrieved 16 August 2023, from: </w:t>
      </w:r>
      <w:hyperlink r:id="rId104" w:history="1">
        <w:r w:rsidRPr="00E5265C">
          <w:rPr>
            <w:rStyle w:val="Hyperlink"/>
            <w:noProof/>
          </w:rPr>
          <w:t>https://www.nice.org.uk/about/who-we-are/our-principles</w:t>
        </w:r>
      </w:hyperlink>
      <w:r w:rsidRPr="00E5265C">
        <w:rPr>
          <w:noProof/>
        </w:rPr>
        <w:t>.</w:t>
      </w:r>
    </w:p>
    <w:p w14:paraId="5ACB459E" w14:textId="77777777" w:rsidR="00E5265C" w:rsidRPr="00E5265C" w:rsidRDefault="00E5265C" w:rsidP="00E5265C">
      <w:pPr>
        <w:pStyle w:val="EndNoteBibliography"/>
        <w:spacing w:after="0"/>
        <w:ind w:left="720" w:hanging="720"/>
        <w:rPr>
          <w:noProof/>
        </w:rPr>
      </w:pPr>
      <w:r w:rsidRPr="00E5265C">
        <w:rPr>
          <w:noProof/>
        </w:rPr>
        <w:t>[84] National Institute for Health and Care Excellence (NICE). (2022). NICE health technology evaluations: the manual. London: NICE.</w:t>
      </w:r>
    </w:p>
    <w:p w14:paraId="3EA0B7C6" w14:textId="77777777" w:rsidR="00E5265C" w:rsidRPr="00E5265C" w:rsidRDefault="00E5265C" w:rsidP="00E5265C">
      <w:pPr>
        <w:pStyle w:val="EndNoteBibliography"/>
        <w:spacing w:after="0"/>
        <w:ind w:left="720" w:hanging="720"/>
        <w:rPr>
          <w:noProof/>
        </w:rPr>
      </w:pPr>
      <w:r w:rsidRPr="00E5265C">
        <w:rPr>
          <w:noProof/>
        </w:rPr>
        <w:t>[85] Canadian Agency for Drugs and Technologies in Health (CADTH). (2017). Guidelines for the Economic Evaluation of Health Technologies: Canada 4th Edition. Ottowa.</w:t>
      </w:r>
    </w:p>
    <w:p w14:paraId="472ACBBD" w14:textId="77777777" w:rsidR="00E5265C" w:rsidRPr="00E5265C" w:rsidRDefault="00E5265C" w:rsidP="00E5265C">
      <w:pPr>
        <w:pStyle w:val="EndNoteBibliography"/>
        <w:spacing w:after="0"/>
        <w:ind w:left="720" w:hanging="720"/>
        <w:rPr>
          <w:noProof/>
        </w:rPr>
      </w:pPr>
      <w:r w:rsidRPr="00E5265C">
        <w:rPr>
          <w:noProof/>
        </w:rPr>
        <w:t xml:space="preserve">[86] Drinkwater, A. (2022). The drug reimbursement environment in Canada: An overview. </w:t>
      </w:r>
      <w:r w:rsidRPr="00E5265C">
        <w:rPr>
          <w:i/>
          <w:noProof/>
        </w:rPr>
        <w:t>HTA Quarterly, Spring 2022</w:t>
      </w:r>
      <w:r w:rsidRPr="00E5265C">
        <w:rPr>
          <w:noProof/>
        </w:rPr>
        <w:t>.</w:t>
      </w:r>
    </w:p>
    <w:p w14:paraId="03D036C5" w14:textId="77777777" w:rsidR="00E5265C" w:rsidRPr="00E5265C" w:rsidRDefault="00E5265C" w:rsidP="00E5265C">
      <w:pPr>
        <w:pStyle w:val="EndNoteBibliography"/>
        <w:spacing w:after="0"/>
        <w:ind w:left="720" w:hanging="720"/>
        <w:rPr>
          <w:noProof/>
        </w:rPr>
      </w:pPr>
      <w:r w:rsidRPr="00E5265C">
        <w:rPr>
          <w:noProof/>
        </w:rPr>
        <w:t xml:space="preserve">[87] Jospé, D., Champagne, J.-R. &amp; Lafleur, M. (2019). </w:t>
      </w:r>
      <w:r w:rsidRPr="00E5265C">
        <w:rPr>
          <w:i/>
          <w:noProof/>
        </w:rPr>
        <w:t>The Pharma Legal Handbook, Canada</w:t>
      </w:r>
      <w:r w:rsidRPr="00E5265C">
        <w:rPr>
          <w:noProof/>
        </w:rPr>
        <w:t>. Norwich: PharmaBoardroom Ltd.</w:t>
      </w:r>
    </w:p>
    <w:p w14:paraId="2661C12F" w14:textId="39F805C6" w:rsidR="00E5265C" w:rsidRPr="00E5265C" w:rsidRDefault="00E5265C" w:rsidP="00E5265C">
      <w:pPr>
        <w:pStyle w:val="EndNoteBibliography"/>
        <w:spacing w:after="0"/>
        <w:ind w:left="720" w:hanging="720"/>
        <w:rPr>
          <w:noProof/>
        </w:rPr>
      </w:pPr>
      <w:r w:rsidRPr="00E5265C">
        <w:rPr>
          <w:noProof/>
        </w:rPr>
        <w:t xml:space="preserve">[88] University, C. (2023). Germany, Summary. New York: Columbia University. Retrieved 13 November 2023, from: </w:t>
      </w:r>
      <w:hyperlink r:id="rId105" w:history="1">
        <w:r w:rsidRPr="00E5265C">
          <w:rPr>
            <w:rStyle w:val="Hyperlink"/>
            <w:noProof/>
          </w:rPr>
          <w:t>https://www.publichealth.columbia.edu/research/others/comparative-health-policy-library/germany-summary</w:t>
        </w:r>
      </w:hyperlink>
      <w:r w:rsidRPr="00E5265C">
        <w:rPr>
          <w:noProof/>
        </w:rPr>
        <w:t>.</w:t>
      </w:r>
    </w:p>
    <w:p w14:paraId="0838E6E9" w14:textId="77777777" w:rsidR="00E5265C" w:rsidRPr="00E5265C" w:rsidRDefault="00E5265C" w:rsidP="00E5265C">
      <w:pPr>
        <w:pStyle w:val="EndNoteBibliography"/>
        <w:spacing w:after="0"/>
        <w:ind w:left="720" w:hanging="720"/>
        <w:rPr>
          <w:noProof/>
        </w:rPr>
      </w:pPr>
      <w:r w:rsidRPr="00E5265C">
        <w:rPr>
          <w:noProof/>
        </w:rPr>
        <w:t>[89] Blümel, M., Spranger, A., Achstetter, K., Maresso, A. &amp; Busse, R. (2020). Germany: Health system review. Coppenhagen: WHO Regional Office for Europe.</w:t>
      </w:r>
    </w:p>
    <w:p w14:paraId="1F323D14" w14:textId="77777777" w:rsidR="00E5265C" w:rsidRPr="00E5265C" w:rsidRDefault="00E5265C" w:rsidP="00E5265C">
      <w:pPr>
        <w:pStyle w:val="EndNoteBibliography"/>
        <w:spacing w:after="0"/>
        <w:ind w:left="720" w:hanging="720"/>
        <w:rPr>
          <w:noProof/>
        </w:rPr>
      </w:pPr>
      <w:r w:rsidRPr="00E5265C">
        <w:rPr>
          <w:noProof/>
        </w:rPr>
        <w:t xml:space="preserve">[90] Kifmann, M. (2016). Competition policy for health care provision in Germany. </w:t>
      </w:r>
      <w:r w:rsidRPr="00E5265C">
        <w:rPr>
          <w:i/>
          <w:noProof/>
        </w:rPr>
        <w:t>Health Policy, 121</w:t>
      </w:r>
      <w:r w:rsidRPr="00E5265C">
        <w:rPr>
          <w:noProof/>
        </w:rPr>
        <w:t>(2), 119-125.</w:t>
      </w:r>
    </w:p>
    <w:p w14:paraId="4FF5FA5E" w14:textId="0246B0F7" w:rsidR="00E5265C" w:rsidRPr="00E5265C" w:rsidRDefault="00E5265C" w:rsidP="00E5265C">
      <w:pPr>
        <w:pStyle w:val="EndNoteBibliography"/>
        <w:spacing w:after="0"/>
        <w:ind w:left="720" w:hanging="720"/>
        <w:rPr>
          <w:noProof/>
        </w:rPr>
      </w:pPr>
      <w:r w:rsidRPr="00E5265C">
        <w:rPr>
          <w:noProof/>
        </w:rPr>
        <w:t xml:space="preserve">[91] Norwegian Medical Products Agency. (2023). Compassionate Use Program. Norwegian Medical Products Agency,. Retrieved 20 March 2024, from: </w:t>
      </w:r>
      <w:hyperlink r:id="rId106" w:history="1">
        <w:r w:rsidRPr="00E5265C">
          <w:rPr>
            <w:rStyle w:val="Hyperlink"/>
            <w:noProof/>
          </w:rPr>
          <w:t>https://www.dmp.no/en/approval-of-medicines/clinical-trials/compassionate-use-program</w:t>
        </w:r>
      </w:hyperlink>
      <w:r w:rsidRPr="00E5265C">
        <w:rPr>
          <w:noProof/>
        </w:rPr>
        <w:t>.</w:t>
      </w:r>
    </w:p>
    <w:p w14:paraId="7E5584F3" w14:textId="6A169604" w:rsidR="00E5265C" w:rsidRPr="00E5265C" w:rsidRDefault="00E5265C" w:rsidP="00E5265C">
      <w:pPr>
        <w:pStyle w:val="EndNoteBibliography"/>
        <w:spacing w:after="0"/>
        <w:ind w:left="720" w:hanging="720"/>
        <w:rPr>
          <w:noProof/>
        </w:rPr>
      </w:pPr>
      <w:r w:rsidRPr="00E5265C">
        <w:rPr>
          <w:noProof/>
        </w:rPr>
        <w:t xml:space="preserve">[92] Norwegian Medical Products Agency. (2024). Compassionate Use Program (CUP) Approved by The Norwegian Medicinal Products Agency. Norwegian Medical Products Agency,. Retrieved 20 March 2024, from: </w:t>
      </w:r>
      <w:hyperlink r:id="rId107" w:history="1">
        <w:r w:rsidRPr="00E5265C">
          <w:rPr>
            <w:rStyle w:val="Hyperlink"/>
            <w:noProof/>
          </w:rPr>
          <w:t>https://www.dmp.no/contentassets/b71d6f2f34264dd7a22822deab47c201/compassionate-use-program_eng_2024-01-12.pdf</w:t>
        </w:r>
      </w:hyperlink>
      <w:r w:rsidRPr="00E5265C">
        <w:rPr>
          <w:noProof/>
        </w:rPr>
        <w:t>.</w:t>
      </w:r>
    </w:p>
    <w:p w14:paraId="697B9296" w14:textId="77777777" w:rsidR="00E5265C" w:rsidRPr="00E5265C" w:rsidRDefault="00E5265C" w:rsidP="00E5265C">
      <w:pPr>
        <w:pStyle w:val="EndNoteBibliography"/>
        <w:spacing w:after="0"/>
        <w:ind w:left="720" w:hanging="720"/>
        <w:rPr>
          <w:noProof/>
        </w:rPr>
      </w:pPr>
      <w:r w:rsidRPr="00E5265C">
        <w:rPr>
          <w:noProof/>
        </w:rPr>
        <w:t>[93] Agboola, F., Whittington, M. &amp; Pearson, S. (2023). Advancing Health Technology Assessment Methods that Support Health Equity. Boston: Institute for Clinical and Economic Review (ICER).</w:t>
      </w:r>
    </w:p>
    <w:p w14:paraId="234C324A" w14:textId="77777777" w:rsidR="00E5265C" w:rsidRPr="00E5265C" w:rsidRDefault="00E5265C" w:rsidP="00E5265C">
      <w:pPr>
        <w:pStyle w:val="EndNoteBibliography"/>
        <w:spacing w:after="0"/>
        <w:ind w:left="720" w:hanging="720"/>
        <w:rPr>
          <w:noProof/>
        </w:rPr>
      </w:pPr>
      <w:r w:rsidRPr="00E5265C">
        <w:rPr>
          <w:noProof/>
        </w:rPr>
        <w:t>[94] Linthicum, M., Jalowsky, M., Valentine, A., Ahmed, R., Bright, J. &amp; Chapman, R. (2022). Finding Equity in Value. Racial and Health Equity Implications of U.S. HTA Processes. Alexandria: Innovation and Value Initiative.</w:t>
      </w:r>
    </w:p>
    <w:p w14:paraId="408C5E30" w14:textId="77777777" w:rsidR="00E5265C" w:rsidRPr="00E5265C" w:rsidRDefault="00E5265C" w:rsidP="00E5265C">
      <w:pPr>
        <w:pStyle w:val="EndNoteBibliography"/>
        <w:spacing w:after="0"/>
        <w:ind w:left="720" w:hanging="720"/>
        <w:rPr>
          <w:noProof/>
        </w:rPr>
      </w:pPr>
      <w:r w:rsidRPr="00E5265C">
        <w:rPr>
          <w:noProof/>
        </w:rPr>
        <w:t>[95] Australian Government. (2020). National Agreement on Closing the Gap. Canberra: Australian Government.</w:t>
      </w:r>
    </w:p>
    <w:p w14:paraId="3753B564" w14:textId="77777777" w:rsidR="00E5265C" w:rsidRPr="00E5265C" w:rsidRDefault="00E5265C" w:rsidP="00E5265C">
      <w:pPr>
        <w:pStyle w:val="EndNoteBibliography"/>
        <w:spacing w:after="0"/>
        <w:ind w:left="720" w:hanging="720"/>
        <w:rPr>
          <w:noProof/>
        </w:rPr>
      </w:pPr>
      <w:r w:rsidRPr="00E5265C">
        <w:rPr>
          <w:noProof/>
        </w:rPr>
        <w:t>[96] Department of Health and Aged Care. (2021). The National Aboriginal and Torres Strait Islander Health Plan 2021–2031. Canberra: Australian Government, Department of Health and Aged Care.</w:t>
      </w:r>
    </w:p>
    <w:p w14:paraId="40DF576A" w14:textId="77777777" w:rsidR="00E5265C" w:rsidRPr="00E5265C" w:rsidRDefault="00E5265C" w:rsidP="00E5265C">
      <w:pPr>
        <w:pStyle w:val="EndNoteBibliography"/>
        <w:spacing w:after="0"/>
        <w:ind w:left="720" w:hanging="720"/>
        <w:rPr>
          <w:noProof/>
        </w:rPr>
      </w:pPr>
      <w:r w:rsidRPr="00E5265C">
        <w:rPr>
          <w:noProof/>
        </w:rPr>
        <w:t>[97] Medical Services Advisory Committee (MSAC). (2023). Public Summary Document: Integrating Pharmacists within Aboriginal Community Controlled Health Services to improve Chronic Disease Management (IPAC) Project. Canberra: Australian Government, Department of Health and Aged Care.</w:t>
      </w:r>
    </w:p>
    <w:p w14:paraId="4E1B479D" w14:textId="77777777" w:rsidR="00E5265C" w:rsidRPr="00E5265C" w:rsidRDefault="00E5265C" w:rsidP="00E5265C">
      <w:pPr>
        <w:pStyle w:val="EndNoteBibliography"/>
        <w:spacing w:after="0"/>
        <w:ind w:left="720" w:hanging="720"/>
        <w:rPr>
          <w:noProof/>
        </w:rPr>
      </w:pPr>
      <w:r w:rsidRPr="00E5265C">
        <w:rPr>
          <w:noProof/>
        </w:rPr>
        <w:t>[98] Pharmaceutical Benefits Advisory Committee (PBAC). (2019). Public Summary Document: Multicomponent Meningococcal Group B Vaccine. Canberra: Australian Government, Department of Health and Aged Care.</w:t>
      </w:r>
    </w:p>
    <w:p w14:paraId="4E60F7B3" w14:textId="77777777" w:rsidR="00E5265C" w:rsidRPr="00E5265C" w:rsidRDefault="00E5265C" w:rsidP="00E5265C">
      <w:pPr>
        <w:pStyle w:val="EndNoteBibliography"/>
        <w:spacing w:after="0"/>
        <w:ind w:left="720" w:hanging="720"/>
        <w:rPr>
          <w:noProof/>
        </w:rPr>
      </w:pPr>
      <w:r w:rsidRPr="00E5265C">
        <w:rPr>
          <w:noProof/>
        </w:rPr>
        <w:t xml:space="preserve">[99] Marmot, M. (2011). Social determinants and the health of Indigenous Australians. </w:t>
      </w:r>
      <w:r w:rsidRPr="00E5265C">
        <w:rPr>
          <w:i/>
          <w:noProof/>
        </w:rPr>
        <w:t>Med J Aust, 194</w:t>
      </w:r>
      <w:r w:rsidRPr="00E5265C">
        <w:rPr>
          <w:noProof/>
        </w:rPr>
        <w:t>(10), 512-513.</w:t>
      </w:r>
    </w:p>
    <w:p w14:paraId="23A98E18" w14:textId="38A5E0A6" w:rsidR="00E5265C" w:rsidRPr="00E5265C" w:rsidRDefault="00E5265C" w:rsidP="00E5265C">
      <w:pPr>
        <w:pStyle w:val="EndNoteBibliography"/>
        <w:spacing w:after="0"/>
        <w:ind w:left="720" w:hanging="720"/>
        <w:rPr>
          <w:noProof/>
        </w:rPr>
      </w:pPr>
      <w:r w:rsidRPr="00E5265C">
        <w:rPr>
          <w:noProof/>
        </w:rPr>
        <w:t xml:space="preserve">[100] Pharmac. (2022). Priority - Equity for Māori. Wellington: Pharmac, New Zealand Ministry of Health. Retrieved 21 August 2023, from: </w:t>
      </w:r>
      <w:hyperlink r:id="rId108" w:history="1">
        <w:r w:rsidRPr="00E5265C">
          <w:rPr>
            <w:rStyle w:val="Hyperlink"/>
            <w:noProof/>
          </w:rPr>
          <w:t>https://pharmac.govt.nz/te-tiriti-o-waitangi/te-whaioranga/te-rautaki-te-whaioranga/priority-equity-for-maori/</w:t>
        </w:r>
      </w:hyperlink>
      <w:r w:rsidRPr="00E5265C">
        <w:rPr>
          <w:noProof/>
        </w:rPr>
        <w:t>.</w:t>
      </w:r>
    </w:p>
    <w:p w14:paraId="64C6F0A1" w14:textId="0D0A43A4" w:rsidR="00E5265C" w:rsidRPr="00E5265C" w:rsidRDefault="00E5265C" w:rsidP="00E5265C">
      <w:pPr>
        <w:pStyle w:val="EndNoteBibliography"/>
        <w:spacing w:after="0"/>
        <w:ind w:left="720" w:hanging="720"/>
        <w:rPr>
          <w:noProof/>
        </w:rPr>
      </w:pPr>
      <w:r w:rsidRPr="00E5265C">
        <w:rPr>
          <w:noProof/>
        </w:rPr>
        <w:t xml:space="preserve">[101] Canadian Agency for Drugs and Technologies in Health (CADTH). (2022). Reflections on the Path to Reconciliation. Canadian Agency for Drugs and Technologies in Health (CADTH). Retrieved 21 August 2023, from: </w:t>
      </w:r>
      <w:hyperlink r:id="rId109" w:history="1">
        <w:r w:rsidRPr="00E5265C">
          <w:rPr>
            <w:rStyle w:val="Hyperlink"/>
            <w:noProof/>
          </w:rPr>
          <w:t>https://www.cadth.ca/annual-report-path-reconciliation</w:t>
        </w:r>
      </w:hyperlink>
      <w:r w:rsidRPr="00E5265C">
        <w:rPr>
          <w:noProof/>
        </w:rPr>
        <w:t>.</w:t>
      </w:r>
    </w:p>
    <w:p w14:paraId="6555BA33" w14:textId="77777777" w:rsidR="00E5265C" w:rsidRPr="00E5265C" w:rsidRDefault="00E5265C" w:rsidP="00E5265C">
      <w:pPr>
        <w:pStyle w:val="EndNoteBibliography"/>
        <w:spacing w:after="0"/>
        <w:ind w:left="720" w:hanging="720"/>
        <w:rPr>
          <w:noProof/>
        </w:rPr>
      </w:pPr>
      <w:r w:rsidRPr="00E5265C">
        <w:rPr>
          <w:noProof/>
        </w:rPr>
        <w:t xml:space="preserve">[102] Ghinea, N., Critchley, C., Morrell, B., Kerridge, I., Campbell, T., Day, R., Gazarian, M., et al. (2021). A survey of Australian public attitudes towards funding of high cost cancer medicines. </w:t>
      </w:r>
      <w:r w:rsidRPr="00E5265C">
        <w:rPr>
          <w:i/>
          <w:noProof/>
        </w:rPr>
        <w:t>Health policy (Amsterdam, Netherlands), 125</w:t>
      </w:r>
      <w:r w:rsidRPr="00E5265C">
        <w:rPr>
          <w:noProof/>
        </w:rPr>
        <w:t>(3), 327-334.</w:t>
      </w:r>
    </w:p>
    <w:p w14:paraId="13891A87" w14:textId="77777777" w:rsidR="00E5265C" w:rsidRPr="00E5265C" w:rsidRDefault="00E5265C" w:rsidP="00E5265C">
      <w:pPr>
        <w:pStyle w:val="EndNoteBibliography"/>
        <w:spacing w:after="0"/>
        <w:ind w:left="720" w:hanging="720"/>
        <w:rPr>
          <w:noProof/>
        </w:rPr>
      </w:pPr>
      <w:r w:rsidRPr="00E5265C">
        <w:rPr>
          <w:noProof/>
        </w:rPr>
        <w:t xml:space="preserve">[103] Denburg, A. E., Ungar, W. J. &amp; Greenberg, M. (2017). Public drug policy for children in Canada. </w:t>
      </w:r>
      <w:r w:rsidRPr="00E5265C">
        <w:rPr>
          <w:i/>
          <w:noProof/>
        </w:rPr>
        <w:t>Cmaj, 189</w:t>
      </w:r>
      <w:r w:rsidRPr="00E5265C">
        <w:rPr>
          <w:noProof/>
        </w:rPr>
        <w:t>(30), E990-e994.</w:t>
      </w:r>
    </w:p>
    <w:p w14:paraId="530FCE66" w14:textId="77777777" w:rsidR="00E5265C" w:rsidRPr="00E5265C" w:rsidRDefault="00E5265C" w:rsidP="00E5265C">
      <w:pPr>
        <w:pStyle w:val="EndNoteBibliography"/>
        <w:spacing w:after="0"/>
        <w:ind w:left="720" w:hanging="720"/>
        <w:rPr>
          <w:noProof/>
        </w:rPr>
      </w:pPr>
      <w:r w:rsidRPr="00E5265C">
        <w:rPr>
          <w:noProof/>
        </w:rPr>
        <w:t xml:space="preserve">[104] Gauvreau, C. L., Wight, L., Subasri, M., Palmer, A., Hayeems, R., Croker, A., Abelson, J., et al. (2023). Access to novel drugs and therapeutics for children and youth: Eliciting citizens' values to inform public funding decisions. </w:t>
      </w:r>
      <w:r w:rsidRPr="00E5265C">
        <w:rPr>
          <w:i/>
          <w:noProof/>
        </w:rPr>
        <w:t>Health expectations : an international journal of public participation in health care and health policy, 26</w:t>
      </w:r>
      <w:r w:rsidRPr="00E5265C">
        <w:rPr>
          <w:noProof/>
        </w:rPr>
        <w:t>(2), 715-727.</w:t>
      </w:r>
    </w:p>
    <w:p w14:paraId="559F8D1B" w14:textId="77777777" w:rsidR="00E5265C" w:rsidRPr="00E5265C" w:rsidRDefault="00E5265C" w:rsidP="00E5265C">
      <w:pPr>
        <w:pStyle w:val="EndNoteBibliography"/>
        <w:spacing w:after="0"/>
        <w:ind w:left="720" w:hanging="720"/>
        <w:rPr>
          <w:noProof/>
        </w:rPr>
      </w:pPr>
      <w:r w:rsidRPr="00E5265C">
        <w:rPr>
          <w:noProof/>
        </w:rPr>
        <w:t xml:space="preserve">[105] Denburg, A. E., Giacomini, M., Ungar, W. J. &amp; Abelson, J. (2020). 'The problem is small enough, the problem is big enough': a qualitative study of health technology assessment and public policy on drug funding decisions for children. </w:t>
      </w:r>
      <w:r w:rsidRPr="00E5265C">
        <w:rPr>
          <w:i/>
          <w:noProof/>
        </w:rPr>
        <w:t>International journal for equity in health, 19</w:t>
      </w:r>
      <w:r w:rsidRPr="00E5265C">
        <w:rPr>
          <w:noProof/>
        </w:rPr>
        <w:t>(1), 45.</w:t>
      </w:r>
    </w:p>
    <w:p w14:paraId="5075CC24" w14:textId="77777777" w:rsidR="00E5265C" w:rsidRPr="00E5265C" w:rsidRDefault="00E5265C" w:rsidP="00E5265C">
      <w:pPr>
        <w:pStyle w:val="EndNoteBibliography"/>
        <w:spacing w:after="0"/>
        <w:ind w:left="720" w:hanging="720"/>
        <w:rPr>
          <w:noProof/>
        </w:rPr>
      </w:pPr>
      <w:r w:rsidRPr="00E5265C">
        <w:rPr>
          <w:noProof/>
        </w:rPr>
        <w:t xml:space="preserve">[106] Morel, T., Arickx, F., Befrits, G., Siviero, P., van der Meijden, C., Xoxi, E. &amp; Simoens, S. (2013). Reconciling uncertainty of costs and outcomes with the need for access to orphan medicinal products: a comparative study of managed entry agreements across seven European countries. </w:t>
      </w:r>
      <w:r w:rsidRPr="00E5265C">
        <w:rPr>
          <w:i/>
          <w:noProof/>
        </w:rPr>
        <w:t>Orphanet journal of rare diseases, 8</w:t>
      </w:r>
      <w:r w:rsidRPr="00E5265C">
        <w:rPr>
          <w:noProof/>
        </w:rPr>
        <w:t>, 1-15.</w:t>
      </w:r>
    </w:p>
    <w:p w14:paraId="0000A552" w14:textId="77777777" w:rsidR="00E5265C" w:rsidRPr="00E5265C" w:rsidRDefault="00E5265C" w:rsidP="00E5265C">
      <w:pPr>
        <w:pStyle w:val="EndNoteBibliography"/>
        <w:spacing w:after="0"/>
        <w:ind w:left="720" w:hanging="720"/>
        <w:rPr>
          <w:noProof/>
        </w:rPr>
      </w:pPr>
      <w:r w:rsidRPr="00E5265C">
        <w:rPr>
          <w:noProof/>
        </w:rPr>
        <w:t xml:space="preserve">[107] Kesselheim, A. S., Myers, J. A. &amp; Avorn, J. (2011). Characteristics of clinical trials to support approval of orphan vs nonorphan drugs for cancer. </w:t>
      </w:r>
      <w:r w:rsidRPr="00E5265C">
        <w:rPr>
          <w:i/>
          <w:noProof/>
        </w:rPr>
        <w:t>Jama, 305</w:t>
      </w:r>
      <w:r w:rsidRPr="00E5265C">
        <w:rPr>
          <w:noProof/>
        </w:rPr>
        <w:t>(22), 2320-2326.</w:t>
      </w:r>
    </w:p>
    <w:p w14:paraId="6CD57954" w14:textId="77777777" w:rsidR="00E5265C" w:rsidRPr="00E5265C" w:rsidRDefault="00E5265C" w:rsidP="00E5265C">
      <w:pPr>
        <w:pStyle w:val="EndNoteBibliography"/>
        <w:spacing w:after="0"/>
        <w:ind w:left="720" w:hanging="720"/>
        <w:rPr>
          <w:noProof/>
        </w:rPr>
      </w:pPr>
      <w:r w:rsidRPr="00E5265C">
        <w:rPr>
          <w:noProof/>
        </w:rPr>
        <w:t xml:space="preserve">[108] Drummond, M. F., Wilson, D. A., Kanavos, P., Ubel, P. &amp; Rovira, J. (2007). Assessing the economic challenges posed by orphan drugs. </w:t>
      </w:r>
      <w:r w:rsidRPr="00E5265C">
        <w:rPr>
          <w:i/>
          <w:noProof/>
        </w:rPr>
        <w:t>International journal of technology assessment in health care, 23</w:t>
      </w:r>
      <w:r w:rsidRPr="00E5265C">
        <w:rPr>
          <w:noProof/>
        </w:rPr>
        <w:t>(1), 36-42.</w:t>
      </w:r>
    </w:p>
    <w:p w14:paraId="57B24813" w14:textId="77777777" w:rsidR="00E5265C" w:rsidRPr="00E5265C" w:rsidRDefault="00E5265C" w:rsidP="00E5265C">
      <w:pPr>
        <w:pStyle w:val="EndNoteBibliography"/>
        <w:spacing w:after="0"/>
        <w:ind w:left="720" w:hanging="720"/>
        <w:rPr>
          <w:noProof/>
        </w:rPr>
      </w:pPr>
      <w:r w:rsidRPr="00E5265C">
        <w:rPr>
          <w:noProof/>
        </w:rPr>
        <w:t xml:space="preserve">[109] Blonda, A., Denier, Y., Huys, I. &amp; Simoens, S. (2021). How to value orphan drugs? A review of European value assessment frameworks. </w:t>
      </w:r>
      <w:r w:rsidRPr="00E5265C">
        <w:rPr>
          <w:i/>
          <w:noProof/>
        </w:rPr>
        <w:t>Frontiers in Pharmacology, 12</w:t>
      </w:r>
      <w:r w:rsidRPr="00E5265C">
        <w:rPr>
          <w:noProof/>
        </w:rPr>
        <w:t>, 631527.</w:t>
      </w:r>
    </w:p>
    <w:p w14:paraId="2C672BAD" w14:textId="77777777" w:rsidR="00E5265C" w:rsidRPr="00E5265C" w:rsidRDefault="00E5265C" w:rsidP="00E5265C">
      <w:pPr>
        <w:pStyle w:val="EndNoteBibliography"/>
        <w:spacing w:after="0"/>
        <w:ind w:left="720" w:hanging="720"/>
        <w:rPr>
          <w:noProof/>
        </w:rPr>
      </w:pPr>
      <w:r w:rsidRPr="00E5265C">
        <w:rPr>
          <w:noProof/>
        </w:rPr>
        <w:t>[110] Wagner, F., Wright, C., Pringle, D., Abelson, J., Krahn, M., Campbell, P., Axler, R., et al. (2015). Public Engagement for Health Technology Assessment at Health Quality Ontario—Final Report From the Ontario Health Technology Advisory Committee Public Engagement Subcommittee. Ontario: Health Quality Ontario.</w:t>
      </w:r>
    </w:p>
    <w:p w14:paraId="0B546908" w14:textId="77777777" w:rsidR="00E5265C" w:rsidRPr="00E5265C" w:rsidRDefault="00E5265C" w:rsidP="00E5265C">
      <w:pPr>
        <w:pStyle w:val="EndNoteBibliography"/>
        <w:spacing w:after="0"/>
        <w:ind w:left="720" w:hanging="720"/>
        <w:rPr>
          <w:noProof/>
        </w:rPr>
      </w:pPr>
      <w:r w:rsidRPr="00E5265C">
        <w:rPr>
          <w:noProof/>
        </w:rPr>
        <w:t xml:space="preserve">[111] Berglas, S., Jutai, L., MacKean, G. &amp; Weeks, L. (2016). Patients’ perspectives can be integrated in health technology assessments: an exploratory analysis of CADTH Common Drug Review. </w:t>
      </w:r>
      <w:r w:rsidRPr="00E5265C">
        <w:rPr>
          <w:i/>
          <w:noProof/>
        </w:rPr>
        <w:t>Research Involvement and Engagement, 2</w:t>
      </w:r>
      <w:r w:rsidRPr="00E5265C">
        <w:rPr>
          <w:noProof/>
        </w:rPr>
        <w:t>(1), 1-13.</w:t>
      </w:r>
    </w:p>
    <w:p w14:paraId="050CEA9E" w14:textId="77777777" w:rsidR="00E5265C" w:rsidRPr="00E5265C" w:rsidRDefault="00E5265C" w:rsidP="00E5265C">
      <w:pPr>
        <w:pStyle w:val="EndNoteBibliography"/>
        <w:spacing w:after="0"/>
        <w:ind w:left="720" w:hanging="720"/>
        <w:rPr>
          <w:noProof/>
        </w:rPr>
      </w:pPr>
      <w:r w:rsidRPr="00E5265C">
        <w:rPr>
          <w:noProof/>
        </w:rPr>
        <w:t xml:space="preserve">[112] Facey, K. M. (2017). Developing the mosaic of patient participation in HTA. </w:t>
      </w:r>
      <w:r w:rsidRPr="00E5265C">
        <w:rPr>
          <w:i/>
          <w:noProof/>
        </w:rPr>
        <w:t>Patient involvement in health technology assessment</w:t>
      </w:r>
      <w:r w:rsidRPr="00E5265C">
        <w:rPr>
          <w:noProof/>
        </w:rPr>
        <w:t>, 51-66.</w:t>
      </w:r>
    </w:p>
    <w:p w14:paraId="57689CB0" w14:textId="77777777" w:rsidR="00E5265C" w:rsidRPr="00E5265C" w:rsidRDefault="00E5265C" w:rsidP="00E5265C">
      <w:pPr>
        <w:pStyle w:val="EndNoteBibliography"/>
        <w:spacing w:after="0"/>
        <w:ind w:left="720" w:hanging="720"/>
        <w:rPr>
          <w:noProof/>
        </w:rPr>
      </w:pPr>
      <w:r w:rsidRPr="00E5265C">
        <w:rPr>
          <w:noProof/>
        </w:rPr>
        <w:t xml:space="preserve">[113] Livingstone, H., Verdiel, V., Crosbie, H., Upadhyaya, S., Harris, K. &amp; Thomas, L. (2021). Evaluation of the impact of patient input in health technology assessments at NICE. </w:t>
      </w:r>
      <w:r w:rsidRPr="00E5265C">
        <w:rPr>
          <w:i/>
          <w:noProof/>
        </w:rPr>
        <w:t>International Journal of Technology Assessment in Health Care, 37</w:t>
      </w:r>
      <w:r w:rsidRPr="00E5265C">
        <w:rPr>
          <w:noProof/>
        </w:rPr>
        <w:t>(1), e33.</w:t>
      </w:r>
    </w:p>
    <w:p w14:paraId="6ED773A9" w14:textId="77777777" w:rsidR="00E5265C" w:rsidRPr="00E5265C" w:rsidRDefault="00E5265C" w:rsidP="00E5265C">
      <w:pPr>
        <w:pStyle w:val="EndNoteBibliography"/>
        <w:spacing w:after="0"/>
        <w:ind w:left="720" w:hanging="720"/>
        <w:rPr>
          <w:noProof/>
        </w:rPr>
      </w:pPr>
      <w:r w:rsidRPr="00E5265C">
        <w:rPr>
          <w:noProof/>
        </w:rPr>
        <w:t xml:space="preserve">[114] Menon, D., Stafinski, T., Dunn, A. &amp; Short, H. (2015). Involving patients in reducing decision uncertainties around orphan and ultra-orphan drugs: a rare opportunity? </w:t>
      </w:r>
      <w:r w:rsidRPr="00E5265C">
        <w:rPr>
          <w:i/>
          <w:noProof/>
        </w:rPr>
        <w:t>The Patient-Patient-Centered Outcomes Research, 8</w:t>
      </w:r>
      <w:r w:rsidRPr="00E5265C">
        <w:rPr>
          <w:noProof/>
        </w:rPr>
        <w:t>, 29-39.</w:t>
      </w:r>
    </w:p>
    <w:p w14:paraId="0AA36614" w14:textId="77777777" w:rsidR="00E5265C" w:rsidRPr="00E5265C" w:rsidRDefault="00E5265C" w:rsidP="00E5265C">
      <w:pPr>
        <w:pStyle w:val="EndNoteBibliography"/>
        <w:spacing w:after="0"/>
        <w:ind w:left="720" w:hanging="720"/>
        <w:rPr>
          <w:noProof/>
        </w:rPr>
      </w:pPr>
      <w:r w:rsidRPr="00E5265C">
        <w:rPr>
          <w:noProof/>
        </w:rPr>
        <w:t>[115] Health Technology Assessment International (HTAi). (2022). Values and Standards for Patient Involvement in HTA. Edmonton: Health Technology Assessment International.</w:t>
      </w:r>
    </w:p>
    <w:p w14:paraId="22A32234" w14:textId="77777777" w:rsidR="00E5265C" w:rsidRPr="00E5265C" w:rsidRDefault="00E5265C" w:rsidP="00E5265C">
      <w:pPr>
        <w:pStyle w:val="EndNoteBibliography"/>
        <w:spacing w:after="0"/>
        <w:ind w:left="720" w:hanging="720"/>
        <w:rPr>
          <w:noProof/>
        </w:rPr>
      </w:pPr>
      <w:r w:rsidRPr="00E5265C">
        <w:rPr>
          <w:noProof/>
        </w:rPr>
        <w:t xml:space="preserve">[116] O'Rourke, B., Oortwijn, W. &amp; Schuller, T. (2020). The new definition of health technology assessment: A milestone in international collaboration. </w:t>
      </w:r>
      <w:r w:rsidRPr="00E5265C">
        <w:rPr>
          <w:i/>
          <w:noProof/>
        </w:rPr>
        <w:t>International journal of technology assessment in health care, 36</w:t>
      </w:r>
      <w:r w:rsidRPr="00E5265C">
        <w:rPr>
          <w:noProof/>
        </w:rPr>
        <w:t>(3), 187-190.</w:t>
      </w:r>
    </w:p>
    <w:p w14:paraId="7A0CD255" w14:textId="77777777" w:rsidR="00E5265C" w:rsidRPr="00E5265C" w:rsidRDefault="00E5265C" w:rsidP="00E5265C">
      <w:pPr>
        <w:pStyle w:val="EndNoteBibliography"/>
        <w:spacing w:after="0"/>
        <w:ind w:left="720" w:hanging="720"/>
        <w:rPr>
          <w:noProof/>
        </w:rPr>
      </w:pPr>
      <w:r w:rsidRPr="00E5265C">
        <w:rPr>
          <w:noProof/>
        </w:rPr>
        <w:t xml:space="preserve">[117] Ghinea, N., Lipworth, W. &amp; Kerridge, I. (2020). Does Consumer Engagement in Health Technology Assessment Enhance or Undermine Equity? </w:t>
      </w:r>
      <w:r w:rsidRPr="00E5265C">
        <w:rPr>
          <w:i/>
          <w:noProof/>
        </w:rPr>
        <w:t>J Bioeth Inq, 17</w:t>
      </w:r>
      <w:r w:rsidRPr="00E5265C">
        <w:rPr>
          <w:noProof/>
        </w:rPr>
        <w:t>(1), 87-94.</w:t>
      </w:r>
    </w:p>
    <w:p w14:paraId="401970CA" w14:textId="77777777" w:rsidR="00E5265C" w:rsidRPr="00E5265C" w:rsidRDefault="00E5265C" w:rsidP="00E5265C">
      <w:pPr>
        <w:pStyle w:val="EndNoteBibliography"/>
        <w:spacing w:after="0"/>
        <w:ind w:left="720" w:hanging="720"/>
        <w:rPr>
          <w:noProof/>
        </w:rPr>
      </w:pPr>
      <w:r w:rsidRPr="00E5265C">
        <w:rPr>
          <w:noProof/>
        </w:rPr>
        <w:t xml:space="preserve">[118] Facey, K., Ploug Hansen, H. &amp; Single, A. (Eds.). (2017). </w:t>
      </w:r>
      <w:r w:rsidRPr="00E5265C">
        <w:rPr>
          <w:i/>
          <w:noProof/>
        </w:rPr>
        <w:t>Patient Involvement in Health Technology Assessment</w:t>
      </w:r>
      <w:r w:rsidRPr="00E5265C">
        <w:rPr>
          <w:noProof/>
        </w:rPr>
        <w:t>. Singapore: Adis Singapore.</w:t>
      </w:r>
    </w:p>
    <w:p w14:paraId="21265218" w14:textId="77777777" w:rsidR="00E5265C" w:rsidRPr="00E5265C" w:rsidRDefault="00E5265C" w:rsidP="00E5265C">
      <w:pPr>
        <w:pStyle w:val="EndNoteBibliography"/>
        <w:spacing w:after="0"/>
        <w:ind w:left="720" w:hanging="720"/>
        <w:rPr>
          <w:noProof/>
        </w:rPr>
      </w:pPr>
      <w:r w:rsidRPr="00E5265C">
        <w:rPr>
          <w:noProof/>
        </w:rPr>
        <w:t xml:space="preserve">[119] Vanstone, M., Abelson, J., Bidonde, J., Bond, K., Burgess, R., Canfield, C., Schwartz, L. &amp; Tripp, L. (2019). Ethical challenges related to patient involvement in health technology assessment. </w:t>
      </w:r>
      <w:r w:rsidRPr="00E5265C">
        <w:rPr>
          <w:i/>
          <w:noProof/>
        </w:rPr>
        <w:t>International journal of technology assessment in health care, 35</w:t>
      </w:r>
      <w:r w:rsidRPr="00E5265C">
        <w:rPr>
          <w:noProof/>
        </w:rPr>
        <w:t>(4), 253-256.</w:t>
      </w:r>
    </w:p>
    <w:p w14:paraId="5C91BAB2" w14:textId="77777777" w:rsidR="00E5265C" w:rsidRPr="00E5265C" w:rsidRDefault="00E5265C" w:rsidP="00E5265C">
      <w:pPr>
        <w:pStyle w:val="EndNoteBibliography"/>
        <w:spacing w:after="0"/>
        <w:ind w:left="720" w:hanging="720"/>
        <w:rPr>
          <w:noProof/>
        </w:rPr>
      </w:pPr>
      <w:r w:rsidRPr="00E5265C">
        <w:rPr>
          <w:noProof/>
        </w:rPr>
        <w:t xml:space="preserve">[120] Kibel, M. &amp; Vanstone, M. (2017). Reconciling ethical and economic conceptions of value in health policy using the capabilities approach: A qualitative investigation of Non-Invasive Prenatal Testing. </w:t>
      </w:r>
      <w:r w:rsidRPr="00E5265C">
        <w:rPr>
          <w:i/>
          <w:noProof/>
        </w:rPr>
        <w:t>Soc Sci Med, 195</w:t>
      </w:r>
      <w:r w:rsidRPr="00E5265C">
        <w:rPr>
          <w:noProof/>
        </w:rPr>
        <w:t>, 97-104.</w:t>
      </w:r>
    </w:p>
    <w:p w14:paraId="7C390E20" w14:textId="77777777" w:rsidR="00E5265C" w:rsidRPr="00E5265C" w:rsidRDefault="00E5265C" w:rsidP="00E5265C">
      <w:pPr>
        <w:pStyle w:val="EndNoteBibliography"/>
        <w:spacing w:after="0"/>
        <w:ind w:left="720" w:hanging="720"/>
        <w:rPr>
          <w:noProof/>
        </w:rPr>
      </w:pPr>
      <w:r w:rsidRPr="00E5265C">
        <w:rPr>
          <w:noProof/>
        </w:rPr>
        <w:t xml:space="preserve">[121] The Lancet, Diabetes &amp; Endocrinology. (2019). Spotlight on rare diseases. </w:t>
      </w:r>
      <w:r w:rsidRPr="00E5265C">
        <w:rPr>
          <w:i/>
          <w:noProof/>
        </w:rPr>
        <w:t>The Lancet Diabetes &amp; Endocrinology, 7</w:t>
      </w:r>
      <w:r w:rsidRPr="00E5265C">
        <w:rPr>
          <w:noProof/>
        </w:rPr>
        <w:t>(2), 75.</w:t>
      </w:r>
    </w:p>
    <w:p w14:paraId="4A236620" w14:textId="72554A1C" w:rsidR="00E5265C" w:rsidRPr="00E5265C" w:rsidRDefault="00E5265C" w:rsidP="00E5265C">
      <w:pPr>
        <w:pStyle w:val="EndNoteBibliography"/>
        <w:spacing w:after="0"/>
        <w:ind w:left="720" w:hanging="720"/>
        <w:rPr>
          <w:noProof/>
        </w:rPr>
      </w:pPr>
      <w:r w:rsidRPr="00E5265C">
        <w:rPr>
          <w:noProof/>
        </w:rPr>
        <w:t xml:space="preserve">[122] Rare Voices Australia (RVA). (2020). </w:t>
      </w:r>
      <w:r w:rsidRPr="00E5265C">
        <w:rPr>
          <w:i/>
          <w:noProof/>
        </w:rPr>
        <w:t>National Strategic Action Plan for Rare Diseases</w:t>
      </w:r>
      <w:r w:rsidRPr="00E5265C">
        <w:rPr>
          <w:noProof/>
        </w:rPr>
        <w:t xml:space="preserve">.  Canberra:  Retrieved from </w:t>
      </w:r>
      <w:hyperlink r:id="rId110" w:history="1">
        <w:r w:rsidRPr="00E5265C">
          <w:rPr>
            <w:rStyle w:val="Hyperlink"/>
            <w:noProof/>
          </w:rPr>
          <w:t>https://rarevoices.org.au/wp-content/uploads/2020/08/NationalStrategicAPRD.pdf</w:t>
        </w:r>
      </w:hyperlink>
      <w:r w:rsidRPr="00E5265C">
        <w:rPr>
          <w:noProof/>
        </w:rPr>
        <w:t>.</w:t>
      </w:r>
    </w:p>
    <w:p w14:paraId="55855041" w14:textId="0E675083" w:rsidR="00E5265C" w:rsidRPr="00E5265C" w:rsidRDefault="00E5265C" w:rsidP="00E5265C">
      <w:pPr>
        <w:pStyle w:val="EndNoteBibliography"/>
        <w:spacing w:after="0"/>
        <w:ind w:left="720" w:hanging="720"/>
        <w:rPr>
          <w:noProof/>
        </w:rPr>
      </w:pPr>
      <w:r w:rsidRPr="00E5265C">
        <w:rPr>
          <w:noProof/>
        </w:rPr>
        <w:t xml:space="preserve">[123] Therapeutic Goods Administration (TGA). (2021). Orphan drug designation eligibility criteria. </w:t>
      </w:r>
      <w:r w:rsidRPr="00E5265C">
        <w:rPr>
          <w:i/>
          <w:noProof/>
        </w:rPr>
        <w:t>Guidance on eligibility criteria and supporting documentation when preparing an application for orphan drug designation.</w:t>
      </w:r>
      <w:r w:rsidRPr="00E5265C">
        <w:rPr>
          <w:noProof/>
        </w:rPr>
        <w:t xml:space="preserve"> Retrieved 25/8/2023, from: </w:t>
      </w:r>
      <w:hyperlink r:id="rId111" w:history="1">
        <w:r w:rsidRPr="00E5265C">
          <w:rPr>
            <w:rStyle w:val="Hyperlink"/>
            <w:noProof/>
          </w:rPr>
          <w:t>https://www.tga.gov.au/resources/resource/guidance/orphan-drug-designation-eligibility-criteria</w:t>
        </w:r>
      </w:hyperlink>
      <w:r w:rsidRPr="00E5265C">
        <w:rPr>
          <w:noProof/>
        </w:rPr>
        <w:t>.</w:t>
      </w:r>
    </w:p>
    <w:p w14:paraId="464DFDAA" w14:textId="77777777" w:rsidR="00E5265C" w:rsidRPr="00E5265C" w:rsidRDefault="00E5265C" w:rsidP="00E5265C">
      <w:pPr>
        <w:pStyle w:val="EndNoteBibliography"/>
        <w:spacing w:after="0"/>
        <w:ind w:left="720" w:hanging="720"/>
        <w:rPr>
          <w:noProof/>
        </w:rPr>
      </w:pPr>
      <w:r w:rsidRPr="00E5265C">
        <w:rPr>
          <w:noProof/>
        </w:rPr>
        <w:t>[124] Therapeutic Goods Administration (TGA). (2015). Orphan drugs program. Canberra: Australian Government, Department of Health and Aged Care.</w:t>
      </w:r>
    </w:p>
    <w:p w14:paraId="5419D5FD" w14:textId="6751AB1F" w:rsidR="00E5265C" w:rsidRPr="00E5265C" w:rsidRDefault="00E5265C" w:rsidP="00E5265C">
      <w:pPr>
        <w:pStyle w:val="EndNoteBibliography"/>
        <w:spacing w:after="0"/>
        <w:ind w:left="720" w:hanging="720"/>
        <w:rPr>
          <w:noProof/>
        </w:rPr>
      </w:pPr>
      <w:r w:rsidRPr="00E5265C">
        <w:rPr>
          <w:noProof/>
        </w:rPr>
        <w:t xml:space="preserve">[125] Parliament of Australia. Rare diseases. Retrieved 20/07/2023, from: </w:t>
      </w:r>
      <w:hyperlink r:id="rId112" w:anchor=":~:text=The%20LSDP%20covers%20medicines%20if,fewer%20in%20the%20Australian%20population" w:history="1">
        <w:r w:rsidRPr="00E5265C">
          <w:rPr>
            <w:rStyle w:val="Hyperlink"/>
            <w:noProof/>
          </w:rPr>
          <w:t>https://www.aph.gov.au/Parliamentary_Business/Committees/House/Health_Aged_Care_and_Sport/Newdrugs/Report/section?id=committees%2Freportrep%2F024755%2F77601#:~:text=The%20LSDP%20covers%20medicines%20if,fewer%20in%20the%20Australian%20population</w:t>
        </w:r>
      </w:hyperlink>
      <w:r w:rsidRPr="00E5265C">
        <w:rPr>
          <w:noProof/>
        </w:rPr>
        <w:t>).</w:t>
      </w:r>
    </w:p>
    <w:p w14:paraId="0A5FCA82" w14:textId="2C2AE01F" w:rsidR="00E5265C" w:rsidRPr="00E5265C" w:rsidRDefault="00E5265C" w:rsidP="00E5265C">
      <w:pPr>
        <w:pStyle w:val="EndNoteBibliography"/>
        <w:spacing w:after="0"/>
        <w:ind w:left="720" w:hanging="720"/>
        <w:rPr>
          <w:noProof/>
        </w:rPr>
      </w:pPr>
      <w:r w:rsidRPr="00E5265C">
        <w:rPr>
          <w:noProof/>
        </w:rPr>
        <w:t xml:space="preserve">[126] Rare Disorders NZ. (2023). Rare Disorders Strategy progress. Retrieved 25/8/2023, from: </w:t>
      </w:r>
      <w:hyperlink r:id="rId113" w:history="1">
        <w:r w:rsidRPr="00E5265C">
          <w:rPr>
            <w:rStyle w:val="Hyperlink"/>
            <w:noProof/>
          </w:rPr>
          <w:t>https://www.raredisorders.org.nz/about-rare-disorders/rare-disorders-in-new-zealand/rare-disorders-strategy-progress/</w:t>
        </w:r>
      </w:hyperlink>
      <w:r w:rsidRPr="00E5265C">
        <w:rPr>
          <w:noProof/>
        </w:rPr>
        <w:t>.</w:t>
      </w:r>
    </w:p>
    <w:p w14:paraId="4F4383BA" w14:textId="77777777" w:rsidR="00E5265C" w:rsidRPr="00E5265C" w:rsidRDefault="00E5265C" w:rsidP="00E5265C">
      <w:pPr>
        <w:pStyle w:val="EndNoteBibliography"/>
        <w:spacing w:after="0"/>
        <w:ind w:left="720" w:hanging="720"/>
        <w:rPr>
          <w:noProof/>
        </w:rPr>
      </w:pPr>
      <w:r w:rsidRPr="00E5265C">
        <w:rPr>
          <w:noProof/>
        </w:rPr>
        <w:t xml:space="preserve">[127] Hsiang, N.-C., Huang, W.-F., Gau, C.-S., Tsai, T.-W. &amp; Chang, L.-C. (2021). The impact of the rare disease and Orphan Drug Act in Taiwan. </w:t>
      </w:r>
      <w:r w:rsidRPr="00E5265C">
        <w:rPr>
          <w:i/>
          <w:noProof/>
        </w:rPr>
        <w:t>Journal of Food and Drug Analysis, 29</w:t>
      </w:r>
      <w:r w:rsidRPr="00E5265C">
        <w:rPr>
          <w:noProof/>
        </w:rPr>
        <w:t>(4), 717.</w:t>
      </w:r>
    </w:p>
    <w:p w14:paraId="4BD28001" w14:textId="2B6BB3F7" w:rsidR="00E5265C" w:rsidRPr="00E5265C" w:rsidRDefault="00E5265C" w:rsidP="00E5265C">
      <w:pPr>
        <w:pStyle w:val="EndNoteBibliography"/>
        <w:spacing w:after="0"/>
        <w:ind w:left="720" w:hanging="720"/>
        <w:rPr>
          <w:noProof/>
        </w:rPr>
      </w:pPr>
      <w:r w:rsidRPr="00E5265C">
        <w:rPr>
          <w:noProof/>
        </w:rPr>
        <w:t xml:space="preserve">[128] Taiwan Foundation for rare diseases. Rare Diseases. Retrieved 25/07/2023, from: </w:t>
      </w:r>
      <w:hyperlink r:id="rId114" w:history="1">
        <w:r w:rsidRPr="00E5265C">
          <w:rPr>
            <w:rStyle w:val="Hyperlink"/>
            <w:noProof/>
          </w:rPr>
          <w:t>https://www.tfrd2.org.tw/tfrd_eng/index.php/rd1</w:t>
        </w:r>
      </w:hyperlink>
      <w:r w:rsidRPr="00E5265C">
        <w:rPr>
          <w:noProof/>
        </w:rPr>
        <w:t>.</w:t>
      </w:r>
    </w:p>
    <w:p w14:paraId="20DDA687" w14:textId="77777777" w:rsidR="00E5265C" w:rsidRPr="00E5265C" w:rsidRDefault="00E5265C" w:rsidP="00E5265C">
      <w:pPr>
        <w:pStyle w:val="EndNoteBibliography"/>
        <w:spacing w:after="0"/>
        <w:ind w:left="720" w:hanging="720"/>
        <w:rPr>
          <w:noProof/>
        </w:rPr>
      </w:pPr>
      <w:r w:rsidRPr="00E5265C">
        <w:rPr>
          <w:noProof/>
        </w:rPr>
        <w:t>[129] Parliament of Australia. (2015). Growth in expenditure on high cost drugs in Australia. Research Paper Series, 2014-15. Canberra: Parliament of Australia.</w:t>
      </w:r>
    </w:p>
    <w:p w14:paraId="3BE5F568" w14:textId="6683CA2A" w:rsidR="00E5265C" w:rsidRPr="00E5265C" w:rsidRDefault="00E5265C" w:rsidP="00E5265C">
      <w:pPr>
        <w:pStyle w:val="EndNoteBibliography"/>
        <w:spacing w:after="0"/>
        <w:ind w:left="720" w:hanging="720"/>
        <w:rPr>
          <w:noProof/>
        </w:rPr>
      </w:pPr>
      <w:r w:rsidRPr="00E5265C">
        <w:rPr>
          <w:noProof/>
        </w:rPr>
        <w:t xml:space="preserve">[130] Department of Finannce. (2023). Guide to Appropriations (RMG 100). Canberra: Australian Government, Department of Finance. Retrieved 19 December 2023, from: </w:t>
      </w:r>
      <w:hyperlink r:id="rId115" w:anchor=":~:text=annual%20appropriations%20%2D%20a%20provision%20within,ongoing%20government%20activities%20and%20programs" w:history="1">
        <w:r w:rsidRPr="00E5265C">
          <w:rPr>
            <w:rStyle w:val="Hyperlink"/>
            <w:noProof/>
          </w:rPr>
          <w:t>https://www.finance.gov.au/publications/resource-management-guides/guide-appropriations-rmg-100#:~:text=annual%20appropriations%20%2D%20a%20provision%20within,ongoing%20government%20activities%20and%20programs</w:t>
        </w:r>
      </w:hyperlink>
      <w:r w:rsidRPr="00E5265C">
        <w:rPr>
          <w:noProof/>
        </w:rPr>
        <w:t>.</w:t>
      </w:r>
    </w:p>
    <w:p w14:paraId="5D536724" w14:textId="77777777" w:rsidR="00E5265C" w:rsidRPr="00E5265C" w:rsidRDefault="00E5265C" w:rsidP="00E5265C">
      <w:pPr>
        <w:pStyle w:val="EndNoteBibliography"/>
        <w:spacing w:after="0"/>
        <w:ind w:left="720" w:hanging="720"/>
        <w:rPr>
          <w:noProof/>
        </w:rPr>
      </w:pPr>
      <w:r w:rsidRPr="00E5265C">
        <w:rPr>
          <w:noProof/>
        </w:rPr>
        <w:t>[131] National Institute for Health and Care Excellence (NICE). (2022). The Innovative Medicines Fund Principles. London: National Institute for Health and Care Excellence (NICE).</w:t>
      </w:r>
    </w:p>
    <w:p w14:paraId="5FA24A3A" w14:textId="06694A07" w:rsidR="00E5265C" w:rsidRPr="00E5265C" w:rsidRDefault="00E5265C" w:rsidP="00E5265C">
      <w:pPr>
        <w:pStyle w:val="EndNoteBibliography"/>
        <w:spacing w:after="0"/>
        <w:ind w:left="720" w:hanging="720"/>
        <w:rPr>
          <w:noProof/>
        </w:rPr>
      </w:pPr>
      <w:r w:rsidRPr="00E5265C">
        <w:rPr>
          <w:noProof/>
        </w:rPr>
        <w:t xml:space="preserve">[132] PHARMAC. (2014). Contestable fund for medicines for rare disorders. Retrieved 20/07/2023, from: </w:t>
      </w:r>
      <w:hyperlink r:id="rId116" w:history="1">
        <w:r w:rsidRPr="00E5265C">
          <w:rPr>
            <w:rStyle w:val="Hyperlink"/>
            <w:noProof/>
          </w:rPr>
          <w:t>https://pharmac.govt.nz/news-and-resources/consultations-and-decisions/contestable-fund-for-medicines-for-rare-disorders/</w:t>
        </w:r>
      </w:hyperlink>
      <w:r w:rsidRPr="00E5265C">
        <w:rPr>
          <w:noProof/>
        </w:rPr>
        <w:t>.</w:t>
      </w:r>
    </w:p>
    <w:p w14:paraId="45C007F3" w14:textId="2545BA99" w:rsidR="00E5265C" w:rsidRPr="00E5265C" w:rsidRDefault="00E5265C" w:rsidP="00E5265C">
      <w:pPr>
        <w:pStyle w:val="EndNoteBibliography"/>
        <w:spacing w:after="0"/>
        <w:ind w:left="720" w:hanging="720"/>
        <w:rPr>
          <w:noProof/>
        </w:rPr>
      </w:pPr>
      <w:r w:rsidRPr="00E5265C">
        <w:rPr>
          <w:noProof/>
        </w:rPr>
        <w:t xml:space="preserve">[133] Rare Disease Fund. (2023). What is the Rare Disease Fund? Retrieved 20/07/2023, from: </w:t>
      </w:r>
      <w:hyperlink r:id="rId117" w:history="1">
        <w:r w:rsidRPr="00E5265C">
          <w:rPr>
            <w:rStyle w:val="Hyperlink"/>
            <w:noProof/>
          </w:rPr>
          <w:t>https://www.kkh.com.sg/giving/Documents/Rare-Disease-Fund/index.html</w:t>
        </w:r>
      </w:hyperlink>
      <w:r w:rsidRPr="00E5265C">
        <w:rPr>
          <w:noProof/>
        </w:rPr>
        <w:t>.</w:t>
      </w:r>
    </w:p>
    <w:p w14:paraId="43FF9BED" w14:textId="1A3063DE" w:rsidR="00E5265C" w:rsidRPr="00E5265C" w:rsidRDefault="00E5265C" w:rsidP="00E5265C">
      <w:pPr>
        <w:pStyle w:val="EndNoteBibliography"/>
        <w:spacing w:after="0"/>
        <w:ind w:left="720" w:hanging="720"/>
        <w:rPr>
          <w:noProof/>
        </w:rPr>
      </w:pPr>
      <w:r w:rsidRPr="00E5265C">
        <w:rPr>
          <w:noProof/>
        </w:rPr>
        <w:t xml:space="preserve">[134] Ministry of Health. </w:t>
      </w:r>
      <w:r w:rsidRPr="00E5265C">
        <w:rPr>
          <w:i/>
          <w:noProof/>
        </w:rPr>
        <w:t>Criteria for inclusion of medicines in the RDF</w:t>
      </w:r>
      <w:r w:rsidRPr="00E5265C">
        <w:rPr>
          <w:noProof/>
        </w:rPr>
        <w:t xml:space="preserve">.  Singapore:  Retrieved from </w:t>
      </w:r>
      <w:hyperlink r:id="rId118" w:history="1">
        <w:r w:rsidRPr="00E5265C">
          <w:rPr>
            <w:rStyle w:val="Hyperlink"/>
            <w:noProof/>
          </w:rPr>
          <w:t>https://www.moh.gov.sg/docs/librariesprovider5/default-document-library/annex-c.pdf</w:t>
        </w:r>
      </w:hyperlink>
      <w:r w:rsidRPr="00E5265C">
        <w:rPr>
          <w:noProof/>
        </w:rPr>
        <w:t>.</w:t>
      </w:r>
    </w:p>
    <w:p w14:paraId="7479A4C2" w14:textId="77777777" w:rsidR="00E5265C" w:rsidRPr="00E5265C" w:rsidRDefault="00E5265C" w:rsidP="00E5265C">
      <w:pPr>
        <w:pStyle w:val="EndNoteBibliography"/>
        <w:spacing w:after="0"/>
        <w:ind w:left="720" w:hanging="720"/>
        <w:rPr>
          <w:noProof/>
        </w:rPr>
      </w:pPr>
      <w:r w:rsidRPr="00E5265C">
        <w:rPr>
          <w:noProof/>
        </w:rPr>
        <w:t xml:space="preserve">[135] Tarantola, A., Otto, M. H., Armeni, P., Costa, F., Malandrini, F. &amp; Jommi, C. (2023). Early access programs for medicines: comparative analysis among France, Italy, Spain, and UK and focus on the Italian case. </w:t>
      </w:r>
      <w:r w:rsidRPr="00E5265C">
        <w:rPr>
          <w:i/>
          <w:noProof/>
        </w:rPr>
        <w:t>J Pharm Policy Pract, 16</w:t>
      </w:r>
      <w:r w:rsidRPr="00E5265C">
        <w:rPr>
          <w:noProof/>
        </w:rPr>
        <w:t>(1), 67.</w:t>
      </w:r>
    </w:p>
    <w:p w14:paraId="670609A5" w14:textId="77777777" w:rsidR="00E5265C" w:rsidRPr="00E5265C" w:rsidRDefault="00E5265C" w:rsidP="00E5265C">
      <w:pPr>
        <w:pStyle w:val="EndNoteBibliography"/>
        <w:spacing w:after="0"/>
        <w:ind w:left="720" w:hanging="720"/>
        <w:rPr>
          <w:noProof/>
        </w:rPr>
      </w:pPr>
      <w:r w:rsidRPr="00E5265C">
        <w:rPr>
          <w:noProof/>
        </w:rPr>
        <w:t xml:space="preserve">[136] Tafuri, G., Bracco, A. &amp; Grueger, J. (2022). Access and pricing of medicines for patients with rare diseases in the European Union: an industry perspective. </w:t>
      </w:r>
      <w:r w:rsidRPr="00E5265C">
        <w:rPr>
          <w:i/>
          <w:noProof/>
        </w:rPr>
        <w:t>Expert review of pharmacoeconomics &amp; outcomes research, 22</w:t>
      </w:r>
      <w:r w:rsidRPr="00E5265C">
        <w:rPr>
          <w:noProof/>
        </w:rPr>
        <w:t>(3), 381-389.</w:t>
      </w:r>
    </w:p>
    <w:p w14:paraId="4549C5E0" w14:textId="77777777" w:rsidR="00E5265C" w:rsidRPr="00E5265C" w:rsidRDefault="00E5265C" w:rsidP="00E5265C">
      <w:pPr>
        <w:pStyle w:val="EndNoteBibliography"/>
        <w:spacing w:after="0"/>
        <w:ind w:left="720" w:hanging="720"/>
        <w:rPr>
          <w:noProof/>
        </w:rPr>
      </w:pPr>
      <w:r w:rsidRPr="00E5265C">
        <w:rPr>
          <w:noProof/>
        </w:rPr>
        <w:t xml:space="preserve">[137] Shafie, A. A., Chaiyakunapruk, N., Supian, A., Lim, J., Zafra, M. &amp; Hassali, M. A. A. (2016). State of rare disease management in Southeast Asia. </w:t>
      </w:r>
      <w:r w:rsidRPr="00E5265C">
        <w:rPr>
          <w:i/>
          <w:noProof/>
        </w:rPr>
        <w:t>Orphanet journal of rare diseases, 11(1) (no pagination)</w:t>
      </w:r>
      <w:r w:rsidRPr="00E5265C">
        <w:rPr>
          <w:noProof/>
        </w:rPr>
        <w:t>.</w:t>
      </w:r>
    </w:p>
    <w:p w14:paraId="74578D4B" w14:textId="77777777" w:rsidR="00E5265C" w:rsidRPr="00E5265C" w:rsidRDefault="00E5265C" w:rsidP="00E5265C">
      <w:pPr>
        <w:pStyle w:val="EndNoteBibliography"/>
        <w:spacing w:after="0"/>
        <w:ind w:left="720" w:hanging="720"/>
        <w:rPr>
          <w:noProof/>
        </w:rPr>
      </w:pPr>
      <w:r w:rsidRPr="00E5265C">
        <w:rPr>
          <w:noProof/>
        </w:rPr>
        <w:t xml:space="preserve">[138] Adkins, E. M., Nicholson, L., Floyd, D., Ratcliffe, M. &amp; Chevrou-Severac, H. (2017). Oncology drugs for orphan indications: how are HTA processes evolving for this specific drug category? </w:t>
      </w:r>
      <w:r w:rsidRPr="00E5265C">
        <w:rPr>
          <w:i/>
          <w:noProof/>
        </w:rPr>
        <w:t>Clinicoecon Outcomes Res, 9</w:t>
      </w:r>
      <w:r w:rsidRPr="00E5265C">
        <w:rPr>
          <w:noProof/>
        </w:rPr>
        <w:t>, 327-342.</w:t>
      </w:r>
    </w:p>
    <w:p w14:paraId="16174627" w14:textId="7AA51EAD" w:rsidR="00E5265C" w:rsidRPr="00E5265C" w:rsidRDefault="00E5265C" w:rsidP="00E5265C">
      <w:pPr>
        <w:pStyle w:val="EndNoteBibliography"/>
        <w:spacing w:after="0"/>
        <w:ind w:left="720" w:hanging="720"/>
        <w:rPr>
          <w:noProof/>
        </w:rPr>
      </w:pPr>
      <w:r w:rsidRPr="00E5265C">
        <w:rPr>
          <w:noProof/>
        </w:rPr>
        <w:t xml:space="preserve">[139] Norwegian Medicines Agency. (2019). Access to pharmaceuticals for very small patient groups with extremely severe conditions. Retrieved 21/07/2023, from: </w:t>
      </w:r>
      <w:hyperlink r:id="rId119" w:history="1">
        <w:r w:rsidRPr="00E5265C">
          <w:rPr>
            <w:rStyle w:val="Hyperlink"/>
            <w:noProof/>
          </w:rPr>
          <w:t>https://legemiddelverket.no/english/public-funding-and-pricing/documentation-for-sta/access-to-pharmaceuticals-for-very-small-patient-groups-with-extremely-severe-conditions</w:t>
        </w:r>
      </w:hyperlink>
      <w:r w:rsidRPr="00E5265C">
        <w:rPr>
          <w:noProof/>
        </w:rPr>
        <w:t>.</w:t>
      </w:r>
    </w:p>
    <w:p w14:paraId="41335E07" w14:textId="77777777" w:rsidR="00E5265C" w:rsidRPr="00E5265C" w:rsidRDefault="00E5265C" w:rsidP="00E5265C">
      <w:pPr>
        <w:pStyle w:val="EndNoteBibliography"/>
        <w:spacing w:after="0"/>
        <w:ind w:left="720" w:hanging="720"/>
        <w:rPr>
          <w:noProof/>
        </w:rPr>
      </w:pPr>
      <w:r w:rsidRPr="00E5265C">
        <w:rPr>
          <w:noProof/>
        </w:rPr>
        <w:t xml:space="preserve">[140] Whittal, A., Nicod, E., Drummond, M. &amp; Facey, K. (2021). Examining the impact of different country processes for appraising rare disease treatments: a case study analysis. </w:t>
      </w:r>
      <w:r w:rsidRPr="00E5265C">
        <w:rPr>
          <w:i/>
          <w:noProof/>
        </w:rPr>
        <w:t>Int J Technol Assess Health Care, 37</w:t>
      </w:r>
      <w:r w:rsidRPr="00E5265C">
        <w:rPr>
          <w:noProof/>
        </w:rPr>
        <w:t>(1).</w:t>
      </w:r>
    </w:p>
    <w:p w14:paraId="57B350A3" w14:textId="1741C523" w:rsidR="00E5265C" w:rsidRPr="00E5265C" w:rsidRDefault="00E5265C" w:rsidP="00E5265C">
      <w:pPr>
        <w:pStyle w:val="EndNoteBibliography"/>
        <w:spacing w:after="0"/>
        <w:ind w:left="720" w:hanging="720"/>
        <w:rPr>
          <w:noProof/>
        </w:rPr>
      </w:pPr>
      <w:r w:rsidRPr="00E5265C">
        <w:rPr>
          <w:noProof/>
        </w:rPr>
        <w:t xml:space="preserve">[141] Scottish Medicines Consortium. (2012). SMC modifiers used in appraising new medicines. Glasgow: NHS Scotland, Scottish Medicines Consortium. from: </w:t>
      </w:r>
      <w:hyperlink r:id="rId120" w:history="1">
        <w:r w:rsidRPr="00E5265C">
          <w:rPr>
            <w:rStyle w:val="Hyperlink"/>
            <w:noProof/>
          </w:rPr>
          <w:t>https://www.scottishmedicines.org.uk/media/3565/modifiers.pdf</w:t>
        </w:r>
      </w:hyperlink>
      <w:r w:rsidRPr="00E5265C">
        <w:rPr>
          <w:noProof/>
        </w:rPr>
        <w:t>.</w:t>
      </w:r>
    </w:p>
    <w:p w14:paraId="7C19CBE5" w14:textId="77777777" w:rsidR="00E5265C" w:rsidRPr="00E5265C" w:rsidRDefault="00E5265C" w:rsidP="00E5265C">
      <w:pPr>
        <w:pStyle w:val="EndNoteBibliography"/>
        <w:spacing w:after="0"/>
        <w:ind w:left="720" w:hanging="720"/>
        <w:rPr>
          <w:noProof/>
        </w:rPr>
      </w:pPr>
      <w:r w:rsidRPr="00E5265C">
        <w:rPr>
          <w:noProof/>
        </w:rPr>
        <w:t xml:space="preserve">[142] Stafinski, T., Glennie, J., Young, A. &amp; Menon, D. (2022). HTA decision-making for drugs for rare diseases: comparison of processes across countries. </w:t>
      </w:r>
      <w:r w:rsidRPr="00E5265C">
        <w:rPr>
          <w:i/>
          <w:noProof/>
        </w:rPr>
        <w:t>Orphanet journal of rare diseases, 17</w:t>
      </w:r>
      <w:r w:rsidRPr="00E5265C">
        <w:rPr>
          <w:noProof/>
        </w:rPr>
        <w:t>(1), 258.</w:t>
      </w:r>
    </w:p>
    <w:p w14:paraId="6EC5A337" w14:textId="77777777" w:rsidR="00E5265C" w:rsidRPr="00E5265C" w:rsidRDefault="00E5265C" w:rsidP="00E5265C">
      <w:pPr>
        <w:pStyle w:val="EndNoteBibliography"/>
        <w:spacing w:after="0"/>
        <w:ind w:left="720" w:hanging="720"/>
        <w:rPr>
          <w:noProof/>
        </w:rPr>
      </w:pPr>
      <w:r w:rsidRPr="00E5265C">
        <w:rPr>
          <w:noProof/>
        </w:rPr>
        <w:t xml:space="preserve">[143] Nicod, E., Brigham, K. B., Durand-Zaleski, I. &amp; Kanavos, P. (2017). Dealing with uncertainty and accounting for social value judgments in assessments of orphan drugs: evidence from four European countries. </w:t>
      </w:r>
      <w:r w:rsidRPr="00E5265C">
        <w:rPr>
          <w:i/>
          <w:noProof/>
        </w:rPr>
        <w:t>Value in Health, 20</w:t>
      </w:r>
      <w:r w:rsidRPr="00E5265C">
        <w:rPr>
          <w:noProof/>
        </w:rPr>
        <w:t>(7), 919-926.</w:t>
      </w:r>
    </w:p>
    <w:p w14:paraId="5B8E6A89" w14:textId="77777777" w:rsidR="00E5265C" w:rsidRPr="00E5265C" w:rsidRDefault="00E5265C" w:rsidP="00E5265C">
      <w:pPr>
        <w:pStyle w:val="EndNoteBibliography"/>
        <w:spacing w:after="0"/>
        <w:ind w:left="720" w:hanging="720"/>
        <w:rPr>
          <w:noProof/>
        </w:rPr>
      </w:pPr>
      <w:r w:rsidRPr="00E5265C">
        <w:rPr>
          <w:noProof/>
        </w:rPr>
        <w:t>[144] Impact HTA. (2021). Country Vignettes. Retrieved 25/8/2023.</w:t>
      </w:r>
    </w:p>
    <w:p w14:paraId="2372AD26" w14:textId="3E4B3F95" w:rsidR="00E5265C" w:rsidRPr="00E5265C" w:rsidRDefault="00E5265C" w:rsidP="00E5265C">
      <w:pPr>
        <w:pStyle w:val="EndNoteBibliography"/>
        <w:spacing w:after="0"/>
        <w:ind w:left="720" w:hanging="720"/>
        <w:rPr>
          <w:noProof/>
        </w:rPr>
      </w:pPr>
      <w:r w:rsidRPr="00E5265C">
        <w:rPr>
          <w:noProof/>
        </w:rPr>
        <w:t xml:space="preserve">[145] National Health Care Institue. (2022). Conditional inclusion of orphan drugs, conditionals and exceptionals in basic health care. The Netherlands. Retrieved 23/07/2023, from: </w:t>
      </w:r>
      <w:hyperlink r:id="rId121" w:history="1">
        <w:r w:rsidRPr="00E5265C">
          <w:rPr>
            <w:rStyle w:val="Hyperlink"/>
            <w:noProof/>
          </w:rPr>
          <w:t>https://english.zorginstituutnederland.nl/about-us/tasks-of-the-national-health-care-institute/conditional-inclusion-of-orphan-drugs-conditionals-and-exceptionals</w:t>
        </w:r>
      </w:hyperlink>
      <w:r w:rsidRPr="00E5265C">
        <w:rPr>
          <w:noProof/>
        </w:rPr>
        <w:t>.</w:t>
      </w:r>
    </w:p>
    <w:p w14:paraId="28B96E7F" w14:textId="77777777" w:rsidR="00E5265C" w:rsidRPr="00E5265C" w:rsidRDefault="00E5265C" w:rsidP="00E5265C">
      <w:pPr>
        <w:pStyle w:val="EndNoteBibliography"/>
        <w:spacing w:after="0"/>
        <w:ind w:left="720" w:hanging="720"/>
        <w:rPr>
          <w:noProof/>
        </w:rPr>
      </w:pPr>
      <w:r w:rsidRPr="00E5265C">
        <w:rPr>
          <w:noProof/>
        </w:rPr>
        <w:t xml:space="preserve">[146] Blonda, A., Barcina Lacosta, T., Toumi, M. &amp; Simoens, S. (2021). Assessing the Value of Nusinersen for Spinal Muscular Atrophy: A Comparative Analysis of Reimbursement Submission and Appraisal in European Countries. </w:t>
      </w:r>
      <w:r w:rsidRPr="00E5265C">
        <w:rPr>
          <w:i/>
          <w:noProof/>
        </w:rPr>
        <w:t>Front Pharmacol, 12</w:t>
      </w:r>
      <w:r w:rsidRPr="00E5265C">
        <w:rPr>
          <w:noProof/>
        </w:rPr>
        <w:t>.</w:t>
      </w:r>
    </w:p>
    <w:p w14:paraId="4C0A4ABE" w14:textId="77777777" w:rsidR="00E5265C" w:rsidRPr="00E5265C" w:rsidRDefault="00E5265C" w:rsidP="00E5265C">
      <w:pPr>
        <w:pStyle w:val="EndNoteBibliography"/>
        <w:spacing w:after="0"/>
        <w:ind w:left="720" w:hanging="720"/>
        <w:rPr>
          <w:noProof/>
        </w:rPr>
      </w:pPr>
      <w:r w:rsidRPr="00E5265C">
        <w:rPr>
          <w:noProof/>
        </w:rPr>
        <w:t xml:space="preserve">[147] Paulden, M. (2017). Recent amendments to NICE's value-based assessment of health technologies: implicitly inequitable? </w:t>
      </w:r>
      <w:r w:rsidRPr="00E5265C">
        <w:rPr>
          <w:i/>
          <w:noProof/>
        </w:rPr>
        <w:t>Expert Rev Pharmacoecon Outcomes Res, 17</w:t>
      </w:r>
      <w:r w:rsidRPr="00E5265C">
        <w:rPr>
          <w:noProof/>
        </w:rPr>
        <w:t>(3), 239-242.</w:t>
      </w:r>
    </w:p>
    <w:p w14:paraId="5B14E4C1" w14:textId="511F0587" w:rsidR="00E5265C" w:rsidRPr="00E5265C" w:rsidRDefault="00E5265C" w:rsidP="00E5265C">
      <w:pPr>
        <w:pStyle w:val="EndNoteBibliography"/>
        <w:spacing w:after="0"/>
        <w:ind w:left="720" w:hanging="720"/>
        <w:rPr>
          <w:noProof/>
        </w:rPr>
      </w:pPr>
      <w:r w:rsidRPr="00E5265C">
        <w:rPr>
          <w:noProof/>
        </w:rPr>
        <w:t xml:space="preserve">[148] Department of Health and Aged Care. (2016). Basis for any claim for the ‘rule of rescue’. Canberra: Australian Government, Department of Health and Aged Care. Retrieved 21 July 2023, from: </w:t>
      </w:r>
      <w:hyperlink r:id="rId122" w:history="1">
        <w:r w:rsidRPr="00E5265C">
          <w:rPr>
            <w:rStyle w:val="Hyperlink"/>
            <w:noProof/>
          </w:rPr>
          <w:t>https://pbac.pbs.gov.au/section-5/5-4-basis-for-any-claim-for-the-rule-of-rescue.html</w:t>
        </w:r>
      </w:hyperlink>
      <w:r w:rsidRPr="00E5265C">
        <w:rPr>
          <w:noProof/>
        </w:rPr>
        <w:t>.</w:t>
      </w:r>
    </w:p>
    <w:p w14:paraId="3B08D846" w14:textId="7D30F42B" w:rsidR="00E5265C" w:rsidRPr="00E5265C" w:rsidRDefault="00E5265C" w:rsidP="00E5265C">
      <w:pPr>
        <w:pStyle w:val="EndNoteBibliography"/>
        <w:spacing w:after="0"/>
        <w:ind w:left="720" w:hanging="720"/>
        <w:rPr>
          <w:noProof/>
        </w:rPr>
      </w:pPr>
      <w:r w:rsidRPr="00E5265C">
        <w:rPr>
          <w:noProof/>
        </w:rPr>
        <w:t xml:space="preserve">[149] Agenzia Italiana del Farmaco (AIFA). (2023). Innovative medicinal products. Retrieved 25/08/2023, from: </w:t>
      </w:r>
      <w:hyperlink r:id="rId123" w:history="1">
        <w:r w:rsidRPr="00E5265C">
          <w:rPr>
            <w:rStyle w:val="Hyperlink"/>
            <w:noProof/>
          </w:rPr>
          <w:t>https://www.aifa.gov.it/en/farmaci-innovativi</w:t>
        </w:r>
      </w:hyperlink>
      <w:r w:rsidRPr="00E5265C">
        <w:rPr>
          <w:noProof/>
        </w:rPr>
        <w:t>.</w:t>
      </w:r>
    </w:p>
    <w:p w14:paraId="62686584" w14:textId="027AFAB3" w:rsidR="00E5265C" w:rsidRPr="00E5265C" w:rsidRDefault="00E5265C" w:rsidP="00E5265C">
      <w:pPr>
        <w:pStyle w:val="EndNoteBibliography"/>
        <w:spacing w:after="0"/>
        <w:ind w:left="720" w:hanging="720"/>
        <w:rPr>
          <w:noProof/>
        </w:rPr>
      </w:pPr>
      <w:r w:rsidRPr="00E5265C">
        <w:rPr>
          <w:noProof/>
        </w:rPr>
        <w:t xml:space="preserve">[150] PharmaCare. (2023). Exceptional funding of EDRDs. Retrieved 28/07/2023, from: </w:t>
      </w:r>
      <w:hyperlink r:id="rId124" w:anchor=":~:text=To%20be%20eligible%20for%20an,MSP%20and%20Fair%20PharmaCare%3B%20and" w:history="1">
        <w:r w:rsidRPr="00E5265C">
          <w:rPr>
            <w:rStyle w:val="Hyperlink"/>
            <w:noProof/>
          </w:rPr>
          <w:t>https://www2.gov.bc.ca/gov/content/health/health-drug-coverage/pharmacare-for-bc-residents/what-we-cover/exceptional-funding-edrd#:~:text=To%20be%20eligible%20for%20an,MSP%20and%20Fair%20PharmaCare%3B%20and</w:t>
        </w:r>
      </w:hyperlink>
      <w:r w:rsidRPr="00E5265C">
        <w:rPr>
          <w:noProof/>
        </w:rPr>
        <w:t>.</w:t>
      </w:r>
    </w:p>
    <w:p w14:paraId="27213690" w14:textId="77777777" w:rsidR="00E5265C" w:rsidRPr="00E5265C" w:rsidRDefault="00E5265C" w:rsidP="00E5265C">
      <w:pPr>
        <w:pStyle w:val="EndNoteBibliography"/>
        <w:spacing w:after="0"/>
        <w:ind w:left="720" w:hanging="720"/>
        <w:rPr>
          <w:noProof/>
        </w:rPr>
      </w:pPr>
      <w:r w:rsidRPr="00E5265C">
        <w:rPr>
          <w:noProof/>
        </w:rPr>
        <w:t xml:space="preserve">[151] Czech, M., Baran-Kooiker, A., Atikeler, K., Demirtshyan, M., Gaitova, K., Holownia-Voloskova, M., Turcu-Stiolica, A., et al. (2020). A review of rare disease policies and orphan drug reimbursement systems in 12 Eurasian countries. </w:t>
      </w:r>
      <w:r w:rsidRPr="00E5265C">
        <w:rPr>
          <w:i/>
          <w:noProof/>
        </w:rPr>
        <w:t>Frontiers in public health, 7</w:t>
      </w:r>
      <w:r w:rsidRPr="00E5265C">
        <w:rPr>
          <w:noProof/>
        </w:rPr>
        <w:t>, 416.</w:t>
      </w:r>
    </w:p>
    <w:p w14:paraId="04CBEBEB" w14:textId="7992323E" w:rsidR="00E5265C" w:rsidRPr="00E5265C" w:rsidRDefault="00E5265C" w:rsidP="00E5265C">
      <w:pPr>
        <w:pStyle w:val="EndNoteBibliography"/>
        <w:spacing w:after="0"/>
        <w:ind w:left="720" w:hanging="720"/>
        <w:rPr>
          <w:noProof/>
        </w:rPr>
      </w:pPr>
      <w:r w:rsidRPr="00E5265C">
        <w:rPr>
          <w:noProof/>
        </w:rPr>
        <w:t xml:space="preserve">[152] Scottish Medicines Consortium. (n.d.). </w:t>
      </w:r>
      <w:r w:rsidRPr="00E5265C">
        <w:rPr>
          <w:i/>
          <w:noProof/>
        </w:rPr>
        <w:t>Patient and Clinician Engagement (PACE) Meetings Overview</w:t>
      </w:r>
      <w:r w:rsidRPr="00E5265C">
        <w:rPr>
          <w:noProof/>
        </w:rPr>
        <w:t xml:space="preserve">.  Glasgow: NHS Scotland, Scottish Medicines Consortium Retrieved from </w:t>
      </w:r>
      <w:hyperlink r:id="rId125" w:history="1">
        <w:r w:rsidRPr="00E5265C">
          <w:rPr>
            <w:rStyle w:val="Hyperlink"/>
            <w:noProof/>
          </w:rPr>
          <w:t>https://www.scottishmedicines.org.uk/media/7217/pace-overview-document-v36docx.pdf</w:t>
        </w:r>
      </w:hyperlink>
      <w:r w:rsidRPr="00E5265C">
        <w:rPr>
          <w:noProof/>
        </w:rPr>
        <w:t>.</w:t>
      </w:r>
    </w:p>
    <w:p w14:paraId="1232B767" w14:textId="5D9DB65F" w:rsidR="00E5265C" w:rsidRPr="00E5265C" w:rsidRDefault="00E5265C" w:rsidP="00E5265C">
      <w:pPr>
        <w:pStyle w:val="EndNoteBibliography"/>
        <w:spacing w:after="0"/>
        <w:ind w:left="720" w:hanging="720"/>
        <w:rPr>
          <w:noProof/>
        </w:rPr>
      </w:pPr>
      <w:r w:rsidRPr="00E5265C">
        <w:rPr>
          <w:noProof/>
        </w:rPr>
        <w:t xml:space="preserve">[153] CEVIDERA. (2023, 25/08/2023). Early Access Programs in France (ex ATU). from: </w:t>
      </w:r>
      <w:hyperlink r:id="rId126" w:anchor=":~:text=Early%20access%20programs%20(previously%20named,a%20Temporary%20Authorization%20for%20Use" w:history="1">
        <w:r w:rsidRPr="00E5265C">
          <w:rPr>
            <w:rStyle w:val="Hyperlink"/>
            <w:noProof/>
          </w:rPr>
          <w:t>https://www.cevidra.com/early-access-programs-in-france/#:~:text=Early%20access%20programs%20(previously%20named,a%20Temporary%20Authorization%20for%20Use</w:t>
        </w:r>
      </w:hyperlink>
      <w:r w:rsidRPr="00E5265C">
        <w:rPr>
          <w:noProof/>
        </w:rPr>
        <w:t>.</w:t>
      </w:r>
    </w:p>
    <w:p w14:paraId="31739456" w14:textId="25B27AE5" w:rsidR="00E5265C" w:rsidRPr="00E5265C" w:rsidRDefault="00E5265C" w:rsidP="00E5265C">
      <w:pPr>
        <w:pStyle w:val="EndNoteBibliography"/>
        <w:spacing w:after="0"/>
        <w:ind w:left="720" w:hanging="720"/>
        <w:rPr>
          <w:noProof/>
        </w:rPr>
      </w:pPr>
      <w:r w:rsidRPr="00E5265C">
        <w:rPr>
          <w:noProof/>
        </w:rPr>
        <w:t xml:space="preserve">[154] Haute Autorité de Santé. (2023). Early access authorisation : a positive initial report and refined assessment methods. Retrieved 25/08/2023, from: </w:t>
      </w:r>
      <w:hyperlink r:id="rId127" w:history="1">
        <w:r w:rsidRPr="00E5265C">
          <w:rPr>
            <w:rStyle w:val="Hyperlink"/>
            <w:noProof/>
          </w:rPr>
          <w:t>https://www.has-sante.fr/jcms/p_3340090/en/early-access-authorisation-a-positive-initial-report-and-refined-assessment-methods</w:t>
        </w:r>
      </w:hyperlink>
      <w:r w:rsidRPr="00E5265C">
        <w:rPr>
          <w:noProof/>
        </w:rPr>
        <w:t>.</w:t>
      </w:r>
    </w:p>
    <w:p w14:paraId="727D7694" w14:textId="77777777" w:rsidR="00E5265C" w:rsidRPr="00E5265C" w:rsidRDefault="00E5265C" w:rsidP="00E5265C">
      <w:pPr>
        <w:pStyle w:val="EndNoteBibliography"/>
        <w:spacing w:after="0"/>
        <w:ind w:left="720" w:hanging="720"/>
        <w:rPr>
          <w:noProof/>
        </w:rPr>
      </w:pPr>
      <w:r w:rsidRPr="00E5265C">
        <w:rPr>
          <w:noProof/>
        </w:rPr>
        <w:t xml:space="preserve">[155] Jommi, C., Addis, A., Martini, N., Nicod, E., Pani, M., Scopinaro, A. &amp; Vogler, S. (2021). Price and reimbursement for orphan medicines and managed entry agreements: does Italy need a framework? </w:t>
      </w:r>
      <w:r w:rsidRPr="00E5265C">
        <w:rPr>
          <w:i/>
          <w:noProof/>
        </w:rPr>
        <w:t>GLOBAL &amp; REGIONAL HEALTH TECHNOLOGY ASSESSMENT, 8</w:t>
      </w:r>
      <w:r w:rsidRPr="00E5265C">
        <w:rPr>
          <w:noProof/>
        </w:rPr>
        <w:t>, 114-119.</w:t>
      </w:r>
    </w:p>
    <w:p w14:paraId="3E5DF9CE" w14:textId="77777777" w:rsidR="00E5265C" w:rsidRPr="00E5265C" w:rsidRDefault="00E5265C" w:rsidP="00E5265C">
      <w:pPr>
        <w:pStyle w:val="EndNoteBibliography"/>
        <w:spacing w:after="0"/>
        <w:ind w:left="720" w:hanging="720"/>
        <w:rPr>
          <w:noProof/>
        </w:rPr>
      </w:pPr>
      <w:r w:rsidRPr="00E5265C">
        <w:rPr>
          <w:noProof/>
        </w:rPr>
        <w:t xml:space="preserve">[156] Institute for Quality and Efficiency in Health Care (IQWiG). (2022). </w:t>
      </w:r>
      <w:r w:rsidRPr="00E5265C">
        <w:rPr>
          <w:i/>
          <w:noProof/>
        </w:rPr>
        <w:t>IQWiG Guidelines</w:t>
      </w:r>
      <w:r w:rsidRPr="00E5265C">
        <w:rPr>
          <w:noProof/>
        </w:rPr>
        <w:t>.</w:t>
      </w:r>
    </w:p>
    <w:p w14:paraId="77ACE751" w14:textId="77777777" w:rsidR="00E5265C" w:rsidRPr="00E5265C" w:rsidRDefault="00E5265C" w:rsidP="00E5265C">
      <w:pPr>
        <w:pStyle w:val="EndNoteBibliography"/>
        <w:spacing w:after="0"/>
        <w:ind w:left="720" w:hanging="720"/>
        <w:rPr>
          <w:noProof/>
        </w:rPr>
      </w:pPr>
      <w:r w:rsidRPr="00E5265C">
        <w:rPr>
          <w:noProof/>
        </w:rPr>
        <w:t xml:space="preserve">[157] Worm, F. &amp; Dintsios, C. M. (2020). Determinants of Orphan Drug Prices in Germany. </w:t>
      </w:r>
      <w:r w:rsidRPr="00E5265C">
        <w:rPr>
          <w:i/>
          <w:noProof/>
        </w:rPr>
        <w:t>PharmacoEconomics, 38</w:t>
      </w:r>
      <w:r w:rsidRPr="00E5265C">
        <w:rPr>
          <w:noProof/>
        </w:rPr>
        <w:t>(4), 397-411.</w:t>
      </w:r>
    </w:p>
    <w:p w14:paraId="590EB829" w14:textId="24ECCCA7" w:rsidR="00E5265C" w:rsidRPr="00E5265C" w:rsidRDefault="00E5265C" w:rsidP="00E5265C">
      <w:pPr>
        <w:pStyle w:val="EndNoteBibliography"/>
        <w:spacing w:after="0"/>
        <w:ind w:left="720" w:hanging="720"/>
        <w:rPr>
          <w:noProof/>
        </w:rPr>
      </w:pPr>
      <w:r w:rsidRPr="00E5265C">
        <w:rPr>
          <w:noProof/>
        </w:rPr>
        <w:t xml:space="preserve">[158] institute for Quality and Efficiency in Health Care (IQWiG). (2022). Orphan drugs: privilege of "fictitious" added benefit not justified. Retrieved 25/8/2023, from: </w:t>
      </w:r>
      <w:hyperlink r:id="rId128" w:history="1">
        <w:r w:rsidRPr="00E5265C">
          <w:rPr>
            <w:rStyle w:val="Hyperlink"/>
            <w:noProof/>
          </w:rPr>
          <w:t>https://www.iqwig.de/en/presse/press-releases/press-releases-detailpage_58496.html</w:t>
        </w:r>
      </w:hyperlink>
      <w:r w:rsidRPr="00E5265C">
        <w:rPr>
          <w:noProof/>
        </w:rPr>
        <w:t>.</w:t>
      </w:r>
    </w:p>
    <w:p w14:paraId="543E0693" w14:textId="77777777" w:rsidR="00E5265C" w:rsidRPr="00E5265C" w:rsidRDefault="00E5265C" w:rsidP="00E5265C">
      <w:pPr>
        <w:pStyle w:val="EndNoteBibliography"/>
        <w:spacing w:after="0"/>
        <w:ind w:left="720" w:hanging="720"/>
        <w:rPr>
          <w:noProof/>
        </w:rPr>
      </w:pPr>
      <w:r w:rsidRPr="00E5265C">
        <w:rPr>
          <w:noProof/>
        </w:rPr>
        <w:t xml:space="preserve">[159] IQWiG. (2021). Evidence on orphan drugs </w:t>
      </w:r>
    </w:p>
    <w:p w14:paraId="0C1D9CA6" w14:textId="77777777" w:rsidR="00E5265C" w:rsidRPr="00E5265C" w:rsidRDefault="00E5265C" w:rsidP="00E5265C">
      <w:pPr>
        <w:pStyle w:val="EndNoteBibliography"/>
        <w:spacing w:after="0"/>
        <w:ind w:left="720" w:hanging="720"/>
        <w:rPr>
          <w:noProof/>
        </w:rPr>
      </w:pPr>
      <w:r w:rsidRPr="00E5265C">
        <w:rPr>
          <w:noProof/>
        </w:rPr>
        <w:t>[160] Denis, A., Simoens, S., Fostier, C., Mergaert, L. &amp; Cleemput, I. (2009). Policies for rare diseases and orphan drugs. Belgium.</w:t>
      </w:r>
    </w:p>
    <w:p w14:paraId="53AA33F0" w14:textId="77777777" w:rsidR="00E5265C" w:rsidRPr="00E5265C" w:rsidRDefault="00E5265C" w:rsidP="00E5265C">
      <w:pPr>
        <w:pStyle w:val="EndNoteBibliography"/>
        <w:spacing w:after="0"/>
        <w:ind w:left="720" w:hanging="720"/>
        <w:rPr>
          <w:noProof/>
        </w:rPr>
      </w:pPr>
      <w:r w:rsidRPr="00E5265C">
        <w:rPr>
          <w:noProof/>
        </w:rPr>
        <w:t xml:space="preserve">[161] Lee, B., Bae, E. Y., Bae, S., Choi, H. J., Son, K. B., Lee, Y. S., Jang, S. &amp; Lee, T. J. (2021). How can we improve patients' access to new drugs under uncertainties? : South Korea's experience with risk sharing arrangements. </w:t>
      </w:r>
      <w:r w:rsidRPr="00E5265C">
        <w:rPr>
          <w:i/>
          <w:noProof/>
        </w:rPr>
        <w:t>BMC Health Services Research, 21</w:t>
      </w:r>
      <w:r w:rsidRPr="00E5265C">
        <w:rPr>
          <w:noProof/>
        </w:rPr>
        <w:t>(1).</w:t>
      </w:r>
    </w:p>
    <w:p w14:paraId="4C024F7D" w14:textId="77777777" w:rsidR="00E5265C" w:rsidRPr="00E5265C" w:rsidRDefault="00E5265C" w:rsidP="00E5265C">
      <w:pPr>
        <w:pStyle w:val="EndNoteBibliography"/>
        <w:spacing w:after="0"/>
        <w:ind w:left="720" w:hanging="720"/>
        <w:rPr>
          <w:noProof/>
        </w:rPr>
      </w:pPr>
      <w:r w:rsidRPr="00E5265C">
        <w:rPr>
          <w:noProof/>
        </w:rPr>
        <w:t xml:space="preserve">[162] Denis, A., Mergaert, L., Fostier, C., Cleemput, I., Hulstaert, F. &amp; Simoens, S. (2011). Critical Assessment of Belgian Reimbursement Dossiers of Orphan Drugs. </w:t>
      </w:r>
      <w:r w:rsidRPr="00E5265C">
        <w:rPr>
          <w:i/>
          <w:noProof/>
        </w:rPr>
        <w:t>PharmacoEconomics, 29</w:t>
      </w:r>
      <w:r w:rsidRPr="00E5265C">
        <w:rPr>
          <w:noProof/>
        </w:rPr>
        <w:t>(10), 883-893.</w:t>
      </w:r>
    </w:p>
    <w:p w14:paraId="4EBC3CA0" w14:textId="77777777" w:rsidR="00E5265C" w:rsidRPr="00E5265C" w:rsidRDefault="00E5265C" w:rsidP="00E5265C">
      <w:pPr>
        <w:pStyle w:val="EndNoteBibliography"/>
        <w:spacing w:after="0"/>
        <w:ind w:left="720" w:hanging="720"/>
        <w:rPr>
          <w:noProof/>
        </w:rPr>
      </w:pPr>
      <w:r w:rsidRPr="00E5265C">
        <w:rPr>
          <w:noProof/>
        </w:rPr>
        <w:t>[163] L.E.K Consulting. (2020). Weighing the Trade-offs of a Direct Presence in Japan’s Rare and Orphan Drug Market.</w:t>
      </w:r>
    </w:p>
    <w:p w14:paraId="00A4AE3F" w14:textId="77777777" w:rsidR="00E5265C" w:rsidRPr="00E5265C" w:rsidRDefault="00E5265C" w:rsidP="00E5265C">
      <w:pPr>
        <w:pStyle w:val="EndNoteBibliography"/>
        <w:spacing w:after="0"/>
        <w:ind w:left="720" w:hanging="720"/>
        <w:rPr>
          <w:noProof/>
        </w:rPr>
      </w:pPr>
      <w:r w:rsidRPr="00E5265C">
        <w:rPr>
          <w:noProof/>
        </w:rPr>
        <w:t xml:space="preserve">[164] Song, P., Gao, J., Inagaki, Y., Kokudo, N. &amp; Tang, W. (2012). Rare diseases, orphan drugs, and their regulation in asia: Current status and future perspectives. </w:t>
      </w:r>
      <w:r w:rsidRPr="00E5265C">
        <w:rPr>
          <w:i/>
          <w:noProof/>
        </w:rPr>
        <w:t>Intractable and Rare Diseases Research, 1(1)</w:t>
      </w:r>
      <w:r w:rsidRPr="00E5265C">
        <w:rPr>
          <w:noProof/>
        </w:rPr>
        <w:t>, 3-9.</w:t>
      </w:r>
    </w:p>
    <w:p w14:paraId="1633961C" w14:textId="77777777" w:rsidR="00E5265C" w:rsidRPr="00E5265C" w:rsidRDefault="00E5265C" w:rsidP="00E5265C">
      <w:pPr>
        <w:pStyle w:val="EndNoteBibliography"/>
        <w:spacing w:after="0"/>
        <w:ind w:left="720" w:hanging="720"/>
        <w:rPr>
          <w:noProof/>
        </w:rPr>
      </w:pPr>
      <w:r w:rsidRPr="00E5265C">
        <w:rPr>
          <w:noProof/>
        </w:rPr>
        <w:t xml:space="preserve">[165] Bang, J. S. &amp; Lee, J. H. (2021). The national drug formulary listing process for orphan drugs in South Korea: narrative review focused on pricing and reimbursement pathways. </w:t>
      </w:r>
      <w:r w:rsidRPr="00E5265C">
        <w:rPr>
          <w:i/>
          <w:noProof/>
        </w:rPr>
        <w:t>Expert Opinion on Orphan Drugs, 9(4)</w:t>
      </w:r>
      <w:r w:rsidRPr="00E5265C">
        <w:rPr>
          <w:noProof/>
        </w:rPr>
        <w:t>, 105-112.</w:t>
      </w:r>
    </w:p>
    <w:p w14:paraId="3D72A99F" w14:textId="77777777" w:rsidR="00E5265C" w:rsidRPr="00E5265C" w:rsidRDefault="00E5265C" w:rsidP="00E5265C">
      <w:pPr>
        <w:pStyle w:val="EndNoteBibliography"/>
        <w:spacing w:after="0"/>
        <w:ind w:left="720" w:hanging="720"/>
        <w:rPr>
          <w:noProof/>
        </w:rPr>
      </w:pPr>
      <w:r w:rsidRPr="00E5265C">
        <w:rPr>
          <w:noProof/>
        </w:rPr>
        <w:t xml:space="preserve">[166] Yoo, S. L., Kim, D. J., Lee, S. M., Kang, W. G., Kim, S. Y., Lee, J. H. &amp; Suh, D. C. (2019). Improving Patient Access to New Drugs in South Korea: Evaluation of the National Drug Formulary System. </w:t>
      </w:r>
      <w:r w:rsidRPr="00E5265C">
        <w:rPr>
          <w:i/>
          <w:noProof/>
        </w:rPr>
        <w:t>Int J Environ Res Public Health, 16</w:t>
      </w:r>
      <w:r w:rsidRPr="00E5265C">
        <w:rPr>
          <w:noProof/>
        </w:rPr>
        <w:t>(2).</w:t>
      </w:r>
    </w:p>
    <w:p w14:paraId="284C8BDB" w14:textId="77777777" w:rsidR="00E5265C" w:rsidRPr="00E5265C" w:rsidRDefault="00E5265C" w:rsidP="00E5265C">
      <w:pPr>
        <w:pStyle w:val="EndNoteBibliography"/>
        <w:spacing w:after="0"/>
        <w:ind w:left="720" w:hanging="720"/>
        <w:rPr>
          <w:noProof/>
        </w:rPr>
      </w:pPr>
      <w:r w:rsidRPr="00E5265C">
        <w:rPr>
          <w:noProof/>
        </w:rPr>
        <w:t xml:space="preserve">[167] Lee, J. H. (2021). Pricing and Reimbursement Pathways of New Orphan Drugs in South Korea: A Longitudinal Comparison. </w:t>
      </w:r>
      <w:r w:rsidRPr="00E5265C">
        <w:rPr>
          <w:i/>
          <w:noProof/>
        </w:rPr>
        <w:t>Healthcare (Basel), 9</w:t>
      </w:r>
      <w:r w:rsidRPr="00E5265C">
        <w:rPr>
          <w:noProof/>
        </w:rPr>
        <w:t>(3).</w:t>
      </w:r>
    </w:p>
    <w:p w14:paraId="416269A8" w14:textId="77777777" w:rsidR="00E5265C" w:rsidRPr="00E5265C" w:rsidRDefault="00E5265C" w:rsidP="00E5265C">
      <w:pPr>
        <w:pStyle w:val="EndNoteBibliography"/>
        <w:spacing w:after="0"/>
        <w:ind w:left="720" w:hanging="720"/>
        <w:rPr>
          <w:noProof/>
        </w:rPr>
      </w:pPr>
      <w:r w:rsidRPr="00E5265C">
        <w:rPr>
          <w:noProof/>
        </w:rPr>
        <w:t xml:space="preserve">[168] Kim, S. &amp; Lee, J. H. (2020). Price-Cutting Trends in New Drugs after Listing in South Korea: The Effect of the Reimbursement Review Pathway on Price Reduction. </w:t>
      </w:r>
      <w:r w:rsidRPr="00E5265C">
        <w:rPr>
          <w:i/>
          <w:noProof/>
        </w:rPr>
        <w:t>Healthcare (Basel), 8</w:t>
      </w:r>
      <w:r w:rsidRPr="00E5265C">
        <w:rPr>
          <w:noProof/>
        </w:rPr>
        <w:t>(3).</w:t>
      </w:r>
    </w:p>
    <w:p w14:paraId="70F16C6E" w14:textId="4F863618" w:rsidR="00E5265C" w:rsidRPr="00E5265C" w:rsidRDefault="00E5265C" w:rsidP="00E5265C">
      <w:pPr>
        <w:pStyle w:val="EndNoteBibliography"/>
        <w:spacing w:after="0"/>
        <w:ind w:left="720" w:hanging="720"/>
        <w:rPr>
          <w:noProof/>
        </w:rPr>
      </w:pPr>
      <w:r w:rsidRPr="00E5265C">
        <w:rPr>
          <w:noProof/>
        </w:rPr>
        <w:t xml:space="preserve">[169] SMC. (2022). New Medicines Fund and Rare Conditions Medicines Fund information: FOI release. Retrieved 23/07/2023, from: </w:t>
      </w:r>
      <w:hyperlink r:id="rId129" w:anchor=":~:text=The%20Rare%20Conditions%20Medicines%20Fund%20was%20set%20up%20in%20March,than%201%20in%202000%20people" w:history="1">
        <w:r w:rsidRPr="00E5265C">
          <w:rPr>
            <w:rStyle w:val="Hyperlink"/>
            <w:noProof/>
          </w:rPr>
          <w:t>https://www.gov.scot/publications/foi-202200287608/#:~:text=The%20Rare%20Conditions%20Medicines%20Fund%20was%20set%20up%20in%20March,than%201%20in%202000%20people</w:t>
        </w:r>
      </w:hyperlink>
      <w:r w:rsidRPr="00E5265C">
        <w:rPr>
          <w:noProof/>
        </w:rPr>
        <w:t>.</w:t>
      </w:r>
    </w:p>
    <w:p w14:paraId="52897FDE" w14:textId="77777777" w:rsidR="00E5265C" w:rsidRPr="00E5265C" w:rsidRDefault="00E5265C" w:rsidP="00E5265C">
      <w:pPr>
        <w:pStyle w:val="EndNoteBibliography"/>
        <w:spacing w:after="0"/>
        <w:ind w:left="720" w:hanging="720"/>
        <w:rPr>
          <w:noProof/>
        </w:rPr>
      </w:pPr>
      <w:r w:rsidRPr="00E5265C">
        <w:rPr>
          <w:noProof/>
        </w:rPr>
        <w:t xml:space="preserve">[170] Victoria, C. (2022). Does NICE apply the rule of rescue in its approach to highly specialised technologies? </w:t>
      </w:r>
      <w:r w:rsidRPr="00E5265C">
        <w:rPr>
          <w:i/>
          <w:noProof/>
        </w:rPr>
        <w:t>Journal of Medical Ethics, 48</w:t>
      </w:r>
      <w:r w:rsidRPr="00E5265C">
        <w:rPr>
          <w:noProof/>
        </w:rPr>
        <w:t>(2), 118.</w:t>
      </w:r>
    </w:p>
    <w:p w14:paraId="32389E16" w14:textId="3265F181" w:rsidR="00E5265C" w:rsidRPr="00E5265C" w:rsidRDefault="00E5265C" w:rsidP="00E5265C">
      <w:pPr>
        <w:pStyle w:val="EndNoteBibliography"/>
        <w:spacing w:after="0"/>
        <w:ind w:left="720" w:hanging="720"/>
        <w:rPr>
          <w:noProof/>
        </w:rPr>
      </w:pPr>
      <w:r w:rsidRPr="00E5265C">
        <w:rPr>
          <w:noProof/>
        </w:rPr>
        <w:t xml:space="preserve">[171] NICE. (2022). NICE health technology evaluation topic selection: the manual. </w:t>
      </w:r>
      <w:r w:rsidRPr="00E5265C">
        <w:rPr>
          <w:i/>
          <w:noProof/>
        </w:rPr>
        <w:t>Highly specialised technologies.</w:t>
      </w:r>
      <w:r w:rsidRPr="00E5265C">
        <w:rPr>
          <w:noProof/>
        </w:rPr>
        <w:t xml:space="preserve"> Retrieved 22/07/2023, from: </w:t>
      </w:r>
      <w:hyperlink r:id="rId130" w:history="1">
        <w:r w:rsidRPr="00E5265C">
          <w:rPr>
            <w:rStyle w:val="Hyperlink"/>
            <w:noProof/>
          </w:rPr>
          <w:t>https://www.nice.org.uk/process/pmg37/chapter/highly-specialised-technologies</w:t>
        </w:r>
      </w:hyperlink>
      <w:r w:rsidRPr="00E5265C">
        <w:rPr>
          <w:noProof/>
        </w:rPr>
        <w:t>.</w:t>
      </w:r>
    </w:p>
    <w:p w14:paraId="64F7845F" w14:textId="77777777" w:rsidR="00E5265C" w:rsidRPr="00E5265C" w:rsidRDefault="00E5265C" w:rsidP="00E5265C">
      <w:pPr>
        <w:pStyle w:val="EndNoteBibliography"/>
        <w:spacing w:after="0"/>
        <w:ind w:left="720" w:hanging="720"/>
        <w:rPr>
          <w:noProof/>
        </w:rPr>
      </w:pPr>
      <w:r w:rsidRPr="00E5265C">
        <w:rPr>
          <w:noProof/>
        </w:rPr>
        <w:t xml:space="preserve">[172] Stawowczyk, E., Malinowski, K. P., Kawalec, P., Bobiński, R., Siwiec, J., Panteli, D., Eckhardt, H., et al. (2019). Reimbursement Status and Recommendations Related to Orphan Drugs in European Countries. </w:t>
      </w:r>
      <w:r w:rsidRPr="00E5265C">
        <w:rPr>
          <w:i/>
          <w:noProof/>
        </w:rPr>
        <w:t>Front Pharmacol, 10</w:t>
      </w:r>
      <w:r w:rsidRPr="00E5265C">
        <w:rPr>
          <w:noProof/>
        </w:rPr>
        <w:t>, 1279.</w:t>
      </w:r>
    </w:p>
    <w:p w14:paraId="1FAA6654" w14:textId="498116B5" w:rsidR="00E5265C" w:rsidRPr="00E5265C" w:rsidRDefault="00E5265C" w:rsidP="00E5265C">
      <w:pPr>
        <w:pStyle w:val="EndNoteBibliography"/>
        <w:spacing w:after="0"/>
        <w:ind w:left="720" w:hanging="720"/>
        <w:rPr>
          <w:noProof/>
        </w:rPr>
      </w:pPr>
      <w:r w:rsidRPr="00E5265C">
        <w:rPr>
          <w:noProof/>
        </w:rPr>
        <w:t xml:space="preserve">[173] Scottish Medicines Consortium. (2018). A Guide to the Ultra-Orphan Pathway. Glasgow: NHS Scotland, Scottish Medicines Consortium,. Retrieved 23 August 2023, from: </w:t>
      </w:r>
      <w:hyperlink r:id="rId131" w:history="1">
        <w:r w:rsidRPr="00E5265C">
          <w:rPr>
            <w:rStyle w:val="Hyperlink"/>
            <w:noProof/>
          </w:rPr>
          <w:t>https://www.gov.scot/binaries/content/documents/govscot/publications/advice-and-guidance/2019/05/ultra-orphan-medicine-pathways-guidance/documents/ultra-orphan-medicines-pathway-guide/ultra-orphan-medicines-pathway-guide/govscot%3Adocument/Generic%2BGuidance%2B-%2BUltra-orphan%2Bpathway_draft%2Bguidance%2B-%2Bfinal.pdf</w:t>
        </w:r>
      </w:hyperlink>
      <w:r w:rsidRPr="00E5265C">
        <w:rPr>
          <w:noProof/>
        </w:rPr>
        <w:t>.</w:t>
      </w:r>
    </w:p>
    <w:p w14:paraId="2E7B007E" w14:textId="77777777" w:rsidR="00E5265C" w:rsidRPr="00E5265C" w:rsidRDefault="00E5265C" w:rsidP="00E5265C">
      <w:pPr>
        <w:pStyle w:val="EndNoteBibliography"/>
        <w:spacing w:after="0"/>
        <w:ind w:left="720" w:hanging="720"/>
        <w:rPr>
          <w:noProof/>
        </w:rPr>
      </w:pPr>
      <w:r w:rsidRPr="00E5265C">
        <w:rPr>
          <w:noProof/>
        </w:rPr>
        <w:t xml:space="preserve">[174] Clarke, S., Ellis, M. &amp; Brownrigg, J. (2021). The impact of rarity in NICE's health technology appraisals. </w:t>
      </w:r>
      <w:r w:rsidRPr="00E5265C">
        <w:rPr>
          <w:i/>
          <w:noProof/>
        </w:rPr>
        <w:t>Orphanet journal of rare diseases, 16(1) (no pagination)</w:t>
      </w:r>
      <w:r w:rsidRPr="00E5265C">
        <w:rPr>
          <w:noProof/>
        </w:rPr>
        <w:t>.</w:t>
      </w:r>
    </w:p>
    <w:p w14:paraId="3D12BAF1" w14:textId="77777777" w:rsidR="00E5265C" w:rsidRPr="00E5265C" w:rsidRDefault="00E5265C" w:rsidP="00E5265C">
      <w:pPr>
        <w:pStyle w:val="EndNoteBibliography"/>
        <w:spacing w:after="0"/>
        <w:ind w:left="720" w:hanging="720"/>
        <w:rPr>
          <w:noProof/>
        </w:rPr>
      </w:pPr>
      <w:r w:rsidRPr="00E5265C">
        <w:rPr>
          <w:noProof/>
        </w:rPr>
        <w:t xml:space="preserve">[175] Chowdhury, M. Z. &amp; Chowdhury, M. A. (2018). Canadian Health Care System: Who Should Pay for All Medically Beneficial Treatments? A Burning Issue. </w:t>
      </w:r>
      <w:r w:rsidRPr="00E5265C">
        <w:rPr>
          <w:i/>
          <w:noProof/>
        </w:rPr>
        <w:t>International Journal of Health Services, 48</w:t>
      </w:r>
      <w:r w:rsidRPr="00E5265C">
        <w:rPr>
          <w:noProof/>
        </w:rPr>
        <w:t>(2), 289-301.</w:t>
      </w:r>
    </w:p>
    <w:p w14:paraId="4AD272D0" w14:textId="77777777" w:rsidR="00E5265C" w:rsidRPr="00E5265C" w:rsidRDefault="00E5265C" w:rsidP="00E5265C">
      <w:pPr>
        <w:pStyle w:val="EndNoteBibliography"/>
        <w:spacing w:after="0"/>
        <w:ind w:left="720" w:hanging="720"/>
        <w:rPr>
          <w:noProof/>
        </w:rPr>
      </w:pPr>
      <w:r w:rsidRPr="00E5265C">
        <w:rPr>
          <w:noProof/>
        </w:rPr>
        <w:t xml:space="preserve">[176] Menon, D., Clark, D. &amp; Stafinski, T. (2015). Reimbursement of Drugs for Rare Diseases through the Public Healthcare System in Canada: Where Are We Now? </w:t>
      </w:r>
      <w:r w:rsidRPr="00E5265C">
        <w:rPr>
          <w:i/>
          <w:noProof/>
        </w:rPr>
        <w:t>Healthcare policy = Politiques de sante, 11</w:t>
      </w:r>
      <w:r w:rsidRPr="00E5265C">
        <w:rPr>
          <w:noProof/>
        </w:rPr>
        <w:t>(1), 15-32.</w:t>
      </w:r>
    </w:p>
    <w:p w14:paraId="5DB6C090" w14:textId="77777777" w:rsidR="00E5265C" w:rsidRPr="00E5265C" w:rsidRDefault="00E5265C" w:rsidP="00E5265C">
      <w:pPr>
        <w:pStyle w:val="EndNoteBibliography"/>
        <w:spacing w:after="0"/>
        <w:ind w:left="720" w:hanging="720"/>
        <w:rPr>
          <w:noProof/>
        </w:rPr>
      </w:pPr>
      <w:r w:rsidRPr="00E5265C">
        <w:rPr>
          <w:noProof/>
        </w:rPr>
        <w:t xml:space="preserve">[177] Pant, S. &amp; Visintini, S. (2021). Drugs for Rare Diseases: A Review of National and International Health Technology Assessment Agencies and Public Payers’ Decision-Making Processes. </w:t>
      </w:r>
      <w:r w:rsidRPr="00E5265C">
        <w:rPr>
          <w:i/>
          <w:noProof/>
        </w:rPr>
        <w:t>Canadian Journal of Health Technologies, 1</w:t>
      </w:r>
      <w:r w:rsidRPr="00E5265C">
        <w:rPr>
          <w:noProof/>
        </w:rPr>
        <w:t>(5).</w:t>
      </w:r>
    </w:p>
    <w:p w14:paraId="25F32387" w14:textId="2D83E229" w:rsidR="00E5265C" w:rsidRPr="00E5265C" w:rsidRDefault="00E5265C" w:rsidP="00E5265C">
      <w:pPr>
        <w:pStyle w:val="EndNoteBibliography"/>
        <w:spacing w:after="0"/>
        <w:ind w:left="720" w:hanging="720"/>
        <w:rPr>
          <w:noProof/>
        </w:rPr>
      </w:pPr>
      <w:r w:rsidRPr="00E5265C">
        <w:rPr>
          <w:noProof/>
        </w:rPr>
        <w:t xml:space="preserve">[178] Alberta Blue Cross. (2023). Rare Diseases Drug Coverage Program. Alberta, Canada: Alberta Blue Cross. Retrieved 23 August 2023, from: </w:t>
      </w:r>
      <w:hyperlink r:id="rId132" w:history="1">
        <w:r w:rsidRPr="00E5265C">
          <w:rPr>
            <w:rStyle w:val="Hyperlink"/>
            <w:noProof/>
          </w:rPr>
          <w:t>https://www.ab.bluecross.ca/dbl/pdfs/dbl_sec4.pdf</w:t>
        </w:r>
      </w:hyperlink>
      <w:r w:rsidRPr="00E5265C">
        <w:rPr>
          <w:noProof/>
        </w:rPr>
        <w:t>.</w:t>
      </w:r>
    </w:p>
    <w:p w14:paraId="12780958" w14:textId="5549457E" w:rsidR="00E5265C" w:rsidRPr="00E5265C" w:rsidRDefault="00E5265C" w:rsidP="00E5265C">
      <w:pPr>
        <w:pStyle w:val="EndNoteBibliography"/>
        <w:spacing w:after="0"/>
        <w:ind w:left="720" w:hanging="720"/>
        <w:rPr>
          <w:noProof/>
        </w:rPr>
      </w:pPr>
      <w:r w:rsidRPr="00E5265C">
        <w:rPr>
          <w:noProof/>
        </w:rPr>
        <w:t xml:space="preserve">[179] New Brunswick Canada. New Brunswick Drugs for Rare Diseases Plan. Fredericton: Government of New Brunswick Canada. Retrieved 21 July 2023, from: </w:t>
      </w:r>
      <w:hyperlink r:id="rId133" w:history="1">
        <w:r w:rsidRPr="00E5265C">
          <w:rPr>
            <w:rStyle w:val="Hyperlink"/>
            <w:noProof/>
          </w:rPr>
          <w:t>https://www2.gnb.ca/content/gnb/en/services/services_renderer.201352.New_Brunswick_Drugs_for_Rare_Diseases_Plan.html</w:t>
        </w:r>
      </w:hyperlink>
      <w:r w:rsidRPr="00E5265C">
        <w:rPr>
          <w:noProof/>
        </w:rPr>
        <w:t>.</w:t>
      </w:r>
    </w:p>
    <w:p w14:paraId="7B0A797F" w14:textId="01F9CCE4" w:rsidR="00E5265C" w:rsidRPr="00E5265C" w:rsidRDefault="00E5265C" w:rsidP="00E5265C">
      <w:pPr>
        <w:pStyle w:val="EndNoteBibliography"/>
        <w:spacing w:after="0"/>
        <w:ind w:left="720" w:hanging="720"/>
        <w:rPr>
          <w:noProof/>
        </w:rPr>
      </w:pPr>
      <w:r w:rsidRPr="00E5265C">
        <w:rPr>
          <w:noProof/>
        </w:rPr>
        <w:t xml:space="preserve">[180] Institut national d'excellence en sante et en services sociaux (INESSS). (2023). Exceptional Medications. Retrieved 28 May 2023, from: </w:t>
      </w:r>
      <w:hyperlink r:id="rId134" w:history="1">
        <w:r w:rsidRPr="00E5265C">
          <w:rPr>
            <w:rStyle w:val="Hyperlink"/>
            <w:noProof/>
          </w:rPr>
          <w:t>https://www.inesss.qc.ca/en/themes/medicaments/evaluation-process-and-criteria/exceptional-medications.html</w:t>
        </w:r>
      </w:hyperlink>
      <w:r w:rsidRPr="00E5265C">
        <w:rPr>
          <w:noProof/>
        </w:rPr>
        <w:t>.</w:t>
      </w:r>
    </w:p>
    <w:p w14:paraId="2DC262C6" w14:textId="77777777" w:rsidR="00E5265C" w:rsidRPr="00E5265C" w:rsidRDefault="00E5265C" w:rsidP="00E5265C">
      <w:pPr>
        <w:pStyle w:val="EndNoteBibliography"/>
        <w:spacing w:after="0"/>
        <w:ind w:left="720" w:hanging="720"/>
        <w:rPr>
          <w:noProof/>
        </w:rPr>
      </w:pPr>
      <w:r w:rsidRPr="00E5265C">
        <w:rPr>
          <w:noProof/>
        </w:rPr>
        <w:t xml:space="preserve">[181] Gilabert-Perramon, A., Torrent-Farnell, J., Catalan, A., Prat, A., Fontanet, M., Puig-Peiro, R., Merino-Montero, S., et al. (2017). Drug evaluation and decision making in Catalonia: Development and validation of a methodological framework based on multi-criteria decision analysis (MCDA) for orphan drugs. </w:t>
      </w:r>
      <w:r w:rsidRPr="00E5265C">
        <w:rPr>
          <w:i/>
          <w:noProof/>
        </w:rPr>
        <w:t>International Journal of Technology Assessment in Health Care, 33</w:t>
      </w:r>
      <w:r w:rsidRPr="00E5265C">
        <w:rPr>
          <w:noProof/>
        </w:rPr>
        <w:t>(1), 111-120.</w:t>
      </w:r>
    </w:p>
    <w:p w14:paraId="6B5E960C" w14:textId="77777777" w:rsidR="00E5265C" w:rsidRPr="00E5265C" w:rsidRDefault="00E5265C" w:rsidP="00E5265C">
      <w:pPr>
        <w:pStyle w:val="EndNoteBibliography"/>
        <w:spacing w:after="0"/>
        <w:ind w:left="720" w:hanging="720"/>
        <w:rPr>
          <w:noProof/>
        </w:rPr>
      </w:pPr>
      <w:r w:rsidRPr="00E5265C">
        <w:rPr>
          <w:noProof/>
        </w:rPr>
        <w:t xml:space="preserve">[182] Abdallah, K., Claes, K., Huys, I., Follon, L., Calis, C. &amp; Simoens, S. (2022). Exploring alternative financing models and early access schemes for orphan drugs: a Belgian case study. </w:t>
      </w:r>
      <w:r w:rsidRPr="00E5265C">
        <w:rPr>
          <w:i/>
          <w:noProof/>
        </w:rPr>
        <w:t>Orphanet Journal of Rare Diseases, 17</w:t>
      </w:r>
      <w:r w:rsidRPr="00E5265C">
        <w:rPr>
          <w:noProof/>
        </w:rPr>
        <w:t>(1), 429.</w:t>
      </w:r>
    </w:p>
    <w:p w14:paraId="65E68B55" w14:textId="5FFCF6B0" w:rsidR="00E5265C" w:rsidRPr="00E5265C" w:rsidRDefault="00E5265C" w:rsidP="00E5265C">
      <w:pPr>
        <w:pStyle w:val="EndNoteBibliography"/>
        <w:spacing w:after="0"/>
        <w:ind w:left="720" w:hanging="720"/>
        <w:rPr>
          <w:noProof/>
        </w:rPr>
      </w:pPr>
      <w:r w:rsidRPr="00E5265C">
        <w:rPr>
          <w:noProof/>
        </w:rPr>
        <w:t xml:space="preserve">[183] NHS Scotland. (2018). Guidance on the Implementation of the Peer Approved Clinical System (PACS) Tier Two. Edinburgh: Scottish Government, NHS Scotland. Retrieved 23 August 2023, from: </w:t>
      </w:r>
      <w:hyperlink r:id="rId135" w:history="1">
        <w:r w:rsidRPr="00E5265C">
          <w:rPr>
            <w:rStyle w:val="Hyperlink"/>
            <w:noProof/>
          </w:rPr>
          <w:t>https://www.sehd.scot.nhs.uk/publications/DC20180329PACS.pdf</w:t>
        </w:r>
      </w:hyperlink>
      <w:r w:rsidRPr="00E5265C">
        <w:rPr>
          <w:noProof/>
        </w:rPr>
        <w:t>.</w:t>
      </w:r>
    </w:p>
    <w:p w14:paraId="042D76FA" w14:textId="6D457D8B" w:rsidR="00E5265C" w:rsidRPr="00E5265C" w:rsidRDefault="00E5265C" w:rsidP="00E5265C">
      <w:pPr>
        <w:pStyle w:val="EndNoteBibliography"/>
        <w:spacing w:after="0"/>
        <w:ind w:left="720" w:hanging="720"/>
        <w:rPr>
          <w:noProof/>
        </w:rPr>
      </w:pPr>
      <w:r w:rsidRPr="00E5265C">
        <w:rPr>
          <w:noProof/>
        </w:rPr>
        <w:t xml:space="preserve">[184] Pharmaceutical Management Agency (PHARMAC). (2020). Exceptional Circumstances Framework. Wellington: Government of New Zealand, Pharmaceutical Management Agency (PHARMAC). Retrieved 09 August 2023, from: </w:t>
      </w:r>
      <w:hyperlink r:id="rId136" w:history="1">
        <w:r w:rsidRPr="00E5265C">
          <w:rPr>
            <w:rStyle w:val="Hyperlink"/>
            <w:noProof/>
          </w:rPr>
          <w:t>https://pharmac.govt.nz/medicine-funding-and-supply/the-funding-process/policies-manuals-and-processes/exceptional-circumstances-framework-including-the-named-patient-pharmaceutical-assessment-policy/</w:t>
        </w:r>
      </w:hyperlink>
      <w:r w:rsidRPr="00E5265C">
        <w:rPr>
          <w:noProof/>
        </w:rPr>
        <w:t>.</w:t>
      </w:r>
    </w:p>
    <w:p w14:paraId="4CCA5E9E" w14:textId="77777777" w:rsidR="00E5265C" w:rsidRPr="00E5265C" w:rsidRDefault="00E5265C" w:rsidP="00E5265C">
      <w:pPr>
        <w:pStyle w:val="EndNoteBibliography"/>
        <w:spacing w:after="0"/>
        <w:ind w:left="720" w:hanging="720"/>
        <w:rPr>
          <w:noProof/>
        </w:rPr>
      </w:pPr>
      <w:r w:rsidRPr="00E5265C">
        <w:rPr>
          <w:noProof/>
        </w:rPr>
        <w:t>[185] Department of Health and Aged Care. (2022). Life Saving Drugs Program (LSDP) Medicines Reviews Recommendations from the LSDP Expert Panel. Canberra: Australian Government, Department of Health and Aged Care.</w:t>
      </w:r>
    </w:p>
    <w:p w14:paraId="011D081F" w14:textId="028C5809" w:rsidR="00E5265C" w:rsidRPr="00E5265C" w:rsidRDefault="00E5265C" w:rsidP="00E5265C">
      <w:pPr>
        <w:pStyle w:val="EndNoteBibliography"/>
        <w:spacing w:after="0"/>
        <w:ind w:left="720" w:hanging="720"/>
        <w:rPr>
          <w:noProof/>
        </w:rPr>
      </w:pPr>
      <w:r w:rsidRPr="00E5265C">
        <w:rPr>
          <w:noProof/>
        </w:rPr>
        <w:t xml:space="preserve">[186] Euopean Expert Group on OD Incentives. (2023, 25/08/2023). The OD Expert Group launches the Report on an EU HTA for Rare Disease. from: </w:t>
      </w:r>
      <w:hyperlink r:id="rId137" w:history="1">
        <w:r w:rsidRPr="00E5265C">
          <w:rPr>
            <w:rStyle w:val="Hyperlink"/>
            <w:noProof/>
          </w:rPr>
          <w:t>https://od-expertgroup.eu/277-2/</w:t>
        </w:r>
      </w:hyperlink>
      <w:r w:rsidRPr="00E5265C">
        <w:rPr>
          <w:noProof/>
        </w:rPr>
        <w:t>.</w:t>
      </w:r>
    </w:p>
    <w:p w14:paraId="4A4203F2" w14:textId="77777777" w:rsidR="00E5265C" w:rsidRPr="00E5265C" w:rsidRDefault="00E5265C" w:rsidP="00E5265C">
      <w:pPr>
        <w:pStyle w:val="EndNoteBibliography"/>
        <w:spacing w:after="0"/>
        <w:ind w:left="720" w:hanging="720"/>
        <w:rPr>
          <w:noProof/>
        </w:rPr>
      </w:pPr>
      <w:r w:rsidRPr="00E5265C">
        <w:rPr>
          <w:noProof/>
        </w:rPr>
        <w:t>[187] NHS Greater Glasgow and Clyde. (2019). Policies relating to the management of medicines. Glasgow: NHS Greater Glasgow and Clyde. Retrieved 28 August 2023.</w:t>
      </w:r>
    </w:p>
    <w:p w14:paraId="233067B9" w14:textId="1C9FA943" w:rsidR="00E5265C" w:rsidRPr="00E5265C" w:rsidRDefault="00E5265C" w:rsidP="00E5265C">
      <w:pPr>
        <w:pStyle w:val="EndNoteBibliography"/>
        <w:spacing w:after="0"/>
        <w:ind w:left="720" w:hanging="720"/>
        <w:rPr>
          <w:noProof/>
        </w:rPr>
      </w:pPr>
      <w:r w:rsidRPr="00E5265C">
        <w:rPr>
          <w:noProof/>
        </w:rPr>
        <w:t xml:space="preserve">[188] Agenzia Italiana del Farmaco (AIFA). (2007). Italian Medicines Agency WGoID. Criteria for Ranking Therapeutic Innovation of New Drugs and Elements for Supplementing the Dossier for Admission to the Reimbursement System. Government of Italy, Agenzia Italiana del Farmaco (AIFA). Retrieved 17 August 2023, from: </w:t>
      </w:r>
      <w:hyperlink r:id="rId138" w:history="1">
        <w:r w:rsidRPr="00E5265C">
          <w:rPr>
            <w:rStyle w:val="Hyperlink"/>
            <w:noProof/>
          </w:rPr>
          <w:t>http://www.agenziafarmaco.gov.it/allegati/integral_document.pdf</w:t>
        </w:r>
      </w:hyperlink>
      <w:r w:rsidRPr="00E5265C">
        <w:rPr>
          <w:noProof/>
        </w:rPr>
        <w:t>.</w:t>
      </w:r>
    </w:p>
    <w:p w14:paraId="4BF27C50" w14:textId="77777777" w:rsidR="00E5265C" w:rsidRPr="00E5265C" w:rsidRDefault="00E5265C" w:rsidP="00E5265C">
      <w:pPr>
        <w:pStyle w:val="EndNoteBibliography"/>
        <w:spacing w:after="0"/>
        <w:ind w:left="720" w:hanging="720"/>
        <w:rPr>
          <w:noProof/>
        </w:rPr>
      </w:pPr>
      <w:r w:rsidRPr="00E5265C">
        <w:rPr>
          <w:noProof/>
        </w:rPr>
        <w:t>[189] Parliament of Australia. (2020). Inquiry into approval processes for new drugs and novel medical technologies in Australia Canberra: Parliament of Australia.</w:t>
      </w:r>
    </w:p>
    <w:p w14:paraId="4E9DA171" w14:textId="77777777" w:rsidR="00E5265C" w:rsidRPr="00E5265C" w:rsidRDefault="00E5265C" w:rsidP="00E5265C">
      <w:pPr>
        <w:pStyle w:val="EndNoteBibliography"/>
        <w:spacing w:after="0"/>
        <w:ind w:left="720" w:hanging="720"/>
        <w:rPr>
          <w:noProof/>
        </w:rPr>
      </w:pPr>
      <w:r w:rsidRPr="00E5265C">
        <w:rPr>
          <w:noProof/>
        </w:rPr>
        <w:t>[190] Pharmaceutical Benefits Advisory Committee (PBAC). (2017). Public Summary Document – March 2017 PBAC Meeting. Canberra: Australian Government, Department of Health and Aged Care.</w:t>
      </w:r>
    </w:p>
    <w:p w14:paraId="02947E8A" w14:textId="77777777" w:rsidR="00E5265C" w:rsidRPr="00E5265C" w:rsidRDefault="00E5265C" w:rsidP="00E5265C">
      <w:pPr>
        <w:pStyle w:val="EndNoteBibliography"/>
        <w:spacing w:after="0"/>
        <w:ind w:left="720" w:hanging="720"/>
        <w:rPr>
          <w:noProof/>
        </w:rPr>
      </w:pPr>
      <w:r w:rsidRPr="00E5265C">
        <w:rPr>
          <w:noProof/>
        </w:rPr>
        <w:t xml:space="preserve">[191] Thompson, M., Henshall, C., Garrison, L. P., Griffin, A. D., Coyle, D., Long, S., Khayat, Z. A., Anger, D. L. &amp; Yu, R. (2016). Targeting improved patient outcomes using innovative product listing agreements: a survey of Canadian and international key opinion leaders. </w:t>
      </w:r>
      <w:r w:rsidRPr="00E5265C">
        <w:rPr>
          <w:i/>
          <w:noProof/>
        </w:rPr>
        <w:t>Clinicoecon Outcomes Res, 8</w:t>
      </w:r>
      <w:r w:rsidRPr="00E5265C">
        <w:rPr>
          <w:noProof/>
        </w:rPr>
        <w:t>, 427-433.</w:t>
      </w:r>
    </w:p>
    <w:p w14:paraId="20C6B884" w14:textId="77777777" w:rsidR="00E5265C" w:rsidRPr="00E5265C" w:rsidRDefault="00E5265C" w:rsidP="00E5265C">
      <w:pPr>
        <w:pStyle w:val="EndNoteBibliography"/>
        <w:spacing w:after="0"/>
        <w:ind w:left="720" w:hanging="720"/>
        <w:rPr>
          <w:noProof/>
        </w:rPr>
      </w:pPr>
      <w:r w:rsidRPr="00E5265C">
        <w:rPr>
          <w:noProof/>
        </w:rPr>
        <w:t xml:space="preserve">[192] Kim, H., Godman, B., Kwon, H. Y. &amp; Hong, S. H. (2023). Introduction of managed entry agreements in Korea: Problem, policy, and politics. </w:t>
      </w:r>
      <w:r w:rsidRPr="00E5265C">
        <w:rPr>
          <w:i/>
          <w:noProof/>
        </w:rPr>
        <w:t>Front Pharmacol, 14</w:t>
      </w:r>
      <w:r w:rsidRPr="00E5265C">
        <w:rPr>
          <w:noProof/>
        </w:rPr>
        <w:t>.</w:t>
      </w:r>
    </w:p>
    <w:p w14:paraId="6B9FB638" w14:textId="77777777" w:rsidR="00E5265C" w:rsidRPr="00E5265C" w:rsidRDefault="00E5265C" w:rsidP="00E5265C">
      <w:pPr>
        <w:pStyle w:val="EndNoteBibliography"/>
        <w:spacing w:after="0"/>
        <w:ind w:left="720" w:hanging="720"/>
        <w:rPr>
          <w:noProof/>
        </w:rPr>
      </w:pPr>
      <w:r w:rsidRPr="00E5265C">
        <w:rPr>
          <w:noProof/>
        </w:rPr>
        <w:t xml:space="preserve">[193] Myung, J. E., Tanaka, Y., Choi, H., Strachan, L., Watanuki, T., Lee, J. H., Hwang, H. &amp; Lee, S. S. (2021). Coverage with Evidence Development Programs for Medical Technologies in Asia-Pacific Regions: A Case Study of Japan and South Korea. </w:t>
      </w:r>
      <w:r w:rsidRPr="00E5265C">
        <w:rPr>
          <w:i/>
          <w:noProof/>
        </w:rPr>
        <w:t>Jma j, 4</w:t>
      </w:r>
      <w:r w:rsidRPr="00E5265C">
        <w:rPr>
          <w:noProof/>
        </w:rPr>
        <w:t>(4), 311-320.</w:t>
      </w:r>
    </w:p>
    <w:p w14:paraId="6F601948" w14:textId="5B30EB14" w:rsidR="00E5265C" w:rsidRPr="00E5265C" w:rsidRDefault="00E5265C" w:rsidP="00E5265C">
      <w:pPr>
        <w:pStyle w:val="EndNoteBibliography"/>
        <w:spacing w:after="0"/>
        <w:ind w:left="720" w:hanging="720"/>
        <w:rPr>
          <w:noProof/>
        </w:rPr>
      </w:pPr>
      <w:r w:rsidRPr="00E5265C">
        <w:rPr>
          <w:noProof/>
        </w:rPr>
        <w:t xml:space="preserve">[194] V., R., J., F. &amp; N., G. (2023). </w:t>
      </w:r>
      <w:r w:rsidRPr="00E5265C">
        <w:rPr>
          <w:i/>
          <w:noProof/>
        </w:rPr>
        <w:t>Developing a Canadian managed entry approach for new innovation: What can Canada learn from Europe?</w:t>
      </w:r>
      <w:r w:rsidRPr="00E5265C">
        <w:rPr>
          <w:noProof/>
        </w:rPr>
        <w:t xml:space="preserve"> </w:t>
      </w:r>
      <w:hyperlink r:id="rId139" w:history="1">
        <w:r w:rsidRPr="00E5265C">
          <w:rPr>
            <w:rStyle w:val="Hyperlink"/>
            <w:noProof/>
          </w:rPr>
          <w:t>https://innovativemedicines.ca/wp-content/uploads/2023/05/20230800-Symposium-Poster_EN_V5.pdf</w:t>
        </w:r>
      </w:hyperlink>
    </w:p>
    <w:p w14:paraId="21021771" w14:textId="77777777" w:rsidR="00E5265C" w:rsidRPr="00E5265C" w:rsidRDefault="00E5265C" w:rsidP="00E5265C">
      <w:pPr>
        <w:pStyle w:val="EndNoteBibliography"/>
        <w:spacing w:after="0"/>
        <w:ind w:left="720" w:hanging="720"/>
        <w:rPr>
          <w:noProof/>
        </w:rPr>
      </w:pPr>
      <w:r w:rsidRPr="00E5265C">
        <w:rPr>
          <w:noProof/>
        </w:rPr>
        <w:t xml:space="preserve">[195] Hsieh, S. T., Ho, H. F., Tai, H. Y., Chien, L. C., Chang, H. R., Chang, H. P., Huang, Y. W., et al. (2021). Real-world results of immune checkpoint inhibitors from the Taiwan National Health Insurance Registration System. </w:t>
      </w:r>
      <w:r w:rsidRPr="00E5265C">
        <w:rPr>
          <w:i/>
          <w:noProof/>
        </w:rPr>
        <w:t>Eur Rev Med Pharmacol Sci, 25</w:t>
      </w:r>
      <w:r w:rsidRPr="00E5265C">
        <w:rPr>
          <w:noProof/>
        </w:rPr>
        <w:t>(21), 6548-6556.</w:t>
      </w:r>
    </w:p>
    <w:p w14:paraId="72BE9F32" w14:textId="77777777" w:rsidR="00E5265C" w:rsidRPr="00E5265C" w:rsidRDefault="00E5265C" w:rsidP="00E5265C">
      <w:pPr>
        <w:pStyle w:val="EndNoteBibliography"/>
        <w:spacing w:after="0"/>
        <w:ind w:left="720" w:hanging="720"/>
        <w:rPr>
          <w:noProof/>
        </w:rPr>
      </w:pPr>
      <w:r w:rsidRPr="00E5265C">
        <w:rPr>
          <w:noProof/>
        </w:rPr>
        <w:t xml:space="preserve">[196] Ferrario, A., Arāja, D., Bochenek, T., Čatić, T., Dankó, D., Dimitrova, M., Fürst, J., et al. (2017). The Implementation of Managed Entry Agreements in Central and Eastern Europe: Findings and Implications. </w:t>
      </w:r>
      <w:r w:rsidRPr="00E5265C">
        <w:rPr>
          <w:i/>
          <w:noProof/>
        </w:rPr>
        <w:t>PharmacoEconomics, 35</w:t>
      </w:r>
      <w:r w:rsidRPr="00E5265C">
        <w:rPr>
          <w:noProof/>
        </w:rPr>
        <w:t>(12), 1271-1285.</w:t>
      </w:r>
    </w:p>
    <w:p w14:paraId="15400BF5" w14:textId="77777777" w:rsidR="00E5265C" w:rsidRPr="00E5265C" w:rsidRDefault="00E5265C" w:rsidP="00E5265C">
      <w:pPr>
        <w:pStyle w:val="EndNoteBibliography"/>
        <w:spacing w:after="0"/>
        <w:ind w:left="720" w:hanging="720"/>
        <w:rPr>
          <w:noProof/>
        </w:rPr>
      </w:pPr>
      <w:r w:rsidRPr="00E5265C">
        <w:rPr>
          <w:noProof/>
        </w:rPr>
        <w:t xml:space="preserve">[197] Ferrario, A. &amp; Kanavos, P. (2015). Dealing with uncertainty and high prices of new medicines: a comparative analysis of the use of managed entry agreements in Belgium, England, the Netherlands and Sweden. </w:t>
      </w:r>
      <w:r w:rsidRPr="00E5265C">
        <w:rPr>
          <w:i/>
          <w:noProof/>
        </w:rPr>
        <w:t>Soc Sci Med, 124</w:t>
      </w:r>
      <w:r w:rsidRPr="00E5265C">
        <w:rPr>
          <w:noProof/>
        </w:rPr>
        <w:t>, 39-47.</w:t>
      </w:r>
    </w:p>
    <w:p w14:paraId="3CAA9875" w14:textId="77777777" w:rsidR="00E5265C" w:rsidRPr="00E5265C" w:rsidRDefault="00E5265C" w:rsidP="00E5265C">
      <w:pPr>
        <w:pStyle w:val="EndNoteBibliography"/>
        <w:spacing w:after="0"/>
        <w:ind w:left="720" w:hanging="720"/>
        <w:rPr>
          <w:noProof/>
        </w:rPr>
      </w:pPr>
      <w:r w:rsidRPr="00E5265C">
        <w:rPr>
          <w:noProof/>
        </w:rPr>
        <w:t xml:space="preserve">[198] Antonanzas, F., Juarez-Castello, C., Lorente, R. &amp; Rodriguez-Ibeas, R. (2019). The Use of Risk-Sharing Contracts in Healthcare: Theoretical and Empirical Assessments. </w:t>
      </w:r>
      <w:r w:rsidRPr="00E5265C">
        <w:rPr>
          <w:i/>
          <w:noProof/>
        </w:rPr>
        <w:t>PharmacoEconomics, 37</w:t>
      </w:r>
      <w:r w:rsidRPr="00E5265C">
        <w:rPr>
          <w:noProof/>
        </w:rPr>
        <w:t>(12), 1469-1483.</w:t>
      </w:r>
    </w:p>
    <w:p w14:paraId="10F30529" w14:textId="77777777" w:rsidR="00E5265C" w:rsidRPr="00E5265C" w:rsidRDefault="00E5265C" w:rsidP="00E5265C">
      <w:pPr>
        <w:pStyle w:val="EndNoteBibliography"/>
        <w:spacing w:after="0"/>
        <w:ind w:left="720" w:hanging="720"/>
        <w:rPr>
          <w:noProof/>
        </w:rPr>
      </w:pPr>
      <w:r w:rsidRPr="00E5265C">
        <w:rPr>
          <w:noProof/>
        </w:rPr>
        <w:t xml:space="preserve">[199] Koleva-Kolarova, R., Buchanan, J., Vellekoop, H., Huygens, S., Versteegh, M., Mölken, M., Szilberhorn, L., et al. (2022). Financing and Reimbursement Models for Personalised Medicine: A Systematic Review to Identify Current Models and Future Options. </w:t>
      </w:r>
      <w:r w:rsidRPr="00E5265C">
        <w:rPr>
          <w:i/>
          <w:noProof/>
        </w:rPr>
        <w:t>Appl Health Econ Health Policy, 20</w:t>
      </w:r>
      <w:r w:rsidRPr="00E5265C">
        <w:rPr>
          <w:noProof/>
        </w:rPr>
        <w:t>(4), 501-524.</w:t>
      </w:r>
    </w:p>
    <w:p w14:paraId="73677CE7" w14:textId="77777777" w:rsidR="00E5265C" w:rsidRPr="00E5265C" w:rsidRDefault="00E5265C" w:rsidP="00E5265C">
      <w:pPr>
        <w:pStyle w:val="EndNoteBibliography"/>
        <w:spacing w:after="0"/>
        <w:ind w:left="720" w:hanging="720"/>
        <w:rPr>
          <w:noProof/>
        </w:rPr>
      </w:pPr>
      <w:r w:rsidRPr="00E5265C">
        <w:rPr>
          <w:noProof/>
        </w:rPr>
        <w:t xml:space="preserve">[200] Makino, K., Tilden, D., Kamei, M. &amp; Shibata, K. (2014). Risk-Sharing Agreements In Australia: Attitude Towards Risk-Sharing Arrangements With The Department Of Health For The Pbs-Listing Of Pharmaceuticals. </w:t>
      </w:r>
      <w:r w:rsidRPr="00E5265C">
        <w:rPr>
          <w:i/>
          <w:noProof/>
        </w:rPr>
        <w:t>Value Health, 17</w:t>
      </w:r>
      <w:r w:rsidRPr="00E5265C">
        <w:rPr>
          <w:noProof/>
        </w:rPr>
        <w:t>(7), A801.</w:t>
      </w:r>
    </w:p>
    <w:p w14:paraId="21093458" w14:textId="77777777" w:rsidR="00E5265C" w:rsidRPr="00E5265C" w:rsidRDefault="00E5265C" w:rsidP="00E5265C">
      <w:pPr>
        <w:pStyle w:val="EndNoteBibliography"/>
        <w:spacing w:after="0"/>
        <w:ind w:left="720" w:hanging="720"/>
        <w:rPr>
          <w:noProof/>
        </w:rPr>
      </w:pPr>
      <w:r w:rsidRPr="00E5265C">
        <w:rPr>
          <w:noProof/>
        </w:rPr>
        <w:t>[201] Sudarshan S, Nash J, Banney M &amp; Della Flora E. (2023). Pricing discussion HTA processes in Australia. In Goodall S, Thomas M &amp; Manipis K (Eds.).</w:t>
      </w:r>
    </w:p>
    <w:p w14:paraId="537BEA96" w14:textId="77777777" w:rsidR="00E5265C" w:rsidRPr="00E5265C" w:rsidRDefault="00E5265C" w:rsidP="00E5265C">
      <w:pPr>
        <w:pStyle w:val="EndNoteBibliography"/>
        <w:spacing w:after="0"/>
        <w:ind w:left="720" w:hanging="720"/>
        <w:rPr>
          <w:noProof/>
        </w:rPr>
      </w:pPr>
      <w:r w:rsidRPr="00E5265C">
        <w:rPr>
          <w:noProof/>
        </w:rPr>
        <w:t xml:space="preserve">[202] Vitry, A. &amp; Roughead, E. (2014). Managed entry agreements for pharmaceuticals in Australia. </w:t>
      </w:r>
      <w:r w:rsidRPr="00E5265C">
        <w:rPr>
          <w:i/>
          <w:noProof/>
        </w:rPr>
        <w:t>Health Policy, 117</w:t>
      </w:r>
      <w:r w:rsidRPr="00E5265C">
        <w:rPr>
          <w:noProof/>
        </w:rPr>
        <w:t>(3), 345-352.</w:t>
      </w:r>
    </w:p>
    <w:p w14:paraId="325FCC2C" w14:textId="77777777" w:rsidR="00E5265C" w:rsidRPr="00E5265C" w:rsidRDefault="00E5265C" w:rsidP="00E5265C">
      <w:pPr>
        <w:pStyle w:val="EndNoteBibliography"/>
        <w:spacing w:after="0"/>
        <w:ind w:left="720" w:hanging="720"/>
        <w:rPr>
          <w:noProof/>
        </w:rPr>
      </w:pPr>
      <w:r w:rsidRPr="00E5265C">
        <w:rPr>
          <w:noProof/>
        </w:rPr>
        <w:t xml:space="preserve">[203] Pauwels, K., Huys, I., Vogler, S., Casteels, M. &amp; Simoens, S. (2017). Managed Entry Agreements for Oncology Drugs: Lessons from the European Experience to Inform the Future. </w:t>
      </w:r>
      <w:r w:rsidRPr="00E5265C">
        <w:rPr>
          <w:i/>
          <w:noProof/>
        </w:rPr>
        <w:t>Front Pharmacol, 8</w:t>
      </w:r>
      <w:r w:rsidRPr="00E5265C">
        <w:rPr>
          <w:noProof/>
        </w:rPr>
        <w:t>.</w:t>
      </w:r>
    </w:p>
    <w:p w14:paraId="2B76E54D" w14:textId="073F5CF2" w:rsidR="00E5265C" w:rsidRPr="00E5265C" w:rsidRDefault="00E5265C" w:rsidP="00E5265C">
      <w:pPr>
        <w:pStyle w:val="EndNoteBibliography"/>
        <w:spacing w:after="0"/>
        <w:ind w:left="720" w:hanging="720"/>
        <w:rPr>
          <w:noProof/>
        </w:rPr>
      </w:pPr>
      <w:r w:rsidRPr="00E5265C">
        <w:rPr>
          <w:noProof/>
        </w:rPr>
        <w:t xml:space="preserve">[204] Eversana. (2022). The Evolution of HTA and Its Impact on Drug Prices in Japan. </w:t>
      </w:r>
      <w:hyperlink r:id="rId140" w:history="1">
        <w:r w:rsidRPr="00E5265C">
          <w:rPr>
            <w:rStyle w:val="Hyperlink"/>
            <w:noProof/>
          </w:rPr>
          <w:t>https://www.eversana.com/insights/the-evolution-of-hta-and-its-impact-on-drug-prices-in-japan/</w:t>
        </w:r>
      </w:hyperlink>
      <w:r w:rsidRPr="00E5265C">
        <w:rPr>
          <w:noProof/>
        </w:rPr>
        <w:t xml:space="preserve"> accessed 17 August 2023.</w:t>
      </w:r>
    </w:p>
    <w:p w14:paraId="4F22BAEA" w14:textId="77777777" w:rsidR="00E5265C" w:rsidRPr="00E5265C" w:rsidRDefault="00E5265C" w:rsidP="00E5265C">
      <w:pPr>
        <w:pStyle w:val="EndNoteBibliography"/>
        <w:spacing w:after="0"/>
        <w:ind w:left="720" w:hanging="720"/>
        <w:rPr>
          <w:noProof/>
        </w:rPr>
      </w:pPr>
      <w:r w:rsidRPr="00E5265C">
        <w:rPr>
          <w:noProof/>
        </w:rPr>
        <w:t>[205] Ng, K. H. (2023). HTA processes for funding, pricing and reimbursement in Singapore. In R. De Abreu Laurenco &amp; Manipis K (Eds.).</w:t>
      </w:r>
    </w:p>
    <w:p w14:paraId="186D45F1" w14:textId="77777777" w:rsidR="00E5265C" w:rsidRPr="00E5265C" w:rsidRDefault="00E5265C" w:rsidP="00E5265C">
      <w:pPr>
        <w:pStyle w:val="EndNoteBibliography"/>
        <w:spacing w:after="0"/>
        <w:ind w:left="720" w:hanging="720"/>
        <w:rPr>
          <w:noProof/>
        </w:rPr>
      </w:pPr>
      <w:r w:rsidRPr="00E5265C">
        <w:rPr>
          <w:noProof/>
        </w:rPr>
        <w:t xml:space="preserve">[206] Espin, J., Schlander, M., Godman, B., Anderson, P., Mestre-Ferrandiz, J., Borget, I., Hutchings, A., et al. (2018). Projecting Pharmaceutical Expenditure in EU5 to 2021: Adjusting for the Impact of Discounts and Rebates. </w:t>
      </w:r>
      <w:r w:rsidRPr="00E5265C">
        <w:rPr>
          <w:i/>
          <w:noProof/>
        </w:rPr>
        <w:t>Appl Health Econ Health Policy, 16</w:t>
      </w:r>
      <w:r w:rsidRPr="00E5265C">
        <w:rPr>
          <w:noProof/>
        </w:rPr>
        <w:t>(6), 803-817.</w:t>
      </w:r>
    </w:p>
    <w:p w14:paraId="0EDD4B33" w14:textId="77777777" w:rsidR="00E5265C" w:rsidRPr="00E5265C" w:rsidRDefault="00E5265C" w:rsidP="00E5265C">
      <w:pPr>
        <w:pStyle w:val="EndNoteBibliography"/>
        <w:spacing w:after="0"/>
        <w:ind w:left="720" w:hanging="720"/>
        <w:rPr>
          <w:noProof/>
        </w:rPr>
      </w:pPr>
      <w:r w:rsidRPr="00E5265C">
        <w:rPr>
          <w:noProof/>
        </w:rPr>
        <w:t xml:space="preserve">[207] Huang, L. Y. &amp; Gau, C. S. (2020). Lessons learned from the reimbursement policy for immune checkpoint inhibitors and real-world data collection in Taiwan. </w:t>
      </w:r>
      <w:r w:rsidRPr="00E5265C">
        <w:rPr>
          <w:i/>
          <w:noProof/>
        </w:rPr>
        <w:t>Int J Technol Assess Health Care, 37</w:t>
      </w:r>
      <w:r w:rsidRPr="00E5265C">
        <w:rPr>
          <w:noProof/>
        </w:rPr>
        <w:t>, e26.</w:t>
      </w:r>
    </w:p>
    <w:p w14:paraId="01EDEFB1" w14:textId="77777777" w:rsidR="00E5265C" w:rsidRPr="00E5265C" w:rsidRDefault="00E5265C" w:rsidP="00E5265C">
      <w:pPr>
        <w:pStyle w:val="EndNoteBibliography"/>
        <w:spacing w:after="0"/>
        <w:ind w:left="720" w:hanging="720"/>
        <w:rPr>
          <w:noProof/>
        </w:rPr>
      </w:pPr>
      <w:r w:rsidRPr="00E5265C">
        <w:rPr>
          <w:noProof/>
        </w:rPr>
        <w:t xml:space="preserve">[208] Facey, K. M., Espin, J., Kent, E., Link, A., Nicod, E., O'Leary, A., Xoxi, E., et al. (2021). Implementing Outcomes-Based Managed Entry Agreements for Rare Disease Treatments: Nusinersen and Tisagenlecleucel. </w:t>
      </w:r>
      <w:r w:rsidRPr="00E5265C">
        <w:rPr>
          <w:i/>
          <w:noProof/>
        </w:rPr>
        <w:t>PharmacoEconomics, 39</w:t>
      </w:r>
      <w:r w:rsidRPr="00E5265C">
        <w:rPr>
          <w:noProof/>
        </w:rPr>
        <w:t>(9), 1021-1044.</w:t>
      </w:r>
    </w:p>
    <w:p w14:paraId="34789027" w14:textId="77777777" w:rsidR="00E5265C" w:rsidRPr="00E5265C" w:rsidRDefault="00E5265C" w:rsidP="00E5265C">
      <w:pPr>
        <w:pStyle w:val="EndNoteBibliography"/>
        <w:spacing w:after="0"/>
        <w:ind w:left="720" w:hanging="720"/>
        <w:rPr>
          <w:noProof/>
        </w:rPr>
      </w:pPr>
      <w:r w:rsidRPr="00E5265C">
        <w:rPr>
          <w:noProof/>
        </w:rPr>
        <w:t xml:space="preserve">[209] Toumi, M., Jaroslawski, S., Sawada, T. &amp; Kornfeld, A. (2017). The Use of Surrogate and Patient-Relevant Endpoints in Outcomes-Based Market Access Agreements : Current Debate. </w:t>
      </w:r>
      <w:r w:rsidRPr="00E5265C">
        <w:rPr>
          <w:i/>
          <w:noProof/>
        </w:rPr>
        <w:t>Appl Health Econ Health Policy, 15</w:t>
      </w:r>
      <w:r w:rsidRPr="00E5265C">
        <w:rPr>
          <w:noProof/>
        </w:rPr>
        <w:t>(1), 5-11.</w:t>
      </w:r>
    </w:p>
    <w:p w14:paraId="3AED15CA" w14:textId="77777777" w:rsidR="00E5265C" w:rsidRPr="00E5265C" w:rsidRDefault="00E5265C" w:rsidP="00E5265C">
      <w:pPr>
        <w:pStyle w:val="EndNoteBibliography"/>
        <w:spacing w:after="0"/>
        <w:ind w:left="720" w:hanging="720"/>
        <w:rPr>
          <w:noProof/>
        </w:rPr>
      </w:pPr>
      <w:r w:rsidRPr="00E5265C">
        <w:rPr>
          <w:noProof/>
        </w:rPr>
        <w:t xml:space="preserve">[210] Xoxi, E., Rumi, F., Kanavos, P., Dauben, H. P., Gutierrez-Ibarluzea, I., Wong, O., Rasi, G. &amp; Cicchetti, A. (2022). A Proposal for Value-Based Managed Entry Agreements in an Environment of Technological Change and Economic Challenge for Publicly Funded Healthcare Systems. </w:t>
      </w:r>
      <w:r w:rsidRPr="00E5265C">
        <w:rPr>
          <w:i/>
          <w:noProof/>
        </w:rPr>
        <w:t>Front Med Technol, 4</w:t>
      </w:r>
      <w:r w:rsidRPr="00E5265C">
        <w:rPr>
          <w:noProof/>
        </w:rPr>
        <w:t>.</w:t>
      </w:r>
    </w:p>
    <w:p w14:paraId="3EEBDA4C" w14:textId="77777777" w:rsidR="00E5265C" w:rsidRPr="00E5265C" w:rsidRDefault="00E5265C" w:rsidP="00E5265C">
      <w:pPr>
        <w:pStyle w:val="EndNoteBibliography"/>
        <w:spacing w:after="0"/>
        <w:ind w:left="720" w:hanging="720"/>
        <w:rPr>
          <w:noProof/>
        </w:rPr>
      </w:pPr>
      <w:r w:rsidRPr="00E5265C">
        <w:rPr>
          <w:noProof/>
        </w:rPr>
        <w:t>[211] Dental and Pharmaceutical Benefits Agency (TLV). (2021). How should we assess and pay? Health-economic assessments and payment models for precision medicines and ATMPs. Stockholm.</w:t>
      </w:r>
    </w:p>
    <w:p w14:paraId="523C1A78" w14:textId="77777777" w:rsidR="00E5265C" w:rsidRPr="00E5265C" w:rsidRDefault="00E5265C" w:rsidP="00E5265C">
      <w:pPr>
        <w:pStyle w:val="EndNoteBibliography"/>
        <w:spacing w:after="0"/>
        <w:ind w:left="720" w:hanging="720"/>
        <w:rPr>
          <w:noProof/>
        </w:rPr>
      </w:pPr>
      <w:r w:rsidRPr="00E5265C">
        <w:rPr>
          <w:noProof/>
        </w:rPr>
        <w:t xml:space="preserve">[212] Kim, S., Cho, H., Kim, J., Lee, K. &amp; Lee, J. H. (2021). The current state of patient access to new drugs in South Korea under the positive list system: evaluation of the changes since the new review pathways. </w:t>
      </w:r>
      <w:r w:rsidRPr="00E5265C">
        <w:rPr>
          <w:i/>
          <w:noProof/>
        </w:rPr>
        <w:t>Expert Rev Pharmacoecon Outcomes Res, 21</w:t>
      </w:r>
      <w:r w:rsidRPr="00E5265C">
        <w:rPr>
          <w:noProof/>
        </w:rPr>
        <w:t>(1), 119-126.</w:t>
      </w:r>
    </w:p>
    <w:p w14:paraId="74318B8A" w14:textId="77777777" w:rsidR="00E5265C" w:rsidRPr="00E5265C" w:rsidRDefault="00E5265C" w:rsidP="00E5265C">
      <w:pPr>
        <w:pStyle w:val="EndNoteBibliography"/>
        <w:spacing w:after="0"/>
        <w:ind w:left="720" w:hanging="720"/>
        <w:rPr>
          <w:noProof/>
        </w:rPr>
      </w:pPr>
      <w:r w:rsidRPr="00E5265C">
        <w:rPr>
          <w:noProof/>
        </w:rPr>
        <w:t xml:space="preserve">[213] Carlson, J. J., Chen, S. &amp; Garrison, L. P. (2017). Performance-Based Risk-Sharing Arrangements: An Updated International Review. </w:t>
      </w:r>
      <w:r w:rsidRPr="00E5265C">
        <w:rPr>
          <w:i/>
          <w:noProof/>
        </w:rPr>
        <w:t>PharmacoEconomics, 35</w:t>
      </w:r>
      <w:r w:rsidRPr="00E5265C">
        <w:rPr>
          <w:noProof/>
        </w:rPr>
        <w:t>(10), 1063-1072.</w:t>
      </w:r>
    </w:p>
    <w:p w14:paraId="7A3EC785" w14:textId="77777777" w:rsidR="00E5265C" w:rsidRPr="00E5265C" w:rsidRDefault="00E5265C" w:rsidP="00E5265C">
      <w:pPr>
        <w:pStyle w:val="EndNoteBibliography"/>
        <w:spacing w:after="0"/>
        <w:ind w:left="720" w:hanging="720"/>
        <w:rPr>
          <w:noProof/>
        </w:rPr>
      </w:pPr>
      <w:r w:rsidRPr="00E5265C">
        <w:rPr>
          <w:noProof/>
        </w:rPr>
        <w:t xml:space="preserve">[214] McPhail, M. &amp; Bubela, T. (2023). Should Canada adopt managed access agreements in Canada for expensive drugs? </w:t>
      </w:r>
      <w:r w:rsidRPr="00E5265C">
        <w:rPr>
          <w:i/>
          <w:noProof/>
        </w:rPr>
        <w:t>J Law Biosci, 10</w:t>
      </w:r>
      <w:r w:rsidRPr="00E5265C">
        <w:rPr>
          <w:noProof/>
        </w:rPr>
        <w:t>(1).</w:t>
      </w:r>
    </w:p>
    <w:p w14:paraId="16604C90" w14:textId="77777777" w:rsidR="00E5265C" w:rsidRPr="00E5265C" w:rsidRDefault="00E5265C" w:rsidP="00E5265C">
      <w:pPr>
        <w:pStyle w:val="EndNoteBibliography"/>
        <w:spacing w:after="0"/>
        <w:ind w:left="720" w:hanging="720"/>
        <w:rPr>
          <w:noProof/>
        </w:rPr>
      </w:pPr>
      <w:r w:rsidRPr="00E5265C">
        <w:rPr>
          <w:noProof/>
        </w:rPr>
        <w:t>[215] Jens. (2023). Germany’s approach to funding, pricing and reimbursement. Interview with leading HE/Pricing consultant. Email dated 26 July 2023.</w:t>
      </w:r>
    </w:p>
    <w:p w14:paraId="4114F5C5" w14:textId="77777777" w:rsidR="00E5265C" w:rsidRPr="00E5265C" w:rsidRDefault="00E5265C" w:rsidP="00E5265C">
      <w:pPr>
        <w:pStyle w:val="EndNoteBibliography"/>
        <w:spacing w:after="0"/>
        <w:ind w:left="720" w:hanging="720"/>
        <w:rPr>
          <w:noProof/>
        </w:rPr>
      </w:pPr>
      <w:r w:rsidRPr="00E5265C">
        <w:rPr>
          <w:noProof/>
        </w:rPr>
        <w:t xml:space="preserve">[216] Parkinson, B., Sermet, C., Clement, F., Crausaz, S., Godman, B., Garner, S., Choudhury, M., et al. (2015). Disinvestment and Value-Based Purchasing Strategies for Pharmaceuticals: An International Review. </w:t>
      </w:r>
      <w:r w:rsidRPr="00E5265C">
        <w:rPr>
          <w:i/>
          <w:noProof/>
        </w:rPr>
        <w:t>PharmacoEconomics, 33</w:t>
      </w:r>
      <w:r w:rsidRPr="00E5265C">
        <w:rPr>
          <w:noProof/>
        </w:rPr>
        <w:t>(9), 905-924.</w:t>
      </w:r>
    </w:p>
    <w:p w14:paraId="21D63D1C" w14:textId="77777777" w:rsidR="00E5265C" w:rsidRPr="00E5265C" w:rsidRDefault="00E5265C" w:rsidP="00E5265C">
      <w:pPr>
        <w:pStyle w:val="EndNoteBibliography"/>
        <w:spacing w:after="0"/>
        <w:ind w:left="720" w:hanging="720"/>
        <w:rPr>
          <w:noProof/>
        </w:rPr>
      </w:pPr>
      <w:r w:rsidRPr="00E5265C">
        <w:rPr>
          <w:noProof/>
        </w:rPr>
        <w:t xml:space="preserve">[217] Kelley, L. T., Tenbensel, T. &amp; Johnson, A. (2018). Ontario and New Zealand Pharmaceuticals: Cost and Coverage. </w:t>
      </w:r>
      <w:r w:rsidRPr="00E5265C">
        <w:rPr>
          <w:i/>
          <w:noProof/>
        </w:rPr>
        <w:t>Healthc Policy, 13</w:t>
      </w:r>
      <w:r w:rsidRPr="00E5265C">
        <w:rPr>
          <w:noProof/>
        </w:rPr>
        <w:t>(4), 23-34.</w:t>
      </w:r>
    </w:p>
    <w:p w14:paraId="77E5291F" w14:textId="77777777" w:rsidR="00E5265C" w:rsidRPr="00E5265C" w:rsidRDefault="00E5265C" w:rsidP="00E5265C">
      <w:pPr>
        <w:pStyle w:val="EndNoteBibliography"/>
        <w:spacing w:after="0"/>
        <w:ind w:left="720" w:hanging="720"/>
        <w:rPr>
          <w:noProof/>
        </w:rPr>
      </w:pPr>
      <w:r w:rsidRPr="00E5265C">
        <w:rPr>
          <w:noProof/>
        </w:rPr>
        <w:t>[218] NHS England Cancer Drugs Fund Team. (2022). NHS commercial framework for new medicines. London, England: NHS.</w:t>
      </w:r>
    </w:p>
    <w:p w14:paraId="42A737C9" w14:textId="5DE0297D" w:rsidR="00E5265C" w:rsidRPr="00E5265C" w:rsidRDefault="00E5265C" w:rsidP="00E5265C">
      <w:pPr>
        <w:pStyle w:val="EndNoteBibliography"/>
        <w:spacing w:after="0"/>
        <w:ind w:left="720" w:hanging="720"/>
        <w:rPr>
          <w:noProof/>
        </w:rPr>
      </w:pPr>
      <w:r w:rsidRPr="00E5265C">
        <w:rPr>
          <w:noProof/>
        </w:rPr>
        <w:t xml:space="preserve">[219] NICE. (2022). NICE real-world evidence framework </w:t>
      </w:r>
      <w:hyperlink r:id="rId141" w:history="1">
        <w:r w:rsidRPr="00E5265C">
          <w:rPr>
            <w:rStyle w:val="Hyperlink"/>
            <w:noProof/>
          </w:rPr>
          <w:t>https://www.nice.org.uk/corporate/ecd9/resources/nice-realworld-evidence-framework-pdf-1124020816837</w:t>
        </w:r>
      </w:hyperlink>
      <w:r w:rsidRPr="00E5265C">
        <w:rPr>
          <w:noProof/>
        </w:rPr>
        <w:t>. Accessed 12 July 2023. London, England: National Health Service.</w:t>
      </w:r>
    </w:p>
    <w:p w14:paraId="2CC40D7E" w14:textId="77777777" w:rsidR="00E5265C" w:rsidRPr="00E5265C" w:rsidRDefault="00E5265C" w:rsidP="00E5265C">
      <w:pPr>
        <w:pStyle w:val="EndNoteBibliography"/>
        <w:spacing w:after="0"/>
        <w:ind w:left="720" w:hanging="720"/>
        <w:rPr>
          <w:noProof/>
        </w:rPr>
      </w:pPr>
      <w:r w:rsidRPr="00E5265C">
        <w:rPr>
          <w:noProof/>
        </w:rPr>
        <w:t xml:space="preserve">[220] Xoxi, E., Facey, K. M. &amp; Cicchetti, A. (2021). The Evolution of AIFA Registries to Support Managed Entry Agreements for Orphan Medicinal Products in Italy. </w:t>
      </w:r>
      <w:r w:rsidRPr="00E5265C">
        <w:rPr>
          <w:i/>
          <w:noProof/>
        </w:rPr>
        <w:t>Front Pharmacol, 12</w:t>
      </w:r>
      <w:r w:rsidRPr="00E5265C">
        <w:rPr>
          <w:noProof/>
        </w:rPr>
        <w:t>.</w:t>
      </w:r>
    </w:p>
    <w:p w14:paraId="44501A2A" w14:textId="1DAEDE99" w:rsidR="00E5265C" w:rsidRPr="00E5265C" w:rsidRDefault="00E5265C" w:rsidP="00E5265C">
      <w:pPr>
        <w:pStyle w:val="EndNoteBibliography"/>
        <w:spacing w:after="0"/>
        <w:ind w:left="720" w:hanging="720"/>
        <w:rPr>
          <w:noProof/>
        </w:rPr>
      </w:pPr>
      <w:r w:rsidRPr="00E5265C">
        <w:rPr>
          <w:noProof/>
        </w:rPr>
        <w:t xml:space="preserve">[221] Gazzetta Ufficiale. (2016). Italian Law 11/12/2016 N. 232 Comma 404. Government of Italy. Retrieved 16 August 2023, from: </w:t>
      </w:r>
      <w:hyperlink r:id="rId142" w:history="1">
        <w:r w:rsidRPr="00E5265C">
          <w:rPr>
            <w:rStyle w:val="Hyperlink"/>
            <w:noProof/>
          </w:rPr>
          <w:t>http://www.gazzettaufficiale.it/eli/id/2016/12/21/16G00242/sg</w:t>
        </w:r>
      </w:hyperlink>
      <w:r w:rsidRPr="00E5265C">
        <w:rPr>
          <w:noProof/>
        </w:rPr>
        <w:t xml:space="preserve"> </w:t>
      </w:r>
    </w:p>
    <w:p w14:paraId="2B4C489C" w14:textId="77777777" w:rsidR="00E5265C" w:rsidRPr="00E5265C" w:rsidRDefault="00E5265C" w:rsidP="00E5265C">
      <w:pPr>
        <w:pStyle w:val="EndNoteBibliography"/>
        <w:spacing w:after="0"/>
        <w:ind w:left="720" w:hanging="720"/>
        <w:rPr>
          <w:noProof/>
        </w:rPr>
      </w:pPr>
      <w:r w:rsidRPr="00E5265C">
        <w:rPr>
          <w:noProof/>
        </w:rPr>
        <w:t xml:space="preserve">[222] Faulkner, S. D., Lee, M., Qin, D., Morrell, L., Xoxi, E., Sammarco, A., Cammarata, S., et al. (2016). Pricing and reimbursement experiences and insights in the European Union and the United States: Lessons learned to approach adaptive payer pathways. </w:t>
      </w:r>
      <w:r w:rsidRPr="00E5265C">
        <w:rPr>
          <w:i/>
          <w:noProof/>
        </w:rPr>
        <w:t>Clin Pharmacol Ther, 100</w:t>
      </w:r>
      <w:r w:rsidRPr="00E5265C">
        <w:rPr>
          <w:noProof/>
        </w:rPr>
        <w:t>(6), 730-742.</w:t>
      </w:r>
    </w:p>
    <w:p w14:paraId="54BC7C38" w14:textId="1AA9FAE5" w:rsidR="00E5265C" w:rsidRPr="00E5265C" w:rsidRDefault="00E5265C" w:rsidP="00E5265C">
      <w:pPr>
        <w:pStyle w:val="EndNoteBibliography"/>
        <w:spacing w:after="0"/>
        <w:ind w:left="720" w:hanging="720"/>
        <w:rPr>
          <w:noProof/>
        </w:rPr>
      </w:pPr>
      <w:r w:rsidRPr="00E5265C">
        <w:rPr>
          <w:noProof/>
        </w:rPr>
        <w:t xml:space="preserve">[223] Gazzetta Ufficiale. (1996). Italian Law December 23, 1996, N. 648. Government of Italy. Retrieved 16 August 2023, from: </w:t>
      </w:r>
      <w:hyperlink r:id="rId143" w:history="1">
        <w:r w:rsidRPr="00E5265C">
          <w:rPr>
            <w:rStyle w:val="Hyperlink"/>
            <w:noProof/>
          </w:rPr>
          <w:t>https://www.normattiva.it/uri-res/N2Ls?urn:nir:stato:legge:1996-12-23;648!vig</w:t>
        </w:r>
      </w:hyperlink>
      <w:r w:rsidRPr="00E5265C">
        <w:rPr>
          <w:noProof/>
        </w:rPr>
        <w:t>=.</w:t>
      </w:r>
    </w:p>
    <w:p w14:paraId="4AD0173A" w14:textId="0A769CAB" w:rsidR="00E5265C" w:rsidRPr="00E5265C" w:rsidRDefault="00E5265C" w:rsidP="00E5265C">
      <w:pPr>
        <w:pStyle w:val="EndNoteBibliography"/>
        <w:spacing w:after="0"/>
        <w:ind w:left="720" w:hanging="720"/>
        <w:rPr>
          <w:noProof/>
        </w:rPr>
      </w:pPr>
      <w:r w:rsidRPr="00E5265C">
        <w:rPr>
          <w:noProof/>
        </w:rPr>
        <w:t xml:space="preserve">[224] Gazzetta Ufficiale. (2014). Italian Law May 16, 2014, N. 79. Government of Italy. Retrieved 16 August 2023, from: </w:t>
      </w:r>
      <w:hyperlink r:id="rId144" w:history="1">
        <w:r w:rsidRPr="00E5265C">
          <w:rPr>
            <w:rStyle w:val="Hyperlink"/>
            <w:noProof/>
          </w:rPr>
          <w:t>https://www.normattiva.it/uri-res/N2Ls?urn:nir:stato:legge:2014-05-16;79!vig</w:t>
        </w:r>
      </w:hyperlink>
      <w:r w:rsidRPr="00E5265C">
        <w:rPr>
          <w:noProof/>
        </w:rPr>
        <w:t>=.</w:t>
      </w:r>
    </w:p>
    <w:p w14:paraId="6439BB09" w14:textId="0384C4B1" w:rsidR="00E5265C" w:rsidRPr="00E5265C" w:rsidRDefault="00E5265C" w:rsidP="00E5265C">
      <w:pPr>
        <w:pStyle w:val="EndNoteBibliography"/>
        <w:spacing w:after="0"/>
        <w:ind w:left="720" w:hanging="720"/>
        <w:rPr>
          <w:noProof/>
        </w:rPr>
      </w:pPr>
      <w:r w:rsidRPr="00E5265C">
        <w:rPr>
          <w:noProof/>
        </w:rPr>
        <w:t xml:space="preserve">[225] Agenzia Italiana del Farmaco (AIFA). (2019). (PR Yescarta) Deliberation November 4, 2019. Government of Italy, Agenzia Italiana del Farmaco (AIFA). Retrieved 16 August 2023, from: </w:t>
      </w:r>
      <w:hyperlink r:id="rId145" w:history="1">
        <w:r w:rsidRPr="00E5265C">
          <w:rPr>
            <w:rStyle w:val="Hyperlink"/>
            <w:noProof/>
          </w:rPr>
          <w:t>https://www.aifa.gov.it/documents/20142/961234/Determina_DG-1643-2019_Yescarta.pdf/26464c52-5e7b-e97d-74d5-f66f69039fa0</w:t>
        </w:r>
      </w:hyperlink>
      <w:r w:rsidRPr="00E5265C">
        <w:rPr>
          <w:noProof/>
        </w:rPr>
        <w:t xml:space="preserve"> </w:t>
      </w:r>
    </w:p>
    <w:p w14:paraId="32751DEA" w14:textId="172EDD67" w:rsidR="00E5265C" w:rsidRPr="00E5265C" w:rsidRDefault="00E5265C" w:rsidP="00E5265C">
      <w:pPr>
        <w:pStyle w:val="EndNoteBibliography"/>
        <w:spacing w:after="0"/>
        <w:ind w:left="720" w:hanging="720"/>
        <w:rPr>
          <w:noProof/>
        </w:rPr>
      </w:pPr>
      <w:r w:rsidRPr="00E5265C">
        <w:rPr>
          <w:noProof/>
        </w:rPr>
        <w:t xml:space="preserve">[226] Agenzia Italiana del Farmaco (AIFA). (2019). (PR Kymriah) Deliberation August 7, 2019 Website.: Government of Italy, Agenzia Italiana del Farmaco (AIFA). Retrieved 16 August 2023, from: </w:t>
      </w:r>
      <w:hyperlink r:id="rId146" w:history="1">
        <w:r w:rsidRPr="00E5265C">
          <w:rPr>
            <w:rStyle w:val="Hyperlink"/>
            <w:noProof/>
          </w:rPr>
          <w:t>https://www.aifa.gov.it/documents/20142/847786/Determina_1264-2019_Kymriah.pdf/88f22d83-8907-9399-bda6-eb415690c144</w:t>
        </w:r>
      </w:hyperlink>
      <w:r w:rsidRPr="00E5265C">
        <w:rPr>
          <w:noProof/>
        </w:rPr>
        <w:t xml:space="preserve"> </w:t>
      </w:r>
    </w:p>
    <w:p w14:paraId="5E8F9B6C" w14:textId="77777777" w:rsidR="00E5265C" w:rsidRPr="00E5265C" w:rsidRDefault="00E5265C" w:rsidP="00E5265C">
      <w:pPr>
        <w:pStyle w:val="EndNoteBibliography"/>
        <w:spacing w:after="0"/>
        <w:ind w:left="720" w:hanging="720"/>
        <w:rPr>
          <w:noProof/>
        </w:rPr>
      </w:pPr>
      <w:r w:rsidRPr="00E5265C">
        <w:rPr>
          <w:noProof/>
        </w:rPr>
        <w:t xml:space="preserve">[227] Garattini, L. &amp; Casadei, G. (2011). Risk sharing agreements: what lessons from Italy? </w:t>
      </w:r>
      <w:r w:rsidRPr="00E5265C">
        <w:rPr>
          <w:i/>
          <w:noProof/>
        </w:rPr>
        <w:t>Int J Technol Assess Health Care, 27</w:t>
      </w:r>
      <w:r w:rsidRPr="00E5265C">
        <w:rPr>
          <w:noProof/>
        </w:rPr>
        <w:t>(2), 169-172.</w:t>
      </w:r>
    </w:p>
    <w:p w14:paraId="564BFAB2" w14:textId="77777777" w:rsidR="00E5265C" w:rsidRPr="00E5265C" w:rsidRDefault="00E5265C" w:rsidP="00E5265C">
      <w:pPr>
        <w:pStyle w:val="EndNoteBibliography"/>
        <w:spacing w:after="0"/>
        <w:ind w:left="720" w:hanging="720"/>
        <w:rPr>
          <w:noProof/>
        </w:rPr>
      </w:pPr>
      <w:r w:rsidRPr="00E5265C">
        <w:rPr>
          <w:noProof/>
        </w:rPr>
        <w:t xml:space="preserve">[228] Jørgensen, J., Hanna, E. &amp; Kefalas, P. (2020). Outcomes-based reimbursement for gene therapies in practice: the experience of recently launched CAR-T cell therapies in major European countries. </w:t>
      </w:r>
      <w:r w:rsidRPr="00E5265C">
        <w:rPr>
          <w:i/>
          <w:noProof/>
        </w:rPr>
        <w:t>J Mark Access Health Policy, 8</w:t>
      </w:r>
      <w:r w:rsidRPr="00E5265C">
        <w:rPr>
          <w:noProof/>
        </w:rPr>
        <w:t>(1).</w:t>
      </w:r>
    </w:p>
    <w:p w14:paraId="3839C046" w14:textId="77777777" w:rsidR="00E5265C" w:rsidRPr="00E5265C" w:rsidRDefault="00E5265C" w:rsidP="00E5265C">
      <w:pPr>
        <w:pStyle w:val="EndNoteBibliography"/>
        <w:spacing w:after="0"/>
        <w:ind w:left="720" w:hanging="720"/>
        <w:rPr>
          <w:noProof/>
        </w:rPr>
      </w:pPr>
      <w:r w:rsidRPr="00E5265C">
        <w:rPr>
          <w:noProof/>
        </w:rPr>
        <w:t xml:space="preserve">[229] Kamaruzaman, H. F., Grieve, E. &amp; Wu, O. (2022). Disinvestment in healthcare: a scoping review of systematic reviews. </w:t>
      </w:r>
      <w:r w:rsidRPr="00E5265C">
        <w:rPr>
          <w:i/>
          <w:noProof/>
        </w:rPr>
        <w:t>International Journal of Technology Assessment in Health Care</w:t>
      </w:r>
      <w:r w:rsidRPr="00E5265C">
        <w:rPr>
          <w:noProof/>
        </w:rPr>
        <w:t>, 1-39.</w:t>
      </w:r>
    </w:p>
    <w:p w14:paraId="064A535D" w14:textId="77777777" w:rsidR="00E5265C" w:rsidRPr="00E5265C" w:rsidRDefault="00E5265C" w:rsidP="00E5265C">
      <w:pPr>
        <w:pStyle w:val="EndNoteBibliography"/>
        <w:spacing w:after="0"/>
        <w:ind w:left="720" w:hanging="720"/>
        <w:rPr>
          <w:noProof/>
        </w:rPr>
      </w:pPr>
      <w:r w:rsidRPr="00E5265C">
        <w:rPr>
          <w:noProof/>
        </w:rPr>
        <w:t>[230] Lewis, S., Campbell, S. &amp; Norris, S. (2019). Systematic literature review on international approaches to post-market reviews and technology re-assessment - Final Report. Canberra: Australian Government Department of Health and Aged Care.</w:t>
      </w:r>
    </w:p>
    <w:p w14:paraId="0582B8E3" w14:textId="77777777" w:rsidR="00E5265C" w:rsidRPr="00E5265C" w:rsidRDefault="00E5265C" w:rsidP="00E5265C">
      <w:pPr>
        <w:pStyle w:val="EndNoteBibliography"/>
        <w:spacing w:after="0"/>
        <w:ind w:left="720" w:hanging="720"/>
        <w:rPr>
          <w:noProof/>
        </w:rPr>
      </w:pPr>
      <w:r w:rsidRPr="00E5265C">
        <w:rPr>
          <w:noProof/>
        </w:rPr>
        <w:t xml:space="preserve">[231] Chambers, J. D., Salem, M. N., D’Cruz, B. N., Subedi, P., Kamal-Bahl, S. J. &amp; Neumann, P. J. (2017). A review of empirical analyses of disinvestment initiatives. </w:t>
      </w:r>
      <w:r w:rsidRPr="00E5265C">
        <w:rPr>
          <w:i/>
          <w:noProof/>
        </w:rPr>
        <w:t>Value in Health, 20</w:t>
      </w:r>
      <w:r w:rsidRPr="00E5265C">
        <w:rPr>
          <w:noProof/>
        </w:rPr>
        <w:t>(7), 909-918.</w:t>
      </w:r>
    </w:p>
    <w:p w14:paraId="665CA917" w14:textId="77777777" w:rsidR="00E5265C" w:rsidRPr="00E5265C" w:rsidRDefault="00E5265C" w:rsidP="00E5265C">
      <w:pPr>
        <w:pStyle w:val="EndNoteBibliography"/>
        <w:spacing w:after="0"/>
        <w:ind w:left="720" w:hanging="720"/>
        <w:rPr>
          <w:noProof/>
        </w:rPr>
      </w:pPr>
      <w:r w:rsidRPr="00E5265C">
        <w:rPr>
          <w:noProof/>
        </w:rPr>
        <w:t xml:space="preserve">[232] Mitchell, D., Bowles, K.-A., O'Brien, L., Bardoel, A. &amp; Haines, T. (2021). Health care staff responses to disinvestment—A systematic search and qualitative thematic synthesis. </w:t>
      </w:r>
      <w:r w:rsidRPr="00E5265C">
        <w:rPr>
          <w:i/>
          <w:noProof/>
        </w:rPr>
        <w:t>Health Care Management Review, 46</w:t>
      </w:r>
      <w:r w:rsidRPr="00E5265C">
        <w:rPr>
          <w:noProof/>
        </w:rPr>
        <w:t>(1), 44-54.</w:t>
      </w:r>
    </w:p>
    <w:p w14:paraId="7014DC40" w14:textId="77777777" w:rsidR="00E5265C" w:rsidRPr="00E5265C" w:rsidRDefault="00E5265C" w:rsidP="00E5265C">
      <w:pPr>
        <w:pStyle w:val="EndNoteBibliography"/>
        <w:spacing w:after="0"/>
        <w:ind w:left="720" w:hanging="720"/>
        <w:rPr>
          <w:noProof/>
        </w:rPr>
      </w:pPr>
      <w:r w:rsidRPr="00E5265C">
        <w:rPr>
          <w:noProof/>
        </w:rPr>
        <w:t xml:space="preserve">[233] Seo, H.-J., Park, J. J. &amp; Lee, S. H. (2016). A systematic review on current status of health technology reassessment: insights for South Korea. </w:t>
      </w:r>
      <w:r w:rsidRPr="00E5265C">
        <w:rPr>
          <w:i/>
          <w:noProof/>
        </w:rPr>
        <w:t>Health research policy and systems, 14</w:t>
      </w:r>
      <w:r w:rsidRPr="00E5265C">
        <w:rPr>
          <w:noProof/>
        </w:rPr>
        <w:t>, 1-10.</w:t>
      </w:r>
    </w:p>
    <w:p w14:paraId="523A5E26" w14:textId="77777777" w:rsidR="00E5265C" w:rsidRPr="00E5265C" w:rsidRDefault="00E5265C" w:rsidP="00E5265C">
      <w:pPr>
        <w:pStyle w:val="EndNoteBibliography"/>
        <w:spacing w:after="0"/>
        <w:ind w:left="720" w:hanging="720"/>
        <w:rPr>
          <w:noProof/>
        </w:rPr>
      </w:pPr>
      <w:r w:rsidRPr="00E5265C">
        <w:rPr>
          <w:noProof/>
        </w:rPr>
        <w:t xml:space="preserve">[234] Parkinson, B., Sermet, C., Clement, F., Crausaz, S., Godman, B., Garner, S., Choudhury, M., et al. (2015). Disinvestment and value-based purchasing strategies for pharmaceuticals: an international review. </w:t>
      </w:r>
      <w:r w:rsidRPr="00E5265C">
        <w:rPr>
          <w:i/>
          <w:noProof/>
        </w:rPr>
        <w:t>PharmacoEconomics, 33</w:t>
      </w:r>
      <w:r w:rsidRPr="00E5265C">
        <w:rPr>
          <w:noProof/>
        </w:rPr>
        <w:t>, 905-924.</w:t>
      </w:r>
    </w:p>
    <w:p w14:paraId="4802E77B" w14:textId="77777777" w:rsidR="00E5265C" w:rsidRPr="00E5265C" w:rsidRDefault="00E5265C" w:rsidP="00E5265C">
      <w:pPr>
        <w:pStyle w:val="EndNoteBibliography"/>
        <w:spacing w:after="0"/>
        <w:ind w:left="720" w:hanging="720"/>
        <w:rPr>
          <w:noProof/>
        </w:rPr>
      </w:pPr>
      <w:r w:rsidRPr="00E5265C">
        <w:rPr>
          <w:noProof/>
        </w:rPr>
        <w:t xml:space="preserve">[235] Garner, S., Docherty, M., Somner, J., Sharma, T., Choudhury, M., Clarke, M. &amp; Littlejohns, P. (2013). Reducing ineffective practice: challenges in identifying low-value health care using Cochrane systematic reviews. </w:t>
      </w:r>
      <w:r w:rsidRPr="00E5265C">
        <w:rPr>
          <w:i/>
          <w:noProof/>
        </w:rPr>
        <w:t>Journal of health services research &amp; policy, 18</w:t>
      </w:r>
      <w:r w:rsidRPr="00E5265C">
        <w:rPr>
          <w:noProof/>
        </w:rPr>
        <w:t>(1), 6-12.</w:t>
      </w:r>
    </w:p>
    <w:p w14:paraId="2E598D48" w14:textId="77777777" w:rsidR="00E5265C" w:rsidRPr="00E5265C" w:rsidRDefault="00E5265C" w:rsidP="00E5265C">
      <w:pPr>
        <w:pStyle w:val="EndNoteBibliography"/>
        <w:spacing w:after="0"/>
        <w:ind w:left="720" w:hanging="720"/>
        <w:rPr>
          <w:noProof/>
        </w:rPr>
      </w:pPr>
      <w:r w:rsidRPr="00E5265C">
        <w:rPr>
          <w:noProof/>
        </w:rPr>
        <w:t xml:space="preserve">[236] Esandi, M. E., Gutiérrez-Ibarluzea, I., Ibargoyen-Roteta, N. &amp; Godman, B. (2020). An evidence-based framework for identifying technologies of no or low-added value (NLVT). </w:t>
      </w:r>
      <w:r w:rsidRPr="00E5265C">
        <w:rPr>
          <w:i/>
          <w:noProof/>
        </w:rPr>
        <w:t>International journal of technology assessment in health care, 36</w:t>
      </w:r>
      <w:r w:rsidRPr="00E5265C">
        <w:rPr>
          <w:noProof/>
        </w:rPr>
        <w:t>(1), 50-57.</w:t>
      </w:r>
    </w:p>
    <w:p w14:paraId="68E6BDFA" w14:textId="77777777" w:rsidR="00E5265C" w:rsidRPr="00E5265C" w:rsidRDefault="00E5265C" w:rsidP="00E5265C">
      <w:pPr>
        <w:pStyle w:val="EndNoteBibliography"/>
        <w:spacing w:after="0"/>
        <w:ind w:left="720" w:hanging="720"/>
        <w:rPr>
          <w:noProof/>
        </w:rPr>
      </w:pPr>
      <w:r w:rsidRPr="00E5265C">
        <w:rPr>
          <w:noProof/>
        </w:rPr>
        <w:t xml:space="preserve">[237] Mayer, J. &amp; Nachtnebel, A. (2015). Disinvesting from ineffective technologies: lessons learned from current programs. </w:t>
      </w:r>
      <w:r w:rsidRPr="00E5265C">
        <w:rPr>
          <w:i/>
          <w:noProof/>
        </w:rPr>
        <w:t>International journal of technology assessment in health care, 31</w:t>
      </w:r>
      <w:r w:rsidRPr="00E5265C">
        <w:rPr>
          <w:noProof/>
        </w:rPr>
        <w:t>(6), 355-362.</w:t>
      </w:r>
    </w:p>
    <w:p w14:paraId="57B513FC" w14:textId="77777777" w:rsidR="00E5265C" w:rsidRPr="00E5265C" w:rsidRDefault="00E5265C" w:rsidP="00E5265C">
      <w:pPr>
        <w:pStyle w:val="EndNoteBibliography"/>
        <w:spacing w:after="0"/>
        <w:ind w:left="720" w:hanging="720"/>
        <w:rPr>
          <w:noProof/>
        </w:rPr>
      </w:pPr>
      <w:r w:rsidRPr="00E5265C">
        <w:rPr>
          <w:noProof/>
        </w:rPr>
        <w:t xml:space="preserve">[238] Maloney, M. A., Schwartz, L., O'Reilly, D. &amp; Levine, M. (2017). Drug disinvestment frameworks: components, challenges, and solutions. </w:t>
      </w:r>
      <w:r w:rsidRPr="00E5265C">
        <w:rPr>
          <w:i/>
          <w:noProof/>
        </w:rPr>
        <w:t>International Journal of Technology Assessment in Health Care, 33</w:t>
      </w:r>
      <w:r w:rsidRPr="00E5265C">
        <w:rPr>
          <w:noProof/>
        </w:rPr>
        <w:t>(2), 261-269.</w:t>
      </w:r>
    </w:p>
    <w:p w14:paraId="03BDCE99" w14:textId="77777777" w:rsidR="00E5265C" w:rsidRPr="00E5265C" w:rsidRDefault="00E5265C" w:rsidP="00E5265C">
      <w:pPr>
        <w:pStyle w:val="EndNoteBibliography"/>
        <w:spacing w:after="0"/>
        <w:ind w:left="720" w:hanging="720"/>
        <w:rPr>
          <w:noProof/>
        </w:rPr>
      </w:pPr>
      <w:r w:rsidRPr="00E5265C">
        <w:rPr>
          <w:noProof/>
        </w:rPr>
        <w:t xml:space="preserve">[239] Leggett, L., Noseworthy, T. W., Zarrabi, M., Lorenzetti, D., Sutherland, L. R. &amp; Clement, F. M. (2012). Health technology reassessment of non-drug technologies: current practices. </w:t>
      </w:r>
      <w:r w:rsidRPr="00E5265C">
        <w:rPr>
          <w:i/>
          <w:noProof/>
        </w:rPr>
        <w:t>International journal of technology assessment in health care, 28</w:t>
      </w:r>
      <w:r w:rsidRPr="00E5265C">
        <w:rPr>
          <w:noProof/>
        </w:rPr>
        <w:t>(3), 220-227.</w:t>
      </w:r>
    </w:p>
    <w:p w14:paraId="09BE5287" w14:textId="7A7CDFB1" w:rsidR="00E5265C" w:rsidRPr="00E5265C" w:rsidRDefault="00E5265C" w:rsidP="00E5265C">
      <w:pPr>
        <w:pStyle w:val="EndNoteBibliography"/>
        <w:spacing w:after="0"/>
        <w:ind w:left="720" w:hanging="720"/>
        <w:rPr>
          <w:noProof/>
        </w:rPr>
      </w:pPr>
      <w:r w:rsidRPr="00E5265C">
        <w:rPr>
          <w:noProof/>
        </w:rPr>
        <w:t xml:space="preserve">[240] Agenzia Italiana del Farmaco (AIFA). (2020). Zytiga Pre-chemo Closing Registry Analysis. Government of Italy, Agenzia Italiana del Farmaco (AIFA). Retrieved 16 August 2023, from: </w:t>
      </w:r>
      <w:hyperlink r:id="rId147" w:history="1">
        <w:r w:rsidRPr="00E5265C">
          <w:rPr>
            <w:rStyle w:val="Hyperlink"/>
            <w:noProof/>
          </w:rPr>
          <w:t>https://www.aifa.gov.it/documents/20142/1145839/AIFA_Report_Zytiga_prechemio_11.05.2020.pdf/2824be4d-3bb9-03e8-4274-af8865c07759</w:t>
        </w:r>
      </w:hyperlink>
      <w:r w:rsidRPr="00E5265C">
        <w:rPr>
          <w:noProof/>
        </w:rPr>
        <w:t xml:space="preserve"> </w:t>
      </w:r>
    </w:p>
    <w:p w14:paraId="30697CEA" w14:textId="6C8F8EEE" w:rsidR="00E5265C" w:rsidRPr="00E5265C" w:rsidRDefault="00E5265C" w:rsidP="00E5265C">
      <w:pPr>
        <w:pStyle w:val="EndNoteBibliography"/>
        <w:spacing w:after="0"/>
        <w:ind w:left="720" w:hanging="720"/>
        <w:rPr>
          <w:noProof/>
        </w:rPr>
      </w:pPr>
      <w:r w:rsidRPr="00E5265C">
        <w:rPr>
          <w:noProof/>
        </w:rPr>
        <w:t xml:space="preserve">[241] Agenzia Italiana del Farmaco (AIFA). (2020). Zytiga during &amp; post-chemo Closing Registry Analysis. Government of Italy, Agenzia Italiana del Farmaco (AIFA). Retrieved 16 August 2023, from: </w:t>
      </w:r>
      <w:hyperlink r:id="rId148" w:history="1">
        <w:r w:rsidRPr="00E5265C">
          <w:rPr>
            <w:rStyle w:val="Hyperlink"/>
            <w:noProof/>
          </w:rPr>
          <w:t>https://www.aifa.gov.it/documents/20142/1145839/AIFA_Report_Zytiga_I_15.04.2020.pdf/32eb3ac7-a5ed-731f-4497-305b75fea604</w:t>
        </w:r>
      </w:hyperlink>
      <w:r w:rsidRPr="00E5265C">
        <w:rPr>
          <w:noProof/>
        </w:rPr>
        <w:t>.</w:t>
      </w:r>
    </w:p>
    <w:p w14:paraId="053D38B4" w14:textId="5A11DE8F" w:rsidR="00E5265C" w:rsidRPr="00E5265C" w:rsidRDefault="00E5265C" w:rsidP="00E5265C">
      <w:pPr>
        <w:pStyle w:val="EndNoteBibliography"/>
        <w:spacing w:after="0"/>
        <w:ind w:left="720" w:hanging="720"/>
        <w:rPr>
          <w:noProof/>
        </w:rPr>
      </w:pPr>
      <w:r w:rsidRPr="00E5265C">
        <w:rPr>
          <w:noProof/>
        </w:rPr>
        <w:t xml:space="preserve">[242] Agenzia Italiana del Farmaco (AIFA). (2020). Xtandi post-docetaxel Closing Registry Analysis. Government of Italy, Agenzia Italiana del Farmaco (AIFA). Retrieved 16 August 2023, from: </w:t>
      </w:r>
      <w:hyperlink r:id="rId149" w:history="1">
        <w:r w:rsidRPr="00E5265C">
          <w:rPr>
            <w:rStyle w:val="Hyperlink"/>
            <w:noProof/>
          </w:rPr>
          <w:t>https://www.aifa.gov.it/documents/20142/1145839/AIFA_Report_Base_Xtandi_post-docetaxel_10.07.2020.pdf/a0701a01-eb71-4192-da84-1679c9464d05</w:t>
        </w:r>
      </w:hyperlink>
      <w:r w:rsidRPr="00E5265C">
        <w:rPr>
          <w:noProof/>
        </w:rPr>
        <w:t>.</w:t>
      </w:r>
    </w:p>
    <w:p w14:paraId="4ED116A1" w14:textId="77777777" w:rsidR="00E5265C" w:rsidRPr="00E5265C" w:rsidRDefault="00E5265C" w:rsidP="00E5265C">
      <w:pPr>
        <w:pStyle w:val="EndNoteBibliography"/>
        <w:spacing w:after="0"/>
        <w:ind w:left="720" w:hanging="720"/>
        <w:rPr>
          <w:noProof/>
        </w:rPr>
      </w:pPr>
      <w:r w:rsidRPr="00E5265C">
        <w:rPr>
          <w:noProof/>
        </w:rPr>
        <w:t xml:space="preserve">[243] Breccia, M., Olimpieri, P. P., Olimpieri, O., Pane, F., Iurlo, A., Foggi, P., Cirilli, A., et al. (2020). How many chronic myeloid leukemia patients who started a frontline second-generation tyrosine kinase inhibitor have to switch to a second-line treatment? A retrospective analysis from the monitoring registries of the italian medicines agency (AIFA). </w:t>
      </w:r>
      <w:r w:rsidRPr="00E5265C">
        <w:rPr>
          <w:i/>
          <w:noProof/>
        </w:rPr>
        <w:t>Cancer Med, 9</w:t>
      </w:r>
      <w:r w:rsidRPr="00E5265C">
        <w:rPr>
          <w:noProof/>
        </w:rPr>
        <w:t>(12), 4160-4165.</w:t>
      </w:r>
    </w:p>
    <w:p w14:paraId="60BDA7EF" w14:textId="77777777" w:rsidR="00E5265C" w:rsidRPr="00E5265C" w:rsidRDefault="00E5265C" w:rsidP="00E5265C">
      <w:pPr>
        <w:pStyle w:val="EndNoteBibliography"/>
        <w:spacing w:after="0"/>
        <w:ind w:left="720" w:hanging="720"/>
        <w:rPr>
          <w:noProof/>
        </w:rPr>
      </w:pPr>
      <w:r w:rsidRPr="00E5265C">
        <w:rPr>
          <w:noProof/>
        </w:rPr>
        <w:t xml:space="preserve">[244] Kanavos, P., Ferrario, A., Tafuri, G. &amp; Siviero, P. (2017). Managing Risk and Uncertainty in Health Technology Introduction: The Role of Managed Entry Agreements. </w:t>
      </w:r>
      <w:r w:rsidRPr="00E5265C">
        <w:rPr>
          <w:i/>
          <w:noProof/>
        </w:rPr>
        <w:t>Global Policy, 8</w:t>
      </w:r>
      <w:r w:rsidRPr="00E5265C">
        <w:rPr>
          <w:noProof/>
        </w:rPr>
        <w:t>(S2), 84-92.</w:t>
      </w:r>
    </w:p>
    <w:p w14:paraId="3FD98DDA" w14:textId="77777777" w:rsidR="00E5265C" w:rsidRPr="00E5265C" w:rsidRDefault="00E5265C" w:rsidP="00E5265C">
      <w:pPr>
        <w:pStyle w:val="EndNoteBibliography"/>
        <w:spacing w:after="0"/>
        <w:ind w:left="720" w:hanging="720"/>
        <w:rPr>
          <w:noProof/>
        </w:rPr>
      </w:pPr>
      <w:r w:rsidRPr="00E5265C">
        <w:rPr>
          <w:noProof/>
        </w:rPr>
        <w:t xml:space="preserve">[245] Pouwels, X. G. L. V., Grutters, J. P. C., Bindels, J., Ramaekers, B. L. T. &amp; Joore, M. A. (2019). Uncertainty and Coverage With Evidence Development: Does Practice Meet Theory? </w:t>
      </w:r>
      <w:r w:rsidRPr="00E5265C">
        <w:rPr>
          <w:i/>
          <w:noProof/>
        </w:rPr>
        <w:t>Value in Health, 22</w:t>
      </w:r>
      <w:r w:rsidRPr="00E5265C">
        <w:rPr>
          <w:noProof/>
        </w:rPr>
        <w:t>(7), 799-807.</w:t>
      </w:r>
    </w:p>
    <w:p w14:paraId="4A487865" w14:textId="77777777" w:rsidR="00E5265C" w:rsidRPr="00E5265C" w:rsidRDefault="00E5265C" w:rsidP="00E5265C">
      <w:pPr>
        <w:pStyle w:val="EndNoteBibliography"/>
        <w:spacing w:after="0"/>
        <w:ind w:left="720" w:hanging="720"/>
        <w:rPr>
          <w:noProof/>
        </w:rPr>
      </w:pPr>
      <w:r w:rsidRPr="00E5265C">
        <w:rPr>
          <w:noProof/>
        </w:rPr>
        <w:t>[246] Sia, K.-L., Picton, L., Chen, E., Yong, K., Petrie, D., Ghijben, P., Geethadevi, G., et al. (2023). A review of cancer related surrogate outcomes used for PBAC decision making. Canberra: Australian Government Department of Health and Aged Care.</w:t>
      </w:r>
    </w:p>
    <w:p w14:paraId="531ECDDE" w14:textId="77777777" w:rsidR="00E5265C" w:rsidRPr="00E5265C" w:rsidRDefault="00E5265C" w:rsidP="00E5265C">
      <w:pPr>
        <w:pStyle w:val="EndNoteBibliography"/>
        <w:spacing w:after="0"/>
        <w:ind w:left="720" w:hanging="720"/>
        <w:rPr>
          <w:noProof/>
        </w:rPr>
      </w:pPr>
      <w:r w:rsidRPr="00E5265C">
        <w:rPr>
          <w:noProof/>
        </w:rPr>
        <w:t>[247] Pharmaceutical Benefits Advisory Committee (PBAC). (2023). Ratified Minutes - July 2023 PBAC Meeting. A Review of caner related surrogate outcomes used for PBAC decision making. Canberra: Australian Government, Department of Health and Aged Care, Pharmaceutical Benefits Advisory Committee (PBAC).</w:t>
      </w:r>
    </w:p>
    <w:p w14:paraId="4954CBA1" w14:textId="77777777" w:rsidR="00E5265C" w:rsidRPr="00E5265C" w:rsidRDefault="00E5265C" w:rsidP="00E5265C">
      <w:pPr>
        <w:pStyle w:val="EndNoteBibliography"/>
        <w:spacing w:after="0"/>
        <w:ind w:left="720" w:hanging="720"/>
        <w:rPr>
          <w:noProof/>
        </w:rPr>
      </w:pPr>
      <w:r w:rsidRPr="00E5265C">
        <w:rPr>
          <w:noProof/>
        </w:rPr>
        <w:t xml:space="preserve">[248] Lu, C. Y. (2014). Uncertainties in real-world decisions on medical technologies. </w:t>
      </w:r>
      <w:r w:rsidRPr="00E5265C">
        <w:rPr>
          <w:i/>
          <w:noProof/>
        </w:rPr>
        <w:t>Int J Clin Pract, 68</w:t>
      </w:r>
      <w:r w:rsidRPr="00E5265C">
        <w:rPr>
          <w:noProof/>
        </w:rPr>
        <w:t>(8), 936-940.</w:t>
      </w:r>
    </w:p>
    <w:p w14:paraId="3FA85BEE" w14:textId="77777777" w:rsidR="00E5265C" w:rsidRPr="00E5265C" w:rsidRDefault="00E5265C" w:rsidP="00E5265C">
      <w:pPr>
        <w:pStyle w:val="EndNoteBibliography"/>
        <w:spacing w:after="0"/>
        <w:ind w:left="720" w:hanging="720"/>
        <w:rPr>
          <w:noProof/>
        </w:rPr>
      </w:pPr>
      <w:r w:rsidRPr="00E5265C">
        <w:rPr>
          <w:noProof/>
        </w:rPr>
        <w:t xml:space="preserve">[249] Morel, T., Arickx, F., Befrits, G., Siviero, P., van der Meijden, C., Xoxi, E. &amp; Simoens, S. (2013). Reconciling uncertainty of costs and outcomes with the need for access to orphan medicinal products: a comparative study of managed entry agreements across seven European countries. </w:t>
      </w:r>
      <w:r w:rsidRPr="00E5265C">
        <w:rPr>
          <w:i/>
          <w:noProof/>
        </w:rPr>
        <w:t>Orphanet J Rare Dis, 8</w:t>
      </w:r>
      <w:r w:rsidRPr="00E5265C">
        <w:rPr>
          <w:noProof/>
        </w:rPr>
        <w:t>, 198.</w:t>
      </w:r>
    </w:p>
    <w:p w14:paraId="1D70C8BF" w14:textId="77777777" w:rsidR="00E5265C" w:rsidRPr="00E5265C" w:rsidRDefault="00E5265C" w:rsidP="00E5265C">
      <w:pPr>
        <w:pStyle w:val="EndNoteBibliography"/>
        <w:spacing w:after="0"/>
        <w:ind w:left="720" w:hanging="720"/>
        <w:rPr>
          <w:noProof/>
        </w:rPr>
      </w:pPr>
      <w:r w:rsidRPr="00E5265C">
        <w:rPr>
          <w:noProof/>
        </w:rPr>
        <w:t xml:space="preserve">[250] Tarantola, A., Otto, M. H., Armeni, P., Costa, F., Malandrini, F. &amp; Jommi, C. (2023). Early access programs for medicines: comparative analysis among France, Italy, Spain, and UK and focus on the Italian case. </w:t>
      </w:r>
      <w:r w:rsidRPr="00E5265C">
        <w:rPr>
          <w:i/>
          <w:noProof/>
        </w:rPr>
        <w:t>J Pharm Policy Pract, 16</w:t>
      </w:r>
      <w:r w:rsidRPr="00E5265C">
        <w:rPr>
          <w:noProof/>
        </w:rPr>
        <w:t>.</w:t>
      </w:r>
    </w:p>
    <w:p w14:paraId="58B19175" w14:textId="77777777" w:rsidR="00E5265C" w:rsidRPr="00E5265C" w:rsidRDefault="00E5265C" w:rsidP="00E5265C">
      <w:pPr>
        <w:pStyle w:val="EndNoteBibliography"/>
        <w:spacing w:after="0"/>
        <w:ind w:left="720" w:hanging="720"/>
        <w:rPr>
          <w:noProof/>
        </w:rPr>
      </w:pPr>
      <w:r w:rsidRPr="00E5265C">
        <w:rPr>
          <w:noProof/>
        </w:rPr>
        <w:t xml:space="preserve">[251] Neyt, M., Gerkens, S., San Miguel, L., Vinck, I., Thiry, N. &amp; Cleemput, I. (2020). An evaluation of managed entry agreements in Belgium: A system with threats and (high) potential if properly applied. </w:t>
      </w:r>
      <w:r w:rsidRPr="00E5265C">
        <w:rPr>
          <w:i/>
          <w:noProof/>
        </w:rPr>
        <w:t>Health Policy, 124</w:t>
      </w:r>
      <w:r w:rsidRPr="00E5265C">
        <w:rPr>
          <w:noProof/>
        </w:rPr>
        <w:t>(9), 959-964.</w:t>
      </w:r>
    </w:p>
    <w:p w14:paraId="6392E83B" w14:textId="77777777" w:rsidR="00E5265C" w:rsidRPr="00E5265C" w:rsidRDefault="00E5265C" w:rsidP="00E5265C">
      <w:pPr>
        <w:pStyle w:val="EndNoteBibliography"/>
        <w:spacing w:after="0"/>
        <w:ind w:left="720" w:hanging="720"/>
        <w:rPr>
          <w:noProof/>
        </w:rPr>
      </w:pPr>
      <w:r w:rsidRPr="00E5265C">
        <w:rPr>
          <w:noProof/>
        </w:rPr>
        <w:t xml:space="preserve">[252] Simoens, S., Abdallah, K., Barbier, L., Lacosta, T. B., Blonda, A., Car, E., Claessens, Z., et al. (2022). How to balance valuable innovation with affordable access to medicines in Belgium? </w:t>
      </w:r>
      <w:r w:rsidRPr="00E5265C">
        <w:rPr>
          <w:i/>
          <w:noProof/>
        </w:rPr>
        <w:t>Front Pharmacol, 13</w:t>
      </w:r>
      <w:r w:rsidRPr="00E5265C">
        <w:rPr>
          <w:noProof/>
        </w:rPr>
        <w:t>.</w:t>
      </w:r>
    </w:p>
    <w:p w14:paraId="4EA95222" w14:textId="77777777" w:rsidR="00E5265C" w:rsidRPr="00E5265C" w:rsidRDefault="00E5265C" w:rsidP="00E5265C">
      <w:pPr>
        <w:pStyle w:val="EndNoteBibliography"/>
        <w:spacing w:after="0"/>
        <w:ind w:left="720" w:hanging="720"/>
        <w:rPr>
          <w:noProof/>
        </w:rPr>
      </w:pPr>
      <w:r w:rsidRPr="00E5265C">
        <w:rPr>
          <w:noProof/>
        </w:rPr>
        <w:t xml:space="preserve">[253] Willis, M., Persson, U., Zoellner, Y. &amp; Gradl, B. (2010). Reducing uncertainty in value-based pricing using evidence development agreements: the case of continuous intraduodenal infusion of levodopa/carbidopa (Duodopa(R)) in Sweden. </w:t>
      </w:r>
      <w:r w:rsidRPr="00E5265C">
        <w:rPr>
          <w:i/>
          <w:noProof/>
        </w:rPr>
        <w:t>Appl Health Econ Health Policy, 8</w:t>
      </w:r>
      <w:r w:rsidRPr="00E5265C">
        <w:rPr>
          <w:noProof/>
        </w:rPr>
        <w:t>(6), 377-386.</w:t>
      </w:r>
    </w:p>
    <w:p w14:paraId="135B5ABC" w14:textId="77777777" w:rsidR="00E5265C" w:rsidRPr="00E5265C" w:rsidRDefault="00E5265C" w:rsidP="00E5265C">
      <w:pPr>
        <w:pStyle w:val="EndNoteBibliography"/>
        <w:spacing w:after="0"/>
        <w:ind w:left="720" w:hanging="720"/>
        <w:rPr>
          <w:noProof/>
        </w:rPr>
      </w:pPr>
      <w:r w:rsidRPr="00E5265C">
        <w:rPr>
          <w:noProof/>
        </w:rPr>
        <w:t xml:space="preserve">[254] Nicod, E., Berg Brigham, K., Durand-Zaleski, I. &amp; Kanavos, P. (2017). Dealing with Uncertainty and Accounting for Social Value Judgments in Assessments of Orphan Drugs: Evidence from Four European Countries. </w:t>
      </w:r>
      <w:r w:rsidRPr="00E5265C">
        <w:rPr>
          <w:i/>
          <w:noProof/>
        </w:rPr>
        <w:t>Value in health : the journal of the International Society for Pharmacoeconomics and Outcomes Research, 20</w:t>
      </w:r>
      <w:r w:rsidRPr="00E5265C">
        <w:rPr>
          <w:noProof/>
        </w:rPr>
        <w:t>(7), 919-926.</w:t>
      </w:r>
    </w:p>
    <w:p w14:paraId="79DE5928" w14:textId="77777777" w:rsidR="00E5265C" w:rsidRPr="00E5265C" w:rsidRDefault="00E5265C" w:rsidP="00E5265C">
      <w:pPr>
        <w:pStyle w:val="EndNoteBibliography"/>
        <w:spacing w:after="0"/>
        <w:ind w:left="720" w:hanging="720"/>
        <w:rPr>
          <w:noProof/>
        </w:rPr>
      </w:pPr>
      <w:r w:rsidRPr="00E5265C">
        <w:rPr>
          <w:noProof/>
        </w:rPr>
        <w:t xml:space="preserve">[255] van de Wetering, E. J., van Exel, J. &amp; Brouwer, W. B. (2017). The Challenge of Conditional Reimbursement: Stopping Reimbursement Can Be More Difficult Than Not Starting in the First Place! </w:t>
      </w:r>
      <w:r w:rsidRPr="00E5265C">
        <w:rPr>
          <w:i/>
          <w:noProof/>
        </w:rPr>
        <w:t>Value Health, 20</w:t>
      </w:r>
      <w:r w:rsidRPr="00E5265C">
        <w:rPr>
          <w:noProof/>
        </w:rPr>
        <w:t>(1), 118-125.</w:t>
      </w:r>
    </w:p>
    <w:p w14:paraId="5268737C" w14:textId="77777777" w:rsidR="00E5265C" w:rsidRPr="00E5265C" w:rsidRDefault="00E5265C" w:rsidP="00E5265C">
      <w:pPr>
        <w:pStyle w:val="EndNoteBibliography"/>
        <w:spacing w:after="0"/>
        <w:ind w:left="720" w:hanging="720"/>
        <w:rPr>
          <w:noProof/>
        </w:rPr>
      </w:pPr>
      <w:r w:rsidRPr="00E5265C">
        <w:rPr>
          <w:noProof/>
        </w:rPr>
        <w:t xml:space="preserve">[256] Makady, A., van Acker, S., Nijmeijer, H., de Boer, A., Hillege, H., Klungel, O. &amp; Goettsch, W. (2019). Conditional Financing of Drugs in the Netherlands: Past, Present, and Future-Results From Stakeholder Interviews. </w:t>
      </w:r>
      <w:r w:rsidRPr="00E5265C">
        <w:rPr>
          <w:i/>
          <w:noProof/>
        </w:rPr>
        <w:t>Value Health, 22</w:t>
      </w:r>
      <w:r w:rsidRPr="00E5265C">
        <w:rPr>
          <w:noProof/>
        </w:rPr>
        <w:t>(4), 399-407.</w:t>
      </w:r>
    </w:p>
    <w:p w14:paraId="41A2AB6D" w14:textId="77777777" w:rsidR="00E5265C" w:rsidRPr="00E5265C" w:rsidRDefault="00E5265C" w:rsidP="00E5265C">
      <w:pPr>
        <w:pStyle w:val="EndNoteBibliography"/>
        <w:spacing w:after="0"/>
        <w:ind w:left="720" w:hanging="720"/>
        <w:rPr>
          <w:noProof/>
        </w:rPr>
      </w:pPr>
      <w:r w:rsidRPr="00E5265C">
        <w:rPr>
          <w:noProof/>
        </w:rPr>
        <w:t xml:space="preserve">[257] Makady, A., van Veelen, A., de Boer, A., Hillege, H., Klungel, O. H. &amp; Goettsch, W. (2019). Implementing managed entry agreements in practice: The Dutch reality check. </w:t>
      </w:r>
      <w:r w:rsidRPr="00E5265C">
        <w:rPr>
          <w:i/>
          <w:noProof/>
        </w:rPr>
        <w:t>Health Policy, 123</w:t>
      </w:r>
      <w:r w:rsidRPr="00E5265C">
        <w:rPr>
          <w:noProof/>
        </w:rPr>
        <w:t>(3), 267-274.</w:t>
      </w:r>
    </w:p>
    <w:p w14:paraId="69FDFCBE" w14:textId="77777777" w:rsidR="00E5265C" w:rsidRPr="00E5265C" w:rsidRDefault="00E5265C" w:rsidP="00E5265C">
      <w:pPr>
        <w:pStyle w:val="EndNoteBibliography"/>
        <w:spacing w:after="0"/>
        <w:ind w:left="720" w:hanging="720"/>
        <w:rPr>
          <w:noProof/>
        </w:rPr>
      </w:pPr>
      <w:r w:rsidRPr="00E5265C">
        <w:rPr>
          <w:noProof/>
        </w:rPr>
        <w:t xml:space="preserve">[258] Dabbous, M., Chachoua, L., Caban, A. &amp; Toumi, M. (2020). Managed Entry Agreements: Policy Analysis From the European Perspective. </w:t>
      </w:r>
      <w:r w:rsidRPr="00E5265C">
        <w:rPr>
          <w:i/>
          <w:noProof/>
        </w:rPr>
        <w:t>Value Health, 23</w:t>
      </w:r>
      <w:r w:rsidRPr="00E5265C">
        <w:rPr>
          <w:noProof/>
        </w:rPr>
        <w:t>(4), 425-433.</w:t>
      </w:r>
    </w:p>
    <w:p w14:paraId="5B634F7D" w14:textId="77777777" w:rsidR="00E5265C" w:rsidRPr="00E5265C" w:rsidRDefault="00E5265C" w:rsidP="00E5265C">
      <w:pPr>
        <w:pStyle w:val="EndNoteBibliography"/>
        <w:spacing w:after="0"/>
        <w:ind w:left="720" w:hanging="720"/>
        <w:rPr>
          <w:noProof/>
        </w:rPr>
      </w:pPr>
      <w:r w:rsidRPr="00E5265C">
        <w:rPr>
          <w:noProof/>
        </w:rPr>
        <w:t>[259] NHCI. (2020). Conditional listing pathways (Netherlands), consultation document June 2023.</w:t>
      </w:r>
    </w:p>
    <w:p w14:paraId="28243C93" w14:textId="77777777" w:rsidR="00E5265C" w:rsidRPr="00E5265C" w:rsidRDefault="00E5265C" w:rsidP="00E5265C">
      <w:pPr>
        <w:pStyle w:val="EndNoteBibliography"/>
        <w:spacing w:after="0"/>
        <w:ind w:left="720" w:hanging="720"/>
        <w:rPr>
          <w:noProof/>
        </w:rPr>
      </w:pPr>
      <w:r w:rsidRPr="00E5265C">
        <w:rPr>
          <w:noProof/>
        </w:rPr>
        <w:t xml:space="preserve">[260] Russo, P., Carletto, A., Nemeth, G. &amp; Habl, C. (2021). Medicine price transparency and confidential managed-entry agreements in Europe: findings from the EURIPID survey. </w:t>
      </w:r>
      <w:r w:rsidRPr="00E5265C">
        <w:rPr>
          <w:i/>
          <w:noProof/>
        </w:rPr>
        <w:t>Health Policy, 125</w:t>
      </w:r>
      <w:r w:rsidRPr="00E5265C">
        <w:rPr>
          <w:noProof/>
        </w:rPr>
        <w:t>(9), 1140-1145.</w:t>
      </w:r>
    </w:p>
    <w:p w14:paraId="62D16EB0" w14:textId="77777777" w:rsidR="00E5265C" w:rsidRPr="00E5265C" w:rsidRDefault="00E5265C" w:rsidP="00E5265C">
      <w:pPr>
        <w:pStyle w:val="EndNoteBibliography"/>
        <w:spacing w:after="0"/>
        <w:ind w:left="720" w:hanging="720"/>
        <w:rPr>
          <w:noProof/>
        </w:rPr>
      </w:pPr>
      <w:r w:rsidRPr="00E5265C">
        <w:rPr>
          <w:noProof/>
        </w:rPr>
        <w:t xml:space="preserve">[261] Stafinski, T., Glennie, J., Young, A. &amp; Menon, D. (2022). HTA decision-making for drugs for rare diseases: comparison of processes across countries. </w:t>
      </w:r>
      <w:r w:rsidRPr="00E5265C">
        <w:rPr>
          <w:i/>
          <w:noProof/>
        </w:rPr>
        <w:t>Orphanet J Rare Dis, 17</w:t>
      </w:r>
      <w:r w:rsidRPr="00E5265C">
        <w:rPr>
          <w:noProof/>
        </w:rPr>
        <w:t>.</w:t>
      </w:r>
    </w:p>
    <w:p w14:paraId="1426DCCB" w14:textId="77777777" w:rsidR="00E5265C" w:rsidRPr="00E5265C" w:rsidRDefault="00E5265C" w:rsidP="00E5265C">
      <w:pPr>
        <w:pStyle w:val="EndNoteBibliography"/>
        <w:spacing w:after="0"/>
        <w:ind w:left="720" w:hanging="720"/>
        <w:rPr>
          <w:noProof/>
        </w:rPr>
      </w:pPr>
      <w:r w:rsidRPr="00E5265C">
        <w:rPr>
          <w:noProof/>
        </w:rPr>
        <w:t xml:space="preserve">[262] Vella Bonanno, P., Ermisch, M., Godman, B., Martin, A. P., Van Den Bergh, J., Bezmelnitsyna, L., Bucsics, A., et al. (2017). Adaptive Pathways: Possible Next Steps for Payers in Preparation for Their Potential Implementation. </w:t>
      </w:r>
      <w:r w:rsidRPr="00E5265C">
        <w:rPr>
          <w:i/>
          <w:noProof/>
        </w:rPr>
        <w:t>Front Pharmacol, 8</w:t>
      </w:r>
      <w:r w:rsidRPr="00E5265C">
        <w:rPr>
          <w:noProof/>
        </w:rPr>
        <w:t>, 497.</w:t>
      </w:r>
    </w:p>
    <w:p w14:paraId="5E9E64DB" w14:textId="140F7BEF" w:rsidR="00E5265C" w:rsidRPr="00E5265C" w:rsidRDefault="00E5265C" w:rsidP="00E5265C">
      <w:pPr>
        <w:pStyle w:val="EndNoteBibliography"/>
        <w:spacing w:after="0"/>
        <w:ind w:left="720" w:hanging="720"/>
        <w:rPr>
          <w:noProof/>
        </w:rPr>
      </w:pPr>
      <w:r w:rsidRPr="00E5265C">
        <w:rPr>
          <w:noProof/>
        </w:rPr>
        <w:t xml:space="preserve">[263] Department of Health and Aged Care. (2023). Preparation Of Additional Access Arrangements. Canberra: Australian Government, Department of Health and Aged Care. Retrieved 16 July 2023, from: </w:t>
      </w:r>
      <w:hyperlink r:id="rId150" w:history="1">
        <w:r w:rsidRPr="00E5265C">
          <w:rPr>
            <w:rStyle w:val="Hyperlink"/>
            <w:noProof/>
          </w:rPr>
          <w:t>https://www.pbs.gov.au/pbs/industry/listing/procedure-guidance/8-procedures-positive-recommendation-list/8-7-preparation-of-additional-access-arrangements</w:t>
        </w:r>
      </w:hyperlink>
      <w:r w:rsidRPr="00E5265C">
        <w:rPr>
          <w:noProof/>
        </w:rPr>
        <w:t>.</w:t>
      </w:r>
    </w:p>
    <w:p w14:paraId="7F299517" w14:textId="77777777" w:rsidR="00E5265C" w:rsidRPr="00E5265C" w:rsidRDefault="00E5265C" w:rsidP="00E5265C">
      <w:pPr>
        <w:pStyle w:val="EndNoteBibliography"/>
        <w:spacing w:after="0"/>
        <w:ind w:left="720" w:hanging="720"/>
        <w:rPr>
          <w:noProof/>
        </w:rPr>
      </w:pPr>
      <w:r w:rsidRPr="00E5265C">
        <w:rPr>
          <w:noProof/>
        </w:rPr>
        <w:t xml:space="preserve">[264] Chabot, I. &amp; Rocchi, A. (2014). Oncology drug health technology assessment recommendations: Canadian versus UK experiences. </w:t>
      </w:r>
      <w:r w:rsidRPr="00E5265C">
        <w:rPr>
          <w:i/>
          <w:noProof/>
        </w:rPr>
        <w:t>Clinicoecon Outcomes Res, 6</w:t>
      </w:r>
      <w:r w:rsidRPr="00E5265C">
        <w:rPr>
          <w:noProof/>
        </w:rPr>
        <w:t>, 357-367.</w:t>
      </w:r>
    </w:p>
    <w:p w14:paraId="02034DD0" w14:textId="77777777" w:rsidR="00E5265C" w:rsidRPr="00E5265C" w:rsidRDefault="00E5265C" w:rsidP="00E5265C">
      <w:pPr>
        <w:pStyle w:val="EndNoteBibliography"/>
        <w:spacing w:after="0"/>
        <w:ind w:left="720" w:hanging="720"/>
        <w:rPr>
          <w:noProof/>
        </w:rPr>
      </w:pPr>
      <w:r w:rsidRPr="00E5265C">
        <w:rPr>
          <w:noProof/>
        </w:rPr>
        <w:t>[265] NHS England. (2016). Appraisal and Funding of Cancer Drugs from July 2016 (including the new Cancer Drugs Fund) - A new deal for patients, taxpayers and industry. London: NHS England.</w:t>
      </w:r>
    </w:p>
    <w:p w14:paraId="2CA7D568" w14:textId="7D1B3CCF" w:rsidR="00E5265C" w:rsidRPr="00E5265C" w:rsidRDefault="00E5265C" w:rsidP="00E5265C">
      <w:pPr>
        <w:pStyle w:val="EndNoteBibliography"/>
        <w:spacing w:after="0"/>
        <w:ind w:left="720" w:hanging="720"/>
        <w:rPr>
          <w:noProof/>
        </w:rPr>
      </w:pPr>
      <w:r w:rsidRPr="00E5265C">
        <w:rPr>
          <w:noProof/>
        </w:rPr>
        <w:t xml:space="preserve">[266] NHS England. (2022). NHS saves £1.2 billion on medicines over three years. NHS England. Retrieved 23 August 2023, from: </w:t>
      </w:r>
      <w:hyperlink r:id="rId151" w:history="1">
        <w:r w:rsidRPr="00E5265C">
          <w:rPr>
            <w:rStyle w:val="Hyperlink"/>
            <w:noProof/>
          </w:rPr>
          <w:t>https://www.england.nhs.uk/2022/07/nhs-saves-1-2-billion-on-medicines-over-three-years/</w:t>
        </w:r>
      </w:hyperlink>
      <w:r w:rsidRPr="00E5265C">
        <w:rPr>
          <w:noProof/>
        </w:rPr>
        <w:t>.</w:t>
      </w:r>
    </w:p>
    <w:p w14:paraId="0E7EC682" w14:textId="77777777" w:rsidR="00E5265C" w:rsidRPr="00E5265C" w:rsidRDefault="00E5265C" w:rsidP="00E5265C">
      <w:pPr>
        <w:pStyle w:val="EndNoteBibliography"/>
        <w:spacing w:after="0"/>
        <w:ind w:left="720" w:hanging="720"/>
        <w:rPr>
          <w:noProof/>
        </w:rPr>
      </w:pPr>
      <w:r w:rsidRPr="00E5265C">
        <w:rPr>
          <w:noProof/>
        </w:rPr>
        <w:t>[267] Medicines and Healthcare Products Regulatory Agency. (2021). Innovative Licensing and Access Pathway: UK Govt.</w:t>
      </w:r>
    </w:p>
    <w:p w14:paraId="51B18CCC" w14:textId="77777777" w:rsidR="00E5265C" w:rsidRPr="00E5265C" w:rsidRDefault="00E5265C" w:rsidP="00E5265C">
      <w:pPr>
        <w:pStyle w:val="EndNoteBibliography"/>
        <w:spacing w:after="0"/>
        <w:ind w:left="720" w:hanging="720"/>
        <w:rPr>
          <w:noProof/>
        </w:rPr>
      </w:pPr>
      <w:r w:rsidRPr="00E5265C">
        <w:rPr>
          <w:noProof/>
        </w:rPr>
        <w:t xml:space="preserve">[268] Barlow, E., Morton, A., Megiddo, I. &amp; Colson, A. (2022). Optimal subscription models to pay for antibiotics. </w:t>
      </w:r>
      <w:r w:rsidRPr="00E5265C">
        <w:rPr>
          <w:i/>
          <w:noProof/>
        </w:rPr>
        <w:t>Social Science &amp; Medicine, 298</w:t>
      </w:r>
      <w:r w:rsidRPr="00E5265C">
        <w:rPr>
          <w:noProof/>
        </w:rPr>
        <w:t>, 114818.</w:t>
      </w:r>
    </w:p>
    <w:p w14:paraId="1BB56342" w14:textId="77777777" w:rsidR="00E5265C" w:rsidRPr="00E5265C" w:rsidRDefault="00E5265C" w:rsidP="00E5265C">
      <w:pPr>
        <w:pStyle w:val="EndNoteBibliography"/>
        <w:spacing w:after="0"/>
        <w:ind w:left="720" w:hanging="720"/>
        <w:rPr>
          <w:noProof/>
        </w:rPr>
      </w:pPr>
      <w:r w:rsidRPr="00E5265C">
        <w:rPr>
          <w:noProof/>
        </w:rPr>
        <w:t xml:space="preserve">[269] Fortinguerra, F., Tafuri, G., Trotta, F. &amp; Addis, A. (2020). Using GRADE methodology to assess innovation of new medicinal products in Italy. </w:t>
      </w:r>
      <w:r w:rsidRPr="00E5265C">
        <w:rPr>
          <w:i/>
          <w:noProof/>
        </w:rPr>
        <w:t>Br J Clin Pharmacol, 86</w:t>
      </w:r>
      <w:r w:rsidRPr="00E5265C">
        <w:rPr>
          <w:noProof/>
        </w:rPr>
        <w:t>(1), 93-105.</w:t>
      </w:r>
    </w:p>
    <w:p w14:paraId="00562727" w14:textId="77777777" w:rsidR="00E5265C" w:rsidRPr="00E5265C" w:rsidRDefault="00E5265C" w:rsidP="00E5265C">
      <w:pPr>
        <w:pStyle w:val="EndNoteBibliography"/>
        <w:spacing w:after="0"/>
        <w:ind w:left="720" w:hanging="720"/>
        <w:rPr>
          <w:noProof/>
        </w:rPr>
      </w:pPr>
      <w:r w:rsidRPr="00E5265C">
        <w:rPr>
          <w:noProof/>
        </w:rPr>
        <w:t xml:space="preserve">[270] Balijepalli, C., Gullapalli, L., Druyts, E., Yan, K., Desai, K., Barakat, S. &amp; Locklin, J. (2020). Can Standard Health Technology Assessment Approaches Help Guide the Price of Orphan Drugs in Canada? A Review of Submissions to the Canadian Agency for Drugs and Technologies in Health Common Drug Review. </w:t>
      </w:r>
      <w:r w:rsidRPr="00E5265C">
        <w:rPr>
          <w:i/>
          <w:noProof/>
        </w:rPr>
        <w:t>Clinicoecon Outcomes Res, 12</w:t>
      </w:r>
      <w:r w:rsidRPr="00E5265C">
        <w:rPr>
          <w:noProof/>
        </w:rPr>
        <w:t>, 445-457.</w:t>
      </w:r>
    </w:p>
    <w:p w14:paraId="32E2DAD3" w14:textId="77777777" w:rsidR="00E5265C" w:rsidRPr="00E5265C" w:rsidRDefault="00E5265C" w:rsidP="00E5265C">
      <w:pPr>
        <w:pStyle w:val="EndNoteBibliography"/>
        <w:spacing w:after="0"/>
        <w:ind w:left="720" w:hanging="720"/>
        <w:rPr>
          <w:noProof/>
        </w:rPr>
      </w:pPr>
      <w:r w:rsidRPr="00E5265C">
        <w:rPr>
          <w:noProof/>
        </w:rPr>
        <w:t xml:space="preserve">[271] Rawson NSL. (January 2020). Donna New Patented Medicine Regulations in Canada: Updated Case Study of a Manufacturer’s Decision-Making About a Regulatory Submission for a Rare Disorder Treatment. </w:t>
      </w:r>
      <w:r w:rsidRPr="00E5265C">
        <w:rPr>
          <w:i/>
          <w:noProof/>
        </w:rPr>
        <w:t>Canadian Health Policy</w:t>
      </w:r>
      <w:r w:rsidRPr="00E5265C">
        <w:rPr>
          <w:noProof/>
        </w:rPr>
        <w:t>.</w:t>
      </w:r>
    </w:p>
    <w:p w14:paraId="24FD755D" w14:textId="59D5E74E" w:rsidR="00E5265C" w:rsidRPr="00E5265C" w:rsidRDefault="00E5265C" w:rsidP="00E5265C">
      <w:pPr>
        <w:pStyle w:val="EndNoteBibliography"/>
        <w:spacing w:after="0"/>
        <w:ind w:left="720" w:hanging="720"/>
        <w:rPr>
          <w:noProof/>
        </w:rPr>
      </w:pPr>
      <w:r w:rsidRPr="00E5265C">
        <w:rPr>
          <w:noProof/>
        </w:rPr>
        <w:t xml:space="preserve">[272] TPMPR, B. PMPRB draft guidelines 2020 Available from: </w:t>
      </w:r>
      <w:hyperlink r:id="rId152" w:history="1">
        <w:r w:rsidRPr="00E5265C">
          <w:rPr>
            <w:rStyle w:val="Hyperlink"/>
            <w:noProof/>
          </w:rPr>
          <w:t>https://www.canada.ca/content/dam/pmprb-cepmb/documents/consultations/draft-guidelines/2020/PMPRB-Guidelines2020-en.pdf</w:t>
        </w:r>
      </w:hyperlink>
      <w:r w:rsidRPr="00E5265C">
        <w:rPr>
          <w:noProof/>
        </w:rPr>
        <w:t>. Accessed JJuly 25, 2023.</w:t>
      </w:r>
    </w:p>
    <w:p w14:paraId="5254B44C" w14:textId="77777777" w:rsidR="00E5265C" w:rsidRPr="00E5265C" w:rsidRDefault="00E5265C" w:rsidP="00E5265C">
      <w:pPr>
        <w:pStyle w:val="EndNoteBibliography"/>
        <w:spacing w:after="0"/>
        <w:ind w:left="720" w:hanging="720"/>
        <w:rPr>
          <w:noProof/>
        </w:rPr>
      </w:pPr>
      <w:r w:rsidRPr="00E5265C">
        <w:rPr>
          <w:noProof/>
        </w:rPr>
        <w:t>[273] European Medicines Agency (EMA). (2016). Adaptive Pathways Workshop. London: European Medicines Agency (EMA).</w:t>
      </w:r>
    </w:p>
    <w:p w14:paraId="2F636930" w14:textId="77777777" w:rsidR="00E5265C" w:rsidRPr="00E5265C" w:rsidRDefault="00E5265C" w:rsidP="00E5265C">
      <w:pPr>
        <w:pStyle w:val="EndNoteBibliography"/>
        <w:spacing w:after="0"/>
        <w:ind w:left="720" w:hanging="720"/>
        <w:rPr>
          <w:noProof/>
        </w:rPr>
      </w:pPr>
      <w:r w:rsidRPr="00E5265C">
        <w:rPr>
          <w:noProof/>
        </w:rPr>
        <w:t xml:space="preserve">[274] Leyens, L. &amp; Brand, A. (2016). Early Patient Access to Medicines: Health Technology Assessment Bodies Need to Catch Up with New Marketing Authorization Methods. </w:t>
      </w:r>
      <w:r w:rsidRPr="00E5265C">
        <w:rPr>
          <w:i/>
          <w:noProof/>
        </w:rPr>
        <w:t>Public Health Genomics, 19</w:t>
      </w:r>
      <w:r w:rsidRPr="00E5265C">
        <w:rPr>
          <w:noProof/>
        </w:rPr>
        <w:t>(3), 187-191.</w:t>
      </w:r>
    </w:p>
    <w:p w14:paraId="3CC5F4A4" w14:textId="77777777" w:rsidR="00E5265C" w:rsidRPr="00E5265C" w:rsidRDefault="00E5265C" w:rsidP="00E5265C">
      <w:pPr>
        <w:pStyle w:val="EndNoteBibliography"/>
        <w:spacing w:after="0"/>
        <w:ind w:left="720" w:hanging="720"/>
        <w:rPr>
          <w:noProof/>
        </w:rPr>
      </w:pPr>
      <w:r w:rsidRPr="00E5265C">
        <w:rPr>
          <w:noProof/>
        </w:rPr>
        <w:t xml:space="preserve">[275] Khosla, S., Tepie, M. F., Nagy, M. J., Kafatos, G., Seewald, M., Marchese, S. &amp; Liwing, J. (2021). The Alignment of Real-World Evidence and Digital Health: Realising the Opportunity. </w:t>
      </w:r>
      <w:r w:rsidRPr="00E5265C">
        <w:rPr>
          <w:i/>
          <w:noProof/>
        </w:rPr>
        <w:t>Ther Innov Regul Sci, 55</w:t>
      </w:r>
      <w:r w:rsidRPr="00E5265C">
        <w:rPr>
          <w:noProof/>
        </w:rPr>
        <w:t>(4), 889-898.</w:t>
      </w:r>
    </w:p>
    <w:p w14:paraId="6D013839" w14:textId="77777777" w:rsidR="00E5265C" w:rsidRPr="00E5265C" w:rsidRDefault="00E5265C" w:rsidP="00E5265C">
      <w:pPr>
        <w:pStyle w:val="EndNoteBibliography"/>
        <w:spacing w:after="0"/>
        <w:ind w:left="720" w:hanging="720"/>
        <w:rPr>
          <w:noProof/>
        </w:rPr>
      </w:pPr>
      <w:r w:rsidRPr="00E5265C">
        <w:rPr>
          <w:noProof/>
        </w:rPr>
        <w:t>[276] European Medicines Agency (EMA). (2017). Patient Registry Initiative - Strategy and Mandate of the Cross-Committee Task Force. London: European Medicines Agency (EMA).</w:t>
      </w:r>
    </w:p>
    <w:p w14:paraId="672F0D73" w14:textId="77777777" w:rsidR="00E5265C" w:rsidRPr="00E5265C" w:rsidRDefault="00E5265C" w:rsidP="00E5265C">
      <w:pPr>
        <w:pStyle w:val="EndNoteBibliography"/>
        <w:spacing w:after="0"/>
        <w:ind w:left="720" w:hanging="720"/>
        <w:rPr>
          <w:noProof/>
        </w:rPr>
      </w:pPr>
      <w:r w:rsidRPr="00E5265C">
        <w:rPr>
          <w:noProof/>
        </w:rPr>
        <w:t>[277] International Coalition of Medicines Regulatory Authorities (ICMRA). (2019). Innovation strategic Priority Report. International Coalition of Medicines Regulatory Authorities (ICMRA).</w:t>
      </w:r>
    </w:p>
    <w:p w14:paraId="650CD7C5" w14:textId="77777777" w:rsidR="00E5265C" w:rsidRPr="00E5265C" w:rsidRDefault="00E5265C" w:rsidP="00E5265C">
      <w:pPr>
        <w:pStyle w:val="EndNoteBibliography"/>
        <w:spacing w:after="0"/>
        <w:ind w:left="720" w:hanging="720"/>
        <w:rPr>
          <w:noProof/>
        </w:rPr>
      </w:pPr>
      <w:r w:rsidRPr="00E5265C">
        <w:rPr>
          <w:noProof/>
        </w:rPr>
        <w:t>[278] National Institute for Health and Care Excellence (NICE). (2019). Evidence Standards Framework for Digital Health Technologies.</w:t>
      </w:r>
    </w:p>
    <w:p w14:paraId="61405498" w14:textId="227DC5AC" w:rsidR="00E5265C" w:rsidRPr="00E5265C" w:rsidRDefault="00E5265C" w:rsidP="00E5265C">
      <w:pPr>
        <w:pStyle w:val="EndNoteBibliography"/>
        <w:spacing w:after="0"/>
        <w:ind w:left="720" w:hanging="720"/>
        <w:rPr>
          <w:noProof/>
        </w:rPr>
      </w:pPr>
      <w:r w:rsidRPr="00E5265C">
        <w:rPr>
          <w:noProof/>
        </w:rPr>
        <w:t xml:space="preserve">[279] United States Food and Drug Administration (FDA). (2018). FDA. Digital Health Innovation Action Plan. Washington DC: United States Food and Drug Administration (FDA),. Retrieved 12 July 2023, from: </w:t>
      </w:r>
      <w:hyperlink r:id="rId153" w:history="1">
        <w:r w:rsidRPr="00E5265C">
          <w:rPr>
            <w:rStyle w:val="Hyperlink"/>
            <w:noProof/>
          </w:rPr>
          <w:t>https://www.fda.gov/media/106331/download</w:t>
        </w:r>
      </w:hyperlink>
      <w:r w:rsidRPr="00E5265C">
        <w:rPr>
          <w:noProof/>
        </w:rPr>
        <w:t>.</w:t>
      </w:r>
    </w:p>
    <w:p w14:paraId="4420D22A" w14:textId="7162AB88" w:rsidR="00E5265C" w:rsidRPr="00E5265C" w:rsidRDefault="00E5265C" w:rsidP="00E5265C">
      <w:pPr>
        <w:pStyle w:val="EndNoteBibliography"/>
        <w:spacing w:after="0"/>
        <w:ind w:left="720" w:hanging="720"/>
        <w:rPr>
          <w:noProof/>
        </w:rPr>
      </w:pPr>
      <w:r w:rsidRPr="00E5265C">
        <w:rPr>
          <w:noProof/>
        </w:rPr>
        <w:t xml:space="preserve">[280] European Commission. (2018). Communication on Enabling the Digital Transformation of Health and Care in the Digital Single Market; empowering citizens and building a healthier society. European Commission. Retrieved 12 July 2023, from: </w:t>
      </w:r>
      <w:hyperlink r:id="rId154" w:history="1">
        <w:r w:rsidRPr="00E5265C">
          <w:rPr>
            <w:rStyle w:val="Hyperlink"/>
            <w:noProof/>
          </w:rPr>
          <w:t>https://digital-strategy.ec.europa.eu/en/library/communication-enabling-digital-transformation-health-and-care-digital-single-market-empowering</w:t>
        </w:r>
      </w:hyperlink>
      <w:r w:rsidRPr="00E5265C">
        <w:rPr>
          <w:noProof/>
        </w:rPr>
        <w:t>.</w:t>
      </w:r>
    </w:p>
    <w:p w14:paraId="30BC1376" w14:textId="77777777" w:rsidR="00E5265C" w:rsidRPr="00E5265C" w:rsidRDefault="00E5265C" w:rsidP="00E5265C">
      <w:pPr>
        <w:pStyle w:val="EndNoteBibliography"/>
        <w:spacing w:after="0"/>
        <w:ind w:left="720" w:hanging="720"/>
        <w:rPr>
          <w:noProof/>
        </w:rPr>
      </w:pPr>
      <w:r w:rsidRPr="00E5265C">
        <w:rPr>
          <w:noProof/>
        </w:rPr>
        <w:t>[281] European Medicines Agency (EMA). (2018). EMA. Regulatory Science to 2025 - Strategic Reflection. London.</w:t>
      </w:r>
    </w:p>
    <w:p w14:paraId="1B7B195D" w14:textId="3CD8A81D" w:rsidR="00E5265C" w:rsidRPr="00E5265C" w:rsidRDefault="00E5265C" w:rsidP="00E5265C">
      <w:pPr>
        <w:pStyle w:val="EndNoteBibliography"/>
        <w:spacing w:after="0"/>
        <w:ind w:left="720" w:hanging="720"/>
        <w:rPr>
          <w:noProof/>
        </w:rPr>
      </w:pPr>
      <w:r w:rsidRPr="00E5265C">
        <w:rPr>
          <w:noProof/>
        </w:rPr>
        <w:t xml:space="preserve">[282] World Health Organization (WHO). (2018). Classification of Digital Health Interventions. Geneva: World Health Organization,. Retrieved 12 July 2023, from: </w:t>
      </w:r>
      <w:hyperlink r:id="rId155" w:history="1">
        <w:r w:rsidRPr="00E5265C">
          <w:rPr>
            <w:rStyle w:val="Hyperlink"/>
            <w:noProof/>
          </w:rPr>
          <w:t>https://apps.who.int/iris/bitstream/handle/10665/260480/WHO-RHR-18.06-eng.pdf;jsessionid=145D00A4AB9E08F4BDD2D237264F7F24?sequence=1</w:t>
        </w:r>
      </w:hyperlink>
      <w:r w:rsidRPr="00E5265C">
        <w:rPr>
          <w:noProof/>
        </w:rPr>
        <w:t>.</w:t>
      </w:r>
    </w:p>
    <w:p w14:paraId="06001DC6" w14:textId="77777777" w:rsidR="00E5265C" w:rsidRPr="00E5265C" w:rsidRDefault="00E5265C" w:rsidP="00E5265C">
      <w:pPr>
        <w:pStyle w:val="EndNoteBibliography"/>
        <w:spacing w:after="0"/>
        <w:ind w:left="720" w:hanging="720"/>
        <w:rPr>
          <w:noProof/>
        </w:rPr>
      </w:pPr>
      <w:r w:rsidRPr="00E5265C">
        <w:rPr>
          <w:noProof/>
        </w:rPr>
        <w:t>[283] Haute Autorite de Santé. (2016). Good Practice Guidelines on Health Apps and Smart Devices. Paris: Haute Autorite de Santé.</w:t>
      </w:r>
    </w:p>
    <w:p w14:paraId="140665DE" w14:textId="77777777" w:rsidR="00E5265C" w:rsidRPr="00E5265C" w:rsidRDefault="00E5265C" w:rsidP="00E5265C">
      <w:pPr>
        <w:pStyle w:val="EndNoteBibliography"/>
        <w:spacing w:after="0"/>
        <w:ind w:left="720" w:hanging="720"/>
        <w:rPr>
          <w:noProof/>
        </w:rPr>
      </w:pPr>
      <w:r w:rsidRPr="00E5265C">
        <w:rPr>
          <w:noProof/>
        </w:rPr>
        <w:t>[284] Medicines and Healthcare Products Regulatory Agency (MHRA). (2018). Medical Device and Stand-alone Software including Apps (including IVDMDs). London: Medicines and Healthcare Products Regulatory Agency (MHRA).</w:t>
      </w:r>
    </w:p>
    <w:p w14:paraId="1BA3915C" w14:textId="77777777" w:rsidR="00E5265C" w:rsidRPr="00E5265C" w:rsidRDefault="00E5265C" w:rsidP="00E5265C">
      <w:pPr>
        <w:pStyle w:val="EndNoteBibliography"/>
        <w:spacing w:after="0"/>
        <w:ind w:left="720" w:hanging="720"/>
        <w:rPr>
          <w:noProof/>
        </w:rPr>
      </w:pPr>
      <w:r w:rsidRPr="00E5265C">
        <w:rPr>
          <w:noProof/>
        </w:rPr>
        <w:t>[285] Italian Ministry of Health. (2015). Telemedicine National Guidelines. Rome: Government of Italy, Ministry of Health.</w:t>
      </w:r>
    </w:p>
    <w:p w14:paraId="2A16773D" w14:textId="77777777" w:rsidR="00E5265C" w:rsidRPr="00E5265C" w:rsidRDefault="00E5265C" w:rsidP="00E5265C">
      <w:pPr>
        <w:pStyle w:val="EndNoteBibliography"/>
        <w:spacing w:after="0"/>
        <w:ind w:left="720" w:hanging="720"/>
        <w:rPr>
          <w:noProof/>
        </w:rPr>
      </w:pPr>
      <w:r w:rsidRPr="00E5265C">
        <w:rPr>
          <w:noProof/>
        </w:rPr>
        <w:t>[286] United States Food and Drug Administration (FDA). (2019). Proposed Framework for Modifications to Artificial Intelligence/Machine Learning-Based Software as a Medical Device. Washington DC: United States Food and Drug Administration (FDA).</w:t>
      </w:r>
    </w:p>
    <w:p w14:paraId="1AB09070" w14:textId="77777777" w:rsidR="00E5265C" w:rsidRPr="00E5265C" w:rsidRDefault="00E5265C" w:rsidP="00E5265C">
      <w:pPr>
        <w:pStyle w:val="EndNoteBibliography"/>
        <w:spacing w:after="0"/>
        <w:ind w:left="720" w:hanging="720"/>
        <w:rPr>
          <w:noProof/>
        </w:rPr>
      </w:pPr>
      <w:r w:rsidRPr="00E5265C">
        <w:rPr>
          <w:noProof/>
        </w:rPr>
        <w:t xml:space="preserve">[287] Grimm, S. E., Pouwels, X., Ramaekers, B. L. T., Wijnen, B., Knies, S., Grutters, J. &amp; Joore, M. A. (2021). Building a trusted framework for uncertainty assessment in rare diseases: suggestions for improvement (Response to "TRUST4RD: tool for reducing uncertainties in the evidence generation for specialised treatments for rare diseases"). </w:t>
      </w:r>
      <w:r w:rsidRPr="00E5265C">
        <w:rPr>
          <w:i/>
          <w:noProof/>
        </w:rPr>
        <w:t>Orphanet J Rare Dis, 16</w:t>
      </w:r>
      <w:r w:rsidRPr="00E5265C">
        <w:rPr>
          <w:noProof/>
        </w:rPr>
        <w:t>(1), 62.</w:t>
      </w:r>
    </w:p>
    <w:p w14:paraId="48BC185B" w14:textId="77777777" w:rsidR="00E5265C" w:rsidRPr="00E5265C" w:rsidRDefault="00E5265C" w:rsidP="00E5265C">
      <w:pPr>
        <w:pStyle w:val="EndNoteBibliography"/>
        <w:spacing w:after="0"/>
        <w:ind w:left="720" w:hanging="720"/>
        <w:rPr>
          <w:noProof/>
        </w:rPr>
      </w:pPr>
      <w:r w:rsidRPr="00E5265C">
        <w:rPr>
          <w:noProof/>
        </w:rPr>
        <w:t xml:space="preserve">[288] Grimm, S. E., Pouwels, X., Ramaekers, B. L. T., Wijnen, B., Otten, T., Grutters, J. &amp; Joore, M. A. (2021). State of the ART? Two New Tools for Risk Communication in Health Technology Assessments. </w:t>
      </w:r>
      <w:r w:rsidRPr="00E5265C">
        <w:rPr>
          <w:i/>
          <w:noProof/>
        </w:rPr>
        <w:t>PharmacoEconomics, 39</w:t>
      </w:r>
      <w:r w:rsidRPr="00E5265C">
        <w:rPr>
          <w:noProof/>
        </w:rPr>
        <w:t>(10), 1185-1196.</w:t>
      </w:r>
    </w:p>
    <w:p w14:paraId="58DA2953" w14:textId="77777777" w:rsidR="00E5265C" w:rsidRPr="00E5265C" w:rsidRDefault="00E5265C" w:rsidP="00E5265C">
      <w:pPr>
        <w:pStyle w:val="EndNoteBibliography"/>
        <w:spacing w:after="0"/>
        <w:ind w:left="720" w:hanging="720"/>
        <w:rPr>
          <w:noProof/>
        </w:rPr>
      </w:pPr>
      <w:r w:rsidRPr="00E5265C">
        <w:rPr>
          <w:noProof/>
        </w:rPr>
        <w:t xml:space="preserve">[289] Grimm, S. E., Strong, M., Brennan, A. &amp; Wailoo, A. J. (2017). The HTA Risk Analysis Chart: Visualising the Need for and Potential Value of Managed Entry Agreements in Health Technology Assessment. </w:t>
      </w:r>
      <w:r w:rsidRPr="00E5265C">
        <w:rPr>
          <w:i/>
          <w:noProof/>
        </w:rPr>
        <w:t>PharmacoEconomics, 35</w:t>
      </w:r>
      <w:r w:rsidRPr="00E5265C">
        <w:rPr>
          <w:noProof/>
        </w:rPr>
        <w:t>(12), 1287-1296.</w:t>
      </w:r>
    </w:p>
    <w:p w14:paraId="08E890A6" w14:textId="77777777" w:rsidR="00E5265C" w:rsidRPr="00E5265C" w:rsidRDefault="00E5265C" w:rsidP="00E5265C">
      <w:pPr>
        <w:pStyle w:val="EndNoteBibliography"/>
        <w:spacing w:after="0"/>
        <w:ind w:left="720" w:hanging="720"/>
        <w:rPr>
          <w:noProof/>
        </w:rPr>
      </w:pPr>
      <w:r w:rsidRPr="00E5265C">
        <w:rPr>
          <w:noProof/>
        </w:rPr>
        <w:t xml:space="preserve">[290] Garrison, L. P., Jr., Towse, A., Briggs, A., de Pouvourville, G., Grueger, J., Mohr, P. E., Severens, J. L., Siviero, P. &amp; Sleeper, M. (2013). Performance-based risk-sharing arrangements-good practices for design, implementation, and evaluation: report of the ISPOR good practices for performance-based risk-sharing arrangements task force. </w:t>
      </w:r>
      <w:r w:rsidRPr="00E5265C">
        <w:rPr>
          <w:i/>
          <w:noProof/>
        </w:rPr>
        <w:t>Value Health, 16</w:t>
      </w:r>
      <w:r w:rsidRPr="00E5265C">
        <w:rPr>
          <w:noProof/>
        </w:rPr>
        <w:t>(5), 703-719.</w:t>
      </w:r>
    </w:p>
    <w:p w14:paraId="4A8F9182" w14:textId="77777777" w:rsidR="00E5265C" w:rsidRPr="00E5265C" w:rsidRDefault="00E5265C" w:rsidP="00E5265C">
      <w:pPr>
        <w:pStyle w:val="EndNoteBibliography"/>
        <w:spacing w:after="0"/>
        <w:ind w:left="720" w:hanging="720"/>
        <w:rPr>
          <w:noProof/>
        </w:rPr>
      </w:pPr>
      <w:r w:rsidRPr="00E5265C">
        <w:rPr>
          <w:noProof/>
        </w:rPr>
        <w:t xml:space="preserve">[291] Menon, D., McCabe, C. J., Stafinski, T., Edlin, R. &amp; signatories to the Consensus, S. (2010). Principles of design of access with evidence development approaches: a consensus statement from the Banff Summit. </w:t>
      </w:r>
      <w:r w:rsidRPr="00E5265C">
        <w:rPr>
          <w:i/>
          <w:noProof/>
        </w:rPr>
        <w:t>PharmacoEconomics, 28</w:t>
      </w:r>
      <w:r w:rsidRPr="00E5265C">
        <w:rPr>
          <w:noProof/>
        </w:rPr>
        <w:t>(2), 109-111.</w:t>
      </w:r>
    </w:p>
    <w:p w14:paraId="7ACEA323" w14:textId="77777777" w:rsidR="00E5265C" w:rsidRPr="00E5265C" w:rsidRDefault="00E5265C" w:rsidP="00E5265C">
      <w:pPr>
        <w:pStyle w:val="EndNoteBibliography"/>
        <w:ind w:left="720" w:hanging="720"/>
        <w:rPr>
          <w:noProof/>
        </w:rPr>
      </w:pPr>
      <w:r w:rsidRPr="00E5265C">
        <w:rPr>
          <w:noProof/>
        </w:rPr>
        <w:t xml:space="preserve">[292] Vreman, R. A., Broekhoff, T. F., Leufkens, H. G., Mantel-Teeuwisse, A. K. &amp; Goettsch, W. G. (2020). Application of Managed Entry Agreements for Innovative Therapies in Different Settings and Combinations: A Feasibility Analysis. </w:t>
      </w:r>
      <w:r w:rsidRPr="00E5265C">
        <w:rPr>
          <w:i/>
          <w:noProof/>
        </w:rPr>
        <w:t>Int J Environ Res Public Health, 17</w:t>
      </w:r>
      <w:r w:rsidRPr="00E5265C">
        <w:rPr>
          <w:noProof/>
        </w:rPr>
        <w:t>(22).</w:t>
      </w:r>
    </w:p>
    <w:p w14:paraId="7D59EB9A" w14:textId="78F8C5F1" w:rsidR="00F006DF" w:rsidRPr="00221992" w:rsidRDefault="00653F87" w:rsidP="00E5265C">
      <w:pPr>
        <w:pStyle w:val="BodyText"/>
        <w:rPr>
          <w:lang w:val="en-GB"/>
        </w:rPr>
      </w:pPr>
      <w:r w:rsidRPr="00221992">
        <w:rPr>
          <w:lang w:val="en-GB"/>
        </w:rPr>
        <w:fldChar w:fldCharType="end"/>
      </w:r>
    </w:p>
    <w:p w14:paraId="310320D3" w14:textId="77777777" w:rsidR="003E6494" w:rsidRPr="00221992" w:rsidRDefault="003E6494">
      <w:pPr>
        <w:spacing w:before="80" w:after="80"/>
        <w:rPr>
          <w:lang w:val="en-GB"/>
        </w:rPr>
      </w:pPr>
      <w:r w:rsidRPr="00221992">
        <w:rPr>
          <w:lang w:val="en-GB"/>
        </w:rPr>
        <w:br w:type="page"/>
      </w:r>
    </w:p>
    <w:p w14:paraId="4EB89467" w14:textId="341200C4" w:rsidR="00A363D0" w:rsidRPr="00221992" w:rsidRDefault="00A363D0" w:rsidP="004908BD">
      <w:pPr>
        <w:pStyle w:val="UTSTitles"/>
        <w:tabs>
          <w:tab w:val="clear" w:pos="1134"/>
        </w:tabs>
        <w:rPr>
          <w:lang w:val="en-GB"/>
        </w:rPr>
      </w:pPr>
      <w:bookmarkStart w:id="291" w:name="_Ref143766728"/>
      <w:bookmarkStart w:id="292" w:name="_Toc162950905"/>
      <w:r w:rsidRPr="00221992">
        <w:rPr>
          <w:lang w:val="en-GB"/>
        </w:rPr>
        <w:t xml:space="preserve">Appendix 1. </w:t>
      </w:r>
      <w:bookmarkEnd w:id="291"/>
      <w:r w:rsidR="00215D9E" w:rsidRPr="00221992">
        <w:rPr>
          <w:lang w:val="en-GB"/>
        </w:rPr>
        <w:t>Consolidated interview protocol</w:t>
      </w:r>
      <w:bookmarkEnd w:id="292"/>
    </w:p>
    <w:p w14:paraId="6BB9C91B" w14:textId="5295AF6A" w:rsidR="00215D9E" w:rsidRPr="00221992" w:rsidRDefault="00215D9E" w:rsidP="00215D9E">
      <w:pPr>
        <w:rPr>
          <w:rFonts w:cs="Calibri Light"/>
          <w:lang w:val="en-GB"/>
        </w:rPr>
      </w:pPr>
      <w:bookmarkStart w:id="293" w:name="_Ref134445581"/>
      <w:bookmarkStart w:id="294" w:name="_Ref134445601"/>
      <w:bookmarkStart w:id="295" w:name="_Ref134445685"/>
      <w:r w:rsidRPr="00221992">
        <w:rPr>
          <w:rFonts w:cs="Calibri Light"/>
          <w:lang w:val="en-GB"/>
        </w:rPr>
        <w:t xml:space="preserve">Time of each interview: approximately 60 minutes </w:t>
      </w:r>
      <w:r w:rsidRPr="00221992">
        <w:rPr>
          <w:rFonts w:cs="Calibri Light"/>
          <w:lang w:val="en-GB"/>
        </w:rPr>
        <w:br/>
        <w:t>Note: Interview will be audio-recorded for transcription.</w:t>
      </w:r>
    </w:p>
    <w:p w14:paraId="5164F117" w14:textId="77777777" w:rsidR="00215D9E" w:rsidRPr="00221992" w:rsidRDefault="00215D9E" w:rsidP="00215D9E">
      <w:pPr>
        <w:rPr>
          <w:rFonts w:cs="Calibri Light"/>
          <w:lang w:val="en-GB"/>
        </w:rPr>
      </w:pPr>
      <w:r w:rsidRPr="00221992">
        <w:rPr>
          <w:rFonts w:cs="Calibri Light"/>
          <w:lang w:val="en-GB"/>
        </w:rPr>
        <w:t>INTRODUCTION</w:t>
      </w:r>
    </w:p>
    <w:p w14:paraId="2881E8EE" w14:textId="77777777" w:rsidR="00215D9E" w:rsidRPr="00221992" w:rsidRDefault="00215D9E" w:rsidP="00957584">
      <w:pPr>
        <w:numPr>
          <w:ilvl w:val="0"/>
          <w:numId w:val="51"/>
        </w:numPr>
        <w:spacing w:before="120" w:after="120"/>
        <w:ind w:left="567"/>
        <w:rPr>
          <w:rFonts w:eastAsia="Times New Roman" w:cs="Calibri Light"/>
          <w:lang w:val="en-GB"/>
        </w:rPr>
      </w:pPr>
      <w:r w:rsidRPr="00221992">
        <w:rPr>
          <w:rFonts w:eastAsia="Times New Roman" w:cs="Calibri Light"/>
          <w:lang w:val="en-GB"/>
        </w:rPr>
        <w:t>Personal introductions</w:t>
      </w:r>
    </w:p>
    <w:p w14:paraId="1AD1C9AE" w14:textId="1E2D9282" w:rsidR="00215D9E" w:rsidRPr="00221992" w:rsidRDefault="00215D9E" w:rsidP="00957584">
      <w:pPr>
        <w:numPr>
          <w:ilvl w:val="0"/>
          <w:numId w:val="51"/>
        </w:numPr>
        <w:spacing w:before="120" w:after="120"/>
        <w:ind w:left="567"/>
        <w:rPr>
          <w:rFonts w:eastAsia="Times New Roman" w:cs="Calibri Light"/>
          <w:lang w:val="en-GB"/>
        </w:rPr>
      </w:pPr>
      <w:r w:rsidRPr="00221992">
        <w:rPr>
          <w:rFonts w:eastAsia="Times New Roman" w:cs="Calibri Light"/>
          <w:lang w:val="en-GB"/>
        </w:rPr>
        <w:t>Interviewer introduces the research topic, explaining the aim of the overall project and the interviews:</w:t>
      </w:r>
    </w:p>
    <w:p w14:paraId="23355429" w14:textId="0CBDF4AA" w:rsidR="00215D9E" w:rsidRPr="00221992" w:rsidRDefault="00551786" w:rsidP="001336AA">
      <w:pPr>
        <w:spacing w:before="120" w:after="120"/>
        <w:ind w:left="567"/>
        <w:rPr>
          <w:rFonts w:eastAsia="Times New Roman" w:cs="Calibri Light"/>
          <w:lang w:val="en-GB"/>
        </w:rPr>
      </w:pPr>
      <w:r>
        <w:rPr>
          <w:rFonts w:eastAsia="Times New Roman" w:cs="Calibri Light"/>
          <w:lang w:val="en-GB"/>
        </w:rPr>
        <w:t>‘</w:t>
      </w:r>
      <w:r w:rsidR="00215D9E" w:rsidRPr="00221992">
        <w:rPr>
          <w:rFonts w:eastAsia="Times New Roman" w:cs="Calibri Light"/>
          <w:lang w:val="en-GB"/>
        </w:rPr>
        <w:t>CHERE is undertaking a review of health technology assessment methods and policies in Australia and internationally as part of the Department of Health and Aged Care</w:t>
      </w:r>
      <w:r>
        <w:rPr>
          <w:rFonts w:eastAsia="Times New Roman" w:cs="Calibri Light"/>
          <w:lang w:val="en-GB"/>
        </w:rPr>
        <w:t>’</w:t>
      </w:r>
      <w:r w:rsidR="00215D9E" w:rsidRPr="00221992">
        <w:rPr>
          <w:rFonts w:eastAsia="Times New Roman" w:cs="Calibri Light"/>
          <w:lang w:val="en-GB"/>
        </w:rPr>
        <w:t>s broader HTA Review, which will inform specific reforms regarding how health technologies are assessed and funded to ensure that subsidy schemes and funding programs meet the needs of Australians into the future.</w:t>
      </w:r>
    </w:p>
    <w:p w14:paraId="4FEA6A02" w14:textId="77777777" w:rsidR="00215D9E" w:rsidRPr="00221992" w:rsidRDefault="00215D9E" w:rsidP="00957584">
      <w:pPr>
        <w:numPr>
          <w:ilvl w:val="0"/>
          <w:numId w:val="51"/>
        </w:numPr>
        <w:spacing w:before="120" w:after="120"/>
        <w:rPr>
          <w:rFonts w:eastAsia="Times New Roman" w:cs="Calibri Light"/>
          <w:lang w:val="en-GB"/>
        </w:rPr>
      </w:pPr>
      <w:r w:rsidRPr="00221992">
        <w:rPr>
          <w:rFonts w:eastAsia="Times New Roman" w:cs="Calibri Light"/>
          <w:lang w:val="en-GB"/>
        </w:rPr>
        <w:t>Informed consent:</w:t>
      </w:r>
    </w:p>
    <w:p w14:paraId="6EF1A2A5" w14:textId="77777777" w:rsidR="00215D9E" w:rsidRPr="00221992" w:rsidRDefault="00215D9E" w:rsidP="00957584">
      <w:pPr>
        <w:numPr>
          <w:ilvl w:val="0"/>
          <w:numId w:val="74"/>
        </w:numPr>
        <w:tabs>
          <w:tab w:val="clear" w:pos="425"/>
        </w:tabs>
        <w:spacing w:before="120" w:after="120"/>
        <w:ind w:left="720" w:hanging="360"/>
        <w:rPr>
          <w:rFonts w:eastAsia="Times New Roman" w:cs="Calibri Light"/>
          <w:lang w:val="en-GB"/>
        </w:rPr>
      </w:pPr>
      <w:r w:rsidRPr="00221992">
        <w:rPr>
          <w:rFonts w:eastAsia="Times New Roman" w:cs="Calibri Light"/>
          <w:lang w:val="en-GB"/>
        </w:rPr>
        <w:t>Participant information sheet provided.</w:t>
      </w:r>
    </w:p>
    <w:p w14:paraId="46F97E90" w14:textId="77777777" w:rsidR="00215D9E" w:rsidRPr="00221992" w:rsidRDefault="00215D9E" w:rsidP="00957584">
      <w:pPr>
        <w:numPr>
          <w:ilvl w:val="0"/>
          <w:numId w:val="74"/>
        </w:numPr>
        <w:tabs>
          <w:tab w:val="clear" w:pos="425"/>
        </w:tabs>
        <w:spacing w:before="120" w:after="120"/>
        <w:ind w:left="720" w:hanging="360"/>
        <w:rPr>
          <w:rFonts w:eastAsia="Times New Roman" w:cs="Calibri Light"/>
          <w:lang w:val="en-GB"/>
        </w:rPr>
      </w:pPr>
      <w:r w:rsidRPr="00221992">
        <w:rPr>
          <w:rFonts w:eastAsia="Times New Roman" w:cs="Calibri Light"/>
          <w:lang w:val="en-GB"/>
        </w:rPr>
        <w:t xml:space="preserve">Participant informed verbally that interview will be audio-recorded. </w:t>
      </w:r>
    </w:p>
    <w:p w14:paraId="6C79466E" w14:textId="6F3DC1B2" w:rsidR="00215D9E" w:rsidRPr="00221992" w:rsidRDefault="00215D9E" w:rsidP="00957584">
      <w:pPr>
        <w:numPr>
          <w:ilvl w:val="0"/>
          <w:numId w:val="74"/>
        </w:numPr>
        <w:tabs>
          <w:tab w:val="clear" w:pos="425"/>
        </w:tabs>
        <w:spacing w:before="120" w:after="120"/>
        <w:ind w:left="720" w:hanging="360"/>
        <w:rPr>
          <w:rFonts w:eastAsia="Times New Roman" w:cs="Calibri Light"/>
          <w:lang w:val="en-GB"/>
        </w:rPr>
      </w:pPr>
      <w:r w:rsidRPr="00221992">
        <w:rPr>
          <w:rFonts w:eastAsia="Times New Roman" w:cs="Calibri Light"/>
          <w:lang w:val="en-GB"/>
        </w:rPr>
        <w:t>Participants</w:t>
      </w:r>
      <w:r w:rsidR="00551786">
        <w:rPr>
          <w:rFonts w:eastAsia="Times New Roman" w:cs="Calibri Light"/>
          <w:lang w:val="en-GB"/>
        </w:rPr>
        <w:t>’</w:t>
      </w:r>
      <w:r w:rsidRPr="00221992">
        <w:rPr>
          <w:rFonts w:eastAsia="Times New Roman" w:cs="Calibri Light"/>
          <w:lang w:val="en-GB"/>
        </w:rPr>
        <w:t xml:space="preserve"> questions are answered, if applicable.</w:t>
      </w:r>
    </w:p>
    <w:p w14:paraId="43B537D1" w14:textId="4EE1C212" w:rsidR="00215D9E" w:rsidRPr="00221992" w:rsidRDefault="00215D9E" w:rsidP="00957584">
      <w:pPr>
        <w:numPr>
          <w:ilvl w:val="0"/>
          <w:numId w:val="74"/>
        </w:numPr>
        <w:tabs>
          <w:tab w:val="clear" w:pos="425"/>
        </w:tabs>
        <w:spacing w:before="120" w:after="120"/>
        <w:ind w:left="720" w:hanging="360"/>
        <w:rPr>
          <w:rFonts w:eastAsia="Times New Roman" w:cs="Calibri Light"/>
          <w:lang w:val="en-GB"/>
        </w:rPr>
      </w:pPr>
      <w:r w:rsidRPr="00221992">
        <w:rPr>
          <w:rFonts w:eastAsia="Times New Roman" w:cs="Calibri Light"/>
          <w:lang w:val="en-GB"/>
        </w:rPr>
        <w:t>Participant has provided signature to indicate informed consent.</w:t>
      </w:r>
    </w:p>
    <w:p w14:paraId="1A2B29D7" w14:textId="77777777" w:rsidR="00215D9E" w:rsidRPr="00221992" w:rsidRDefault="00215D9E" w:rsidP="00215D9E">
      <w:pPr>
        <w:rPr>
          <w:rFonts w:cs="Calibri Light"/>
          <w:lang w:val="en-GB"/>
        </w:rPr>
      </w:pPr>
      <w:r w:rsidRPr="00221992">
        <w:rPr>
          <w:rFonts w:cs="Calibri Light"/>
          <w:lang w:val="en-GB"/>
        </w:rPr>
        <w:t>OVERVIEW</w:t>
      </w:r>
    </w:p>
    <w:p w14:paraId="04F0D994" w14:textId="77777777" w:rsidR="00215D9E" w:rsidRPr="00221992" w:rsidRDefault="00215D9E" w:rsidP="00215D9E">
      <w:pPr>
        <w:rPr>
          <w:rFonts w:cs="Calibri Light"/>
          <w:lang w:val="en-GB"/>
        </w:rPr>
      </w:pPr>
      <w:r w:rsidRPr="00221992">
        <w:rPr>
          <w:rFonts w:cs="Calibri Light"/>
          <w:lang w:val="en-GB"/>
        </w:rPr>
        <w:t>Interviews will cover the following thematic lines of inquiry:</w:t>
      </w:r>
    </w:p>
    <w:p w14:paraId="26D7A649" w14:textId="77777777" w:rsidR="001336AA" w:rsidRPr="00EF5B9A" w:rsidRDefault="00215D9E" w:rsidP="00957584">
      <w:pPr>
        <w:pStyle w:val="ListNumber0"/>
        <w:numPr>
          <w:ilvl w:val="0"/>
          <w:numId w:val="78"/>
        </w:numPr>
        <w:rPr>
          <w:lang w:val="en-GB"/>
        </w:rPr>
      </w:pPr>
      <w:r w:rsidRPr="00EF5B9A">
        <w:rPr>
          <w:lang w:val="en-GB"/>
        </w:rPr>
        <w:t xml:space="preserve">General understanding of international HTA processes; </w:t>
      </w:r>
    </w:p>
    <w:p w14:paraId="3A12F5BE" w14:textId="77777777" w:rsidR="001336AA" w:rsidRPr="00EF5B9A" w:rsidRDefault="00215D9E" w:rsidP="00957584">
      <w:pPr>
        <w:pStyle w:val="ListNumber0"/>
        <w:numPr>
          <w:ilvl w:val="0"/>
          <w:numId w:val="78"/>
        </w:numPr>
        <w:rPr>
          <w:lang w:val="en-GB"/>
        </w:rPr>
      </w:pPr>
      <w:r w:rsidRPr="00EF5B9A">
        <w:rPr>
          <w:lang w:val="en-GB"/>
        </w:rPr>
        <w:t xml:space="preserve">Specific factors impacting international approaches and HTA methods used to support reimbursement; </w:t>
      </w:r>
    </w:p>
    <w:p w14:paraId="046A4ED9" w14:textId="77777777" w:rsidR="001336AA" w:rsidRPr="00EF5B9A" w:rsidRDefault="00215D9E" w:rsidP="00957584">
      <w:pPr>
        <w:pStyle w:val="ListNumber0"/>
        <w:numPr>
          <w:ilvl w:val="0"/>
          <w:numId w:val="78"/>
        </w:numPr>
        <w:rPr>
          <w:lang w:val="en-GB"/>
        </w:rPr>
      </w:pPr>
      <w:r w:rsidRPr="00EF5B9A">
        <w:rPr>
          <w:lang w:val="en-GB"/>
        </w:rPr>
        <w:t>Strategies for managing various forms of uncertainty;</w:t>
      </w:r>
    </w:p>
    <w:p w14:paraId="7D5F7F9E" w14:textId="2238CAE2" w:rsidR="001336AA" w:rsidRPr="00EF5B9A" w:rsidRDefault="00215D9E" w:rsidP="00957584">
      <w:pPr>
        <w:pStyle w:val="ListNumber0"/>
        <w:numPr>
          <w:ilvl w:val="0"/>
          <w:numId w:val="78"/>
        </w:numPr>
        <w:rPr>
          <w:lang w:val="en-GB"/>
        </w:rPr>
      </w:pPr>
      <w:r w:rsidRPr="00EF5B9A">
        <w:rPr>
          <w:lang w:val="en-GB"/>
        </w:rPr>
        <w:t>Impact of recent reforms; and</w:t>
      </w:r>
    </w:p>
    <w:p w14:paraId="68E85366" w14:textId="5882BE00" w:rsidR="00215D9E" w:rsidRPr="00EF5B9A" w:rsidRDefault="00215D9E" w:rsidP="00957584">
      <w:pPr>
        <w:pStyle w:val="ListNumber0"/>
        <w:numPr>
          <w:ilvl w:val="0"/>
          <w:numId w:val="78"/>
        </w:numPr>
        <w:rPr>
          <w:szCs w:val="22"/>
          <w:lang w:val="en-GB"/>
        </w:rPr>
      </w:pPr>
      <w:r w:rsidRPr="00EF5B9A">
        <w:rPr>
          <w:lang w:val="en-GB"/>
        </w:rPr>
        <w:t>Emerging trends and innovations.</w:t>
      </w:r>
      <w:r w:rsidRPr="00EF5B9A">
        <w:rPr>
          <w:rFonts w:cs="Calibri Light"/>
          <w:color w:val="000000"/>
          <w:sz w:val="20"/>
          <w:szCs w:val="20"/>
          <w:lang w:val="en-GB"/>
        </w:rPr>
        <w:br w:type="page"/>
      </w:r>
    </w:p>
    <w:p w14:paraId="33D461DF" w14:textId="77777777" w:rsidR="00215D9E" w:rsidRPr="00221992" w:rsidRDefault="00215D9E" w:rsidP="00215D9E">
      <w:pPr>
        <w:autoSpaceDE w:val="0"/>
        <w:autoSpaceDN w:val="0"/>
        <w:adjustRightInd w:val="0"/>
        <w:rPr>
          <w:rFonts w:cs="Calibri Light"/>
          <w:color w:val="000000"/>
          <w:sz w:val="20"/>
          <w:szCs w:val="20"/>
          <w:lang w:val="en-GB"/>
        </w:rPr>
      </w:pPr>
      <w:r w:rsidRPr="00221992">
        <w:rPr>
          <w:rFonts w:cs="Calibri Light"/>
          <w:color w:val="000000"/>
          <w:sz w:val="20"/>
          <w:szCs w:val="20"/>
          <w:lang w:val="en-GB"/>
        </w:rPr>
        <w:t>INTERVIEW QUESTIONS</w:t>
      </w:r>
    </w:p>
    <w:p w14:paraId="75BB7E7A" w14:textId="7815B594" w:rsidR="00215D9E" w:rsidRPr="00221992" w:rsidRDefault="00215D9E" w:rsidP="00957584">
      <w:pPr>
        <w:numPr>
          <w:ilvl w:val="0"/>
          <w:numId w:val="52"/>
        </w:numPr>
        <w:spacing w:before="120" w:after="120"/>
        <w:rPr>
          <w:rFonts w:eastAsia="Times New Roman" w:cs="Calibri Light"/>
          <w:lang w:val="en-GB"/>
        </w:rPr>
      </w:pPr>
      <w:r w:rsidRPr="00221992">
        <w:rPr>
          <w:rFonts w:eastAsia="Times New Roman" w:cs="Calibri Light"/>
          <w:lang w:val="en-GB"/>
        </w:rPr>
        <w:t xml:space="preserve">Briefly, could you describe the processes and methods used to inform the </w:t>
      </w:r>
      <w:r w:rsidR="000C2CC4" w:rsidRPr="00221992">
        <w:rPr>
          <w:rFonts w:eastAsia="Times New Roman" w:cs="Calibri Light"/>
          <w:lang w:val="en-GB"/>
        </w:rPr>
        <w:t>evaluation</w:t>
      </w:r>
      <w:r w:rsidRPr="00221992">
        <w:rPr>
          <w:rFonts w:eastAsia="Times New Roman" w:cs="Calibri Light"/>
          <w:lang w:val="en-GB"/>
        </w:rPr>
        <w:t xml:space="preserve">, pricing and purchasing/reimbursement of new health technologies in [Country]? </w:t>
      </w:r>
    </w:p>
    <w:p w14:paraId="34EFFFB0" w14:textId="77777777" w:rsidR="00215D9E" w:rsidRPr="00221992" w:rsidRDefault="00215D9E" w:rsidP="00957584">
      <w:pPr>
        <w:numPr>
          <w:ilvl w:val="0"/>
          <w:numId w:val="52"/>
        </w:numPr>
        <w:spacing w:before="120" w:after="120"/>
        <w:rPr>
          <w:rFonts w:eastAsia="Times New Roman" w:cs="Calibri Light"/>
          <w:lang w:val="en-GB"/>
        </w:rPr>
      </w:pPr>
      <w:r w:rsidRPr="00221992">
        <w:rPr>
          <w:rFonts w:eastAsia="Times New Roman" w:cs="Calibri Light"/>
          <w:lang w:val="en-GB"/>
        </w:rPr>
        <w:t>What specific policies/guidelines inform HTA submissions and evaluations? In what ways do applicable guidelines/methods strengthen/hinder the process of bringing new therapies to market?</w:t>
      </w:r>
    </w:p>
    <w:p w14:paraId="7630D608" w14:textId="77777777" w:rsidR="00215D9E" w:rsidRPr="00221992" w:rsidRDefault="00215D9E" w:rsidP="00957584">
      <w:pPr>
        <w:numPr>
          <w:ilvl w:val="0"/>
          <w:numId w:val="52"/>
        </w:numPr>
        <w:spacing w:before="120" w:after="120"/>
        <w:rPr>
          <w:rFonts w:eastAsia="Times New Roman" w:cs="Calibri Light"/>
          <w:lang w:val="en-GB"/>
        </w:rPr>
      </w:pPr>
      <w:r w:rsidRPr="00221992">
        <w:rPr>
          <w:rFonts w:eastAsia="Times New Roman" w:cs="Calibri Light"/>
          <w:lang w:val="en-GB"/>
        </w:rPr>
        <w:t xml:space="preserve">Are there separate processes or special considerations in place to foster better access/health outcomes among identified equity groups (e.g., children, Indigenous, socio-economically disadvantaged, rare disease)? </w:t>
      </w:r>
    </w:p>
    <w:p w14:paraId="4A8FDB9B" w14:textId="5A9C4E38" w:rsidR="00215D9E" w:rsidRPr="00221992" w:rsidRDefault="00215D9E" w:rsidP="00957584">
      <w:pPr>
        <w:numPr>
          <w:ilvl w:val="0"/>
          <w:numId w:val="52"/>
        </w:numPr>
        <w:spacing w:before="120" w:after="120"/>
        <w:rPr>
          <w:rFonts w:eastAsia="Times New Roman" w:cs="Calibri Light"/>
          <w:lang w:val="en-GB"/>
        </w:rPr>
      </w:pPr>
      <w:r w:rsidRPr="00221992">
        <w:rPr>
          <w:rFonts w:eastAsia="Times New Roman" w:cs="Calibri Light"/>
          <w:lang w:val="en-GB"/>
        </w:rPr>
        <w:t>Are there local provisions for the combined consideration of multiple sub-</w:t>
      </w:r>
      <w:r w:rsidR="000C2CC4" w:rsidRPr="00221992">
        <w:rPr>
          <w:rFonts w:eastAsia="Times New Roman" w:cs="Calibri Light"/>
          <w:lang w:val="en-GB"/>
        </w:rPr>
        <w:t>populations</w:t>
      </w:r>
      <w:r w:rsidRPr="00221992">
        <w:rPr>
          <w:rFonts w:eastAsia="Times New Roman" w:cs="Calibri Light"/>
          <w:lang w:val="en-GB"/>
        </w:rPr>
        <w:t xml:space="preserve">? What are the </w:t>
      </w:r>
      <w:r w:rsidR="000C2CC4" w:rsidRPr="00221992">
        <w:rPr>
          <w:rFonts w:eastAsia="Times New Roman" w:cs="Calibri Light"/>
          <w:lang w:val="en-GB"/>
        </w:rPr>
        <w:t>strengths</w:t>
      </w:r>
      <w:r w:rsidRPr="00221992">
        <w:rPr>
          <w:rFonts w:eastAsia="Times New Roman" w:cs="Calibri Light"/>
          <w:lang w:val="en-GB"/>
        </w:rPr>
        <w:t>/limitations of such approaches? What are the flow-on effects with respect to pricing?</w:t>
      </w:r>
    </w:p>
    <w:p w14:paraId="0BE895F7" w14:textId="77777777" w:rsidR="00215D9E" w:rsidRPr="00221992" w:rsidRDefault="00215D9E" w:rsidP="00957584">
      <w:pPr>
        <w:numPr>
          <w:ilvl w:val="0"/>
          <w:numId w:val="52"/>
        </w:numPr>
        <w:spacing w:before="120" w:after="120"/>
        <w:rPr>
          <w:rFonts w:eastAsia="Times New Roman" w:cs="Calibri Light"/>
          <w:lang w:val="en-GB"/>
        </w:rPr>
      </w:pPr>
      <w:r w:rsidRPr="00221992">
        <w:rPr>
          <w:rFonts w:eastAsia="Times New Roman" w:cs="Calibri Light"/>
          <w:lang w:val="en-GB"/>
        </w:rPr>
        <w:t xml:space="preserve">How is (clinical, economic, financial and technological) uncertainty managed with respect to evaluation, pricing and purchasing/reimbursement? </w:t>
      </w:r>
    </w:p>
    <w:p w14:paraId="74CDD13C" w14:textId="77777777" w:rsidR="00215D9E" w:rsidRPr="00221992" w:rsidRDefault="00215D9E" w:rsidP="00957584">
      <w:pPr>
        <w:numPr>
          <w:ilvl w:val="0"/>
          <w:numId w:val="52"/>
        </w:numPr>
        <w:spacing w:before="120" w:after="120"/>
        <w:rPr>
          <w:rFonts w:eastAsia="Times New Roman" w:cs="Calibri Light"/>
          <w:lang w:val="en-GB"/>
        </w:rPr>
      </w:pPr>
      <w:r w:rsidRPr="00221992">
        <w:rPr>
          <w:rFonts w:eastAsia="Times New Roman" w:cs="Calibri Light"/>
          <w:lang w:val="en-GB"/>
        </w:rPr>
        <w:t xml:space="preserve">What benefits, risks and limitations have you identified with respect to local approaches to HTA? In what ways have these approaches strengthened/hindered access and accountability in your context? </w:t>
      </w:r>
    </w:p>
    <w:p w14:paraId="16E0E6F5" w14:textId="77777777" w:rsidR="00215D9E" w:rsidRPr="00221992" w:rsidRDefault="00215D9E" w:rsidP="00957584">
      <w:pPr>
        <w:numPr>
          <w:ilvl w:val="0"/>
          <w:numId w:val="52"/>
        </w:numPr>
        <w:spacing w:before="120" w:after="120"/>
        <w:rPr>
          <w:rFonts w:eastAsia="Times New Roman" w:cs="Calibri Light"/>
          <w:lang w:val="en-GB"/>
        </w:rPr>
      </w:pPr>
      <w:r w:rsidRPr="00221992">
        <w:rPr>
          <w:rFonts w:eastAsia="Times New Roman" w:cs="Calibri Light"/>
          <w:lang w:val="en-GB"/>
        </w:rPr>
        <w:t>What risks/challenges/opportunities are likely to emerge in the future and how are these being addressed?</w:t>
      </w:r>
    </w:p>
    <w:p w14:paraId="4D08F7BB" w14:textId="77777777" w:rsidR="00215D9E" w:rsidRPr="00221992" w:rsidRDefault="00215D9E" w:rsidP="00957584">
      <w:pPr>
        <w:numPr>
          <w:ilvl w:val="0"/>
          <w:numId w:val="52"/>
        </w:numPr>
        <w:spacing w:before="120" w:after="120"/>
        <w:rPr>
          <w:rFonts w:eastAsia="Times New Roman" w:cs="Calibri Light"/>
          <w:lang w:val="en-GB"/>
        </w:rPr>
      </w:pPr>
      <w:r w:rsidRPr="00221992">
        <w:rPr>
          <w:rFonts w:eastAsia="Times New Roman" w:cs="Calibri Light"/>
          <w:lang w:val="en-GB"/>
        </w:rPr>
        <w:t>Is there anything else about the process for drug reimbursement [in Country] that we have not addressed that you would like to raise?</w:t>
      </w:r>
    </w:p>
    <w:p w14:paraId="6C1499A5" w14:textId="77777777" w:rsidR="00215D9E" w:rsidRPr="00221992" w:rsidRDefault="00215D9E" w:rsidP="00215D9E">
      <w:pPr>
        <w:autoSpaceDE w:val="0"/>
        <w:autoSpaceDN w:val="0"/>
        <w:adjustRightInd w:val="0"/>
        <w:rPr>
          <w:rFonts w:cs="Calibri Light"/>
          <w:color w:val="000000"/>
          <w:sz w:val="20"/>
          <w:szCs w:val="20"/>
          <w:lang w:val="en-GB"/>
        </w:rPr>
      </w:pPr>
    </w:p>
    <w:p w14:paraId="6D57518A" w14:textId="77777777" w:rsidR="00215D9E" w:rsidRPr="00221992" w:rsidRDefault="00215D9E" w:rsidP="00215D9E">
      <w:pPr>
        <w:spacing w:before="80" w:after="80"/>
        <w:rPr>
          <w:rFonts w:cs="Calibri Light"/>
          <w:color w:val="000000"/>
          <w:sz w:val="20"/>
          <w:szCs w:val="20"/>
          <w:lang w:val="en-GB"/>
        </w:rPr>
      </w:pPr>
      <w:r w:rsidRPr="00221992">
        <w:rPr>
          <w:rFonts w:cs="Calibri Light"/>
          <w:color w:val="000000"/>
          <w:sz w:val="20"/>
          <w:szCs w:val="20"/>
          <w:lang w:val="en-GB"/>
        </w:rPr>
        <w:br w:type="page"/>
      </w:r>
    </w:p>
    <w:p w14:paraId="49E00C0D" w14:textId="77777777" w:rsidR="00215D9E" w:rsidRPr="00221992" w:rsidRDefault="00215D9E" w:rsidP="00215D9E">
      <w:pPr>
        <w:autoSpaceDE w:val="0"/>
        <w:autoSpaceDN w:val="0"/>
        <w:adjustRightInd w:val="0"/>
        <w:rPr>
          <w:rFonts w:eastAsia="Times New Roman" w:cs="Calibri Light"/>
          <w:sz w:val="20"/>
          <w:szCs w:val="20"/>
          <w:lang w:val="en-GB" w:eastAsia="en-GB"/>
        </w:rPr>
      </w:pPr>
      <w:r w:rsidRPr="00221992">
        <w:rPr>
          <w:rFonts w:cs="Calibri Light"/>
          <w:color w:val="000000"/>
          <w:sz w:val="20"/>
          <w:szCs w:val="20"/>
          <w:lang w:val="en-GB"/>
        </w:rPr>
        <w:t xml:space="preserve">INTERVIEW GUIDE </w:t>
      </w:r>
      <w:r w:rsidRPr="00221992">
        <w:rPr>
          <w:rFonts w:cs="Calibri Light"/>
          <w:color w:val="000000"/>
          <w:sz w:val="20"/>
          <w:szCs w:val="20"/>
          <w:vertAlign w:val="superscript"/>
          <w:lang w:val="en-GB"/>
        </w:rPr>
        <w:t>1,2</w:t>
      </w:r>
    </w:p>
    <w:tbl>
      <w:tblPr>
        <w:tblStyle w:val="TableGrid"/>
        <w:tblW w:w="9356" w:type="dxa"/>
        <w:tblInd w:w="-176" w:type="dxa"/>
        <w:tblLook w:val="04A0" w:firstRow="1" w:lastRow="0" w:firstColumn="1" w:lastColumn="0" w:noHBand="0" w:noVBand="1"/>
      </w:tblPr>
      <w:tblGrid>
        <w:gridCol w:w="6983"/>
        <w:gridCol w:w="1239"/>
        <w:gridCol w:w="1134"/>
      </w:tblGrid>
      <w:tr w:rsidR="00DB39C8" w:rsidRPr="0068472E" w14:paraId="7C2AEAE8" w14:textId="77777777" w:rsidTr="4C4BBE38">
        <w:trPr>
          <w:trHeight w:val="567"/>
        </w:trPr>
        <w:tc>
          <w:tcPr>
            <w:tcW w:w="6983" w:type="dxa"/>
            <w:tcMar>
              <w:top w:w="113" w:type="dxa"/>
              <w:bottom w:w="113" w:type="dxa"/>
            </w:tcMar>
            <w:vAlign w:val="center"/>
          </w:tcPr>
          <w:p w14:paraId="333B1E5F" w14:textId="77777777" w:rsidR="00215D9E" w:rsidRPr="0068472E" w:rsidRDefault="00215D9E" w:rsidP="003F72DF">
            <w:pPr>
              <w:autoSpaceDE w:val="0"/>
              <w:autoSpaceDN w:val="0"/>
              <w:adjustRightInd w:val="0"/>
              <w:spacing w:after="0" w:line="240" w:lineRule="auto"/>
              <w:rPr>
                <w:rFonts w:cs="Calibri Light"/>
                <w:sz w:val="20"/>
                <w:szCs w:val="20"/>
                <w:lang w:val="en-GB"/>
              </w:rPr>
            </w:pPr>
            <w:r w:rsidRPr="0068472E">
              <w:rPr>
                <w:rFonts w:cs="Calibri Light"/>
                <w:sz w:val="20"/>
                <w:szCs w:val="20"/>
                <w:lang w:val="en-GB"/>
              </w:rPr>
              <w:t>Thematic area</w:t>
            </w:r>
          </w:p>
        </w:tc>
        <w:tc>
          <w:tcPr>
            <w:tcW w:w="1239" w:type="dxa"/>
            <w:tcMar>
              <w:top w:w="113" w:type="dxa"/>
              <w:bottom w:w="113" w:type="dxa"/>
            </w:tcMar>
            <w:vAlign w:val="center"/>
          </w:tcPr>
          <w:p w14:paraId="7E08FF92" w14:textId="77777777" w:rsidR="00215D9E" w:rsidRPr="0068472E" w:rsidRDefault="00215D9E" w:rsidP="003F72DF">
            <w:pPr>
              <w:autoSpaceDE w:val="0"/>
              <w:autoSpaceDN w:val="0"/>
              <w:adjustRightInd w:val="0"/>
              <w:spacing w:after="0" w:line="240" w:lineRule="auto"/>
              <w:jc w:val="center"/>
              <w:rPr>
                <w:rFonts w:cs="Calibri Light"/>
                <w:sz w:val="20"/>
                <w:szCs w:val="20"/>
                <w:lang w:val="en-GB"/>
              </w:rPr>
            </w:pPr>
            <w:r w:rsidRPr="0068472E">
              <w:rPr>
                <w:rFonts w:cs="Calibri Light"/>
                <w:sz w:val="20"/>
                <w:szCs w:val="20"/>
                <w:lang w:val="en-GB"/>
              </w:rPr>
              <w:t>Raised</w:t>
            </w:r>
          </w:p>
        </w:tc>
        <w:tc>
          <w:tcPr>
            <w:tcW w:w="1134" w:type="dxa"/>
            <w:tcMar>
              <w:top w:w="113" w:type="dxa"/>
              <w:bottom w:w="113" w:type="dxa"/>
            </w:tcMar>
            <w:vAlign w:val="center"/>
          </w:tcPr>
          <w:p w14:paraId="3A4174CF" w14:textId="77777777" w:rsidR="00215D9E" w:rsidRPr="0068472E" w:rsidRDefault="00215D9E" w:rsidP="003F72DF">
            <w:pPr>
              <w:autoSpaceDE w:val="0"/>
              <w:autoSpaceDN w:val="0"/>
              <w:adjustRightInd w:val="0"/>
              <w:spacing w:after="0" w:line="240" w:lineRule="auto"/>
              <w:jc w:val="center"/>
              <w:rPr>
                <w:rFonts w:cs="Calibri Light"/>
                <w:sz w:val="20"/>
                <w:szCs w:val="20"/>
                <w:lang w:val="en-GB"/>
              </w:rPr>
            </w:pPr>
            <w:r w:rsidRPr="0068472E">
              <w:rPr>
                <w:rFonts w:cs="Calibri Light"/>
                <w:sz w:val="20"/>
                <w:szCs w:val="20"/>
                <w:lang w:val="en-GB"/>
              </w:rPr>
              <w:t>Prompted</w:t>
            </w:r>
          </w:p>
        </w:tc>
      </w:tr>
      <w:tr w:rsidR="00DB39C8" w:rsidRPr="0068472E" w14:paraId="56BD20EE" w14:textId="77777777" w:rsidTr="4C4BBE38">
        <w:trPr>
          <w:trHeight w:val="567"/>
        </w:trPr>
        <w:tc>
          <w:tcPr>
            <w:tcW w:w="9356" w:type="dxa"/>
            <w:gridSpan w:val="3"/>
            <w:tcMar>
              <w:top w:w="113" w:type="dxa"/>
              <w:bottom w:w="113" w:type="dxa"/>
            </w:tcMar>
            <w:vAlign w:val="center"/>
          </w:tcPr>
          <w:p w14:paraId="1582D1F3" w14:textId="4746EBAA" w:rsidR="00215D9E" w:rsidRPr="0068472E" w:rsidRDefault="00215D9E" w:rsidP="003F72DF">
            <w:pPr>
              <w:autoSpaceDE w:val="0"/>
              <w:autoSpaceDN w:val="0"/>
              <w:adjustRightInd w:val="0"/>
              <w:spacing w:after="0" w:line="240" w:lineRule="auto"/>
              <w:rPr>
                <w:rFonts w:cs="Calibri Light"/>
                <w:sz w:val="20"/>
                <w:szCs w:val="20"/>
                <w:lang w:val="en-GB"/>
              </w:rPr>
            </w:pPr>
            <w:r w:rsidRPr="0068472E">
              <w:rPr>
                <w:rFonts w:cs="Calibri Light"/>
                <w:sz w:val="20"/>
                <w:szCs w:val="20"/>
                <w:lang w:val="en-GB"/>
              </w:rPr>
              <w:t>1.</w:t>
            </w:r>
            <w:r w:rsidR="008A6310" w:rsidRPr="0068472E">
              <w:rPr>
                <w:rFonts w:cs="Calibri Light"/>
                <w:sz w:val="20"/>
                <w:szCs w:val="20"/>
                <w:lang w:val="en-GB"/>
              </w:rPr>
              <w:t xml:space="preserve"> </w:t>
            </w:r>
            <w:r w:rsidRPr="0068472E">
              <w:rPr>
                <w:rFonts w:cs="Calibri Light"/>
                <w:sz w:val="20"/>
                <w:szCs w:val="20"/>
                <w:lang w:val="en-GB"/>
              </w:rPr>
              <w:t>What are the current approaches to evaluation, pricing and purchasing/reimbursement with respect to technologies or indications that:</w:t>
            </w:r>
          </w:p>
        </w:tc>
      </w:tr>
      <w:tr w:rsidR="00DB39C8" w:rsidRPr="0068472E" w14:paraId="7A96C27C" w14:textId="77777777" w:rsidTr="4C4BBE38">
        <w:trPr>
          <w:trHeight w:val="567"/>
        </w:trPr>
        <w:tc>
          <w:tcPr>
            <w:tcW w:w="6983" w:type="dxa"/>
            <w:tcMar>
              <w:top w:w="113" w:type="dxa"/>
              <w:bottom w:w="113" w:type="dxa"/>
            </w:tcMar>
            <w:vAlign w:val="center"/>
          </w:tcPr>
          <w:p w14:paraId="30A53982" w14:textId="77777777" w:rsidR="00215D9E" w:rsidRPr="000C66C0" w:rsidRDefault="00215D9E" w:rsidP="00957584">
            <w:pPr>
              <w:pStyle w:val="ListNumber0"/>
              <w:numPr>
                <w:ilvl w:val="0"/>
                <w:numId w:val="79"/>
              </w:numPr>
              <w:rPr>
                <w:lang w:val="en-GB"/>
              </w:rPr>
            </w:pPr>
            <w:r w:rsidRPr="000C66C0">
              <w:rPr>
                <w:lang w:val="en-GB"/>
              </w:rPr>
              <w:t xml:space="preserve">provide a substantial improvement in efficacy or reduction in toxicity compared to alternatives (e.g., cost-utility analysis)? </w:t>
            </w:r>
          </w:p>
        </w:tc>
        <w:tc>
          <w:tcPr>
            <w:tcW w:w="1239" w:type="dxa"/>
            <w:tcMar>
              <w:top w:w="113" w:type="dxa"/>
              <w:bottom w:w="113" w:type="dxa"/>
            </w:tcMar>
            <w:vAlign w:val="center"/>
          </w:tcPr>
          <w:p w14:paraId="4D9BEB0B" w14:textId="45155FB5" w:rsidR="00215D9E" w:rsidRPr="0068472E" w:rsidRDefault="00837C3A" w:rsidP="003F72DF">
            <w:pPr>
              <w:spacing w:after="0" w:line="240" w:lineRule="auto"/>
              <w:jc w:val="center"/>
              <w:rPr>
                <w:rFonts w:cs="Calibri Light"/>
                <w:color w:val="000000" w:themeColor="text1"/>
                <w:sz w:val="20"/>
                <w:szCs w:val="20"/>
                <w:lang w:val="en-GB"/>
              </w:rPr>
            </w:pPr>
            <w:r>
              <w:rPr>
                <w:rFonts w:ascii="Wingdings" w:eastAsia="Wingdings" w:hAnsi="Wingdings" w:cs="Calibri Light"/>
                <w:color w:val="000000" w:themeColor="text1"/>
                <w:sz w:val="20"/>
                <w:szCs w:val="20"/>
                <w:lang w:val="en-GB"/>
              </w:rPr>
              <w:t>o</w:t>
            </w:r>
          </w:p>
        </w:tc>
        <w:tc>
          <w:tcPr>
            <w:tcW w:w="1134" w:type="dxa"/>
            <w:tcMar>
              <w:top w:w="113" w:type="dxa"/>
              <w:bottom w:w="113" w:type="dxa"/>
            </w:tcMar>
            <w:vAlign w:val="center"/>
          </w:tcPr>
          <w:p w14:paraId="7194F563" w14:textId="60058954" w:rsidR="00215D9E" w:rsidRPr="0068472E" w:rsidRDefault="00837C3A" w:rsidP="003F72DF">
            <w:pPr>
              <w:spacing w:after="0" w:line="240" w:lineRule="auto"/>
              <w:jc w:val="center"/>
              <w:rPr>
                <w:rFonts w:cs="Calibri Light"/>
                <w:color w:val="000000" w:themeColor="text1"/>
                <w:sz w:val="20"/>
                <w:szCs w:val="20"/>
                <w:lang w:val="en-GB"/>
              </w:rPr>
            </w:pPr>
            <w:r>
              <w:rPr>
                <w:rFonts w:ascii="Wingdings" w:eastAsia="Wingdings" w:hAnsi="Wingdings" w:cs="Calibri Light"/>
                <w:color w:val="000000" w:themeColor="text1"/>
                <w:sz w:val="20"/>
                <w:szCs w:val="20"/>
                <w:lang w:val="en-GB"/>
              </w:rPr>
              <w:t>o</w:t>
            </w:r>
          </w:p>
        </w:tc>
      </w:tr>
      <w:tr w:rsidR="00837C3A" w:rsidRPr="0068472E" w14:paraId="3516CE0E" w14:textId="77777777" w:rsidTr="000C66C0">
        <w:trPr>
          <w:trHeight w:val="567"/>
        </w:trPr>
        <w:tc>
          <w:tcPr>
            <w:tcW w:w="6983" w:type="dxa"/>
            <w:tcMar>
              <w:top w:w="113" w:type="dxa"/>
              <w:bottom w:w="113" w:type="dxa"/>
            </w:tcMar>
            <w:vAlign w:val="center"/>
          </w:tcPr>
          <w:p w14:paraId="04B00211" w14:textId="77777777" w:rsidR="00837C3A" w:rsidRPr="000C66C0" w:rsidRDefault="00837C3A" w:rsidP="00957584">
            <w:pPr>
              <w:pStyle w:val="ListNumber0"/>
              <w:numPr>
                <w:ilvl w:val="0"/>
                <w:numId w:val="79"/>
              </w:numPr>
              <w:rPr>
                <w:lang w:val="en-GB"/>
              </w:rPr>
            </w:pPr>
            <w:r w:rsidRPr="000C66C0">
              <w:rPr>
                <w:lang w:val="en-GB"/>
              </w:rPr>
              <w:t xml:space="preserve">do not provide a substantial improvement in efficacy or reduction in toxicity compared to alternatives (e.g., cost-minimisation analysis)? </w:t>
            </w:r>
          </w:p>
        </w:tc>
        <w:tc>
          <w:tcPr>
            <w:tcW w:w="1239" w:type="dxa"/>
            <w:tcMar>
              <w:top w:w="113" w:type="dxa"/>
              <w:bottom w:w="113" w:type="dxa"/>
            </w:tcMar>
          </w:tcPr>
          <w:p w14:paraId="6F4BF2C1" w14:textId="4F724EE8" w:rsidR="00837C3A" w:rsidRPr="0068472E" w:rsidRDefault="00837C3A" w:rsidP="00837C3A">
            <w:pPr>
              <w:spacing w:after="0" w:line="240" w:lineRule="auto"/>
              <w:jc w:val="center"/>
              <w:rPr>
                <w:rFonts w:cs="Calibri Light"/>
                <w:sz w:val="20"/>
                <w:szCs w:val="20"/>
                <w:lang w:val="en-GB"/>
              </w:rPr>
            </w:pPr>
            <w:r w:rsidRPr="006742A0">
              <w:rPr>
                <w:rFonts w:ascii="Wingdings" w:eastAsia="Wingdings" w:hAnsi="Wingdings" w:cs="Calibri Light"/>
                <w:color w:val="000000" w:themeColor="text1"/>
                <w:sz w:val="20"/>
                <w:szCs w:val="20"/>
                <w:lang w:val="en-GB"/>
              </w:rPr>
              <w:t>o</w:t>
            </w:r>
          </w:p>
        </w:tc>
        <w:tc>
          <w:tcPr>
            <w:tcW w:w="1134" w:type="dxa"/>
            <w:tcMar>
              <w:top w:w="113" w:type="dxa"/>
              <w:bottom w:w="113" w:type="dxa"/>
            </w:tcMar>
          </w:tcPr>
          <w:p w14:paraId="4FACD93D" w14:textId="6F49E9A1" w:rsidR="00837C3A" w:rsidRPr="0068472E" w:rsidRDefault="00837C3A" w:rsidP="00837C3A">
            <w:pPr>
              <w:spacing w:after="0" w:line="240" w:lineRule="auto"/>
              <w:jc w:val="center"/>
              <w:rPr>
                <w:rFonts w:cs="Calibri Light"/>
                <w:sz w:val="20"/>
                <w:szCs w:val="20"/>
                <w:lang w:val="en-GB"/>
              </w:rPr>
            </w:pPr>
            <w:r w:rsidRPr="006742A0">
              <w:rPr>
                <w:rFonts w:ascii="Wingdings" w:eastAsia="Wingdings" w:hAnsi="Wingdings" w:cs="Calibri Light"/>
                <w:color w:val="000000" w:themeColor="text1"/>
                <w:sz w:val="20"/>
                <w:szCs w:val="20"/>
                <w:lang w:val="en-GB"/>
              </w:rPr>
              <w:t>o</w:t>
            </w:r>
          </w:p>
        </w:tc>
      </w:tr>
      <w:tr w:rsidR="00837C3A" w:rsidRPr="0068472E" w14:paraId="51640B58" w14:textId="77777777" w:rsidTr="000C66C0">
        <w:trPr>
          <w:trHeight w:val="567"/>
        </w:trPr>
        <w:tc>
          <w:tcPr>
            <w:tcW w:w="6983" w:type="dxa"/>
            <w:tcMar>
              <w:top w:w="113" w:type="dxa"/>
              <w:bottom w:w="113" w:type="dxa"/>
            </w:tcMar>
            <w:vAlign w:val="center"/>
          </w:tcPr>
          <w:p w14:paraId="46EBC135" w14:textId="77777777" w:rsidR="00837C3A" w:rsidRPr="000C66C0" w:rsidRDefault="00837C3A" w:rsidP="00957584">
            <w:pPr>
              <w:pStyle w:val="ListNumber0"/>
              <w:numPr>
                <w:ilvl w:val="0"/>
                <w:numId w:val="79"/>
              </w:numPr>
              <w:rPr>
                <w:lang w:val="en-GB"/>
              </w:rPr>
            </w:pPr>
            <w:r w:rsidRPr="000C66C0">
              <w:rPr>
                <w:lang w:val="en-GB"/>
              </w:rPr>
              <w:t xml:space="preserve">improve ease of use, suitability and/or reduce patient burden? </w:t>
            </w:r>
          </w:p>
        </w:tc>
        <w:tc>
          <w:tcPr>
            <w:tcW w:w="1239" w:type="dxa"/>
            <w:tcMar>
              <w:top w:w="113" w:type="dxa"/>
              <w:bottom w:w="113" w:type="dxa"/>
            </w:tcMar>
          </w:tcPr>
          <w:p w14:paraId="5D5FEB17" w14:textId="0194AD0B" w:rsidR="00837C3A" w:rsidRPr="0068472E" w:rsidRDefault="00837C3A" w:rsidP="00837C3A">
            <w:pPr>
              <w:spacing w:after="0" w:line="240" w:lineRule="auto"/>
              <w:jc w:val="center"/>
              <w:rPr>
                <w:rFonts w:cs="Calibri Light"/>
                <w:sz w:val="20"/>
                <w:szCs w:val="20"/>
                <w:lang w:val="en-GB"/>
              </w:rPr>
            </w:pPr>
            <w:r w:rsidRPr="006742A0">
              <w:rPr>
                <w:rFonts w:ascii="Wingdings" w:eastAsia="Wingdings" w:hAnsi="Wingdings" w:cs="Calibri Light"/>
                <w:color w:val="000000" w:themeColor="text1"/>
                <w:sz w:val="20"/>
                <w:szCs w:val="20"/>
                <w:lang w:val="en-GB"/>
              </w:rPr>
              <w:t>o</w:t>
            </w:r>
          </w:p>
        </w:tc>
        <w:tc>
          <w:tcPr>
            <w:tcW w:w="1134" w:type="dxa"/>
            <w:tcMar>
              <w:top w:w="113" w:type="dxa"/>
              <w:bottom w:w="113" w:type="dxa"/>
            </w:tcMar>
          </w:tcPr>
          <w:p w14:paraId="43CAAD38" w14:textId="3FBF3385" w:rsidR="00837C3A" w:rsidRPr="0068472E" w:rsidRDefault="00837C3A" w:rsidP="00837C3A">
            <w:pPr>
              <w:spacing w:after="0" w:line="240" w:lineRule="auto"/>
              <w:jc w:val="center"/>
              <w:rPr>
                <w:rFonts w:cs="Calibri Light"/>
                <w:sz w:val="20"/>
                <w:szCs w:val="20"/>
                <w:lang w:val="en-GB"/>
              </w:rPr>
            </w:pPr>
            <w:r w:rsidRPr="006742A0">
              <w:rPr>
                <w:rFonts w:ascii="Wingdings" w:eastAsia="Wingdings" w:hAnsi="Wingdings" w:cs="Calibri Light"/>
                <w:color w:val="000000" w:themeColor="text1"/>
                <w:sz w:val="20"/>
                <w:szCs w:val="20"/>
                <w:lang w:val="en-GB"/>
              </w:rPr>
              <w:t>o</w:t>
            </w:r>
          </w:p>
        </w:tc>
      </w:tr>
      <w:tr w:rsidR="00837C3A" w:rsidRPr="0068472E" w14:paraId="267A38C5" w14:textId="77777777" w:rsidTr="000C66C0">
        <w:trPr>
          <w:trHeight w:val="567"/>
        </w:trPr>
        <w:tc>
          <w:tcPr>
            <w:tcW w:w="6983" w:type="dxa"/>
            <w:tcMar>
              <w:top w:w="113" w:type="dxa"/>
              <w:bottom w:w="113" w:type="dxa"/>
            </w:tcMar>
            <w:vAlign w:val="center"/>
          </w:tcPr>
          <w:p w14:paraId="06140C2F" w14:textId="77777777" w:rsidR="00837C3A" w:rsidRPr="000C66C0" w:rsidRDefault="00837C3A" w:rsidP="00957584">
            <w:pPr>
              <w:pStyle w:val="ListNumber0"/>
              <w:numPr>
                <w:ilvl w:val="0"/>
                <w:numId w:val="79"/>
              </w:numPr>
              <w:rPr>
                <w:lang w:val="en-GB"/>
              </w:rPr>
            </w:pPr>
            <w:r w:rsidRPr="000C66C0">
              <w:rPr>
                <w:lang w:val="en-GB"/>
              </w:rPr>
              <w:t>are for rare diseases and small patient groups/sub-populations?</w:t>
            </w:r>
          </w:p>
        </w:tc>
        <w:tc>
          <w:tcPr>
            <w:tcW w:w="1239" w:type="dxa"/>
            <w:tcMar>
              <w:top w:w="113" w:type="dxa"/>
              <w:bottom w:w="113" w:type="dxa"/>
            </w:tcMar>
          </w:tcPr>
          <w:p w14:paraId="4A24190D" w14:textId="25285BD2" w:rsidR="00837C3A" w:rsidRPr="0068472E" w:rsidRDefault="00837C3A" w:rsidP="00837C3A">
            <w:pPr>
              <w:spacing w:after="0" w:line="240" w:lineRule="auto"/>
              <w:jc w:val="center"/>
              <w:rPr>
                <w:rFonts w:cs="Calibri Light"/>
                <w:sz w:val="20"/>
                <w:szCs w:val="20"/>
                <w:lang w:val="en-GB"/>
              </w:rPr>
            </w:pPr>
            <w:r w:rsidRPr="006742A0">
              <w:rPr>
                <w:rFonts w:ascii="Wingdings" w:eastAsia="Wingdings" w:hAnsi="Wingdings" w:cs="Calibri Light"/>
                <w:color w:val="000000" w:themeColor="text1"/>
                <w:sz w:val="20"/>
                <w:szCs w:val="20"/>
                <w:lang w:val="en-GB"/>
              </w:rPr>
              <w:t>o</w:t>
            </w:r>
          </w:p>
        </w:tc>
        <w:tc>
          <w:tcPr>
            <w:tcW w:w="1134" w:type="dxa"/>
            <w:tcMar>
              <w:top w:w="113" w:type="dxa"/>
              <w:bottom w:w="113" w:type="dxa"/>
            </w:tcMar>
          </w:tcPr>
          <w:p w14:paraId="65E1E77B" w14:textId="185758D0" w:rsidR="00837C3A" w:rsidRPr="0068472E" w:rsidRDefault="00837C3A" w:rsidP="00837C3A">
            <w:pPr>
              <w:spacing w:after="0" w:line="240" w:lineRule="auto"/>
              <w:jc w:val="center"/>
              <w:rPr>
                <w:rFonts w:cs="Calibri Light"/>
                <w:sz w:val="20"/>
                <w:szCs w:val="20"/>
                <w:lang w:val="en-GB"/>
              </w:rPr>
            </w:pPr>
            <w:r w:rsidRPr="006742A0">
              <w:rPr>
                <w:rFonts w:ascii="Wingdings" w:eastAsia="Wingdings" w:hAnsi="Wingdings" w:cs="Calibri Light"/>
                <w:color w:val="000000" w:themeColor="text1"/>
                <w:sz w:val="20"/>
                <w:szCs w:val="20"/>
                <w:lang w:val="en-GB"/>
              </w:rPr>
              <w:t>o</w:t>
            </w:r>
          </w:p>
        </w:tc>
      </w:tr>
      <w:tr w:rsidR="00837C3A" w:rsidRPr="0068472E" w14:paraId="488E2CED" w14:textId="77777777" w:rsidTr="000C66C0">
        <w:trPr>
          <w:trHeight w:val="567"/>
        </w:trPr>
        <w:tc>
          <w:tcPr>
            <w:tcW w:w="6983" w:type="dxa"/>
            <w:tcMar>
              <w:top w:w="113" w:type="dxa"/>
              <w:bottom w:w="113" w:type="dxa"/>
            </w:tcMar>
            <w:vAlign w:val="center"/>
          </w:tcPr>
          <w:p w14:paraId="39E0A44D" w14:textId="77777777" w:rsidR="00837C3A" w:rsidRPr="000C66C0" w:rsidRDefault="00837C3A" w:rsidP="00957584">
            <w:pPr>
              <w:pStyle w:val="ListNumber0"/>
              <w:numPr>
                <w:ilvl w:val="0"/>
                <w:numId w:val="79"/>
              </w:numPr>
              <w:rPr>
                <w:lang w:val="en-GB"/>
              </w:rPr>
            </w:pPr>
            <w:r w:rsidRPr="000C66C0">
              <w:rPr>
                <w:lang w:val="en-GB"/>
              </w:rPr>
              <w:t>are for populations for which there is a high unmet clinical need?</w:t>
            </w:r>
          </w:p>
        </w:tc>
        <w:tc>
          <w:tcPr>
            <w:tcW w:w="1239" w:type="dxa"/>
            <w:tcMar>
              <w:top w:w="113" w:type="dxa"/>
              <w:bottom w:w="113" w:type="dxa"/>
            </w:tcMar>
          </w:tcPr>
          <w:p w14:paraId="7A0BE36E" w14:textId="69F6EF03" w:rsidR="00837C3A" w:rsidRPr="0068472E" w:rsidRDefault="00837C3A" w:rsidP="00837C3A">
            <w:pPr>
              <w:spacing w:after="0" w:line="240" w:lineRule="auto"/>
              <w:jc w:val="center"/>
              <w:rPr>
                <w:rFonts w:cs="Calibri Light"/>
                <w:sz w:val="20"/>
                <w:szCs w:val="20"/>
                <w:lang w:val="en-GB"/>
              </w:rPr>
            </w:pPr>
            <w:r w:rsidRPr="006742A0">
              <w:rPr>
                <w:rFonts w:ascii="Wingdings" w:eastAsia="Wingdings" w:hAnsi="Wingdings" w:cs="Calibri Light"/>
                <w:color w:val="000000" w:themeColor="text1"/>
                <w:sz w:val="20"/>
                <w:szCs w:val="20"/>
                <w:lang w:val="en-GB"/>
              </w:rPr>
              <w:t>o</w:t>
            </w:r>
          </w:p>
        </w:tc>
        <w:tc>
          <w:tcPr>
            <w:tcW w:w="1134" w:type="dxa"/>
            <w:tcMar>
              <w:top w:w="113" w:type="dxa"/>
              <w:bottom w:w="113" w:type="dxa"/>
            </w:tcMar>
          </w:tcPr>
          <w:p w14:paraId="3520DB69" w14:textId="413C42EC" w:rsidR="00837C3A" w:rsidRPr="0068472E" w:rsidRDefault="00837C3A" w:rsidP="00837C3A">
            <w:pPr>
              <w:spacing w:after="0" w:line="240" w:lineRule="auto"/>
              <w:jc w:val="center"/>
              <w:rPr>
                <w:rFonts w:cs="Calibri Light"/>
                <w:sz w:val="20"/>
                <w:szCs w:val="20"/>
                <w:lang w:val="en-GB"/>
              </w:rPr>
            </w:pPr>
            <w:r w:rsidRPr="006742A0">
              <w:rPr>
                <w:rFonts w:ascii="Wingdings" w:eastAsia="Wingdings" w:hAnsi="Wingdings" w:cs="Calibri Light"/>
                <w:color w:val="000000" w:themeColor="text1"/>
                <w:sz w:val="20"/>
                <w:szCs w:val="20"/>
                <w:lang w:val="en-GB"/>
              </w:rPr>
              <w:t>o</w:t>
            </w:r>
          </w:p>
        </w:tc>
      </w:tr>
      <w:tr w:rsidR="00837C3A" w:rsidRPr="0068472E" w14:paraId="095B118D" w14:textId="77777777" w:rsidTr="000C66C0">
        <w:trPr>
          <w:trHeight w:val="567"/>
        </w:trPr>
        <w:tc>
          <w:tcPr>
            <w:tcW w:w="6983" w:type="dxa"/>
            <w:tcMar>
              <w:top w:w="113" w:type="dxa"/>
              <w:bottom w:w="113" w:type="dxa"/>
            </w:tcMar>
            <w:vAlign w:val="center"/>
          </w:tcPr>
          <w:p w14:paraId="115E5B83" w14:textId="77777777" w:rsidR="00837C3A" w:rsidRPr="000C66C0" w:rsidRDefault="00837C3A" w:rsidP="00957584">
            <w:pPr>
              <w:pStyle w:val="ListNumber0"/>
              <w:numPr>
                <w:ilvl w:val="0"/>
                <w:numId w:val="79"/>
              </w:numPr>
              <w:rPr>
                <w:lang w:val="en-GB"/>
              </w:rPr>
            </w:pPr>
            <w:r w:rsidRPr="000C66C0">
              <w:rPr>
                <w:lang w:val="en-GB"/>
              </w:rPr>
              <w:t>address equity concerns for specific groups, including vulnerable and disadvantaged populations?</w:t>
            </w:r>
          </w:p>
        </w:tc>
        <w:tc>
          <w:tcPr>
            <w:tcW w:w="1239" w:type="dxa"/>
            <w:tcMar>
              <w:top w:w="113" w:type="dxa"/>
              <w:bottom w:w="113" w:type="dxa"/>
            </w:tcMar>
          </w:tcPr>
          <w:p w14:paraId="6BE97B24" w14:textId="3FE022BD" w:rsidR="00837C3A" w:rsidRPr="0068472E" w:rsidRDefault="00837C3A" w:rsidP="00837C3A">
            <w:pPr>
              <w:spacing w:after="0" w:line="240" w:lineRule="auto"/>
              <w:jc w:val="center"/>
              <w:rPr>
                <w:rFonts w:cs="Calibri Light"/>
                <w:sz w:val="20"/>
                <w:szCs w:val="20"/>
                <w:lang w:val="en-GB"/>
              </w:rPr>
            </w:pPr>
            <w:r w:rsidRPr="006742A0">
              <w:rPr>
                <w:rFonts w:ascii="Wingdings" w:eastAsia="Wingdings" w:hAnsi="Wingdings" w:cs="Calibri Light"/>
                <w:color w:val="000000" w:themeColor="text1"/>
                <w:sz w:val="20"/>
                <w:szCs w:val="20"/>
                <w:lang w:val="en-GB"/>
              </w:rPr>
              <w:t>o</w:t>
            </w:r>
          </w:p>
        </w:tc>
        <w:tc>
          <w:tcPr>
            <w:tcW w:w="1134" w:type="dxa"/>
            <w:tcMar>
              <w:top w:w="113" w:type="dxa"/>
              <w:bottom w:w="113" w:type="dxa"/>
            </w:tcMar>
          </w:tcPr>
          <w:p w14:paraId="77260A03" w14:textId="14A17FAF" w:rsidR="00837C3A" w:rsidRPr="0068472E" w:rsidRDefault="00837C3A" w:rsidP="00837C3A">
            <w:pPr>
              <w:spacing w:after="0" w:line="240" w:lineRule="auto"/>
              <w:jc w:val="center"/>
              <w:rPr>
                <w:rFonts w:cs="Calibri Light"/>
                <w:sz w:val="20"/>
                <w:szCs w:val="20"/>
                <w:lang w:val="en-GB"/>
              </w:rPr>
            </w:pPr>
            <w:r w:rsidRPr="006742A0">
              <w:rPr>
                <w:rFonts w:ascii="Wingdings" w:eastAsia="Wingdings" w:hAnsi="Wingdings" w:cs="Calibri Light"/>
                <w:color w:val="000000" w:themeColor="text1"/>
                <w:sz w:val="20"/>
                <w:szCs w:val="20"/>
                <w:lang w:val="en-GB"/>
              </w:rPr>
              <w:t>o</w:t>
            </w:r>
          </w:p>
        </w:tc>
      </w:tr>
      <w:tr w:rsidR="00837C3A" w:rsidRPr="0068472E" w14:paraId="78041DAE" w14:textId="77777777" w:rsidTr="000C66C0">
        <w:trPr>
          <w:trHeight w:val="567"/>
        </w:trPr>
        <w:tc>
          <w:tcPr>
            <w:tcW w:w="6983" w:type="dxa"/>
            <w:tcMar>
              <w:top w:w="113" w:type="dxa"/>
              <w:bottom w:w="113" w:type="dxa"/>
            </w:tcMar>
            <w:vAlign w:val="center"/>
          </w:tcPr>
          <w:p w14:paraId="05BCF677" w14:textId="77777777" w:rsidR="00837C3A" w:rsidRPr="000C66C0" w:rsidRDefault="00837C3A" w:rsidP="00957584">
            <w:pPr>
              <w:pStyle w:val="ListNumber0"/>
              <w:numPr>
                <w:ilvl w:val="0"/>
                <w:numId w:val="79"/>
              </w:numPr>
              <w:rPr>
                <w:lang w:val="en-GB"/>
              </w:rPr>
            </w:pPr>
            <w:r w:rsidRPr="000C66C0">
              <w:rPr>
                <w:lang w:val="en-GB"/>
              </w:rPr>
              <w:t>are co-dependent?</w:t>
            </w:r>
          </w:p>
        </w:tc>
        <w:tc>
          <w:tcPr>
            <w:tcW w:w="1239" w:type="dxa"/>
            <w:tcMar>
              <w:top w:w="113" w:type="dxa"/>
              <w:bottom w:w="113" w:type="dxa"/>
            </w:tcMar>
          </w:tcPr>
          <w:p w14:paraId="3D47D519" w14:textId="12AC19F2" w:rsidR="00837C3A" w:rsidRPr="0068472E" w:rsidRDefault="00837C3A" w:rsidP="00837C3A">
            <w:pPr>
              <w:spacing w:after="0" w:line="240" w:lineRule="auto"/>
              <w:jc w:val="center"/>
              <w:rPr>
                <w:rFonts w:cs="Calibri Light"/>
                <w:sz w:val="20"/>
                <w:szCs w:val="20"/>
                <w:lang w:val="en-GB"/>
              </w:rPr>
            </w:pPr>
            <w:r w:rsidRPr="006742A0">
              <w:rPr>
                <w:rFonts w:ascii="Wingdings" w:eastAsia="Wingdings" w:hAnsi="Wingdings" w:cs="Calibri Light"/>
                <w:color w:val="000000" w:themeColor="text1"/>
                <w:sz w:val="20"/>
                <w:szCs w:val="20"/>
                <w:lang w:val="en-GB"/>
              </w:rPr>
              <w:t>o</w:t>
            </w:r>
          </w:p>
        </w:tc>
        <w:tc>
          <w:tcPr>
            <w:tcW w:w="1134" w:type="dxa"/>
            <w:tcMar>
              <w:top w:w="113" w:type="dxa"/>
              <w:bottom w:w="113" w:type="dxa"/>
            </w:tcMar>
          </w:tcPr>
          <w:p w14:paraId="07C6FDD2" w14:textId="6F6C0352" w:rsidR="00837C3A" w:rsidRPr="0068472E" w:rsidRDefault="00837C3A" w:rsidP="00837C3A">
            <w:pPr>
              <w:spacing w:after="0" w:line="240" w:lineRule="auto"/>
              <w:jc w:val="center"/>
              <w:rPr>
                <w:rFonts w:cs="Calibri Light"/>
                <w:sz w:val="20"/>
                <w:szCs w:val="20"/>
                <w:lang w:val="en-GB"/>
              </w:rPr>
            </w:pPr>
            <w:r w:rsidRPr="006742A0">
              <w:rPr>
                <w:rFonts w:ascii="Wingdings" w:eastAsia="Wingdings" w:hAnsi="Wingdings" w:cs="Calibri Light"/>
                <w:color w:val="000000" w:themeColor="text1"/>
                <w:sz w:val="20"/>
                <w:szCs w:val="20"/>
                <w:lang w:val="en-GB"/>
              </w:rPr>
              <w:t>o</w:t>
            </w:r>
          </w:p>
        </w:tc>
      </w:tr>
      <w:tr w:rsidR="00837C3A" w:rsidRPr="0068472E" w14:paraId="1D8EA584" w14:textId="77777777" w:rsidTr="000C66C0">
        <w:trPr>
          <w:trHeight w:val="567"/>
        </w:trPr>
        <w:tc>
          <w:tcPr>
            <w:tcW w:w="6983" w:type="dxa"/>
            <w:tcMar>
              <w:top w:w="113" w:type="dxa"/>
              <w:bottom w:w="113" w:type="dxa"/>
            </w:tcMar>
            <w:vAlign w:val="center"/>
          </w:tcPr>
          <w:p w14:paraId="50F3857C" w14:textId="77777777" w:rsidR="00837C3A" w:rsidRPr="000C66C0" w:rsidRDefault="00837C3A" w:rsidP="00957584">
            <w:pPr>
              <w:pStyle w:val="ListNumber0"/>
              <w:numPr>
                <w:ilvl w:val="0"/>
                <w:numId w:val="79"/>
              </w:numPr>
              <w:rPr>
                <w:lang w:val="en-GB"/>
              </w:rPr>
            </w:pPr>
            <w:r w:rsidRPr="000C66C0">
              <w:rPr>
                <w:lang w:val="en-GB"/>
              </w:rPr>
              <w:t>have limited evidence of long-term outcomes?</w:t>
            </w:r>
          </w:p>
        </w:tc>
        <w:tc>
          <w:tcPr>
            <w:tcW w:w="1239" w:type="dxa"/>
            <w:tcMar>
              <w:top w:w="113" w:type="dxa"/>
              <w:bottom w:w="113" w:type="dxa"/>
            </w:tcMar>
          </w:tcPr>
          <w:p w14:paraId="2954C7D4" w14:textId="1DC859A7" w:rsidR="00837C3A" w:rsidRPr="0068472E" w:rsidRDefault="00837C3A" w:rsidP="00837C3A">
            <w:pPr>
              <w:spacing w:after="0" w:line="240" w:lineRule="auto"/>
              <w:jc w:val="center"/>
              <w:rPr>
                <w:rFonts w:cs="Calibri Light"/>
                <w:sz w:val="20"/>
                <w:szCs w:val="20"/>
                <w:lang w:val="en-GB"/>
              </w:rPr>
            </w:pPr>
            <w:r w:rsidRPr="006742A0">
              <w:rPr>
                <w:rFonts w:ascii="Wingdings" w:eastAsia="Wingdings" w:hAnsi="Wingdings" w:cs="Calibri Light"/>
                <w:color w:val="000000" w:themeColor="text1"/>
                <w:sz w:val="20"/>
                <w:szCs w:val="20"/>
                <w:lang w:val="en-GB"/>
              </w:rPr>
              <w:t>o</w:t>
            </w:r>
          </w:p>
        </w:tc>
        <w:tc>
          <w:tcPr>
            <w:tcW w:w="1134" w:type="dxa"/>
            <w:tcMar>
              <w:top w:w="113" w:type="dxa"/>
              <w:bottom w:w="113" w:type="dxa"/>
            </w:tcMar>
          </w:tcPr>
          <w:p w14:paraId="3482EB6E" w14:textId="2A240EB2" w:rsidR="00837C3A" w:rsidRPr="0068472E" w:rsidRDefault="00837C3A" w:rsidP="00837C3A">
            <w:pPr>
              <w:spacing w:after="0" w:line="240" w:lineRule="auto"/>
              <w:jc w:val="center"/>
              <w:rPr>
                <w:rFonts w:cs="Calibri Light"/>
                <w:sz w:val="20"/>
                <w:szCs w:val="20"/>
                <w:lang w:val="en-GB"/>
              </w:rPr>
            </w:pPr>
            <w:r w:rsidRPr="006742A0">
              <w:rPr>
                <w:rFonts w:ascii="Wingdings" w:eastAsia="Wingdings" w:hAnsi="Wingdings" w:cs="Calibri Light"/>
                <w:color w:val="000000" w:themeColor="text1"/>
                <w:sz w:val="20"/>
                <w:szCs w:val="20"/>
                <w:lang w:val="en-GB"/>
              </w:rPr>
              <w:t>o</w:t>
            </w:r>
          </w:p>
        </w:tc>
      </w:tr>
      <w:tr w:rsidR="00DB39C8" w:rsidRPr="0068472E" w14:paraId="6C327922" w14:textId="77777777" w:rsidTr="4C4BBE38">
        <w:trPr>
          <w:trHeight w:val="567"/>
        </w:trPr>
        <w:tc>
          <w:tcPr>
            <w:tcW w:w="9356" w:type="dxa"/>
            <w:gridSpan w:val="3"/>
            <w:tcMar>
              <w:top w:w="113" w:type="dxa"/>
              <w:bottom w:w="113" w:type="dxa"/>
            </w:tcMar>
            <w:vAlign w:val="center"/>
          </w:tcPr>
          <w:p w14:paraId="04708888" w14:textId="5232EADD" w:rsidR="00215D9E" w:rsidRPr="0068472E" w:rsidRDefault="00215D9E" w:rsidP="003F72DF">
            <w:pPr>
              <w:spacing w:after="0" w:line="240" w:lineRule="auto"/>
              <w:rPr>
                <w:rFonts w:cs="Calibri Light"/>
                <w:sz w:val="20"/>
                <w:szCs w:val="20"/>
                <w:lang w:val="en-GB"/>
              </w:rPr>
            </w:pPr>
            <w:r w:rsidRPr="0068472E">
              <w:rPr>
                <w:rFonts w:cs="Calibri Light"/>
                <w:sz w:val="20"/>
                <w:szCs w:val="20"/>
                <w:lang w:val="en-GB"/>
              </w:rPr>
              <w:t>2.</w:t>
            </w:r>
            <w:r w:rsidR="008A6310" w:rsidRPr="0068472E">
              <w:rPr>
                <w:rFonts w:cs="Calibri Light"/>
                <w:sz w:val="20"/>
                <w:szCs w:val="20"/>
                <w:lang w:val="en-GB"/>
              </w:rPr>
              <w:t xml:space="preserve"> </w:t>
            </w:r>
            <w:r w:rsidRPr="0068472E">
              <w:rPr>
                <w:rFonts w:cs="Calibri Light"/>
                <w:sz w:val="20"/>
                <w:szCs w:val="20"/>
                <w:lang w:val="en-GB"/>
              </w:rPr>
              <w:t>What are the current methods/approaches to HTA with respect to:</w:t>
            </w:r>
          </w:p>
        </w:tc>
      </w:tr>
      <w:tr w:rsidR="00837C3A" w:rsidRPr="0068472E" w14:paraId="37A120C2" w14:textId="77777777" w:rsidTr="000C66C0">
        <w:trPr>
          <w:trHeight w:val="567"/>
        </w:trPr>
        <w:tc>
          <w:tcPr>
            <w:tcW w:w="6983" w:type="dxa"/>
            <w:tcMar>
              <w:top w:w="113" w:type="dxa"/>
              <w:bottom w:w="113" w:type="dxa"/>
            </w:tcMar>
            <w:vAlign w:val="center"/>
          </w:tcPr>
          <w:p w14:paraId="675E023D" w14:textId="77777777" w:rsidR="00837C3A" w:rsidRPr="000C66C0" w:rsidRDefault="00837C3A" w:rsidP="00957584">
            <w:pPr>
              <w:pStyle w:val="ListNumber0"/>
              <w:numPr>
                <w:ilvl w:val="0"/>
                <w:numId w:val="79"/>
              </w:numPr>
              <w:rPr>
                <w:lang w:val="en-GB"/>
              </w:rPr>
            </w:pPr>
            <w:r w:rsidRPr="000C66C0">
              <w:rPr>
                <w:lang w:val="en-GB"/>
              </w:rPr>
              <w:t>the use of weighted scales (e.g., multi-criteria decision analysis, distributional cost-effectiveness analysis)?</w:t>
            </w:r>
          </w:p>
        </w:tc>
        <w:tc>
          <w:tcPr>
            <w:tcW w:w="1239" w:type="dxa"/>
            <w:tcMar>
              <w:top w:w="113" w:type="dxa"/>
              <w:bottom w:w="113" w:type="dxa"/>
            </w:tcMar>
          </w:tcPr>
          <w:p w14:paraId="1C88C5CA" w14:textId="445490E4" w:rsidR="00837C3A" w:rsidRPr="0068472E" w:rsidRDefault="00837C3A" w:rsidP="00837C3A">
            <w:pPr>
              <w:spacing w:after="0" w:line="240" w:lineRule="auto"/>
              <w:jc w:val="center"/>
              <w:rPr>
                <w:rFonts w:cs="Calibri Light"/>
                <w:sz w:val="20"/>
                <w:szCs w:val="20"/>
                <w:lang w:val="en-GB"/>
              </w:rPr>
            </w:pPr>
            <w:r w:rsidRPr="005C47CA">
              <w:rPr>
                <w:rFonts w:ascii="Wingdings" w:eastAsia="Wingdings" w:hAnsi="Wingdings" w:cs="Calibri Light"/>
                <w:color w:val="000000" w:themeColor="text1"/>
                <w:sz w:val="20"/>
                <w:szCs w:val="20"/>
                <w:lang w:val="en-GB"/>
              </w:rPr>
              <w:t>o</w:t>
            </w:r>
          </w:p>
        </w:tc>
        <w:tc>
          <w:tcPr>
            <w:tcW w:w="1134" w:type="dxa"/>
            <w:tcMar>
              <w:top w:w="113" w:type="dxa"/>
              <w:bottom w:w="113" w:type="dxa"/>
            </w:tcMar>
          </w:tcPr>
          <w:p w14:paraId="461891E0" w14:textId="7B474694" w:rsidR="00837C3A" w:rsidRPr="0068472E" w:rsidRDefault="00837C3A" w:rsidP="00837C3A">
            <w:pPr>
              <w:spacing w:after="0" w:line="240" w:lineRule="auto"/>
              <w:jc w:val="center"/>
              <w:rPr>
                <w:rFonts w:cs="Calibri Light"/>
                <w:sz w:val="20"/>
                <w:szCs w:val="20"/>
                <w:lang w:val="en-GB"/>
              </w:rPr>
            </w:pPr>
            <w:r w:rsidRPr="005C47CA">
              <w:rPr>
                <w:rFonts w:ascii="Wingdings" w:eastAsia="Wingdings" w:hAnsi="Wingdings" w:cs="Calibri Light"/>
                <w:color w:val="000000" w:themeColor="text1"/>
                <w:sz w:val="20"/>
                <w:szCs w:val="20"/>
                <w:lang w:val="en-GB"/>
              </w:rPr>
              <w:t>o</w:t>
            </w:r>
          </w:p>
        </w:tc>
      </w:tr>
      <w:tr w:rsidR="00837C3A" w:rsidRPr="0068472E" w14:paraId="19971CAB" w14:textId="77777777" w:rsidTr="000C66C0">
        <w:trPr>
          <w:trHeight w:val="567"/>
        </w:trPr>
        <w:tc>
          <w:tcPr>
            <w:tcW w:w="6983" w:type="dxa"/>
            <w:tcMar>
              <w:top w:w="113" w:type="dxa"/>
              <w:bottom w:w="113" w:type="dxa"/>
            </w:tcMar>
            <w:vAlign w:val="center"/>
          </w:tcPr>
          <w:p w14:paraId="3B7278E9" w14:textId="77777777" w:rsidR="00837C3A" w:rsidRPr="000C66C0" w:rsidRDefault="00837C3A" w:rsidP="00957584">
            <w:pPr>
              <w:pStyle w:val="ListNumber0"/>
              <w:numPr>
                <w:ilvl w:val="0"/>
                <w:numId w:val="79"/>
              </w:numPr>
              <w:rPr>
                <w:rFonts w:eastAsia="Cambria"/>
                <w:lang w:val="en-GB"/>
              </w:rPr>
            </w:pPr>
            <w:r w:rsidRPr="000C66C0">
              <w:rPr>
                <w:rFonts w:eastAsia="Cambria"/>
                <w:lang w:val="en-GB"/>
              </w:rPr>
              <w:t>patient-relevant outcomes (e.g., PROMs and PREMs)?</w:t>
            </w:r>
          </w:p>
        </w:tc>
        <w:tc>
          <w:tcPr>
            <w:tcW w:w="1239" w:type="dxa"/>
            <w:tcMar>
              <w:top w:w="113" w:type="dxa"/>
              <w:bottom w:w="113" w:type="dxa"/>
            </w:tcMar>
          </w:tcPr>
          <w:p w14:paraId="31955298" w14:textId="786B8E1A" w:rsidR="00837C3A" w:rsidRPr="0068472E" w:rsidRDefault="00837C3A" w:rsidP="00837C3A">
            <w:pPr>
              <w:spacing w:after="0" w:line="240" w:lineRule="auto"/>
              <w:jc w:val="center"/>
              <w:rPr>
                <w:rFonts w:cs="Calibri Light"/>
                <w:sz w:val="20"/>
                <w:szCs w:val="20"/>
                <w:lang w:val="en-GB"/>
              </w:rPr>
            </w:pPr>
            <w:r w:rsidRPr="005C47CA">
              <w:rPr>
                <w:rFonts w:ascii="Wingdings" w:eastAsia="Wingdings" w:hAnsi="Wingdings" w:cs="Calibri Light"/>
                <w:color w:val="000000" w:themeColor="text1"/>
                <w:sz w:val="20"/>
                <w:szCs w:val="20"/>
                <w:lang w:val="en-GB"/>
              </w:rPr>
              <w:t>o</w:t>
            </w:r>
          </w:p>
        </w:tc>
        <w:tc>
          <w:tcPr>
            <w:tcW w:w="1134" w:type="dxa"/>
            <w:tcMar>
              <w:top w:w="113" w:type="dxa"/>
              <w:bottom w:w="113" w:type="dxa"/>
            </w:tcMar>
          </w:tcPr>
          <w:p w14:paraId="488E63CA" w14:textId="513782B1" w:rsidR="00837C3A" w:rsidRPr="0068472E" w:rsidRDefault="00837C3A" w:rsidP="00837C3A">
            <w:pPr>
              <w:spacing w:after="0" w:line="240" w:lineRule="auto"/>
              <w:jc w:val="center"/>
              <w:rPr>
                <w:rFonts w:cs="Calibri Light"/>
                <w:sz w:val="20"/>
                <w:szCs w:val="20"/>
                <w:lang w:val="en-GB"/>
              </w:rPr>
            </w:pPr>
            <w:r w:rsidRPr="005C47CA">
              <w:rPr>
                <w:rFonts w:ascii="Wingdings" w:eastAsia="Wingdings" w:hAnsi="Wingdings" w:cs="Calibri Light"/>
                <w:color w:val="000000" w:themeColor="text1"/>
                <w:sz w:val="20"/>
                <w:szCs w:val="20"/>
                <w:lang w:val="en-GB"/>
              </w:rPr>
              <w:t>o</w:t>
            </w:r>
          </w:p>
        </w:tc>
      </w:tr>
      <w:tr w:rsidR="00837C3A" w:rsidRPr="0068472E" w14:paraId="4446BBF7" w14:textId="77777777" w:rsidTr="000C66C0">
        <w:trPr>
          <w:trHeight w:val="567"/>
        </w:trPr>
        <w:tc>
          <w:tcPr>
            <w:tcW w:w="6983" w:type="dxa"/>
            <w:tcMar>
              <w:top w:w="113" w:type="dxa"/>
              <w:bottom w:w="113" w:type="dxa"/>
            </w:tcMar>
            <w:vAlign w:val="center"/>
          </w:tcPr>
          <w:p w14:paraId="55338F42" w14:textId="77777777" w:rsidR="00837C3A" w:rsidRPr="000C66C0" w:rsidRDefault="00837C3A" w:rsidP="00957584">
            <w:pPr>
              <w:pStyle w:val="ListNumber0"/>
              <w:numPr>
                <w:ilvl w:val="0"/>
                <w:numId w:val="79"/>
              </w:numPr>
              <w:rPr>
                <w:rFonts w:eastAsia="Cambria"/>
                <w:lang w:val="en-GB"/>
              </w:rPr>
            </w:pPr>
            <w:r w:rsidRPr="000C66C0">
              <w:rPr>
                <w:rFonts w:eastAsia="Cambria"/>
                <w:lang w:val="en-GB"/>
              </w:rPr>
              <w:t>consideration of patient preferences?</w:t>
            </w:r>
          </w:p>
        </w:tc>
        <w:tc>
          <w:tcPr>
            <w:tcW w:w="1239" w:type="dxa"/>
            <w:tcMar>
              <w:top w:w="113" w:type="dxa"/>
              <w:bottom w:w="113" w:type="dxa"/>
            </w:tcMar>
          </w:tcPr>
          <w:p w14:paraId="360BA73A" w14:textId="599D94E5" w:rsidR="00837C3A" w:rsidRPr="0068472E" w:rsidRDefault="00837C3A" w:rsidP="00837C3A">
            <w:pPr>
              <w:spacing w:after="0" w:line="240" w:lineRule="auto"/>
              <w:jc w:val="center"/>
              <w:rPr>
                <w:rFonts w:cs="Calibri Light"/>
                <w:sz w:val="20"/>
                <w:szCs w:val="20"/>
                <w:lang w:val="en-GB"/>
              </w:rPr>
            </w:pPr>
            <w:r w:rsidRPr="005C47CA">
              <w:rPr>
                <w:rFonts w:ascii="Wingdings" w:eastAsia="Wingdings" w:hAnsi="Wingdings" w:cs="Calibri Light"/>
                <w:color w:val="000000" w:themeColor="text1"/>
                <w:sz w:val="20"/>
                <w:szCs w:val="20"/>
                <w:lang w:val="en-GB"/>
              </w:rPr>
              <w:t>o</w:t>
            </w:r>
          </w:p>
        </w:tc>
        <w:tc>
          <w:tcPr>
            <w:tcW w:w="1134" w:type="dxa"/>
            <w:tcMar>
              <w:top w:w="113" w:type="dxa"/>
              <w:bottom w:w="113" w:type="dxa"/>
            </w:tcMar>
          </w:tcPr>
          <w:p w14:paraId="781B2426" w14:textId="0D65F1CE" w:rsidR="00837C3A" w:rsidRPr="0068472E" w:rsidRDefault="00837C3A" w:rsidP="00837C3A">
            <w:pPr>
              <w:spacing w:after="0" w:line="240" w:lineRule="auto"/>
              <w:jc w:val="center"/>
              <w:rPr>
                <w:rFonts w:cs="Calibri Light"/>
                <w:sz w:val="20"/>
                <w:szCs w:val="20"/>
                <w:lang w:val="en-GB"/>
              </w:rPr>
            </w:pPr>
            <w:r w:rsidRPr="005C47CA">
              <w:rPr>
                <w:rFonts w:ascii="Wingdings" w:eastAsia="Wingdings" w:hAnsi="Wingdings" w:cs="Calibri Light"/>
                <w:color w:val="000000" w:themeColor="text1"/>
                <w:sz w:val="20"/>
                <w:szCs w:val="20"/>
                <w:lang w:val="en-GB"/>
              </w:rPr>
              <w:t>o</w:t>
            </w:r>
          </w:p>
        </w:tc>
      </w:tr>
      <w:tr w:rsidR="00837C3A" w:rsidRPr="0068472E" w14:paraId="54225916" w14:textId="77777777" w:rsidTr="000C66C0">
        <w:trPr>
          <w:trHeight w:val="567"/>
        </w:trPr>
        <w:tc>
          <w:tcPr>
            <w:tcW w:w="6983" w:type="dxa"/>
            <w:tcMar>
              <w:top w:w="113" w:type="dxa"/>
              <w:bottom w:w="113" w:type="dxa"/>
            </w:tcMar>
            <w:vAlign w:val="center"/>
          </w:tcPr>
          <w:p w14:paraId="68A5DDCD" w14:textId="77777777" w:rsidR="00837C3A" w:rsidRPr="000C66C0" w:rsidRDefault="00837C3A" w:rsidP="00957584">
            <w:pPr>
              <w:pStyle w:val="ListNumber0"/>
              <w:numPr>
                <w:ilvl w:val="0"/>
                <w:numId w:val="79"/>
              </w:numPr>
              <w:rPr>
                <w:rFonts w:eastAsia="Cambria"/>
                <w:lang w:val="en-GB"/>
              </w:rPr>
            </w:pPr>
            <w:r w:rsidRPr="000C66C0">
              <w:rPr>
                <w:rFonts w:eastAsia="Cambria"/>
                <w:lang w:val="en-GB"/>
              </w:rPr>
              <w:t>indirect and non-health benefits and harms?</w:t>
            </w:r>
          </w:p>
        </w:tc>
        <w:tc>
          <w:tcPr>
            <w:tcW w:w="1239" w:type="dxa"/>
            <w:tcMar>
              <w:top w:w="113" w:type="dxa"/>
              <w:bottom w:w="113" w:type="dxa"/>
            </w:tcMar>
          </w:tcPr>
          <w:p w14:paraId="3E3AF0F7" w14:textId="1AFA32CC" w:rsidR="00837C3A" w:rsidRPr="0068472E" w:rsidRDefault="00837C3A" w:rsidP="00837C3A">
            <w:pPr>
              <w:spacing w:after="0" w:line="240" w:lineRule="auto"/>
              <w:jc w:val="center"/>
              <w:rPr>
                <w:rFonts w:cs="Calibri Light"/>
                <w:sz w:val="20"/>
                <w:szCs w:val="20"/>
                <w:lang w:val="en-GB"/>
              </w:rPr>
            </w:pPr>
            <w:r w:rsidRPr="00C17659">
              <w:rPr>
                <w:rFonts w:ascii="Wingdings" w:eastAsia="Wingdings" w:hAnsi="Wingdings" w:cs="Calibri Light"/>
                <w:color w:val="000000" w:themeColor="text1"/>
                <w:sz w:val="20"/>
                <w:szCs w:val="20"/>
                <w:lang w:val="en-GB"/>
              </w:rPr>
              <w:t>o</w:t>
            </w:r>
          </w:p>
        </w:tc>
        <w:tc>
          <w:tcPr>
            <w:tcW w:w="1134" w:type="dxa"/>
            <w:tcMar>
              <w:top w:w="113" w:type="dxa"/>
              <w:bottom w:w="113" w:type="dxa"/>
            </w:tcMar>
          </w:tcPr>
          <w:p w14:paraId="763B185B" w14:textId="0B7B701D" w:rsidR="00837C3A" w:rsidRPr="0068472E" w:rsidRDefault="00837C3A" w:rsidP="00837C3A">
            <w:pPr>
              <w:spacing w:after="0" w:line="240" w:lineRule="auto"/>
              <w:jc w:val="center"/>
              <w:rPr>
                <w:rFonts w:cs="Calibri Light"/>
                <w:sz w:val="20"/>
                <w:szCs w:val="20"/>
                <w:lang w:val="en-GB"/>
              </w:rPr>
            </w:pPr>
            <w:r w:rsidRPr="00C17659">
              <w:rPr>
                <w:rFonts w:ascii="Wingdings" w:eastAsia="Wingdings" w:hAnsi="Wingdings" w:cs="Calibri Light"/>
                <w:color w:val="000000" w:themeColor="text1"/>
                <w:sz w:val="20"/>
                <w:szCs w:val="20"/>
                <w:lang w:val="en-GB"/>
              </w:rPr>
              <w:t>o</w:t>
            </w:r>
          </w:p>
        </w:tc>
      </w:tr>
      <w:tr w:rsidR="00837C3A" w:rsidRPr="0068472E" w14:paraId="34C05FB2" w14:textId="77777777" w:rsidTr="000C66C0">
        <w:trPr>
          <w:trHeight w:val="567"/>
        </w:trPr>
        <w:tc>
          <w:tcPr>
            <w:tcW w:w="6983" w:type="dxa"/>
            <w:tcMar>
              <w:top w:w="113" w:type="dxa"/>
              <w:bottom w:w="113" w:type="dxa"/>
            </w:tcMar>
            <w:vAlign w:val="center"/>
          </w:tcPr>
          <w:p w14:paraId="44C08EC3" w14:textId="77777777" w:rsidR="00837C3A" w:rsidRPr="000C66C0" w:rsidRDefault="00837C3A" w:rsidP="00957584">
            <w:pPr>
              <w:pStyle w:val="ListNumber0"/>
              <w:numPr>
                <w:ilvl w:val="0"/>
                <w:numId w:val="79"/>
              </w:numPr>
              <w:rPr>
                <w:rFonts w:eastAsia="Cambria"/>
                <w:lang w:val="en-GB"/>
              </w:rPr>
            </w:pPr>
            <w:r w:rsidRPr="000C66C0">
              <w:rPr>
                <w:rFonts w:eastAsia="Cambria"/>
                <w:lang w:val="en-GB"/>
              </w:rPr>
              <w:t xml:space="preserve">extrapolation? </w:t>
            </w:r>
          </w:p>
        </w:tc>
        <w:tc>
          <w:tcPr>
            <w:tcW w:w="1239" w:type="dxa"/>
            <w:tcMar>
              <w:top w:w="113" w:type="dxa"/>
              <w:bottom w:w="113" w:type="dxa"/>
            </w:tcMar>
          </w:tcPr>
          <w:p w14:paraId="2A31ACA7" w14:textId="1988BE43" w:rsidR="00837C3A" w:rsidRPr="0068472E" w:rsidRDefault="00837C3A" w:rsidP="00837C3A">
            <w:pPr>
              <w:spacing w:after="0" w:line="240" w:lineRule="auto"/>
              <w:jc w:val="center"/>
              <w:rPr>
                <w:rFonts w:cs="Calibri Light"/>
                <w:sz w:val="20"/>
                <w:szCs w:val="20"/>
                <w:lang w:val="en-GB"/>
              </w:rPr>
            </w:pPr>
            <w:r w:rsidRPr="00C17659">
              <w:rPr>
                <w:rFonts w:ascii="Wingdings" w:eastAsia="Wingdings" w:hAnsi="Wingdings" w:cs="Calibri Light"/>
                <w:color w:val="000000" w:themeColor="text1"/>
                <w:sz w:val="20"/>
                <w:szCs w:val="20"/>
                <w:lang w:val="en-GB"/>
              </w:rPr>
              <w:t>o</w:t>
            </w:r>
          </w:p>
        </w:tc>
        <w:tc>
          <w:tcPr>
            <w:tcW w:w="1134" w:type="dxa"/>
            <w:tcMar>
              <w:top w:w="113" w:type="dxa"/>
              <w:bottom w:w="113" w:type="dxa"/>
            </w:tcMar>
          </w:tcPr>
          <w:p w14:paraId="4EB94607" w14:textId="2DF7CCE2" w:rsidR="00837C3A" w:rsidRPr="0068472E" w:rsidRDefault="00837C3A" w:rsidP="00837C3A">
            <w:pPr>
              <w:spacing w:after="0" w:line="240" w:lineRule="auto"/>
              <w:jc w:val="center"/>
              <w:rPr>
                <w:rFonts w:cs="Calibri Light"/>
                <w:sz w:val="20"/>
                <w:szCs w:val="20"/>
                <w:lang w:val="en-GB"/>
              </w:rPr>
            </w:pPr>
            <w:r w:rsidRPr="00C17659">
              <w:rPr>
                <w:rFonts w:ascii="Wingdings" w:eastAsia="Wingdings" w:hAnsi="Wingdings" w:cs="Calibri Light"/>
                <w:color w:val="000000" w:themeColor="text1"/>
                <w:sz w:val="20"/>
                <w:szCs w:val="20"/>
                <w:lang w:val="en-GB"/>
              </w:rPr>
              <w:t>o</w:t>
            </w:r>
          </w:p>
        </w:tc>
      </w:tr>
      <w:tr w:rsidR="00837C3A" w:rsidRPr="0068472E" w14:paraId="696BA96C" w14:textId="77777777" w:rsidTr="000C66C0">
        <w:trPr>
          <w:trHeight w:val="567"/>
        </w:trPr>
        <w:tc>
          <w:tcPr>
            <w:tcW w:w="6983" w:type="dxa"/>
            <w:tcMar>
              <w:top w:w="113" w:type="dxa"/>
              <w:bottom w:w="113" w:type="dxa"/>
            </w:tcMar>
            <w:vAlign w:val="center"/>
          </w:tcPr>
          <w:p w14:paraId="532411BF" w14:textId="77777777" w:rsidR="00837C3A" w:rsidRPr="000C66C0" w:rsidRDefault="00837C3A" w:rsidP="00957584">
            <w:pPr>
              <w:pStyle w:val="ListNumber0"/>
              <w:numPr>
                <w:ilvl w:val="0"/>
                <w:numId w:val="79"/>
              </w:numPr>
              <w:rPr>
                <w:rFonts w:eastAsia="Cambria"/>
                <w:lang w:val="en-GB"/>
              </w:rPr>
            </w:pPr>
            <w:r w:rsidRPr="000C66C0">
              <w:rPr>
                <w:rFonts w:eastAsia="Cambria"/>
                <w:lang w:val="en-GB"/>
              </w:rPr>
              <w:t>discounting?</w:t>
            </w:r>
          </w:p>
        </w:tc>
        <w:tc>
          <w:tcPr>
            <w:tcW w:w="1239" w:type="dxa"/>
            <w:tcMar>
              <w:top w:w="113" w:type="dxa"/>
              <w:bottom w:w="113" w:type="dxa"/>
            </w:tcMar>
          </w:tcPr>
          <w:p w14:paraId="29C99D50" w14:textId="167BCAF4" w:rsidR="00837C3A" w:rsidRPr="0068472E" w:rsidRDefault="00837C3A" w:rsidP="00837C3A">
            <w:pPr>
              <w:spacing w:after="0" w:line="240" w:lineRule="auto"/>
              <w:jc w:val="center"/>
              <w:rPr>
                <w:rFonts w:cs="Calibri Light"/>
                <w:sz w:val="20"/>
                <w:szCs w:val="20"/>
                <w:lang w:val="en-GB"/>
              </w:rPr>
            </w:pPr>
            <w:r w:rsidRPr="00C17659">
              <w:rPr>
                <w:rFonts w:ascii="Wingdings" w:eastAsia="Wingdings" w:hAnsi="Wingdings" w:cs="Calibri Light"/>
                <w:color w:val="000000" w:themeColor="text1"/>
                <w:sz w:val="20"/>
                <w:szCs w:val="20"/>
                <w:lang w:val="en-GB"/>
              </w:rPr>
              <w:t>o</w:t>
            </w:r>
          </w:p>
        </w:tc>
        <w:tc>
          <w:tcPr>
            <w:tcW w:w="1134" w:type="dxa"/>
            <w:tcMar>
              <w:top w:w="113" w:type="dxa"/>
              <w:bottom w:w="113" w:type="dxa"/>
            </w:tcMar>
          </w:tcPr>
          <w:p w14:paraId="36A4C022" w14:textId="2625A5BE" w:rsidR="00837C3A" w:rsidRPr="0068472E" w:rsidRDefault="00837C3A" w:rsidP="00837C3A">
            <w:pPr>
              <w:spacing w:after="0" w:line="240" w:lineRule="auto"/>
              <w:jc w:val="center"/>
              <w:rPr>
                <w:rFonts w:cs="Calibri Light"/>
                <w:sz w:val="20"/>
                <w:szCs w:val="20"/>
                <w:lang w:val="en-GB"/>
              </w:rPr>
            </w:pPr>
            <w:r w:rsidRPr="00C17659">
              <w:rPr>
                <w:rFonts w:ascii="Wingdings" w:eastAsia="Wingdings" w:hAnsi="Wingdings" w:cs="Calibri Light"/>
                <w:color w:val="000000" w:themeColor="text1"/>
                <w:sz w:val="20"/>
                <w:szCs w:val="20"/>
                <w:lang w:val="en-GB"/>
              </w:rPr>
              <w:t>o</w:t>
            </w:r>
          </w:p>
        </w:tc>
      </w:tr>
      <w:tr w:rsidR="00DB39C8" w:rsidRPr="0068472E" w14:paraId="1F523D24" w14:textId="77777777" w:rsidTr="4C4BBE38">
        <w:trPr>
          <w:trHeight w:val="567"/>
        </w:trPr>
        <w:tc>
          <w:tcPr>
            <w:tcW w:w="9356" w:type="dxa"/>
            <w:gridSpan w:val="3"/>
            <w:tcMar>
              <w:top w:w="113" w:type="dxa"/>
              <w:bottom w:w="113" w:type="dxa"/>
            </w:tcMar>
            <w:vAlign w:val="center"/>
          </w:tcPr>
          <w:p w14:paraId="624F829A" w14:textId="77777777" w:rsidR="00215D9E" w:rsidRPr="0068472E" w:rsidRDefault="00215D9E" w:rsidP="003F72DF">
            <w:pPr>
              <w:spacing w:after="0" w:line="240" w:lineRule="auto"/>
              <w:rPr>
                <w:rFonts w:cs="Calibri Light"/>
                <w:sz w:val="20"/>
                <w:szCs w:val="20"/>
                <w:lang w:val="en-GB"/>
              </w:rPr>
            </w:pPr>
            <w:r w:rsidRPr="0068472E">
              <w:rPr>
                <w:rFonts w:cs="Calibri Light"/>
                <w:sz w:val="20"/>
                <w:szCs w:val="20"/>
                <w:lang w:val="en-GB"/>
              </w:rPr>
              <w:t>3. How is uncertainty managed with respect to:</w:t>
            </w:r>
          </w:p>
        </w:tc>
      </w:tr>
      <w:tr w:rsidR="00DB39C8" w:rsidRPr="0068472E" w14:paraId="57186D08" w14:textId="77777777" w:rsidTr="4C4BBE38">
        <w:trPr>
          <w:trHeight w:val="567"/>
        </w:trPr>
        <w:tc>
          <w:tcPr>
            <w:tcW w:w="6983" w:type="dxa"/>
            <w:tcMar>
              <w:top w:w="113" w:type="dxa"/>
              <w:bottom w:w="113" w:type="dxa"/>
            </w:tcMar>
            <w:vAlign w:val="center"/>
          </w:tcPr>
          <w:p w14:paraId="310056D6" w14:textId="77777777" w:rsidR="00215D9E" w:rsidRPr="000C66C0" w:rsidRDefault="00215D9E" w:rsidP="00957584">
            <w:pPr>
              <w:pStyle w:val="ListNumber0"/>
              <w:numPr>
                <w:ilvl w:val="0"/>
                <w:numId w:val="79"/>
              </w:numPr>
              <w:rPr>
                <w:rFonts w:eastAsia="Cambria"/>
                <w:lang w:val="en-GB"/>
              </w:rPr>
            </w:pPr>
            <w:r w:rsidRPr="000C66C0">
              <w:rPr>
                <w:lang w:val="en-GB"/>
              </w:rPr>
              <w:t>clinical evidence?</w:t>
            </w:r>
          </w:p>
        </w:tc>
        <w:tc>
          <w:tcPr>
            <w:tcW w:w="1239" w:type="dxa"/>
            <w:tcMar>
              <w:top w:w="113" w:type="dxa"/>
              <w:bottom w:w="113" w:type="dxa"/>
            </w:tcMar>
            <w:vAlign w:val="center"/>
          </w:tcPr>
          <w:p w14:paraId="75101187" w14:textId="0D543F38" w:rsidR="00215D9E" w:rsidRPr="0068472E" w:rsidRDefault="00837C3A" w:rsidP="003F72DF">
            <w:pPr>
              <w:spacing w:after="0" w:line="240" w:lineRule="auto"/>
              <w:jc w:val="center"/>
              <w:rPr>
                <w:rFonts w:cs="Calibri Light"/>
                <w:sz w:val="20"/>
                <w:szCs w:val="20"/>
                <w:lang w:val="en-GB"/>
              </w:rPr>
            </w:pPr>
            <w:r>
              <w:rPr>
                <w:rFonts w:ascii="Wingdings" w:eastAsia="Wingdings" w:hAnsi="Wingdings" w:cs="Calibri Light"/>
                <w:color w:val="000000" w:themeColor="text1"/>
                <w:sz w:val="20"/>
                <w:szCs w:val="20"/>
                <w:lang w:val="en-GB"/>
              </w:rPr>
              <w:t>o</w:t>
            </w:r>
          </w:p>
        </w:tc>
        <w:tc>
          <w:tcPr>
            <w:tcW w:w="1134" w:type="dxa"/>
            <w:tcMar>
              <w:top w:w="113" w:type="dxa"/>
              <w:bottom w:w="113" w:type="dxa"/>
            </w:tcMar>
            <w:vAlign w:val="center"/>
          </w:tcPr>
          <w:p w14:paraId="047D5451" w14:textId="740A0EF9" w:rsidR="00215D9E" w:rsidRPr="0068472E" w:rsidRDefault="00837C3A" w:rsidP="003F72DF">
            <w:pPr>
              <w:spacing w:after="0" w:line="240" w:lineRule="auto"/>
              <w:jc w:val="center"/>
              <w:rPr>
                <w:rFonts w:cs="Calibri Light"/>
                <w:sz w:val="20"/>
                <w:szCs w:val="20"/>
                <w:lang w:val="en-GB"/>
              </w:rPr>
            </w:pPr>
            <w:r>
              <w:rPr>
                <w:rFonts w:ascii="Wingdings" w:eastAsia="Wingdings" w:hAnsi="Wingdings" w:cs="Calibri Light"/>
                <w:color w:val="000000" w:themeColor="text1"/>
                <w:sz w:val="20"/>
                <w:szCs w:val="20"/>
                <w:lang w:val="en-GB"/>
              </w:rPr>
              <w:t>o</w:t>
            </w:r>
          </w:p>
        </w:tc>
      </w:tr>
      <w:tr w:rsidR="00837C3A" w:rsidRPr="0068472E" w14:paraId="44350D96" w14:textId="77777777" w:rsidTr="000C66C0">
        <w:trPr>
          <w:trHeight w:val="567"/>
        </w:trPr>
        <w:tc>
          <w:tcPr>
            <w:tcW w:w="6983" w:type="dxa"/>
            <w:tcMar>
              <w:top w:w="113" w:type="dxa"/>
              <w:bottom w:w="113" w:type="dxa"/>
            </w:tcMar>
            <w:vAlign w:val="center"/>
          </w:tcPr>
          <w:p w14:paraId="5F1BC24B" w14:textId="77777777" w:rsidR="00837C3A" w:rsidRPr="000C66C0" w:rsidRDefault="00837C3A" w:rsidP="00957584">
            <w:pPr>
              <w:pStyle w:val="ListNumber0"/>
              <w:numPr>
                <w:ilvl w:val="0"/>
                <w:numId w:val="79"/>
              </w:numPr>
              <w:rPr>
                <w:lang w:val="en-GB"/>
              </w:rPr>
            </w:pPr>
            <w:r w:rsidRPr="000C66C0">
              <w:rPr>
                <w:lang w:val="en-GB"/>
              </w:rPr>
              <w:t>estimation of health economic value?</w:t>
            </w:r>
          </w:p>
        </w:tc>
        <w:tc>
          <w:tcPr>
            <w:tcW w:w="1239" w:type="dxa"/>
            <w:tcMar>
              <w:top w:w="113" w:type="dxa"/>
              <w:bottom w:w="113" w:type="dxa"/>
            </w:tcMar>
          </w:tcPr>
          <w:p w14:paraId="46F990C9" w14:textId="40ED592C" w:rsidR="00837C3A" w:rsidRPr="0068472E" w:rsidRDefault="00837C3A" w:rsidP="00837C3A">
            <w:pPr>
              <w:spacing w:after="0" w:line="240" w:lineRule="auto"/>
              <w:jc w:val="center"/>
              <w:rPr>
                <w:rFonts w:cs="Calibri Light"/>
                <w:sz w:val="20"/>
                <w:szCs w:val="20"/>
                <w:lang w:val="en-GB"/>
              </w:rPr>
            </w:pPr>
            <w:r w:rsidRPr="001C69F4">
              <w:rPr>
                <w:rFonts w:ascii="Wingdings" w:eastAsia="Wingdings" w:hAnsi="Wingdings" w:cs="Calibri Light"/>
                <w:color w:val="000000" w:themeColor="text1"/>
                <w:sz w:val="20"/>
                <w:szCs w:val="20"/>
                <w:lang w:val="en-GB"/>
              </w:rPr>
              <w:t>o</w:t>
            </w:r>
          </w:p>
        </w:tc>
        <w:tc>
          <w:tcPr>
            <w:tcW w:w="1134" w:type="dxa"/>
            <w:tcMar>
              <w:top w:w="113" w:type="dxa"/>
              <w:bottom w:w="113" w:type="dxa"/>
            </w:tcMar>
          </w:tcPr>
          <w:p w14:paraId="6F344B2E" w14:textId="6C82CA6B" w:rsidR="00837C3A" w:rsidRPr="0068472E" w:rsidRDefault="00837C3A" w:rsidP="00837C3A">
            <w:pPr>
              <w:spacing w:after="0" w:line="240" w:lineRule="auto"/>
              <w:jc w:val="center"/>
              <w:rPr>
                <w:rFonts w:cs="Calibri Light"/>
                <w:sz w:val="20"/>
                <w:szCs w:val="20"/>
                <w:lang w:val="en-GB"/>
              </w:rPr>
            </w:pPr>
            <w:r w:rsidRPr="001C69F4">
              <w:rPr>
                <w:rFonts w:ascii="Wingdings" w:eastAsia="Wingdings" w:hAnsi="Wingdings" w:cs="Calibri Light"/>
                <w:color w:val="000000" w:themeColor="text1"/>
                <w:sz w:val="20"/>
                <w:szCs w:val="20"/>
                <w:lang w:val="en-GB"/>
              </w:rPr>
              <w:t>o</w:t>
            </w:r>
          </w:p>
        </w:tc>
      </w:tr>
      <w:tr w:rsidR="00837C3A" w:rsidRPr="0068472E" w14:paraId="5F7B62FA" w14:textId="77777777" w:rsidTr="000C66C0">
        <w:trPr>
          <w:trHeight w:val="567"/>
        </w:trPr>
        <w:tc>
          <w:tcPr>
            <w:tcW w:w="6983" w:type="dxa"/>
            <w:tcMar>
              <w:top w:w="113" w:type="dxa"/>
              <w:bottom w:w="113" w:type="dxa"/>
            </w:tcMar>
            <w:vAlign w:val="center"/>
          </w:tcPr>
          <w:p w14:paraId="4257004B" w14:textId="77777777" w:rsidR="00837C3A" w:rsidRPr="000C66C0" w:rsidRDefault="00837C3A" w:rsidP="00957584">
            <w:pPr>
              <w:pStyle w:val="ListNumber0"/>
              <w:numPr>
                <w:ilvl w:val="0"/>
                <w:numId w:val="79"/>
              </w:numPr>
              <w:rPr>
                <w:lang w:val="en-GB"/>
              </w:rPr>
            </w:pPr>
            <w:r w:rsidRPr="000C66C0">
              <w:rPr>
                <w:lang w:val="en-GB"/>
              </w:rPr>
              <w:t>population, uptake and expenditure (i.e., budget impact)?</w:t>
            </w:r>
          </w:p>
        </w:tc>
        <w:tc>
          <w:tcPr>
            <w:tcW w:w="1239" w:type="dxa"/>
            <w:tcMar>
              <w:top w:w="113" w:type="dxa"/>
              <w:bottom w:w="113" w:type="dxa"/>
            </w:tcMar>
          </w:tcPr>
          <w:p w14:paraId="1EB31E0E" w14:textId="709C581D" w:rsidR="00837C3A" w:rsidRPr="0068472E" w:rsidRDefault="00837C3A" w:rsidP="00837C3A">
            <w:pPr>
              <w:spacing w:after="0" w:line="240" w:lineRule="auto"/>
              <w:jc w:val="center"/>
              <w:rPr>
                <w:rFonts w:cs="Calibri Light"/>
                <w:sz w:val="20"/>
                <w:szCs w:val="20"/>
                <w:lang w:val="en-GB"/>
              </w:rPr>
            </w:pPr>
            <w:r w:rsidRPr="001C69F4">
              <w:rPr>
                <w:rFonts w:ascii="Wingdings" w:eastAsia="Wingdings" w:hAnsi="Wingdings" w:cs="Calibri Light"/>
                <w:color w:val="000000" w:themeColor="text1"/>
                <w:sz w:val="20"/>
                <w:szCs w:val="20"/>
                <w:lang w:val="en-GB"/>
              </w:rPr>
              <w:t>o</w:t>
            </w:r>
          </w:p>
        </w:tc>
        <w:tc>
          <w:tcPr>
            <w:tcW w:w="1134" w:type="dxa"/>
            <w:tcMar>
              <w:top w:w="113" w:type="dxa"/>
              <w:bottom w:w="113" w:type="dxa"/>
            </w:tcMar>
          </w:tcPr>
          <w:p w14:paraId="5894CCA3" w14:textId="38ED4A4B" w:rsidR="00837C3A" w:rsidRPr="0068472E" w:rsidRDefault="00837C3A" w:rsidP="00837C3A">
            <w:pPr>
              <w:spacing w:after="0" w:line="240" w:lineRule="auto"/>
              <w:jc w:val="center"/>
              <w:rPr>
                <w:rFonts w:cs="Calibri Light"/>
                <w:sz w:val="20"/>
                <w:szCs w:val="20"/>
                <w:lang w:val="en-GB"/>
              </w:rPr>
            </w:pPr>
            <w:r w:rsidRPr="001C69F4">
              <w:rPr>
                <w:rFonts w:ascii="Wingdings" w:eastAsia="Wingdings" w:hAnsi="Wingdings" w:cs="Calibri Light"/>
                <w:color w:val="000000" w:themeColor="text1"/>
                <w:sz w:val="20"/>
                <w:szCs w:val="20"/>
                <w:lang w:val="en-GB"/>
              </w:rPr>
              <w:t>o</w:t>
            </w:r>
          </w:p>
        </w:tc>
      </w:tr>
      <w:tr w:rsidR="00837C3A" w:rsidRPr="0068472E" w14:paraId="6B09F7C2" w14:textId="77777777" w:rsidTr="000C66C0">
        <w:trPr>
          <w:trHeight w:val="567"/>
        </w:trPr>
        <w:tc>
          <w:tcPr>
            <w:tcW w:w="6983" w:type="dxa"/>
            <w:tcMar>
              <w:top w:w="113" w:type="dxa"/>
              <w:bottom w:w="113" w:type="dxa"/>
            </w:tcMar>
            <w:vAlign w:val="center"/>
          </w:tcPr>
          <w:p w14:paraId="1B9101E4" w14:textId="77777777" w:rsidR="00837C3A" w:rsidRPr="000C66C0" w:rsidRDefault="00837C3A" w:rsidP="00957584">
            <w:pPr>
              <w:pStyle w:val="ListNumber0"/>
              <w:numPr>
                <w:ilvl w:val="0"/>
                <w:numId w:val="79"/>
              </w:numPr>
              <w:rPr>
                <w:lang w:val="en-GB"/>
              </w:rPr>
            </w:pPr>
            <w:r w:rsidRPr="000C66C0">
              <w:rPr>
                <w:lang w:val="en-GB"/>
              </w:rPr>
              <w:t>technological innovation/obsolescence?</w:t>
            </w:r>
          </w:p>
        </w:tc>
        <w:tc>
          <w:tcPr>
            <w:tcW w:w="1239" w:type="dxa"/>
            <w:tcMar>
              <w:top w:w="113" w:type="dxa"/>
              <w:bottom w:w="113" w:type="dxa"/>
            </w:tcMar>
          </w:tcPr>
          <w:p w14:paraId="25023EFA" w14:textId="0247FF88" w:rsidR="00837C3A" w:rsidRPr="0068472E" w:rsidRDefault="00837C3A" w:rsidP="00837C3A">
            <w:pPr>
              <w:spacing w:after="0" w:line="240" w:lineRule="auto"/>
              <w:jc w:val="center"/>
              <w:rPr>
                <w:rFonts w:cs="Calibri Light"/>
                <w:sz w:val="20"/>
                <w:szCs w:val="20"/>
                <w:lang w:val="en-GB"/>
              </w:rPr>
            </w:pPr>
            <w:r w:rsidRPr="001C69F4">
              <w:rPr>
                <w:rFonts w:ascii="Wingdings" w:eastAsia="Wingdings" w:hAnsi="Wingdings" w:cs="Calibri Light"/>
                <w:color w:val="000000" w:themeColor="text1"/>
                <w:sz w:val="20"/>
                <w:szCs w:val="20"/>
                <w:lang w:val="en-GB"/>
              </w:rPr>
              <w:t>o</w:t>
            </w:r>
          </w:p>
        </w:tc>
        <w:tc>
          <w:tcPr>
            <w:tcW w:w="1134" w:type="dxa"/>
            <w:tcMar>
              <w:top w:w="113" w:type="dxa"/>
              <w:bottom w:w="113" w:type="dxa"/>
            </w:tcMar>
          </w:tcPr>
          <w:p w14:paraId="6236CAAB" w14:textId="1F22C78B" w:rsidR="00837C3A" w:rsidRPr="0068472E" w:rsidRDefault="00837C3A" w:rsidP="00837C3A">
            <w:pPr>
              <w:spacing w:after="0" w:line="240" w:lineRule="auto"/>
              <w:jc w:val="center"/>
              <w:rPr>
                <w:rFonts w:cs="Calibri Light"/>
                <w:sz w:val="20"/>
                <w:szCs w:val="20"/>
                <w:lang w:val="en-GB"/>
              </w:rPr>
            </w:pPr>
            <w:r w:rsidRPr="001C69F4">
              <w:rPr>
                <w:rFonts w:ascii="Wingdings" w:eastAsia="Wingdings" w:hAnsi="Wingdings" w:cs="Calibri Light"/>
                <w:color w:val="000000" w:themeColor="text1"/>
                <w:sz w:val="20"/>
                <w:szCs w:val="20"/>
                <w:lang w:val="en-GB"/>
              </w:rPr>
              <w:t>o</w:t>
            </w:r>
          </w:p>
        </w:tc>
      </w:tr>
      <w:tr w:rsidR="00DB39C8" w:rsidRPr="0068472E" w14:paraId="628C5488" w14:textId="77777777" w:rsidTr="4C4BBE38">
        <w:trPr>
          <w:trHeight w:val="567"/>
        </w:trPr>
        <w:tc>
          <w:tcPr>
            <w:tcW w:w="9356" w:type="dxa"/>
            <w:gridSpan w:val="3"/>
            <w:tcMar>
              <w:top w:w="113" w:type="dxa"/>
              <w:bottom w:w="113" w:type="dxa"/>
            </w:tcMar>
            <w:vAlign w:val="center"/>
          </w:tcPr>
          <w:p w14:paraId="7872AE0E" w14:textId="77777777" w:rsidR="00215D9E" w:rsidRPr="0068472E" w:rsidRDefault="00215D9E" w:rsidP="003F72DF">
            <w:pPr>
              <w:spacing w:after="0" w:line="240" w:lineRule="auto"/>
              <w:rPr>
                <w:rFonts w:cs="Calibri Light"/>
                <w:sz w:val="20"/>
                <w:szCs w:val="20"/>
                <w:lang w:val="en-GB"/>
              </w:rPr>
            </w:pPr>
            <w:r w:rsidRPr="0068472E">
              <w:rPr>
                <w:rFonts w:cs="Calibri Light"/>
                <w:sz w:val="20"/>
                <w:szCs w:val="20"/>
                <w:lang w:val="en-GB"/>
              </w:rPr>
              <w:t>4. How and to what extent have recent reforms:</w:t>
            </w:r>
          </w:p>
        </w:tc>
      </w:tr>
      <w:tr w:rsidR="00837C3A" w:rsidRPr="0068472E" w14:paraId="5A4F0425" w14:textId="77777777" w:rsidTr="000C66C0">
        <w:trPr>
          <w:trHeight w:val="567"/>
        </w:trPr>
        <w:tc>
          <w:tcPr>
            <w:tcW w:w="6983" w:type="dxa"/>
            <w:tcMar>
              <w:top w:w="113" w:type="dxa"/>
              <w:bottom w:w="113" w:type="dxa"/>
            </w:tcMar>
            <w:vAlign w:val="center"/>
          </w:tcPr>
          <w:p w14:paraId="3C93D294" w14:textId="77777777" w:rsidR="00837C3A" w:rsidRPr="000C66C0" w:rsidRDefault="00837C3A" w:rsidP="00957584">
            <w:pPr>
              <w:pStyle w:val="ListNumber0"/>
              <w:numPr>
                <w:ilvl w:val="0"/>
                <w:numId w:val="79"/>
              </w:numPr>
              <w:rPr>
                <w:lang w:val="en-GB"/>
              </w:rPr>
            </w:pPr>
            <w:r w:rsidRPr="000C66C0">
              <w:rPr>
                <w:lang w:val="en-GB"/>
              </w:rPr>
              <w:t>addressed approaches to economic evaluation, pricing and purchasing/reimbursement with respect to the changing health technology landscape?</w:t>
            </w:r>
          </w:p>
        </w:tc>
        <w:tc>
          <w:tcPr>
            <w:tcW w:w="1239" w:type="dxa"/>
            <w:tcMar>
              <w:top w:w="113" w:type="dxa"/>
              <w:bottom w:w="113" w:type="dxa"/>
            </w:tcMar>
          </w:tcPr>
          <w:p w14:paraId="0E024432" w14:textId="144DEFC0" w:rsidR="00837C3A" w:rsidRPr="0068472E" w:rsidRDefault="00837C3A" w:rsidP="00837C3A">
            <w:pPr>
              <w:spacing w:after="0" w:line="240" w:lineRule="auto"/>
              <w:jc w:val="center"/>
              <w:rPr>
                <w:rFonts w:cs="Calibri Light"/>
                <w:sz w:val="20"/>
                <w:szCs w:val="20"/>
                <w:lang w:val="en-GB"/>
              </w:rPr>
            </w:pPr>
            <w:r w:rsidRPr="00601F5A">
              <w:rPr>
                <w:rFonts w:ascii="Wingdings" w:eastAsia="Wingdings" w:hAnsi="Wingdings" w:cs="Calibri Light"/>
                <w:color w:val="000000" w:themeColor="text1"/>
                <w:sz w:val="20"/>
                <w:szCs w:val="20"/>
                <w:lang w:val="en-GB"/>
              </w:rPr>
              <w:t>o</w:t>
            </w:r>
          </w:p>
        </w:tc>
        <w:tc>
          <w:tcPr>
            <w:tcW w:w="1134" w:type="dxa"/>
            <w:tcMar>
              <w:top w:w="113" w:type="dxa"/>
              <w:bottom w:w="113" w:type="dxa"/>
            </w:tcMar>
          </w:tcPr>
          <w:p w14:paraId="07FEF022" w14:textId="0CF35179" w:rsidR="00837C3A" w:rsidRPr="0068472E" w:rsidRDefault="00837C3A" w:rsidP="00837C3A">
            <w:pPr>
              <w:spacing w:after="0" w:line="240" w:lineRule="auto"/>
              <w:jc w:val="center"/>
              <w:rPr>
                <w:rFonts w:cs="Calibri Light"/>
                <w:sz w:val="20"/>
                <w:szCs w:val="20"/>
                <w:lang w:val="en-GB"/>
              </w:rPr>
            </w:pPr>
            <w:r w:rsidRPr="00601F5A">
              <w:rPr>
                <w:rFonts w:ascii="Wingdings" w:eastAsia="Wingdings" w:hAnsi="Wingdings" w:cs="Calibri Light"/>
                <w:color w:val="000000" w:themeColor="text1"/>
                <w:sz w:val="20"/>
                <w:szCs w:val="20"/>
                <w:lang w:val="en-GB"/>
              </w:rPr>
              <w:t>o</w:t>
            </w:r>
          </w:p>
        </w:tc>
      </w:tr>
      <w:tr w:rsidR="00837C3A" w:rsidRPr="0068472E" w14:paraId="465F94BC" w14:textId="77777777" w:rsidTr="000C66C0">
        <w:trPr>
          <w:trHeight w:val="567"/>
        </w:trPr>
        <w:tc>
          <w:tcPr>
            <w:tcW w:w="6983" w:type="dxa"/>
            <w:tcMar>
              <w:top w:w="113" w:type="dxa"/>
              <w:bottom w:w="113" w:type="dxa"/>
            </w:tcMar>
            <w:vAlign w:val="center"/>
          </w:tcPr>
          <w:p w14:paraId="245ED756" w14:textId="77777777" w:rsidR="00837C3A" w:rsidRPr="0068472E" w:rsidRDefault="00837C3A" w:rsidP="00837C3A">
            <w:pPr>
              <w:spacing w:after="0" w:line="240" w:lineRule="auto"/>
              <w:rPr>
                <w:rFonts w:cs="Calibri Light"/>
                <w:sz w:val="20"/>
                <w:szCs w:val="20"/>
                <w:lang w:val="en-GB"/>
              </w:rPr>
            </w:pPr>
            <w:r w:rsidRPr="0068472E">
              <w:rPr>
                <w:rFonts w:cs="Calibri Light"/>
                <w:sz w:val="20"/>
                <w:szCs w:val="20"/>
                <w:lang w:val="en-GB"/>
              </w:rPr>
              <w:t>enabled a greater level and/or broader range of benefits?</w:t>
            </w:r>
          </w:p>
        </w:tc>
        <w:tc>
          <w:tcPr>
            <w:tcW w:w="1239" w:type="dxa"/>
            <w:tcMar>
              <w:top w:w="113" w:type="dxa"/>
              <w:bottom w:w="113" w:type="dxa"/>
            </w:tcMar>
          </w:tcPr>
          <w:p w14:paraId="6577B430" w14:textId="6D8955B0" w:rsidR="00837C3A" w:rsidRPr="0068472E" w:rsidRDefault="00837C3A" w:rsidP="00837C3A">
            <w:pPr>
              <w:spacing w:after="0" w:line="240" w:lineRule="auto"/>
              <w:jc w:val="center"/>
              <w:rPr>
                <w:rFonts w:cs="Calibri Light"/>
                <w:sz w:val="20"/>
                <w:szCs w:val="20"/>
                <w:lang w:val="en-GB"/>
              </w:rPr>
            </w:pPr>
            <w:r w:rsidRPr="00601F5A">
              <w:rPr>
                <w:rFonts w:ascii="Wingdings" w:eastAsia="Wingdings" w:hAnsi="Wingdings" w:cs="Calibri Light"/>
                <w:color w:val="000000" w:themeColor="text1"/>
                <w:sz w:val="20"/>
                <w:szCs w:val="20"/>
                <w:lang w:val="en-GB"/>
              </w:rPr>
              <w:t>o</w:t>
            </w:r>
          </w:p>
        </w:tc>
        <w:tc>
          <w:tcPr>
            <w:tcW w:w="1134" w:type="dxa"/>
            <w:tcMar>
              <w:top w:w="113" w:type="dxa"/>
              <w:bottom w:w="113" w:type="dxa"/>
            </w:tcMar>
          </w:tcPr>
          <w:p w14:paraId="3C488D40" w14:textId="48A92CC2" w:rsidR="00837C3A" w:rsidRPr="0068472E" w:rsidRDefault="00837C3A" w:rsidP="00837C3A">
            <w:pPr>
              <w:spacing w:after="0" w:line="240" w:lineRule="auto"/>
              <w:jc w:val="center"/>
              <w:rPr>
                <w:rFonts w:cs="Calibri Light"/>
                <w:sz w:val="20"/>
                <w:szCs w:val="20"/>
                <w:lang w:val="en-GB"/>
              </w:rPr>
            </w:pPr>
            <w:r w:rsidRPr="00601F5A">
              <w:rPr>
                <w:rFonts w:ascii="Wingdings" w:eastAsia="Wingdings" w:hAnsi="Wingdings" w:cs="Calibri Light"/>
                <w:color w:val="000000" w:themeColor="text1"/>
                <w:sz w:val="20"/>
                <w:szCs w:val="20"/>
                <w:lang w:val="en-GB"/>
              </w:rPr>
              <w:t>o</w:t>
            </w:r>
          </w:p>
        </w:tc>
      </w:tr>
      <w:tr w:rsidR="00837C3A" w:rsidRPr="0068472E" w14:paraId="272DA850" w14:textId="77777777" w:rsidTr="000C66C0">
        <w:trPr>
          <w:trHeight w:val="567"/>
        </w:trPr>
        <w:tc>
          <w:tcPr>
            <w:tcW w:w="6983" w:type="dxa"/>
            <w:tcMar>
              <w:top w:w="113" w:type="dxa"/>
              <w:bottom w:w="113" w:type="dxa"/>
            </w:tcMar>
            <w:vAlign w:val="center"/>
          </w:tcPr>
          <w:p w14:paraId="5BD9CAE2" w14:textId="77777777" w:rsidR="00837C3A" w:rsidRPr="0068472E" w:rsidRDefault="00837C3A" w:rsidP="00837C3A">
            <w:pPr>
              <w:spacing w:after="0" w:line="240" w:lineRule="auto"/>
              <w:rPr>
                <w:rFonts w:cs="Calibri Light"/>
                <w:sz w:val="20"/>
                <w:szCs w:val="20"/>
                <w:lang w:val="en-GB"/>
              </w:rPr>
            </w:pPr>
            <w:r w:rsidRPr="0068472E">
              <w:rPr>
                <w:rFonts w:cs="Calibri Light"/>
                <w:sz w:val="20"/>
                <w:szCs w:val="20"/>
                <w:lang w:val="en-GB"/>
              </w:rPr>
              <w:t>helped manage risk?</w:t>
            </w:r>
          </w:p>
        </w:tc>
        <w:tc>
          <w:tcPr>
            <w:tcW w:w="1239" w:type="dxa"/>
            <w:tcMar>
              <w:top w:w="113" w:type="dxa"/>
              <w:bottom w:w="113" w:type="dxa"/>
            </w:tcMar>
          </w:tcPr>
          <w:p w14:paraId="4D493118" w14:textId="1D26F701" w:rsidR="00837C3A" w:rsidRPr="0068472E" w:rsidRDefault="00837C3A" w:rsidP="00837C3A">
            <w:pPr>
              <w:spacing w:after="0" w:line="240" w:lineRule="auto"/>
              <w:jc w:val="center"/>
              <w:rPr>
                <w:rFonts w:cs="Calibri Light"/>
                <w:sz w:val="20"/>
                <w:szCs w:val="20"/>
                <w:lang w:val="en-GB"/>
              </w:rPr>
            </w:pPr>
            <w:r w:rsidRPr="00601F5A">
              <w:rPr>
                <w:rFonts w:ascii="Wingdings" w:eastAsia="Wingdings" w:hAnsi="Wingdings" w:cs="Calibri Light"/>
                <w:color w:val="000000" w:themeColor="text1"/>
                <w:sz w:val="20"/>
                <w:szCs w:val="20"/>
                <w:lang w:val="en-GB"/>
              </w:rPr>
              <w:t>o</w:t>
            </w:r>
          </w:p>
        </w:tc>
        <w:tc>
          <w:tcPr>
            <w:tcW w:w="1134" w:type="dxa"/>
            <w:tcMar>
              <w:top w:w="113" w:type="dxa"/>
              <w:bottom w:w="113" w:type="dxa"/>
            </w:tcMar>
          </w:tcPr>
          <w:p w14:paraId="0BED3C44" w14:textId="7ADEA3BF" w:rsidR="00837C3A" w:rsidRPr="0068472E" w:rsidRDefault="00837C3A" w:rsidP="00837C3A">
            <w:pPr>
              <w:spacing w:after="0" w:line="240" w:lineRule="auto"/>
              <w:jc w:val="center"/>
              <w:rPr>
                <w:rFonts w:cs="Calibri Light"/>
                <w:sz w:val="20"/>
                <w:szCs w:val="20"/>
                <w:lang w:val="en-GB"/>
              </w:rPr>
            </w:pPr>
            <w:r w:rsidRPr="00601F5A">
              <w:rPr>
                <w:rFonts w:ascii="Wingdings" w:eastAsia="Wingdings" w:hAnsi="Wingdings" w:cs="Calibri Light"/>
                <w:color w:val="000000" w:themeColor="text1"/>
                <w:sz w:val="20"/>
                <w:szCs w:val="20"/>
                <w:lang w:val="en-GB"/>
              </w:rPr>
              <w:t>o</w:t>
            </w:r>
          </w:p>
        </w:tc>
      </w:tr>
    </w:tbl>
    <w:p w14:paraId="1D9ED3F7" w14:textId="71F613AA" w:rsidR="00215D9E" w:rsidRPr="00221992" w:rsidRDefault="00215D9E" w:rsidP="00533CF1">
      <w:pPr>
        <w:pStyle w:val="TableNotes"/>
        <w:rPr>
          <w:lang w:val="en-GB"/>
        </w:rPr>
      </w:pPr>
      <w:r w:rsidRPr="00221992">
        <w:rPr>
          <w:lang w:val="en-GB"/>
        </w:rPr>
        <w:t xml:space="preserve">Notes: </w:t>
      </w:r>
      <w:r w:rsidRPr="00221992">
        <w:rPr>
          <w:vertAlign w:val="superscript"/>
          <w:lang w:val="en-GB"/>
        </w:rPr>
        <w:tab/>
        <w:t>1</w:t>
      </w:r>
      <w:r w:rsidRPr="00221992">
        <w:rPr>
          <w:lang w:val="en-GB"/>
        </w:rPr>
        <w:t>The Interview Guide will not be visible to interview participants.</w:t>
      </w:r>
      <w:r w:rsidR="008A6310">
        <w:rPr>
          <w:lang w:val="en-GB"/>
        </w:rPr>
        <w:t xml:space="preserve"> </w:t>
      </w:r>
      <w:r w:rsidRPr="00221992">
        <w:rPr>
          <w:lang w:val="en-GB"/>
        </w:rPr>
        <w:t>These prompts aim to ensure thematic coverage where particular topics do not arise organically in discussion of the main lines of inquiry.</w:t>
      </w:r>
      <w:r w:rsidR="008A6310">
        <w:rPr>
          <w:lang w:val="en-GB"/>
        </w:rPr>
        <w:t xml:space="preserve"> </w:t>
      </w:r>
      <w:r w:rsidRPr="00221992">
        <w:rPr>
          <w:lang w:val="en-GB"/>
        </w:rPr>
        <w:t>Not all topic prompts are applicable to all interviewees.</w:t>
      </w:r>
      <w:r w:rsidRPr="00221992">
        <w:rPr>
          <w:vertAlign w:val="superscript"/>
          <w:lang w:val="en-GB"/>
        </w:rPr>
        <w:t xml:space="preserve"> 2</w:t>
      </w:r>
      <w:r w:rsidRPr="00221992">
        <w:rPr>
          <w:lang w:val="en-GB"/>
        </w:rPr>
        <w:t>This draft Interview Guide is informed by an overview of the Review</w:t>
      </w:r>
      <w:r w:rsidR="00551786">
        <w:rPr>
          <w:lang w:val="en-GB"/>
        </w:rPr>
        <w:t>’</w:t>
      </w:r>
      <w:r w:rsidRPr="00221992">
        <w:rPr>
          <w:lang w:val="en-GB"/>
        </w:rPr>
        <w:t>s papers and topics provided by the Department of Health and Aged Care. Prompts will be refined pending stakeholder responses and in collaboration with the Reference Committee.</w:t>
      </w:r>
      <w:bookmarkEnd w:id="293"/>
      <w:bookmarkEnd w:id="294"/>
      <w:bookmarkEnd w:id="295"/>
    </w:p>
    <w:p w14:paraId="413B1348" w14:textId="569CA5E9" w:rsidR="00A363D0" w:rsidRPr="00221992" w:rsidRDefault="00A363D0" w:rsidP="00A363D0">
      <w:pPr>
        <w:rPr>
          <w:lang w:val="en-GB"/>
        </w:rPr>
      </w:pPr>
    </w:p>
    <w:p w14:paraId="298B55D2" w14:textId="77777777" w:rsidR="00A363D0" w:rsidRPr="00221992" w:rsidRDefault="00A363D0">
      <w:pPr>
        <w:spacing w:before="80" w:after="80"/>
        <w:rPr>
          <w:rFonts w:eastAsia="Times New Roman" w:cs="Arial"/>
          <w:color w:val="0F4BEB" w:themeColor="accent1"/>
          <w:sz w:val="48"/>
          <w:szCs w:val="32"/>
          <w:lang w:val="en-GB"/>
        </w:rPr>
      </w:pPr>
      <w:r w:rsidRPr="00221992">
        <w:rPr>
          <w:lang w:val="en-GB"/>
        </w:rPr>
        <w:br w:type="page"/>
      </w:r>
    </w:p>
    <w:p w14:paraId="2BF96518" w14:textId="77777777" w:rsidR="00A363D0" w:rsidRPr="00221992" w:rsidRDefault="00A363D0" w:rsidP="004908BD">
      <w:pPr>
        <w:pStyle w:val="UTSTitles"/>
        <w:tabs>
          <w:tab w:val="clear" w:pos="1134"/>
        </w:tabs>
        <w:rPr>
          <w:lang w:val="en-GB"/>
        </w:rPr>
      </w:pPr>
      <w:bookmarkStart w:id="296" w:name="_Toc162950906"/>
      <w:r w:rsidRPr="00221992">
        <w:rPr>
          <w:lang w:val="en-GB"/>
        </w:rPr>
        <w:t>Appendix 2. Literature review</w:t>
      </w:r>
      <w:bookmarkEnd w:id="296"/>
    </w:p>
    <w:p w14:paraId="5E9EABA3" w14:textId="4E4F46E6" w:rsidR="00D629A3" w:rsidRPr="00221992" w:rsidRDefault="00D629A3" w:rsidP="004B479F">
      <w:pPr>
        <w:rPr>
          <w:rFonts w:ascii="Calibri" w:hAnsi="Calibri" w:cs="Calibri"/>
          <w:b/>
          <w:lang w:val="en-GB"/>
        </w:rPr>
      </w:pPr>
      <w:r w:rsidRPr="00221992">
        <w:rPr>
          <w:rFonts w:ascii="Calibri" w:hAnsi="Calibri" w:cs="Calibri"/>
          <w:b/>
          <w:lang w:val="en-GB"/>
        </w:rPr>
        <w:t xml:space="preserve">Scoping review to address the equity considerations in HTA </w:t>
      </w:r>
    </w:p>
    <w:p w14:paraId="05EE0221" w14:textId="18BBF986" w:rsidR="00D629A3" w:rsidRPr="00221992" w:rsidRDefault="00D629A3" w:rsidP="004B479F">
      <w:pPr>
        <w:rPr>
          <w:lang w:val="en-GB"/>
        </w:rPr>
      </w:pPr>
      <w:r w:rsidRPr="00221992">
        <w:rPr>
          <w:lang w:val="en-GB"/>
        </w:rPr>
        <w:t>The results of the scoping review that addressed the question around the equity considerations in HTA, are summarized in the PRISMA diagram in Figure xx. Articles were excluded based on the following criteria: clinical trials and health economic evaluations of specific therapies; clinical practice description; national setting out of scope; full-text not available; non-English language source; publication prior to January 2010.</w:t>
      </w:r>
      <w:r w:rsidRPr="00221992">
        <w:rPr>
          <w:sz w:val="23"/>
          <w:szCs w:val="23"/>
          <w:lang w:val="en-GB"/>
        </w:rPr>
        <w:t xml:space="preserve"> </w:t>
      </w:r>
      <w:r w:rsidRPr="00221992">
        <w:rPr>
          <w:lang w:val="en-GB"/>
        </w:rPr>
        <w:t xml:space="preserve">The equity considerations search led to a total of 1,181 records of which 74 were duplicates. Therefore, during the title and abstract screening, a total of 1,085 unique citations were screened of which 989 were excluded. </w:t>
      </w:r>
      <w:r w:rsidRPr="00221992">
        <w:rPr>
          <w:sz w:val="23"/>
          <w:szCs w:val="23"/>
          <w:lang w:val="en-GB"/>
        </w:rPr>
        <w:t xml:space="preserve">In total, 96 articles were reviewed and included </w:t>
      </w:r>
      <w:r w:rsidRPr="00221992">
        <w:rPr>
          <w:lang w:val="en-GB"/>
        </w:rPr>
        <w:t xml:space="preserve">in the analysis. </w:t>
      </w:r>
    </w:p>
    <w:p w14:paraId="178D3E3E" w14:textId="482A53F9" w:rsidR="004B479F" w:rsidRPr="00221992" w:rsidRDefault="004B479F">
      <w:pPr>
        <w:pStyle w:val="Caption"/>
        <w:rPr>
          <w:lang w:val="en-GB"/>
        </w:rPr>
      </w:pPr>
      <w:bookmarkStart w:id="297" w:name="_Toc162950942"/>
      <w:r w:rsidRPr="00221992">
        <w:rPr>
          <w:lang w:val="en-GB"/>
        </w:rPr>
        <w:t xml:space="preserve">Figure </w:t>
      </w:r>
      <w:r w:rsidR="003F72DF" w:rsidRPr="00221992">
        <w:rPr>
          <w:lang w:val="en-GB"/>
        </w:rPr>
        <w:fldChar w:fldCharType="begin"/>
      </w:r>
      <w:r w:rsidR="003F72DF">
        <w:instrText xml:space="preserve"> SEQ Figure \* ARABIC </w:instrText>
      </w:r>
      <w:r w:rsidR="003F72DF" w:rsidRPr="00221992">
        <w:rPr>
          <w:lang w:val="en-GB"/>
        </w:rPr>
        <w:fldChar w:fldCharType="separate"/>
      </w:r>
      <w:r w:rsidR="000E11E7">
        <w:rPr>
          <w:noProof/>
        </w:rPr>
        <w:t>35</w:t>
      </w:r>
      <w:r w:rsidR="003F72DF" w:rsidRPr="00221992">
        <w:rPr>
          <w:noProof/>
          <w:lang w:val="en-GB"/>
        </w:rPr>
        <w:fldChar w:fldCharType="end"/>
      </w:r>
      <w:r w:rsidRPr="00221992">
        <w:rPr>
          <w:lang w:val="en-GB"/>
        </w:rPr>
        <w:t>. Prisma - Equity and rare disease</w:t>
      </w:r>
      <w:bookmarkEnd w:id="297"/>
    </w:p>
    <w:p w14:paraId="16D466BC" w14:textId="77777777" w:rsidR="00D629A3" w:rsidRPr="00221992" w:rsidRDefault="00D629A3" w:rsidP="00D629A3">
      <w:pPr>
        <w:pStyle w:val="EndNoteBibliography"/>
        <w:rPr>
          <w:lang w:val="en-GB"/>
        </w:rPr>
      </w:pPr>
      <w:r w:rsidRPr="00221992">
        <w:rPr>
          <w:noProof/>
          <w:lang w:val="en-GB"/>
        </w:rPr>
        <w:drawing>
          <wp:inline distT="0" distB="0" distL="0" distR="0" wp14:anchorId="4EB948A7" wp14:editId="352513E6">
            <wp:extent cx="4754296" cy="4864100"/>
            <wp:effectExtent l="0" t="0" r="8255" b="0"/>
            <wp:docPr id="8" name="Picture 8" descr="A diagram of a research process&#10;&#10;Description automatically generated">
              <a:extLst xmlns:a="http://schemas.openxmlformats.org/drawingml/2006/main">
                <a:ext uri="{FF2B5EF4-FFF2-40B4-BE49-F238E27FC236}">
                  <a16:creationId xmlns:a16="http://schemas.microsoft.com/office/drawing/2014/main" id="{A57FCB4B-9F60-0956-288C-8DF6BE97A13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diagram of a research process&#10;&#10;Description automatically generated">
                      <a:extLst>
                        <a:ext uri="{FF2B5EF4-FFF2-40B4-BE49-F238E27FC236}">
                          <a16:creationId xmlns:a16="http://schemas.microsoft.com/office/drawing/2014/main" id="{A57FCB4B-9F60-0956-288C-8DF6BE97A132}"/>
                        </a:ext>
                      </a:extLst>
                    </pic:cNvPr>
                    <pic:cNvPicPr>
                      <a:picLocks noChangeAspect="1"/>
                    </pic:cNvPicPr>
                  </pic:nvPicPr>
                  <pic:blipFill>
                    <a:blip r:embed="rId156"/>
                    <a:stretch>
                      <a:fillRect/>
                    </a:stretch>
                  </pic:blipFill>
                  <pic:spPr>
                    <a:xfrm>
                      <a:off x="0" y="0"/>
                      <a:ext cx="4757385" cy="4867260"/>
                    </a:xfrm>
                    <a:prstGeom prst="rect">
                      <a:avLst/>
                    </a:prstGeom>
                  </pic:spPr>
                </pic:pic>
              </a:graphicData>
            </a:graphic>
          </wp:inline>
        </w:drawing>
      </w:r>
    </w:p>
    <w:p w14:paraId="6D75FD5B" w14:textId="77777777" w:rsidR="00D629A3" w:rsidRPr="00221992" w:rsidRDefault="00D629A3" w:rsidP="00D629A3">
      <w:pPr>
        <w:pStyle w:val="EndNoteBibliography"/>
        <w:rPr>
          <w:lang w:val="en-GB"/>
        </w:rPr>
      </w:pPr>
      <w:r w:rsidRPr="00221992">
        <w:rPr>
          <w:lang w:val="en-GB"/>
        </w:rPr>
        <w:br w:type="page"/>
      </w:r>
    </w:p>
    <w:p w14:paraId="62857BB3" w14:textId="77777777" w:rsidR="00D629A3" w:rsidRPr="00221992" w:rsidRDefault="00D629A3" w:rsidP="004B479F">
      <w:pPr>
        <w:rPr>
          <w:rFonts w:ascii="Calibri" w:hAnsi="Calibri" w:cs="Calibri"/>
          <w:b/>
          <w:lang w:val="en-GB"/>
        </w:rPr>
      </w:pPr>
      <w:r w:rsidRPr="00221992">
        <w:rPr>
          <w:rFonts w:ascii="Calibri" w:hAnsi="Calibri" w:cs="Calibri"/>
          <w:b/>
          <w:lang w:val="en-GB"/>
        </w:rPr>
        <w:t xml:space="preserve">Scoping review and targeted search to address the managing of uncertainty in HTA </w:t>
      </w:r>
    </w:p>
    <w:p w14:paraId="35E77498" w14:textId="2B20EB11" w:rsidR="00D629A3" w:rsidRPr="00221992" w:rsidRDefault="00D629A3" w:rsidP="004B479F">
      <w:pPr>
        <w:rPr>
          <w:lang w:val="en-GB"/>
        </w:rPr>
      </w:pPr>
      <w:r w:rsidRPr="00221992">
        <w:rPr>
          <w:lang w:val="en-GB"/>
        </w:rPr>
        <w:t xml:space="preserve">The managing uncertainty literature review </w:t>
      </w:r>
      <w:r w:rsidR="004E395C" w:rsidRPr="00221992">
        <w:rPr>
          <w:lang w:val="en-GB"/>
        </w:rPr>
        <w:t>comprised</w:t>
      </w:r>
      <w:r w:rsidRPr="00221992">
        <w:rPr>
          <w:lang w:val="en-GB"/>
        </w:rPr>
        <w:t xml:space="preserve"> two supplementary searches, one scoping review and one targeted search, both summarized in the PRISMA diagram in </w:t>
      </w:r>
      <w:r w:rsidR="00F9017F" w:rsidRPr="00221992">
        <w:rPr>
          <w:lang w:val="en-GB"/>
        </w:rPr>
        <w:fldChar w:fldCharType="begin"/>
      </w:r>
      <w:r w:rsidR="00F9017F" w:rsidRPr="00221992">
        <w:rPr>
          <w:lang w:val="en-GB"/>
        </w:rPr>
        <w:instrText xml:space="preserve"> REF _Ref146530181 \h </w:instrText>
      </w:r>
      <w:r w:rsidR="00F9017F" w:rsidRPr="00221992">
        <w:rPr>
          <w:lang w:val="en-GB"/>
        </w:rPr>
      </w:r>
      <w:r w:rsidR="00F9017F" w:rsidRPr="00221992">
        <w:rPr>
          <w:lang w:val="en-GB"/>
        </w:rPr>
        <w:fldChar w:fldCharType="separate"/>
      </w:r>
      <w:r w:rsidR="000E11E7" w:rsidRPr="00221992">
        <w:rPr>
          <w:lang w:val="en-GB"/>
        </w:rPr>
        <w:t xml:space="preserve">Figure </w:t>
      </w:r>
      <w:r w:rsidR="000E11E7">
        <w:rPr>
          <w:noProof/>
        </w:rPr>
        <w:t>36</w:t>
      </w:r>
      <w:r w:rsidR="00F9017F" w:rsidRPr="00221992">
        <w:rPr>
          <w:lang w:val="en-GB"/>
        </w:rPr>
        <w:fldChar w:fldCharType="end"/>
      </w:r>
      <w:r w:rsidRPr="00221992">
        <w:rPr>
          <w:lang w:val="en-GB"/>
        </w:rPr>
        <w:t>.</w:t>
      </w:r>
    </w:p>
    <w:p w14:paraId="7EB51418" w14:textId="741CCB0B" w:rsidR="00D629A3" w:rsidRPr="00221992" w:rsidRDefault="00D629A3" w:rsidP="004B479F">
      <w:pPr>
        <w:rPr>
          <w:lang w:val="en-GB"/>
        </w:rPr>
      </w:pPr>
      <w:r w:rsidRPr="00221992">
        <w:rPr>
          <w:lang w:val="en-GB"/>
        </w:rPr>
        <w:t>The scoping review literature search led to a total of 1,785 records of which 11 were duplicates. Therefore, during the title and abstract screening, a total of 1,774 unique citations were screened</w:t>
      </w:r>
      <w:r w:rsidR="00575A10" w:rsidRPr="00221992">
        <w:rPr>
          <w:lang w:val="en-GB"/>
        </w:rPr>
        <w:t>,</w:t>
      </w:r>
      <w:r w:rsidRPr="00221992">
        <w:rPr>
          <w:lang w:val="en-GB"/>
        </w:rPr>
        <w:t xml:space="preserve"> of which 1,423 were excluded. The targeted search identified a total of 265 articles</w:t>
      </w:r>
      <w:r w:rsidR="00331FDF" w:rsidRPr="00221992">
        <w:rPr>
          <w:lang w:val="en-GB"/>
        </w:rPr>
        <w:t>,</w:t>
      </w:r>
      <w:r w:rsidRPr="00221992">
        <w:rPr>
          <w:lang w:val="en-GB"/>
        </w:rPr>
        <w:t xml:space="preserve"> of which 145 were excluded. The resulting 120 records were matched to the results from the scoping review identified 14 duplicated articles. </w:t>
      </w:r>
      <w:r w:rsidRPr="00221992">
        <w:rPr>
          <w:sz w:val="23"/>
          <w:szCs w:val="23"/>
          <w:lang w:val="en-GB"/>
        </w:rPr>
        <w:t xml:space="preserve">In addition, 129 articles were included after reviewing the reference lists in the articles identified in the targeted search. In total, 270 articles were considered eligible for the review and of these 77 informed this report. </w:t>
      </w:r>
    </w:p>
    <w:p w14:paraId="4E2E8A15" w14:textId="6620D351" w:rsidR="004B479F" w:rsidRPr="00221992" w:rsidRDefault="004B479F">
      <w:pPr>
        <w:pStyle w:val="Caption"/>
        <w:rPr>
          <w:lang w:val="en-GB"/>
        </w:rPr>
      </w:pPr>
      <w:bookmarkStart w:id="298" w:name="_Ref146530181"/>
      <w:bookmarkStart w:id="299" w:name="_Toc162950943"/>
      <w:r w:rsidRPr="00221992">
        <w:rPr>
          <w:lang w:val="en-GB"/>
        </w:rPr>
        <w:t xml:space="preserve">Figure </w:t>
      </w:r>
      <w:r w:rsidR="003F72DF" w:rsidRPr="00221992">
        <w:rPr>
          <w:lang w:val="en-GB"/>
        </w:rPr>
        <w:fldChar w:fldCharType="begin"/>
      </w:r>
      <w:r w:rsidR="003F72DF">
        <w:instrText xml:space="preserve"> SEQ Figure \* ARABIC </w:instrText>
      </w:r>
      <w:r w:rsidR="003F72DF" w:rsidRPr="00221992">
        <w:rPr>
          <w:lang w:val="en-GB"/>
        </w:rPr>
        <w:fldChar w:fldCharType="separate"/>
      </w:r>
      <w:r w:rsidR="000E11E7">
        <w:rPr>
          <w:noProof/>
        </w:rPr>
        <w:t>36</w:t>
      </w:r>
      <w:r w:rsidR="003F72DF" w:rsidRPr="00221992">
        <w:rPr>
          <w:noProof/>
          <w:lang w:val="en-GB"/>
        </w:rPr>
        <w:fldChar w:fldCharType="end"/>
      </w:r>
      <w:bookmarkEnd w:id="298"/>
      <w:r w:rsidRPr="00221992">
        <w:rPr>
          <w:lang w:val="en-GB"/>
        </w:rPr>
        <w:t>. Prisma - Managing uncertainty</w:t>
      </w:r>
      <w:bookmarkEnd w:id="299"/>
    </w:p>
    <w:p w14:paraId="03D0D9DA" w14:textId="77777777" w:rsidR="00D629A3" w:rsidRPr="00221992" w:rsidRDefault="00D629A3" w:rsidP="00D629A3">
      <w:pPr>
        <w:rPr>
          <w:lang w:val="en-GB"/>
        </w:rPr>
      </w:pPr>
      <w:r w:rsidRPr="00221992">
        <w:rPr>
          <w:noProof/>
          <w:lang w:val="en-GB"/>
        </w:rPr>
        <w:drawing>
          <wp:inline distT="0" distB="0" distL="0" distR="0" wp14:anchorId="6A79213D" wp14:editId="43FD1453">
            <wp:extent cx="5850890" cy="3710305"/>
            <wp:effectExtent l="0" t="0" r="0" b="4445"/>
            <wp:docPr id="411564233" name="Picture 411564233" descr="A diagram of a research process&#10;&#10;Description automatically generated">
              <a:extLst xmlns:a="http://schemas.openxmlformats.org/drawingml/2006/main">
                <a:ext uri="{FF2B5EF4-FFF2-40B4-BE49-F238E27FC236}">
                  <a16:creationId xmlns:a16="http://schemas.microsoft.com/office/drawing/2014/main" id="{8E882091-9180-3E32-F60F-D146912E0AB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diagram of a research process&#10;&#10;Description automatically generated">
                      <a:extLst>
                        <a:ext uri="{FF2B5EF4-FFF2-40B4-BE49-F238E27FC236}">
                          <a16:creationId xmlns:a16="http://schemas.microsoft.com/office/drawing/2014/main" id="{8E882091-9180-3E32-F60F-D146912E0AB8}"/>
                        </a:ext>
                      </a:extLst>
                    </pic:cNvPr>
                    <pic:cNvPicPr>
                      <a:picLocks noChangeAspect="1"/>
                    </pic:cNvPicPr>
                  </pic:nvPicPr>
                  <pic:blipFill>
                    <a:blip r:embed="rId157"/>
                    <a:stretch>
                      <a:fillRect/>
                    </a:stretch>
                  </pic:blipFill>
                  <pic:spPr>
                    <a:xfrm>
                      <a:off x="0" y="0"/>
                      <a:ext cx="5850890" cy="3710305"/>
                    </a:xfrm>
                    <a:prstGeom prst="rect">
                      <a:avLst/>
                    </a:prstGeom>
                  </pic:spPr>
                </pic:pic>
              </a:graphicData>
            </a:graphic>
          </wp:inline>
        </w:drawing>
      </w:r>
    </w:p>
    <w:p w14:paraId="46D053E8" w14:textId="3C950F01" w:rsidR="00A363D0" w:rsidRPr="00221992" w:rsidRDefault="00A363D0" w:rsidP="00A363D0">
      <w:pPr>
        <w:rPr>
          <w:lang w:val="en-GB"/>
        </w:rPr>
      </w:pPr>
      <w:r w:rsidRPr="00221992">
        <w:rPr>
          <w:lang w:val="en-GB"/>
        </w:rPr>
        <w:br w:type="page"/>
      </w:r>
    </w:p>
    <w:p w14:paraId="08263D8F" w14:textId="5E3818CA" w:rsidR="00A363D0" w:rsidRPr="00221992" w:rsidRDefault="00A363D0" w:rsidP="004908BD">
      <w:pPr>
        <w:pStyle w:val="UTSTitles"/>
        <w:tabs>
          <w:tab w:val="clear" w:pos="1134"/>
        </w:tabs>
        <w:rPr>
          <w:lang w:val="en-GB"/>
        </w:rPr>
      </w:pPr>
      <w:bookmarkStart w:id="300" w:name="_Toc162950907"/>
      <w:r w:rsidRPr="00221992">
        <w:rPr>
          <w:lang w:val="en-GB"/>
        </w:rPr>
        <w:t>Appendix 3.</w:t>
      </w:r>
      <w:r w:rsidR="005A0480" w:rsidRPr="00221992">
        <w:rPr>
          <w:lang w:val="en-GB"/>
        </w:rPr>
        <w:t xml:space="preserve"> Additional figures</w:t>
      </w:r>
      <w:bookmarkEnd w:id="300"/>
    </w:p>
    <w:p w14:paraId="4694631C" w14:textId="5CAAA2D5" w:rsidR="00F006DF" w:rsidRPr="00221992" w:rsidRDefault="00F006DF">
      <w:pPr>
        <w:pStyle w:val="Caption"/>
        <w:rPr>
          <w:lang w:val="en-GB"/>
        </w:rPr>
      </w:pPr>
      <w:bookmarkStart w:id="301" w:name="_Toc162950944"/>
      <w:r w:rsidRPr="00221992">
        <w:rPr>
          <w:lang w:val="en-GB"/>
        </w:rPr>
        <w:t xml:space="preserve">Figure </w:t>
      </w:r>
      <w:r w:rsidR="003F72DF" w:rsidRPr="00221992">
        <w:rPr>
          <w:lang w:val="en-GB"/>
        </w:rPr>
        <w:fldChar w:fldCharType="begin"/>
      </w:r>
      <w:r w:rsidR="003F72DF">
        <w:instrText xml:space="preserve"> SEQ Figure \* ARABIC </w:instrText>
      </w:r>
      <w:r w:rsidR="003F72DF" w:rsidRPr="00221992">
        <w:rPr>
          <w:lang w:val="en-GB"/>
        </w:rPr>
        <w:fldChar w:fldCharType="separate"/>
      </w:r>
      <w:r w:rsidR="000E11E7">
        <w:rPr>
          <w:noProof/>
        </w:rPr>
        <w:t>37</w:t>
      </w:r>
      <w:r w:rsidR="003F72DF" w:rsidRPr="00221992">
        <w:rPr>
          <w:lang w:val="en-GB"/>
        </w:rPr>
        <w:fldChar w:fldCharType="end"/>
      </w:r>
      <w:r w:rsidR="00A55F6C" w:rsidRPr="00221992">
        <w:rPr>
          <w:lang w:val="en-GB"/>
        </w:rPr>
        <w:t>.</w:t>
      </w:r>
      <w:r w:rsidRPr="00221992">
        <w:rPr>
          <w:lang w:val="en-GB"/>
        </w:rPr>
        <w:t xml:space="preserve"> Conceptual framework outlining type, scope and nature of HTA activities.</w:t>
      </w:r>
      <w:bookmarkEnd w:id="301"/>
    </w:p>
    <w:p w14:paraId="4EA475C7" w14:textId="77777777" w:rsidR="00C31DCF" w:rsidRPr="00221992" w:rsidRDefault="00F006DF" w:rsidP="00533CF1">
      <w:pPr>
        <w:pStyle w:val="TableNotes"/>
        <w:rPr>
          <w:lang w:val="en-GB"/>
        </w:rPr>
      </w:pPr>
      <w:r w:rsidRPr="00221992">
        <w:rPr>
          <w:noProof/>
          <w:lang w:val="en-GB"/>
        </w:rPr>
        <w:drawing>
          <wp:inline distT="0" distB="0" distL="0" distR="0" wp14:anchorId="488721D9" wp14:editId="032A5C46">
            <wp:extent cx="5731510" cy="1870075"/>
            <wp:effectExtent l="0" t="0" r="0" b="0"/>
            <wp:docPr id="43254427" name="Picture 43254427" descr="A group of white circles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54427" name="Picture 1" descr="A group of white circles with black text&#10;&#10;Description automatically generated"/>
                    <pic:cNvPicPr/>
                  </pic:nvPicPr>
                  <pic:blipFill>
                    <a:blip r:embed="rId158"/>
                    <a:stretch>
                      <a:fillRect/>
                    </a:stretch>
                  </pic:blipFill>
                  <pic:spPr>
                    <a:xfrm>
                      <a:off x="0" y="0"/>
                      <a:ext cx="5731510" cy="1870075"/>
                    </a:xfrm>
                    <a:prstGeom prst="rect">
                      <a:avLst/>
                    </a:prstGeom>
                  </pic:spPr>
                </pic:pic>
              </a:graphicData>
            </a:graphic>
          </wp:inline>
        </w:drawing>
      </w:r>
    </w:p>
    <w:p w14:paraId="45AB0928" w14:textId="16472D96" w:rsidR="00F006DF" w:rsidRPr="00221992" w:rsidRDefault="00F006DF" w:rsidP="00533CF1">
      <w:pPr>
        <w:pStyle w:val="TableNotes"/>
        <w:rPr>
          <w:lang w:val="en-GB"/>
        </w:rPr>
      </w:pPr>
      <w:r w:rsidRPr="00221992">
        <w:rPr>
          <w:lang w:val="en-GB"/>
        </w:rPr>
        <w:t xml:space="preserve">Source: </w:t>
      </w:r>
      <w:r w:rsidR="00C31DCF" w:rsidRPr="00221992">
        <w:rPr>
          <w:lang w:val="en-GB"/>
        </w:rPr>
        <w:tab/>
      </w:r>
      <w:r w:rsidRPr="00221992">
        <w:rPr>
          <w:lang w:val="en-GB"/>
        </w:rPr>
        <w:t>Figure 1, p 317, Fontrier, A. M., et al. (2022)</w:t>
      </w:r>
    </w:p>
    <w:p w14:paraId="4D8B1128" w14:textId="7BE5900F" w:rsidR="00F006DF" w:rsidRPr="00221992" w:rsidRDefault="00F006DF">
      <w:pPr>
        <w:pStyle w:val="Caption"/>
        <w:rPr>
          <w:lang w:val="en-GB"/>
        </w:rPr>
      </w:pPr>
      <w:bookmarkStart w:id="302" w:name="_Ref142993138"/>
      <w:bookmarkStart w:id="303" w:name="_Toc162950945"/>
      <w:r w:rsidRPr="00221992">
        <w:rPr>
          <w:lang w:val="en-GB"/>
        </w:rPr>
        <w:t xml:space="preserve">Figure </w:t>
      </w:r>
      <w:r w:rsidR="003F72DF" w:rsidRPr="00221992">
        <w:rPr>
          <w:lang w:val="en-GB"/>
        </w:rPr>
        <w:fldChar w:fldCharType="begin"/>
      </w:r>
      <w:r w:rsidR="003F72DF">
        <w:instrText xml:space="preserve"> SEQ Figure \* ARABIC </w:instrText>
      </w:r>
      <w:r w:rsidR="003F72DF" w:rsidRPr="00221992">
        <w:rPr>
          <w:lang w:val="en-GB"/>
        </w:rPr>
        <w:fldChar w:fldCharType="separate"/>
      </w:r>
      <w:r w:rsidR="000E11E7">
        <w:rPr>
          <w:noProof/>
        </w:rPr>
        <w:t>38</w:t>
      </w:r>
      <w:r w:rsidR="003F72DF" w:rsidRPr="00221992">
        <w:rPr>
          <w:lang w:val="en-GB"/>
        </w:rPr>
        <w:fldChar w:fldCharType="end"/>
      </w:r>
      <w:bookmarkEnd w:id="302"/>
      <w:r w:rsidR="00A55F6C" w:rsidRPr="00221992">
        <w:rPr>
          <w:lang w:val="en-GB"/>
        </w:rPr>
        <w:t>.</w:t>
      </w:r>
      <w:r w:rsidRPr="00221992">
        <w:rPr>
          <w:lang w:val="en-GB"/>
        </w:rPr>
        <w:t xml:space="preserve"> The two main components of HTA: Assessment and appraisal</w:t>
      </w:r>
      <w:bookmarkEnd w:id="303"/>
    </w:p>
    <w:p w14:paraId="6B1E0C43" w14:textId="66FCF44F" w:rsidR="00F006DF" w:rsidRPr="00221992" w:rsidRDefault="00F006DF" w:rsidP="00F006DF">
      <w:pPr>
        <w:rPr>
          <w:lang w:val="en-GB"/>
        </w:rPr>
      </w:pPr>
      <w:r w:rsidRPr="00221992">
        <w:rPr>
          <w:noProof/>
          <w:lang w:val="en-GB"/>
        </w:rPr>
        <w:drawing>
          <wp:inline distT="0" distB="0" distL="0" distR="0" wp14:anchorId="0B22A620" wp14:editId="5F309CD1">
            <wp:extent cx="5731510" cy="2608529"/>
            <wp:effectExtent l="0" t="0" r="2540" b="1905"/>
            <wp:docPr id="169307206" name="Picture 169307206" descr="Diagram of a diagram of a proces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307206" name="Picture 169307206" descr="Diagram of a diagram of a process&#10;&#10;Description automatically generated with medium confidence"/>
                    <pic:cNvPicPr/>
                  </pic:nvPicPr>
                  <pic:blipFill rotWithShape="1">
                    <a:blip r:embed="rId159"/>
                    <a:srcRect t="18136"/>
                    <a:stretch/>
                  </pic:blipFill>
                  <pic:spPr bwMode="auto">
                    <a:xfrm>
                      <a:off x="0" y="0"/>
                      <a:ext cx="5731510" cy="2608529"/>
                    </a:xfrm>
                    <a:prstGeom prst="rect">
                      <a:avLst/>
                    </a:prstGeom>
                    <a:ln>
                      <a:noFill/>
                    </a:ln>
                    <a:extLst>
                      <a:ext uri="{53640926-AAD7-44D8-BBD7-CCE9431645EC}">
                        <a14:shadowObscured xmlns:a14="http://schemas.microsoft.com/office/drawing/2010/main"/>
                      </a:ext>
                    </a:extLst>
                  </pic:spPr>
                </pic:pic>
              </a:graphicData>
            </a:graphic>
          </wp:inline>
        </w:drawing>
      </w:r>
    </w:p>
    <w:p w14:paraId="7AC95348" w14:textId="47CB370C" w:rsidR="00F006DF" w:rsidRPr="00221992" w:rsidRDefault="00F006DF" w:rsidP="00533CF1">
      <w:pPr>
        <w:pStyle w:val="TableNotes"/>
        <w:rPr>
          <w:lang w:val="en-GB"/>
        </w:rPr>
      </w:pPr>
      <w:r w:rsidRPr="00221992">
        <w:rPr>
          <w:lang w:val="en-GB"/>
        </w:rPr>
        <w:t xml:space="preserve">Source: </w:t>
      </w:r>
      <w:r w:rsidR="00C31DCF" w:rsidRPr="00221992">
        <w:rPr>
          <w:lang w:val="en-GB"/>
        </w:rPr>
        <w:tab/>
      </w:r>
      <w:r w:rsidR="00D36AA2" w:rsidRPr="00221992">
        <w:rPr>
          <w:lang w:val="en-GB"/>
        </w:rPr>
        <w:t>European Patients</w:t>
      </w:r>
      <w:r w:rsidR="00551786">
        <w:rPr>
          <w:lang w:val="en-GB"/>
        </w:rPr>
        <w:t>’</w:t>
      </w:r>
      <w:r w:rsidR="00D36AA2" w:rsidRPr="00221992">
        <w:rPr>
          <w:lang w:val="en-GB"/>
        </w:rPr>
        <w:t xml:space="preserve"> Academy on Therapeutic Innovation </w:t>
      </w:r>
      <w:r w:rsidRPr="00221992">
        <w:rPr>
          <w:lang w:val="en-GB"/>
        </w:rPr>
        <w:t>(2023)</w:t>
      </w:r>
    </w:p>
    <w:p w14:paraId="188CF568" w14:textId="5B2ECEF6" w:rsidR="00F006DF" w:rsidRPr="00221992" w:rsidRDefault="00F006DF">
      <w:pPr>
        <w:pStyle w:val="Caption"/>
        <w:rPr>
          <w:lang w:val="en-GB"/>
        </w:rPr>
      </w:pPr>
      <w:bookmarkStart w:id="304" w:name="_Ref143376764"/>
      <w:bookmarkStart w:id="305" w:name="_Toc162950946"/>
      <w:r w:rsidRPr="00221992">
        <w:rPr>
          <w:lang w:val="en-GB"/>
        </w:rPr>
        <w:t xml:space="preserve">Figure </w:t>
      </w:r>
      <w:r w:rsidR="003F72DF" w:rsidRPr="00221992">
        <w:rPr>
          <w:lang w:val="en-GB"/>
        </w:rPr>
        <w:fldChar w:fldCharType="begin"/>
      </w:r>
      <w:r w:rsidR="003F72DF">
        <w:instrText xml:space="preserve"> SEQ Figure \* ARABIC </w:instrText>
      </w:r>
      <w:r w:rsidR="003F72DF" w:rsidRPr="00221992">
        <w:rPr>
          <w:lang w:val="en-GB"/>
        </w:rPr>
        <w:fldChar w:fldCharType="separate"/>
      </w:r>
      <w:r w:rsidR="000E11E7">
        <w:rPr>
          <w:noProof/>
        </w:rPr>
        <w:t>39</w:t>
      </w:r>
      <w:r w:rsidR="003F72DF" w:rsidRPr="00221992">
        <w:rPr>
          <w:lang w:val="en-GB"/>
        </w:rPr>
        <w:fldChar w:fldCharType="end"/>
      </w:r>
      <w:bookmarkEnd w:id="304"/>
      <w:r w:rsidR="00C31DCF" w:rsidRPr="00221992">
        <w:rPr>
          <w:lang w:val="en-GB"/>
        </w:rPr>
        <w:t>.</w:t>
      </w:r>
      <w:r w:rsidRPr="00221992">
        <w:rPr>
          <w:lang w:val="en-GB"/>
        </w:rPr>
        <w:t xml:space="preserve"> Flow chart for Japan</w:t>
      </w:r>
      <w:r w:rsidR="00551786">
        <w:rPr>
          <w:lang w:val="en-GB"/>
        </w:rPr>
        <w:t>’</w:t>
      </w:r>
      <w:r w:rsidRPr="00221992">
        <w:rPr>
          <w:lang w:val="en-GB"/>
        </w:rPr>
        <w:t>s cost-effectiveness evaluation process.</w:t>
      </w:r>
      <w:bookmarkEnd w:id="305"/>
    </w:p>
    <w:p w14:paraId="72AF612F" w14:textId="77777777" w:rsidR="00F006DF" w:rsidRPr="00221992" w:rsidRDefault="00F006DF" w:rsidP="00F006DF">
      <w:pPr>
        <w:rPr>
          <w:lang w:val="en-GB"/>
        </w:rPr>
      </w:pPr>
      <w:r w:rsidRPr="00221992">
        <w:rPr>
          <w:noProof/>
          <w:lang w:val="en-GB"/>
        </w:rPr>
        <w:drawing>
          <wp:inline distT="0" distB="0" distL="0" distR="0" wp14:anchorId="36C5FE93" wp14:editId="58801378">
            <wp:extent cx="4446766" cy="5099050"/>
            <wp:effectExtent l="0" t="0" r="0" b="0"/>
            <wp:docPr id="531138365" name="Picture 531138365" descr="A diagram of a standard 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1138365" name="Picture 1" descr="A diagram of a standard timeline&#10;&#10;Description automatically generated"/>
                    <pic:cNvPicPr/>
                  </pic:nvPicPr>
                  <pic:blipFill>
                    <a:blip r:embed="rId160"/>
                    <a:stretch>
                      <a:fillRect/>
                    </a:stretch>
                  </pic:blipFill>
                  <pic:spPr>
                    <a:xfrm>
                      <a:off x="0" y="0"/>
                      <a:ext cx="4462523" cy="5117118"/>
                    </a:xfrm>
                    <a:prstGeom prst="rect">
                      <a:avLst/>
                    </a:prstGeom>
                  </pic:spPr>
                </pic:pic>
              </a:graphicData>
            </a:graphic>
          </wp:inline>
        </w:drawing>
      </w:r>
    </w:p>
    <w:p w14:paraId="4D303013" w14:textId="4612106C" w:rsidR="00F006DF" w:rsidRPr="00221992" w:rsidRDefault="00F006DF" w:rsidP="00533CF1">
      <w:pPr>
        <w:pStyle w:val="TableNotes"/>
        <w:rPr>
          <w:lang w:val="en-GB"/>
        </w:rPr>
      </w:pPr>
      <w:r w:rsidRPr="00221992">
        <w:rPr>
          <w:lang w:val="en-GB"/>
        </w:rPr>
        <w:t xml:space="preserve">Source: </w:t>
      </w:r>
      <w:r w:rsidR="00FA6283" w:rsidRPr="00221992">
        <w:rPr>
          <w:lang w:val="en-GB"/>
        </w:rPr>
        <w:tab/>
      </w:r>
      <w:r w:rsidRPr="00221992">
        <w:rPr>
          <w:lang w:val="en-GB"/>
        </w:rPr>
        <w:t>Figure 1, p 46, Hasegawa et. al. (2020)</w:t>
      </w:r>
    </w:p>
    <w:p w14:paraId="4CB1273D" w14:textId="77777777" w:rsidR="00F006DF" w:rsidRPr="00221992" w:rsidRDefault="00F006DF" w:rsidP="00F006DF">
      <w:pPr>
        <w:rPr>
          <w:lang w:val="en-GB"/>
        </w:rPr>
      </w:pPr>
    </w:p>
    <w:p w14:paraId="433B1CF0" w14:textId="5E42967B" w:rsidR="00FA6283" w:rsidRPr="00221992" w:rsidRDefault="00FA6283" w:rsidP="00FA6283">
      <w:pPr>
        <w:tabs>
          <w:tab w:val="left" w:pos="2340"/>
        </w:tabs>
        <w:rPr>
          <w:lang w:val="en-GB"/>
        </w:rPr>
      </w:pPr>
    </w:p>
    <w:p w14:paraId="5F05FA0C" w14:textId="626ABACC" w:rsidR="00FA6283" w:rsidRPr="00221992" w:rsidRDefault="00FA6283" w:rsidP="00FA6283">
      <w:pPr>
        <w:tabs>
          <w:tab w:val="left" w:pos="2340"/>
        </w:tabs>
        <w:rPr>
          <w:lang w:val="en-GB"/>
        </w:rPr>
        <w:sectPr w:rsidR="00FA6283" w:rsidRPr="00221992" w:rsidSect="004A6C73">
          <w:headerReference w:type="even" r:id="rId161"/>
          <w:headerReference w:type="default" r:id="rId162"/>
          <w:footerReference w:type="even" r:id="rId163"/>
          <w:footerReference w:type="default" r:id="rId164"/>
          <w:headerReference w:type="first" r:id="rId165"/>
          <w:footerReference w:type="first" r:id="rId166"/>
          <w:pgSz w:w="11906" w:h="16838"/>
          <w:pgMar w:top="1440" w:right="1440" w:bottom="1440" w:left="1440" w:header="708" w:footer="708" w:gutter="0"/>
          <w:cols w:space="708"/>
          <w:docGrid w:linePitch="360"/>
        </w:sectPr>
      </w:pPr>
      <w:r w:rsidRPr="00221992">
        <w:rPr>
          <w:lang w:val="en-GB"/>
        </w:rPr>
        <w:tab/>
      </w:r>
    </w:p>
    <w:p w14:paraId="32DD3061" w14:textId="0C64B66D" w:rsidR="00F006DF" w:rsidRPr="00221992" w:rsidRDefault="00F006DF" w:rsidP="00F006DF">
      <w:pPr>
        <w:rPr>
          <w:sz w:val="20"/>
          <w:szCs w:val="20"/>
          <w:lang w:val="en-GB"/>
        </w:rPr>
      </w:pPr>
      <w:bookmarkStart w:id="306" w:name="_Ref142837285"/>
      <w:bookmarkStart w:id="307" w:name="_Toc162950947"/>
      <w:r w:rsidRPr="00221992">
        <w:rPr>
          <w:sz w:val="20"/>
          <w:szCs w:val="20"/>
          <w:lang w:val="en-GB"/>
        </w:rPr>
        <w:t xml:space="preserve">Figure </w:t>
      </w:r>
      <w:r w:rsidR="003F72DF" w:rsidRPr="00221992">
        <w:rPr>
          <w:sz w:val="20"/>
          <w:szCs w:val="20"/>
          <w:lang w:val="en-GB"/>
        </w:rPr>
        <w:fldChar w:fldCharType="begin"/>
      </w:r>
      <w:r w:rsidR="003F72DF" w:rsidRPr="00AB7581">
        <w:rPr>
          <w:sz w:val="20"/>
          <w:szCs w:val="20"/>
        </w:rPr>
        <w:instrText xml:space="preserve"> SEQ Figure \* ARABIC </w:instrText>
      </w:r>
      <w:r w:rsidR="003F72DF" w:rsidRPr="00221992">
        <w:rPr>
          <w:sz w:val="20"/>
          <w:szCs w:val="20"/>
          <w:lang w:val="en-GB"/>
        </w:rPr>
        <w:fldChar w:fldCharType="separate"/>
      </w:r>
      <w:r w:rsidR="000E11E7">
        <w:rPr>
          <w:noProof/>
          <w:sz w:val="20"/>
          <w:szCs w:val="20"/>
        </w:rPr>
        <w:t>40</w:t>
      </w:r>
      <w:r w:rsidR="003F72DF" w:rsidRPr="00221992">
        <w:rPr>
          <w:noProof/>
          <w:sz w:val="20"/>
          <w:szCs w:val="20"/>
          <w:lang w:val="en-GB"/>
        </w:rPr>
        <w:fldChar w:fldCharType="end"/>
      </w:r>
      <w:bookmarkEnd w:id="306"/>
      <w:r w:rsidR="00AB7581" w:rsidRPr="00221992">
        <w:rPr>
          <w:noProof/>
          <w:sz w:val="20"/>
          <w:szCs w:val="20"/>
          <w:lang w:val="en-GB"/>
        </w:rPr>
        <w:t>.</w:t>
      </w:r>
      <w:r w:rsidRPr="00221992">
        <w:rPr>
          <w:sz w:val="20"/>
          <w:szCs w:val="20"/>
          <w:lang w:val="en-GB"/>
        </w:rPr>
        <w:t xml:space="preserve"> Taxonomy of HTA bodies throughout Europe, the UK, Canada and Australia</w:t>
      </w:r>
      <w:bookmarkEnd w:id="307"/>
    </w:p>
    <w:p w14:paraId="18643B23" w14:textId="5E42967B" w:rsidR="00FA6283" w:rsidRPr="00221992" w:rsidRDefault="00F006DF" w:rsidP="00533CF1">
      <w:pPr>
        <w:pStyle w:val="TableNotes"/>
        <w:rPr>
          <w:lang w:val="en-GB"/>
        </w:rPr>
      </w:pPr>
      <w:r w:rsidRPr="00221992">
        <w:rPr>
          <w:noProof/>
          <w:lang w:val="en-GB"/>
        </w:rPr>
        <w:drawing>
          <wp:inline distT="0" distB="0" distL="0" distR="0" wp14:anchorId="55A655BC" wp14:editId="09F62501">
            <wp:extent cx="6781798" cy="4043425"/>
            <wp:effectExtent l="0" t="0" r="0" b="0"/>
            <wp:docPr id="665452852" name="Picture 665452852" descr="A diagram of a compan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5452852"/>
                    <pic:cNvPicPr/>
                  </pic:nvPicPr>
                  <pic:blipFill>
                    <a:blip r:embed="rId167">
                      <a:extLst>
                        <a:ext uri="{28A0092B-C50C-407E-A947-70E740481C1C}">
                          <a14:useLocalDpi xmlns:a14="http://schemas.microsoft.com/office/drawing/2010/main" val="0"/>
                        </a:ext>
                      </a:extLst>
                    </a:blip>
                    <a:stretch>
                      <a:fillRect/>
                    </a:stretch>
                  </pic:blipFill>
                  <pic:spPr>
                    <a:xfrm>
                      <a:off x="0" y="0"/>
                      <a:ext cx="6781798" cy="4043425"/>
                    </a:xfrm>
                    <a:prstGeom prst="rect">
                      <a:avLst/>
                    </a:prstGeom>
                  </pic:spPr>
                </pic:pic>
              </a:graphicData>
            </a:graphic>
          </wp:inline>
        </w:drawing>
      </w:r>
    </w:p>
    <w:p w14:paraId="0F6B07FA" w14:textId="53A5BD83" w:rsidR="00F006DF" w:rsidRPr="00221992" w:rsidRDefault="00F006DF" w:rsidP="00533CF1">
      <w:pPr>
        <w:pStyle w:val="TableNotes"/>
        <w:rPr>
          <w:lang w:val="en-GB"/>
        </w:rPr>
      </w:pPr>
      <w:r w:rsidRPr="00221992">
        <w:rPr>
          <w:lang w:val="en-GB"/>
        </w:rPr>
        <w:t>Source</w:t>
      </w:r>
      <w:r w:rsidR="00552180" w:rsidRPr="00221992">
        <w:rPr>
          <w:lang w:val="en-GB"/>
        </w:rPr>
        <w:t>:</w:t>
      </w:r>
      <w:r w:rsidR="00552180" w:rsidRPr="00221992">
        <w:rPr>
          <w:lang w:val="en-GB"/>
        </w:rPr>
        <w:tab/>
      </w:r>
      <w:r w:rsidRPr="00221992">
        <w:rPr>
          <w:lang w:val="en-GB"/>
        </w:rPr>
        <w:t>Figure 2, p. 323 Fontrier, A. M., et al. (2022)</w:t>
      </w:r>
    </w:p>
    <w:p w14:paraId="5CDF5F84" w14:textId="75ED53BA" w:rsidR="00D72400" w:rsidRPr="00221992" w:rsidRDefault="00D72400" w:rsidP="00F006DF">
      <w:pPr>
        <w:rPr>
          <w:lang w:val="en-GB"/>
        </w:rPr>
        <w:sectPr w:rsidR="00D72400" w:rsidRPr="00221992" w:rsidSect="004A6C73">
          <w:pgSz w:w="16838" w:h="11906" w:orient="landscape" w:code="9"/>
          <w:pgMar w:top="1418" w:right="1701" w:bottom="1276" w:left="1247" w:header="567" w:footer="57" w:gutter="0"/>
          <w:cols w:space="708"/>
          <w:docGrid w:linePitch="360"/>
        </w:sectPr>
      </w:pPr>
    </w:p>
    <w:p w14:paraId="1FE4CD76" w14:textId="2AE3CFD4" w:rsidR="00E64155" w:rsidRPr="00221992" w:rsidRDefault="00E64155">
      <w:pPr>
        <w:pStyle w:val="Caption"/>
        <w:rPr>
          <w:lang w:val="en-GB"/>
        </w:rPr>
      </w:pPr>
      <w:bookmarkStart w:id="308" w:name="_Ref144117618"/>
      <w:bookmarkStart w:id="309" w:name="_Toc162950969"/>
      <w:r w:rsidRPr="00221992">
        <w:rPr>
          <w:lang w:val="en-GB"/>
        </w:rPr>
        <w:t xml:space="preserve">Table </w:t>
      </w:r>
      <w:r w:rsidRPr="00221992">
        <w:rPr>
          <w:lang w:val="en-GB"/>
        </w:rPr>
        <w:fldChar w:fldCharType="begin"/>
      </w:r>
      <w:r>
        <w:instrText>SEQ Table \* ARABIC</w:instrText>
      </w:r>
      <w:r w:rsidRPr="00221992">
        <w:rPr>
          <w:lang w:val="en-GB"/>
        </w:rPr>
        <w:fldChar w:fldCharType="separate"/>
      </w:r>
      <w:r w:rsidR="000E11E7">
        <w:rPr>
          <w:noProof/>
        </w:rPr>
        <w:t>22</w:t>
      </w:r>
      <w:r w:rsidRPr="00221992">
        <w:rPr>
          <w:lang w:val="en-GB"/>
        </w:rPr>
        <w:fldChar w:fldCharType="end"/>
      </w:r>
      <w:bookmarkEnd w:id="308"/>
      <w:r w:rsidR="00C31DCF" w:rsidRPr="00221992">
        <w:rPr>
          <w:lang w:val="en-GB"/>
        </w:rPr>
        <w:t>.</w:t>
      </w:r>
      <w:r w:rsidRPr="00221992">
        <w:rPr>
          <w:lang w:val="en-GB"/>
        </w:rPr>
        <w:t xml:space="preserve"> Cost-effectiveness of test alternatives for treatment with trastuzumab</w:t>
      </w:r>
      <w:r w:rsidR="001E3C4A" w:rsidRPr="00221992">
        <w:rPr>
          <w:lang w:val="en-GB"/>
        </w:rPr>
        <w:t>,</w:t>
      </w:r>
      <w:r w:rsidRPr="00221992">
        <w:rPr>
          <w:lang w:val="en-GB"/>
        </w:rPr>
        <w:t xml:space="preserve"> breast cancer</w:t>
      </w:r>
      <w:bookmarkEnd w:id="309"/>
    </w:p>
    <w:p w14:paraId="27AAFB30" w14:textId="77777777" w:rsidR="00E64155" w:rsidRPr="00221992" w:rsidRDefault="00E64155" w:rsidP="00E64155">
      <w:pPr>
        <w:rPr>
          <w:lang w:val="en-GB"/>
        </w:rPr>
      </w:pPr>
      <w:r w:rsidRPr="00221992">
        <w:rPr>
          <w:noProof/>
          <w:lang w:val="en-GB"/>
        </w:rPr>
        <w:drawing>
          <wp:inline distT="0" distB="0" distL="0" distR="0" wp14:anchorId="10788881" wp14:editId="34CDE996">
            <wp:extent cx="4368800" cy="4587996"/>
            <wp:effectExtent l="0" t="0" r="0" b="0"/>
            <wp:docPr id="918918804" name="Picture 918918804" descr="A table with numbers an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918804" name="Picture 1" descr="A table with numbers and text&#10;&#10;Description automatically generated"/>
                    <pic:cNvPicPr/>
                  </pic:nvPicPr>
                  <pic:blipFill>
                    <a:blip r:embed="rId168"/>
                    <a:stretch>
                      <a:fillRect/>
                    </a:stretch>
                  </pic:blipFill>
                  <pic:spPr>
                    <a:xfrm>
                      <a:off x="0" y="0"/>
                      <a:ext cx="4380825" cy="4600624"/>
                    </a:xfrm>
                    <a:prstGeom prst="rect">
                      <a:avLst/>
                    </a:prstGeom>
                  </pic:spPr>
                </pic:pic>
              </a:graphicData>
            </a:graphic>
          </wp:inline>
        </w:drawing>
      </w:r>
    </w:p>
    <w:p w14:paraId="193E06A2" w14:textId="77777777" w:rsidR="0027396E" w:rsidRPr="00221992" w:rsidRDefault="00E64155" w:rsidP="00533CF1">
      <w:pPr>
        <w:pStyle w:val="TableNotes"/>
        <w:rPr>
          <w:lang w:val="en-GB"/>
        </w:rPr>
      </w:pPr>
      <w:r w:rsidRPr="00221992">
        <w:rPr>
          <w:lang w:val="en-GB"/>
        </w:rPr>
        <w:t xml:space="preserve">Source: </w:t>
      </w:r>
      <w:r w:rsidR="00DE62E2" w:rsidRPr="00221992">
        <w:rPr>
          <w:lang w:val="en-GB"/>
        </w:rPr>
        <w:tab/>
      </w:r>
      <w:r w:rsidRPr="00221992">
        <w:rPr>
          <w:lang w:val="en-GB"/>
        </w:rPr>
        <w:t xml:space="preserve">Extracted from Table 1, p 571, San Miguel et. al. (2015) </w:t>
      </w:r>
    </w:p>
    <w:p w14:paraId="181DC123" w14:textId="75CDD84C" w:rsidR="00D52C2F" w:rsidRPr="00221992" w:rsidRDefault="00DE62E2" w:rsidP="00533CF1">
      <w:pPr>
        <w:pStyle w:val="TableNotes"/>
        <w:rPr>
          <w:lang w:val="en-GB"/>
        </w:rPr>
      </w:pPr>
      <w:r w:rsidRPr="00221992">
        <w:rPr>
          <w:lang w:val="en-GB"/>
        </w:rPr>
        <w:t>Acronyms:</w:t>
      </w:r>
      <w:r w:rsidR="0030284B" w:rsidRPr="00221992">
        <w:rPr>
          <w:lang w:val="en-GB"/>
        </w:rPr>
        <w:tab/>
      </w:r>
      <w:r w:rsidR="00E64155" w:rsidRPr="00221992">
        <w:rPr>
          <w:lang w:val="en-GB"/>
        </w:rPr>
        <w:t>ICER = incremental cost-effectiveness ratio; IHC = immunohistochemistry; LYG = life-years gained</w:t>
      </w:r>
    </w:p>
    <w:p w14:paraId="43831C71" w14:textId="6371692F" w:rsidR="00262C49" w:rsidRPr="005172A4" w:rsidRDefault="00262C49" w:rsidP="005172A4">
      <w:pPr>
        <w:spacing w:before="80" w:after="80" w:line="240" w:lineRule="auto"/>
        <w:rPr>
          <w:sz w:val="18"/>
          <w:szCs w:val="18"/>
          <w:lang w:val="en-GB"/>
        </w:rPr>
      </w:pPr>
    </w:p>
    <w:p w14:paraId="49BABAC7" w14:textId="7CB7069F" w:rsidR="00262C49" w:rsidRPr="00221992" w:rsidRDefault="00262C49" w:rsidP="00C41AF5">
      <w:pPr>
        <w:rPr>
          <w:lang w:val="en-GB"/>
        </w:rPr>
      </w:pPr>
    </w:p>
    <w:sectPr w:rsidR="00262C49" w:rsidRPr="00221992" w:rsidSect="004A6C73">
      <w:pgSz w:w="11906" w:h="16838" w:code="9"/>
      <w:pgMar w:top="1701" w:right="1276" w:bottom="1247" w:left="1418" w:header="567" w:footer="57"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20817C3" w14:textId="77777777" w:rsidR="008C45FE" w:rsidRDefault="008C45FE" w:rsidP="00702C58">
      <w:r>
        <w:separator/>
      </w:r>
    </w:p>
    <w:p w14:paraId="1B847938" w14:textId="77777777" w:rsidR="008C45FE" w:rsidRDefault="008C45FE" w:rsidP="00702C58"/>
  </w:endnote>
  <w:endnote w:type="continuationSeparator" w:id="0">
    <w:p w14:paraId="46F5D3A7" w14:textId="77777777" w:rsidR="008C45FE" w:rsidRDefault="008C45FE" w:rsidP="00702C58">
      <w:r>
        <w:continuationSeparator/>
      </w:r>
    </w:p>
    <w:p w14:paraId="5FC58F39" w14:textId="77777777" w:rsidR="008C45FE" w:rsidRDefault="008C45FE" w:rsidP="00702C58"/>
  </w:endnote>
  <w:endnote w:type="continuationNotice" w:id="1">
    <w:p w14:paraId="5F4986AE" w14:textId="77777777" w:rsidR="008C45FE" w:rsidRDefault="008C45FE" w:rsidP="00702C58"/>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alibri">
    <w:panose1 w:val="020F0502020204030204"/>
    <w:charset w:val="00"/>
    <w:family w:val="swiss"/>
    <w:pitch w:val="variable"/>
    <w:sig w:usb0="E4002EFF" w:usb1="C000247B" w:usb2="00000009" w:usb3="00000000" w:csb0="000001FF" w:csb1="00000000"/>
  </w:font>
  <w:font w:name="MS PGothic">
    <w:panose1 w:val="020B0600070205080204"/>
    <w:charset w:val="80"/>
    <w:family w:val="swiss"/>
    <w:pitch w:val="variable"/>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Palatino Linotype">
    <w:panose1 w:val="02040502050505030304"/>
    <w:charset w:val="00"/>
    <w:family w:val="roman"/>
    <w:pitch w:val="variable"/>
    <w:sig w:usb0="E0000287" w:usb1="40000013" w:usb2="00000000" w:usb3="00000000" w:csb0="0000019F" w:csb1="00000000"/>
  </w:font>
  <w:font w:name="Cambria Math">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6BC55D" w14:textId="77777777" w:rsidR="00C34F7F" w:rsidRDefault="00C34F7F">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34587C" w14:textId="202E5054" w:rsidR="00146878" w:rsidRPr="00841D9C" w:rsidRDefault="00200ABB" w:rsidP="00702C58">
    <w:pPr>
      <w:pStyle w:val="Footer"/>
      <w:rPr>
        <w:color w:val="000000" w:themeColor="text1"/>
      </w:rPr>
    </w:pPr>
    <w:r>
      <w:rPr>
        <w:noProof/>
        <w:color w:val="000000" w:themeColor="text1"/>
      </w:rPr>
      <w:drawing>
        <wp:anchor distT="0" distB="0" distL="114300" distR="114300" simplePos="0" relativeHeight="251658263" behindDoc="0" locked="0" layoutInCell="1" allowOverlap="1" wp14:anchorId="1A2BE459" wp14:editId="3852F8C9">
          <wp:simplePos x="0" y="0"/>
          <wp:positionH relativeFrom="column">
            <wp:posOffset>-203200</wp:posOffset>
          </wp:positionH>
          <wp:positionV relativeFrom="paragraph">
            <wp:posOffset>15289</wp:posOffset>
          </wp:positionV>
          <wp:extent cx="1544320" cy="509270"/>
          <wp:effectExtent l="0" t="0" r="5080" b="0"/>
          <wp:wrapNone/>
          <wp:docPr id="376973075" name="Picture 376973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718407" name="Picture 1"/>
                  <pic:cNvPicPr/>
                </pic:nvPicPr>
                <pic:blipFill>
                  <a:blip r:embed="rId1"/>
                  <a:stretch>
                    <a:fillRect/>
                  </a:stretch>
                </pic:blipFill>
                <pic:spPr>
                  <a:xfrm>
                    <a:off x="0" y="0"/>
                    <a:ext cx="1544320" cy="509270"/>
                  </a:xfrm>
                  <a:prstGeom prst="rect">
                    <a:avLst/>
                  </a:prstGeom>
                </pic:spPr>
              </pic:pic>
            </a:graphicData>
          </a:graphic>
          <wp14:sizeRelH relativeFrom="margin">
            <wp14:pctWidth>0</wp14:pctWidth>
          </wp14:sizeRelH>
          <wp14:sizeRelV relativeFrom="margin">
            <wp14:pctHeight>0</wp14:pctHeight>
          </wp14:sizeRelV>
        </wp:anchor>
      </w:drawing>
    </w:r>
    <w:r w:rsidR="00146878" w:rsidRPr="00841D9C">
      <w:rPr>
        <w:noProof/>
        <w:color w:val="000000" w:themeColor="text1"/>
      </w:rPr>
      <mc:AlternateContent>
        <mc:Choice Requires="wps">
          <w:drawing>
            <wp:anchor distT="0" distB="0" distL="114300" distR="114300" simplePos="0" relativeHeight="251658262" behindDoc="0" locked="0" layoutInCell="1" allowOverlap="1" wp14:anchorId="57749B7D" wp14:editId="1A8D3ECB">
              <wp:simplePos x="0" y="0"/>
              <wp:positionH relativeFrom="margin">
                <wp:posOffset>5779770</wp:posOffset>
              </wp:positionH>
              <wp:positionV relativeFrom="page">
                <wp:posOffset>10047556</wp:posOffset>
              </wp:positionV>
              <wp:extent cx="276860" cy="629920"/>
              <wp:effectExtent l="0" t="0" r="2540" b="5080"/>
              <wp:wrapNone/>
              <wp:docPr id="2" name="Text Box 2"/>
              <wp:cNvGraphicFramePr/>
              <a:graphic xmlns:a="http://schemas.openxmlformats.org/drawingml/2006/main">
                <a:graphicData uri="http://schemas.microsoft.com/office/word/2010/wordprocessingShape">
                  <wps:wsp>
                    <wps:cNvSpPr txBox="1"/>
                    <wps:spPr>
                      <a:xfrm>
                        <a:off x="0" y="0"/>
                        <a:ext cx="276860" cy="6299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0094989" w14:textId="77777777" w:rsidR="00146878" w:rsidRPr="00841D9C" w:rsidRDefault="00146878" w:rsidP="00702C58">
                          <w:r w:rsidRPr="00841D9C">
                            <w:fldChar w:fldCharType="begin"/>
                          </w:r>
                          <w:r w:rsidRPr="00841D9C">
                            <w:instrText xml:space="preserve"> PAGE  \* Arabic  \* MERGEFORMAT </w:instrText>
                          </w:r>
                          <w:r w:rsidRPr="00841D9C">
                            <w:fldChar w:fldCharType="separate"/>
                          </w:r>
                          <w:r w:rsidRPr="00841D9C">
                            <w:rPr>
                              <w:noProof/>
                            </w:rPr>
                            <w:t>3</w:t>
                          </w:r>
                          <w:r w:rsidRPr="00841D9C">
                            <w:fldChar w:fldCharType="end"/>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7749B7D" id="_x0000_t202" coordsize="21600,21600" o:spt="202" path="m,l,21600r21600,l21600,xe">
              <v:stroke joinstyle="miter"/>
              <v:path gradientshapeok="t" o:connecttype="rect"/>
            </v:shapetype>
            <v:shape id="Text Box 2" o:spid="_x0000_s1028" type="#_x0000_t202" style="position:absolute;margin-left:455.1pt;margin-top:791.15pt;width:21.8pt;height:49.6pt;z-index:25165826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" filled="f" stroked="f" strokeweight=".5pt">
              <v:textbox inset="0,0,0,0">
                <w:txbxContent>
                  <w:p w14:paraId="30094989" w14:textId="77777777" w:rsidR="00146878" w:rsidRPr="00841D9C" w:rsidRDefault="00146878" w:rsidP="00702C58">
                    <w:r w:rsidRPr="00841D9C">
                      <w:fldChar w:fldCharType="begin"/>
                    </w:r>
                    <w:r w:rsidRPr="00841D9C">
                      <w:instrText xml:space="preserve"> PAGE  \* Arabic  \* MERGEFORMAT </w:instrText>
                    </w:r>
                    <w:r w:rsidRPr="00841D9C">
                      <w:fldChar w:fldCharType="separate"/>
                    </w:r>
                    <w:r w:rsidRPr="00841D9C">
                      <w:rPr>
                        <w:noProof/>
                      </w:rPr>
                      <w:t>3</w:t>
                    </w:r>
                    <w:r w:rsidRPr="00841D9C">
                      <w:fldChar w:fldCharType="end"/>
                    </w:r>
                  </w:p>
                </w:txbxContent>
              </v:textbox>
              <w10:wrap anchorx="margin" anchory="page"/>
            </v:shape>
          </w:pict>
        </mc:Fallback>
      </mc:AlternateContent>
    </w:r>
    <w:r w:rsidR="00146878" w:rsidRPr="00841D9C">
      <w:rPr>
        <w:color w:val="000000" w:themeColor="text1"/>
      </w:rPr>
      <w:t xml:space="preserve"> </w:t>
    </w:r>
  </w:p>
  <w:p w14:paraId="3C33866F" w14:textId="2BCC5BB7" w:rsidR="00146878" w:rsidRPr="00841D9C" w:rsidRDefault="00200ABB" w:rsidP="00702C58">
    <w:pPr>
      <w:pStyle w:val="Footer"/>
      <w:rPr>
        <w:color w:val="000000" w:themeColor="text1"/>
      </w:rPr>
    </w:pPr>
    <w:r w:rsidRPr="00841D9C">
      <w:rPr>
        <w:noProof/>
        <w:color w:val="000000" w:themeColor="text1"/>
      </w:rPr>
      <mc:AlternateContent>
        <mc:Choice Requires="wps">
          <w:drawing>
            <wp:anchor distT="0" distB="0" distL="114300" distR="114300" simplePos="0" relativeHeight="251658261" behindDoc="0" locked="0" layoutInCell="1" allowOverlap="1" wp14:anchorId="7E117B25" wp14:editId="33B9759B">
              <wp:simplePos x="0" y="0"/>
              <wp:positionH relativeFrom="column">
                <wp:posOffset>1393190</wp:posOffset>
              </wp:positionH>
              <wp:positionV relativeFrom="paragraph">
                <wp:posOffset>5080</wp:posOffset>
              </wp:positionV>
              <wp:extent cx="4198620" cy="0"/>
              <wp:effectExtent l="0" t="0" r="5080" b="12700"/>
              <wp:wrapNone/>
              <wp:docPr id="1" name="Straight Connector 1"/>
              <wp:cNvGraphicFramePr/>
              <a:graphic xmlns:a="http://schemas.openxmlformats.org/drawingml/2006/main">
                <a:graphicData uri="http://schemas.microsoft.com/office/word/2010/wordprocessingShape">
                  <wps:wsp>
                    <wps:cNvCnPr/>
                    <wps:spPr>
                      <a:xfrm>
                        <a:off x="0" y="0"/>
                        <a:ext cx="4198620" cy="0"/>
                      </a:xfrm>
                      <a:prstGeom prst="line">
                        <a:avLst/>
                      </a:prstGeom>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73316DF6" id="Straight Connector 1" o:spid="_x0000_s1026" style="position:absolute;z-index:251658261;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09.7pt,.4pt" to="440.3pt,.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" strokecolor="black [3040]"/>
          </w:pict>
        </mc:Fallback>
      </mc:AlternateContent>
    </w:r>
  </w:p>
  <w:p w14:paraId="1FB924B2" w14:textId="77777777" w:rsidR="00146878" w:rsidRPr="00841D9C" w:rsidRDefault="00146878" w:rsidP="00702C58">
    <w:pPr>
      <w:pStyle w:val="Footer"/>
      <w:rPr>
        <w:color w:val="000000" w:themeColor="text1"/>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A4B3B5" w14:textId="77777777" w:rsidR="00C34F7F" w:rsidRDefault="00C34F7F">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062B65" w14:textId="77777777" w:rsidR="00146878" w:rsidRDefault="00146878" w:rsidP="00702C58">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2A0A07" w14:textId="77777777" w:rsidR="00146878" w:rsidRDefault="00146878" w:rsidP="00702C58">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67B81C" w14:textId="77777777" w:rsidR="00146878" w:rsidRDefault="00146878" w:rsidP="00702C58">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452222" w14:textId="77777777" w:rsidR="00146878" w:rsidRDefault="00146878" w:rsidP="00702C58">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88FC69" w14:textId="77777777" w:rsidR="00146878" w:rsidRDefault="00146878" w:rsidP="00702C5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7162606" w14:textId="77777777" w:rsidR="008C45FE" w:rsidRPr="00C361AD" w:rsidRDefault="008C45FE" w:rsidP="00764A76">
      <w:bookmarkStart w:id="0" w:name="_Hlk483310346"/>
      <w:bookmarkEnd w:id="0"/>
      <w:r w:rsidRPr="00C361AD">
        <w:separator/>
      </w:r>
    </w:p>
  </w:footnote>
  <w:footnote w:type="continuationSeparator" w:id="0">
    <w:p w14:paraId="4BBC617B" w14:textId="77777777" w:rsidR="008C45FE" w:rsidRDefault="008C45FE" w:rsidP="00702C58">
      <w:r>
        <w:continuationSeparator/>
      </w:r>
    </w:p>
    <w:p w14:paraId="14F49BC7" w14:textId="77777777" w:rsidR="008C45FE" w:rsidRDefault="008C45FE" w:rsidP="00702C58"/>
  </w:footnote>
  <w:footnote w:type="continuationNotice" w:id="1">
    <w:p w14:paraId="7D102A9C" w14:textId="77777777" w:rsidR="008C45FE" w:rsidRDefault="008C45FE" w:rsidP="00702C58"/>
  </w:footnote>
  <w:footnote w:id="2">
    <w:p w14:paraId="7CD34C07" w14:textId="76649DCA" w:rsidR="008F2A67" w:rsidRPr="00DB5DF6" w:rsidRDefault="008F2A67">
      <w:pPr>
        <w:pStyle w:val="FootnoteText"/>
        <w:rPr>
          <w:sz w:val="20"/>
          <w:lang w:val="en-US"/>
        </w:rPr>
      </w:pPr>
      <w:r w:rsidRPr="00DB5DF6">
        <w:rPr>
          <w:rStyle w:val="FootnoteReference"/>
          <w:sz w:val="20"/>
        </w:rPr>
        <w:footnoteRef/>
      </w:r>
      <w:r w:rsidRPr="00DB5DF6">
        <w:rPr>
          <w:sz w:val="20"/>
        </w:rPr>
        <w:t xml:space="preserve"> </w:t>
      </w:r>
      <w:r w:rsidRPr="00DB5DF6">
        <w:rPr>
          <w:sz w:val="20"/>
          <w:lang w:val="en-US"/>
        </w:rPr>
        <w:t xml:space="preserve">Note:  </w:t>
      </w:r>
      <w:r w:rsidR="00827C8A" w:rsidRPr="00DB5DF6">
        <w:rPr>
          <w:sz w:val="20"/>
          <w:lang w:val="en-US"/>
        </w:rPr>
        <w:t xml:space="preserve">Whilst more recent Medicines Matter reports are available (up to 2022, which </w:t>
      </w:r>
      <w:r w:rsidR="003D1771" w:rsidRPr="00DB5DF6">
        <w:rPr>
          <w:sz w:val="20"/>
          <w:lang w:val="en-US"/>
        </w:rPr>
        <w:t>presents</w:t>
      </w:r>
      <w:r w:rsidR="00827C8A" w:rsidRPr="00DB5DF6">
        <w:rPr>
          <w:sz w:val="20"/>
          <w:lang w:val="en-US"/>
        </w:rPr>
        <w:t xml:space="preserve"> data from </w:t>
      </w:r>
      <w:r w:rsidR="00D17376" w:rsidRPr="00DB5DF6">
        <w:rPr>
          <w:sz w:val="20"/>
          <w:lang w:val="en-US"/>
        </w:rPr>
        <w:t xml:space="preserve">2016-2021), this report was selected </w:t>
      </w:r>
      <w:r w:rsidR="00DE07CC" w:rsidRPr="00DB5DF6">
        <w:rPr>
          <w:sz w:val="20"/>
          <w:lang w:val="en-US"/>
        </w:rPr>
        <w:t xml:space="preserve">because it was presented to the 2021 parliamentary inquiry, and additional </w:t>
      </w:r>
      <w:r w:rsidR="00B10F69" w:rsidRPr="00DB5DF6">
        <w:rPr>
          <w:sz w:val="20"/>
          <w:lang w:val="en-US"/>
        </w:rPr>
        <w:t xml:space="preserve">comparable European data from the same time-period are available (see </w:t>
      </w:r>
      <w:r w:rsidR="00A04E27" w:rsidRPr="00DB5DF6">
        <w:rPr>
          <w:sz w:val="20"/>
          <w:lang w:val="en-US"/>
        </w:rPr>
        <w:fldChar w:fldCharType="begin"/>
      </w:r>
      <w:r w:rsidR="00A04E27" w:rsidRPr="00DB5DF6">
        <w:rPr>
          <w:sz w:val="20"/>
          <w:lang w:val="en-US"/>
        </w:rPr>
        <w:instrText xml:space="preserve"> REF _Ref143592268 \h  \* MERGEFORMAT </w:instrText>
      </w:r>
      <w:r w:rsidR="00A04E27" w:rsidRPr="00DB5DF6">
        <w:rPr>
          <w:sz w:val="20"/>
          <w:lang w:val="en-US"/>
        </w:rPr>
      </w:r>
      <w:r w:rsidR="00A04E27" w:rsidRPr="00DB5DF6">
        <w:rPr>
          <w:sz w:val="20"/>
          <w:lang w:val="en-US"/>
        </w:rPr>
        <w:fldChar w:fldCharType="separate"/>
      </w:r>
      <w:r w:rsidR="000E11E7" w:rsidRPr="000E11E7">
        <w:rPr>
          <w:sz w:val="20"/>
          <w:lang w:val="en-GB"/>
        </w:rPr>
        <w:t xml:space="preserve">Figure </w:t>
      </w:r>
      <w:r w:rsidR="000E11E7" w:rsidRPr="000E11E7">
        <w:rPr>
          <w:noProof/>
          <w:sz w:val="20"/>
          <w:lang w:val="en-GB"/>
        </w:rPr>
        <w:t>8</w:t>
      </w:r>
      <w:r w:rsidR="00A04E27" w:rsidRPr="00DB5DF6">
        <w:rPr>
          <w:sz w:val="20"/>
          <w:lang w:val="en-US"/>
        </w:rPr>
        <w:fldChar w:fldCharType="end"/>
      </w:r>
      <w:r w:rsidR="00A04E27" w:rsidRPr="00DB5DF6">
        <w:rPr>
          <w:sz w:val="20"/>
          <w:lang w:val="en-US"/>
        </w:rPr>
        <w:t xml:space="preserve"> below).</w:t>
      </w:r>
      <w:r w:rsidR="00B10F69" w:rsidRPr="00DB5DF6">
        <w:rPr>
          <w:sz w:val="20"/>
          <w:lang w:val="en-US"/>
        </w:rPr>
        <w:t xml:space="preserve"> </w:t>
      </w:r>
      <w:r w:rsidR="004E51AE" w:rsidRPr="00DB5DF6">
        <w:rPr>
          <w:sz w:val="20"/>
          <w:lang w:val="en-US"/>
        </w:rPr>
        <w:t xml:space="preserve">The most recent Medicines Matter report shows modest improvements in Australia’s rankings: </w:t>
      </w:r>
      <w:hyperlink r:id="rId1" w:history="1">
        <w:r w:rsidR="00531FDC" w:rsidRPr="00DB5DF6">
          <w:rPr>
            <w:rStyle w:val="Hyperlink"/>
            <w:sz w:val="20"/>
            <w:lang w:val="en-US"/>
          </w:rPr>
          <w:t>https://www.medicinesaustralia.com.au/wp-content/uploads/sites/65/2023/04/Medicines-Matter-2022-FINAL.pdf</w:t>
        </w:r>
      </w:hyperlink>
      <w:r w:rsidR="00531FDC" w:rsidRPr="00DB5DF6">
        <w:rPr>
          <w:sz w:val="20"/>
          <w:lang w:val="en-US"/>
        </w:rPr>
        <w:t xml:space="preserve"> </w:t>
      </w:r>
    </w:p>
  </w:footnote>
  <w:footnote w:id="3">
    <w:p w14:paraId="0E0A678D" w14:textId="48CD0DF4" w:rsidR="00146878" w:rsidRPr="00DB5DF6" w:rsidRDefault="00146878" w:rsidP="00670F67">
      <w:pPr>
        <w:pStyle w:val="FootnoteText"/>
        <w:spacing w:after="0" w:line="240" w:lineRule="auto"/>
        <w:rPr>
          <w:sz w:val="20"/>
        </w:rPr>
      </w:pPr>
      <w:r w:rsidRPr="00DB5DF6">
        <w:rPr>
          <w:rStyle w:val="FootnoteReference"/>
          <w:sz w:val="20"/>
        </w:rPr>
        <w:footnoteRef/>
      </w:r>
      <w:r w:rsidRPr="00DB5DF6">
        <w:rPr>
          <w:sz w:val="20"/>
        </w:rPr>
        <w:t xml:space="preserve"> Measured as time from regulatory submission to HTA recommendation (PBAC recommendation in Australia</w:t>
      </w:r>
      <w:r w:rsidR="00551786" w:rsidRPr="00DB5DF6">
        <w:rPr>
          <w:sz w:val="20"/>
        </w:rPr>
        <w:t>’</w:t>
      </w:r>
      <w:r w:rsidRPr="00DB5DF6">
        <w:rPr>
          <w:sz w:val="20"/>
        </w:rPr>
        <w:t>s case), not the time to drug listing/reimbursement, which typically takes up to 4-6 months after the HTA decision is made.</w:t>
      </w:r>
    </w:p>
  </w:footnote>
  <w:footnote w:id="4">
    <w:p w14:paraId="7034D100" w14:textId="24BBDA85" w:rsidR="00A04E27" w:rsidRPr="00DB5DF6" w:rsidRDefault="00A04E27" w:rsidP="00670F67">
      <w:pPr>
        <w:pStyle w:val="FootnoteText"/>
        <w:spacing w:after="0" w:line="240" w:lineRule="auto"/>
        <w:rPr>
          <w:sz w:val="20"/>
        </w:rPr>
      </w:pPr>
      <w:r w:rsidRPr="00DB5DF6">
        <w:rPr>
          <w:rStyle w:val="FootnoteReference"/>
          <w:sz w:val="20"/>
        </w:rPr>
        <w:footnoteRef/>
      </w:r>
      <w:r w:rsidRPr="00DB5DF6">
        <w:rPr>
          <w:sz w:val="20"/>
        </w:rPr>
        <w:t xml:space="preserve"> Most HTA processes, including those of PBAC/MSAC, require consumers to declare conflicts of interest.</w:t>
      </w:r>
    </w:p>
  </w:footnote>
  <w:footnote w:id="5">
    <w:p w14:paraId="27169824" w14:textId="24ACC01B" w:rsidR="00A04E27" w:rsidRPr="00DB5DF6" w:rsidRDefault="00A04E27" w:rsidP="00670F67">
      <w:pPr>
        <w:pStyle w:val="FootnoteText"/>
        <w:spacing w:after="0" w:line="240" w:lineRule="auto"/>
        <w:rPr>
          <w:sz w:val="20"/>
        </w:rPr>
      </w:pPr>
      <w:r w:rsidRPr="00DB5DF6">
        <w:rPr>
          <w:rStyle w:val="FootnoteReference"/>
          <w:sz w:val="20"/>
        </w:rPr>
        <w:footnoteRef/>
      </w:r>
      <w:r w:rsidRPr="00DB5DF6">
        <w:rPr>
          <w:sz w:val="20"/>
        </w:rPr>
        <w:t xml:space="preserve"> The Consumers Health Forum and Medicines Australia have published the </w:t>
      </w:r>
      <w:r w:rsidRPr="00DB5DF6">
        <w:rPr>
          <w:i/>
          <w:iCs/>
          <w:sz w:val="20"/>
        </w:rPr>
        <w:t>Working Together Guide</w:t>
      </w:r>
      <w:r w:rsidRPr="00DB5DF6">
        <w:rPr>
          <w:sz w:val="20"/>
        </w:rPr>
        <w:t>, a resource for building collaborative relationships between individuals, health consumer organisations and industry addressing independence, trust, communication, confidentiality, accountability and (see https://www.medicinesaustralia.com.au/wp-content/uploads/sites/65/2020/11/Working-Together-Brochure-2015.pdf)</w:t>
      </w:r>
    </w:p>
  </w:footnote>
  <w:footnote w:id="6">
    <w:p w14:paraId="6869FED8" w14:textId="52A5A910" w:rsidR="002A3763" w:rsidRPr="00DB5DF6" w:rsidRDefault="002A3763" w:rsidP="00670F67">
      <w:pPr>
        <w:pStyle w:val="FootnoteText"/>
        <w:spacing w:after="0" w:line="240" w:lineRule="auto"/>
        <w:rPr>
          <w:sz w:val="20"/>
        </w:rPr>
      </w:pPr>
      <w:r w:rsidRPr="00DB5DF6">
        <w:rPr>
          <w:rStyle w:val="FootnoteReference"/>
          <w:sz w:val="20"/>
        </w:rPr>
        <w:footnoteRef/>
      </w:r>
      <w:r w:rsidRPr="00DB5DF6">
        <w:rPr>
          <w:sz w:val="20"/>
        </w:rPr>
        <w:t xml:space="preserve"> An orphan drug is a pharmaceutical agent developed to treat medical conditions </w:t>
      </w:r>
      <w:r w:rsidR="00D04608">
        <w:rPr>
          <w:sz w:val="20"/>
        </w:rPr>
        <w:t>that</w:t>
      </w:r>
      <w:r w:rsidRPr="00DB5DF6">
        <w:rPr>
          <w:sz w:val="20"/>
        </w:rPr>
        <w:t>, because they are so rare, would not be profitable to produce without government assistance.</w:t>
      </w:r>
      <w:r w:rsidR="008A6310" w:rsidRPr="00DB5DF6">
        <w:rPr>
          <w:sz w:val="20"/>
        </w:rPr>
        <w:t xml:space="preserve"> </w:t>
      </w:r>
    </w:p>
  </w:footnote>
  <w:footnote w:id="7">
    <w:p w14:paraId="05DF45A9" w14:textId="3853A15B" w:rsidR="001837B5" w:rsidRPr="00DB5DF6" w:rsidRDefault="001837B5" w:rsidP="001837B5">
      <w:pPr>
        <w:pStyle w:val="FootnoteText"/>
        <w:spacing w:after="0" w:line="240" w:lineRule="auto"/>
        <w:rPr>
          <w:sz w:val="20"/>
        </w:rPr>
      </w:pPr>
      <w:r w:rsidRPr="00DB5DF6">
        <w:rPr>
          <w:rStyle w:val="FootnoteReference"/>
          <w:sz w:val="20"/>
        </w:rPr>
        <w:footnoteRef/>
      </w:r>
      <w:r w:rsidRPr="00DB5DF6">
        <w:rPr>
          <w:sz w:val="20"/>
        </w:rPr>
        <w:t xml:space="preserve"> All four criteria must be met: (1) No alternative exists. This means that there are no non-pharmacological or pharmacological interventions for these patients</w:t>
      </w:r>
      <w:r w:rsidR="00FC0ACF">
        <w:rPr>
          <w:sz w:val="20"/>
        </w:rPr>
        <w:t>;</w:t>
      </w:r>
      <w:r w:rsidRPr="00DB5DF6">
        <w:rPr>
          <w:sz w:val="20"/>
        </w:rPr>
        <w:t xml:space="preserve"> (2) the medical condition is severe, progressive and expected to lead to premature death</w:t>
      </w:r>
      <w:r w:rsidR="00FC0ACF">
        <w:rPr>
          <w:sz w:val="20"/>
        </w:rPr>
        <w:t>—t</w:t>
      </w:r>
      <w:r w:rsidRPr="00DB5DF6">
        <w:rPr>
          <w:sz w:val="20"/>
        </w:rPr>
        <w:t xml:space="preserve">he more severe the condition, or the younger the age at which a person with the condition might die, or the closer a person with the condition is to death, the more influential the rule of rescue might be; (3) the medical condition applies to only a very small number of patients; (4) The proposed medicine provides a worthwhile clinical improvement sufficient to qualify as a rescue from the medical condition. </w:t>
      </w:r>
    </w:p>
  </w:footnote>
  <w:footnote w:id="8">
    <w:p w14:paraId="0363A429" w14:textId="7B61F207" w:rsidR="00CF73A5" w:rsidRPr="00DB5DF6" w:rsidRDefault="00CF73A5">
      <w:pPr>
        <w:pStyle w:val="FootnoteText"/>
        <w:rPr>
          <w:sz w:val="20"/>
        </w:rPr>
      </w:pPr>
      <w:r w:rsidRPr="00DB5DF6">
        <w:rPr>
          <w:rStyle w:val="FootnoteReference"/>
          <w:sz w:val="20"/>
        </w:rPr>
        <w:footnoteRef/>
      </w:r>
      <w:r w:rsidR="009C3ADD" w:rsidRPr="00DB5DF6">
        <w:rPr>
          <w:sz w:val="20"/>
        </w:rPr>
        <w:t>Patient</w:t>
      </w:r>
      <w:r w:rsidR="00682303" w:rsidRPr="00DB5DF6">
        <w:rPr>
          <w:sz w:val="20"/>
        </w:rPr>
        <w:t>-</w:t>
      </w:r>
      <w:r w:rsidR="009C3ADD" w:rsidRPr="00DB5DF6">
        <w:rPr>
          <w:sz w:val="20"/>
        </w:rPr>
        <w:t xml:space="preserve">level expenditure caps focus on the </w:t>
      </w:r>
      <w:r w:rsidR="00D54EFF" w:rsidRPr="00DB5DF6">
        <w:rPr>
          <w:sz w:val="20"/>
        </w:rPr>
        <w:t xml:space="preserve">disaggregated approach </w:t>
      </w:r>
      <w:r w:rsidR="00937795" w:rsidRPr="00DB5DF6">
        <w:rPr>
          <w:sz w:val="20"/>
        </w:rPr>
        <w:t xml:space="preserve">based on </w:t>
      </w:r>
      <w:r w:rsidR="00D54EFF" w:rsidRPr="00DB5DF6">
        <w:rPr>
          <w:sz w:val="20"/>
        </w:rPr>
        <w:t>a</w:t>
      </w:r>
      <w:r w:rsidR="009C3ADD" w:rsidRPr="00DB5DF6">
        <w:rPr>
          <w:sz w:val="20"/>
        </w:rPr>
        <w:t xml:space="preserve"> </w:t>
      </w:r>
      <w:r w:rsidR="00937795" w:rsidRPr="00DB5DF6">
        <w:rPr>
          <w:sz w:val="20"/>
        </w:rPr>
        <w:t>sum on individual patients</w:t>
      </w:r>
      <w:r w:rsidR="00B04A29" w:rsidRPr="00DB5DF6">
        <w:rPr>
          <w:sz w:val="20"/>
        </w:rPr>
        <w:t xml:space="preserve"> such as such as dosage, number of treatments or time in treatment. Population</w:t>
      </w:r>
      <w:r w:rsidR="0030589B">
        <w:rPr>
          <w:sz w:val="20"/>
        </w:rPr>
        <w:t>-</w:t>
      </w:r>
      <w:r w:rsidR="00B04A29" w:rsidRPr="00DB5DF6">
        <w:rPr>
          <w:sz w:val="20"/>
        </w:rPr>
        <w:t xml:space="preserve">level expenditure </w:t>
      </w:r>
      <w:r w:rsidR="00D54EFF" w:rsidRPr="00DB5DF6">
        <w:rPr>
          <w:sz w:val="20"/>
        </w:rPr>
        <w:t xml:space="preserve">caps </w:t>
      </w:r>
      <w:r w:rsidR="00937795" w:rsidRPr="00DB5DF6">
        <w:rPr>
          <w:sz w:val="20"/>
        </w:rPr>
        <w:t xml:space="preserve">use an </w:t>
      </w:r>
      <w:r w:rsidR="00D54EFF" w:rsidRPr="00DB5DF6">
        <w:rPr>
          <w:sz w:val="20"/>
        </w:rPr>
        <w:t>aggregate</w:t>
      </w:r>
      <w:r w:rsidR="00937795" w:rsidRPr="00DB5DF6">
        <w:rPr>
          <w:sz w:val="20"/>
        </w:rPr>
        <w:t xml:space="preserve">d approach to measure total cost of a whole or defined population. </w:t>
      </w:r>
    </w:p>
  </w:footnote>
  <w:footnote w:id="9">
    <w:p w14:paraId="3560461D" w14:textId="778EEBCD" w:rsidR="00146878" w:rsidRPr="00DB5DF6" w:rsidRDefault="00146878" w:rsidP="00670F67">
      <w:pPr>
        <w:pStyle w:val="FootnoteText"/>
        <w:spacing w:after="0" w:line="240" w:lineRule="auto"/>
        <w:contextualSpacing/>
        <w:rPr>
          <w:sz w:val="20"/>
        </w:rPr>
      </w:pPr>
      <w:r w:rsidRPr="00DB5DF6">
        <w:rPr>
          <w:rStyle w:val="FootnoteReference"/>
          <w:sz w:val="20"/>
        </w:rPr>
        <w:footnoteRef/>
      </w:r>
      <w:r w:rsidRPr="00DB5DF6">
        <w:rPr>
          <w:sz w:val="20"/>
        </w:rPr>
        <w:t xml:space="preserve"> UK </w:t>
      </w:r>
      <w:r w:rsidR="007715F0" w:rsidRPr="00DB5DF6">
        <w:rPr>
          <w:sz w:val="20"/>
        </w:rPr>
        <w:t>(</w:t>
      </w:r>
      <w:r w:rsidRPr="00DB5DF6">
        <w:rPr>
          <w:sz w:val="20"/>
        </w:rPr>
        <w:t>2002</w:t>
      </w:r>
      <w:r w:rsidR="007715F0" w:rsidRPr="00DB5DF6">
        <w:rPr>
          <w:sz w:val="20"/>
        </w:rPr>
        <w:t>)</w:t>
      </w:r>
      <w:r w:rsidRPr="00DB5DF6">
        <w:rPr>
          <w:sz w:val="20"/>
        </w:rPr>
        <w:t>, Belgium (2002)</w:t>
      </w:r>
      <w:r w:rsidR="007715F0" w:rsidRPr="00DB5DF6">
        <w:rPr>
          <w:sz w:val="20"/>
        </w:rPr>
        <w:t>,</w:t>
      </w:r>
      <w:r w:rsidRPr="00DB5DF6">
        <w:rPr>
          <w:sz w:val="20"/>
        </w:rPr>
        <w:t xml:space="preserve"> Sweden (2003), Norway (2005)</w:t>
      </w:r>
      <w:r w:rsidR="007715F0" w:rsidRPr="00DB5DF6">
        <w:rPr>
          <w:sz w:val="20"/>
        </w:rPr>
        <w:t>,</w:t>
      </w:r>
      <w:r w:rsidRPr="00DB5DF6">
        <w:rPr>
          <w:sz w:val="20"/>
        </w:rPr>
        <w:t xml:space="preserve"> </w:t>
      </w:r>
      <w:r w:rsidR="007715F0" w:rsidRPr="00DB5DF6">
        <w:rPr>
          <w:sz w:val="20"/>
        </w:rPr>
        <w:t>t</w:t>
      </w:r>
      <w:r w:rsidRPr="00DB5DF6">
        <w:rPr>
          <w:sz w:val="20"/>
        </w:rPr>
        <w:t>he Netherlands and Italy (2006)</w:t>
      </w:r>
    </w:p>
  </w:footnote>
  <w:footnote w:id="10">
    <w:p w14:paraId="0D415B00" w14:textId="601B7939" w:rsidR="00146878" w:rsidRPr="00DB5DF6" w:rsidRDefault="00146878" w:rsidP="00670F67">
      <w:pPr>
        <w:pStyle w:val="FootnoteText"/>
        <w:spacing w:after="0" w:line="240" w:lineRule="auto"/>
        <w:contextualSpacing/>
        <w:rPr>
          <w:sz w:val="20"/>
        </w:rPr>
      </w:pPr>
      <w:r w:rsidRPr="00DB5DF6">
        <w:rPr>
          <w:rStyle w:val="FootnoteReference"/>
          <w:sz w:val="20"/>
        </w:rPr>
        <w:footnoteRef/>
      </w:r>
      <w:r w:rsidRPr="00DB5DF6">
        <w:rPr>
          <w:sz w:val="20"/>
        </w:rPr>
        <w:t xml:space="preserve"> These agreements are not based on the AIFA registry</w:t>
      </w:r>
      <w:r w:rsidR="007715F0" w:rsidRPr="00DB5DF6">
        <w:rPr>
          <w:sz w:val="20"/>
        </w:rPr>
        <w:t>.</w:t>
      </w:r>
    </w:p>
  </w:footnote>
  <w:footnote w:id="11">
    <w:p w14:paraId="24F1A071" w14:textId="40F92204" w:rsidR="00A04E27" w:rsidRPr="00DB5DF6" w:rsidRDefault="00A04E27" w:rsidP="00670F67">
      <w:pPr>
        <w:pStyle w:val="FootnoteText"/>
        <w:spacing w:after="0" w:line="240" w:lineRule="auto"/>
        <w:rPr>
          <w:sz w:val="20"/>
        </w:rPr>
      </w:pPr>
      <w:r w:rsidRPr="00DB5DF6">
        <w:rPr>
          <w:rStyle w:val="FootnoteReference"/>
          <w:sz w:val="20"/>
        </w:rPr>
        <w:footnoteRef/>
      </w:r>
      <w:r w:rsidRPr="00DB5DF6">
        <w:rPr>
          <w:sz w:val="20"/>
        </w:rPr>
        <w:t xml:space="preserve"> In Canada, financial product listing agreements (PLAs) ranged from 80%–95% of all agreements established between payers and manufacturers, compared with 5% to 20% of listings subject to outcomes/performance-based agreements). </w:t>
      </w:r>
      <w:r w:rsidR="000B778F">
        <w:rPr>
          <w:sz w:val="20"/>
        </w:rPr>
        <w:t>CED</w:t>
      </w:r>
      <w:r w:rsidRPr="00DB5DF6">
        <w:rPr>
          <w:sz w:val="20"/>
        </w:rPr>
        <w:t xml:space="preserve"> agreements were more common for medical devices than pharmaceutical products. </w:t>
      </w:r>
    </w:p>
    <w:p w14:paraId="64A4E5AA" w14:textId="77777777" w:rsidR="00A04E27" w:rsidRPr="00DB5DF6" w:rsidRDefault="00A04E27" w:rsidP="00670F67">
      <w:pPr>
        <w:pStyle w:val="FootnoteText"/>
        <w:spacing w:after="0" w:line="240" w:lineRule="auto"/>
        <w:rPr>
          <w:sz w:val="20"/>
        </w:rPr>
      </w:pPr>
    </w:p>
  </w:footnote>
  <w:footnote w:id="12">
    <w:p w14:paraId="3FA04EBF" w14:textId="685DFD08" w:rsidR="00146878" w:rsidRPr="00DB5DF6" w:rsidRDefault="00146878" w:rsidP="00670F67">
      <w:pPr>
        <w:spacing w:after="0" w:line="240" w:lineRule="auto"/>
        <w:rPr>
          <w:sz w:val="20"/>
          <w:szCs w:val="20"/>
        </w:rPr>
      </w:pPr>
      <w:r w:rsidRPr="00DB5DF6">
        <w:rPr>
          <w:rStyle w:val="FootnoteReference"/>
          <w:sz w:val="20"/>
          <w:szCs w:val="20"/>
        </w:rPr>
        <w:footnoteRef/>
      </w:r>
      <w:r w:rsidRPr="00DB5DF6">
        <w:rPr>
          <w:sz w:val="20"/>
          <w:szCs w:val="20"/>
        </w:rPr>
        <w:t xml:space="preserve"> Australia, Belgium, Czech republic, </w:t>
      </w:r>
      <w:r w:rsidR="006256FA" w:rsidRPr="00DB5DF6">
        <w:rPr>
          <w:sz w:val="20"/>
          <w:szCs w:val="20"/>
        </w:rPr>
        <w:t xml:space="preserve">England/Wales, </w:t>
      </w:r>
      <w:r w:rsidRPr="00DB5DF6">
        <w:rPr>
          <w:sz w:val="20"/>
          <w:szCs w:val="20"/>
        </w:rPr>
        <w:t xml:space="preserve">Estonia, France, Hungary, Italy, Korea, Lithuania, </w:t>
      </w:r>
      <w:r w:rsidR="006256FA" w:rsidRPr="00DB5DF6">
        <w:rPr>
          <w:sz w:val="20"/>
          <w:szCs w:val="20"/>
        </w:rPr>
        <w:t xml:space="preserve">the </w:t>
      </w:r>
      <w:r w:rsidRPr="00DB5DF6">
        <w:rPr>
          <w:sz w:val="20"/>
          <w:szCs w:val="20"/>
        </w:rPr>
        <w:t>Netherland</w:t>
      </w:r>
      <w:r w:rsidR="006256FA" w:rsidRPr="00DB5DF6">
        <w:rPr>
          <w:sz w:val="20"/>
          <w:szCs w:val="20"/>
        </w:rPr>
        <w:t>s and</w:t>
      </w:r>
      <w:r w:rsidRPr="00DB5DF6">
        <w:rPr>
          <w:sz w:val="20"/>
          <w:szCs w:val="20"/>
        </w:rPr>
        <w:t xml:space="preserve"> Sweden. </w:t>
      </w:r>
    </w:p>
  </w:footnote>
  <w:footnote w:id="13">
    <w:p w14:paraId="119E8632" w14:textId="1E35EB56" w:rsidR="00146878" w:rsidRPr="00DB5DF6" w:rsidRDefault="00146878" w:rsidP="00670F67">
      <w:pPr>
        <w:spacing w:after="0" w:line="240" w:lineRule="auto"/>
        <w:rPr>
          <w:sz w:val="20"/>
          <w:szCs w:val="20"/>
        </w:rPr>
      </w:pPr>
      <w:r w:rsidRPr="00DB5DF6">
        <w:rPr>
          <w:rStyle w:val="FootnoteReference"/>
          <w:sz w:val="20"/>
          <w:szCs w:val="20"/>
        </w:rPr>
        <w:footnoteRef/>
      </w:r>
      <w:r w:rsidRPr="00DB5DF6">
        <w:rPr>
          <w:sz w:val="20"/>
          <w:szCs w:val="20"/>
        </w:rPr>
        <w:t xml:space="preserve"> OECD state</w:t>
      </w:r>
      <w:r w:rsidR="006256FA" w:rsidRPr="00DB5DF6">
        <w:rPr>
          <w:sz w:val="20"/>
          <w:szCs w:val="20"/>
        </w:rPr>
        <w:t>d</w:t>
      </w:r>
      <w:r w:rsidRPr="00DB5DF6">
        <w:rPr>
          <w:sz w:val="20"/>
          <w:szCs w:val="20"/>
        </w:rPr>
        <w:t xml:space="preserve"> this is based on available literature. Some MEAs may be subject to confidentiality agreements. </w:t>
      </w:r>
    </w:p>
  </w:footnote>
  <w:footnote w:id="14">
    <w:p w14:paraId="7D5E52BE" w14:textId="689F6368" w:rsidR="00C374CD" w:rsidRPr="00DB5DF6" w:rsidRDefault="00C374CD" w:rsidP="00670F67">
      <w:pPr>
        <w:spacing w:after="0" w:line="240" w:lineRule="auto"/>
        <w:rPr>
          <w:sz w:val="20"/>
          <w:szCs w:val="20"/>
        </w:rPr>
      </w:pPr>
      <w:r w:rsidRPr="00DB5DF6">
        <w:rPr>
          <w:sz w:val="20"/>
          <w:szCs w:val="20"/>
        </w:rPr>
        <w:t>A wide range of measures ha</w:t>
      </w:r>
      <w:r w:rsidR="006256FA" w:rsidRPr="00DB5DF6">
        <w:rPr>
          <w:sz w:val="20"/>
          <w:szCs w:val="20"/>
        </w:rPr>
        <w:t>s</w:t>
      </w:r>
      <w:r w:rsidRPr="00DB5DF6">
        <w:rPr>
          <w:sz w:val="20"/>
          <w:szCs w:val="20"/>
        </w:rPr>
        <w:t xml:space="preserve"> been found to define patient response, including overall survival</w:t>
      </w:r>
      <w:r w:rsidR="006256FA" w:rsidRPr="00DB5DF6">
        <w:rPr>
          <w:sz w:val="20"/>
          <w:szCs w:val="20"/>
        </w:rPr>
        <w:t>,</w:t>
      </w:r>
      <w:r w:rsidRPr="00DB5DF6">
        <w:rPr>
          <w:sz w:val="20"/>
          <w:szCs w:val="20"/>
        </w:rPr>
        <w:t xml:space="preserve"> mortality</w:t>
      </w:r>
      <w:r w:rsidR="006256FA" w:rsidRPr="00DB5DF6">
        <w:rPr>
          <w:sz w:val="20"/>
          <w:szCs w:val="20"/>
        </w:rPr>
        <w:t>,</w:t>
      </w:r>
      <w:r w:rsidRPr="00DB5DF6">
        <w:rPr>
          <w:sz w:val="20"/>
          <w:szCs w:val="20"/>
        </w:rPr>
        <w:t xml:space="preserve"> morbidity</w:t>
      </w:r>
      <w:r w:rsidR="006256FA" w:rsidRPr="00DB5DF6">
        <w:rPr>
          <w:sz w:val="20"/>
          <w:szCs w:val="20"/>
        </w:rPr>
        <w:t>,</w:t>
      </w:r>
      <w:r w:rsidRPr="00DB5DF6">
        <w:rPr>
          <w:sz w:val="20"/>
          <w:szCs w:val="20"/>
        </w:rPr>
        <w:t xml:space="preserve"> population of patients to whom a drug is prescribed (size or clinical characteristics)</w:t>
      </w:r>
      <w:r w:rsidR="006256FA" w:rsidRPr="00DB5DF6">
        <w:rPr>
          <w:sz w:val="20"/>
          <w:szCs w:val="20"/>
        </w:rPr>
        <w:t>,</w:t>
      </w:r>
      <w:r w:rsidRPr="00DB5DF6">
        <w:rPr>
          <w:sz w:val="20"/>
          <w:szCs w:val="20"/>
        </w:rPr>
        <w:t xml:space="preserve"> number of treatment discontinuations</w:t>
      </w:r>
      <w:r w:rsidR="006256FA" w:rsidRPr="00DB5DF6">
        <w:rPr>
          <w:sz w:val="20"/>
          <w:szCs w:val="20"/>
        </w:rPr>
        <w:t>;</w:t>
      </w:r>
      <w:r w:rsidRPr="00DB5DF6">
        <w:rPr>
          <w:sz w:val="20"/>
          <w:szCs w:val="20"/>
        </w:rPr>
        <w:t xml:space="preserve"> delay in switch to a different drug</w:t>
      </w:r>
      <w:r w:rsidR="006256FA" w:rsidRPr="00DB5DF6">
        <w:rPr>
          <w:sz w:val="20"/>
          <w:szCs w:val="20"/>
        </w:rPr>
        <w:t>,</w:t>
      </w:r>
      <w:r w:rsidRPr="00DB5DF6">
        <w:rPr>
          <w:sz w:val="20"/>
          <w:szCs w:val="20"/>
        </w:rPr>
        <w:t xml:space="preserve"> number of hospitalisations or emergency department visits</w:t>
      </w:r>
      <w:r w:rsidR="006256FA" w:rsidRPr="00DB5DF6">
        <w:rPr>
          <w:sz w:val="20"/>
          <w:szCs w:val="20"/>
        </w:rPr>
        <w:t>,</w:t>
      </w:r>
      <w:r w:rsidRPr="00DB5DF6">
        <w:rPr>
          <w:sz w:val="20"/>
          <w:szCs w:val="20"/>
        </w:rPr>
        <w:t xml:space="preserve"> side effects</w:t>
      </w:r>
      <w:r w:rsidR="006256FA" w:rsidRPr="00DB5DF6">
        <w:rPr>
          <w:sz w:val="20"/>
          <w:szCs w:val="20"/>
        </w:rPr>
        <w:t>,</w:t>
      </w:r>
      <w:r w:rsidRPr="00DB5DF6">
        <w:rPr>
          <w:sz w:val="20"/>
          <w:szCs w:val="20"/>
        </w:rPr>
        <w:t xml:space="preserve"> dosage</w:t>
      </w:r>
      <w:r w:rsidR="006256FA" w:rsidRPr="00DB5DF6">
        <w:rPr>
          <w:sz w:val="20"/>
          <w:szCs w:val="20"/>
        </w:rPr>
        <w:t>,</w:t>
      </w:r>
      <w:r w:rsidRPr="00DB5DF6">
        <w:rPr>
          <w:sz w:val="20"/>
          <w:szCs w:val="20"/>
        </w:rPr>
        <w:t xml:space="preserve"> </w:t>
      </w:r>
      <w:r w:rsidR="006256FA" w:rsidRPr="00DB5DF6">
        <w:rPr>
          <w:sz w:val="20"/>
          <w:szCs w:val="20"/>
        </w:rPr>
        <w:t xml:space="preserve">and </w:t>
      </w:r>
      <w:r w:rsidRPr="00DB5DF6">
        <w:rPr>
          <w:sz w:val="20"/>
          <w:szCs w:val="20"/>
        </w:rPr>
        <w:t>treatment).</w:t>
      </w:r>
    </w:p>
  </w:footnote>
  <w:footnote w:id="15">
    <w:p w14:paraId="2366B4DD" w14:textId="3BDFC940" w:rsidR="00146878" w:rsidRPr="00DB5DF6" w:rsidRDefault="00146878" w:rsidP="00670F67">
      <w:pPr>
        <w:pStyle w:val="FootnoteText"/>
        <w:spacing w:after="0" w:line="240" w:lineRule="auto"/>
        <w:rPr>
          <w:sz w:val="20"/>
        </w:rPr>
      </w:pPr>
      <w:r w:rsidRPr="00DB5DF6">
        <w:rPr>
          <w:rStyle w:val="FootnoteReference"/>
          <w:sz w:val="20"/>
        </w:rPr>
        <w:footnoteRef/>
      </w:r>
      <w:r w:rsidRPr="00DB5DF6">
        <w:rPr>
          <w:sz w:val="20"/>
        </w:rPr>
        <w:t xml:space="preserve"> Italy has </w:t>
      </w:r>
      <w:r w:rsidR="00E860D6" w:rsidRPr="00DB5DF6">
        <w:rPr>
          <w:sz w:val="20"/>
        </w:rPr>
        <w:t>three</w:t>
      </w:r>
      <w:r w:rsidRPr="00DB5DF6">
        <w:rPr>
          <w:sz w:val="20"/>
        </w:rPr>
        <w:t xml:space="preserve"> pathways for reimbursement</w:t>
      </w:r>
      <w:r w:rsidR="00E860D6" w:rsidRPr="00DB5DF6">
        <w:rPr>
          <w:sz w:val="20"/>
        </w:rPr>
        <w:t>:</w:t>
      </w:r>
      <w:r w:rsidRPr="00DB5DF6">
        <w:rPr>
          <w:sz w:val="20"/>
        </w:rPr>
        <w:t xml:space="preserve"> the </w:t>
      </w:r>
      <w:r w:rsidR="006542B7" w:rsidRPr="00DB5DF6">
        <w:rPr>
          <w:sz w:val="20"/>
        </w:rPr>
        <w:t>standard</w:t>
      </w:r>
      <w:r w:rsidRPr="00DB5DF6">
        <w:rPr>
          <w:sz w:val="20"/>
        </w:rPr>
        <w:t xml:space="preserve"> assessment route and two pathways for rare and exceptional products. OMP</w:t>
      </w:r>
      <w:r w:rsidR="00E860D6" w:rsidRPr="00DB5DF6">
        <w:rPr>
          <w:sz w:val="20"/>
        </w:rPr>
        <w:t>s</w:t>
      </w:r>
      <w:r w:rsidRPr="00DB5DF6">
        <w:rPr>
          <w:sz w:val="20"/>
        </w:rPr>
        <w:t xml:space="preserve"> are reimbursed by the </w:t>
      </w:r>
      <w:r w:rsidR="006D3876" w:rsidRPr="00DB5DF6">
        <w:rPr>
          <w:sz w:val="20"/>
        </w:rPr>
        <w:t>SSN</w:t>
      </w:r>
      <w:r w:rsidRPr="00DB5DF6">
        <w:rPr>
          <w:sz w:val="20"/>
        </w:rPr>
        <w:t xml:space="preserve"> in accordance with national regulation. AIFA gives OMP</w:t>
      </w:r>
      <w:r w:rsidR="00822DB8" w:rsidRPr="00DB5DF6">
        <w:rPr>
          <w:sz w:val="20"/>
        </w:rPr>
        <w:t xml:space="preserve"> </w:t>
      </w:r>
      <w:r w:rsidRPr="00DB5DF6">
        <w:rPr>
          <w:sz w:val="20"/>
        </w:rPr>
        <w:t>PR dossiers (together with those concerning medicines of exceptional therapeutic relevance) priority over other pending applications. In such cases, the assessment period is reduced from 180 days (standard) to 100 days (</w:t>
      </w:r>
      <w:r w:rsidR="006D3876" w:rsidRPr="00DB5DF6">
        <w:rPr>
          <w:sz w:val="20"/>
        </w:rPr>
        <w:t xml:space="preserve">the </w:t>
      </w:r>
      <w:r w:rsidRPr="00DB5DF6">
        <w:rPr>
          <w:sz w:val="20"/>
        </w:rPr>
        <w:t xml:space="preserve">so-called </w:t>
      </w:r>
      <w:r w:rsidR="00551786" w:rsidRPr="00DB5DF6">
        <w:rPr>
          <w:sz w:val="20"/>
        </w:rPr>
        <w:t>‘</w:t>
      </w:r>
      <w:r w:rsidRPr="00DB5DF6">
        <w:rPr>
          <w:sz w:val="20"/>
        </w:rPr>
        <w:t>fast-track</w:t>
      </w:r>
      <w:r w:rsidR="00551786" w:rsidRPr="00DB5DF6">
        <w:rPr>
          <w:sz w:val="20"/>
        </w:rPr>
        <w:t>’</w:t>
      </w:r>
      <w:r w:rsidRPr="00DB5DF6">
        <w:rPr>
          <w:sz w:val="20"/>
        </w:rPr>
        <w:t xml:space="preserve"> authorization). In addition, AIFA has different regulations to enable early patient access to OMPs. One of the most used allows some OMPs to be reimbursed </w:t>
      </w:r>
      <w:r w:rsidR="00BD6027" w:rsidRPr="00DB5DF6">
        <w:rPr>
          <w:sz w:val="20"/>
        </w:rPr>
        <w:t>by</w:t>
      </w:r>
      <w:r w:rsidRPr="00DB5DF6">
        <w:rPr>
          <w:sz w:val="20"/>
        </w:rPr>
        <w:t xml:space="preserve"> the </w:t>
      </w:r>
      <w:r w:rsidR="00BD6027" w:rsidRPr="00DB5DF6">
        <w:rPr>
          <w:sz w:val="20"/>
        </w:rPr>
        <w:t>SSN</w:t>
      </w:r>
      <w:r w:rsidRPr="00DB5DF6">
        <w:rPr>
          <w:sz w:val="20"/>
        </w:rPr>
        <w:t xml:space="preserve"> before marketing authorization</w:t>
      </w:r>
      <w:r w:rsidR="005F6E85" w:rsidRPr="00DB5DF6">
        <w:rPr>
          <w:sz w:val="20"/>
        </w:rPr>
        <w:t xml:space="preserve"> </w:t>
      </w:r>
      <w:r w:rsidR="0040030A" w:rsidRPr="00DB5DF6">
        <w:rPr>
          <w:sz w:val="20"/>
        </w:rPr>
        <w:fldChar w:fldCharType="begin"/>
      </w:r>
      <w:r w:rsidR="00EF5B9A">
        <w:rPr>
          <w:sz w:val="20"/>
        </w:rPr>
        <w:instrText xml:space="preserve"> ADDIN EN.CITE &lt;EndNote&gt;&lt;Cite&gt;&lt;Author&gt;Gazzetta Ufficiale&lt;/Author&gt;&lt;Year&gt;1996&lt;/Year&gt;&lt;RecNum&gt;696&lt;/RecNum&gt;&lt;DisplayText&gt;[223]&lt;/DisplayText&gt;&lt;record&gt;&lt;rec-number&gt;696&lt;/rec-number&gt;&lt;foreign-keys&gt;&lt;key app="EN" db-id="wzwwsfxe4peesxef95cxvrwjxts9rreasarf" timestamp="1695609118"&gt;696&lt;/key&gt;&lt;/foreign-keys&gt;&lt;ref-type name="Web Page"&gt;12&lt;/ref-type&gt;&lt;contributors&gt;&lt;authors&gt;&lt;author&gt;Gazzetta Ufficiale,&lt;/author&gt;&lt;/authors&gt;&lt;/contributors&gt;&lt;titles&gt;&lt;title&gt;Italian Law December 23, 1996, N. 648&lt;/title&gt;&lt;/titles&gt;&lt;number&gt;16 August 2023&lt;/number&gt;&lt;dates&gt;&lt;year&gt;1996&lt;/year&gt;&lt;/dates&gt;&lt;publisher&gt;Government of Italy&lt;/publisher&gt;&lt;urls&gt;&lt;related-urls&gt;&lt;url&gt;https://www.normattiva.it/uri-res/N2Ls?urn:nir:stato:legge:1996-12-23;648!vig=&lt;/url&gt;&lt;/related-urls&gt;&lt;/urls&gt;&lt;/record&gt;&lt;/Cite&gt;&lt;/EndNote&gt;</w:instrText>
      </w:r>
      <w:r w:rsidR="0040030A" w:rsidRPr="00DB5DF6">
        <w:rPr>
          <w:sz w:val="20"/>
        </w:rPr>
        <w:fldChar w:fldCharType="separate"/>
      </w:r>
      <w:r w:rsidR="00EF5B9A">
        <w:rPr>
          <w:noProof/>
          <w:sz w:val="20"/>
        </w:rPr>
        <w:t>[223]</w:t>
      </w:r>
      <w:r w:rsidR="0040030A" w:rsidRPr="00DB5DF6">
        <w:rPr>
          <w:sz w:val="20"/>
        </w:rPr>
        <w:fldChar w:fldCharType="end"/>
      </w:r>
      <w:r w:rsidR="005F6E85" w:rsidRPr="00DB5DF6">
        <w:rPr>
          <w:sz w:val="20"/>
        </w:rPr>
        <w:t>.</w:t>
      </w:r>
      <w:r w:rsidR="00BD6027" w:rsidRPr="00DB5DF6">
        <w:rPr>
          <w:sz w:val="20"/>
        </w:rPr>
        <w:t xml:space="preserve"> </w:t>
      </w:r>
      <w:r w:rsidRPr="00DB5DF6">
        <w:rPr>
          <w:sz w:val="20"/>
        </w:rPr>
        <w:t xml:space="preserve">This applies to OMPs for severe conditions </w:t>
      </w:r>
      <w:r w:rsidR="00BD6027" w:rsidRPr="00DB5DF6">
        <w:rPr>
          <w:sz w:val="20"/>
        </w:rPr>
        <w:t>that</w:t>
      </w:r>
      <w:r w:rsidRPr="00DB5DF6">
        <w:rPr>
          <w:sz w:val="20"/>
        </w:rPr>
        <w:t xml:space="preserve"> have positive phase II clinical trial</w:t>
      </w:r>
      <w:r w:rsidR="00BD6027" w:rsidRPr="00DB5DF6">
        <w:rPr>
          <w:sz w:val="20"/>
        </w:rPr>
        <w:t xml:space="preserve"> results</w:t>
      </w:r>
      <w:r w:rsidRPr="00DB5DF6">
        <w:rPr>
          <w:sz w:val="20"/>
        </w:rPr>
        <w:t xml:space="preserve"> and no </w:t>
      </w:r>
      <w:r w:rsidR="00BD6027" w:rsidRPr="00DB5DF6">
        <w:rPr>
          <w:sz w:val="20"/>
        </w:rPr>
        <w:t xml:space="preserve">viable </w:t>
      </w:r>
      <w:r w:rsidRPr="00DB5DF6">
        <w:rPr>
          <w:sz w:val="20"/>
        </w:rPr>
        <w:t xml:space="preserve">therapeutic </w:t>
      </w:r>
      <w:r w:rsidR="00BD6027" w:rsidRPr="00DB5DF6">
        <w:rPr>
          <w:sz w:val="20"/>
        </w:rPr>
        <w:t>alternative</w:t>
      </w:r>
      <w:r w:rsidR="00B01DDA" w:rsidRPr="00DB5DF6">
        <w:rPr>
          <w:sz w:val="20"/>
        </w:rPr>
        <w:t xml:space="preserve"> </w:t>
      </w:r>
      <w:r w:rsidR="0004431A" w:rsidRPr="00DB5DF6">
        <w:rPr>
          <w:sz w:val="20"/>
        </w:rPr>
        <w:fldChar w:fldCharType="begin"/>
      </w:r>
      <w:r w:rsidR="00EF5B9A">
        <w:rPr>
          <w:sz w:val="20"/>
        </w:rPr>
        <w:instrText xml:space="preserve"> ADDIN EN.CITE &lt;EndNote&gt;&lt;Cite&gt;&lt;Author&gt;Gazzetta Ufficiale&lt;/Author&gt;&lt;Year&gt;2014&lt;/Year&gt;&lt;RecNum&gt;697&lt;/RecNum&gt;&lt;DisplayText&gt;[224]&lt;/DisplayText&gt;&lt;record&gt;&lt;rec-number&gt;697&lt;/rec-number&gt;&lt;foreign-keys&gt;&lt;key app="EN" db-id="wzwwsfxe4peesxef95cxvrwjxts9rreasarf" timestamp="1695609203"&gt;697&lt;/key&gt;&lt;/foreign-keys&gt;&lt;ref-type name="Web Page"&gt;12&lt;/ref-type&gt;&lt;contributors&gt;&lt;authors&gt;&lt;author&gt;Gazzetta Ufficiale,&lt;/author&gt;&lt;/authors&gt;&lt;/contributors&gt;&lt;titles&gt;&lt;title&gt;Italian Law May 16, 2014, N. 79&lt;/title&gt;&lt;/titles&gt;&lt;number&gt;16 August 2023&lt;/number&gt;&lt;dates&gt;&lt;year&gt;2014&lt;/year&gt;&lt;/dates&gt;&lt;publisher&gt;Government of Italy&lt;/publisher&gt;&lt;urls&gt;&lt;related-urls&gt;&lt;url&gt;https://www.normattiva.it/uri-res/N2Ls?urn:nir:stato:legge:2014-05-16;79!vig=&lt;/url&gt;&lt;/related-urls&gt;&lt;/urls&gt;&lt;/record&gt;&lt;/Cite&gt;&lt;/EndNote&gt;</w:instrText>
      </w:r>
      <w:r w:rsidR="0004431A" w:rsidRPr="00DB5DF6">
        <w:rPr>
          <w:sz w:val="20"/>
        </w:rPr>
        <w:fldChar w:fldCharType="separate"/>
      </w:r>
      <w:r w:rsidR="00EF5B9A">
        <w:rPr>
          <w:noProof/>
          <w:sz w:val="20"/>
        </w:rPr>
        <w:t>[224]</w:t>
      </w:r>
      <w:r w:rsidR="0004431A" w:rsidRPr="00DB5DF6">
        <w:rPr>
          <w:sz w:val="20"/>
        </w:rPr>
        <w:fldChar w:fldCharType="end"/>
      </w:r>
      <w:r w:rsidR="00B01DDA" w:rsidRPr="00DB5DF6">
        <w:rPr>
          <w:sz w:val="20"/>
        </w:rPr>
        <w:t>.</w:t>
      </w:r>
    </w:p>
  </w:footnote>
  <w:footnote w:id="16">
    <w:p w14:paraId="40A41C1A" w14:textId="1CEFC42B" w:rsidR="00146878" w:rsidRPr="00DB5DF6" w:rsidRDefault="00146878" w:rsidP="00670F67">
      <w:pPr>
        <w:pStyle w:val="FootnoteText"/>
        <w:spacing w:after="0" w:line="240" w:lineRule="auto"/>
        <w:rPr>
          <w:sz w:val="20"/>
        </w:rPr>
      </w:pPr>
      <w:r w:rsidRPr="00DB5DF6">
        <w:rPr>
          <w:rStyle w:val="FootnoteReference"/>
          <w:sz w:val="20"/>
        </w:rPr>
        <w:footnoteRef/>
      </w:r>
      <w:r w:rsidRPr="00DB5DF6">
        <w:rPr>
          <w:sz w:val="20"/>
        </w:rPr>
        <w:t xml:space="preserve"> AIFA has </w:t>
      </w:r>
      <w:r w:rsidR="002E506F" w:rsidRPr="00DB5DF6">
        <w:rPr>
          <w:sz w:val="20"/>
        </w:rPr>
        <w:t>published</w:t>
      </w:r>
      <w:r w:rsidRPr="00DB5DF6">
        <w:rPr>
          <w:sz w:val="20"/>
        </w:rPr>
        <w:t xml:space="preserve"> registry analysis reports</w:t>
      </w:r>
      <w:r w:rsidR="002E506F" w:rsidRPr="00DB5DF6">
        <w:rPr>
          <w:sz w:val="20"/>
        </w:rPr>
        <w:t xml:space="preserve"> since 2020</w:t>
      </w:r>
      <w:r w:rsidRPr="00DB5DF6">
        <w:rPr>
          <w:sz w:val="20"/>
        </w:rPr>
        <w:t xml:space="preserve">. Only </w:t>
      </w:r>
      <w:r w:rsidR="008C0568" w:rsidRPr="00DB5DF6">
        <w:rPr>
          <w:sz w:val="20"/>
        </w:rPr>
        <w:t>three</w:t>
      </w:r>
      <w:r w:rsidRPr="00DB5DF6">
        <w:rPr>
          <w:sz w:val="20"/>
        </w:rPr>
        <w:t xml:space="preserve"> reports had been published at the time of </w:t>
      </w:r>
      <w:r w:rsidR="002F4001" w:rsidRPr="00DB5DF6">
        <w:rPr>
          <w:sz w:val="20"/>
        </w:rPr>
        <w:t>Xoxi et al.</w:t>
      </w:r>
      <w:r w:rsidR="00551786" w:rsidRPr="00DB5DF6">
        <w:rPr>
          <w:sz w:val="20"/>
        </w:rPr>
        <w:t>’</w:t>
      </w:r>
      <w:r w:rsidR="002F4001" w:rsidRPr="00DB5DF6">
        <w:rPr>
          <w:sz w:val="20"/>
        </w:rPr>
        <w:t>s (2020)</w:t>
      </w:r>
      <w:r w:rsidRPr="00DB5DF6">
        <w:rPr>
          <w:sz w:val="20"/>
        </w:rPr>
        <w:t xml:space="preserve"> study</w:t>
      </w:r>
      <w:r w:rsidR="002E506F" w:rsidRPr="00DB5DF6">
        <w:rPr>
          <w:sz w:val="20"/>
        </w:rPr>
        <w:t>:</w:t>
      </w:r>
      <w:r w:rsidR="002F4001" w:rsidRPr="00DB5DF6">
        <w:rPr>
          <w:sz w:val="20"/>
        </w:rPr>
        <w:t xml:space="preserve"> </w:t>
      </w:r>
      <w:r w:rsidRPr="00DB5DF6">
        <w:rPr>
          <w:sz w:val="20"/>
        </w:rPr>
        <w:t>1. Abiraterone acetate (Zytiga®)</w:t>
      </w:r>
      <w:r w:rsidR="002F4001" w:rsidRPr="00DB5DF6">
        <w:rPr>
          <w:sz w:val="20"/>
        </w:rPr>
        <w:t>—a</w:t>
      </w:r>
      <w:r w:rsidRPr="00DB5DF6">
        <w:rPr>
          <w:sz w:val="20"/>
        </w:rPr>
        <w:t>ppropriateness registry (A) with PbR for metastatic castration-resistant prostate cancer (mCRPC) during and post-chemo</w:t>
      </w:r>
      <w:r w:rsidR="002F4001" w:rsidRPr="00DB5DF6">
        <w:rPr>
          <w:sz w:val="20"/>
        </w:rPr>
        <w:t>,</w:t>
      </w:r>
      <w:r w:rsidRPr="00DB5DF6">
        <w:rPr>
          <w:sz w:val="20"/>
        </w:rPr>
        <w:t xml:space="preserve"> started on April 06, 2013, then transformed in A (PbR ended on July 26, 2017) and definitively closed on March 28, 2018</w:t>
      </w:r>
      <w:r w:rsidR="002F4001" w:rsidRPr="00DB5DF6">
        <w:rPr>
          <w:sz w:val="20"/>
        </w:rPr>
        <w:t>;</w:t>
      </w:r>
      <w:r w:rsidRPr="00DB5DF6">
        <w:rPr>
          <w:sz w:val="20"/>
        </w:rPr>
        <w:t xml:space="preserve"> </w:t>
      </w:r>
      <w:r w:rsidR="002F4001" w:rsidRPr="00DB5DF6">
        <w:rPr>
          <w:sz w:val="20"/>
        </w:rPr>
        <w:t>2. appropriateness registry (A) with FbA [precisely a cost-sharing (CS)] for mCRPC pre-chemo started on September 30, 2014, then transformed in A (CS ended on July 26, 2017) and definitively closed on March 28, 2018; 3</w:t>
      </w:r>
      <w:r w:rsidRPr="00DB5DF6">
        <w:rPr>
          <w:sz w:val="20"/>
        </w:rPr>
        <w:t>. Enzalutamide (Xtandi®)</w:t>
      </w:r>
      <w:r w:rsidR="002F4001" w:rsidRPr="00DB5DF6">
        <w:rPr>
          <w:sz w:val="20"/>
        </w:rPr>
        <w:t>—</w:t>
      </w:r>
      <w:r w:rsidRPr="00DB5DF6">
        <w:rPr>
          <w:sz w:val="20"/>
        </w:rPr>
        <w:t xml:space="preserve">Appropriateness registry (A) with FbA (CS) for mCRPC post-docetaxel started on December 25, 2014, then transformed in A (CS ended on April 22, 2016) and definitively closed on September 07, 2018 </w:t>
      </w:r>
      <w:r w:rsidR="00A04E27" w:rsidRPr="00DB5DF6">
        <w:rPr>
          <w:sz w:val="20"/>
        </w:rPr>
        <w:fldChar w:fldCharType="begin">
          <w:fldData xml:space="preserve">PEVuZE5vdGU+PENpdGU+PEF1dGhvcj5BZ2VuemlhIEl0YWxpYW5hIGRlbCBGYXJtYWNvIChBSUZB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</w:fldData>
        </w:fldChar>
      </w:r>
      <w:r w:rsidR="00EF5B9A">
        <w:rPr>
          <w:sz w:val="20"/>
        </w:rPr>
        <w:instrText xml:space="preserve"> ADDIN EN.CITE </w:instrText>
      </w:r>
      <w:r w:rsidR="00EF5B9A">
        <w:rPr>
          <w:sz w:val="20"/>
        </w:rPr>
        <w:fldChar w:fldCharType="begin">
          <w:fldData xml:space="preserve">PEVuZE5vdGU+PENpdGU+PEF1dGhvcj5BZ2VuemlhIEl0YWxpYW5hIGRlbCBGYXJtYWNvIChBSUZB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</w:fldData>
        </w:fldChar>
      </w:r>
      <w:r w:rsidR="00EF5B9A">
        <w:rPr>
          <w:sz w:val="20"/>
        </w:rPr>
        <w:instrText xml:space="preserve"> ADDIN EN.CITE.DATA </w:instrText>
      </w:r>
      <w:r w:rsidR="00EF5B9A">
        <w:rPr>
          <w:sz w:val="20"/>
        </w:rPr>
      </w:r>
      <w:r w:rsidR="00EF5B9A">
        <w:rPr>
          <w:sz w:val="20"/>
        </w:rPr>
        <w:fldChar w:fldCharType="end"/>
      </w:r>
      <w:r w:rsidR="00A04E27" w:rsidRPr="00DB5DF6">
        <w:rPr>
          <w:sz w:val="20"/>
        </w:rPr>
      </w:r>
      <w:r w:rsidR="00A04E27" w:rsidRPr="00DB5DF6">
        <w:rPr>
          <w:sz w:val="20"/>
        </w:rPr>
        <w:fldChar w:fldCharType="separate"/>
      </w:r>
      <w:r w:rsidR="00EF5B9A">
        <w:rPr>
          <w:noProof/>
          <w:sz w:val="20"/>
        </w:rPr>
        <w:t>[240-242]</w:t>
      </w:r>
      <w:r w:rsidR="00A04E27" w:rsidRPr="00DB5DF6">
        <w:rPr>
          <w:sz w:val="20"/>
        </w:rPr>
        <w:fldChar w:fldCharType="end"/>
      </w:r>
      <w:r w:rsidR="00A04E27" w:rsidRPr="00DB5DF6">
        <w:rPr>
          <w:sz w:val="20"/>
        </w:rPr>
        <w:t>.</w:t>
      </w:r>
    </w:p>
  </w:footnote>
  <w:footnote w:id="17">
    <w:p w14:paraId="7EA1477D" w14:textId="60CE7A99" w:rsidR="00146878" w:rsidRPr="00DB5DF6" w:rsidRDefault="00146878" w:rsidP="00670F67">
      <w:pPr>
        <w:pStyle w:val="FootnoteText"/>
        <w:spacing w:after="0" w:line="240" w:lineRule="auto"/>
        <w:rPr>
          <w:sz w:val="20"/>
        </w:rPr>
      </w:pPr>
      <w:r w:rsidRPr="00DB5DF6">
        <w:rPr>
          <w:rStyle w:val="FootnoteReference"/>
          <w:sz w:val="20"/>
        </w:rPr>
        <w:footnoteRef/>
      </w:r>
      <w:r w:rsidRPr="00DB5DF6">
        <w:rPr>
          <w:sz w:val="20"/>
        </w:rPr>
        <w:t xml:space="preserve"> Excluding Australia, Belgium and the Netherlands, where information on the type of MEA is confidential, and Norway and Sweden, where no product/indication pair in the sample was subject to performance-based MEAs.</w:t>
      </w:r>
    </w:p>
  </w:footnote>
  <w:footnote w:id="18">
    <w:p w14:paraId="6950E69C" w14:textId="309AC7C0" w:rsidR="003558D9" w:rsidRPr="00DB5DF6" w:rsidRDefault="003558D9" w:rsidP="00670F67">
      <w:pPr>
        <w:pStyle w:val="FootnoteText"/>
        <w:spacing w:after="0" w:line="240" w:lineRule="auto"/>
        <w:rPr>
          <w:sz w:val="20"/>
        </w:rPr>
      </w:pPr>
      <w:r w:rsidRPr="00DB5DF6">
        <w:rPr>
          <w:rStyle w:val="FootnoteReference"/>
          <w:sz w:val="20"/>
        </w:rPr>
        <w:footnoteRef/>
      </w:r>
      <w:r w:rsidRPr="00DB5DF6">
        <w:rPr>
          <w:sz w:val="20"/>
        </w:rPr>
        <w:t xml:space="preserve"> Manufacturers applying for new STMs can request to be included in the CA program if their application falls into the following group</w:t>
      </w:r>
      <w:r w:rsidR="00FA1ADE" w:rsidRPr="00DB5DF6">
        <w:rPr>
          <w:sz w:val="20"/>
        </w:rPr>
        <w:t>s</w:t>
      </w:r>
      <w:r w:rsidRPr="00DB5DF6">
        <w:rPr>
          <w:sz w:val="20"/>
        </w:rPr>
        <w:t xml:space="preserve">: B1, B2, B3, C1, </w:t>
      </w:r>
      <w:r w:rsidR="00135A52">
        <w:rPr>
          <w:sz w:val="20"/>
        </w:rPr>
        <w:t>or</w:t>
      </w:r>
      <w:r w:rsidR="00135A52" w:rsidRPr="000C66C0">
        <w:rPr>
          <w:color w:val="000000" w:themeColor="text1"/>
          <w:sz w:val="20"/>
        </w:rPr>
        <w:t xml:space="preserve"> </w:t>
      </w:r>
      <w:r w:rsidRPr="000C66C0">
        <w:rPr>
          <w:color w:val="000000" w:themeColor="text1"/>
          <w:sz w:val="20"/>
        </w:rPr>
        <w:t>C2.</w:t>
      </w:r>
      <w:r w:rsidRPr="00DB5DF6">
        <w:rPr>
          <w:sz w:val="20"/>
        </w:rPr>
        <w:t xml:space="preserve"> B1: placed in the existing functional classification; B2: placed in the existing functional classification with definition change; B3: placed in the existing category with improvement premium with conditional period; C1: premium pricing with new functional category creation.</w:t>
      </w:r>
      <w:r w:rsidR="00F34BA2" w:rsidRPr="00DB5DF6">
        <w:rPr>
          <w:sz w:val="20"/>
        </w:rPr>
        <w:t xml:space="preserve"> C2: new functional category with new procedure code or new procedure code</w:t>
      </w:r>
      <w:r w:rsidR="008B20CD">
        <w:rPr>
          <w:sz w:val="20"/>
        </w:rPr>
        <w:t xml:space="preserve"> only.</w:t>
      </w:r>
    </w:p>
  </w:footnote>
  <w:footnote w:id="19">
    <w:p w14:paraId="29BAE0E7" w14:textId="418F1D47" w:rsidR="00146878" w:rsidRPr="00DB5DF6" w:rsidRDefault="00146878" w:rsidP="00670F67">
      <w:pPr>
        <w:pStyle w:val="FootnoteText"/>
        <w:spacing w:after="0" w:line="240" w:lineRule="auto"/>
        <w:rPr>
          <w:sz w:val="20"/>
        </w:rPr>
      </w:pPr>
      <w:r w:rsidRPr="00DB5DF6">
        <w:rPr>
          <w:rStyle w:val="FootnoteReference"/>
          <w:sz w:val="20"/>
        </w:rPr>
        <w:footnoteRef/>
      </w:r>
      <w:r w:rsidRPr="00DB5DF6">
        <w:rPr>
          <w:sz w:val="20"/>
        </w:rPr>
        <w:t xml:space="preserve"> In addition to the annual monitoring process, the Zorginstituut also assess</w:t>
      </w:r>
      <w:r w:rsidR="00F52790" w:rsidRPr="00DB5DF6">
        <w:rPr>
          <w:sz w:val="20"/>
        </w:rPr>
        <w:t>es</w:t>
      </w:r>
      <w:r w:rsidRPr="00DB5DF6">
        <w:rPr>
          <w:sz w:val="20"/>
        </w:rPr>
        <w:t xml:space="preserve"> whether category 2 medicinal products </w:t>
      </w:r>
      <w:r w:rsidR="006F0462" w:rsidRPr="00DB5DF6">
        <w:rPr>
          <w:sz w:val="20"/>
        </w:rPr>
        <w:t>remain</w:t>
      </w:r>
      <w:r w:rsidRPr="00DB5DF6">
        <w:rPr>
          <w:sz w:val="20"/>
        </w:rPr>
        <w:t xml:space="preserve"> promising, whether they have a clinically relevant effect and whether the study may still answer the question. If the medicinal product is shown to be insufficiently effective regarding the pre-agreed interim outcome measures, the Zorginstituut will advise the Minister accordingly, who may then decide to terminate the conditional inclusion process prematurely </w:t>
      </w:r>
      <w:r w:rsidR="006F0462" w:rsidRPr="00DB5DF6">
        <w:rPr>
          <w:sz w:val="20"/>
        </w:rPr>
        <w:t>and</w:t>
      </w:r>
      <w:r w:rsidRPr="00DB5DF6">
        <w:rPr>
          <w:sz w:val="20"/>
        </w:rPr>
        <w:t xml:space="preserve"> automatically </w:t>
      </w:r>
      <w:r w:rsidR="006F0462" w:rsidRPr="00DB5DF6">
        <w:rPr>
          <w:sz w:val="20"/>
        </w:rPr>
        <w:t>trigger</w:t>
      </w:r>
      <w:r w:rsidRPr="00DB5DF6">
        <w:rPr>
          <w:sz w:val="20"/>
        </w:rPr>
        <w:t xml:space="preserve"> </w:t>
      </w:r>
      <w:r w:rsidR="00551786" w:rsidRPr="00DB5DF6">
        <w:rPr>
          <w:sz w:val="20"/>
        </w:rPr>
        <w:t>‘</w:t>
      </w:r>
      <w:r w:rsidRPr="00DB5DF6">
        <w:rPr>
          <w:sz w:val="20"/>
        </w:rPr>
        <w:t>de-implementation</w:t>
      </w:r>
      <w:r w:rsidR="004821C0" w:rsidRPr="00DB5DF6">
        <w:rPr>
          <w:sz w:val="20"/>
        </w:rPr>
        <w:t>.</w:t>
      </w:r>
      <w:r w:rsidR="00551786" w:rsidRPr="00DB5DF6">
        <w:rPr>
          <w:sz w:val="20"/>
        </w:rPr>
        <w:t>’</w:t>
      </w:r>
    </w:p>
  </w:footnote>
  <w:footnote w:id="20">
    <w:p w14:paraId="0C6CB180" w14:textId="77777777" w:rsidR="00A04E27" w:rsidRPr="00DB5DF6" w:rsidRDefault="00A04E27" w:rsidP="00670F67">
      <w:pPr>
        <w:pStyle w:val="FootnoteText"/>
        <w:spacing w:after="0" w:line="240" w:lineRule="auto"/>
        <w:rPr>
          <w:sz w:val="20"/>
        </w:rPr>
      </w:pPr>
      <w:r w:rsidRPr="00DB5DF6">
        <w:rPr>
          <w:rStyle w:val="FootnoteReference"/>
          <w:sz w:val="20"/>
        </w:rPr>
        <w:footnoteRef/>
      </w:r>
      <w:r w:rsidRPr="00DB5DF6">
        <w:rPr>
          <w:sz w:val="20"/>
        </w:rPr>
        <w:t xml:space="preserve"> 38% were HTA KOLs, 29% were pharmaceutical industry CEOs or VPs, 19% were ex-payers, and 14% were current payers/drug plan managers/HTA agency leaders.</w:t>
      </w:r>
    </w:p>
  </w:footnote>
  <w:footnote w:id="21">
    <w:p w14:paraId="304249A7" w14:textId="0C2B784A" w:rsidR="00146878" w:rsidRPr="00DB5DF6" w:rsidRDefault="00146878" w:rsidP="00670F67">
      <w:pPr>
        <w:pStyle w:val="FootnoteText"/>
        <w:spacing w:after="0" w:line="240" w:lineRule="auto"/>
        <w:rPr>
          <w:sz w:val="20"/>
        </w:rPr>
      </w:pPr>
      <w:r w:rsidRPr="00DB5DF6">
        <w:rPr>
          <w:rStyle w:val="FootnoteReference"/>
          <w:sz w:val="20"/>
        </w:rPr>
        <w:footnoteRef/>
      </w:r>
      <w:r w:rsidRPr="00DB5DF6">
        <w:rPr>
          <w:sz w:val="20"/>
        </w:rPr>
        <w:t xml:space="preserve"> The choice of AIFA to use the GRADE methodology to evaluate the quality of clinical evidence within a process of drug innovativeness assessment achieves two goals: (i) improvement of the transparency and reproducibility of the decision‐making process; (ii) early identification of the discrepancy between the need of rapid access to innovative therapies and the quality of clinical evidence available at the moment of the decision‐making.</w:t>
      </w:r>
    </w:p>
  </w:footnote>
  <w:footnote w:id="22">
    <w:p w14:paraId="5B473061" w14:textId="54194DEF" w:rsidR="00146878" w:rsidRPr="00DB5DF6" w:rsidRDefault="00146878" w:rsidP="00670F67">
      <w:pPr>
        <w:pStyle w:val="FootnoteText"/>
        <w:spacing w:after="0" w:line="240" w:lineRule="auto"/>
        <w:rPr>
          <w:sz w:val="20"/>
        </w:rPr>
      </w:pPr>
      <w:r w:rsidRPr="00DB5DF6">
        <w:rPr>
          <w:rStyle w:val="FootnoteReference"/>
          <w:sz w:val="20"/>
        </w:rPr>
        <w:footnoteRef/>
      </w:r>
      <w:r w:rsidRPr="00DB5DF6">
        <w:rPr>
          <w:sz w:val="20"/>
        </w:rPr>
        <w:t xml:space="preserve"> Insights generated from </w:t>
      </w:r>
      <w:r w:rsidR="00EB596A" w:rsidRPr="00DB5DF6">
        <w:rPr>
          <w:sz w:val="20"/>
        </w:rPr>
        <w:t>RWE</w:t>
      </w:r>
      <w:r w:rsidRPr="00DB5DF6">
        <w:rPr>
          <w:sz w:val="20"/>
        </w:rPr>
        <w:t xml:space="preserve"> using appropriate scientific analytics with the intention to support a claim or belief, for which a hypothesis is usually formulated in advanc</w:t>
      </w:r>
      <w:r w:rsidR="00A54E1B" w:rsidRPr="00DB5DF6">
        <w:rPr>
          <w:sz w:val="20"/>
        </w:rPr>
        <w:t xml:space="preserve">e </w:t>
      </w:r>
      <w:r w:rsidR="00A04E27" w:rsidRPr="00DB5DF6">
        <w:rPr>
          <w:sz w:val="20"/>
        </w:rPr>
        <w:fldChar w:fldCharType="begin">
          <w:fldData xml:space="preserve">PEVuZE5vdGU+PENpdGU+PEF1dGhvcj5LaG9zbGE8L0F1dGhvcj48WWVhcj4yMDIxPC9ZZWFyPjxS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</w:fldData>
        </w:fldChar>
      </w:r>
      <w:r w:rsidR="00EF5B9A">
        <w:rPr>
          <w:sz w:val="20"/>
        </w:rPr>
        <w:instrText xml:space="preserve"> ADDIN EN.CITE </w:instrText>
      </w:r>
      <w:r w:rsidR="00EF5B9A">
        <w:rPr>
          <w:sz w:val="20"/>
        </w:rPr>
        <w:fldChar w:fldCharType="begin">
          <w:fldData xml:space="preserve">PEVuZE5vdGU+PENpdGU+PEF1dGhvcj5LaG9zbGE8L0F1dGhvcj48WWVhcj4yMDIxPC9ZZWFyPjxS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</w:fldData>
        </w:fldChar>
      </w:r>
      <w:r w:rsidR="00EF5B9A">
        <w:rPr>
          <w:sz w:val="20"/>
        </w:rPr>
        <w:instrText xml:space="preserve"> ADDIN EN.CITE.DATA </w:instrText>
      </w:r>
      <w:r w:rsidR="00EF5B9A">
        <w:rPr>
          <w:sz w:val="20"/>
        </w:rPr>
      </w:r>
      <w:r w:rsidR="00EF5B9A">
        <w:rPr>
          <w:sz w:val="20"/>
        </w:rPr>
        <w:fldChar w:fldCharType="end"/>
      </w:r>
      <w:r w:rsidR="00A04E27" w:rsidRPr="00DB5DF6">
        <w:rPr>
          <w:sz w:val="20"/>
        </w:rPr>
      </w:r>
      <w:r w:rsidR="00A04E27" w:rsidRPr="00DB5DF6">
        <w:rPr>
          <w:sz w:val="20"/>
        </w:rPr>
        <w:fldChar w:fldCharType="separate"/>
      </w:r>
      <w:r w:rsidR="00EF5B9A">
        <w:rPr>
          <w:noProof/>
          <w:sz w:val="20"/>
        </w:rPr>
        <w:t>[275]</w:t>
      </w:r>
      <w:r w:rsidR="00A04E27" w:rsidRPr="00DB5DF6">
        <w:rPr>
          <w:sz w:val="20"/>
        </w:rPr>
        <w:fldChar w:fldCharType="end"/>
      </w:r>
      <w:r w:rsidR="00A54E1B" w:rsidRPr="00DB5DF6">
        <w:rPr>
          <w:sz w:val="20"/>
        </w:rPr>
        <w:t>.</w:t>
      </w:r>
    </w:p>
  </w:footnote>
  <w:footnote w:id="23">
    <w:p w14:paraId="374B4D0E" w14:textId="77777777" w:rsidR="001F47D5" w:rsidRPr="00DB5DF6" w:rsidRDefault="001F47D5" w:rsidP="00670F67">
      <w:pPr>
        <w:pStyle w:val="FootnoteText"/>
        <w:spacing w:after="0" w:line="240" w:lineRule="auto"/>
        <w:rPr>
          <w:sz w:val="20"/>
        </w:rPr>
      </w:pPr>
      <w:r w:rsidRPr="00DB5DF6">
        <w:rPr>
          <w:rStyle w:val="FootnoteReference"/>
          <w:sz w:val="20"/>
        </w:rPr>
        <w:footnoteRef/>
      </w:r>
      <w:r w:rsidRPr="00DB5DF6">
        <w:rPr>
          <w:sz w:val="20"/>
        </w:rPr>
        <w:t xml:space="preserve"> CE marking signifies that products sold in the EEA have been assessed to meet high safety, health, and environmental protection requirements.</w:t>
      </w:r>
    </w:p>
  </w:footnote>
  <w:footnote w:id="24">
    <w:p w14:paraId="70247E97" w14:textId="77777777" w:rsidR="001744DD" w:rsidRPr="00DB5DF6" w:rsidRDefault="001744DD" w:rsidP="00670F67">
      <w:pPr>
        <w:pStyle w:val="FootnoteText"/>
        <w:spacing w:after="0" w:line="240" w:lineRule="auto"/>
        <w:rPr>
          <w:sz w:val="20"/>
        </w:rPr>
      </w:pPr>
      <w:r w:rsidRPr="00DB5DF6">
        <w:rPr>
          <w:rStyle w:val="FootnoteReference"/>
          <w:sz w:val="20"/>
        </w:rPr>
        <w:footnoteRef/>
      </w:r>
      <w:r w:rsidRPr="00DB5DF6">
        <w:rPr>
          <w:sz w:val="20"/>
        </w:rPr>
        <w:t xml:space="preserve"> Evidence of financial risk sharing, cost capping, expenditure ceilings and price volume agreements have been found plus special pricing arrangements (SPA) patient and population level CED, PbR and CTC. </w:t>
      </w:r>
    </w:p>
  </w:footnote>
  <w:footnote w:id="25">
    <w:p w14:paraId="72430BFC" w14:textId="248C8AF7" w:rsidR="000C0EE6" w:rsidRPr="00DB5DF6" w:rsidRDefault="000C0EE6" w:rsidP="00670F67">
      <w:pPr>
        <w:pStyle w:val="FootnoteText"/>
        <w:spacing w:after="0" w:line="240" w:lineRule="auto"/>
        <w:rPr>
          <w:sz w:val="20"/>
        </w:rPr>
      </w:pPr>
      <w:r w:rsidRPr="00DB5DF6">
        <w:rPr>
          <w:rStyle w:val="FootnoteReference"/>
          <w:sz w:val="20"/>
        </w:rPr>
        <w:footnoteRef/>
      </w:r>
      <w:r w:rsidRPr="00DB5DF6">
        <w:rPr>
          <w:sz w:val="20"/>
        </w:rPr>
        <w:t xml:space="preserve"> </w:t>
      </w:r>
      <w:r w:rsidR="00E46142" w:rsidRPr="00DB5DF6">
        <w:rPr>
          <w:sz w:val="20"/>
        </w:rPr>
        <w:t>The Australian response indicated that</w:t>
      </w:r>
      <w:r w:rsidRPr="00DB5DF6">
        <w:rPr>
          <w:sz w:val="20"/>
        </w:rPr>
        <w:t xml:space="preserve"> the existence of MEAs could not be disclosed for seven product/indication pairs within the sample due to confidentiality requirements.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1D6535" w14:textId="77777777" w:rsidR="00146878" w:rsidRDefault="00146878">
    <w:pPr>
      <w:pStyle w:val="Header"/>
    </w:pPr>
  </w:p>
  <w:p w14:paraId="6C761543" w14:textId="77777777" w:rsidR="00146878" w:rsidRDefault="00146878"/>
  <w:p w14:paraId="3DD26186" w14:textId="77777777" w:rsidR="00146878" w:rsidRDefault="00146878"/>
  <w:p w14:paraId="43CB2B4D" w14:textId="77777777" w:rsidR="00146878" w:rsidRDefault="00146878"/>
  <w:p w14:paraId="55EE3D66" w14:textId="77777777" w:rsidR="00146878" w:rsidRDefault="00146878"/>
  <w:p w14:paraId="7C6B86CC" w14:textId="77777777" w:rsidR="00146878" w:rsidRDefault="00146878"/>
  <w:p w14:paraId="0C6EC3BF" w14:textId="77777777" w:rsidR="00146878" w:rsidRDefault="00146878"/>
  <w:p w14:paraId="22497621" w14:textId="16C9448D" w:rsidR="00146878" w:rsidRDefault="00146878"/>
  <w:p w14:paraId="50FBB9C4" w14:textId="77777777" w:rsidR="003C21F3" w:rsidRDefault="003C21F3">
    <w:r>
      <w:rPr>
        <w:noProof/>
      </w:rPr>
      <mc:AlternateContent>
        <mc:Choice Requires="wps">
          <w:drawing>
            <wp:anchor distT="0" distB="0" distL="114300" distR="114300" simplePos="0" relativeHeight="251658259" behindDoc="1" locked="0" layoutInCell="1" allowOverlap="1" wp14:anchorId="3F0E1077" wp14:editId="0A2DF3E4">
              <wp:simplePos x="0" y="0"/>
              <wp:positionH relativeFrom="page">
                <wp:posOffset>0</wp:posOffset>
              </wp:positionH>
              <wp:positionV relativeFrom="page">
                <wp:posOffset>0</wp:posOffset>
              </wp:positionV>
              <wp:extent cx="0" cy="0"/>
              <wp:effectExtent l="0" t="0" r="0" b="0"/>
              <wp:wrapNone/>
              <wp:docPr id="1393988362" name="Rectangle 1393988362">
                <a:extLst xmlns:a="http://schemas.openxmlformats.org/drawingml/2006/main">
                  <a:ext uri="{A998136B-4AC2-44c3-8CCF-79AB77ABDD1D}">
                    <a15:backgroundPr xmlns:a15="http://schemas.microsoft.com/office/drawing/2012/main" bwMode="white" bwPure="auto" bwNormal="auto" targetScreenSize="1024x768"/>
                  </a:ext>
                </a:extLst>
              </wp:docPr>
              <wp:cNvGraphicFramePr>
                <a:graphicFrameLocks xmlns:a="http://schemas.openxmlformats.org/drawingml/2006/main" noGrp="1" noDrilldown="1" noSelect="1" noChangeAspect="1" noResize="1"/>
              </wp:cNvGraphicFramePr>
              <a:graphic xmlns:a="http://schemas.openxmlformats.org/drawingml/2006/main">
                <a:graphicData uri="http://schemas.microsoft.com/office/word/2010/wordprocessingShape">
                  <wps:wsp>
                    <wps:cNvSpPr>
                      <a:spLocks noGrp="1" noSelect="1" noRot="1" noChangeAspect="1" noResize="1" noEditPoints="1" noAdjustHandles="1" noChangeArrowheads="1" noChangeShapeType="1" noTextEdit="1"/>
                    </wps:cNvSpPr>
                    <wps:spPr bwMode="white">
                      <a:xfrm>
                        <a:off x="0" y="0"/>
                        <a:ext cx="0" cy="0"/>
                      </a:xfrm>
                      <a:prstGeom prst="rect">
                        <a:avLst/>
                      </a:prstGeom>
                      <a:solidFill>
                        <a:schemeClr val="bg1">
                          <a:lumMod val="100000"/>
                          <a:lumOff val="0"/>
                        </a:schemeClr>
                      </a:solidFill>
                      <a:ln>
                        <a:noFill/>
                      </a:ln>
                      <a:extLst>
                        <a:ext uri="{91240B29-F687-4F45-9708-019B960494DF}">
                          <a14:hiddenLine xmlns:a14="http://schemas.microsoft.com/office/drawing/2010/main" w="0">
                            <a:solidFill>
                              <a:srgbClr val="000000"/>
                            </a:solidFill>
                            <a:miter lim="800000"/>
                            <a:headEnd/>
                            <a:tailEnd/>
                          </a14:hiddenLine>
                        </a:ext>
                      </a:extLst>
                    </wps:spPr>
                    <wps:bodyPr/>
                  </wps:wsp>
                </a:graphicData>
              </a:graphic>
              <wp14:sizeRelH relativeFrom="page">
                <wp14:pctWidth>100000</wp14:pctWidth>
              </wp14:sizeRelH>
              <wp14:sizeRelV relativeFrom="page">
                <wp14:pctHeight>100000</wp14:pctHeight>
              </wp14:sizeRelV>
            </wp:anchor>
          </w:drawing>
        </mc:Choice>
        <mc:Fallback>
          <w:pict>
            <v:rect w14:anchorId="6DCA172D" id="Rectangle 1393988362" o:spid="_x0000_s1026" style="position:absolute;margin-left:0;margin-top:0;width:0;height:0;z-index:-251658221;visibility:visible;mso-wrap-style:square;mso-width-percent:1000;mso-height-percent:1000;mso-wrap-distance-left:9pt;mso-wrap-distance-top:0;mso-wrap-distance-right:9pt;mso-wrap-distance-bottom:0;mso-position-horizontal:absolute;mso-position-horizontal-relative:page;mso-position-vertical:absolute;mso-position-vertical-relative:page;mso-width-percent:1000;mso-height-percent:1000;mso-width-relative:page;mso-height-relative:page;v-text-anchor:top" o:bwmode="whit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" fillcolor="white [3212]" stroked="f" strokeweight="0">
              <o:lock v:ext="edit" rotation="t" aspectratio="t" selection="t" verticies="t" text="t" adjusthandles="t" grouping="t" shapetype="t"/>
              <w10:wrap anchorx="page" anchory="page"/>
            </v:rect>
          </w:pict>
        </mc:Fallback>
      </mc:AlternateContent>
    </w:r>
  </w:p>
  <w:p w14:paraId="22F7F492" w14:textId="77777777" w:rsidR="003C21F3" w:rsidRDefault="003C21F3"/>
  <w:p w14:paraId="2A6EC6ED" w14:textId="406F98CA" w:rsidR="003F72DF" w:rsidRDefault="00585317">
    <w:r>
      <w:rPr>
        <w:noProof/>
      </w:rPr>
      <mc:AlternateContent>
        <mc:Choice Requires="wps">
          <w:drawing>
            <wp:anchor distT="0" distB="0" distL="114300" distR="114300" simplePos="0" relativeHeight="251658256" behindDoc="1" locked="0" layoutInCell="1" allowOverlap="1" wp14:anchorId="28C524A0" wp14:editId="1AAA6AA7">
              <wp:simplePos x="0" y="0"/>
              <wp:positionH relativeFrom="page">
                <wp:posOffset>0</wp:posOffset>
              </wp:positionH>
              <wp:positionV relativeFrom="page">
                <wp:posOffset>0</wp:posOffset>
              </wp:positionV>
              <wp:extent cx="0" cy="0"/>
              <wp:effectExtent l="0" t="0" r="0" b="0"/>
              <wp:wrapNone/>
              <wp:docPr id="1722918617" name="Rectangle 1722918617">
                <a:extLst xmlns:a="http://schemas.openxmlformats.org/drawingml/2006/main">
                  <a:ext uri="{A998136B-4AC2-44c3-8CCF-79AB77ABDD1D}">
                    <a15:backgroundPr xmlns:a15="http://schemas.microsoft.com/office/drawing/2012/main" bwMode="white" bwPure="auto" bwNormal="auto" targetScreenSize="1024x768"/>
                  </a:ext>
                </a:extLst>
              </wp:docPr>
              <wp:cNvGraphicFramePr>
                <a:graphicFrameLocks xmlns:a="http://schemas.openxmlformats.org/drawingml/2006/main" noGrp="1" noDrilldown="1" noSelect="1" noChangeAspect="1" noResize="1"/>
              </wp:cNvGraphicFramePr>
              <a:graphic xmlns:a="http://schemas.openxmlformats.org/drawingml/2006/main">
                <a:graphicData uri="http://schemas.microsoft.com/office/word/2010/wordprocessingShape">
                  <wps:wsp>
                    <wps:cNvSpPr>
                      <a:spLocks noGrp="1" noSelect="1" noRot="1" noChangeAspect="1" noResize="1" noEditPoints="1" noAdjustHandles="1" noChangeArrowheads="1" noChangeShapeType="1" noTextEdit="1"/>
                    </wps:cNvSpPr>
                    <wps:spPr bwMode="white">
                      <a:xfrm>
                        <a:off x="0" y="0"/>
                        <a:ext cx="0" cy="0"/>
                      </a:xfrm>
                      <a:prstGeom prst="rect">
                        <a:avLst/>
                      </a:prstGeom>
                      <a:solidFill>
                        <a:schemeClr val="bg1">
                          <a:lumMod val="100000"/>
                          <a:lumOff val="0"/>
                        </a:schemeClr>
                      </a:solidFill>
                      <a:ln>
                        <a:noFill/>
                      </a:ln>
                      <a:extLst>
                        <a:ext uri="{91240B29-F687-4F45-9708-019B960494DF}">
                          <a14:hiddenLine xmlns:a14="http://schemas.microsoft.com/office/drawing/2010/main" w="0">
                            <a:solidFill>
                              <a:srgbClr val="000000"/>
                            </a:solidFill>
                            <a:miter lim="800000"/>
                            <a:headEnd/>
                            <a:tailEnd/>
                          </a14:hiddenLine>
                        </a:ext>
                      </a:extLst>
                    </wps:spPr>
                    <wps:bodyPr/>
                  </wps:wsp>
                </a:graphicData>
              </a:graphic>
              <wp14:sizeRelH relativeFrom="page">
                <wp14:pctWidth>100000</wp14:pctWidth>
              </wp14:sizeRelH>
              <wp14:sizeRelV relativeFrom="page">
                <wp14:pctHeight>100000</wp14:pctHeight>
              </wp14:sizeRelV>
            </wp:anchor>
          </w:drawing>
        </mc:Choice>
        <mc:Fallback>
          <w:pict>
            <v:rect w14:anchorId="665E226C" id="Rectangle 1722918617" o:spid="_x0000_s1026" style="position:absolute;margin-left:0;margin-top:0;width:0;height:0;z-index:-251658224;visibility:visible;mso-wrap-style:square;mso-width-percent:1000;mso-height-percent:1000;mso-wrap-distance-left:9pt;mso-wrap-distance-top:0;mso-wrap-distance-right:9pt;mso-wrap-distance-bottom:0;mso-position-horizontal:absolute;mso-position-horizontal-relative:page;mso-position-vertical:absolute;mso-position-vertical-relative:page;mso-width-percent:1000;mso-height-percent:1000;mso-width-relative:page;mso-height-relative:page;v-text-anchor:top" o:bwmode="whit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" fillcolor="white [3212]" stroked="f" strokeweight="0">
              <o:lock v:ext="edit" rotation="t" aspectratio="t" selection="t" verticies="t" text="t" adjusthandles="t" grouping="t" shapetype="t"/>
              <w10:wrap anchorx="page" anchory="page"/>
            </v:rect>
          </w:pict>
        </mc:Fallback>
      </mc:AlternateContent>
    </w:r>
  </w:p>
  <w:p w14:paraId="1FD5A87F" w14:textId="77777777" w:rsidR="002F4B8A" w:rsidRDefault="00563240">
    <w:r>
      <w:rPr>
        <w:noProof/>
      </w:rPr>
      <mc:AlternateContent>
        <mc:Choice Requires="wps">
          <w:drawing>
            <wp:anchor distT="0" distB="0" distL="114300" distR="114300" simplePos="0" relativeHeight="251658253" behindDoc="1" locked="0" layoutInCell="1" allowOverlap="1" wp14:anchorId="20641FBE" wp14:editId="17FDCF60">
              <wp:simplePos x="0" y="0"/>
              <wp:positionH relativeFrom="page">
                <wp:posOffset>0</wp:posOffset>
              </wp:positionH>
              <wp:positionV relativeFrom="page">
                <wp:posOffset>0</wp:posOffset>
              </wp:positionV>
              <wp:extent cx="0" cy="0"/>
              <wp:effectExtent l="0" t="0" r="0" b="0"/>
              <wp:wrapNone/>
              <wp:docPr id="1175667921" name="Rectangle 1175667921">
                <a:extLst xmlns:a="http://schemas.openxmlformats.org/drawingml/2006/main">
                  <a:ext uri="{A998136B-4AC2-44c3-8CCF-79AB77ABDD1D}">
                    <a15:backgroundPr xmlns:a15="http://schemas.microsoft.com/office/drawing/2012/main" bwMode="white" bwPure="auto" bwNormal="auto" targetScreenSize="1024x768"/>
                  </a:ext>
                </a:extLst>
              </wp:docPr>
              <wp:cNvGraphicFramePr>
                <a:graphicFrameLocks xmlns:a="http://schemas.openxmlformats.org/drawingml/2006/main" noGrp="1" noDrilldown="1" noSelect="1" noChangeAspect="1" noResize="1"/>
              </wp:cNvGraphicFramePr>
              <a:graphic xmlns:a="http://schemas.openxmlformats.org/drawingml/2006/main">
                <a:graphicData uri="http://schemas.microsoft.com/office/word/2010/wordprocessingShape">
                  <wps:wsp>
                    <wps:cNvSpPr>
                      <a:spLocks noGrp="1" noSelect="1" noRot="1" noChangeAspect="1" noResize="1" noEditPoints="1" noAdjustHandles="1" noChangeArrowheads="1" noChangeShapeType="1" noTextEdit="1"/>
                    </wps:cNvSpPr>
                    <wps:spPr bwMode="white">
                      <a:xfrm>
                        <a:off x="0" y="0"/>
                        <a:ext cx="0" cy="0"/>
                      </a:xfrm>
                      <a:prstGeom prst="rect">
                        <a:avLst/>
                      </a:prstGeom>
                      <a:solidFill>
                        <a:schemeClr val="bg1">
                          <a:lumMod val="100000"/>
                          <a:lumOff val="0"/>
                        </a:schemeClr>
                      </a:solidFill>
                      <a:ln>
                        <a:noFill/>
                      </a:ln>
                      <a:extLst>
                        <a:ext uri="{91240B29-F687-4F45-9708-019B960494DF}">
                          <a14:hiddenLine xmlns:a14="http://schemas.microsoft.com/office/drawing/2010/main" w="0">
                            <a:solidFill>
                              <a:srgbClr val="000000"/>
                            </a:solidFill>
                            <a:miter lim="800000"/>
                            <a:headEnd/>
                            <a:tailEnd/>
                          </a14:hiddenLine>
                        </a:ext>
                      </a:extLst>
                    </wps:spPr>
                    <wps:bodyPr/>
                  </wps:wsp>
                </a:graphicData>
              </a:graphic>
              <wp14:sizeRelH relativeFrom="page">
                <wp14:pctWidth>100000</wp14:pctWidth>
              </wp14:sizeRelH>
              <wp14:sizeRelV relativeFrom="page">
                <wp14:pctHeight>100000</wp14:pctHeight>
              </wp14:sizeRelV>
            </wp:anchor>
          </w:drawing>
        </mc:Choice>
        <mc:Fallback>
          <w:pict>
            <v:rect w14:anchorId="134D4DC6" id="Rectangle 1175667921" o:spid="_x0000_s1026" style="position:absolute;margin-left:0;margin-top:0;width:0;height:0;z-index:-251658227;visibility:visible;mso-wrap-style:square;mso-width-percent:1000;mso-height-percent:1000;mso-wrap-distance-left:9pt;mso-wrap-distance-top:0;mso-wrap-distance-right:9pt;mso-wrap-distance-bottom:0;mso-position-horizontal:absolute;mso-position-horizontal-relative:page;mso-position-vertical:absolute;mso-position-vertical-relative:page;mso-width-percent:1000;mso-height-percent:1000;mso-width-relative:page;mso-height-relative:page;v-text-anchor:top" o:bwmode="whit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" fillcolor="white [3212]" stroked="f" strokeweight="0">
              <o:lock v:ext="edit" rotation="t" aspectratio="t" selection="t" verticies="t" text="t" adjusthandles="t" grouping="t" shapetype="t"/>
              <w10:wrap anchorx="page" anchory="page"/>
            </v:rect>
          </w:pict>
        </mc:Fallback>
      </mc:AlternateContent>
    </w:r>
  </w:p>
  <w:p w14:paraId="4F5BB3A3" w14:textId="77777777" w:rsidR="003F72DF" w:rsidRDefault="003F72DF"/>
  <w:p w14:paraId="620267A6" w14:textId="77777777" w:rsidR="003F72DF" w:rsidRDefault="003F72DF"/>
  <w:p w14:paraId="0BF0DF46" w14:textId="4C2EE041" w:rsidR="002F4B8A" w:rsidRDefault="001600C9">
    <w:r>
      <w:rPr>
        <w:noProof/>
      </w:rPr>
      <mc:AlternateContent>
        <mc:Choice Requires="wps">
          <w:drawing>
            <wp:anchor distT="0" distB="0" distL="114300" distR="114300" simplePos="0" relativeHeight="251658250" behindDoc="1" locked="0" layoutInCell="1" allowOverlap="1" wp14:anchorId="5FD88357" wp14:editId="73FDCA45">
              <wp:simplePos x="0" y="0"/>
              <wp:positionH relativeFrom="page">
                <wp:posOffset>0</wp:posOffset>
              </wp:positionH>
              <wp:positionV relativeFrom="page">
                <wp:posOffset>0</wp:posOffset>
              </wp:positionV>
              <wp:extent cx="0" cy="0"/>
              <wp:effectExtent l="0" t="0" r="0" b="0"/>
              <wp:wrapNone/>
              <wp:docPr id="383948390" name="Rectangle 383948390">
                <a:extLst xmlns:a="http://schemas.openxmlformats.org/drawingml/2006/main">
                  <a:ext uri="{A998136B-4AC2-44c3-8CCF-79AB77ABDD1D}">
                    <a15:backgroundPr xmlns:a15="http://schemas.microsoft.com/office/drawing/2012/main" bwMode="white" bwPure="auto" bwNormal="auto" targetScreenSize="1024x768"/>
                  </a:ext>
                </a:extLst>
              </wp:docPr>
              <wp:cNvGraphicFramePr>
                <a:graphicFrameLocks xmlns:a="http://schemas.openxmlformats.org/drawingml/2006/main" noGrp="1" noDrilldown="1" noSelect="1" noChangeAspect="1" noResize="1"/>
              </wp:cNvGraphicFramePr>
              <a:graphic xmlns:a="http://schemas.openxmlformats.org/drawingml/2006/main">
                <a:graphicData uri="http://schemas.microsoft.com/office/word/2010/wordprocessingShape">
                  <wps:wsp>
                    <wps:cNvSpPr>
                      <a:spLocks noGrp="1" noSelect="1" noRot="1" noChangeAspect="1" noResize="1" noEditPoints="1" noAdjustHandles="1" noChangeArrowheads="1" noChangeShapeType="1" noTextEdit="1"/>
                    </wps:cNvSpPr>
                    <wps:spPr bwMode="white">
                      <a:xfrm>
                        <a:off x="0" y="0"/>
                        <a:ext cx="0" cy="0"/>
                      </a:xfrm>
                      <a:prstGeom prst="rect">
                        <a:avLst/>
                      </a:prstGeom>
                      <a:solidFill>
                        <a:schemeClr val="bg1">
                          <a:lumMod val="100000"/>
                          <a:lumOff val="0"/>
                        </a:schemeClr>
                      </a:solidFill>
                      <a:ln>
                        <a:noFill/>
                      </a:ln>
                      <a:extLst>
                        <a:ext uri="{91240B29-F687-4F45-9708-019B960494DF}">
                          <a14:hiddenLine xmlns:a14="http://schemas.microsoft.com/office/drawing/2010/main" w="0">
                            <a:solidFill>
                              <a:srgbClr val="000000"/>
                            </a:solidFill>
                            <a:miter lim="800000"/>
                            <a:headEnd/>
                            <a:tailEnd/>
                          </a14:hiddenLine>
                        </a:ext>
                      </a:extLst>
                    </wps:spPr>
                    <wps:bodyPr/>
                  </wps:wsp>
                </a:graphicData>
              </a:graphic>
              <wp14:sizeRelH relativeFrom="page">
                <wp14:pctWidth>100000</wp14:pctWidth>
              </wp14:sizeRelH>
              <wp14:sizeRelV relativeFrom="page">
                <wp14:pctHeight>100000</wp14:pctHeight>
              </wp14:sizeRelV>
            </wp:anchor>
          </w:drawing>
        </mc:Choice>
        <mc:Fallback>
          <w:pict>
            <v:rect w14:anchorId="59C2BEAA" id="Rectangle 383948390" o:spid="_x0000_s1026" style="position:absolute;margin-left:0;margin-top:0;width:0;height:0;z-index:-251658230;visibility:visible;mso-wrap-style:square;mso-width-percent:1000;mso-height-percent:1000;mso-wrap-distance-left:9pt;mso-wrap-distance-top:0;mso-wrap-distance-right:9pt;mso-wrap-distance-bottom:0;mso-position-horizontal:absolute;mso-position-horizontal-relative:page;mso-position-vertical:absolute;mso-position-vertical-relative:page;mso-width-percent:1000;mso-height-percent:1000;mso-width-relative:page;mso-height-relative:page;v-text-anchor:top" o:bwmode="whit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" fillcolor="white [3212]" stroked="f" strokeweight="0">
              <o:lock v:ext="edit" rotation="t" aspectratio="t" selection="t" verticies="t" text="t" adjusthandles="t" grouping="t" shapetype="t"/>
              <w10:wrap anchorx="page" anchory="page"/>
            </v:rect>
          </w:pict>
        </mc:Fallback>
      </mc:AlternateContent>
    </w:r>
    <w:r w:rsidR="00F558A4">
      <w:rPr>
        <w:noProof/>
      </w:rPr>
      <mc:AlternateContent>
        <mc:Choice Requires="wps">
          <w:drawing>
            <wp:anchor distT="0" distB="0" distL="114300" distR="114300" simplePos="0" relativeHeight="251658247" behindDoc="1" locked="0" layoutInCell="1" allowOverlap="1" wp14:anchorId="49DAD377" wp14:editId="1F136F2B">
              <wp:simplePos x="0" y="0"/>
              <wp:positionH relativeFrom="page">
                <wp:posOffset>0</wp:posOffset>
              </wp:positionH>
              <wp:positionV relativeFrom="page">
                <wp:posOffset>0</wp:posOffset>
              </wp:positionV>
              <wp:extent cx="0" cy="0"/>
              <wp:effectExtent l="0" t="0" r="0" b="0"/>
              <wp:wrapNone/>
              <wp:docPr id="969544093" name="Rectangle 969544093">
                <a:extLst xmlns:a="http://schemas.openxmlformats.org/drawingml/2006/main">
                  <a:ext uri="{A998136B-4AC2-44c3-8CCF-79AB77ABDD1D}">
                    <a15:backgroundPr xmlns:a15="http://schemas.microsoft.com/office/drawing/2012/main" bwMode="white" bwPure="auto" bwNormal="auto" targetScreenSize="1024x768"/>
                  </a:ext>
                </a:extLst>
              </wp:docPr>
              <wp:cNvGraphicFramePr>
                <a:graphicFrameLocks xmlns:a="http://schemas.openxmlformats.org/drawingml/2006/main" noGrp="1" noDrilldown="1" noSelect="1" noChangeAspect="1" noResize="1"/>
              </wp:cNvGraphicFramePr>
              <a:graphic xmlns:a="http://schemas.openxmlformats.org/drawingml/2006/main">
                <a:graphicData uri="http://schemas.microsoft.com/office/word/2010/wordprocessingShape">
                  <wps:wsp>
                    <wps:cNvSpPr>
                      <a:spLocks noGrp="1" noSelect="1" noRot="1" noChangeAspect="1" noResize="1" noEditPoints="1" noAdjustHandles="1" noChangeArrowheads="1" noChangeShapeType="1" noTextEdit="1"/>
                    </wps:cNvSpPr>
                    <wps:spPr bwMode="white">
                      <a:xfrm>
                        <a:off x="0" y="0"/>
                        <a:ext cx="0" cy="0"/>
                      </a:xfrm>
                      <a:prstGeom prst="rect">
                        <a:avLst/>
                      </a:prstGeom>
                      <a:solidFill>
                        <a:schemeClr val="bg1">
                          <a:lumMod val="100000"/>
                          <a:lumOff val="0"/>
                        </a:schemeClr>
                      </a:solidFill>
                      <a:ln>
                        <a:noFill/>
                      </a:ln>
                      <a:extLst>
                        <a:ext uri="{91240B29-F687-4F45-9708-019B960494DF}">
                          <a14:hiddenLine xmlns:a14="http://schemas.microsoft.com/office/drawing/2010/main" w="0">
                            <a:solidFill>
                              <a:srgbClr val="000000"/>
                            </a:solidFill>
                            <a:miter lim="800000"/>
                            <a:headEnd/>
                            <a:tailEnd/>
                          </a14:hiddenLine>
                        </a:ext>
                      </a:extLst>
                    </wps:spPr>
                    <wps:bodyPr/>
                  </wps:wsp>
                </a:graphicData>
              </a:graphic>
              <wp14:sizeRelH relativeFrom="page">
                <wp14:pctWidth>100000</wp14:pctWidth>
              </wp14:sizeRelH>
              <wp14:sizeRelV relativeFrom="page">
                <wp14:pctHeight>100000</wp14:pctHeight>
              </wp14:sizeRelV>
            </wp:anchor>
          </w:drawing>
        </mc:Choice>
        <mc:Fallback>
          <w:pict>
            <v:rect w14:anchorId="1CF981D7" id="Rectangle 969544093" o:spid="_x0000_s1026" style="position:absolute;margin-left:0;margin-top:0;width:0;height:0;z-index:-251658233;visibility:visible;mso-wrap-style:square;mso-width-percent:1000;mso-height-percent:1000;mso-wrap-distance-left:9pt;mso-wrap-distance-top:0;mso-wrap-distance-right:9pt;mso-wrap-distance-bottom:0;mso-position-horizontal:absolute;mso-position-horizontal-relative:page;mso-position-vertical:absolute;mso-position-vertical-relative:page;mso-width-percent:1000;mso-height-percent:1000;mso-width-relative:page;mso-height-relative:page;v-text-anchor:top" o:bwmode="whit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" fillcolor="white [3212]" stroked="f" strokeweight="0">
              <o:lock v:ext="edit" rotation="t" aspectratio="t" selection="t" verticies="t" text="t" adjusthandles="t" grouping="t" shapetype="t"/>
              <w10:wrap anchorx="page" anchory="page"/>
            </v:rect>
          </w:pict>
        </mc:Fallback>
      </mc:AlternateContent>
    </w:r>
  </w:p>
  <w:p w14:paraId="2D564FE2" w14:textId="39EA8887" w:rsidR="00E57A83" w:rsidRDefault="00E57A83">
    <w:r>
      <w:rPr>
        <w:noProof/>
      </w:rPr>
      <mc:AlternateContent>
        <mc:Choice Requires="wps">
          <w:drawing>
            <wp:anchor distT="0" distB="0" distL="114300" distR="114300" simplePos="0" relativeHeight="251658244" behindDoc="1" locked="0" layoutInCell="1" allowOverlap="1" wp14:anchorId="00D78CB5" wp14:editId="3B1B9ADB">
              <wp:simplePos x="0" y="0"/>
              <wp:positionH relativeFrom="page">
                <wp:posOffset>0</wp:posOffset>
              </wp:positionH>
              <wp:positionV relativeFrom="page">
                <wp:posOffset>0</wp:posOffset>
              </wp:positionV>
              <wp:extent cx="0" cy="0"/>
              <wp:effectExtent l="0" t="0" r="0" b="0"/>
              <wp:wrapNone/>
              <wp:docPr id="89841798" name="Rectangle 89841798">
                <a:extLst xmlns:a="http://schemas.openxmlformats.org/drawingml/2006/main">
                  <a:ext uri="{A998136B-4AC2-44c3-8CCF-79AB77ABDD1D}">
                    <a15:backgroundPr xmlns:a15="http://schemas.microsoft.com/office/drawing/2012/main" bwMode="white" bwPure="auto" bwNormal="auto" targetScreenSize="1024x768"/>
                  </a:ext>
                </a:extLst>
              </wp:docPr>
              <wp:cNvGraphicFramePr>
                <a:graphicFrameLocks xmlns:a="http://schemas.openxmlformats.org/drawingml/2006/main" noGrp="1" noDrilldown="1" noSelect="1" noChangeAspect="1" noResize="1"/>
              </wp:cNvGraphicFramePr>
              <a:graphic xmlns:a="http://schemas.openxmlformats.org/drawingml/2006/main">
                <a:graphicData uri="http://schemas.microsoft.com/office/word/2010/wordprocessingShape">
                  <wps:wsp>
                    <wps:cNvSpPr>
                      <a:spLocks noGrp="1" noSelect="1" noRot="1" noChangeAspect="1" noResize="1" noEditPoints="1" noAdjustHandles="1" noChangeArrowheads="1" noChangeShapeType="1" noTextEdit="1"/>
                    </wps:cNvSpPr>
                    <wps:spPr bwMode="white">
                      <a:xfrm>
                        <a:off x="0" y="0"/>
                        <a:ext cx="0" cy="0"/>
                      </a:xfrm>
                      <a:prstGeom prst="rect">
                        <a:avLst/>
                      </a:prstGeom>
                      <a:solidFill>
                        <a:schemeClr val="bg1">
                          <a:lumMod val="100000"/>
                          <a:lumOff val="0"/>
                        </a:schemeClr>
                      </a:solidFill>
                      <a:ln>
                        <a:noFill/>
                      </a:ln>
                      <a:extLst>
                        <a:ext uri="{91240B29-F687-4F45-9708-019B960494DF}">
                          <a14:hiddenLine xmlns:a14="http://schemas.microsoft.com/office/drawing/2010/main" w="0">
                            <a:solidFill>
                              <a:srgbClr val="000000"/>
                            </a:solidFill>
                            <a:miter lim="800000"/>
                            <a:headEnd/>
                            <a:tailEnd/>
                          </a14:hiddenLine>
                        </a:ext>
                      </a:extLst>
                    </wps:spPr>
                    <wps:bodyPr/>
                  </wps:wsp>
                </a:graphicData>
              </a:graphic>
              <wp14:sizeRelH relativeFrom="page">
                <wp14:pctWidth>100000</wp14:pctWidth>
              </wp14:sizeRelH>
              <wp14:sizeRelV relativeFrom="page">
                <wp14:pctHeight>100000</wp14:pctHeight>
              </wp14:sizeRelV>
            </wp:anchor>
          </w:drawing>
        </mc:Choice>
        <mc:Fallback>
          <w:pict>
            <v:rect w14:anchorId="488C4A01" id="Rectangle 89841798" o:spid="_x0000_s1026" style="position:absolute;margin-left:0;margin-top:0;width:0;height:0;z-index:-251658236;visibility:visible;mso-wrap-style:square;mso-width-percent:1000;mso-height-percent:1000;mso-wrap-distance-left:9pt;mso-wrap-distance-top:0;mso-wrap-distance-right:9pt;mso-wrap-distance-bottom:0;mso-position-horizontal:absolute;mso-position-horizontal-relative:page;mso-position-vertical:absolute;mso-position-vertical-relative:page;mso-width-percent:1000;mso-height-percent:1000;mso-width-relative:page;mso-height-relative:page;v-text-anchor:top" o:bwmode="whit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" fillcolor="white [3212]" stroked="f" strokeweight="0">
              <o:lock v:ext="edit" rotation="t" aspectratio="t" selection="t" verticies="t" text="t" adjusthandles="t" grouping="t" shapetype="t"/>
              <w10:wrap anchorx="page" anchory="page"/>
            </v:rect>
          </w:pict>
        </mc:Fallback>
      </mc:AlternateContent>
    </w:r>
  </w:p>
  <w:p w14:paraId="14C5A8EF" w14:textId="77777777" w:rsidR="00E57A83" w:rsidRDefault="003C5A6A">
    <w:r>
      <w:rPr>
        <w:noProof/>
      </w:rPr>
      <mc:AlternateContent>
        <mc:Choice Requires="wps">
          <w:drawing>
            <wp:anchor distT="0" distB="0" distL="114300" distR="114300" simplePos="0" relativeHeight="251658241" behindDoc="1" locked="0" layoutInCell="1" allowOverlap="1" wp14:anchorId="77F59005" wp14:editId="76D11C64">
              <wp:simplePos x="0" y="0"/>
              <wp:positionH relativeFrom="page">
                <wp:posOffset>0</wp:posOffset>
              </wp:positionH>
              <wp:positionV relativeFrom="page">
                <wp:posOffset>0</wp:posOffset>
              </wp:positionV>
              <wp:extent cx="0" cy="0"/>
              <wp:effectExtent l="0" t="0" r="0" b="0"/>
              <wp:wrapNone/>
              <wp:docPr id="2146777942" name="Rectangle 2146777942">
                <a:extLst xmlns:a="http://schemas.openxmlformats.org/drawingml/2006/main">
                  <a:ext uri="{A998136B-4AC2-44c3-8CCF-79AB77ABDD1D}">
                    <a15:backgroundPr xmlns:a15="http://schemas.microsoft.com/office/drawing/2012/main" bwMode="white" bwPure="auto" bwNormal="auto" targetScreenSize="1024x768"/>
                  </a:ext>
                </a:extLst>
              </wp:docPr>
              <wp:cNvGraphicFramePr>
                <a:graphicFrameLocks xmlns:a="http://schemas.openxmlformats.org/drawingml/2006/main" noGrp="1" noDrilldown="1" noSelect="1" noChangeAspect="1" noResize="1"/>
              </wp:cNvGraphicFramePr>
              <a:graphic xmlns:a="http://schemas.openxmlformats.org/drawingml/2006/main">
                <a:graphicData uri="http://schemas.microsoft.com/office/word/2010/wordprocessingShape">
                  <wps:wsp>
                    <wps:cNvSpPr>
                      <a:spLocks noGrp="1" noSelect="1" noRot="1" noChangeAspect="1" noResize="1" noEditPoints="1" noAdjustHandles="1" noChangeArrowheads="1" noChangeShapeType="1" noTextEdit="1"/>
                    </wps:cNvSpPr>
                    <wps:spPr bwMode="white">
                      <a:xfrm>
                        <a:off x="0" y="0"/>
                        <a:ext cx="0" cy="0"/>
                      </a:xfrm>
                      <a:prstGeom prst="rect">
                        <a:avLst/>
                      </a:prstGeom>
                      <a:solidFill>
                        <a:schemeClr val="bg1">
                          <a:lumMod val="100000"/>
                          <a:lumOff val="0"/>
                        </a:schemeClr>
                      </a:solidFill>
                      <a:ln>
                        <a:noFill/>
                      </a:ln>
                      <a:extLst>
                        <a:ext uri="{91240B29-F687-4F45-9708-019B960494DF}">
                          <a14:hiddenLine xmlns:a14="http://schemas.microsoft.com/office/drawing/2010/main" w="0">
                            <a:solidFill>
                              <a:srgbClr val="000000"/>
                            </a:solidFill>
                            <a:miter lim="800000"/>
                            <a:headEnd/>
                            <a:tailEnd/>
                          </a14:hiddenLine>
                        </a:ext>
                      </a:extLst>
                    </wps:spPr>
                    <wps:bodyPr/>
                  </wps:wsp>
                </a:graphicData>
              </a:graphic>
              <wp14:sizeRelH relativeFrom="page">
                <wp14:pctWidth>100000</wp14:pctWidth>
              </wp14:sizeRelH>
              <wp14:sizeRelV relativeFrom="page">
                <wp14:pctHeight>100000</wp14:pctHeight>
              </wp14:sizeRelV>
            </wp:anchor>
          </w:drawing>
        </mc:Choice>
        <mc:Fallback>
          <w:pict>
            <v:rect w14:anchorId="1D4BA837" id="Rectangle 2146777942" o:spid="_x0000_s1026" style="position:absolute;margin-left:0;margin-top:0;width:0;height:0;z-index:-251658239;visibility:visible;mso-wrap-style:square;mso-width-percent:1000;mso-height-percent:1000;mso-wrap-distance-left:9pt;mso-wrap-distance-top:0;mso-wrap-distance-right:9pt;mso-wrap-distance-bottom:0;mso-position-horizontal:absolute;mso-position-horizontal-relative:page;mso-position-vertical:absolute;mso-position-vertical-relative:page;mso-width-percent:1000;mso-height-percent:1000;mso-width-relative:page;mso-height-relative:page;v-text-anchor:top" o:bwmode="whit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" fillcolor="white [3212]" stroked="f" strokeweight="0">
              <o:lock v:ext="edit" rotation="t" aspectratio="t" selection="t" verticies="t" text="t" adjusthandles="t" grouping="t" shapetype="t"/>
              <w10:wrap anchorx="page" anchory="page"/>
            </v:rect>
          </w:pict>
        </mc:Fallback>
      </mc:AlternateContent>
    </w:r>
  </w:p>
  <w:p w14:paraId="17624C53" w14:textId="77777777" w:rsidR="00E57A83" w:rsidRDefault="00E57A83"/>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9F7FB1" w14:textId="39073F37" w:rsidR="00E57A83" w:rsidRDefault="003C21F3" w:rsidP="001F2653">
    <w:r>
      <w:rPr>
        <w:noProof/>
      </w:rPr>
      <mc:AlternateContent>
        <mc:Choice Requires="wps">
          <w:drawing>
            <wp:anchor distT="0" distB="0" distL="114300" distR="114300" simplePos="0" relativeHeight="251658258" behindDoc="1" locked="0" layoutInCell="1" allowOverlap="1" wp14:anchorId="15128B96" wp14:editId="2930B2EE">
              <wp:simplePos x="0" y="0"/>
              <wp:positionH relativeFrom="page">
                <wp:posOffset>0</wp:posOffset>
              </wp:positionH>
              <wp:positionV relativeFrom="page">
                <wp:posOffset>0</wp:posOffset>
              </wp:positionV>
              <wp:extent cx="0" cy="0"/>
              <wp:effectExtent l="0" t="0" r="0" b="0"/>
              <wp:wrapNone/>
              <wp:docPr id="1147813271" name="Rectangle 1147813271">
                <a:extLst xmlns:a="http://schemas.openxmlformats.org/drawingml/2006/main">
                  <a:ext uri="{A998136B-4AC2-44c3-8CCF-79AB77ABDD1D}">
                    <a15:backgroundPr xmlns:a15="http://schemas.microsoft.com/office/drawing/2012/main" bwMode="white" bwPure="auto" bwNormal="auto" targetScreenSize="1024x768"/>
                  </a:ext>
                </a:extLst>
              </wp:docPr>
              <wp:cNvGraphicFramePr>
                <a:graphicFrameLocks xmlns:a="http://schemas.openxmlformats.org/drawingml/2006/main" noGrp="1" noDrilldown="1" noSelect="1" noChangeAspect="1" noResize="1"/>
              </wp:cNvGraphicFramePr>
              <a:graphic xmlns:a="http://schemas.openxmlformats.org/drawingml/2006/main">
                <a:graphicData uri="http://schemas.microsoft.com/office/word/2010/wordprocessingShape">
                  <wps:wsp>
                    <wps:cNvSpPr>
                      <a:spLocks noGrp="1" noSelect="1" noRot="1" noChangeAspect="1" noResize="1" noEditPoints="1" noAdjustHandles="1" noChangeArrowheads="1" noChangeShapeType="1" noTextEdit="1"/>
                    </wps:cNvSpPr>
                    <wps:spPr bwMode="white">
                      <a:xfrm>
                        <a:off x="0" y="0"/>
                        <a:ext cx="0" cy="0"/>
                      </a:xfrm>
                      <a:prstGeom prst="rect">
                        <a:avLst/>
                      </a:prstGeom>
                      <a:solidFill>
                        <a:schemeClr val="bg1">
                          <a:lumMod val="100000"/>
                          <a:lumOff val="0"/>
                        </a:schemeClr>
                      </a:solidFill>
                      <a:ln>
                        <a:noFill/>
                      </a:ln>
                      <a:extLst>
                        <a:ext uri="{91240B29-F687-4F45-9708-019B960494DF}">
                          <a14:hiddenLine xmlns:a14="http://schemas.microsoft.com/office/drawing/2010/main" w="0">
                            <a:solidFill>
                              <a:srgbClr val="000000"/>
                            </a:solidFill>
                            <a:miter lim="800000"/>
                            <a:headEnd/>
                            <a:tailEnd/>
                          </a14:hiddenLine>
                        </a:ext>
                      </a:extLst>
                    </wps:spPr>
                    <wps:bodyPr/>
                  </wps:wsp>
                </a:graphicData>
              </a:graphic>
              <wp14:sizeRelH relativeFrom="page">
                <wp14:pctWidth>100000</wp14:pctWidth>
              </wp14:sizeRelH>
              <wp14:sizeRelV relativeFrom="page">
                <wp14:pctHeight>100000</wp14:pctHeight>
              </wp14:sizeRelV>
            </wp:anchor>
          </w:drawing>
        </mc:Choice>
        <mc:Fallback>
          <w:pict>
            <v:rect w14:anchorId="08C841CE" id="Rectangle 1147813271" o:spid="_x0000_s1026" style="position:absolute;margin-left:0;margin-top:0;width:0;height:0;z-index:-251658222;visibility:visible;mso-wrap-style:square;mso-width-percent:1000;mso-height-percent:1000;mso-wrap-distance-left:9pt;mso-wrap-distance-top:0;mso-wrap-distance-right:9pt;mso-wrap-distance-bottom:0;mso-position-horizontal:absolute;mso-position-horizontal-relative:page;mso-position-vertical:absolute;mso-position-vertical-relative:page;mso-width-percent:1000;mso-height-percent:1000;mso-width-relative:page;mso-height-relative:page;v-text-anchor:top" o:bwmode="whit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" fillcolor="white [3212]" stroked="f" strokeweight="0">
              <o:lock v:ext="edit" rotation="t" aspectratio="t" selection="t" verticies="t" text="t" adjusthandles="t" grouping="t" shapetype="t"/>
              <w10:wrap anchorx="page" anchory="page"/>
            </v:rect>
          </w:pict>
        </mc:Fallback>
      </mc:AlternateContent>
    </w:r>
    <w:r w:rsidR="00585317">
      <w:rPr>
        <w:noProof/>
      </w:rPr>
      <mc:AlternateContent>
        <mc:Choice Requires="wps">
          <w:drawing>
            <wp:anchor distT="0" distB="0" distL="114300" distR="114300" simplePos="0" relativeHeight="251658255" behindDoc="1" locked="0" layoutInCell="1" allowOverlap="1" wp14:anchorId="2E1AE006" wp14:editId="075207B5">
              <wp:simplePos x="0" y="0"/>
              <wp:positionH relativeFrom="page">
                <wp:posOffset>0</wp:posOffset>
              </wp:positionH>
              <wp:positionV relativeFrom="page">
                <wp:posOffset>0</wp:posOffset>
              </wp:positionV>
              <wp:extent cx="0" cy="0"/>
              <wp:effectExtent l="0" t="0" r="0" b="0"/>
              <wp:wrapNone/>
              <wp:docPr id="434192962" name="Rectangle 434192962">
                <a:extLst xmlns:a="http://schemas.openxmlformats.org/drawingml/2006/main">
                  <a:ext uri="{A998136B-4AC2-44c3-8CCF-79AB77ABDD1D}">
                    <a15:backgroundPr xmlns:a15="http://schemas.microsoft.com/office/drawing/2012/main" bwMode="white" bwPure="auto" bwNormal="auto" targetScreenSize="1024x768"/>
                  </a:ext>
                </a:extLst>
              </wp:docPr>
              <wp:cNvGraphicFramePr>
                <a:graphicFrameLocks xmlns:a="http://schemas.openxmlformats.org/drawingml/2006/main" noGrp="1" noDrilldown="1" noSelect="1" noChangeAspect="1" noResize="1"/>
              </wp:cNvGraphicFramePr>
              <a:graphic xmlns:a="http://schemas.openxmlformats.org/drawingml/2006/main">
                <a:graphicData uri="http://schemas.microsoft.com/office/word/2010/wordprocessingShape">
                  <wps:wsp>
                    <wps:cNvSpPr>
                      <a:spLocks noGrp="1" noSelect="1" noRot="1" noChangeAspect="1" noResize="1" noEditPoints="1" noAdjustHandles="1" noChangeArrowheads="1" noChangeShapeType="1" noTextEdit="1"/>
                    </wps:cNvSpPr>
                    <wps:spPr bwMode="white">
                      <a:xfrm>
                        <a:off x="0" y="0"/>
                        <a:ext cx="0" cy="0"/>
                      </a:xfrm>
                      <a:prstGeom prst="rect">
                        <a:avLst/>
                      </a:prstGeom>
                      <a:solidFill>
                        <a:schemeClr val="bg1">
                          <a:lumMod val="100000"/>
                          <a:lumOff val="0"/>
                        </a:schemeClr>
                      </a:solidFill>
                      <a:ln>
                        <a:noFill/>
                      </a:ln>
                      <a:extLst>
                        <a:ext uri="{91240B29-F687-4F45-9708-019B960494DF}">
                          <a14:hiddenLine xmlns:a14="http://schemas.microsoft.com/office/drawing/2010/main" w="0">
                            <a:solidFill>
                              <a:srgbClr val="000000"/>
                            </a:solidFill>
                            <a:miter lim="800000"/>
                            <a:headEnd/>
                            <a:tailEnd/>
                          </a14:hiddenLine>
                        </a:ext>
                      </a:extLst>
                    </wps:spPr>
                    <wps:bodyPr/>
                  </wps:wsp>
                </a:graphicData>
              </a:graphic>
              <wp14:sizeRelH relativeFrom="page">
                <wp14:pctWidth>100000</wp14:pctWidth>
              </wp14:sizeRelH>
              <wp14:sizeRelV relativeFrom="page">
                <wp14:pctHeight>100000</wp14:pctHeight>
              </wp14:sizeRelV>
            </wp:anchor>
          </w:drawing>
        </mc:Choice>
        <mc:Fallback>
          <w:pict>
            <v:rect w14:anchorId="2A4A5278" id="Rectangle 434192962" o:spid="_x0000_s1026" style="position:absolute;margin-left:0;margin-top:0;width:0;height:0;z-index:-251658225;visibility:visible;mso-wrap-style:square;mso-width-percent:1000;mso-height-percent:1000;mso-wrap-distance-left:9pt;mso-wrap-distance-top:0;mso-wrap-distance-right:9pt;mso-wrap-distance-bottom:0;mso-position-horizontal:absolute;mso-position-horizontal-relative:page;mso-position-vertical:absolute;mso-position-vertical-relative:page;mso-width-percent:1000;mso-height-percent:1000;mso-width-relative:page;mso-height-relative:page;v-text-anchor:top" o:bwmode="whit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" fillcolor="white [3212]" stroked="f" strokeweight="0">
              <o:lock v:ext="edit" rotation="t" aspectratio="t" selection="t" verticies="t" text="t" adjusthandles="t" grouping="t" shapetype="t"/>
              <w10:wrap anchorx="page" anchory="page"/>
            </v:rect>
          </w:pict>
        </mc:Fallback>
      </mc:AlternateContent>
    </w:r>
    <w:r w:rsidR="00563240">
      <w:rPr>
        <w:noProof/>
      </w:rPr>
      <mc:AlternateContent>
        <mc:Choice Requires="wps">
          <w:drawing>
            <wp:anchor distT="0" distB="0" distL="114300" distR="114300" simplePos="0" relativeHeight="251658252" behindDoc="1" locked="0" layoutInCell="1" allowOverlap="1" wp14:anchorId="442799F3" wp14:editId="5F29727B">
              <wp:simplePos x="0" y="0"/>
              <wp:positionH relativeFrom="page">
                <wp:posOffset>0</wp:posOffset>
              </wp:positionH>
              <wp:positionV relativeFrom="page">
                <wp:posOffset>0</wp:posOffset>
              </wp:positionV>
              <wp:extent cx="0" cy="0"/>
              <wp:effectExtent l="0" t="0" r="0" b="0"/>
              <wp:wrapNone/>
              <wp:docPr id="1692148363" name="Rectangle 1692148363">
                <a:extLst xmlns:a="http://schemas.openxmlformats.org/drawingml/2006/main">
                  <a:ext uri="{A998136B-4AC2-44c3-8CCF-79AB77ABDD1D}">
                    <a15:backgroundPr xmlns:a15="http://schemas.microsoft.com/office/drawing/2012/main" bwMode="white" bwPure="auto" bwNormal="auto" targetScreenSize="1024x768"/>
                  </a:ext>
                </a:extLst>
              </wp:docPr>
              <wp:cNvGraphicFramePr>
                <a:graphicFrameLocks xmlns:a="http://schemas.openxmlformats.org/drawingml/2006/main" noGrp="1" noDrilldown="1" noSelect="1" noChangeAspect="1" noResize="1"/>
              </wp:cNvGraphicFramePr>
              <a:graphic xmlns:a="http://schemas.openxmlformats.org/drawingml/2006/main">
                <a:graphicData uri="http://schemas.microsoft.com/office/word/2010/wordprocessingShape">
                  <wps:wsp>
                    <wps:cNvSpPr>
                      <a:spLocks noGrp="1" noSelect="1" noRot="1" noChangeAspect="1" noResize="1" noEditPoints="1" noAdjustHandles="1" noChangeArrowheads="1" noChangeShapeType="1" noTextEdit="1"/>
                    </wps:cNvSpPr>
                    <wps:spPr bwMode="white">
                      <a:xfrm>
                        <a:off x="0" y="0"/>
                        <a:ext cx="0" cy="0"/>
                      </a:xfrm>
                      <a:prstGeom prst="rect">
                        <a:avLst/>
                      </a:prstGeom>
                      <a:solidFill>
                        <a:schemeClr val="bg1">
                          <a:lumMod val="100000"/>
                          <a:lumOff val="0"/>
                        </a:schemeClr>
                      </a:solidFill>
                      <a:ln>
                        <a:noFill/>
                      </a:ln>
                      <a:extLst>
                        <a:ext uri="{91240B29-F687-4F45-9708-019B960494DF}">
                          <a14:hiddenLine xmlns:a14="http://schemas.microsoft.com/office/drawing/2010/main" w="0">
                            <a:solidFill>
                              <a:srgbClr val="000000"/>
                            </a:solidFill>
                            <a:miter lim="800000"/>
                            <a:headEnd/>
                            <a:tailEnd/>
                          </a14:hiddenLine>
                        </a:ext>
                      </a:extLst>
                    </wps:spPr>
                    <wps:bodyPr/>
                  </wps:wsp>
                </a:graphicData>
              </a:graphic>
              <wp14:sizeRelH relativeFrom="page">
                <wp14:pctWidth>100000</wp14:pctWidth>
              </wp14:sizeRelH>
              <wp14:sizeRelV relativeFrom="page">
                <wp14:pctHeight>100000</wp14:pctHeight>
              </wp14:sizeRelV>
            </wp:anchor>
          </w:drawing>
        </mc:Choice>
        <mc:Fallback>
          <w:pict>
            <v:rect w14:anchorId="7A8C572A" id="Rectangle 1692148363" o:spid="_x0000_s1026" style="position:absolute;margin-left:0;margin-top:0;width:0;height:0;z-index:-251658228;visibility:visible;mso-wrap-style:square;mso-width-percent:1000;mso-height-percent:1000;mso-wrap-distance-left:9pt;mso-wrap-distance-top:0;mso-wrap-distance-right:9pt;mso-wrap-distance-bottom:0;mso-position-horizontal:absolute;mso-position-horizontal-relative:page;mso-position-vertical:absolute;mso-position-vertical-relative:page;mso-width-percent:1000;mso-height-percent:1000;mso-width-relative:page;mso-height-relative:page;v-text-anchor:top" o:bwmode="whit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" fillcolor="white [3212]" stroked="f" strokeweight="0">
              <o:lock v:ext="edit" rotation="t" aspectratio="t" selection="t" verticies="t" text="t" adjusthandles="t" grouping="t" shapetype="t"/>
              <w10:wrap anchorx="page" anchory="page"/>
            </v:rect>
          </w:pict>
        </mc:Fallback>
      </mc:AlternateContent>
    </w:r>
    <w:r w:rsidR="001600C9">
      <w:rPr>
        <w:noProof/>
      </w:rPr>
      <mc:AlternateContent>
        <mc:Choice Requires="wps">
          <w:drawing>
            <wp:anchor distT="0" distB="0" distL="114300" distR="114300" simplePos="0" relativeHeight="251658249" behindDoc="1" locked="0" layoutInCell="1" allowOverlap="1" wp14:anchorId="10338610" wp14:editId="13239D1B">
              <wp:simplePos x="0" y="0"/>
              <wp:positionH relativeFrom="page">
                <wp:posOffset>0</wp:posOffset>
              </wp:positionH>
              <wp:positionV relativeFrom="page">
                <wp:posOffset>0</wp:posOffset>
              </wp:positionV>
              <wp:extent cx="0" cy="0"/>
              <wp:effectExtent l="0" t="0" r="0" b="0"/>
              <wp:wrapNone/>
              <wp:docPr id="63864702" name="Rectangle 63864702">
                <a:extLst xmlns:a="http://schemas.openxmlformats.org/drawingml/2006/main">
                  <a:ext uri="{A998136B-4AC2-44c3-8CCF-79AB77ABDD1D}">
                    <a15:backgroundPr xmlns:a15="http://schemas.microsoft.com/office/drawing/2012/main" bwMode="white" bwPure="auto" bwNormal="auto" targetScreenSize="1024x768"/>
                  </a:ext>
                </a:extLst>
              </wp:docPr>
              <wp:cNvGraphicFramePr>
                <a:graphicFrameLocks xmlns:a="http://schemas.openxmlformats.org/drawingml/2006/main" noGrp="1" noDrilldown="1" noSelect="1" noChangeAspect="1" noResize="1"/>
              </wp:cNvGraphicFramePr>
              <a:graphic xmlns:a="http://schemas.openxmlformats.org/drawingml/2006/main">
                <a:graphicData uri="http://schemas.microsoft.com/office/word/2010/wordprocessingShape">
                  <wps:wsp>
                    <wps:cNvSpPr>
                      <a:spLocks noGrp="1" noSelect="1" noRot="1" noChangeAspect="1" noResize="1" noEditPoints="1" noAdjustHandles="1" noChangeArrowheads="1" noChangeShapeType="1" noTextEdit="1"/>
                    </wps:cNvSpPr>
                    <wps:spPr bwMode="white">
                      <a:xfrm>
                        <a:off x="0" y="0"/>
                        <a:ext cx="0" cy="0"/>
                      </a:xfrm>
                      <a:prstGeom prst="rect">
                        <a:avLst/>
                      </a:prstGeom>
                      <a:solidFill>
                        <a:schemeClr val="bg1">
                          <a:lumMod val="100000"/>
                          <a:lumOff val="0"/>
                        </a:schemeClr>
                      </a:solidFill>
                      <a:ln>
                        <a:noFill/>
                      </a:ln>
                      <a:extLst>
                        <a:ext uri="{91240B29-F687-4F45-9708-019B960494DF}">
                          <a14:hiddenLine xmlns:a14="http://schemas.microsoft.com/office/drawing/2010/main" w="0">
                            <a:solidFill>
                              <a:srgbClr val="000000"/>
                            </a:solidFill>
                            <a:miter lim="800000"/>
                            <a:headEnd/>
                            <a:tailEnd/>
                          </a14:hiddenLine>
                        </a:ext>
                      </a:extLst>
                    </wps:spPr>
                    <wps:bodyPr/>
                  </wps:wsp>
                </a:graphicData>
              </a:graphic>
              <wp14:sizeRelH relativeFrom="page">
                <wp14:pctWidth>100000</wp14:pctWidth>
              </wp14:sizeRelH>
              <wp14:sizeRelV relativeFrom="page">
                <wp14:pctHeight>100000</wp14:pctHeight>
              </wp14:sizeRelV>
            </wp:anchor>
          </w:drawing>
        </mc:Choice>
        <mc:Fallback>
          <w:pict>
            <v:rect w14:anchorId="38997DC6" id="Rectangle 63864702" o:spid="_x0000_s1026" style="position:absolute;margin-left:0;margin-top:0;width:0;height:0;z-index:-251658231;visibility:visible;mso-wrap-style:square;mso-width-percent:1000;mso-height-percent:1000;mso-wrap-distance-left:9pt;mso-wrap-distance-top:0;mso-wrap-distance-right:9pt;mso-wrap-distance-bottom:0;mso-position-horizontal:absolute;mso-position-horizontal-relative:page;mso-position-vertical:absolute;mso-position-vertical-relative:page;mso-width-percent:1000;mso-height-percent:1000;mso-width-relative:page;mso-height-relative:page;v-text-anchor:top" o:bwmode="whit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" fillcolor="white [3212]" stroked="f" strokeweight="0">
              <o:lock v:ext="edit" rotation="t" aspectratio="t" selection="t" verticies="t" text="t" adjusthandles="t" grouping="t" shapetype="t"/>
              <w10:wrap anchorx="page" anchory="page"/>
            </v:rect>
          </w:pict>
        </mc:Fallback>
      </mc:AlternateContent>
    </w:r>
    <w:r w:rsidR="00F558A4">
      <w:rPr>
        <w:noProof/>
      </w:rPr>
      <mc:AlternateContent>
        <mc:Choice Requires="wps">
          <w:drawing>
            <wp:anchor distT="0" distB="0" distL="114300" distR="114300" simplePos="0" relativeHeight="251658246" behindDoc="1" locked="0" layoutInCell="1" allowOverlap="1" wp14:anchorId="6AEF680D" wp14:editId="720CDA30">
              <wp:simplePos x="0" y="0"/>
              <wp:positionH relativeFrom="page">
                <wp:posOffset>0</wp:posOffset>
              </wp:positionH>
              <wp:positionV relativeFrom="page">
                <wp:posOffset>0</wp:posOffset>
              </wp:positionV>
              <wp:extent cx="0" cy="0"/>
              <wp:effectExtent l="0" t="0" r="0" b="0"/>
              <wp:wrapNone/>
              <wp:docPr id="913475502" name="Rectangle 913475502">
                <a:extLst xmlns:a="http://schemas.openxmlformats.org/drawingml/2006/main">
                  <a:ext uri="{A998136B-4AC2-44c3-8CCF-79AB77ABDD1D}">
                    <a15:backgroundPr xmlns:a15="http://schemas.microsoft.com/office/drawing/2012/main" bwMode="white" bwPure="auto" bwNormal="auto" targetScreenSize="1024x768"/>
                  </a:ext>
                </a:extLst>
              </wp:docPr>
              <wp:cNvGraphicFramePr>
                <a:graphicFrameLocks xmlns:a="http://schemas.openxmlformats.org/drawingml/2006/main" noGrp="1" noDrilldown="1" noSelect="1" noChangeAspect="1" noResize="1"/>
              </wp:cNvGraphicFramePr>
              <a:graphic xmlns:a="http://schemas.openxmlformats.org/drawingml/2006/main">
                <a:graphicData uri="http://schemas.microsoft.com/office/word/2010/wordprocessingShape">
                  <wps:wsp>
                    <wps:cNvSpPr>
                      <a:spLocks noGrp="1" noSelect="1" noRot="1" noChangeAspect="1" noResize="1" noEditPoints="1" noAdjustHandles="1" noChangeArrowheads="1" noChangeShapeType="1" noTextEdit="1"/>
                    </wps:cNvSpPr>
                    <wps:spPr bwMode="white">
                      <a:xfrm>
                        <a:off x="0" y="0"/>
                        <a:ext cx="0" cy="0"/>
                      </a:xfrm>
                      <a:prstGeom prst="rect">
                        <a:avLst/>
                      </a:prstGeom>
                      <a:solidFill>
                        <a:schemeClr val="bg1">
                          <a:lumMod val="100000"/>
                          <a:lumOff val="0"/>
                        </a:schemeClr>
                      </a:solidFill>
                      <a:ln>
                        <a:noFill/>
                      </a:ln>
                      <a:extLst>
                        <a:ext uri="{91240B29-F687-4F45-9708-019B960494DF}">
                          <a14:hiddenLine xmlns:a14="http://schemas.microsoft.com/office/drawing/2010/main" w="0">
                            <a:solidFill>
                              <a:srgbClr val="000000"/>
                            </a:solidFill>
                            <a:miter lim="800000"/>
                            <a:headEnd/>
                            <a:tailEnd/>
                          </a14:hiddenLine>
                        </a:ext>
                      </a:extLst>
                    </wps:spPr>
                    <wps:bodyPr/>
                  </wps:wsp>
                </a:graphicData>
              </a:graphic>
              <wp14:sizeRelH relativeFrom="page">
                <wp14:pctWidth>100000</wp14:pctWidth>
              </wp14:sizeRelH>
              <wp14:sizeRelV relativeFrom="page">
                <wp14:pctHeight>100000</wp14:pctHeight>
              </wp14:sizeRelV>
            </wp:anchor>
          </w:drawing>
        </mc:Choice>
        <mc:Fallback>
          <w:pict>
            <v:rect w14:anchorId="34269486" id="Rectangle 913475502" o:spid="_x0000_s1026" style="position:absolute;margin-left:0;margin-top:0;width:0;height:0;z-index:-251658234;visibility:visible;mso-wrap-style:square;mso-width-percent:1000;mso-height-percent:1000;mso-wrap-distance-left:9pt;mso-wrap-distance-top:0;mso-wrap-distance-right:9pt;mso-wrap-distance-bottom:0;mso-position-horizontal:absolute;mso-position-horizontal-relative:page;mso-position-vertical:absolute;mso-position-vertical-relative:page;mso-width-percent:1000;mso-height-percent:1000;mso-width-relative:page;mso-height-relative:page;v-text-anchor:top" o:bwmode="whit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" fillcolor="white [3212]" stroked="f" strokeweight="0">
              <o:lock v:ext="edit" rotation="t" aspectratio="t" selection="t" verticies="t" text="t" adjusthandles="t" grouping="t" shapetype="t"/>
              <w10:wrap anchorx="page" anchory="page"/>
            </v:rect>
          </w:pict>
        </mc:Fallback>
      </mc:AlternateContent>
    </w:r>
    <w:r w:rsidR="00E57A83">
      <w:rPr>
        <w:noProof/>
      </w:rPr>
      <mc:AlternateContent>
        <mc:Choice Requires="wps">
          <w:drawing>
            <wp:anchor distT="0" distB="0" distL="114300" distR="114300" simplePos="0" relativeHeight="251658243" behindDoc="1" locked="0" layoutInCell="1" allowOverlap="1" wp14:anchorId="335D6289" wp14:editId="31BD7240">
              <wp:simplePos x="0" y="0"/>
              <wp:positionH relativeFrom="page">
                <wp:posOffset>0</wp:posOffset>
              </wp:positionH>
              <wp:positionV relativeFrom="page">
                <wp:posOffset>0</wp:posOffset>
              </wp:positionV>
              <wp:extent cx="0" cy="0"/>
              <wp:effectExtent l="0" t="0" r="0" b="0"/>
              <wp:wrapNone/>
              <wp:docPr id="399625431" name="Rectangle 399625431">
                <a:extLst xmlns:a="http://schemas.openxmlformats.org/drawingml/2006/main">
                  <a:ext uri="{A998136B-4AC2-44c3-8CCF-79AB77ABDD1D}">
                    <a15:backgroundPr xmlns:a15="http://schemas.microsoft.com/office/drawing/2012/main" bwMode="white" bwPure="auto" bwNormal="auto" targetScreenSize="1024x768"/>
                  </a:ext>
                </a:extLst>
              </wp:docPr>
              <wp:cNvGraphicFramePr>
                <a:graphicFrameLocks xmlns:a="http://schemas.openxmlformats.org/drawingml/2006/main" noGrp="1" noDrilldown="1" noSelect="1" noChangeAspect="1" noResize="1"/>
              </wp:cNvGraphicFramePr>
              <a:graphic xmlns:a="http://schemas.openxmlformats.org/drawingml/2006/main">
                <a:graphicData uri="http://schemas.microsoft.com/office/word/2010/wordprocessingShape">
                  <wps:wsp>
                    <wps:cNvSpPr>
                      <a:spLocks noGrp="1" noSelect="1" noRot="1" noChangeAspect="1" noResize="1" noEditPoints="1" noAdjustHandles="1" noChangeArrowheads="1" noChangeShapeType="1" noTextEdit="1"/>
                    </wps:cNvSpPr>
                    <wps:spPr bwMode="white">
                      <a:xfrm>
                        <a:off x="0" y="0"/>
                        <a:ext cx="0" cy="0"/>
                      </a:xfrm>
                      <a:prstGeom prst="rect">
                        <a:avLst/>
                      </a:prstGeom>
                      <a:solidFill>
                        <a:schemeClr val="bg1">
                          <a:lumMod val="100000"/>
                          <a:lumOff val="0"/>
                        </a:schemeClr>
                      </a:solidFill>
                      <a:ln>
                        <a:noFill/>
                      </a:ln>
                      <a:extLst>
                        <a:ext uri="{91240B29-F687-4F45-9708-019B960494DF}">
                          <a14:hiddenLine xmlns:a14="http://schemas.microsoft.com/office/drawing/2010/main" w="0">
                            <a:solidFill>
                              <a:srgbClr val="000000"/>
                            </a:solidFill>
                            <a:miter lim="800000"/>
                            <a:headEnd/>
                            <a:tailEnd/>
                          </a14:hiddenLine>
                        </a:ext>
                      </a:extLst>
                    </wps:spPr>
                    <wps:bodyPr/>
                  </wps:wsp>
                </a:graphicData>
              </a:graphic>
              <wp14:sizeRelH relativeFrom="page">
                <wp14:pctWidth>100000</wp14:pctWidth>
              </wp14:sizeRelH>
              <wp14:sizeRelV relativeFrom="page">
                <wp14:pctHeight>100000</wp14:pctHeight>
              </wp14:sizeRelV>
            </wp:anchor>
          </w:drawing>
        </mc:Choice>
        <mc:Fallback>
          <w:pict>
            <v:rect w14:anchorId="4F2CEE5A" id="Rectangle 399625431" o:spid="_x0000_s1026" style="position:absolute;margin-left:0;margin-top:0;width:0;height:0;z-index:-251658237;visibility:visible;mso-wrap-style:square;mso-width-percent:1000;mso-height-percent:1000;mso-wrap-distance-left:9pt;mso-wrap-distance-top:0;mso-wrap-distance-right:9pt;mso-wrap-distance-bottom:0;mso-position-horizontal:absolute;mso-position-horizontal-relative:page;mso-position-vertical:absolute;mso-position-vertical-relative:page;mso-width-percent:1000;mso-height-percent:1000;mso-width-relative:page;mso-height-relative:page;v-text-anchor:top" o:bwmode="whit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" fillcolor="white [3212]" stroked="f" strokeweight="0">
              <o:lock v:ext="edit" rotation="t" aspectratio="t" selection="t" verticies="t" text="t" adjusthandles="t" grouping="t" shapetype="t"/>
              <w10:wrap anchorx="page" anchory="page"/>
            </v:rect>
          </w:pict>
        </mc:Fallback>
      </mc:AlternateContent>
    </w:r>
    <w:r w:rsidR="003C5A6A">
      <w:rPr>
        <w:noProof/>
      </w:rPr>
      <mc:AlternateContent>
        <mc:Choice Requires="wps">
          <w:drawing>
            <wp:anchor distT="0" distB="0" distL="114300" distR="114300" simplePos="0" relativeHeight="251658240" behindDoc="1" locked="0" layoutInCell="1" allowOverlap="1" wp14:anchorId="0EE99E8F" wp14:editId="7A3B7B4E">
              <wp:simplePos x="0" y="0"/>
              <wp:positionH relativeFrom="page">
                <wp:posOffset>0</wp:posOffset>
              </wp:positionH>
              <wp:positionV relativeFrom="page">
                <wp:posOffset>0</wp:posOffset>
              </wp:positionV>
              <wp:extent cx="0" cy="0"/>
              <wp:effectExtent l="0" t="0" r="0" b="0"/>
              <wp:wrapNone/>
              <wp:docPr id="200323705" name="Rectangle 200323705">
                <a:extLst xmlns:a="http://schemas.openxmlformats.org/drawingml/2006/main">
                  <a:ext uri="{A998136B-4AC2-44c3-8CCF-79AB77ABDD1D}">
                    <a15:backgroundPr xmlns:a15="http://schemas.microsoft.com/office/drawing/2012/main" bwMode="white" bwPure="auto" bwNormal="auto" targetScreenSize="1024x768"/>
                  </a:ext>
                </a:extLst>
              </wp:docPr>
              <wp:cNvGraphicFramePr>
                <a:graphicFrameLocks xmlns:a="http://schemas.openxmlformats.org/drawingml/2006/main" noGrp="1" noDrilldown="1" noSelect="1" noChangeAspect="1" noResize="1"/>
              </wp:cNvGraphicFramePr>
              <a:graphic xmlns:a="http://schemas.openxmlformats.org/drawingml/2006/main">
                <a:graphicData uri="http://schemas.microsoft.com/office/word/2010/wordprocessingShape">
                  <wps:wsp>
                    <wps:cNvSpPr>
                      <a:spLocks noGrp="1" noSelect="1" noRot="1" noChangeAspect="1" noResize="1" noEditPoints="1" noAdjustHandles="1" noChangeArrowheads="1" noChangeShapeType="1" noTextEdit="1"/>
                    </wps:cNvSpPr>
                    <wps:spPr bwMode="white">
                      <a:xfrm>
                        <a:off x="0" y="0"/>
                        <a:ext cx="0" cy="0"/>
                      </a:xfrm>
                      <a:prstGeom prst="rect">
                        <a:avLst/>
                      </a:prstGeom>
                      <a:solidFill>
                        <a:schemeClr val="bg1">
                          <a:lumMod val="100000"/>
                          <a:lumOff val="0"/>
                        </a:schemeClr>
                      </a:solidFill>
                      <a:ln>
                        <a:noFill/>
                      </a:ln>
                      <a:extLst>
                        <a:ext uri="{91240B29-F687-4F45-9708-019B960494DF}">
                          <a14:hiddenLine xmlns:a14="http://schemas.microsoft.com/office/drawing/2010/main" w="0">
                            <a:solidFill>
                              <a:srgbClr val="000000"/>
                            </a:solidFill>
                            <a:miter lim="800000"/>
                            <a:headEnd/>
                            <a:tailEnd/>
                          </a14:hiddenLine>
                        </a:ext>
                      </a:extLst>
                    </wps:spPr>
                    <wps:bodyPr/>
                  </wps:wsp>
                </a:graphicData>
              </a:graphic>
              <wp14:sizeRelH relativeFrom="page">
                <wp14:pctWidth>100000</wp14:pctWidth>
              </wp14:sizeRelH>
              <wp14:sizeRelV relativeFrom="page">
                <wp14:pctHeight>100000</wp14:pctHeight>
              </wp14:sizeRelV>
            </wp:anchor>
          </w:drawing>
        </mc:Choice>
        <mc:Fallback>
          <w:pict>
            <v:rect w14:anchorId="01386800" id="Rectangle 200323705" o:spid="_x0000_s1026" style="position:absolute;margin-left:0;margin-top:0;width:0;height:0;z-index:-251658240;visibility:visible;mso-wrap-style:square;mso-width-percent:1000;mso-height-percent:1000;mso-wrap-distance-left:9pt;mso-wrap-distance-top:0;mso-wrap-distance-right:9pt;mso-wrap-distance-bottom:0;mso-position-horizontal:absolute;mso-position-horizontal-relative:page;mso-position-vertical:absolute;mso-position-vertical-relative:page;mso-width-percent:1000;mso-height-percent:1000;mso-width-relative:page;mso-height-relative:page;v-text-anchor:top" o:bwmode="whit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" fillcolor="white [3212]" stroked="f" strokeweight="0">
              <o:lock v:ext="edit" rotation="t" aspectratio="t" selection="t" verticies="t" text="t" adjusthandles="t" grouping="t" shapetype="t"/>
              <w10:wrap anchorx="page" anchory="page"/>
            </v:rect>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1E73E8" w14:textId="77777777" w:rsidR="00146878" w:rsidRDefault="00146878">
    <w:pPr>
      <w:pStyle w:val="Header"/>
    </w:pPr>
  </w:p>
  <w:p w14:paraId="5DBB361C" w14:textId="2AC71170" w:rsidR="00146878" w:rsidRDefault="00146878"/>
  <w:p w14:paraId="159ACEF4" w14:textId="77777777" w:rsidR="00146878" w:rsidRDefault="00146878"/>
  <w:p w14:paraId="625C3BF2" w14:textId="77777777" w:rsidR="00146878" w:rsidRDefault="00146878"/>
  <w:p w14:paraId="020B6507" w14:textId="77777777" w:rsidR="00146878" w:rsidRDefault="00146878"/>
  <w:p w14:paraId="380D263E" w14:textId="77777777" w:rsidR="00146878" w:rsidRDefault="00146878"/>
  <w:p w14:paraId="21A11114" w14:textId="77777777" w:rsidR="00146878" w:rsidRDefault="00146878"/>
  <w:p w14:paraId="4654A02A" w14:textId="13BA52B4" w:rsidR="00146878" w:rsidRDefault="00146878"/>
  <w:p w14:paraId="1C2CC466" w14:textId="77777777" w:rsidR="003C21F3" w:rsidRDefault="003C21F3">
    <w:r>
      <w:rPr>
        <w:noProof/>
      </w:rPr>
      <mc:AlternateContent>
        <mc:Choice Requires="wps">
          <w:drawing>
            <wp:anchor distT="0" distB="0" distL="114300" distR="114300" simplePos="0" relativeHeight="251658260" behindDoc="1" locked="0" layoutInCell="1" allowOverlap="1" wp14:anchorId="751E5659" wp14:editId="09AF2E69">
              <wp:simplePos x="0" y="0"/>
              <wp:positionH relativeFrom="page">
                <wp:posOffset>0</wp:posOffset>
              </wp:positionH>
              <wp:positionV relativeFrom="page">
                <wp:posOffset>0</wp:posOffset>
              </wp:positionV>
              <wp:extent cx="0" cy="0"/>
              <wp:effectExtent l="0" t="0" r="0" b="0"/>
              <wp:wrapNone/>
              <wp:docPr id="1506767244" name="Rectangle 1506767244">
                <a:extLst xmlns:a="http://schemas.openxmlformats.org/drawingml/2006/main">
                  <a:ext uri="{A998136B-4AC2-44c3-8CCF-79AB77ABDD1D}">
                    <a15:backgroundPr xmlns:a15="http://schemas.microsoft.com/office/drawing/2012/main" bwMode="white" bwPure="auto" bwNormal="auto" targetScreenSize="1024x768"/>
                  </a:ext>
                </a:extLst>
              </wp:docPr>
              <wp:cNvGraphicFramePr>
                <a:graphicFrameLocks xmlns:a="http://schemas.openxmlformats.org/drawingml/2006/main" noGrp="1" noDrilldown="1" noSelect="1" noChangeAspect="1" noResize="1"/>
              </wp:cNvGraphicFramePr>
              <a:graphic xmlns:a="http://schemas.openxmlformats.org/drawingml/2006/main">
                <a:graphicData uri="http://schemas.microsoft.com/office/word/2010/wordprocessingShape">
                  <wps:wsp>
                    <wps:cNvSpPr>
                      <a:spLocks noGrp="1" noSelect="1" noRot="1" noChangeAspect="1" noResize="1" noEditPoints="1" noAdjustHandles="1" noChangeArrowheads="1" noChangeShapeType="1" noTextEdit="1"/>
                    </wps:cNvSpPr>
                    <wps:spPr bwMode="white">
                      <a:xfrm>
                        <a:off x="0" y="0"/>
                        <a:ext cx="0" cy="0"/>
                      </a:xfrm>
                      <a:prstGeom prst="rect">
                        <a:avLst/>
                      </a:prstGeom>
                      <a:solidFill>
                        <a:schemeClr val="bg1">
                          <a:lumMod val="100000"/>
                          <a:lumOff val="0"/>
                        </a:schemeClr>
                      </a:solidFill>
                      <a:ln>
                        <a:noFill/>
                      </a:ln>
                      <a:extLst>
                        <a:ext uri="{91240B29-F687-4F45-9708-019B960494DF}">
                          <a14:hiddenLine xmlns:a14="http://schemas.microsoft.com/office/drawing/2010/main" w="0">
                            <a:solidFill>
                              <a:srgbClr val="000000"/>
                            </a:solidFill>
                            <a:miter lim="800000"/>
                            <a:headEnd/>
                            <a:tailEnd/>
                          </a14:hiddenLine>
                        </a:ext>
                      </a:extLst>
                    </wps:spPr>
                    <wps:bodyPr/>
                  </wps:wsp>
                </a:graphicData>
              </a:graphic>
              <wp14:sizeRelH relativeFrom="page">
                <wp14:pctWidth>100000</wp14:pctWidth>
              </wp14:sizeRelH>
              <wp14:sizeRelV relativeFrom="page">
                <wp14:pctHeight>100000</wp14:pctHeight>
              </wp14:sizeRelV>
            </wp:anchor>
          </w:drawing>
        </mc:Choice>
        <mc:Fallback>
          <w:pict>
            <v:rect w14:anchorId="7EAD877B" id="Rectangle 1506767244" o:spid="_x0000_s1026" style="position:absolute;margin-left:0;margin-top:0;width:0;height:0;z-index:-251658220;visibility:visible;mso-wrap-style:square;mso-width-percent:1000;mso-height-percent:1000;mso-wrap-distance-left:9pt;mso-wrap-distance-top:0;mso-wrap-distance-right:9pt;mso-wrap-distance-bottom:0;mso-position-horizontal:absolute;mso-position-horizontal-relative:page;mso-position-vertical:absolute;mso-position-vertical-relative:page;mso-width-percent:1000;mso-height-percent:1000;mso-width-relative:page;mso-height-relative:page;v-text-anchor:top" o:bwmode="whit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" fillcolor="white [3212]" stroked="f" strokeweight="0">
              <o:lock v:ext="edit" rotation="t" aspectratio="t" selection="t" verticies="t" text="t" adjusthandles="t" grouping="t" shapetype="t"/>
              <w10:wrap anchorx="page" anchory="page"/>
            </v:rect>
          </w:pict>
        </mc:Fallback>
      </mc:AlternateContent>
    </w:r>
  </w:p>
  <w:p w14:paraId="2AED956F" w14:textId="77777777" w:rsidR="003C21F3" w:rsidRDefault="003C21F3"/>
  <w:p w14:paraId="04720636" w14:textId="6241159E" w:rsidR="003F72DF" w:rsidRDefault="00585317">
    <w:r>
      <w:rPr>
        <w:noProof/>
      </w:rPr>
      <mc:AlternateContent>
        <mc:Choice Requires="wps">
          <w:drawing>
            <wp:anchor distT="0" distB="0" distL="114300" distR="114300" simplePos="0" relativeHeight="251658257" behindDoc="1" locked="0" layoutInCell="1" allowOverlap="1" wp14:anchorId="58110E1C" wp14:editId="60DE7048">
              <wp:simplePos x="0" y="0"/>
              <wp:positionH relativeFrom="page">
                <wp:posOffset>0</wp:posOffset>
              </wp:positionH>
              <wp:positionV relativeFrom="page">
                <wp:posOffset>0</wp:posOffset>
              </wp:positionV>
              <wp:extent cx="0" cy="0"/>
              <wp:effectExtent l="0" t="0" r="0" b="0"/>
              <wp:wrapNone/>
              <wp:docPr id="1122677167" name="Rectangle 1122677167">
                <a:extLst xmlns:a="http://schemas.openxmlformats.org/drawingml/2006/main">
                  <a:ext uri="{A998136B-4AC2-44c3-8CCF-79AB77ABDD1D}">
                    <a15:backgroundPr xmlns:a15="http://schemas.microsoft.com/office/drawing/2012/main" bwMode="white" bwPure="auto" bwNormal="auto" targetScreenSize="1024x768"/>
                  </a:ext>
                </a:extLst>
              </wp:docPr>
              <wp:cNvGraphicFramePr>
                <a:graphicFrameLocks xmlns:a="http://schemas.openxmlformats.org/drawingml/2006/main" noGrp="1" noDrilldown="1" noSelect="1" noChangeAspect="1" noResize="1"/>
              </wp:cNvGraphicFramePr>
              <a:graphic xmlns:a="http://schemas.openxmlformats.org/drawingml/2006/main">
                <a:graphicData uri="http://schemas.microsoft.com/office/word/2010/wordprocessingShape">
                  <wps:wsp>
                    <wps:cNvSpPr>
                      <a:spLocks noGrp="1" noSelect="1" noRot="1" noChangeAspect="1" noResize="1" noEditPoints="1" noAdjustHandles="1" noChangeArrowheads="1" noChangeShapeType="1" noTextEdit="1"/>
                    </wps:cNvSpPr>
                    <wps:spPr bwMode="white">
                      <a:xfrm>
                        <a:off x="0" y="0"/>
                        <a:ext cx="0" cy="0"/>
                      </a:xfrm>
                      <a:prstGeom prst="rect">
                        <a:avLst/>
                      </a:prstGeom>
                      <a:solidFill>
                        <a:schemeClr val="bg1">
                          <a:lumMod val="100000"/>
                          <a:lumOff val="0"/>
                        </a:schemeClr>
                      </a:solidFill>
                      <a:ln>
                        <a:noFill/>
                      </a:ln>
                      <a:extLst>
                        <a:ext uri="{91240B29-F687-4F45-9708-019B960494DF}">
                          <a14:hiddenLine xmlns:a14="http://schemas.microsoft.com/office/drawing/2010/main" w="0">
                            <a:solidFill>
                              <a:srgbClr val="000000"/>
                            </a:solidFill>
                            <a:miter lim="800000"/>
                            <a:headEnd/>
                            <a:tailEnd/>
                          </a14:hiddenLine>
                        </a:ext>
                      </a:extLst>
                    </wps:spPr>
                    <wps:bodyPr/>
                  </wps:wsp>
                </a:graphicData>
              </a:graphic>
              <wp14:sizeRelH relativeFrom="page">
                <wp14:pctWidth>100000</wp14:pctWidth>
              </wp14:sizeRelH>
              <wp14:sizeRelV relativeFrom="page">
                <wp14:pctHeight>100000</wp14:pctHeight>
              </wp14:sizeRelV>
            </wp:anchor>
          </w:drawing>
        </mc:Choice>
        <mc:Fallback>
          <w:pict>
            <v:rect w14:anchorId="5464C100" id="Rectangle 1122677167" o:spid="_x0000_s1026" style="position:absolute;margin-left:0;margin-top:0;width:0;height:0;z-index:-251658223;visibility:visible;mso-wrap-style:square;mso-width-percent:1000;mso-height-percent:1000;mso-wrap-distance-left:9pt;mso-wrap-distance-top:0;mso-wrap-distance-right:9pt;mso-wrap-distance-bottom:0;mso-position-horizontal:absolute;mso-position-horizontal-relative:page;mso-position-vertical:absolute;mso-position-vertical-relative:page;mso-width-percent:1000;mso-height-percent:1000;mso-width-relative:page;mso-height-relative:page;v-text-anchor:top" o:bwmode="whit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" fillcolor="white [3212]" stroked="f" strokeweight="0">
              <o:lock v:ext="edit" rotation="t" aspectratio="t" selection="t" verticies="t" text="t" adjusthandles="t" grouping="t" shapetype="t"/>
              <w10:wrap anchorx="page" anchory="page"/>
            </v:rect>
          </w:pict>
        </mc:Fallback>
      </mc:AlternateContent>
    </w:r>
  </w:p>
  <w:p w14:paraId="41DC9130" w14:textId="77777777" w:rsidR="002F4B8A" w:rsidRDefault="00563240">
    <w:r>
      <w:rPr>
        <w:noProof/>
      </w:rPr>
      <mc:AlternateContent>
        <mc:Choice Requires="wps">
          <w:drawing>
            <wp:anchor distT="0" distB="0" distL="114300" distR="114300" simplePos="0" relativeHeight="251658254" behindDoc="1" locked="0" layoutInCell="1" allowOverlap="1" wp14:anchorId="7BA7B423" wp14:editId="425F0262">
              <wp:simplePos x="0" y="0"/>
              <wp:positionH relativeFrom="page">
                <wp:posOffset>0</wp:posOffset>
              </wp:positionH>
              <wp:positionV relativeFrom="page">
                <wp:posOffset>0</wp:posOffset>
              </wp:positionV>
              <wp:extent cx="0" cy="0"/>
              <wp:effectExtent l="0" t="0" r="0" b="0"/>
              <wp:wrapNone/>
              <wp:docPr id="1599141986" name="Rectangle 1599141986">
                <a:extLst xmlns:a="http://schemas.openxmlformats.org/drawingml/2006/main">
                  <a:ext uri="{A998136B-4AC2-44c3-8CCF-79AB77ABDD1D}">
                    <a15:backgroundPr xmlns:a15="http://schemas.microsoft.com/office/drawing/2012/main" bwMode="white" bwPure="auto" bwNormal="auto" targetScreenSize="1024x768"/>
                  </a:ext>
                </a:extLst>
              </wp:docPr>
              <wp:cNvGraphicFramePr>
                <a:graphicFrameLocks xmlns:a="http://schemas.openxmlformats.org/drawingml/2006/main" noGrp="1" noDrilldown="1" noSelect="1" noChangeAspect="1" noResize="1"/>
              </wp:cNvGraphicFramePr>
              <a:graphic xmlns:a="http://schemas.openxmlformats.org/drawingml/2006/main">
                <a:graphicData uri="http://schemas.microsoft.com/office/word/2010/wordprocessingShape">
                  <wps:wsp>
                    <wps:cNvSpPr>
                      <a:spLocks noGrp="1" noSelect="1" noRot="1" noChangeAspect="1" noResize="1" noEditPoints="1" noAdjustHandles="1" noChangeArrowheads="1" noChangeShapeType="1" noTextEdit="1"/>
                    </wps:cNvSpPr>
                    <wps:spPr bwMode="white">
                      <a:xfrm>
                        <a:off x="0" y="0"/>
                        <a:ext cx="0" cy="0"/>
                      </a:xfrm>
                      <a:prstGeom prst="rect">
                        <a:avLst/>
                      </a:prstGeom>
                      <a:solidFill>
                        <a:schemeClr val="bg1">
                          <a:lumMod val="100000"/>
                          <a:lumOff val="0"/>
                        </a:schemeClr>
                      </a:solidFill>
                      <a:ln>
                        <a:noFill/>
                      </a:ln>
                      <a:extLst>
                        <a:ext uri="{91240B29-F687-4F45-9708-019B960494DF}">
                          <a14:hiddenLine xmlns:a14="http://schemas.microsoft.com/office/drawing/2010/main" w="0">
                            <a:solidFill>
                              <a:srgbClr val="000000"/>
                            </a:solidFill>
                            <a:miter lim="800000"/>
                            <a:headEnd/>
                            <a:tailEnd/>
                          </a14:hiddenLine>
                        </a:ext>
                      </a:extLst>
                    </wps:spPr>
                    <wps:bodyPr/>
                  </wps:wsp>
                </a:graphicData>
              </a:graphic>
              <wp14:sizeRelH relativeFrom="page">
                <wp14:pctWidth>100000</wp14:pctWidth>
              </wp14:sizeRelH>
              <wp14:sizeRelV relativeFrom="page">
                <wp14:pctHeight>100000</wp14:pctHeight>
              </wp14:sizeRelV>
            </wp:anchor>
          </w:drawing>
        </mc:Choice>
        <mc:Fallback>
          <w:pict>
            <v:rect w14:anchorId="23714DDD" id="Rectangle 1599141986" o:spid="_x0000_s1026" style="position:absolute;margin-left:0;margin-top:0;width:0;height:0;z-index:-251658226;visibility:visible;mso-wrap-style:square;mso-width-percent:1000;mso-height-percent:1000;mso-wrap-distance-left:9pt;mso-wrap-distance-top:0;mso-wrap-distance-right:9pt;mso-wrap-distance-bottom:0;mso-position-horizontal:absolute;mso-position-horizontal-relative:page;mso-position-vertical:absolute;mso-position-vertical-relative:page;mso-width-percent:1000;mso-height-percent:1000;mso-width-relative:page;mso-height-relative:page;v-text-anchor:top" o:bwmode="whit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" fillcolor="white [3212]" stroked="f" strokeweight="0">
              <o:lock v:ext="edit" rotation="t" aspectratio="t" selection="t" verticies="t" text="t" adjusthandles="t" grouping="t" shapetype="t"/>
              <w10:wrap anchorx="page" anchory="page"/>
            </v:rect>
          </w:pict>
        </mc:Fallback>
      </mc:AlternateContent>
    </w:r>
  </w:p>
  <w:p w14:paraId="0EAD97D9" w14:textId="77777777" w:rsidR="003F72DF" w:rsidRDefault="003F72DF"/>
  <w:p w14:paraId="249B8AC1" w14:textId="77777777" w:rsidR="003F72DF" w:rsidRDefault="003F72DF"/>
  <w:p w14:paraId="016C598F" w14:textId="59AB8625" w:rsidR="002F4B8A" w:rsidRDefault="001600C9">
    <w:r>
      <w:rPr>
        <w:noProof/>
      </w:rPr>
      <mc:AlternateContent>
        <mc:Choice Requires="wps">
          <w:drawing>
            <wp:anchor distT="0" distB="0" distL="114300" distR="114300" simplePos="0" relativeHeight="251658251" behindDoc="1" locked="0" layoutInCell="1" allowOverlap="1" wp14:anchorId="23AAC50B" wp14:editId="4630F239">
              <wp:simplePos x="0" y="0"/>
              <wp:positionH relativeFrom="page">
                <wp:posOffset>0</wp:posOffset>
              </wp:positionH>
              <wp:positionV relativeFrom="page">
                <wp:posOffset>0</wp:posOffset>
              </wp:positionV>
              <wp:extent cx="0" cy="0"/>
              <wp:effectExtent l="0" t="0" r="0" b="0"/>
              <wp:wrapNone/>
              <wp:docPr id="1413480644" name="Rectangle 1413480644">
                <a:extLst xmlns:a="http://schemas.openxmlformats.org/drawingml/2006/main">
                  <a:ext uri="{A998136B-4AC2-44c3-8CCF-79AB77ABDD1D}">
                    <a15:backgroundPr xmlns:a15="http://schemas.microsoft.com/office/drawing/2012/main" bwMode="white" bwPure="auto" bwNormal="auto" targetScreenSize="1024x768"/>
                  </a:ext>
                </a:extLst>
              </wp:docPr>
              <wp:cNvGraphicFramePr>
                <a:graphicFrameLocks xmlns:a="http://schemas.openxmlformats.org/drawingml/2006/main" noGrp="1" noDrilldown="1" noSelect="1" noChangeAspect="1" noResize="1"/>
              </wp:cNvGraphicFramePr>
              <a:graphic xmlns:a="http://schemas.openxmlformats.org/drawingml/2006/main">
                <a:graphicData uri="http://schemas.microsoft.com/office/word/2010/wordprocessingShape">
                  <wps:wsp>
                    <wps:cNvSpPr>
                      <a:spLocks noGrp="1" noSelect="1" noRot="1" noChangeAspect="1" noResize="1" noEditPoints="1" noAdjustHandles="1" noChangeArrowheads="1" noChangeShapeType="1" noTextEdit="1"/>
                    </wps:cNvSpPr>
                    <wps:spPr bwMode="white">
                      <a:xfrm>
                        <a:off x="0" y="0"/>
                        <a:ext cx="0" cy="0"/>
                      </a:xfrm>
                      <a:prstGeom prst="rect">
                        <a:avLst/>
                      </a:prstGeom>
                      <a:solidFill>
                        <a:schemeClr val="bg1">
                          <a:lumMod val="100000"/>
                          <a:lumOff val="0"/>
                        </a:schemeClr>
                      </a:solidFill>
                      <a:ln>
                        <a:noFill/>
                      </a:ln>
                      <a:extLst>
                        <a:ext uri="{91240B29-F687-4F45-9708-019B960494DF}">
                          <a14:hiddenLine xmlns:a14="http://schemas.microsoft.com/office/drawing/2010/main" w="0">
                            <a:solidFill>
                              <a:srgbClr val="000000"/>
                            </a:solidFill>
                            <a:miter lim="800000"/>
                            <a:headEnd/>
                            <a:tailEnd/>
                          </a14:hiddenLine>
                        </a:ext>
                      </a:extLst>
                    </wps:spPr>
                    <wps:bodyPr/>
                  </wps:wsp>
                </a:graphicData>
              </a:graphic>
              <wp14:sizeRelH relativeFrom="page">
                <wp14:pctWidth>100000</wp14:pctWidth>
              </wp14:sizeRelH>
              <wp14:sizeRelV relativeFrom="page">
                <wp14:pctHeight>100000</wp14:pctHeight>
              </wp14:sizeRelV>
            </wp:anchor>
          </w:drawing>
        </mc:Choice>
        <mc:Fallback>
          <w:pict>
            <v:rect w14:anchorId="2334987C" id="Rectangle 1413480644" o:spid="_x0000_s1026" style="position:absolute;margin-left:0;margin-top:0;width:0;height:0;z-index:-251658229;visibility:visible;mso-wrap-style:square;mso-width-percent:1000;mso-height-percent:1000;mso-wrap-distance-left:9pt;mso-wrap-distance-top:0;mso-wrap-distance-right:9pt;mso-wrap-distance-bottom:0;mso-position-horizontal:absolute;mso-position-horizontal-relative:page;mso-position-vertical:absolute;mso-position-vertical-relative:page;mso-width-percent:1000;mso-height-percent:1000;mso-width-relative:page;mso-height-relative:page;v-text-anchor:top" o:bwmode="whit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" fillcolor="white [3212]" stroked="f" strokeweight="0">
              <o:lock v:ext="edit" rotation="t" aspectratio="t" selection="t" verticies="t" text="t" adjusthandles="t" grouping="t" shapetype="t"/>
              <w10:wrap anchorx="page" anchory="page"/>
            </v:rect>
          </w:pict>
        </mc:Fallback>
      </mc:AlternateContent>
    </w:r>
    <w:r w:rsidR="00F558A4">
      <w:rPr>
        <w:noProof/>
      </w:rPr>
      <mc:AlternateContent>
        <mc:Choice Requires="wps">
          <w:drawing>
            <wp:anchor distT="0" distB="0" distL="114300" distR="114300" simplePos="0" relativeHeight="251658248" behindDoc="1" locked="0" layoutInCell="1" allowOverlap="1" wp14:anchorId="7D77A32B" wp14:editId="4CC59F6E">
              <wp:simplePos x="0" y="0"/>
              <wp:positionH relativeFrom="page">
                <wp:posOffset>0</wp:posOffset>
              </wp:positionH>
              <wp:positionV relativeFrom="page">
                <wp:posOffset>0</wp:posOffset>
              </wp:positionV>
              <wp:extent cx="0" cy="0"/>
              <wp:effectExtent l="0" t="0" r="0" b="0"/>
              <wp:wrapNone/>
              <wp:docPr id="733842003" name="Rectangle 733842003">
                <a:extLst xmlns:a="http://schemas.openxmlformats.org/drawingml/2006/main">
                  <a:ext uri="{A998136B-4AC2-44c3-8CCF-79AB77ABDD1D}">
                    <a15:backgroundPr xmlns:a15="http://schemas.microsoft.com/office/drawing/2012/main" bwMode="white" bwPure="auto" bwNormal="auto" targetScreenSize="1024x768"/>
                  </a:ext>
                </a:extLst>
              </wp:docPr>
              <wp:cNvGraphicFramePr>
                <a:graphicFrameLocks xmlns:a="http://schemas.openxmlformats.org/drawingml/2006/main" noGrp="1" noDrilldown="1" noSelect="1" noChangeAspect="1" noResize="1"/>
              </wp:cNvGraphicFramePr>
              <a:graphic xmlns:a="http://schemas.openxmlformats.org/drawingml/2006/main">
                <a:graphicData uri="http://schemas.microsoft.com/office/word/2010/wordprocessingShape">
                  <wps:wsp>
                    <wps:cNvSpPr>
                      <a:spLocks noGrp="1" noSelect="1" noRot="1" noChangeAspect="1" noResize="1" noEditPoints="1" noAdjustHandles="1" noChangeArrowheads="1" noChangeShapeType="1" noTextEdit="1"/>
                    </wps:cNvSpPr>
                    <wps:spPr bwMode="white">
                      <a:xfrm>
                        <a:off x="0" y="0"/>
                        <a:ext cx="0" cy="0"/>
                      </a:xfrm>
                      <a:prstGeom prst="rect">
                        <a:avLst/>
                      </a:prstGeom>
                      <a:solidFill>
                        <a:schemeClr val="bg1">
                          <a:lumMod val="100000"/>
                          <a:lumOff val="0"/>
                        </a:schemeClr>
                      </a:solidFill>
                      <a:ln>
                        <a:noFill/>
                      </a:ln>
                      <a:extLst>
                        <a:ext uri="{91240B29-F687-4F45-9708-019B960494DF}">
                          <a14:hiddenLine xmlns:a14="http://schemas.microsoft.com/office/drawing/2010/main" w="0">
                            <a:solidFill>
                              <a:srgbClr val="000000"/>
                            </a:solidFill>
                            <a:miter lim="800000"/>
                            <a:headEnd/>
                            <a:tailEnd/>
                          </a14:hiddenLine>
                        </a:ext>
                      </a:extLst>
                    </wps:spPr>
                    <wps:bodyPr/>
                  </wps:wsp>
                </a:graphicData>
              </a:graphic>
              <wp14:sizeRelH relativeFrom="page">
                <wp14:pctWidth>100000</wp14:pctWidth>
              </wp14:sizeRelH>
              <wp14:sizeRelV relativeFrom="page">
                <wp14:pctHeight>100000</wp14:pctHeight>
              </wp14:sizeRelV>
            </wp:anchor>
          </w:drawing>
        </mc:Choice>
        <mc:Fallback>
          <w:pict>
            <v:rect w14:anchorId="368B7593" id="Rectangle 733842003" o:spid="_x0000_s1026" style="position:absolute;margin-left:0;margin-top:0;width:0;height:0;z-index:-251658232;visibility:visible;mso-wrap-style:square;mso-width-percent:1000;mso-height-percent:1000;mso-wrap-distance-left:9pt;mso-wrap-distance-top:0;mso-wrap-distance-right:9pt;mso-wrap-distance-bottom:0;mso-position-horizontal:absolute;mso-position-horizontal-relative:page;mso-position-vertical:absolute;mso-position-vertical-relative:page;mso-width-percent:1000;mso-height-percent:1000;mso-width-relative:page;mso-height-relative:page;v-text-anchor:top" o:bwmode="whit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" fillcolor="white [3212]" stroked="f" strokeweight="0">
              <o:lock v:ext="edit" rotation="t" aspectratio="t" selection="t" verticies="t" text="t" adjusthandles="t" grouping="t" shapetype="t"/>
              <w10:wrap anchorx="page" anchory="page"/>
            </v:rect>
          </w:pict>
        </mc:Fallback>
      </mc:AlternateContent>
    </w:r>
  </w:p>
  <w:p w14:paraId="13208728" w14:textId="3B02BE39" w:rsidR="00E57A83" w:rsidRDefault="00E57A83">
    <w:r>
      <w:rPr>
        <w:noProof/>
      </w:rPr>
      <mc:AlternateContent>
        <mc:Choice Requires="wps">
          <w:drawing>
            <wp:anchor distT="0" distB="0" distL="114300" distR="114300" simplePos="0" relativeHeight="251658245" behindDoc="1" locked="0" layoutInCell="1" allowOverlap="1" wp14:anchorId="78EBC9E9" wp14:editId="0AE20096">
              <wp:simplePos x="0" y="0"/>
              <wp:positionH relativeFrom="page">
                <wp:posOffset>0</wp:posOffset>
              </wp:positionH>
              <wp:positionV relativeFrom="page">
                <wp:posOffset>0</wp:posOffset>
              </wp:positionV>
              <wp:extent cx="0" cy="0"/>
              <wp:effectExtent l="0" t="0" r="0" b="0"/>
              <wp:wrapNone/>
              <wp:docPr id="352852297" name="Rectangle 352852297">
                <a:extLst xmlns:a="http://schemas.openxmlformats.org/drawingml/2006/main">
                  <a:ext uri="{A998136B-4AC2-44c3-8CCF-79AB77ABDD1D}">
                    <a15:backgroundPr xmlns:a15="http://schemas.microsoft.com/office/drawing/2012/main" bwMode="white" bwPure="auto" bwNormal="auto" targetScreenSize="1024x768"/>
                  </a:ext>
                </a:extLst>
              </wp:docPr>
              <wp:cNvGraphicFramePr>
                <a:graphicFrameLocks xmlns:a="http://schemas.openxmlformats.org/drawingml/2006/main" noGrp="1" noDrilldown="1" noSelect="1" noChangeAspect="1" noResize="1"/>
              </wp:cNvGraphicFramePr>
              <a:graphic xmlns:a="http://schemas.openxmlformats.org/drawingml/2006/main">
                <a:graphicData uri="http://schemas.microsoft.com/office/word/2010/wordprocessingShape">
                  <wps:wsp>
                    <wps:cNvSpPr>
                      <a:spLocks noGrp="1" noSelect="1" noRot="1" noChangeAspect="1" noResize="1" noEditPoints="1" noAdjustHandles="1" noChangeArrowheads="1" noChangeShapeType="1" noTextEdit="1"/>
                    </wps:cNvSpPr>
                    <wps:spPr bwMode="white">
                      <a:xfrm>
                        <a:off x="0" y="0"/>
                        <a:ext cx="0" cy="0"/>
                      </a:xfrm>
                      <a:prstGeom prst="rect">
                        <a:avLst/>
                      </a:prstGeom>
                      <a:solidFill>
                        <a:schemeClr val="bg1">
                          <a:lumMod val="100000"/>
                          <a:lumOff val="0"/>
                        </a:schemeClr>
                      </a:solidFill>
                      <a:ln>
                        <a:noFill/>
                      </a:ln>
                      <a:extLst>
                        <a:ext uri="{91240B29-F687-4F45-9708-019B960494DF}">
                          <a14:hiddenLine xmlns:a14="http://schemas.microsoft.com/office/drawing/2010/main" w="0">
                            <a:solidFill>
                              <a:srgbClr val="000000"/>
                            </a:solidFill>
                            <a:miter lim="800000"/>
                            <a:headEnd/>
                            <a:tailEnd/>
                          </a14:hiddenLine>
                        </a:ext>
                      </a:extLst>
                    </wps:spPr>
                    <wps:bodyPr/>
                  </wps:wsp>
                </a:graphicData>
              </a:graphic>
              <wp14:sizeRelH relativeFrom="page">
                <wp14:pctWidth>100000</wp14:pctWidth>
              </wp14:sizeRelH>
              <wp14:sizeRelV relativeFrom="page">
                <wp14:pctHeight>100000</wp14:pctHeight>
              </wp14:sizeRelV>
            </wp:anchor>
          </w:drawing>
        </mc:Choice>
        <mc:Fallback>
          <w:pict>
            <v:rect w14:anchorId="6C2A3916" id="Rectangle 352852297" o:spid="_x0000_s1026" style="position:absolute;margin-left:0;margin-top:0;width:0;height:0;z-index:-251658235;visibility:visible;mso-wrap-style:square;mso-width-percent:1000;mso-height-percent:1000;mso-wrap-distance-left:9pt;mso-wrap-distance-top:0;mso-wrap-distance-right:9pt;mso-wrap-distance-bottom:0;mso-position-horizontal:absolute;mso-position-horizontal-relative:page;mso-position-vertical:absolute;mso-position-vertical-relative:page;mso-width-percent:1000;mso-height-percent:1000;mso-width-relative:page;mso-height-relative:page;v-text-anchor:top" o:bwmode="whit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" fillcolor="white [3212]" stroked="f" strokeweight="0">
              <o:lock v:ext="edit" rotation="t" aspectratio="t" selection="t" verticies="t" text="t" adjusthandles="t" grouping="t" shapetype="t"/>
              <w10:wrap anchorx="page" anchory="page"/>
            </v:rect>
          </w:pict>
        </mc:Fallback>
      </mc:AlternateContent>
    </w:r>
  </w:p>
  <w:p w14:paraId="4401F236" w14:textId="77777777" w:rsidR="00E57A83" w:rsidRDefault="003C5A6A">
    <w:r>
      <w:rPr>
        <w:noProof/>
      </w:rPr>
      <mc:AlternateContent>
        <mc:Choice Requires="wps">
          <w:drawing>
            <wp:anchor distT="0" distB="0" distL="114300" distR="114300" simplePos="0" relativeHeight="251658242" behindDoc="1" locked="0" layoutInCell="1" allowOverlap="1" wp14:anchorId="7BAA9E53" wp14:editId="7673E5A7">
              <wp:simplePos x="0" y="0"/>
              <wp:positionH relativeFrom="page">
                <wp:posOffset>0</wp:posOffset>
              </wp:positionH>
              <wp:positionV relativeFrom="page">
                <wp:posOffset>0</wp:posOffset>
              </wp:positionV>
              <wp:extent cx="0" cy="0"/>
              <wp:effectExtent l="0" t="0" r="0" b="0"/>
              <wp:wrapNone/>
              <wp:docPr id="1232108595" name="Rectangle 1232108595">
                <a:extLst xmlns:a="http://schemas.openxmlformats.org/drawingml/2006/main">
                  <a:ext uri="{A998136B-4AC2-44c3-8CCF-79AB77ABDD1D}">
                    <a15:backgroundPr xmlns:a15="http://schemas.microsoft.com/office/drawing/2012/main" bwMode="white" bwPure="auto" bwNormal="auto" targetScreenSize="1024x768"/>
                  </a:ext>
                </a:extLst>
              </wp:docPr>
              <wp:cNvGraphicFramePr>
                <a:graphicFrameLocks xmlns:a="http://schemas.openxmlformats.org/drawingml/2006/main" noGrp="1" noDrilldown="1" noSelect="1" noChangeAspect="1" noResize="1"/>
              </wp:cNvGraphicFramePr>
              <a:graphic xmlns:a="http://schemas.openxmlformats.org/drawingml/2006/main">
                <a:graphicData uri="http://schemas.microsoft.com/office/word/2010/wordprocessingShape">
                  <wps:wsp>
                    <wps:cNvSpPr>
                      <a:spLocks noGrp="1" noSelect="1" noRot="1" noChangeAspect="1" noResize="1" noEditPoints="1" noAdjustHandles="1" noChangeArrowheads="1" noChangeShapeType="1" noTextEdit="1"/>
                    </wps:cNvSpPr>
                    <wps:spPr bwMode="white">
                      <a:xfrm>
                        <a:off x="0" y="0"/>
                        <a:ext cx="0" cy="0"/>
                      </a:xfrm>
                      <a:prstGeom prst="rect">
                        <a:avLst/>
                      </a:prstGeom>
                      <a:solidFill>
                        <a:schemeClr val="bg1">
                          <a:lumMod val="100000"/>
                          <a:lumOff val="0"/>
                        </a:schemeClr>
                      </a:solidFill>
                      <a:ln>
                        <a:noFill/>
                      </a:ln>
                      <a:extLst>
                        <a:ext uri="{91240B29-F687-4F45-9708-019B960494DF}">
                          <a14:hiddenLine xmlns:a14="http://schemas.microsoft.com/office/drawing/2010/main" w="0">
                            <a:solidFill>
                              <a:srgbClr val="000000"/>
                            </a:solidFill>
                            <a:miter lim="800000"/>
                            <a:headEnd/>
                            <a:tailEnd/>
                          </a14:hiddenLine>
                        </a:ext>
                      </a:extLst>
                    </wps:spPr>
                    <wps:bodyPr/>
                  </wps:wsp>
                </a:graphicData>
              </a:graphic>
              <wp14:sizeRelH relativeFrom="page">
                <wp14:pctWidth>100000</wp14:pctWidth>
              </wp14:sizeRelH>
              <wp14:sizeRelV relativeFrom="page">
                <wp14:pctHeight>100000</wp14:pctHeight>
              </wp14:sizeRelV>
            </wp:anchor>
          </w:drawing>
        </mc:Choice>
        <mc:Fallback>
          <w:pict>
            <v:rect w14:anchorId="5D54BC70" id="Rectangle 1232108595" o:spid="_x0000_s1026" style="position:absolute;margin-left:0;margin-top:0;width:0;height:0;z-index:-251658238;visibility:visible;mso-wrap-style:square;mso-width-percent:1000;mso-height-percent:1000;mso-wrap-distance-left:9pt;mso-wrap-distance-top:0;mso-wrap-distance-right:9pt;mso-wrap-distance-bottom:0;mso-position-horizontal:absolute;mso-position-horizontal-relative:page;mso-position-vertical:absolute;mso-position-vertical-relative:page;mso-width-percent:1000;mso-height-percent:1000;mso-width-relative:page;mso-height-relative:page;v-text-anchor:top" o:bwmode="whit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" fillcolor="white [3212]" stroked="f" strokeweight="0">
              <o:lock v:ext="edit" rotation="t" aspectratio="t" selection="t" verticies="t" text="t" adjusthandles="t" grouping="t" shapetype="t"/>
              <w10:wrap anchorx="page" anchory="page"/>
            </v:rect>
          </w:pict>
        </mc:Fallback>
      </mc:AlternateContent>
    </w:r>
  </w:p>
  <w:p w14:paraId="3283C368" w14:textId="77777777" w:rsidR="00E57A83" w:rsidRDefault="00E57A83"/>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62105B" w14:textId="77777777" w:rsidR="00146878" w:rsidRDefault="00146878" w:rsidP="00702C58">
    <w:pPr>
      <w:pStyle w:val="Header"/>
    </w:pPr>
  </w:p>
  <w:p w14:paraId="48864EBD" w14:textId="3BC3BB01" w:rsidR="00146878" w:rsidRDefault="00146878" w:rsidP="00702C58"/>
  <w:p w14:paraId="760FF5FA" w14:textId="77777777" w:rsidR="00146878" w:rsidRDefault="00146878" w:rsidP="00702C58"/>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5C6A29" w14:textId="77777777" w:rsidR="00146878" w:rsidRDefault="00146878" w:rsidP="00702C58"/>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B1F1F6" w14:textId="77777777" w:rsidR="00146878" w:rsidRDefault="00146878" w:rsidP="00702C58">
    <w:pPr>
      <w:pStyle w:val="Header"/>
    </w:pPr>
  </w:p>
  <w:p w14:paraId="5EB210AC" w14:textId="0F898314" w:rsidR="00146878" w:rsidRDefault="00146878" w:rsidP="00702C58"/>
  <w:p w14:paraId="3D6187C7" w14:textId="77777777" w:rsidR="00146878" w:rsidRDefault="00146878" w:rsidP="00702C58"/>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02BB30" w14:textId="77777777" w:rsidR="00146878" w:rsidRDefault="00146878" w:rsidP="00702C58">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D719C6" w14:textId="77777777" w:rsidR="00146878" w:rsidRDefault="00146878" w:rsidP="00702C58">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3DDB24" w14:textId="77777777" w:rsidR="00146878" w:rsidRDefault="00146878" w:rsidP="00702C58">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622E0C"/>
    <w:multiLevelType w:val="hybridMultilevel"/>
    <w:tmpl w:val="8CF03DE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1FB28C5"/>
    <w:multiLevelType w:val="multilevel"/>
    <w:tmpl w:val="4BE8981A"/>
    <w:styleLink w:val="ListParagraph0"/>
    <w:lvl w:ilvl="0">
      <w:start w:val="1"/>
      <w:numFmt w:val="none"/>
      <w:pStyle w:val="ListParagraph"/>
      <w:suff w:val="nothing"/>
      <w:lvlText w:val=""/>
      <w:lvlJc w:val="left"/>
      <w:pPr>
        <w:ind w:left="348" w:firstLine="0"/>
      </w:pPr>
      <w:rPr>
        <w:rFonts w:asciiTheme="minorHAnsi" w:hAnsiTheme="minorHAnsi" w:hint="default"/>
        <w:color w:val="auto"/>
      </w:rPr>
    </w:lvl>
    <w:lvl w:ilvl="1">
      <w:start w:val="1"/>
      <w:numFmt w:val="none"/>
      <w:pStyle w:val="ListParagraph2"/>
      <w:suff w:val="nothing"/>
      <w:lvlText w:val=""/>
      <w:lvlJc w:val="left"/>
      <w:pPr>
        <w:ind w:left="773" w:firstLine="0"/>
      </w:pPr>
      <w:rPr>
        <w:rFonts w:asciiTheme="minorHAnsi" w:hAnsiTheme="minorHAnsi" w:hint="default"/>
        <w:color w:val="auto"/>
      </w:rPr>
    </w:lvl>
    <w:lvl w:ilvl="2">
      <w:start w:val="1"/>
      <w:numFmt w:val="none"/>
      <w:pStyle w:val="ListParagraph3"/>
      <w:suff w:val="nothing"/>
      <w:lvlText w:val=""/>
      <w:lvlJc w:val="left"/>
      <w:pPr>
        <w:ind w:left="1198" w:firstLine="0"/>
      </w:pPr>
      <w:rPr>
        <w:rFonts w:asciiTheme="minorHAnsi" w:hAnsiTheme="minorHAnsi" w:hint="default"/>
        <w:color w:val="auto"/>
      </w:rPr>
    </w:lvl>
    <w:lvl w:ilvl="3">
      <w:start w:val="1"/>
      <w:numFmt w:val="none"/>
      <w:pStyle w:val="ListParagraph4"/>
      <w:suff w:val="nothing"/>
      <w:lvlText w:val=""/>
      <w:lvlJc w:val="left"/>
      <w:pPr>
        <w:ind w:left="1623" w:firstLine="0"/>
      </w:pPr>
      <w:rPr>
        <w:rFonts w:asciiTheme="minorHAnsi" w:hAnsiTheme="minorHAnsi" w:hint="default"/>
        <w:color w:val="auto"/>
      </w:rPr>
    </w:lvl>
    <w:lvl w:ilvl="4">
      <w:start w:val="1"/>
      <w:numFmt w:val="none"/>
      <w:pStyle w:val="ListParagraph5"/>
      <w:suff w:val="nothing"/>
      <w:lvlText w:val=""/>
      <w:lvlJc w:val="left"/>
      <w:pPr>
        <w:ind w:left="2048" w:firstLine="0"/>
      </w:pPr>
      <w:rPr>
        <w:rFonts w:asciiTheme="minorHAnsi" w:hAnsiTheme="minorHAnsi" w:hint="default"/>
        <w:color w:val="auto"/>
      </w:rPr>
    </w:lvl>
    <w:lvl w:ilvl="5">
      <w:start w:val="1"/>
      <w:numFmt w:val="none"/>
      <w:pStyle w:val="ListParagraph6"/>
      <w:suff w:val="nothing"/>
      <w:lvlText w:val=""/>
      <w:lvlJc w:val="left"/>
      <w:pPr>
        <w:ind w:left="2473" w:firstLine="0"/>
      </w:pPr>
      <w:rPr>
        <w:rFonts w:asciiTheme="minorHAnsi" w:hAnsiTheme="minorHAnsi" w:hint="default"/>
        <w:color w:val="auto"/>
      </w:rPr>
    </w:lvl>
    <w:lvl w:ilvl="6">
      <w:start w:val="1"/>
      <w:numFmt w:val="none"/>
      <w:suff w:val="nothing"/>
      <w:lvlText w:val=""/>
      <w:lvlJc w:val="left"/>
      <w:pPr>
        <w:ind w:left="2898" w:firstLine="0"/>
      </w:pPr>
      <w:rPr>
        <w:rFonts w:hint="default"/>
        <w:color w:val="000000"/>
      </w:rPr>
    </w:lvl>
    <w:lvl w:ilvl="7">
      <w:start w:val="1"/>
      <w:numFmt w:val="none"/>
      <w:suff w:val="nothing"/>
      <w:lvlText w:val=""/>
      <w:lvlJc w:val="left"/>
      <w:pPr>
        <w:ind w:left="3323" w:firstLine="0"/>
      </w:pPr>
      <w:rPr>
        <w:rFonts w:hint="default"/>
      </w:rPr>
    </w:lvl>
    <w:lvl w:ilvl="8">
      <w:numFmt w:val="none"/>
      <w:lvlText w:val=""/>
      <w:lvlJc w:val="left"/>
      <w:pPr>
        <w:tabs>
          <w:tab w:val="num" w:pos="3748"/>
        </w:tabs>
        <w:ind w:left="3748" w:firstLine="0"/>
      </w:pPr>
      <w:rPr>
        <w:rFonts w:hint="default"/>
      </w:rPr>
    </w:lvl>
  </w:abstractNum>
  <w:abstractNum w:abstractNumId="2" w15:restartNumberingAfterBreak="0">
    <w:nsid w:val="06B86247"/>
    <w:multiLevelType w:val="hybridMultilevel"/>
    <w:tmpl w:val="F636FBE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 w15:restartNumberingAfterBreak="0">
    <w:nsid w:val="07284AE9"/>
    <w:multiLevelType w:val="multilevel"/>
    <w:tmpl w:val="0B96E482"/>
    <w:styleLink w:val="ListAlpha"/>
    <w:lvl w:ilvl="0">
      <w:start w:val="1"/>
      <w:numFmt w:val="lowerLetter"/>
      <w:pStyle w:val="ListAlpha0"/>
      <w:lvlText w:val="%1."/>
      <w:lvlJc w:val="left"/>
      <w:pPr>
        <w:tabs>
          <w:tab w:val="num" w:pos="425"/>
        </w:tabs>
        <w:ind w:left="425" w:hanging="425"/>
      </w:pPr>
      <w:rPr>
        <w:rFonts w:asciiTheme="minorHAnsi" w:hAnsiTheme="minorHAnsi" w:hint="default"/>
        <w:color w:val="auto"/>
        <w:sz w:val="18"/>
      </w:rPr>
    </w:lvl>
    <w:lvl w:ilvl="1">
      <w:start w:val="1"/>
      <w:numFmt w:val="lowerRoman"/>
      <w:pStyle w:val="ListAlpha2"/>
      <w:lvlText w:val="%2."/>
      <w:lvlJc w:val="left"/>
      <w:pPr>
        <w:tabs>
          <w:tab w:val="num" w:pos="850"/>
        </w:tabs>
        <w:ind w:left="850" w:hanging="425"/>
      </w:pPr>
      <w:rPr>
        <w:rFonts w:asciiTheme="minorHAnsi" w:hAnsiTheme="minorHAnsi" w:hint="default"/>
        <w:color w:val="auto"/>
        <w:sz w:val="18"/>
      </w:rPr>
    </w:lvl>
    <w:lvl w:ilvl="2">
      <w:start w:val="1"/>
      <w:numFmt w:val="decimal"/>
      <w:pStyle w:val="ListAlpha3"/>
      <w:lvlText w:val="%3."/>
      <w:lvlJc w:val="left"/>
      <w:pPr>
        <w:tabs>
          <w:tab w:val="num" w:pos="1275"/>
        </w:tabs>
        <w:ind w:left="1275" w:hanging="425"/>
      </w:pPr>
      <w:rPr>
        <w:rFonts w:asciiTheme="minorHAnsi" w:hAnsiTheme="minorHAnsi" w:hint="default"/>
        <w:color w:val="auto"/>
        <w:sz w:val="18"/>
      </w:rPr>
    </w:lvl>
    <w:lvl w:ilvl="3">
      <w:start w:val="1"/>
      <w:numFmt w:val="upperLetter"/>
      <w:pStyle w:val="ListAlpha4"/>
      <w:lvlText w:val="%4."/>
      <w:lvlJc w:val="left"/>
      <w:pPr>
        <w:tabs>
          <w:tab w:val="num" w:pos="1700"/>
        </w:tabs>
        <w:ind w:left="1700" w:hanging="425"/>
      </w:pPr>
      <w:rPr>
        <w:rFonts w:asciiTheme="minorHAnsi" w:hAnsiTheme="minorHAnsi" w:hint="default"/>
        <w:color w:val="auto"/>
        <w:sz w:val="18"/>
      </w:rPr>
    </w:lvl>
    <w:lvl w:ilvl="4">
      <w:start w:val="1"/>
      <w:numFmt w:val="upperRoman"/>
      <w:pStyle w:val="ListAlpha5"/>
      <w:lvlText w:val="%5."/>
      <w:lvlJc w:val="left"/>
      <w:pPr>
        <w:tabs>
          <w:tab w:val="num" w:pos="2125"/>
        </w:tabs>
        <w:ind w:left="2125" w:hanging="425"/>
      </w:pPr>
      <w:rPr>
        <w:rFonts w:asciiTheme="minorHAnsi" w:hAnsiTheme="minorHAnsi" w:hint="default"/>
        <w:color w:val="auto"/>
        <w:sz w:val="18"/>
      </w:rPr>
    </w:lvl>
    <w:lvl w:ilvl="5">
      <w:start w:val="1"/>
      <w:numFmt w:val="decimal"/>
      <w:pStyle w:val="ListAlpha6"/>
      <w:lvlText w:val="%6."/>
      <w:lvlJc w:val="left"/>
      <w:pPr>
        <w:tabs>
          <w:tab w:val="num" w:pos="2550"/>
        </w:tabs>
        <w:ind w:left="2550" w:hanging="425"/>
      </w:pPr>
      <w:rPr>
        <w:rFonts w:asciiTheme="minorHAnsi" w:hAnsiTheme="minorHAnsi" w:hint="default"/>
        <w:color w:val="auto"/>
        <w:sz w:val="18"/>
      </w:rPr>
    </w:lvl>
    <w:lvl w:ilvl="6">
      <w:start w:val="1"/>
      <w:numFmt w:val="none"/>
      <w:lvlText w:val=""/>
      <w:lvlJc w:val="left"/>
      <w:pPr>
        <w:tabs>
          <w:tab w:val="num" w:pos="2975"/>
        </w:tabs>
        <w:ind w:left="2975" w:hanging="425"/>
      </w:pPr>
      <w:rPr>
        <w:rFonts w:hint="default"/>
      </w:rPr>
    </w:lvl>
    <w:lvl w:ilvl="7">
      <w:start w:val="1"/>
      <w:numFmt w:val="none"/>
      <w:lvlText w:val=""/>
      <w:lvlJc w:val="left"/>
      <w:pPr>
        <w:tabs>
          <w:tab w:val="num" w:pos="3400"/>
        </w:tabs>
        <w:ind w:left="3400" w:hanging="425"/>
      </w:pPr>
      <w:rPr>
        <w:rFonts w:hint="default"/>
      </w:rPr>
    </w:lvl>
    <w:lvl w:ilvl="8">
      <w:start w:val="1"/>
      <w:numFmt w:val="none"/>
      <w:lvlText w:val=""/>
      <w:lvlJc w:val="left"/>
      <w:pPr>
        <w:tabs>
          <w:tab w:val="num" w:pos="3825"/>
        </w:tabs>
        <w:ind w:left="3825" w:hanging="425"/>
      </w:pPr>
      <w:rPr>
        <w:rFonts w:hint="default"/>
      </w:rPr>
    </w:lvl>
  </w:abstractNum>
  <w:abstractNum w:abstractNumId="4" w15:restartNumberingAfterBreak="0">
    <w:nsid w:val="07A60FA9"/>
    <w:multiLevelType w:val="hybridMultilevel"/>
    <w:tmpl w:val="FFCCD848"/>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5" w15:restartNumberingAfterBreak="0">
    <w:nsid w:val="0C914E29"/>
    <w:multiLevelType w:val="hybridMultilevel"/>
    <w:tmpl w:val="8130B1C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0C972FAA"/>
    <w:multiLevelType w:val="multilevel"/>
    <w:tmpl w:val="736ECFBA"/>
    <w:numStyleLink w:val="ListTableNumber"/>
  </w:abstractNum>
  <w:abstractNum w:abstractNumId="7" w15:restartNumberingAfterBreak="0">
    <w:nsid w:val="0CCD4DAA"/>
    <w:multiLevelType w:val="multilevel"/>
    <w:tmpl w:val="F78A1DCA"/>
    <w:styleLink w:val="ListTableBullet"/>
    <w:lvl w:ilvl="0">
      <w:start w:val="1"/>
      <w:numFmt w:val="bullet"/>
      <w:lvlText w:val=""/>
      <w:lvlJc w:val="left"/>
      <w:pPr>
        <w:tabs>
          <w:tab w:val="num" w:pos="397"/>
        </w:tabs>
        <w:ind w:left="397" w:hanging="284"/>
      </w:pPr>
      <w:rPr>
        <w:rFonts w:ascii="Symbol" w:hAnsi="Symbol" w:hint="default"/>
        <w:color w:val="auto"/>
        <w:sz w:val="18"/>
      </w:rPr>
    </w:lvl>
    <w:lvl w:ilvl="1">
      <w:start w:val="1"/>
      <w:numFmt w:val="bullet"/>
      <w:pStyle w:val="TableBullet"/>
      <w:lvlText w:val="–"/>
      <w:lvlJc w:val="left"/>
      <w:pPr>
        <w:tabs>
          <w:tab w:val="num" w:pos="680"/>
        </w:tabs>
        <w:ind w:left="680" w:hanging="283"/>
      </w:pPr>
      <w:rPr>
        <w:rFonts w:ascii="Arial" w:hAnsi="Arial" w:hint="default"/>
        <w:color w:val="auto"/>
        <w:sz w:val="18"/>
      </w:rPr>
    </w:lvl>
    <w:lvl w:ilvl="2">
      <w:start w:val="1"/>
      <w:numFmt w:val="none"/>
      <w:lvlText w:val=""/>
      <w:lvlJc w:val="left"/>
      <w:pPr>
        <w:tabs>
          <w:tab w:val="num" w:pos="-31680"/>
        </w:tabs>
        <w:ind w:left="-32767" w:firstLine="0"/>
      </w:pPr>
      <w:rPr>
        <w:rFonts w:hint="default"/>
        <w:color w:val="000000"/>
      </w:rPr>
    </w:lvl>
    <w:lvl w:ilvl="3">
      <w:start w:val="1"/>
      <w:numFmt w:val="none"/>
      <w:lvlText w:val="%4"/>
      <w:lvlJc w:val="left"/>
      <w:pPr>
        <w:tabs>
          <w:tab w:val="num" w:pos="-31680"/>
        </w:tabs>
        <w:ind w:left="-32767" w:firstLine="0"/>
      </w:pPr>
      <w:rPr>
        <w:rFonts w:hint="default"/>
      </w:rPr>
    </w:lvl>
    <w:lvl w:ilvl="4">
      <w:start w:val="1"/>
      <w:numFmt w:val="none"/>
      <w:lvlText w:val=""/>
      <w:lvlJc w:val="left"/>
      <w:pPr>
        <w:tabs>
          <w:tab w:val="num" w:pos="-31680"/>
        </w:tabs>
        <w:ind w:left="-32767" w:firstLine="0"/>
      </w:pPr>
      <w:rPr>
        <w:rFonts w:hint="default"/>
        <w:color w:val="000000"/>
      </w:rPr>
    </w:lvl>
    <w:lvl w:ilvl="5">
      <w:start w:val="1"/>
      <w:numFmt w:val="none"/>
      <w:lvlText w:val=""/>
      <w:lvlJc w:val="left"/>
      <w:pPr>
        <w:tabs>
          <w:tab w:val="num" w:pos="-31680"/>
        </w:tabs>
        <w:ind w:left="-32767" w:firstLine="0"/>
      </w:pPr>
      <w:rPr>
        <w:rFonts w:hint="default"/>
      </w:rPr>
    </w:lvl>
    <w:lvl w:ilvl="6">
      <w:start w:val="1"/>
      <w:numFmt w:val="none"/>
      <w:lvlText w:val=""/>
      <w:lvlJc w:val="left"/>
      <w:pPr>
        <w:tabs>
          <w:tab w:val="num" w:pos="-31680"/>
        </w:tabs>
        <w:ind w:left="-32767" w:firstLine="0"/>
      </w:pPr>
      <w:rPr>
        <w:rFonts w:hint="default"/>
        <w:color w:val="000000"/>
      </w:rPr>
    </w:lvl>
    <w:lvl w:ilvl="7">
      <w:start w:val="1"/>
      <w:numFmt w:val="none"/>
      <w:lvlText w:val="%8"/>
      <w:lvlJc w:val="left"/>
      <w:pPr>
        <w:tabs>
          <w:tab w:val="num" w:pos="-31680"/>
        </w:tabs>
        <w:ind w:left="-32767" w:firstLine="0"/>
      </w:pPr>
      <w:rPr>
        <w:rFonts w:hint="default"/>
      </w:rPr>
    </w:lvl>
    <w:lvl w:ilvl="8">
      <w:start w:val="1"/>
      <w:numFmt w:val="none"/>
      <w:lvlText w:val=""/>
      <w:lvlJc w:val="left"/>
      <w:pPr>
        <w:tabs>
          <w:tab w:val="num" w:pos="-31680"/>
        </w:tabs>
        <w:ind w:left="-32767" w:firstLine="0"/>
      </w:pPr>
      <w:rPr>
        <w:rFonts w:hint="default"/>
        <w:color w:val="000000"/>
      </w:rPr>
    </w:lvl>
  </w:abstractNum>
  <w:abstractNum w:abstractNumId="8" w15:restartNumberingAfterBreak="0">
    <w:nsid w:val="0DA81FBC"/>
    <w:multiLevelType w:val="hybridMultilevel"/>
    <w:tmpl w:val="319C9C68"/>
    <w:lvl w:ilvl="0" w:tplc="0C090001">
      <w:start w:val="1"/>
      <w:numFmt w:val="bullet"/>
      <w:lvlText w:val=""/>
      <w:lvlJc w:val="left"/>
      <w:pPr>
        <w:ind w:left="924" w:hanging="360"/>
      </w:pPr>
      <w:rPr>
        <w:rFonts w:ascii="Symbol" w:hAnsi="Symbol" w:hint="default"/>
      </w:rPr>
    </w:lvl>
    <w:lvl w:ilvl="1" w:tplc="0C090003" w:tentative="1">
      <w:start w:val="1"/>
      <w:numFmt w:val="bullet"/>
      <w:lvlText w:val="o"/>
      <w:lvlJc w:val="left"/>
      <w:pPr>
        <w:ind w:left="1644" w:hanging="360"/>
      </w:pPr>
      <w:rPr>
        <w:rFonts w:ascii="Courier New" w:hAnsi="Courier New" w:cs="Courier New" w:hint="default"/>
      </w:rPr>
    </w:lvl>
    <w:lvl w:ilvl="2" w:tplc="0C090005" w:tentative="1">
      <w:start w:val="1"/>
      <w:numFmt w:val="bullet"/>
      <w:lvlText w:val=""/>
      <w:lvlJc w:val="left"/>
      <w:pPr>
        <w:ind w:left="2364" w:hanging="360"/>
      </w:pPr>
      <w:rPr>
        <w:rFonts w:ascii="Wingdings" w:hAnsi="Wingdings" w:hint="default"/>
      </w:rPr>
    </w:lvl>
    <w:lvl w:ilvl="3" w:tplc="0C090001" w:tentative="1">
      <w:start w:val="1"/>
      <w:numFmt w:val="bullet"/>
      <w:lvlText w:val=""/>
      <w:lvlJc w:val="left"/>
      <w:pPr>
        <w:ind w:left="3084" w:hanging="360"/>
      </w:pPr>
      <w:rPr>
        <w:rFonts w:ascii="Symbol" w:hAnsi="Symbol" w:hint="default"/>
      </w:rPr>
    </w:lvl>
    <w:lvl w:ilvl="4" w:tplc="0C090003" w:tentative="1">
      <w:start w:val="1"/>
      <w:numFmt w:val="bullet"/>
      <w:lvlText w:val="o"/>
      <w:lvlJc w:val="left"/>
      <w:pPr>
        <w:ind w:left="3804" w:hanging="360"/>
      </w:pPr>
      <w:rPr>
        <w:rFonts w:ascii="Courier New" w:hAnsi="Courier New" w:cs="Courier New" w:hint="default"/>
      </w:rPr>
    </w:lvl>
    <w:lvl w:ilvl="5" w:tplc="0C090005" w:tentative="1">
      <w:start w:val="1"/>
      <w:numFmt w:val="bullet"/>
      <w:lvlText w:val=""/>
      <w:lvlJc w:val="left"/>
      <w:pPr>
        <w:ind w:left="4524" w:hanging="360"/>
      </w:pPr>
      <w:rPr>
        <w:rFonts w:ascii="Wingdings" w:hAnsi="Wingdings" w:hint="default"/>
      </w:rPr>
    </w:lvl>
    <w:lvl w:ilvl="6" w:tplc="0C090001" w:tentative="1">
      <w:start w:val="1"/>
      <w:numFmt w:val="bullet"/>
      <w:lvlText w:val=""/>
      <w:lvlJc w:val="left"/>
      <w:pPr>
        <w:ind w:left="5244" w:hanging="360"/>
      </w:pPr>
      <w:rPr>
        <w:rFonts w:ascii="Symbol" w:hAnsi="Symbol" w:hint="default"/>
      </w:rPr>
    </w:lvl>
    <w:lvl w:ilvl="7" w:tplc="0C090003" w:tentative="1">
      <w:start w:val="1"/>
      <w:numFmt w:val="bullet"/>
      <w:lvlText w:val="o"/>
      <w:lvlJc w:val="left"/>
      <w:pPr>
        <w:ind w:left="5964" w:hanging="360"/>
      </w:pPr>
      <w:rPr>
        <w:rFonts w:ascii="Courier New" w:hAnsi="Courier New" w:cs="Courier New" w:hint="default"/>
      </w:rPr>
    </w:lvl>
    <w:lvl w:ilvl="8" w:tplc="0C090005" w:tentative="1">
      <w:start w:val="1"/>
      <w:numFmt w:val="bullet"/>
      <w:lvlText w:val=""/>
      <w:lvlJc w:val="left"/>
      <w:pPr>
        <w:ind w:left="6684" w:hanging="360"/>
      </w:pPr>
      <w:rPr>
        <w:rFonts w:ascii="Wingdings" w:hAnsi="Wingdings" w:hint="default"/>
      </w:rPr>
    </w:lvl>
  </w:abstractNum>
  <w:abstractNum w:abstractNumId="9" w15:restartNumberingAfterBreak="0">
    <w:nsid w:val="0E0C0A52"/>
    <w:multiLevelType w:val="hybridMultilevel"/>
    <w:tmpl w:val="5EF44C4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0F85190C"/>
    <w:multiLevelType w:val="hybridMultilevel"/>
    <w:tmpl w:val="242292D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0FB97078"/>
    <w:multiLevelType w:val="multilevel"/>
    <w:tmpl w:val="8D5C9A34"/>
    <w:styleLink w:val="ListChapter"/>
    <w:lvl w:ilvl="0">
      <w:start w:val="1"/>
      <w:numFmt w:val="cardinalText"/>
      <w:suff w:val="nothing"/>
      <w:lvlText w:val="Chapter %1"/>
      <w:lvlJc w:val="left"/>
      <w:pPr>
        <w:ind w:left="0" w:firstLine="0"/>
      </w:pPr>
      <w:rPr>
        <w:rFonts w:hint="default"/>
      </w:rPr>
    </w:lvl>
    <w:lvl w:ilvl="1">
      <w:start w:val="1"/>
      <w:numFmt w:val="none"/>
      <w:suff w:val="nothing"/>
      <w:lvlText w:val=""/>
      <w:lvlJc w:val="left"/>
      <w:pPr>
        <w:ind w:left="0" w:hanging="32766"/>
      </w:pPr>
      <w:rPr>
        <w:rFonts w:hint="default"/>
      </w:rPr>
    </w:lvl>
    <w:lvl w:ilvl="2">
      <w:start w:val="1"/>
      <w:numFmt w:val="none"/>
      <w:suff w:val="nothing"/>
      <w:lvlText w:val=""/>
      <w:lvlJc w:val="left"/>
      <w:pPr>
        <w:ind w:left="0" w:firstLine="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12" w15:restartNumberingAfterBreak="0">
    <w:nsid w:val="12E87811"/>
    <w:multiLevelType w:val="hybridMultilevel"/>
    <w:tmpl w:val="D2989ED4"/>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3" w15:restartNumberingAfterBreak="0">
    <w:nsid w:val="13415D3B"/>
    <w:multiLevelType w:val="hybridMultilevel"/>
    <w:tmpl w:val="D90A0EE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14A83772"/>
    <w:multiLevelType w:val="hybridMultilevel"/>
    <w:tmpl w:val="A352333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173335E0"/>
    <w:multiLevelType w:val="hybridMultilevel"/>
    <w:tmpl w:val="55CE22E2"/>
    <w:lvl w:ilvl="0" w:tplc="6060A17E">
      <w:start w:val="1"/>
      <w:numFmt w:val="bullet"/>
      <w:lvlText w:val=""/>
      <w:lvlJc w:val="left"/>
      <w:pPr>
        <w:ind w:left="851" w:hanging="426"/>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6" w15:restartNumberingAfterBreak="0">
    <w:nsid w:val="17C17FFB"/>
    <w:multiLevelType w:val="hybridMultilevel"/>
    <w:tmpl w:val="3730BE3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186A454F"/>
    <w:multiLevelType w:val="hybridMultilevel"/>
    <w:tmpl w:val="6BCE5B5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1A852901"/>
    <w:multiLevelType w:val="hybridMultilevel"/>
    <w:tmpl w:val="69067EA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1B97259B"/>
    <w:multiLevelType w:val="hybridMultilevel"/>
    <w:tmpl w:val="A9D26A7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1F62256E"/>
    <w:multiLevelType w:val="hybridMultilevel"/>
    <w:tmpl w:val="8C263994"/>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1" w15:restartNumberingAfterBreak="0">
    <w:nsid w:val="21AD1E4C"/>
    <w:multiLevelType w:val="hybridMultilevel"/>
    <w:tmpl w:val="0C845E4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24741D40"/>
    <w:multiLevelType w:val="multilevel"/>
    <w:tmpl w:val="BE1CBCF8"/>
    <w:styleLink w:val="ListNumber"/>
    <w:lvl w:ilvl="0">
      <w:start w:val="1"/>
      <w:numFmt w:val="decimal"/>
      <w:pStyle w:val="ListNumber0"/>
      <w:lvlText w:val="%1."/>
      <w:lvlJc w:val="left"/>
      <w:pPr>
        <w:tabs>
          <w:tab w:val="num" w:pos="425"/>
        </w:tabs>
        <w:ind w:left="425" w:hanging="425"/>
      </w:pPr>
      <w:rPr>
        <w:rFonts w:asciiTheme="minorHAnsi" w:hAnsiTheme="minorHAnsi" w:hint="default"/>
        <w:b w:val="0"/>
        <w:i w:val="0"/>
        <w:caps w:val="0"/>
        <w:strike w:val="0"/>
        <w:dstrike w:val="0"/>
        <w:vanish w:val="0"/>
        <w:color w:val="auto"/>
        <w:sz w:val="18"/>
        <w:vertAlign w:val="baseline"/>
        <w14:shadow w14:blurRad="0" w14:dist="0" w14:dir="0" w14:sx="0" w14:sy="0" w14:kx="0" w14:ky="0" w14:algn="none">
          <w14:srgbClr w14:val="000000"/>
        </w14:shadow>
        <w14:textOutline w14:w="0" w14:cap="rnd" w14:cmpd="sng" w14:algn="ctr">
          <w14:noFill/>
          <w14:prstDash w14:val="solid"/>
          <w14:bevel/>
        </w14:textOutline>
      </w:rPr>
    </w:lvl>
    <w:lvl w:ilvl="1">
      <w:start w:val="1"/>
      <w:numFmt w:val="lowerLetter"/>
      <w:pStyle w:val="ListNumber2"/>
      <w:lvlText w:val="%2."/>
      <w:lvlJc w:val="left"/>
      <w:pPr>
        <w:tabs>
          <w:tab w:val="num" w:pos="850"/>
        </w:tabs>
        <w:ind w:left="850" w:hanging="425"/>
      </w:pPr>
      <w:rPr>
        <w:rFonts w:asciiTheme="minorHAnsi" w:hAnsiTheme="minorHAnsi" w:hint="default"/>
        <w:b w:val="0"/>
        <w:i w:val="0"/>
        <w:color w:val="auto"/>
        <w:sz w:val="18"/>
      </w:rPr>
    </w:lvl>
    <w:lvl w:ilvl="2">
      <w:start w:val="1"/>
      <w:numFmt w:val="lowerRoman"/>
      <w:pStyle w:val="ListNumber3"/>
      <w:lvlText w:val="%3."/>
      <w:lvlJc w:val="left"/>
      <w:pPr>
        <w:tabs>
          <w:tab w:val="num" w:pos="1275"/>
        </w:tabs>
        <w:ind w:left="1275" w:hanging="425"/>
      </w:pPr>
      <w:rPr>
        <w:rFonts w:asciiTheme="minorHAnsi" w:hAnsiTheme="minorHAnsi" w:hint="default"/>
        <w:b w:val="0"/>
        <w:i w:val="0"/>
        <w:color w:val="auto"/>
        <w:sz w:val="18"/>
      </w:rPr>
    </w:lvl>
    <w:lvl w:ilvl="3">
      <w:start w:val="1"/>
      <w:numFmt w:val="upperLetter"/>
      <w:pStyle w:val="ListNumber4"/>
      <w:lvlText w:val="%4."/>
      <w:lvlJc w:val="left"/>
      <w:pPr>
        <w:tabs>
          <w:tab w:val="num" w:pos="1700"/>
        </w:tabs>
        <w:ind w:left="1700" w:hanging="425"/>
      </w:pPr>
      <w:rPr>
        <w:rFonts w:asciiTheme="minorHAnsi" w:hAnsiTheme="minorHAnsi" w:hint="default"/>
        <w:b w:val="0"/>
        <w:i w:val="0"/>
        <w:color w:val="auto"/>
        <w:sz w:val="18"/>
      </w:rPr>
    </w:lvl>
    <w:lvl w:ilvl="4">
      <w:start w:val="1"/>
      <w:numFmt w:val="upperRoman"/>
      <w:pStyle w:val="ListNumber5"/>
      <w:lvlText w:val="%5."/>
      <w:lvlJc w:val="left"/>
      <w:pPr>
        <w:tabs>
          <w:tab w:val="num" w:pos="2125"/>
        </w:tabs>
        <w:ind w:left="2125" w:hanging="425"/>
      </w:pPr>
      <w:rPr>
        <w:rFonts w:asciiTheme="minorHAnsi" w:hAnsiTheme="minorHAnsi" w:hint="default"/>
        <w:b w:val="0"/>
        <w:i w:val="0"/>
        <w:color w:val="auto"/>
        <w:sz w:val="18"/>
      </w:rPr>
    </w:lvl>
    <w:lvl w:ilvl="5">
      <w:start w:val="1"/>
      <w:numFmt w:val="decimal"/>
      <w:pStyle w:val="ListNumber6"/>
      <w:lvlText w:val="%6."/>
      <w:lvlJc w:val="left"/>
      <w:pPr>
        <w:tabs>
          <w:tab w:val="num" w:pos="2550"/>
        </w:tabs>
        <w:ind w:left="2550" w:hanging="425"/>
      </w:pPr>
      <w:rPr>
        <w:rFonts w:asciiTheme="minorHAnsi" w:hAnsiTheme="minorHAnsi" w:hint="default"/>
        <w:b w:val="0"/>
        <w:i w:val="0"/>
        <w:color w:val="auto"/>
        <w:sz w:val="18"/>
      </w:rPr>
    </w:lvl>
    <w:lvl w:ilvl="6">
      <w:start w:val="1"/>
      <w:numFmt w:val="none"/>
      <w:suff w:val="nothing"/>
      <w:lvlText w:val="%7"/>
      <w:lvlJc w:val="left"/>
      <w:pPr>
        <w:ind w:left="2975" w:hanging="425"/>
      </w:pPr>
      <w:rPr>
        <w:rFonts w:hint="default"/>
        <w:color w:val="E1001A"/>
      </w:rPr>
    </w:lvl>
    <w:lvl w:ilvl="7">
      <w:start w:val="1"/>
      <w:numFmt w:val="none"/>
      <w:suff w:val="nothing"/>
      <w:lvlText w:val="%8"/>
      <w:lvlJc w:val="left"/>
      <w:pPr>
        <w:ind w:left="3400" w:hanging="425"/>
      </w:pPr>
      <w:rPr>
        <w:rFonts w:hint="default"/>
        <w:color w:val="E1001A"/>
        <w:sz w:val="20"/>
      </w:rPr>
    </w:lvl>
    <w:lvl w:ilvl="8">
      <w:start w:val="1"/>
      <w:numFmt w:val="none"/>
      <w:suff w:val="nothing"/>
      <w:lvlText w:val="%9"/>
      <w:lvlJc w:val="left"/>
      <w:pPr>
        <w:ind w:left="3825" w:hanging="425"/>
      </w:pPr>
      <w:rPr>
        <w:rFonts w:hint="default"/>
        <w:color w:val="E1001A"/>
      </w:rPr>
    </w:lvl>
  </w:abstractNum>
  <w:abstractNum w:abstractNumId="23" w15:restartNumberingAfterBreak="0">
    <w:nsid w:val="256F418F"/>
    <w:multiLevelType w:val="hybridMultilevel"/>
    <w:tmpl w:val="9302423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265D02E4"/>
    <w:multiLevelType w:val="hybridMultilevel"/>
    <w:tmpl w:val="4696715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27BE6614"/>
    <w:multiLevelType w:val="hybridMultilevel"/>
    <w:tmpl w:val="9822CEA6"/>
    <w:lvl w:ilvl="0" w:tplc="0C090001">
      <w:start w:val="1"/>
      <w:numFmt w:val="bullet"/>
      <w:lvlText w:val=""/>
      <w:lvlJc w:val="left"/>
      <w:pPr>
        <w:ind w:left="765" w:hanging="360"/>
      </w:pPr>
      <w:rPr>
        <w:rFonts w:ascii="Symbol" w:hAnsi="Symbol" w:hint="default"/>
      </w:rPr>
    </w:lvl>
    <w:lvl w:ilvl="1" w:tplc="0C090003" w:tentative="1">
      <w:start w:val="1"/>
      <w:numFmt w:val="bullet"/>
      <w:lvlText w:val="o"/>
      <w:lvlJc w:val="left"/>
      <w:pPr>
        <w:ind w:left="1485" w:hanging="360"/>
      </w:pPr>
      <w:rPr>
        <w:rFonts w:ascii="Courier New" w:hAnsi="Courier New" w:cs="Courier New" w:hint="default"/>
      </w:rPr>
    </w:lvl>
    <w:lvl w:ilvl="2" w:tplc="0C090005" w:tentative="1">
      <w:start w:val="1"/>
      <w:numFmt w:val="bullet"/>
      <w:lvlText w:val=""/>
      <w:lvlJc w:val="left"/>
      <w:pPr>
        <w:ind w:left="2205" w:hanging="360"/>
      </w:pPr>
      <w:rPr>
        <w:rFonts w:ascii="Wingdings" w:hAnsi="Wingdings" w:hint="default"/>
      </w:rPr>
    </w:lvl>
    <w:lvl w:ilvl="3" w:tplc="0C090001" w:tentative="1">
      <w:start w:val="1"/>
      <w:numFmt w:val="bullet"/>
      <w:lvlText w:val=""/>
      <w:lvlJc w:val="left"/>
      <w:pPr>
        <w:ind w:left="2925" w:hanging="360"/>
      </w:pPr>
      <w:rPr>
        <w:rFonts w:ascii="Symbol" w:hAnsi="Symbol" w:hint="default"/>
      </w:rPr>
    </w:lvl>
    <w:lvl w:ilvl="4" w:tplc="0C090003" w:tentative="1">
      <w:start w:val="1"/>
      <w:numFmt w:val="bullet"/>
      <w:lvlText w:val="o"/>
      <w:lvlJc w:val="left"/>
      <w:pPr>
        <w:ind w:left="3645" w:hanging="360"/>
      </w:pPr>
      <w:rPr>
        <w:rFonts w:ascii="Courier New" w:hAnsi="Courier New" w:cs="Courier New" w:hint="default"/>
      </w:rPr>
    </w:lvl>
    <w:lvl w:ilvl="5" w:tplc="0C090005" w:tentative="1">
      <w:start w:val="1"/>
      <w:numFmt w:val="bullet"/>
      <w:lvlText w:val=""/>
      <w:lvlJc w:val="left"/>
      <w:pPr>
        <w:ind w:left="4365" w:hanging="360"/>
      </w:pPr>
      <w:rPr>
        <w:rFonts w:ascii="Wingdings" w:hAnsi="Wingdings" w:hint="default"/>
      </w:rPr>
    </w:lvl>
    <w:lvl w:ilvl="6" w:tplc="0C090001" w:tentative="1">
      <w:start w:val="1"/>
      <w:numFmt w:val="bullet"/>
      <w:lvlText w:val=""/>
      <w:lvlJc w:val="left"/>
      <w:pPr>
        <w:ind w:left="5085" w:hanging="360"/>
      </w:pPr>
      <w:rPr>
        <w:rFonts w:ascii="Symbol" w:hAnsi="Symbol" w:hint="default"/>
      </w:rPr>
    </w:lvl>
    <w:lvl w:ilvl="7" w:tplc="0C090003" w:tentative="1">
      <w:start w:val="1"/>
      <w:numFmt w:val="bullet"/>
      <w:lvlText w:val="o"/>
      <w:lvlJc w:val="left"/>
      <w:pPr>
        <w:ind w:left="5805" w:hanging="360"/>
      </w:pPr>
      <w:rPr>
        <w:rFonts w:ascii="Courier New" w:hAnsi="Courier New" w:cs="Courier New" w:hint="default"/>
      </w:rPr>
    </w:lvl>
    <w:lvl w:ilvl="8" w:tplc="0C090005" w:tentative="1">
      <w:start w:val="1"/>
      <w:numFmt w:val="bullet"/>
      <w:lvlText w:val=""/>
      <w:lvlJc w:val="left"/>
      <w:pPr>
        <w:ind w:left="6525" w:hanging="360"/>
      </w:pPr>
      <w:rPr>
        <w:rFonts w:ascii="Wingdings" w:hAnsi="Wingdings" w:hint="default"/>
      </w:rPr>
    </w:lvl>
  </w:abstractNum>
  <w:abstractNum w:abstractNumId="26" w15:restartNumberingAfterBreak="0">
    <w:nsid w:val="29002287"/>
    <w:multiLevelType w:val="hybridMultilevel"/>
    <w:tmpl w:val="973201A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2D9D2D39"/>
    <w:multiLevelType w:val="multilevel"/>
    <w:tmpl w:val="8456735C"/>
    <w:numStyleLink w:val="Bulletcustom"/>
  </w:abstractNum>
  <w:abstractNum w:abstractNumId="28" w15:restartNumberingAfterBreak="0">
    <w:nsid w:val="2DB227E6"/>
    <w:multiLevelType w:val="hybridMultilevel"/>
    <w:tmpl w:val="71CAD4A0"/>
    <w:lvl w:ilvl="0" w:tplc="97005E9A">
      <w:numFmt w:val="none"/>
      <w:lvlText w:val=""/>
      <w:lvlJc w:val="left"/>
      <w:pPr>
        <w:tabs>
          <w:tab w:val="num" w:pos="360"/>
        </w:tabs>
      </w:pPr>
    </w:lvl>
    <w:lvl w:ilvl="1" w:tplc="94BA46E8">
      <w:start w:val="1"/>
      <w:numFmt w:val="lowerLetter"/>
      <w:pStyle w:val="BodyText2"/>
      <w:lvlText w:val="%2."/>
      <w:lvlJc w:val="left"/>
      <w:pPr>
        <w:ind w:left="1440" w:hanging="360"/>
      </w:pPr>
    </w:lvl>
    <w:lvl w:ilvl="2" w:tplc="8CAE6CA4">
      <w:start w:val="1"/>
      <w:numFmt w:val="lowerRoman"/>
      <w:pStyle w:val="BodyText3"/>
      <w:lvlText w:val="%3."/>
      <w:lvlJc w:val="right"/>
      <w:pPr>
        <w:ind w:left="2160" w:hanging="180"/>
      </w:pPr>
    </w:lvl>
    <w:lvl w:ilvl="3" w:tplc="383CD00A">
      <w:start w:val="1"/>
      <w:numFmt w:val="decimal"/>
      <w:pStyle w:val="BodyText4"/>
      <w:lvlText w:val="%4."/>
      <w:lvlJc w:val="left"/>
      <w:pPr>
        <w:ind w:left="2880" w:hanging="360"/>
      </w:pPr>
    </w:lvl>
    <w:lvl w:ilvl="4" w:tplc="BBD0B658">
      <w:start w:val="1"/>
      <w:numFmt w:val="lowerLetter"/>
      <w:pStyle w:val="BodyText5"/>
      <w:lvlText w:val="%5."/>
      <w:lvlJc w:val="left"/>
      <w:pPr>
        <w:ind w:left="3600" w:hanging="360"/>
      </w:pPr>
    </w:lvl>
    <w:lvl w:ilvl="5" w:tplc="BE28BF1E">
      <w:start w:val="1"/>
      <w:numFmt w:val="lowerRoman"/>
      <w:pStyle w:val="BodyText6"/>
      <w:lvlText w:val="%6."/>
      <w:lvlJc w:val="right"/>
      <w:pPr>
        <w:ind w:left="4320" w:hanging="180"/>
      </w:pPr>
    </w:lvl>
    <w:lvl w:ilvl="6" w:tplc="9CE46896">
      <w:start w:val="1"/>
      <w:numFmt w:val="decimal"/>
      <w:lvlText w:val="%7."/>
      <w:lvlJc w:val="left"/>
      <w:pPr>
        <w:ind w:left="5040" w:hanging="360"/>
      </w:pPr>
    </w:lvl>
    <w:lvl w:ilvl="7" w:tplc="C4F8F570">
      <w:start w:val="1"/>
      <w:numFmt w:val="lowerLetter"/>
      <w:lvlText w:val="%8."/>
      <w:lvlJc w:val="left"/>
      <w:pPr>
        <w:ind w:left="5760" w:hanging="360"/>
      </w:pPr>
    </w:lvl>
    <w:lvl w:ilvl="8" w:tplc="7090CFBC">
      <w:start w:val="1"/>
      <w:numFmt w:val="lowerRoman"/>
      <w:lvlText w:val="%9."/>
      <w:lvlJc w:val="right"/>
      <w:pPr>
        <w:ind w:left="6480" w:hanging="180"/>
      </w:pPr>
    </w:lvl>
  </w:abstractNum>
  <w:abstractNum w:abstractNumId="29" w15:restartNumberingAfterBreak="0">
    <w:nsid w:val="2DF269B3"/>
    <w:multiLevelType w:val="hybridMultilevel"/>
    <w:tmpl w:val="91F6388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15:restartNumberingAfterBreak="0">
    <w:nsid w:val="2DF6634E"/>
    <w:multiLevelType w:val="hybridMultilevel"/>
    <w:tmpl w:val="B2B2CC8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31373A24"/>
    <w:multiLevelType w:val="hybridMultilevel"/>
    <w:tmpl w:val="2454346A"/>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2" w15:restartNumberingAfterBreak="0">
    <w:nsid w:val="31956E3A"/>
    <w:multiLevelType w:val="hybridMultilevel"/>
    <w:tmpl w:val="EB10625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3" w15:restartNumberingAfterBreak="0">
    <w:nsid w:val="32C32F49"/>
    <w:multiLevelType w:val="hybridMultilevel"/>
    <w:tmpl w:val="629A055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353912ED"/>
    <w:multiLevelType w:val="multilevel"/>
    <w:tmpl w:val="BE1CCB26"/>
    <w:styleLink w:val="ListBullet"/>
    <w:lvl w:ilvl="0">
      <w:start w:val="1"/>
      <w:numFmt w:val="bullet"/>
      <w:lvlText w:val=""/>
      <w:lvlJc w:val="left"/>
      <w:pPr>
        <w:tabs>
          <w:tab w:val="num" w:pos="425"/>
        </w:tabs>
        <w:ind w:left="425" w:hanging="425"/>
      </w:pPr>
      <w:rPr>
        <w:rFonts w:ascii="Symbol" w:hAnsi="Symbol" w:hint="default"/>
        <w:b w:val="0"/>
        <w:i w:val="0"/>
        <w:color w:val="auto"/>
        <w:sz w:val="18"/>
        <w:szCs w:val="20"/>
      </w:rPr>
    </w:lvl>
    <w:lvl w:ilvl="1">
      <w:start w:val="1"/>
      <w:numFmt w:val="bullet"/>
      <w:lvlText w:val="–"/>
      <w:lvlJc w:val="left"/>
      <w:pPr>
        <w:tabs>
          <w:tab w:val="num" w:pos="850"/>
        </w:tabs>
        <w:ind w:left="850" w:hanging="425"/>
      </w:pPr>
      <w:rPr>
        <w:rFonts w:asciiTheme="minorHAnsi" w:hAnsiTheme="minorHAnsi" w:hint="default"/>
        <w:caps w:val="0"/>
        <w:strike w:val="0"/>
        <w:dstrike w:val="0"/>
        <w:vanish w:val="0"/>
        <w:color w:val="auto"/>
        <w:sz w:val="18"/>
        <w:u w:val="none"/>
        <w:vertAlign w:val="baseline"/>
      </w:rPr>
    </w:lvl>
    <w:lvl w:ilvl="2">
      <w:start w:val="1"/>
      <w:numFmt w:val="bullet"/>
      <w:lvlText w:val=""/>
      <w:lvlJc w:val="left"/>
      <w:pPr>
        <w:tabs>
          <w:tab w:val="num" w:pos="1275"/>
        </w:tabs>
        <w:ind w:left="1275" w:hanging="425"/>
      </w:pPr>
      <w:rPr>
        <w:rFonts w:ascii="Symbol" w:hAnsi="Symbol" w:hint="default"/>
        <w:color w:val="auto"/>
        <w:sz w:val="18"/>
      </w:rPr>
    </w:lvl>
    <w:lvl w:ilvl="3">
      <w:start w:val="1"/>
      <w:numFmt w:val="bullet"/>
      <w:lvlText w:val="–"/>
      <w:lvlJc w:val="left"/>
      <w:pPr>
        <w:tabs>
          <w:tab w:val="num" w:pos="1700"/>
        </w:tabs>
        <w:ind w:left="1700" w:hanging="425"/>
      </w:pPr>
      <w:rPr>
        <w:rFonts w:asciiTheme="minorHAnsi" w:hAnsiTheme="minorHAnsi" w:hint="default"/>
        <w:caps w:val="0"/>
        <w:strike w:val="0"/>
        <w:dstrike w:val="0"/>
        <w:vanish w:val="0"/>
        <w:color w:val="auto"/>
        <w:sz w:val="18"/>
        <w:u w:val="none"/>
        <w:vertAlign w:val="baseline"/>
      </w:rPr>
    </w:lvl>
    <w:lvl w:ilvl="4">
      <w:start w:val="1"/>
      <w:numFmt w:val="bullet"/>
      <w:lvlText w:val=""/>
      <w:lvlJc w:val="left"/>
      <w:pPr>
        <w:tabs>
          <w:tab w:val="num" w:pos="2125"/>
        </w:tabs>
        <w:ind w:left="2125" w:hanging="425"/>
      </w:pPr>
      <w:rPr>
        <w:rFonts w:ascii="Symbol" w:hAnsi="Symbol" w:hint="default"/>
        <w:color w:val="auto"/>
        <w:sz w:val="18"/>
      </w:rPr>
    </w:lvl>
    <w:lvl w:ilvl="5">
      <w:start w:val="1"/>
      <w:numFmt w:val="bullet"/>
      <w:lvlText w:val="–"/>
      <w:lvlJc w:val="left"/>
      <w:pPr>
        <w:tabs>
          <w:tab w:val="num" w:pos="2550"/>
        </w:tabs>
        <w:ind w:left="2550" w:hanging="425"/>
      </w:pPr>
      <w:rPr>
        <w:rFonts w:asciiTheme="minorHAnsi" w:hAnsiTheme="minorHAnsi" w:cs="Times New Roman" w:hint="default"/>
        <w:caps w:val="0"/>
        <w:strike w:val="0"/>
        <w:dstrike w:val="0"/>
        <w:vanish w:val="0"/>
        <w:color w:val="auto"/>
        <w:sz w:val="18"/>
        <w:u w:val="none"/>
        <w:vertAlign w:val="baseline"/>
      </w:rPr>
    </w:lvl>
    <w:lvl w:ilvl="6">
      <w:start w:val="1"/>
      <w:numFmt w:val="none"/>
      <w:suff w:val="nothing"/>
      <w:lvlText w:val=""/>
      <w:lvlJc w:val="left"/>
      <w:pPr>
        <w:ind w:left="2975" w:hanging="425"/>
      </w:pPr>
      <w:rPr>
        <w:rFonts w:hint="default"/>
        <w:color w:val="auto"/>
        <w:sz w:val="20"/>
      </w:rPr>
    </w:lvl>
    <w:lvl w:ilvl="7">
      <w:start w:val="1"/>
      <w:numFmt w:val="none"/>
      <w:suff w:val="nothing"/>
      <w:lvlText w:val="%8"/>
      <w:lvlJc w:val="left"/>
      <w:pPr>
        <w:ind w:left="3400" w:hanging="425"/>
      </w:pPr>
      <w:rPr>
        <w:rFonts w:hint="default"/>
        <w:color w:val="000000"/>
        <w:sz w:val="20"/>
      </w:rPr>
    </w:lvl>
    <w:lvl w:ilvl="8">
      <w:start w:val="1"/>
      <w:numFmt w:val="none"/>
      <w:suff w:val="nothing"/>
      <w:lvlText w:val=""/>
      <w:lvlJc w:val="left"/>
      <w:pPr>
        <w:ind w:left="3825" w:hanging="425"/>
      </w:pPr>
      <w:rPr>
        <w:rFonts w:hint="default"/>
      </w:rPr>
    </w:lvl>
  </w:abstractNum>
  <w:abstractNum w:abstractNumId="35" w15:restartNumberingAfterBreak="0">
    <w:nsid w:val="355256FE"/>
    <w:multiLevelType w:val="hybridMultilevel"/>
    <w:tmpl w:val="FEF8F928"/>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6" w15:restartNumberingAfterBreak="0">
    <w:nsid w:val="3747513F"/>
    <w:multiLevelType w:val="hybridMultilevel"/>
    <w:tmpl w:val="366E8A3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7" w15:restartNumberingAfterBreak="0">
    <w:nsid w:val="376F6C27"/>
    <w:multiLevelType w:val="multilevel"/>
    <w:tmpl w:val="71322EF0"/>
    <w:styleLink w:val="CurrentList1"/>
    <w:lvl w:ilvl="0">
      <w:start w:val="1"/>
      <w:numFmt w:val="bullet"/>
      <w:lvlText w:val="o"/>
      <w:lvlJc w:val="left"/>
      <w:pPr>
        <w:ind w:left="720" w:hanging="360"/>
      </w:pPr>
      <w:rPr>
        <w:rFonts w:ascii="Courier New" w:hAnsi="Courier New" w:cs="Courier New"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38" w15:restartNumberingAfterBreak="0">
    <w:nsid w:val="3C097871"/>
    <w:multiLevelType w:val="hybridMultilevel"/>
    <w:tmpl w:val="8FAAD5E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15:restartNumberingAfterBreak="0">
    <w:nsid w:val="3E2B3F44"/>
    <w:multiLevelType w:val="hybridMultilevel"/>
    <w:tmpl w:val="AD7295D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15:restartNumberingAfterBreak="0">
    <w:nsid w:val="3F6F45D8"/>
    <w:multiLevelType w:val="multilevel"/>
    <w:tmpl w:val="A1B64BF0"/>
    <w:styleLink w:val="CurrentList3"/>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1" w15:restartNumberingAfterBreak="0">
    <w:nsid w:val="40071FAE"/>
    <w:multiLevelType w:val="multilevel"/>
    <w:tmpl w:val="9D625AA6"/>
    <w:styleLink w:val="ListNumberedHeadings"/>
    <w:lvl w:ilvl="0">
      <w:start w:val="1"/>
      <w:numFmt w:val="decimal"/>
      <w:pStyle w:val="NbrHeading1"/>
      <w:lvlText w:val="%1"/>
      <w:lvlJc w:val="left"/>
      <w:pPr>
        <w:tabs>
          <w:tab w:val="num" w:pos="1134"/>
        </w:tabs>
        <w:ind w:left="1134" w:hanging="1134"/>
      </w:pPr>
      <w:rPr>
        <w:rFonts w:asciiTheme="majorHAnsi" w:hAnsiTheme="majorHAnsi" w:hint="default"/>
        <w:color w:val="0F4BEB" w:themeColor="accent1"/>
      </w:rPr>
    </w:lvl>
    <w:lvl w:ilvl="1">
      <w:start w:val="1"/>
      <w:numFmt w:val="decimal"/>
      <w:pStyle w:val="NbrHeading2"/>
      <w:lvlText w:val="%1.%2"/>
      <w:lvlJc w:val="left"/>
      <w:pPr>
        <w:tabs>
          <w:tab w:val="num" w:pos="1134"/>
        </w:tabs>
        <w:ind w:left="1134" w:hanging="1134"/>
      </w:pPr>
      <w:rPr>
        <w:rFonts w:asciiTheme="majorHAnsi" w:hAnsiTheme="majorHAnsi" w:hint="default"/>
        <w:color w:val="0F4BEB" w:themeColor="accent1"/>
      </w:rPr>
    </w:lvl>
    <w:lvl w:ilvl="2">
      <w:start w:val="1"/>
      <w:numFmt w:val="decimal"/>
      <w:lvlText w:val="%1.%2.%3"/>
      <w:lvlJc w:val="left"/>
      <w:pPr>
        <w:tabs>
          <w:tab w:val="num" w:pos="1276"/>
        </w:tabs>
        <w:ind w:left="1276" w:hanging="1134"/>
      </w:pPr>
      <w:rPr>
        <w:rFonts w:asciiTheme="majorHAnsi" w:hAnsiTheme="majorHAnsi" w:hint="default"/>
        <w:color w:val="auto"/>
      </w:rPr>
    </w:lvl>
    <w:lvl w:ilvl="3">
      <w:start w:val="1"/>
      <w:numFmt w:val="decimal"/>
      <w:pStyle w:val="NbrHeading4"/>
      <w:lvlText w:val="%1.%2.%3.%4"/>
      <w:lvlJc w:val="left"/>
      <w:pPr>
        <w:tabs>
          <w:tab w:val="num" w:pos="1134"/>
        </w:tabs>
        <w:ind w:left="1134" w:hanging="1134"/>
      </w:pPr>
      <w:rPr>
        <w:rFonts w:asciiTheme="majorHAnsi" w:hAnsiTheme="majorHAnsi" w:hint="default"/>
        <w:color w:val="auto"/>
        <w:sz w:val="18"/>
      </w:rPr>
    </w:lvl>
    <w:lvl w:ilvl="4">
      <w:start w:val="1"/>
      <w:numFmt w:val="decimal"/>
      <w:pStyle w:val="NbrHeading5"/>
      <w:lvlText w:val="%1.%2.%3.%4.%5"/>
      <w:lvlJc w:val="left"/>
      <w:pPr>
        <w:tabs>
          <w:tab w:val="num" w:pos="1134"/>
        </w:tabs>
        <w:ind w:left="1134" w:hanging="1134"/>
      </w:pPr>
      <w:rPr>
        <w:rFonts w:asciiTheme="majorHAnsi" w:hAnsiTheme="majorHAnsi" w:hint="default"/>
        <w:color w:val="auto"/>
        <w:sz w:val="20"/>
      </w:rPr>
    </w:lvl>
    <w:lvl w:ilvl="5">
      <w:start w:val="1"/>
      <w:numFmt w:val="none"/>
      <w:lvlText w:val=""/>
      <w:lvlJc w:val="left"/>
      <w:pPr>
        <w:ind w:left="-32767" w:firstLine="0"/>
      </w:pPr>
      <w:rPr>
        <w:rFonts w:hint="default"/>
      </w:rPr>
    </w:lvl>
    <w:lvl w:ilvl="6">
      <w:start w:val="1"/>
      <w:numFmt w:val="none"/>
      <w:lvlRestart w:val="1"/>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space"/>
      <w:lvlText w:val=""/>
      <w:lvlJc w:val="left"/>
      <w:pPr>
        <w:ind w:left="0" w:firstLine="0"/>
      </w:pPr>
      <w:rPr>
        <w:rFonts w:hint="default"/>
      </w:rPr>
    </w:lvl>
  </w:abstractNum>
  <w:abstractNum w:abstractNumId="42" w15:restartNumberingAfterBreak="0">
    <w:nsid w:val="423073E5"/>
    <w:multiLevelType w:val="hybridMultilevel"/>
    <w:tmpl w:val="D58846C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3" w15:restartNumberingAfterBreak="0">
    <w:nsid w:val="45C1328D"/>
    <w:multiLevelType w:val="hybridMultilevel"/>
    <w:tmpl w:val="265AD3F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4" w15:restartNumberingAfterBreak="0">
    <w:nsid w:val="460871E6"/>
    <w:multiLevelType w:val="hybridMultilevel"/>
    <w:tmpl w:val="4F9EC18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5" w15:restartNumberingAfterBreak="0">
    <w:nsid w:val="46916A1B"/>
    <w:multiLevelType w:val="multilevel"/>
    <w:tmpl w:val="E174E3D0"/>
    <w:styleLink w:val="CurrentList2"/>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6" w15:restartNumberingAfterBreak="0">
    <w:nsid w:val="4A7A79E1"/>
    <w:multiLevelType w:val="hybridMultilevel"/>
    <w:tmpl w:val="740C4D5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7" w15:restartNumberingAfterBreak="0">
    <w:nsid w:val="4C4D7667"/>
    <w:multiLevelType w:val="hybridMultilevel"/>
    <w:tmpl w:val="3150541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8" w15:restartNumberingAfterBreak="0">
    <w:nsid w:val="4E443C75"/>
    <w:multiLevelType w:val="hybridMultilevel"/>
    <w:tmpl w:val="215E805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9" w15:restartNumberingAfterBreak="0">
    <w:nsid w:val="4E531B39"/>
    <w:multiLevelType w:val="hybridMultilevel"/>
    <w:tmpl w:val="3FB2E97E"/>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50" w15:restartNumberingAfterBreak="0">
    <w:nsid w:val="4ECB7C6D"/>
    <w:multiLevelType w:val="hybridMultilevel"/>
    <w:tmpl w:val="8B40A80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1" w15:restartNumberingAfterBreak="0">
    <w:nsid w:val="52206B15"/>
    <w:multiLevelType w:val="hybridMultilevel"/>
    <w:tmpl w:val="B19E8D5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2" w15:restartNumberingAfterBreak="0">
    <w:nsid w:val="544B0BDB"/>
    <w:multiLevelType w:val="hybridMultilevel"/>
    <w:tmpl w:val="D45441C6"/>
    <w:lvl w:ilvl="0" w:tplc="1F08BBE0">
      <w:start w:val="1"/>
      <w:numFmt w:val="bullet"/>
      <w:lvlText w:val=""/>
      <w:lvlJc w:val="left"/>
      <w:pPr>
        <w:ind w:left="851" w:hanging="426"/>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3" w15:restartNumberingAfterBreak="0">
    <w:nsid w:val="55CE78A2"/>
    <w:multiLevelType w:val="hybridMultilevel"/>
    <w:tmpl w:val="8ECA6A12"/>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54" w15:restartNumberingAfterBreak="0">
    <w:nsid w:val="55F27F6A"/>
    <w:multiLevelType w:val="hybridMultilevel"/>
    <w:tmpl w:val="D42EA23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5" w15:restartNumberingAfterBreak="0">
    <w:nsid w:val="58C965D3"/>
    <w:multiLevelType w:val="hybridMultilevel"/>
    <w:tmpl w:val="3E6C3B0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6" w15:restartNumberingAfterBreak="0">
    <w:nsid w:val="5BA16713"/>
    <w:multiLevelType w:val="hybridMultilevel"/>
    <w:tmpl w:val="4814B26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7" w15:restartNumberingAfterBreak="0">
    <w:nsid w:val="5C741A74"/>
    <w:multiLevelType w:val="hybridMultilevel"/>
    <w:tmpl w:val="20F250A8"/>
    <w:lvl w:ilvl="0" w:tplc="0C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8" w15:restartNumberingAfterBreak="0">
    <w:nsid w:val="5CE2059C"/>
    <w:multiLevelType w:val="multilevel"/>
    <w:tmpl w:val="4BE8981A"/>
    <w:numStyleLink w:val="ListParagraph0"/>
  </w:abstractNum>
  <w:abstractNum w:abstractNumId="59" w15:restartNumberingAfterBreak="0">
    <w:nsid w:val="5E9A7A5D"/>
    <w:multiLevelType w:val="hybridMultilevel"/>
    <w:tmpl w:val="2454346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0" w15:restartNumberingAfterBreak="0">
    <w:nsid w:val="60A3172E"/>
    <w:multiLevelType w:val="hybridMultilevel"/>
    <w:tmpl w:val="F3082756"/>
    <w:lvl w:ilvl="0" w:tplc="08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644" w:hanging="360"/>
      </w:pPr>
      <w:rPr>
        <w:rFonts w:ascii="Courier New" w:hAnsi="Courier New" w:cs="Courier New" w:hint="default"/>
      </w:rPr>
    </w:lvl>
    <w:lvl w:ilvl="2" w:tplc="FFFFFFFF" w:tentative="1">
      <w:start w:val="1"/>
      <w:numFmt w:val="bullet"/>
      <w:lvlText w:val=""/>
      <w:lvlJc w:val="left"/>
      <w:pPr>
        <w:ind w:left="2364" w:hanging="360"/>
      </w:pPr>
      <w:rPr>
        <w:rFonts w:ascii="Wingdings" w:hAnsi="Wingdings" w:hint="default"/>
      </w:rPr>
    </w:lvl>
    <w:lvl w:ilvl="3" w:tplc="FFFFFFFF" w:tentative="1">
      <w:start w:val="1"/>
      <w:numFmt w:val="bullet"/>
      <w:lvlText w:val=""/>
      <w:lvlJc w:val="left"/>
      <w:pPr>
        <w:ind w:left="3084" w:hanging="360"/>
      </w:pPr>
      <w:rPr>
        <w:rFonts w:ascii="Symbol" w:hAnsi="Symbol" w:hint="default"/>
      </w:rPr>
    </w:lvl>
    <w:lvl w:ilvl="4" w:tplc="FFFFFFFF" w:tentative="1">
      <w:start w:val="1"/>
      <w:numFmt w:val="bullet"/>
      <w:lvlText w:val="o"/>
      <w:lvlJc w:val="left"/>
      <w:pPr>
        <w:ind w:left="3804" w:hanging="360"/>
      </w:pPr>
      <w:rPr>
        <w:rFonts w:ascii="Courier New" w:hAnsi="Courier New" w:cs="Courier New" w:hint="default"/>
      </w:rPr>
    </w:lvl>
    <w:lvl w:ilvl="5" w:tplc="FFFFFFFF" w:tentative="1">
      <w:start w:val="1"/>
      <w:numFmt w:val="bullet"/>
      <w:lvlText w:val=""/>
      <w:lvlJc w:val="left"/>
      <w:pPr>
        <w:ind w:left="4524" w:hanging="360"/>
      </w:pPr>
      <w:rPr>
        <w:rFonts w:ascii="Wingdings" w:hAnsi="Wingdings" w:hint="default"/>
      </w:rPr>
    </w:lvl>
    <w:lvl w:ilvl="6" w:tplc="FFFFFFFF" w:tentative="1">
      <w:start w:val="1"/>
      <w:numFmt w:val="bullet"/>
      <w:lvlText w:val=""/>
      <w:lvlJc w:val="left"/>
      <w:pPr>
        <w:ind w:left="5244" w:hanging="360"/>
      </w:pPr>
      <w:rPr>
        <w:rFonts w:ascii="Symbol" w:hAnsi="Symbol" w:hint="default"/>
      </w:rPr>
    </w:lvl>
    <w:lvl w:ilvl="7" w:tplc="FFFFFFFF" w:tentative="1">
      <w:start w:val="1"/>
      <w:numFmt w:val="bullet"/>
      <w:lvlText w:val="o"/>
      <w:lvlJc w:val="left"/>
      <w:pPr>
        <w:ind w:left="5964" w:hanging="360"/>
      </w:pPr>
      <w:rPr>
        <w:rFonts w:ascii="Courier New" w:hAnsi="Courier New" w:cs="Courier New" w:hint="default"/>
      </w:rPr>
    </w:lvl>
    <w:lvl w:ilvl="8" w:tplc="FFFFFFFF" w:tentative="1">
      <w:start w:val="1"/>
      <w:numFmt w:val="bullet"/>
      <w:lvlText w:val=""/>
      <w:lvlJc w:val="left"/>
      <w:pPr>
        <w:ind w:left="6684" w:hanging="360"/>
      </w:pPr>
      <w:rPr>
        <w:rFonts w:ascii="Wingdings" w:hAnsi="Wingdings" w:hint="default"/>
      </w:rPr>
    </w:lvl>
  </w:abstractNum>
  <w:abstractNum w:abstractNumId="61" w15:restartNumberingAfterBreak="0">
    <w:nsid w:val="60AB5246"/>
    <w:multiLevelType w:val="multilevel"/>
    <w:tmpl w:val="8456735C"/>
    <w:styleLink w:val="Bulletcustom"/>
    <w:lvl w:ilvl="0">
      <w:start w:val="1"/>
      <w:numFmt w:val="bullet"/>
      <w:lvlText w:val=""/>
      <w:lvlJc w:val="left"/>
      <w:pPr>
        <w:ind w:left="360" w:hanging="360"/>
      </w:pPr>
      <w:rPr>
        <w:rFonts w:ascii="Symbol" w:hAnsi="Symbol" w:cs="Times New Roman" w:hint="default"/>
        <w:color w:val="auto"/>
      </w:rPr>
    </w:lvl>
    <w:lvl w:ilvl="1">
      <w:start w:val="1"/>
      <w:numFmt w:val="bullet"/>
      <w:pStyle w:val="ListBullet0"/>
      <w:lvlText w:val="¡"/>
      <w:lvlJc w:val="left"/>
      <w:pPr>
        <w:ind w:left="720" w:hanging="360"/>
      </w:pPr>
      <w:rPr>
        <w:rFonts w:ascii="Wingdings" w:hAnsi="Wingdings" w:cs="Times New Roman" w:hint="default"/>
        <w:color w:val="auto"/>
        <w:sz w:val="18"/>
      </w:rPr>
    </w:lvl>
    <w:lvl w:ilvl="2">
      <w:start w:val="1"/>
      <w:numFmt w:val="bullet"/>
      <w:pStyle w:val="ListBullet3"/>
      <w:lvlText w:val="–"/>
      <w:lvlJc w:val="left"/>
      <w:pPr>
        <w:ind w:left="1080" w:hanging="360"/>
      </w:pPr>
      <w:rPr>
        <w:rFonts w:ascii="Times New Roman" w:hAnsi="Times New Roman" w:cs="Times New Roman" w:hint="default"/>
        <w:color w:val="auto"/>
      </w:rPr>
    </w:lvl>
    <w:lvl w:ilvl="3">
      <w:start w:val="1"/>
      <w:numFmt w:val="bullet"/>
      <w:lvlText w:val="¡"/>
      <w:lvlJc w:val="left"/>
      <w:pPr>
        <w:ind w:left="1440" w:hanging="360"/>
      </w:pPr>
      <w:rPr>
        <w:rFonts w:ascii="Wingdings" w:hAnsi="Wingdings" w:cs="Times New Roman" w:hint="default"/>
        <w:color w:val="auto"/>
      </w:r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62" w15:restartNumberingAfterBreak="0">
    <w:nsid w:val="60DB70C2"/>
    <w:multiLevelType w:val="hybridMultilevel"/>
    <w:tmpl w:val="42C854CA"/>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63" w15:restartNumberingAfterBreak="0">
    <w:nsid w:val="626E5373"/>
    <w:multiLevelType w:val="multilevel"/>
    <w:tmpl w:val="736ECFBA"/>
    <w:styleLink w:val="ListTableNumber"/>
    <w:lvl w:ilvl="0">
      <w:start w:val="1"/>
      <w:numFmt w:val="decimal"/>
      <w:pStyle w:val="TableNumber"/>
      <w:lvlText w:val="%1."/>
      <w:lvlJc w:val="left"/>
      <w:pPr>
        <w:tabs>
          <w:tab w:val="num" w:pos="397"/>
        </w:tabs>
        <w:ind w:left="397" w:hanging="284"/>
      </w:pPr>
      <w:rPr>
        <w:rFonts w:asciiTheme="minorHAnsi" w:hAnsiTheme="minorHAnsi" w:hint="default"/>
        <w:b w:val="0"/>
        <w:i w:val="0"/>
        <w:color w:val="auto"/>
        <w:sz w:val="18"/>
        <w:szCs w:val="21"/>
      </w:rPr>
    </w:lvl>
    <w:lvl w:ilvl="1">
      <w:start w:val="1"/>
      <w:numFmt w:val="lowerLetter"/>
      <w:pStyle w:val="TableNumber2"/>
      <w:lvlText w:val="%2."/>
      <w:lvlJc w:val="left"/>
      <w:pPr>
        <w:tabs>
          <w:tab w:val="num" w:pos="680"/>
        </w:tabs>
        <w:ind w:left="680" w:hanging="283"/>
      </w:pPr>
      <w:rPr>
        <w:rFonts w:asciiTheme="minorHAnsi" w:hAnsiTheme="minorHAnsi" w:hint="default"/>
        <w:b w:val="0"/>
        <w:i w:val="0"/>
        <w:color w:val="auto"/>
        <w:sz w:val="18"/>
        <w:szCs w:val="21"/>
      </w:rPr>
    </w:lvl>
    <w:lvl w:ilvl="2">
      <w:start w:val="1"/>
      <w:numFmt w:val="none"/>
      <w:lvlText w:val=""/>
      <w:lvlJc w:val="left"/>
      <w:pPr>
        <w:tabs>
          <w:tab w:val="num" w:pos="0"/>
        </w:tabs>
        <w:ind w:left="0" w:firstLine="0"/>
      </w:pPr>
      <w:rPr>
        <w:rFonts w:ascii="Arial" w:hAnsi="Arial" w:hint="default"/>
        <w:b w:val="0"/>
        <w:i w:val="0"/>
        <w:sz w:val="18"/>
      </w:rPr>
    </w:lvl>
    <w:lvl w:ilvl="3">
      <w:start w:val="1"/>
      <w:numFmt w:val="none"/>
      <w:suff w:val="nothing"/>
      <w:lvlText w:val=""/>
      <w:lvlJc w:val="left"/>
      <w:pPr>
        <w:ind w:left="0" w:firstLine="0"/>
      </w:pPr>
      <w:rPr>
        <w:rFonts w:ascii="Arial" w:hAnsi="Arial" w:hint="default"/>
        <w:b w:val="0"/>
        <w:i w:val="0"/>
        <w:sz w:val="18"/>
      </w:rPr>
    </w:lvl>
    <w:lvl w:ilvl="4">
      <w:start w:val="1"/>
      <w:numFmt w:val="none"/>
      <w:suff w:val="nothing"/>
      <w:lvlText w:val=""/>
      <w:lvlJc w:val="left"/>
      <w:pPr>
        <w:ind w:left="0" w:firstLine="0"/>
      </w:pPr>
      <w:rPr>
        <w:rFonts w:ascii="Arial" w:hAnsi="Arial" w:hint="default"/>
        <w:b w:val="0"/>
        <w:i w:val="0"/>
        <w:sz w:val="18"/>
      </w:rPr>
    </w:lvl>
    <w:lvl w:ilvl="5">
      <w:start w:val="1"/>
      <w:numFmt w:val="none"/>
      <w:suff w:val="nothing"/>
      <w:lvlText w:val=""/>
      <w:lvlJc w:val="left"/>
      <w:pPr>
        <w:ind w:left="0" w:firstLine="0"/>
      </w:pPr>
      <w:rPr>
        <w:rFonts w:ascii="Arial" w:hAnsi="Arial" w:hint="default"/>
        <w:b w:val="0"/>
        <w:i w:val="0"/>
        <w:sz w:val="18"/>
      </w:rPr>
    </w:lvl>
    <w:lvl w:ilvl="6">
      <w:start w:val="1"/>
      <w:numFmt w:val="none"/>
      <w:suff w:val="nothing"/>
      <w:lvlText w:val="%7"/>
      <w:lvlJc w:val="left"/>
      <w:pPr>
        <w:ind w:left="0" w:firstLine="0"/>
      </w:pPr>
      <w:rPr>
        <w:rFonts w:hint="default"/>
      </w:rPr>
    </w:lvl>
    <w:lvl w:ilvl="7">
      <w:start w:val="1"/>
      <w:numFmt w:val="none"/>
      <w:suff w:val="nothing"/>
      <w:lvlText w:val="%8"/>
      <w:lvlJc w:val="left"/>
      <w:pPr>
        <w:ind w:left="0" w:firstLine="0"/>
      </w:pPr>
      <w:rPr>
        <w:rFonts w:hint="default"/>
      </w:rPr>
    </w:lvl>
    <w:lvl w:ilvl="8">
      <w:start w:val="1"/>
      <w:numFmt w:val="none"/>
      <w:suff w:val="nothing"/>
      <w:lvlText w:val="%9"/>
      <w:lvlJc w:val="left"/>
      <w:pPr>
        <w:ind w:left="0" w:firstLine="0"/>
      </w:pPr>
      <w:rPr>
        <w:rFonts w:hint="default"/>
      </w:rPr>
    </w:lvl>
  </w:abstractNum>
  <w:abstractNum w:abstractNumId="64" w15:restartNumberingAfterBreak="0">
    <w:nsid w:val="69356871"/>
    <w:multiLevelType w:val="multilevel"/>
    <w:tmpl w:val="9D625AA6"/>
    <w:numStyleLink w:val="ListNumberedHeadings"/>
  </w:abstractNum>
  <w:abstractNum w:abstractNumId="65" w15:restartNumberingAfterBreak="0">
    <w:nsid w:val="69E123E0"/>
    <w:multiLevelType w:val="hybridMultilevel"/>
    <w:tmpl w:val="1FCE6D5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6" w15:restartNumberingAfterBreak="0">
    <w:nsid w:val="6A202017"/>
    <w:multiLevelType w:val="hybridMultilevel"/>
    <w:tmpl w:val="B97C6114"/>
    <w:lvl w:ilvl="0" w:tplc="0C090001">
      <w:start w:val="1"/>
      <w:numFmt w:val="bullet"/>
      <w:lvlText w:val=""/>
      <w:lvlJc w:val="left"/>
      <w:pPr>
        <w:ind w:left="774" w:hanging="360"/>
      </w:pPr>
      <w:rPr>
        <w:rFonts w:ascii="Symbol" w:hAnsi="Symbol" w:hint="default"/>
      </w:rPr>
    </w:lvl>
    <w:lvl w:ilvl="1" w:tplc="0C090003" w:tentative="1">
      <w:start w:val="1"/>
      <w:numFmt w:val="bullet"/>
      <w:lvlText w:val="o"/>
      <w:lvlJc w:val="left"/>
      <w:pPr>
        <w:ind w:left="1494" w:hanging="360"/>
      </w:pPr>
      <w:rPr>
        <w:rFonts w:ascii="Courier New" w:hAnsi="Courier New" w:cs="Courier New" w:hint="default"/>
      </w:rPr>
    </w:lvl>
    <w:lvl w:ilvl="2" w:tplc="0C090005" w:tentative="1">
      <w:start w:val="1"/>
      <w:numFmt w:val="bullet"/>
      <w:lvlText w:val=""/>
      <w:lvlJc w:val="left"/>
      <w:pPr>
        <w:ind w:left="2214" w:hanging="360"/>
      </w:pPr>
      <w:rPr>
        <w:rFonts w:ascii="Wingdings" w:hAnsi="Wingdings" w:hint="default"/>
      </w:rPr>
    </w:lvl>
    <w:lvl w:ilvl="3" w:tplc="0C090001" w:tentative="1">
      <w:start w:val="1"/>
      <w:numFmt w:val="bullet"/>
      <w:lvlText w:val=""/>
      <w:lvlJc w:val="left"/>
      <w:pPr>
        <w:ind w:left="2934" w:hanging="360"/>
      </w:pPr>
      <w:rPr>
        <w:rFonts w:ascii="Symbol" w:hAnsi="Symbol" w:hint="default"/>
      </w:rPr>
    </w:lvl>
    <w:lvl w:ilvl="4" w:tplc="0C090003" w:tentative="1">
      <w:start w:val="1"/>
      <w:numFmt w:val="bullet"/>
      <w:lvlText w:val="o"/>
      <w:lvlJc w:val="left"/>
      <w:pPr>
        <w:ind w:left="3654" w:hanging="360"/>
      </w:pPr>
      <w:rPr>
        <w:rFonts w:ascii="Courier New" w:hAnsi="Courier New" w:cs="Courier New" w:hint="default"/>
      </w:rPr>
    </w:lvl>
    <w:lvl w:ilvl="5" w:tplc="0C090005" w:tentative="1">
      <w:start w:val="1"/>
      <w:numFmt w:val="bullet"/>
      <w:lvlText w:val=""/>
      <w:lvlJc w:val="left"/>
      <w:pPr>
        <w:ind w:left="4374" w:hanging="360"/>
      </w:pPr>
      <w:rPr>
        <w:rFonts w:ascii="Wingdings" w:hAnsi="Wingdings" w:hint="default"/>
      </w:rPr>
    </w:lvl>
    <w:lvl w:ilvl="6" w:tplc="0C090001" w:tentative="1">
      <w:start w:val="1"/>
      <w:numFmt w:val="bullet"/>
      <w:lvlText w:val=""/>
      <w:lvlJc w:val="left"/>
      <w:pPr>
        <w:ind w:left="5094" w:hanging="360"/>
      </w:pPr>
      <w:rPr>
        <w:rFonts w:ascii="Symbol" w:hAnsi="Symbol" w:hint="default"/>
      </w:rPr>
    </w:lvl>
    <w:lvl w:ilvl="7" w:tplc="0C090003" w:tentative="1">
      <w:start w:val="1"/>
      <w:numFmt w:val="bullet"/>
      <w:lvlText w:val="o"/>
      <w:lvlJc w:val="left"/>
      <w:pPr>
        <w:ind w:left="5814" w:hanging="360"/>
      </w:pPr>
      <w:rPr>
        <w:rFonts w:ascii="Courier New" w:hAnsi="Courier New" w:cs="Courier New" w:hint="default"/>
      </w:rPr>
    </w:lvl>
    <w:lvl w:ilvl="8" w:tplc="0C090005" w:tentative="1">
      <w:start w:val="1"/>
      <w:numFmt w:val="bullet"/>
      <w:lvlText w:val=""/>
      <w:lvlJc w:val="left"/>
      <w:pPr>
        <w:ind w:left="6534" w:hanging="360"/>
      </w:pPr>
      <w:rPr>
        <w:rFonts w:ascii="Wingdings" w:hAnsi="Wingdings" w:hint="default"/>
      </w:rPr>
    </w:lvl>
  </w:abstractNum>
  <w:abstractNum w:abstractNumId="67" w15:restartNumberingAfterBreak="0">
    <w:nsid w:val="6C356ED4"/>
    <w:multiLevelType w:val="multilevel"/>
    <w:tmpl w:val="0809001D"/>
    <w:styleLink w:val="Markbullet"/>
    <w:lvl w:ilvl="0">
      <w:start w:val="1"/>
      <w:numFmt w:val="bullet"/>
      <w:lvlText w:val=""/>
      <w:lvlJc w:val="left"/>
      <w:pPr>
        <w:ind w:left="360" w:hanging="360"/>
      </w:pPr>
      <w:rPr>
        <w:rFonts w:ascii="Symbol" w:hAnsi="Symbol" w:cs="Times New Roman" w:hint="default"/>
        <w:color w:val="auto"/>
      </w:rPr>
    </w:lvl>
    <w:lvl w:ilvl="1">
      <w:start w:val="1"/>
      <w:numFmt w:val="bullet"/>
      <w:lvlText w:val=""/>
      <w:lvlJc w:val="left"/>
      <w:pPr>
        <w:ind w:left="720" w:hanging="360"/>
      </w:pPr>
      <w:rPr>
        <w:rFonts w:ascii="Symbol" w:hAnsi="Symbol" w:cs="Times New Roman" w:hint="default"/>
        <w:color w:val="auto"/>
      </w:rPr>
    </w:lvl>
    <w:lvl w:ilvl="2">
      <w:start w:val="1"/>
      <w:numFmt w:val="bullet"/>
      <w:lvlText w:val=""/>
      <w:lvlJc w:val="left"/>
      <w:pPr>
        <w:ind w:left="1080" w:hanging="360"/>
      </w:pPr>
      <w:rPr>
        <w:rFonts w:ascii="Symbol" w:hAnsi="Symbol" w:cs="Times New Roman" w:hint="default"/>
        <w:color w:val="auto"/>
      </w:r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68" w15:restartNumberingAfterBreak="0">
    <w:nsid w:val="6E783B2F"/>
    <w:multiLevelType w:val="hybridMultilevel"/>
    <w:tmpl w:val="8D7C3D7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9" w15:restartNumberingAfterBreak="0">
    <w:nsid w:val="73833908"/>
    <w:multiLevelType w:val="multilevel"/>
    <w:tmpl w:val="F78A1DCA"/>
    <w:numStyleLink w:val="ListTableBullet"/>
  </w:abstractNum>
  <w:abstractNum w:abstractNumId="70" w15:restartNumberingAfterBreak="0">
    <w:nsid w:val="73A72797"/>
    <w:multiLevelType w:val="hybridMultilevel"/>
    <w:tmpl w:val="1D0A603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1" w15:restartNumberingAfterBreak="0">
    <w:nsid w:val="73B94600"/>
    <w:multiLevelType w:val="multilevel"/>
    <w:tmpl w:val="0B96E482"/>
    <w:numStyleLink w:val="ListAlpha"/>
  </w:abstractNum>
  <w:abstractNum w:abstractNumId="72" w15:restartNumberingAfterBreak="0">
    <w:nsid w:val="73BE1E5E"/>
    <w:multiLevelType w:val="hybridMultilevel"/>
    <w:tmpl w:val="41B8890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3" w15:restartNumberingAfterBreak="0">
    <w:nsid w:val="73CC16F8"/>
    <w:multiLevelType w:val="hybridMultilevel"/>
    <w:tmpl w:val="B0CAD03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4" w15:restartNumberingAfterBreak="0">
    <w:nsid w:val="782C1091"/>
    <w:multiLevelType w:val="hybridMultilevel"/>
    <w:tmpl w:val="86EC930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5" w15:restartNumberingAfterBreak="0">
    <w:nsid w:val="78A063B0"/>
    <w:multiLevelType w:val="hybridMultilevel"/>
    <w:tmpl w:val="2EE8E33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6" w15:restartNumberingAfterBreak="0">
    <w:nsid w:val="79923337"/>
    <w:multiLevelType w:val="hybridMultilevel"/>
    <w:tmpl w:val="403CD04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7" w15:restartNumberingAfterBreak="0">
    <w:nsid w:val="799470CD"/>
    <w:multiLevelType w:val="hybridMultilevel"/>
    <w:tmpl w:val="3844F448"/>
    <w:lvl w:ilvl="0" w:tplc="0C090013">
      <w:start w:val="1"/>
      <w:numFmt w:val="upperRoman"/>
      <w:lvlText w:val="%1."/>
      <w:lvlJc w:val="right"/>
      <w:pPr>
        <w:ind w:left="644"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8" w15:restartNumberingAfterBreak="0">
    <w:nsid w:val="79CE14E8"/>
    <w:multiLevelType w:val="hybridMultilevel"/>
    <w:tmpl w:val="731C7C0E"/>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79" w15:restartNumberingAfterBreak="0">
    <w:nsid w:val="7AA84F7B"/>
    <w:multiLevelType w:val="multilevel"/>
    <w:tmpl w:val="BE1CBCF8"/>
    <w:numStyleLink w:val="ListNumber"/>
  </w:abstractNum>
  <w:abstractNum w:abstractNumId="80" w15:restartNumberingAfterBreak="0">
    <w:nsid w:val="7F3448E1"/>
    <w:multiLevelType w:val="hybridMultilevel"/>
    <w:tmpl w:val="62DAB9B6"/>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num w:numId="1" w16cid:durableId="331224763">
    <w:abstractNumId w:val="3"/>
  </w:num>
  <w:num w:numId="2" w16cid:durableId="1996689226">
    <w:abstractNumId w:val="34"/>
  </w:num>
  <w:num w:numId="3" w16cid:durableId="1372339492">
    <w:abstractNumId w:val="22"/>
  </w:num>
  <w:num w:numId="4" w16cid:durableId="1292321281">
    <w:abstractNumId w:val="41"/>
  </w:num>
  <w:num w:numId="5" w16cid:durableId="709843258">
    <w:abstractNumId w:val="1"/>
  </w:num>
  <w:num w:numId="6" w16cid:durableId="1724595348">
    <w:abstractNumId w:val="7"/>
  </w:num>
  <w:num w:numId="7" w16cid:durableId="1552502625">
    <w:abstractNumId w:val="63"/>
  </w:num>
  <w:num w:numId="8" w16cid:durableId="2026788445">
    <w:abstractNumId w:val="71"/>
  </w:num>
  <w:num w:numId="9" w16cid:durableId="845487412">
    <w:abstractNumId w:val="58"/>
  </w:num>
  <w:num w:numId="10" w16cid:durableId="1785270009">
    <w:abstractNumId w:val="6"/>
  </w:num>
  <w:num w:numId="11" w16cid:durableId="1528904558">
    <w:abstractNumId w:val="11"/>
  </w:num>
  <w:num w:numId="12" w16cid:durableId="1615206809">
    <w:abstractNumId w:val="61"/>
  </w:num>
  <w:num w:numId="13" w16cid:durableId="1457287050">
    <w:abstractNumId w:val="37"/>
  </w:num>
  <w:num w:numId="14" w16cid:durableId="1289968661">
    <w:abstractNumId w:val="67"/>
  </w:num>
  <w:num w:numId="15" w16cid:durableId="1292787188">
    <w:abstractNumId w:val="69"/>
  </w:num>
  <w:num w:numId="16" w16cid:durableId="1161971093">
    <w:abstractNumId w:val="49"/>
  </w:num>
  <w:num w:numId="17" w16cid:durableId="684552491">
    <w:abstractNumId w:val="53"/>
  </w:num>
  <w:num w:numId="18" w16cid:durableId="294988542">
    <w:abstractNumId w:val="43"/>
  </w:num>
  <w:num w:numId="19" w16cid:durableId="1923635853">
    <w:abstractNumId w:val="62"/>
  </w:num>
  <w:num w:numId="20" w16cid:durableId="174460630">
    <w:abstractNumId w:val="2"/>
  </w:num>
  <w:num w:numId="21" w16cid:durableId="356271204">
    <w:abstractNumId w:val="78"/>
  </w:num>
  <w:num w:numId="22" w16cid:durableId="908807677">
    <w:abstractNumId w:val="80"/>
  </w:num>
  <w:num w:numId="23" w16cid:durableId="1063287178">
    <w:abstractNumId w:val="32"/>
  </w:num>
  <w:num w:numId="24" w16cid:durableId="614755550">
    <w:abstractNumId w:val="13"/>
  </w:num>
  <w:num w:numId="25" w16cid:durableId="1828664233">
    <w:abstractNumId w:val="57"/>
  </w:num>
  <w:num w:numId="26" w16cid:durableId="2120758420">
    <w:abstractNumId w:val="18"/>
  </w:num>
  <w:num w:numId="27" w16cid:durableId="1103652728">
    <w:abstractNumId w:val="48"/>
  </w:num>
  <w:num w:numId="28" w16cid:durableId="713426648">
    <w:abstractNumId w:val="54"/>
  </w:num>
  <w:num w:numId="29" w16cid:durableId="933589811">
    <w:abstractNumId w:val="23"/>
  </w:num>
  <w:num w:numId="30" w16cid:durableId="1345088507">
    <w:abstractNumId w:val="20"/>
  </w:num>
  <w:num w:numId="31" w16cid:durableId="94978413">
    <w:abstractNumId w:val="16"/>
  </w:num>
  <w:num w:numId="32" w16cid:durableId="1000814637">
    <w:abstractNumId w:val="0"/>
  </w:num>
  <w:num w:numId="33" w16cid:durableId="1491100087">
    <w:abstractNumId w:val="36"/>
  </w:num>
  <w:num w:numId="34" w16cid:durableId="1024592598">
    <w:abstractNumId w:val="74"/>
  </w:num>
  <w:num w:numId="35" w16cid:durableId="11615401">
    <w:abstractNumId w:val="10"/>
  </w:num>
  <w:num w:numId="36" w16cid:durableId="1947303461">
    <w:abstractNumId w:val="55"/>
  </w:num>
  <w:num w:numId="37" w16cid:durableId="1294821790">
    <w:abstractNumId w:val="75"/>
  </w:num>
  <w:num w:numId="38" w16cid:durableId="1795516442">
    <w:abstractNumId w:val="70"/>
  </w:num>
  <w:num w:numId="39" w16cid:durableId="1148328199">
    <w:abstractNumId w:val="30"/>
  </w:num>
  <w:num w:numId="40" w16cid:durableId="1399940900">
    <w:abstractNumId w:val="39"/>
  </w:num>
  <w:num w:numId="41" w16cid:durableId="1537541998">
    <w:abstractNumId w:val="9"/>
  </w:num>
  <w:num w:numId="42" w16cid:durableId="1897620372">
    <w:abstractNumId w:val="38"/>
  </w:num>
  <w:num w:numId="43" w16cid:durableId="328756079">
    <w:abstractNumId w:val="12"/>
  </w:num>
  <w:num w:numId="44" w16cid:durableId="1796943436">
    <w:abstractNumId w:val="42"/>
  </w:num>
  <w:num w:numId="45" w16cid:durableId="1281716911">
    <w:abstractNumId w:val="19"/>
  </w:num>
  <w:num w:numId="46" w16cid:durableId="1734886275">
    <w:abstractNumId w:val="56"/>
  </w:num>
  <w:num w:numId="47" w16cid:durableId="1167403019">
    <w:abstractNumId w:val="66"/>
  </w:num>
  <w:num w:numId="48" w16cid:durableId="2054883213">
    <w:abstractNumId w:val="35"/>
  </w:num>
  <w:num w:numId="49" w16cid:durableId="985666197">
    <w:abstractNumId w:val="4"/>
  </w:num>
  <w:num w:numId="50" w16cid:durableId="751043776">
    <w:abstractNumId w:val="73"/>
  </w:num>
  <w:num w:numId="51" w16cid:durableId="1930040894">
    <w:abstractNumId w:val="77"/>
  </w:num>
  <w:num w:numId="52" w16cid:durableId="1319192498">
    <w:abstractNumId w:val="50"/>
  </w:num>
  <w:num w:numId="53" w16cid:durableId="1332835311">
    <w:abstractNumId w:val="59"/>
  </w:num>
  <w:num w:numId="54" w16cid:durableId="999118888">
    <w:abstractNumId w:val="51"/>
  </w:num>
  <w:num w:numId="55" w16cid:durableId="1926382071">
    <w:abstractNumId w:val="29"/>
  </w:num>
  <w:num w:numId="56" w16cid:durableId="1130827917">
    <w:abstractNumId w:val="26"/>
  </w:num>
  <w:num w:numId="57" w16cid:durableId="162280874">
    <w:abstractNumId w:val="76"/>
  </w:num>
  <w:num w:numId="58" w16cid:durableId="1811969945">
    <w:abstractNumId w:val="65"/>
  </w:num>
  <w:num w:numId="59" w16cid:durableId="121003053">
    <w:abstractNumId w:val="72"/>
  </w:num>
  <w:num w:numId="60" w16cid:durableId="927883004">
    <w:abstractNumId w:val="31"/>
  </w:num>
  <w:num w:numId="61" w16cid:durableId="1373311396">
    <w:abstractNumId w:val="68"/>
  </w:num>
  <w:num w:numId="62" w16cid:durableId="49235371">
    <w:abstractNumId w:val="28"/>
  </w:num>
  <w:num w:numId="63" w16cid:durableId="1914897248">
    <w:abstractNumId w:val="33"/>
  </w:num>
  <w:num w:numId="64" w16cid:durableId="597720062">
    <w:abstractNumId w:val="17"/>
  </w:num>
  <w:num w:numId="65" w16cid:durableId="1733429832">
    <w:abstractNumId w:val="45"/>
  </w:num>
  <w:num w:numId="66" w16cid:durableId="231353761">
    <w:abstractNumId w:val="15"/>
  </w:num>
  <w:num w:numId="67" w16cid:durableId="709384581">
    <w:abstractNumId w:val="40"/>
  </w:num>
  <w:num w:numId="68" w16cid:durableId="308826823">
    <w:abstractNumId w:val="52"/>
  </w:num>
  <w:num w:numId="69" w16cid:durableId="2032300532">
    <w:abstractNumId w:val="60"/>
  </w:num>
  <w:num w:numId="70" w16cid:durableId="1555698151">
    <w:abstractNumId w:val="8"/>
  </w:num>
  <w:num w:numId="71" w16cid:durableId="545409529">
    <w:abstractNumId w:val="24"/>
  </w:num>
  <w:num w:numId="72" w16cid:durableId="409500981">
    <w:abstractNumId w:val="25"/>
  </w:num>
  <w:num w:numId="73" w16cid:durableId="1074162231">
    <w:abstractNumId w:val="5"/>
  </w:num>
  <w:num w:numId="74" w16cid:durableId="314920220">
    <w:abstractNumId w:val="79"/>
    <w:lvlOverride w:ilvl="0">
      <w:lvl w:ilvl="0">
        <w:start w:val="1"/>
        <w:numFmt w:val="decimal"/>
        <w:pStyle w:val="ListNumber0"/>
        <w:lvlText w:val="%1."/>
        <w:lvlJc w:val="left"/>
        <w:pPr>
          <w:tabs>
            <w:tab w:val="num" w:pos="425"/>
          </w:tabs>
          <w:ind w:left="425" w:hanging="425"/>
        </w:pPr>
        <w:rPr>
          <w:rFonts w:ascii="Calibri Light" w:hAnsi="Calibri Light" w:cs="Calibri Light" w:hint="default"/>
          <w:b w:val="0"/>
          <w:bCs w:val="0"/>
          <w:i w:val="0"/>
          <w:iCs w:val="0"/>
          <w:caps w:val="0"/>
          <w:strike w:val="0"/>
          <w:dstrike w:val="0"/>
          <w:vanish w:val="0"/>
          <w:color w:val="auto"/>
          <w:sz w:val="22"/>
          <w:szCs w:val="22"/>
          <w:vertAlign w:val="baseline"/>
          <w14:shadow w14:blurRad="0" w14:dist="0" w14:dir="0" w14:sx="0" w14:sy="0" w14:kx="0" w14:ky="0" w14:algn="none">
            <w14:srgbClr w14:val="000000"/>
          </w14:shadow>
          <w14:textOutline w14:w="0" w14:cap="rnd" w14:cmpd="sng" w14:algn="ctr">
            <w14:noFill/>
            <w14:prstDash w14:val="solid"/>
            <w14:bevel/>
          </w14:textOutline>
        </w:rPr>
      </w:lvl>
    </w:lvlOverride>
    <w:lvlOverride w:ilvl="1">
      <w:lvl w:ilvl="1">
        <w:start w:val="1"/>
        <w:numFmt w:val="lowerLetter"/>
        <w:pStyle w:val="ListNumber2"/>
        <w:lvlText w:val="%2."/>
        <w:lvlJc w:val="left"/>
        <w:pPr>
          <w:tabs>
            <w:tab w:val="num" w:pos="850"/>
          </w:tabs>
          <w:ind w:left="850" w:hanging="425"/>
        </w:pPr>
        <w:rPr>
          <w:rFonts w:asciiTheme="minorHAnsi" w:hAnsiTheme="minorHAnsi" w:hint="default"/>
          <w:b w:val="0"/>
          <w:i w:val="0"/>
          <w:color w:val="auto"/>
          <w:sz w:val="18"/>
        </w:rPr>
      </w:lvl>
    </w:lvlOverride>
    <w:lvlOverride w:ilvl="2">
      <w:lvl w:ilvl="2">
        <w:start w:val="1"/>
        <w:numFmt w:val="lowerRoman"/>
        <w:pStyle w:val="ListNumber3"/>
        <w:lvlText w:val="%3."/>
        <w:lvlJc w:val="left"/>
        <w:pPr>
          <w:tabs>
            <w:tab w:val="num" w:pos="1275"/>
          </w:tabs>
          <w:ind w:left="1275" w:hanging="425"/>
        </w:pPr>
        <w:rPr>
          <w:rFonts w:asciiTheme="minorHAnsi" w:hAnsiTheme="minorHAnsi" w:hint="default"/>
          <w:b w:val="0"/>
          <w:i w:val="0"/>
          <w:color w:val="auto"/>
          <w:sz w:val="18"/>
        </w:rPr>
      </w:lvl>
    </w:lvlOverride>
    <w:lvlOverride w:ilvl="3">
      <w:lvl w:ilvl="3">
        <w:start w:val="1"/>
        <w:numFmt w:val="upperLetter"/>
        <w:pStyle w:val="ListNumber4"/>
        <w:lvlText w:val="%4."/>
        <w:lvlJc w:val="left"/>
        <w:pPr>
          <w:tabs>
            <w:tab w:val="num" w:pos="1700"/>
          </w:tabs>
          <w:ind w:left="1700" w:hanging="425"/>
        </w:pPr>
        <w:rPr>
          <w:rFonts w:asciiTheme="minorHAnsi" w:hAnsiTheme="minorHAnsi" w:hint="default"/>
          <w:b w:val="0"/>
          <w:i w:val="0"/>
          <w:color w:val="auto"/>
          <w:sz w:val="18"/>
        </w:rPr>
      </w:lvl>
    </w:lvlOverride>
    <w:lvlOverride w:ilvl="4">
      <w:lvl w:ilvl="4">
        <w:start w:val="1"/>
        <w:numFmt w:val="upperRoman"/>
        <w:pStyle w:val="ListNumber5"/>
        <w:lvlText w:val="%5."/>
        <w:lvlJc w:val="left"/>
        <w:pPr>
          <w:tabs>
            <w:tab w:val="num" w:pos="2125"/>
          </w:tabs>
          <w:ind w:left="2125" w:hanging="425"/>
        </w:pPr>
        <w:rPr>
          <w:rFonts w:asciiTheme="minorHAnsi" w:hAnsiTheme="minorHAnsi" w:hint="default"/>
          <w:b w:val="0"/>
          <w:i w:val="0"/>
          <w:color w:val="auto"/>
          <w:sz w:val="18"/>
        </w:rPr>
      </w:lvl>
    </w:lvlOverride>
    <w:lvlOverride w:ilvl="5">
      <w:lvl w:ilvl="5">
        <w:start w:val="1"/>
        <w:numFmt w:val="decimal"/>
        <w:pStyle w:val="ListNumber6"/>
        <w:lvlText w:val="%6."/>
        <w:lvlJc w:val="left"/>
        <w:pPr>
          <w:tabs>
            <w:tab w:val="num" w:pos="2550"/>
          </w:tabs>
          <w:ind w:left="2550" w:hanging="425"/>
        </w:pPr>
        <w:rPr>
          <w:rFonts w:asciiTheme="minorHAnsi" w:hAnsiTheme="minorHAnsi" w:hint="default"/>
          <w:b w:val="0"/>
          <w:i w:val="0"/>
          <w:color w:val="auto"/>
          <w:sz w:val="18"/>
        </w:rPr>
      </w:lvl>
    </w:lvlOverride>
    <w:lvlOverride w:ilvl="6">
      <w:lvl w:ilvl="6">
        <w:start w:val="1"/>
        <w:numFmt w:val="none"/>
        <w:suff w:val="nothing"/>
        <w:lvlText w:val="%7"/>
        <w:lvlJc w:val="left"/>
        <w:pPr>
          <w:ind w:left="2975" w:hanging="425"/>
        </w:pPr>
        <w:rPr>
          <w:rFonts w:hint="default"/>
          <w:color w:val="E1001A"/>
        </w:rPr>
      </w:lvl>
    </w:lvlOverride>
    <w:lvlOverride w:ilvl="7">
      <w:lvl w:ilvl="7">
        <w:start w:val="1"/>
        <w:numFmt w:val="none"/>
        <w:suff w:val="nothing"/>
        <w:lvlText w:val="%8"/>
        <w:lvlJc w:val="left"/>
        <w:pPr>
          <w:ind w:left="3400" w:hanging="425"/>
        </w:pPr>
        <w:rPr>
          <w:rFonts w:hint="default"/>
          <w:color w:val="E1001A"/>
          <w:sz w:val="20"/>
        </w:rPr>
      </w:lvl>
    </w:lvlOverride>
    <w:lvlOverride w:ilvl="8">
      <w:lvl w:ilvl="8">
        <w:start w:val="1"/>
        <w:numFmt w:val="none"/>
        <w:suff w:val="nothing"/>
        <w:lvlText w:val="%9"/>
        <w:lvlJc w:val="left"/>
        <w:pPr>
          <w:ind w:left="3825" w:hanging="425"/>
        </w:pPr>
        <w:rPr>
          <w:rFonts w:hint="default"/>
          <w:color w:val="E1001A"/>
        </w:rPr>
      </w:lvl>
    </w:lvlOverride>
  </w:num>
  <w:num w:numId="75" w16cid:durableId="526331115">
    <w:abstractNumId w:val="79"/>
    <w:lvlOverride w:ilvl="0">
      <w:lvl w:ilvl="0">
        <w:start w:val="1"/>
        <w:numFmt w:val="decimal"/>
        <w:pStyle w:val="ListNumber0"/>
        <w:lvlText w:val="%1."/>
        <w:lvlJc w:val="left"/>
        <w:pPr>
          <w:tabs>
            <w:tab w:val="num" w:pos="425"/>
          </w:tabs>
          <w:ind w:left="425" w:hanging="425"/>
        </w:pPr>
        <w:rPr>
          <w:rFonts w:asciiTheme="minorHAnsi" w:hAnsiTheme="minorHAnsi" w:hint="default"/>
          <w:b w:val="0"/>
          <w:i w:val="0"/>
          <w:caps w:val="0"/>
          <w:strike w:val="0"/>
          <w:dstrike w:val="0"/>
          <w:vanish w:val="0"/>
          <w:color w:val="auto"/>
          <w:sz w:val="18"/>
          <w:vertAlign w:val="baseline"/>
          <w14:shadow w14:blurRad="0" w14:dist="0" w14:dir="0" w14:sx="0" w14:sy="0" w14:kx="0" w14:ky="0" w14:algn="none">
            <w14:srgbClr w14:val="000000"/>
          </w14:shadow>
          <w14:textOutline w14:w="0" w14:cap="rnd" w14:cmpd="sng" w14:algn="ctr">
            <w14:noFill/>
            <w14:prstDash w14:val="solid"/>
            <w14:bevel/>
          </w14:textOutline>
        </w:rPr>
      </w:lvl>
    </w:lvlOverride>
    <w:lvlOverride w:ilvl="1">
      <w:lvl w:ilvl="1">
        <w:start w:val="1"/>
        <w:numFmt w:val="lowerLetter"/>
        <w:pStyle w:val="ListNumber2"/>
        <w:lvlText w:val="%2."/>
        <w:lvlJc w:val="left"/>
        <w:pPr>
          <w:tabs>
            <w:tab w:val="num" w:pos="850"/>
          </w:tabs>
          <w:ind w:left="850" w:hanging="425"/>
        </w:pPr>
        <w:rPr>
          <w:rFonts w:asciiTheme="minorHAnsi" w:hAnsiTheme="minorHAnsi" w:hint="default"/>
          <w:b w:val="0"/>
          <w:i w:val="0"/>
          <w:color w:val="auto"/>
          <w:sz w:val="18"/>
        </w:rPr>
      </w:lvl>
    </w:lvlOverride>
    <w:lvlOverride w:ilvl="2">
      <w:lvl w:ilvl="2">
        <w:start w:val="1"/>
        <w:numFmt w:val="lowerRoman"/>
        <w:pStyle w:val="ListNumber3"/>
        <w:lvlText w:val="%3."/>
        <w:lvlJc w:val="left"/>
        <w:pPr>
          <w:tabs>
            <w:tab w:val="num" w:pos="1275"/>
          </w:tabs>
          <w:ind w:left="1275" w:hanging="425"/>
        </w:pPr>
        <w:rPr>
          <w:rFonts w:asciiTheme="minorHAnsi" w:hAnsiTheme="minorHAnsi" w:hint="default"/>
          <w:b w:val="0"/>
          <w:i w:val="0"/>
          <w:color w:val="auto"/>
          <w:sz w:val="18"/>
        </w:rPr>
      </w:lvl>
    </w:lvlOverride>
    <w:lvlOverride w:ilvl="3">
      <w:lvl w:ilvl="3">
        <w:start w:val="1"/>
        <w:numFmt w:val="upperLetter"/>
        <w:pStyle w:val="ListNumber4"/>
        <w:lvlText w:val="%4."/>
        <w:lvlJc w:val="left"/>
        <w:pPr>
          <w:tabs>
            <w:tab w:val="num" w:pos="1700"/>
          </w:tabs>
          <w:ind w:left="1700" w:hanging="425"/>
        </w:pPr>
        <w:rPr>
          <w:rFonts w:asciiTheme="minorHAnsi" w:hAnsiTheme="minorHAnsi" w:hint="default"/>
          <w:b w:val="0"/>
          <w:i w:val="0"/>
          <w:color w:val="auto"/>
          <w:sz w:val="18"/>
        </w:rPr>
      </w:lvl>
    </w:lvlOverride>
    <w:lvlOverride w:ilvl="4">
      <w:lvl w:ilvl="4">
        <w:start w:val="1"/>
        <w:numFmt w:val="upperRoman"/>
        <w:pStyle w:val="ListNumber5"/>
        <w:lvlText w:val="%5."/>
        <w:lvlJc w:val="left"/>
        <w:pPr>
          <w:tabs>
            <w:tab w:val="num" w:pos="2125"/>
          </w:tabs>
          <w:ind w:left="2125" w:hanging="425"/>
        </w:pPr>
        <w:rPr>
          <w:rFonts w:asciiTheme="minorHAnsi" w:hAnsiTheme="minorHAnsi" w:hint="default"/>
          <w:b w:val="0"/>
          <w:i w:val="0"/>
          <w:color w:val="auto"/>
          <w:sz w:val="18"/>
        </w:rPr>
      </w:lvl>
    </w:lvlOverride>
    <w:lvlOverride w:ilvl="5">
      <w:lvl w:ilvl="5">
        <w:start w:val="1"/>
        <w:numFmt w:val="decimal"/>
        <w:pStyle w:val="ListNumber6"/>
        <w:lvlText w:val="%6."/>
        <w:lvlJc w:val="left"/>
        <w:pPr>
          <w:tabs>
            <w:tab w:val="num" w:pos="2550"/>
          </w:tabs>
          <w:ind w:left="2550" w:hanging="425"/>
        </w:pPr>
        <w:rPr>
          <w:rFonts w:asciiTheme="minorHAnsi" w:hAnsiTheme="minorHAnsi" w:hint="default"/>
          <w:b w:val="0"/>
          <w:i w:val="0"/>
          <w:color w:val="auto"/>
          <w:sz w:val="18"/>
        </w:rPr>
      </w:lvl>
    </w:lvlOverride>
    <w:lvlOverride w:ilvl="6">
      <w:lvl w:ilvl="6">
        <w:start w:val="1"/>
        <w:numFmt w:val="none"/>
        <w:suff w:val="nothing"/>
        <w:lvlText w:val="%7"/>
        <w:lvlJc w:val="left"/>
        <w:pPr>
          <w:ind w:left="2975" w:hanging="425"/>
        </w:pPr>
        <w:rPr>
          <w:rFonts w:hint="default"/>
          <w:color w:val="E1001A"/>
        </w:rPr>
      </w:lvl>
    </w:lvlOverride>
    <w:lvlOverride w:ilvl="7">
      <w:lvl w:ilvl="7">
        <w:start w:val="1"/>
        <w:numFmt w:val="none"/>
        <w:suff w:val="nothing"/>
        <w:lvlText w:val="%8"/>
        <w:lvlJc w:val="left"/>
        <w:pPr>
          <w:ind w:left="3400" w:hanging="425"/>
        </w:pPr>
        <w:rPr>
          <w:rFonts w:hint="default"/>
          <w:color w:val="E1001A"/>
          <w:sz w:val="20"/>
        </w:rPr>
      </w:lvl>
    </w:lvlOverride>
    <w:lvlOverride w:ilvl="8">
      <w:lvl w:ilvl="8">
        <w:start w:val="1"/>
        <w:numFmt w:val="none"/>
        <w:suff w:val="nothing"/>
        <w:lvlText w:val="%9"/>
        <w:lvlJc w:val="left"/>
        <w:pPr>
          <w:ind w:left="3825" w:hanging="425"/>
        </w:pPr>
        <w:rPr>
          <w:rFonts w:hint="default"/>
          <w:color w:val="E1001A"/>
        </w:rPr>
      </w:lvl>
    </w:lvlOverride>
  </w:num>
  <w:num w:numId="76" w16cid:durableId="1429694387">
    <w:abstractNumId w:val="64"/>
    <w:lvlOverride w:ilvl="0">
      <w:lvl w:ilvl="0">
        <w:start w:val="1"/>
        <w:numFmt w:val="decimal"/>
        <w:pStyle w:val="NbrHeading1"/>
        <w:lvlText w:val="%1"/>
        <w:lvlJc w:val="left"/>
        <w:pPr>
          <w:tabs>
            <w:tab w:val="num" w:pos="1134"/>
          </w:tabs>
          <w:ind w:left="1134" w:hanging="1134"/>
        </w:pPr>
        <w:rPr>
          <w:rFonts w:ascii="Calibri" w:hAnsi="Calibri" w:cs="Calibri" w:hint="default"/>
          <w:b/>
          <w:bCs/>
          <w:i w:val="0"/>
          <w:iCs w:val="0"/>
          <w:color w:val="000000" w:themeColor="text1"/>
        </w:rPr>
      </w:lvl>
    </w:lvlOverride>
    <w:lvlOverride w:ilvl="1">
      <w:lvl w:ilvl="1">
        <w:start w:val="1"/>
        <w:numFmt w:val="decimal"/>
        <w:pStyle w:val="NbrHeading2"/>
        <w:lvlText w:val="%1.%2"/>
        <w:lvlJc w:val="left"/>
        <w:pPr>
          <w:tabs>
            <w:tab w:val="num" w:pos="1134"/>
          </w:tabs>
          <w:ind w:left="1134" w:hanging="1134"/>
        </w:pPr>
      </w:lvl>
    </w:lvlOverride>
    <w:lvlOverride w:ilvl="2">
      <w:lvl w:ilvl="2">
        <w:start w:val="1"/>
        <w:numFmt w:val="decimal"/>
        <w:lvlText w:val="%1.%2.%3"/>
        <w:lvlJc w:val="left"/>
        <w:pPr>
          <w:tabs>
            <w:tab w:val="num" w:pos="1276"/>
          </w:tabs>
          <w:ind w:left="1276" w:hanging="1134"/>
        </w:pPr>
      </w:lvl>
    </w:lvlOverride>
  </w:num>
  <w:num w:numId="77" w16cid:durableId="1927036987">
    <w:abstractNumId w:val="27"/>
    <w:lvlOverride w:ilvl="0">
      <w:lvl w:ilvl="0">
        <w:start w:val="1"/>
        <w:numFmt w:val="bullet"/>
        <w:lvlText w:val=""/>
        <w:lvlJc w:val="left"/>
        <w:pPr>
          <w:ind w:left="360" w:hanging="360"/>
        </w:pPr>
        <w:rPr>
          <w:rFonts w:ascii="Symbol" w:hAnsi="Symbol" w:cs="Times New Roman" w:hint="default"/>
          <w:color w:val="auto"/>
        </w:rPr>
      </w:lvl>
    </w:lvlOverride>
    <w:lvlOverride w:ilvl="1">
      <w:lvl w:ilvl="1">
        <w:start w:val="1"/>
        <w:numFmt w:val="bullet"/>
        <w:pStyle w:val="ListBullet0"/>
        <w:lvlText w:val="¡"/>
        <w:lvlJc w:val="left"/>
        <w:pPr>
          <w:ind w:left="720" w:hanging="360"/>
        </w:pPr>
        <w:rPr>
          <w:rFonts w:ascii="Wingdings" w:hAnsi="Wingdings" w:cs="Times New Roman" w:hint="default"/>
          <w:color w:val="auto"/>
          <w:sz w:val="18"/>
        </w:rPr>
      </w:lvl>
    </w:lvlOverride>
    <w:lvlOverride w:ilvl="2">
      <w:lvl w:ilvl="2">
        <w:start w:val="1"/>
        <w:numFmt w:val="bullet"/>
        <w:pStyle w:val="ListBullet3"/>
        <w:lvlText w:val="–"/>
        <w:lvlJc w:val="left"/>
        <w:pPr>
          <w:ind w:left="1080" w:hanging="360"/>
        </w:pPr>
        <w:rPr>
          <w:rFonts w:ascii="Times New Roman" w:hAnsi="Times New Roman" w:cs="Times New Roman" w:hint="default"/>
          <w:color w:val="auto"/>
        </w:rPr>
      </w:lvl>
    </w:lvlOverride>
    <w:lvlOverride w:ilvl="3">
      <w:lvl w:ilvl="3">
        <w:start w:val="1"/>
        <w:numFmt w:val="bullet"/>
        <w:lvlText w:val="¡"/>
        <w:lvlJc w:val="left"/>
        <w:pPr>
          <w:ind w:left="1440" w:hanging="360"/>
        </w:pPr>
        <w:rPr>
          <w:rFonts w:ascii="Wingdings" w:hAnsi="Wingdings" w:cs="Times New Roman" w:hint="default"/>
          <w:color w:val="auto"/>
        </w:rPr>
      </w:lvl>
    </w:lvlOverride>
    <w:lvlOverride w:ilvl="4">
      <w:lvl w:ilvl="4">
        <w:start w:val="1"/>
        <w:numFmt w:val="lowerLetter"/>
        <w:lvlText w:val="(%5)"/>
        <w:lvlJc w:val="left"/>
        <w:pPr>
          <w:ind w:left="1800" w:hanging="360"/>
        </w:pPr>
      </w:lvl>
    </w:lvlOverride>
    <w:lvlOverride w:ilvl="5">
      <w:lvl w:ilvl="5">
        <w:start w:val="1"/>
        <w:numFmt w:val="lowerRoman"/>
        <w:lvlText w:val="(%6)"/>
        <w:lvlJc w:val="left"/>
        <w:pPr>
          <w:ind w:left="2160" w:hanging="360"/>
        </w:pPr>
      </w:lvl>
    </w:lvlOverride>
    <w:lvlOverride w:ilvl="6">
      <w:lvl w:ilvl="6">
        <w:start w:val="1"/>
        <w:numFmt w:val="decimal"/>
        <w:lvlText w:val="%7."/>
        <w:lvlJc w:val="left"/>
        <w:pPr>
          <w:ind w:left="2520" w:hanging="360"/>
        </w:pPr>
      </w:lvl>
    </w:lvlOverride>
    <w:lvlOverride w:ilvl="7">
      <w:lvl w:ilvl="7">
        <w:start w:val="1"/>
        <w:numFmt w:val="lowerLetter"/>
        <w:lvlText w:val="%8."/>
        <w:lvlJc w:val="left"/>
        <w:pPr>
          <w:ind w:left="2880" w:hanging="360"/>
        </w:pPr>
      </w:lvl>
    </w:lvlOverride>
    <w:lvlOverride w:ilvl="8">
      <w:lvl w:ilvl="8">
        <w:start w:val="1"/>
        <w:numFmt w:val="lowerRoman"/>
        <w:lvlText w:val="%9."/>
        <w:lvlJc w:val="left"/>
        <w:pPr>
          <w:ind w:left="3240" w:hanging="360"/>
        </w:pPr>
      </w:lvl>
    </w:lvlOverride>
  </w:num>
  <w:num w:numId="78" w16cid:durableId="332729818">
    <w:abstractNumId w:val="79"/>
    <w:lvlOverride w:ilvl="0">
      <w:startOverride w:val="1"/>
      <w:lvl w:ilvl="0">
        <w:start w:val="1"/>
        <w:numFmt w:val="decimal"/>
        <w:pStyle w:val="ListNumber0"/>
        <w:lvlText w:val="%1."/>
        <w:lvlJc w:val="left"/>
        <w:pPr>
          <w:tabs>
            <w:tab w:val="num" w:pos="425"/>
          </w:tabs>
          <w:ind w:left="425" w:hanging="425"/>
        </w:pPr>
        <w:rPr>
          <w:rFonts w:ascii="Calibri Light" w:hAnsi="Calibri Light" w:cs="Calibri Light" w:hint="default"/>
          <w:b w:val="0"/>
          <w:bCs w:val="0"/>
          <w:i w:val="0"/>
          <w:iCs w:val="0"/>
          <w:caps w:val="0"/>
          <w:strike w:val="0"/>
          <w:dstrike w:val="0"/>
          <w:vanish w:val="0"/>
          <w:color w:val="auto"/>
          <w:sz w:val="22"/>
          <w:szCs w:val="22"/>
          <w:vertAlign w:val="baseline"/>
          <w14:shadow w14:blurRad="0" w14:dist="0" w14:dir="0" w14:sx="0" w14:sy="0" w14:kx="0" w14:ky="0" w14:algn="none">
            <w14:srgbClr w14:val="000000"/>
          </w14:shadow>
          <w14:textOutline w14:w="0" w14:cap="rnd" w14:cmpd="sng" w14:algn="ctr">
            <w14:noFill/>
            <w14:prstDash w14:val="solid"/>
            <w14:bevel/>
          </w14:textOutline>
        </w:rPr>
      </w:lvl>
    </w:lvlOverride>
    <w:lvlOverride w:ilvl="1">
      <w:startOverride w:val="1"/>
      <w:lvl w:ilvl="1">
        <w:start w:val="1"/>
        <w:numFmt w:val="lowerLetter"/>
        <w:pStyle w:val="ListNumber2"/>
        <w:lvlText w:val="%2."/>
        <w:lvlJc w:val="left"/>
        <w:pPr>
          <w:tabs>
            <w:tab w:val="num" w:pos="850"/>
          </w:tabs>
          <w:ind w:left="850" w:hanging="425"/>
        </w:pPr>
        <w:rPr>
          <w:rFonts w:asciiTheme="minorHAnsi" w:hAnsiTheme="minorHAnsi" w:hint="default"/>
          <w:b w:val="0"/>
          <w:i w:val="0"/>
          <w:color w:val="auto"/>
          <w:sz w:val="18"/>
        </w:rPr>
      </w:lvl>
    </w:lvlOverride>
    <w:lvlOverride w:ilvl="2">
      <w:startOverride w:val="1"/>
      <w:lvl w:ilvl="2">
        <w:start w:val="1"/>
        <w:numFmt w:val="lowerRoman"/>
        <w:pStyle w:val="ListNumber3"/>
        <w:lvlText w:val="%3."/>
        <w:lvlJc w:val="left"/>
        <w:pPr>
          <w:tabs>
            <w:tab w:val="num" w:pos="1275"/>
          </w:tabs>
          <w:ind w:left="1275" w:hanging="425"/>
        </w:pPr>
        <w:rPr>
          <w:rFonts w:asciiTheme="minorHAnsi" w:hAnsiTheme="minorHAnsi" w:hint="default"/>
          <w:b w:val="0"/>
          <w:i w:val="0"/>
          <w:color w:val="auto"/>
          <w:sz w:val="18"/>
        </w:rPr>
      </w:lvl>
    </w:lvlOverride>
    <w:lvlOverride w:ilvl="3">
      <w:startOverride w:val="1"/>
      <w:lvl w:ilvl="3">
        <w:start w:val="1"/>
        <w:numFmt w:val="upperLetter"/>
        <w:pStyle w:val="ListNumber4"/>
        <w:lvlText w:val="%4."/>
        <w:lvlJc w:val="left"/>
        <w:pPr>
          <w:tabs>
            <w:tab w:val="num" w:pos="1700"/>
          </w:tabs>
          <w:ind w:left="1700" w:hanging="425"/>
        </w:pPr>
        <w:rPr>
          <w:rFonts w:asciiTheme="minorHAnsi" w:hAnsiTheme="minorHAnsi" w:hint="default"/>
          <w:b w:val="0"/>
          <w:i w:val="0"/>
          <w:color w:val="auto"/>
          <w:sz w:val="18"/>
        </w:rPr>
      </w:lvl>
    </w:lvlOverride>
    <w:lvlOverride w:ilvl="4">
      <w:startOverride w:val="1"/>
      <w:lvl w:ilvl="4">
        <w:start w:val="1"/>
        <w:numFmt w:val="upperRoman"/>
        <w:pStyle w:val="ListNumber5"/>
        <w:lvlText w:val="%5."/>
        <w:lvlJc w:val="left"/>
        <w:pPr>
          <w:tabs>
            <w:tab w:val="num" w:pos="2125"/>
          </w:tabs>
          <w:ind w:left="2125" w:hanging="425"/>
        </w:pPr>
        <w:rPr>
          <w:rFonts w:asciiTheme="minorHAnsi" w:hAnsiTheme="minorHAnsi" w:hint="default"/>
          <w:b w:val="0"/>
          <w:i w:val="0"/>
          <w:color w:val="auto"/>
          <w:sz w:val="18"/>
        </w:rPr>
      </w:lvl>
    </w:lvlOverride>
    <w:lvlOverride w:ilvl="5">
      <w:startOverride w:val="1"/>
      <w:lvl w:ilvl="5">
        <w:start w:val="1"/>
        <w:numFmt w:val="decimal"/>
        <w:pStyle w:val="ListNumber6"/>
        <w:lvlText w:val="%6."/>
        <w:lvlJc w:val="left"/>
        <w:pPr>
          <w:tabs>
            <w:tab w:val="num" w:pos="2550"/>
          </w:tabs>
          <w:ind w:left="2550" w:hanging="425"/>
        </w:pPr>
        <w:rPr>
          <w:rFonts w:asciiTheme="minorHAnsi" w:hAnsiTheme="minorHAnsi" w:hint="default"/>
          <w:b w:val="0"/>
          <w:i w:val="0"/>
          <w:color w:val="auto"/>
          <w:sz w:val="18"/>
        </w:rPr>
      </w:lvl>
    </w:lvlOverride>
    <w:lvlOverride w:ilvl="6">
      <w:startOverride w:val="1"/>
      <w:lvl w:ilvl="6">
        <w:start w:val="1"/>
        <w:numFmt w:val="none"/>
        <w:suff w:val="nothing"/>
        <w:lvlText w:val="%7"/>
        <w:lvlJc w:val="left"/>
        <w:pPr>
          <w:ind w:left="2975" w:hanging="425"/>
        </w:pPr>
        <w:rPr>
          <w:rFonts w:hint="default"/>
          <w:color w:val="E1001A"/>
        </w:rPr>
      </w:lvl>
    </w:lvlOverride>
    <w:lvlOverride w:ilvl="7">
      <w:startOverride w:val="1"/>
      <w:lvl w:ilvl="7">
        <w:start w:val="1"/>
        <w:numFmt w:val="none"/>
        <w:suff w:val="nothing"/>
        <w:lvlText w:val="%8"/>
        <w:lvlJc w:val="left"/>
        <w:pPr>
          <w:ind w:left="3400" w:hanging="425"/>
        </w:pPr>
        <w:rPr>
          <w:rFonts w:hint="default"/>
          <w:color w:val="E1001A"/>
          <w:sz w:val="20"/>
        </w:rPr>
      </w:lvl>
    </w:lvlOverride>
    <w:lvlOverride w:ilvl="8">
      <w:startOverride w:val="1"/>
      <w:lvl w:ilvl="8">
        <w:start w:val="1"/>
        <w:numFmt w:val="none"/>
        <w:suff w:val="nothing"/>
        <w:lvlText w:val="%9"/>
        <w:lvlJc w:val="left"/>
        <w:pPr>
          <w:ind w:left="3825" w:hanging="425"/>
        </w:pPr>
        <w:rPr>
          <w:rFonts w:hint="default"/>
          <w:color w:val="E1001A"/>
        </w:rPr>
      </w:lvl>
    </w:lvlOverride>
  </w:num>
  <w:num w:numId="79" w16cid:durableId="1672368595">
    <w:abstractNumId w:val="47"/>
  </w:num>
  <w:num w:numId="80" w16cid:durableId="734622624">
    <w:abstractNumId w:val="14"/>
  </w:num>
  <w:num w:numId="81" w16cid:durableId="1944609119">
    <w:abstractNumId w:val="46"/>
  </w:num>
  <w:num w:numId="82" w16cid:durableId="2114543875">
    <w:abstractNumId w:val="21"/>
  </w:num>
  <w:num w:numId="83" w16cid:durableId="1905800018">
    <w:abstractNumId w:val="44"/>
  </w:num>
  <w:numIdMacAtCleanup w:val="8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PersonalInformation/>
  <w:removeDateAndTime/>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0&lt;/Enabled&gt;&lt;ScanUnformatted&gt;1&lt;/ScanUnformatted&gt;&lt;ScanChanges&gt;1&lt;/ScanChanges&gt;&lt;Suspended&gt;0&lt;/Suspended&gt;&lt;/ENInstantFormat&gt;"/>
    <w:docVar w:name="EN.Layout" w:val="&lt;ENLayout&gt;&lt;Style&gt;APA 6th_Ehargreaves&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etpte9adcdfve1eerz5pws2fvps522ds5svf&quot;&gt;143022&lt;record-ids&gt;&lt;item&gt;20288&lt;/item&gt;&lt;item&gt;20635&lt;/item&gt;&lt;item&gt;20849&lt;/item&gt;&lt;item&gt;20850&lt;/item&gt;&lt;item&gt;20946&lt;/item&gt;&lt;item&gt;20960&lt;/item&gt;&lt;/record-ids&gt;&lt;/item&gt;&lt;item db-id=&quot;wzwwsfxe4peesxef95cxvrwjxts9rreasarf&quot;&gt;HTA Review&lt;record-ids&gt;&lt;item&gt;2&lt;/item&gt;&lt;item&gt;4&lt;/item&gt;&lt;item&gt;7&lt;/item&gt;&lt;item&gt;9&lt;/item&gt;&lt;item&gt;10&lt;/item&gt;&lt;item&gt;12&lt;/item&gt;&lt;item&gt;17&lt;/item&gt;&lt;item&gt;22&lt;/item&gt;&lt;item&gt;23&lt;/item&gt;&lt;item&gt;24&lt;/item&gt;&lt;item&gt;25&lt;/item&gt;&lt;item&gt;26&lt;/item&gt;&lt;item&gt;27&lt;/item&gt;&lt;item&gt;31&lt;/item&gt;&lt;item&gt;35&lt;/item&gt;&lt;item&gt;38&lt;/item&gt;&lt;item&gt;41&lt;/item&gt;&lt;item&gt;43&lt;/item&gt;&lt;item&gt;44&lt;/item&gt;&lt;item&gt;45&lt;/item&gt;&lt;item&gt;54&lt;/item&gt;&lt;item&gt;56&lt;/item&gt;&lt;item&gt;64&lt;/item&gt;&lt;item&gt;70&lt;/item&gt;&lt;item&gt;71&lt;/item&gt;&lt;item&gt;75&lt;/item&gt;&lt;item&gt;78&lt;/item&gt;&lt;item&gt;79&lt;/item&gt;&lt;item&gt;86&lt;/item&gt;&lt;item&gt;96&lt;/item&gt;&lt;item&gt;99&lt;/item&gt;&lt;item&gt;103&lt;/item&gt;&lt;item&gt;105&lt;/item&gt;&lt;item&gt;106&lt;/item&gt;&lt;item&gt;114&lt;/item&gt;&lt;item&gt;115&lt;/item&gt;&lt;item&gt;116&lt;/item&gt;&lt;item&gt;125&lt;/item&gt;&lt;item&gt;131&lt;/item&gt;&lt;item&gt;132&lt;/item&gt;&lt;item&gt;134&lt;/item&gt;&lt;item&gt;137&lt;/item&gt;&lt;item&gt;138&lt;/item&gt;&lt;item&gt;143&lt;/item&gt;&lt;item&gt;145&lt;/item&gt;&lt;item&gt;146&lt;/item&gt;&lt;item&gt;150&lt;/item&gt;&lt;item&gt;151&lt;/item&gt;&lt;item&gt;157&lt;/item&gt;&lt;item&gt;158&lt;/item&gt;&lt;item&gt;167&lt;/item&gt;&lt;item&gt;172&lt;/item&gt;&lt;item&gt;173&lt;/item&gt;&lt;item&gt;174&lt;/item&gt;&lt;item&gt;178&lt;/item&gt;&lt;item&gt;179&lt;/item&gt;&lt;item&gt;185&lt;/item&gt;&lt;item&gt;187&lt;/item&gt;&lt;item&gt;188&lt;/item&gt;&lt;item&gt;189&lt;/item&gt;&lt;item&gt;197&lt;/item&gt;&lt;item&gt;198&lt;/item&gt;&lt;item&gt;202&lt;/item&gt;&lt;item&gt;211&lt;/item&gt;&lt;item&gt;212&lt;/item&gt;&lt;item&gt;217&lt;/item&gt;&lt;item&gt;220&lt;/item&gt;&lt;item&gt;221&lt;/item&gt;&lt;item&gt;223&lt;/item&gt;&lt;item&gt;225&lt;/item&gt;&lt;item&gt;233&lt;/item&gt;&lt;item&gt;234&lt;/item&gt;&lt;item&gt;240&lt;/item&gt;&lt;item&gt;246&lt;/item&gt;&lt;item&gt;249&lt;/item&gt;&lt;item&gt;250&lt;/item&gt;&lt;item&gt;251&lt;/item&gt;&lt;item&gt;252&lt;/item&gt;&lt;item&gt;254&lt;/item&gt;&lt;item&gt;259&lt;/item&gt;&lt;item&gt;260&lt;/item&gt;&lt;item&gt;263&lt;/item&gt;&lt;item&gt;269&lt;/item&gt;&lt;item&gt;277&lt;/item&gt;&lt;item&gt;282&lt;/item&gt;&lt;item&gt;290&lt;/item&gt;&lt;item&gt;293&lt;/item&gt;&lt;item&gt;297&lt;/item&gt;&lt;item&gt;300&lt;/item&gt;&lt;item&gt;301&lt;/item&gt;&lt;item&gt;302&lt;/item&gt;&lt;item&gt;308&lt;/item&gt;&lt;item&gt;309&lt;/item&gt;&lt;item&gt;310&lt;/item&gt;&lt;item&gt;314&lt;/item&gt;&lt;item&gt;319&lt;/item&gt;&lt;item&gt;320&lt;/item&gt;&lt;item&gt;321&lt;/item&gt;&lt;item&gt;324&lt;/item&gt;&lt;item&gt;325&lt;/item&gt;&lt;item&gt;328&lt;/item&gt;&lt;item&gt;333&lt;/item&gt;&lt;item&gt;340&lt;/item&gt;&lt;item&gt;342&lt;/item&gt;&lt;item&gt;343&lt;/item&gt;&lt;item&gt;346&lt;/item&gt;&lt;item&gt;347&lt;/item&gt;&lt;item&gt;348&lt;/item&gt;&lt;item&gt;349&lt;/item&gt;&lt;item&gt;350&lt;/item&gt;&lt;item&gt;351&lt;/item&gt;&lt;item&gt;352&lt;/item&gt;&lt;item&gt;353&lt;/item&gt;&lt;item&gt;356&lt;/item&gt;&lt;item&gt;360&lt;/item&gt;&lt;item&gt;367&lt;/item&gt;&lt;item&gt;369&lt;/item&gt;&lt;item&gt;372&lt;/item&gt;&lt;item&gt;376&lt;/item&gt;&lt;item&gt;380&lt;/item&gt;&lt;item&gt;381&lt;/item&gt;&lt;item&gt;382&lt;/item&gt;&lt;item&gt;383&lt;/item&gt;&lt;item&gt;384&lt;/item&gt;&lt;item&gt;389&lt;/item&gt;&lt;item&gt;394&lt;/item&gt;&lt;item&gt;395&lt;/item&gt;&lt;item&gt;397&lt;/item&gt;&lt;item&gt;403&lt;/item&gt;&lt;item&gt;408&lt;/item&gt;&lt;item&gt;412&lt;/item&gt;&lt;item&gt;416&lt;/item&gt;&lt;item&gt;423&lt;/item&gt;&lt;item&gt;428&lt;/item&gt;&lt;item&gt;433&lt;/item&gt;&lt;item&gt;434&lt;/item&gt;&lt;item&gt;440&lt;/item&gt;&lt;item&gt;443&lt;/item&gt;&lt;item&gt;447&lt;/item&gt;&lt;item&gt;450&lt;/item&gt;&lt;item&gt;452&lt;/item&gt;&lt;item&gt;455&lt;/item&gt;&lt;item&gt;456&lt;/item&gt;&lt;item&gt;458&lt;/item&gt;&lt;item&gt;459&lt;/item&gt;&lt;item&gt;460&lt;/item&gt;&lt;item&gt;463&lt;/item&gt;&lt;item&gt;468&lt;/item&gt;&lt;item&gt;477&lt;/item&gt;&lt;item&gt;482&lt;/item&gt;&lt;item&gt;483&lt;/item&gt;&lt;item&gt;485&lt;/item&gt;&lt;item&gt;486&lt;/item&gt;&lt;item&gt;487&lt;/item&gt;&lt;item&gt;488&lt;/item&gt;&lt;item&gt;508&lt;/item&gt;&lt;item&gt;514&lt;/item&gt;&lt;item&gt;515&lt;/item&gt;&lt;item&gt;517&lt;/item&gt;&lt;item&gt;518&lt;/item&gt;&lt;item&gt;522&lt;/item&gt;&lt;item&gt;523&lt;/item&gt;&lt;item&gt;524&lt;/item&gt;&lt;item&gt;525&lt;/item&gt;&lt;item&gt;527&lt;/item&gt;&lt;item&gt;530&lt;/item&gt;&lt;item&gt;532&lt;/item&gt;&lt;item&gt;534&lt;/item&gt;&lt;item&gt;535&lt;/item&gt;&lt;item&gt;536&lt;/item&gt;&lt;item&gt;537&lt;/item&gt;&lt;item&gt;538&lt;/item&gt;&lt;item&gt;542&lt;/item&gt;&lt;item&gt;543&lt;/item&gt;&lt;item&gt;551&lt;/item&gt;&lt;item&gt;552&lt;/item&gt;&lt;item&gt;555&lt;/item&gt;&lt;item&gt;565&lt;/item&gt;&lt;item&gt;567&lt;/item&gt;&lt;item&gt;582&lt;/item&gt;&lt;item&gt;593&lt;/item&gt;&lt;item&gt;597&lt;/item&gt;&lt;item&gt;601&lt;/item&gt;&lt;item&gt;603&lt;/item&gt;&lt;item&gt;608&lt;/item&gt;&lt;item&gt;613&lt;/item&gt;&lt;item&gt;614&lt;/item&gt;&lt;item&gt;615&lt;/item&gt;&lt;item&gt;616&lt;/item&gt;&lt;item&gt;617&lt;/item&gt;&lt;item&gt;619&lt;/item&gt;&lt;item&gt;620&lt;/item&gt;&lt;item&gt;621&lt;/item&gt;&lt;item&gt;622&lt;/item&gt;&lt;item&gt;623&lt;/item&gt;&lt;item&gt;624&lt;/item&gt;&lt;item&gt;625&lt;/item&gt;&lt;item&gt;626&lt;/item&gt;&lt;item&gt;627&lt;/item&gt;&lt;item&gt;628&lt;/item&gt;&lt;item&gt;629&lt;/item&gt;&lt;item&gt;630&lt;/item&gt;&lt;item&gt;631&lt;/item&gt;&lt;item&gt;632&lt;/item&gt;&lt;item&gt;633&lt;/item&gt;&lt;item&gt;634&lt;/item&gt;&lt;item&gt;635&lt;/item&gt;&lt;item&gt;636&lt;/item&gt;&lt;item&gt;637&lt;/item&gt;&lt;item&gt;638&lt;/item&gt;&lt;item&gt;639&lt;/item&gt;&lt;item&gt;640&lt;/item&gt;&lt;item&gt;641&lt;/item&gt;&lt;item&gt;646&lt;/item&gt;&lt;item&gt;647&lt;/item&gt;&lt;item&gt;648&lt;/item&gt;&lt;item&gt;649&lt;/item&gt;&lt;item&gt;650&lt;/item&gt;&lt;item&gt;651&lt;/item&gt;&lt;item&gt;652&lt;/item&gt;&lt;item&gt;653&lt;/item&gt;&lt;item&gt;654&lt;/item&gt;&lt;item&gt;655&lt;/item&gt;&lt;item&gt;656&lt;/item&gt;&lt;item&gt;657&lt;/item&gt;&lt;item&gt;658&lt;/item&gt;&lt;item&gt;659&lt;/item&gt;&lt;item&gt;660&lt;/item&gt;&lt;item&gt;661&lt;/item&gt;&lt;item&gt;662&lt;/item&gt;&lt;item&gt;663&lt;/item&gt;&lt;item&gt;664&lt;/item&gt;&lt;item&gt;665&lt;/item&gt;&lt;item&gt;667&lt;/item&gt;&lt;item&gt;668&lt;/item&gt;&lt;item&gt;669&lt;/item&gt;&lt;item&gt;670&lt;/item&gt;&lt;item&gt;671&lt;/item&gt;&lt;item&gt;672&lt;/item&gt;&lt;item&gt;673&lt;/item&gt;&lt;item&gt;674&lt;/item&gt;&lt;item&gt;675&lt;/item&gt;&lt;item&gt;676&lt;/item&gt;&lt;item&gt;677&lt;/item&gt;&lt;item&gt;678&lt;/item&gt;&lt;item&gt;679&lt;/item&gt;&lt;item&gt;680&lt;/item&gt;&lt;item&gt;681&lt;/item&gt;&lt;item&gt;682&lt;/item&gt;&lt;item&gt;683&lt;/item&gt;&lt;item&gt;684&lt;/item&gt;&lt;item&gt;685&lt;/item&gt;&lt;item&gt;686&lt;/item&gt;&lt;item&gt;687&lt;/item&gt;&lt;item&gt;689&lt;/item&gt;&lt;item&gt;690&lt;/item&gt;&lt;item&gt;691&lt;/item&gt;&lt;item&gt;692&lt;/item&gt;&lt;item&gt;693&lt;/item&gt;&lt;item&gt;694&lt;/item&gt;&lt;item&gt;695&lt;/item&gt;&lt;item&gt;696&lt;/item&gt;&lt;item&gt;697&lt;/item&gt;&lt;item&gt;698&lt;/item&gt;&lt;item&gt;699&lt;/item&gt;&lt;item&gt;700&lt;/item&gt;&lt;item&gt;701&lt;/item&gt;&lt;item&gt;702&lt;/item&gt;&lt;item&gt;703&lt;/item&gt;&lt;item&gt;704&lt;/item&gt;&lt;item&gt;705&lt;/item&gt;&lt;item&gt;706&lt;/item&gt;&lt;item&gt;707&lt;/item&gt;&lt;item&gt;710&lt;/item&gt;&lt;item&gt;711&lt;/item&gt;&lt;item&gt;712&lt;/item&gt;&lt;item&gt;713&lt;/item&gt;&lt;item&gt;714&lt;/item&gt;&lt;/record-ids&gt;&lt;/item&gt;&lt;/Libraries&gt;"/>
  </w:docVars>
  <w:rsids>
    <w:rsidRoot w:val="001400C6"/>
    <w:rsid w:val="0000068C"/>
    <w:rsid w:val="00000C66"/>
    <w:rsid w:val="00001002"/>
    <w:rsid w:val="00001157"/>
    <w:rsid w:val="00001188"/>
    <w:rsid w:val="0000136F"/>
    <w:rsid w:val="00001D39"/>
    <w:rsid w:val="00001FA7"/>
    <w:rsid w:val="0000227A"/>
    <w:rsid w:val="000023E9"/>
    <w:rsid w:val="00002458"/>
    <w:rsid w:val="00002667"/>
    <w:rsid w:val="00002878"/>
    <w:rsid w:val="00003189"/>
    <w:rsid w:val="00003493"/>
    <w:rsid w:val="000036EB"/>
    <w:rsid w:val="00004247"/>
    <w:rsid w:val="00004402"/>
    <w:rsid w:val="0000452B"/>
    <w:rsid w:val="00004F4C"/>
    <w:rsid w:val="0000501B"/>
    <w:rsid w:val="00005083"/>
    <w:rsid w:val="00005279"/>
    <w:rsid w:val="00005441"/>
    <w:rsid w:val="00005503"/>
    <w:rsid w:val="00005584"/>
    <w:rsid w:val="000055C1"/>
    <w:rsid w:val="00005F0E"/>
    <w:rsid w:val="00006100"/>
    <w:rsid w:val="00006134"/>
    <w:rsid w:val="00006424"/>
    <w:rsid w:val="0000673F"/>
    <w:rsid w:val="00006821"/>
    <w:rsid w:val="00006A52"/>
    <w:rsid w:val="00007154"/>
    <w:rsid w:val="000072DC"/>
    <w:rsid w:val="00007353"/>
    <w:rsid w:val="00007730"/>
    <w:rsid w:val="00007BB1"/>
    <w:rsid w:val="00010A6F"/>
    <w:rsid w:val="00010CF7"/>
    <w:rsid w:val="00010D8C"/>
    <w:rsid w:val="0001181D"/>
    <w:rsid w:val="000119BD"/>
    <w:rsid w:val="00011B24"/>
    <w:rsid w:val="00011BEE"/>
    <w:rsid w:val="00011DF9"/>
    <w:rsid w:val="00011ED1"/>
    <w:rsid w:val="000122BC"/>
    <w:rsid w:val="00012538"/>
    <w:rsid w:val="0001280D"/>
    <w:rsid w:val="00012C44"/>
    <w:rsid w:val="00012FA6"/>
    <w:rsid w:val="00013111"/>
    <w:rsid w:val="000134A0"/>
    <w:rsid w:val="000136CF"/>
    <w:rsid w:val="000141E1"/>
    <w:rsid w:val="0001485C"/>
    <w:rsid w:val="00014881"/>
    <w:rsid w:val="00014E9B"/>
    <w:rsid w:val="00014F44"/>
    <w:rsid w:val="000150B4"/>
    <w:rsid w:val="000150BF"/>
    <w:rsid w:val="00015198"/>
    <w:rsid w:val="0001584F"/>
    <w:rsid w:val="000158C8"/>
    <w:rsid w:val="0001601D"/>
    <w:rsid w:val="000166A8"/>
    <w:rsid w:val="000167CA"/>
    <w:rsid w:val="000168C2"/>
    <w:rsid w:val="00017410"/>
    <w:rsid w:val="00017F67"/>
    <w:rsid w:val="00020406"/>
    <w:rsid w:val="00020ED1"/>
    <w:rsid w:val="00020EE5"/>
    <w:rsid w:val="00020EF2"/>
    <w:rsid w:val="00020FEE"/>
    <w:rsid w:val="000215A0"/>
    <w:rsid w:val="00021CA6"/>
    <w:rsid w:val="00022186"/>
    <w:rsid w:val="00022456"/>
    <w:rsid w:val="0002252F"/>
    <w:rsid w:val="00022711"/>
    <w:rsid w:val="000229D0"/>
    <w:rsid w:val="00022AFD"/>
    <w:rsid w:val="00022CE1"/>
    <w:rsid w:val="00022D03"/>
    <w:rsid w:val="0002324E"/>
    <w:rsid w:val="0002330D"/>
    <w:rsid w:val="00023541"/>
    <w:rsid w:val="0002384D"/>
    <w:rsid w:val="00023B03"/>
    <w:rsid w:val="00023D0E"/>
    <w:rsid w:val="00023D3C"/>
    <w:rsid w:val="00024108"/>
    <w:rsid w:val="00024228"/>
    <w:rsid w:val="00024461"/>
    <w:rsid w:val="000248D9"/>
    <w:rsid w:val="000248F8"/>
    <w:rsid w:val="00024D7F"/>
    <w:rsid w:val="0002548D"/>
    <w:rsid w:val="00025725"/>
    <w:rsid w:val="000257AF"/>
    <w:rsid w:val="00025B06"/>
    <w:rsid w:val="00025D70"/>
    <w:rsid w:val="00025FDE"/>
    <w:rsid w:val="00026D9A"/>
    <w:rsid w:val="00026F0F"/>
    <w:rsid w:val="00027078"/>
    <w:rsid w:val="0002741E"/>
    <w:rsid w:val="00027550"/>
    <w:rsid w:val="0002772E"/>
    <w:rsid w:val="00027ED1"/>
    <w:rsid w:val="00027FA7"/>
    <w:rsid w:val="00030075"/>
    <w:rsid w:val="00030407"/>
    <w:rsid w:val="00030591"/>
    <w:rsid w:val="0003072A"/>
    <w:rsid w:val="00030B0D"/>
    <w:rsid w:val="00030F7D"/>
    <w:rsid w:val="0003113F"/>
    <w:rsid w:val="00031480"/>
    <w:rsid w:val="00031A6D"/>
    <w:rsid w:val="00031A75"/>
    <w:rsid w:val="00031CC0"/>
    <w:rsid w:val="00032122"/>
    <w:rsid w:val="000323E1"/>
    <w:rsid w:val="00032479"/>
    <w:rsid w:val="00032A77"/>
    <w:rsid w:val="00032D8B"/>
    <w:rsid w:val="00032EA4"/>
    <w:rsid w:val="00032EC6"/>
    <w:rsid w:val="00033202"/>
    <w:rsid w:val="0003325B"/>
    <w:rsid w:val="00033549"/>
    <w:rsid w:val="00033887"/>
    <w:rsid w:val="000338CC"/>
    <w:rsid w:val="00033AB9"/>
    <w:rsid w:val="00033AE5"/>
    <w:rsid w:val="00033B1E"/>
    <w:rsid w:val="00033D16"/>
    <w:rsid w:val="000341CD"/>
    <w:rsid w:val="0003446B"/>
    <w:rsid w:val="00034942"/>
    <w:rsid w:val="0003498C"/>
    <w:rsid w:val="00034C29"/>
    <w:rsid w:val="00035B63"/>
    <w:rsid w:val="00035B86"/>
    <w:rsid w:val="000363B2"/>
    <w:rsid w:val="000364A2"/>
    <w:rsid w:val="000365C5"/>
    <w:rsid w:val="00036853"/>
    <w:rsid w:val="00037007"/>
    <w:rsid w:val="00037354"/>
    <w:rsid w:val="000373D3"/>
    <w:rsid w:val="00037458"/>
    <w:rsid w:val="00037D2A"/>
    <w:rsid w:val="00040329"/>
    <w:rsid w:val="0004036F"/>
    <w:rsid w:val="000403BE"/>
    <w:rsid w:val="00040532"/>
    <w:rsid w:val="000414E5"/>
    <w:rsid w:val="00041553"/>
    <w:rsid w:val="00041789"/>
    <w:rsid w:val="00041841"/>
    <w:rsid w:val="000418E3"/>
    <w:rsid w:val="00041C5D"/>
    <w:rsid w:val="00042285"/>
    <w:rsid w:val="00042A43"/>
    <w:rsid w:val="0004355F"/>
    <w:rsid w:val="00043645"/>
    <w:rsid w:val="00043D58"/>
    <w:rsid w:val="00043DB1"/>
    <w:rsid w:val="0004431A"/>
    <w:rsid w:val="00044547"/>
    <w:rsid w:val="000446F4"/>
    <w:rsid w:val="00044E1F"/>
    <w:rsid w:val="00044F9C"/>
    <w:rsid w:val="000452F1"/>
    <w:rsid w:val="000458BC"/>
    <w:rsid w:val="00045B33"/>
    <w:rsid w:val="00045CE7"/>
    <w:rsid w:val="000460FA"/>
    <w:rsid w:val="0004668A"/>
    <w:rsid w:val="00046C76"/>
    <w:rsid w:val="000472A2"/>
    <w:rsid w:val="000474F5"/>
    <w:rsid w:val="0004751F"/>
    <w:rsid w:val="00047714"/>
    <w:rsid w:val="00047778"/>
    <w:rsid w:val="00047DBE"/>
    <w:rsid w:val="00050593"/>
    <w:rsid w:val="00050B53"/>
    <w:rsid w:val="00050F04"/>
    <w:rsid w:val="00051157"/>
    <w:rsid w:val="00051220"/>
    <w:rsid w:val="0005168B"/>
    <w:rsid w:val="000517E3"/>
    <w:rsid w:val="0005196F"/>
    <w:rsid w:val="00051B81"/>
    <w:rsid w:val="00051F40"/>
    <w:rsid w:val="00052679"/>
    <w:rsid w:val="0005292B"/>
    <w:rsid w:val="00052F87"/>
    <w:rsid w:val="00052FB1"/>
    <w:rsid w:val="00053B3E"/>
    <w:rsid w:val="000540FC"/>
    <w:rsid w:val="00054506"/>
    <w:rsid w:val="00054625"/>
    <w:rsid w:val="00054785"/>
    <w:rsid w:val="00054B90"/>
    <w:rsid w:val="00054CE5"/>
    <w:rsid w:val="00054D05"/>
    <w:rsid w:val="00054E38"/>
    <w:rsid w:val="00055080"/>
    <w:rsid w:val="000553E6"/>
    <w:rsid w:val="0005558B"/>
    <w:rsid w:val="00055778"/>
    <w:rsid w:val="000559C7"/>
    <w:rsid w:val="00055BC5"/>
    <w:rsid w:val="00055C92"/>
    <w:rsid w:val="000567F1"/>
    <w:rsid w:val="0005699D"/>
    <w:rsid w:val="00056E83"/>
    <w:rsid w:val="000575E1"/>
    <w:rsid w:val="000577A8"/>
    <w:rsid w:val="00057B80"/>
    <w:rsid w:val="00060290"/>
    <w:rsid w:val="000603D4"/>
    <w:rsid w:val="00060432"/>
    <w:rsid w:val="00060747"/>
    <w:rsid w:val="00060D26"/>
    <w:rsid w:val="000614C0"/>
    <w:rsid w:val="00061754"/>
    <w:rsid w:val="00062529"/>
    <w:rsid w:val="00062814"/>
    <w:rsid w:val="00062DD2"/>
    <w:rsid w:val="00063216"/>
    <w:rsid w:val="000634A5"/>
    <w:rsid w:val="0006387D"/>
    <w:rsid w:val="0006392C"/>
    <w:rsid w:val="00063CC9"/>
    <w:rsid w:val="0006405F"/>
    <w:rsid w:val="00064423"/>
    <w:rsid w:val="00064589"/>
    <w:rsid w:val="00064880"/>
    <w:rsid w:val="0006492D"/>
    <w:rsid w:val="00064EFD"/>
    <w:rsid w:val="00064F15"/>
    <w:rsid w:val="00065061"/>
    <w:rsid w:val="000652BA"/>
    <w:rsid w:val="00065550"/>
    <w:rsid w:val="00065BD2"/>
    <w:rsid w:val="00065BFA"/>
    <w:rsid w:val="00065D15"/>
    <w:rsid w:val="00065EF8"/>
    <w:rsid w:val="00065FDC"/>
    <w:rsid w:val="0006609B"/>
    <w:rsid w:val="0006620F"/>
    <w:rsid w:val="000664BA"/>
    <w:rsid w:val="000665D8"/>
    <w:rsid w:val="000669B3"/>
    <w:rsid w:val="0006703F"/>
    <w:rsid w:val="000672C1"/>
    <w:rsid w:val="00067414"/>
    <w:rsid w:val="000674AB"/>
    <w:rsid w:val="00067608"/>
    <w:rsid w:val="00067736"/>
    <w:rsid w:val="00067E5B"/>
    <w:rsid w:val="00067E95"/>
    <w:rsid w:val="00070134"/>
    <w:rsid w:val="000702F4"/>
    <w:rsid w:val="00070449"/>
    <w:rsid w:val="000707DA"/>
    <w:rsid w:val="00070A38"/>
    <w:rsid w:val="00070D4D"/>
    <w:rsid w:val="00070D59"/>
    <w:rsid w:val="00070D90"/>
    <w:rsid w:val="00070FEE"/>
    <w:rsid w:val="00071218"/>
    <w:rsid w:val="00071417"/>
    <w:rsid w:val="000715D1"/>
    <w:rsid w:val="00071861"/>
    <w:rsid w:val="00071C7D"/>
    <w:rsid w:val="00071CE9"/>
    <w:rsid w:val="00071EF7"/>
    <w:rsid w:val="00071FE7"/>
    <w:rsid w:val="0007204F"/>
    <w:rsid w:val="00072231"/>
    <w:rsid w:val="0007287E"/>
    <w:rsid w:val="00072AFC"/>
    <w:rsid w:val="00072B4F"/>
    <w:rsid w:val="00072CD9"/>
    <w:rsid w:val="00073362"/>
    <w:rsid w:val="000733D9"/>
    <w:rsid w:val="000735FB"/>
    <w:rsid w:val="00073B27"/>
    <w:rsid w:val="00073BD2"/>
    <w:rsid w:val="00073FC5"/>
    <w:rsid w:val="0007405B"/>
    <w:rsid w:val="00074072"/>
    <w:rsid w:val="00074201"/>
    <w:rsid w:val="00074272"/>
    <w:rsid w:val="00074403"/>
    <w:rsid w:val="000744D5"/>
    <w:rsid w:val="0007465E"/>
    <w:rsid w:val="000746D9"/>
    <w:rsid w:val="00074723"/>
    <w:rsid w:val="00074820"/>
    <w:rsid w:val="000749AB"/>
    <w:rsid w:val="0007536A"/>
    <w:rsid w:val="0007553E"/>
    <w:rsid w:val="00075913"/>
    <w:rsid w:val="00075970"/>
    <w:rsid w:val="00075CE0"/>
    <w:rsid w:val="00075E17"/>
    <w:rsid w:val="00076130"/>
    <w:rsid w:val="00076289"/>
    <w:rsid w:val="00076426"/>
    <w:rsid w:val="00076D7A"/>
    <w:rsid w:val="00076F97"/>
    <w:rsid w:val="00077106"/>
    <w:rsid w:val="000777B6"/>
    <w:rsid w:val="00077A11"/>
    <w:rsid w:val="00077DB6"/>
    <w:rsid w:val="000800F7"/>
    <w:rsid w:val="00080107"/>
    <w:rsid w:val="00080152"/>
    <w:rsid w:val="0008053A"/>
    <w:rsid w:val="00080569"/>
    <w:rsid w:val="00080A45"/>
    <w:rsid w:val="00080D8F"/>
    <w:rsid w:val="000811CC"/>
    <w:rsid w:val="000813A6"/>
    <w:rsid w:val="000813ED"/>
    <w:rsid w:val="0008153C"/>
    <w:rsid w:val="00081557"/>
    <w:rsid w:val="0008197B"/>
    <w:rsid w:val="00082203"/>
    <w:rsid w:val="00082242"/>
    <w:rsid w:val="0008230D"/>
    <w:rsid w:val="000824E3"/>
    <w:rsid w:val="00082631"/>
    <w:rsid w:val="000828E5"/>
    <w:rsid w:val="00082A58"/>
    <w:rsid w:val="00082AE9"/>
    <w:rsid w:val="00082B4B"/>
    <w:rsid w:val="0008337D"/>
    <w:rsid w:val="0008374C"/>
    <w:rsid w:val="00083933"/>
    <w:rsid w:val="00083C82"/>
    <w:rsid w:val="00083C87"/>
    <w:rsid w:val="00083FFE"/>
    <w:rsid w:val="00084083"/>
    <w:rsid w:val="00084302"/>
    <w:rsid w:val="000843A5"/>
    <w:rsid w:val="0008493E"/>
    <w:rsid w:val="0008523E"/>
    <w:rsid w:val="000854FB"/>
    <w:rsid w:val="000855DA"/>
    <w:rsid w:val="000856AB"/>
    <w:rsid w:val="00085D1E"/>
    <w:rsid w:val="00085D65"/>
    <w:rsid w:val="00085FC1"/>
    <w:rsid w:val="00086332"/>
    <w:rsid w:val="000867BE"/>
    <w:rsid w:val="000868AD"/>
    <w:rsid w:val="00086A3C"/>
    <w:rsid w:val="00086DE0"/>
    <w:rsid w:val="000870BB"/>
    <w:rsid w:val="0008713E"/>
    <w:rsid w:val="0008794F"/>
    <w:rsid w:val="00087CF3"/>
    <w:rsid w:val="00087D93"/>
    <w:rsid w:val="00087DDD"/>
    <w:rsid w:val="00087FDB"/>
    <w:rsid w:val="00090502"/>
    <w:rsid w:val="000905F1"/>
    <w:rsid w:val="0009103A"/>
    <w:rsid w:val="0009122D"/>
    <w:rsid w:val="00091C9D"/>
    <w:rsid w:val="000924A5"/>
    <w:rsid w:val="000924A9"/>
    <w:rsid w:val="00092688"/>
    <w:rsid w:val="00092E74"/>
    <w:rsid w:val="00093017"/>
    <w:rsid w:val="0009308C"/>
    <w:rsid w:val="00093119"/>
    <w:rsid w:val="0009373B"/>
    <w:rsid w:val="00093A58"/>
    <w:rsid w:val="000944D7"/>
    <w:rsid w:val="0009481B"/>
    <w:rsid w:val="00094877"/>
    <w:rsid w:val="0009490B"/>
    <w:rsid w:val="0009499F"/>
    <w:rsid w:val="00094A8D"/>
    <w:rsid w:val="00095357"/>
    <w:rsid w:val="000953B6"/>
    <w:rsid w:val="000964F0"/>
    <w:rsid w:val="00096D59"/>
    <w:rsid w:val="000977CA"/>
    <w:rsid w:val="00097A6C"/>
    <w:rsid w:val="00097A86"/>
    <w:rsid w:val="00097B48"/>
    <w:rsid w:val="000A01BC"/>
    <w:rsid w:val="000A0362"/>
    <w:rsid w:val="000A049C"/>
    <w:rsid w:val="000A0580"/>
    <w:rsid w:val="000A05D0"/>
    <w:rsid w:val="000A09F5"/>
    <w:rsid w:val="000A0AC5"/>
    <w:rsid w:val="000A0D13"/>
    <w:rsid w:val="000A0E5C"/>
    <w:rsid w:val="000A139D"/>
    <w:rsid w:val="000A1447"/>
    <w:rsid w:val="000A19AE"/>
    <w:rsid w:val="000A1F87"/>
    <w:rsid w:val="000A2132"/>
    <w:rsid w:val="000A2187"/>
    <w:rsid w:val="000A26FB"/>
    <w:rsid w:val="000A2DAD"/>
    <w:rsid w:val="000A3059"/>
    <w:rsid w:val="000A358A"/>
    <w:rsid w:val="000A3973"/>
    <w:rsid w:val="000A40FF"/>
    <w:rsid w:val="000A4114"/>
    <w:rsid w:val="000A4144"/>
    <w:rsid w:val="000A41B1"/>
    <w:rsid w:val="000A41D8"/>
    <w:rsid w:val="000A42D9"/>
    <w:rsid w:val="000A4C29"/>
    <w:rsid w:val="000A4D4F"/>
    <w:rsid w:val="000A5105"/>
    <w:rsid w:val="000A5170"/>
    <w:rsid w:val="000A539F"/>
    <w:rsid w:val="000A55CC"/>
    <w:rsid w:val="000A58E6"/>
    <w:rsid w:val="000A5B1F"/>
    <w:rsid w:val="000A6218"/>
    <w:rsid w:val="000A6AD3"/>
    <w:rsid w:val="000A6AFF"/>
    <w:rsid w:val="000A6C2F"/>
    <w:rsid w:val="000A7676"/>
    <w:rsid w:val="000A76B1"/>
    <w:rsid w:val="000A7935"/>
    <w:rsid w:val="000A7D29"/>
    <w:rsid w:val="000A7D75"/>
    <w:rsid w:val="000A7DD0"/>
    <w:rsid w:val="000B09B1"/>
    <w:rsid w:val="000B0B4D"/>
    <w:rsid w:val="000B0F1B"/>
    <w:rsid w:val="000B1515"/>
    <w:rsid w:val="000B2021"/>
    <w:rsid w:val="000B2285"/>
    <w:rsid w:val="000B256E"/>
    <w:rsid w:val="000B2A22"/>
    <w:rsid w:val="000B2D2D"/>
    <w:rsid w:val="000B2E6E"/>
    <w:rsid w:val="000B3152"/>
    <w:rsid w:val="000B3C0D"/>
    <w:rsid w:val="000B3D64"/>
    <w:rsid w:val="000B3E6C"/>
    <w:rsid w:val="000B3EBE"/>
    <w:rsid w:val="000B41B9"/>
    <w:rsid w:val="000B4447"/>
    <w:rsid w:val="000B4A25"/>
    <w:rsid w:val="000B4B88"/>
    <w:rsid w:val="000B4E00"/>
    <w:rsid w:val="000B5007"/>
    <w:rsid w:val="000B5427"/>
    <w:rsid w:val="000B5560"/>
    <w:rsid w:val="000B57F6"/>
    <w:rsid w:val="000B594B"/>
    <w:rsid w:val="000B65A5"/>
    <w:rsid w:val="000B6629"/>
    <w:rsid w:val="000B666B"/>
    <w:rsid w:val="000B6FA1"/>
    <w:rsid w:val="000B72B6"/>
    <w:rsid w:val="000B762A"/>
    <w:rsid w:val="000B773A"/>
    <w:rsid w:val="000B778F"/>
    <w:rsid w:val="000B7862"/>
    <w:rsid w:val="000B78B3"/>
    <w:rsid w:val="000B79B0"/>
    <w:rsid w:val="000C014F"/>
    <w:rsid w:val="000C0396"/>
    <w:rsid w:val="000C05C5"/>
    <w:rsid w:val="000C0747"/>
    <w:rsid w:val="000C08F2"/>
    <w:rsid w:val="000C0A81"/>
    <w:rsid w:val="000C0C22"/>
    <w:rsid w:val="000C0EE6"/>
    <w:rsid w:val="000C124E"/>
    <w:rsid w:val="000C136E"/>
    <w:rsid w:val="000C1662"/>
    <w:rsid w:val="000C185A"/>
    <w:rsid w:val="000C1AB5"/>
    <w:rsid w:val="000C1B0D"/>
    <w:rsid w:val="000C1D1E"/>
    <w:rsid w:val="000C20ED"/>
    <w:rsid w:val="000C22A4"/>
    <w:rsid w:val="000C24D5"/>
    <w:rsid w:val="000C274F"/>
    <w:rsid w:val="000C2CC4"/>
    <w:rsid w:val="000C3135"/>
    <w:rsid w:val="000C3C07"/>
    <w:rsid w:val="000C3C7B"/>
    <w:rsid w:val="000C3CBB"/>
    <w:rsid w:val="000C3DAF"/>
    <w:rsid w:val="000C3FB6"/>
    <w:rsid w:val="000C4301"/>
    <w:rsid w:val="000C48CD"/>
    <w:rsid w:val="000C4B19"/>
    <w:rsid w:val="000C4EFA"/>
    <w:rsid w:val="000C5072"/>
    <w:rsid w:val="000C51A2"/>
    <w:rsid w:val="000C52F1"/>
    <w:rsid w:val="000C5569"/>
    <w:rsid w:val="000C5670"/>
    <w:rsid w:val="000C587D"/>
    <w:rsid w:val="000C5C4C"/>
    <w:rsid w:val="000C5D7F"/>
    <w:rsid w:val="000C62C4"/>
    <w:rsid w:val="000C636B"/>
    <w:rsid w:val="000C63AF"/>
    <w:rsid w:val="000C66C0"/>
    <w:rsid w:val="000C690F"/>
    <w:rsid w:val="000C6932"/>
    <w:rsid w:val="000C6968"/>
    <w:rsid w:val="000C6E31"/>
    <w:rsid w:val="000C7452"/>
    <w:rsid w:val="000C7583"/>
    <w:rsid w:val="000C75EE"/>
    <w:rsid w:val="000C7A91"/>
    <w:rsid w:val="000C7AE9"/>
    <w:rsid w:val="000C7E4E"/>
    <w:rsid w:val="000D038C"/>
    <w:rsid w:val="000D054F"/>
    <w:rsid w:val="000D0C24"/>
    <w:rsid w:val="000D0E46"/>
    <w:rsid w:val="000D0E68"/>
    <w:rsid w:val="000D1220"/>
    <w:rsid w:val="000D1441"/>
    <w:rsid w:val="000D19A1"/>
    <w:rsid w:val="000D1C01"/>
    <w:rsid w:val="000D1D41"/>
    <w:rsid w:val="000D203D"/>
    <w:rsid w:val="000D25DA"/>
    <w:rsid w:val="000D26BB"/>
    <w:rsid w:val="000D275F"/>
    <w:rsid w:val="000D2CE5"/>
    <w:rsid w:val="000D2D4D"/>
    <w:rsid w:val="000D2F2D"/>
    <w:rsid w:val="000D33CE"/>
    <w:rsid w:val="000D3517"/>
    <w:rsid w:val="000D3589"/>
    <w:rsid w:val="000D35EE"/>
    <w:rsid w:val="000D38EC"/>
    <w:rsid w:val="000D3BF6"/>
    <w:rsid w:val="000D3E0E"/>
    <w:rsid w:val="000D440C"/>
    <w:rsid w:val="000D47AF"/>
    <w:rsid w:val="000D4AFC"/>
    <w:rsid w:val="000D5078"/>
    <w:rsid w:val="000D51A6"/>
    <w:rsid w:val="000D51D2"/>
    <w:rsid w:val="000D52CD"/>
    <w:rsid w:val="000D54A6"/>
    <w:rsid w:val="000D54FA"/>
    <w:rsid w:val="000D5594"/>
    <w:rsid w:val="000D5A91"/>
    <w:rsid w:val="000D5D40"/>
    <w:rsid w:val="000D5D43"/>
    <w:rsid w:val="000D5DEC"/>
    <w:rsid w:val="000D7177"/>
    <w:rsid w:val="000D7BE6"/>
    <w:rsid w:val="000D7ECA"/>
    <w:rsid w:val="000D7F7A"/>
    <w:rsid w:val="000E00B9"/>
    <w:rsid w:val="000E09B0"/>
    <w:rsid w:val="000E0E5C"/>
    <w:rsid w:val="000E110D"/>
    <w:rsid w:val="000E11E7"/>
    <w:rsid w:val="000E13BA"/>
    <w:rsid w:val="000E16F5"/>
    <w:rsid w:val="000E19E0"/>
    <w:rsid w:val="000E1A0C"/>
    <w:rsid w:val="000E1AF9"/>
    <w:rsid w:val="000E2065"/>
    <w:rsid w:val="000E271E"/>
    <w:rsid w:val="000E293F"/>
    <w:rsid w:val="000E2B92"/>
    <w:rsid w:val="000E2C57"/>
    <w:rsid w:val="000E2D4D"/>
    <w:rsid w:val="000E3D78"/>
    <w:rsid w:val="000E4326"/>
    <w:rsid w:val="000E4430"/>
    <w:rsid w:val="000E4C8D"/>
    <w:rsid w:val="000E4D2E"/>
    <w:rsid w:val="000E4F8F"/>
    <w:rsid w:val="000E4FFE"/>
    <w:rsid w:val="000E5367"/>
    <w:rsid w:val="000E53C4"/>
    <w:rsid w:val="000E53FA"/>
    <w:rsid w:val="000E583A"/>
    <w:rsid w:val="000E5A1C"/>
    <w:rsid w:val="000E5C29"/>
    <w:rsid w:val="000E612D"/>
    <w:rsid w:val="000E61C2"/>
    <w:rsid w:val="000E7047"/>
    <w:rsid w:val="000E728A"/>
    <w:rsid w:val="000E7C59"/>
    <w:rsid w:val="000F04F5"/>
    <w:rsid w:val="000F069F"/>
    <w:rsid w:val="000F0C43"/>
    <w:rsid w:val="000F0F64"/>
    <w:rsid w:val="000F0FDB"/>
    <w:rsid w:val="000F14A9"/>
    <w:rsid w:val="000F1693"/>
    <w:rsid w:val="000F1847"/>
    <w:rsid w:val="000F186E"/>
    <w:rsid w:val="000F19A1"/>
    <w:rsid w:val="000F20B5"/>
    <w:rsid w:val="000F2C22"/>
    <w:rsid w:val="000F2C9A"/>
    <w:rsid w:val="000F2E8E"/>
    <w:rsid w:val="000F2F82"/>
    <w:rsid w:val="000F3524"/>
    <w:rsid w:val="000F352F"/>
    <w:rsid w:val="000F3538"/>
    <w:rsid w:val="000F38DE"/>
    <w:rsid w:val="000F3AD7"/>
    <w:rsid w:val="000F3DFB"/>
    <w:rsid w:val="000F3E09"/>
    <w:rsid w:val="000F3EBB"/>
    <w:rsid w:val="000F420A"/>
    <w:rsid w:val="000F4551"/>
    <w:rsid w:val="000F45CC"/>
    <w:rsid w:val="000F4A35"/>
    <w:rsid w:val="000F4BF0"/>
    <w:rsid w:val="000F4E8D"/>
    <w:rsid w:val="000F5254"/>
    <w:rsid w:val="000F565E"/>
    <w:rsid w:val="000F58F4"/>
    <w:rsid w:val="000F5DB4"/>
    <w:rsid w:val="000F5FC5"/>
    <w:rsid w:val="000F5FD1"/>
    <w:rsid w:val="000F6372"/>
    <w:rsid w:val="000F6486"/>
    <w:rsid w:val="000F660C"/>
    <w:rsid w:val="000F685B"/>
    <w:rsid w:val="000F68B9"/>
    <w:rsid w:val="000F74A8"/>
    <w:rsid w:val="000F76F4"/>
    <w:rsid w:val="000F7783"/>
    <w:rsid w:val="000F7B83"/>
    <w:rsid w:val="000F7BC2"/>
    <w:rsid w:val="001000F1"/>
    <w:rsid w:val="00100B97"/>
    <w:rsid w:val="00100ED4"/>
    <w:rsid w:val="00100EEA"/>
    <w:rsid w:val="0010151D"/>
    <w:rsid w:val="0010159C"/>
    <w:rsid w:val="00101717"/>
    <w:rsid w:val="00101E88"/>
    <w:rsid w:val="00102253"/>
    <w:rsid w:val="001023EB"/>
    <w:rsid w:val="00102C36"/>
    <w:rsid w:val="00102E64"/>
    <w:rsid w:val="00102FCD"/>
    <w:rsid w:val="001037EF"/>
    <w:rsid w:val="00103CBD"/>
    <w:rsid w:val="00104695"/>
    <w:rsid w:val="00104A8C"/>
    <w:rsid w:val="00104B8D"/>
    <w:rsid w:val="00105531"/>
    <w:rsid w:val="00105566"/>
    <w:rsid w:val="00106286"/>
    <w:rsid w:val="001063C6"/>
    <w:rsid w:val="00106901"/>
    <w:rsid w:val="00106F67"/>
    <w:rsid w:val="00107217"/>
    <w:rsid w:val="00107442"/>
    <w:rsid w:val="0010755D"/>
    <w:rsid w:val="001105E1"/>
    <w:rsid w:val="00110996"/>
    <w:rsid w:val="00110AE1"/>
    <w:rsid w:val="00110DCD"/>
    <w:rsid w:val="001113D7"/>
    <w:rsid w:val="00111817"/>
    <w:rsid w:val="00111F12"/>
    <w:rsid w:val="001125F9"/>
    <w:rsid w:val="00112BDC"/>
    <w:rsid w:val="00112E71"/>
    <w:rsid w:val="00113094"/>
    <w:rsid w:val="00113183"/>
    <w:rsid w:val="0011406C"/>
    <w:rsid w:val="001140E3"/>
    <w:rsid w:val="00114221"/>
    <w:rsid w:val="00114568"/>
    <w:rsid w:val="0011458B"/>
    <w:rsid w:val="0011458F"/>
    <w:rsid w:val="001145AB"/>
    <w:rsid w:val="001147A3"/>
    <w:rsid w:val="00114AB1"/>
    <w:rsid w:val="00114BF7"/>
    <w:rsid w:val="00114F1B"/>
    <w:rsid w:val="001153F5"/>
    <w:rsid w:val="001154D1"/>
    <w:rsid w:val="0011561C"/>
    <w:rsid w:val="001157F0"/>
    <w:rsid w:val="00115B9A"/>
    <w:rsid w:val="00115FE7"/>
    <w:rsid w:val="001165CE"/>
    <w:rsid w:val="00116A42"/>
    <w:rsid w:val="00117042"/>
    <w:rsid w:val="00117104"/>
    <w:rsid w:val="001173F0"/>
    <w:rsid w:val="00117423"/>
    <w:rsid w:val="0011747A"/>
    <w:rsid w:val="00117683"/>
    <w:rsid w:val="0011770E"/>
    <w:rsid w:val="001179F4"/>
    <w:rsid w:val="00120864"/>
    <w:rsid w:val="00120951"/>
    <w:rsid w:val="00120DCB"/>
    <w:rsid w:val="00120E76"/>
    <w:rsid w:val="0012114C"/>
    <w:rsid w:val="0012192D"/>
    <w:rsid w:val="0012193C"/>
    <w:rsid w:val="00121A71"/>
    <w:rsid w:val="00121E8B"/>
    <w:rsid w:val="0012257A"/>
    <w:rsid w:val="001226D0"/>
    <w:rsid w:val="001227A5"/>
    <w:rsid w:val="001227E8"/>
    <w:rsid w:val="001230B8"/>
    <w:rsid w:val="0012331D"/>
    <w:rsid w:val="001234A5"/>
    <w:rsid w:val="001234B3"/>
    <w:rsid w:val="00123B2C"/>
    <w:rsid w:val="00123D04"/>
    <w:rsid w:val="00123FB1"/>
    <w:rsid w:val="0012436A"/>
    <w:rsid w:val="001248B2"/>
    <w:rsid w:val="00124900"/>
    <w:rsid w:val="00124AA4"/>
    <w:rsid w:val="00124CCA"/>
    <w:rsid w:val="00124FAE"/>
    <w:rsid w:val="001264EC"/>
    <w:rsid w:val="001266A6"/>
    <w:rsid w:val="0012681E"/>
    <w:rsid w:val="00126D0F"/>
    <w:rsid w:val="001272D2"/>
    <w:rsid w:val="001274F6"/>
    <w:rsid w:val="0012754B"/>
    <w:rsid w:val="00127866"/>
    <w:rsid w:val="00127A7F"/>
    <w:rsid w:val="00127E6E"/>
    <w:rsid w:val="00127F0C"/>
    <w:rsid w:val="00130279"/>
    <w:rsid w:val="001307E0"/>
    <w:rsid w:val="00130AD8"/>
    <w:rsid w:val="0013140C"/>
    <w:rsid w:val="00131604"/>
    <w:rsid w:val="001319F3"/>
    <w:rsid w:val="00131EEE"/>
    <w:rsid w:val="001320EB"/>
    <w:rsid w:val="0013218E"/>
    <w:rsid w:val="00132374"/>
    <w:rsid w:val="001325F1"/>
    <w:rsid w:val="00132EA8"/>
    <w:rsid w:val="00132F78"/>
    <w:rsid w:val="00133279"/>
    <w:rsid w:val="001336AA"/>
    <w:rsid w:val="00133B32"/>
    <w:rsid w:val="00133CC2"/>
    <w:rsid w:val="00133D35"/>
    <w:rsid w:val="00133E07"/>
    <w:rsid w:val="00133F90"/>
    <w:rsid w:val="001341F2"/>
    <w:rsid w:val="00134282"/>
    <w:rsid w:val="00134999"/>
    <w:rsid w:val="00134DBC"/>
    <w:rsid w:val="00134DCC"/>
    <w:rsid w:val="00134F76"/>
    <w:rsid w:val="00135229"/>
    <w:rsid w:val="00135A52"/>
    <w:rsid w:val="00135F1A"/>
    <w:rsid w:val="001362B1"/>
    <w:rsid w:val="00136400"/>
    <w:rsid w:val="00136AC9"/>
    <w:rsid w:val="00136C7D"/>
    <w:rsid w:val="001371FE"/>
    <w:rsid w:val="00137355"/>
    <w:rsid w:val="00137C0D"/>
    <w:rsid w:val="00137D54"/>
    <w:rsid w:val="001400C6"/>
    <w:rsid w:val="00140114"/>
    <w:rsid w:val="0014072B"/>
    <w:rsid w:val="00140E6C"/>
    <w:rsid w:val="00140F18"/>
    <w:rsid w:val="001415EF"/>
    <w:rsid w:val="00141655"/>
    <w:rsid w:val="00141784"/>
    <w:rsid w:val="001417FC"/>
    <w:rsid w:val="00141BA5"/>
    <w:rsid w:val="00141D84"/>
    <w:rsid w:val="00142162"/>
    <w:rsid w:val="00142C33"/>
    <w:rsid w:val="00142D51"/>
    <w:rsid w:val="00142DA7"/>
    <w:rsid w:val="00142DCD"/>
    <w:rsid w:val="00142F91"/>
    <w:rsid w:val="001435DF"/>
    <w:rsid w:val="00143704"/>
    <w:rsid w:val="001439D8"/>
    <w:rsid w:val="00143E9E"/>
    <w:rsid w:val="00143EB8"/>
    <w:rsid w:val="00144246"/>
    <w:rsid w:val="0014462C"/>
    <w:rsid w:val="001447B2"/>
    <w:rsid w:val="00144D75"/>
    <w:rsid w:val="00144F8E"/>
    <w:rsid w:val="00144FA4"/>
    <w:rsid w:val="00145169"/>
    <w:rsid w:val="001451C0"/>
    <w:rsid w:val="001453D6"/>
    <w:rsid w:val="00145588"/>
    <w:rsid w:val="00145A0D"/>
    <w:rsid w:val="00145CCD"/>
    <w:rsid w:val="00145F26"/>
    <w:rsid w:val="00146732"/>
    <w:rsid w:val="001467E5"/>
    <w:rsid w:val="00146878"/>
    <w:rsid w:val="00146B20"/>
    <w:rsid w:val="00146C04"/>
    <w:rsid w:val="00146CBE"/>
    <w:rsid w:val="0014762E"/>
    <w:rsid w:val="00147917"/>
    <w:rsid w:val="00147D99"/>
    <w:rsid w:val="001501DC"/>
    <w:rsid w:val="0015023D"/>
    <w:rsid w:val="00150249"/>
    <w:rsid w:val="0015035F"/>
    <w:rsid w:val="001503CF"/>
    <w:rsid w:val="001505D8"/>
    <w:rsid w:val="00150B0A"/>
    <w:rsid w:val="00150B91"/>
    <w:rsid w:val="00150EBD"/>
    <w:rsid w:val="00151071"/>
    <w:rsid w:val="00151156"/>
    <w:rsid w:val="0015127C"/>
    <w:rsid w:val="001514D1"/>
    <w:rsid w:val="0015172F"/>
    <w:rsid w:val="00151801"/>
    <w:rsid w:val="00151BE2"/>
    <w:rsid w:val="00152871"/>
    <w:rsid w:val="00152A98"/>
    <w:rsid w:val="00153858"/>
    <w:rsid w:val="00153914"/>
    <w:rsid w:val="00153B19"/>
    <w:rsid w:val="00153CB2"/>
    <w:rsid w:val="00153F55"/>
    <w:rsid w:val="00154053"/>
    <w:rsid w:val="0015426E"/>
    <w:rsid w:val="001545B1"/>
    <w:rsid w:val="00154790"/>
    <w:rsid w:val="001547FC"/>
    <w:rsid w:val="00154896"/>
    <w:rsid w:val="00154BB4"/>
    <w:rsid w:val="00154BEA"/>
    <w:rsid w:val="00154D00"/>
    <w:rsid w:val="00154D67"/>
    <w:rsid w:val="0015521D"/>
    <w:rsid w:val="001558D7"/>
    <w:rsid w:val="00155A9D"/>
    <w:rsid w:val="00155C87"/>
    <w:rsid w:val="001561B9"/>
    <w:rsid w:val="00156423"/>
    <w:rsid w:val="001564AA"/>
    <w:rsid w:val="00156A4F"/>
    <w:rsid w:val="001576C6"/>
    <w:rsid w:val="00157C13"/>
    <w:rsid w:val="00157D84"/>
    <w:rsid w:val="001600C9"/>
    <w:rsid w:val="001600E5"/>
    <w:rsid w:val="0016046F"/>
    <w:rsid w:val="00160833"/>
    <w:rsid w:val="00160E27"/>
    <w:rsid w:val="00160E7A"/>
    <w:rsid w:val="001610A4"/>
    <w:rsid w:val="001614A1"/>
    <w:rsid w:val="001616AB"/>
    <w:rsid w:val="0016176C"/>
    <w:rsid w:val="00161D98"/>
    <w:rsid w:val="001622D6"/>
    <w:rsid w:val="00162343"/>
    <w:rsid w:val="00162487"/>
    <w:rsid w:val="00162A78"/>
    <w:rsid w:val="00162B47"/>
    <w:rsid w:val="0016305E"/>
    <w:rsid w:val="001630BA"/>
    <w:rsid w:val="0016317A"/>
    <w:rsid w:val="00163256"/>
    <w:rsid w:val="001640EB"/>
    <w:rsid w:val="00164421"/>
    <w:rsid w:val="001644CB"/>
    <w:rsid w:val="00164547"/>
    <w:rsid w:val="0016471F"/>
    <w:rsid w:val="00164AA0"/>
    <w:rsid w:val="00164C04"/>
    <w:rsid w:val="001651B6"/>
    <w:rsid w:val="0016559A"/>
    <w:rsid w:val="00165681"/>
    <w:rsid w:val="00166AE3"/>
    <w:rsid w:val="00166AE6"/>
    <w:rsid w:val="00167188"/>
    <w:rsid w:val="00167448"/>
    <w:rsid w:val="001677C2"/>
    <w:rsid w:val="0016792D"/>
    <w:rsid w:val="00167F4D"/>
    <w:rsid w:val="00170183"/>
    <w:rsid w:val="00170590"/>
    <w:rsid w:val="00170FAC"/>
    <w:rsid w:val="001710FA"/>
    <w:rsid w:val="00171256"/>
    <w:rsid w:val="001713EA"/>
    <w:rsid w:val="00171961"/>
    <w:rsid w:val="00171A08"/>
    <w:rsid w:val="001721AB"/>
    <w:rsid w:val="001729DE"/>
    <w:rsid w:val="00172B1B"/>
    <w:rsid w:val="00172C84"/>
    <w:rsid w:val="00172E92"/>
    <w:rsid w:val="00172FA9"/>
    <w:rsid w:val="00172FF3"/>
    <w:rsid w:val="00173218"/>
    <w:rsid w:val="001734CB"/>
    <w:rsid w:val="001734E2"/>
    <w:rsid w:val="001738B2"/>
    <w:rsid w:val="001738E4"/>
    <w:rsid w:val="00173CFA"/>
    <w:rsid w:val="00173F00"/>
    <w:rsid w:val="001744DD"/>
    <w:rsid w:val="001745BB"/>
    <w:rsid w:val="00174732"/>
    <w:rsid w:val="0017476A"/>
    <w:rsid w:val="00174820"/>
    <w:rsid w:val="00174D4E"/>
    <w:rsid w:val="001752F4"/>
    <w:rsid w:val="0017537D"/>
    <w:rsid w:val="001753DC"/>
    <w:rsid w:val="0017549C"/>
    <w:rsid w:val="0017550E"/>
    <w:rsid w:val="00175BF6"/>
    <w:rsid w:val="0017614C"/>
    <w:rsid w:val="00176236"/>
    <w:rsid w:val="001762BE"/>
    <w:rsid w:val="0017638D"/>
    <w:rsid w:val="001767B1"/>
    <w:rsid w:val="00176FFE"/>
    <w:rsid w:val="00177256"/>
    <w:rsid w:val="001779FF"/>
    <w:rsid w:val="00177A60"/>
    <w:rsid w:val="00177AE3"/>
    <w:rsid w:val="00177CEE"/>
    <w:rsid w:val="00177F82"/>
    <w:rsid w:val="00180222"/>
    <w:rsid w:val="00180444"/>
    <w:rsid w:val="001808AC"/>
    <w:rsid w:val="00180D52"/>
    <w:rsid w:val="00180EBF"/>
    <w:rsid w:val="00180F60"/>
    <w:rsid w:val="00181305"/>
    <w:rsid w:val="00181527"/>
    <w:rsid w:val="001817D5"/>
    <w:rsid w:val="00181D15"/>
    <w:rsid w:val="00182589"/>
    <w:rsid w:val="001828DF"/>
    <w:rsid w:val="001829A7"/>
    <w:rsid w:val="00182EFD"/>
    <w:rsid w:val="001832EF"/>
    <w:rsid w:val="001833DB"/>
    <w:rsid w:val="001837B5"/>
    <w:rsid w:val="0018380B"/>
    <w:rsid w:val="00183E0C"/>
    <w:rsid w:val="00184378"/>
    <w:rsid w:val="00184CF8"/>
    <w:rsid w:val="00184E8B"/>
    <w:rsid w:val="00185154"/>
    <w:rsid w:val="0018555C"/>
    <w:rsid w:val="00185681"/>
    <w:rsid w:val="00185704"/>
    <w:rsid w:val="00185AC6"/>
    <w:rsid w:val="00185DF1"/>
    <w:rsid w:val="0018675A"/>
    <w:rsid w:val="001869CE"/>
    <w:rsid w:val="00186B3B"/>
    <w:rsid w:val="00186C56"/>
    <w:rsid w:val="0018713B"/>
    <w:rsid w:val="001873D0"/>
    <w:rsid w:val="0018766F"/>
    <w:rsid w:val="001879E8"/>
    <w:rsid w:val="00187A01"/>
    <w:rsid w:val="00187A9B"/>
    <w:rsid w:val="00187B95"/>
    <w:rsid w:val="00187C0E"/>
    <w:rsid w:val="00187CF5"/>
    <w:rsid w:val="00187EBC"/>
    <w:rsid w:val="0019016D"/>
    <w:rsid w:val="001902E8"/>
    <w:rsid w:val="0019051F"/>
    <w:rsid w:val="00190699"/>
    <w:rsid w:val="00190787"/>
    <w:rsid w:val="0019096C"/>
    <w:rsid w:val="00190C32"/>
    <w:rsid w:val="001910C2"/>
    <w:rsid w:val="0019114D"/>
    <w:rsid w:val="0019147C"/>
    <w:rsid w:val="00191664"/>
    <w:rsid w:val="00192376"/>
    <w:rsid w:val="00192452"/>
    <w:rsid w:val="00192796"/>
    <w:rsid w:val="00192B38"/>
    <w:rsid w:val="00193860"/>
    <w:rsid w:val="00193B2B"/>
    <w:rsid w:val="00193E07"/>
    <w:rsid w:val="00194ABD"/>
    <w:rsid w:val="00194B1D"/>
    <w:rsid w:val="00194C72"/>
    <w:rsid w:val="00194D5A"/>
    <w:rsid w:val="00194E56"/>
    <w:rsid w:val="00195A84"/>
    <w:rsid w:val="00195B60"/>
    <w:rsid w:val="00195CAF"/>
    <w:rsid w:val="00196093"/>
    <w:rsid w:val="001960E0"/>
    <w:rsid w:val="0019639F"/>
    <w:rsid w:val="00197613"/>
    <w:rsid w:val="00197AC2"/>
    <w:rsid w:val="00197C03"/>
    <w:rsid w:val="00197F39"/>
    <w:rsid w:val="001A03D3"/>
    <w:rsid w:val="001A0CFE"/>
    <w:rsid w:val="001A161E"/>
    <w:rsid w:val="001A1723"/>
    <w:rsid w:val="001A173C"/>
    <w:rsid w:val="001A1A2D"/>
    <w:rsid w:val="001A206A"/>
    <w:rsid w:val="001A2319"/>
    <w:rsid w:val="001A2456"/>
    <w:rsid w:val="001A2769"/>
    <w:rsid w:val="001A2844"/>
    <w:rsid w:val="001A3325"/>
    <w:rsid w:val="001A3457"/>
    <w:rsid w:val="001A34E7"/>
    <w:rsid w:val="001A34F5"/>
    <w:rsid w:val="001A380F"/>
    <w:rsid w:val="001A3825"/>
    <w:rsid w:val="001A3A1A"/>
    <w:rsid w:val="001A40D3"/>
    <w:rsid w:val="001A49D1"/>
    <w:rsid w:val="001A4BDD"/>
    <w:rsid w:val="001A4E93"/>
    <w:rsid w:val="001A5858"/>
    <w:rsid w:val="001A5AA4"/>
    <w:rsid w:val="001A5B83"/>
    <w:rsid w:val="001A6259"/>
    <w:rsid w:val="001A63B6"/>
    <w:rsid w:val="001A66C4"/>
    <w:rsid w:val="001A6841"/>
    <w:rsid w:val="001A6A41"/>
    <w:rsid w:val="001A6DF6"/>
    <w:rsid w:val="001A7367"/>
    <w:rsid w:val="001A739B"/>
    <w:rsid w:val="001A73AA"/>
    <w:rsid w:val="001A75E1"/>
    <w:rsid w:val="001A7700"/>
    <w:rsid w:val="001A7847"/>
    <w:rsid w:val="001B0C0C"/>
    <w:rsid w:val="001B0CA7"/>
    <w:rsid w:val="001B0D66"/>
    <w:rsid w:val="001B13E3"/>
    <w:rsid w:val="001B1519"/>
    <w:rsid w:val="001B1599"/>
    <w:rsid w:val="001B16DD"/>
    <w:rsid w:val="001B1733"/>
    <w:rsid w:val="001B2639"/>
    <w:rsid w:val="001B2BE7"/>
    <w:rsid w:val="001B2F12"/>
    <w:rsid w:val="001B32FD"/>
    <w:rsid w:val="001B3343"/>
    <w:rsid w:val="001B3361"/>
    <w:rsid w:val="001B34C3"/>
    <w:rsid w:val="001B3E8F"/>
    <w:rsid w:val="001B4149"/>
    <w:rsid w:val="001B423A"/>
    <w:rsid w:val="001B43CB"/>
    <w:rsid w:val="001B4B53"/>
    <w:rsid w:val="001B4CCC"/>
    <w:rsid w:val="001B4F05"/>
    <w:rsid w:val="001B538F"/>
    <w:rsid w:val="001B57B1"/>
    <w:rsid w:val="001B5B79"/>
    <w:rsid w:val="001B60EA"/>
    <w:rsid w:val="001B622F"/>
    <w:rsid w:val="001B64C4"/>
    <w:rsid w:val="001B6A5E"/>
    <w:rsid w:val="001B6C3B"/>
    <w:rsid w:val="001B6E76"/>
    <w:rsid w:val="001B707F"/>
    <w:rsid w:val="001B70A2"/>
    <w:rsid w:val="001B73A0"/>
    <w:rsid w:val="001B7866"/>
    <w:rsid w:val="001B7B90"/>
    <w:rsid w:val="001B7CFB"/>
    <w:rsid w:val="001B7DFC"/>
    <w:rsid w:val="001C0A0F"/>
    <w:rsid w:val="001C0DA6"/>
    <w:rsid w:val="001C1039"/>
    <w:rsid w:val="001C10CD"/>
    <w:rsid w:val="001C1180"/>
    <w:rsid w:val="001C1238"/>
    <w:rsid w:val="001C1431"/>
    <w:rsid w:val="001C170A"/>
    <w:rsid w:val="001C19DD"/>
    <w:rsid w:val="001C2212"/>
    <w:rsid w:val="001C2F4E"/>
    <w:rsid w:val="001C30B5"/>
    <w:rsid w:val="001C30F2"/>
    <w:rsid w:val="001C37C5"/>
    <w:rsid w:val="001C4123"/>
    <w:rsid w:val="001C42D4"/>
    <w:rsid w:val="001C50E1"/>
    <w:rsid w:val="001C554F"/>
    <w:rsid w:val="001C58D2"/>
    <w:rsid w:val="001C5EDA"/>
    <w:rsid w:val="001C5F82"/>
    <w:rsid w:val="001C613E"/>
    <w:rsid w:val="001C666A"/>
    <w:rsid w:val="001C6680"/>
    <w:rsid w:val="001C68CE"/>
    <w:rsid w:val="001C6AD8"/>
    <w:rsid w:val="001C6B07"/>
    <w:rsid w:val="001C6F76"/>
    <w:rsid w:val="001C769F"/>
    <w:rsid w:val="001C7984"/>
    <w:rsid w:val="001C7E62"/>
    <w:rsid w:val="001D0032"/>
    <w:rsid w:val="001D0371"/>
    <w:rsid w:val="001D0A6D"/>
    <w:rsid w:val="001D1643"/>
    <w:rsid w:val="001D183D"/>
    <w:rsid w:val="001D20F1"/>
    <w:rsid w:val="001D2869"/>
    <w:rsid w:val="001D2892"/>
    <w:rsid w:val="001D2B2B"/>
    <w:rsid w:val="001D30D6"/>
    <w:rsid w:val="001D317D"/>
    <w:rsid w:val="001D3F3A"/>
    <w:rsid w:val="001D3FDD"/>
    <w:rsid w:val="001D4EE8"/>
    <w:rsid w:val="001D511C"/>
    <w:rsid w:val="001D51F0"/>
    <w:rsid w:val="001D5264"/>
    <w:rsid w:val="001D59DA"/>
    <w:rsid w:val="001D59F3"/>
    <w:rsid w:val="001D5D12"/>
    <w:rsid w:val="001D5DB4"/>
    <w:rsid w:val="001D6054"/>
    <w:rsid w:val="001D61AD"/>
    <w:rsid w:val="001D6AF8"/>
    <w:rsid w:val="001D6C51"/>
    <w:rsid w:val="001D6E83"/>
    <w:rsid w:val="001D6F3D"/>
    <w:rsid w:val="001D7199"/>
    <w:rsid w:val="001D7303"/>
    <w:rsid w:val="001D73E2"/>
    <w:rsid w:val="001D7A9A"/>
    <w:rsid w:val="001E02AD"/>
    <w:rsid w:val="001E040E"/>
    <w:rsid w:val="001E06A5"/>
    <w:rsid w:val="001E13E4"/>
    <w:rsid w:val="001E14B2"/>
    <w:rsid w:val="001E1546"/>
    <w:rsid w:val="001E1818"/>
    <w:rsid w:val="001E19A5"/>
    <w:rsid w:val="001E1B2A"/>
    <w:rsid w:val="001E2108"/>
    <w:rsid w:val="001E2370"/>
    <w:rsid w:val="001E26A5"/>
    <w:rsid w:val="001E2834"/>
    <w:rsid w:val="001E2932"/>
    <w:rsid w:val="001E2A49"/>
    <w:rsid w:val="001E2E50"/>
    <w:rsid w:val="001E3742"/>
    <w:rsid w:val="001E39FB"/>
    <w:rsid w:val="001E3C4A"/>
    <w:rsid w:val="001E4CFF"/>
    <w:rsid w:val="001E4E3D"/>
    <w:rsid w:val="001E4F4F"/>
    <w:rsid w:val="001E554D"/>
    <w:rsid w:val="001E565F"/>
    <w:rsid w:val="001E5AFA"/>
    <w:rsid w:val="001E6144"/>
    <w:rsid w:val="001E6623"/>
    <w:rsid w:val="001E665F"/>
    <w:rsid w:val="001E6916"/>
    <w:rsid w:val="001E6D70"/>
    <w:rsid w:val="001E6E1D"/>
    <w:rsid w:val="001E6EAD"/>
    <w:rsid w:val="001E76CE"/>
    <w:rsid w:val="001E7B63"/>
    <w:rsid w:val="001E7C07"/>
    <w:rsid w:val="001F03D8"/>
    <w:rsid w:val="001F0840"/>
    <w:rsid w:val="001F0CD3"/>
    <w:rsid w:val="001F0E0A"/>
    <w:rsid w:val="001F16CA"/>
    <w:rsid w:val="001F1C56"/>
    <w:rsid w:val="001F1D48"/>
    <w:rsid w:val="001F2042"/>
    <w:rsid w:val="001F2653"/>
    <w:rsid w:val="001F27E9"/>
    <w:rsid w:val="001F29F3"/>
    <w:rsid w:val="001F2CCF"/>
    <w:rsid w:val="001F2FDF"/>
    <w:rsid w:val="001F3232"/>
    <w:rsid w:val="001F3569"/>
    <w:rsid w:val="001F391D"/>
    <w:rsid w:val="001F39E1"/>
    <w:rsid w:val="001F4622"/>
    <w:rsid w:val="001F47D5"/>
    <w:rsid w:val="001F47E2"/>
    <w:rsid w:val="001F4818"/>
    <w:rsid w:val="001F49DA"/>
    <w:rsid w:val="001F4C9B"/>
    <w:rsid w:val="001F53B7"/>
    <w:rsid w:val="001F541A"/>
    <w:rsid w:val="001F5545"/>
    <w:rsid w:val="001F585D"/>
    <w:rsid w:val="001F5A33"/>
    <w:rsid w:val="001F5C48"/>
    <w:rsid w:val="001F5E90"/>
    <w:rsid w:val="001F60D3"/>
    <w:rsid w:val="001F64B6"/>
    <w:rsid w:val="001F6580"/>
    <w:rsid w:val="001F66DD"/>
    <w:rsid w:val="001F6FB3"/>
    <w:rsid w:val="001F79BB"/>
    <w:rsid w:val="001F7D75"/>
    <w:rsid w:val="001F7F16"/>
    <w:rsid w:val="002001A8"/>
    <w:rsid w:val="00200312"/>
    <w:rsid w:val="00200525"/>
    <w:rsid w:val="0020072D"/>
    <w:rsid w:val="002009B0"/>
    <w:rsid w:val="00200ABB"/>
    <w:rsid w:val="00200C80"/>
    <w:rsid w:val="00200D49"/>
    <w:rsid w:val="002011D3"/>
    <w:rsid w:val="002013B7"/>
    <w:rsid w:val="00201E32"/>
    <w:rsid w:val="00201F74"/>
    <w:rsid w:val="0020207D"/>
    <w:rsid w:val="0020281F"/>
    <w:rsid w:val="00202DE8"/>
    <w:rsid w:val="00203117"/>
    <w:rsid w:val="00203712"/>
    <w:rsid w:val="002037B7"/>
    <w:rsid w:val="002039CA"/>
    <w:rsid w:val="00203ACD"/>
    <w:rsid w:val="0020403A"/>
    <w:rsid w:val="00204665"/>
    <w:rsid w:val="002049D3"/>
    <w:rsid w:val="00204BC4"/>
    <w:rsid w:val="00204D90"/>
    <w:rsid w:val="002053EC"/>
    <w:rsid w:val="0020580C"/>
    <w:rsid w:val="00205B3B"/>
    <w:rsid w:val="00206807"/>
    <w:rsid w:val="00206902"/>
    <w:rsid w:val="002069F5"/>
    <w:rsid w:val="00206D89"/>
    <w:rsid w:val="00206F1E"/>
    <w:rsid w:val="00207137"/>
    <w:rsid w:val="00207835"/>
    <w:rsid w:val="002078C1"/>
    <w:rsid w:val="002079FC"/>
    <w:rsid w:val="00207C1B"/>
    <w:rsid w:val="002102DC"/>
    <w:rsid w:val="0021042D"/>
    <w:rsid w:val="002106C4"/>
    <w:rsid w:val="002107D9"/>
    <w:rsid w:val="00210A17"/>
    <w:rsid w:val="00210B91"/>
    <w:rsid w:val="00210DEC"/>
    <w:rsid w:val="00210DEF"/>
    <w:rsid w:val="0021101F"/>
    <w:rsid w:val="002112D4"/>
    <w:rsid w:val="0021130A"/>
    <w:rsid w:val="002113D9"/>
    <w:rsid w:val="0021174B"/>
    <w:rsid w:val="002123B4"/>
    <w:rsid w:val="00212481"/>
    <w:rsid w:val="0021251D"/>
    <w:rsid w:val="00212FC9"/>
    <w:rsid w:val="00213502"/>
    <w:rsid w:val="00213F29"/>
    <w:rsid w:val="002140EF"/>
    <w:rsid w:val="00214482"/>
    <w:rsid w:val="00214524"/>
    <w:rsid w:val="00214958"/>
    <w:rsid w:val="00214A51"/>
    <w:rsid w:val="00214AA1"/>
    <w:rsid w:val="00214EDE"/>
    <w:rsid w:val="00214F2F"/>
    <w:rsid w:val="00215005"/>
    <w:rsid w:val="00215D9E"/>
    <w:rsid w:val="00215F64"/>
    <w:rsid w:val="00216BA6"/>
    <w:rsid w:val="00216F22"/>
    <w:rsid w:val="00217528"/>
    <w:rsid w:val="00217725"/>
    <w:rsid w:val="0021784E"/>
    <w:rsid w:val="0021798E"/>
    <w:rsid w:val="00217A0F"/>
    <w:rsid w:val="00217AB8"/>
    <w:rsid w:val="00217ABB"/>
    <w:rsid w:val="00217C68"/>
    <w:rsid w:val="00220094"/>
    <w:rsid w:val="00220401"/>
    <w:rsid w:val="002207BD"/>
    <w:rsid w:val="00220AB6"/>
    <w:rsid w:val="00220BE5"/>
    <w:rsid w:val="00221046"/>
    <w:rsid w:val="00221992"/>
    <w:rsid w:val="00221E7F"/>
    <w:rsid w:val="00221ECA"/>
    <w:rsid w:val="00221F1A"/>
    <w:rsid w:val="00221F32"/>
    <w:rsid w:val="00222215"/>
    <w:rsid w:val="002224F5"/>
    <w:rsid w:val="00222510"/>
    <w:rsid w:val="002226EB"/>
    <w:rsid w:val="0022289D"/>
    <w:rsid w:val="00222A84"/>
    <w:rsid w:val="00222F25"/>
    <w:rsid w:val="00223408"/>
    <w:rsid w:val="00223797"/>
    <w:rsid w:val="00223DA0"/>
    <w:rsid w:val="00223EA3"/>
    <w:rsid w:val="002243FD"/>
    <w:rsid w:val="002248A7"/>
    <w:rsid w:val="00224933"/>
    <w:rsid w:val="00224D6E"/>
    <w:rsid w:val="00224DBE"/>
    <w:rsid w:val="00224DC3"/>
    <w:rsid w:val="00225189"/>
    <w:rsid w:val="00225A24"/>
    <w:rsid w:val="00225BDB"/>
    <w:rsid w:val="00225D64"/>
    <w:rsid w:val="00225F9E"/>
    <w:rsid w:val="0022625E"/>
    <w:rsid w:val="00226532"/>
    <w:rsid w:val="0022695C"/>
    <w:rsid w:val="00226AA6"/>
    <w:rsid w:val="00226D1A"/>
    <w:rsid w:val="00226F37"/>
    <w:rsid w:val="0022736C"/>
    <w:rsid w:val="002276FD"/>
    <w:rsid w:val="0022795C"/>
    <w:rsid w:val="002279E3"/>
    <w:rsid w:val="00227C12"/>
    <w:rsid w:val="00230089"/>
    <w:rsid w:val="0023064C"/>
    <w:rsid w:val="00230770"/>
    <w:rsid w:val="002316FF"/>
    <w:rsid w:val="00231D06"/>
    <w:rsid w:val="0023206D"/>
    <w:rsid w:val="002320F0"/>
    <w:rsid w:val="002323BD"/>
    <w:rsid w:val="0023273D"/>
    <w:rsid w:val="0023297B"/>
    <w:rsid w:val="00232B7B"/>
    <w:rsid w:val="00233334"/>
    <w:rsid w:val="00233742"/>
    <w:rsid w:val="0023518D"/>
    <w:rsid w:val="002351BB"/>
    <w:rsid w:val="0023539D"/>
    <w:rsid w:val="002355B2"/>
    <w:rsid w:val="00235615"/>
    <w:rsid w:val="00235EEB"/>
    <w:rsid w:val="002362FB"/>
    <w:rsid w:val="00236381"/>
    <w:rsid w:val="00236755"/>
    <w:rsid w:val="00236C71"/>
    <w:rsid w:val="00236DA9"/>
    <w:rsid w:val="00236EC1"/>
    <w:rsid w:val="002372D5"/>
    <w:rsid w:val="00237D47"/>
    <w:rsid w:val="00240425"/>
    <w:rsid w:val="00240442"/>
    <w:rsid w:val="00240474"/>
    <w:rsid w:val="00240528"/>
    <w:rsid w:val="00240534"/>
    <w:rsid w:val="002409B2"/>
    <w:rsid w:val="00241005"/>
    <w:rsid w:val="00241098"/>
    <w:rsid w:val="00241796"/>
    <w:rsid w:val="00241922"/>
    <w:rsid w:val="00241CE4"/>
    <w:rsid w:val="00241D87"/>
    <w:rsid w:val="00241DE6"/>
    <w:rsid w:val="00241E58"/>
    <w:rsid w:val="00242244"/>
    <w:rsid w:val="00242414"/>
    <w:rsid w:val="00242505"/>
    <w:rsid w:val="0024255E"/>
    <w:rsid w:val="00242567"/>
    <w:rsid w:val="00242815"/>
    <w:rsid w:val="00242DEF"/>
    <w:rsid w:val="00243082"/>
    <w:rsid w:val="0024308E"/>
    <w:rsid w:val="002430D5"/>
    <w:rsid w:val="0024384A"/>
    <w:rsid w:val="00243BD1"/>
    <w:rsid w:val="00243C3D"/>
    <w:rsid w:val="00243CFB"/>
    <w:rsid w:val="0024409D"/>
    <w:rsid w:val="00244356"/>
    <w:rsid w:val="00244477"/>
    <w:rsid w:val="00244706"/>
    <w:rsid w:val="002447F2"/>
    <w:rsid w:val="00244A05"/>
    <w:rsid w:val="00244D2A"/>
    <w:rsid w:val="00244D71"/>
    <w:rsid w:val="002453C7"/>
    <w:rsid w:val="00245460"/>
    <w:rsid w:val="00245531"/>
    <w:rsid w:val="00245797"/>
    <w:rsid w:val="002457FE"/>
    <w:rsid w:val="00245C05"/>
    <w:rsid w:val="00246108"/>
    <w:rsid w:val="0024612C"/>
    <w:rsid w:val="0024613A"/>
    <w:rsid w:val="0024658F"/>
    <w:rsid w:val="002465F7"/>
    <w:rsid w:val="0024668B"/>
    <w:rsid w:val="002466C2"/>
    <w:rsid w:val="002466FF"/>
    <w:rsid w:val="00246D79"/>
    <w:rsid w:val="002471BF"/>
    <w:rsid w:val="00247430"/>
    <w:rsid w:val="002476CA"/>
    <w:rsid w:val="00247A55"/>
    <w:rsid w:val="00247AA6"/>
    <w:rsid w:val="00247B24"/>
    <w:rsid w:val="00247C63"/>
    <w:rsid w:val="00247F62"/>
    <w:rsid w:val="0024BF24"/>
    <w:rsid w:val="0025022E"/>
    <w:rsid w:val="002507A3"/>
    <w:rsid w:val="002508C8"/>
    <w:rsid w:val="002508F8"/>
    <w:rsid w:val="00250B15"/>
    <w:rsid w:val="00250CA7"/>
    <w:rsid w:val="00250F85"/>
    <w:rsid w:val="00250FD8"/>
    <w:rsid w:val="00251046"/>
    <w:rsid w:val="002510B0"/>
    <w:rsid w:val="0025119D"/>
    <w:rsid w:val="002517E7"/>
    <w:rsid w:val="00251930"/>
    <w:rsid w:val="0025193B"/>
    <w:rsid w:val="0025197B"/>
    <w:rsid w:val="00251EA5"/>
    <w:rsid w:val="00252007"/>
    <w:rsid w:val="00252201"/>
    <w:rsid w:val="0025238C"/>
    <w:rsid w:val="00252412"/>
    <w:rsid w:val="002527BE"/>
    <w:rsid w:val="00252BF2"/>
    <w:rsid w:val="0025318A"/>
    <w:rsid w:val="002534A2"/>
    <w:rsid w:val="00253867"/>
    <w:rsid w:val="00253A28"/>
    <w:rsid w:val="00253E54"/>
    <w:rsid w:val="0025446F"/>
    <w:rsid w:val="00254A5E"/>
    <w:rsid w:val="00254DD8"/>
    <w:rsid w:val="00254E1A"/>
    <w:rsid w:val="00254FDF"/>
    <w:rsid w:val="00255175"/>
    <w:rsid w:val="0025530C"/>
    <w:rsid w:val="002554BC"/>
    <w:rsid w:val="00255593"/>
    <w:rsid w:val="002555C2"/>
    <w:rsid w:val="002556F6"/>
    <w:rsid w:val="00255D39"/>
    <w:rsid w:val="00255DBF"/>
    <w:rsid w:val="00255F45"/>
    <w:rsid w:val="0025720B"/>
    <w:rsid w:val="0025725E"/>
    <w:rsid w:val="002573C9"/>
    <w:rsid w:val="002574B2"/>
    <w:rsid w:val="0025773E"/>
    <w:rsid w:val="002578B3"/>
    <w:rsid w:val="00260039"/>
    <w:rsid w:val="002607DA"/>
    <w:rsid w:val="00260A85"/>
    <w:rsid w:val="00260AAB"/>
    <w:rsid w:val="00260B5C"/>
    <w:rsid w:val="00260B6F"/>
    <w:rsid w:val="00260E49"/>
    <w:rsid w:val="0026127B"/>
    <w:rsid w:val="002613F2"/>
    <w:rsid w:val="002614F2"/>
    <w:rsid w:val="00261E74"/>
    <w:rsid w:val="00261FFF"/>
    <w:rsid w:val="002620ED"/>
    <w:rsid w:val="00262248"/>
    <w:rsid w:val="002624D5"/>
    <w:rsid w:val="002629F6"/>
    <w:rsid w:val="00262C49"/>
    <w:rsid w:val="00263034"/>
    <w:rsid w:val="00263105"/>
    <w:rsid w:val="00263387"/>
    <w:rsid w:val="0026370D"/>
    <w:rsid w:val="00263B0F"/>
    <w:rsid w:val="00263BBA"/>
    <w:rsid w:val="00264C68"/>
    <w:rsid w:val="00264F36"/>
    <w:rsid w:val="0026508C"/>
    <w:rsid w:val="00265569"/>
    <w:rsid w:val="00265B97"/>
    <w:rsid w:val="00265BF0"/>
    <w:rsid w:val="00265D34"/>
    <w:rsid w:val="00265E95"/>
    <w:rsid w:val="002661F6"/>
    <w:rsid w:val="002663E6"/>
    <w:rsid w:val="0026645B"/>
    <w:rsid w:val="002664A1"/>
    <w:rsid w:val="002670E1"/>
    <w:rsid w:val="0026714F"/>
    <w:rsid w:val="002678F5"/>
    <w:rsid w:val="00267DEA"/>
    <w:rsid w:val="002703AC"/>
    <w:rsid w:val="00270479"/>
    <w:rsid w:val="002704E5"/>
    <w:rsid w:val="00270858"/>
    <w:rsid w:val="00270BD6"/>
    <w:rsid w:val="00270CC1"/>
    <w:rsid w:val="00271179"/>
    <w:rsid w:val="00271AC4"/>
    <w:rsid w:val="00271B60"/>
    <w:rsid w:val="00271DB8"/>
    <w:rsid w:val="002721AB"/>
    <w:rsid w:val="0027258A"/>
    <w:rsid w:val="00272B23"/>
    <w:rsid w:val="00272D8B"/>
    <w:rsid w:val="0027369E"/>
    <w:rsid w:val="00273853"/>
    <w:rsid w:val="0027396E"/>
    <w:rsid w:val="00273A6C"/>
    <w:rsid w:val="00273EE0"/>
    <w:rsid w:val="002741B3"/>
    <w:rsid w:val="00275564"/>
    <w:rsid w:val="002760CD"/>
    <w:rsid w:val="002766AE"/>
    <w:rsid w:val="002767E9"/>
    <w:rsid w:val="00276811"/>
    <w:rsid w:val="002768D7"/>
    <w:rsid w:val="00276BBF"/>
    <w:rsid w:val="00276E30"/>
    <w:rsid w:val="00277791"/>
    <w:rsid w:val="00277B1A"/>
    <w:rsid w:val="00277DD8"/>
    <w:rsid w:val="00277F7F"/>
    <w:rsid w:val="00277FE6"/>
    <w:rsid w:val="0028009F"/>
    <w:rsid w:val="00280C47"/>
    <w:rsid w:val="00280D8C"/>
    <w:rsid w:val="002811CF"/>
    <w:rsid w:val="002813BA"/>
    <w:rsid w:val="00282B38"/>
    <w:rsid w:val="00282B6E"/>
    <w:rsid w:val="00282C8A"/>
    <w:rsid w:val="00282D36"/>
    <w:rsid w:val="00282F53"/>
    <w:rsid w:val="002830D2"/>
    <w:rsid w:val="00283121"/>
    <w:rsid w:val="002832A8"/>
    <w:rsid w:val="0028368E"/>
    <w:rsid w:val="00283728"/>
    <w:rsid w:val="00283A40"/>
    <w:rsid w:val="00283F84"/>
    <w:rsid w:val="00284A0F"/>
    <w:rsid w:val="00284AE6"/>
    <w:rsid w:val="00284B38"/>
    <w:rsid w:val="00284CA6"/>
    <w:rsid w:val="00285206"/>
    <w:rsid w:val="002852DD"/>
    <w:rsid w:val="002853EB"/>
    <w:rsid w:val="00285425"/>
    <w:rsid w:val="00285485"/>
    <w:rsid w:val="00285612"/>
    <w:rsid w:val="00285ADD"/>
    <w:rsid w:val="00285D01"/>
    <w:rsid w:val="00285D73"/>
    <w:rsid w:val="00285E4F"/>
    <w:rsid w:val="00286994"/>
    <w:rsid w:val="00286D2B"/>
    <w:rsid w:val="00287821"/>
    <w:rsid w:val="00287AB9"/>
    <w:rsid w:val="00287AE9"/>
    <w:rsid w:val="002904FA"/>
    <w:rsid w:val="002905C7"/>
    <w:rsid w:val="00290613"/>
    <w:rsid w:val="002908F1"/>
    <w:rsid w:val="00290A08"/>
    <w:rsid w:val="00290AE1"/>
    <w:rsid w:val="0029119A"/>
    <w:rsid w:val="00291249"/>
    <w:rsid w:val="002916AB"/>
    <w:rsid w:val="00291838"/>
    <w:rsid w:val="00291973"/>
    <w:rsid w:val="00291EA7"/>
    <w:rsid w:val="00291ED9"/>
    <w:rsid w:val="0029264B"/>
    <w:rsid w:val="00292662"/>
    <w:rsid w:val="0029278E"/>
    <w:rsid w:val="002929DA"/>
    <w:rsid w:val="00292E89"/>
    <w:rsid w:val="00293010"/>
    <w:rsid w:val="00293A36"/>
    <w:rsid w:val="00293A77"/>
    <w:rsid w:val="00293C84"/>
    <w:rsid w:val="00293C9F"/>
    <w:rsid w:val="002943B5"/>
    <w:rsid w:val="002945F7"/>
    <w:rsid w:val="002948C0"/>
    <w:rsid w:val="00294E4E"/>
    <w:rsid w:val="00294F2E"/>
    <w:rsid w:val="00294F39"/>
    <w:rsid w:val="00295033"/>
    <w:rsid w:val="002950BB"/>
    <w:rsid w:val="0029524A"/>
    <w:rsid w:val="002953A1"/>
    <w:rsid w:val="00295FA7"/>
    <w:rsid w:val="00296182"/>
    <w:rsid w:val="002964FA"/>
    <w:rsid w:val="00296514"/>
    <w:rsid w:val="002967BA"/>
    <w:rsid w:val="0029683B"/>
    <w:rsid w:val="00296BF7"/>
    <w:rsid w:val="00296C31"/>
    <w:rsid w:val="00296D14"/>
    <w:rsid w:val="00296E15"/>
    <w:rsid w:val="002971CA"/>
    <w:rsid w:val="00297785"/>
    <w:rsid w:val="00297ADC"/>
    <w:rsid w:val="00297BB8"/>
    <w:rsid w:val="00297CBC"/>
    <w:rsid w:val="00297D68"/>
    <w:rsid w:val="002A049D"/>
    <w:rsid w:val="002A0F3C"/>
    <w:rsid w:val="002A1167"/>
    <w:rsid w:val="002A11BA"/>
    <w:rsid w:val="002A1281"/>
    <w:rsid w:val="002A1890"/>
    <w:rsid w:val="002A1CE1"/>
    <w:rsid w:val="002A1E18"/>
    <w:rsid w:val="002A230F"/>
    <w:rsid w:val="002A2E22"/>
    <w:rsid w:val="002A2E34"/>
    <w:rsid w:val="002A2EC6"/>
    <w:rsid w:val="002A30A0"/>
    <w:rsid w:val="002A32FA"/>
    <w:rsid w:val="002A3763"/>
    <w:rsid w:val="002A3875"/>
    <w:rsid w:val="002A3A45"/>
    <w:rsid w:val="002A3AE4"/>
    <w:rsid w:val="002A3E16"/>
    <w:rsid w:val="002A3FAA"/>
    <w:rsid w:val="002A4346"/>
    <w:rsid w:val="002A45F5"/>
    <w:rsid w:val="002A46FB"/>
    <w:rsid w:val="002A49BD"/>
    <w:rsid w:val="002A4C8E"/>
    <w:rsid w:val="002A4CDE"/>
    <w:rsid w:val="002A55FE"/>
    <w:rsid w:val="002A58FB"/>
    <w:rsid w:val="002A5B21"/>
    <w:rsid w:val="002A5E01"/>
    <w:rsid w:val="002A63A6"/>
    <w:rsid w:val="002A6688"/>
    <w:rsid w:val="002A6D9B"/>
    <w:rsid w:val="002A704F"/>
    <w:rsid w:val="002A737C"/>
    <w:rsid w:val="002A764A"/>
    <w:rsid w:val="002A77EF"/>
    <w:rsid w:val="002B039E"/>
    <w:rsid w:val="002B0555"/>
    <w:rsid w:val="002B0729"/>
    <w:rsid w:val="002B0B2B"/>
    <w:rsid w:val="002B0D9F"/>
    <w:rsid w:val="002B160E"/>
    <w:rsid w:val="002B1B79"/>
    <w:rsid w:val="002B2115"/>
    <w:rsid w:val="002B2172"/>
    <w:rsid w:val="002B23A3"/>
    <w:rsid w:val="002B2881"/>
    <w:rsid w:val="002B2CF5"/>
    <w:rsid w:val="002B2DD5"/>
    <w:rsid w:val="002B2E55"/>
    <w:rsid w:val="002B2FA9"/>
    <w:rsid w:val="002B33D8"/>
    <w:rsid w:val="002B3546"/>
    <w:rsid w:val="002B3885"/>
    <w:rsid w:val="002B39CC"/>
    <w:rsid w:val="002B39F4"/>
    <w:rsid w:val="002B3D77"/>
    <w:rsid w:val="002B4003"/>
    <w:rsid w:val="002B4116"/>
    <w:rsid w:val="002B47F6"/>
    <w:rsid w:val="002B4FF3"/>
    <w:rsid w:val="002B551F"/>
    <w:rsid w:val="002B56E9"/>
    <w:rsid w:val="002B58B6"/>
    <w:rsid w:val="002B5EDC"/>
    <w:rsid w:val="002B6483"/>
    <w:rsid w:val="002B65EE"/>
    <w:rsid w:val="002B667E"/>
    <w:rsid w:val="002B6CD7"/>
    <w:rsid w:val="002B734B"/>
    <w:rsid w:val="002B75BB"/>
    <w:rsid w:val="002B7EE0"/>
    <w:rsid w:val="002B7F45"/>
    <w:rsid w:val="002C0032"/>
    <w:rsid w:val="002C01E1"/>
    <w:rsid w:val="002C024C"/>
    <w:rsid w:val="002C09BA"/>
    <w:rsid w:val="002C0A27"/>
    <w:rsid w:val="002C0B53"/>
    <w:rsid w:val="002C0C20"/>
    <w:rsid w:val="002C0F4E"/>
    <w:rsid w:val="002C1364"/>
    <w:rsid w:val="002C167F"/>
    <w:rsid w:val="002C18DB"/>
    <w:rsid w:val="002C2334"/>
    <w:rsid w:val="002C28D8"/>
    <w:rsid w:val="002C308E"/>
    <w:rsid w:val="002C30C0"/>
    <w:rsid w:val="002C3AEA"/>
    <w:rsid w:val="002C3F31"/>
    <w:rsid w:val="002C4207"/>
    <w:rsid w:val="002C4654"/>
    <w:rsid w:val="002C47B5"/>
    <w:rsid w:val="002C4E43"/>
    <w:rsid w:val="002C4F4C"/>
    <w:rsid w:val="002C539C"/>
    <w:rsid w:val="002C53A2"/>
    <w:rsid w:val="002C57F7"/>
    <w:rsid w:val="002C5B1C"/>
    <w:rsid w:val="002C5CCB"/>
    <w:rsid w:val="002C640E"/>
    <w:rsid w:val="002C6A2A"/>
    <w:rsid w:val="002C6E9C"/>
    <w:rsid w:val="002C7366"/>
    <w:rsid w:val="002C776C"/>
    <w:rsid w:val="002C7807"/>
    <w:rsid w:val="002D0077"/>
    <w:rsid w:val="002D037B"/>
    <w:rsid w:val="002D062A"/>
    <w:rsid w:val="002D0A4B"/>
    <w:rsid w:val="002D0AA8"/>
    <w:rsid w:val="002D0AE9"/>
    <w:rsid w:val="002D0D82"/>
    <w:rsid w:val="002D12A8"/>
    <w:rsid w:val="002D143D"/>
    <w:rsid w:val="002D1736"/>
    <w:rsid w:val="002D1766"/>
    <w:rsid w:val="002D184E"/>
    <w:rsid w:val="002D1A2A"/>
    <w:rsid w:val="002D20EF"/>
    <w:rsid w:val="002D2360"/>
    <w:rsid w:val="002D253C"/>
    <w:rsid w:val="002D2A6D"/>
    <w:rsid w:val="002D2EFF"/>
    <w:rsid w:val="002D3042"/>
    <w:rsid w:val="002D3165"/>
    <w:rsid w:val="002D322E"/>
    <w:rsid w:val="002D338C"/>
    <w:rsid w:val="002D33B9"/>
    <w:rsid w:val="002D397A"/>
    <w:rsid w:val="002D3987"/>
    <w:rsid w:val="002D3A46"/>
    <w:rsid w:val="002D3AFD"/>
    <w:rsid w:val="002D4254"/>
    <w:rsid w:val="002D4772"/>
    <w:rsid w:val="002D4993"/>
    <w:rsid w:val="002D4E6E"/>
    <w:rsid w:val="002D5835"/>
    <w:rsid w:val="002D5B15"/>
    <w:rsid w:val="002D5BB4"/>
    <w:rsid w:val="002D5CD3"/>
    <w:rsid w:val="002D5F11"/>
    <w:rsid w:val="002D621E"/>
    <w:rsid w:val="002D670E"/>
    <w:rsid w:val="002D6A09"/>
    <w:rsid w:val="002D714B"/>
    <w:rsid w:val="002D71BC"/>
    <w:rsid w:val="002D764E"/>
    <w:rsid w:val="002D7C29"/>
    <w:rsid w:val="002E0001"/>
    <w:rsid w:val="002E00DC"/>
    <w:rsid w:val="002E0D10"/>
    <w:rsid w:val="002E0F9C"/>
    <w:rsid w:val="002E1856"/>
    <w:rsid w:val="002E1CCA"/>
    <w:rsid w:val="002E22F2"/>
    <w:rsid w:val="002E248C"/>
    <w:rsid w:val="002E29F9"/>
    <w:rsid w:val="002E3198"/>
    <w:rsid w:val="002E323E"/>
    <w:rsid w:val="002E34B6"/>
    <w:rsid w:val="002E3AFD"/>
    <w:rsid w:val="002E3B32"/>
    <w:rsid w:val="002E3E29"/>
    <w:rsid w:val="002E435E"/>
    <w:rsid w:val="002E4663"/>
    <w:rsid w:val="002E4F9F"/>
    <w:rsid w:val="002E4FE6"/>
    <w:rsid w:val="002E506F"/>
    <w:rsid w:val="002E5169"/>
    <w:rsid w:val="002E52FB"/>
    <w:rsid w:val="002E5304"/>
    <w:rsid w:val="002E58C8"/>
    <w:rsid w:val="002E5CF0"/>
    <w:rsid w:val="002E6268"/>
    <w:rsid w:val="002E635B"/>
    <w:rsid w:val="002E6414"/>
    <w:rsid w:val="002E649B"/>
    <w:rsid w:val="002E6528"/>
    <w:rsid w:val="002E6549"/>
    <w:rsid w:val="002E66CC"/>
    <w:rsid w:val="002E66FB"/>
    <w:rsid w:val="002E6926"/>
    <w:rsid w:val="002E695D"/>
    <w:rsid w:val="002E69D1"/>
    <w:rsid w:val="002E6BAD"/>
    <w:rsid w:val="002E6CE2"/>
    <w:rsid w:val="002E6E13"/>
    <w:rsid w:val="002E7160"/>
    <w:rsid w:val="002E7166"/>
    <w:rsid w:val="002E72FF"/>
    <w:rsid w:val="002E742A"/>
    <w:rsid w:val="002E7B0E"/>
    <w:rsid w:val="002E7F9C"/>
    <w:rsid w:val="002F02D7"/>
    <w:rsid w:val="002F0387"/>
    <w:rsid w:val="002F05F3"/>
    <w:rsid w:val="002F0CA1"/>
    <w:rsid w:val="002F0E92"/>
    <w:rsid w:val="002F0FB4"/>
    <w:rsid w:val="002F1015"/>
    <w:rsid w:val="002F1554"/>
    <w:rsid w:val="002F1710"/>
    <w:rsid w:val="002F1792"/>
    <w:rsid w:val="002F1971"/>
    <w:rsid w:val="002F1B47"/>
    <w:rsid w:val="002F1BBD"/>
    <w:rsid w:val="002F1F47"/>
    <w:rsid w:val="002F2AB5"/>
    <w:rsid w:val="002F2DFE"/>
    <w:rsid w:val="002F2FEB"/>
    <w:rsid w:val="002F3306"/>
    <w:rsid w:val="002F348D"/>
    <w:rsid w:val="002F3491"/>
    <w:rsid w:val="002F37A6"/>
    <w:rsid w:val="002F3A2E"/>
    <w:rsid w:val="002F3DEC"/>
    <w:rsid w:val="002F4001"/>
    <w:rsid w:val="002F42E6"/>
    <w:rsid w:val="002F4370"/>
    <w:rsid w:val="002F4581"/>
    <w:rsid w:val="002F4B8A"/>
    <w:rsid w:val="002F5076"/>
    <w:rsid w:val="002F5B83"/>
    <w:rsid w:val="002F5D3C"/>
    <w:rsid w:val="002F5E92"/>
    <w:rsid w:val="002F5EB2"/>
    <w:rsid w:val="002F685B"/>
    <w:rsid w:val="002F68A0"/>
    <w:rsid w:val="002F6930"/>
    <w:rsid w:val="002F6CD4"/>
    <w:rsid w:val="002F6E6C"/>
    <w:rsid w:val="002F6EA7"/>
    <w:rsid w:val="002F7197"/>
    <w:rsid w:val="002F73CB"/>
    <w:rsid w:val="003006CD"/>
    <w:rsid w:val="00300A60"/>
    <w:rsid w:val="00300C05"/>
    <w:rsid w:val="003017E0"/>
    <w:rsid w:val="00301893"/>
    <w:rsid w:val="00302203"/>
    <w:rsid w:val="00302215"/>
    <w:rsid w:val="003022AE"/>
    <w:rsid w:val="0030242C"/>
    <w:rsid w:val="003024A4"/>
    <w:rsid w:val="0030284B"/>
    <w:rsid w:val="00302B0D"/>
    <w:rsid w:val="00302C78"/>
    <w:rsid w:val="00302CE2"/>
    <w:rsid w:val="003035F9"/>
    <w:rsid w:val="003037BC"/>
    <w:rsid w:val="00303C0C"/>
    <w:rsid w:val="003040DF"/>
    <w:rsid w:val="00304275"/>
    <w:rsid w:val="003044DD"/>
    <w:rsid w:val="00304780"/>
    <w:rsid w:val="0030486C"/>
    <w:rsid w:val="003049AE"/>
    <w:rsid w:val="00304EBB"/>
    <w:rsid w:val="0030571D"/>
    <w:rsid w:val="00305850"/>
    <w:rsid w:val="0030589B"/>
    <w:rsid w:val="00305CF1"/>
    <w:rsid w:val="00306166"/>
    <w:rsid w:val="00306786"/>
    <w:rsid w:val="00306BDD"/>
    <w:rsid w:val="00306CAC"/>
    <w:rsid w:val="00306FAE"/>
    <w:rsid w:val="00307184"/>
    <w:rsid w:val="0030790D"/>
    <w:rsid w:val="00307C59"/>
    <w:rsid w:val="00307EF4"/>
    <w:rsid w:val="00310048"/>
    <w:rsid w:val="003100B4"/>
    <w:rsid w:val="00310502"/>
    <w:rsid w:val="00310792"/>
    <w:rsid w:val="0031111A"/>
    <w:rsid w:val="00312151"/>
    <w:rsid w:val="003129F1"/>
    <w:rsid w:val="00312BB4"/>
    <w:rsid w:val="00312E3A"/>
    <w:rsid w:val="003130DA"/>
    <w:rsid w:val="00313425"/>
    <w:rsid w:val="0031395C"/>
    <w:rsid w:val="00313A82"/>
    <w:rsid w:val="0031452B"/>
    <w:rsid w:val="00314973"/>
    <w:rsid w:val="003154EC"/>
    <w:rsid w:val="003165DC"/>
    <w:rsid w:val="00316707"/>
    <w:rsid w:val="0031699C"/>
    <w:rsid w:val="00316B9B"/>
    <w:rsid w:val="00316BFA"/>
    <w:rsid w:val="003173BA"/>
    <w:rsid w:val="00317613"/>
    <w:rsid w:val="0031766D"/>
    <w:rsid w:val="003176E5"/>
    <w:rsid w:val="00320286"/>
    <w:rsid w:val="003202B1"/>
    <w:rsid w:val="00320A5F"/>
    <w:rsid w:val="00320CAE"/>
    <w:rsid w:val="00321985"/>
    <w:rsid w:val="003228C6"/>
    <w:rsid w:val="00322979"/>
    <w:rsid w:val="00322AC0"/>
    <w:rsid w:val="00322B3F"/>
    <w:rsid w:val="00322F8C"/>
    <w:rsid w:val="003236A5"/>
    <w:rsid w:val="00323C05"/>
    <w:rsid w:val="0032420A"/>
    <w:rsid w:val="00324440"/>
    <w:rsid w:val="003244B4"/>
    <w:rsid w:val="00324B26"/>
    <w:rsid w:val="00325498"/>
    <w:rsid w:val="00325674"/>
    <w:rsid w:val="003256DA"/>
    <w:rsid w:val="00325B55"/>
    <w:rsid w:val="00325C95"/>
    <w:rsid w:val="003262EA"/>
    <w:rsid w:val="003263DF"/>
    <w:rsid w:val="00326C56"/>
    <w:rsid w:val="00326D2A"/>
    <w:rsid w:val="00327167"/>
    <w:rsid w:val="00327198"/>
    <w:rsid w:val="003274F1"/>
    <w:rsid w:val="00327560"/>
    <w:rsid w:val="00327A12"/>
    <w:rsid w:val="00327BEB"/>
    <w:rsid w:val="00327C26"/>
    <w:rsid w:val="00327F4D"/>
    <w:rsid w:val="0033003A"/>
    <w:rsid w:val="00330575"/>
    <w:rsid w:val="00330741"/>
    <w:rsid w:val="00330C86"/>
    <w:rsid w:val="00330F8D"/>
    <w:rsid w:val="0033133C"/>
    <w:rsid w:val="00331466"/>
    <w:rsid w:val="003317FA"/>
    <w:rsid w:val="00331E79"/>
    <w:rsid w:val="00331EDA"/>
    <w:rsid w:val="00331FDF"/>
    <w:rsid w:val="0033228D"/>
    <w:rsid w:val="003323D2"/>
    <w:rsid w:val="003324ED"/>
    <w:rsid w:val="00332636"/>
    <w:rsid w:val="003329B6"/>
    <w:rsid w:val="00333200"/>
    <w:rsid w:val="0033348E"/>
    <w:rsid w:val="00333695"/>
    <w:rsid w:val="003338EB"/>
    <w:rsid w:val="00333E5D"/>
    <w:rsid w:val="003341D2"/>
    <w:rsid w:val="00334B05"/>
    <w:rsid w:val="00334FCA"/>
    <w:rsid w:val="00335D9F"/>
    <w:rsid w:val="00335E7A"/>
    <w:rsid w:val="00335EFD"/>
    <w:rsid w:val="00335F01"/>
    <w:rsid w:val="00336748"/>
    <w:rsid w:val="0033688F"/>
    <w:rsid w:val="00336F4A"/>
    <w:rsid w:val="003370CA"/>
    <w:rsid w:val="003377E2"/>
    <w:rsid w:val="00337A56"/>
    <w:rsid w:val="00337A9E"/>
    <w:rsid w:val="00337BBE"/>
    <w:rsid w:val="00337E7F"/>
    <w:rsid w:val="0034016C"/>
    <w:rsid w:val="00340310"/>
    <w:rsid w:val="00340429"/>
    <w:rsid w:val="003406A4"/>
    <w:rsid w:val="00340B93"/>
    <w:rsid w:val="00340CA3"/>
    <w:rsid w:val="00341121"/>
    <w:rsid w:val="003411DD"/>
    <w:rsid w:val="00341431"/>
    <w:rsid w:val="00341C90"/>
    <w:rsid w:val="00341F0B"/>
    <w:rsid w:val="0034229F"/>
    <w:rsid w:val="003426DE"/>
    <w:rsid w:val="00342E4C"/>
    <w:rsid w:val="00342F6B"/>
    <w:rsid w:val="003432D9"/>
    <w:rsid w:val="0034345A"/>
    <w:rsid w:val="00343D83"/>
    <w:rsid w:val="00344756"/>
    <w:rsid w:val="003447A6"/>
    <w:rsid w:val="00344A02"/>
    <w:rsid w:val="00344B6B"/>
    <w:rsid w:val="00344E45"/>
    <w:rsid w:val="00344EA8"/>
    <w:rsid w:val="00344FCF"/>
    <w:rsid w:val="0034528D"/>
    <w:rsid w:val="003452E5"/>
    <w:rsid w:val="0034580C"/>
    <w:rsid w:val="003461AD"/>
    <w:rsid w:val="00346234"/>
    <w:rsid w:val="0034632B"/>
    <w:rsid w:val="003465DD"/>
    <w:rsid w:val="00346761"/>
    <w:rsid w:val="00346923"/>
    <w:rsid w:val="00346D33"/>
    <w:rsid w:val="00346F88"/>
    <w:rsid w:val="00347092"/>
    <w:rsid w:val="00347199"/>
    <w:rsid w:val="00347265"/>
    <w:rsid w:val="0034761F"/>
    <w:rsid w:val="003476F8"/>
    <w:rsid w:val="003478B9"/>
    <w:rsid w:val="00347E59"/>
    <w:rsid w:val="00347F6C"/>
    <w:rsid w:val="00347FFA"/>
    <w:rsid w:val="0034ACFE"/>
    <w:rsid w:val="0035031F"/>
    <w:rsid w:val="0035055D"/>
    <w:rsid w:val="00350704"/>
    <w:rsid w:val="00351167"/>
    <w:rsid w:val="00351573"/>
    <w:rsid w:val="00351594"/>
    <w:rsid w:val="00351856"/>
    <w:rsid w:val="00351D19"/>
    <w:rsid w:val="00351EF5"/>
    <w:rsid w:val="00351F4D"/>
    <w:rsid w:val="003524EA"/>
    <w:rsid w:val="0035257F"/>
    <w:rsid w:val="003528EB"/>
    <w:rsid w:val="00353112"/>
    <w:rsid w:val="00353426"/>
    <w:rsid w:val="00353647"/>
    <w:rsid w:val="00353C56"/>
    <w:rsid w:val="00353FF5"/>
    <w:rsid w:val="00354214"/>
    <w:rsid w:val="00354C76"/>
    <w:rsid w:val="00354D35"/>
    <w:rsid w:val="00354DB9"/>
    <w:rsid w:val="003558D9"/>
    <w:rsid w:val="00355B92"/>
    <w:rsid w:val="00356112"/>
    <w:rsid w:val="00356155"/>
    <w:rsid w:val="00356BD3"/>
    <w:rsid w:val="00356C05"/>
    <w:rsid w:val="003570EC"/>
    <w:rsid w:val="00357287"/>
    <w:rsid w:val="003572D9"/>
    <w:rsid w:val="00357960"/>
    <w:rsid w:val="00357EF8"/>
    <w:rsid w:val="00357EF9"/>
    <w:rsid w:val="00360452"/>
    <w:rsid w:val="00360B00"/>
    <w:rsid w:val="00360BC9"/>
    <w:rsid w:val="00361289"/>
    <w:rsid w:val="0036140B"/>
    <w:rsid w:val="00361468"/>
    <w:rsid w:val="00361A42"/>
    <w:rsid w:val="00362088"/>
    <w:rsid w:val="003624E3"/>
    <w:rsid w:val="003627D4"/>
    <w:rsid w:val="00362AC2"/>
    <w:rsid w:val="00362BDD"/>
    <w:rsid w:val="0036339B"/>
    <w:rsid w:val="003635A7"/>
    <w:rsid w:val="00363721"/>
    <w:rsid w:val="00363B02"/>
    <w:rsid w:val="00363B39"/>
    <w:rsid w:val="00363CB7"/>
    <w:rsid w:val="00363D01"/>
    <w:rsid w:val="00364020"/>
    <w:rsid w:val="00364394"/>
    <w:rsid w:val="003643FF"/>
    <w:rsid w:val="0036442D"/>
    <w:rsid w:val="003645CD"/>
    <w:rsid w:val="0036488E"/>
    <w:rsid w:val="00364BA6"/>
    <w:rsid w:val="00364D7B"/>
    <w:rsid w:val="003650E0"/>
    <w:rsid w:val="0036517B"/>
    <w:rsid w:val="0036549B"/>
    <w:rsid w:val="003654BF"/>
    <w:rsid w:val="00365577"/>
    <w:rsid w:val="00365594"/>
    <w:rsid w:val="00365711"/>
    <w:rsid w:val="00365845"/>
    <w:rsid w:val="00366016"/>
    <w:rsid w:val="0036604B"/>
    <w:rsid w:val="003661B1"/>
    <w:rsid w:val="00366723"/>
    <w:rsid w:val="0036683B"/>
    <w:rsid w:val="0036780D"/>
    <w:rsid w:val="00367983"/>
    <w:rsid w:val="00367DC9"/>
    <w:rsid w:val="00367FB1"/>
    <w:rsid w:val="00370220"/>
    <w:rsid w:val="00370915"/>
    <w:rsid w:val="00370A87"/>
    <w:rsid w:val="00370AA5"/>
    <w:rsid w:val="003716D7"/>
    <w:rsid w:val="00371865"/>
    <w:rsid w:val="00371BD6"/>
    <w:rsid w:val="00371C6D"/>
    <w:rsid w:val="00371C81"/>
    <w:rsid w:val="00371D10"/>
    <w:rsid w:val="00372128"/>
    <w:rsid w:val="0037213C"/>
    <w:rsid w:val="00372221"/>
    <w:rsid w:val="0037290F"/>
    <w:rsid w:val="00372A76"/>
    <w:rsid w:val="00373138"/>
    <w:rsid w:val="0037356F"/>
    <w:rsid w:val="00373670"/>
    <w:rsid w:val="0037396F"/>
    <w:rsid w:val="0037398C"/>
    <w:rsid w:val="00373A35"/>
    <w:rsid w:val="00373A6C"/>
    <w:rsid w:val="00373BA2"/>
    <w:rsid w:val="00373DF4"/>
    <w:rsid w:val="00373E8E"/>
    <w:rsid w:val="00374498"/>
    <w:rsid w:val="003744B5"/>
    <w:rsid w:val="00374841"/>
    <w:rsid w:val="003748C9"/>
    <w:rsid w:val="0037567A"/>
    <w:rsid w:val="0037573A"/>
    <w:rsid w:val="00375C04"/>
    <w:rsid w:val="0037618F"/>
    <w:rsid w:val="0037640D"/>
    <w:rsid w:val="003764D1"/>
    <w:rsid w:val="00376811"/>
    <w:rsid w:val="003770AE"/>
    <w:rsid w:val="003772D4"/>
    <w:rsid w:val="003777CD"/>
    <w:rsid w:val="00377DBE"/>
    <w:rsid w:val="003800FB"/>
    <w:rsid w:val="0038064E"/>
    <w:rsid w:val="003807DB"/>
    <w:rsid w:val="00380898"/>
    <w:rsid w:val="00380BFA"/>
    <w:rsid w:val="00380C12"/>
    <w:rsid w:val="00380EB8"/>
    <w:rsid w:val="003811AD"/>
    <w:rsid w:val="00381558"/>
    <w:rsid w:val="00381EA7"/>
    <w:rsid w:val="0038205A"/>
    <w:rsid w:val="00382522"/>
    <w:rsid w:val="00382600"/>
    <w:rsid w:val="003826DA"/>
    <w:rsid w:val="00383220"/>
    <w:rsid w:val="0038331B"/>
    <w:rsid w:val="0038348D"/>
    <w:rsid w:val="00383559"/>
    <w:rsid w:val="00383CCD"/>
    <w:rsid w:val="00383D06"/>
    <w:rsid w:val="00384595"/>
    <w:rsid w:val="0038481C"/>
    <w:rsid w:val="00384827"/>
    <w:rsid w:val="00384B3C"/>
    <w:rsid w:val="00384E8D"/>
    <w:rsid w:val="00385061"/>
    <w:rsid w:val="003853C1"/>
    <w:rsid w:val="003854D5"/>
    <w:rsid w:val="00385787"/>
    <w:rsid w:val="003857AB"/>
    <w:rsid w:val="00385C2E"/>
    <w:rsid w:val="00385DE1"/>
    <w:rsid w:val="00386657"/>
    <w:rsid w:val="003869A5"/>
    <w:rsid w:val="00386DE7"/>
    <w:rsid w:val="00386EFC"/>
    <w:rsid w:val="00387150"/>
    <w:rsid w:val="0038735B"/>
    <w:rsid w:val="00387F3E"/>
    <w:rsid w:val="0039001B"/>
    <w:rsid w:val="00390796"/>
    <w:rsid w:val="003910A9"/>
    <w:rsid w:val="003910BC"/>
    <w:rsid w:val="003911BB"/>
    <w:rsid w:val="00391E7C"/>
    <w:rsid w:val="00391EE5"/>
    <w:rsid w:val="0039218A"/>
    <w:rsid w:val="00392435"/>
    <w:rsid w:val="003924B7"/>
    <w:rsid w:val="00392553"/>
    <w:rsid w:val="00392671"/>
    <w:rsid w:val="00392744"/>
    <w:rsid w:val="0039278F"/>
    <w:rsid w:val="00392A86"/>
    <w:rsid w:val="00392D84"/>
    <w:rsid w:val="003932AA"/>
    <w:rsid w:val="00393676"/>
    <w:rsid w:val="003936C3"/>
    <w:rsid w:val="00393797"/>
    <w:rsid w:val="00393816"/>
    <w:rsid w:val="00393EFD"/>
    <w:rsid w:val="003944DB"/>
    <w:rsid w:val="003945F8"/>
    <w:rsid w:val="00394761"/>
    <w:rsid w:val="003949D9"/>
    <w:rsid w:val="00394A05"/>
    <w:rsid w:val="00394AC9"/>
    <w:rsid w:val="00394CCB"/>
    <w:rsid w:val="003953BD"/>
    <w:rsid w:val="003953DD"/>
    <w:rsid w:val="0039560F"/>
    <w:rsid w:val="0039613C"/>
    <w:rsid w:val="003962B4"/>
    <w:rsid w:val="00396695"/>
    <w:rsid w:val="00396BC3"/>
    <w:rsid w:val="00396D4A"/>
    <w:rsid w:val="00396DCA"/>
    <w:rsid w:val="0039706F"/>
    <w:rsid w:val="003973DD"/>
    <w:rsid w:val="00397692"/>
    <w:rsid w:val="003977C4"/>
    <w:rsid w:val="00397DCB"/>
    <w:rsid w:val="003A017F"/>
    <w:rsid w:val="003A01E1"/>
    <w:rsid w:val="003A0237"/>
    <w:rsid w:val="003A026E"/>
    <w:rsid w:val="003A02D8"/>
    <w:rsid w:val="003A04C1"/>
    <w:rsid w:val="003A0661"/>
    <w:rsid w:val="003A08A5"/>
    <w:rsid w:val="003A0D73"/>
    <w:rsid w:val="003A1087"/>
    <w:rsid w:val="003A10ED"/>
    <w:rsid w:val="003A1665"/>
    <w:rsid w:val="003A16D6"/>
    <w:rsid w:val="003A1CC4"/>
    <w:rsid w:val="003A20C8"/>
    <w:rsid w:val="003A215C"/>
    <w:rsid w:val="003A21A7"/>
    <w:rsid w:val="003A2387"/>
    <w:rsid w:val="003A25F7"/>
    <w:rsid w:val="003A269B"/>
    <w:rsid w:val="003A26CD"/>
    <w:rsid w:val="003A2A9E"/>
    <w:rsid w:val="003A2B38"/>
    <w:rsid w:val="003A2BCB"/>
    <w:rsid w:val="003A319E"/>
    <w:rsid w:val="003A37F6"/>
    <w:rsid w:val="003A3BE4"/>
    <w:rsid w:val="003A3BF9"/>
    <w:rsid w:val="003A3C29"/>
    <w:rsid w:val="003A3D16"/>
    <w:rsid w:val="003A4015"/>
    <w:rsid w:val="003A469A"/>
    <w:rsid w:val="003A4CE0"/>
    <w:rsid w:val="003A51DC"/>
    <w:rsid w:val="003A531A"/>
    <w:rsid w:val="003A5812"/>
    <w:rsid w:val="003A5C2A"/>
    <w:rsid w:val="003A5F79"/>
    <w:rsid w:val="003A604E"/>
    <w:rsid w:val="003A6377"/>
    <w:rsid w:val="003A69E6"/>
    <w:rsid w:val="003A6A68"/>
    <w:rsid w:val="003A6D45"/>
    <w:rsid w:val="003A6D7E"/>
    <w:rsid w:val="003A70E3"/>
    <w:rsid w:val="003A7165"/>
    <w:rsid w:val="003A725A"/>
    <w:rsid w:val="003A75B0"/>
    <w:rsid w:val="003A785C"/>
    <w:rsid w:val="003A7946"/>
    <w:rsid w:val="003A7B8F"/>
    <w:rsid w:val="003A7BB1"/>
    <w:rsid w:val="003B0088"/>
    <w:rsid w:val="003B0748"/>
    <w:rsid w:val="003B0945"/>
    <w:rsid w:val="003B097F"/>
    <w:rsid w:val="003B0EDB"/>
    <w:rsid w:val="003B1289"/>
    <w:rsid w:val="003B187C"/>
    <w:rsid w:val="003B192A"/>
    <w:rsid w:val="003B1D7D"/>
    <w:rsid w:val="003B2270"/>
    <w:rsid w:val="003B22D1"/>
    <w:rsid w:val="003B2786"/>
    <w:rsid w:val="003B2792"/>
    <w:rsid w:val="003B2AC4"/>
    <w:rsid w:val="003B2C1C"/>
    <w:rsid w:val="003B3630"/>
    <w:rsid w:val="003B3B58"/>
    <w:rsid w:val="003B3CDF"/>
    <w:rsid w:val="003B3D11"/>
    <w:rsid w:val="003B3D65"/>
    <w:rsid w:val="003B3E91"/>
    <w:rsid w:val="003B3F58"/>
    <w:rsid w:val="003B4090"/>
    <w:rsid w:val="003B40A3"/>
    <w:rsid w:val="003B4475"/>
    <w:rsid w:val="003B4AC6"/>
    <w:rsid w:val="003B4B00"/>
    <w:rsid w:val="003B4DCF"/>
    <w:rsid w:val="003B4F63"/>
    <w:rsid w:val="003B5304"/>
    <w:rsid w:val="003B5BD2"/>
    <w:rsid w:val="003B5DCC"/>
    <w:rsid w:val="003B5E91"/>
    <w:rsid w:val="003B5F31"/>
    <w:rsid w:val="003B6DD6"/>
    <w:rsid w:val="003B731E"/>
    <w:rsid w:val="003B73A6"/>
    <w:rsid w:val="003B7516"/>
    <w:rsid w:val="003B7855"/>
    <w:rsid w:val="003B7984"/>
    <w:rsid w:val="003B7FA8"/>
    <w:rsid w:val="003C00FA"/>
    <w:rsid w:val="003C0693"/>
    <w:rsid w:val="003C0980"/>
    <w:rsid w:val="003C0A25"/>
    <w:rsid w:val="003C0B6F"/>
    <w:rsid w:val="003C0BE3"/>
    <w:rsid w:val="003C0C1D"/>
    <w:rsid w:val="003C0DBE"/>
    <w:rsid w:val="003C0F68"/>
    <w:rsid w:val="003C10A5"/>
    <w:rsid w:val="003C1363"/>
    <w:rsid w:val="003C13E1"/>
    <w:rsid w:val="003C1983"/>
    <w:rsid w:val="003C1B9F"/>
    <w:rsid w:val="003C21F3"/>
    <w:rsid w:val="003C25FD"/>
    <w:rsid w:val="003C28CB"/>
    <w:rsid w:val="003C2AE7"/>
    <w:rsid w:val="003C2B18"/>
    <w:rsid w:val="003C2DDB"/>
    <w:rsid w:val="003C3536"/>
    <w:rsid w:val="003C367B"/>
    <w:rsid w:val="003C3809"/>
    <w:rsid w:val="003C395A"/>
    <w:rsid w:val="003C3B24"/>
    <w:rsid w:val="003C3CFC"/>
    <w:rsid w:val="003C4070"/>
    <w:rsid w:val="003C40CC"/>
    <w:rsid w:val="003C42BB"/>
    <w:rsid w:val="003C4301"/>
    <w:rsid w:val="003C4344"/>
    <w:rsid w:val="003C4357"/>
    <w:rsid w:val="003C485E"/>
    <w:rsid w:val="003C4A14"/>
    <w:rsid w:val="003C4DE9"/>
    <w:rsid w:val="003C52DF"/>
    <w:rsid w:val="003C53FC"/>
    <w:rsid w:val="003C5A6A"/>
    <w:rsid w:val="003C5BF9"/>
    <w:rsid w:val="003C5D45"/>
    <w:rsid w:val="003C6533"/>
    <w:rsid w:val="003C66DD"/>
    <w:rsid w:val="003C6C54"/>
    <w:rsid w:val="003C705D"/>
    <w:rsid w:val="003C731B"/>
    <w:rsid w:val="003C7464"/>
    <w:rsid w:val="003C7554"/>
    <w:rsid w:val="003C7A63"/>
    <w:rsid w:val="003C7AB7"/>
    <w:rsid w:val="003C7B5B"/>
    <w:rsid w:val="003D02A4"/>
    <w:rsid w:val="003D02D2"/>
    <w:rsid w:val="003D0D3B"/>
    <w:rsid w:val="003D0DF4"/>
    <w:rsid w:val="003D1346"/>
    <w:rsid w:val="003D1771"/>
    <w:rsid w:val="003D26F5"/>
    <w:rsid w:val="003D28AA"/>
    <w:rsid w:val="003D29DF"/>
    <w:rsid w:val="003D2A17"/>
    <w:rsid w:val="003D2C9E"/>
    <w:rsid w:val="003D2CA8"/>
    <w:rsid w:val="003D2EBE"/>
    <w:rsid w:val="003D35C7"/>
    <w:rsid w:val="003D3A29"/>
    <w:rsid w:val="003D3B49"/>
    <w:rsid w:val="003D3B71"/>
    <w:rsid w:val="003D3B8D"/>
    <w:rsid w:val="003D3E9F"/>
    <w:rsid w:val="003D4062"/>
    <w:rsid w:val="003D45A7"/>
    <w:rsid w:val="003D4CFD"/>
    <w:rsid w:val="003D4E4B"/>
    <w:rsid w:val="003D5335"/>
    <w:rsid w:val="003D5501"/>
    <w:rsid w:val="003D56AF"/>
    <w:rsid w:val="003D56BB"/>
    <w:rsid w:val="003D5912"/>
    <w:rsid w:val="003D631B"/>
    <w:rsid w:val="003D652B"/>
    <w:rsid w:val="003D6582"/>
    <w:rsid w:val="003D6BA8"/>
    <w:rsid w:val="003D6CDE"/>
    <w:rsid w:val="003D7428"/>
    <w:rsid w:val="003D7616"/>
    <w:rsid w:val="003D768B"/>
    <w:rsid w:val="003D7992"/>
    <w:rsid w:val="003D7CC1"/>
    <w:rsid w:val="003E03E7"/>
    <w:rsid w:val="003E067B"/>
    <w:rsid w:val="003E092E"/>
    <w:rsid w:val="003E09EA"/>
    <w:rsid w:val="003E0CC9"/>
    <w:rsid w:val="003E0E97"/>
    <w:rsid w:val="003E15AE"/>
    <w:rsid w:val="003E1A41"/>
    <w:rsid w:val="003E1B10"/>
    <w:rsid w:val="003E1D9C"/>
    <w:rsid w:val="003E1EF3"/>
    <w:rsid w:val="003E2016"/>
    <w:rsid w:val="003E2121"/>
    <w:rsid w:val="003E22CD"/>
    <w:rsid w:val="003E29CC"/>
    <w:rsid w:val="003E2F1F"/>
    <w:rsid w:val="003E3942"/>
    <w:rsid w:val="003E3B13"/>
    <w:rsid w:val="003E3D8A"/>
    <w:rsid w:val="003E3ED3"/>
    <w:rsid w:val="003E40F4"/>
    <w:rsid w:val="003E4139"/>
    <w:rsid w:val="003E4220"/>
    <w:rsid w:val="003E42D5"/>
    <w:rsid w:val="003E452F"/>
    <w:rsid w:val="003E461E"/>
    <w:rsid w:val="003E4A9B"/>
    <w:rsid w:val="003E4E8E"/>
    <w:rsid w:val="003E5319"/>
    <w:rsid w:val="003E5526"/>
    <w:rsid w:val="003E575D"/>
    <w:rsid w:val="003E5913"/>
    <w:rsid w:val="003E5996"/>
    <w:rsid w:val="003E624C"/>
    <w:rsid w:val="003E6494"/>
    <w:rsid w:val="003E6AB4"/>
    <w:rsid w:val="003E6AF6"/>
    <w:rsid w:val="003E6DD2"/>
    <w:rsid w:val="003E7121"/>
    <w:rsid w:val="003E7421"/>
    <w:rsid w:val="003E75FA"/>
    <w:rsid w:val="003E7727"/>
    <w:rsid w:val="003E7867"/>
    <w:rsid w:val="003E7ED2"/>
    <w:rsid w:val="003F017E"/>
    <w:rsid w:val="003F02EC"/>
    <w:rsid w:val="003F0802"/>
    <w:rsid w:val="003F0954"/>
    <w:rsid w:val="003F0F1B"/>
    <w:rsid w:val="003F10D6"/>
    <w:rsid w:val="003F1133"/>
    <w:rsid w:val="003F1338"/>
    <w:rsid w:val="003F1684"/>
    <w:rsid w:val="003F168D"/>
    <w:rsid w:val="003F19BE"/>
    <w:rsid w:val="003F1A44"/>
    <w:rsid w:val="003F1A62"/>
    <w:rsid w:val="003F1FB5"/>
    <w:rsid w:val="003F2400"/>
    <w:rsid w:val="003F282C"/>
    <w:rsid w:val="003F29EA"/>
    <w:rsid w:val="003F30A8"/>
    <w:rsid w:val="003F31A8"/>
    <w:rsid w:val="003F376A"/>
    <w:rsid w:val="003F40C6"/>
    <w:rsid w:val="003F42E6"/>
    <w:rsid w:val="003F43E4"/>
    <w:rsid w:val="003F4D88"/>
    <w:rsid w:val="003F4DE2"/>
    <w:rsid w:val="003F518C"/>
    <w:rsid w:val="003F5586"/>
    <w:rsid w:val="003F5A26"/>
    <w:rsid w:val="003F5A34"/>
    <w:rsid w:val="003F5E7B"/>
    <w:rsid w:val="003F6AD0"/>
    <w:rsid w:val="003F6AFF"/>
    <w:rsid w:val="003F700A"/>
    <w:rsid w:val="003F7219"/>
    <w:rsid w:val="003F72DF"/>
    <w:rsid w:val="003F7611"/>
    <w:rsid w:val="003F7849"/>
    <w:rsid w:val="00400264"/>
    <w:rsid w:val="0040030A"/>
    <w:rsid w:val="00400421"/>
    <w:rsid w:val="00400642"/>
    <w:rsid w:val="004007B6"/>
    <w:rsid w:val="00400975"/>
    <w:rsid w:val="00400BB3"/>
    <w:rsid w:val="00400F4D"/>
    <w:rsid w:val="0040107A"/>
    <w:rsid w:val="004011D4"/>
    <w:rsid w:val="004013B8"/>
    <w:rsid w:val="00401405"/>
    <w:rsid w:val="00401AD1"/>
    <w:rsid w:val="00402069"/>
    <w:rsid w:val="004022CE"/>
    <w:rsid w:val="0040244D"/>
    <w:rsid w:val="0040250A"/>
    <w:rsid w:val="00402742"/>
    <w:rsid w:val="00402948"/>
    <w:rsid w:val="00402990"/>
    <w:rsid w:val="00403297"/>
    <w:rsid w:val="004033FF"/>
    <w:rsid w:val="0040371B"/>
    <w:rsid w:val="00403736"/>
    <w:rsid w:val="0040380C"/>
    <w:rsid w:val="00403A55"/>
    <w:rsid w:val="0040413C"/>
    <w:rsid w:val="00404615"/>
    <w:rsid w:val="00404B8B"/>
    <w:rsid w:val="00404EBD"/>
    <w:rsid w:val="00404F67"/>
    <w:rsid w:val="004050A8"/>
    <w:rsid w:val="00405123"/>
    <w:rsid w:val="00405399"/>
    <w:rsid w:val="0040555D"/>
    <w:rsid w:val="00405B89"/>
    <w:rsid w:val="00405C55"/>
    <w:rsid w:val="004060D0"/>
    <w:rsid w:val="00406958"/>
    <w:rsid w:val="00406AF7"/>
    <w:rsid w:val="00406B61"/>
    <w:rsid w:val="00406DE8"/>
    <w:rsid w:val="00406FAF"/>
    <w:rsid w:val="00407135"/>
    <w:rsid w:val="00407458"/>
    <w:rsid w:val="004075E7"/>
    <w:rsid w:val="00407776"/>
    <w:rsid w:val="004079CF"/>
    <w:rsid w:val="00407BA7"/>
    <w:rsid w:val="00407C35"/>
    <w:rsid w:val="00407CF4"/>
    <w:rsid w:val="00407E3D"/>
    <w:rsid w:val="00407E8C"/>
    <w:rsid w:val="0041021B"/>
    <w:rsid w:val="0041077C"/>
    <w:rsid w:val="00410865"/>
    <w:rsid w:val="004113B9"/>
    <w:rsid w:val="004113C9"/>
    <w:rsid w:val="0041150D"/>
    <w:rsid w:val="004115E7"/>
    <w:rsid w:val="004116BE"/>
    <w:rsid w:val="00411DB3"/>
    <w:rsid w:val="00412206"/>
    <w:rsid w:val="004122A5"/>
    <w:rsid w:val="004122CF"/>
    <w:rsid w:val="00412427"/>
    <w:rsid w:val="0041291F"/>
    <w:rsid w:val="00412938"/>
    <w:rsid w:val="00412BC8"/>
    <w:rsid w:val="00412C5E"/>
    <w:rsid w:val="004131FE"/>
    <w:rsid w:val="0041379C"/>
    <w:rsid w:val="004137B8"/>
    <w:rsid w:val="0041385E"/>
    <w:rsid w:val="00413ABA"/>
    <w:rsid w:val="00413AC4"/>
    <w:rsid w:val="00413B2E"/>
    <w:rsid w:val="00413DA1"/>
    <w:rsid w:val="00414C01"/>
    <w:rsid w:val="004151B5"/>
    <w:rsid w:val="00415417"/>
    <w:rsid w:val="004156E3"/>
    <w:rsid w:val="004159DB"/>
    <w:rsid w:val="00416CA2"/>
    <w:rsid w:val="00416CC7"/>
    <w:rsid w:val="00416CE3"/>
    <w:rsid w:val="00416D37"/>
    <w:rsid w:val="00416F9D"/>
    <w:rsid w:val="0041726F"/>
    <w:rsid w:val="00417B8F"/>
    <w:rsid w:val="00417B98"/>
    <w:rsid w:val="00417C83"/>
    <w:rsid w:val="0042026F"/>
    <w:rsid w:val="00420585"/>
    <w:rsid w:val="00420593"/>
    <w:rsid w:val="00421303"/>
    <w:rsid w:val="00421796"/>
    <w:rsid w:val="00421F42"/>
    <w:rsid w:val="004230A0"/>
    <w:rsid w:val="00423248"/>
    <w:rsid w:val="004237C3"/>
    <w:rsid w:val="004241E4"/>
    <w:rsid w:val="00424758"/>
    <w:rsid w:val="0042490E"/>
    <w:rsid w:val="00424CD5"/>
    <w:rsid w:val="00424E18"/>
    <w:rsid w:val="00425335"/>
    <w:rsid w:val="004254A7"/>
    <w:rsid w:val="0042561C"/>
    <w:rsid w:val="00425A59"/>
    <w:rsid w:val="0042615E"/>
    <w:rsid w:val="004262C2"/>
    <w:rsid w:val="0042669F"/>
    <w:rsid w:val="004268FB"/>
    <w:rsid w:val="00426AC6"/>
    <w:rsid w:val="00426EF0"/>
    <w:rsid w:val="0042700B"/>
    <w:rsid w:val="00427353"/>
    <w:rsid w:val="00427593"/>
    <w:rsid w:val="0043010A"/>
    <w:rsid w:val="004303BA"/>
    <w:rsid w:val="004304B3"/>
    <w:rsid w:val="004305B9"/>
    <w:rsid w:val="004307AD"/>
    <w:rsid w:val="004307F7"/>
    <w:rsid w:val="0043082B"/>
    <w:rsid w:val="004308F3"/>
    <w:rsid w:val="00430A6C"/>
    <w:rsid w:val="00430B4A"/>
    <w:rsid w:val="00430D0A"/>
    <w:rsid w:val="004313A2"/>
    <w:rsid w:val="00431679"/>
    <w:rsid w:val="004321A0"/>
    <w:rsid w:val="0043233F"/>
    <w:rsid w:val="00432364"/>
    <w:rsid w:val="00432365"/>
    <w:rsid w:val="00432830"/>
    <w:rsid w:val="0043334E"/>
    <w:rsid w:val="004334FB"/>
    <w:rsid w:val="00433ED5"/>
    <w:rsid w:val="00433F97"/>
    <w:rsid w:val="0043408A"/>
    <w:rsid w:val="00434166"/>
    <w:rsid w:val="004345BB"/>
    <w:rsid w:val="0043474F"/>
    <w:rsid w:val="0043476C"/>
    <w:rsid w:val="004347E7"/>
    <w:rsid w:val="0043480A"/>
    <w:rsid w:val="00434E40"/>
    <w:rsid w:val="00434F60"/>
    <w:rsid w:val="00435155"/>
    <w:rsid w:val="00435263"/>
    <w:rsid w:val="0043564D"/>
    <w:rsid w:val="0043628A"/>
    <w:rsid w:val="004362FD"/>
    <w:rsid w:val="0043633A"/>
    <w:rsid w:val="00436373"/>
    <w:rsid w:val="004366D4"/>
    <w:rsid w:val="00436857"/>
    <w:rsid w:val="00436AD9"/>
    <w:rsid w:val="00436C9F"/>
    <w:rsid w:val="00436FBD"/>
    <w:rsid w:val="00436FCE"/>
    <w:rsid w:val="0043714C"/>
    <w:rsid w:val="00437154"/>
    <w:rsid w:val="004373C5"/>
    <w:rsid w:val="0043775A"/>
    <w:rsid w:val="0043797B"/>
    <w:rsid w:val="004407FC"/>
    <w:rsid w:val="00440836"/>
    <w:rsid w:val="00440E3A"/>
    <w:rsid w:val="00440F32"/>
    <w:rsid w:val="004410BC"/>
    <w:rsid w:val="0044139D"/>
    <w:rsid w:val="004418C3"/>
    <w:rsid w:val="00441AD6"/>
    <w:rsid w:val="00441B6E"/>
    <w:rsid w:val="0044211C"/>
    <w:rsid w:val="00442744"/>
    <w:rsid w:val="00442840"/>
    <w:rsid w:val="00442DC4"/>
    <w:rsid w:val="00442E7E"/>
    <w:rsid w:val="0044312A"/>
    <w:rsid w:val="00443437"/>
    <w:rsid w:val="0044343A"/>
    <w:rsid w:val="00443650"/>
    <w:rsid w:val="0044365F"/>
    <w:rsid w:val="00443795"/>
    <w:rsid w:val="0044383E"/>
    <w:rsid w:val="0044393E"/>
    <w:rsid w:val="00443BF8"/>
    <w:rsid w:val="0044405B"/>
    <w:rsid w:val="00444AE6"/>
    <w:rsid w:val="00444B9D"/>
    <w:rsid w:val="00444D9D"/>
    <w:rsid w:val="00445410"/>
    <w:rsid w:val="00445621"/>
    <w:rsid w:val="00445990"/>
    <w:rsid w:val="00445C14"/>
    <w:rsid w:val="00445C73"/>
    <w:rsid w:val="00445EBD"/>
    <w:rsid w:val="004466FE"/>
    <w:rsid w:val="0044696D"/>
    <w:rsid w:val="00446CE3"/>
    <w:rsid w:val="00447495"/>
    <w:rsid w:val="004475EE"/>
    <w:rsid w:val="00447832"/>
    <w:rsid w:val="004478FD"/>
    <w:rsid w:val="00447C8D"/>
    <w:rsid w:val="00450470"/>
    <w:rsid w:val="0045073D"/>
    <w:rsid w:val="00450883"/>
    <w:rsid w:val="00450FCE"/>
    <w:rsid w:val="00451003"/>
    <w:rsid w:val="004515C0"/>
    <w:rsid w:val="00451FE1"/>
    <w:rsid w:val="0045249B"/>
    <w:rsid w:val="00452917"/>
    <w:rsid w:val="004529E7"/>
    <w:rsid w:val="00452ABD"/>
    <w:rsid w:val="00452F03"/>
    <w:rsid w:val="00454062"/>
    <w:rsid w:val="00454447"/>
    <w:rsid w:val="00454463"/>
    <w:rsid w:val="004544B1"/>
    <w:rsid w:val="004548D2"/>
    <w:rsid w:val="00454C9D"/>
    <w:rsid w:val="0045508B"/>
    <w:rsid w:val="0045627B"/>
    <w:rsid w:val="00456721"/>
    <w:rsid w:val="0045690B"/>
    <w:rsid w:val="00456965"/>
    <w:rsid w:val="00457375"/>
    <w:rsid w:val="00457481"/>
    <w:rsid w:val="00457525"/>
    <w:rsid w:val="004577A1"/>
    <w:rsid w:val="0045782D"/>
    <w:rsid w:val="004604A7"/>
    <w:rsid w:val="0046072F"/>
    <w:rsid w:val="00460DB2"/>
    <w:rsid w:val="00460E12"/>
    <w:rsid w:val="00460E7A"/>
    <w:rsid w:val="0046100B"/>
    <w:rsid w:val="004615D1"/>
    <w:rsid w:val="00461D77"/>
    <w:rsid w:val="00461F30"/>
    <w:rsid w:val="0046218E"/>
    <w:rsid w:val="004626F6"/>
    <w:rsid w:val="00462850"/>
    <w:rsid w:val="00462A45"/>
    <w:rsid w:val="00462CAA"/>
    <w:rsid w:val="00462F05"/>
    <w:rsid w:val="004632BB"/>
    <w:rsid w:val="004632CA"/>
    <w:rsid w:val="00463543"/>
    <w:rsid w:val="004639E4"/>
    <w:rsid w:val="00463E4E"/>
    <w:rsid w:val="00464114"/>
    <w:rsid w:val="00464A34"/>
    <w:rsid w:val="00464B4B"/>
    <w:rsid w:val="00464B84"/>
    <w:rsid w:val="00464E2B"/>
    <w:rsid w:val="00464ED7"/>
    <w:rsid w:val="0046567E"/>
    <w:rsid w:val="00465F49"/>
    <w:rsid w:val="004661A4"/>
    <w:rsid w:val="0046642D"/>
    <w:rsid w:val="0046656E"/>
    <w:rsid w:val="0046664D"/>
    <w:rsid w:val="00466713"/>
    <w:rsid w:val="00466794"/>
    <w:rsid w:val="00466866"/>
    <w:rsid w:val="00466B5A"/>
    <w:rsid w:val="0046753F"/>
    <w:rsid w:val="00467EAB"/>
    <w:rsid w:val="00469609"/>
    <w:rsid w:val="00470085"/>
    <w:rsid w:val="004700B3"/>
    <w:rsid w:val="004702AF"/>
    <w:rsid w:val="00470A2F"/>
    <w:rsid w:val="00470BC5"/>
    <w:rsid w:val="00470F7A"/>
    <w:rsid w:val="004711AD"/>
    <w:rsid w:val="004715F4"/>
    <w:rsid w:val="004718D9"/>
    <w:rsid w:val="00471B20"/>
    <w:rsid w:val="00471DE6"/>
    <w:rsid w:val="00471E44"/>
    <w:rsid w:val="00472246"/>
    <w:rsid w:val="0047301F"/>
    <w:rsid w:val="00473051"/>
    <w:rsid w:val="0047322E"/>
    <w:rsid w:val="00474035"/>
    <w:rsid w:val="004741B6"/>
    <w:rsid w:val="00474719"/>
    <w:rsid w:val="00474868"/>
    <w:rsid w:val="00474906"/>
    <w:rsid w:val="004750EC"/>
    <w:rsid w:val="00475284"/>
    <w:rsid w:val="0047534A"/>
    <w:rsid w:val="004754ED"/>
    <w:rsid w:val="004759AE"/>
    <w:rsid w:val="00476B52"/>
    <w:rsid w:val="00476B65"/>
    <w:rsid w:val="004771A4"/>
    <w:rsid w:val="00480377"/>
    <w:rsid w:val="00480CC4"/>
    <w:rsid w:val="004813C4"/>
    <w:rsid w:val="00481930"/>
    <w:rsid w:val="00481E73"/>
    <w:rsid w:val="00481E91"/>
    <w:rsid w:val="004821C0"/>
    <w:rsid w:val="0048274D"/>
    <w:rsid w:val="00482A46"/>
    <w:rsid w:val="00482F11"/>
    <w:rsid w:val="00483C38"/>
    <w:rsid w:val="00483C9A"/>
    <w:rsid w:val="00483DAC"/>
    <w:rsid w:val="00483DB3"/>
    <w:rsid w:val="00483DBB"/>
    <w:rsid w:val="00484542"/>
    <w:rsid w:val="004848F9"/>
    <w:rsid w:val="0048499B"/>
    <w:rsid w:val="00484B43"/>
    <w:rsid w:val="00484C78"/>
    <w:rsid w:val="004856CE"/>
    <w:rsid w:val="0048575C"/>
    <w:rsid w:val="00485948"/>
    <w:rsid w:val="004859F7"/>
    <w:rsid w:val="00485AAB"/>
    <w:rsid w:val="00485C6D"/>
    <w:rsid w:val="00485D18"/>
    <w:rsid w:val="00486280"/>
    <w:rsid w:val="004867D0"/>
    <w:rsid w:val="004869FC"/>
    <w:rsid w:val="00486A71"/>
    <w:rsid w:val="00486B0B"/>
    <w:rsid w:val="00487383"/>
    <w:rsid w:val="00487397"/>
    <w:rsid w:val="00487EBE"/>
    <w:rsid w:val="0048F7F6"/>
    <w:rsid w:val="00490148"/>
    <w:rsid w:val="0049041F"/>
    <w:rsid w:val="0049084A"/>
    <w:rsid w:val="004908BD"/>
    <w:rsid w:val="00491077"/>
    <w:rsid w:val="00491190"/>
    <w:rsid w:val="00491251"/>
    <w:rsid w:val="00491281"/>
    <w:rsid w:val="004914A4"/>
    <w:rsid w:val="00491C0F"/>
    <w:rsid w:val="00491C59"/>
    <w:rsid w:val="00491D5A"/>
    <w:rsid w:val="00492167"/>
    <w:rsid w:val="00492475"/>
    <w:rsid w:val="0049295B"/>
    <w:rsid w:val="00492DBA"/>
    <w:rsid w:val="004938D4"/>
    <w:rsid w:val="0049391E"/>
    <w:rsid w:val="00493FB4"/>
    <w:rsid w:val="00494581"/>
    <w:rsid w:val="00494949"/>
    <w:rsid w:val="00494E46"/>
    <w:rsid w:val="004950F7"/>
    <w:rsid w:val="00495107"/>
    <w:rsid w:val="00495672"/>
    <w:rsid w:val="00495B74"/>
    <w:rsid w:val="00495EB6"/>
    <w:rsid w:val="00496332"/>
    <w:rsid w:val="00496515"/>
    <w:rsid w:val="00496523"/>
    <w:rsid w:val="004967CB"/>
    <w:rsid w:val="00497155"/>
    <w:rsid w:val="0049741E"/>
    <w:rsid w:val="00497485"/>
    <w:rsid w:val="00497883"/>
    <w:rsid w:val="004978C2"/>
    <w:rsid w:val="004978F4"/>
    <w:rsid w:val="00497AEF"/>
    <w:rsid w:val="004A05E0"/>
    <w:rsid w:val="004A0BEF"/>
    <w:rsid w:val="004A0C0D"/>
    <w:rsid w:val="004A0D68"/>
    <w:rsid w:val="004A0D9E"/>
    <w:rsid w:val="004A1312"/>
    <w:rsid w:val="004A1C02"/>
    <w:rsid w:val="004A2115"/>
    <w:rsid w:val="004A21C7"/>
    <w:rsid w:val="004A2605"/>
    <w:rsid w:val="004A308D"/>
    <w:rsid w:val="004A3831"/>
    <w:rsid w:val="004A3E1D"/>
    <w:rsid w:val="004A468D"/>
    <w:rsid w:val="004A480B"/>
    <w:rsid w:val="004A48C2"/>
    <w:rsid w:val="004A4B8D"/>
    <w:rsid w:val="004A4BBF"/>
    <w:rsid w:val="004A4D00"/>
    <w:rsid w:val="004A52D3"/>
    <w:rsid w:val="004A566A"/>
    <w:rsid w:val="004A6004"/>
    <w:rsid w:val="004A611A"/>
    <w:rsid w:val="004A6352"/>
    <w:rsid w:val="004A6427"/>
    <w:rsid w:val="004A6C73"/>
    <w:rsid w:val="004A73DB"/>
    <w:rsid w:val="004A741A"/>
    <w:rsid w:val="004A74F2"/>
    <w:rsid w:val="004A7733"/>
    <w:rsid w:val="004B0603"/>
    <w:rsid w:val="004B06DA"/>
    <w:rsid w:val="004B0D7C"/>
    <w:rsid w:val="004B116C"/>
    <w:rsid w:val="004B1CF3"/>
    <w:rsid w:val="004B1EA4"/>
    <w:rsid w:val="004B1F84"/>
    <w:rsid w:val="004B22F2"/>
    <w:rsid w:val="004B2CB9"/>
    <w:rsid w:val="004B3151"/>
    <w:rsid w:val="004B31F1"/>
    <w:rsid w:val="004B320B"/>
    <w:rsid w:val="004B3238"/>
    <w:rsid w:val="004B35A6"/>
    <w:rsid w:val="004B3723"/>
    <w:rsid w:val="004B3ECC"/>
    <w:rsid w:val="004B4317"/>
    <w:rsid w:val="004B479F"/>
    <w:rsid w:val="004B480C"/>
    <w:rsid w:val="004B4BEB"/>
    <w:rsid w:val="004B4BF6"/>
    <w:rsid w:val="004B50EE"/>
    <w:rsid w:val="004B52D3"/>
    <w:rsid w:val="004B5F14"/>
    <w:rsid w:val="004B6C56"/>
    <w:rsid w:val="004B7532"/>
    <w:rsid w:val="004B75D3"/>
    <w:rsid w:val="004B7677"/>
    <w:rsid w:val="004B76AB"/>
    <w:rsid w:val="004B77C3"/>
    <w:rsid w:val="004B7938"/>
    <w:rsid w:val="004B7D05"/>
    <w:rsid w:val="004B7DAE"/>
    <w:rsid w:val="004C024E"/>
    <w:rsid w:val="004C03DC"/>
    <w:rsid w:val="004C05F2"/>
    <w:rsid w:val="004C0E35"/>
    <w:rsid w:val="004C0E85"/>
    <w:rsid w:val="004C134B"/>
    <w:rsid w:val="004C18EA"/>
    <w:rsid w:val="004C1C4C"/>
    <w:rsid w:val="004C1D9B"/>
    <w:rsid w:val="004C1FA3"/>
    <w:rsid w:val="004C21B3"/>
    <w:rsid w:val="004C24AA"/>
    <w:rsid w:val="004C2D6C"/>
    <w:rsid w:val="004C35E2"/>
    <w:rsid w:val="004C38C8"/>
    <w:rsid w:val="004C3D28"/>
    <w:rsid w:val="004C4032"/>
    <w:rsid w:val="004C4047"/>
    <w:rsid w:val="004C408C"/>
    <w:rsid w:val="004C424B"/>
    <w:rsid w:val="004C43AB"/>
    <w:rsid w:val="004C46C3"/>
    <w:rsid w:val="004C47F6"/>
    <w:rsid w:val="004C4930"/>
    <w:rsid w:val="004C4AAA"/>
    <w:rsid w:val="004C4D14"/>
    <w:rsid w:val="004C4E70"/>
    <w:rsid w:val="004C51AB"/>
    <w:rsid w:val="004C53EF"/>
    <w:rsid w:val="004C557B"/>
    <w:rsid w:val="004C58EC"/>
    <w:rsid w:val="004C6066"/>
    <w:rsid w:val="004C6340"/>
    <w:rsid w:val="004C6763"/>
    <w:rsid w:val="004C6AE5"/>
    <w:rsid w:val="004C6B3C"/>
    <w:rsid w:val="004C7031"/>
    <w:rsid w:val="004C72E0"/>
    <w:rsid w:val="004C7644"/>
    <w:rsid w:val="004C7AEC"/>
    <w:rsid w:val="004D0396"/>
    <w:rsid w:val="004D0A33"/>
    <w:rsid w:val="004D0D38"/>
    <w:rsid w:val="004D1151"/>
    <w:rsid w:val="004D14BC"/>
    <w:rsid w:val="004D1DB3"/>
    <w:rsid w:val="004D1F5E"/>
    <w:rsid w:val="004D1FEB"/>
    <w:rsid w:val="004D2189"/>
    <w:rsid w:val="004D2197"/>
    <w:rsid w:val="004D21F8"/>
    <w:rsid w:val="004D26DC"/>
    <w:rsid w:val="004D2743"/>
    <w:rsid w:val="004D2CC1"/>
    <w:rsid w:val="004D3024"/>
    <w:rsid w:val="004D325C"/>
    <w:rsid w:val="004D350B"/>
    <w:rsid w:val="004D361B"/>
    <w:rsid w:val="004D3B5D"/>
    <w:rsid w:val="004D3D81"/>
    <w:rsid w:val="004D416A"/>
    <w:rsid w:val="004D43EA"/>
    <w:rsid w:val="004D448D"/>
    <w:rsid w:val="004D472E"/>
    <w:rsid w:val="004D4BD4"/>
    <w:rsid w:val="004D4CE3"/>
    <w:rsid w:val="004D4D85"/>
    <w:rsid w:val="004D4E5D"/>
    <w:rsid w:val="004D501F"/>
    <w:rsid w:val="004D5426"/>
    <w:rsid w:val="004D55A9"/>
    <w:rsid w:val="004D59E5"/>
    <w:rsid w:val="004D6BCF"/>
    <w:rsid w:val="004D6C23"/>
    <w:rsid w:val="004D6E6F"/>
    <w:rsid w:val="004D739E"/>
    <w:rsid w:val="004D73EE"/>
    <w:rsid w:val="004D764E"/>
    <w:rsid w:val="004D7A9C"/>
    <w:rsid w:val="004D7D30"/>
    <w:rsid w:val="004E0838"/>
    <w:rsid w:val="004E0C8C"/>
    <w:rsid w:val="004E15F9"/>
    <w:rsid w:val="004E19FD"/>
    <w:rsid w:val="004E1CDE"/>
    <w:rsid w:val="004E20A2"/>
    <w:rsid w:val="004E29C0"/>
    <w:rsid w:val="004E2D57"/>
    <w:rsid w:val="004E338E"/>
    <w:rsid w:val="004E3777"/>
    <w:rsid w:val="004E395C"/>
    <w:rsid w:val="004E44DB"/>
    <w:rsid w:val="004E4817"/>
    <w:rsid w:val="004E48FF"/>
    <w:rsid w:val="004E49AE"/>
    <w:rsid w:val="004E4C32"/>
    <w:rsid w:val="004E50FA"/>
    <w:rsid w:val="004E51AE"/>
    <w:rsid w:val="004E566A"/>
    <w:rsid w:val="004E5C95"/>
    <w:rsid w:val="004E65CA"/>
    <w:rsid w:val="004E67D9"/>
    <w:rsid w:val="004E68E8"/>
    <w:rsid w:val="004E69AD"/>
    <w:rsid w:val="004E6FF4"/>
    <w:rsid w:val="004E725C"/>
    <w:rsid w:val="004E7958"/>
    <w:rsid w:val="004E79A4"/>
    <w:rsid w:val="004E7E87"/>
    <w:rsid w:val="004E7F33"/>
    <w:rsid w:val="004F0096"/>
    <w:rsid w:val="004F0134"/>
    <w:rsid w:val="004F03EB"/>
    <w:rsid w:val="004F04A8"/>
    <w:rsid w:val="004F08C5"/>
    <w:rsid w:val="004F0A34"/>
    <w:rsid w:val="004F0A5D"/>
    <w:rsid w:val="004F11F1"/>
    <w:rsid w:val="004F1DFA"/>
    <w:rsid w:val="004F1E7F"/>
    <w:rsid w:val="004F22D7"/>
    <w:rsid w:val="004F26A8"/>
    <w:rsid w:val="004F2A3C"/>
    <w:rsid w:val="004F2EB7"/>
    <w:rsid w:val="004F35BB"/>
    <w:rsid w:val="004F36E1"/>
    <w:rsid w:val="004F3D6F"/>
    <w:rsid w:val="004F42E6"/>
    <w:rsid w:val="004F4354"/>
    <w:rsid w:val="004F4432"/>
    <w:rsid w:val="004F4643"/>
    <w:rsid w:val="004F490C"/>
    <w:rsid w:val="004F49E7"/>
    <w:rsid w:val="004F4C66"/>
    <w:rsid w:val="004F51FA"/>
    <w:rsid w:val="004F5CB3"/>
    <w:rsid w:val="004F5E77"/>
    <w:rsid w:val="004F5FDC"/>
    <w:rsid w:val="004F6040"/>
    <w:rsid w:val="004F6334"/>
    <w:rsid w:val="004F664D"/>
    <w:rsid w:val="004F694E"/>
    <w:rsid w:val="004F6C35"/>
    <w:rsid w:val="004F6DE6"/>
    <w:rsid w:val="004F7359"/>
    <w:rsid w:val="004F77F9"/>
    <w:rsid w:val="00500091"/>
    <w:rsid w:val="00500128"/>
    <w:rsid w:val="005003A8"/>
    <w:rsid w:val="00500722"/>
    <w:rsid w:val="005007B2"/>
    <w:rsid w:val="00500939"/>
    <w:rsid w:val="00500C5D"/>
    <w:rsid w:val="00501586"/>
    <w:rsid w:val="00501587"/>
    <w:rsid w:val="00501888"/>
    <w:rsid w:val="00501B7E"/>
    <w:rsid w:val="00501C4A"/>
    <w:rsid w:val="0050219A"/>
    <w:rsid w:val="00502639"/>
    <w:rsid w:val="00502A61"/>
    <w:rsid w:val="00502C00"/>
    <w:rsid w:val="005030E6"/>
    <w:rsid w:val="0050312D"/>
    <w:rsid w:val="005036DC"/>
    <w:rsid w:val="00503D76"/>
    <w:rsid w:val="00503FDE"/>
    <w:rsid w:val="00504423"/>
    <w:rsid w:val="005045BB"/>
    <w:rsid w:val="005046AC"/>
    <w:rsid w:val="005046B1"/>
    <w:rsid w:val="00504866"/>
    <w:rsid w:val="005048A2"/>
    <w:rsid w:val="005048CE"/>
    <w:rsid w:val="00504963"/>
    <w:rsid w:val="00504D6A"/>
    <w:rsid w:val="00505243"/>
    <w:rsid w:val="0050527D"/>
    <w:rsid w:val="0050558C"/>
    <w:rsid w:val="00505666"/>
    <w:rsid w:val="00505B31"/>
    <w:rsid w:val="00505C4E"/>
    <w:rsid w:val="00505D89"/>
    <w:rsid w:val="005064CF"/>
    <w:rsid w:val="005066AD"/>
    <w:rsid w:val="00506A65"/>
    <w:rsid w:val="00506C37"/>
    <w:rsid w:val="005076BA"/>
    <w:rsid w:val="0051001A"/>
    <w:rsid w:val="0051056D"/>
    <w:rsid w:val="00510E12"/>
    <w:rsid w:val="00511239"/>
    <w:rsid w:val="00511385"/>
    <w:rsid w:val="0051149B"/>
    <w:rsid w:val="00511828"/>
    <w:rsid w:val="00511B4B"/>
    <w:rsid w:val="00512009"/>
    <w:rsid w:val="00512672"/>
    <w:rsid w:val="00512AB6"/>
    <w:rsid w:val="00512CBF"/>
    <w:rsid w:val="00512D3F"/>
    <w:rsid w:val="00512E1E"/>
    <w:rsid w:val="00513418"/>
    <w:rsid w:val="00513612"/>
    <w:rsid w:val="00513827"/>
    <w:rsid w:val="00513A61"/>
    <w:rsid w:val="00513EB8"/>
    <w:rsid w:val="00513EDD"/>
    <w:rsid w:val="005140E8"/>
    <w:rsid w:val="005142E6"/>
    <w:rsid w:val="005143A8"/>
    <w:rsid w:val="0051441F"/>
    <w:rsid w:val="0051455C"/>
    <w:rsid w:val="005150D7"/>
    <w:rsid w:val="00515461"/>
    <w:rsid w:val="00515858"/>
    <w:rsid w:val="00515983"/>
    <w:rsid w:val="00515BB9"/>
    <w:rsid w:val="00515D1C"/>
    <w:rsid w:val="0051607C"/>
    <w:rsid w:val="0051649B"/>
    <w:rsid w:val="00516779"/>
    <w:rsid w:val="00516AE0"/>
    <w:rsid w:val="00516B0F"/>
    <w:rsid w:val="005172A4"/>
    <w:rsid w:val="00517A03"/>
    <w:rsid w:val="00517EA7"/>
    <w:rsid w:val="0052022C"/>
    <w:rsid w:val="005204A4"/>
    <w:rsid w:val="005206E7"/>
    <w:rsid w:val="0052084F"/>
    <w:rsid w:val="00520B29"/>
    <w:rsid w:val="00520C04"/>
    <w:rsid w:val="00520E4D"/>
    <w:rsid w:val="005211C7"/>
    <w:rsid w:val="00521543"/>
    <w:rsid w:val="00521690"/>
    <w:rsid w:val="005217A4"/>
    <w:rsid w:val="0052193C"/>
    <w:rsid w:val="00521CA3"/>
    <w:rsid w:val="0052219D"/>
    <w:rsid w:val="0052239E"/>
    <w:rsid w:val="005226AD"/>
    <w:rsid w:val="005228B1"/>
    <w:rsid w:val="00522955"/>
    <w:rsid w:val="00522D23"/>
    <w:rsid w:val="00523125"/>
    <w:rsid w:val="00523378"/>
    <w:rsid w:val="00523BA9"/>
    <w:rsid w:val="00523CF9"/>
    <w:rsid w:val="00523DD2"/>
    <w:rsid w:val="005241AA"/>
    <w:rsid w:val="00524C17"/>
    <w:rsid w:val="00524E2B"/>
    <w:rsid w:val="00524EAA"/>
    <w:rsid w:val="0052526B"/>
    <w:rsid w:val="005254F7"/>
    <w:rsid w:val="00525686"/>
    <w:rsid w:val="00525797"/>
    <w:rsid w:val="005258E6"/>
    <w:rsid w:val="00525BBA"/>
    <w:rsid w:val="00525FA4"/>
    <w:rsid w:val="00526BD2"/>
    <w:rsid w:val="00527317"/>
    <w:rsid w:val="005276D2"/>
    <w:rsid w:val="0053052B"/>
    <w:rsid w:val="005310BD"/>
    <w:rsid w:val="005311FF"/>
    <w:rsid w:val="0053134B"/>
    <w:rsid w:val="00531696"/>
    <w:rsid w:val="00531869"/>
    <w:rsid w:val="00531A4F"/>
    <w:rsid w:val="00531FDC"/>
    <w:rsid w:val="00531FE5"/>
    <w:rsid w:val="0053205A"/>
    <w:rsid w:val="00532444"/>
    <w:rsid w:val="0053244E"/>
    <w:rsid w:val="00532B91"/>
    <w:rsid w:val="00533018"/>
    <w:rsid w:val="0053304E"/>
    <w:rsid w:val="005331C9"/>
    <w:rsid w:val="0053341F"/>
    <w:rsid w:val="005334D3"/>
    <w:rsid w:val="00533583"/>
    <w:rsid w:val="005335F6"/>
    <w:rsid w:val="0053379C"/>
    <w:rsid w:val="00533C7F"/>
    <w:rsid w:val="00533CF1"/>
    <w:rsid w:val="00533DCE"/>
    <w:rsid w:val="005341F0"/>
    <w:rsid w:val="00534B91"/>
    <w:rsid w:val="005351E7"/>
    <w:rsid w:val="005354B5"/>
    <w:rsid w:val="0053565B"/>
    <w:rsid w:val="00535662"/>
    <w:rsid w:val="0053572C"/>
    <w:rsid w:val="00535C2B"/>
    <w:rsid w:val="00535CD3"/>
    <w:rsid w:val="00536069"/>
    <w:rsid w:val="0053616D"/>
    <w:rsid w:val="0053624C"/>
    <w:rsid w:val="005367A9"/>
    <w:rsid w:val="005367B9"/>
    <w:rsid w:val="00537398"/>
    <w:rsid w:val="005375A1"/>
    <w:rsid w:val="00537D77"/>
    <w:rsid w:val="0054043C"/>
    <w:rsid w:val="005406EA"/>
    <w:rsid w:val="00540785"/>
    <w:rsid w:val="00540B5E"/>
    <w:rsid w:val="00540E15"/>
    <w:rsid w:val="0054112E"/>
    <w:rsid w:val="005412EB"/>
    <w:rsid w:val="00541644"/>
    <w:rsid w:val="005417DE"/>
    <w:rsid w:val="00542293"/>
    <w:rsid w:val="00542420"/>
    <w:rsid w:val="00542929"/>
    <w:rsid w:val="00542A6C"/>
    <w:rsid w:val="00542C2F"/>
    <w:rsid w:val="00542CE0"/>
    <w:rsid w:val="005433B2"/>
    <w:rsid w:val="005435E3"/>
    <w:rsid w:val="00543DD1"/>
    <w:rsid w:val="00543F63"/>
    <w:rsid w:val="0054420B"/>
    <w:rsid w:val="00544534"/>
    <w:rsid w:val="00544626"/>
    <w:rsid w:val="00544A97"/>
    <w:rsid w:val="00545204"/>
    <w:rsid w:val="00545514"/>
    <w:rsid w:val="005456A5"/>
    <w:rsid w:val="0054594E"/>
    <w:rsid w:val="00545CF4"/>
    <w:rsid w:val="005463CC"/>
    <w:rsid w:val="00546506"/>
    <w:rsid w:val="0054665E"/>
    <w:rsid w:val="005467BE"/>
    <w:rsid w:val="005468AF"/>
    <w:rsid w:val="00546B9C"/>
    <w:rsid w:val="00546FC2"/>
    <w:rsid w:val="005470B3"/>
    <w:rsid w:val="005477F0"/>
    <w:rsid w:val="00547E7D"/>
    <w:rsid w:val="00550611"/>
    <w:rsid w:val="005508E7"/>
    <w:rsid w:val="005509BA"/>
    <w:rsid w:val="00550D5E"/>
    <w:rsid w:val="00550E68"/>
    <w:rsid w:val="005512CE"/>
    <w:rsid w:val="0055161E"/>
    <w:rsid w:val="0055167A"/>
    <w:rsid w:val="00551786"/>
    <w:rsid w:val="00551B8C"/>
    <w:rsid w:val="00551E4F"/>
    <w:rsid w:val="00552180"/>
    <w:rsid w:val="0055219D"/>
    <w:rsid w:val="00552C85"/>
    <w:rsid w:val="00552CD8"/>
    <w:rsid w:val="00552D8A"/>
    <w:rsid w:val="00552DEC"/>
    <w:rsid w:val="00552F50"/>
    <w:rsid w:val="005530D9"/>
    <w:rsid w:val="005531F6"/>
    <w:rsid w:val="0055353F"/>
    <w:rsid w:val="00553A79"/>
    <w:rsid w:val="00553CDB"/>
    <w:rsid w:val="00553D86"/>
    <w:rsid w:val="005540FB"/>
    <w:rsid w:val="005541AB"/>
    <w:rsid w:val="00554678"/>
    <w:rsid w:val="005546E9"/>
    <w:rsid w:val="00554725"/>
    <w:rsid w:val="00554AEE"/>
    <w:rsid w:val="0055568D"/>
    <w:rsid w:val="005556EB"/>
    <w:rsid w:val="00555FA1"/>
    <w:rsid w:val="0055617B"/>
    <w:rsid w:val="0055650C"/>
    <w:rsid w:val="00556890"/>
    <w:rsid w:val="005573EC"/>
    <w:rsid w:val="0056066C"/>
    <w:rsid w:val="005610E7"/>
    <w:rsid w:val="005615D0"/>
    <w:rsid w:val="005617B0"/>
    <w:rsid w:val="00561A66"/>
    <w:rsid w:val="00562210"/>
    <w:rsid w:val="00562211"/>
    <w:rsid w:val="00562433"/>
    <w:rsid w:val="005625DF"/>
    <w:rsid w:val="005626E6"/>
    <w:rsid w:val="0056285A"/>
    <w:rsid w:val="00563086"/>
    <w:rsid w:val="005630EB"/>
    <w:rsid w:val="0056318E"/>
    <w:rsid w:val="00563240"/>
    <w:rsid w:val="00563C35"/>
    <w:rsid w:val="00563DDE"/>
    <w:rsid w:val="005645C8"/>
    <w:rsid w:val="005648C7"/>
    <w:rsid w:val="00564DF7"/>
    <w:rsid w:val="00564F40"/>
    <w:rsid w:val="00565008"/>
    <w:rsid w:val="00565204"/>
    <w:rsid w:val="005659C7"/>
    <w:rsid w:val="00565BDD"/>
    <w:rsid w:val="00565C29"/>
    <w:rsid w:val="0056633F"/>
    <w:rsid w:val="00566571"/>
    <w:rsid w:val="00566B15"/>
    <w:rsid w:val="00566B65"/>
    <w:rsid w:val="00567480"/>
    <w:rsid w:val="00567654"/>
    <w:rsid w:val="005679D4"/>
    <w:rsid w:val="00567C79"/>
    <w:rsid w:val="00567F68"/>
    <w:rsid w:val="005703B0"/>
    <w:rsid w:val="005706EF"/>
    <w:rsid w:val="00570C8F"/>
    <w:rsid w:val="00570D0B"/>
    <w:rsid w:val="00571186"/>
    <w:rsid w:val="005712FC"/>
    <w:rsid w:val="005713E5"/>
    <w:rsid w:val="005713F1"/>
    <w:rsid w:val="00571A36"/>
    <w:rsid w:val="00571C0B"/>
    <w:rsid w:val="00571C4E"/>
    <w:rsid w:val="00571C88"/>
    <w:rsid w:val="00572335"/>
    <w:rsid w:val="005729CB"/>
    <w:rsid w:val="00572B95"/>
    <w:rsid w:val="00572C08"/>
    <w:rsid w:val="00572F65"/>
    <w:rsid w:val="0057347E"/>
    <w:rsid w:val="005736D0"/>
    <w:rsid w:val="0057388D"/>
    <w:rsid w:val="00573994"/>
    <w:rsid w:val="00573D40"/>
    <w:rsid w:val="00573E00"/>
    <w:rsid w:val="00574C4D"/>
    <w:rsid w:val="00574C78"/>
    <w:rsid w:val="00575511"/>
    <w:rsid w:val="00575A10"/>
    <w:rsid w:val="00575CCB"/>
    <w:rsid w:val="005764B1"/>
    <w:rsid w:val="0057668A"/>
    <w:rsid w:val="00576709"/>
    <w:rsid w:val="0057674A"/>
    <w:rsid w:val="00576760"/>
    <w:rsid w:val="0057692F"/>
    <w:rsid w:val="00577647"/>
    <w:rsid w:val="00580128"/>
    <w:rsid w:val="0058098C"/>
    <w:rsid w:val="00580A7B"/>
    <w:rsid w:val="00580CCB"/>
    <w:rsid w:val="00580E12"/>
    <w:rsid w:val="00580FE9"/>
    <w:rsid w:val="00581347"/>
    <w:rsid w:val="00581518"/>
    <w:rsid w:val="005815C3"/>
    <w:rsid w:val="00581ABB"/>
    <w:rsid w:val="00581BEF"/>
    <w:rsid w:val="00581BF9"/>
    <w:rsid w:val="00581E85"/>
    <w:rsid w:val="00582168"/>
    <w:rsid w:val="005826CF"/>
    <w:rsid w:val="00582720"/>
    <w:rsid w:val="00582899"/>
    <w:rsid w:val="00582CB6"/>
    <w:rsid w:val="00582CFB"/>
    <w:rsid w:val="00582DB7"/>
    <w:rsid w:val="00583241"/>
    <w:rsid w:val="005834DF"/>
    <w:rsid w:val="00583583"/>
    <w:rsid w:val="0058370F"/>
    <w:rsid w:val="005837D1"/>
    <w:rsid w:val="00583B74"/>
    <w:rsid w:val="00583BF7"/>
    <w:rsid w:val="00583C52"/>
    <w:rsid w:val="0058406B"/>
    <w:rsid w:val="00584378"/>
    <w:rsid w:val="005843F7"/>
    <w:rsid w:val="00584808"/>
    <w:rsid w:val="00584839"/>
    <w:rsid w:val="00584908"/>
    <w:rsid w:val="00585317"/>
    <w:rsid w:val="0058532E"/>
    <w:rsid w:val="0058533B"/>
    <w:rsid w:val="0058576E"/>
    <w:rsid w:val="00586188"/>
    <w:rsid w:val="00586B3C"/>
    <w:rsid w:val="00586CA5"/>
    <w:rsid w:val="00586CB1"/>
    <w:rsid w:val="00586F04"/>
    <w:rsid w:val="00587075"/>
    <w:rsid w:val="00587112"/>
    <w:rsid w:val="00587365"/>
    <w:rsid w:val="0058761C"/>
    <w:rsid w:val="005879B2"/>
    <w:rsid w:val="00587AC6"/>
    <w:rsid w:val="005903DF"/>
    <w:rsid w:val="00590947"/>
    <w:rsid w:val="0059125A"/>
    <w:rsid w:val="00591393"/>
    <w:rsid w:val="0059162C"/>
    <w:rsid w:val="0059197D"/>
    <w:rsid w:val="0059253E"/>
    <w:rsid w:val="00592734"/>
    <w:rsid w:val="00592740"/>
    <w:rsid w:val="005927FC"/>
    <w:rsid w:val="00592ADF"/>
    <w:rsid w:val="00592C3B"/>
    <w:rsid w:val="00592D13"/>
    <w:rsid w:val="00592F4B"/>
    <w:rsid w:val="00593073"/>
    <w:rsid w:val="005931F2"/>
    <w:rsid w:val="00593347"/>
    <w:rsid w:val="005936B4"/>
    <w:rsid w:val="00593879"/>
    <w:rsid w:val="005939BC"/>
    <w:rsid w:val="00593A30"/>
    <w:rsid w:val="00593AB8"/>
    <w:rsid w:val="00593C1C"/>
    <w:rsid w:val="00593D6B"/>
    <w:rsid w:val="00594068"/>
    <w:rsid w:val="00594157"/>
    <w:rsid w:val="00594B87"/>
    <w:rsid w:val="00594D25"/>
    <w:rsid w:val="00595866"/>
    <w:rsid w:val="005958EB"/>
    <w:rsid w:val="0059595F"/>
    <w:rsid w:val="005959E7"/>
    <w:rsid w:val="00595A37"/>
    <w:rsid w:val="005966F0"/>
    <w:rsid w:val="005968F3"/>
    <w:rsid w:val="005969B6"/>
    <w:rsid w:val="00596B93"/>
    <w:rsid w:val="00596E05"/>
    <w:rsid w:val="00597371"/>
    <w:rsid w:val="005975D9"/>
    <w:rsid w:val="005979A1"/>
    <w:rsid w:val="00597BB3"/>
    <w:rsid w:val="00597C9D"/>
    <w:rsid w:val="005A005F"/>
    <w:rsid w:val="005A00A4"/>
    <w:rsid w:val="005A0264"/>
    <w:rsid w:val="005A0480"/>
    <w:rsid w:val="005A0B5D"/>
    <w:rsid w:val="005A0D2A"/>
    <w:rsid w:val="005A1350"/>
    <w:rsid w:val="005A168D"/>
    <w:rsid w:val="005A17B2"/>
    <w:rsid w:val="005A1904"/>
    <w:rsid w:val="005A203D"/>
    <w:rsid w:val="005A3084"/>
    <w:rsid w:val="005A3693"/>
    <w:rsid w:val="005A36F1"/>
    <w:rsid w:val="005A3723"/>
    <w:rsid w:val="005A3CA0"/>
    <w:rsid w:val="005A3CA2"/>
    <w:rsid w:val="005A3D38"/>
    <w:rsid w:val="005A3EBF"/>
    <w:rsid w:val="005A3F26"/>
    <w:rsid w:val="005A423C"/>
    <w:rsid w:val="005A435A"/>
    <w:rsid w:val="005A4622"/>
    <w:rsid w:val="005A4657"/>
    <w:rsid w:val="005A4AD4"/>
    <w:rsid w:val="005A505F"/>
    <w:rsid w:val="005A5188"/>
    <w:rsid w:val="005A51E4"/>
    <w:rsid w:val="005A5298"/>
    <w:rsid w:val="005A560B"/>
    <w:rsid w:val="005A5940"/>
    <w:rsid w:val="005A5A8A"/>
    <w:rsid w:val="005A6567"/>
    <w:rsid w:val="005A6663"/>
    <w:rsid w:val="005A67DD"/>
    <w:rsid w:val="005A6CEE"/>
    <w:rsid w:val="005A7771"/>
    <w:rsid w:val="005B074B"/>
    <w:rsid w:val="005B0A79"/>
    <w:rsid w:val="005B0B02"/>
    <w:rsid w:val="005B0B60"/>
    <w:rsid w:val="005B0C40"/>
    <w:rsid w:val="005B0E4C"/>
    <w:rsid w:val="005B1012"/>
    <w:rsid w:val="005B13D4"/>
    <w:rsid w:val="005B14C1"/>
    <w:rsid w:val="005B150E"/>
    <w:rsid w:val="005B178B"/>
    <w:rsid w:val="005B19BC"/>
    <w:rsid w:val="005B224A"/>
    <w:rsid w:val="005B25A6"/>
    <w:rsid w:val="005B282C"/>
    <w:rsid w:val="005B2A7E"/>
    <w:rsid w:val="005B358A"/>
    <w:rsid w:val="005B383B"/>
    <w:rsid w:val="005B3919"/>
    <w:rsid w:val="005B3DC1"/>
    <w:rsid w:val="005B3DD0"/>
    <w:rsid w:val="005B425D"/>
    <w:rsid w:val="005B4319"/>
    <w:rsid w:val="005B4353"/>
    <w:rsid w:val="005B4DA6"/>
    <w:rsid w:val="005B5146"/>
    <w:rsid w:val="005B530C"/>
    <w:rsid w:val="005B5328"/>
    <w:rsid w:val="005B54D2"/>
    <w:rsid w:val="005B5688"/>
    <w:rsid w:val="005B5A31"/>
    <w:rsid w:val="005B5C54"/>
    <w:rsid w:val="005B6050"/>
    <w:rsid w:val="005B6491"/>
    <w:rsid w:val="005B665A"/>
    <w:rsid w:val="005B70A8"/>
    <w:rsid w:val="005B7514"/>
    <w:rsid w:val="005B789D"/>
    <w:rsid w:val="005B7A7E"/>
    <w:rsid w:val="005B7B47"/>
    <w:rsid w:val="005B7C76"/>
    <w:rsid w:val="005B7E2E"/>
    <w:rsid w:val="005B7E5E"/>
    <w:rsid w:val="005B7EE7"/>
    <w:rsid w:val="005C014A"/>
    <w:rsid w:val="005C0A13"/>
    <w:rsid w:val="005C0F08"/>
    <w:rsid w:val="005C1558"/>
    <w:rsid w:val="005C1E77"/>
    <w:rsid w:val="005C1F2B"/>
    <w:rsid w:val="005C203F"/>
    <w:rsid w:val="005C24EF"/>
    <w:rsid w:val="005C2DFF"/>
    <w:rsid w:val="005C347F"/>
    <w:rsid w:val="005C34BC"/>
    <w:rsid w:val="005C4613"/>
    <w:rsid w:val="005C48B7"/>
    <w:rsid w:val="005C4E33"/>
    <w:rsid w:val="005C50B7"/>
    <w:rsid w:val="005C5101"/>
    <w:rsid w:val="005C5576"/>
    <w:rsid w:val="005C5B5C"/>
    <w:rsid w:val="005C5CC9"/>
    <w:rsid w:val="005C66BB"/>
    <w:rsid w:val="005C6710"/>
    <w:rsid w:val="005C67EE"/>
    <w:rsid w:val="005C6A99"/>
    <w:rsid w:val="005C6BC8"/>
    <w:rsid w:val="005C7352"/>
    <w:rsid w:val="005C77B2"/>
    <w:rsid w:val="005C77D6"/>
    <w:rsid w:val="005D10FF"/>
    <w:rsid w:val="005D1221"/>
    <w:rsid w:val="005D136E"/>
    <w:rsid w:val="005D1413"/>
    <w:rsid w:val="005D14C7"/>
    <w:rsid w:val="005D1817"/>
    <w:rsid w:val="005D1863"/>
    <w:rsid w:val="005D1CE0"/>
    <w:rsid w:val="005D1EF7"/>
    <w:rsid w:val="005D1F65"/>
    <w:rsid w:val="005D20AF"/>
    <w:rsid w:val="005D22AD"/>
    <w:rsid w:val="005D2418"/>
    <w:rsid w:val="005D28FD"/>
    <w:rsid w:val="005D2CBD"/>
    <w:rsid w:val="005D2DBB"/>
    <w:rsid w:val="005D3245"/>
    <w:rsid w:val="005D351A"/>
    <w:rsid w:val="005D3560"/>
    <w:rsid w:val="005D3F6D"/>
    <w:rsid w:val="005D42DA"/>
    <w:rsid w:val="005D44A0"/>
    <w:rsid w:val="005D4A67"/>
    <w:rsid w:val="005D4B4C"/>
    <w:rsid w:val="005D509B"/>
    <w:rsid w:val="005D539A"/>
    <w:rsid w:val="005D53C9"/>
    <w:rsid w:val="005D5905"/>
    <w:rsid w:val="005D5BDE"/>
    <w:rsid w:val="005D5CE9"/>
    <w:rsid w:val="005D5E26"/>
    <w:rsid w:val="005D5F6A"/>
    <w:rsid w:val="005D5FC9"/>
    <w:rsid w:val="005D620B"/>
    <w:rsid w:val="005D6374"/>
    <w:rsid w:val="005D638E"/>
    <w:rsid w:val="005D6BEB"/>
    <w:rsid w:val="005D7273"/>
    <w:rsid w:val="005D76A1"/>
    <w:rsid w:val="005D7779"/>
    <w:rsid w:val="005D7810"/>
    <w:rsid w:val="005D7AD4"/>
    <w:rsid w:val="005D7ED0"/>
    <w:rsid w:val="005DAFE0"/>
    <w:rsid w:val="005E056D"/>
    <w:rsid w:val="005E064A"/>
    <w:rsid w:val="005E0673"/>
    <w:rsid w:val="005E0B4D"/>
    <w:rsid w:val="005E0E2F"/>
    <w:rsid w:val="005E10B1"/>
    <w:rsid w:val="005E111B"/>
    <w:rsid w:val="005E1192"/>
    <w:rsid w:val="005E14C6"/>
    <w:rsid w:val="005E1717"/>
    <w:rsid w:val="005E1B11"/>
    <w:rsid w:val="005E23C0"/>
    <w:rsid w:val="005E259B"/>
    <w:rsid w:val="005E265C"/>
    <w:rsid w:val="005E2C0C"/>
    <w:rsid w:val="005E2E86"/>
    <w:rsid w:val="005E3226"/>
    <w:rsid w:val="005E38EF"/>
    <w:rsid w:val="005E3DA3"/>
    <w:rsid w:val="005E4164"/>
    <w:rsid w:val="005E42AA"/>
    <w:rsid w:val="005E46D7"/>
    <w:rsid w:val="005E4A28"/>
    <w:rsid w:val="005E5590"/>
    <w:rsid w:val="005E5C08"/>
    <w:rsid w:val="005E5D48"/>
    <w:rsid w:val="005E5EA5"/>
    <w:rsid w:val="005E67B0"/>
    <w:rsid w:val="005E703E"/>
    <w:rsid w:val="005E74F8"/>
    <w:rsid w:val="005E7586"/>
    <w:rsid w:val="005E76B4"/>
    <w:rsid w:val="005E77C5"/>
    <w:rsid w:val="005F0394"/>
    <w:rsid w:val="005F09A5"/>
    <w:rsid w:val="005F0DEF"/>
    <w:rsid w:val="005F0E13"/>
    <w:rsid w:val="005F0F80"/>
    <w:rsid w:val="005F1035"/>
    <w:rsid w:val="005F1094"/>
    <w:rsid w:val="005F11E1"/>
    <w:rsid w:val="005F1475"/>
    <w:rsid w:val="005F1A45"/>
    <w:rsid w:val="005F1D3D"/>
    <w:rsid w:val="005F22EA"/>
    <w:rsid w:val="005F261D"/>
    <w:rsid w:val="005F28D5"/>
    <w:rsid w:val="005F2C3A"/>
    <w:rsid w:val="005F2D61"/>
    <w:rsid w:val="005F31FF"/>
    <w:rsid w:val="005F330D"/>
    <w:rsid w:val="005F389E"/>
    <w:rsid w:val="005F3EEE"/>
    <w:rsid w:val="005F3F53"/>
    <w:rsid w:val="005F3FAE"/>
    <w:rsid w:val="005F44BC"/>
    <w:rsid w:val="005F4534"/>
    <w:rsid w:val="005F4866"/>
    <w:rsid w:val="005F4A59"/>
    <w:rsid w:val="005F53AA"/>
    <w:rsid w:val="005F584A"/>
    <w:rsid w:val="005F5939"/>
    <w:rsid w:val="005F5D7A"/>
    <w:rsid w:val="005F5EEF"/>
    <w:rsid w:val="005F5F75"/>
    <w:rsid w:val="005F61F8"/>
    <w:rsid w:val="005F65FD"/>
    <w:rsid w:val="005F6989"/>
    <w:rsid w:val="005F6D83"/>
    <w:rsid w:val="005F6E85"/>
    <w:rsid w:val="005F6EC7"/>
    <w:rsid w:val="005F6F52"/>
    <w:rsid w:val="005F7200"/>
    <w:rsid w:val="005F74EF"/>
    <w:rsid w:val="005F7535"/>
    <w:rsid w:val="005F7678"/>
    <w:rsid w:val="005F7B64"/>
    <w:rsid w:val="005F7D5F"/>
    <w:rsid w:val="005F7E9B"/>
    <w:rsid w:val="0060011B"/>
    <w:rsid w:val="00600267"/>
    <w:rsid w:val="0060049B"/>
    <w:rsid w:val="00600ED0"/>
    <w:rsid w:val="00601212"/>
    <w:rsid w:val="00601524"/>
    <w:rsid w:val="0060159D"/>
    <w:rsid w:val="00601828"/>
    <w:rsid w:val="00601A4F"/>
    <w:rsid w:val="00601F12"/>
    <w:rsid w:val="00602131"/>
    <w:rsid w:val="006024EF"/>
    <w:rsid w:val="006025ED"/>
    <w:rsid w:val="006029A6"/>
    <w:rsid w:val="006029E6"/>
    <w:rsid w:val="00602A5B"/>
    <w:rsid w:val="00602FB3"/>
    <w:rsid w:val="006030D2"/>
    <w:rsid w:val="0060386A"/>
    <w:rsid w:val="00604253"/>
    <w:rsid w:val="00604977"/>
    <w:rsid w:val="00604DEB"/>
    <w:rsid w:val="00604FE3"/>
    <w:rsid w:val="006054E5"/>
    <w:rsid w:val="00605E99"/>
    <w:rsid w:val="00605E9E"/>
    <w:rsid w:val="00606142"/>
    <w:rsid w:val="0060621C"/>
    <w:rsid w:val="006063E6"/>
    <w:rsid w:val="00606746"/>
    <w:rsid w:val="00606BEA"/>
    <w:rsid w:val="00606DC2"/>
    <w:rsid w:val="0061089F"/>
    <w:rsid w:val="00611C94"/>
    <w:rsid w:val="00611DD6"/>
    <w:rsid w:val="006122A0"/>
    <w:rsid w:val="006129C7"/>
    <w:rsid w:val="00613182"/>
    <w:rsid w:val="006133CB"/>
    <w:rsid w:val="00613B6C"/>
    <w:rsid w:val="00613BBE"/>
    <w:rsid w:val="00613D1F"/>
    <w:rsid w:val="0061402F"/>
    <w:rsid w:val="00614081"/>
    <w:rsid w:val="00614AAC"/>
    <w:rsid w:val="00614CD5"/>
    <w:rsid w:val="00614EE4"/>
    <w:rsid w:val="00614F4C"/>
    <w:rsid w:val="00615112"/>
    <w:rsid w:val="006152D0"/>
    <w:rsid w:val="006155FA"/>
    <w:rsid w:val="006157FD"/>
    <w:rsid w:val="00615AE2"/>
    <w:rsid w:val="00615BEA"/>
    <w:rsid w:val="00616065"/>
    <w:rsid w:val="006167B5"/>
    <w:rsid w:val="006167CA"/>
    <w:rsid w:val="00616965"/>
    <w:rsid w:val="00616AF6"/>
    <w:rsid w:val="00616F29"/>
    <w:rsid w:val="00617BD7"/>
    <w:rsid w:val="0062001F"/>
    <w:rsid w:val="006202A7"/>
    <w:rsid w:val="00620631"/>
    <w:rsid w:val="006208A7"/>
    <w:rsid w:val="00620ACF"/>
    <w:rsid w:val="00620C5F"/>
    <w:rsid w:val="006213C6"/>
    <w:rsid w:val="006214A6"/>
    <w:rsid w:val="00621500"/>
    <w:rsid w:val="006217F0"/>
    <w:rsid w:val="00621B1A"/>
    <w:rsid w:val="00622078"/>
    <w:rsid w:val="0062227A"/>
    <w:rsid w:val="006227BD"/>
    <w:rsid w:val="0062298E"/>
    <w:rsid w:val="00622B79"/>
    <w:rsid w:val="00623215"/>
    <w:rsid w:val="00623837"/>
    <w:rsid w:val="0062388B"/>
    <w:rsid w:val="00623A70"/>
    <w:rsid w:val="00623BAD"/>
    <w:rsid w:val="00623CF1"/>
    <w:rsid w:val="00624109"/>
    <w:rsid w:val="0062442B"/>
    <w:rsid w:val="0062454F"/>
    <w:rsid w:val="00624785"/>
    <w:rsid w:val="00624BB4"/>
    <w:rsid w:val="00624C64"/>
    <w:rsid w:val="00624E0C"/>
    <w:rsid w:val="0062509A"/>
    <w:rsid w:val="006256FA"/>
    <w:rsid w:val="00625989"/>
    <w:rsid w:val="00625AF6"/>
    <w:rsid w:val="006262CA"/>
    <w:rsid w:val="00626440"/>
    <w:rsid w:val="0062663A"/>
    <w:rsid w:val="006266FF"/>
    <w:rsid w:val="0062679C"/>
    <w:rsid w:val="00626D2E"/>
    <w:rsid w:val="006270FF"/>
    <w:rsid w:val="00627709"/>
    <w:rsid w:val="00627755"/>
    <w:rsid w:val="00627A9F"/>
    <w:rsid w:val="00627B98"/>
    <w:rsid w:val="00627E55"/>
    <w:rsid w:val="006300AB"/>
    <w:rsid w:val="006302FE"/>
    <w:rsid w:val="0063079C"/>
    <w:rsid w:val="00630C6E"/>
    <w:rsid w:val="00631464"/>
    <w:rsid w:val="006316CD"/>
    <w:rsid w:val="006317F2"/>
    <w:rsid w:val="0063185F"/>
    <w:rsid w:val="0063207B"/>
    <w:rsid w:val="006321DA"/>
    <w:rsid w:val="006322CD"/>
    <w:rsid w:val="00632339"/>
    <w:rsid w:val="00632488"/>
    <w:rsid w:val="00632813"/>
    <w:rsid w:val="00632E2C"/>
    <w:rsid w:val="00632E30"/>
    <w:rsid w:val="00633235"/>
    <w:rsid w:val="006335D6"/>
    <w:rsid w:val="006336BE"/>
    <w:rsid w:val="00633D30"/>
    <w:rsid w:val="006340FD"/>
    <w:rsid w:val="00634839"/>
    <w:rsid w:val="00634ADE"/>
    <w:rsid w:val="00634ADF"/>
    <w:rsid w:val="00634B11"/>
    <w:rsid w:val="006352F0"/>
    <w:rsid w:val="006362DF"/>
    <w:rsid w:val="00636CA6"/>
    <w:rsid w:val="00637385"/>
    <w:rsid w:val="00637B2C"/>
    <w:rsid w:val="00637B86"/>
    <w:rsid w:val="00637CB3"/>
    <w:rsid w:val="006405CE"/>
    <w:rsid w:val="00640601"/>
    <w:rsid w:val="006406ED"/>
    <w:rsid w:val="006409B4"/>
    <w:rsid w:val="00640B9A"/>
    <w:rsid w:val="00641112"/>
    <w:rsid w:val="006413E4"/>
    <w:rsid w:val="006416A5"/>
    <w:rsid w:val="0064182C"/>
    <w:rsid w:val="00641A9A"/>
    <w:rsid w:val="00641E4B"/>
    <w:rsid w:val="00642313"/>
    <w:rsid w:val="006423AE"/>
    <w:rsid w:val="0064256C"/>
    <w:rsid w:val="0064260B"/>
    <w:rsid w:val="00642772"/>
    <w:rsid w:val="006427BF"/>
    <w:rsid w:val="00642C49"/>
    <w:rsid w:val="00642CC9"/>
    <w:rsid w:val="00642D01"/>
    <w:rsid w:val="0064326E"/>
    <w:rsid w:val="0064378A"/>
    <w:rsid w:val="006437DE"/>
    <w:rsid w:val="0064460C"/>
    <w:rsid w:val="0064469F"/>
    <w:rsid w:val="006452AB"/>
    <w:rsid w:val="00645382"/>
    <w:rsid w:val="00645881"/>
    <w:rsid w:val="006458F4"/>
    <w:rsid w:val="00645F96"/>
    <w:rsid w:val="00646054"/>
    <w:rsid w:val="00646CE8"/>
    <w:rsid w:val="00647766"/>
    <w:rsid w:val="00650514"/>
    <w:rsid w:val="0065068E"/>
    <w:rsid w:val="0065190B"/>
    <w:rsid w:val="00651E47"/>
    <w:rsid w:val="006520F5"/>
    <w:rsid w:val="0065234C"/>
    <w:rsid w:val="006526C5"/>
    <w:rsid w:val="00652C38"/>
    <w:rsid w:val="00652D6D"/>
    <w:rsid w:val="00652E2D"/>
    <w:rsid w:val="00652EFE"/>
    <w:rsid w:val="0065314D"/>
    <w:rsid w:val="0065325A"/>
    <w:rsid w:val="006535FA"/>
    <w:rsid w:val="00653F87"/>
    <w:rsid w:val="006542B7"/>
    <w:rsid w:val="00654400"/>
    <w:rsid w:val="00654666"/>
    <w:rsid w:val="00654887"/>
    <w:rsid w:val="00654BB0"/>
    <w:rsid w:val="00654D39"/>
    <w:rsid w:val="00654D44"/>
    <w:rsid w:val="00654D95"/>
    <w:rsid w:val="0065535A"/>
    <w:rsid w:val="00655405"/>
    <w:rsid w:val="00655A35"/>
    <w:rsid w:val="00655AE0"/>
    <w:rsid w:val="006561DE"/>
    <w:rsid w:val="00656294"/>
    <w:rsid w:val="006569E7"/>
    <w:rsid w:val="00656B41"/>
    <w:rsid w:val="00656F9E"/>
    <w:rsid w:val="00657A8A"/>
    <w:rsid w:val="00657FAB"/>
    <w:rsid w:val="0066006E"/>
    <w:rsid w:val="00660480"/>
    <w:rsid w:val="006605A3"/>
    <w:rsid w:val="00660651"/>
    <w:rsid w:val="006609E4"/>
    <w:rsid w:val="00660B8C"/>
    <w:rsid w:val="00660C16"/>
    <w:rsid w:val="0066103B"/>
    <w:rsid w:val="0066121E"/>
    <w:rsid w:val="006612A7"/>
    <w:rsid w:val="00661486"/>
    <w:rsid w:val="00661710"/>
    <w:rsid w:val="00661D76"/>
    <w:rsid w:val="00661EC0"/>
    <w:rsid w:val="00661F62"/>
    <w:rsid w:val="00662028"/>
    <w:rsid w:val="00662593"/>
    <w:rsid w:val="006635E9"/>
    <w:rsid w:val="00663BEC"/>
    <w:rsid w:val="00663C83"/>
    <w:rsid w:val="0066423E"/>
    <w:rsid w:val="0066474B"/>
    <w:rsid w:val="0066474D"/>
    <w:rsid w:val="006648EE"/>
    <w:rsid w:val="0066499C"/>
    <w:rsid w:val="00664B2B"/>
    <w:rsid w:val="0066513B"/>
    <w:rsid w:val="00665850"/>
    <w:rsid w:val="00665FB7"/>
    <w:rsid w:val="00666A5D"/>
    <w:rsid w:val="00667231"/>
    <w:rsid w:val="00667265"/>
    <w:rsid w:val="00667491"/>
    <w:rsid w:val="0066750F"/>
    <w:rsid w:val="00667830"/>
    <w:rsid w:val="006679E2"/>
    <w:rsid w:val="00667F1B"/>
    <w:rsid w:val="0067080B"/>
    <w:rsid w:val="00670F67"/>
    <w:rsid w:val="00671949"/>
    <w:rsid w:val="00671C2C"/>
    <w:rsid w:val="00671C72"/>
    <w:rsid w:val="00672590"/>
    <w:rsid w:val="006725D2"/>
    <w:rsid w:val="0067267C"/>
    <w:rsid w:val="0067270F"/>
    <w:rsid w:val="0067280C"/>
    <w:rsid w:val="00672844"/>
    <w:rsid w:val="006731B7"/>
    <w:rsid w:val="006733DF"/>
    <w:rsid w:val="0067357D"/>
    <w:rsid w:val="006738B3"/>
    <w:rsid w:val="00673B92"/>
    <w:rsid w:val="00674144"/>
    <w:rsid w:val="00674316"/>
    <w:rsid w:val="00674920"/>
    <w:rsid w:val="00674AF5"/>
    <w:rsid w:val="00674CA9"/>
    <w:rsid w:val="0067528A"/>
    <w:rsid w:val="006753E5"/>
    <w:rsid w:val="006759EA"/>
    <w:rsid w:val="00675E78"/>
    <w:rsid w:val="00675F3C"/>
    <w:rsid w:val="00675F9E"/>
    <w:rsid w:val="00675FFF"/>
    <w:rsid w:val="006762D7"/>
    <w:rsid w:val="006762E9"/>
    <w:rsid w:val="006764F4"/>
    <w:rsid w:val="00676A37"/>
    <w:rsid w:val="00676F39"/>
    <w:rsid w:val="00677B6E"/>
    <w:rsid w:val="0068007F"/>
    <w:rsid w:val="0068020E"/>
    <w:rsid w:val="0068025C"/>
    <w:rsid w:val="00680431"/>
    <w:rsid w:val="00680622"/>
    <w:rsid w:val="00680E8D"/>
    <w:rsid w:val="0068117A"/>
    <w:rsid w:val="00681968"/>
    <w:rsid w:val="00681BEC"/>
    <w:rsid w:val="00681C3F"/>
    <w:rsid w:val="00681DFC"/>
    <w:rsid w:val="00682303"/>
    <w:rsid w:val="006824FD"/>
    <w:rsid w:val="00682783"/>
    <w:rsid w:val="00682C84"/>
    <w:rsid w:val="00682EE3"/>
    <w:rsid w:val="0068306B"/>
    <w:rsid w:val="0068317B"/>
    <w:rsid w:val="00683371"/>
    <w:rsid w:val="0068342A"/>
    <w:rsid w:val="006836CE"/>
    <w:rsid w:val="00683964"/>
    <w:rsid w:val="00684382"/>
    <w:rsid w:val="0068472E"/>
    <w:rsid w:val="00684E74"/>
    <w:rsid w:val="00684EE1"/>
    <w:rsid w:val="006851E7"/>
    <w:rsid w:val="00685279"/>
    <w:rsid w:val="00685637"/>
    <w:rsid w:val="0068585B"/>
    <w:rsid w:val="00685AEE"/>
    <w:rsid w:val="00685CE8"/>
    <w:rsid w:val="006864F6"/>
    <w:rsid w:val="00686589"/>
    <w:rsid w:val="0068662E"/>
    <w:rsid w:val="006866C8"/>
    <w:rsid w:val="00686F31"/>
    <w:rsid w:val="00686F4C"/>
    <w:rsid w:val="006871D9"/>
    <w:rsid w:val="006872F7"/>
    <w:rsid w:val="006873F7"/>
    <w:rsid w:val="00690181"/>
    <w:rsid w:val="0069073D"/>
    <w:rsid w:val="0069095D"/>
    <w:rsid w:val="00690B34"/>
    <w:rsid w:val="0069141A"/>
    <w:rsid w:val="0069142F"/>
    <w:rsid w:val="006917A5"/>
    <w:rsid w:val="00691945"/>
    <w:rsid w:val="00691C4F"/>
    <w:rsid w:val="00691CD2"/>
    <w:rsid w:val="00692030"/>
    <w:rsid w:val="006921B6"/>
    <w:rsid w:val="00692870"/>
    <w:rsid w:val="00692B80"/>
    <w:rsid w:val="00692CB2"/>
    <w:rsid w:val="00692F07"/>
    <w:rsid w:val="00692F91"/>
    <w:rsid w:val="00692F98"/>
    <w:rsid w:val="00693495"/>
    <w:rsid w:val="006936EC"/>
    <w:rsid w:val="006939DC"/>
    <w:rsid w:val="00693FDB"/>
    <w:rsid w:val="00694112"/>
    <w:rsid w:val="00694BEA"/>
    <w:rsid w:val="00694C2D"/>
    <w:rsid w:val="00694DA5"/>
    <w:rsid w:val="00694E91"/>
    <w:rsid w:val="00694F7B"/>
    <w:rsid w:val="0069530E"/>
    <w:rsid w:val="00695821"/>
    <w:rsid w:val="00695CF8"/>
    <w:rsid w:val="006963E7"/>
    <w:rsid w:val="00696407"/>
    <w:rsid w:val="00696789"/>
    <w:rsid w:val="0069707A"/>
    <w:rsid w:val="00697606"/>
    <w:rsid w:val="00697887"/>
    <w:rsid w:val="00697A12"/>
    <w:rsid w:val="006A00CA"/>
    <w:rsid w:val="006A0838"/>
    <w:rsid w:val="006A0B7B"/>
    <w:rsid w:val="006A0C92"/>
    <w:rsid w:val="006A0C93"/>
    <w:rsid w:val="006A0D40"/>
    <w:rsid w:val="006A0EDC"/>
    <w:rsid w:val="006A1205"/>
    <w:rsid w:val="006A1801"/>
    <w:rsid w:val="006A181B"/>
    <w:rsid w:val="006A1E3A"/>
    <w:rsid w:val="006A23C2"/>
    <w:rsid w:val="006A2BA1"/>
    <w:rsid w:val="006A2DFA"/>
    <w:rsid w:val="006A30AB"/>
    <w:rsid w:val="006A3986"/>
    <w:rsid w:val="006A3A6F"/>
    <w:rsid w:val="006A46DD"/>
    <w:rsid w:val="006A4BC6"/>
    <w:rsid w:val="006A4F40"/>
    <w:rsid w:val="006A50DC"/>
    <w:rsid w:val="006A5433"/>
    <w:rsid w:val="006A5442"/>
    <w:rsid w:val="006A5717"/>
    <w:rsid w:val="006A5720"/>
    <w:rsid w:val="006A58D4"/>
    <w:rsid w:val="006A58E0"/>
    <w:rsid w:val="006A5B91"/>
    <w:rsid w:val="006A624A"/>
    <w:rsid w:val="006A69B1"/>
    <w:rsid w:val="006A6EC1"/>
    <w:rsid w:val="006A700E"/>
    <w:rsid w:val="006A74AC"/>
    <w:rsid w:val="006A7A20"/>
    <w:rsid w:val="006A7ADE"/>
    <w:rsid w:val="006A7FE2"/>
    <w:rsid w:val="006B00FF"/>
    <w:rsid w:val="006B0662"/>
    <w:rsid w:val="006B09DF"/>
    <w:rsid w:val="006B0AB4"/>
    <w:rsid w:val="006B0F7F"/>
    <w:rsid w:val="006B100C"/>
    <w:rsid w:val="006B1C09"/>
    <w:rsid w:val="006B1DCC"/>
    <w:rsid w:val="006B1DF2"/>
    <w:rsid w:val="006B202F"/>
    <w:rsid w:val="006B262D"/>
    <w:rsid w:val="006B2B07"/>
    <w:rsid w:val="006B2CDB"/>
    <w:rsid w:val="006B2FCB"/>
    <w:rsid w:val="006B342A"/>
    <w:rsid w:val="006B35B4"/>
    <w:rsid w:val="006B3CA0"/>
    <w:rsid w:val="006B3E12"/>
    <w:rsid w:val="006B4007"/>
    <w:rsid w:val="006B43AD"/>
    <w:rsid w:val="006B4B6D"/>
    <w:rsid w:val="006B4C1F"/>
    <w:rsid w:val="006B4EBF"/>
    <w:rsid w:val="006B4EE5"/>
    <w:rsid w:val="006B4F9F"/>
    <w:rsid w:val="006B4FFE"/>
    <w:rsid w:val="006B5086"/>
    <w:rsid w:val="006B512F"/>
    <w:rsid w:val="006B60CD"/>
    <w:rsid w:val="006B63CF"/>
    <w:rsid w:val="006B6734"/>
    <w:rsid w:val="006B71B7"/>
    <w:rsid w:val="006B72A8"/>
    <w:rsid w:val="006B7758"/>
    <w:rsid w:val="006B77E1"/>
    <w:rsid w:val="006B79A5"/>
    <w:rsid w:val="006B7ABE"/>
    <w:rsid w:val="006B7E15"/>
    <w:rsid w:val="006C0263"/>
    <w:rsid w:val="006C0778"/>
    <w:rsid w:val="006C1087"/>
    <w:rsid w:val="006C1314"/>
    <w:rsid w:val="006C1380"/>
    <w:rsid w:val="006C167B"/>
    <w:rsid w:val="006C1AE8"/>
    <w:rsid w:val="006C1E46"/>
    <w:rsid w:val="006C26AD"/>
    <w:rsid w:val="006C2A0C"/>
    <w:rsid w:val="006C2C5B"/>
    <w:rsid w:val="006C2D12"/>
    <w:rsid w:val="006C2D3D"/>
    <w:rsid w:val="006C2E92"/>
    <w:rsid w:val="006C3160"/>
    <w:rsid w:val="006C32AA"/>
    <w:rsid w:val="006C3619"/>
    <w:rsid w:val="006C37D8"/>
    <w:rsid w:val="006C3901"/>
    <w:rsid w:val="006C3EFB"/>
    <w:rsid w:val="006C3F65"/>
    <w:rsid w:val="006C41BD"/>
    <w:rsid w:val="006C4272"/>
    <w:rsid w:val="006C42F0"/>
    <w:rsid w:val="006C4512"/>
    <w:rsid w:val="006C45B6"/>
    <w:rsid w:val="006C4DB0"/>
    <w:rsid w:val="006C4DC7"/>
    <w:rsid w:val="006C4F63"/>
    <w:rsid w:val="006C4F96"/>
    <w:rsid w:val="006C4FB9"/>
    <w:rsid w:val="006C54E3"/>
    <w:rsid w:val="006C589B"/>
    <w:rsid w:val="006C5D17"/>
    <w:rsid w:val="006C619C"/>
    <w:rsid w:val="006C6688"/>
    <w:rsid w:val="006C6CB3"/>
    <w:rsid w:val="006C6D8B"/>
    <w:rsid w:val="006C7222"/>
    <w:rsid w:val="006C769A"/>
    <w:rsid w:val="006C779A"/>
    <w:rsid w:val="006C7D42"/>
    <w:rsid w:val="006D03B8"/>
    <w:rsid w:val="006D0446"/>
    <w:rsid w:val="006D05C2"/>
    <w:rsid w:val="006D07EA"/>
    <w:rsid w:val="006D09C3"/>
    <w:rsid w:val="006D0E3A"/>
    <w:rsid w:val="006D10C1"/>
    <w:rsid w:val="006D13D3"/>
    <w:rsid w:val="006D16DF"/>
    <w:rsid w:val="006D1769"/>
    <w:rsid w:val="006D1A64"/>
    <w:rsid w:val="006D1D08"/>
    <w:rsid w:val="006D1E0D"/>
    <w:rsid w:val="006D1E94"/>
    <w:rsid w:val="006D1F4F"/>
    <w:rsid w:val="006D22C5"/>
    <w:rsid w:val="006D2984"/>
    <w:rsid w:val="006D2FAC"/>
    <w:rsid w:val="006D3876"/>
    <w:rsid w:val="006D3933"/>
    <w:rsid w:val="006D3F8B"/>
    <w:rsid w:val="006D42C7"/>
    <w:rsid w:val="006D4CB3"/>
    <w:rsid w:val="006D4FB6"/>
    <w:rsid w:val="006D550C"/>
    <w:rsid w:val="006D5A17"/>
    <w:rsid w:val="006D5ACB"/>
    <w:rsid w:val="006D660E"/>
    <w:rsid w:val="006D67C4"/>
    <w:rsid w:val="006D6849"/>
    <w:rsid w:val="006D6D81"/>
    <w:rsid w:val="006D6FD3"/>
    <w:rsid w:val="006D7105"/>
    <w:rsid w:val="006D71AC"/>
    <w:rsid w:val="006D73EB"/>
    <w:rsid w:val="006D73FB"/>
    <w:rsid w:val="006D79EE"/>
    <w:rsid w:val="006D7A3D"/>
    <w:rsid w:val="006D7D20"/>
    <w:rsid w:val="006D7D2A"/>
    <w:rsid w:val="006D7D6F"/>
    <w:rsid w:val="006D7E6D"/>
    <w:rsid w:val="006E0359"/>
    <w:rsid w:val="006E05E2"/>
    <w:rsid w:val="006E07C4"/>
    <w:rsid w:val="006E127E"/>
    <w:rsid w:val="006E1469"/>
    <w:rsid w:val="006E1FCA"/>
    <w:rsid w:val="006E2706"/>
    <w:rsid w:val="006E2AF0"/>
    <w:rsid w:val="006E2B01"/>
    <w:rsid w:val="006E3146"/>
    <w:rsid w:val="006E3147"/>
    <w:rsid w:val="006E34EB"/>
    <w:rsid w:val="006E3608"/>
    <w:rsid w:val="006E3886"/>
    <w:rsid w:val="006E4172"/>
    <w:rsid w:val="006E41DD"/>
    <w:rsid w:val="006E4617"/>
    <w:rsid w:val="006E50BF"/>
    <w:rsid w:val="006E5431"/>
    <w:rsid w:val="006E5953"/>
    <w:rsid w:val="006E6A9E"/>
    <w:rsid w:val="006E6B6D"/>
    <w:rsid w:val="006E724D"/>
    <w:rsid w:val="006E757A"/>
    <w:rsid w:val="006E764D"/>
    <w:rsid w:val="006E7679"/>
    <w:rsid w:val="006E7746"/>
    <w:rsid w:val="006F007F"/>
    <w:rsid w:val="006F0462"/>
    <w:rsid w:val="006F0466"/>
    <w:rsid w:val="006F0492"/>
    <w:rsid w:val="006F0626"/>
    <w:rsid w:val="006F112E"/>
    <w:rsid w:val="006F18C1"/>
    <w:rsid w:val="006F1F73"/>
    <w:rsid w:val="006F1F9D"/>
    <w:rsid w:val="006F2389"/>
    <w:rsid w:val="006F2411"/>
    <w:rsid w:val="006F26ED"/>
    <w:rsid w:val="006F27F8"/>
    <w:rsid w:val="006F2902"/>
    <w:rsid w:val="006F29FB"/>
    <w:rsid w:val="006F2A66"/>
    <w:rsid w:val="006F2C47"/>
    <w:rsid w:val="006F31D3"/>
    <w:rsid w:val="006F31D7"/>
    <w:rsid w:val="006F31EB"/>
    <w:rsid w:val="006F32D4"/>
    <w:rsid w:val="006F32FF"/>
    <w:rsid w:val="006F3389"/>
    <w:rsid w:val="006F33E9"/>
    <w:rsid w:val="006F35DD"/>
    <w:rsid w:val="006F36D2"/>
    <w:rsid w:val="006F4019"/>
    <w:rsid w:val="006F46EC"/>
    <w:rsid w:val="006F49BA"/>
    <w:rsid w:val="006F504A"/>
    <w:rsid w:val="006F512E"/>
    <w:rsid w:val="006F53CD"/>
    <w:rsid w:val="006F61D9"/>
    <w:rsid w:val="006F628A"/>
    <w:rsid w:val="006F632A"/>
    <w:rsid w:val="006F6D74"/>
    <w:rsid w:val="006F7427"/>
    <w:rsid w:val="006F749E"/>
    <w:rsid w:val="006F7569"/>
    <w:rsid w:val="006F7596"/>
    <w:rsid w:val="006F764F"/>
    <w:rsid w:val="006F7F45"/>
    <w:rsid w:val="007000A9"/>
    <w:rsid w:val="007001C3"/>
    <w:rsid w:val="007002CF"/>
    <w:rsid w:val="007007A0"/>
    <w:rsid w:val="00700B3E"/>
    <w:rsid w:val="00700BD8"/>
    <w:rsid w:val="00700C47"/>
    <w:rsid w:val="00700FD7"/>
    <w:rsid w:val="0070151F"/>
    <w:rsid w:val="0070194E"/>
    <w:rsid w:val="00701963"/>
    <w:rsid w:val="00701A7B"/>
    <w:rsid w:val="00701C2B"/>
    <w:rsid w:val="00701C2C"/>
    <w:rsid w:val="00702551"/>
    <w:rsid w:val="0070294A"/>
    <w:rsid w:val="00702B8D"/>
    <w:rsid w:val="00702BBF"/>
    <w:rsid w:val="00702C58"/>
    <w:rsid w:val="00702CE0"/>
    <w:rsid w:val="00702E26"/>
    <w:rsid w:val="00702F3F"/>
    <w:rsid w:val="0070375A"/>
    <w:rsid w:val="0070382D"/>
    <w:rsid w:val="00703891"/>
    <w:rsid w:val="00703990"/>
    <w:rsid w:val="00703B8C"/>
    <w:rsid w:val="00703D21"/>
    <w:rsid w:val="007040DB"/>
    <w:rsid w:val="007044A4"/>
    <w:rsid w:val="00704667"/>
    <w:rsid w:val="0070473F"/>
    <w:rsid w:val="00704FE4"/>
    <w:rsid w:val="0070515F"/>
    <w:rsid w:val="0070577E"/>
    <w:rsid w:val="0070587E"/>
    <w:rsid w:val="00705E47"/>
    <w:rsid w:val="007061DB"/>
    <w:rsid w:val="00706F49"/>
    <w:rsid w:val="00707194"/>
    <w:rsid w:val="007079AC"/>
    <w:rsid w:val="007102BA"/>
    <w:rsid w:val="0071031B"/>
    <w:rsid w:val="007103AA"/>
    <w:rsid w:val="007106C7"/>
    <w:rsid w:val="007106D9"/>
    <w:rsid w:val="00710907"/>
    <w:rsid w:val="00710EF3"/>
    <w:rsid w:val="00710FE2"/>
    <w:rsid w:val="007110D8"/>
    <w:rsid w:val="0071127A"/>
    <w:rsid w:val="007113F0"/>
    <w:rsid w:val="00711556"/>
    <w:rsid w:val="00711C75"/>
    <w:rsid w:val="00711DD9"/>
    <w:rsid w:val="00712598"/>
    <w:rsid w:val="00712745"/>
    <w:rsid w:val="00712A8E"/>
    <w:rsid w:val="00712ADB"/>
    <w:rsid w:val="00712FCE"/>
    <w:rsid w:val="00713010"/>
    <w:rsid w:val="00713823"/>
    <w:rsid w:val="007138BA"/>
    <w:rsid w:val="0071396C"/>
    <w:rsid w:val="0071420F"/>
    <w:rsid w:val="007146A9"/>
    <w:rsid w:val="007146FC"/>
    <w:rsid w:val="007156BF"/>
    <w:rsid w:val="007156F7"/>
    <w:rsid w:val="0071598B"/>
    <w:rsid w:val="00715C7D"/>
    <w:rsid w:val="00715DA6"/>
    <w:rsid w:val="0071650E"/>
    <w:rsid w:val="00716609"/>
    <w:rsid w:val="00716C34"/>
    <w:rsid w:val="00716D3C"/>
    <w:rsid w:val="00717331"/>
    <w:rsid w:val="007173D5"/>
    <w:rsid w:val="00717466"/>
    <w:rsid w:val="00717556"/>
    <w:rsid w:val="007179C8"/>
    <w:rsid w:val="00717F0E"/>
    <w:rsid w:val="007202C5"/>
    <w:rsid w:val="00720448"/>
    <w:rsid w:val="007205A8"/>
    <w:rsid w:val="007205D3"/>
    <w:rsid w:val="00720AB3"/>
    <w:rsid w:val="00720F1F"/>
    <w:rsid w:val="00721314"/>
    <w:rsid w:val="007213EF"/>
    <w:rsid w:val="00721848"/>
    <w:rsid w:val="00721893"/>
    <w:rsid w:val="00721A9B"/>
    <w:rsid w:val="00721B1C"/>
    <w:rsid w:val="00721B3A"/>
    <w:rsid w:val="00721E7D"/>
    <w:rsid w:val="00721EF0"/>
    <w:rsid w:val="00722294"/>
    <w:rsid w:val="00722938"/>
    <w:rsid w:val="00722CD6"/>
    <w:rsid w:val="00722E5A"/>
    <w:rsid w:val="00722EBB"/>
    <w:rsid w:val="00722EF7"/>
    <w:rsid w:val="00723226"/>
    <w:rsid w:val="00723F81"/>
    <w:rsid w:val="0072495E"/>
    <w:rsid w:val="00724CBB"/>
    <w:rsid w:val="007251BC"/>
    <w:rsid w:val="00725A73"/>
    <w:rsid w:val="00725A8F"/>
    <w:rsid w:val="00725B12"/>
    <w:rsid w:val="00725D9D"/>
    <w:rsid w:val="00725E30"/>
    <w:rsid w:val="00726888"/>
    <w:rsid w:val="00726C40"/>
    <w:rsid w:val="00726DA7"/>
    <w:rsid w:val="00726DC4"/>
    <w:rsid w:val="00726FB4"/>
    <w:rsid w:val="0072729B"/>
    <w:rsid w:val="0072736B"/>
    <w:rsid w:val="00727944"/>
    <w:rsid w:val="00727B4E"/>
    <w:rsid w:val="00727BB5"/>
    <w:rsid w:val="00727DA1"/>
    <w:rsid w:val="007306E1"/>
    <w:rsid w:val="007307E1"/>
    <w:rsid w:val="00730961"/>
    <w:rsid w:val="00730A9C"/>
    <w:rsid w:val="0073113D"/>
    <w:rsid w:val="0073132B"/>
    <w:rsid w:val="00731758"/>
    <w:rsid w:val="0073309D"/>
    <w:rsid w:val="0073332C"/>
    <w:rsid w:val="00733778"/>
    <w:rsid w:val="0073388C"/>
    <w:rsid w:val="007339D5"/>
    <w:rsid w:val="00733BD2"/>
    <w:rsid w:val="00733EBA"/>
    <w:rsid w:val="0073458C"/>
    <w:rsid w:val="007345EF"/>
    <w:rsid w:val="007348D8"/>
    <w:rsid w:val="00734B71"/>
    <w:rsid w:val="00734DB3"/>
    <w:rsid w:val="0073572A"/>
    <w:rsid w:val="00735917"/>
    <w:rsid w:val="00735DEA"/>
    <w:rsid w:val="007361A8"/>
    <w:rsid w:val="00736297"/>
    <w:rsid w:val="00736313"/>
    <w:rsid w:val="00736385"/>
    <w:rsid w:val="00736690"/>
    <w:rsid w:val="00736C37"/>
    <w:rsid w:val="0073710A"/>
    <w:rsid w:val="00737425"/>
    <w:rsid w:val="00737523"/>
    <w:rsid w:val="00737573"/>
    <w:rsid w:val="007379B5"/>
    <w:rsid w:val="00737CAF"/>
    <w:rsid w:val="00737D34"/>
    <w:rsid w:val="00737DB7"/>
    <w:rsid w:val="007400E3"/>
    <w:rsid w:val="007401DA"/>
    <w:rsid w:val="00740629"/>
    <w:rsid w:val="0074066B"/>
    <w:rsid w:val="00740AC2"/>
    <w:rsid w:val="00740F26"/>
    <w:rsid w:val="00741783"/>
    <w:rsid w:val="007419A9"/>
    <w:rsid w:val="00741B20"/>
    <w:rsid w:val="00741BA3"/>
    <w:rsid w:val="00741DC9"/>
    <w:rsid w:val="0074224A"/>
    <w:rsid w:val="007422C6"/>
    <w:rsid w:val="00742616"/>
    <w:rsid w:val="00742A07"/>
    <w:rsid w:val="0074300F"/>
    <w:rsid w:val="00743229"/>
    <w:rsid w:val="00743A76"/>
    <w:rsid w:val="00743B44"/>
    <w:rsid w:val="00743D2D"/>
    <w:rsid w:val="00743DFC"/>
    <w:rsid w:val="007442AB"/>
    <w:rsid w:val="00744C58"/>
    <w:rsid w:val="0074551C"/>
    <w:rsid w:val="007459F8"/>
    <w:rsid w:val="00745FA1"/>
    <w:rsid w:val="007460DA"/>
    <w:rsid w:val="007461D4"/>
    <w:rsid w:val="007464DD"/>
    <w:rsid w:val="007465E8"/>
    <w:rsid w:val="00746761"/>
    <w:rsid w:val="00746847"/>
    <w:rsid w:val="00746898"/>
    <w:rsid w:val="007468EA"/>
    <w:rsid w:val="00746D15"/>
    <w:rsid w:val="00746F4C"/>
    <w:rsid w:val="00747403"/>
    <w:rsid w:val="007475D5"/>
    <w:rsid w:val="00747C0D"/>
    <w:rsid w:val="00750061"/>
    <w:rsid w:val="0075055D"/>
    <w:rsid w:val="00750565"/>
    <w:rsid w:val="007505E0"/>
    <w:rsid w:val="00750629"/>
    <w:rsid w:val="00750786"/>
    <w:rsid w:val="00750994"/>
    <w:rsid w:val="00750A87"/>
    <w:rsid w:val="00750A95"/>
    <w:rsid w:val="00750D2F"/>
    <w:rsid w:val="00750EF0"/>
    <w:rsid w:val="00750F63"/>
    <w:rsid w:val="00751765"/>
    <w:rsid w:val="00751AD0"/>
    <w:rsid w:val="00751E1B"/>
    <w:rsid w:val="00752171"/>
    <w:rsid w:val="007521A1"/>
    <w:rsid w:val="007522BB"/>
    <w:rsid w:val="007522DE"/>
    <w:rsid w:val="00752353"/>
    <w:rsid w:val="00752600"/>
    <w:rsid w:val="00752A0B"/>
    <w:rsid w:val="00752C73"/>
    <w:rsid w:val="00752EDD"/>
    <w:rsid w:val="007538A5"/>
    <w:rsid w:val="007539A9"/>
    <w:rsid w:val="00754926"/>
    <w:rsid w:val="0075498B"/>
    <w:rsid w:val="00754A7C"/>
    <w:rsid w:val="00754B67"/>
    <w:rsid w:val="00754C1B"/>
    <w:rsid w:val="007550FC"/>
    <w:rsid w:val="0075512F"/>
    <w:rsid w:val="00755A2C"/>
    <w:rsid w:val="00755C7D"/>
    <w:rsid w:val="00755DF5"/>
    <w:rsid w:val="00755EDF"/>
    <w:rsid w:val="0075614C"/>
    <w:rsid w:val="00756174"/>
    <w:rsid w:val="0075617B"/>
    <w:rsid w:val="00756503"/>
    <w:rsid w:val="00756B32"/>
    <w:rsid w:val="00756B3B"/>
    <w:rsid w:val="00757A9A"/>
    <w:rsid w:val="00760665"/>
    <w:rsid w:val="00760EEE"/>
    <w:rsid w:val="00761128"/>
    <w:rsid w:val="0076159A"/>
    <w:rsid w:val="007618AD"/>
    <w:rsid w:val="00761A9D"/>
    <w:rsid w:val="00761B51"/>
    <w:rsid w:val="00761FAE"/>
    <w:rsid w:val="007625CE"/>
    <w:rsid w:val="00762634"/>
    <w:rsid w:val="0076296D"/>
    <w:rsid w:val="00762E45"/>
    <w:rsid w:val="007636EF"/>
    <w:rsid w:val="0076384A"/>
    <w:rsid w:val="00763ADB"/>
    <w:rsid w:val="00764489"/>
    <w:rsid w:val="007646FD"/>
    <w:rsid w:val="00764A08"/>
    <w:rsid w:val="00764A76"/>
    <w:rsid w:val="00764CDB"/>
    <w:rsid w:val="007657C0"/>
    <w:rsid w:val="00765AD0"/>
    <w:rsid w:val="00765E19"/>
    <w:rsid w:val="00765E8E"/>
    <w:rsid w:val="0076633C"/>
    <w:rsid w:val="007665EC"/>
    <w:rsid w:val="007666EE"/>
    <w:rsid w:val="00766795"/>
    <w:rsid w:val="00766C09"/>
    <w:rsid w:val="00766FC2"/>
    <w:rsid w:val="007679DB"/>
    <w:rsid w:val="00767F41"/>
    <w:rsid w:val="00770037"/>
    <w:rsid w:val="0077017A"/>
    <w:rsid w:val="00770559"/>
    <w:rsid w:val="00770645"/>
    <w:rsid w:val="007707F2"/>
    <w:rsid w:val="00770852"/>
    <w:rsid w:val="00770858"/>
    <w:rsid w:val="00770BF1"/>
    <w:rsid w:val="00770D36"/>
    <w:rsid w:val="00771250"/>
    <w:rsid w:val="007715F0"/>
    <w:rsid w:val="00772565"/>
    <w:rsid w:val="00772611"/>
    <w:rsid w:val="00772685"/>
    <w:rsid w:val="00772F2F"/>
    <w:rsid w:val="0077327A"/>
    <w:rsid w:val="00773620"/>
    <w:rsid w:val="00773CE2"/>
    <w:rsid w:val="00774324"/>
    <w:rsid w:val="007745BA"/>
    <w:rsid w:val="00774E81"/>
    <w:rsid w:val="00774EC3"/>
    <w:rsid w:val="0077512E"/>
    <w:rsid w:val="0077548A"/>
    <w:rsid w:val="00775A85"/>
    <w:rsid w:val="00775F28"/>
    <w:rsid w:val="00775FAC"/>
    <w:rsid w:val="00776413"/>
    <w:rsid w:val="007766FE"/>
    <w:rsid w:val="00776C38"/>
    <w:rsid w:val="007777C9"/>
    <w:rsid w:val="00777B84"/>
    <w:rsid w:val="00777F4D"/>
    <w:rsid w:val="00780285"/>
    <w:rsid w:val="007804BC"/>
    <w:rsid w:val="007804BF"/>
    <w:rsid w:val="00780DCB"/>
    <w:rsid w:val="007810CD"/>
    <w:rsid w:val="00781237"/>
    <w:rsid w:val="007817AF"/>
    <w:rsid w:val="007817B7"/>
    <w:rsid w:val="00781BC3"/>
    <w:rsid w:val="00781E90"/>
    <w:rsid w:val="00782DEF"/>
    <w:rsid w:val="00782FD7"/>
    <w:rsid w:val="007832F3"/>
    <w:rsid w:val="00783AEB"/>
    <w:rsid w:val="00783B19"/>
    <w:rsid w:val="00784068"/>
    <w:rsid w:val="00784495"/>
    <w:rsid w:val="00784899"/>
    <w:rsid w:val="00784939"/>
    <w:rsid w:val="00784A40"/>
    <w:rsid w:val="00784CE0"/>
    <w:rsid w:val="00784E9C"/>
    <w:rsid w:val="00784FD7"/>
    <w:rsid w:val="00785248"/>
    <w:rsid w:val="00785345"/>
    <w:rsid w:val="007855D7"/>
    <w:rsid w:val="00785C22"/>
    <w:rsid w:val="00785F71"/>
    <w:rsid w:val="0078608E"/>
    <w:rsid w:val="007864E2"/>
    <w:rsid w:val="00786628"/>
    <w:rsid w:val="007866C8"/>
    <w:rsid w:val="00787233"/>
    <w:rsid w:val="00787784"/>
    <w:rsid w:val="00787797"/>
    <w:rsid w:val="0078779B"/>
    <w:rsid w:val="00790284"/>
    <w:rsid w:val="007902CD"/>
    <w:rsid w:val="00790415"/>
    <w:rsid w:val="0079065E"/>
    <w:rsid w:val="00790DE4"/>
    <w:rsid w:val="00790F36"/>
    <w:rsid w:val="00790FEB"/>
    <w:rsid w:val="007911D5"/>
    <w:rsid w:val="00791270"/>
    <w:rsid w:val="00791328"/>
    <w:rsid w:val="007917FE"/>
    <w:rsid w:val="00791A09"/>
    <w:rsid w:val="00792002"/>
    <w:rsid w:val="0079207F"/>
    <w:rsid w:val="00792328"/>
    <w:rsid w:val="00792399"/>
    <w:rsid w:val="0079253D"/>
    <w:rsid w:val="007926B7"/>
    <w:rsid w:val="007927EA"/>
    <w:rsid w:val="00792817"/>
    <w:rsid w:val="00792937"/>
    <w:rsid w:val="00792ED5"/>
    <w:rsid w:val="00793120"/>
    <w:rsid w:val="00793285"/>
    <w:rsid w:val="0079332D"/>
    <w:rsid w:val="007934AF"/>
    <w:rsid w:val="00793560"/>
    <w:rsid w:val="0079368A"/>
    <w:rsid w:val="00793705"/>
    <w:rsid w:val="00793EE5"/>
    <w:rsid w:val="00794CA2"/>
    <w:rsid w:val="00794DBB"/>
    <w:rsid w:val="00794F80"/>
    <w:rsid w:val="0079508D"/>
    <w:rsid w:val="007950C2"/>
    <w:rsid w:val="00795450"/>
    <w:rsid w:val="007954DF"/>
    <w:rsid w:val="007959C9"/>
    <w:rsid w:val="00795A14"/>
    <w:rsid w:val="0079609C"/>
    <w:rsid w:val="0079627E"/>
    <w:rsid w:val="0079638C"/>
    <w:rsid w:val="00796403"/>
    <w:rsid w:val="0079691B"/>
    <w:rsid w:val="00796AE0"/>
    <w:rsid w:val="00796DE3"/>
    <w:rsid w:val="00797207"/>
    <w:rsid w:val="00797538"/>
    <w:rsid w:val="0079766D"/>
    <w:rsid w:val="007977A3"/>
    <w:rsid w:val="00797C5F"/>
    <w:rsid w:val="007A0365"/>
    <w:rsid w:val="007A09EE"/>
    <w:rsid w:val="007A09F1"/>
    <w:rsid w:val="007A0A46"/>
    <w:rsid w:val="007A0A6B"/>
    <w:rsid w:val="007A0E06"/>
    <w:rsid w:val="007A139F"/>
    <w:rsid w:val="007A142E"/>
    <w:rsid w:val="007A1DBC"/>
    <w:rsid w:val="007A219E"/>
    <w:rsid w:val="007A251F"/>
    <w:rsid w:val="007A285D"/>
    <w:rsid w:val="007A2946"/>
    <w:rsid w:val="007A2D09"/>
    <w:rsid w:val="007A2D94"/>
    <w:rsid w:val="007A3149"/>
    <w:rsid w:val="007A330B"/>
    <w:rsid w:val="007A36C1"/>
    <w:rsid w:val="007A3CF4"/>
    <w:rsid w:val="007A4217"/>
    <w:rsid w:val="007A4789"/>
    <w:rsid w:val="007A4879"/>
    <w:rsid w:val="007A49B6"/>
    <w:rsid w:val="007A49C3"/>
    <w:rsid w:val="007A4B25"/>
    <w:rsid w:val="007A4EA8"/>
    <w:rsid w:val="007A50A9"/>
    <w:rsid w:val="007A5346"/>
    <w:rsid w:val="007A5A16"/>
    <w:rsid w:val="007A5FD1"/>
    <w:rsid w:val="007A606F"/>
    <w:rsid w:val="007A68E1"/>
    <w:rsid w:val="007A6E78"/>
    <w:rsid w:val="007A7050"/>
    <w:rsid w:val="007A747C"/>
    <w:rsid w:val="007A7BE3"/>
    <w:rsid w:val="007B00A0"/>
    <w:rsid w:val="007B03D3"/>
    <w:rsid w:val="007B087B"/>
    <w:rsid w:val="007B0A3D"/>
    <w:rsid w:val="007B0B2B"/>
    <w:rsid w:val="007B10AF"/>
    <w:rsid w:val="007B10BC"/>
    <w:rsid w:val="007B113E"/>
    <w:rsid w:val="007B1276"/>
    <w:rsid w:val="007B15F1"/>
    <w:rsid w:val="007B171D"/>
    <w:rsid w:val="007B1E5B"/>
    <w:rsid w:val="007B1F1C"/>
    <w:rsid w:val="007B2101"/>
    <w:rsid w:val="007B235E"/>
    <w:rsid w:val="007B26F9"/>
    <w:rsid w:val="007B2F39"/>
    <w:rsid w:val="007B311B"/>
    <w:rsid w:val="007B3191"/>
    <w:rsid w:val="007B3476"/>
    <w:rsid w:val="007B3A62"/>
    <w:rsid w:val="007B3C56"/>
    <w:rsid w:val="007B3EC0"/>
    <w:rsid w:val="007B4134"/>
    <w:rsid w:val="007B428E"/>
    <w:rsid w:val="007B477E"/>
    <w:rsid w:val="007B4E2D"/>
    <w:rsid w:val="007B51A5"/>
    <w:rsid w:val="007B5242"/>
    <w:rsid w:val="007B53CF"/>
    <w:rsid w:val="007B5D9B"/>
    <w:rsid w:val="007B60D5"/>
    <w:rsid w:val="007B615A"/>
    <w:rsid w:val="007B666E"/>
    <w:rsid w:val="007B6681"/>
    <w:rsid w:val="007B66F0"/>
    <w:rsid w:val="007B67F2"/>
    <w:rsid w:val="007B68E8"/>
    <w:rsid w:val="007B6ABD"/>
    <w:rsid w:val="007B6F97"/>
    <w:rsid w:val="007B7343"/>
    <w:rsid w:val="007C05F0"/>
    <w:rsid w:val="007C0710"/>
    <w:rsid w:val="007C1436"/>
    <w:rsid w:val="007C1CA5"/>
    <w:rsid w:val="007C1F36"/>
    <w:rsid w:val="007C1F7A"/>
    <w:rsid w:val="007C21F9"/>
    <w:rsid w:val="007C2271"/>
    <w:rsid w:val="007C268A"/>
    <w:rsid w:val="007C2B91"/>
    <w:rsid w:val="007C2CA1"/>
    <w:rsid w:val="007C2E9F"/>
    <w:rsid w:val="007C3855"/>
    <w:rsid w:val="007C39A3"/>
    <w:rsid w:val="007C4756"/>
    <w:rsid w:val="007C4AE8"/>
    <w:rsid w:val="007C50AD"/>
    <w:rsid w:val="007C524A"/>
    <w:rsid w:val="007C5FE7"/>
    <w:rsid w:val="007C63A2"/>
    <w:rsid w:val="007C641E"/>
    <w:rsid w:val="007C689E"/>
    <w:rsid w:val="007C6A4E"/>
    <w:rsid w:val="007C6DF2"/>
    <w:rsid w:val="007C74A4"/>
    <w:rsid w:val="007C74B9"/>
    <w:rsid w:val="007D0096"/>
    <w:rsid w:val="007D0401"/>
    <w:rsid w:val="007D05A4"/>
    <w:rsid w:val="007D07D4"/>
    <w:rsid w:val="007D0A06"/>
    <w:rsid w:val="007D0B20"/>
    <w:rsid w:val="007D0F3B"/>
    <w:rsid w:val="007D1181"/>
    <w:rsid w:val="007D16D6"/>
    <w:rsid w:val="007D1965"/>
    <w:rsid w:val="007D1D09"/>
    <w:rsid w:val="007D1F50"/>
    <w:rsid w:val="007D1F68"/>
    <w:rsid w:val="007D2148"/>
    <w:rsid w:val="007D2491"/>
    <w:rsid w:val="007D27B0"/>
    <w:rsid w:val="007D2993"/>
    <w:rsid w:val="007D3289"/>
    <w:rsid w:val="007D39E4"/>
    <w:rsid w:val="007D3B62"/>
    <w:rsid w:val="007D3C95"/>
    <w:rsid w:val="007D407A"/>
    <w:rsid w:val="007D40A7"/>
    <w:rsid w:val="007D450F"/>
    <w:rsid w:val="007D468F"/>
    <w:rsid w:val="007D4837"/>
    <w:rsid w:val="007D52C5"/>
    <w:rsid w:val="007D5CB0"/>
    <w:rsid w:val="007D5FB1"/>
    <w:rsid w:val="007D5FB4"/>
    <w:rsid w:val="007D606A"/>
    <w:rsid w:val="007D6336"/>
    <w:rsid w:val="007D686C"/>
    <w:rsid w:val="007D68D8"/>
    <w:rsid w:val="007D6A42"/>
    <w:rsid w:val="007D6CB1"/>
    <w:rsid w:val="007D6D32"/>
    <w:rsid w:val="007D713A"/>
    <w:rsid w:val="007D75F8"/>
    <w:rsid w:val="007D76A5"/>
    <w:rsid w:val="007D7C78"/>
    <w:rsid w:val="007D7F7E"/>
    <w:rsid w:val="007E0457"/>
    <w:rsid w:val="007E05EA"/>
    <w:rsid w:val="007E06DF"/>
    <w:rsid w:val="007E074D"/>
    <w:rsid w:val="007E0C7D"/>
    <w:rsid w:val="007E0EFE"/>
    <w:rsid w:val="007E16F6"/>
    <w:rsid w:val="007E174E"/>
    <w:rsid w:val="007E1855"/>
    <w:rsid w:val="007E1C85"/>
    <w:rsid w:val="007E1F38"/>
    <w:rsid w:val="007E23E2"/>
    <w:rsid w:val="007E2B57"/>
    <w:rsid w:val="007E2C5E"/>
    <w:rsid w:val="007E2E6E"/>
    <w:rsid w:val="007E2FEB"/>
    <w:rsid w:val="007E3320"/>
    <w:rsid w:val="007E4B54"/>
    <w:rsid w:val="007E4CD3"/>
    <w:rsid w:val="007E5D79"/>
    <w:rsid w:val="007E6164"/>
    <w:rsid w:val="007E62DB"/>
    <w:rsid w:val="007E63A9"/>
    <w:rsid w:val="007E692D"/>
    <w:rsid w:val="007E7587"/>
    <w:rsid w:val="007E769F"/>
    <w:rsid w:val="007E783E"/>
    <w:rsid w:val="007E7B5E"/>
    <w:rsid w:val="007E7C7F"/>
    <w:rsid w:val="007E7DA3"/>
    <w:rsid w:val="007F0082"/>
    <w:rsid w:val="007F0230"/>
    <w:rsid w:val="007F09ED"/>
    <w:rsid w:val="007F0F3C"/>
    <w:rsid w:val="007F1483"/>
    <w:rsid w:val="007F16B6"/>
    <w:rsid w:val="007F18A4"/>
    <w:rsid w:val="007F18F0"/>
    <w:rsid w:val="007F1DDD"/>
    <w:rsid w:val="007F1F89"/>
    <w:rsid w:val="007F2285"/>
    <w:rsid w:val="007F24BB"/>
    <w:rsid w:val="007F284D"/>
    <w:rsid w:val="007F2852"/>
    <w:rsid w:val="007F330B"/>
    <w:rsid w:val="007F3530"/>
    <w:rsid w:val="007F3B82"/>
    <w:rsid w:val="007F3C3E"/>
    <w:rsid w:val="007F3DCF"/>
    <w:rsid w:val="007F3E33"/>
    <w:rsid w:val="007F3FB4"/>
    <w:rsid w:val="007F48FC"/>
    <w:rsid w:val="007F4AA4"/>
    <w:rsid w:val="007F501E"/>
    <w:rsid w:val="007F50A1"/>
    <w:rsid w:val="007F5191"/>
    <w:rsid w:val="007F5CB6"/>
    <w:rsid w:val="007F5FF8"/>
    <w:rsid w:val="007F6061"/>
    <w:rsid w:val="007F6069"/>
    <w:rsid w:val="007F62BE"/>
    <w:rsid w:val="007F6720"/>
    <w:rsid w:val="007F6A02"/>
    <w:rsid w:val="007F6B6E"/>
    <w:rsid w:val="007F6CA6"/>
    <w:rsid w:val="007F6D4C"/>
    <w:rsid w:val="007F6F18"/>
    <w:rsid w:val="007F718B"/>
    <w:rsid w:val="007F7A70"/>
    <w:rsid w:val="0080002E"/>
    <w:rsid w:val="00800435"/>
    <w:rsid w:val="00800A47"/>
    <w:rsid w:val="00800C32"/>
    <w:rsid w:val="00800C7A"/>
    <w:rsid w:val="00800D84"/>
    <w:rsid w:val="00800EA2"/>
    <w:rsid w:val="00800EB2"/>
    <w:rsid w:val="00800F92"/>
    <w:rsid w:val="0080137A"/>
    <w:rsid w:val="00801B6E"/>
    <w:rsid w:val="00801C59"/>
    <w:rsid w:val="00801DF5"/>
    <w:rsid w:val="008021CE"/>
    <w:rsid w:val="00802764"/>
    <w:rsid w:val="00803927"/>
    <w:rsid w:val="0080397E"/>
    <w:rsid w:val="00803D09"/>
    <w:rsid w:val="00803DA9"/>
    <w:rsid w:val="00804006"/>
    <w:rsid w:val="0080423C"/>
    <w:rsid w:val="00804470"/>
    <w:rsid w:val="00804BC6"/>
    <w:rsid w:val="00804D3B"/>
    <w:rsid w:val="00805425"/>
    <w:rsid w:val="00805681"/>
    <w:rsid w:val="008059EF"/>
    <w:rsid w:val="00805A3C"/>
    <w:rsid w:val="00805A82"/>
    <w:rsid w:val="00805B7B"/>
    <w:rsid w:val="00805CAE"/>
    <w:rsid w:val="008061D1"/>
    <w:rsid w:val="00806D56"/>
    <w:rsid w:val="00806E41"/>
    <w:rsid w:val="00806F0F"/>
    <w:rsid w:val="00807145"/>
    <w:rsid w:val="00807312"/>
    <w:rsid w:val="0080797E"/>
    <w:rsid w:val="00807E26"/>
    <w:rsid w:val="008105CF"/>
    <w:rsid w:val="00810DC0"/>
    <w:rsid w:val="00810E9B"/>
    <w:rsid w:val="008111B9"/>
    <w:rsid w:val="00811270"/>
    <w:rsid w:val="008115CC"/>
    <w:rsid w:val="00811A00"/>
    <w:rsid w:val="00811B2C"/>
    <w:rsid w:val="00811D63"/>
    <w:rsid w:val="00811F61"/>
    <w:rsid w:val="00812363"/>
    <w:rsid w:val="00812500"/>
    <w:rsid w:val="008129D9"/>
    <w:rsid w:val="00812A4D"/>
    <w:rsid w:val="00812B3B"/>
    <w:rsid w:val="00813224"/>
    <w:rsid w:val="008132AE"/>
    <w:rsid w:val="008134AA"/>
    <w:rsid w:val="0081358D"/>
    <w:rsid w:val="00813AFF"/>
    <w:rsid w:val="00813DFB"/>
    <w:rsid w:val="00813E39"/>
    <w:rsid w:val="00814096"/>
    <w:rsid w:val="008147FC"/>
    <w:rsid w:val="008148E5"/>
    <w:rsid w:val="00814943"/>
    <w:rsid w:val="00814A05"/>
    <w:rsid w:val="00814B94"/>
    <w:rsid w:val="00815483"/>
    <w:rsid w:val="00815512"/>
    <w:rsid w:val="008157DF"/>
    <w:rsid w:val="0081606B"/>
    <w:rsid w:val="00816329"/>
    <w:rsid w:val="0081659E"/>
    <w:rsid w:val="00816AC8"/>
    <w:rsid w:val="00817837"/>
    <w:rsid w:val="0081793E"/>
    <w:rsid w:val="00817A2D"/>
    <w:rsid w:val="00817EE8"/>
    <w:rsid w:val="008200E0"/>
    <w:rsid w:val="0082067C"/>
    <w:rsid w:val="008206D7"/>
    <w:rsid w:val="00820B2A"/>
    <w:rsid w:val="00820F4D"/>
    <w:rsid w:val="008211CC"/>
    <w:rsid w:val="008216AB"/>
    <w:rsid w:val="00821F28"/>
    <w:rsid w:val="00821FA4"/>
    <w:rsid w:val="00821FFC"/>
    <w:rsid w:val="008221BB"/>
    <w:rsid w:val="0082222D"/>
    <w:rsid w:val="00822503"/>
    <w:rsid w:val="0082296A"/>
    <w:rsid w:val="00822BDA"/>
    <w:rsid w:val="00822C6B"/>
    <w:rsid w:val="00822DB8"/>
    <w:rsid w:val="00823217"/>
    <w:rsid w:val="00823798"/>
    <w:rsid w:val="0082391B"/>
    <w:rsid w:val="00823E13"/>
    <w:rsid w:val="008240ED"/>
    <w:rsid w:val="00824373"/>
    <w:rsid w:val="008243BD"/>
    <w:rsid w:val="00824973"/>
    <w:rsid w:val="00824A2F"/>
    <w:rsid w:val="00824ED7"/>
    <w:rsid w:val="00824F76"/>
    <w:rsid w:val="00825817"/>
    <w:rsid w:val="008259E9"/>
    <w:rsid w:val="00825C87"/>
    <w:rsid w:val="00825D3A"/>
    <w:rsid w:val="00825F10"/>
    <w:rsid w:val="0082607F"/>
    <w:rsid w:val="00826570"/>
    <w:rsid w:val="0082659A"/>
    <w:rsid w:val="00826BC2"/>
    <w:rsid w:val="008271DB"/>
    <w:rsid w:val="008271E3"/>
    <w:rsid w:val="0082721F"/>
    <w:rsid w:val="008272E4"/>
    <w:rsid w:val="008274A9"/>
    <w:rsid w:val="0082778E"/>
    <w:rsid w:val="008278D4"/>
    <w:rsid w:val="00827C8A"/>
    <w:rsid w:val="00827F29"/>
    <w:rsid w:val="0083029D"/>
    <w:rsid w:val="00830703"/>
    <w:rsid w:val="0083095C"/>
    <w:rsid w:val="008309D0"/>
    <w:rsid w:val="00830BD4"/>
    <w:rsid w:val="00830C52"/>
    <w:rsid w:val="00830F53"/>
    <w:rsid w:val="0083127F"/>
    <w:rsid w:val="008320E0"/>
    <w:rsid w:val="008321CD"/>
    <w:rsid w:val="00832356"/>
    <w:rsid w:val="0083293D"/>
    <w:rsid w:val="00832E30"/>
    <w:rsid w:val="00832F22"/>
    <w:rsid w:val="00833248"/>
    <w:rsid w:val="00833A00"/>
    <w:rsid w:val="00833C05"/>
    <w:rsid w:val="0083432E"/>
    <w:rsid w:val="00834564"/>
    <w:rsid w:val="008346B6"/>
    <w:rsid w:val="00834A4B"/>
    <w:rsid w:val="00835BFA"/>
    <w:rsid w:val="00835DEA"/>
    <w:rsid w:val="008362BD"/>
    <w:rsid w:val="0083672C"/>
    <w:rsid w:val="00836D84"/>
    <w:rsid w:val="008370D0"/>
    <w:rsid w:val="00837274"/>
    <w:rsid w:val="00837360"/>
    <w:rsid w:val="008373B1"/>
    <w:rsid w:val="008379E6"/>
    <w:rsid w:val="00837C3A"/>
    <w:rsid w:val="00837EB7"/>
    <w:rsid w:val="00840087"/>
    <w:rsid w:val="008400BF"/>
    <w:rsid w:val="008400FD"/>
    <w:rsid w:val="008401BB"/>
    <w:rsid w:val="008401C1"/>
    <w:rsid w:val="008404D0"/>
    <w:rsid w:val="00840888"/>
    <w:rsid w:val="008408D5"/>
    <w:rsid w:val="008409F7"/>
    <w:rsid w:val="00840F7C"/>
    <w:rsid w:val="0084119F"/>
    <w:rsid w:val="008413B7"/>
    <w:rsid w:val="00841B44"/>
    <w:rsid w:val="00841B55"/>
    <w:rsid w:val="00841D7A"/>
    <w:rsid w:val="00841D9C"/>
    <w:rsid w:val="00841E50"/>
    <w:rsid w:val="00841FBC"/>
    <w:rsid w:val="00842245"/>
    <w:rsid w:val="008426C0"/>
    <w:rsid w:val="00842792"/>
    <w:rsid w:val="00842D4A"/>
    <w:rsid w:val="00842D7D"/>
    <w:rsid w:val="00842DFF"/>
    <w:rsid w:val="00842F9F"/>
    <w:rsid w:val="00843060"/>
    <w:rsid w:val="00843067"/>
    <w:rsid w:val="0084315F"/>
    <w:rsid w:val="00843637"/>
    <w:rsid w:val="00843AA8"/>
    <w:rsid w:val="00843D0E"/>
    <w:rsid w:val="00843FFD"/>
    <w:rsid w:val="00844071"/>
    <w:rsid w:val="00844AE1"/>
    <w:rsid w:val="00844F00"/>
    <w:rsid w:val="008453B8"/>
    <w:rsid w:val="00845732"/>
    <w:rsid w:val="0084580F"/>
    <w:rsid w:val="00845AFF"/>
    <w:rsid w:val="00845BF3"/>
    <w:rsid w:val="00845D04"/>
    <w:rsid w:val="00845D18"/>
    <w:rsid w:val="00845F3A"/>
    <w:rsid w:val="00846039"/>
    <w:rsid w:val="008460F2"/>
    <w:rsid w:val="008462EA"/>
    <w:rsid w:val="0084631E"/>
    <w:rsid w:val="008465B2"/>
    <w:rsid w:val="008469AC"/>
    <w:rsid w:val="00846B65"/>
    <w:rsid w:val="00847967"/>
    <w:rsid w:val="0085016D"/>
    <w:rsid w:val="008501C9"/>
    <w:rsid w:val="008507F7"/>
    <w:rsid w:val="00851035"/>
    <w:rsid w:val="0085126D"/>
    <w:rsid w:val="008518EA"/>
    <w:rsid w:val="00851ABF"/>
    <w:rsid w:val="00851C7A"/>
    <w:rsid w:val="00851CAD"/>
    <w:rsid w:val="00852295"/>
    <w:rsid w:val="008525FC"/>
    <w:rsid w:val="00852721"/>
    <w:rsid w:val="008527BF"/>
    <w:rsid w:val="00852952"/>
    <w:rsid w:val="00852CC1"/>
    <w:rsid w:val="00852D34"/>
    <w:rsid w:val="00852D73"/>
    <w:rsid w:val="00852F0E"/>
    <w:rsid w:val="00852FAA"/>
    <w:rsid w:val="008530FF"/>
    <w:rsid w:val="00853312"/>
    <w:rsid w:val="0085371E"/>
    <w:rsid w:val="00853863"/>
    <w:rsid w:val="008538A3"/>
    <w:rsid w:val="008539A2"/>
    <w:rsid w:val="00854235"/>
    <w:rsid w:val="0085457C"/>
    <w:rsid w:val="00854830"/>
    <w:rsid w:val="00854858"/>
    <w:rsid w:val="0085494A"/>
    <w:rsid w:val="00854DFC"/>
    <w:rsid w:val="0085535F"/>
    <w:rsid w:val="008559B1"/>
    <w:rsid w:val="00855BCA"/>
    <w:rsid w:val="00855D6F"/>
    <w:rsid w:val="00855E0A"/>
    <w:rsid w:val="00856598"/>
    <w:rsid w:val="00856782"/>
    <w:rsid w:val="00856B82"/>
    <w:rsid w:val="00856E89"/>
    <w:rsid w:val="00856FC1"/>
    <w:rsid w:val="0085701A"/>
    <w:rsid w:val="008572D9"/>
    <w:rsid w:val="0085742E"/>
    <w:rsid w:val="00857F18"/>
    <w:rsid w:val="00860408"/>
    <w:rsid w:val="008604EF"/>
    <w:rsid w:val="00860548"/>
    <w:rsid w:val="0086070B"/>
    <w:rsid w:val="008610D5"/>
    <w:rsid w:val="00861307"/>
    <w:rsid w:val="00861593"/>
    <w:rsid w:val="008615D2"/>
    <w:rsid w:val="0086171B"/>
    <w:rsid w:val="00861814"/>
    <w:rsid w:val="00861979"/>
    <w:rsid w:val="00861E13"/>
    <w:rsid w:val="00862233"/>
    <w:rsid w:val="00862249"/>
    <w:rsid w:val="00862398"/>
    <w:rsid w:val="008628A0"/>
    <w:rsid w:val="008628A2"/>
    <w:rsid w:val="00862B30"/>
    <w:rsid w:val="00862BFB"/>
    <w:rsid w:val="00862CCF"/>
    <w:rsid w:val="00862DA2"/>
    <w:rsid w:val="00862EFE"/>
    <w:rsid w:val="0086319E"/>
    <w:rsid w:val="008631C3"/>
    <w:rsid w:val="008631F3"/>
    <w:rsid w:val="00863747"/>
    <w:rsid w:val="0086406E"/>
    <w:rsid w:val="008641DF"/>
    <w:rsid w:val="00864585"/>
    <w:rsid w:val="008647D1"/>
    <w:rsid w:val="0086495D"/>
    <w:rsid w:val="008649C2"/>
    <w:rsid w:val="0086510D"/>
    <w:rsid w:val="00865247"/>
    <w:rsid w:val="00865843"/>
    <w:rsid w:val="008658DF"/>
    <w:rsid w:val="008659FD"/>
    <w:rsid w:val="00865D97"/>
    <w:rsid w:val="0086669C"/>
    <w:rsid w:val="00866756"/>
    <w:rsid w:val="008668DC"/>
    <w:rsid w:val="00866A12"/>
    <w:rsid w:val="00866E4D"/>
    <w:rsid w:val="00867017"/>
    <w:rsid w:val="00867066"/>
    <w:rsid w:val="00867165"/>
    <w:rsid w:val="008674C1"/>
    <w:rsid w:val="008679EC"/>
    <w:rsid w:val="00867E14"/>
    <w:rsid w:val="00867EB1"/>
    <w:rsid w:val="00867F1A"/>
    <w:rsid w:val="00870937"/>
    <w:rsid w:val="008709B3"/>
    <w:rsid w:val="008709E8"/>
    <w:rsid w:val="00870B0B"/>
    <w:rsid w:val="00870F77"/>
    <w:rsid w:val="0087123B"/>
    <w:rsid w:val="008716A2"/>
    <w:rsid w:val="0087176B"/>
    <w:rsid w:val="00871915"/>
    <w:rsid w:val="00871B15"/>
    <w:rsid w:val="00871D70"/>
    <w:rsid w:val="008721AE"/>
    <w:rsid w:val="0087244F"/>
    <w:rsid w:val="00872762"/>
    <w:rsid w:val="00872AFC"/>
    <w:rsid w:val="00872C70"/>
    <w:rsid w:val="00872DB9"/>
    <w:rsid w:val="00872E4F"/>
    <w:rsid w:val="0087309A"/>
    <w:rsid w:val="008732FA"/>
    <w:rsid w:val="008733C5"/>
    <w:rsid w:val="008736F3"/>
    <w:rsid w:val="00873AC3"/>
    <w:rsid w:val="00873C0E"/>
    <w:rsid w:val="00873C19"/>
    <w:rsid w:val="00873CFF"/>
    <w:rsid w:val="00873D5D"/>
    <w:rsid w:val="00873DFB"/>
    <w:rsid w:val="00873E91"/>
    <w:rsid w:val="0087457A"/>
    <w:rsid w:val="008745E4"/>
    <w:rsid w:val="008748BF"/>
    <w:rsid w:val="00874A8F"/>
    <w:rsid w:val="00874A93"/>
    <w:rsid w:val="00874ABA"/>
    <w:rsid w:val="0087503E"/>
    <w:rsid w:val="00875453"/>
    <w:rsid w:val="008754EF"/>
    <w:rsid w:val="00875596"/>
    <w:rsid w:val="00875606"/>
    <w:rsid w:val="00875705"/>
    <w:rsid w:val="00875D22"/>
    <w:rsid w:val="00875F75"/>
    <w:rsid w:val="008760E1"/>
    <w:rsid w:val="0087615D"/>
    <w:rsid w:val="0087622F"/>
    <w:rsid w:val="00876B4D"/>
    <w:rsid w:val="00876F2D"/>
    <w:rsid w:val="00877181"/>
    <w:rsid w:val="0087730A"/>
    <w:rsid w:val="008773E0"/>
    <w:rsid w:val="00877646"/>
    <w:rsid w:val="00877C84"/>
    <w:rsid w:val="008803F5"/>
    <w:rsid w:val="008804EF"/>
    <w:rsid w:val="00880535"/>
    <w:rsid w:val="0088081C"/>
    <w:rsid w:val="00880B0F"/>
    <w:rsid w:val="00880D82"/>
    <w:rsid w:val="00880E97"/>
    <w:rsid w:val="00880EB1"/>
    <w:rsid w:val="0088104D"/>
    <w:rsid w:val="00881156"/>
    <w:rsid w:val="008818EB"/>
    <w:rsid w:val="00881932"/>
    <w:rsid w:val="008822CE"/>
    <w:rsid w:val="00882709"/>
    <w:rsid w:val="00882762"/>
    <w:rsid w:val="008828A4"/>
    <w:rsid w:val="00882B8A"/>
    <w:rsid w:val="008830F0"/>
    <w:rsid w:val="008838A5"/>
    <w:rsid w:val="008839D9"/>
    <w:rsid w:val="0088408E"/>
    <w:rsid w:val="008840C9"/>
    <w:rsid w:val="008840E7"/>
    <w:rsid w:val="008844C2"/>
    <w:rsid w:val="008845D7"/>
    <w:rsid w:val="00884777"/>
    <w:rsid w:val="00884EA8"/>
    <w:rsid w:val="00885012"/>
    <w:rsid w:val="00885551"/>
    <w:rsid w:val="00885672"/>
    <w:rsid w:val="00885CE0"/>
    <w:rsid w:val="0088686A"/>
    <w:rsid w:val="00886893"/>
    <w:rsid w:val="00886AA2"/>
    <w:rsid w:val="00886DB1"/>
    <w:rsid w:val="008872B1"/>
    <w:rsid w:val="00887311"/>
    <w:rsid w:val="0088736F"/>
    <w:rsid w:val="0088737E"/>
    <w:rsid w:val="0088763A"/>
    <w:rsid w:val="008877EA"/>
    <w:rsid w:val="00887B55"/>
    <w:rsid w:val="00887C75"/>
    <w:rsid w:val="008902F5"/>
    <w:rsid w:val="0089036E"/>
    <w:rsid w:val="008912A1"/>
    <w:rsid w:val="008915BB"/>
    <w:rsid w:val="0089202B"/>
    <w:rsid w:val="00892496"/>
    <w:rsid w:val="008929A6"/>
    <w:rsid w:val="00892F6A"/>
    <w:rsid w:val="0089313B"/>
    <w:rsid w:val="008932AB"/>
    <w:rsid w:val="008934F9"/>
    <w:rsid w:val="008936CB"/>
    <w:rsid w:val="00893CFF"/>
    <w:rsid w:val="00893D30"/>
    <w:rsid w:val="008947A2"/>
    <w:rsid w:val="00894C5F"/>
    <w:rsid w:val="0089526F"/>
    <w:rsid w:val="00895494"/>
    <w:rsid w:val="00895905"/>
    <w:rsid w:val="00895D52"/>
    <w:rsid w:val="00895DA1"/>
    <w:rsid w:val="0089643D"/>
    <w:rsid w:val="00896770"/>
    <w:rsid w:val="008967DE"/>
    <w:rsid w:val="008973F9"/>
    <w:rsid w:val="008975D0"/>
    <w:rsid w:val="00897618"/>
    <w:rsid w:val="00897948"/>
    <w:rsid w:val="008979DC"/>
    <w:rsid w:val="00897C7B"/>
    <w:rsid w:val="00897E43"/>
    <w:rsid w:val="00897F91"/>
    <w:rsid w:val="008A0D47"/>
    <w:rsid w:val="008A0E87"/>
    <w:rsid w:val="008A14AB"/>
    <w:rsid w:val="008A1E1F"/>
    <w:rsid w:val="008A1E26"/>
    <w:rsid w:val="008A215A"/>
    <w:rsid w:val="008A24DF"/>
    <w:rsid w:val="008A293C"/>
    <w:rsid w:val="008A29E8"/>
    <w:rsid w:val="008A314B"/>
    <w:rsid w:val="008A3177"/>
    <w:rsid w:val="008A3C46"/>
    <w:rsid w:val="008A3F20"/>
    <w:rsid w:val="008A427E"/>
    <w:rsid w:val="008A42BB"/>
    <w:rsid w:val="008A479D"/>
    <w:rsid w:val="008A47B1"/>
    <w:rsid w:val="008A4BDA"/>
    <w:rsid w:val="008A4D0D"/>
    <w:rsid w:val="008A5204"/>
    <w:rsid w:val="008A528D"/>
    <w:rsid w:val="008A5613"/>
    <w:rsid w:val="008A5987"/>
    <w:rsid w:val="008A5F06"/>
    <w:rsid w:val="008A5F95"/>
    <w:rsid w:val="008A6094"/>
    <w:rsid w:val="008A6292"/>
    <w:rsid w:val="008A6310"/>
    <w:rsid w:val="008A6C73"/>
    <w:rsid w:val="008A6F22"/>
    <w:rsid w:val="008A6FCE"/>
    <w:rsid w:val="008A748E"/>
    <w:rsid w:val="008A77F6"/>
    <w:rsid w:val="008A7A68"/>
    <w:rsid w:val="008A7F3D"/>
    <w:rsid w:val="008B02B0"/>
    <w:rsid w:val="008B0443"/>
    <w:rsid w:val="008B0B05"/>
    <w:rsid w:val="008B0CD4"/>
    <w:rsid w:val="008B0D6A"/>
    <w:rsid w:val="008B1707"/>
    <w:rsid w:val="008B1907"/>
    <w:rsid w:val="008B20CD"/>
    <w:rsid w:val="008B2220"/>
    <w:rsid w:val="008B23E7"/>
    <w:rsid w:val="008B2464"/>
    <w:rsid w:val="008B28A0"/>
    <w:rsid w:val="008B29A0"/>
    <w:rsid w:val="008B333F"/>
    <w:rsid w:val="008B37DD"/>
    <w:rsid w:val="008B3A14"/>
    <w:rsid w:val="008B3E08"/>
    <w:rsid w:val="008B3EBB"/>
    <w:rsid w:val="008B3F18"/>
    <w:rsid w:val="008B3F43"/>
    <w:rsid w:val="008B4185"/>
    <w:rsid w:val="008B4252"/>
    <w:rsid w:val="008B43A1"/>
    <w:rsid w:val="008B4BBC"/>
    <w:rsid w:val="008B4FD8"/>
    <w:rsid w:val="008B5081"/>
    <w:rsid w:val="008B51E7"/>
    <w:rsid w:val="008B5363"/>
    <w:rsid w:val="008B556A"/>
    <w:rsid w:val="008B564A"/>
    <w:rsid w:val="008B5D8F"/>
    <w:rsid w:val="008B6081"/>
    <w:rsid w:val="008B6505"/>
    <w:rsid w:val="008B66F0"/>
    <w:rsid w:val="008B6851"/>
    <w:rsid w:val="008B68E6"/>
    <w:rsid w:val="008C0568"/>
    <w:rsid w:val="008C08FD"/>
    <w:rsid w:val="008C09CB"/>
    <w:rsid w:val="008C0B61"/>
    <w:rsid w:val="008C0FCC"/>
    <w:rsid w:val="008C1017"/>
    <w:rsid w:val="008C1422"/>
    <w:rsid w:val="008C178D"/>
    <w:rsid w:val="008C1836"/>
    <w:rsid w:val="008C1C85"/>
    <w:rsid w:val="008C1E12"/>
    <w:rsid w:val="008C20ED"/>
    <w:rsid w:val="008C22A2"/>
    <w:rsid w:val="008C2383"/>
    <w:rsid w:val="008C259D"/>
    <w:rsid w:val="008C2885"/>
    <w:rsid w:val="008C2A3A"/>
    <w:rsid w:val="008C2C71"/>
    <w:rsid w:val="008C2EC9"/>
    <w:rsid w:val="008C2EF4"/>
    <w:rsid w:val="008C3028"/>
    <w:rsid w:val="008C31B2"/>
    <w:rsid w:val="008C336A"/>
    <w:rsid w:val="008C3424"/>
    <w:rsid w:val="008C34FA"/>
    <w:rsid w:val="008C3621"/>
    <w:rsid w:val="008C362A"/>
    <w:rsid w:val="008C36AF"/>
    <w:rsid w:val="008C3ADB"/>
    <w:rsid w:val="008C4560"/>
    <w:rsid w:val="008C45FE"/>
    <w:rsid w:val="008C4610"/>
    <w:rsid w:val="008C47CB"/>
    <w:rsid w:val="008C4E93"/>
    <w:rsid w:val="008C508E"/>
    <w:rsid w:val="008C5226"/>
    <w:rsid w:val="008C542A"/>
    <w:rsid w:val="008C552C"/>
    <w:rsid w:val="008C57FD"/>
    <w:rsid w:val="008C58A3"/>
    <w:rsid w:val="008C59BB"/>
    <w:rsid w:val="008C59C5"/>
    <w:rsid w:val="008C5A34"/>
    <w:rsid w:val="008C5CAD"/>
    <w:rsid w:val="008C5D4C"/>
    <w:rsid w:val="008C5E3D"/>
    <w:rsid w:val="008C5E74"/>
    <w:rsid w:val="008C69F3"/>
    <w:rsid w:val="008C73DB"/>
    <w:rsid w:val="008C75A4"/>
    <w:rsid w:val="008C760F"/>
    <w:rsid w:val="008C77D0"/>
    <w:rsid w:val="008C7A11"/>
    <w:rsid w:val="008D005E"/>
    <w:rsid w:val="008D0093"/>
    <w:rsid w:val="008D00CD"/>
    <w:rsid w:val="008D0228"/>
    <w:rsid w:val="008D04EF"/>
    <w:rsid w:val="008D05FF"/>
    <w:rsid w:val="008D0674"/>
    <w:rsid w:val="008D07EE"/>
    <w:rsid w:val="008D096E"/>
    <w:rsid w:val="008D09D5"/>
    <w:rsid w:val="008D0A61"/>
    <w:rsid w:val="008D103B"/>
    <w:rsid w:val="008D1594"/>
    <w:rsid w:val="008D1725"/>
    <w:rsid w:val="008D1A89"/>
    <w:rsid w:val="008D1B09"/>
    <w:rsid w:val="008D1D63"/>
    <w:rsid w:val="008D1F8C"/>
    <w:rsid w:val="008D2103"/>
    <w:rsid w:val="008D211E"/>
    <w:rsid w:val="008D214E"/>
    <w:rsid w:val="008D22DB"/>
    <w:rsid w:val="008D2637"/>
    <w:rsid w:val="008D2669"/>
    <w:rsid w:val="008D26B9"/>
    <w:rsid w:val="008D2BCE"/>
    <w:rsid w:val="008D2F40"/>
    <w:rsid w:val="008D30F0"/>
    <w:rsid w:val="008D315A"/>
    <w:rsid w:val="008D319A"/>
    <w:rsid w:val="008D398F"/>
    <w:rsid w:val="008D3AA0"/>
    <w:rsid w:val="008D4047"/>
    <w:rsid w:val="008D44AB"/>
    <w:rsid w:val="008D48AC"/>
    <w:rsid w:val="008D4F02"/>
    <w:rsid w:val="008D514B"/>
    <w:rsid w:val="008D51BC"/>
    <w:rsid w:val="008D5626"/>
    <w:rsid w:val="008D564B"/>
    <w:rsid w:val="008D5C03"/>
    <w:rsid w:val="008D5F96"/>
    <w:rsid w:val="008D6120"/>
    <w:rsid w:val="008D6443"/>
    <w:rsid w:val="008D6564"/>
    <w:rsid w:val="008D6B72"/>
    <w:rsid w:val="008D6C4E"/>
    <w:rsid w:val="008D71B5"/>
    <w:rsid w:val="008D71E0"/>
    <w:rsid w:val="008D732D"/>
    <w:rsid w:val="008D739B"/>
    <w:rsid w:val="008D7497"/>
    <w:rsid w:val="008D7741"/>
    <w:rsid w:val="008D799F"/>
    <w:rsid w:val="008DFA1C"/>
    <w:rsid w:val="008E0248"/>
    <w:rsid w:val="008E0286"/>
    <w:rsid w:val="008E1662"/>
    <w:rsid w:val="008E1A1A"/>
    <w:rsid w:val="008E1F28"/>
    <w:rsid w:val="008E2154"/>
    <w:rsid w:val="008E2B48"/>
    <w:rsid w:val="008E2C1F"/>
    <w:rsid w:val="008E2C3D"/>
    <w:rsid w:val="008E2C78"/>
    <w:rsid w:val="008E2D1C"/>
    <w:rsid w:val="008E2EF3"/>
    <w:rsid w:val="008E307A"/>
    <w:rsid w:val="008E33F8"/>
    <w:rsid w:val="008E365B"/>
    <w:rsid w:val="008E3767"/>
    <w:rsid w:val="008E37B6"/>
    <w:rsid w:val="008E3D22"/>
    <w:rsid w:val="008E3EE1"/>
    <w:rsid w:val="008E4607"/>
    <w:rsid w:val="008E4DEA"/>
    <w:rsid w:val="008E51B8"/>
    <w:rsid w:val="008E5B46"/>
    <w:rsid w:val="008E5DB2"/>
    <w:rsid w:val="008E60E8"/>
    <w:rsid w:val="008E635B"/>
    <w:rsid w:val="008E6991"/>
    <w:rsid w:val="008E6E42"/>
    <w:rsid w:val="008E7905"/>
    <w:rsid w:val="008E7F6C"/>
    <w:rsid w:val="008E7FFB"/>
    <w:rsid w:val="008F0055"/>
    <w:rsid w:val="008F0189"/>
    <w:rsid w:val="008F01CA"/>
    <w:rsid w:val="008F08C1"/>
    <w:rsid w:val="008F100F"/>
    <w:rsid w:val="008F12C5"/>
    <w:rsid w:val="008F12D7"/>
    <w:rsid w:val="008F167C"/>
    <w:rsid w:val="008F16CF"/>
    <w:rsid w:val="008F1AFA"/>
    <w:rsid w:val="008F1BA8"/>
    <w:rsid w:val="008F1F67"/>
    <w:rsid w:val="008F2336"/>
    <w:rsid w:val="008F2A67"/>
    <w:rsid w:val="008F2AE4"/>
    <w:rsid w:val="008F2AE6"/>
    <w:rsid w:val="008F2CBC"/>
    <w:rsid w:val="008F307C"/>
    <w:rsid w:val="008F345C"/>
    <w:rsid w:val="008F349C"/>
    <w:rsid w:val="008F3662"/>
    <w:rsid w:val="008F3744"/>
    <w:rsid w:val="008F3A26"/>
    <w:rsid w:val="008F4198"/>
    <w:rsid w:val="008F439D"/>
    <w:rsid w:val="008F46FB"/>
    <w:rsid w:val="008F471D"/>
    <w:rsid w:val="008F4AE2"/>
    <w:rsid w:val="008F4D8F"/>
    <w:rsid w:val="008F4E0B"/>
    <w:rsid w:val="008F52FA"/>
    <w:rsid w:val="008F54F5"/>
    <w:rsid w:val="008F5D2C"/>
    <w:rsid w:val="008F5F09"/>
    <w:rsid w:val="008F63AE"/>
    <w:rsid w:val="008F6B75"/>
    <w:rsid w:val="008F6CD6"/>
    <w:rsid w:val="008F6D28"/>
    <w:rsid w:val="008F6F10"/>
    <w:rsid w:val="008F783B"/>
    <w:rsid w:val="008F7F45"/>
    <w:rsid w:val="0090015C"/>
    <w:rsid w:val="009005D3"/>
    <w:rsid w:val="00900EAB"/>
    <w:rsid w:val="00900F2B"/>
    <w:rsid w:val="00900F82"/>
    <w:rsid w:val="00900FEA"/>
    <w:rsid w:val="0090107D"/>
    <w:rsid w:val="00901132"/>
    <w:rsid w:val="009015E9"/>
    <w:rsid w:val="00901F96"/>
    <w:rsid w:val="009023F2"/>
    <w:rsid w:val="00902473"/>
    <w:rsid w:val="0090273C"/>
    <w:rsid w:val="00902781"/>
    <w:rsid w:val="00902811"/>
    <w:rsid w:val="00902977"/>
    <w:rsid w:val="00902C59"/>
    <w:rsid w:val="00903237"/>
    <w:rsid w:val="0090336C"/>
    <w:rsid w:val="0090337E"/>
    <w:rsid w:val="009037D6"/>
    <w:rsid w:val="00903991"/>
    <w:rsid w:val="009039FD"/>
    <w:rsid w:val="00903AA2"/>
    <w:rsid w:val="00903B9E"/>
    <w:rsid w:val="00903C3C"/>
    <w:rsid w:val="00903DAC"/>
    <w:rsid w:val="0090414A"/>
    <w:rsid w:val="0090486C"/>
    <w:rsid w:val="00904E4C"/>
    <w:rsid w:val="00905975"/>
    <w:rsid w:val="00905CC9"/>
    <w:rsid w:val="00905E13"/>
    <w:rsid w:val="00905FC6"/>
    <w:rsid w:val="00906B3E"/>
    <w:rsid w:val="00906C4A"/>
    <w:rsid w:val="00906D1E"/>
    <w:rsid w:val="00907C57"/>
    <w:rsid w:val="00907F2E"/>
    <w:rsid w:val="00910147"/>
    <w:rsid w:val="009101D2"/>
    <w:rsid w:val="00910374"/>
    <w:rsid w:val="00910636"/>
    <w:rsid w:val="009108F0"/>
    <w:rsid w:val="00910957"/>
    <w:rsid w:val="009114B1"/>
    <w:rsid w:val="009114CF"/>
    <w:rsid w:val="00911DD2"/>
    <w:rsid w:val="00912127"/>
    <w:rsid w:val="0091236E"/>
    <w:rsid w:val="00912A25"/>
    <w:rsid w:val="00912C71"/>
    <w:rsid w:val="009132CA"/>
    <w:rsid w:val="009135A3"/>
    <w:rsid w:val="009138A2"/>
    <w:rsid w:val="00913AEC"/>
    <w:rsid w:val="00914545"/>
    <w:rsid w:val="0091480B"/>
    <w:rsid w:val="00914BFE"/>
    <w:rsid w:val="00915046"/>
    <w:rsid w:val="009156C9"/>
    <w:rsid w:val="00915AB6"/>
    <w:rsid w:val="00915BC1"/>
    <w:rsid w:val="00916276"/>
    <w:rsid w:val="009162B0"/>
    <w:rsid w:val="00916462"/>
    <w:rsid w:val="009164E1"/>
    <w:rsid w:val="009167C6"/>
    <w:rsid w:val="00916ADC"/>
    <w:rsid w:val="00916B94"/>
    <w:rsid w:val="00916FE8"/>
    <w:rsid w:val="00917105"/>
    <w:rsid w:val="009172FF"/>
    <w:rsid w:val="0091753D"/>
    <w:rsid w:val="00917970"/>
    <w:rsid w:val="00920634"/>
    <w:rsid w:val="00920AC5"/>
    <w:rsid w:val="009213C3"/>
    <w:rsid w:val="00921502"/>
    <w:rsid w:val="00921BEC"/>
    <w:rsid w:val="00921FED"/>
    <w:rsid w:val="00922222"/>
    <w:rsid w:val="0092245F"/>
    <w:rsid w:val="009225A6"/>
    <w:rsid w:val="00922D2D"/>
    <w:rsid w:val="0092315B"/>
    <w:rsid w:val="009235FA"/>
    <w:rsid w:val="00923654"/>
    <w:rsid w:val="00923905"/>
    <w:rsid w:val="00924094"/>
    <w:rsid w:val="009241B2"/>
    <w:rsid w:val="00924897"/>
    <w:rsid w:val="00924AE9"/>
    <w:rsid w:val="00924C94"/>
    <w:rsid w:val="00924D68"/>
    <w:rsid w:val="00924ECA"/>
    <w:rsid w:val="00926244"/>
    <w:rsid w:val="0092680A"/>
    <w:rsid w:val="0092681E"/>
    <w:rsid w:val="00926DA5"/>
    <w:rsid w:val="0092765C"/>
    <w:rsid w:val="009278C1"/>
    <w:rsid w:val="00927AE5"/>
    <w:rsid w:val="00927C74"/>
    <w:rsid w:val="0093030C"/>
    <w:rsid w:val="00930346"/>
    <w:rsid w:val="0093043C"/>
    <w:rsid w:val="009304CC"/>
    <w:rsid w:val="00930B14"/>
    <w:rsid w:val="00930B8A"/>
    <w:rsid w:val="00930E7B"/>
    <w:rsid w:val="00930FD4"/>
    <w:rsid w:val="009312FF"/>
    <w:rsid w:val="00931320"/>
    <w:rsid w:val="009317B9"/>
    <w:rsid w:val="00931992"/>
    <w:rsid w:val="00931B35"/>
    <w:rsid w:val="00931C15"/>
    <w:rsid w:val="00931C8C"/>
    <w:rsid w:val="00931E40"/>
    <w:rsid w:val="00931EE9"/>
    <w:rsid w:val="00931EF6"/>
    <w:rsid w:val="00931FEB"/>
    <w:rsid w:val="00932197"/>
    <w:rsid w:val="009323C5"/>
    <w:rsid w:val="00932493"/>
    <w:rsid w:val="00932628"/>
    <w:rsid w:val="009329E0"/>
    <w:rsid w:val="0093318D"/>
    <w:rsid w:val="0093335E"/>
    <w:rsid w:val="009335A0"/>
    <w:rsid w:val="00933A71"/>
    <w:rsid w:val="00933AA4"/>
    <w:rsid w:val="009341DA"/>
    <w:rsid w:val="009342C6"/>
    <w:rsid w:val="00934738"/>
    <w:rsid w:val="00934AF8"/>
    <w:rsid w:val="00934B17"/>
    <w:rsid w:val="00934BCD"/>
    <w:rsid w:val="00934E7B"/>
    <w:rsid w:val="00934EC4"/>
    <w:rsid w:val="00935054"/>
    <w:rsid w:val="0093508C"/>
    <w:rsid w:val="009355F1"/>
    <w:rsid w:val="009366DE"/>
    <w:rsid w:val="00936801"/>
    <w:rsid w:val="009369C3"/>
    <w:rsid w:val="00936E31"/>
    <w:rsid w:val="0093756A"/>
    <w:rsid w:val="00937659"/>
    <w:rsid w:val="00937795"/>
    <w:rsid w:val="00937A66"/>
    <w:rsid w:val="00937EFA"/>
    <w:rsid w:val="00940043"/>
    <w:rsid w:val="00940353"/>
    <w:rsid w:val="009406FB"/>
    <w:rsid w:val="00940A5F"/>
    <w:rsid w:val="00940B49"/>
    <w:rsid w:val="00940D2A"/>
    <w:rsid w:val="00940DE3"/>
    <w:rsid w:val="00940E6B"/>
    <w:rsid w:val="00940FB8"/>
    <w:rsid w:val="00941283"/>
    <w:rsid w:val="00941302"/>
    <w:rsid w:val="00941613"/>
    <w:rsid w:val="009418C5"/>
    <w:rsid w:val="009427B8"/>
    <w:rsid w:val="00942A88"/>
    <w:rsid w:val="0094323B"/>
    <w:rsid w:val="009434F7"/>
    <w:rsid w:val="00943725"/>
    <w:rsid w:val="00943D89"/>
    <w:rsid w:val="00943E48"/>
    <w:rsid w:val="009440E7"/>
    <w:rsid w:val="009443CE"/>
    <w:rsid w:val="00944567"/>
    <w:rsid w:val="0094467C"/>
    <w:rsid w:val="0094467D"/>
    <w:rsid w:val="009446F5"/>
    <w:rsid w:val="00944715"/>
    <w:rsid w:val="00944759"/>
    <w:rsid w:val="00944857"/>
    <w:rsid w:val="00944EA6"/>
    <w:rsid w:val="0094507F"/>
    <w:rsid w:val="00945100"/>
    <w:rsid w:val="0094513B"/>
    <w:rsid w:val="009453E1"/>
    <w:rsid w:val="009454A1"/>
    <w:rsid w:val="009458E6"/>
    <w:rsid w:val="00945CC1"/>
    <w:rsid w:val="00945DF5"/>
    <w:rsid w:val="009460A5"/>
    <w:rsid w:val="009462EE"/>
    <w:rsid w:val="00946725"/>
    <w:rsid w:val="00946C7C"/>
    <w:rsid w:val="009471CC"/>
    <w:rsid w:val="00947351"/>
    <w:rsid w:val="009473E2"/>
    <w:rsid w:val="009477D8"/>
    <w:rsid w:val="009477E0"/>
    <w:rsid w:val="00947F44"/>
    <w:rsid w:val="00950018"/>
    <w:rsid w:val="009501C2"/>
    <w:rsid w:val="009503F3"/>
    <w:rsid w:val="009508BB"/>
    <w:rsid w:val="009508CF"/>
    <w:rsid w:val="00950CA6"/>
    <w:rsid w:val="00950D21"/>
    <w:rsid w:val="00951341"/>
    <w:rsid w:val="009515F6"/>
    <w:rsid w:val="00951B1D"/>
    <w:rsid w:val="00951E55"/>
    <w:rsid w:val="00952324"/>
    <w:rsid w:val="00952505"/>
    <w:rsid w:val="009525D2"/>
    <w:rsid w:val="00952672"/>
    <w:rsid w:val="0095288D"/>
    <w:rsid w:val="00952BA7"/>
    <w:rsid w:val="00952C38"/>
    <w:rsid w:val="009533BA"/>
    <w:rsid w:val="00953435"/>
    <w:rsid w:val="00953701"/>
    <w:rsid w:val="00953797"/>
    <w:rsid w:val="00953EFA"/>
    <w:rsid w:val="00954308"/>
    <w:rsid w:val="0095436A"/>
    <w:rsid w:val="00954385"/>
    <w:rsid w:val="009544EF"/>
    <w:rsid w:val="009548ED"/>
    <w:rsid w:val="00954A06"/>
    <w:rsid w:val="009550A6"/>
    <w:rsid w:val="00955C95"/>
    <w:rsid w:val="00955D00"/>
    <w:rsid w:val="00955D1E"/>
    <w:rsid w:val="00955FE8"/>
    <w:rsid w:val="0095608B"/>
    <w:rsid w:val="009569AD"/>
    <w:rsid w:val="00956DAA"/>
    <w:rsid w:val="0095704C"/>
    <w:rsid w:val="0095716E"/>
    <w:rsid w:val="009571D7"/>
    <w:rsid w:val="00957277"/>
    <w:rsid w:val="00957310"/>
    <w:rsid w:val="00957359"/>
    <w:rsid w:val="00957584"/>
    <w:rsid w:val="009575CB"/>
    <w:rsid w:val="00957727"/>
    <w:rsid w:val="00957A02"/>
    <w:rsid w:val="0096020C"/>
    <w:rsid w:val="0096025D"/>
    <w:rsid w:val="00960676"/>
    <w:rsid w:val="009608B8"/>
    <w:rsid w:val="00960D83"/>
    <w:rsid w:val="00961150"/>
    <w:rsid w:val="0096137C"/>
    <w:rsid w:val="00961D6B"/>
    <w:rsid w:val="009626D6"/>
    <w:rsid w:val="00962A4D"/>
    <w:rsid w:val="009631A4"/>
    <w:rsid w:val="009632C0"/>
    <w:rsid w:val="00963388"/>
    <w:rsid w:val="00963667"/>
    <w:rsid w:val="00963729"/>
    <w:rsid w:val="00963AE3"/>
    <w:rsid w:val="00963C31"/>
    <w:rsid w:val="00963D43"/>
    <w:rsid w:val="00964006"/>
    <w:rsid w:val="009643D9"/>
    <w:rsid w:val="009648D7"/>
    <w:rsid w:val="009649A5"/>
    <w:rsid w:val="00964BC5"/>
    <w:rsid w:val="00964F0B"/>
    <w:rsid w:val="009650F4"/>
    <w:rsid w:val="0096524F"/>
    <w:rsid w:val="0096540D"/>
    <w:rsid w:val="00965458"/>
    <w:rsid w:val="00965818"/>
    <w:rsid w:val="00965CB5"/>
    <w:rsid w:val="00966301"/>
    <w:rsid w:val="009667C3"/>
    <w:rsid w:val="00966896"/>
    <w:rsid w:val="009669A6"/>
    <w:rsid w:val="00966DFC"/>
    <w:rsid w:val="00966E3F"/>
    <w:rsid w:val="009670F6"/>
    <w:rsid w:val="009678A0"/>
    <w:rsid w:val="00967AED"/>
    <w:rsid w:val="00967F38"/>
    <w:rsid w:val="0097000E"/>
    <w:rsid w:val="00970035"/>
    <w:rsid w:val="0097039D"/>
    <w:rsid w:val="009704CB"/>
    <w:rsid w:val="0097051D"/>
    <w:rsid w:val="0097057B"/>
    <w:rsid w:val="009705F8"/>
    <w:rsid w:val="009706BE"/>
    <w:rsid w:val="00970807"/>
    <w:rsid w:val="00971091"/>
    <w:rsid w:val="0097130F"/>
    <w:rsid w:val="0097149F"/>
    <w:rsid w:val="00971865"/>
    <w:rsid w:val="00971D12"/>
    <w:rsid w:val="00971FB3"/>
    <w:rsid w:val="009724A0"/>
    <w:rsid w:val="009726D6"/>
    <w:rsid w:val="009727F9"/>
    <w:rsid w:val="00972F43"/>
    <w:rsid w:val="00972F48"/>
    <w:rsid w:val="00973118"/>
    <w:rsid w:val="00973523"/>
    <w:rsid w:val="00973650"/>
    <w:rsid w:val="00973675"/>
    <w:rsid w:val="00973720"/>
    <w:rsid w:val="00973A0E"/>
    <w:rsid w:val="00973D39"/>
    <w:rsid w:val="00974009"/>
    <w:rsid w:val="00974621"/>
    <w:rsid w:val="0097483B"/>
    <w:rsid w:val="009751DF"/>
    <w:rsid w:val="00975292"/>
    <w:rsid w:val="00975299"/>
    <w:rsid w:val="00975703"/>
    <w:rsid w:val="00975A11"/>
    <w:rsid w:val="00975DCA"/>
    <w:rsid w:val="00976443"/>
    <w:rsid w:val="00976591"/>
    <w:rsid w:val="00976F27"/>
    <w:rsid w:val="009773A6"/>
    <w:rsid w:val="00977464"/>
    <w:rsid w:val="0097757A"/>
    <w:rsid w:val="00977642"/>
    <w:rsid w:val="009800D3"/>
    <w:rsid w:val="00980BEC"/>
    <w:rsid w:val="009816AB"/>
    <w:rsid w:val="00981C03"/>
    <w:rsid w:val="00981C54"/>
    <w:rsid w:val="00981EF3"/>
    <w:rsid w:val="0098210D"/>
    <w:rsid w:val="009821E9"/>
    <w:rsid w:val="00982226"/>
    <w:rsid w:val="00982450"/>
    <w:rsid w:val="009825C9"/>
    <w:rsid w:val="00982A15"/>
    <w:rsid w:val="00983143"/>
    <w:rsid w:val="009835E0"/>
    <w:rsid w:val="0098384D"/>
    <w:rsid w:val="00983A0A"/>
    <w:rsid w:val="00983DF9"/>
    <w:rsid w:val="00983EC0"/>
    <w:rsid w:val="00984639"/>
    <w:rsid w:val="00984E95"/>
    <w:rsid w:val="00984FD0"/>
    <w:rsid w:val="009853B3"/>
    <w:rsid w:val="0098540D"/>
    <w:rsid w:val="00985769"/>
    <w:rsid w:val="00985AC6"/>
    <w:rsid w:val="00985D60"/>
    <w:rsid w:val="00986129"/>
    <w:rsid w:val="00986231"/>
    <w:rsid w:val="00986434"/>
    <w:rsid w:val="009865A8"/>
    <w:rsid w:val="00986BF1"/>
    <w:rsid w:val="00986CBD"/>
    <w:rsid w:val="0098721B"/>
    <w:rsid w:val="00987564"/>
    <w:rsid w:val="00987721"/>
    <w:rsid w:val="00987808"/>
    <w:rsid w:val="0099034F"/>
    <w:rsid w:val="00990A0F"/>
    <w:rsid w:val="00990E4C"/>
    <w:rsid w:val="00990FE4"/>
    <w:rsid w:val="009912B2"/>
    <w:rsid w:val="00991784"/>
    <w:rsid w:val="00991F86"/>
    <w:rsid w:val="00992631"/>
    <w:rsid w:val="00992888"/>
    <w:rsid w:val="00992B68"/>
    <w:rsid w:val="00992DCF"/>
    <w:rsid w:val="00992F0C"/>
    <w:rsid w:val="00993387"/>
    <w:rsid w:val="00993AF7"/>
    <w:rsid w:val="00993D36"/>
    <w:rsid w:val="0099449C"/>
    <w:rsid w:val="009947B0"/>
    <w:rsid w:val="0099492E"/>
    <w:rsid w:val="00994AED"/>
    <w:rsid w:val="00994D1B"/>
    <w:rsid w:val="009952E8"/>
    <w:rsid w:val="009956B0"/>
    <w:rsid w:val="00995AE4"/>
    <w:rsid w:val="00995BE8"/>
    <w:rsid w:val="00995D45"/>
    <w:rsid w:val="00995FCF"/>
    <w:rsid w:val="0099614F"/>
    <w:rsid w:val="00996D6A"/>
    <w:rsid w:val="009970FE"/>
    <w:rsid w:val="009971DD"/>
    <w:rsid w:val="00997471"/>
    <w:rsid w:val="00997B0C"/>
    <w:rsid w:val="00997CF3"/>
    <w:rsid w:val="00997E3D"/>
    <w:rsid w:val="009A002B"/>
    <w:rsid w:val="009A01FB"/>
    <w:rsid w:val="009A03A1"/>
    <w:rsid w:val="009A04F1"/>
    <w:rsid w:val="009A0B88"/>
    <w:rsid w:val="009A0D7E"/>
    <w:rsid w:val="009A0FC0"/>
    <w:rsid w:val="009A1086"/>
    <w:rsid w:val="009A199C"/>
    <w:rsid w:val="009A19E5"/>
    <w:rsid w:val="009A1C72"/>
    <w:rsid w:val="009A2CBC"/>
    <w:rsid w:val="009A2DB5"/>
    <w:rsid w:val="009A2ED8"/>
    <w:rsid w:val="009A2EF8"/>
    <w:rsid w:val="009A3233"/>
    <w:rsid w:val="009A3DB1"/>
    <w:rsid w:val="009A3DC3"/>
    <w:rsid w:val="009A3DDA"/>
    <w:rsid w:val="009A3E0E"/>
    <w:rsid w:val="009A3FB0"/>
    <w:rsid w:val="009A4304"/>
    <w:rsid w:val="009A460F"/>
    <w:rsid w:val="009A47AC"/>
    <w:rsid w:val="009A4AF6"/>
    <w:rsid w:val="009A4F28"/>
    <w:rsid w:val="009A4F66"/>
    <w:rsid w:val="009A50D2"/>
    <w:rsid w:val="009A54D0"/>
    <w:rsid w:val="009A54EA"/>
    <w:rsid w:val="009A54EF"/>
    <w:rsid w:val="009A568A"/>
    <w:rsid w:val="009A61BA"/>
    <w:rsid w:val="009A6233"/>
    <w:rsid w:val="009A67EE"/>
    <w:rsid w:val="009A699B"/>
    <w:rsid w:val="009A6A70"/>
    <w:rsid w:val="009A6B08"/>
    <w:rsid w:val="009A6B76"/>
    <w:rsid w:val="009A6D82"/>
    <w:rsid w:val="009A7045"/>
    <w:rsid w:val="009A7797"/>
    <w:rsid w:val="009A78E9"/>
    <w:rsid w:val="009A7AC5"/>
    <w:rsid w:val="009A7D1F"/>
    <w:rsid w:val="009B0ACE"/>
    <w:rsid w:val="009B0F20"/>
    <w:rsid w:val="009B11CA"/>
    <w:rsid w:val="009B184C"/>
    <w:rsid w:val="009B19E8"/>
    <w:rsid w:val="009B2862"/>
    <w:rsid w:val="009B28CF"/>
    <w:rsid w:val="009B2B24"/>
    <w:rsid w:val="009B2D58"/>
    <w:rsid w:val="009B317D"/>
    <w:rsid w:val="009B38B0"/>
    <w:rsid w:val="009B3D8F"/>
    <w:rsid w:val="009B3E6D"/>
    <w:rsid w:val="009B3F2F"/>
    <w:rsid w:val="009B3F92"/>
    <w:rsid w:val="009B4506"/>
    <w:rsid w:val="009B4B43"/>
    <w:rsid w:val="009B4C23"/>
    <w:rsid w:val="009B4D61"/>
    <w:rsid w:val="009B50FA"/>
    <w:rsid w:val="009B52E2"/>
    <w:rsid w:val="009B5375"/>
    <w:rsid w:val="009B5AEB"/>
    <w:rsid w:val="009B5DF1"/>
    <w:rsid w:val="009B691F"/>
    <w:rsid w:val="009B6D42"/>
    <w:rsid w:val="009B7244"/>
    <w:rsid w:val="009B7814"/>
    <w:rsid w:val="009B78F7"/>
    <w:rsid w:val="009B7A20"/>
    <w:rsid w:val="009B7C7E"/>
    <w:rsid w:val="009B7D79"/>
    <w:rsid w:val="009B7FC5"/>
    <w:rsid w:val="009C043B"/>
    <w:rsid w:val="009C0B00"/>
    <w:rsid w:val="009C0CD6"/>
    <w:rsid w:val="009C0E1D"/>
    <w:rsid w:val="009C10B2"/>
    <w:rsid w:val="009C11CC"/>
    <w:rsid w:val="009C17A5"/>
    <w:rsid w:val="009C192F"/>
    <w:rsid w:val="009C1AF2"/>
    <w:rsid w:val="009C1C20"/>
    <w:rsid w:val="009C1CB7"/>
    <w:rsid w:val="009C1FF6"/>
    <w:rsid w:val="009C2466"/>
    <w:rsid w:val="009C25F6"/>
    <w:rsid w:val="009C2782"/>
    <w:rsid w:val="009C2B5F"/>
    <w:rsid w:val="009C2F6F"/>
    <w:rsid w:val="009C35EF"/>
    <w:rsid w:val="009C36EF"/>
    <w:rsid w:val="009C3ACF"/>
    <w:rsid w:val="009C3ADD"/>
    <w:rsid w:val="009C3DF0"/>
    <w:rsid w:val="009C3E9A"/>
    <w:rsid w:val="009C4256"/>
    <w:rsid w:val="009C427C"/>
    <w:rsid w:val="009C436A"/>
    <w:rsid w:val="009C4AB6"/>
    <w:rsid w:val="009C59F8"/>
    <w:rsid w:val="009C5BA4"/>
    <w:rsid w:val="009C5F7E"/>
    <w:rsid w:val="009C611C"/>
    <w:rsid w:val="009C66A4"/>
    <w:rsid w:val="009C69EE"/>
    <w:rsid w:val="009C6E4C"/>
    <w:rsid w:val="009D0041"/>
    <w:rsid w:val="009D02BA"/>
    <w:rsid w:val="009D07AF"/>
    <w:rsid w:val="009D07B4"/>
    <w:rsid w:val="009D0E9B"/>
    <w:rsid w:val="009D109B"/>
    <w:rsid w:val="009D15DF"/>
    <w:rsid w:val="009D1CD0"/>
    <w:rsid w:val="009D1D2C"/>
    <w:rsid w:val="009D1ED4"/>
    <w:rsid w:val="009D1FFF"/>
    <w:rsid w:val="009D2016"/>
    <w:rsid w:val="009D20EE"/>
    <w:rsid w:val="009D22E0"/>
    <w:rsid w:val="009D251E"/>
    <w:rsid w:val="009D2C43"/>
    <w:rsid w:val="009D2F89"/>
    <w:rsid w:val="009D3129"/>
    <w:rsid w:val="009D35D3"/>
    <w:rsid w:val="009D3B16"/>
    <w:rsid w:val="009D3C4D"/>
    <w:rsid w:val="009D3C68"/>
    <w:rsid w:val="009D3D06"/>
    <w:rsid w:val="009D4139"/>
    <w:rsid w:val="009D422C"/>
    <w:rsid w:val="009D490D"/>
    <w:rsid w:val="009D4EB3"/>
    <w:rsid w:val="009D509F"/>
    <w:rsid w:val="009D55E9"/>
    <w:rsid w:val="009D5E0A"/>
    <w:rsid w:val="009D5F80"/>
    <w:rsid w:val="009D6234"/>
    <w:rsid w:val="009D62D4"/>
    <w:rsid w:val="009D68C7"/>
    <w:rsid w:val="009D6D75"/>
    <w:rsid w:val="009D6DEE"/>
    <w:rsid w:val="009D6F6C"/>
    <w:rsid w:val="009D74AE"/>
    <w:rsid w:val="009D7788"/>
    <w:rsid w:val="009D7D21"/>
    <w:rsid w:val="009E0640"/>
    <w:rsid w:val="009E0966"/>
    <w:rsid w:val="009E09E3"/>
    <w:rsid w:val="009E0D72"/>
    <w:rsid w:val="009E1767"/>
    <w:rsid w:val="009E17A0"/>
    <w:rsid w:val="009E17F7"/>
    <w:rsid w:val="009E1877"/>
    <w:rsid w:val="009E1C95"/>
    <w:rsid w:val="009E1EF5"/>
    <w:rsid w:val="009E20E4"/>
    <w:rsid w:val="009E254D"/>
    <w:rsid w:val="009E26B1"/>
    <w:rsid w:val="009E2D77"/>
    <w:rsid w:val="009E2FFD"/>
    <w:rsid w:val="009E47C8"/>
    <w:rsid w:val="009E47E2"/>
    <w:rsid w:val="009E48D0"/>
    <w:rsid w:val="009E48D8"/>
    <w:rsid w:val="009E4A77"/>
    <w:rsid w:val="009E4A87"/>
    <w:rsid w:val="009E4BCB"/>
    <w:rsid w:val="009E4C4D"/>
    <w:rsid w:val="009E4D6D"/>
    <w:rsid w:val="009E5045"/>
    <w:rsid w:val="009E5195"/>
    <w:rsid w:val="009E54C9"/>
    <w:rsid w:val="009E568E"/>
    <w:rsid w:val="009E5E15"/>
    <w:rsid w:val="009E6143"/>
    <w:rsid w:val="009E648B"/>
    <w:rsid w:val="009E6A9F"/>
    <w:rsid w:val="009E6B72"/>
    <w:rsid w:val="009E6BA3"/>
    <w:rsid w:val="009E6E04"/>
    <w:rsid w:val="009E6E1B"/>
    <w:rsid w:val="009E700A"/>
    <w:rsid w:val="009E7392"/>
    <w:rsid w:val="009E73DE"/>
    <w:rsid w:val="009E769A"/>
    <w:rsid w:val="009E7B9F"/>
    <w:rsid w:val="009E7DAC"/>
    <w:rsid w:val="009F01A3"/>
    <w:rsid w:val="009F0844"/>
    <w:rsid w:val="009F0877"/>
    <w:rsid w:val="009F09D7"/>
    <w:rsid w:val="009F0ACB"/>
    <w:rsid w:val="009F0F22"/>
    <w:rsid w:val="009F1109"/>
    <w:rsid w:val="009F136E"/>
    <w:rsid w:val="009F1811"/>
    <w:rsid w:val="009F1A86"/>
    <w:rsid w:val="009F1DA1"/>
    <w:rsid w:val="009F21DF"/>
    <w:rsid w:val="009F2560"/>
    <w:rsid w:val="009F2781"/>
    <w:rsid w:val="009F2B6D"/>
    <w:rsid w:val="009F309D"/>
    <w:rsid w:val="009F43BC"/>
    <w:rsid w:val="009F4AF9"/>
    <w:rsid w:val="009F4B80"/>
    <w:rsid w:val="009F4BFF"/>
    <w:rsid w:val="009F517B"/>
    <w:rsid w:val="009F520A"/>
    <w:rsid w:val="009F5593"/>
    <w:rsid w:val="009F5BC3"/>
    <w:rsid w:val="009F5C8F"/>
    <w:rsid w:val="009F60F6"/>
    <w:rsid w:val="009F62D0"/>
    <w:rsid w:val="009F6BDC"/>
    <w:rsid w:val="009F6CE7"/>
    <w:rsid w:val="009F7672"/>
    <w:rsid w:val="009F7700"/>
    <w:rsid w:val="009F777D"/>
    <w:rsid w:val="009F7E4F"/>
    <w:rsid w:val="00A00068"/>
    <w:rsid w:val="00A002DC"/>
    <w:rsid w:val="00A00351"/>
    <w:rsid w:val="00A0036C"/>
    <w:rsid w:val="00A004AF"/>
    <w:rsid w:val="00A00790"/>
    <w:rsid w:val="00A00AF8"/>
    <w:rsid w:val="00A014A2"/>
    <w:rsid w:val="00A01509"/>
    <w:rsid w:val="00A0178C"/>
    <w:rsid w:val="00A01F4C"/>
    <w:rsid w:val="00A02A0A"/>
    <w:rsid w:val="00A03109"/>
    <w:rsid w:val="00A03774"/>
    <w:rsid w:val="00A03B3E"/>
    <w:rsid w:val="00A0435F"/>
    <w:rsid w:val="00A04420"/>
    <w:rsid w:val="00A0475A"/>
    <w:rsid w:val="00A04A01"/>
    <w:rsid w:val="00A04C5E"/>
    <w:rsid w:val="00A04D85"/>
    <w:rsid w:val="00A04E0F"/>
    <w:rsid w:val="00A04E27"/>
    <w:rsid w:val="00A04EB9"/>
    <w:rsid w:val="00A05202"/>
    <w:rsid w:val="00A05575"/>
    <w:rsid w:val="00A0562A"/>
    <w:rsid w:val="00A0565D"/>
    <w:rsid w:val="00A057FC"/>
    <w:rsid w:val="00A058C6"/>
    <w:rsid w:val="00A05BC8"/>
    <w:rsid w:val="00A0624B"/>
    <w:rsid w:val="00A06571"/>
    <w:rsid w:val="00A0669B"/>
    <w:rsid w:val="00A07059"/>
    <w:rsid w:val="00A0723A"/>
    <w:rsid w:val="00A0762E"/>
    <w:rsid w:val="00A07960"/>
    <w:rsid w:val="00A07E81"/>
    <w:rsid w:val="00A1003C"/>
    <w:rsid w:val="00A1060A"/>
    <w:rsid w:val="00A10CFB"/>
    <w:rsid w:val="00A10F05"/>
    <w:rsid w:val="00A119A0"/>
    <w:rsid w:val="00A11C04"/>
    <w:rsid w:val="00A11C66"/>
    <w:rsid w:val="00A11EFB"/>
    <w:rsid w:val="00A123F8"/>
    <w:rsid w:val="00A12A58"/>
    <w:rsid w:val="00A12D68"/>
    <w:rsid w:val="00A12EF8"/>
    <w:rsid w:val="00A13030"/>
    <w:rsid w:val="00A1305D"/>
    <w:rsid w:val="00A13DEF"/>
    <w:rsid w:val="00A1427C"/>
    <w:rsid w:val="00A14627"/>
    <w:rsid w:val="00A14855"/>
    <w:rsid w:val="00A148DA"/>
    <w:rsid w:val="00A14A07"/>
    <w:rsid w:val="00A14AFC"/>
    <w:rsid w:val="00A14C37"/>
    <w:rsid w:val="00A151FA"/>
    <w:rsid w:val="00A15DBF"/>
    <w:rsid w:val="00A16586"/>
    <w:rsid w:val="00A16880"/>
    <w:rsid w:val="00A16A65"/>
    <w:rsid w:val="00A16B4A"/>
    <w:rsid w:val="00A16ED2"/>
    <w:rsid w:val="00A16EDB"/>
    <w:rsid w:val="00A16F56"/>
    <w:rsid w:val="00A17302"/>
    <w:rsid w:val="00A17847"/>
    <w:rsid w:val="00A17DB5"/>
    <w:rsid w:val="00A2010E"/>
    <w:rsid w:val="00A20238"/>
    <w:rsid w:val="00A203AB"/>
    <w:rsid w:val="00A205BC"/>
    <w:rsid w:val="00A20A0E"/>
    <w:rsid w:val="00A20DC3"/>
    <w:rsid w:val="00A2158C"/>
    <w:rsid w:val="00A2193C"/>
    <w:rsid w:val="00A21940"/>
    <w:rsid w:val="00A21B0D"/>
    <w:rsid w:val="00A21E0D"/>
    <w:rsid w:val="00A222BB"/>
    <w:rsid w:val="00A22444"/>
    <w:rsid w:val="00A22447"/>
    <w:rsid w:val="00A22520"/>
    <w:rsid w:val="00A226E9"/>
    <w:rsid w:val="00A229CD"/>
    <w:rsid w:val="00A22A46"/>
    <w:rsid w:val="00A230A7"/>
    <w:rsid w:val="00A2319C"/>
    <w:rsid w:val="00A23616"/>
    <w:rsid w:val="00A23956"/>
    <w:rsid w:val="00A23A11"/>
    <w:rsid w:val="00A240B7"/>
    <w:rsid w:val="00A24234"/>
    <w:rsid w:val="00A244C9"/>
    <w:rsid w:val="00A2472D"/>
    <w:rsid w:val="00A24821"/>
    <w:rsid w:val="00A24C27"/>
    <w:rsid w:val="00A24D3B"/>
    <w:rsid w:val="00A25170"/>
    <w:rsid w:val="00A256EF"/>
    <w:rsid w:val="00A26228"/>
    <w:rsid w:val="00A2639A"/>
    <w:rsid w:val="00A265FD"/>
    <w:rsid w:val="00A26760"/>
    <w:rsid w:val="00A269A5"/>
    <w:rsid w:val="00A26A52"/>
    <w:rsid w:val="00A26D81"/>
    <w:rsid w:val="00A26D87"/>
    <w:rsid w:val="00A27144"/>
    <w:rsid w:val="00A27187"/>
    <w:rsid w:val="00A27A33"/>
    <w:rsid w:val="00A27D19"/>
    <w:rsid w:val="00A27EDE"/>
    <w:rsid w:val="00A300C5"/>
    <w:rsid w:val="00A30198"/>
    <w:rsid w:val="00A3019A"/>
    <w:rsid w:val="00A30670"/>
    <w:rsid w:val="00A306CE"/>
    <w:rsid w:val="00A30AD5"/>
    <w:rsid w:val="00A31012"/>
    <w:rsid w:val="00A310AB"/>
    <w:rsid w:val="00A312D5"/>
    <w:rsid w:val="00A314B0"/>
    <w:rsid w:val="00A31545"/>
    <w:rsid w:val="00A315C0"/>
    <w:rsid w:val="00A318A4"/>
    <w:rsid w:val="00A31BCB"/>
    <w:rsid w:val="00A31C5A"/>
    <w:rsid w:val="00A3233D"/>
    <w:rsid w:val="00A32ECA"/>
    <w:rsid w:val="00A33232"/>
    <w:rsid w:val="00A33A8B"/>
    <w:rsid w:val="00A33C44"/>
    <w:rsid w:val="00A33FED"/>
    <w:rsid w:val="00A34914"/>
    <w:rsid w:val="00A34AD4"/>
    <w:rsid w:val="00A34D43"/>
    <w:rsid w:val="00A34F20"/>
    <w:rsid w:val="00A35D2E"/>
    <w:rsid w:val="00A36053"/>
    <w:rsid w:val="00A363D0"/>
    <w:rsid w:val="00A363D5"/>
    <w:rsid w:val="00A36845"/>
    <w:rsid w:val="00A36AC5"/>
    <w:rsid w:val="00A371C2"/>
    <w:rsid w:val="00A3777E"/>
    <w:rsid w:val="00A37919"/>
    <w:rsid w:val="00A37B6C"/>
    <w:rsid w:val="00A37F54"/>
    <w:rsid w:val="00A40152"/>
    <w:rsid w:val="00A403CF"/>
    <w:rsid w:val="00A4056E"/>
    <w:rsid w:val="00A40ED1"/>
    <w:rsid w:val="00A40F7F"/>
    <w:rsid w:val="00A40FEA"/>
    <w:rsid w:val="00A410C2"/>
    <w:rsid w:val="00A41250"/>
    <w:rsid w:val="00A41566"/>
    <w:rsid w:val="00A41D4E"/>
    <w:rsid w:val="00A41D55"/>
    <w:rsid w:val="00A41E30"/>
    <w:rsid w:val="00A420D2"/>
    <w:rsid w:val="00A42121"/>
    <w:rsid w:val="00A422C1"/>
    <w:rsid w:val="00A42711"/>
    <w:rsid w:val="00A42722"/>
    <w:rsid w:val="00A427EB"/>
    <w:rsid w:val="00A4284E"/>
    <w:rsid w:val="00A428B2"/>
    <w:rsid w:val="00A42973"/>
    <w:rsid w:val="00A42A0C"/>
    <w:rsid w:val="00A42CA4"/>
    <w:rsid w:val="00A42F2D"/>
    <w:rsid w:val="00A431EA"/>
    <w:rsid w:val="00A434BA"/>
    <w:rsid w:val="00A438CB"/>
    <w:rsid w:val="00A44112"/>
    <w:rsid w:val="00A44A60"/>
    <w:rsid w:val="00A44D86"/>
    <w:rsid w:val="00A450D8"/>
    <w:rsid w:val="00A45125"/>
    <w:rsid w:val="00A4518C"/>
    <w:rsid w:val="00A4547F"/>
    <w:rsid w:val="00A454B5"/>
    <w:rsid w:val="00A45EA2"/>
    <w:rsid w:val="00A45FFB"/>
    <w:rsid w:val="00A46245"/>
    <w:rsid w:val="00A46292"/>
    <w:rsid w:val="00A46719"/>
    <w:rsid w:val="00A472EF"/>
    <w:rsid w:val="00A479FB"/>
    <w:rsid w:val="00A47EA9"/>
    <w:rsid w:val="00A50038"/>
    <w:rsid w:val="00A50273"/>
    <w:rsid w:val="00A5028B"/>
    <w:rsid w:val="00A503CD"/>
    <w:rsid w:val="00A5075B"/>
    <w:rsid w:val="00A507AE"/>
    <w:rsid w:val="00A508B2"/>
    <w:rsid w:val="00A5134E"/>
    <w:rsid w:val="00A51EB3"/>
    <w:rsid w:val="00A520CE"/>
    <w:rsid w:val="00A52295"/>
    <w:rsid w:val="00A52482"/>
    <w:rsid w:val="00A527F7"/>
    <w:rsid w:val="00A52A8F"/>
    <w:rsid w:val="00A52C74"/>
    <w:rsid w:val="00A52D3C"/>
    <w:rsid w:val="00A52F3B"/>
    <w:rsid w:val="00A53E08"/>
    <w:rsid w:val="00A542D5"/>
    <w:rsid w:val="00A544A1"/>
    <w:rsid w:val="00A5484D"/>
    <w:rsid w:val="00A549F1"/>
    <w:rsid w:val="00A54A07"/>
    <w:rsid w:val="00A54AD7"/>
    <w:rsid w:val="00A54C0A"/>
    <w:rsid w:val="00A54D27"/>
    <w:rsid w:val="00A54DB0"/>
    <w:rsid w:val="00A54E1B"/>
    <w:rsid w:val="00A55BB0"/>
    <w:rsid w:val="00A55C1C"/>
    <w:rsid w:val="00A55F6C"/>
    <w:rsid w:val="00A561D8"/>
    <w:rsid w:val="00A564B0"/>
    <w:rsid w:val="00A56B75"/>
    <w:rsid w:val="00A57893"/>
    <w:rsid w:val="00A57B85"/>
    <w:rsid w:val="00A57DC5"/>
    <w:rsid w:val="00A60126"/>
    <w:rsid w:val="00A60330"/>
    <w:rsid w:val="00A60D0E"/>
    <w:rsid w:val="00A6127D"/>
    <w:rsid w:val="00A6168D"/>
    <w:rsid w:val="00A61728"/>
    <w:rsid w:val="00A6189B"/>
    <w:rsid w:val="00A61930"/>
    <w:rsid w:val="00A6197A"/>
    <w:rsid w:val="00A61B85"/>
    <w:rsid w:val="00A61D4F"/>
    <w:rsid w:val="00A62353"/>
    <w:rsid w:val="00A6277F"/>
    <w:rsid w:val="00A62BA6"/>
    <w:rsid w:val="00A62C23"/>
    <w:rsid w:val="00A62E89"/>
    <w:rsid w:val="00A6302F"/>
    <w:rsid w:val="00A63A4B"/>
    <w:rsid w:val="00A63AA1"/>
    <w:rsid w:val="00A63E24"/>
    <w:rsid w:val="00A640FF"/>
    <w:rsid w:val="00A642F0"/>
    <w:rsid w:val="00A64855"/>
    <w:rsid w:val="00A64B7E"/>
    <w:rsid w:val="00A64C05"/>
    <w:rsid w:val="00A64C1B"/>
    <w:rsid w:val="00A65331"/>
    <w:rsid w:val="00A653CD"/>
    <w:rsid w:val="00A6554E"/>
    <w:rsid w:val="00A6564C"/>
    <w:rsid w:val="00A663A6"/>
    <w:rsid w:val="00A663BF"/>
    <w:rsid w:val="00A66689"/>
    <w:rsid w:val="00A6689C"/>
    <w:rsid w:val="00A66FD0"/>
    <w:rsid w:val="00A67135"/>
    <w:rsid w:val="00A672CE"/>
    <w:rsid w:val="00A67462"/>
    <w:rsid w:val="00A705D1"/>
    <w:rsid w:val="00A710C3"/>
    <w:rsid w:val="00A7142A"/>
    <w:rsid w:val="00A71763"/>
    <w:rsid w:val="00A71839"/>
    <w:rsid w:val="00A7188D"/>
    <w:rsid w:val="00A71943"/>
    <w:rsid w:val="00A719FB"/>
    <w:rsid w:val="00A71E6D"/>
    <w:rsid w:val="00A727B6"/>
    <w:rsid w:val="00A7280E"/>
    <w:rsid w:val="00A72BDF"/>
    <w:rsid w:val="00A72D6C"/>
    <w:rsid w:val="00A72E6F"/>
    <w:rsid w:val="00A732B1"/>
    <w:rsid w:val="00A735E7"/>
    <w:rsid w:val="00A73967"/>
    <w:rsid w:val="00A73B10"/>
    <w:rsid w:val="00A73F74"/>
    <w:rsid w:val="00A74361"/>
    <w:rsid w:val="00A74397"/>
    <w:rsid w:val="00A74576"/>
    <w:rsid w:val="00A74F73"/>
    <w:rsid w:val="00A758D4"/>
    <w:rsid w:val="00A758FF"/>
    <w:rsid w:val="00A759E8"/>
    <w:rsid w:val="00A76296"/>
    <w:rsid w:val="00A764C7"/>
    <w:rsid w:val="00A76B79"/>
    <w:rsid w:val="00A76E49"/>
    <w:rsid w:val="00A77086"/>
    <w:rsid w:val="00A770E1"/>
    <w:rsid w:val="00A77205"/>
    <w:rsid w:val="00A77253"/>
    <w:rsid w:val="00A77422"/>
    <w:rsid w:val="00A77710"/>
    <w:rsid w:val="00A777BD"/>
    <w:rsid w:val="00A77DBD"/>
    <w:rsid w:val="00A77E1E"/>
    <w:rsid w:val="00A77FE3"/>
    <w:rsid w:val="00A80693"/>
    <w:rsid w:val="00A80840"/>
    <w:rsid w:val="00A80D6B"/>
    <w:rsid w:val="00A811D9"/>
    <w:rsid w:val="00A81238"/>
    <w:rsid w:val="00A81310"/>
    <w:rsid w:val="00A81916"/>
    <w:rsid w:val="00A81985"/>
    <w:rsid w:val="00A81DB3"/>
    <w:rsid w:val="00A81DB5"/>
    <w:rsid w:val="00A82104"/>
    <w:rsid w:val="00A826BA"/>
    <w:rsid w:val="00A8289C"/>
    <w:rsid w:val="00A82A58"/>
    <w:rsid w:val="00A82A67"/>
    <w:rsid w:val="00A82DA0"/>
    <w:rsid w:val="00A82F30"/>
    <w:rsid w:val="00A83105"/>
    <w:rsid w:val="00A83351"/>
    <w:rsid w:val="00A83681"/>
    <w:rsid w:val="00A83B38"/>
    <w:rsid w:val="00A83FEC"/>
    <w:rsid w:val="00A8434F"/>
    <w:rsid w:val="00A8459B"/>
    <w:rsid w:val="00A8476B"/>
    <w:rsid w:val="00A848B1"/>
    <w:rsid w:val="00A84A00"/>
    <w:rsid w:val="00A84A50"/>
    <w:rsid w:val="00A84D73"/>
    <w:rsid w:val="00A8522F"/>
    <w:rsid w:val="00A854D5"/>
    <w:rsid w:val="00A85882"/>
    <w:rsid w:val="00A859B0"/>
    <w:rsid w:val="00A86203"/>
    <w:rsid w:val="00A866CB"/>
    <w:rsid w:val="00A86A92"/>
    <w:rsid w:val="00A87017"/>
    <w:rsid w:val="00A877BD"/>
    <w:rsid w:val="00A879B9"/>
    <w:rsid w:val="00A87CBB"/>
    <w:rsid w:val="00A87D53"/>
    <w:rsid w:val="00A87E9D"/>
    <w:rsid w:val="00A90541"/>
    <w:rsid w:val="00A905B6"/>
    <w:rsid w:val="00A905E9"/>
    <w:rsid w:val="00A909E2"/>
    <w:rsid w:val="00A90C63"/>
    <w:rsid w:val="00A916DE"/>
    <w:rsid w:val="00A91847"/>
    <w:rsid w:val="00A9191E"/>
    <w:rsid w:val="00A91CC5"/>
    <w:rsid w:val="00A92048"/>
    <w:rsid w:val="00A921DA"/>
    <w:rsid w:val="00A925BE"/>
    <w:rsid w:val="00A92783"/>
    <w:rsid w:val="00A927A8"/>
    <w:rsid w:val="00A927AB"/>
    <w:rsid w:val="00A92997"/>
    <w:rsid w:val="00A92A41"/>
    <w:rsid w:val="00A92D16"/>
    <w:rsid w:val="00A93483"/>
    <w:rsid w:val="00A934FF"/>
    <w:rsid w:val="00A93762"/>
    <w:rsid w:val="00A93E1B"/>
    <w:rsid w:val="00A94861"/>
    <w:rsid w:val="00A9495A"/>
    <w:rsid w:val="00A9498D"/>
    <w:rsid w:val="00A9595E"/>
    <w:rsid w:val="00A95A8A"/>
    <w:rsid w:val="00A966DD"/>
    <w:rsid w:val="00A968FA"/>
    <w:rsid w:val="00A969E1"/>
    <w:rsid w:val="00A96D42"/>
    <w:rsid w:val="00A96DDC"/>
    <w:rsid w:val="00A96FAD"/>
    <w:rsid w:val="00A97195"/>
    <w:rsid w:val="00A974E8"/>
    <w:rsid w:val="00A97BFF"/>
    <w:rsid w:val="00A97DBD"/>
    <w:rsid w:val="00AA0007"/>
    <w:rsid w:val="00AA06C2"/>
    <w:rsid w:val="00AA07E0"/>
    <w:rsid w:val="00AA08EE"/>
    <w:rsid w:val="00AA19E7"/>
    <w:rsid w:val="00AA1A7B"/>
    <w:rsid w:val="00AA204E"/>
    <w:rsid w:val="00AA20DF"/>
    <w:rsid w:val="00AA2F24"/>
    <w:rsid w:val="00AA3193"/>
    <w:rsid w:val="00AA32E7"/>
    <w:rsid w:val="00AA34AA"/>
    <w:rsid w:val="00AA374C"/>
    <w:rsid w:val="00AA37EB"/>
    <w:rsid w:val="00AA43A2"/>
    <w:rsid w:val="00AA4515"/>
    <w:rsid w:val="00AA4554"/>
    <w:rsid w:val="00AA457A"/>
    <w:rsid w:val="00AA471D"/>
    <w:rsid w:val="00AA4853"/>
    <w:rsid w:val="00AA4DEB"/>
    <w:rsid w:val="00AA4F33"/>
    <w:rsid w:val="00AA5246"/>
    <w:rsid w:val="00AA561F"/>
    <w:rsid w:val="00AA57E7"/>
    <w:rsid w:val="00AA59D2"/>
    <w:rsid w:val="00AA5CE3"/>
    <w:rsid w:val="00AA5F12"/>
    <w:rsid w:val="00AA6010"/>
    <w:rsid w:val="00AA629B"/>
    <w:rsid w:val="00AA6697"/>
    <w:rsid w:val="00AA6BCF"/>
    <w:rsid w:val="00AA6CC1"/>
    <w:rsid w:val="00AA74BC"/>
    <w:rsid w:val="00AA77D3"/>
    <w:rsid w:val="00AA7D08"/>
    <w:rsid w:val="00AA7E1F"/>
    <w:rsid w:val="00AA7E3A"/>
    <w:rsid w:val="00AB0114"/>
    <w:rsid w:val="00AB0248"/>
    <w:rsid w:val="00AB03D3"/>
    <w:rsid w:val="00AB03D5"/>
    <w:rsid w:val="00AB04D3"/>
    <w:rsid w:val="00AB0B60"/>
    <w:rsid w:val="00AB16FE"/>
    <w:rsid w:val="00AB1A96"/>
    <w:rsid w:val="00AB1AF7"/>
    <w:rsid w:val="00AB1B3D"/>
    <w:rsid w:val="00AB2345"/>
    <w:rsid w:val="00AB28D2"/>
    <w:rsid w:val="00AB2BDE"/>
    <w:rsid w:val="00AB2BE4"/>
    <w:rsid w:val="00AB364E"/>
    <w:rsid w:val="00AB380A"/>
    <w:rsid w:val="00AB389F"/>
    <w:rsid w:val="00AB38E2"/>
    <w:rsid w:val="00AB39CE"/>
    <w:rsid w:val="00AB3E6A"/>
    <w:rsid w:val="00AB3F8F"/>
    <w:rsid w:val="00AB42A8"/>
    <w:rsid w:val="00AB467F"/>
    <w:rsid w:val="00AB4725"/>
    <w:rsid w:val="00AB472E"/>
    <w:rsid w:val="00AB4BAC"/>
    <w:rsid w:val="00AB4C10"/>
    <w:rsid w:val="00AB4DFE"/>
    <w:rsid w:val="00AB511A"/>
    <w:rsid w:val="00AB5564"/>
    <w:rsid w:val="00AB605A"/>
    <w:rsid w:val="00AB66E4"/>
    <w:rsid w:val="00AB6748"/>
    <w:rsid w:val="00AB6E85"/>
    <w:rsid w:val="00AB716B"/>
    <w:rsid w:val="00AB736D"/>
    <w:rsid w:val="00AB7581"/>
    <w:rsid w:val="00AB75E1"/>
    <w:rsid w:val="00AB7739"/>
    <w:rsid w:val="00AB7922"/>
    <w:rsid w:val="00AB7C84"/>
    <w:rsid w:val="00AC0155"/>
    <w:rsid w:val="00AC02E3"/>
    <w:rsid w:val="00AC074A"/>
    <w:rsid w:val="00AC07C7"/>
    <w:rsid w:val="00AC0A71"/>
    <w:rsid w:val="00AC0C5A"/>
    <w:rsid w:val="00AC0D46"/>
    <w:rsid w:val="00AC0F71"/>
    <w:rsid w:val="00AC13A4"/>
    <w:rsid w:val="00AC171D"/>
    <w:rsid w:val="00AC1906"/>
    <w:rsid w:val="00AC1C19"/>
    <w:rsid w:val="00AC1EEE"/>
    <w:rsid w:val="00AC239D"/>
    <w:rsid w:val="00AC2A30"/>
    <w:rsid w:val="00AC2F5B"/>
    <w:rsid w:val="00AC3476"/>
    <w:rsid w:val="00AC3ABD"/>
    <w:rsid w:val="00AC3B4E"/>
    <w:rsid w:val="00AC4C26"/>
    <w:rsid w:val="00AC4CCE"/>
    <w:rsid w:val="00AC5100"/>
    <w:rsid w:val="00AC5902"/>
    <w:rsid w:val="00AC59F4"/>
    <w:rsid w:val="00AC5A44"/>
    <w:rsid w:val="00AC62C2"/>
    <w:rsid w:val="00AC640C"/>
    <w:rsid w:val="00AC667F"/>
    <w:rsid w:val="00AC689E"/>
    <w:rsid w:val="00AC6B09"/>
    <w:rsid w:val="00AC6E0F"/>
    <w:rsid w:val="00AC72BA"/>
    <w:rsid w:val="00AC73D8"/>
    <w:rsid w:val="00AC76FD"/>
    <w:rsid w:val="00AC7D3D"/>
    <w:rsid w:val="00AD064D"/>
    <w:rsid w:val="00AD0B8D"/>
    <w:rsid w:val="00AD0CC2"/>
    <w:rsid w:val="00AD1835"/>
    <w:rsid w:val="00AD1B1D"/>
    <w:rsid w:val="00AD1DC5"/>
    <w:rsid w:val="00AD216A"/>
    <w:rsid w:val="00AD2849"/>
    <w:rsid w:val="00AD2A1C"/>
    <w:rsid w:val="00AD2BCC"/>
    <w:rsid w:val="00AD2C50"/>
    <w:rsid w:val="00AD2CA2"/>
    <w:rsid w:val="00AD2E00"/>
    <w:rsid w:val="00AD3014"/>
    <w:rsid w:val="00AD30C6"/>
    <w:rsid w:val="00AD3320"/>
    <w:rsid w:val="00AD3B74"/>
    <w:rsid w:val="00AD41BA"/>
    <w:rsid w:val="00AD446F"/>
    <w:rsid w:val="00AD5537"/>
    <w:rsid w:val="00AD575D"/>
    <w:rsid w:val="00AD58E8"/>
    <w:rsid w:val="00AD5939"/>
    <w:rsid w:val="00AD65F5"/>
    <w:rsid w:val="00AD698B"/>
    <w:rsid w:val="00AD6EC2"/>
    <w:rsid w:val="00AD71C2"/>
    <w:rsid w:val="00AD723B"/>
    <w:rsid w:val="00AD74A3"/>
    <w:rsid w:val="00AE021F"/>
    <w:rsid w:val="00AE0447"/>
    <w:rsid w:val="00AE0C3C"/>
    <w:rsid w:val="00AE0C72"/>
    <w:rsid w:val="00AE10F1"/>
    <w:rsid w:val="00AE1882"/>
    <w:rsid w:val="00AE18E8"/>
    <w:rsid w:val="00AE19F0"/>
    <w:rsid w:val="00AE1A87"/>
    <w:rsid w:val="00AE1ACD"/>
    <w:rsid w:val="00AE1B32"/>
    <w:rsid w:val="00AE1EA4"/>
    <w:rsid w:val="00AE1EF7"/>
    <w:rsid w:val="00AE26B3"/>
    <w:rsid w:val="00AE286E"/>
    <w:rsid w:val="00AE2D54"/>
    <w:rsid w:val="00AE2D61"/>
    <w:rsid w:val="00AE2FEE"/>
    <w:rsid w:val="00AE3002"/>
    <w:rsid w:val="00AE316A"/>
    <w:rsid w:val="00AE36E7"/>
    <w:rsid w:val="00AE3B67"/>
    <w:rsid w:val="00AE3DAB"/>
    <w:rsid w:val="00AE3DB2"/>
    <w:rsid w:val="00AE419B"/>
    <w:rsid w:val="00AE41D2"/>
    <w:rsid w:val="00AE42D5"/>
    <w:rsid w:val="00AE443E"/>
    <w:rsid w:val="00AE4676"/>
    <w:rsid w:val="00AE4C26"/>
    <w:rsid w:val="00AE4E4A"/>
    <w:rsid w:val="00AE5404"/>
    <w:rsid w:val="00AE54C2"/>
    <w:rsid w:val="00AE5643"/>
    <w:rsid w:val="00AE565D"/>
    <w:rsid w:val="00AE5CDE"/>
    <w:rsid w:val="00AE5F13"/>
    <w:rsid w:val="00AE63C0"/>
    <w:rsid w:val="00AE6B97"/>
    <w:rsid w:val="00AE6C9E"/>
    <w:rsid w:val="00AE716B"/>
    <w:rsid w:val="00AE763D"/>
    <w:rsid w:val="00AE7765"/>
    <w:rsid w:val="00AE77F4"/>
    <w:rsid w:val="00AE7897"/>
    <w:rsid w:val="00AE7970"/>
    <w:rsid w:val="00AE798D"/>
    <w:rsid w:val="00AE7CD7"/>
    <w:rsid w:val="00AF041A"/>
    <w:rsid w:val="00AF0A2D"/>
    <w:rsid w:val="00AF0BF5"/>
    <w:rsid w:val="00AF0BF7"/>
    <w:rsid w:val="00AF0CDC"/>
    <w:rsid w:val="00AF0DC5"/>
    <w:rsid w:val="00AF10F8"/>
    <w:rsid w:val="00AF1C32"/>
    <w:rsid w:val="00AF2204"/>
    <w:rsid w:val="00AF23EA"/>
    <w:rsid w:val="00AF2795"/>
    <w:rsid w:val="00AF2AB4"/>
    <w:rsid w:val="00AF3A53"/>
    <w:rsid w:val="00AF44EC"/>
    <w:rsid w:val="00AF4846"/>
    <w:rsid w:val="00AF4A3A"/>
    <w:rsid w:val="00AF4B06"/>
    <w:rsid w:val="00AF4E9E"/>
    <w:rsid w:val="00AF4EB2"/>
    <w:rsid w:val="00AF529C"/>
    <w:rsid w:val="00AF5AD0"/>
    <w:rsid w:val="00AF5CE9"/>
    <w:rsid w:val="00AF5FD4"/>
    <w:rsid w:val="00AF6060"/>
    <w:rsid w:val="00AF63C0"/>
    <w:rsid w:val="00AF6479"/>
    <w:rsid w:val="00AF6B3C"/>
    <w:rsid w:val="00AF71C1"/>
    <w:rsid w:val="00AF71DB"/>
    <w:rsid w:val="00AF726B"/>
    <w:rsid w:val="00AF75EE"/>
    <w:rsid w:val="00AF76C1"/>
    <w:rsid w:val="00AF76EA"/>
    <w:rsid w:val="00AF7850"/>
    <w:rsid w:val="00AF79DB"/>
    <w:rsid w:val="00AF7A19"/>
    <w:rsid w:val="00AF7CB5"/>
    <w:rsid w:val="00B00244"/>
    <w:rsid w:val="00B0025F"/>
    <w:rsid w:val="00B00611"/>
    <w:rsid w:val="00B00855"/>
    <w:rsid w:val="00B009F9"/>
    <w:rsid w:val="00B00AE5"/>
    <w:rsid w:val="00B00D19"/>
    <w:rsid w:val="00B01199"/>
    <w:rsid w:val="00B012F3"/>
    <w:rsid w:val="00B014D8"/>
    <w:rsid w:val="00B015AB"/>
    <w:rsid w:val="00B016ED"/>
    <w:rsid w:val="00B01A6C"/>
    <w:rsid w:val="00B01B9F"/>
    <w:rsid w:val="00B01DDA"/>
    <w:rsid w:val="00B02458"/>
    <w:rsid w:val="00B02B84"/>
    <w:rsid w:val="00B02F23"/>
    <w:rsid w:val="00B02F37"/>
    <w:rsid w:val="00B02FAF"/>
    <w:rsid w:val="00B03008"/>
    <w:rsid w:val="00B0330D"/>
    <w:rsid w:val="00B03350"/>
    <w:rsid w:val="00B033B0"/>
    <w:rsid w:val="00B03C3A"/>
    <w:rsid w:val="00B03E37"/>
    <w:rsid w:val="00B04080"/>
    <w:rsid w:val="00B044CB"/>
    <w:rsid w:val="00B0486D"/>
    <w:rsid w:val="00B04A29"/>
    <w:rsid w:val="00B04BBA"/>
    <w:rsid w:val="00B05157"/>
    <w:rsid w:val="00B0516C"/>
    <w:rsid w:val="00B052DA"/>
    <w:rsid w:val="00B05808"/>
    <w:rsid w:val="00B0591B"/>
    <w:rsid w:val="00B05BAC"/>
    <w:rsid w:val="00B0601A"/>
    <w:rsid w:val="00B065FC"/>
    <w:rsid w:val="00B06E4E"/>
    <w:rsid w:val="00B06E7C"/>
    <w:rsid w:val="00B0783E"/>
    <w:rsid w:val="00B07E30"/>
    <w:rsid w:val="00B10335"/>
    <w:rsid w:val="00B10380"/>
    <w:rsid w:val="00B1049A"/>
    <w:rsid w:val="00B10D1F"/>
    <w:rsid w:val="00B10E48"/>
    <w:rsid w:val="00B10E8E"/>
    <w:rsid w:val="00B10F69"/>
    <w:rsid w:val="00B12158"/>
    <w:rsid w:val="00B1216D"/>
    <w:rsid w:val="00B121DF"/>
    <w:rsid w:val="00B12214"/>
    <w:rsid w:val="00B12642"/>
    <w:rsid w:val="00B1273F"/>
    <w:rsid w:val="00B12BB0"/>
    <w:rsid w:val="00B136BC"/>
    <w:rsid w:val="00B14009"/>
    <w:rsid w:val="00B14462"/>
    <w:rsid w:val="00B145AA"/>
    <w:rsid w:val="00B14705"/>
    <w:rsid w:val="00B147B6"/>
    <w:rsid w:val="00B14DC3"/>
    <w:rsid w:val="00B14DD4"/>
    <w:rsid w:val="00B14DED"/>
    <w:rsid w:val="00B14F0E"/>
    <w:rsid w:val="00B155E1"/>
    <w:rsid w:val="00B1560E"/>
    <w:rsid w:val="00B15655"/>
    <w:rsid w:val="00B16A8C"/>
    <w:rsid w:val="00B16D6B"/>
    <w:rsid w:val="00B16DC7"/>
    <w:rsid w:val="00B17429"/>
    <w:rsid w:val="00B17655"/>
    <w:rsid w:val="00B17B88"/>
    <w:rsid w:val="00B17DD8"/>
    <w:rsid w:val="00B17FAD"/>
    <w:rsid w:val="00B20136"/>
    <w:rsid w:val="00B20185"/>
    <w:rsid w:val="00B20B8C"/>
    <w:rsid w:val="00B20C46"/>
    <w:rsid w:val="00B20CCB"/>
    <w:rsid w:val="00B20E1C"/>
    <w:rsid w:val="00B21348"/>
    <w:rsid w:val="00B2139E"/>
    <w:rsid w:val="00B2185E"/>
    <w:rsid w:val="00B219EA"/>
    <w:rsid w:val="00B21B3C"/>
    <w:rsid w:val="00B21C50"/>
    <w:rsid w:val="00B2231D"/>
    <w:rsid w:val="00B22710"/>
    <w:rsid w:val="00B228B5"/>
    <w:rsid w:val="00B22960"/>
    <w:rsid w:val="00B22F79"/>
    <w:rsid w:val="00B2308A"/>
    <w:rsid w:val="00B23887"/>
    <w:rsid w:val="00B23981"/>
    <w:rsid w:val="00B23CBE"/>
    <w:rsid w:val="00B23E25"/>
    <w:rsid w:val="00B23EAC"/>
    <w:rsid w:val="00B24505"/>
    <w:rsid w:val="00B2492C"/>
    <w:rsid w:val="00B253D9"/>
    <w:rsid w:val="00B25E94"/>
    <w:rsid w:val="00B2620F"/>
    <w:rsid w:val="00B262A2"/>
    <w:rsid w:val="00B2636A"/>
    <w:rsid w:val="00B26477"/>
    <w:rsid w:val="00B267F6"/>
    <w:rsid w:val="00B26977"/>
    <w:rsid w:val="00B26C3F"/>
    <w:rsid w:val="00B26C66"/>
    <w:rsid w:val="00B279BF"/>
    <w:rsid w:val="00B30124"/>
    <w:rsid w:val="00B30C61"/>
    <w:rsid w:val="00B3131B"/>
    <w:rsid w:val="00B31710"/>
    <w:rsid w:val="00B317D4"/>
    <w:rsid w:val="00B318CE"/>
    <w:rsid w:val="00B319BF"/>
    <w:rsid w:val="00B32C6F"/>
    <w:rsid w:val="00B32FB5"/>
    <w:rsid w:val="00B33903"/>
    <w:rsid w:val="00B33A1F"/>
    <w:rsid w:val="00B33D50"/>
    <w:rsid w:val="00B34234"/>
    <w:rsid w:val="00B34482"/>
    <w:rsid w:val="00B3488B"/>
    <w:rsid w:val="00B348C0"/>
    <w:rsid w:val="00B3491D"/>
    <w:rsid w:val="00B34975"/>
    <w:rsid w:val="00B349C8"/>
    <w:rsid w:val="00B34AC9"/>
    <w:rsid w:val="00B34BA9"/>
    <w:rsid w:val="00B34C0D"/>
    <w:rsid w:val="00B357E4"/>
    <w:rsid w:val="00B35AA8"/>
    <w:rsid w:val="00B35D83"/>
    <w:rsid w:val="00B35F87"/>
    <w:rsid w:val="00B3605F"/>
    <w:rsid w:val="00B36181"/>
    <w:rsid w:val="00B363C3"/>
    <w:rsid w:val="00B36409"/>
    <w:rsid w:val="00B367F8"/>
    <w:rsid w:val="00B3685A"/>
    <w:rsid w:val="00B36BD8"/>
    <w:rsid w:val="00B36C04"/>
    <w:rsid w:val="00B3750B"/>
    <w:rsid w:val="00B37974"/>
    <w:rsid w:val="00B37B0E"/>
    <w:rsid w:val="00B37F8F"/>
    <w:rsid w:val="00B37F98"/>
    <w:rsid w:val="00B4080C"/>
    <w:rsid w:val="00B40907"/>
    <w:rsid w:val="00B40F6A"/>
    <w:rsid w:val="00B4123A"/>
    <w:rsid w:val="00B41355"/>
    <w:rsid w:val="00B4143C"/>
    <w:rsid w:val="00B417A4"/>
    <w:rsid w:val="00B41A2C"/>
    <w:rsid w:val="00B41E6D"/>
    <w:rsid w:val="00B41F8B"/>
    <w:rsid w:val="00B427DA"/>
    <w:rsid w:val="00B429E6"/>
    <w:rsid w:val="00B42D1A"/>
    <w:rsid w:val="00B42E2C"/>
    <w:rsid w:val="00B42F91"/>
    <w:rsid w:val="00B433EF"/>
    <w:rsid w:val="00B43562"/>
    <w:rsid w:val="00B43CF3"/>
    <w:rsid w:val="00B43E2D"/>
    <w:rsid w:val="00B43EF7"/>
    <w:rsid w:val="00B440BC"/>
    <w:rsid w:val="00B449EB"/>
    <w:rsid w:val="00B44A57"/>
    <w:rsid w:val="00B44D2C"/>
    <w:rsid w:val="00B4531A"/>
    <w:rsid w:val="00B4549F"/>
    <w:rsid w:val="00B45513"/>
    <w:rsid w:val="00B4559D"/>
    <w:rsid w:val="00B45626"/>
    <w:rsid w:val="00B45C91"/>
    <w:rsid w:val="00B45CAC"/>
    <w:rsid w:val="00B45DD3"/>
    <w:rsid w:val="00B4600F"/>
    <w:rsid w:val="00B462A6"/>
    <w:rsid w:val="00B462BA"/>
    <w:rsid w:val="00B463F2"/>
    <w:rsid w:val="00B46457"/>
    <w:rsid w:val="00B46653"/>
    <w:rsid w:val="00B46A8D"/>
    <w:rsid w:val="00B47225"/>
    <w:rsid w:val="00B4797A"/>
    <w:rsid w:val="00B47A92"/>
    <w:rsid w:val="00B47C62"/>
    <w:rsid w:val="00B47E8D"/>
    <w:rsid w:val="00B50657"/>
    <w:rsid w:val="00B50832"/>
    <w:rsid w:val="00B50B4A"/>
    <w:rsid w:val="00B50FDC"/>
    <w:rsid w:val="00B51099"/>
    <w:rsid w:val="00B51371"/>
    <w:rsid w:val="00B51472"/>
    <w:rsid w:val="00B5150D"/>
    <w:rsid w:val="00B51654"/>
    <w:rsid w:val="00B51985"/>
    <w:rsid w:val="00B51F95"/>
    <w:rsid w:val="00B520FE"/>
    <w:rsid w:val="00B52573"/>
    <w:rsid w:val="00B5271E"/>
    <w:rsid w:val="00B52AF1"/>
    <w:rsid w:val="00B52DD4"/>
    <w:rsid w:val="00B52E01"/>
    <w:rsid w:val="00B52FFA"/>
    <w:rsid w:val="00B53071"/>
    <w:rsid w:val="00B5320C"/>
    <w:rsid w:val="00B53493"/>
    <w:rsid w:val="00B539CC"/>
    <w:rsid w:val="00B53D68"/>
    <w:rsid w:val="00B53DB4"/>
    <w:rsid w:val="00B53F22"/>
    <w:rsid w:val="00B5406F"/>
    <w:rsid w:val="00B542BA"/>
    <w:rsid w:val="00B54916"/>
    <w:rsid w:val="00B549F5"/>
    <w:rsid w:val="00B54CAD"/>
    <w:rsid w:val="00B54CE9"/>
    <w:rsid w:val="00B54E78"/>
    <w:rsid w:val="00B5543C"/>
    <w:rsid w:val="00B554DE"/>
    <w:rsid w:val="00B55909"/>
    <w:rsid w:val="00B5592F"/>
    <w:rsid w:val="00B55D18"/>
    <w:rsid w:val="00B5600E"/>
    <w:rsid w:val="00B5619F"/>
    <w:rsid w:val="00B56578"/>
    <w:rsid w:val="00B56CC8"/>
    <w:rsid w:val="00B56D46"/>
    <w:rsid w:val="00B56E27"/>
    <w:rsid w:val="00B56F75"/>
    <w:rsid w:val="00B57011"/>
    <w:rsid w:val="00B57161"/>
    <w:rsid w:val="00B5740B"/>
    <w:rsid w:val="00B575C1"/>
    <w:rsid w:val="00B57A98"/>
    <w:rsid w:val="00B57D67"/>
    <w:rsid w:val="00B57DD8"/>
    <w:rsid w:val="00B602EA"/>
    <w:rsid w:val="00B60443"/>
    <w:rsid w:val="00B604F3"/>
    <w:rsid w:val="00B60628"/>
    <w:rsid w:val="00B60B42"/>
    <w:rsid w:val="00B60E22"/>
    <w:rsid w:val="00B60EA8"/>
    <w:rsid w:val="00B6113D"/>
    <w:rsid w:val="00B61234"/>
    <w:rsid w:val="00B613DF"/>
    <w:rsid w:val="00B61701"/>
    <w:rsid w:val="00B61907"/>
    <w:rsid w:val="00B61D56"/>
    <w:rsid w:val="00B61E63"/>
    <w:rsid w:val="00B61E75"/>
    <w:rsid w:val="00B621D1"/>
    <w:rsid w:val="00B62573"/>
    <w:rsid w:val="00B62E7C"/>
    <w:rsid w:val="00B63059"/>
    <w:rsid w:val="00B6339C"/>
    <w:rsid w:val="00B634B9"/>
    <w:rsid w:val="00B639F5"/>
    <w:rsid w:val="00B63BB4"/>
    <w:rsid w:val="00B63C21"/>
    <w:rsid w:val="00B63DC7"/>
    <w:rsid w:val="00B63FD2"/>
    <w:rsid w:val="00B64056"/>
    <w:rsid w:val="00B641FE"/>
    <w:rsid w:val="00B643ED"/>
    <w:rsid w:val="00B64E40"/>
    <w:rsid w:val="00B65281"/>
    <w:rsid w:val="00B65CE6"/>
    <w:rsid w:val="00B668FB"/>
    <w:rsid w:val="00B66C65"/>
    <w:rsid w:val="00B6703F"/>
    <w:rsid w:val="00B70064"/>
    <w:rsid w:val="00B70557"/>
    <w:rsid w:val="00B7097C"/>
    <w:rsid w:val="00B70EAE"/>
    <w:rsid w:val="00B712AA"/>
    <w:rsid w:val="00B71332"/>
    <w:rsid w:val="00B71521"/>
    <w:rsid w:val="00B71AC5"/>
    <w:rsid w:val="00B71E98"/>
    <w:rsid w:val="00B71F69"/>
    <w:rsid w:val="00B72120"/>
    <w:rsid w:val="00B7218B"/>
    <w:rsid w:val="00B721D2"/>
    <w:rsid w:val="00B72552"/>
    <w:rsid w:val="00B72973"/>
    <w:rsid w:val="00B729AF"/>
    <w:rsid w:val="00B72FCB"/>
    <w:rsid w:val="00B73150"/>
    <w:rsid w:val="00B73165"/>
    <w:rsid w:val="00B733FE"/>
    <w:rsid w:val="00B7356B"/>
    <w:rsid w:val="00B73FA5"/>
    <w:rsid w:val="00B74045"/>
    <w:rsid w:val="00B7411D"/>
    <w:rsid w:val="00B743E7"/>
    <w:rsid w:val="00B74856"/>
    <w:rsid w:val="00B74906"/>
    <w:rsid w:val="00B74BE0"/>
    <w:rsid w:val="00B74FA3"/>
    <w:rsid w:val="00B75515"/>
    <w:rsid w:val="00B75748"/>
    <w:rsid w:val="00B758C0"/>
    <w:rsid w:val="00B75A46"/>
    <w:rsid w:val="00B75DFC"/>
    <w:rsid w:val="00B75F1D"/>
    <w:rsid w:val="00B760C3"/>
    <w:rsid w:val="00B7615D"/>
    <w:rsid w:val="00B762CC"/>
    <w:rsid w:val="00B76706"/>
    <w:rsid w:val="00B7685D"/>
    <w:rsid w:val="00B76861"/>
    <w:rsid w:val="00B76B8E"/>
    <w:rsid w:val="00B76E2D"/>
    <w:rsid w:val="00B77186"/>
    <w:rsid w:val="00B7729A"/>
    <w:rsid w:val="00B772E4"/>
    <w:rsid w:val="00B77464"/>
    <w:rsid w:val="00B774F3"/>
    <w:rsid w:val="00B77598"/>
    <w:rsid w:val="00B77A24"/>
    <w:rsid w:val="00B80022"/>
    <w:rsid w:val="00B800A6"/>
    <w:rsid w:val="00B806C2"/>
    <w:rsid w:val="00B80B13"/>
    <w:rsid w:val="00B80CB8"/>
    <w:rsid w:val="00B815B8"/>
    <w:rsid w:val="00B81653"/>
    <w:rsid w:val="00B818A3"/>
    <w:rsid w:val="00B821E5"/>
    <w:rsid w:val="00B822FC"/>
    <w:rsid w:val="00B82E90"/>
    <w:rsid w:val="00B830A3"/>
    <w:rsid w:val="00B836CC"/>
    <w:rsid w:val="00B83866"/>
    <w:rsid w:val="00B83A9E"/>
    <w:rsid w:val="00B83D01"/>
    <w:rsid w:val="00B83E4C"/>
    <w:rsid w:val="00B846AA"/>
    <w:rsid w:val="00B846B7"/>
    <w:rsid w:val="00B847D9"/>
    <w:rsid w:val="00B85513"/>
    <w:rsid w:val="00B85A3E"/>
    <w:rsid w:val="00B85A9A"/>
    <w:rsid w:val="00B85E53"/>
    <w:rsid w:val="00B85EDE"/>
    <w:rsid w:val="00B8678D"/>
    <w:rsid w:val="00B8690F"/>
    <w:rsid w:val="00B86F6C"/>
    <w:rsid w:val="00B87972"/>
    <w:rsid w:val="00B901A6"/>
    <w:rsid w:val="00B90428"/>
    <w:rsid w:val="00B9058D"/>
    <w:rsid w:val="00B90600"/>
    <w:rsid w:val="00B907B8"/>
    <w:rsid w:val="00B907D8"/>
    <w:rsid w:val="00B90D32"/>
    <w:rsid w:val="00B91196"/>
    <w:rsid w:val="00B916C3"/>
    <w:rsid w:val="00B91746"/>
    <w:rsid w:val="00B91AD8"/>
    <w:rsid w:val="00B91DE7"/>
    <w:rsid w:val="00B923BB"/>
    <w:rsid w:val="00B92672"/>
    <w:rsid w:val="00B926CA"/>
    <w:rsid w:val="00B92816"/>
    <w:rsid w:val="00B92E44"/>
    <w:rsid w:val="00B93048"/>
    <w:rsid w:val="00B935DC"/>
    <w:rsid w:val="00B93969"/>
    <w:rsid w:val="00B93EC2"/>
    <w:rsid w:val="00B93F8E"/>
    <w:rsid w:val="00B94127"/>
    <w:rsid w:val="00B94C9D"/>
    <w:rsid w:val="00B94D16"/>
    <w:rsid w:val="00B952F0"/>
    <w:rsid w:val="00B9534D"/>
    <w:rsid w:val="00B9569F"/>
    <w:rsid w:val="00B968DA"/>
    <w:rsid w:val="00B96B61"/>
    <w:rsid w:val="00B96E43"/>
    <w:rsid w:val="00B97176"/>
    <w:rsid w:val="00B97429"/>
    <w:rsid w:val="00B976C0"/>
    <w:rsid w:val="00B97CAD"/>
    <w:rsid w:val="00B97E18"/>
    <w:rsid w:val="00B97F0E"/>
    <w:rsid w:val="00BA00E1"/>
    <w:rsid w:val="00BA01ED"/>
    <w:rsid w:val="00BA02EC"/>
    <w:rsid w:val="00BA03A9"/>
    <w:rsid w:val="00BA0527"/>
    <w:rsid w:val="00BA0607"/>
    <w:rsid w:val="00BA0951"/>
    <w:rsid w:val="00BA0B3E"/>
    <w:rsid w:val="00BA1225"/>
    <w:rsid w:val="00BA13E7"/>
    <w:rsid w:val="00BA153E"/>
    <w:rsid w:val="00BA1CAF"/>
    <w:rsid w:val="00BA1CBB"/>
    <w:rsid w:val="00BA2127"/>
    <w:rsid w:val="00BA2241"/>
    <w:rsid w:val="00BA28CF"/>
    <w:rsid w:val="00BA298B"/>
    <w:rsid w:val="00BA2AB5"/>
    <w:rsid w:val="00BA2F3F"/>
    <w:rsid w:val="00BA311B"/>
    <w:rsid w:val="00BA3323"/>
    <w:rsid w:val="00BA37D0"/>
    <w:rsid w:val="00BA385B"/>
    <w:rsid w:val="00BA3AF5"/>
    <w:rsid w:val="00BA3D7D"/>
    <w:rsid w:val="00BA3EFC"/>
    <w:rsid w:val="00BA426A"/>
    <w:rsid w:val="00BA457E"/>
    <w:rsid w:val="00BA45AE"/>
    <w:rsid w:val="00BA466E"/>
    <w:rsid w:val="00BA4C33"/>
    <w:rsid w:val="00BA4D4F"/>
    <w:rsid w:val="00BA4EFC"/>
    <w:rsid w:val="00BA4F4A"/>
    <w:rsid w:val="00BA57CB"/>
    <w:rsid w:val="00BA6064"/>
    <w:rsid w:val="00BA66AD"/>
    <w:rsid w:val="00BA6FCB"/>
    <w:rsid w:val="00BA75E9"/>
    <w:rsid w:val="00BA7660"/>
    <w:rsid w:val="00BA76D9"/>
    <w:rsid w:val="00BA7B4A"/>
    <w:rsid w:val="00BA7F81"/>
    <w:rsid w:val="00BB0442"/>
    <w:rsid w:val="00BB0831"/>
    <w:rsid w:val="00BB0CF1"/>
    <w:rsid w:val="00BB14D3"/>
    <w:rsid w:val="00BB15CC"/>
    <w:rsid w:val="00BB16AB"/>
    <w:rsid w:val="00BB16C6"/>
    <w:rsid w:val="00BB1D21"/>
    <w:rsid w:val="00BB228D"/>
    <w:rsid w:val="00BB2505"/>
    <w:rsid w:val="00BB2EEF"/>
    <w:rsid w:val="00BB30A8"/>
    <w:rsid w:val="00BB3235"/>
    <w:rsid w:val="00BB3310"/>
    <w:rsid w:val="00BB34C3"/>
    <w:rsid w:val="00BB3BFE"/>
    <w:rsid w:val="00BB3D89"/>
    <w:rsid w:val="00BB40DD"/>
    <w:rsid w:val="00BB4141"/>
    <w:rsid w:val="00BB41A5"/>
    <w:rsid w:val="00BB475F"/>
    <w:rsid w:val="00BB4962"/>
    <w:rsid w:val="00BB4992"/>
    <w:rsid w:val="00BB4AD0"/>
    <w:rsid w:val="00BB50B7"/>
    <w:rsid w:val="00BB53CA"/>
    <w:rsid w:val="00BB5693"/>
    <w:rsid w:val="00BB56B2"/>
    <w:rsid w:val="00BB56DA"/>
    <w:rsid w:val="00BB59F6"/>
    <w:rsid w:val="00BB5BC6"/>
    <w:rsid w:val="00BB5CEC"/>
    <w:rsid w:val="00BB625E"/>
    <w:rsid w:val="00BB6848"/>
    <w:rsid w:val="00BB6C7A"/>
    <w:rsid w:val="00BB6D97"/>
    <w:rsid w:val="00BB7294"/>
    <w:rsid w:val="00BB770D"/>
    <w:rsid w:val="00BB79A0"/>
    <w:rsid w:val="00BB7A45"/>
    <w:rsid w:val="00BB7E33"/>
    <w:rsid w:val="00BB7F0D"/>
    <w:rsid w:val="00BB7F3B"/>
    <w:rsid w:val="00BC034B"/>
    <w:rsid w:val="00BC05FF"/>
    <w:rsid w:val="00BC0AB9"/>
    <w:rsid w:val="00BC0B28"/>
    <w:rsid w:val="00BC0F78"/>
    <w:rsid w:val="00BC1142"/>
    <w:rsid w:val="00BC16BD"/>
    <w:rsid w:val="00BC1F90"/>
    <w:rsid w:val="00BC279E"/>
    <w:rsid w:val="00BC2DA9"/>
    <w:rsid w:val="00BC2DD3"/>
    <w:rsid w:val="00BC2F17"/>
    <w:rsid w:val="00BC35AB"/>
    <w:rsid w:val="00BC3E44"/>
    <w:rsid w:val="00BC5136"/>
    <w:rsid w:val="00BC5479"/>
    <w:rsid w:val="00BC559B"/>
    <w:rsid w:val="00BC5951"/>
    <w:rsid w:val="00BC6619"/>
    <w:rsid w:val="00BC67B1"/>
    <w:rsid w:val="00BC6BDA"/>
    <w:rsid w:val="00BC70B7"/>
    <w:rsid w:val="00BC72BC"/>
    <w:rsid w:val="00BC74AA"/>
    <w:rsid w:val="00BC75AF"/>
    <w:rsid w:val="00BC787D"/>
    <w:rsid w:val="00BC78B7"/>
    <w:rsid w:val="00BC7BA0"/>
    <w:rsid w:val="00BC7F57"/>
    <w:rsid w:val="00BD018C"/>
    <w:rsid w:val="00BD04D9"/>
    <w:rsid w:val="00BD0673"/>
    <w:rsid w:val="00BD11AA"/>
    <w:rsid w:val="00BD13F5"/>
    <w:rsid w:val="00BD149A"/>
    <w:rsid w:val="00BD1708"/>
    <w:rsid w:val="00BD21B9"/>
    <w:rsid w:val="00BD25FC"/>
    <w:rsid w:val="00BD2DC4"/>
    <w:rsid w:val="00BD2FFF"/>
    <w:rsid w:val="00BD3036"/>
    <w:rsid w:val="00BD3532"/>
    <w:rsid w:val="00BD35D5"/>
    <w:rsid w:val="00BD3911"/>
    <w:rsid w:val="00BD46E9"/>
    <w:rsid w:val="00BD5246"/>
    <w:rsid w:val="00BD52A8"/>
    <w:rsid w:val="00BD5446"/>
    <w:rsid w:val="00BD5581"/>
    <w:rsid w:val="00BD55B8"/>
    <w:rsid w:val="00BD5727"/>
    <w:rsid w:val="00BD5868"/>
    <w:rsid w:val="00BD5914"/>
    <w:rsid w:val="00BD5AF2"/>
    <w:rsid w:val="00BD5B14"/>
    <w:rsid w:val="00BD6027"/>
    <w:rsid w:val="00BD6216"/>
    <w:rsid w:val="00BD6322"/>
    <w:rsid w:val="00BD774B"/>
    <w:rsid w:val="00BD78D1"/>
    <w:rsid w:val="00BD7945"/>
    <w:rsid w:val="00BD7FC6"/>
    <w:rsid w:val="00BE03F5"/>
    <w:rsid w:val="00BE0551"/>
    <w:rsid w:val="00BE0636"/>
    <w:rsid w:val="00BE06D5"/>
    <w:rsid w:val="00BE0786"/>
    <w:rsid w:val="00BE0D36"/>
    <w:rsid w:val="00BE12A0"/>
    <w:rsid w:val="00BE167E"/>
    <w:rsid w:val="00BE1693"/>
    <w:rsid w:val="00BE19B4"/>
    <w:rsid w:val="00BE1BE4"/>
    <w:rsid w:val="00BE1CFF"/>
    <w:rsid w:val="00BE1D2B"/>
    <w:rsid w:val="00BE2E85"/>
    <w:rsid w:val="00BE2EAF"/>
    <w:rsid w:val="00BE2EDD"/>
    <w:rsid w:val="00BE3093"/>
    <w:rsid w:val="00BE3581"/>
    <w:rsid w:val="00BE3D5B"/>
    <w:rsid w:val="00BE3F31"/>
    <w:rsid w:val="00BE4E51"/>
    <w:rsid w:val="00BE4EAE"/>
    <w:rsid w:val="00BE50A3"/>
    <w:rsid w:val="00BE5115"/>
    <w:rsid w:val="00BE5386"/>
    <w:rsid w:val="00BE540A"/>
    <w:rsid w:val="00BE5F6D"/>
    <w:rsid w:val="00BE5FD5"/>
    <w:rsid w:val="00BE615B"/>
    <w:rsid w:val="00BE63FA"/>
    <w:rsid w:val="00BE6575"/>
    <w:rsid w:val="00BE680F"/>
    <w:rsid w:val="00BE6901"/>
    <w:rsid w:val="00BE6B9A"/>
    <w:rsid w:val="00BE6BB4"/>
    <w:rsid w:val="00BE6DBE"/>
    <w:rsid w:val="00BE7095"/>
    <w:rsid w:val="00BE7309"/>
    <w:rsid w:val="00BE75ED"/>
    <w:rsid w:val="00BE7CCA"/>
    <w:rsid w:val="00BE7F35"/>
    <w:rsid w:val="00BF00CD"/>
    <w:rsid w:val="00BF0332"/>
    <w:rsid w:val="00BF0487"/>
    <w:rsid w:val="00BF0BEA"/>
    <w:rsid w:val="00BF0CC3"/>
    <w:rsid w:val="00BF1279"/>
    <w:rsid w:val="00BF1457"/>
    <w:rsid w:val="00BF14B4"/>
    <w:rsid w:val="00BF1F87"/>
    <w:rsid w:val="00BF23CD"/>
    <w:rsid w:val="00BF2C53"/>
    <w:rsid w:val="00BF30FE"/>
    <w:rsid w:val="00BF332B"/>
    <w:rsid w:val="00BF33CD"/>
    <w:rsid w:val="00BF3514"/>
    <w:rsid w:val="00BF35CE"/>
    <w:rsid w:val="00BF37DB"/>
    <w:rsid w:val="00BF37FA"/>
    <w:rsid w:val="00BF3C0E"/>
    <w:rsid w:val="00BF3DE4"/>
    <w:rsid w:val="00BF406F"/>
    <w:rsid w:val="00BF417B"/>
    <w:rsid w:val="00BF41A6"/>
    <w:rsid w:val="00BF48BE"/>
    <w:rsid w:val="00BF4A82"/>
    <w:rsid w:val="00BF4E23"/>
    <w:rsid w:val="00BF4FCD"/>
    <w:rsid w:val="00BF5136"/>
    <w:rsid w:val="00BF546F"/>
    <w:rsid w:val="00BF587A"/>
    <w:rsid w:val="00BF5DCD"/>
    <w:rsid w:val="00BF677E"/>
    <w:rsid w:val="00BF6D4F"/>
    <w:rsid w:val="00BF6FF2"/>
    <w:rsid w:val="00BF775C"/>
    <w:rsid w:val="00BF7AE6"/>
    <w:rsid w:val="00BF7BE2"/>
    <w:rsid w:val="00C000C3"/>
    <w:rsid w:val="00C0030C"/>
    <w:rsid w:val="00C003AE"/>
    <w:rsid w:val="00C0044A"/>
    <w:rsid w:val="00C00A02"/>
    <w:rsid w:val="00C011F4"/>
    <w:rsid w:val="00C0121E"/>
    <w:rsid w:val="00C0134D"/>
    <w:rsid w:val="00C01454"/>
    <w:rsid w:val="00C018E4"/>
    <w:rsid w:val="00C01B5F"/>
    <w:rsid w:val="00C01D2F"/>
    <w:rsid w:val="00C023F9"/>
    <w:rsid w:val="00C02405"/>
    <w:rsid w:val="00C02788"/>
    <w:rsid w:val="00C02B0F"/>
    <w:rsid w:val="00C02E60"/>
    <w:rsid w:val="00C03203"/>
    <w:rsid w:val="00C0335D"/>
    <w:rsid w:val="00C03575"/>
    <w:rsid w:val="00C03A58"/>
    <w:rsid w:val="00C0403F"/>
    <w:rsid w:val="00C040CB"/>
    <w:rsid w:val="00C0419B"/>
    <w:rsid w:val="00C0445A"/>
    <w:rsid w:val="00C0451B"/>
    <w:rsid w:val="00C04587"/>
    <w:rsid w:val="00C05687"/>
    <w:rsid w:val="00C059AA"/>
    <w:rsid w:val="00C05A51"/>
    <w:rsid w:val="00C05A5D"/>
    <w:rsid w:val="00C05FDC"/>
    <w:rsid w:val="00C064E7"/>
    <w:rsid w:val="00C064F4"/>
    <w:rsid w:val="00C06D05"/>
    <w:rsid w:val="00C07086"/>
    <w:rsid w:val="00C1021A"/>
    <w:rsid w:val="00C10746"/>
    <w:rsid w:val="00C10A3F"/>
    <w:rsid w:val="00C10ECF"/>
    <w:rsid w:val="00C11772"/>
    <w:rsid w:val="00C117CC"/>
    <w:rsid w:val="00C11BBF"/>
    <w:rsid w:val="00C11C5E"/>
    <w:rsid w:val="00C11C9D"/>
    <w:rsid w:val="00C11EB9"/>
    <w:rsid w:val="00C11FDD"/>
    <w:rsid w:val="00C11FE6"/>
    <w:rsid w:val="00C123C1"/>
    <w:rsid w:val="00C12522"/>
    <w:rsid w:val="00C1255C"/>
    <w:rsid w:val="00C12578"/>
    <w:rsid w:val="00C129F0"/>
    <w:rsid w:val="00C12A0E"/>
    <w:rsid w:val="00C13840"/>
    <w:rsid w:val="00C13A0A"/>
    <w:rsid w:val="00C13C1E"/>
    <w:rsid w:val="00C1471C"/>
    <w:rsid w:val="00C149AB"/>
    <w:rsid w:val="00C14E3B"/>
    <w:rsid w:val="00C1531B"/>
    <w:rsid w:val="00C15732"/>
    <w:rsid w:val="00C15953"/>
    <w:rsid w:val="00C15A5C"/>
    <w:rsid w:val="00C161FA"/>
    <w:rsid w:val="00C16590"/>
    <w:rsid w:val="00C16636"/>
    <w:rsid w:val="00C16687"/>
    <w:rsid w:val="00C16991"/>
    <w:rsid w:val="00C171E3"/>
    <w:rsid w:val="00C17259"/>
    <w:rsid w:val="00C17297"/>
    <w:rsid w:val="00C17317"/>
    <w:rsid w:val="00C173AA"/>
    <w:rsid w:val="00C175E9"/>
    <w:rsid w:val="00C177B8"/>
    <w:rsid w:val="00C17F9A"/>
    <w:rsid w:val="00C2003B"/>
    <w:rsid w:val="00C20070"/>
    <w:rsid w:val="00C205B9"/>
    <w:rsid w:val="00C206C5"/>
    <w:rsid w:val="00C208F3"/>
    <w:rsid w:val="00C20944"/>
    <w:rsid w:val="00C20D80"/>
    <w:rsid w:val="00C20DA8"/>
    <w:rsid w:val="00C2124E"/>
    <w:rsid w:val="00C21315"/>
    <w:rsid w:val="00C21767"/>
    <w:rsid w:val="00C217CE"/>
    <w:rsid w:val="00C21F61"/>
    <w:rsid w:val="00C22959"/>
    <w:rsid w:val="00C22A1C"/>
    <w:rsid w:val="00C22B51"/>
    <w:rsid w:val="00C2364C"/>
    <w:rsid w:val="00C23ADD"/>
    <w:rsid w:val="00C23CAF"/>
    <w:rsid w:val="00C2406E"/>
    <w:rsid w:val="00C240FD"/>
    <w:rsid w:val="00C24374"/>
    <w:rsid w:val="00C243A3"/>
    <w:rsid w:val="00C2467F"/>
    <w:rsid w:val="00C24A79"/>
    <w:rsid w:val="00C24EC9"/>
    <w:rsid w:val="00C2532E"/>
    <w:rsid w:val="00C253AC"/>
    <w:rsid w:val="00C25881"/>
    <w:rsid w:val="00C25A71"/>
    <w:rsid w:val="00C260DD"/>
    <w:rsid w:val="00C26201"/>
    <w:rsid w:val="00C264B8"/>
    <w:rsid w:val="00C26C0F"/>
    <w:rsid w:val="00C27421"/>
    <w:rsid w:val="00C275F8"/>
    <w:rsid w:val="00C27806"/>
    <w:rsid w:val="00C27976"/>
    <w:rsid w:val="00C27ECF"/>
    <w:rsid w:val="00C302EF"/>
    <w:rsid w:val="00C309CB"/>
    <w:rsid w:val="00C30B11"/>
    <w:rsid w:val="00C30E39"/>
    <w:rsid w:val="00C30E83"/>
    <w:rsid w:val="00C30F55"/>
    <w:rsid w:val="00C312A6"/>
    <w:rsid w:val="00C312F6"/>
    <w:rsid w:val="00C3136C"/>
    <w:rsid w:val="00C31AA6"/>
    <w:rsid w:val="00C31BDA"/>
    <w:rsid w:val="00C31DCF"/>
    <w:rsid w:val="00C321E7"/>
    <w:rsid w:val="00C322ED"/>
    <w:rsid w:val="00C32360"/>
    <w:rsid w:val="00C328EE"/>
    <w:rsid w:val="00C32A66"/>
    <w:rsid w:val="00C32D2C"/>
    <w:rsid w:val="00C32ED8"/>
    <w:rsid w:val="00C32F26"/>
    <w:rsid w:val="00C331E3"/>
    <w:rsid w:val="00C3365D"/>
    <w:rsid w:val="00C33A92"/>
    <w:rsid w:val="00C33FCF"/>
    <w:rsid w:val="00C34018"/>
    <w:rsid w:val="00C34230"/>
    <w:rsid w:val="00C34352"/>
    <w:rsid w:val="00C34413"/>
    <w:rsid w:val="00C34562"/>
    <w:rsid w:val="00C34E66"/>
    <w:rsid w:val="00C34E91"/>
    <w:rsid w:val="00C34F7F"/>
    <w:rsid w:val="00C3525E"/>
    <w:rsid w:val="00C352F6"/>
    <w:rsid w:val="00C35D94"/>
    <w:rsid w:val="00C35E33"/>
    <w:rsid w:val="00C35F12"/>
    <w:rsid w:val="00C35F94"/>
    <w:rsid w:val="00C36171"/>
    <w:rsid w:val="00C361AD"/>
    <w:rsid w:val="00C361F1"/>
    <w:rsid w:val="00C36758"/>
    <w:rsid w:val="00C36C59"/>
    <w:rsid w:val="00C36EBB"/>
    <w:rsid w:val="00C36FBE"/>
    <w:rsid w:val="00C37349"/>
    <w:rsid w:val="00C374CD"/>
    <w:rsid w:val="00C37545"/>
    <w:rsid w:val="00C37DAB"/>
    <w:rsid w:val="00C401DD"/>
    <w:rsid w:val="00C40870"/>
    <w:rsid w:val="00C40F69"/>
    <w:rsid w:val="00C4110D"/>
    <w:rsid w:val="00C413FA"/>
    <w:rsid w:val="00C41AF5"/>
    <w:rsid w:val="00C4216A"/>
    <w:rsid w:val="00C425D7"/>
    <w:rsid w:val="00C427E8"/>
    <w:rsid w:val="00C42E1D"/>
    <w:rsid w:val="00C43432"/>
    <w:rsid w:val="00C436FD"/>
    <w:rsid w:val="00C44150"/>
    <w:rsid w:val="00C4430B"/>
    <w:rsid w:val="00C4477E"/>
    <w:rsid w:val="00C44C44"/>
    <w:rsid w:val="00C4560F"/>
    <w:rsid w:val="00C45970"/>
    <w:rsid w:val="00C460F2"/>
    <w:rsid w:val="00C462D5"/>
    <w:rsid w:val="00C46665"/>
    <w:rsid w:val="00C46761"/>
    <w:rsid w:val="00C47601"/>
    <w:rsid w:val="00C47FD9"/>
    <w:rsid w:val="00C5063A"/>
    <w:rsid w:val="00C5082B"/>
    <w:rsid w:val="00C50965"/>
    <w:rsid w:val="00C5105B"/>
    <w:rsid w:val="00C511CA"/>
    <w:rsid w:val="00C512B7"/>
    <w:rsid w:val="00C51602"/>
    <w:rsid w:val="00C5176F"/>
    <w:rsid w:val="00C51B74"/>
    <w:rsid w:val="00C520A9"/>
    <w:rsid w:val="00C5285E"/>
    <w:rsid w:val="00C528D0"/>
    <w:rsid w:val="00C52B96"/>
    <w:rsid w:val="00C53205"/>
    <w:rsid w:val="00C5333B"/>
    <w:rsid w:val="00C534A5"/>
    <w:rsid w:val="00C53C5B"/>
    <w:rsid w:val="00C5402F"/>
    <w:rsid w:val="00C54298"/>
    <w:rsid w:val="00C544CB"/>
    <w:rsid w:val="00C54591"/>
    <w:rsid w:val="00C56213"/>
    <w:rsid w:val="00C563D4"/>
    <w:rsid w:val="00C56A41"/>
    <w:rsid w:val="00C56ABF"/>
    <w:rsid w:val="00C573A2"/>
    <w:rsid w:val="00C5740C"/>
    <w:rsid w:val="00C5763B"/>
    <w:rsid w:val="00C577E1"/>
    <w:rsid w:val="00C578EB"/>
    <w:rsid w:val="00C57967"/>
    <w:rsid w:val="00C57C8C"/>
    <w:rsid w:val="00C57F05"/>
    <w:rsid w:val="00C602C0"/>
    <w:rsid w:val="00C603CE"/>
    <w:rsid w:val="00C60E44"/>
    <w:rsid w:val="00C610F2"/>
    <w:rsid w:val="00C61236"/>
    <w:rsid w:val="00C616DF"/>
    <w:rsid w:val="00C61F51"/>
    <w:rsid w:val="00C622EB"/>
    <w:rsid w:val="00C627E6"/>
    <w:rsid w:val="00C6313E"/>
    <w:rsid w:val="00C63B02"/>
    <w:rsid w:val="00C63C67"/>
    <w:rsid w:val="00C645BE"/>
    <w:rsid w:val="00C64A8B"/>
    <w:rsid w:val="00C64B08"/>
    <w:rsid w:val="00C64D4B"/>
    <w:rsid w:val="00C651CD"/>
    <w:rsid w:val="00C65AF4"/>
    <w:rsid w:val="00C66000"/>
    <w:rsid w:val="00C66629"/>
    <w:rsid w:val="00C66890"/>
    <w:rsid w:val="00C675C9"/>
    <w:rsid w:val="00C67667"/>
    <w:rsid w:val="00C7044C"/>
    <w:rsid w:val="00C70BBE"/>
    <w:rsid w:val="00C70DDF"/>
    <w:rsid w:val="00C712EC"/>
    <w:rsid w:val="00C7175E"/>
    <w:rsid w:val="00C71CA7"/>
    <w:rsid w:val="00C727E3"/>
    <w:rsid w:val="00C729A0"/>
    <w:rsid w:val="00C729FB"/>
    <w:rsid w:val="00C72A16"/>
    <w:rsid w:val="00C72BA0"/>
    <w:rsid w:val="00C72D23"/>
    <w:rsid w:val="00C72FD2"/>
    <w:rsid w:val="00C731CE"/>
    <w:rsid w:val="00C733B5"/>
    <w:rsid w:val="00C734DB"/>
    <w:rsid w:val="00C73734"/>
    <w:rsid w:val="00C73837"/>
    <w:rsid w:val="00C74232"/>
    <w:rsid w:val="00C7456D"/>
    <w:rsid w:val="00C745AB"/>
    <w:rsid w:val="00C74AC8"/>
    <w:rsid w:val="00C74C53"/>
    <w:rsid w:val="00C74D2A"/>
    <w:rsid w:val="00C75788"/>
    <w:rsid w:val="00C75BB0"/>
    <w:rsid w:val="00C75F9D"/>
    <w:rsid w:val="00C7610E"/>
    <w:rsid w:val="00C76365"/>
    <w:rsid w:val="00C764DE"/>
    <w:rsid w:val="00C76A13"/>
    <w:rsid w:val="00C76EBE"/>
    <w:rsid w:val="00C77B41"/>
    <w:rsid w:val="00C77BDE"/>
    <w:rsid w:val="00C77D45"/>
    <w:rsid w:val="00C8012E"/>
    <w:rsid w:val="00C802E0"/>
    <w:rsid w:val="00C80DAF"/>
    <w:rsid w:val="00C81098"/>
    <w:rsid w:val="00C8129B"/>
    <w:rsid w:val="00C81419"/>
    <w:rsid w:val="00C81B9F"/>
    <w:rsid w:val="00C81F06"/>
    <w:rsid w:val="00C820FF"/>
    <w:rsid w:val="00C8254A"/>
    <w:rsid w:val="00C82770"/>
    <w:rsid w:val="00C82946"/>
    <w:rsid w:val="00C82B35"/>
    <w:rsid w:val="00C82BFA"/>
    <w:rsid w:val="00C82CA5"/>
    <w:rsid w:val="00C82D21"/>
    <w:rsid w:val="00C8346A"/>
    <w:rsid w:val="00C8377D"/>
    <w:rsid w:val="00C84262"/>
    <w:rsid w:val="00C84393"/>
    <w:rsid w:val="00C84722"/>
    <w:rsid w:val="00C84953"/>
    <w:rsid w:val="00C84D5C"/>
    <w:rsid w:val="00C84D71"/>
    <w:rsid w:val="00C84F28"/>
    <w:rsid w:val="00C85186"/>
    <w:rsid w:val="00C8582E"/>
    <w:rsid w:val="00C85854"/>
    <w:rsid w:val="00C85D73"/>
    <w:rsid w:val="00C85EA8"/>
    <w:rsid w:val="00C86153"/>
    <w:rsid w:val="00C861CF"/>
    <w:rsid w:val="00C86423"/>
    <w:rsid w:val="00C86997"/>
    <w:rsid w:val="00C869BE"/>
    <w:rsid w:val="00C86A87"/>
    <w:rsid w:val="00C87E44"/>
    <w:rsid w:val="00C900AC"/>
    <w:rsid w:val="00C9045F"/>
    <w:rsid w:val="00C907DA"/>
    <w:rsid w:val="00C90887"/>
    <w:rsid w:val="00C90A7F"/>
    <w:rsid w:val="00C90F71"/>
    <w:rsid w:val="00C91096"/>
    <w:rsid w:val="00C914CD"/>
    <w:rsid w:val="00C919D6"/>
    <w:rsid w:val="00C91C9A"/>
    <w:rsid w:val="00C91D2D"/>
    <w:rsid w:val="00C91F49"/>
    <w:rsid w:val="00C9246E"/>
    <w:rsid w:val="00C92643"/>
    <w:rsid w:val="00C92963"/>
    <w:rsid w:val="00C92B6B"/>
    <w:rsid w:val="00C93506"/>
    <w:rsid w:val="00C93572"/>
    <w:rsid w:val="00C937DC"/>
    <w:rsid w:val="00C93884"/>
    <w:rsid w:val="00C93CBF"/>
    <w:rsid w:val="00C93FD3"/>
    <w:rsid w:val="00C940F0"/>
    <w:rsid w:val="00C94206"/>
    <w:rsid w:val="00C943C5"/>
    <w:rsid w:val="00C94D0A"/>
    <w:rsid w:val="00C94D83"/>
    <w:rsid w:val="00C94F31"/>
    <w:rsid w:val="00C94FB5"/>
    <w:rsid w:val="00C95185"/>
    <w:rsid w:val="00C95368"/>
    <w:rsid w:val="00C95508"/>
    <w:rsid w:val="00C9556E"/>
    <w:rsid w:val="00C95E10"/>
    <w:rsid w:val="00C95E38"/>
    <w:rsid w:val="00C95EF2"/>
    <w:rsid w:val="00C9606D"/>
    <w:rsid w:val="00C96443"/>
    <w:rsid w:val="00C96DBE"/>
    <w:rsid w:val="00C96F99"/>
    <w:rsid w:val="00C97257"/>
    <w:rsid w:val="00C97431"/>
    <w:rsid w:val="00C979A9"/>
    <w:rsid w:val="00CA017E"/>
    <w:rsid w:val="00CA04F7"/>
    <w:rsid w:val="00CA078D"/>
    <w:rsid w:val="00CA08DB"/>
    <w:rsid w:val="00CA098A"/>
    <w:rsid w:val="00CA0AE6"/>
    <w:rsid w:val="00CA0C0B"/>
    <w:rsid w:val="00CA0FD2"/>
    <w:rsid w:val="00CA138C"/>
    <w:rsid w:val="00CA161F"/>
    <w:rsid w:val="00CA19B1"/>
    <w:rsid w:val="00CA1AAC"/>
    <w:rsid w:val="00CA1EFC"/>
    <w:rsid w:val="00CA202F"/>
    <w:rsid w:val="00CA2731"/>
    <w:rsid w:val="00CA2767"/>
    <w:rsid w:val="00CA27E3"/>
    <w:rsid w:val="00CA2965"/>
    <w:rsid w:val="00CA2A39"/>
    <w:rsid w:val="00CA2A68"/>
    <w:rsid w:val="00CA2DD9"/>
    <w:rsid w:val="00CA3035"/>
    <w:rsid w:val="00CA330E"/>
    <w:rsid w:val="00CA39CB"/>
    <w:rsid w:val="00CA41C0"/>
    <w:rsid w:val="00CA423D"/>
    <w:rsid w:val="00CA4262"/>
    <w:rsid w:val="00CA4274"/>
    <w:rsid w:val="00CA42B8"/>
    <w:rsid w:val="00CA451B"/>
    <w:rsid w:val="00CA4ACC"/>
    <w:rsid w:val="00CA4E78"/>
    <w:rsid w:val="00CA4FA1"/>
    <w:rsid w:val="00CA51F4"/>
    <w:rsid w:val="00CA58EA"/>
    <w:rsid w:val="00CA6095"/>
    <w:rsid w:val="00CA633F"/>
    <w:rsid w:val="00CA6804"/>
    <w:rsid w:val="00CA69A3"/>
    <w:rsid w:val="00CA6E8E"/>
    <w:rsid w:val="00CA6EF4"/>
    <w:rsid w:val="00CA6F3C"/>
    <w:rsid w:val="00CA710F"/>
    <w:rsid w:val="00CA7196"/>
    <w:rsid w:val="00CA74CE"/>
    <w:rsid w:val="00CA757C"/>
    <w:rsid w:val="00CA785D"/>
    <w:rsid w:val="00CA7A6B"/>
    <w:rsid w:val="00CA7A70"/>
    <w:rsid w:val="00CA7AE6"/>
    <w:rsid w:val="00CB03C5"/>
    <w:rsid w:val="00CB040E"/>
    <w:rsid w:val="00CB058D"/>
    <w:rsid w:val="00CB0730"/>
    <w:rsid w:val="00CB10EA"/>
    <w:rsid w:val="00CB130B"/>
    <w:rsid w:val="00CB1319"/>
    <w:rsid w:val="00CB1985"/>
    <w:rsid w:val="00CB1B23"/>
    <w:rsid w:val="00CB1D29"/>
    <w:rsid w:val="00CB2428"/>
    <w:rsid w:val="00CB2567"/>
    <w:rsid w:val="00CB2BA6"/>
    <w:rsid w:val="00CB2CA6"/>
    <w:rsid w:val="00CB3294"/>
    <w:rsid w:val="00CB35DE"/>
    <w:rsid w:val="00CB39F3"/>
    <w:rsid w:val="00CB4086"/>
    <w:rsid w:val="00CB4177"/>
    <w:rsid w:val="00CB4342"/>
    <w:rsid w:val="00CB4AB3"/>
    <w:rsid w:val="00CB4AF2"/>
    <w:rsid w:val="00CB4DD1"/>
    <w:rsid w:val="00CB4DD4"/>
    <w:rsid w:val="00CB4FC5"/>
    <w:rsid w:val="00CB51BB"/>
    <w:rsid w:val="00CB5323"/>
    <w:rsid w:val="00CB53BB"/>
    <w:rsid w:val="00CB5896"/>
    <w:rsid w:val="00CB594F"/>
    <w:rsid w:val="00CB596B"/>
    <w:rsid w:val="00CB5979"/>
    <w:rsid w:val="00CB5C14"/>
    <w:rsid w:val="00CB5CAE"/>
    <w:rsid w:val="00CB5E4D"/>
    <w:rsid w:val="00CB610B"/>
    <w:rsid w:val="00CB6233"/>
    <w:rsid w:val="00CB643F"/>
    <w:rsid w:val="00CB6842"/>
    <w:rsid w:val="00CB6856"/>
    <w:rsid w:val="00CB6A45"/>
    <w:rsid w:val="00CB6C47"/>
    <w:rsid w:val="00CB6CFB"/>
    <w:rsid w:val="00CB6F0B"/>
    <w:rsid w:val="00CB704B"/>
    <w:rsid w:val="00CB726D"/>
    <w:rsid w:val="00CB7573"/>
    <w:rsid w:val="00CB7A39"/>
    <w:rsid w:val="00CB7A8E"/>
    <w:rsid w:val="00CB7B44"/>
    <w:rsid w:val="00CB7C84"/>
    <w:rsid w:val="00CB7D53"/>
    <w:rsid w:val="00CB7DD8"/>
    <w:rsid w:val="00CC066D"/>
    <w:rsid w:val="00CC0ACD"/>
    <w:rsid w:val="00CC0C58"/>
    <w:rsid w:val="00CC14EC"/>
    <w:rsid w:val="00CC1554"/>
    <w:rsid w:val="00CC15BD"/>
    <w:rsid w:val="00CC1949"/>
    <w:rsid w:val="00CC19BE"/>
    <w:rsid w:val="00CC1B74"/>
    <w:rsid w:val="00CC2194"/>
    <w:rsid w:val="00CC21B6"/>
    <w:rsid w:val="00CC239F"/>
    <w:rsid w:val="00CC258F"/>
    <w:rsid w:val="00CC2809"/>
    <w:rsid w:val="00CC2914"/>
    <w:rsid w:val="00CC2922"/>
    <w:rsid w:val="00CC2964"/>
    <w:rsid w:val="00CC2D4E"/>
    <w:rsid w:val="00CC2FDC"/>
    <w:rsid w:val="00CC3542"/>
    <w:rsid w:val="00CC35AD"/>
    <w:rsid w:val="00CC35F5"/>
    <w:rsid w:val="00CC37C2"/>
    <w:rsid w:val="00CC37F6"/>
    <w:rsid w:val="00CC38F1"/>
    <w:rsid w:val="00CC3A64"/>
    <w:rsid w:val="00CC3C93"/>
    <w:rsid w:val="00CC409D"/>
    <w:rsid w:val="00CC41B5"/>
    <w:rsid w:val="00CC436B"/>
    <w:rsid w:val="00CC43B8"/>
    <w:rsid w:val="00CC445F"/>
    <w:rsid w:val="00CC48BE"/>
    <w:rsid w:val="00CC495F"/>
    <w:rsid w:val="00CC49D8"/>
    <w:rsid w:val="00CC4EC3"/>
    <w:rsid w:val="00CC5298"/>
    <w:rsid w:val="00CC53B6"/>
    <w:rsid w:val="00CC5C2E"/>
    <w:rsid w:val="00CC5E13"/>
    <w:rsid w:val="00CC60A1"/>
    <w:rsid w:val="00CC6550"/>
    <w:rsid w:val="00CC67D6"/>
    <w:rsid w:val="00CC6AB9"/>
    <w:rsid w:val="00CC6AC3"/>
    <w:rsid w:val="00CC6F8F"/>
    <w:rsid w:val="00CD062B"/>
    <w:rsid w:val="00CD0F34"/>
    <w:rsid w:val="00CD1598"/>
    <w:rsid w:val="00CD1673"/>
    <w:rsid w:val="00CD18E6"/>
    <w:rsid w:val="00CD18F3"/>
    <w:rsid w:val="00CD19A2"/>
    <w:rsid w:val="00CD1E85"/>
    <w:rsid w:val="00CD207A"/>
    <w:rsid w:val="00CD24C8"/>
    <w:rsid w:val="00CD267F"/>
    <w:rsid w:val="00CD2C00"/>
    <w:rsid w:val="00CD3350"/>
    <w:rsid w:val="00CD345D"/>
    <w:rsid w:val="00CD3AB6"/>
    <w:rsid w:val="00CD3B61"/>
    <w:rsid w:val="00CD4322"/>
    <w:rsid w:val="00CD4417"/>
    <w:rsid w:val="00CD4837"/>
    <w:rsid w:val="00CD4882"/>
    <w:rsid w:val="00CD4BCC"/>
    <w:rsid w:val="00CD4EFF"/>
    <w:rsid w:val="00CD5260"/>
    <w:rsid w:val="00CD54BD"/>
    <w:rsid w:val="00CD55AD"/>
    <w:rsid w:val="00CD5AD0"/>
    <w:rsid w:val="00CD5F35"/>
    <w:rsid w:val="00CD62C4"/>
    <w:rsid w:val="00CD659B"/>
    <w:rsid w:val="00CD67F6"/>
    <w:rsid w:val="00CD6C13"/>
    <w:rsid w:val="00CD7230"/>
    <w:rsid w:val="00CD7BDF"/>
    <w:rsid w:val="00CD7D88"/>
    <w:rsid w:val="00CD7F20"/>
    <w:rsid w:val="00CE009F"/>
    <w:rsid w:val="00CE038C"/>
    <w:rsid w:val="00CE03DE"/>
    <w:rsid w:val="00CE0592"/>
    <w:rsid w:val="00CE08B2"/>
    <w:rsid w:val="00CE0BEA"/>
    <w:rsid w:val="00CE0E51"/>
    <w:rsid w:val="00CE0EBB"/>
    <w:rsid w:val="00CE1ED9"/>
    <w:rsid w:val="00CE2197"/>
    <w:rsid w:val="00CE2236"/>
    <w:rsid w:val="00CE2530"/>
    <w:rsid w:val="00CE2D1F"/>
    <w:rsid w:val="00CE3350"/>
    <w:rsid w:val="00CE3935"/>
    <w:rsid w:val="00CE3A9C"/>
    <w:rsid w:val="00CE3C71"/>
    <w:rsid w:val="00CE3D84"/>
    <w:rsid w:val="00CE4432"/>
    <w:rsid w:val="00CE4CE2"/>
    <w:rsid w:val="00CE4DA2"/>
    <w:rsid w:val="00CE50BF"/>
    <w:rsid w:val="00CE51AE"/>
    <w:rsid w:val="00CE52EC"/>
    <w:rsid w:val="00CE5343"/>
    <w:rsid w:val="00CE58C4"/>
    <w:rsid w:val="00CE61F7"/>
    <w:rsid w:val="00CE6369"/>
    <w:rsid w:val="00CE6437"/>
    <w:rsid w:val="00CE64F5"/>
    <w:rsid w:val="00CE654A"/>
    <w:rsid w:val="00CE666A"/>
    <w:rsid w:val="00CE6764"/>
    <w:rsid w:val="00CE6851"/>
    <w:rsid w:val="00CE68B1"/>
    <w:rsid w:val="00CE68B2"/>
    <w:rsid w:val="00CE6BB0"/>
    <w:rsid w:val="00CE6D33"/>
    <w:rsid w:val="00CE70C0"/>
    <w:rsid w:val="00CE760B"/>
    <w:rsid w:val="00CE7692"/>
    <w:rsid w:val="00CE77D1"/>
    <w:rsid w:val="00CE9AEA"/>
    <w:rsid w:val="00CF00B7"/>
    <w:rsid w:val="00CF0B79"/>
    <w:rsid w:val="00CF0D41"/>
    <w:rsid w:val="00CF0ECC"/>
    <w:rsid w:val="00CF100A"/>
    <w:rsid w:val="00CF1564"/>
    <w:rsid w:val="00CF167B"/>
    <w:rsid w:val="00CF1701"/>
    <w:rsid w:val="00CF19B6"/>
    <w:rsid w:val="00CF1B88"/>
    <w:rsid w:val="00CF2BCB"/>
    <w:rsid w:val="00CF329F"/>
    <w:rsid w:val="00CF3901"/>
    <w:rsid w:val="00CF3A26"/>
    <w:rsid w:val="00CF3B5B"/>
    <w:rsid w:val="00CF4389"/>
    <w:rsid w:val="00CF46C7"/>
    <w:rsid w:val="00CF47FE"/>
    <w:rsid w:val="00CF4AE5"/>
    <w:rsid w:val="00CF508F"/>
    <w:rsid w:val="00CF595B"/>
    <w:rsid w:val="00CF596E"/>
    <w:rsid w:val="00CF6064"/>
    <w:rsid w:val="00CF6ECB"/>
    <w:rsid w:val="00CF70DC"/>
    <w:rsid w:val="00CF73A5"/>
    <w:rsid w:val="00CFE437"/>
    <w:rsid w:val="00D0004D"/>
    <w:rsid w:val="00D001BA"/>
    <w:rsid w:val="00D0033E"/>
    <w:rsid w:val="00D004A0"/>
    <w:rsid w:val="00D00567"/>
    <w:rsid w:val="00D006FF"/>
    <w:rsid w:val="00D008A8"/>
    <w:rsid w:val="00D008CC"/>
    <w:rsid w:val="00D009AD"/>
    <w:rsid w:val="00D009B7"/>
    <w:rsid w:val="00D00C63"/>
    <w:rsid w:val="00D00C95"/>
    <w:rsid w:val="00D012AC"/>
    <w:rsid w:val="00D013E8"/>
    <w:rsid w:val="00D0253E"/>
    <w:rsid w:val="00D027F4"/>
    <w:rsid w:val="00D0299B"/>
    <w:rsid w:val="00D02D6C"/>
    <w:rsid w:val="00D02E0E"/>
    <w:rsid w:val="00D030C9"/>
    <w:rsid w:val="00D03985"/>
    <w:rsid w:val="00D03C7F"/>
    <w:rsid w:val="00D03D7C"/>
    <w:rsid w:val="00D03EB5"/>
    <w:rsid w:val="00D03F1E"/>
    <w:rsid w:val="00D043B7"/>
    <w:rsid w:val="00D04608"/>
    <w:rsid w:val="00D0477A"/>
    <w:rsid w:val="00D04D31"/>
    <w:rsid w:val="00D0504F"/>
    <w:rsid w:val="00D050CC"/>
    <w:rsid w:val="00D0550F"/>
    <w:rsid w:val="00D057D7"/>
    <w:rsid w:val="00D05875"/>
    <w:rsid w:val="00D059C6"/>
    <w:rsid w:val="00D062BF"/>
    <w:rsid w:val="00D0691E"/>
    <w:rsid w:val="00D06B68"/>
    <w:rsid w:val="00D06FBC"/>
    <w:rsid w:val="00D070B0"/>
    <w:rsid w:val="00D0710E"/>
    <w:rsid w:val="00D07253"/>
    <w:rsid w:val="00D072EB"/>
    <w:rsid w:val="00D073E9"/>
    <w:rsid w:val="00D07936"/>
    <w:rsid w:val="00D07C8A"/>
    <w:rsid w:val="00D07E52"/>
    <w:rsid w:val="00D07F25"/>
    <w:rsid w:val="00D10A86"/>
    <w:rsid w:val="00D10CC9"/>
    <w:rsid w:val="00D10D05"/>
    <w:rsid w:val="00D10D1E"/>
    <w:rsid w:val="00D10DA2"/>
    <w:rsid w:val="00D10E0B"/>
    <w:rsid w:val="00D10FF5"/>
    <w:rsid w:val="00D1112E"/>
    <w:rsid w:val="00D1124A"/>
    <w:rsid w:val="00D1143E"/>
    <w:rsid w:val="00D11B8E"/>
    <w:rsid w:val="00D11F23"/>
    <w:rsid w:val="00D124C3"/>
    <w:rsid w:val="00D1252E"/>
    <w:rsid w:val="00D12B67"/>
    <w:rsid w:val="00D12CAF"/>
    <w:rsid w:val="00D12FE4"/>
    <w:rsid w:val="00D1359A"/>
    <w:rsid w:val="00D137A4"/>
    <w:rsid w:val="00D13AD8"/>
    <w:rsid w:val="00D13BDC"/>
    <w:rsid w:val="00D14451"/>
    <w:rsid w:val="00D14B98"/>
    <w:rsid w:val="00D14E11"/>
    <w:rsid w:val="00D14ECA"/>
    <w:rsid w:val="00D15267"/>
    <w:rsid w:val="00D1526E"/>
    <w:rsid w:val="00D1544A"/>
    <w:rsid w:val="00D15484"/>
    <w:rsid w:val="00D157FA"/>
    <w:rsid w:val="00D158BA"/>
    <w:rsid w:val="00D15921"/>
    <w:rsid w:val="00D1596E"/>
    <w:rsid w:val="00D159AD"/>
    <w:rsid w:val="00D15BD1"/>
    <w:rsid w:val="00D15D82"/>
    <w:rsid w:val="00D15FA8"/>
    <w:rsid w:val="00D1627C"/>
    <w:rsid w:val="00D165DC"/>
    <w:rsid w:val="00D16787"/>
    <w:rsid w:val="00D16DD5"/>
    <w:rsid w:val="00D16EA3"/>
    <w:rsid w:val="00D17376"/>
    <w:rsid w:val="00D17429"/>
    <w:rsid w:val="00D175F0"/>
    <w:rsid w:val="00D17A00"/>
    <w:rsid w:val="00D17BE3"/>
    <w:rsid w:val="00D201B7"/>
    <w:rsid w:val="00D2023C"/>
    <w:rsid w:val="00D203A7"/>
    <w:rsid w:val="00D2042B"/>
    <w:rsid w:val="00D20608"/>
    <w:rsid w:val="00D2075E"/>
    <w:rsid w:val="00D20804"/>
    <w:rsid w:val="00D20912"/>
    <w:rsid w:val="00D20957"/>
    <w:rsid w:val="00D209B8"/>
    <w:rsid w:val="00D20A3B"/>
    <w:rsid w:val="00D20CDB"/>
    <w:rsid w:val="00D2101C"/>
    <w:rsid w:val="00D210B9"/>
    <w:rsid w:val="00D2111F"/>
    <w:rsid w:val="00D21163"/>
    <w:rsid w:val="00D21A8D"/>
    <w:rsid w:val="00D21CDA"/>
    <w:rsid w:val="00D21D5F"/>
    <w:rsid w:val="00D21DF2"/>
    <w:rsid w:val="00D22141"/>
    <w:rsid w:val="00D22455"/>
    <w:rsid w:val="00D225D6"/>
    <w:rsid w:val="00D22714"/>
    <w:rsid w:val="00D233A9"/>
    <w:rsid w:val="00D234B0"/>
    <w:rsid w:val="00D23502"/>
    <w:rsid w:val="00D235A6"/>
    <w:rsid w:val="00D23A4B"/>
    <w:rsid w:val="00D23B28"/>
    <w:rsid w:val="00D23C9D"/>
    <w:rsid w:val="00D23E90"/>
    <w:rsid w:val="00D241D3"/>
    <w:rsid w:val="00D247F6"/>
    <w:rsid w:val="00D24914"/>
    <w:rsid w:val="00D24AB5"/>
    <w:rsid w:val="00D24D4F"/>
    <w:rsid w:val="00D24D83"/>
    <w:rsid w:val="00D24FE0"/>
    <w:rsid w:val="00D253E1"/>
    <w:rsid w:val="00D25998"/>
    <w:rsid w:val="00D25AC8"/>
    <w:rsid w:val="00D25CBC"/>
    <w:rsid w:val="00D25CF1"/>
    <w:rsid w:val="00D26001"/>
    <w:rsid w:val="00D2633E"/>
    <w:rsid w:val="00D263D5"/>
    <w:rsid w:val="00D26449"/>
    <w:rsid w:val="00D26511"/>
    <w:rsid w:val="00D2657D"/>
    <w:rsid w:val="00D266B9"/>
    <w:rsid w:val="00D26B0F"/>
    <w:rsid w:val="00D26BF7"/>
    <w:rsid w:val="00D26C17"/>
    <w:rsid w:val="00D26DC4"/>
    <w:rsid w:val="00D26E33"/>
    <w:rsid w:val="00D26F5C"/>
    <w:rsid w:val="00D26FD3"/>
    <w:rsid w:val="00D2729B"/>
    <w:rsid w:val="00D274A9"/>
    <w:rsid w:val="00D27627"/>
    <w:rsid w:val="00D276A2"/>
    <w:rsid w:val="00D27B42"/>
    <w:rsid w:val="00D27E2E"/>
    <w:rsid w:val="00D27FA8"/>
    <w:rsid w:val="00D2A04E"/>
    <w:rsid w:val="00D300C4"/>
    <w:rsid w:val="00D3042F"/>
    <w:rsid w:val="00D30836"/>
    <w:rsid w:val="00D30AA2"/>
    <w:rsid w:val="00D30CBB"/>
    <w:rsid w:val="00D30E2B"/>
    <w:rsid w:val="00D30EEA"/>
    <w:rsid w:val="00D30FC8"/>
    <w:rsid w:val="00D311E7"/>
    <w:rsid w:val="00D31416"/>
    <w:rsid w:val="00D315A5"/>
    <w:rsid w:val="00D317BF"/>
    <w:rsid w:val="00D31807"/>
    <w:rsid w:val="00D31C15"/>
    <w:rsid w:val="00D31CFE"/>
    <w:rsid w:val="00D3249F"/>
    <w:rsid w:val="00D32CC7"/>
    <w:rsid w:val="00D33071"/>
    <w:rsid w:val="00D33BD9"/>
    <w:rsid w:val="00D33F43"/>
    <w:rsid w:val="00D34169"/>
    <w:rsid w:val="00D34600"/>
    <w:rsid w:val="00D3479D"/>
    <w:rsid w:val="00D34A37"/>
    <w:rsid w:val="00D34BD4"/>
    <w:rsid w:val="00D34CF0"/>
    <w:rsid w:val="00D35030"/>
    <w:rsid w:val="00D351BF"/>
    <w:rsid w:val="00D35282"/>
    <w:rsid w:val="00D35505"/>
    <w:rsid w:val="00D35AAC"/>
    <w:rsid w:val="00D35AF9"/>
    <w:rsid w:val="00D35E1F"/>
    <w:rsid w:val="00D3600F"/>
    <w:rsid w:val="00D364BA"/>
    <w:rsid w:val="00D365D3"/>
    <w:rsid w:val="00D3677B"/>
    <w:rsid w:val="00D36AA2"/>
    <w:rsid w:val="00D36F87"/>
    <w:rsid w:val="00D37220"/>
    <w:rsid w:val="00D375CF"/>
    <w:rsid w:val="00D37918"/>
    <w:rsid w:val="00D4007E"/>
    <w:rsid w:val="00D4007F"/>
    <w:rsid w:val="00D40232"/>
    <w:rsid w:val="00D402B9"/>
    <w:rsid w:val="00D404A6"/>
    <w:rsid w:val="00D409F9"/>
    <w:rsid w:val="00D40A02"/>
    <w:rsid w:val="00D40B28"/>
    <w:rsid w:val="00D413EB"/>
    <w:rsid w:val="00D4163A"/>
    <w:rsid w:val="00D417B4"/>
    <w:rsid w:val="00D41B93"/>
    <w:rsid w:val="00D41F59"/>
    <w:rsid w:val="00D4200B"/>
    <w:rsid w:val="00D42352"/>
    <w:rsid w:val="00D42727"/>
    <w:rsid w:val="00D428E6"/>
    <w:rsid w:val="00D42B80"/>
    <w:rsid w:val="00D42C85"/>
    <w:rsid w:val="00D42ED4"/>
    <w:rsid w:val="00D42F7B"/>
    <w:rsid w:val="00D436B4"/>
    <w:rsid w:val="00D439DD"/>
    <w:rsid w:val="00D43A6F"/>
    <w:rsid w:val="00D43E5A"/>
    <w:rsid w:val="00D43ED1"/>
    <w:rsid w:val="00D43FB8"/>
    <w:rsid w:val="00D44639"/>
    <w:rsid w:val="00D44B0E"/>
    <w:rsid w:val="00D44B8E"/>
    <w:rsid w:val="00D44C65"/>
    <w:rsid w:val="00D454DF"/>
    <w:rsid w:val="00D457A6"/>
    <w:rsid w:val="00D45CB2"/>
    <w:rsid w:val="00D46909"/>
    <w:rsid w:val="00D46B29"/>
    <w:rsid w:val="00D46D4B"/>
    <w:rsid w:val="00D46D7D"/>
    <w:rsid w:val="00D47158"/>
    <w:rsid w:val="00D4717D"/>
    <w:rsid w:val="00D47575"/>
    <w:rsid w:val="00D477B7"/>
    <w:rsid w:val="00D47855"/>
    <w:rsid w:val="00D47859"/>
    <w:rsid w:val="00D478E9"/>
    <w:rsid w:val="00D47BA6"/>
    <w:rsid w:val="00D507B6"/>
    <w:rsid w:val="00D508F4"/>
    <w:rsid w:val="00D50AA3"/>
    <w:rsid w:val="00D50BF2"/>
    <w:rsid w:val="00D50E32"/>
    <w:rsid w:val="00D50F70"/>
    <w:rsid w:val="00D51707"/>
    <w:rsid w:val="00D5192B"/>
    <w:rsid w:val="00D5193D"/>
    <w:rsid w:val="00D52023"/>
    <w:rsid w:val="00D5248A"/>
    <w:rsid w:val="00D5296E"/>
    <w:rsid w:val="00D5299E"/>
    <w:rsid w:val="00D52A51"/>
    <w:rsid w:val="00D52B32"/>
    <w:rsid w:val="00D52B64"/>
    <w:rsid w:val="00D52C2F"/>
    <w:rsid w:val="00D52F66"/>
    <w:rsid w:val="00D53099"/>
    <w:rsid w:val="00D530B5"/>
    <w:rsid w:val="00D533E3"/>
    <w:rsid w:val="00D53459"/>
    <w:rsid w:val="00D53489"/>
    <w:rsid w:val="00D5396B"/>
    <w:rsid w:val="00D53A84"/>
    <w:rsid w:val="00D53B30"/>
    <w:rsid w:val="00D53C47"/>
    <w:rsid w:val="00D54396"/>
    <w:rsid w:val="00D547EB"/>
    <w:rsid w:val="00D549B9"/>
    <w:rsid w:val="00D54C0D"/>
    <w:rsid w:val="00D54DDC"/>
    <w:rsid w:val="00D54EC5"/>
    <w:rsid w:val="00D54EFF"/>
    <w:rsid w:val="00D55089"/>
    <w:rsid w:val="00D550BC"/>
    <w:rsid w:val="00D5513C"/>
    <w:rsid w:val="00D555B5"/>
    <w:rsid w:val="00D558C3"/>
    <w:rsid w:val="00D559E2"/>
    <w:rsid w:val="00D55B78"/>
    <w:rsid w:val="00D55E0B"/>
    <w:rsid w:val="00D563B0"/>
    <w:rsid w:val="00D564A4"/>
    <w:rsid w:val="00D5668E"/>
    <w:rsid w:val="00D5721C"/>
    <w:rsid w:val="00D572D3"/>
    <w:rsid w:val="00D578CA"/>
    <w:rsid w:val="00D579B5"/>
    <w:rsid w:val="00D57C28"/>
    <w:rsid w:val="00D57D07"/>
    <w:rsid w:val="00D601C1"/>
    <w:rsid w:val="00D60278"/>
    <w:rsid w:val="00D60311"/>
    <w:rsid w:val="00D605E5"/>
    <w:rsid w:val="00D60631"/>
    <w:rsid w:val="00D61185"/>
    <w:rsid w:val="00D61FD5"/>
    <w:rsid w:val="00D624B3"/>
    <w:rsid w:val="00D628B4"/>
    <w:rsid w:val="00D629A3"/>
    <w:rsid w:val="00D62F74"/>
    <w:rsid w:val="00D63116"/>
    <w:rsid w:val="00D63192"/>
    <w:rsid w:val="00D636D6"/>
    <w:rsid w:val="00D63B2E"/>
    <w:rsid w:val="00D63C58"/>
    <w:rsid w:val="00D63E64"/>
    <w:rsid w:val="00D64055"/>
    <w:rsid w:val="00D64686"/>
    <w:rsid w:val="00D649E3"/>
    <w:rsid w:val="00D64A88"/>
    <w:rsid w:val="00D64A9B"/>
    <w:rsid w:val="00D64E10"/>
    <w:rsid w:val="00D64F73"/>
    <w:rsid w:val="00D65012"/>
    <w:rsid w:val="00D65049"/>
    <w:rsid w:val="00D65684"/>
    <w:rsid w:val="00D65ECF"/>
    <w:rsid w:val="00D66074"/>
    <w:rsid w:val="00D673B7"/>
    <w:rsid w:val="00D674A6"/>
    <w:rsid w:val="00D67563"/>
    <w:rsid w:val="00D67655"/>
    <w:rsid w:val="00D67A44"/>
    <w:rsid w:val="00D67BAA"/>
    <w:rsid w:val="00D70257"/>
    <w:rsid w:val="00D7025C"/>
    <w:rsid w:val="00D70502"/>
    <w:rsid w:val="00D70698"/>
    <w:rsid w:val="00D70CDD"/>
    <w:rsid w:val="00D710A5"/>
    <w:rsid w:val="00D710FE"/>
    <w:rsid w:val="00D7139E"/>
    <w:rsid w:val="00D71661"/>
    <w:rsid w:val="00D72272"/>
    <w:rsid w:val="00D722D0"/>
    <w:rsid w:val="00D72332"/>
    <w:rsid w:val="00D72400"/>
    <w:rsid w:val="00D7288B"/>
    <w:rsid w:val="00D72B41"/>
    <w:rsid w:val="00D72F03"/>
    <w:rsid w:val="00D72F7A"/>
    <w:rsid w:val="00D7330D"/>
    <w:rsid w:val="00D73343"/>
    <w:rsid w:val="00D73600"/>
    <w:rsid w:val="00D73872"/>
    <w:rsid w:val="00D73B8D"/>
    <w:rsid w:val="00D73D13"/>
    <w:rsid w:val="00D73D66"/>
    <w:rsid w:val="00D73E4A"/>
    <w:rsid w:val="00D741C4"/>
    <w:rsid w:val="00D742C2"/>
    <w:rsid w:val="00D742DA"/>
    <w:rsid w:val="00D747FA"/>
    <w:rsid w:val="00D7483E"/>
    <w:rsid w:val="00D752EE"/>
    <w:rsid w:val="00D7546C"/>
    <w:rsid w:val="00D7555D"/>
    <w:rsid w:val="00D75B5D"/>
    <w:rsid w:val="00D75C45"/>
    <w:rsid w:val="00D75EEA"/>
    <w:rsid w:val="00D75F38"/>
    <w:rsid w:val="00D760CA"/>
    <w:rsid w:val="00D769FC"/>
    <w:rsid w:val="00D76AAC"/>
    <w:rsid w:val="00D76B2B"/>
    <w:rsid w:val="00D775A0"/>
    <w:rsid w:val="00D7769E"/>
    <w:rsid w:val="00D7776B"/>
    <w:rsid w:val="00D80021"/>
    <w:rsid w:val="00D800B8"/>
    <w:rsid w:val="00D802AA"/>
    <w:rsid w:val="00D8046E"/>
    <w:rsid w:val="00D80710"/>
    <w:rsid w:val="00D807B3"/>
    <w:rsid w:val="00D8085A"/>
    <w:rsid w:val="00D80A09"/>
    <w:rsid w:val="00D80D72"/>
    <w:rsid w:val="00D80F2D"/>
    <w:rsid w:val="00D80FBA"/>
    <w:rsid w:val="00D813E7"/>
    <w:rsid w:val="00D817D7"/>
    <w:rsid w:val="00D81BA8"/>
    <w:rsid w:val="00D821D0"/>
    <w:rsid w:val="00D823FF"/>
    <w:rsid w:val="00D827C7"/>
    <w:rsid w:val="00D82A66"/>
    <w:rsid w:val="00D82A97"/>
    <w:rsid w:val="00D82AB1"/>
    <w:rsid w:val="00D82BAB"/>
    <w:rsid w:val="00D82CF3"/>
    <w:rsid w:val="00D82F0D"/>
    <w:rsid w:val="00D83482"/>
    <w:rsid w:val="00D83915"/>
    <w:rsid w:val="00D84741"/>
    <w:rsid w:val="00D84C90"/>
    <w:rsid w:val="00D84F3B"/>
    <w:rsid w:val="00D85594"/>
    <w:rsid w:val="00D861B1"/>
    <w:rsid w:val="00D866CB"/>
    <w:rsid w:val="00D8683E"/>
    <w:rsid w:val="00D86A6C"/>
    <w:rsid w:val="00D86FAF"/>
    <w:rsid w:val="00D87732"/>
    <w:rsid w:val="00D8774E"/>
    <w:rsid w:val="00D87996"/>
    <w:rsid w:val="00D87C6A"/>
    <w:rsid w:val="00D903EB"/>
    <w:rsid w:val="00D905F0"/>
    <w:rsid w:val="00D9071C"/>
    <w:rsid w:val="00D9090E"/>
    <w:rsid w:val="00D90C24"/>
    <w:rsid w:val="00D90C9A"/>
    <w:rsid w:val="00D91047"/>
    <w:rsid w:val="00D9132F"/>
    <w:rsid w:val="00D91D2C"/>
    <w:rsid w:val="00D91D43"/>
    <w:rsid w:val="00D9262D"/>
    <w:rsid w:val="00D9286F"/>
    <w:rsid w:val="00D9287D"/>
    <w:rsid w:val="00D92DEB"/>
    <w:rsid w:val="00D93D23"/>
    <w:rsid w:val="00D94CD2"/>
    <w:rsid w:val="00D94D6E"/>
    <w:rsid w:val="00D952A0"/>
    <w:rsid w:val="00D952F9"/>
    <w:rsid w:val="00D95336"/>
    <w:rsid w:val="00D95455"/>
    <w:rsid w:val="00D955D3"/>
    <w:rsid w:val="00D95721"/>
    <w:rsid w:val="00D95AA3"/>
    <w:rsid w:val="00D95C61"/>
    <w:rsid w:val="00D960CC"/>
    <w:rsid w:val="00D9627D"/>
    <w:rsid w:val="00D96368"/>
    <w:rsid w:val="00D9714E"/>
    <w:rsid w:val="00D973C9"/>
    <w:rsid w:val="00D9769E"/>
    <w:rsid w:val="00D97984"/>
    <w:rsid w:val="00D97A5B"/>
    <w:rsid w:val="00DA0609"/>
    <w:rsid w:val="00DA097B"/>
    <w:rsid w:val="00DA0C79"/>
    <w:rsid w:val="00DA0D72"/>
    <w:rsid w:val="00DA13D8"/>
    <w:rsid w:val="00DA146A"/>
    <w:rsid w:val="00DA1AC4"/>
    <w:rsid w:val="00DA1BE3"/>
    <w:rsid w:val="00DA26C3"/>
    <w:rsid w:val="00DA2721"/>
    <w:rsid w:val="00DA28FA"/>
    <w:rsid w:val="00DA2E25"/>
    <w:rsid w:val="00DA2E58"/>
    <w:rsid w:val="00DA2E9D"/>
    <w:rsid w:val="00DA31E0"/>
    <w:rsid w:val="00DA3F74"/>
    <w:rsid w:val="00DA4CEB"/>
    <w:rsid w:val="00DA500D"/>
    <w:rsid w:val="00DA50C2"/>
    <w:rsid w:val="00DA54E9"/>
    <w:rsid w:val="00DA5A1A"/>
    <w:rsid w:val="00DA5E7D"/>
    <w:rsid w:val="00DA5F0D"/>
    <w:rsid w:val="00DA6367"/>
    <w:rsid w:val="00DA67DE"/>
    <w:rsid w:val="00DA68CC"/>
    <w:rsid w:val="00DA6A93"/>
    <w:rsid w:val="00DA6A9F"/>
    <w:rsid w:val="00DA6D45"/>
    <w:rsid w:val="00DA6DA5"/>
    <w:rsid w:val="00DA6FDC"/>
    <w:rsid w:val="00DA6FFF"/>
    <w:rsid w:val="00DA74E4"/>
    <w:rsid w:val="00DA76FA"/>
    <w:rsid w:val="00DA781D"/>
    <w:rsid w:val="00DA78EE"/>
    <w:rsid w:val="00DA7B5A"/>
    <w:rsid w:val="00DB0165"/>
    <w:rsid w:val="00DB01E6"/>
    <w:rsid w:val="00DB157F"/>
    <w:rsid w:val="00DB15E2"/>
    <w:rsid w:val="00DB17C0"/>
    <w:rsid w:val="00DB19A9"/>
    <w:rsid w:val="00DB1F84"/>
    <w:rsid w:val="00DB2317"/>
    <w:rsid w:val="00DB252B"/>
    <w:rsid w:val="00DB26C6"/>
    <w:rsid w:val="00DB2ADA"/>
    <w:rsid w:val="00DB2B49"/>
    <w:rsid w:val="00DB2BE8"/>
    <w:rsid w:val="00DB2E2E"/>
    <w:rsid w:val="00DB2EAA"/>
    <w:rsid w:val="00DB321C"/>
    <w:rsid w:val="00DB3464"/>
    <w:rsid w:val="00DB356C"/>
    <w:rsid w:val="00DB363E"/>
    <w:rsid w:val="00DB3674"/>
    <w:rsid w:val="00DB3815"/>
    <w:rsid w:val="00DB39C8"/>
    <w:rsid w:val="00DB3E86"/>
    <w:rsid w:val="00DB4093"/>
    <w:rsid w:val="00DB40DE"/>
    <w:rsid w:val="00DB425E"/>
    <w:rsid w:val="00DB4922"/>
    <w:rsid w:val="00DB4D8D"/>
    <w:rsid w:val="00DB5130"/>
    <w:rsid w:val="00DB544C"/>
    <w:rsid w:val="00DB5835"/>
    <w:rsid w:val="00DB5B1E"/>
    <w:rsid w:val="00DB5C75"/>
    <w:rsid w:val="00DB5DF6"/>
    <w:rsid w:val="00DB5FE7"/>
    <w:rsid w:val="00DB618D"/>
    <w:rsid w:val="00DB61F8"/>
    <w:rsid w:val="00DB6384"/>
    <w:rsid w:val="00DB6631"/>
    <w:rsid w:val="00DB6713"/>
    <w:rsid w:val="00DB6960"/>
    <w:rsid w:val="00DB6B9F"/>
    <w:rsid w:val="00DB6BF0"/>
    <w:rsid w:val="00DB6CF0"/>
    <w:rsid w:val="00DB77EB"/>
    <w:rsid w:val="00DB78D7"/>
    <w:rsid w:val="00DB7AF8"/>
    <w:rsid w:val="00DB7C2D"/>
    <w:rsid w:val="00DB7D46"/>
    <w:rsid w:val="00DB7E67"/>
    <w:rsid w:val="00DC0385"/>
    <w:rsid w:val="00DC0A04"/>
    <w:rsid w:val="00DC0D82"/>
    <w:rsid w:val="00DC10BE"/>
    <w:rsid w:val="00DC179A"/>
    <w:rsid w:val="00DC191E"/>
    <w:rsid w:val="00DC1B3B"/>
    <w:rsid w:val="00DC1D1A"/>
    <w:rsid w:val="00DC20E5"/>
    <w:rsid w:val="00DC2643"/>
    <w:rsid w:val="00DC280D"/>
    <w:rsid w:val="00DC28FE"/>
    <w:rsid w:val="00DC290C"/>
    <w:rsid w:val="00DC29E8"/>
    <w:rsid w:val="00DC2A13"/>
    <w:rsid w:val="00DC2A66"/>
    <w:rsid w:val="00DC2F6B"/>
    <w:rsid w:val="00DC3359"/>
    <w:rsid w:val="00DC33B4"/>
    <w:rsid w:val="00DC38FC"/>
    <w:rsid w:val="00DC4F6E"/>
    <w:rsid w:val="00DC5068"/>
    <w:rsid w:val="00DC5249"/>
    <w:rsid w:val="00DC58BA"/>
    <w:rsid w:val="00DC5959"/>
    <w:rsid w:val="00DC597F"/>
    <w:rsid w:val="00DC5B23"/>
    <w:rsid w:val="00DC5D12"/>
    <w:rsid w:val="00DC5D48"/>
    <w:rsid w:val="00DC6232"/>
    <w:rsid w:val="00DC68AE"/>
    <w:rsid w:val="00DC6AA0"/>
    <w:rsid w:val="00DC6B7E"/>
    <w:rsid w:val="00DC72C2"/>
    <w:rsid w:val="00DC74A6"/>
    <w:rsid w:val="00DC7647"/>
    <w:rsid w:val="00DC76C6"/>
    <w:rsid w:val="00DC79CC"/>
    <w:rsid w:val="00DC7E0D"/>
    <w:rsid w:val="00DC7F42"/>
    <w:rsid w:val="00DD0376"/>
    <w:rsid w:val="00DD06F9"/>
    <w:rsid w:val="00DD1591"/>
    <w:rsid w:val="00DD1726"/>
    <w:rsid w:val="00DD1949"/>
    <w:rsid w:val="00DD1F04"/>
    <w:rsid w:val="00DD20B1"/>
    <w:rsid w:val="00DD210D"/>
    <w:rsid w:val="00DD2418"/>
    <w:rsid w:val="00DD244D"/>
    <w:rsid w:val="00DD24DF"/>
    <w:rsid w:val="00DD3048"/>
    <w:rsid w:val="00DD33E5"/>
    <w:rsid w:val="00DD37AB"/>
    <w:rsid w:val="00DD4256"/>
    <w:rsid w:val="00DD460A"/>
    <w:rsid w:val="00DD4656"/>
    <w:rsid w:val="00DD4790"/>
    <w:rsid w:val="00DD4C79"/>
    <w:rsid w:val="00DD51B6"/>
    <w:rsid w:val="00DD554D"/>
    <w:rsid w:val="00DD560C"/>
    <w:rsid w:val="00DD5650"/>
    <w:rsid w:val="00DD6075"/>
    <w:rsid w:val="00DD66B2"/>
    <w:rsid w:val="00DD69AE"/>
    <w:rsid w:val="00DD6BB9"/>
    <w:rsid w:val="00DD6CEA"/>
    <w:rsid w:val="00DD6DF3"/>
    <w:rsid w:val="00DD6E34"/>
    <w:rsid w:val="00DD783B"/>
    <w:rsid w:val="00DE0647"/>
    <w:rsid w:val="00DE07CC"/>
    <w:rsid w:val="00DE0C0C"/>
    <w:rsid w:val="00DE0C4F"/>
    <w:rsid w:val="00DE0DC8"/>
    <w:rsid w:val="00DE0F4F"/>
    <w:rsid w:val="00DE0FF8"/>
    <w:rsid w:val="00DE1019"/>
    <w:rsid w:val="00DE1065"/>
    <w:rsid w:val="00DE10D4"/>
    <w:rsid w:val="00DE1800"/>
    <w:rsid w:val="00DE1ADC"/>
    <w:rsid w:val="00DE1C20"/>
    <w:rsid w:val="00DE2580"/>
    <w:rsid w:val="00DE2847"/>
    <w:rsid w:val="00DE2A5C"/>
    <w:rsid w:val="00DE2DFA"/>
    <w:rsid w:val="00DE2E41"/>
    <w:rsid w:val="00DE2F31"/>
    <w:rsid w:val="00DE3A4D"/>
    <w:rsid w:val="00DE3A58"/>
    <w:rsid w:val="00DE43BF"/>
    <w:rsid w:val="00DE46D2"/>
    <w:rsid w:val="00DE472B"/>
    <w:rsid w:val="00DE4A1B"/>
    <w:rsid w:val="00DE4A5C"/>
    <w:rsid w:val="00DE4BBF"/>
    <w:rsid w:val="00DE5472"/>
    <w:rsid w:val="00DE5481"/>
    <w:rsid w:val="00DE5E11"/>
    <w:rsid w:val="00DE5E7E"/>
    <w:rsid w:val="00DE62E2"/>
    <w:rsid w:val="00DE67BB"/>
    <w:rsid w:val="00DE6CB8"/>
    <w:rsid w:val="00DE6D69"/>
    <w:rsid w:val="00DE6EF2"/>
    <w:rsid w:val="00DE6F71"/>
    <w:rsid w:val="00DE6F77"/>
    <w:rsid w:val="00DE72A7"/>
    <w:rsid w:val="00DE7750"/>
    <w:rsid w:val="00DE7981"/>
    <w:rsid w:val="00DE79C5"/>
    <w:rsid w:val="00DE7BB8"/>
    <w:rsid w:val="00DE7C8A"/>
    <w:rsid w:val="00DE7F89"/>
    <w:rsid w:val="00DF0029"/>
    <w:rsid w:val="00DF0181"/>
    <w:rsid w:val="00DF01DF"/>
    <w:rsid w:val="00DF093D"/>
    <w:rsid w:val="00DF0CB5"/>
    <w:rsid w:val="00DF0E40"/>
    <w:rsid w:val="00DF1126"/>
    <w:rsid w:val="00DF1B43"/>
    <w:rsid w:val="00DF22A8"/>
    <w:rsid w:val="00DF2839"/>
    <w:rsid w:val="00DF2A83"/>
    <w:rsid w:val="00DF2C18"/>
    <w:rsid w:val="00DF2D95"/>
    <w:rsid w:val="00DF3001"/>
    <w:rsid w:val="00DF30BE"/>
    <w:rsid w:val="00DF33A4"/>
    <w:rsid w:val="00DF360A"/>
    <w:rsid w:val="00DF379C"/>
    <w:rsid w:val="00DF385F"/>
    <w:rsid w:val="00DF3BF3"/>
    <w:rsid w:val="00DF3E35"/>
    <w:rsid w:val="00DF3E71"/>
    <w:rsid w:val="00DF3ED9"/>
    <w:rsid w:val="00DF3F7E"/>
    <w:rsid w:val="00DF40B2"/>
    <w:rsid w:val="00DF4117"/>
    <w:rsid w:val="00DF41F6"/>
    <w:rsid w:val="00DF42A1"/>
    <w:rsid w:val="00DF4430"/>
    <w:rsid w:val="00DF4955"/>
    <w:rsid w:val="00DF49FA"/>
    <w:rsid w:val="00DF4B82"/>
    <w:rsid w:val="00DF587E"/>
    <w:rsid w:val="00DF5F96"/>
    <w:rsid w:val="00DF64A0"/>
    <w:rsid w:val="00DF67A6"/>
    <w:rsid w:val="00DF67D6"/>
    <w:rsid w:val="00DF69FD"/>
    <w:rsid w:val="00DF6CE0"/>
    <w:rsid w:val="00DF6D36"/>
    <w:rsid w:val="00DF7BC0"/>
    <w:rsid w:val="00DF7C3B"/>
    <w:rsid w:val="00E003C2"/>
    <w:rsid w:val="00E00A22"/>
    <w:rsid w:val="00E00EF4"/>
    <w:rsid w:val="00E0119E"/>
    <w:rsid w:val="00E012F8"/>
    <w:rsid w:val="00E0148C"/>
    <w:rsid w:val="00E014C9"/>
    <w:rsid w:val="00E01574"/>
    <w:rsid w:val="00E01764"/>
    <w:rsid w:val="00E018FB"/>
    <w:rsid w:val="00E01D13"/>
    <w:rsid w:val="00E01D7C"/>
    <w:rsid w:val="00E01F1C"/>
    <w:rsid w:val="00E028CD"/>
    <w:rsid w:val="00E02957"/>
    <w:rsid w:val="00E02B47"/>
    <w:rsid w:val="00E02BC3"/>
    <w:rsid w:val="00E02CBF"/>
    <w:rsid w:val="00E02EC0"/>
    <w:rsid w:val="00E03305"/>
    <w:rsid w:val="00E034E7"/>
    <w:rsid w:val="00E037A8"/>
    <w:rsid w:val="00E03B50"/>
    <w:rsid w:val="00E03E89"/>
    <w:rsid w:val="00E040CB"/>
    <w:rsid w:val="00E04148"/>
    <w:rsid w:val="00E041C3"/>
    <w:rsid w:val="00E0431A"/>
    <w:rsid w:val="00E04353"/>
    <w:rsid w:val="00E0476E"/>
    <w:rsid w:val="00E04892"/>
    <w:rsid w:val="00E049F3"/>
    <w:rsid w:val="00E0556C"/>
    <w:rsid w:val="00E061D4"/>
    <w:rsid w:val="00E06CED"/>
    <w:rsid w:val="00E078C5"/>
    <w:rsid w:val="00E07AFE"/>
    <w:rsid w:val="00E1004C"/>
    <w:rsid w:val="00E1068D"/>
    <w:rsid w:val="00E106A4"/>
    <w:rsid w:val="00E10D89"/>
    <w:rsid w:val="00E1129E"/>
    <w:rsid w:val="00E118F3"/>
    <w:rsid w:val="00E11ABB"/>
    <w:rsid w:val="00E11DC8"/>
    <w:rsid w:val="00E1215E"/>
    <w:rsid w:val="00E12824"/>
    <w:rsid w:val="00E129A1"/>
    <w:rsid w:val="00E1307E"/>
    <w:rsid w:val="00E132BA"/>
    <w:rsid w:val="00E138B5"/>
    <w:rsid w:val="00E139FA"/>
    <w:rsid w:val="00E13B9D"/>
    <w:rsid w:val="00E13E15"/>
    <w:rsid w:val="00E13E24"/>
    <w:rsid w:val="00E14388"/>
    <w:rsid w:val="00E14649"/>
    <w:rsid w:val="00E148C6"/>
    <w:rsid w:val="00E14CAB"/>
    <w:rsid w:val="00E14D55"/>
    <w:rsid w:val="00E14EA6"/>
    <w:rsid w:val="00E15597"/>
    <w:rsid w:val="00E1579A"/>
    <w:rsid w:val="00E157C4"/>
    <w:rsid w:val="00E15BBA"/>
    <w:rsid w:val="00E15D92"/>
    <w:rsid w:val="00E16991"/>
    <w:rsid w:val="00E16AAA"/>
    <w:rsid w:val="00E16CF1"/>
    <w:rsid w:val="00E16CF6"/>
    <w:rsid w:val="00E1739B"/>
    <w:rsid w:val="00E17621"/>
    <w:rsid w:val="00E17A7C"/>
    <w:rsid w:val="00E17C24"/>
    <w:rsid w:val="00E200C6"/>
    <w:rsid w:val="00E202B9"/>
    <w:rsid w:val="00E2031E"/>
    <w:rsid w:val="00E20B9C"/>
    <w:rsid w:val="00E20C04"/>
    <w:rsid w:val="00E20C53"/>
    <w:rsid w:val="00E20C8C"/>
    <w:rsid w:val="00E20D13"/>
    <w:rsid w:val="00E20E12"/>
    <w:rsid w:val="00E21574"/>
    <w:rsid w:val="00E2192D"/>
    <w:rsid w:val="00E219A3"/>
    <w:rsid w:val="00E21BAE"/>
    <w:rsid w:val="00E21DC0"/>
    <w:rsid w:val="00E22115"/>
    <w:rsid w:val="00E2263D"/>
    <w:rsid w:val="00E232E0"/>
    <w:rsid w:val="00E234ED"/>
    <w:rsid w:val="00E23A1A"/>
    <w:rsid w:val="00E23BCE"/>
    <w:rsid w:val="00E240B7"/>
    <w:rsid w:val="00E24B9B"/>
    <w:rsid w:val="00E24D3E"/>
    <w:rsid w:val="00E24F89"/>
    <w:rsid w:val="00E250CA"/>
    <w:rsid w:val="00E25302"/>
    <w:rsid w:val="00E2542D"/>
    <w:rsid w:val="00E25719"/>
    <w:rsid w:val="00E25A44"/>
    <w:rsid w:val="00E25B7A"/>
    <w:rsid w:val="00E25E65"/>
    <w:rsid w:val="00E25ED3"/>
    <w:rsid w:val="00E25F93"/>
    <w:rsid w:val="00E25FA0"/>
    <w:rsid w:val="00E25FAC"/>
    <w:rsid w:val="00E261A7"/>
    <w:rsid w:val="00E26304"/>
    <w:rsid w:val="00E264E5"/>
    <w:rsid w:val="00E2650D"/>
    <w:rsid w:val="00E26904"/>
    <w:rsid w:val="00E26B81"/>
    <w:rsid w:val="00E26C7D"/>
    <w:rsid w:val="00E26E7E"/>
    <w:rsid w:val="00E2727C"/>
    <w:rsid w:val="00E273FA"/>
    <w:rsid w:val="00E27927"/>
    <w:rsid w:val="00E30052"/>
    <w:rsid w:val="00E30362"/>
    <w:rsid w:val="00E30781"/>
    <w:rsid w:val="00E30953"/>
    <w:rsid w:val="00E30BD3"/>
    <w:rsid w:val="00E30E5C"/>
    <w:rsid w:val="00E3102D"/>
    <w:rsid w:val="00E31C98"/>
    <w:rsid w:val="00E31CE7"/>
    <w:rsid w:val="00E31E31"/>
    <w:rsid w:val="00E3215C"/>
    <w:rsid w:val="00E324DC"/>
    <w:rsid w:val="00E32C19"/>
    <w:rsid w:val="00E3350C"/>
    <w:rsid w:val="00E33720"/>
    <w:rsid w:val="00E33EF7"/>
    <w:rsid w:val="00E34161"/>
    <w:rsid w:val="00E3418B"/>
    <w:rsid w:val="00E341C2"/>
    <w:rsid w:val="00E34344"/>
    <w:rsid w:val="00E3445F"/>
    <w:rsid w:val="00E349B0"/>
    <w:rsid w:val="00E34FDA"/>
    <w:rsid w:val="00E355EA"/>
    <w:rsid w:val="00E35622"/>
    <w:rsid w:val="00E35C2E"/>
    <w:rsid w:val="00E35EA7"/>
    <w:rsid w:val="00E35FCF"/>
    <w:rsid w:val="00E3660F"/>
    <w:rsid w:val="00E368C8"/>
    <w:rsid w:val="00E36B01"/>
    <w:rsid w:val="00E36DC7"/>
    <w:rsid w:val="00E37008"/>
    <w:rsid w:val="00E37460"/>
    <w:rsid w:val="00E37943"/>
    <w:rsid w:val="00E37BF3"/>
    <w:rsid w:val="00E37E07"/>
    <w:rsid w:val="00E404AD"/>
    <w:rsid w:val="00E404FE"/>
    <w:rsid w:val="00E40636"/>
    <w:rsid w:val="00E40692"/>
    <w:rsid w:val="00E406C9"/>
    <w:rsid w:val="00E4088F"/>
    <w:rsid w:val="00E40B65"/>
    <w:rsid w:val="00E4110A"/>
    <w:rsid w:val="00E41517"/>
    <w:rsid w:val="00E416EC"/>
    <w:rsid w:val="00E417CA"/>
    <w:rsid w:val="00E41D72"/>
    <w:rsid w:val="00E41F9E"/>
    <w:rsid w:val="00E42641"/>
    <w:rsid w:val="00E4376D"/>
    <w:rsid w:val="00E4381B"/>
    <w:rsid w:val="00E439AD"/>
    <w:rsid w:val="00E44150"/>
    <w:rsid w:val="00E441F0"/>
    <w:rsid w:val="00E44211"/>
    <w:rsid w:val="00E44305"/>
    <w:rsid w:val="00E44765"/>
    <w:rsid w:val="00E44C13"/>
    <w:rsid w:val="00E4511D"/>
    <w:rsid w:val="00E45202"/>
    <w:rsid w:val="00E45384"/>
    <w:rsid w:val="00E45550"/>
    <w:rsid w:val="00E45743"/>
    <w:rsid w:val="00E45809"/>
    <w:rsid w:val="00E45D36"/>
    <w:rsid w:val="00E46142"/>
    <w:rsid w:val="00E46222"/>
    <w:rsid w:val="00E465D4"/>
    <w:rsid w:val="00E47192"/>
    <w:rsid w:val="00E4737B"/>
    <w:rsid w:val="00E473F2"/>
    <w:rsid w:val="00E47536"/>
    <w:rsid w:val="00E50AE7"/>
    <w:rsid w:val="00E50CCD"/>
    <w:rsid w:val="00E50D0B"/>
    <w:rsid w:val="00E5105F"/>
    <w:rsid w:val="00E51073"/>
    <w:rsid w:val="00E51252"/>
    <w:rsid w:val="00E512E1"/>
    <w:rsid w:val="00E51BC6"/>
    <w:rsid w:val="00E51D55"/>
    <w:rsid w:val="00E51DCB"/>
    <w:rsid w:val="00E52166"/>
    <w:rsid w:val="00E523C0"/>
    <w:rsid w:val="00E5265C"/>
    <w:rsid w:val="00E52675"/>
    <w:rsid w:val="00E5284E"/>
    <w:rsid w:val="00E52F58"/>
    <w:rsid w:val="00E5310D"/>
    <w:rsid w:val="00E5346B"/>
    <w:rsid w:val="00E5373E"/>
    <w:rsid w:val="00E53767"/>
    <w:rsid w:val="00E538A0"/>
    <w:rsid w:val="00E53C40"/>
    <w:rsid w:val="00E54211"/>
    <w:rsid w:val="00E5446A"/>
    <w:rsid w:val="00E54F6E"/>
    <w:rsid w:val="00E557C1"/>
    <w:rsid w:val="00E559D9"/>
    <w:rsid w:val="00E55B23"/>
    <w:rsid w:val="00E55EFB"/>
    <w:rsid w:val="00E5620B"/>
    <w:rsid w:val="00E562D1"/>
    <w:rsid w:val="00E565AF"/>
    <w:rsid w:val="00E565E2"/>
    <w:rsid w:val="00E56D4F"/>
    <w:rsid w:val="00E56F97"/>
    <w:rsid w:val="00E57414"/>
    <w:rsid w:val="00E57527"/>
    <w:rsid w:val="00E57549"/>
    <w:rsid w:val="00E579EF"/>
    <w:rsid w:val="00E57A83"/>
    <w:rsid w:val="00E6041B"/>
    <w:rsid w:val="00E6058E"/>
    <w:rsid w:val="00E606DA"/>
    <w:rsid w:val="00E60B32"/>
    <w:rsid w:val="00E611B5"/>
    <w:rsid w:val="00E614F5"/>
    <w:rsid w:val="00E61600"/>
    <w:rsid w:val="00E61B74"/>
    <w:rsid w:val="00E61D4B"/>
    <w:rsid w:val="00E6219F"/>
    <w:rsid w:val="00E62B11"/>
    <w:rsid w:val="00E62DE8"/>
    <w:rsid w:val="00E62E0C"/>
    <w:rsid w:val="00E63053"/>
    <w:rsid w:val="00E635C9"/>
    <w:rsid w:val="00E63696"/>
    <w:rsid w:val="00E6392E"/>
    <w:rsid w:val="00E6393B"/>
    <w:rsid w:val="00E63B88"/>
    <w:rsid w:val="00E63E12"/>
    <w:rsid w:val="00E63F44"/>
    <w:rsid w:val="00E64155"/>
    <w:rsid w:val="00E64766"/>
    <w:rsid w:val="00E6491D"/>
    <w:rsid w:val="00E64B2F"/>
    <w:rsid w:val="00E64EBA"/>
    <w:rsid w:val="00E64EE2"/>
    <w:rsid w:val="00E6505F"/>
    <w:rsid w:val="00E651E6"/>
    <w:rsid w:val="00E65237"/>
    <w:rsid w:val="00E656D7"/>
    <w:rsid w:val="00E6586F"/>
    <w:rsid w:val="00E65899"/>
    <w:rsid w:val="00E65A6B"/>
    <w:rsid w:val="00E65BEC"/>
    <w:rsid w:val="00E65CE8"/>
    <w:rsid w:val="00E65FC0"/>
    <w:rsid w:val="00E662E8"/>
    <w:rsid w:val="00E6639B"/>
    <w:rsid w:val="00E667EC"/>
    <w:rsid w:val="00E667F2"/>
    <w:rsid w:val="00E6690E"/>
    <w:rsid w:val="00E6698C"/>
    <w:rsid w:val="00E66CE1"/>
    <w:rsid w:val="00E67280"/>
    <w:rsid w:val="00E672C8"/>
    <w:rsid w:val="00E6763B"/>
    <w:rsid w:val="00E67C8F"/>
    <w:rsid w:val="00E67E78"/>
    <w:rsid w:val="00E67EFE"/>
    <w:rsid w:val="00E67F25"/>
    <w:rsid w:val="00E67FD6"/>
    <w:rsid w:val="00E70303"/>
    <w:rsid w:val="00E704E3"/>
    <w:rsid w:val="00E709DD"/>
    <w:rsid w:val="00E70CD9"/>
    <w:rsid w:val="00E717B9"/>
    <w:rsid w:val="00E717E9"/>
    <w:rsid w:val="00E71F40"/>
    <w:rsid w:val="00E72280"/>
    <w:rsid w:val="00E72DD8"/>
    <w:rsid w:val="00E733F3"/>
    <w:rsid w:val="00E7347D"/>
    <w:rsid w:val="00E7377A"/>
    <w:rsid w:val="00E73785"/>
    <w:rsid w:val="00E737A3"/>
    <w:rsid w:val="00E73907"/>
    <w:rsid w:val="00E73D1E"/>
    <w:rsid w:val="00E73D61"/>
    <w:rsid w:val="00E7418E"/>
    <w:rsid w:val="00E74383"/>
    <w:rsid w:val="00E744C7"/>
    <w:rsid w:val="00E7468B"/>
    <w:rsid w:val="00E74B88"/>
    <w:rsid w:val="00E74D0C"/>
    <w:rsid w:val="00E75021"/>
    <w:rsid w:val="00E7513E"/>
    <w:rsid w:val="00E756DE"/>
    <w:rsid w:val="00E759B4"/>
    <w:rsid w:val="00E75C32"/>
    <w:rsid w:val="00E75DDB"/>
    <w:rsid w:val="00E75E1A"/>
    <w:rsid w:val="00E7619D"/>
    <w:rsid w:val="00E762CF"/>
    <w:rsid w:val="00E762F3"/>
    <w:rsid w:val="00E76BCC"/>
    <w:rsid w:val="00E77994"/>
    <w:rsid w:val="00E77AE5"/>
    <w:rsid w:val="00E77E40"/>
    <w:rsid w:val="00E77F75"/>
    <w:rsid w:val="00E77FDB"/>
    <w:rsid w:val="00E80036"/>
    <w:rsid w:val="00E80944"/>
    <w:rsid w:val="00E80ECB"/>
    <w:rsid w:val="00E81195"/>
    <w:rsid w:val="00E81276"/>
    <w:rsid w:val="00E8168E"/>
    <w:rsid w:val="00E8199F"/>
    <w:rsid w:val="00E81A21"/>
    <w:rsid w:val="00E81BEB"/>
    <w:rsid w:val="00E81DEF"/>
    <w:rsid w:val="00E81FEE"/>
    <w:rsid w:val="00E830B1"/>
    <w:rsid w:val="00E83515"/>
    <w:rsid w:val="00E83999"/>
    <w:rsid w:val="00E83CC5"/>
    <w:rsid w:val="00E84887"/>
    <w:rsid w:val="00E84BC7"/>
    <w:rsid w:val="00E84C65"/>
    <w:rsid w:val="00E84EDD"/>
    <w:rsid w:val="00E85076"/>
    <w:rsid w:val="00E85435"/>
    <w:rsid w:val="00E85461"/>
    <w:rsid w:val="00E85B2C"/>
    <w:rsid w:val="00E860D6"/>
    <w:rsid w:val="00E86381"/>
    <w:rsid w:val="00E864D2"/>
    <w:rsid w:val="00E86CD8"/>
    <w:rsid w:val="00E86D65"/>
    <w:rsid w:val="00E872D4"/>
    <w:rsid w:val="00E874FA"/>
    <w:rsid w:val="00E87790"/>
    <w:rsid w:val="00E8781B"/>
    <w:rsid w:val="00E879A4"/>
    <w:rsid w:val="00E87C79"/>
    <w:rsid w:val="00E87EBB"/>
    <w:rsid w:val="00E87F75"/>
    <w:rsid w:val="00E9036D"/>
    <w:rsid w:val="00E90389"/>
    <w:rsid w:val="00E90846"/>
    <w:rsid w:val="00E90DDC"/>
    <w:rsid w:val="00E90EA5"/>
    <w:rsid w:val="00E91073"/>
    <w:rsid w:val="00E91485"/>
    <w:rsid w:val="00E91E0A"/>
    <w:rsid w:val="00E9285C"/>
    <w:rsid w:val="00E9286F"/>
    <w:rsid w:val="00E92B08"/>
    <w:rsid w:val="00E92E16"/>
    <w:rsid w:val="00E92E98"/>
    <w:rsid w:val="00E93313"/>
    <w:rsid w:val="00E933DB"/>
    <w:rsid w:val="00E93611"/>
    <w:rsid w:val="00E93AC3"/>
    <w:rsid w:val="00E93AD5"/>
    <w:rsid w:val="00E93DDE"/>
    <w:rsid w:val="00E941C3"/>
    <w:rsid w:val="00E94837"/>
    <w:rsid w:val="00E94D2B"/>
    <w:rsid w:val="00E94F62"/>
    <w:rsid w:val="00E94FF1"/>
    <w:rsid w:val="00E95792"/>
    <w:rsid w:val="00E95E01"/>
    <w:rsid w:val="00E96B0C"/>
    <w:rsid w:val="00E96B1D"/>
    <w:rsid w:val="00E96D3E"/>
    <w:rsid w:val="00E9789A"/>
    <w:rsid w:val="00E97ADD"/>
    <w:rsid w:val="00E97D86"/>
    <w:rsid w:val="00EA0447"/>
    <w:rsid w:val="00EA0879"/>
    <w:rsid w:val="00EA09D2"/>
    <w:rsid w:val="00EA0C14"/>
    <w:rsid w:val="00EA0F72"/>
    <w:rsid w:val="00EA15BD"/>
    <w:rsid w:val="00EA1DA8"/>
    <w:rsid w:val="00EA2106"/>
    <w:rsid w:val="00EA2118"/>
    <w:rsid w:val="00EA27F8"/>
    <w:rsid w:val="00EA282D"/>
    <w:rsid w:val="00EA284E"/>
    <w:rsid w:val="00EA2902"/>
    <w:rsid w:val="00EA2EF3"/>
    <w:rsid w:val="00EA2F84"/>
    <w:rsid w:val="00EA3206"/>
    <w:rsid w:val="00EA3294"/>
    <w:rsid w:val="00EA3AD1"/>
    <w:rsid w:val="00EA3B55"/>
    <w:rsid w:val="00EA4341"/>
    <w:rsid w:val="00EA494D"/>
    <w:rsid w:val="00EA49C2"/>
    <w:rsid w:val="00EA4C53"/>
    <w:rsid w:val="00EA4DBF"/>
    <w:rsid w:val="00EA508B"/>
    <w:rsid w:val="00EA5146"/>
    <w:rsid w:val="00EA5360"/>
    <w:rsid w:val="00EA5A5C"/>
    <w:rsid w:val="00EA5C54"/>
    <w:rsid w:val="00EA5C7D"/>
    <w:rsid w:val="00EA5F69"/>
    <w:rsid w:val="00EA6199"/>
    <w:rsid w:val="00EA6EA4"/>
    <w:rsid w:val="00EA709A"/>
    <w:rsid w:val="00EA770E"/>
    <w:rsid w:val="00EA7B09"/>
    <w:rsid w:val="00EA7CC6"/>
    <w:rsid w:val="00EA7FA3"/>
    <w:rsid w:val="00EB0C00"/>
    <w:rsid w:val="00EB0C02"/>
    <w:rsid w:val="00EB0E49"/>
    <w:rsid w:val="00EB1368"/>
    <w:rsid w:val="00EB16DC"/>
    <w:rsid w:val="00EB1BD8"/>
    <w:rsid w:val="00EB1D7D"/>
    <w:rsid w:val="00EB1FDA"/>
    <w:rsid w:val="00EB2240"/>
    <w:rsid w:val="00EB24A9"/>
    <w:rsid w:val="00EB25BF"/>
    <w:rsid w:val="00EB2796"/>
    <w:rsid w:val="00EB2916"/>
    <w:rsid w:val="00EB2BA1"/>
    <w:rsid w:val="00EB2CDA"/>
    <w:rsid w:val="00EB2E73"/>
    <w:rsid w:val="00EB3239"/>
    <w:rsid w:val="00EB3666"/>
    <w:rsid w:val="00EB37E7"/>
    <w:rsid w:val="00EB38A1"/>
    <w:rsid w:val="00EB391B"/>
    <w:rsid w:val="00EB3F5E"/>
    <w:rsid w:val="00EB4014"/>
    <w:rsid w:val="00EB4076"/>
    <w:rsid w:val="00EB45CE"/>
    <w:rsid w:val="00EB4636"/>
    <w:rsid w:val="00EB4F5A"/>
    <w:rsid w:val="00EB4F7C"/>
    <w:rsid w:val="00EB5064"/>
    <w:rsid w:val="00EB58BD"/>
    <w:rsid w:val="00EB596A"/>
    <w:rsid w:val="00EB5DD8"/>
    <w:rsid w:val="00EB5E64"/>
    <w:rsid w:val="00EB6069"/>
    <w:rsid w:val="00EB6148"/>
    <w:rsid w:val="00EB6593"/>
    <w:rsid w:val="00EB68D9"/>
    <w:rsid w:val="00EB6AB9"/>
    <w:rsid w:val="00EB6C17"/>
    <w:rsid w:val="00EB6DEC"/>
    <w:rsid w:val="00EB6F38"/>
    <w:rsid w:val="00EB7094"/>
    <w:rsid w:val="00EB76E7"/>
    <w:rsid w:val="00EB78F9"/>
    <w:rsid w:val="00EC0499"/>
    <w:rsid w:val="00EC0B45"/>
    <w:rsid w:val="00EC0C29"/>
    <w:rsid w:val="00EC0D09"/>
    <w:rsid w:val="00EC0FFC"/>
    <w:rsid w:val="00EC123D"/>
    <w:rsid w:val="00EC1246"/>
    <w:rsid w:val="00EC1381"/>
    <w:rsid w:val="00EC1B9D"/>
    <w:rsid w:val="00EC1FB6"/>
    <w:rsid w:val="00EC21E5"/>
    <w:rsid w:val="00EC23F0"/>
    <w:rsid w:val="00EC2405"/>
    <w:rsid w:val="00EC27B8"/>
    <w:rsid w:val="00EC282D"/>
    <w:rsid w:val="00EC288D"/>
    <w:rsid w:val="00EC2A0A"/>
    <w:rsid w:val="00EC2A74"/>
    <w:rsid w:val="00EC3005"/>
    <w:rsid w:val="00EC31C3"/>
    <w:rsid w:val="00EC3503"/>
    <w:rsid w:val="00EC35FE"/>
    <w:rsid w:val="00EC3670"/>
    <w:rsid w:val="00EC3E1C"/>
    <w:rsid w:val="00EC4473"/>
    <w:rsid w:val="00EC48D1"/>
    <w:rsid w:val="00EC4A96"/>
    <w:rsid w:val="00EC50A7"/>
    <w:rsid w:val="00EC524C"/>
    <w:rsid w:val="00EC53E7"/>
    <w:rsid w:val="00EC5FFA"/>
    <w:rsid w:val="00EC6071"/>
    <w:rsid w:val="00EC67A5"/>
    <w:rsid w:val="00EC6BCC"/>
    <w:rsid w:val="00EC6C1D"/>
    <w:rsid w:val="00EC6E1C"/>
    <w:rsid w:val="00EC6E73"/>
    <w:rsid w:val="00EC70B9"/>
    <w:rsid w:val="00EC7CEF"/>
    <w:rsid w:val="00EC947D"/>
    <w:rsid w:val="00ED00E6"/>
    <w:rsid w:val="00ED046C"/>
    <w:rsid w:val="00ED061C"/>
    <w:rsid w:val="00ED069E"/>
    <w:rsid w:val="00ED0C24"/>
    <w:rsid w:val="00ED11C1"/>
    <w:rsid w:val="00ED1776"/>
    <w:rsid w:val="00ED2398"/>
    <w:rsid w:val="00ED2763"/>
    <w:rsid w:val="00ED2E33"/>
    <w:rsid w:val="00ED301F"/>
    <w:rsid w:val="00ED3024"/>
    <w:rsid w:val="00ED339B"/>
    <w:rsid w:val="00ED33C9"/>
    <w:rsid w:val="00ED361E"/>
    <w:rsid w:val="00ED363B"/>
    <w:rsid w:val="00ED48F4"/>
    <w:rsid w:val="00ED5791"/>
    <w:rsid w:val="00ED5BEC"/>
    <w:rsid w:val="00ED5D46"/>
    <w:rsid w:val="00ED5F00"/>
    <w:rsid w:val="00ED5FFA"/>
    <w:rsid w:val="00ED6284"/>
    <w:rsid w:val="00ED63E1"/>
    <w:rsid w:val="00ED6865"/>
    <w:rsid w:val="00ED690B"/>
    <w:rsid w:val="00ED7063"/>
    <w:rsid w:val="00ED71B6"/>
    <w:rsid w:val="00ED7AF5"/>
    <w:rsid w:val="00ED7C84"/>
    <w:rsid w:val="00EE003E"/>
    <w:rsid w:val="00EE0718"/>
    <w:rsid w:val="00EE0725"/>
    <w:rsid w:val="00EE08D1"/>
    <w:rsid w:val="00EE0DE0"/>
    <w:rsid w:val="00EE0DE6"/>
    <w:rsid w:val="00EE0F0B"/>
    <w:rsid w:val="00EE10FD"/>
    <w:rsid w:val="00EE150A"/>
    <w:rsid w:val="00EE1B6B"/>
    <w:rsid w:val="00EE2177"/>
    <w:rsid w:val="00EE2180"/>
    <w:rsid w:val="00EE2346"/>
    <w:rsid w:val="00EE2405"/>
    <w:rsid w:val="00EE25E7"/>
    <w:rsid w:val="00EE28C2"/>
    <w:rsid w:val="00EE2D09"/>
    <w:rsid w:val="00EE33F1"/>
    <w:rsid w:val="00EE33FC"/>
    <w:rsid w:val="00EE356F"/>
    <w:rsid w:val="00EE3882"/>
    <w:rsid w:val="00EE39B4"/>
    <w:rsid w:val="00EE3DFB"/>
    <w:rsid w:val="00EE3FAC"/>
    <w:rsid w:val="00EE405F"/>
    <w:rsid w:val="00EE41F1"/>
    <w:rsid w:val="00EE4F29"/>
    <w:rsid w:val="00EE5347"/>
    <w:rsid w:val="00EE5719"/>
    <w:rsid w:val="00EE57D8"/>
    <w:rsid w:val="00EE580F"/>
    <w:rsid w:val="00EE5C0F"/>
    <w:rsid w:val="00EE5D4A"/>
    <w:rsid w:val="00EE5DC6"/>
    <w:rsid w:val="00EE5F74"/>
    <w:rsid w:val="00EE5F85"/>
    <w:rsid w:val="00EE5FFC"/>
    <w:rsid w:val="00EE6363"/>
    <w:rsid w:val="00EE67A8"/>
    <w:rsid w:val="00EE6B85"/>
    <w:rsid w:val="00EE704B"/>
    <w:rsid w:val="00EE7370"/>
    <w:rsid w:val="00EE73B8"/>
    <w:rsid w:val="00EE7990"/>
    <w:rsid w:val="00EE7CAF"/>
    <w:rsid w:val="00EE7DBA"/>
    <w:rsid w:val="00EE7DC6"/>
    <w:rsid w:val="00EE7FE4"/>
    <w:rsid w:val="00EF03E3"/>
    <w:rsid w:val="00EF05B7"/>
    <w:rsid w:val="00EF0708"/>
    <w:rsid w:val="00EF09DD"/>
    <w:rsid w:val="00EF09E1"/>
    <w:rsid w:val="00EF0AF9"/>
    <w:rsid w:val="00EF0E10"/>
    <w:rsid w:val="00EF1281"/>
    <w:rsid w:val="00EF12E3"/>
    <w:rsid w:val="00EF15E0"/>
    <w:rsid w:val="00EF1967"/>
    <w:rsid w:val="00EF1971"/>
    <w:rsid w:val="00EF19F2"/>
    <w:rsid w:val="00EF1AF8"/>
    <w:rsid w:val="00EF1C51"/>
    <w:rsid w:val="00EF1CBF"/>
    <w:rsid w:val="00EF1E9C"/>
    <w:rsid w:val="00EF2076"/>
    <w:rsid w:val="00EF20B1"/>
    <w:rsid w:val="00EF2AFB"/>
    <w:rsid w:val="00EF311C"/>
    <w:rsid w:val="00EF32D2"/>
    <w:rsid w:val="00EF3572"/>
    <w:rsid w:val="00EF3C54"/>
    <w:rsid w:val="00EF3F4E"/>
    <w:rsid w:val="00EF413C"/>
    <w:rsid w:val="00EF42B5"/>
    <w:rsid w:val="00EF46CC"/>
    <w:rsid w:val="00EF48E7"/>
    <w:rsid w:val="00EF4AB3"/>
    <w:rsid w:val="00EF4E0A"/>
    <w:rsid w:val="00EF4EAF"/>
    <w:rsid w:val="00EF4FB4"/>
    <w:rsid w:val="00EF568B"/>
    <w:rsid w:val="00EF59C4"/>
    <w:rsid w:val="00EF5A95"/>
    <w:rsid w:val="00EF5B9A"/>
    <w:rsid w:val="00EF5DDA"/>
    <w:rsid w:val="00EF6DAE"/>
    <w:rsid w:val="00EF7537"/>
    <w:rsid w:val="00EF7B71"/>
    <w:rsid w:val="00EF7C73"/>
    <w:rsid w:val="00F00175"/>
    <w:rsid w:val="00F006DF"/>
    <w:rsid w:val="00F0073F"/>
    <w:rsid w:val="00F007C3"/>
    <w:rsid w:val="00F00981"/>
    <w:rsid w:val="00F00D81"/>
    <w:rsid w:val="00F00DAB"/>
    <w:rsid w:val="00F00E26"/>
    <w:rsid w:val="00F00FB1"/>
    <w:rsid w:val="00F00FFE"/>
    <w:rsid w:val="00F0152B"/>
    <w:rsid w:val="00F015AB"/>
    <w:rsid w:val="00F016A7"/>
    <w:rsid w:val="00F01A7F"/>
    <w:rsid w:val="00F01AE7"/>
    <w:rsid w:val="00F01C9E"/>
    <w:rsid w:val="00F01DE4"/>
    <w:rsid w:val="00F020E5"/>
    <w:rsid w:val="00F02634"/>
    <w:rsid w:val="00F0290F"/>
    <w:rsid w:val="00F02D0C"/>
    <w:rsid w:val="00F02D8B"/>
    <w:rsid w:val="00F02DB7"/>
    <w:rsid w:val="00F02E09"/>
    <w:rsid w:val="00F02F87"/>
    <w:rsid w:val="00F0350A"/>
    <w:rsid w:val="00F0375E"/>
    <w:rsid w:val="00F0422D"/>
    <w:rsid w:val="00F045C0"/>
    <w:rsid w:val="00F04A4D"/>
    <w:rsid w:val="00F04AAB"/>
    <w:rsid w:val="00F04BB2"/>
    <w:rsid w:val="00F04D41"/>
    <w:rsid w:val="00F04F36"/>
    <w:rsid w:val="00F04FB1"/>
    <w:rsid w:val="00F05059"/>
    <w:rsid w:val="00F05189"/>
    <w:rsid w:val="00F0546C"/>
    <w:rsid w:val="00F057D3"/>
    <w:rsid w:val="00F05AF4"/>
    <w:rsid w:val="00F0632F"/>
    <w:rsid w:val="00F0664F"/>
    <w:rsid w:val="00F069FB"/>
    <w:rsid w:val="00F06E6F"/>
    <w:rsid w:val="00F06F5C"/>
    <w:rsid w:val="00F0733F"/>
    <w:rsid w:val="00F0736E"/>
    <w:rsid w:val="00F07A71"/>
    <w:rsid w:val="00F07C87"/>
    <w:rsid w:val="00F07ECC"/>
    <w:rsid w:val="00F10101"/>
    <w:rsid w:val="00F104EC"/>
    <w:rsid w:val="00F113E5"/>
    <w:rsid w:val="00F115FB"/>
    <w:rsid w:val="00F117CB"/>
    <w:rsid w:val="00F11AA5"/>
    <w:rsid w:val="00F11B30"/>
    <w:rsid w:val="00F1285E"/>
    <w:rsid w:val="00F12C88"/>
    <w:rsid w:val="00F1369A"/>
    <w:rsid w:val="00F13B89"/>
    <w:rsid w:val="00F13EC2"/>
    <w:rsid w:val="00F14256"/>
    <w:rsid w:val="00F14680"/>
    <w:rsid w:val="00F1481C"/>
    <w:rsid w:val="00F1483D"/>
    <w:rsid w:val="00F148C3"/>
    <w:rsid w:val="00F15754"/>
    <w:rsid w:val="00F15F4A"/>
    <w:rsid w:val="00F1645C"/>
    <w:rsid w:val="00F16785"/>
    <w:rsid w:val="00F16C35"/>
    <w:rsid w:val="00F16FE5"/>
    <w:rsid w:val="00F17359"/>
    <w:rsid w:val="00F17428"/>
    <w:rsid w:val="00F174C7"/>
    <w:rsid w:val="00F1756E"/>
    <w:rsid w:val="00F175E1"/>
    <w:rsid w:val="00F1761A"/>
    <w:rsid w:val="00F1792A"/>
    <w:rsid w:val="00F17B88"/>
    <w:rsid w:val="00F20254"/>
    <w:rsid w:val="00F20319"/>
    <w:rsid w:val="00F20350"/>
    <w:rsid w:val="00F2070B"/>
    <w:rsid w:val="00F20978"/>
    <w:rsid w:val="00F20997"/>
    <w:rsid w:val="00F20EBF"/>
    <w:rsid w:val="00F2102D"/>
    <w:rsid w:val="00F21128"/>
    <w:rsid w:val="00F21322"/>
    <w:rsid w:val="00F21534"/>
    <w:rsid w:val="00F216E8"/>
    <w:rsid w:val="00F21747"/>
    <w:rsid w:val="00F21C10"/>
    <w:rsid w:val="00F21CCC"/>
    <w:rsid w:val="00F21DBD"/>
    <w:rsid w:val="00F21F85"/>
    <w:rsid w:val="00F2211A"/>
    <w:rsid w:val="00F22518"/>
    <w:rsid w:val="00F227A6"/>
    <w:rsid w:val="00F23676"/>
    <w:rsid w:val="00F23798"/>
    <w:rsid w:val="00F237EE"/>
    <w:rsid w:val="00F23C83"/>
    <w:rsid w:val="00F23D68"/>
    <w:rsid w:val="00F23DDE"/>
    <w:rsid w:val="00F24B23"/>
    <w:rsid w:val="00F24C1F"/>
    <w:rsid w:val="00F258EF"/>
    <w:rsid w:val="00F260BD"/>
    <w:rsid w:val="00F26138"/>
    <w:rsid w:val="00F262EE"/>
    <w:rsid w:val="00F26621"/>
    <w:rsid w:val="00F268AC"/>
    <w:rsid w:val="00F26F3A"/>
    <w:rsid w:val="00F274E6"/>
    <w:rsid w:val="00F27C07"/>
    <w:rsid w:val="00F27EE2"/>
    <w:rsid w:val="00F27F9A"/>
    <w:rsid w:val="00F3026A"/>
    <w:rsid w:val="00F3079F"/>
    <w:rsid w:val="00F30AE5"/>
    <w:rsid w:val="00F30CEC"/>
    <w:rsid w:val="00F30F61"/>
    <w:rsid w:val="00F311A1"/>
    <w:rsid w:val="00F3127B"/>
    <w:rsid w:val="00F31316"/>
    <w:rsid w:val="00F31528"/>
    <w:rsid w:val="00F31973"/>
    <w:rsid w:val="00F3198A"/>
    <w:rsid w:val="00F31BE9"/>
    <w:rsid w:val="00F31EAC"/>
    <w:rsid w:val="00F32029"/>
    <w:rsid w:val="00F320B6"/>
    <w:rsid w:val="00F322E9"/>
    <w:rsid w:val="00F33553"/>
    <w:rsid w:val="00F33716"/>
    <w:rsid w:val="00F33956"/>
    <w:rsid w:val="00F33A02"/>
    <w:rsid w:val="00F33C11"/>
    <w:rsid w:val="00F33ED3"/>
    <w:rsid w:val="00F33F96"/>
    <w:rsid w:val="00F34892"/>
    <w:rsid w:val="00F349BB"/>
    <w:rsid w:val="00F34BA2"/>
    <w:rsid w:val="00F34FFA"/>
    <w:rsid w:val="00F3536E"/>
    <w:rsid w:val="00F35689"/>
    <w:rsid w:val="00F35756"/>
    <w:rsid w:val="00F35983"/>
    <w:rsid w:val="00F35B3B"/>
    <w:rsid w:val="00F35FC8"/>
    <w:rsid w:val="00F36026"/>
    <w:rsid w:val="00F36277"/>
    <w:rsid w:val="00F3633A"/>
    <w:rsid w:val="00F3639D"/>
    <w:rsid w:val="00F363A0"/>
    <w:rsid w:val="00F36424"/>
    <w:rsid w:val="00F36958"/>
    <w:rsid w:val="00F36BB2"/>
    <w:rsid w:val="00F37188"/>
    <w:rsid w:val="00F37641"/>
    <w:rsid w:val="00F37EC7"/>
    <w:rsid w:val="00F40080"/>
    <w:rsid w:val="00F402F5"/>
    <w:rsid w:val="00F40E49"/>
    <w:rsid w:val="00F40EA2"/>
    <w:rsid w:val="00F410F8"/>
    <w:rsid w:val="00F414F8"/>
    <w:rsid w:val="00F41C86"/>
    <w:rsid w:val="00F41E9C"/>
    <w:rsid w:val="00F42176"/>
    <w:rsid w:val="00F424CA"/>
    <w:rsid w:val="00F42534"/>
    <w:rsid w:val="00F42702"/>
    <w:rsid w:val="00F4280B"/>
    <w:rsid w:val="00F42C26"/>
    <w:rsid w:val="00F42EB8"/>
    <w:rsid w:val="00F431FB"/>
    <w:rsid w:val="00F43BEB"/>
    <w:rsid w:val="00F43EA7"/>
    <w:rsid w:val="00F44120"/>
    <w:rsid w:val="00F44221"/>
    <w:rsid w:val="00F44557"/>
    <w:rsid w:val="00F453AC"/>
    <w:rsid w:val="00F45584"/>
    <w:rsid w:val="00F45626"/>
    <w:rsid w:val="00F45B5D"/>
    <w:rsid w:val="00F45CEF"/>
    <w:rsid w:val="00F45FBF"/>
    <w:rsid w:val="00F46137"/>
    <w:rsid w:val="00F4633C"/>
    <w:rsid w:val="00F465C7"/>
    <w:rsid w:val="00F46665"/>
    <w:rsid w:val="00F469B6"/>
    <w:rsid w:val="00F46AF6"/>
    <w:rsid w:val="00F473F6"/>
    <w:rsid w:val="00F47831"/>
    <w:rsid w:val="00F47977"/>
    <w:rsid w:val="00F47C6C"/>
    <w:rsid w:val="00F4C649"/>
    <w:rsid w:val="00F5000B"/>
    <w:rsid w:val="00F50E26"/>
    <w:rsid w:val="00F50E59"/>
    <w:rsid w:val="00F50E6F"/>
    <w:rsid w:val="00F5100C"/>
    <w:rsid w:val="00F51422"/>
    <w:rsid w:val="00F51780"/>
    <w:rsid w:val="00F517C1"/>
    <w:rsid w:val="00F51BC8"/>
    <w:rsid w:val="00F51C91"/>
    <w:rsid w:val="00F51DFB"/>
    <w:rsid w:val="00F52790"/>
    <w:rsid w:val="00F5317A"/>
    <w:rsid w:val="00F53385"/>
    <w:rsid w:val="00F5349B"/>
    <w:rsid w:val="00F53883"/>
    <w:rsid w:val="00F53884"/>
    <w:rsid w:val="00F53A3A"/>
    <w:rsid w:val="00F53A8C"/>
    <w:rsid w:val="00F53ACB"/>
    <w:rsid w:val="00F54337"/>
    <w:rsid w:val="00F5445C"/>
    <w:rsid w:val="00F5480B"/>
    <w:rsid w:val="00F54DF5"/>
    <w:rsid w:val="00F54E9E"/>
    <w:rsid w:val="00F54F7E"/>
    <w:rsid w:val="00F55185"/>
    <w:rsid w:val="00F55227"/>
    <w:rsid w:val="00F558A4"/>
    <w:rsid w:val="00F55B96"/>
    <w:rsid w:val="00F55BC5"/>
    <w:rsid w:val="00F55DB0"/>
    <w:rsid w:val="00F56211"/>
    <w:rsid w:val="00F5638E"/>
    <w:rsid w:val="00F56CD4"/>
    <w:rsid w:val="00F56FD7"/>
    <w:rsid w:val="00F573C9"/>
    <w:rsid w:val="00F574B9"/>
    <w:rsid w:val="00F57584"/>
    <w:rsid w:val="00F575BA"/>
    <w:rsid w:val="00F5766F"/>
    <w:rsid w:val="00F57A67"/>
    <w:rsid w:val="00F57C6B"/>
    <w:rsid w:val="00F57C8D"/>
    <w:rsid w:val="00F6067C"/>
    <w:rsid w:val="00F60796"/>
    <w:rsid w:val="00F60C6C"/>
    <w:rsid w:val="00F60E46"/>
    <w:rsid w:val="00F61003"/>
    <w:rsid w:val="00F612BF"/>
    <w:rsid w:val="00F615C3"/>
    <w:rsid w:val="00F6180B"/>
    <w:rsid w:val="00F6184E"/>
    <w:rsid w:val="00F61DF1"/>
    <w:rsid w:val="00F62551"/>
    <w:rsid w:val="00F62568"/>
    <w:rsid w:val="00F6292A"/>
    <w:rsid w:val="00F62B9B"/>
    <w:rsid w:val="00F62CE7"/>
    <w:rsid w:val="00F63052"/>
    <w:rsid w:val="00F6315B"/>
    <w:rsid w:val="00F634BD"/>
    <w:rsid w:val="00F6393E"/>
    <w:rsid w:val="00F63D56"/>
    <w:rsid w:val="00F63E81"/>
    <w:rsid w:val="00F63F24"/>
    <w:rsid w:val="00F6438D"/>
    <w:rsid w:val="00F64BF9"/>
    <w:rsid w:val="00F64CAA"/>
    <w:rsid w:val="00F656B8"/>
    <w:rsid w:val="00F656CB"/>
    <w:rsid w:val="00F657A2"/>
    <w:rsid w:val="00F65A7E"/>
    <w:rsid w:val="00F65B67"/>
    <w:rsid w:val="00F65D3C"/>
    <w:rsid w:val="00F65FBB"/>
    <w:rsid w:val="00F66570"/>
    <w:rsid w:val="00F66718"/>
    <w:rsid w:val="00F66C98"/>
    <w:rsid w:val="00F66CCA"/>
    <w:rsid w:val="00F66D34"/>
    <w:rsid w:val="00F675F4"/>
    <w:rsid w:val="00F67734"/>
    <w:rsid w:val="00F67B3E"/>
    <w:rsid w:val="00F701F7"/>
    <w:rsid w:val="00F70A5E"/>
    <w:rsid w:val="00F710A3"/>
    <w:rsid w:val="00F71182"/>
    <w:rsid w:val="00F7134D"/>
    <w:rsid w:val="00F71497"/>
    <w:rsid w:val="00F7178F"/>
    <w:rsid w:val="00F71A01"/>
    <w:rsid w:val="00F71BF3"/>
    <w:rsid w:val="00F722D0"/>
    <w:rsid w:val="00F727AE"/>
    <w:rsid w:val="00F728CF"/>
    <w:rsid w:val="00F72A9F"/>
    <w:rsid w:val="00F72C24"/>
    <w:rsid w:val="00F72DD0"/>
    <w:rsid w:val="00F73215"/>
    <w:rsid w:val="00F732AA"/>
    <w:rsid w:val="00F732BC"/>
    <w:rsid w:val="00F732BF"/>
    <w:rsid w:val="00F73543"/>
    <w:rsid w:val="00F73B58"/>
    <w:rsid w:val="00F73BE8"/>
    <w:rsid w:val="00F740F3"/>
    <w:rsid w:val="00F74142"/>
    <w:rsid w:val="00F74631"/>
    <w:rsid w:val="00F7483A"/>
    <w:rsid w:val="00F74879"/>
    <w:rsid w:val="00F74B14"/>
    <w:rsid w:val="00F74B32"/>
    <w:rsid w:val="00F74DAE"/>
    <w:rsid w:val="00F75640"/>
    <w:rsid w:val="00F756A9"/>
    <w:rsid w:val="00F7580A"/>
    <w:rsid w:val="00F7606B"/>
    <w:rsid w:val="00F76421"/>
    <w:rsid w:val="00F76448"/>
    <w:rsid w:val="00F7647E"/>
    <w:rsid w:val="00F76739"/>
    <w:rsid w:val="00F76B25"/>
    <w:rsid w:val="00F76F98"/>
    <w:rsid w:val="00F76FEB"/>
    <w:rsid w:val="00F7702E"/>
    <w:rsid w:val="00F77258"/>
    <w:rsid w:val="00F77637"/>
    <w:rsid w:val="00F7789C"/>
    <w:rsid w:val="00F77BAF"/>
    <w:rsid w:val="00F77C22"/>
    <w:rsid w:val="00F8007E"/>
    <w:rsid w:val="00F807F0"/>
    <w:rsid w:val="00F80C14"/>
    <w:rsid w:val="00F81B99"/>
    <w:rsid w:val="00F81C8A"/>
    <w:rsid w:val="00F81F24"/>
    <w:rsid w:val="00F82014"/>
    <w:rsid w:val="00F82451"/>
    <w:rsid w:val="00F824B6"/>
    <w:rsid w:val="00F83599"/>
    <w:rsid w:val="00F836AB"/>
    <w:rsid w:val="00F8371B"/>
    <w:rsid w:val="00F8399D"/>
    <w:rsid w:val="00F83B7F"/>
    <w:rsid w:val="00F841FD"/>
    <w:rsid w:val="00F8448B"/>
    <w:rsid w:val="00F84805"/>
    <w:rsid w:val="00F84937"/>
    <w:rsid w:val="00F84B49"/>
    <w:rsid w:val="00F84F4E"/>
    <w:rsid w:val="00F851BE"/>
    <w:rsid w:val="00F85E22"/>
    <w:rsid w:val="00F86738"/>
    <w:rsid w:val="00F86B09"/>
    <w:rsid w:val="00F86B35"/>
    <w:rsid w:val="00F86FCC"/>
    <w:rsid w:val="00F874E3"/>
    <w:rsid w:val="00F87F96"/>
    <w:rsid w:val="00F900D8"/>
    <w:rsid w:val="00F9017F"/>
    <w:rsid w:val="00F9059B"/>
    <w:rsid w:val="00F906A2"/>
    <w:rsid w:val="00F9075D"/>
    <w:rsid w:val="00F907D1"/>
    <w:rsid w:val="00F912AE"/>
    <w:rsid w:val="00F914BE"/>
    <w:rsid w:val="00F9168D"/>
    <w:rsid w:val="00F91936"/>
    <w:rsid w:val="00F91A68"/>
    <w:rsid w:val="00F9209C"/>
    <w:rsid w:val="00F92330"/>
    <w:rsid w:val="00F923DD"/>
    <w:rsid w:val="00F92696"/>
    <w:rsid w:val="00F931C9"/>
    <w:rsid w:val="00F93712"/>
    <w:rsid w:val="00F9397A"/>
    <w:rsid w:val="00F93E24"/>
    <w:rsid w:val="00F93F75"/>
    <w:rsid w:val="00F94AC8"/>
    <w:rsid w:val="00F94CCD"/>
    <w:rsid w:val="00F9523F"/>
    <w:rsid w:val="00F95377"/>
    <w:rsid w:val="00F9568D"/>
    <w:rsid w:val="00F96234"/>
    <w:rsid w:val="00F964CE"/>
    <w:rsid w:val="00F96ADC"/>
    <w:rsid w:val="00F96E79"/>
    <w:rsid w:val="00F97351"/>
    <w:rsid w:val="00F974E1"/>
    <w:rsid w:val="00F974EA"/>
    <w:rsid w:val="00F97733"/>
    <w:rsid w:val="00F9784B"/>
    <w:rsid w:val="00F97967"/>
    <w:rsid w:val="00F97A9C"/>
    <w:rsid w:val="00FA03C1"/>
    <w:rsid w:val="00FA051A"/>
    <w:rsid w:val="00FA0937"/>
    <w:rsid w:val="00FA0E97"/>
    <w:rsid w:val="00FA12C6"/>
    <w:rsid w:val="00FA1357"/>
    <w:rsid w:val="00FA15DD"/>
    <w:rsid w:val="00FA19CC"/>
    <w:rsid w:val="00FA1ADE"/>
    <w:rsid w:val="00FA1EA1"/>
    <w:rsid w:val="00FA206E"/>
    <w:rsid w:val="00FA2083"/>
    <w:rsid w:val="00FA2084"/>
    <w:rsid w:val="00FA208E"/>
    <w:rsid w:val="00FA2B02"/>
    <w:rsid w:val="00FA2B84"/>
    <w:rsid w:val="00FA2EF0"/>
    <w:rsid w:val="00FA2F7F"/>
    <w:rsid w:val="00FA387B"/>
    <w:rsid w:val="00FA3BEA"/>
    <w:rsid w:val="00FA3C41"/>
    <w:rsid w:val="00FA3C51"/>
    <w:rsid w:val="00FA3E73"/>
    <w:rsid w:val="00FA3EA6"/>
    <w:rsid w:val="00FA4057"/>
    <w:rsid w:val="00FA4417"/>
    <w:rsid w:val="00FA4621"/>
    <w:rsid w:val="00FA52EA"/>
    <w:rsid w:val="00FA5717"/>
    <w:rsid w:val="00FA5852"/>
    <w:rsid w:val="00FA5877"/>
    <w:rsid w:val="00FA5E0F"/>
    <w:rsid w:val="00FA6166"/>
    <w:rsid w:val="00FA6283"/>
    <w:rsid w:val="00FA6286"/>
    <w:rsid w:val="00FA64F1"/>
    <w:rsid w:val="00FA6891"/>
    <w:rsid w:val="00FA6A9E"/>
    <w:rsid w:val="00FA6EFD"/>
    <w:rsid w:val="00FA732A"/>
    <w:rsid w:val="00FA7653"/>
    <w:rsid w:val="00FA78C3"/>
    <w:rsid w:val="00FA7FB0"/>
    <w:rsid w:val="00FB0247"/>
    <w:rsid w:val="00FB0A6D"/>
    <w:rsid w:val="00FB0CE6"/>
    <w:rsid w:val="00FB0E6F"/>
    <w:rsid w:val="00FB1115"/>
    <w:rsid w:val="00FB1128"/>
    <w:rsid w:val="00FB19E9"/>
    <w:rsid w:val="00FB1BF9"/>
    <w:rsid w:val="00FB2AC1"/>
    <w:rsid w:val="00FB2CBA"/>
    <w:rsid w:val="00FB2D8C"/>
    <w:rsid w:val="00FB339B"/>
    <w:rsid w:val="00FB359C"/>
    <w:rsid w:val="00FB3626"/>
    <w:rsid w:val="00FB37DF"/>
    <w:rsid w:val="00FB3896"/>
    <w:rsid w:val="00FB39A6"/>
    <w:rsid w:val="00FB39F4"/>
    <w:rsid w:val="00FB3AC8"/>
    <w:rsid w:val="00FB3B7D"/>
    <w:rsid w:val="00FB3CC0"/>
    <w:rsid w:val="00FB4A4B"/>
    <w:rsid w:val="00FB4AE4"/>
    <w:rsid w:val="00FB4EED"/>
    <w:rsid w:val="00FB5162"/>
    <w:rsid w:val="00FB516B"/>
    <w:rsid w:val="00FB52C9"/>
    <w:rsid w:val="00FB5350"/>
    <w:rsid w:val="00FB61AA"/>
    <w:rsid w:val="00FB67C5"/>
    <w:rsid w:val="00FB6D82"/>
    <w:rsid w:val="00FB6F7F"/>
    <w:rsid w:val="00FB6FA6"/>
    <w:rsid w:val="00FB7405"/>
    <w:rsid w:val="00FB77DD"/>
    <w:rsid w:val="00FB7A8E"/>
    <w:rsid w:val="00FB7FB3"/>
    <w:rsid w:val="00FC0068"/>
    <w:rsid w:val="00FC02A9"/>
    <w:rsid w:val="00FC0953"/>
    <w:rsid w:val="00FC096A"/>
    <w:rsid w:val="00FC0A79"/>
    <w:rsid w:val="00FC0ACF"/>
    <w:rsid w:val="00FC0FFC"/>
    <w:rsid w:val="00FC103B"/>
    <w:rsid w:val="00FC10B2"/>
    <w:rsid w:val="00FC12C6"/>
    <w:rsid w:val="00FC15CA"/>
    <w:rsid w:val="00FC1959"/>
    <w:rsid w:val="00FC1E5E"/>
    <w:rsid w:val="00FC2509"/>
    <w:rsid w:val="00FC27CE"/>
    <w:rsid w:val="00FC2972"/>
    <w:rsid w:val="00FC29EF"/>
    <w:rsid w:val="00FC2A3E"/>
    <w:rsid w:val="00FC2BCE"/>
    <w:rsid w:val="00FC3118"/>
    <w:rsid w:val="00FC3430"/>
    <w:rsid w:val="00FC37C2"/>
    <w:rsid w:val="00FC39F7"/>
    <w:rsid w:val="00FC428B"/>
    <w:rsid w:val="00FC44FE"/>
    <w:rsid w:val="00FC463C"/>
    <w:rsid w:val="00FC4793"/>
    <w:rsid w:val="00FC49D7"/>
    <w:rsid w:val="00FC5554"/>
    <w:rsid w:val="00FC57F3"/>
    <w:rsid w:val="00FC59F6"/>
    <w:rsid w:val="00FC5A79"/>
    <w:rsid w:val="00FC5C4A"/>
    <w:rsid w:val="00FC5E4A"/>
    <w:rsid w:val="00FC618C"/>
    <w:rsid w:val="00FC668F"/>
    <w:rsid w:val="00FC6962"/>
    <w:rsid w:val="00FC6BE6"/>
    <w:rsid w:val="00FC6D99"/>
    <w:rsid w:val="00FC6EA2"/>
    <w:rsid w:val="00FC6F54"/>
    <w:rsid w:val="00FC71E6"/>
    <w:rsid w:val="00FC753D"/>
    <w:rsid w:val="00FC7545"/>
    <w:rsid w:val="00FC7D61"/>
    <w:rsid w:val="00FC7EEE"/>
    <w:rsid w:val="00FD0860"/>
    <w:rsid w:val="00FD0BB0"/>
    <w:rsid w:val="00FD0BD0"/>
    <w:rsid w:val="00FD100D"/>
    <w:rsid w:val="00FD134A"/>
    <w:rsid w:val="00FD1823"/>
    <w:rsid w:val="00FD1CA7"/>
    <w:rsid w:val="00FD1E5A"/>
    <w:rsid w:val="00FD2010"/>
    <w:rsid w:val="00FD2056"/>
    <w:rsid w:val="00FD22F9"/>
    <w:rsid w:val="00FD2B48"/>
    <w:rsid w:val="00FD2D19"/>
    <w:rsid w:val="00FD2E42"/>
    <w:rsid w:val="00FD3099"/>
    <w:rsid w:val="00FD32E5"/>
    <w:rsid w:val="00FD339B"/>
    <w:rsid w:val="00FD3473"/>
    <w:rsid w:val="00FD3861"/>
    <w:rsid w:val="00FD3C60"/>
    <w:rsid w:val="00FD41A1"/>
    <w:rsid w:val="00FD45F1"/>
    <w:rsid w:val="00FD4C7D"/>
    <w:rsid w:val="00FD58CE"/>
    <w:rsid w:val="00FD5920"/>
    <w:rsid w:val="00FD5D41"/>
    <w:rsid w:val="00FD5D91"/>
    <w:rsid w:val="00FD65E5"/>
    <w:rsid w:val="00FD663D"/>
    <w:rsid w:val="00FD6849"/>
    <w:rsid w:val="00FD69EE"/>
    <w:rsid w:val="00FD6B1F"/>
    <w:rsid w:val="00FD733D"/>
    <w:rsid w:val="00FD73D3"/>
    <w:rsid w:val="00FD7822"/>
    <w:rsid w:val="00FD78AF"/>
    <w:rsid w:val="00FD79A1"/>
    <w:rsid w:val="00FD7C45"/>
    <w:rsid w:val="00FE01EB"/>
    <w:rsid w:val="00FE0A3B"/>
    <w:rsid w:val="00FE0AF8"/>
    <w:rsid w:val="00FE0CAE"/>
    <w:rsid w:val="00FE0DE7"/>
    <w:rsid w:val="00FE0E22"/>
    <w:rsid w:val="00FE11D8"/>
    <w:rsid w:val="00FE1202"/>
    <w:rsid w:val="00FE130A"/>
    <w:rsid w:val="00FE172C"/>
    <w:rsid w:val="00FE19F9"/>
    <w:rsid w:val="00FE1CA9"/>
    <w:rsid w:val="00FE1F2D"/>
    <w:rsid w:val="00FE22EA"/>
    <w:rsid w:val="00FE2341"/>
    <w:rsid w:val="00FE2499"/>
    <w:rsid w:val="00FE2B9B"/>
    <w:rsid w:val="00FE32B5"/>
    <w:rsid w:val="00FE359E"/>
    <w:rsid w:val="00FE38CF"/>
    <w:rsid w:val="00FE3CFA"/>
    <w:rsid w:val="00FE3FA5"/>
    <w:rsid w:val="00FE43E3"/>
    <w:rsid w:val="00FE4B2B"/>
    <w:rsid w:val="00FE4DED"/>
    <w:rsid w:val="00FE4F7E"/>
    <w:rsid w:val="00FE59E2"/>
    <w:rsid w:val="00FE5B3A"/>
    <w:rsid w:val="00FE5E0F"/>
    <w:rsid w:val="00FE69B9"/>
    <w:rsid w:val="00FE6AAA"/>
    <w:rsid w:val="00FE6B8D"/>
    <w:rsid w:val="00FE71D1"/>
    <w:rsid w:val="00FE7A02"/>
    <w:rsid w:val="00FE7A24"/>
    <w:rsid w:val="00FE7C77"/>
    <w:rsid w:val="00FE7DC6"/>
    <w:rsid w:val="00FF0760"/>
    <w:rsid w:val="00FF1178"/>
    <w:rsid w:val="00FF1544"/>
    <w:rsid w:val="00FF17B4"/>
    <w:rsid w:val="00FF1DE1"/>
    <w:rsid w:val="00FF1F99"/>
    <w:rsid w:val="00FF24FA"/>
    <w:rsid w:val="00FF2EF5"/>
    <w:rsid w:val="00FF36C8"/>
    <w:rsid w:val="00FF36F7"/>
    <w:rsid w:val="00FF3ED0"/>
    <w:rsid w:val="00FF4155"/>
    <w:rsid w:val="00FF45FC"/>
    <w:rsid w:val="00FF543B"/>
    <w:rsid w:val="00FF5593"/>
    <w:rsid w:val="00FF59C3"/>
    <w:rsid w:val="00FF5FE8"/>
    <w:rsid w:val="00FF6D2A"/>
    <w:rsid w:val="00FF70D8"/>
    <w:rsid w:val="00FF78C1"/>
    <w:rsid w:val="00FF7CC8"/>
    <w:rsid w:val="012119E3"/>
    <w:rsid w:val="01450D9C"/>
    <w:rsid w:val="015726F8"/>
    <w:rsid w:val="01A0154B"/>
    <w:rsid w:val="01A60F93"/>
    <w:rsid w:val="01BCC20A"/>
    <w:rsid w:val="01BF0169"/>
    <w:rsid w:val="01F0FACF"/>
    <w:rsid w:val="02346A59"/>
    <w:rsid w:val="0240C0FB"/>
    <w:rsid w:val="0241F61C"/>
    <w:rsid w:val="0291EECC"/>
    <w:rsid w:val="02A2C5C8"/>
    <w:rsid w:val="02BA3CB4"/>
    <w:rsid w:val="02DAC47E"/>
    <w:rsid w:val="03014F86"/>
    <w:rsid w:val="030CCDAE"/>
    <w:rsid w:val="030E2E74"/>
    <w:rsid w:val="032789B0"/>
    <w:rsid w:val="032E3BA2"/>
    <w:rsid w:val="033615E3"/>
    <w:rsid w:val="033C6DD3"/>
    <w:rsid w:val="03B63A00"/>
    <w:rsid w:val="03C3B90E"/>
    <w:rsid w:val="03C5811C"/>
    <w:rsid w:val="03DB3CE5"/>
    <w:rsid w:val="03F0AD01"/>
    <w:rsid w:val="03F11B37"/>
    <w:rsid w:val="0421D11B"/>
    <w:rsid w:val="04456C6A"/>
    <w:rsid w:val="04551036"/>
    <w:rsid w:val="0474FB00"/>
    <w:rsid w:val="047C962E"/>
    <w:rsid w:val="047D1305"/>
    <w:rsid w:val="04974C87"/>
    <w:rsid w:val="04BC05DD"/>
    <w:rsid w:val="04DC826E"/>
    <w:rsid w:val="04E4A765"/>
    <w:rsid w:val="04FBD9A7"/>
    <w:rsid w:val="04FF3085"/>
    <w:rsid w:val="0505352C"/>
    <w:rsid w:val="051C6919"/>
    <w:rsid w:val="05471530"/>
    <w:rsid w:val="0563E9B0"/>
    <w:rsid w:val="05685BAB"/>
    <w:rsid w:val="05920DA2"/>
    <w:rsid w:val="05AC122C"/>
    <w:rsid w:val="05C43A9F"/>
    <w:rsid w:val="05CEF538"/>
    <w:rsid w:val="05E20DCB"/>
    <w:rsid w:val="05F85444"/>
    <w:rsid w:val="060F0000"/>
    <w:rsid w:val="0616A34E"/>
    <w:rsid w:val="0628F3BD"/>
    <w:rsid w:val="0683DC2D"/>
    <w:rsid w:val="068ECBA9"/>
    <w:rsid w:val="06BFC26C"/>
    <w:rsid w:val="06CDA5E9"/>
    <w:rsid w:val="06D0A9E2"/>
    <w:rsid w:val="06F5C37E"/>
    <w:rsid w:val="06F641CF"/>
    <w:rsid w:val="06F6EC1E"/>
    <w:rsid w:val="0718B33C"/>
    <w:rsid w:val="071C0916"/>
    <w:rsid w:val="07284DC3"/>
    <w:rsid w:val="07390AE4"/>
    <w:rsid w:val="073F3653"/>
    <w:rsid w:val="07747667"/>
    <w:rsid w:val="079C8D31"/>
    <w:rsid w:val="079CC614"/>
    <w:rsid w:val="07B5C4EC"/>
    <w:rsid w:val="07C936EB"/>
    <w:rsid w:val="07CD723B"/>
    <w:rsid w:val="07CE2676"/>
    <w:rsid w:val="07D3C884"/>
    <w:rsid w:val="0809AE38"/>
    <w:rsid w:val="084A3B24"/>
    <w:rsid w:val="0859E710"/>
    <w:rsid w:val="086E120D"/>
    <w:rsid w:val="0870AD3B"/>
    <w:rsid w:val="0872713B"/>
    <w:rsid w:val="0874761F"/>
    <w:rsid w:val="08748A2C"/>
    <w:rsid w:val="08C8E278"/>
    <w:rsid w:val="09127DA5"/>
    <w:rsid w:val="0979DDE0"/>
    <w:rsid w:val="0983D52B"/>
    <w:rsid w:val="0985905D"/>
    <w:rsid w:val="09866B31"/>
    <w:rsid w:val="09920F66"/>
    <w:rsid w:val="09A9830D"/>
    <w:rsid w:val="09BADF03"/>
    <w:rsid w:val="09C61A6F"/>
    <w:rsid w:val="09CF1551"/>
    <w:rsid w:val="09DD069D"/>
    <w:rsid w:val="09E7928E"/>
    <w:rsid w:val="0A0FA985"/>
    <w:rsid w:val="0A105A8D"/>
    <w:rsid w:val="0A3C6FAC"/>
    <w:rsid w:val="0A419F78"/>
    <w:rsid w:val="0A6C62A5"/>
    <w:rsid w:val="0A7FC24F"/>
    <w:rsid w:val="0A95ABAE"/>
    <w:rsid w:val="0A98C77F"/>
    <w:rsid w:val="0A9A9DAD"/>
    <w:rsid w:val="0AA3B6E7"/>
    <w:rsid w:val="0ABBD1DF"/>
    <w:rsid w:val="0AFC7ABF"/>
    <w:rsid w:val="0B0E432C"/>
    <w:rsid w:val="0B2A1AE6"/>
    <w:rsid w:val="0B3A891B"/>
    <w:rsid w:val="0B6E53AD"/>
    <w:rsid w:val="0B730987"/>
    <w:rsid w:val="0BA461B9"/>
    <w:rsid w:val="0BB42598"/>
    <w:rsid w:val="0BB6566E"/>
    <w:rsid w:val="0BCCCED0"/>
    <w:rsid w:val="0BEAF447"/>
    <w:rsid w:val="0BF2FA7E"/>
    <w:rsid w:val="0C1F4276"/>
    <w:rsid w:val="0C1FD1BA"/>
    <w:rsid w:val="0C46AFC4"/>
    <w:rsid w:val="0C98ABFF"/>
    <w:rsid w:val="0C9D7D76"/>
    <w:rsid w:val="0C9D8D4A"/>
    <w:rsid w:val="0CB4591E"/>
    <w:rsid w:val="0CB9C1E5"/>
    <w:rsid w:val="0CCB7012"/>
    <w:rsid w:val="0D575558"/>
    <w:rsid w:val="0D614AC3"/>
    <w:rsid w:val="0D61F4B3"/>
    <w:rsid w:val="0D7D8725"/>
    <w:rsid w:val="0DBFDEA2"/>
    <w:rsid w:val="0DD40AC7"/>
    <w:rsid w:val="0DD95D04"/>
    <w:rsid w:val="0DDEA04A"/>
    <w:rsid w:val="0DEEFFE3"/>
    <w:rsid w:val="0E1A600A"/>
    <w:rsid w:val="0E2E066A"/>
    <w:rsid w:val="0E4F1555"/>
    <w:rsid w:val="0E509BF0"/>
    <w:rsid w:val="0E757437"/>
    <w:rsid w:val="0EB42A6B"/>
    <w:rsid w:val="0F00A830"/>
    <w:rsid w:val="0F38CD26"/>
    <w:rsid w:val="0F4D9B23"/>
    <w:rsid w:val="0F51B100"/>
    <w:rsid w:val="0F6DD04A"/>
    <w:rsid w:val="0F8E596A"/>
    <w:rsid w:val="0FAEAC93"/>
    <w:rsid w:val="0FB3AB28"/>
    <w:rsid w:val="0FD7F0EF"/>
    <w:rsid w:val="0FD97DC8"/>
    <w:rsid w:val="0FDF473F"/>
    <w:rsid w:val="0FE10010"/>
    <w:rsid w:val="1000B972"/>
    <w:rsid w:val="10204B60"/>
    <w:rsid w:val="10347242"/>
    <w:rsid w:val="1064ABEC"/>
    <w:rsid w:val="107411A6"/>
    <w:rsid w:val="1084DD77"/>
    <w:rsid w:val="108F9A37"/>
    <w:rsid w:val="10B4E965"/>
    <w:rsid w:val="10B73F5F"/>
    <w:rsid w:val="10EECC9B"/>
    <w:rsid w:val="10EF76BB"/>
    <w:rsid w:val="10F62382"/>
    <w:rsid w:val="11074BF6"/>
    <w:rsid w:val="1113F31E"/>
    <w:rsid w:val="113219C8"/>
    <w:rsid w:val="1154C7C9"/>
    <w:rsid w:val="115AC958"/>
    <w:rsid w:val="116D03B5"/>
    <w:rsid w:val="11C302AA"/>
    <w:rsid w:val="11E4784E"/>
    <w:rsid w:val="11FB4A3E"/>
    <w:rsid w:val="12112C5D"/>
    <w:rsid w:val="125F2E91"/>
    <w:rsid w:val="12744C2C"/>
    <w:rsid w:val="12768259"/>
    <w:rsid w:val="12B0001C"/>
    <w:rsid w:val="12CB14F8"/>
    <w:rsid w:val="12E029F5"/>
    <w:rsid w:val="12EA7C9D"/>
    <w:rsid w:val="12ED0B07"/>
    <w:rsid w:val="12F41997"/>
    <w:rsid w:val="130BF400"/>
    <w:rsid w:val="1323E6FE"/>
    <w:rsid w:val="132F317D"/>
    <w:rsid w:val="132F738C"/>
    <w:rsid w:val="1330A5A5"/>
    <w:rsid w:val="1330FA89"/>
    <w:rsid w:val="13A5FFA1"/>
    <w:rsid w:val="13AB6D08"/>
    <w:rsid w:val="13AE5148"/>
    <w:rsid w:val="13C4C361"/>
    <w:rsid w:val="13D2EB71"/>
    <w:rsid w:val="13D9A69A"/>
    <w:rsid w:val="13EEE021"/>
    <w:rsid w:val="1402B1FD"/>
    <w:rsid w:val="140FCE6C"/>
    <w:rsid w:val="141C2768"/>
    <w:rsid w:val="143A2A95"/>
    <w:rsid w:val="144B5925"/>
    <w:rsid w:val="14995DED"/>
    <w:rsid w:val="149F1F69"/>
    <w:rsid w:val="14FF08D8"/>
    <w:rsid w:val="15045040"/>
    <w:rsid w:val="15253360"/>
    <w:rsid w:val="15357774"/>
    <w:rsid w:val="156C76E1"/>
    <w:rsid w:val="15A469AA"/>
    <w:rsid w:val="15AC89BC"/>
    <w:rsid w:val="15C1AD42"/>
    <w:rsid w:val="15C4C01F"/>
    <w:rsid w:val="15FFC344"/>
    <w:rsid w:val="1608FA1A"/>
    <w:rsid w:val="16139D47"/>
    <w:rsid w:val="16533F29"/>
    <w:rsid w:val="1659CFA6"/>
    <w:rsid w:val="165D39E9"/>
    <w:rsid w:val="16612851"/>
    <w:rsid w:val="16714EE7"/>
    <w:rsid w:val="169B8D1A"/>
    <w:rsid w:val="16AE5B88"/>
    <w:rsid w:val="16BBD7B9"/>
    <w:rsid w:val="16E3BCE9"/>
    <w:rsid w:val="16E5B10A"/>
    <w:rsid w:val="16E764C5"/>
    <w:rsid w:val="171A05C3"/>
    <w:rsid w:val="17307925"/>
    <w:rsid w:val="175310D8"/>
    <w:rsid w:val="17543DE7"/>
    <w:rsid w:val="1772566E"/>
    <w:rsid w:val="178554A1"/>
    <w:rsid w:val="178B4EC1"/>
    <w:rsid w:val="17979029"/>
    <w:rsid w:val="17B665DC"/>
    <w:rsid w:val="17B93599"/>
    <w:rsid w:val="17D08BC4"/>
    <w:rsid w:val="180A4011"/>
    <w:rsid w:val="18532C0D"/>
    <w:rsid w:val="187EFFE4"/>
    <w:rsid w:val="18C0FB4D"/>
    <w:rsid w:val="18D2A697"/>
    <w:rsid w:val="18ED73FA"/>
    <w:rsid w:val="1942F695"/>
    <w:rsid w:val="19460E38"/>
    <w:rsid w:val="195732DC"/>
    <w:rsid w:val="197E4BDB"/>
    <w:rsid w:val="19841F53"/>
    <w:rsid w:val="198C0560"/>
    <w:rsid w:val="199DBE76"/>
    <w:rsid w:val="19AFF4FF"/>
    <w:rsid w:val="19D6326C"/>
    <w:rsid w:val="19F15248"/>
    <w:rsid w:val="1A046AF5"/>
    <w:rsid w:val="1A522B96"/>
    <w:rsid w:val="1A75CEFE"/>
    <w:rsid w:val="1AFDB88B"/>
    <w:rsid w:val="1B072E2B"/>
    <w:rsid w:val="1B12F8EA"/>
    <w:rsid w:val="1B152C33"/>
    <w:rsid w:val="1B2E3533"/>
    <w:rsid w:val="1B4F86B8"/>
    <w:rsid w:val="1B9A33DB"/>
    <w:rsid w:val="1BA9C591"/>
    <w:rsid w:val="1BB855E2"/>
    <w:rsid w:val="1BD55C7E"/>
    <w:rsid w:val="1BD62EF4"/>
    <w:rsid w:val="1BDCB0C7"/>
    <w:rsid w:val="1BEA38CF"/>
    <w:rsid w:val="1BEEC68D"/>
    <w:rsid w:val="1C096201"/>
    <w:rsid w:val="1C18AA09"/>
    <w:rsid w:val="1C423727"/>
    <w:rsid w:val="1C449E01"/>
    <w:rsid w:val="1C69B4EC"/>
    <w:rsid w:val="1C70623E"/>
    <w:rsid w:val="1C7099BE"/>
    <w:rsid w:val="1C72B1C5"/>
    <w:rsid w:val="1C80C9DE"/>
    <w:rsid w:val="1C86D016"/>
    <w:rsid w:val="1CC2E95A"/>
    <w:rsid w:val="1CD4FD5C"/>
    <w:rsid w:val="1CDF4E2C"/>
    <w:rsid w:val="1CE0280B"/>
    <w:rsid w:val="1CE37A50"/>
    <w:rsid w:val="1CEB5EFF"/>
    <w:rsid w:val="1CF21478"/>
    <w:rsid w:val="1CF8DB30"/>
    <w:rsid w:val="1CFA0077"/>
    <w:rsid w:val="1D111180"/>
    <w:rsid w:val="1D1ACCB0"/>
    <w:rsid w:val="1D2403CB"/>
    <w:rsid w:val="1D29606A"/>
    <w:rsid w:val="1D31CADA"/>
    <w:rsid w:val="1D47D807"/>
    <w:rsid w:val="1D53D34E"/>
    <w:rsid w:val="1D5B361E"/>
    <w:rsid w:val="1D823196"/>
    <w:rsid w:val="1D89955A"/>
    <w:rsid w:val="1D9AAD88"/>
    <w:rsid w:val="1DA2B81F"/>
    <w:rsid w:val="1DD36A55"/>
    <w:rsid w:val="1DD40D3E"/>
    <w:rsid w:val="1DECFFD2"/>
    <w:rsid w:val="1E083CD6"/>
    <w:rsid w:val="1E191ECE"/>
    <w:rsid w:val="1E25CC9C"/>
    <w:rsid w:val="1E40DD62"/>
    <w:rsid w:val="1E46CBF8"/>
    <w:rsid w:val="1E616B48"/>
    <w:rsid w:val="1E67BE77"/>
    <w:rsid w:val="1E7BB592"/>
    <w:rsid w:val="1E93494C"/>
    <w:rsid w:val="1E9AF302"/>
    <w:rsid w:val="1EFB6617"/>
    <w:rsid w:val="1F1C3B8F"/>
    <w:rsid w:val="1F1ED127"/>
    <w:rsid w:val="1F2791B1"/>
    <w:rsid w:val="1F2AEFB6"/>
    <w:rsid w:val="1F59FC13"/>
    <w:rsid w:val="1F76BE08"/>
    <w:rsid w:val="1F7F5309"/>
    <w:rsid w:val="1F93FF7D"/>
    <w:rsid w:val="1F979537"/>
    <w:rsid w:val="1FC6E087"/>
    <w:rsid w:val="1FE4E78C"/>
    <w:rsid w:val="1FECE63E"/>
    <w:rsid w:val="1FFD7871"/>
    <w:rsid w:val="201D1D8B"/>
    <w:rsid w:val="203401A8"/>
    <w:rsid w:val="20352794"/>
    <w:rsid w:val="207FF61C"/>
    <w:rsid w:val="209A47A9"/>
    <w:rsid w:val="20AF81BE"/>
    <w:rsid w:val="20B0E9AE"/>
    <w:rsid w:val="20E2D27D"/>
    <w:rsid w:val="20F924AE"/>
    <w:rsid w:val="21037CF2"/>
    <w:rsid w:val="21078934"/>
    <w:rsid w:val="21112B28"/>
    <w:rsid w:val="2114B7C9"/>
    <w:rsid w:val="21230FF5"/>
    <w:rsid w:val="212F20C8"/>
    <w:rsid w:val="216B220C"/>
    <w:rsid w:val="216CAFF7"/>
    <w:rsid w:val="218D99ED"/>
    <w:rsid w:val="21903F09"/>
    <w:rsid w:val="21B4FE84"/>
    <w:rsid w:val="21BFEE69"/>
    <w:rsid w:val="2202D31B"/>
    <w:rsid w:val="223091C2"/>
    <w:rsid w:val="226DF1D2"/>
    <w:rsid w:val="2279F187"/>
    <w:rsid w:val="2290E6B5"/>
    <w:rsid w:val="229A88FF"/>
    <w:rsid w:val="22A074FD"/>
    <w:rsid w:val="22AEF221"/>
    <w:rsid w:val="22D2E4BB"/>
    <w:rsid w:val="22F2C23A"/>
    <w:rsid w:val="2334B8E9"/>
    <w:rsid w:val="234E3CD1"/>
    <w:rsid w:val="235384F3"/>
    <w:rsid w:val="2356422B"/>
    <w:rsid w:val="235C022B"/>
    <w:rsid w:val="23850E4F"/>
    <w:rsid w:val="2390EEFB"/>
    <w:rsid w:val="239DF46B"/>
    <w:rsid w:val="23BBCA3B"/>
    <w:rsid w:val="23BF38E7"/>
    <w:rsid w:val="23D55CF7"/>
    <w:rsid w:val="23D99F29"/>
    <w:rsid w:val="23F0ED46"/>
    <w:rsid w:val="23F7B7EA"/>
    <w:rsid w:val="2403A5F3"/>
    <w:rsid w:val="240CF171"/>
    <w:rsid w:val="24326DFA"/>
    <w:rsid w:val="2438B05E"/>
    <w:rsid w:val="243BC6DE"/>
    <w:rsid w:val="2454E2A8"/>
    <w:rsid w:val="2459D5B7"/>
    <w:rsid w:val="24706F65"/>
    <w:rsid w:val="249E140F"/>
    <w:rsid w:val="249F428C"/>
    <w:rsid w:val="24BEB29E"/>
    <w:rsid w:val="24E216F8"/>
    <w:rsid w:val="24E743D7"/>
    <w:rsid w:val="2546DA14"/>
    <w:rsid w:val="255949EC"/>
    <w:rsid w:val="25757CDF"/>
    <w:rsid w:val="259AF3B8"/>
    <w:rsid w:val="259F1B09"/>
    <w:rsid w:val="25A7ED88"/>
    <w:rsid w:val="25CD6284"/>
    <w:rsid w:val="25E15CEA"/>
    <w:rsid w:val="263B921E"/>
    <w:rsid w:val="26464E57"/>
    <w:rsid w:val="265A9845"/>
    <w:rsid w:val="26885DC9"/>
    <w:rsid w:val="2691654A"/>
    <w:rsid w:val="26AB7100"/>
    <w:rsid w:val="26AD3772"/>
    <w:rsid w:val="26AFC477"/>
    <w:rsid w:val="26CDFF74"/>
    <w:rsid w:val="26D41C89"/>
    <w:rsid w:val="26F1879B"/>
    <w:rsid w:val="272EE9D4"/>
    <w:rsid w:val="2752366E"/>
    <w:rsid w:val="2761F0C8"/>
    <w:rsid w:val="277592AF"/>
    <w:rsid w:val="277C5CBD"/>
    <w:rsid w:val="27997B1F"/>
    <w:rsid w:val="27BDE8E1"/>
    <w:rsid w:val="27CB0BBB"/>
    <w:rsid w:val="27CB242F"/>
    <w:rsid w:val="27E86C94"/>
    <w:rsid w:val="27E9DFE8"/>
    <w:rsid w:val="2836B6B4"/>
    <w:rsid w:val="283C466E"/>
    <w:rsid w:val="283C7844"/>
    <w:rsid w:val="28745DD8"/>
    <w:rsid w:val="289A66FC"/>
    <w:rsid w:val="28C28B61"/>
    <w:rsid w:val="28C74E6C"/>
    <w:rsid w:val="28E09C50"/>
    <w:rsid w:val="28EF6795"/>
    <w:rsid w:val="28FA1BBC"/>
    <w:rsid w:val="29138080"/>
    <w:rsid w:val="291E894A"/>
    <w:rsid w:val="293C9B25"/>
    <w:rsid w:val="294B3415"/>
    <w:rsid w:val="296E3580"/>
    <w:rsid w:val="2984F90A"/>
    <w:rsid w:val="29945FFC"/>
    <w:rsid w:val="299958B0"/>
    <w:rsid w:val="29A76C59"/>
    <w:rsid w:val="29CBED3B"/>
    <w:rsid w:val="29EECF8F"/>
    <w:rsid w:val="2A01D176"/>
    <w:rsid w:val="2A07AE9F"/>
    <w:rsid w:val="2A13180F"/>
    <w:rsid w:val="2A35B631"/>
    <w:rsid w:val="2A36489F"/>
    <w:rsid w:val="2A82867A"/>
    <w:rsid w:val="2A83F8C0"/>
    <w:rsid w:val="2A8BB863"/>
    <w:rsid w:val="2A97567E"/>
    <w:rsid w:val="2A9DB9C0"/>
    <w:rsid w:val="2AA2938B"/>
    <w:rsid w:val="2AB5E32B"/>
    <w:rsid w:val="2ABB1544"/>
    <w:rsid w:val="2AD9BA9A"/>
    <w:rsid w:val="2AF14E65"/>
    <w:rsid w:val="2B014FB4"/>
    <w:rsid w:val="2B26069C"/>
    <w:rsid w:val="2B293759"/>
    <w:rsid w:val="2B596FBF"/>
    <w:rsid w:val="2B675732"/>
    <w:rsid w:val="2B70E53C"/>
    <w:rsid w:val="2B73676E"/>
    <w:rsid w:val="2B74A19A"/>
    <w:rsid w:val="2BA4D399"/>
    <w:rsid w:val="2BA52449"/>
    <w:rsid w:val="2BA6CE67"/>
    <w:rsid w:val="2BC2F108"/>
    <w:rsid w:val="2BDA9719"/>
    <w:rsid w:val="2BF311F7"/>
    <w:rsid w:val="2BFFE996"/>
    <w:rsid w:val="2C12CD90"/>
    <w:rsid w:val="2C1996BE"/>
    <w:rsid w:val="2C19DA76"/>
    <w:rsid w:val="2C2536A7"/>
    <w:rsid w:val="2C42BB02"/>
    <w:rsid w:val="2C437594"/>
    <w:rsid w:val="2C497760"/>
    <w:rsid w:val="2C5DA1C1"/>
    <w:rsid w:val="2C912460"/>
    <w:rsid w:val="2C9421DF"/>
    <w:rsid w:val="2C9A7A4D"/>
    <w:rsid w:val="2C9D9B8A"/>
    <w:rsid w:val="2CA496A0"/>
    <w:rsid w:val="2CC5A338"/>
    <w:rsid w:val="2CD1B2B8"/>
    <w:rsid w:val="2CDA1C86"/>
    <w:rsid w:val="2CE6F9A6"/>
    <w:rsid w:val="2D0D16B7"/>
    <w:rsid w:val="2D915619"/>
    <w:rsid w:val="2DC36D74"/>
    <w:rsid w:val="2DC40547"/>
    <w:rsid w:val="2DCC434E"/>
    <w:rsid w:val="2DE72000"/>
    <w:rsid w:val="2E08FBE8"/>
    <w:rsid w:val="2E11DC53"/>
    <w:rsid w:val="2E34CE79"/>
    <w:rsid w:val="2E7AE4FA"/>
    <w:rsid w:val="2E8BC8A5"/>
    <w:rsid w:val="2EAF310F"/>
    <w:rsid w:val="2EB6DF65"/>
    <w:rsid w:val="2EC03AD1"/>
    <w:rsid w:val="2EE6E29C"/>
    <w:rsid w:val="2EF0567F"/>
    <w:rsid w:val="2F036999"/>
    <w:rsid w:val="2F060551"/>
    <w:rsid w:val="2F139AFC"/>
    <w:rsid w:val="2F191BAD"/>
    <w:rsid w:val="2F3B7BCF"/>
    <w:rsid w:val="2F4A1A19"/>
    <w:rsid w:val="2F641255"/>
    <w:rsid w:val="2F65F247"/>
    <w:rsid w:val="2F732446"/>
    <w:rsid w:val="2F7AD166"/>
    <w:rsid w:val="2F7B10D1"/>
    <w:rsid w:val="2FBE0974"/>
    <w:rsid w:val="3010D31D"/>
    <w:rsid w:val="301D8877"/>
    <w:rsid w:val="30244E1F"/>
    <w:rsid w:val="30292D30"/>
    <w:rsid w:val="304448C9"/>
    <w:rsid w:val="3080D97B"/>
    <w:rsid w:val="30997356"/>
    <w:rsid w:val="30B5D1A6"/>
    <w:rsid w:val="310A5486"/>
    <w:rsid w:val="31149D44"/>
    <w:rsid w:val="312E04C5"/>
    <w:rsid w:val="313129EF"/>
    <w:rsid w:val="313970A2"/>
    <w:rsid w:val="314E271D"/>
    <w:rsid w:val="315641AE"/>
    <w:rsid w:val="317E18FC"/>
    <w:rsid w:val="319262FD"/>
    <w:rsid w:val="31A0349B"/>
    <w:rsid w:val="31C4D75C"/>
    <w:rsid w:val="31D8A05A"/>
    <w:rsid w:val="31E1624C"/>
    <w:rsid w:val="31ED7DB7"/>
    <w:rsid w:val="32264EA6"/>
    <w:rsid w:val="322AF8C8"/>
    <w:rsid w:val="3230A803"/>
    <w:rsid w:val="32321D4E"/>
    <w:rsid w:val="32335A78"/>
    <w:rsid w:val="3240C13F"/>
    <w:rsid w:val="3241B485"/>
    <w:rsid w:val="3243E24E"/>
    <w:rsid w:val="32574298"/>
    <w:rsid w:val="326552A5"/>
    <w:rsid w:val="32672C58"/>
    <w:rsid w:val="326A1BB6"/>
    <w:rsid w:val="32A635DA"/>
    <w:rsid w:val="32AE9DBE"/>
    <w:rsid w:val="32B0ACC9"/>
    <w:rsid w:val="32F807A7"/>
    <w:rsid w:val="3300D133"/>
    <w:rsid w:val="331D2CD5"/>
    <w:rsid w:val="3377584D"/>
    <w:rsid w:val="338D7A23"/>
    <w:rsid w:val="33DC7596"/>
    <w:rsid w:val="33E49165"/>
    <w:rsid w:val="3402A312"/>
    <w:rsid w:val="34045E04"/>
    <w:rsid w:val="343A0A09"/>
    <w:rsid w:val="34940E6B"/>
    <w:rsid w:val="349A8E8B"/>
    <w:rsid w:val="34B6E134"/>
    <w:rsid w:val="34D0804A"/>
    <w:rsid w:val="34D7D55D"/>
    <w:rsid w:val="34E60E9B"/>
    <w:rsid w:val="34F6CAE1"/>
    <w:rsid w:val="34FA64AC"/>
    <w:rsid w:val="34FEDA6A"/>
    <w:rsid w:val="350A545C"/>
    <w:rsid w:val="355095A4"/>
    <w:rsid w:val="3550A0F2"/>
    <w:rsid w:val="359083B8"/>
    <w:rsid w:val="35A5BD3F"/>
    <w:rsid w:val="35A6A3C3"/>
    <w:rsid w:val="35AB69D1"/>
    <w:rsid w:val="35B219D9"/>
    <w:rsid w:val="35C36AEF"/>
    <w:rsid w:val="35C896F0"/>
    <w:rsid w:val="35D712B4"/>
    <w:rsid w:val="35FF1B6F"/>
    <w:rsid w:val="36206BDE"/>
    <w:rsid w:val="3623B7BC"/>
    <w:rsid w:val="364917CE"/>
    <w:rsid w:val="3659AF18"/>
    <w:rsid w:val="36866733"/>
    <w:rsid w:val="36994190"/>
    <w:rsid w:val="36A1F760"/>
    <w:rsid w:val="36A799AB"/>
    <w:rsid w:val="36C963A6"/>
    <w:rsid w:val="36CE3159"/>
    <w:rsid w:val="36F29837"/>
    <w:rsid w:val="36FDD590"/>
    <w:rsid w:val="372431AC"/>
    <w:rsid w:val="37979F13"/>
    <w:rsid w:val="379FE973"/>
    <w:rsid w:val="37C326B0"/>
    <w:rsid w:val="37CCDD10"/>
    <w:rsid w:val="380B538B"/>
    <w:rsid w:val="381EEDD6"/>
    <w:rsid w:val="38317682"/>
    <w:rsid w:val="38355093"/>
    <w:rsid w:val="383D3352"/>
    <w:rsid w:val="38BF06E2"/>
    <w:rsid w:val="38D17633"/>
    <w:rsid w:val="38DAB866"/>
    <w:rsid w:val="38F3F679"/>
    <w:rsid w:val="395F663F"/>
    <w:rsid w:val="396CF464"/>
    <w:rsid w:val="396F7CEC"/>
    <w:rsid w:val="3985EE51"/>
    <w:rsid w:val="398F97E2"/>
    <w:rsid w:val="399C1E8B"/>
    <w:rsid w:val="39ABD77A"/>
    <w:rsid w:val="39D49B9C"/>
    <w:rsid w:val="39E669D2"/>
    <w:rsid w:val="39F9D03E"/>
    <w:rsid w:val="3A18E76D"/>
    <w:rsid w:val="3A2050AD"/>
    <w:rsid w:val="3A35FB62"/>
    <w:rsid w:val="3A3DDE7F"/>
    <w:rsid w:val="3A4802CC"/>
    <w:rsid w:val="3A76D347"/>
    <w:rsid w:val="3A78DE70"/>
    <w:rsid w:val="3A87B017"/>
    <w:rsid w:val="3ABDB5E3"/>
    <w:rsid w:val="3AFF86AD"/>
    <w:rsid w:val="3B0081C3"/>
    <w:rsid w:val="3B1A5330"/>
    <w:rsid w:val="3B312F96"/>
    <w:rsid w:val="3B3742E8"/>
    <w:rsid w:val="3B593633"/>
    <w:rsid w:val="3B6FE72B"/>
    <w:rsid w:val="3B84329C"/>
    <w:rsid w:val="3B893F03"/>
    <w:rsid w:val="3B904DDC"/>
    <w:rsid w:val="3BA772B2"/>
    <w:rsid w:val="3BADA386"/>
    <w:rsid w:val="3BAF81A1"/>
    <w:rsid w:val="3BE32021"/>
    <w:rsid w:val="3BFA4AB5"/>
    <w:rsid w:val="3C261402"/>
    <w:rsid w:val="3C2F1878"/>
    <w:rsid w:val="3C44F16E"/>
    <w:rsid w:val="3C839C52"/>
    <w:rsid w:val="3C841AC8"/>
    <w:rsid w:val="3C8DB0D5"/>
    <w:rsid w:val="3CB0BB93"/>
    <w:rsid w:val="3CE02693"/>
    <w:rsid w:val="3CF42E53"/>
    <w:rsid w:val="3D06DF4A"/>
    <w:rsid w:val="3D1498BA"/>
    <w:rsid w:val="3D14F998"/>
    <w:rsid w:val="3D15606D"/>
    <w:rsid w:val="3D18C3D1"/>
    <w:rsid w:val="3D40C717"/>
    <w:rsid w:val="3D451612"/>
    <w:rsid w:val="3D4B1E28"/>
    <w:rsid w:val="3D5624A1"/>
    <w:rsid w:val="3D63EEA4"/>
    <w:rsid w:val="3D78F71F"/>
    <w:rsid w:val="3D7EC23A"/>
    <w:rsid w:val="3D92E504"/>
    <w:rsid w:val="3DAD805A"/>
    <w:rsid w:val="3DAE8EB6"/>
    <w:rsid w:val="3DDF5D9C"/>
    <w:rsid w:val="3DEA21CD"/>
    <w:rsid w:val="3E21A1C9"/>
    <w:rsid w:val="3E275849"/>
    <w:rsid w:val="3E5E247D"/>
    <w:rsid w:val="3E6D7CCC"/>
    <w:rsid w:val="3E7B3F02"/>
    <w:rsid w:val="3E919F73"/>
    <w:rsid w:val="3E9697EF"/>
    <w:rsid w:val="3EA23437"/>
    <w:rsid w:val="3EA6382C"/>
    <w:rsid w:val="3EC1F0AC"/>
    <w:rsid w:val="3ECAF90D"/>
    <w:rsid w:val="3EF2BBDE"/>
    <w:rsid w:val="3EFDA2F4"/>
    <w:rsid w:val="3EFE834F"/>
    <w:rsid w:val="3F04F228"/>
    <w:rsid w:val="3F3F5384"/>
    <w:rsid w:val="3F4842B2"/>
    <w:rsid w:val="3F68CE52"/>
    <w:rsid w:val="3F8E727D"/>
    <w:rsid w:val="3FD74776"/>
    <w:rsid w:val="3FE2A34E"/>
    <w:rsid w:val="3FE32AE7"/>
    <w:rsid w:val="400ECE1A"/>
    <w:rsid w:val="40102869"/>
    <w:rsid w:val="401739B1"/>
    <w:rsid w:val="4026E802"/>
    <w:rsid w:val="40343AE0"/>
    <w:rsid w:val="403FB0E2"/>
    <w:rsid w:val="404238E4"/>
    <w:rsid w:val="404B55DE"/>
    <w:rsid w:val="4051D0DD"/>
    <w:rsid w:val="4053CAD7"/>
    <w:rsid w:val="40728032"/>
    <w:rsid w:val="4079062A"/>
    <w:rsid w:val="407BF2AA"/>
    <w:rsid w:val="408AB046"/>
    <w:rsid w:val="40906C24"/>
    <w:rsid w:val="40A012E3"/>
    <w:rsid w:val="40E43CB1"/>
    <w:rsid w:val="40F6B0F1"/>
    <w:rsid w:val="41076C3D"/>
    <w:rsid w:val="41778259"/>
    <w:rsid w:val="41970C69"/>
    <w:rsid w:val="4197A6B9"/>
    <w:rsid w:val="41B6188A"/>
    <w:rsid w:val="41C2E0F6"/>
    <w:rsid w:val="41C66A82"/>
    <w:rsid w:val="41C7BFE9"/>
    <w:rsid w:val="41D4089E"/>
    <w:rsid w:val="41D6A793"/>
    <w:rsid w:val="41D92584"/>
    <w:rsid w:val="41DEAFE7"/>
    <w:rsid w:val="41F107E0"/>
    <w:rsid w:val="41FC92B9"/>
    <w:rsid w:val="42232F42"/>
    <w:rsid w:val="4263CABD"/>
    <w:rsid w:val="42654CA2"/>
    <w:rsid w:val="42715C7A"/>
    <w:rsid w:val="4276E90A"/>
    <w:rsid w:val="42801F9E"/>
    <w:rsid w:val="4298527E"/>
    <w:rsid w:val="42B2AAA8"/>
    <w:rsid w:val="42C50922"/>
    <w:rsid w:val="42E2E8D4"/>
    <w:rsid w:val="43067D3A"/>
    <w:rsid w:val="432278F0"/>
    <w:rsid w:val="43229553"/>
    <w:rsid w:val="433B585A"/>
    <w:rsid w:val="434B6B2B"/>
    <w:rsid w:val="43666EDA"/>
    <w:rsid w:val="436D9615"/>
    <w:rsid w:val="438970B3"/>
    <w:rsid w:val="43B924FB"/>
    <w:rsid w:val="43CC5BF0"/>
    <w:rsid w:val="43D3FA45"/>
    <w:rsid w:val="44152934"/>
    <w:rsid w:val="444E8F86"/>
    <w:rsid w:val="44568CA6"/>
    <w:rsid w:val="446A30EB"/>
    <w:rsid w:val="44C0FBA5"/>
    <w:rsid w:val="44C4888E"/>
    <w:rsid w:val="44D05423"/>
    <w:rsid w:val="44D17051"/>
    <w:rsid w:val="44E3930E"/>
    <w:rsid w:val="450D8C2A"/>
    <w:rsid w:val="4525AB88"/>
    <w:rsid w:val="452969B9"/>
    <w:rsid w:val="45349015"/>
    <w:rsid w:val="4547E159"/>
    <w:rsid w:val="45667D17"/>
    <w:rsid w:val="4592EE89"/>
    <w:rsid w:val="45B23B84"/>
    <w:rsid w:val="4634851E"/>
    <w:rsid w:val="46357301"/>
    <w:rsid w:val="46932DB9"/>
    <w:rsid w:val="46AD378E"/>
    <w:rsid w:val="46B3424F"/>
    <w:rsid w:val="46C535A5"/>
    <w:rsid w:val="46D08B3C"/>
    <w:rsid w:val="46D9B92B"/>
    <w:rsid w:val="471160A0"/>
    <w:rsid w:val="4745B5A8"/>
    <w:rsid w:val="4768445E"/>
    <w:rsid w:val="477FAA91"/>
    <w:rsid w:val="47A4FA57"/>
    <w:rsid w:val="47A82185"/>
    <w:rsid w:val="47BD521D"/>
    <w:rsid w:val="47CB4BF0"/>
    <w:rsid w:val="47E6D8A2"/>
    <w:rsid w:val="47F6830A"/>
    <w:rsid w:val="48326948"/>
    <w:rsid w:val="48408D0B"/>
    <w:rsid w:val="484FAA95"/>
    <w:rsid w:val="48777CE8"/>
    <w:rsid w:val="48AD2669"/>
    <w:rsid w:val="48B50CD5"/>
    <w:rsid w:val="48DF2414"/>
    <w:rsid w:val="48E40AE4"/>
    <w:rsid w:val="490BA0E1"/>
    <w:rsid w:val="49163C42"/>
    <w:rsid w:val="49190DB3"/>
    <w:rsid w:val="4924D740"/>
    <w:rsid w:val="492AA965"/>
    <w:rsid w:val="4930BB64"/>
    <w:rsid w:val="493BA511"/>
    <w:rsid w:val="49402B16"/>
    <w:rsid w:val="4946C6C5"/>
    <w:rsid w:val="49496168"/>
    <w:rsid w:val="496BF0D8"/>
    <w:rsid w:val="49AC81F9"/>
    <w:rsid w:val="49B399A6"/>
    <w:rsid w:val="49DAE13C"/>
    <w:rsid w:val="4A53BD42"/>
    <w:rsid w:val="4A5AB685"/>
    <w:rsid w:val="4AA595FD"/>
    <w:rsid w:val="4AA77142"/>
    <w:rsid w:val="4AAFEDD7"/>
    <w:rsid w:val="4ACACBC7"/>
    <w:rsid w:val="4ACD2DC4"/>
    <w:rsid w:val="4ADEFD2D"/>
    <w:rsid w:val="4AE2357B"/>
    <w:rsid w:val="4B0933F4"/>
    <w:rsid w:val="4B19CC35"/>
    <w:rsid w:val="4B2007E9"/>
    <w:rsid w:val="4B2150A6"/>
    <w:rsid w:val="4B23EE94"/>
    <w:rsid w:val="4B6D7769"/>
    <w:rsid w:val="4B9B4237"/>
    <w:rsid w:val="4BB17433"/>
    <w:rsid w:val="4BBEF369"/>
    <w:rsid w:val="4BBF998E"/>
    <w:rsid w:val="4BC6A116"/>
    <w:rsid w:val="4BD11148"/>
    <w:rsid w:val="4BDD876D"/>
    <w:rsid w:val="4C2668D6"/>
    <w:rsid w:val="4C4BBE38"/>
    <w:rsid w:val="4C64E242"/>
    <w:rsid w:val="4C77810D"/>
    <w:rsid w:val="4C910102"/>
    <w:rsid w:val="4C943122"/>
    <w:rsid w:val="4CD315AE"/>
    <w:rsid w:val="4CD50603"/>
    <w:rsid w:val="4CFAD5D1"/>
    <w:rsid w:val="4D0D4F45"/>
    <w:rsid w:val="4D584BCB"/>
    <w:rsid w:val="4D655098"/>
    <w:rsid w:val="4DB5B817"/>
    <w:rsid w:val="4DB5D8C0"/>
    <w:rsid w:val="4DB5F2B5"/>
    <w:rsid w:val="4DC56023"/>
    <w:rsid w:val="4DCD3566"/>
    <w:rsid w:val="4DE85D4B"/>
    <w:rsid w:val="4E01C120"/>
    <w:rsid w:val="4E045DED"/>
    <w:rsid w:val="4E11AF22"/>
    <w:rsid w:val="4E157C7D"/>
    <w:rsid w:val="4E1B54E1"/>
    <w:rsid w:val="4E3F6E64"/>
    <w:rsid w:val="4E60BD47"/>
    <w:rsid w:val="4E60FEAB"/>
    <w:rsid w:val="4E9565EC"/>
    <w:rsid w:val="4EC134C4"/>
    <w:rsid w:val="4EEC0B56"/>
    <w:rsid w:val="4EF12FD8"/>
    <w:rsid w:val="4F117876"/>
    <w:rsid w:val="4F325E99"/>
    <w:rsid w:val="4F3A4C84"/>
    <w:rsid w:val="4F563BF9"/>
    <w:rsid w:val="4F76CE81"/>
    <w:rsid w:val="4F779C79"/>
    <w:rsid w:val="4F7BAE14"/>
    <w:rsid w:val="4FCEE003"/>
    <w:rsid w:val="4FD2C9B3"/>
    <w:rsid w:val="4FDD074C"/>
    <w:rsid w:val="50157A30"/>
    <w:rsid w:val="503D674B"/>
    <w:rsid w:val="504F42B2"/>
    <w:rsid w:val="50516B3E"/>
    <w:rsid w:val="505ABC0D"/>
    <w:rsid w:val="505BCF12"/>
    <w:rsid w:val="5077AAE0"/>
    <w:rsid w:val="507FEE31"/>
    <w:rsid w:val="50A4826B"/>
    <w:rsid w:val="50AC28AE"/>
    <w:rsid w:val="50C10F0F"/>
    <w:rsid w:val="50CFE244"/>
    <w:rsid w:val="511C11FC"/>
    <w:rsid w:val="511C1D8F"/>
    <w:rsid w:val="51501726"/>
    <w:rsid w:val="517F45C0"/>
    <w:rsid w:val="51A4D642"/>
    <w:rsid w:val="51A9A8D3"/>
    <w:rsid w:val="51F7E649"/>
    <w:rsid w:val="52055D0B"/>
    <w:rsid w:val="52129684"/>
    <w:rsid w:val="52186687"/>
    <w:rsid w:val="522363B6"/>
    <w:rsid w:val="522F8794"/>
    <w:rsid w:val="5238D60F"/>
    <w:rsid w:val="52656819"/>
    <w:rsid w:val="52760614"/>
    <w:rsid w:val="527CAD88"/>
    <w:rsid w:val="52923EE3"/>
    <w:rsid w:val="52945CB4"/>
    <w:rsid w:val="52954DEB"/>
    <w:rsid w:val="52CBF1C5"/>
    <w:rsid w:val="52DEAEDE"/>
    <w:rsid w:val="52F0B16E"/>
    <w:rsid w:val="52FB61FF"/>
    <w:rsid w:val="530A0D20"/>
    <w:rsid w:val="531778FB"/>
    <w:rsid w:val="532DA00C"/>
    <w:rsid w:val="533935B1"/>
    <w:rsid w:val="538C033D"/>
    <w:rsid w:val="53CE8B38"/>
    <w:rsid w:val="53EAD666"/>
    <w:rsid w:val="53FDF117"/>
    <w:rsid w:val="5423AF8F"/>
    <w:rsid w:val="542491AF"/>
    <w:rsid w:val="546A9806"/>
    <w:rsid w:val="54D84E5F"/>
    <w:rsid w:val="54DF62EE"/>
    <w:rsid w:val="5544D37F"/>
    <w:rsid w:val="55534E6E"/>
    <w:rsid w:val="5567019A"/>
    <w:rsid w:val="55794715"/>
    <w:rsid w:val="55832948"/>
    <w:rsid w:val="559984EB"/>
    <w:rsid w:val="55B79C13"/>
    <w:rsid w:val="55BAF8CF"/>
    <w:rsid w:val="55C97583"/>
    <w:rsid w:val="562E9006"/>
    <w:rsid w:val="5658EAB1"/>
    <w:rsid w:val="5668A862"/>
    <w:rsid w:val="5697FF4B"/>
    <w:rsid w:val="56AFDC7C"/>
    <w:rsid w:val="56B43FC8"/>
    <w:rsid w:val="56C3D22C"/>
    <w:rsid w:val="5725BB4A"/>
    <w:rsid w:val="574D59B4"/>
    <w:rsid w:val="57558E01"/>
    <w:rsid w:val="577AF06D"/>
    <w:rsid w:val="57855CD2"/>
    <w:rsid w:val="5792F05A"/>
    <w:rsid w:val="57AEDB78"/>
    <w:rsid w:val="57B1BE50"/>
    <w:rsid w:val="57D9832F"/>
    <w:rsid w:val="57E3EDBE"/>
    <w:rsid w:val="57F75BCA"/>
    <w:rsid w:val="58057069"/>
    <w:rsid w:val="582E267E"/>
    <w:rsid w:val="583C01B0"/>
    <w:rsid w:val="58427F93"/>
    <w:rsid w:val="584F72B4"/>
    <w:rsid w:val="58E44854"/>
    <w:rsid w:val="58E6E749"/>
    <w:rsid w:val="58F8F76F"/>
    <w:rsid w:val="590E8BF1"/>
    <w:rsid w:val="5914BA1A"/>
    <w:rsid w:val="59245A9C"/>
    <w:rsid w:val="592F311F"/>
    <w:rsid w:val="593A3474"/>
    <w:rsid w:val="593FDD31"/>
    <w:rsid w:val="5955A95D"/>
    <w:rsid w:val="59737B76"/>
    <w:rsid w:val="5979D46A"/>
    <w:rsid w:val="59908B73"/>
    <w:rsid w:val="5998E1C6"/>
    <w:rsid w:val="59AE97C0"/>
    <w:rsid w:val="59D6F42A"/>
    <w:rsid w:val="59DB277E"/>
    <w:rsid w:val="59DDE873"/>
    <w:rsid w:val="5A046B72"/>
    <w:rsid w:val="5A05AE2B"/>
    <w:rsid w:val="5A197602"/>
    <w:rsid w:val="5A225DD1"/>
    <w:rsid w:val="5A31698D"/>
    <w:rsid w:val="5A5D8B99"/>
    <w:rsid w:val="5A633661"/>
    <w:rsid w:val="5A84AE01"/>
    <w:rsid w:val="5A905755"/>
    <w:rsid w:val="5AB97420"/>
    <w:rsid w:val="5AD377A6"/>
    <w:rsid w:val="5B0C2BC3"/>
    <w:rsid w:val="5B3C18BC"/>
    <w:rsid w:val="5BA7F688"/>
    <w:rsid w:val="5BE0B4C7"/>
    <w:rsid w:val="5BE28300"/>
    <w:rsid w:val="5BEF2298"/>
    <w:rsid w:val="5BF0D55D"/>
    <w:rsid w:val="5BFECD7B"/>
    <w:rsid w:val="5C020F80"/>
    <w:rsid w:val="5C094DEB"/>
    <w:rsid w:val="5C1AD12C"/>
    <w:rsid w:val="5C56E9CA"/>
    <w:rsid w:val="5C61A904"/>
    <w:rsid w:val="5C61D4AC"/>
    <w:rsid w:val="5C70CD33"/>
    <w:rsid w:val="5C7CBF3E"/>
    <w:rsid w:val="5C94636D"/>
    <w:rsid w:val="5C97CF9F"/>
    <w:rsid w:val="5CCF5CDB"/>
    <w:rsid w:val="5CE88B43"/>
    <w:rsid w:val="5D399CA2"/>
    <w:rsid w:val="5D3FEAFE"/>
    <w:rsid w:val="5D5F1E5C"/>
    <w:rsid w:val="5D627D6B"/>
    <w:rsid w:val="5D681BF6"/>
    <w:rsid w:val="5D6A6272"/>
    <w:rsid w:val="5D707550"/>
    <w:rsid w:val="5D8D8B14"/>
    <w:rsid w:val="5DCDFEE0"/>
    <w:rsid w:val="5DFBDCE2"/>
    <w:rsid w:val="5E0040F4"/>
    <w:rsid w:val="5E03B208"/>
    <w:rsid w:val="5E0AAC7E"/>
    <w:rsid w:val="5E0F0794"/>
    <w:rsid w:val="5E60BD25"/>
    <w:rsid w:val="5E6E8473"/>
    <w:rsid w:val="5E7155EC"/>
    <w:rsid w:val="5ED4E5B0"/>
    <w:rsid w:val="5EEA36A4"/>
    <w:rsid w:val="5EED1EA6"/>
    <w:rsid w:val="5EFCDBDA"/>
    <w:rsid w:val="5F06B199"/>
    <w:rsid w:val="5F2621D0"/>
    <w:rsid w:val="5F3084A1"/>
    <w:rsid w:val="5F395F7D"/>
    <w:rsid w:val="5F4D3B4C"/>
    <w:rsid w:val="5F53020D"/>
    <w:rsid w:val="5F6B983C"/>
    <w:rsid w:val="5F8540CE"/>
    <w:rsid w:val="5F88EAAC"/>
    <w:rsid w:val="5F8BF413"/>
    <w:rsid w:val="5FAD62B3"/>
    <w:rsid w:val="5FAFDC14"/>
    <w:rsid w:val="5FB2F259"/>
    <w:rsid w:val="5FCDD9E8"/>
    <w:rsid w:val="5FF96553"/>
    <w:rsid w:val="5FFF5AA5"/>
    <w:rsid w:val="60200AE6"/>
    <w:rsid w:val="603A797E"/>
    <w:rsid w:val="605B6F35"/>
    <w:rsid w:val="60792371"/>
    <w:rsid w:val="607B73CE"/>
    <w:rsid w:val="60944FE2"/>
    <w:rsid w:val="60A43F66"/>
    <w:rsid w:val="60B1C95B"/>
    <w:rsid w:val="60B7F1DF"/>
    <w:rsid w:val="60C6730B"/>
    <w:rsid w:val="60DC743A"/>
    <w:rsid w:val="60DF0F50"/>
    <w:rsid w:val="610B2C91"/>
    <w:rsid w:val="611ED21E"/>
    <w:rsid w:val="6134C416"/>
    <w:rsid w:val="613CC70B"/>
    <w:rsid w:val="6146BF18"/>
    <w:rsid w:val="6148FFC1"/>
    <w:rsid w:val="614AF27F"/>
    <w:rsid w:val="61532EBC"/>
    <w:rsid w:val="6195BF7C"/>
    <w:rsid w:val="61BEFB5B"/>
    <w:rsid w:val="61C45F4A"/>
    <w:rsid w:val="61C54CCC"/>
    <w:rsid w:val="61CC9FC5"/>
    <w:rsid w:val="61E3E09B"/>
    <w:rsid w:val="62189459"/>
    <w:rsid w:val="6220B82E"/>
    <w:rsid w:val="6228950B"/>
    <w:rsid w:val="6232CAA6"/>
    <w:rsid w:val="6236868C"/>
    <w:rsid w:val="625B5A1A"/>
    <w:rsid w:val="62734445"/>
    <w:rsid w:val="629C4DE0"/>
    <w:rsid w:val="62A8850F"/>
    <w:rsid w:val="62AA2020"/>
    <w:rsid w:val="62AD0E50"/>
    <w:rsid w:val="62D791DC"/>
    <w:rsid w:val="62F4F9D0"/>
    <w:rsid w:val="63895795"/>
    <w:rsid w:val="6389A6AB"/>
    <w:rsid w:val="63C051CD"/>
    <w:rsid w:val="63C66E53"/>
    <w:rsid w:val="63D61593"/>
    <w:rsid w:val="63E0C8D8"/>
    <w:rsid w:val="6401AEEC"/>
    <w:rsid w:val="64196842"/>
    <w:rsid w:val="64417781"/>
    <w:rsid w:val="644CC8E8"/>
    <w:rsid w:val="64689F9F"/>
    <w:rsid w:val="646C64D8"/>
    <w:rsid w:val="64D79C8E"/>
    <w:rsid w:val="64DF6261"/>
    <w:rsid w:val="64DF9001"/>
    <w:rsid w:val="6510ADB3"/>
    <w:rsid w:val="6525BEE6"/>
    <w:rsid w:val="653DBABD"/>
    <w:rsid w:val="654EF0C2"/>
    <w:rsid w:val="6551141E"/>
    <w:rsid w:val="6556D35E"/>
    <w:rsid w:val="656F0792"/>
    <w:rsid w:val="65CA0683"/>
    <w:rsid w:val="65E05DE0"/>
    <w:rsid w:val="65F1015A"/>
    <w:rsid w:val="660B0215"/>
    <w:rsid w:val="662769B2"/>
    <w:rsid w:val="6627C383"/>
    <w:rsid w:val="66360924"/>
    <w:rsid w:val="667117BB"/>
    <w:rsid w:val="6679E50E"/>
    <w:rsid w:val="66CC451C"/>
    <w:rsid w:val="66EB71F7"/>
    <w:rsid w:val="6703C437"/>
    <w:rsid w:val="6716EB82"/>
    <w:rsid w:val="672F08A6"/>
    <w:rsid w:val="673D3DC7"/>
    <w:rsid w:val="674FDD68"/>
    <w:rsid w:val="67A53729"/>
    <w:rsid w:val="67AB9ED4"/>
    <w:rsid w:val="67C8F65E"/>
    <w:rsid w:val="680B69A4"/>
    <w:rsid w:val="68132422"/>
    <w:rsid w:val="681A700A"/>
    <w:rsid w:val="68249106"/>
    <w:rsid w:val="68263A4B"/>
    <w:rsid w:val="684A061B"/>
    <w:rsid w:val="685D61F2"/>
    <w:rsid w:val="6867409C"/>
    <w:rsid w:val="686CE1F4"/>
    <w:rsid w:val="6871D99C"/>
    <w:rsid w:val="68B47D43"/>
    <w:rsid w:val="68D1C973"/>
    <w:rsid w:val="68D70F54"/>
    <w:rsid w:val="68DC99A4"/>
    <w:rsid w:val="68E1F679"/>
    <w:rsid w:val="68E8F811"/>
    <w:rsid w:val="68ECE103"/>
    <w:rsid w:val="68F595E7"/>
    <w:rsid w:val="6937E591"/>
    <w:rsid w:val="69977EF9"/>
    <w:rsid w:val="69C4B785"/>
    <w:rsid w:val="69EED5B0"/>
    <w:rsid w:val="69F83F5B"/>
    <w:rsid w:val="6A1C7484"/>
    <w:rsid w:val="6A217DFD"/>
    <w:rsid w:val="6A274D13"/>
    <w:rsid w:val="6A363A13"/>
    <w:rsid w:val="6A3F1E47"/>
    <w:rsid w:val="6A5E8A0C"/>
    <w:rsid w:val="6A6CBDD9"/>
    <w:rsid w:val="6A8E90F1"/>
    <w:rsid w:val="6A906F86"/>
    <w:rsid w:val="6AA14E3B"/>
    <w:rsid w:val="6AAAB791"/>
    <w:rsid w:val="6AB2D920"/>
    <w:rsid w:val="6ACDAE0F"/>
    <w:rsid w:val="6AD4CDFC"/>
    <w:rsid w:val="6AEA7028"/>
    <w:rsid w:val="6AFD0516"/>
    <w:rsid w:val="6B065400"/>
    <w:rsid w:val="6B1C3307"/>
    <w:rsid w:val="6B2DB5B5"/>
    <w:rsid w:val="6B2F5B74"/>
    <w:rsid w:val="6B317DD0"/>
    <w:rsid w:val="6B36B618"/>
    <w:rsid w:val="6B5B56C8"/>
    <w:rsid w:val="6B6FBFF8"/>
    <w:rsid w:val="6B8D136C"/>
    <w:rsid w:val="6B8D6A27"/>
    <w:rsid w:val="6BB9B9D3"/>
    <w:rsid w:val="6BC59C9D"/>
    <w:rsid w:val="6BC68B27"/>
    <w:rsid w:val="6BE6FE7E"/>
    <w:rsid w:val="6C0CB11A"/>
    <w:rsid w:val="6C1A35CF"/>
    <w:rsid w:val="6C409A87"/>
    <w:rsid w:val="6C49022B"/>
    <w:rsid w:val="6C8368E3"/>
    <w:rsid w:val="6CE19E5C"/>
    <w:rsid w:val="6D00F36A"/>
    <w:rsid w:val="6D342B2E"/>
    <w:rsid w:val="6D39E9F0"/>
    <w:rsid w:val="6D3BB0D8"/>
    <w:rsid w:val="6D3FA9ED"/>
    <w:rsid w:val="6D424B8F"/>
    <w:rsid w:val="6D495B81"/>
    <w:rsid w:val="6D52B106"/>
    <w:rsid w:val="6D78DB53"/>
    <w:rsid w:val="6D7F9D9E"/>
    <w:rsid w:val="6DA69B5C"/>
    <w:rsid w:val="6DACFE8C"/>
    <w:rsid w:val="6DBFB98F"/>
    <w:rsid w:val="6DC95CC5"/>
    <w:rsid w:val="6E161BDE"/>
    <w:rsid w:val="6E245A02"/>
    <w:rsid w:val="6E24F395"/>
    <w:rsid w:val="6E495227"/>
    <w:rsid w:val="6E66874A"/>
    <w:rsid w:val="6EC41591"/>
    <w:rsid w:val="6EE0DA8E"/>
    <w:rsid w:val="6F04DAFE"/>
    <w:rsid w:val="6F106D2C"/>
    <w:rsid w:val="6F1815C9"/>
    <w:rsid w:val="6F211E02"/>
    <w:rsid w:val="6F2F7CF1"/>
    <w:rsid w:val="6F4AE012"/>
    <w:rsid w:val="6F508B2D"/>
    <w:rsid w:val="6F5AEF4D"/>
    <w:rsid w:val="6F65458C"/>
    <w:rsid w:val="6F6925D7"/>
    <w:rsid w:val="6F6B6311"/>
    <w:rsid w:val="6F9A2C34"/>
    <w:rsid w:val="6F9A8AE6"/>
    <w:rsid w:val="6FEF8F0B"/>
    <w:rsid w:val="701D2772"/>
    <w:rsid w:val="702DCAD1"/>
    <w:rsid w:val="7071F872"/>
    <w:rsid w:val="707223CA"/>
    <w:rsid w:val="70761852"/>
    <w:rsid w:val="707790F6"/>
    <w:rsid w:val="708ABB2D"/>
    <w:rsid w:val="70F26EC5"/>
    <w:rsid w:val="70FA848F"/>
    <w:rsid w:val="711C30EF"/>
    <w:rsid w:val="71345E27"/>
    <w:rsid w:val="715BCB09"/>
    <w:rsid w:val="71619E37"/>
    <w:rsid w:val="71759584"/>
    <w:rsid w:val="71B5FBBE"/>
    <w:rsid w:val="71B62384"/>
    <w:rsid w:val="71EBA1A1"/>
    <w:rsid w:val="7211E8B3"/>
    <w:rsid w:val="7219B887"/>
    <w:rsid w:val="721DAAA3"/>
    <w:rsid w:val="723EF2BE"/>
    <w:rsid w:val="7246D389"/>
    <w:rsid w:val="725C64D6"/>
    <w:rsid w:val="7268CB99"/>
    <w:rsid w:val="726F156C"/>
    <w:rsid w:val="729AED4A"/>
    <w:rsid w:val="72BAAD50"/>
    <w:rsid w:val="72D385AC"/>
    <w:rsid w:val="72E5A016"/>
    <w:rsid w:val="73012206"/>
    <w:rsid w:val="734EDF34"/>
    <w:rsid w:val="737294CF"/>
    <w:rsid w:val="739099DD"/>
    <w:rsid w:val="7408D0C1"/>
    <w:rsid w:val="741B28FE"/>
    <w:rsid w:val="74282C19"/>
    <w:rsid w:val="746ACAF3"/>
    <w:rsid w:val="748000D8"/>
    <w:rsid w:val="74EC1C7D"/>
    <w:rsid w:val="74F0C284"/>
    <w:rsid w:val="74FBCA72"/>
    <w:rsid w:val="750A83DE"/>
    <w:rsid w:val="751ACE50"/>
    <w:rsid w:val="755816F1"/>
    <w:rsid w:val="757BB563"/>
    <w:rsid w:val="75846C37"/>
    <w:rsid w:val="758AAF83"/>
    <w:rsid w:val="75E46D3A"/>
    <w:rsid w:val="75E6340F"/>
    <w:rsid w:val="76094B60"/>
    <w:rsid w:val="76235912"/>
    <w:rsid w:val="7624D298"/>
    <w:rsid w:val="76266F93"/>
    <w:rsid w:val="762EE90B"/>
    <w:rsid w:val="763DA27E"/>
    <w:rsid w:val="764BC581"/>
    <w:rsid w:val="76592479"/>
    <w:rsid w:val="767085D5"/>
    <w:rsid w:val="767CA015"/>
    <w:rsid w:val="7686C052"/>
    <w:rsid w:val="76D679B6"/>
    <w:rsid w:val="76E10B6A"/>
    <w:rsid w:val="76E4CB6B"/>
    <w:rsid w:val="76EA7E06"/>
    <w:rsid w:val="76F30C45"/>
    <w:rsid w:val="76F8AE36"/>
    <w:rsid w:val="7707408E"/>
    <w:rsid w:val="7718C32B"/>
    <w:rsid w:val="771E6A0A"/>
    <w:rsid w:val="77291A6E"/>
    <w:rsid w:val="77639EF5"/>
    <w:rsid w:val="7763CD9A"/>
    <w:rsid w:val="778D6896"/>
    <w:rsid w:val="77B63122"/>
    <w:rsid w:val="77E4D708"/>
    <w:rsid w:val="78293576"/>
    <w:rsid w:val="783EE3B0"/>
    <w:rsid w:val="785240D4"/>
    <w:rsid w:val="785F5BDE"/>
    <w:rsid w:val="7889E892"/>
    <w:rsid w:val="78BF1EF8"/>
    <w:rsid w:val="78ED926F"/>
    <w:rsid w:val="790F97FC"/>
    <w:rsid w:val="793EFE2D"/>
    <w:rsid w:val="79510A84"/>
    <w:rsid w:val="79654957"/>
    <w:rsid w:val="7967B86A"/>
    <w:rsid w:val="7970EAF9"/>
    <w:rsid w:val="79B69E6A"/>
    <w:rsid w:val="79E3D99E"/>
    <w:rsid w:val="7A04701D"/>
    <w:rsid w:val="7A073A6E"/>
    <w:rsid w:val="7A25B8F3"/>
    <w:rsid w:val="7A2C6C5D"/>
    <w:rsid w:val="7A4C4DE8"/>
    <w:rsid w:val="7A60FEF4"/>
    <w:rsid w:val="7A623FA9"/>
    <w:rsid w:val="7A7DA029"/>
    <w:rsid w:val="7AACA241"/>
    <w:rsid w:val="7AE17B7B"/>
    <w:rsid w:val="7AFABB7F"/>
    <w:rsid w:val="7B029549"/>
    <w:rsid w:val="7B0E2F2F"/>
    <w:rsid w:val="7B47D614"/>
    <w:rsid w:val="7B6F2E64"/>
    <w:rsid w:val="7B8EA13F"/>
    <w:rsid w:val="7BA81301"/>
    <w:rsid w:val="7BB6C394"/>
    <w:rsid w:val="7BD8805D"/>
    <w:rsid w:val="7BE6106B"/>
    <w:rsid w:val="7BEC04B8"/>
    <w:rsid w:val="7C4872A2"/>
    <w:rsid w:val="7C48C03C"/>
    <w:rsid w:val="7C6500C1"/>
    <w:rsid w:val="7C6B9679"/>
    <w:rsid w:val="7C6E2D65"/>
    <w:rsid w:val="7C7A6F02"/>
    <w:rsid w:val="7CB7AFAA"/>
    <w:rsid w:val="7CBDCA15"/>
    <w:rsid w:val="7CD9D6D0"/>
    <w:rsid w:val="7CF4DF6E"/>
    <w:rsid w:val="7D07BF61"/>
    <w:rsid w:val="7D0F7066"/>
    <w:rsid w:val="7D10794C"/>
    <w:rsid w:val="7D4AA456"/>
    <w:rsid w:val="7D4C2695"/>
    <w:rsid w:val="7D51AF8D"/>
    <w:rsid w:val="7D87803A"/>
    <w:rsid w:val="7D9104E4"/>
    <w:rsid w:val="7DA3A381"/>
    <w:rsid w:val="7DB50159"/>
    <w:rsid w:val="7DD52653"/>
    <w:rsid w:val="7E54188C"/>
    <w:rsid w:val="7E68E9C2"/>
    <w:rsid w:val="7E6DF4A9"/>
    <w:rsid w:val="7E6E2AE9"/>
    <w:rsid w:val="7E86FC59"/>
    <w:rsid w:val="7E88066C"/>
    <w:rsid w:val="7EB45E56"/>
    <w:rsid w:val="7EC1425D"/>
    <w:rsid w:val="7ECC9AB6"/>
    <w:rsid w:val="7F2B896F"/>
    <w:rsid w:val="7F34D937"/>
    <w:rsid w:val="7F371B35"/>
    <w:rsid w:val="7F4BB83B"/>
    <w:rsid w:val="7F5685C9"/>
    <w:rsid w:val="7F5FE595"/>
    <w:rsid w:val="7F912F66"/>
    <w:rsid w:val="7F979E8C"/>
    <w:rsid w:val="7F97C82A"/>
    <w:rsid w:val="7FAE0D8B"/>
    <w:rsid w:val="7FBCC89C"/>
    <w:rsid w:val="7FCE4ECE"/>
  </w:rsids>
  <m:mathPr>
    <m:mathFont m:val="Cambria Math"/>
    <m:brkBin m:val="before"/>
    <m:brkBinSub m:val="--"/>
    <m:smallFrac/>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388D259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AU" w:eastAsia="en-US" w:bidi="ar-SA"/>
      </w:rPr>
    </w:rPrDefault>
    <w:pPrDefault>
      <w:pPr>
        <w:spacing w:before="80" w:after="80"/>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uiPriority="0" w:qFormat="1"/>
    <w:lsdException w:name="heading 6" w:unhideWhenUsed="1" w:qFormat="1"/>
    <w:lsdException w:name="heading 7" w:semiHidden="1" w:qFormat="1"/>
    <w:lsdException w:name="heading 8" w:semiHidden="1" w:qFormat="1"/>
    <w:lsdException w:name="heading 9" w:semiHidden="1" w:qFormat="1"/>
    <w:lsdException w:name="index 1" w:semiHidden="1"/>
    <w:lsdException w:name="index 2" w:semiHidden="1"/>
    <w:lsdException w:name="index 3" w:semiHidden="1"/>
    <w:lsdException w:name="index 4" w:semiHidden="1"/>
    <w:lsdException w:name="index 5" w:semiHidden="1"/>
    <w:lsdException w:name="index 6" w:semiHidden="1"/>
    <w:lsdException w:name="index 7" w:semiHidden="1"/>
    <w:lsdException w:name="index 8" w:semiHidden="1"/>
    <w:lsdException w:name="index 9" w:semiHidden="1"/>
    <w:lsdException w:name="toc 1" w:semiHidden="1" w:uiPriority="39" w:unhideWhenUsed="1"/>
    <w:lsdException w:name="toc 2" w:semiHidden="1" w:uiPriority="39" w:unhideWhenUsed="1"/>
    <w:lsdException w:name="toc 3" w:semiHidden="1" w:uiPriority="39" w:unhideWhenUsed="1"/>
    <w:lsdException w:name="toc 4"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lsdException w:name="footnote text" w:semiHidden="1"/>
    <w:lsdException w:name="annotation text" w:semiHidden="1"/>
    <w:lsdException w:name="header" w:semiHidden="1" w:unhideWhenUsed="1"/>
    <w:lsdException w:name="footer" w:semiHidden="1" w:unhideWhenUsed="1"/>
    <w:lsdException w:name="index heading" w:semiHidden="1"/>
    <w:lsdException w:name="caption" w:semiHidden="1" w:uiPriority="35" w:unhideWhenUsed="1" w:qFormat="1"/>
    <w:lsdException w:name="table of figures" w:semiHidden="1" w:unhideWhenUsed="1"/>
    <w:lsdException w:name="envelope address" w:semiHidden="1"/>
    <w:lsdException w:name="envelope return" w:semiHidden="1"/>
    <w:lsdException w:name="footnote reference" w:semiHidden="1"/>
    <w:lsdException w:name="annotation reference" w:semiHidden="1"/>
    <w:lsdException w:name="line number" w:semiHidden="1"/>
    <w:lsdException w:name="page number" w:semiHidden="1"/>
    <w:lsdException w:name="endnote reference" w:semiHidden="1"/>
    <w:lsdException w:name="endnote text" w:semiHidden="1"/>
    <w:lsdException w:name="table of authorities" w:semiHidden="1" w:unhideWhenUsed="1"/>
    <w:lsdException w:name="macro" w:semiHidden="1"/>
    <w:lsdException w:name="toa heading" w:semiHidden="1" w:unhideWhenUsed="1"/>
    <w:lsdException w:name="List" w:semiHidden="1"/>
    <w:lsdException w:name="List Bullet" w:semiHidden="1" w:uiPriority="1" w:unhideWhenUsed="1" w:qFormat="1"/>
    <w:lsdException w:name="List Number" w:semiHidden="1" w:uiPriority="1" w:unhideWhenUsed="1" w:qFormat="1"/>
    <w:lsdException w:name="List 2" w:semiHidden="1"/>
    <w:lsdException w:name="List 3" w:semiHidden="1"/>
    <w:lsdException w:name="List 4" w:semiHidden="1"/>
    <w:lsdException w:name="List 5" w:semiHidden="1"/>
    <w:lsdException w:name="List Bullet 2" w:semiHidden="1" w:uiPriority="19" w:unhideWhenUsed="1"/>
    <w:lsdException w:name="List Bullet 3" w:semiHidden="1" w:uiPriority="19" w:unhideWhenUsed="1"/>
    <w:lsdException w:name="List Bullet 4" w:semiHidden="1" w:uiPriority="19" w:unhideWhenUsed="1"/>
    <w:lsdException w:name="List Bullet 5" w:semiHidden="1" w:uiPriority="19" w:unhideWhenUsed="1"/>
    <w:lsdException w:name="List Number 2" w:semiHidden="1" w:uiPriority="19" w:unhideWhenUsed="1"/>
    <w:lsdException w:name="List Number 3" w:semiHidden="1" w:uiPriority="19" w:unhideWhenUsed="1"/>
    <w:lsdException w:name="List Number 4" w:semiHidden="1" w:uiPriority="19" w:unhideWhenUsed="1"/>
    <w:lsdException w:name="List Number 5" w:semiHidden="1" w:uiPriority="19" w:unhideWhenUsed="1"/>
    <w:lsdException w:name="Title" w:uiPriority="9" w:qFormat="1"/>
    <w:lsdException w:name="Closing" w:semiHidden="1"/>
    <w:lsdException w:name="Signature" w:semiHidden="1"/>
    <w:lsdException w:name="Default Paragraph Font" w:semiHidden="1" w:uiPriority="1" w:unhideWhenUsed="1"/>
    <w:lsdException w:name="Body Text" w:semiHidden="1" w:unhideWhenUsed="1" w:qFormat="1"/>
    <w:lsdException w:name="Body Text Indent" w:semiHidden="1" w:unhideWhenUsed="1"/>
    <w:lsdException w:name="List Continue" w:semiHidden="1"/>
    <w:lsdException w:name="List Continue 2" w:semiHidden="1"/>
    <w:lsdException w:name="List Continue 3" w:semiHidden="1"/>
    <w:lsdException w:name="List Continue 4" w:semiHidden="1"/>
    <w:lsdException w:name="List Continue 5" w:semiHidden="1"/>
    <w:lsdException w:name="Message Header" w:semiHidden="1"/>
    <w:lsdException w:name="Subtitle" w:uiPriority="10" w:qFormat="1"/>
    <w:lsdException w:name="Salutation" w:semiHidden="1"/>
    <w:lsdException w:name="Date" w:semiHidden="1"/>
    <w:lsdException w:name="Body Text First Indent" w:semiHidden="1" w:unhideWhenUsed="1"/>
    <w:lsdException w:name="Body Text First Indent 2" w:semiHidden="1" w:unhideWhenUsed="1"/>
    <w:lsdException w:name="Note Heading" w:semiHidden="1"/>
    <w:lsdException w:name="Body Text 2" w:semiHidden="1" w:unhideWhenUsed="1" w:qFormat="1"/>
    <w:lsdException w:name="Body Text 3" w:unhideWhenUsed="1" w:qFormat="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uiPriority="15" w:unhideWhenUsed="1"/>
    <w:lsdException w:name="Strong" w:semiHidden="1"/>
    <w:lsdException w:name="Emphasis" w:semiHidden="1"/>
    <w:lsdException w:name="Document Map" w:semiHidden="1"/>
    <w:lsdException w:name="Plain Text" w:semiHidden="1"/>
    <w:lsdException w:name="E-mail Signature" w:semiHidden="1"/>
    <w:lsdException w:name="HTML Top of Form" w:semiHidden="1" w:unhideWhenUsed="1"/>
    <w:lsdException w:name="HTML Bottom of Form" w:semiHidden="1" w:unhideWhenUsed="1"/>
    <w:lsdException w:name="Normal (Web)" w:semiHidden="1"/>
    <w:lsdException w:name="HTML Acronym" w:semiHidden="1"/>
    <w:lsdException w:name="HTML Address" w:semiHidden="1"/>
    <w:lsdException w:name="HTML Cite" w:semiHidden="1"/>
    <w:lsdException w:name="HTML Code" w:semiHidden="1"/>
    <w:lsdException w:name="HTML Definition" w:semiHidden="1"/>
    <w:lsdException w:name="HTML Keyboard" w:semiHidden="1"/>
    <w:lsdException w:name="HTML Preformatted" w:semiHidden="1"/>
    <w:lsdException w:name="HTML Sample" w:semiHidden="1" w:unhideWhenUsed="1"/>
    <w:lsdException w:name="HTML Typewriter" w:semiHidden="1"/>
    <w:lsdException w:name="HTML Variable" w:semiHidden="1" w:unhideWhenUsed="1"/>
    <w:lsdException w:name="Normal Table" w:semiHidden="1" w:unhideWhenUsed="1"/>
    <w:lsdException w:name="annotation subject" w:semiHidden="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qFormat="1"/>
    <w:lsdException w:name="Intense Quote" w:semiHidden="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lsdException w:name="Intense Emphasis" w:semiHidden="1"/>
    <w:lsdException w:name="Subtle Reference" w:semiHidden="1"/>
    <w:lsdException w:name="Intense Reference" w:semiHidden="1"/>
    <w:lsdException w:name="Book Title" w:semiHidden="1"/>
    <w:lsdException w:name="Bibliography" w:semiHidden="1"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UTS Normal"/>
    <w:qFormat/>
    <w:rsid w:val="008C4E93"/>
    <w:pPr>
      <w:spacing w:before="0" w:after="240" w:line="360" w:lineRule="auto"/>
    </w:pPr>
    <w:rPr>
      <w:rFonts w:ascii="Calibri Light" w:hAnsi="Calibri Light"/>
      <w:lang w:eastAsia="en-AU"/>
    </w:rPr>
  </w:style>
  <w:style w:type="paragraph" w:styleId="Heading1">
    <w:name w:val="heading 1"/>
    <w:aliases w:val="UTS H1"/>
    <w:basedOn w:val="Normal"/>
    <w:next w:val="BodyText"/>
    <w:link w:val="Heading1Char"/>
    <w:autoRedefine/>
    <w:qFormat/>
    <w:rsid w:val="002E5CF0"/>
    <w:pPr>
      <w:keepNext/>
      <w:keepLines/>
      <w:widowControl w:val="0"/>
      <w:tabs>
        <w:tab w:val="num" w:pos="0"/>
      </w:tabs>
      <w:spacing w:before="240"/>
      <w:jc w:val="both"/>
      <w:outlineLvl w:val="0"/>
    </w:pPr>
    <w:rPr>
      <w:rFonts w:eastAsia="Times New Roman" w:cs="Arial"/>
      <w:bCs/>
      <w:color w:val="0F4BEB" w:themeColor="accent1"/>
      <w:sz w:val="48"/>
      <w:szCs w:val="32"/>
    </w:rPr>
  </w:style>
  <w:style w:type="paragraph" w:styleId="Heading2">
    <w:name w:val="heading 2"/>
    <w:aliases w:val="UTS H2"/>
    <w:basedOn w:val="Normal"/>
    <w:next w:val="BodyText"/>
    <w:link w:val="Heading2Char"/>
    <w:autoRedefine/>
    <w:qFormat/>
    <w:rsid w:val="00D21163"/>
    <w:pPr>
      <w:keepNext/>
      <w:keepLines/>
      <w:spacing w:before="320"/>
      <w:outlineLvl w:val="1"/>
    </w:pPr>
    <w:rPr>
      <w:rFonts w:eastAsia="Times New Roman" w:cs="Arial"/>
      <w:bCs/>
      <w:iCs/>
      <w:color w:val="0F4BEB" w:themeColor="accent1"/>
      <w:sz w:val="30"/>
      <w:szCs w:val="28"/>
    </w:rPr>
  </w:style>
  <w:style w:type="paragraph" w:styleId="Heading3">
    <w:name w:val="heading 3"/>
    <w:aliases w:val="UTS H3"/>
    <w:basedOn w:val="Normal"/>
    <w:next w:val="BodyText"/>
    <w:link w:val="Heading3Char"/>
    <w:qFormat/>
    <w:rsid w:val="003E6AF6"/>
    <w:pPr>
      <w:keepNext/>
      <w:keepLines/>
      <w:spacing w:before="280" w:after="140"/>
      <w:outlineLvl w:val="2"/>
    </w:pPr>
    <w:rPr>
      <w:rFonts w:asciiTheme="majorHAnsi" w:eastAsia="Times New Roman" w:hAnsiTheme="majorHAnsi" w:cs="Times New Roman"/>
      <w:b/>
      <w:bCs/>
      <w:szCs w:val="24"/>
    </w:rPr>
  </w:style>
  <w:style w:type="paragraph" w:styleId="Heading4">
    <w:name w:val="heading 4"/>
    <w:aliases w:val="UTS H4"/>
    <w:basedOn w:val="Normal"/>
    <w:next w:val="BodyText"/>
    <w:link w:val="Heading4Char"/>
    <w:qFormat/>
    <w:rsid w:val="00F020E5"/>
    <w:pPr>
      <w:spacing w:before="240"/>
      <w:outlineLvl w:val="3"/>
    </w:pPr>
    <w:rPr>
      <w:rFonts w:ascii="Calibri" w:hAnsi="Calibri" w:cs="Calibri"/>
      <w:b/>
      <w:bCs/>
    </w:rPr>
  </w:style>
  <w:style w:type="paragraph" w:styleId="Heading5">
    <w:name w:val="heading 5"/>
    <w:basedOn w:val="Normal"/>
    <w:next w:val="BodyText"/>
    <w:link w:val="Heading5Char"/>
    <w:semiHidden/>
    <w:qFormat/>
    <w:rsid w:val="00967F38"/>
    <w:pPr>
      <w:keepNext/>
      <w:keepLines/>
      <w:spacing w:before="240" w:after="120"/>
      <w:outlineLvl w:val="4"/>
    </w:pPr>
    <w:rPr>
      <w:rFonts w:asciiTheme="majorHAnsi" w:eastAsia="Times New Roman" w:hAnsiTheme="majorHAnsi" w:cs="Times New Roman"/>
      <w:bCs/>
      <w:iCs/>
      <w:sz w:val="20"/>
      <w:szCs w:val="26"/>
    </w:rPr>
  </w:style>
  <w:style w:type="paragraph" w:styleId="Heading6">
    <w:name w:val="heading 6"/>
    <w:basedOn w:val="Normal"/>
    <w:next w:val="Normal"/>
    <w:link w:val="Heading6Char"/>
    <w:uiPriority w:val="99"/>
    <w:semiHidden/>
    <w:qFormat/>
    <w:rsid w:val="00444AE6"/>
    <w:pPr>
      <w:spacing w:before="120" w:after="120"/>
      <w:outlineLvl w:val="5"/>
    </w:pPr>
    <w:rPr>
      <w:rFonts w:eastAsia="Times New Roman" w:cs="Times New Roman"/>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aliases w:val="UTS Body"/>
    <w:basedOn w:val="Normal"/>
    <w:link w:val="BodyTextChar"/>
    <w:autoRedefine/>
    <w:uiPriority w:val="99"/>
    <w:qFormat/>
    <w:rsid w:val="00EF5B9A"/>
    <w:pPr>
      <w:spacing w:before="120" w:after="120"/>
      <w:ind w:right="113"/>
      <w:jc w:val="both"/>
    </w:pPr>
    <w:rPr>
      <w:rFonts w:eastAsia="Times New Roman" w:cs="Times New Roman"/>
      <w:color w:val="000000" w:themeColor="text1"/>
      <w:szCs w:val="24"/>
    </w:rPr>
  </w:style>
  <w:style w:type="character" w:customStyle="1" w:styleId="BodyTextChar">
    <w:name w:val="Body Text Char"/>
    <w:aliases w:val="UTS Body Char"/>
    <w:basedOn w:val="DefaultParagraphFont"/>
    <w:link w:val="BodyText"/>
    <w:uiPriority w:val="99"/>
    <w:rsid w:val="00EF5B9A"/>
    <w:rPr>
      <w:rFonts w:ascii="Calibri Light" w:eastAsia="Times New Roman" w:hAnsi="Calibri Light" w:cs="Times New Roman"/>
      <w:color w:val="000000" w:themeColor="text1"/>
      <w:szCs w:val="24"/>
      <w:lang w:eastAsia="en-AU"/>
    </w:rPr>
  </w:style>
  <w:style w:type="character" w:customStyle="1" w:styleId="Heading1Char">
    <w:name w:val="Heading 1 Char"/>
    <w:aliases w:val="UTS H1 Char"/>
    <w:basedOn w:val="DefaultParagraphFont"/>
    <w:link w:val="Heading1"/>
    <w:rsid w:val="002E5CF0"/>
    <w:rPr>
      <w:rFonts w:ascii="Calibri Light" w:eastAsia="Times New Roman" w:hAnsi="Calibri Light" w:cs="Arial"/>
      <w:bCs/>
      <w:color w:val="0F4BEB" w:themeColor="accent1"/>
      <w:sz w:val="48"/>
      <w:szCs w:val="32"/>
      <w:lang w:eastAsia="en-AU"/>
    </w:rPr>
  </w:style>
  <w:style w:type="character" w:customStyle="1" w:styleId="Heading2Char">
    <w:name w:val="Heading 2 Char"/>
    <w:aliases w:val="UTS H2 Char"/>
    <w:basedOn w:val="DefaultParagraphFont"/>
    <w:link w:val="Heading2"/>
    <w:rsid w:val="00D21163"/>
    <w:rPr>
      <w:rFonts w:ascii="Calibri Light" w:eastAsia="Times New Roman" w:hAnsi="Calibri Light" w:cs="Arial"/>
      <w:bCs/>
      <w:iCs/>
      <w:color w:val="0F4BEB" w:themeColor="accent1"/>
      <w:sz w:val="30"/>
      <w:szCs w:val="28"/>
      <w:lang w:eastAsia="en-AU"/>
    </w:rPr>
  </w:style>
  <w:style w:type="character" w:customStyle="1" w:styleId="Heading3Char">
    <w:name w:val="Heading 3 Char"/>
    <w:aliases w:val="UTS H3 Char"/>
    <w:basedOn w:val="DefaultParagraphFont"/>
    <w:link w:val="Heading3"/>
    <w:uiPriority w:val="9"/>
    <w:rsid w:val="003E6AF6"/>
    <w:rPr>
      <w:rFonts w:asciiTheme="majorHAnsi" w:eastAsia="Times New Roman" w:hAnsiTheme="majorHAnsi" w:cs="Times New Roman"/>
      <w:b/>
      <w:bCs/>
      <w:szCs w:val="24"/>
      <w:lang w:eastAsia="en-AU"/>
    </w:rPr>
  </w:style>
  <w:style w:type="character" w:customStyle="1" w:styleId="Heading4Char">
    <w:name w:val="Heading 4 Char"/>
    <w:aliases w:val="UTS H4 Char"/>
    <w:basedOn w:val="DefaultParagraphFont"/>
    <w:link w:val="Heading4"/>
    <w:rsid w:val="00F020E5"/>
    <w:rPr>
      <w:rFonts w:ascii="Calibri" w:hAnsi="Calibri" w:cs="Calibri"/>
      <w:b/>
      <w:bCs/>
      <w:lang w:eastAsia="en-AU"/>
    </w:rPr>
  </w:style>
  <w:style w:type="paragraph" w:customStyle="1" w:styleId="NbrHeading1">
    <w:name w:val="Nbr Heading 1"/>
    <w:aliases w:val="UTS Nbr H1"/>
    <w:basedOn w:val="Heading1"/>
    <w:next w:val="BodyText"/>
    <w:autoRedefine/>
    <w:qFormat/>
    <w:rsid w:val="007B3C56"/>
    <w:pPr>
      <w:numPr>
        <w:numId w:val="76"/>
      </w:numPr>
      <w:tabs>
        <w:tab w:val="clear" w:pos="1134"/>
        <w:tab w:val="num" w:pos="567"/>
      </w:tabs>
    </w:pPr>
    <w:rPr>
      <w:rFonts w:ascii="Calibri" w:hAnsi="Calibri"/>
      <w:b/>
      <w:bCs w:val="0"/>
      <w:color w:val="000000" w:themeColor="text1"/>
      <w:sz w:val="22"/>
    </w:rPr>
  </w:style>
  <w:style w:type="paragraph" w:customStyle="1" w:styleId="NbrHeading2">
    <w:name w:val="Nbr Heading 2"/>
    <w:aliases w:val="UTS Nbr H2"/>
    <w:basedOn w:val="Heading2"/>
    <w:next w:val="BodyText"/>
    <w:autoRedefine/>
    <w:qFormat/>
    <w:rsid w:val="00146C04"/>
    <w:pPr>
      <w:numPr>
        <w:ilvl w:val="1"/>
        <w:numId w:val="76"/>
      </w:numPr>
      <w:tabs>
        <w:tab w:val="clear" w:pos="1134"/>
        <w:tab w:val="num" w:pos="567"/>
      </w:tabs>
    </w:pPr>
    <w:rPr>
      <w:color w:val="000000" w:themeColor="text1"/>
      <w:sz w:val="22"/>
    </w:rPr>
  </w:style>
  <w:style w:type="paragraph" w:customStyle="1" w:styleId="NbrHeading3">
    <w:name w:val="Nbr Heading 3"/>
    <w:aliases w:val="UTS Nbr H3"/>
    <w:basedOn w:val="Heading3"/>
    <w:next w:val="BodyText"/>
    <w:autoRedefine/>
    <w:qFormat/>
    <w:rsid w:val="0012257A"/>
    <w:pPr>
      <w:spacing w:before="240" w:after="240"/>
    </w:pPr>
    <w:rPr>
      <w:rFonts w:ascii="Calibri Light" w:hAnsi="Calibri Light" w:cs="Calibri Light"/>
      <w:b w:val="0"/>
      <w:bCs w:val="0"/>
      <w:i/>
      <w:color w:val="000000" w:themeColor="text1"/>
    </w:rPr>
  </w:style>
  <w:style w:type="paragraph" w:customStyle="1" w:styleId="NbrHeading4">
    <w:name w:val="Nbr Heading 4"/>
    <w:aliases w:val="UTS Nbr H4"/>
    <w:basedOn w:val="Heading4"/>
    <w:next w:val="BodyText"/>
    <w:qFormat/>
    <w:rsid w:val="003A08A5"/>
    <w:pPr>
      <w:numPr>
        <w:ilvl w:val="3"/>
        <w:numId w:val="76"/>
      </w:numPr>
    </w:pPr>
  </w:style>
  <w:style w:type="paragraph" w:styleId="Title">
    <w:name w:val="Title"/>
    <w:aliases w:val="UTS Title"/>
    <w:basedOn w:val="Normal"/>
    <w:next w:val="BodyText"/>
    <w:link w:val="TitleChar"/>
    <w:uiPriority w:val="9"/>
    <w:qFormat/>
    <w:rsid w:val="00CD207A"/>
    <w:rPr>
      <w:rFonts w:asciiTheme="majorHAnsi" w:eastAsiaTheme="majorEastAsia" w:hAnsiTheme="majorHAnsi" w:cstheme="majorBidi"/>
      <w:color w:val="FFFFFF" w:themeColor="background1"/>
      <w:sz w:val="30"/>
      <w:szCs w:val="52"/>
    </w:rPr>
  </w:style>
  <w:style w:type="character" w:customStyle="1" w:styleId="TitleChar">
    <w:name w:val="Title Char"/>
    <w:aliases w:val="UTS Title Char"/>
    <w:basedOn w:val="DefaultParagraphFont"/>
    <w:link w:val="Title"/>
    <w:uiPriority w:val="9"/>
    <w:rsid w:val="00CD207A"/>
    <w:rPr>
      <w:rFonts w:asciiTheme="majorHAnsi" w:eastAsiaTheme="majorEastAsia" w:hAnsiTheme="majorHAnsi" w:cstheme="majorBidi"/>
      <w:color w:val="FFFFFF" w:themeColor="background1"/>
      <w:sz w:val="30"/>
      <w:szCs w:val="52"/>
    </w:rPr>
  </w:style>
  <w:style w:type="paragraph" w:styleId="Subtitle">
    <w:name w:val="Subtitle"/>
    <w:aliases w:val="UTS Subtitle"/>
    <w:basedOn w:val="Normal"/>
    <w:next w:val="BodyText"/>
    <w:link w:val="SubtitleChar"/>
    <w:uiPriority w:val="10"/>
    <w:qFormat/>
    <w:rsid w:val="00CD207A"/>
    <w:rPr>
      <w:rFonts w:eastAsia="Times New Roman"/>
      <w:color w:val="FFFFFF" w:themeColor="background1"/>
      <w:sz w:val="100"/>
      <w:lang w:val="en-US"/>
    </w:rPr>
  </w:style>
  <w:style w:type="character" w:customStyle="1" w:styleId="SubtitleChar">
    <w:name w:val="Subtitle Char"/>
    <w:aliases w:val="UTS Subtitle Char"/>
    <w:basedOn w:val="DefaultParagraphFont"/>
    <w:link w:val="Subtitle"/>
    <w:uiPriority w:val="10"/>
    <w:rsid w:val="00CD207A"/>
    <w:rPr>
      <w:rFonts w:eastAsia="Times New Roman"/>
      <w:color w:val="FFFFFF" w:themeColor="background1"/>
      <w:sz w:val="100"/>
      <w:lang w:val="en-US"/>
    </w:rPr>
  </w:style>
  <w:style w:type="paragraph" w:styleId="BodyText2">
    <w:name w:val="Body Text 2"/>
    <w:basedOn w:val="BodyText"/>
    <w:link w:val="BodyText2Char"/>
    <w:uiPriority w:val="99"/>
    <w:semiHidden/>
    <w:qFormat/>
    <w:rsid w:val="00444AE6"/>
    <w:pPr>
      <w:numPr>
        <w:ilvl w:val="1"/>
        <w:numId w:val="62"/>
      </w:numPr>
      <w:tabs>
        <w:tab w:val="num" w:pos="0"/>
        <w:tab w:val="left" w:pos="567"/>
      </w:tabs>
    </w:pPr>
  </w:style>
  <w:style w:type="character" w:customStyle="1" w:styleId="BodyText2Char">
    <w:name w:val="Body Text 2 Char"/>
    <w:basedOn w:val="DefaultParagraphFont"/>
    <w:link w:val="BodyText2"/>
    <w:uiPriority w:val="99"/>
    <w:semiHidden/>
    <w:rsid w:val="00444AE6"/>
    <w:rPr>
      <w:rFonts w:ascii="Calibri Light" w:eastAsia="Times New Roman" w:hAnsi="Calibri Light" w:cs="Times New Roman"/>
      <w:color w:val="000000" w:themeColor="text1"/>
      <w:szCs w:val="24"/>
      <w:lang w:eastAsia="en-AU"/>
    </w:rPr>
  </w:style>
  <w:style w:type="paragraph" w:styleId="Header">
    <w:name w:val="header"/>
    <w:basedOn w:val="Normal"/>
    <w:link w:val="HeaderChar"/>
    <w:uiPriority w:val="99"/>
    <w:rsid w:val="00CD207A"/>
    <w:rPr>
      <w:color w:val="0F4BEB" w:themeColor="accent1"/>
      <w:sz w:val="16"/>
    </w:rPr>
  </w:style>
  <w:style w:type="character" w:customStyle="1" w:styleId="HeaderChar">
    <w:name w:val="Header Char"/>
    <w:basedOn w:val="DefaultParagraphFont"/>
    <w:link w:val="Header"/>
    <w:uiPriority w:val="99"/>
    <w:rsid w:val="00CD207A"/>
    <w:rPr>
      <w:color w:val="0F4BEB" w:themeColor="accent1"/>
      <w:sz w:val="16"/>
    </w:rPr>
  </w:style>
  <w:style w:type="paragraph" w:styleId="Footer">
    <w:name w:val="footer"/>
    <w:basedOn w:val="Normal"/>
    <w:link w:val="FooterChar"/>
    <w:uiPriority w:val="99"/>
    <w:rsid w:val="00012538"/>
    <w:pPr>
      <w:tabs>
        <w:tab w:val="right" w:pos="9639"/>
      </w:tabs>
      <w:spacing w:after="120"/>
    </w:pPr>
    <w:rPr>
      <w:color w:val="0F4BEB" w:themeColor="accent1"/>
      <w:sz w:val="16"/>
    </w:rPr>
  </w:style>
  <w:style w:type="character" w:customStyle="1" w:styleId="FooterChar">
    <w:name w:val="Footer Char"/>
    <w:basedOn w:val="DefaultParagraphFont"/>
    <w:link w:val="Footer"/>
    <w:uiPriority w:val="99"/>
    <w:rsid w:val="00012538"/>
    <w:rPr>
      <w:color w:val="0F4BEB" w:themeColor="accent1"/>
      <w:sz w:val="16"/>
    </w:rPr>
  </w:style>
  <w:style w:type="paragraph" w:styleId="ListNumber0">
    <w:name w:val="List Number"/>
    <w:aliases w:val="UTS Number"/>
    <w:basedOn w:val="BodyText"/>
    <w:uiPriority w:val="1"/>
    <w:qFormat/>
    <w:rsid w:val="00D63B2E"/>
    <w:pPr>
      <w:numPr>
        <w:numId w:val="75"/>
      </w:numPr>
    </w:pPr>
  </w:style>
  <w:style w:type="paragraph" w:styleId="ListBullet0">
    <w:name w:val="List Bullet"/>
    <w:aliases w:val="UTS Bullet"/>
    <w:basedOn w:val="BodyText"/>
    <w:autoRedefine/>
    <w:uiPriority w:val="1"/>
    <w:qFormat/>
    <w:rsid w:val="000559C7"/>
    <w:pPr>
      <w:numPr>
        <w:ilvl w:val="1"/>
        <w:numId w:val="77"/>
      </w:numPr>
    </w:pPr>
  </w:style>
  <w:style w:type="paragraph" w:styleId="TOCHeading">
    <w:name w:val="TOC Heading"/>
    <w:basedOn w:val="Heading1"/>
    <w:next w:val="Normal"/>
    <w:uiPriority w:val="39"/>
    <w:qFormat/>
    <w:rsid w:val="003A21A7"/>
    <w:pPr>
      <w:spacing w:before="480"/>
    </w:pPr>
  </w:style>
  <w:style w:type="character" w:styleId="Hyperlink">
    <w:name w:val="Hyperlink"/>
    <w:basedOn w:val="DefaultParagraphFont"/>
    <w:uiPriority w:val="99"/>
    <w:rsid w:val="00BF1F87"/>
    <w:rPr>
      <w:color w:val="0F4BEB" w:themeColor="accent1"/>
      <w:u w:val="single"/>
    </w:rPr>
  </w:style>
  <w:style w:type="paragraph" w:styleId="TOC1">
    <w:name w:val="toc 1"/>
    <w:basedOn w:val="Normal"/>
    <w:next w:val="Normal"/>
    <w:uiPriority w:val="39"/>
    <w:rsid w:val="005226AD"/>
    <w:pPr>
      <w:spacing w:before="240" w:after="120"/>
    </w:pPr>
    <w:rPr>
      <w:rFonts w:ascii="Calibri" w:hAnsi="Calibri" w:cstheme="minorHAnsi"/>
      <w:b/>
      <w:bCs/>
      <w:sz w:val="20"/>
      <w:szCs w:val="24"/>
    </w:rPr>
  </w:style>
  <w:style w:type="paragraph" w:styleId="TOC2">
    <w:name w:val="toc 2"/>
    <w:basedOn w:val="Normal"/>
    <w:next w:val="Normal"/>
    <w:uiPriority w:val="39"/>
    <w:rsid w:val="005226AD"/>
    <w:pPr>
      <w:spacing w:before="120" w:after="0"/>
      <w:ind w:left="220"/>
    </w:pPr>
    <w:rPr>
      <w:rFonts w:cstheme="minorHAnsi"/>
      <w:iCs/>
      <w:sz w:val="20"/>
      <w:szCs w:val="24"/>
    </w:rPr>
  </w:style>
  <w:style w:type="paragraph" w:styleId="TOC3">
    <w:name w:val="toc 3"/>
    <w:basedOn w:val="Normal"/>
    <w:next w:val="Normal"/>
    <w:uiPriority w:val="39"/>
    <w:rsid w:val="005226AD"/>
    <w:pPr>
      <w:spacing w:after="0"/>
      <w:ind w:left="440"/>
    </w:pPr>
    <w:rPr>
      <w:rFonts w:cstheme="minorHAnsi"/>
      <w:i/>
      <w:sz w:val="20"/>
      <w:szCs w:val="24"/>
    </w:rPr>
  </w:style>
  <w:style w:type="table" w:styleId="TableGrid">
    <w:name w:val="Table Grid"/>
    <w:basedOn w:val="TableNormal"/>
    <w:uiPriority w:val="39"/>
    <w:rsid w:val="00DB2B49"/>
    <w:pPr>
      <w:spacing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nedRedTable">
    <w:name w:val="Lined Red Table"/>
    <w:basedOn w:val="LinedBlueTable"/>
    <w:uiPriority w:val="99"/>
    <w:rsid w:val="00562433"/>
    <w:tblPr>
      <w:tblBorders>
        <w:top w:val="none" w:sz="0" w:space="0" w:color="auto"/>
        <w:bottom w:val="single" w:sz="18" w:space="0" w:color="FFD2CD" w:themeColor="accent2" w:themeTint="33"/>
        <w:insideH w:val="single" w:sz="18" w:space="0" w:color="FFD2CD" w:themeColor="accent2" w:themeTint="33"/>
      </w:tblBorders>
    </w:tblPr>
    <w:tcPr>
      <w:shd w:val="clear" w:color="auto" w:fill="auto"/>
    </w:tcPr>
    <w:tblStylePr w:type="firstRow">
      <w:rPr>
        <w:color w:val="FFFFFF" w:themeColor="background1"/>
      </w:rPr>
      <w:tblPr/>
      <w:tcPr>
        <w:tcBorders>
          <w:top w:val="single" w:sz="18" w:space="0" w:color="FFD2CD" w:themeColor="accent2" w:themeTint="33"/>
          <w:left w:val="nil"/>
          <w:bottom w:val="nil"/>
          <w:right w:val="nil"/>
          <w:insideH w:val="nil"/>
          <w:insideV w:val="nil"/>
          <w:tl2br w:val="nil"/>
          <w:tr2bl w:val="nil"/>
        </w:tcBorders>
        <w:shd w:val="clear" w:color="auto" w:fill="FF2305" w:themeFill="accent2"/>
      </w:tcPr>
    </w:tblStylePr>
    <w:tblStylePr w:type="lastRow">
      <w:rPr>
        <w:b/>
        <w:color w:val="auto"/>
      </w:rPr>
      <w:tblPr/>
      <w:tcPr>
        <w:shd w:val="clear" w:color="auto" w:fill="FFF1EF"/>
      </w:tcPr>
    </w:tblStylePr>
    <w:tblStylePr w:type="firstCol">
      <w:rPr>
        <w:color w:val="FFFFFF" w:themeColor="background1"/>
      </w:rPr>
      <w:tblPr/>
      <w:tcPr>
        <w:tcBorders>
          <w:top w:val="nil"/>
          <w:left w:val="nil"/>
          <w:bottom w:val="single" w:sz="18" w:space="0" w:color="FFD2CD" w:themeColor="accent2" w:themeTint="33"/>
          <w:right w:val="nil"/>
          <w:insideH w:val="single" w:sz="18" w:space="0" w:color="FFD2CD" w:themeColor="accent2" w:themeTint="33"/>
          <w:insideV w:val="nil"/>
        </w:tcBorders>
        <w:shd w:val="clear" w:color="auto" w:fill="FF2305" w:themeFill="accent2"/>
      </w:tcPr>
    </w:tblStylePr>
    <w:tblStylePr w:type="lastCol">
      <w:tblPr/>
      <w:tcPr>
        <w:shd w:val="clear" w:color="auto" w:fill="FFF1EF"/>
      </w:tcPr>
    </w:tblStylePr>
    <w:tblStylePr w:type="band2Vert">
      <w:tblPr/>
      <w:tcPr>
        <w:shd w:val="clear" w:color="auto" w:fill="FFF1EF"/>
      </w:tcPr>
    </w:tblStylePr>
    <w:tblStylePr w:type="band2Horz">
      <w:tblPr/>
      <w:tcPr>
        <w:shd w:val="clear" w:color="auto" w:fill="FFF1EF"/>
      </w:tcPr>
    </w:tblStylePr>
  </w:style>
  <w:style w:type="paragraph" w:customStyle="1" w:styleId="TableHeading">
    <w:name w:val="Table Heading"/>
    <w:aliases w:val="UTS Table Heading"/>
    <w:basedOn w:val="Normal"/>
    <w:next w:val="BodyText"/>
    <w:uiPriority w:val="3"/>
    <w:qFormat/>
    <w:rsid w:val="00C6313E"/>
    <w:pPr>
      <w:spacing w:before="60" w:after="60"/>
      <w:ind w:left="113" w:right="113"/>
    </w:pPr>
    <w:rPr>
      <w:b/>
    </w:rPr>
  </w:style>
  <w:style w:type="paragraph" w:customStyle="1" w:styleId="TableText">
    <w:name w:val="Table Text"/>
    <w:aliases w:val="UTS Table Text"/>
    <w:basedOn w:val="Normal"/>
    <w:uiPriority w:val="3"/>
    <w:qFormat/>
    <w:rsid w:val="00C6313E"/>
    <w:pPr>
      <w:spacing w:before="60" w:after="60"/>
      <w:ind w:left="113" w:right="113"/>
    </w:pPr>
  </w:style>
  <w:style w:type="paragraph" w:customStyle="1" w:styleId="TableBullet">
    <w:name w:val="Table Bullet"/>
    <w:aliases w:val="UTS Table Bullet"/>
    <w:basedOn w:val="TableText"/>
    <w:autoRedefine/>
    <w:uiPriority w:val="4"/>
    <w:qFormat/>
    <w:rsid w:val="00A854D5"/>
    <w:pPr>
      <w:numPr>
        <w:ilvl w:val="1"/>
        <w:numId w:val="15"/>
      </w:numPr>
    </w:pPr>
    <w:rPr>
      <w:rFonts w:eastAsia="Times New Roman" w:cs="Times New Roman"/>
      <w:szCs w:val="24"/>
    </w:rPr>
  </w:style>
  <w:style w:type="paragraph" w:customStyle="1" w:styleId="TableNumber">
    <w:name w:val="Table Number"/>
    <w:aliases w:val="UTS Table Number"/>
    <w:basedOn w:val="TableText"/>
    <w:uiPriority w:val="4"/>
    <w:qFormat/>
    <w:rsid w:val="00411DB3"/>
    <w:pPr>
      <w:numPr>
        <w:numId w:val="10"/>
      </w:numPr>
    </w:pPr>
  </w:style>
  <w:style w:type="character" w:customStyle="1" w:styleId="Heading5Char">
    <w:name w:val="Heading 5 Char"/>
    <w:basedOn w:val="DefaultParagraphFont"/>
    <w:link w:val="Heading5"/>
    <w:semiHidden/>
    <w:rsid w:val="00D27E2E"/>
    <w:rPr>
      <w:rFonts w:asciiTheme="majorHAnsi" w:eastAsia="Times New Roman" w:hAnsiTheme="majorHAnsi" w:cs="Times New Roman"/>
      <w:bCs/>
      <w:iCs/>
      <w:sz w:val="20"/>
      <w:szCs w:val="26"/>
      <w:lang w:eastAsia="en-AU"/>
    </w:rPr>
  </w:style>
  <w:style w:type="character" w:customStyle="1" w:styleId="Heading6Char">
    <w:name w:val="Heading 6 Char"/>
    <w:basedOn w:val="DefaultParagraphFont"/>
    <w:link w:val="Heading6"/>
    <w:uiPriority w:val="99"/>
    <w:semiHidden/>
    <w:rsid w:val="00E33EF7"/>
    <w:rPr>
      <w:rFonts w:eastAsia="Times New Roman" w:cs="Times New Roman"/>
      <w:bCs/>
      <w:sz w:val="18"/>
      <w:lang w:eastAsia="en-AU"/>
    </w:rPr>
  </w:style>
  <w:style w:type="paragraph" w:styleId="BodyText3">
    <w:name w:val="Body Text 3"/>
    <w:basedOn w:val="BodyText"/>
    <w:link w:val="BodyText3Char"/>
    <w:uiPriority w:val="99"/>
    <w:semiHidden/>
    <w:qFormat/>
    <w:rsid w:val="00444AE6"/>
    <w:pPr>
      <w:numPr>
        <w:ilvl w:val="2"/>
        <w:numId w:val="62"/>
      </w:numPr>
      <w:tabs>
        <w:tab w:val="num" w:pos="0"/>
      </w:tabs>
    </w:pPr>
    <w:rPr>
      <w:szCs w:val="16"/>
    </w:rPr>
  </w:style>
  <w:style w:type="character" w:customStyle="1" w:styleId="BodyText3Char">
    <w:name w:val="Body Text 3 Char"/>
    <w:basedOn w:val="DefaultParagraphFont"/>
    <w:link w:val="BodyText3"/>
    <w:uiPriority w:val="99"/>
    <w:semiHidden/>
    <w:rsid w:val="00444AE6"/>
    <w:rPr>
      <w:rFonts w:ascii="Calibri Light" w:eastAsia="Times New Roman" w:hAnsi="Calibri Light" w:cs="Times New Roman"/>
      <w:color w:val="000000" w:themeColor="text1"/>
      <w:szCs w:val="16"/>
      <w:lang w:eastAsia="en-AU"/>
    </w:rPr>
  </w:style>
  <w:style w:type="paragraph" w:styleId="ListParagraph">
    <w:name w:val="List Paragraph"/>
    <w:aliases w:val="UTS Para,OBC Bullet,F5 List Paragraph,Colorful List - Accent 11,Normal numbered,Bullet 1,Bullet Style,Dot pt,No Spacing1,Indicator Text,Numbered Para 1,List Paragraph1,Bullet Points,MAIN CONTENT,List Paragraph12,L,Recommendation,Body text"/>
    <w:basedOn w:val="BodyText"/>
    <w:link w:val="ListParagraphChar"/>
    <w:uiPriority w:val="34"/>
    <w:qFormat/>
    <w:rsid w:val="00D27627"/>
    <w:pPr>
      <w:numPr>
        <w:numId w:val="9"/>
      </w:numPr>
      <w:spacing w:after="240" w:line="276" w:lineRule="auto"/>
      <w:contextualSpacing/>
      <w:jc w:val="left"/>
    </w:pPr>
  </w:style>
  <w:style w:type="paragraph" w:styleId="TOC4">
    <w:name w:val="toc 4"/>
    <w:basedOn w:val="TOC1"/>
    <w:next w:val="Normal"/>
    <w:uiPriority w:val="39"/>
    <w:rsid w:val="00DF01DF"/>
    <w:pPr>
      <w:spacing w:before="0" w:after="0"/>
      <w:ind w:left="660"/>
    </w:pPr>
    <w:rPr>
      <w:b w:val="0"/>
      <w:bCs w:val="0"/>
    </w:rPr>
  </w:style>
  <w:style w:type="paragraph" w:customStyle="1" w:styleId="NbrHeading5">
    <w:name w:val="Nbr Heading 5"/>
    <w:basedOn w:val="Heading5"/>
    <w:next w:val="BodyText"/>
    <w:semiHidden/>
    <w:qFormat/>
    <w:rsid w:val="003A08A5"/>
    <w:pPr>
      <w:numPr>
        <w:ilvl w:val="4"/>
        <w:numId w:val="76"/>
      </w:numPr>
    </w:pPr>
  </w:style>
  <w:style w:type="table" w:customStyle="1" w:styleId="ShadedRedTable">
    <w:name w:val="Shaded Red Table"/>
    <w:basedOn w:val="ShadedBlueTable"/>
    <w:uiPriority w:val="99"/>
    <w:rsid w:val="003E6AF6"/>
    <w:tblPr/>
    <w:tcPr>
      <w:shd w:val="clear" w:color="auto" w:fill="FFF1EF"/>
    </w:tcPr>
    <w:tblStylePr w:type="firstRow">
      <w:rPr>
        <w:color w:val="FFFFFF" w:themeColor="background1"/>
      </w:rPr>
      <w:tblPr/>
      <w:tcPr>
        <w:tcBorders>
          <w:top w:val="single" w:sz="36" w:space="0" w:color="000000" w:themeColor="text1"/>
        </w:tcBorders>
        <w:shd w:val="clear" w:color="auto" w:fill="FF2305" w:themeFill="accent2"/>
      </w:tcPr>
    </w:tblStylePr>
    <w:tblStylePr w:type="lastRow">
      <w:rPr>
        <w:b/>
      </w:rPr>
      <w:tblPr/>
      <w:tcPr>
        <w:shd w:val="clear" w:color="auto" w:fill="FFD2CD" w:themeFill="accent2" w:themeFillTint="33"/>
      </w:tcPr>
    </w:tblStylePr>
    <w:tblStylePr w:type="firstCol">
      <w:rPr>
        <w:color w:val="FFFFFF" w:themeColor="background1"/>
      </w:rPr>
      <w:tblPr/>
      <w:tcPr>
        <w:shd w:val="clear" w:color="auto" w:fill="FF2305" w:themeFill="accent2"/>
      </w:tcPr>
    </w:tblStylePr>
    <w:tblStylePr w:type="lastCol">
      <w:tblPr/>
      <w:tcPr>
        <w:shd w:val="clear" w:color="auto" w:fill="FFD2CD" w:themeFill="accent2" w:themeFillTint="33"/>
      </w:tcPr>
    </w:tblStylePr>
    <w:tblStylePr w:type="band2Vert">
      <w:tblPr/>
      <w:tcPr>
        <w:shd w:val="clear" w:color="auto" w:fill="FFD2CD" w:themeFill="accent2" w:themeFillTint="33"/>
      </w:tcPr>
    </w:tblStylePr>
    <w:tblStylePr w:type="band2Horz">
      <w:tblPr/>
      <w:tcPr>
        <w:shd w:val="clear" w:color="auto" w:fill="FFD2CD" w:themeFill="accent2" w:themeFillTint="33"/>
      </w:tcPr>
    </w:tblStylePr>
  </w:style>
  <w:style w:type="table" w:customStyle="1" w:styleId="ShadedBlackTable">
    <w:name w:val="Shaded Black Table"/>
    <w:basedOn w:val="ShadedRedTable"/>
    <w:uiPriority w:val="99"/>
    <w:rsid w:val="003E6AF6"/>
    <w:tblPr/>
    <w:tcPr>
      <w:shd w:val="clear" w:color="auto" w:fill="F2F2F2" w:themeFill="background2"/>
    </w:tcPr>
    <w:tblStylePr w:type="firstRow">
      <w:rPr>
        <w:color w:val="FFFFFF" w:themeColor="background1"/>
      </w:rPr>
      <w:tblPr/>
      <w:tcPr>
        <w:tcBorders>
          <w:top w:val="single" w:sz="36" w:space="0" w:color="0F4BEB" w:themeColor="accent1"/>
        </w:tcBorders>
        <w:shd w:val="clear" w:color="auto" w:fill="000000" w:themeFill="text1"/>
      </w:tcPr>
    </w:tblStylePr>
    <w:tblStylePr w:type="lastRow">
      <w:rPr>
        <w:b/>
      </w:rPr>
      <w:tblPr/>
      <w:tcPr>
        <w:shd w:val="clear" w:color="auto" w:fill="DADADA" w:themeFill="background2" w:themeFillShade="E6"/>
      </w:tcPr>
    </w:tblStylePr>
    <w:tblStylePr w:type="firstCol">
      <w:rPr>
        <w:color w:val="FFFFFF" w:themeColor="background1"/>
      </w:rPr>
      <w:tblPr/>
      <w:tcPr>
        <w:shd w:val="clear" w:color="auto" w:fill="000000" w:themeFill="text1"/>
      </w:tcPr>
    </w:tblStylePr>
    <w:tblStylePr w:type="lastCol">
      <w:tblPr/>
      <w:tcPr>
        <w:shd w:val="clear" w:color="auto" w:fill="DADADA" w:themeFill="background2" w:themeFillShade="E6"/>
      </w:tcPr>
    </w:tblStylePr>
    <w:tblStylePr w:type="band2Vert">
      <w:tblPr/>
      <w:tcPr>
        <w:shd w:val="clear" w:color="auto" w:fill="DADADA" w:themeFill="background2" w:themeFillShade="E6"/>
      </w:tcPr>
    </w:tblStylePr>
    <w:tblStylePr w:type="band2Horz">
      <w:tblPr/>
      <w:tcPr>
        <w:shd w:val="clear" w:color="auto" w:fill="DADADA" w:themeFill="background2" w:themeFillShade="E6"/>
      </w:tcPr>
    </w:tblStylePr>
  </w:style>
  <w:style w:type="paragraph" w:styleId="BalloonText">
    <w:name w:val="Balloon Text"/>
    <w:basedOn w:val="Normal"/>
    <w:link w:val="BalloonTextChar"/>
    <w:uiPriority w:val="99"/>
    <w:semiHidden/>
    <w:rsid w:val="00E21DC0"/>
    <w:rPr>
      <w:rFonts w:ascii="Tahoma" w:hAnsi="Tahoma" w:cs="Tahoma"/>
      <w:sz w:val="16"/>
      <w:szCs w:val="16"/>
    </w:rPr>
  </w:style>
  <w:style w:type="character" w:customStyle="1" w:styleId="BalloonTextChar">
    <w:name w:val="Balloon Text Char"/>
    <w:basedOn w:val="DefaultParagraphFont"/>
    <w:link w:val="BalloonText"/>
    <w:uiPriority w:val="99"/>
    <w:semiHidden/>
    <w:rsid w:val="00E21DC0"/>
    <w:rPr>
      <w:rFonts w:ascii="Tahoma" w:hAnsi="Tahoma" w:cs="Tahoma"/>
      <w:sz w:val="16"/>
      <w:szCs w:val="16"/>
    </w:rPr>
  </w:style>
  <w:style w:type="paragraph" w:styleId="Quote">
    <w:name w:val="Quote"/>
    <w:basedOn w:val="Normal"/>
    <w:next w:val="Normal"/>
    <w:link w:val="QuoteChar"/>
    <w:uiPriority w:val="99"/>
    <w:semiHidden/>
    <w:qFormat/>
    <w:rsid w:val="00076F97"/>
    <w:pPr>
      <w:spacing w:before="180" w:after="180"/>
      <w:ind w:left="567" w:right="567"/>
      <w:jc w:val="center"/>
    </w:pPr>
    <w:rPr>
      <w:i/>
      <w:iCs/>
      <w:color w:val="000000" w:themeColor="text1"/>
    </w:rPr>
  </w:style>
  <w:style w:type="character" w:customStyle="1" w:styleId="QuoteChar">
    <w:name w:val="Quote Char"/>
    <w:basedOn w:val="DefaultParagraphFont"/>
    <w:link w:val="Quote"/>
    <w:uiPriority w:val="99"/>
    <w:semiHidden/>
    <w:rsid w:val="00E33EF7"/>
    <w:rPr>
      <w:i/>
      <w:iCs/>
      <w:color w:val="000000" w:themeColor="text1"/>
      <w:sz w:val="18"/>
    </w:rPr>
  </w:style>
  <w:style w:type="paragraph" w:customStyle="1" w:styleId="FigureCaption">
    <w:name w:val="Figure Caption"/>
    <w:basedOn w:val="Normal"/>
    <w:next w:val="BodyText"/>
    <w:uiPriority w:val="6"/>
    <w:qFormat/>
    <w:rsid w:val="0055219D"/>
    <w:pPr>
      <w:tabs>
        <w:tab w:val="left" w:pos="1134"/>
      </w:tabs>
      <w:spacing w:before="120"/>
      <w:ind w:left="1134" w:hanging="1134"/>
      <w:jc w:val="center"/>
    </w:pPr>
    <w:rPr>
      <w:b/>
    </w:rPr>
  </w:style>
  <w:style w:type="paragraph" w:customStyle="1" w:styleId="TableCaption">
    <w:name w:val="Table Caption"/>
    <w:basedOn w:val="Caption"/>
    <w:uiPriority w:val="6"/>
    <w:qFormat/>
    <w:rsid w:val="00FE7A02"/>
  </w:style>
  <w:style w:type="paragraph" w:customStyle="1" w:styleId="FigureStyle">
    <w:name w:val="Figure Style"/>
    <w:basedOn w:val="BodyText"/>
    <w:uiPriority w:val="6"/>
    <w:qFormat/>
    <w:rsid w:val="00FE7A02"/>
    <w:pPr>
      <w:keepNext/>
      <w:spacing w:before="240"/>
    </w:pPr>
  </w:style>
  <w:style w:type="paragraph" w:styleId="TOC5">
    <w:name w:val="toc 5"/>
    <w:basedOn w:val="TOC2"/>
    <w:next w:val="Normal"/>
    <w:uiPriority w:val="39"/>
    <w:rsid w:val="0061089F"/>
    <w:pPr>
      <w:spacing w:before="0"/>
      <w:ind w:left="880"/>
    </w:pPr>
    <w:rPr>
      <w:i/>
      <w:iCs w:val="0"/>
    </w:rPr>
  </w:style>
  <w:style w:type="paragraph" w:styleId="TOC6">
    <w:name w:val="toc 6"/>
    <w:basedOn w:val="TOC3"/>
    <w:next w:val="Normal"/>
    <w:uiPriority w:val="39"/>
    <w:rsid w:val="0061089F"/>
    <w:pPr>
      <w:ind w:left="1100"/>
    </w:pPr>
  </w:style>
  <w:style w:type="paragraph" w:styleId="TOC7">
    <w:name w:val="toc 7"/>
    <w:basedOn w:val="TOC2"/>
    <w:next w:val="Normal"/>
    <w:uiPriority w:val="39"/>
    <w:rsid w:val="003B4DCF"/>
    <w:pPr>
      <w:spacing w:before="0"/>
      <w:ind w:left="1320"/>
    </w:pPr>
    <w:rPr>
      <w:i/>
      <w:iCs w:val="0"/>
    </w:rPr>
  </w:style>
  <w:style w:type="paragraph" w:styleId="TOC8">
    <w:name w:val="toc 8"/>
    <w:basedOn w:val="Normal"/>
    <w:next w:val="Normal"/>
    <w:uiPriority w:val="39"/>
    <w:rsid w:val="003B4DCF"/>
    <w:pPr>
      <w:spacing w:after="0"/>
      <w:ind w:left="1540"/>
    </w:pPr>
    <w:rPr>
      <w:rFonts w:asciiTheme="minorHAnsi" w:hAnsiTheme="minorHAnsi" w:cstheme="minorHAnsi"/>
      <w:sz w:val="20"/>
      <w:szCs w:val="24"/>
    </w:rPr>
  </w:style>
  <w:style w:type="paragraph" w:styleId="TOC9">
    <w:name w:val="toc 9"/>
    <w:basedOn w:val="Normal"/>
    <w:next w:val="Normal"/>
    <w:uiPriority w:val="39"/>
    <w:semiHidden/>
    <w:rsid w:val="003B4DCF"/>
    <w:pPr>
      <w:spacing w:after="0"/>
      <w:ind w:left="1760"/>
    </w:pPr>
    <w:rPr>
      <w:rFonts w:asciiTheme="minorHAnsi" w:hAnsiTheme="minorHAnsi" w:cstheme="minorHAnsi"/>
      <w:sz w:val="20"/>
      <w:szCs w:val="24"/>
    </w:rPr>
  </w:style>
  <w:style w:type="numbering" w:customStyle="1" w:styleId="ListNumber">
    <w:name w:val="List_Number"/>
    <w:uiPriority w:val="99"/>
    <w:rsid w:val="00D63B2E"/>
    <w:pPr>
      <w:numPr>
        <w:numId w:val="3"/>
      </w:numPr>
    </w:pPr>
  </w:style>
  <w:style w:type="numbering" w:customStyle="1" w:styleId="ListParagraph0">
    <w:name w:val="List Paragraph0"/>
    <w:uiPriority w:val="99"/>
    <w:rsid w:val="00D63B2E"/>
    <w:pPr>
      <w:numPr>
        <w:numId w:val="5"/>
      </w:numPr>
    </w:pPr>
  </w:style>
  <w:style w:type="paragraph" w:styleId="Caption">
    <w:name w:val="caption"/>
    <w:basedOn w:val="Normal"/>
    <w:next w:val="Normal"/>
    <w:autoRedefine/>
    <w:uiPriority w:val="35"/>
    <w:qFormat/>
    <w:rsid w:val="001721AB"/>
    <w:pPr>
      <w:keepNext/>
      <w:keepLines/>
      <w:tabs>
        <w:tab w:val="left" w:pos="1134"/>
      </w:tabs>
      <w:spacing w:before="240" w:after="120"/>
    </w:pPr>
    <w:rPr>
      <w:rFonts w:ascii="Calibri" w:hAnsi="Calibri" w:cs="Calibri"/>
      <w:b/>
      <w:bCs/>
      <w:sz w:val="20"/>
    </w:rPr>
  </w:style>
  <w:style w:type="paragraph" w:customStyle="1" w:styleId="ListAlpha0">
    <w:name w:val="List Alpha"/>
    <w:aliases w:val="UTS Alpha"/>
    <w:basedOn w:val="BodyText"/>
    <w:uiPriority w:val="1"/>
    <w:qFormat/>
    <w:rsid w:val="00D63B2E"/>
    <w:pPr>
      <w:numPr>
        <w:numId w:val="8"/>
      </w:numPr>
    </w:pPr>
  </w:style>
  <w:style w:type="numbering" w:customStyle="1" w:styleId="ListAlpha">
    <w:name w:val="List_Alpha"/>
    <w:uiPriority w:val="99"/>
    <w:rsid w:val="00D63B2E"/>
    <w:pPr>
      <w:numPr>
        <w:numId w:val="1"/>
      </w:numPr>
    </w:pPr>
  </w:style>
  <w:style w:type="paragraph" w:styleId="TableofAuthorities">
    <w:name w:val="table of authorities"/>
    <w:basedOn w:val="Normal"/>
    <w:next w:val="Normal"/>
    <w:uiPriority w:val="99"/>
    <w:semiHidden/>
    <w:rsid w:val="00E018FB"/>
    <w:pPr>
      <w:ind w:left="200" w:hanging="200"/>
    </w:pPr>
  </w:style>
  <w:style w:type="paragraph" w:styleId="TableofFigures">
    <w:name w:val="table of figures"/>
    <w:basedOn w:val="TOC3"/>
    <w:next w:val="Normal"/>
    <w:uiPriority w:val="99"/>
    <w:rsid w:val="003A21A7"/>
    <w:pPr>
      <w:spacing w:after="60"/>
      <w:ind w:left="0"/>
    </w:pPr>
  </w:style>
  <w:style w:type="table" w:customStyle="1" w:styleId="LinedBlueTable">
    <w:name w:val="Lined Blue Table"/>
    <w:basedOn w:val="TableNormal"/>
    <w:uiPriority w:val="99"/>
    <w:rsid w:val="00562433"/>
    <w:pPr>
      <w:spacing w:before="0" w:after="0"/>
      <w:ind w:left="113" w:right="113"/>
    </w:pPr>
    <w:tblPr>
      <w:tblStyleRowBandSize w:val="1"/>
      <w:tblStyleColBandSize w:val="1"/>
      <w:tblBorders>
        <w:top w:val="single" w:sz="18" w:space="0" w:color="CEDAFC" w:themeColor="accent1" w:themeTint="33"/>
        <w:bottom w:val="single" w:sz="18" w:space="0" w:color="CEDAFC" w:themeColor="accent1" w:themeTint="33"/>
        <w:insideH w:val="single" w:sz="18" w:space="0" w:color="CEDAFC" w:themeColor="accent1" w:themeTint="33"/>
      </w:tblBorders>
      <w:tblCellMar>
        <w:left w:w="0" w:type="dxa"/>
        <w:right w:w="0" w:type="dxa"/>
      </w:tblCellMar>
    </w:tblPr>
    <w:trPr>
      <w:cantSplit/>
    </w:trPr>
    <w:tcPr>
      <w:shd w:val="clear" w:color="auto" w:fill="auto"/>
    </w:tcPr>
    <w:tblStylePr w:type="firstRow">
      <w:rPr>
        <w:color w:val="FFFFFF" w:themeColor="background1"/>
      </w:rPr>
      <w:tblPr/>
      <w:tcPr>
        <w:tcBorders>
          <w:top w:val="single" w:sz="18" w:space="0" w:color="E8EEFD"/>
          <w:left w:val="nil"/>
          <w:bottom w:val="nil"/>
          <w:right w:val="nil"/>
          <w:insideH w:val="nil"/>
          <w:insideV w:val="nil"/>
          <w:tl2br w:val="nil"/>
          <w:tr2bl w:val="nil"/>
        </w:tcBorders>
        <w:shd w:val="clear" w:color="auto" w:fill="0F4BEB" w:themeFill="accent1"/>
      </w:tcPr>
    </w:tblStylePr>
    <w:tblStylePr w:type="lastRow">
      <w:rPr>
        <w:b/>
      </w:rPr>
      <w:tblPr/>
      <w:tcPr>
        <w:shd w:val="clear" w:color="auto" w:fill="ECF1FE"/>
      </w:tcPr>
    </w:tblStylePr>
    <w:tblStylePr w:type="firstCol">
      <w:rPr>
        <w:color w:val="FFFFFF" w:themeColor="background1"/>
      </w:rPr>
      <w:tblPr/>
      <w:tcPr>
        <w:tcBorders>
          <w:top w:val="nil"/>
          <w:left w:val="nil"/>
          <w:bottom w:val="single" w:sz="18" w:space="0" w:color="CEDAFC" w:themeColor="accent1" w:themeTint="33"/>
          <w:right w:val="nil"/>
          <w:insideH w:val="single" w:sz="18" w:space="0" w:color="CEDAFC" w:themeColor="accent1" w:themeTint="33"/>
          <w:insideV w:val="nil"/>
        </w:tcBorders>
        <w:shd w:val="clear" w:color="auto" w:fill="0F4BEB" w:themeFill="accent1"/>
      </w:tcPr>
    </w:tblStylePr>
    <w:tblStylePr w:type="lastCol">
      <w:tblPr/>
      <w:tcPr>
        <w:shd w:val="clear" w:color="auto" w:fill="ECF1FE"/>
      </w:tcPr>
    </w:tblStylePr>
    <w:tblStylePr w:type="band2Vert">
      <w:tblPr/>
      <w:tcPr>
        <w:shd w:val="clear" w:color="auto" w:fill="ECF1FE"/>
      </w:tcPr>
    </w:tblStylePr>
    <w:tblStylePr w:type="band2Horz">
      <w:tblPr/>
      <w:tcPr>
        <w:shd w:val="clear" w:color="auto" w:fill="ECF1FE"/>
      </w:tcPr>
    </w:tblStylePr>
  </w:style>
  <w:style w:type="table" w:customStyle="1" w:styleId="ShadedBlueTable">
    <w:name w:val="Shaded Blue Table"/>
    <w:basedOn w:val="TableNormal"/>
    <w:uiPriority w:val="99"/>
    <w:rsid w:val="005D76A1"/>
    <w:pPr>
      <w:spacing w:before="0" w:after="0"/>
      <w:ind w:left="113" w:right="113"/>
    </w:pPr>
    <w:tblPr>
      <w:tblStyleRowBandSize w:val="1"/>
      <w:tblStyleColBandSize w:val="1"/>
      <w:tblBorders>
        <w:insideH w:val="single" w:sz="6" w:space="0" w:color="FFFFFF" w:themeColor="background1"/>
        <w:insideV w:val="single" w:sz="6" w:space="0" w:color="FFFFFF" w:themeColor="background1"/>
      </w:tblBorders>
      <w:tblCellMar>
        <w:left w:w="0" w:type="dxa"/>
        <w:right w:w="0" w:type="dxa"/>
      </w:tblCellMar>
    </w:tblPr>
    <w:trPr>
      <w:cantSplit/>
    </w:trPr>
    <w:tcPr>
      <w:shd w:val="clear" w:color="auto" w:fill="E8EEFD"/>
    </w:tcPr>
    <w:tblStylePr w:type="firstRow">
      <w:rPr>
        <w:color w:val="FFFFFF" w:themeColor="background1"/>
      </w:rPr>
      <w:tblPr/>
      <w:tcPr>
        <w:tcBorders>
          <w:top w:val="single" w:sz="36" w:space="0" w:color="auto"/>
        </w:tcBorders>
        <w:shd w:val="clear" w:color="auto" w:fill="0F4BEB" w:themeFill="accent1"/>
      </w:tcPr>
    </w:tblStylePr>
    <w:tblStylePr w:type="lastRow">
      <w:rPr>
        <w:b/>
      </w:rPr>
      <w:tblPr/>
      <w:tcPr>
        <w:shd w:val="clear" w:color="auto" w:fill="CEDAFC" w:themeFill="accent1" w:themeFillTint="33"/>
      </w:tcPr>
    </w:tblStylePr>
    <w:tblStylePr w:type="firstCol">
      <w:rPr>
        <w:color w:val="FFFFFF" w:themeColor="background1"/>
      </w:rPr>
      <w:tblPr/>
      <w:tcPr>
        <w:shd w:val="clear" w:color="auto" w:fill="0F4BEB" w:themeFill="accent1"/>
      </w:tcPr>
    </w:tblStylePr>
    <w:tblStylePr w:type="lastCol">
      <w:tblPr/>
      <w:tcPr>
        <w:shd w:val="clear" w:color="auto" w:fill="CEDAFC" w:themeFill="accent1" w:themeFillTint="33"/>
      </w:tcPr>
    </w:tblStylePr>
    <w:tblStylePr w:type="band2Vert">
      <w:tblPr/>
      <w:tcPr>
        <w:shd w:val="clear" w:color="auto" w:fill="CEDAFC" w:themeFill="accent1" w:themeFillTint="33"/>
      </w:tcPr>
    </w:tblStylePr>
    <w:tblStylePr w:type="band2Horz">
      <w:tblPr/>
      <w:tcPr>
        <w:shd w:val="clear" w:color="auto" w:fill="CEDAFC" w:themeFill="accent1" w:themeFillTint="33"/>
      </w:tcPr>
    </w:tblStylePr>
  </w:style>
  <w:style w:type="character" w:styleId="FollowedHyperlink">
    <w:name w:val="FollowedHyperlink"/>
    <w:basedOn w:val="DefaultParagraphFont"/>
    <w:uiPriority w:val="15"/>
    <w:rsid w:val="00BF1F87"/>
    <w:rPr>
      <w:color w:val="0F4BEB" w:themeColor="accent1"/>
      <w:u w:val="single"/>
    </w:rPr>
  </w:style>
  <w:style w:type="paragraph" w:customStyle="1" w:styleId="AppendixH1">
    <w:name w:val="Appendix H1"/>
    <w:basedOn w:val="Normal"/>
    <w:next w:val="BodyText"/>
    <w:uiPriority w:val="11"/>
    <w:semiHidden/>
    <w:qFormat/>
    <w:rsid w:val="00E33EF7"/>
    <w:pPr>
      <w:pageBreakBefore/>
      <w:tabs>
        <w:tab w:val="left" w:pos="567"/>
      </w:tabs>
      <w:spacing w:before="60" w:after="320"/>
      <w:outlineLvl w:val="0"/>
    </w:pPr>
    <w:rPr>
      <w:rFonts w:eastAsia="Times New Roman" w:cs="Times New Roman"/>
      <w:b/>
      <w:sz w:val="36"/>
      <w:szCs w:val="24"/>
    </w:rPr>
  </w:style>
  <w:style w:type="paragraph" w:customStyle="1" w:styleId="AppendixH2">
    <w:name w:val="Appendix H2"/>
    <w:basedOn w:val="Heading2"/>
    <w:next w:val="BodyText"/>
    <w:uiPriority w:val="11"/>
    <w:semiHidden/>
    <w:qFormat/>
    <w:rsid w:val="00E33EF7"/>
    <w:pPr>
      <w:tabs>
        <w:tab w:val="left" w:pos="851"/>
      </w:tabs>
    </w:pPr>
    <w:rPr>
      <w:iCs w:val="0"/>
    </w:rPr>
  </w:style>
  <w:style w:type="paragraph" w:customStyle="1" w:styleId="AppendixH3">
    <w:name w:val="Appendix H3"/>
    <w:basedOn w:val="Heading3"/>
    <w:next w:val="BodyText"/>
    <w:uiPriority w:val="11"/>
    <w:semiHidden/>
    <w:qFormat/>
    <w:rsid w:val="00E33EF7"/>
    <w:pPr>
      <w:tabs>
        <w:tab w:val="left" w:pos="851"/>
      </w:tabs>
    </w:pPr>
  </w:style>
  <w:style w:type="paragraph" w:customStyle="1" w:styleId="ListAlpha2">
    <w:name w:val="List Alpha 2"/>
    <w:basedOn w:val="ListAlpha0"/>
    <w:uiPriority w:val="19"/>
    <w:rsid w:val="004F2A3C"/>
    <w:pPr>
      <w:numPr>
        <w:ilvl w:val="1"/>
      </w:numPr>
    </w:pPr>
  </w:style>
  <w:style w:type="paragraph" w:customStyle="1" w:styleId="ListAlpha3">
    <w:name w:val="List Alpha 3"/>
    <w:basedOn w:val="ListAlpha2"/>
    <w:uiPriority w:val="19"/>
    <w:rsid w:val="004F2A3C"/>
    <w:pPr>
      <w:numPr>
        <w:ilvl w:val="2"/>
      </w:numPr>
    </w:pPr>
  </w:style>
  <w:style w:type="paragraph" w:customStyle="1" w:styleId="ListAlpha4">
    <w:name w:val="List Alpha 4"/>
    <w:basedOn w:val="ListAlpha3"/>
    <w:uiPriority w:val="19"/>
    <w:rsid w:val="004F2A3C"/>
    <w:pPr>
      <w:numPr>
        <w:ilvl w:val="3"/>
      </w:numPr>
    </w:pPr>
  </w:style>
  <w:style w:type="paragraph" w:customStyle="1" w:styleId="ListAlpha6">
    <w:name w:val="List Alpha 6"/>
    <w:basedOn w:val="ListAlpha4"/>
    <w:uiPriority w:val="19"/>
    <w:rsid w:val="004F2A3C"/>
    <w:pPr>
      <w:numPr>
        <w:ilvl w:val="5"/>
      </w:numPr>
    </w:pPr>
  </w:style>
  <w:style w:type="paragraph" w:customStyle="1" w:styleId="ListAlpha5">
    <w:name w:val="List Alpha 5"/>
    <w:basedOn w:val="ListAlpha6"/>
    <w:uiPriority w:val="19"/>
    <w:rsid w:val="004F2A3C"/>
    <w:pPr>
      <w:numPr>
        <w:ilvl w:val="4"/>
      </w:numPr>
    </w:pPr>
  </w:style>
  <w:style w:type="paragraph" w:styleId="ListBullet2">
    <w:name w:val="List Bullet 2"/>
    <w:basedOn w:val="ListBullet0"/>
    <w:uiPriority w:val="19"/>
    <w:rsid w:val="004F2A3C"/>
  </w:style>
  <w:style w:type="paragraph" w:styleId="ListBullet3">
    <w:name w:val="List Bullet 3"/>
    <w:basedOn w:val="ListBullet0"/>
    <w:uiPriority w:val="19"/>
    <w:rsid w:val="004F2A3C"/>
    <w:pPr>
      <w:numPr>
        <w:ilvl w:val="2"/>
      </w:numPr>
    </w:pPr>
  </w:style>
  <w:style w:type="paragraph" w:styleId="ListBullet4">
    <w:name w:val="List Bullet 4"/>
    <w:basedOn w:val="ListBullet0"/>
    <w:uiPriority w:val="19"/>
    <w:rsid w:val="004F2A3C"/>
    <w:pPr>
      <w:numPr>
        <w:ilvl w:val="0"/>
        <w:numId w:val="0"/>
      </w:numPr>
      <w:ind w:left="1440" w:hanging="360"/>
    </w:pPr>
  </w:style>
  <w:style w:type="paragraph" w:styleId="ListBullet5">
    <w:name w:val="List Bullet 5"/>
    <w:basedOn w:val="ListBullet0"/>
    <w:uiPriority w:val="19"/>
    <w:rsid w:val="004F2A3C"/>
    <w:pPr>
      <w:numPr>
        <w:ilvl w:val="0"/>
        <w:numId w:val="0"/>
      </w:numPr>
      <w:ind w:left="1800" w:hanging="360"/>
    </w:pPr>
  </w:style>
  <w:style w:type="paragraph" w:customStyle="1" w:styleId="ListBullet6">
    <w:name w:val="List Bullet 6"/>
    <w:basedOn w:val="ListBullet0"/>
    <w:uiPriority w:val="19"/>
    <w:rsid w:val="004F2A3C"/>
    <w:pPr>
      <w:numPr>
        <w:ilvl w:val="0"/>
        <w:numId w:val="0"/>
      </w:numPr>
      <w:ind w:left="2160" w:hanging="360"/>
    </w:pPr>
  </w:style>
  <w:style w:type="paragraph" w:styleId="ListNumber2">
    <w:name w:val="List Number 2"/>
    <w:basedOn w:val="ListNumber0"/>
    <w:uiPriority w:val="19"/>
    <w:rsid w:val="004F2A3C"/>
    <w:pPr>
      <w:numPr>
        <w:ilvl w:val="1"/>
      </w:numPr>
    </w:pPr>
  </w:style>
  <w:style w:type="paragraph" w:styleId="ListNumber3">
    <w:name w:val="List Number 3"/>
    <w:basedOn w:val="ListNumber0"/>
    <w:uiPriority w:val="19"/>
    <w:rsid w:val="004F2A3C"/>
    <w:pPr>
      <w:numPr>
        <w:ilvl w:val="2"/>
      </w:numPr>
    </w:pPr>
  </w:style>
  <w:style w:type="paragraph" w:styleId="ListNumber4">
    <w:name w:val="List Number 4"/>
    <w:basedOn w:val="ListNumber0"/>
    <w:uiPriority w:val="19"/>
    <w:rsid w:val="004F2A3C"/>
    <w:pPr>
      <w:numPr>
        <w:ilvl w:val="3"/>
      </w:numPr>
    </w:pPr>
  </w:style>
  <w:style w:type="paragraph" w:styleId="ListNumber5">
    <w:name w:val="List Number 5"/>
    <w:basedOn w:val="ListNumber0"/>
    <w:uiPriority w:val="19"/>
    <w:rsid w:val="004F2A3C"/>
    <w:pPr>
      <w:numPr>
        <w:ilvl w:val="4"/>
      </w:numPr>
    </w:pPr>
  </w:style>
  <w:style w:type="paragraph" w:customStyle="1" w:styleId="ListNumber6">
    <w:name w:val="List Number 6"/>
    <w:basedOn w:val="ListNumber0"/>
    <w:uiPriority w:val="19"/>
    <w:rsid w:val="004F2A3C"/>
    <w:pPr>
      <w:numPr>
        <w:ilvl w:val="5"/>
      </w:numPr>
    </w:pPr>
  </w:style>
  <w:style w:type="paragraph" w:customStyle="1" w:styleId="ListParagraph2">
    <w:name w:val="List Paragraph 2"/>
    <w:basedOn w:val="ListParagraph"/>
    <w:uiPriority w:val="19"/>
    <w:rsid w:val="004F2A3C"/>
    <w:pPr>
      <w:numPr>
        <w:ilvl w:val="1"/>
      </w:numPr>
    </w:pPr>
  </w:style>
  <w:style w:type="paragraph" w:customStyle="1" w:styleId="ListParagraph3">
    <w:name w:val="List Paragraph 3"/>
    <w:basedOn w:val="ListParagraph"/>
    <w:uiPriority w:val="19"/>
    <w:rsid w:val="004F2A3C"/>
    <w:pPr>
      <w:numPr>
        <w:ilvl w:val="2"/>
      </w:numPr>
    </w:pPr>
  </w:style>
  <w:style w:type="paragraph" w:customStyle="1" w:styleId="ListParagraph4">
    <w:name w:val="List Paragraph 4"/>
    <w:basedOn w:val="ListParagraph"/>
    <w:uiPriority w:val="19"/>
    <w:rsid w:val="004F2A3C"/>
    <w:pPr>
      <w:numPr>
        <w:ilvl w:val="3"/>
      </w:numPr>
    </w:pPr>
  </w:style>
  <w:style w:type="paragraph" w:customStyle="1" w:styleId="ListParagraph5">
    <w:name w:val="List Paragraph 5"/>
    <w:basedOn w:val="ListParagraph"/>
    <w:uiPriority w:val="19"/>
    <w:rsid w:val="004F2A3C"/>
    <w:pPr>
      <w:numPr>
        <w:ilvl w:val="4"/>
      </w:numPr>
    </w:pPr>
  </w:style>
  <w:style w:type="paragraph" w:customStyle="1" w:styleId="ListParagraph6">
    <w:name w:val="List Paragraph 6"/>
    <w:basedOn w:val="ListParagraph"/>
    <w:uiPriority w:val="19"/>
    <w:rsid w:val="004F2A3C"/>
    <w:pPr>
      <w:numPr>
        <w:ilvl w:val="5"/>
      </w:numPr>
    </w:pPr>
  </w:style>
  <w:style w:type="numbering" w:customStyle="1" w:styleId="ListBullet">
    <w:name w:val="List_Bullet"/>
    <w:uiPriority w:val="99"/>
    <w:rsid w:val="00D63B2E"/>
    <w:pPr>
      <w:numPr>
        <w:numId w:val="2"/>
      </w:numPr>
    </w:pPr>
  </w:style>
  <w:style w:type="numbering" w:customStyle="1" w:styleId="ListNumberedHeadings">
    <w:name w:val="List_NumberedHeadings"/>
    <w:uiPriority w:val="99"/>
    <w:rsid w:val="003A08A5"/>
    <w:pPr>
      <w:numPr>
        <w:numId w:val="4"/>
      </w:numPr>
    </w:pPr>
  </w:style>
  <w:style w:type="numbering" w:customStyle="1" w:styleId="ListTableBullet">
    <w:name w:val="List_TableBullet"/>
    <w:uiPriority w:val="99"/>
    <w:rsid w:val="00411DB3"/>
    <w:pPr>
      <w:numPr>
        <w:numId w:val="6"/>
      </w:numPr>
    </w:pPr>
  </w:style>
  <w:style w:type="numbering" w:customStyle="1" w:styleId="ListTableNumber">
    <w:name w:val="List_TableNumber"/>
    <w:uiPriority w:val="99"/>
    <w:rsid w:val="00411DB3"/>
    <w:pPr>
      <w:numPr>
        <w:numId w:val="7"/>
      </w:numPr>
    </w:pPr>
  </w:style>
  <w:style w:type="paragraph" w:customStyle="1" w:styleId="TableBullet2">
    <w:name w:val="Table Bullet 2"/>
    <w:basedOn w:val="TableBullet"/>
    <w:uiPriority w:val="19"/>
    <w:rsid w:val="00411DB3"/>
    <w:pPr>
      <w:numPr>
        <w:ilvl w:val="0"/>
        <w:numId w:val="0"/>
      </w:numPr>
    </w:pPr>
  </w:style>
  <w:style w:type="paragraph" w:customStyle="1" w:styleId="TableNumber2">
    <w:name w:val="Table Number 2"/>
    <w:basedOn w:val="TableNumber"/>
    <w:uiPriority w:val="19"/>
    <w:rsid w:val="00411DB3"/>
    <w:pPr>
      <w:numPr>
        <w:ilvl w:val="1"/>
      </w:numPr>
      <w:tabs>
        <w:tab w:val="num" w:pos="425"/>
      </w:tabs>
    </w:pPr>
  </w:style>
  <w:style w:type="paragraph" w:customStyle="1" w:styleId="BodyText4">
    <w:name w:val="Body Text 4"/>
    <w:basedOn w:val="BodyText3"/>
    <w:uiPriority w:val="99"/>
    <w:semiHidden/>
    <w:qFormat/>
    <w:rsid w:val="00444AE6"/>
    <w:pPr>
      <w:numPr>
        <w:ilvl w:val="3"/>
      </w:numPr>
      <w:tabs>
        <w:tab w:val="num" w:pos="0"/>
      </w:tabs>
    </w:pPr>
  </w:style>
  <w:style w:type="paragraph" w:customStyle="1" w:styleId="BodyText5">
    <w:name w:val="Body Text 5"/>
    <w:basedOn w:val="BodyText4"/>
    <w:uiPriority w:val="99"/>
    <w:semiHidden/>
    <w:qFormat/>
    <w:rsid w:val="00444AE6"/>
    <w:pPr>
      <w:numPr>
        <w:ilvl w:val="4"/>
      </w:numPr>
      <w:tabs>
        <w:tab w:val="num" w:pos="0"/>
      </w:tabs>
    </w:pPr>
  </w:style>
  <w:style w:type="paragraph" w:customStyle="1" w:styleId="BodyText6">
    <w:name w:val="Body Text 6"/>
    <w:basedOn w:val="BodyText5"/>
    <w:uiPriority w:val="99"/>
    <w:semiHidden/>
    <w:qFormat/>
    <w:rsid w:val="00444AE6"/>
    <w:pPr>
      <w:numPr>
        <w:ilvl w:val="5"/>
      </w:numPr>
      <w:tabs>
        <w:tab w:val="num" w:pos="0"/>
      </w:tabs>
    </w:pPr>
  </w:style>
  <w:style w:type="table" w:customStyle="1" w:styleId="LInedBlackTable">
    <w:name w:val="LIned Black Table"/>
    <w:basedOn w:val="LinedBlueTable"/>
    <w:uiPriority w:val="99"/>
    <w:rsid w:val="003E6AF6"/>
    <w:tblPr>
      <w:tblBorders>
        <w:top w:val="single" w:sz="24" w:space="0" w:color="DADADA" w:themeColor="background2" w:themeShade="E6"/>
        <w:bottom w:val="single" w:sz="24" w:space="0" w:color="DADADA" w:themeColor="background2" w:themeShade="E6"/>
        <w:insideH w:val="single" w:sz="24" w:space="0" w:color="DADADA" w:themeColor="background2" w:themeShade="E6"/>
      </w:tblBorders>
    </w:tblPr>
    <w:tcPr>
      <w:shd w:val="clear" w:color="auto" w:fill="auto"/>
    </w:tcPr>
    <w:tblStylePr w:type="firstRow">
      <w:rPr>
        <w:color w:val="FFFFFF" w:themeColor="background1"/>
      </w:rPr>
      <w:tblPr/>
      <w:tcPr>
        <w:tcBorders>
          <w:top w:val="single" w:sz="18" w:space="0" w:color="E8EEFD"/>
          <w:left w:val="nil"/>
          <w:bottom w:val="nil"/>
          <w:right w:val="nil"/>
          <w:insideH w:val="nil"/>
          <w:insideV w:val="nil"/>
          <w:tl2br w:val="nil"/>
          <w:tr2bl w:val="nil"/>
        </w:tcBorders>
        <w:shd w:val="clear" w:color="auto" w:fill="000000" w:themeFill="text1"/>
      </w:tcPr>
    </w:tblStylePr>
    <w:tblStylePr w:type="lastRow">
      <w:rPr>
        <w:b/>
      </w:rPr>
      <w:tblPr/>
      <w:tcPr>
        <w:shd w:val="clear" w:color="auto" w:fill="F2F2F2" w:themeFill="background2"/>
      </w:tcPr>
    </w:tblStylePr>
    <w:tblStylePr w:type="firstCol">
      <w:rPr>
        <w:color w:val="FFFFFF" w:themeColor="background1"/>
      </w:rPr>
      <w:tblPr/>
      <w:tcPr>
        <w:tcBorders>
          <w:top w:val="nil"/>
          <w:left w:val="nil"/>
          <w:bottom w:val="single" w:sz="18" w:space="0" w:color="CEDAFC" w:themeColor="accent1" w:themeTint="33"/>
          <w:right w:val="nil"/>
          <w:insideH w:val="single" w:sz="18" w:space="0" w:color="CEDAFC" w:themeColor="accent1" w:themeTint="33"/>
          <w:insideV w:val="nil"/>
        </w:tcBorders>
        <w:shd w:val="clear" w:color="auto" w:fill="000000" w:themeFill="text1"/>
      </w:tcPr>
    </w:tblStylePr>
    <w:tblStylePr w:type="lastCol">
      <w:tblPr/>
      <w:tcPr>
        <w:shd w:val="clear" w:color="auto" w:fill="F2F2F2" w:themeFill="background2"/>
      </w:tcPr>
    </w:tblStylePr>
    <w:tblStylePr w:type="band2Vert">
      <w:tblPr/>
      <w:tcPr>
        <w:shd w:val="clear" w:color="auto" w:fill="F2F2F2" w:themeFill="background2"/>
      </w:tcPr>
    </w:tblStylePr>
    <w:tblStylePr w:type="band2Horz">
      <w:tblPr/>
      <w:tcPr>
        <w:shd w:val="clear" w:color="auto" w:fill="F2F2F2" w:themeFill="background2"/>
      </w:tcPr>
    </w:tblStylePr>
  </w:style>
  <w:style w:type="paragraph" w:styleId="FootnoteText">
    <w:name w:val="footnote text"/>
    <w:basedOn w:val="Normal"/>
    <w:link w:val="FootnoteTextChar"/>
    <w:uiPriority w:val="99"/>
    <w:rsid w:val="00024D7F"/>
    <w:pPr>
      <w:tabs>
        <w:tab w:val="left" w:pos="284"/>
      </w:tabs>
    </w:pPr>
    <w:rPr>
      <w:sz w:val="15"/>
      <w:szCs w:val="20"/>
    </w:rPr>
  </w:style>
  <w:style w:type="numbering" w:customStyle="1" w:styleId="ListChapter">
    <w:name w:val="List_Chapter"/>
    <w:uiPriority w:val="99"/>
    <w:rsid w:val="00EB6DEC"/>
    <w:pPr>
      <w:numPr>
        <w:numId w:val="11"/>
      </w:numPr>
    </w:pPr>
  </w:style>
  <w:style w:type="character" w:styleId="PlaceholderText">
    <w:name w:val="Placeholder Text"/>
    <w:basedOn w:val="DefaultParagraphFont"/>
    <w:uiPriority w:val="99"/>
    <w:semiHidden/>
    <w:rsid w:val="002106C4"/>
    <w:rPr>
      <w:color w:val="808080"/>
    </w:rPr>
  </w:style>
  <w:style w:type="table" w:customStyle="1" w:styleId="TableNoBorders">
    <w:name w:val="Table No Borders"/>
    <w:basedOn w:val="TableNormal"/>
    <w:uiPriority w:val="99"/>
    <w:rsid w:val="009D07AF"/>
    <w:pPr>
      <w:spacing w:before="0" w:after="0"/>
    </w:pPr>
    <w:tblPr/>
  </w:style>
  <w:style w:type="character" w:customStyle="1" w:styleId="FootnoteTextChar">
    <w:name w:val="Footnote Text Char"/>
    <w:basedOn w:val="DefaultParagraphFont"/>
    <w:link w:val="FootnoteText"/>
    <w:uiPriority w:val="99"/>
    <w:rsid w:val="00024D7F"/>
    <w:rPr>
      <w:sz w:val="15"/>
      <w:szCs w:val="20"/>
    </w:rPr>
  </w:style>
  <w:style w:type="character" w:styleId="FootnoteReference">
    <w:name w:val="footnote reference"/>
    <w:basedOn w:val="DefaultParagraphFont"/>
    <w:uiPriority w:val="99"/>
    <w:rsid w:val="00024D7F"/>
    <w:rPr>
      <w:vertAlign w:val="superscript"/>
    </w:rPr>
  </w:style>
  <w:style w:type="paragraph" w:customStyle="1" w:styleId="UTSHeaderWhite">
    <w:name w:val="UTS Header White"/>
    <w:qFormat/>
    <w:rsid w:val="00D821D0"/>
    <w:pPr>
      <w:spacing w:before="0" w:after="0" w:line="180" w:lineRule="exact"/>
    </w:pPr>
    <w:rPr>
      <w:color w:val="FFFFFF" w:themeColor="background1"/>
      <w:sz w:val="14"/>
      <w:szCs w:val="14"/>
    </w:rPr>
  </w:style>
  <w:style w:type="paragraph" w:customStyle="1" w:styleId="EndNoteBibliographyTitle">
    <w:name w:val="EndNote Bibliography Title"/>
    <w:basedOn w:val="Normal"/>
    <w:link w:val="EndNoteBibliographyTitleChar"/>
    <w:rsid w:val="002A49BD"/>
    <w:pPr>
      <w:jc w:val="center"/>
    </w:pPr>
    <w:rPr>
      <w:rFonts w:ascii="Calibri" w:hAnsi="Calibri" w:cs="Calibri"/>
      <w:lang w:val="en-US"/>
    </w:rPr>
  </w:style>
  <w:style w:type="character" w:customStyle="1" w:styleId="EndNoteBibliographyTitleChar">
    <w:name w:val="EndNote Bibliography Title Char"/>
    <w:basedOn w:val="BodyTextChar"/>
    <w:link w:val="EndNoteBibliographyTitle"/>
    <w:rsid w:val="002A49BD"/>
    <w:rPr>
      <w:rFonts w:ascii="Calibri" w:eastAsia="Times New Roman" w:hAnsi="Calibri" w:cs="Calibri"/>
      <w:color w:val="000000" w:themeColor="text1"/>
      <w:szCs w:val="24"/>
      <w:lang w:val="en-US" w:eastAsia="en-AU"/>
    </w:rPr>
  </w:style>
  <w:style w:type="paragraph" w:customStyle="1" w:styleId="EndNoteBibliography">
    <w:name w:val="EndNote Bibliography"/>
    <w:basedOn w:val="Normal"/>
    <w:link w:val="EndNoteBibliographyChar"/>
    <w:rsid w:val="002A49BD"/>
    <w:pPr>
      <w:spacing w:line="240" w:lineRule="auto"/>
    </w:pPr>
    <w:rPr>
      <w:rFonts w:ascii="Calibri" w:hAnsi="Calibri" w:cs="Calibri"/>
      <w:lang w:val="en-US"/>
    </w:rPr>
  </w:style>
  <w:style w:type="character" w:customStyle="1" w:styleId="EndNoteBibliographyChar">
    <w:name w:val="EndNote Bibliography Char"/>
    <w:basedOn w:val="BodyTextChar"/>
    <w:link w:val="EndNoteBibliography"/>
    <w:rsid w:val="002A49BD"/>
    <w:rPr>
      <w:rFonts w:ascii="Calibri" w:eastAsia="Times New Roman" w:hAnsi="Calibri" w:cs="Calibri"/>
      <w:color w:val="000000" w:themeColor="text1"/>
      <w:szCs w:val="24"/>
      <w:lang w:val="en-US" w:eastAsia="en-AU"/>
    </w:rPr>
  </w:style>
  <w:style w:type="character" w:customStyle="1" w:styleId="ListParagraphChar">
    <w:name w:val="List Paragraph Char"/>
    <w:aliases w:val="UTS Para Char,OBC Bullet Char,F5 List Paragraph Char,Colorful List - Accent 11 Char,Normal numbered Char,Bullet 1 Char,Bullet Style Char,Dot pt Char,No Spacing1 Char,Indicator Text Char,Numbered Para 1 Char,List Paragraph1 Char"/>
    <w:basedOn w:val="DefaultParagraphFont"/>
    <w:link w:val="ListParagraph"/>
    <w:uiPriority w:val="34"/>
    <w:qFormat/>
    <w:locked/>
    <w:rsid w:val="00D27627"/>
    <w:rPr>
      <w:rFonts w:ascii="Calibri Light" w:eastAsia="Times New Roman" w:hAnsi="Calibri Light" w:cs="Times New Roman"/>
      <w:color w:val="000000" w:themeColor="text1"/>
      <w:szCs w:val="24"/>
      <w:lang w:eastAsia="en-AU"/>
    </w:rPr>
  </w:style>
  <w:style w:type="numbering" w:customStyle="1" w:styleId="Bulletcustom">
    <w:name w:val="Bullet custom"/>
    <w:basedOn w:val="ListBullet"/>
    <w:uiPriority w:val="99"/>
    <w:rsid w:val="005470B3"/>
    <w:pPr>
      <w:numPr>
        <w:numId w:val="12"/>
      </w:numPr>
    </w:pPr>
  </w:style>
  <w:style w:type="numbering" w:customStyle="1" w:styleId="CurrentList1">
    <w:name w:val="Current List1"/>
    <w:uiPriority w:val="99"/>
    <w:rsid w:val="000559C7"/>
    <w:pPr>
      <w:numPr>
        <w:numId w:val="13"/>
      </w:numPr>
    </w:pPr>
  </w:style>
  <w:style w:type="numbering" w:customStyle="1" w:styleId="Markbullet">
    <w:name w:val="Mark bullet"/>
    <w:basedOn w:val="Bulletcustom"/>
    <w:uiPriority w:val="99"/>
    <w:rsid w:val="000559C7"/>
    <w:pPr>
      <w:numPr>
        <w:numId w:val="14"/>
      </w:numPr>
    </w:pPr>
  </w:style>
  <w:style w:type="character" w:styleId="CommentReference">
    <w:name w:val="annotation reference"/>
    <w:basedOn w:val="DefaultParagraphFont"/>
    <w:uiPriority w:val="99"/>
    <w:semiHidden/>
    <w:rsid w:val="0036780D"/>
    <w:rPr>
      <w:sz w:val="16"/>
      <w:szCs w:val="16"/>
    </w:rPr>
  </w:style>
  <w:style w:type="paragraph" w:styleId="CommentText">
    <w:name w:val="annotation text"/>
    <w:basedOn w:val="Normal"/>
    <w:link w:val="CommentTextChar"/>
    <w:uiPriority w:val="99"/>
    <w:rsid w:val="0036780D"/>
    <w:rPr>
      <w:sz w:val="20"/>
      <w:szCs w:val="20"/>
    </w:rPr>
  </w:style>
  <w:style w:type="character" w:customStyle="1" w:styleId="CommentTextChar">
    <w:name w:val="Comment Text Char"/>
    <w:basedOn w:val="DefaultParagraphFont"/>
    <w:link w:val="CommentText"/>
    <w:uiPriority w:val="99"/>
    <w:rsid w:val="0036780D"/>
    <w:rPr>
      <w:sz w:val="20"/>
      <w:szCs w:val="20"/>
    </w:rPr>
  </w:style>
  <w:style w:type="paragraph" w:styleId="CommentSubject">
    <w:name w:val="annotation subject"/>
    <w:basedOn w:val="CommentText"/>
    <w:next w:val="CommentText"/>
    <w:link w:val="CommentSubjectChar"/>
    <w:uiPriority w:val="99"/>
    <w:semiHidden/>
    <w:rsid w:val="0036780D"/>
    <w:rPr>
      <w:b/>
      <w:bCs/>
    </w:rPr>
  </w:style>
  <w:style w:type="character" w:customStyle="1" w:styleId="CommentSubjectChar">
    <w:name w:val="Comment Subject Char"/>
    <w:basedOn w:val="CommentTextChar"/>
    <w:link w:val="CommentSubject"/>
    <w:uiPriority w:val="99"/>
    <w:semiHidden/>
    <w:rsid w:val="0036780D"/>
    <w:rPr>
      <w:b/>
      <w:bCs/>
      <w:sz w:val="20"/>
      <w:szCs w:val="20"/>
    </w:rPr>
  </w:style>
  <w:style w:type="paragraph" w:styleId="Revision">
    <w:name w:val="Revision"/>
    <w:hidden/>
    <w:uiPriority w:val="99"/>
    <w:semiHidden/>
    <w:rsid w:val="00353647"/>
    <w:pPr>
      <w:spacing w:before="0" w:after="0"/>
    </w:pPr>
    <w:rPr>
      <w:sz w:val="18"/>
    </w:rPr>
  </w:style>
  <w:style w:type="character" w:styleId="UnresolvedMention">
    <w:name w:val="Unresolved Mention"/>
    <w:basedOn w:val="DefaultParagraphFont"/>
    <w:uiPriority w:val="99"/>
    <w:semiHidden/>
    <w:unhideWhenUsed/>
    <w:rsid w:val="00D477B7"/>
    <w:rPr>
      <w:color w:val="605E5C"/>
      <w:shd w:val="clear" w:color="auto" w:fill="E1DFDD"/>
    </w:rPr>
  </w:style>
  <w:style w:type="paragraph" w:styleId="NormalWeb">
    <w:name w:val="Normal (Web)"/>
    <w:basedOn w:val="Normal"/>
    <w:uiPriority w:val="99"/>
    <w:semiHidden/>
    <w:rsid w:val="002351BB"/>
    <w:rPr>
      <w:rFonts w:ascii="Times New Roman" w:hAnsi="Times New Roman" w:cs="Times New Roman"/>
      <w:sz w:val="24"/>
      <w:szCs w:val="24"/>
    </w:rPr>
  </w:style>
  <w:style w:type="paragraph" w:customStyle="1" w:styleId="Default">
    <w:name w:val="Default"/>
    <w:rsid w:val="00DA4CEB"/>
    <w:pPr>
      <w:autoSpaceDE w:val="0"/>
      <w:autoSpaceDN w:val="0"/>
      <w:adjustRightInd w:val="0"/>
      <w:spacing w:before="0" w:after="0"/>
    </w:pPr>
    <w:rPr>
      <w:rFonts w:ascii="Palatino Linotype" w:hAnsi="Palatino Linotype" w:cs="Palatino Linotype"/>
      <w:color w:val="000000"/>
      <w:sz w:val="24"/>
      <w:szCs w:val="24"/>
    </w:rPr>
  </w:style>
  <w:style w:type="numbering" w:customStyle="1" w:styleId="ListParagraph1">
    <w:name w:val="List_Paragraph"/>
    <w:uiPriority w:val="99"/>
    <w:rsid w:val="00BB41A5"/>
  </w:style>
  <w:style w:type="table" w:styleId="GridTable5Dark-Accent1">
    <w:name w:val="Grid Table 5 Dark Accent 1"/>
    <w:basedOn w:val="TableNormal"/>
    <w:uiPriority w:val="50"/>
    <w:rsid w:val="00BB41A5"/>
    <w:pPr>
      <w:spacing w:after="0"/>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EDAFC"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F4BEB"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F4BEB"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F4BEB"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F4BEB" w:themeFill="accent1"/>
      </w:tcPr>
    </w:tblStylePr>
    <w:tblStylePr w:type="band1Vert">
      <w:tblPr/>
      <w:tcPr>
        <w:shd w:val="clear" w:color="auto" w:fill="9DB5F8" w:themeFill="accent1" w:themeFillTint="66"/>
      </w:tcPr>
    </w:tblStylePr>
    <w:tblStylePr w:type="band1Horz">
      <w:tblPr/>
      <w:tcPr>
        <w:shd w:val="clear" w:color="auto" w:fill="9DB5F8" w:themeFill="accent1" w:themeFillTint="66"/>
      </w:tcPr>
    </w:tblStylePr>
  </w:style>
  <w:style w:type="table" w:styleId="GridTable4-Accent1">
    <w:name w:val="Grid Table 4 Accent 1"/>
    <w:basedOn w:val="TableNormal"/>
    <w:uiPriority w:val="49"/>
    <w:rsid w:val="00BB41A5"/>
    <w:pPr>
      <w:spacing w:after="0"/>
    </w:pPr>
    <w:tblPr>
      <w:tblStyleRowBandSize w:val="1"/>
      <w:tblStyleColBandSize w:val="1"/>
      <w:tblBorders>
        <w:top w:val="single" w:sz="4" w:space="0" w:color="0070C0"/>
        <w:left w:val="single" w:sz="4" w:space="0" w:color="0070C0"/>
        <w:bottom w:val="single" w:sz="4" w:space="0" w:color="0070C0"/>
        <w:right w:val="single" w:sz="4" w:space="0" w:color="0070C0"/>
        <w:insideH w:val="single" w:sz="4" w:space="0" w:color="0070C0"/>
        <w:insideV w:val="single" w:sz="4" w:space="0" w:color="0070C0"/>
      </w:tblBorders>
    </w:tblPr>
    <w:tcPr>
      <w:shd w:val="clear" w:color="auto" w:fill="CEDAFC" w:themeFill="accent1" w:themeFillTint="33"/>
    </w:tcPr>
    <w:tblStylePr w:type="firstRow">
      <w:rPr>
        <w:b/>
        <w:bCs/>
        <w:color w:val="FFFFFF" w:themeColor="background1"/>
      </w:rPr>
      <w:tblPr/>
      <w:tcPr>
        <w:tcBorders>
          <w:top w:val="single" w:sz="4" w:space="0" w:color="0F4BEB" w:themeColor="accent1"/>
          <w:left w:val="single" w:sz="4" w:space="0" w:color="0F4BEB" w:themeColor="accent1"/>
          <w:bottom w:val="single" w:sz="4" w:space="0" w:color="0F4BEB" w:themeColor="accent1"/>
          <w:right w:val="single" w:sz="4" w:space="0" w:color="0F4BEB" w:themeColor="accent1"/>
          <w:insideH w:val="nil"/>
          <w:insideV w:val="nil"/>
        </w:tcBorders>
        <w:shd w:val="clear" w:color="auto" w:fill="0F4BEB" w:themeFill="accent1"/>
      </w:tcPr>
    </w:tblStylePr>
    <w:tblStylePr w:type="lastRow">
      <w:rPr>
        <w:b/>
        <w:bCs/>
      </w:rPr>
      <w:tblPr/>
      <w:tcPr>
        <w:tcBorders>
          <w:top w:val="double" w:sz="4" w:space="0" w:color="0F4BEB" w:themeColor="accent1"/>
        </w:tcBorders>
      </w:tcPr>
    </w:tblStylePr>
    <w:tblStylePr w:type="firstCol">
      <w:rPr>
        <w:b/>
        <w:bCs/>
      </w:rPr>
    </w:tblStylePr>
    <w:tblStylePr w:type="lastCol">
      <w:rPr>
        <w:b/>
        <w:bCs/>
      </w:rPr>
    </w:tblStylePr>
    <w:tblStylePr w:type="band1Vert">
      <w:tblPr/>
      <w:tcPr>
        <w:shd w:val="clear" w:color="auto" w:fill="CEDAFC" w:themeFill="accent1" w:themeFillTint="33"/>
      </w:tcPr>
    </w:tblStylePr>
    <w:tblStylePr w:type="band1Horz">
      <w:tblPr/>
      <w:tcPr>
        <w:shd w:val="clear" w:color="auto" w:fill="CEDAFC" w:themeFill="accent1" w:themeFillTint="33"/>
      </w:tcPr>
    </w:tblStylePr>
  </w:style>
  <w:style w:type="paragraph" w:customStyle="1" w:styleId="CommentText1">
    <w:name w:val="Comment Text1"/>
    <w:basedOn w:val="Normal"/>
    <w:next w:val="CommentText"/>
    <w:uiPriority w:val="99"/>
    <w:semiHidden/>
    <w:rsid w:val="00D95336"/>
    <w:rPr>
      <w:kern w:val="2"/>
      <w:sz w:val="20"/>
      <w:szCs w:val="20"/>
      <w14:ligatures w14:val="standardContextual"/>
    </w:rPr>
  </w:style>
  <w:style w:type="character" w:customStyle="1" w:styleId="CommentTextChar1">
    <w:name w:val="Comment Text Char1"/>
    <w:basedOn w:val="DefaultParagraphFont"/>
    <w:uiPriority w:val="99"/>
    <w:rsid w:val="00D95336"/>
    <w:rPr>
      <w:sz w:val="20"/>
      <w:szCs w:val="20"/>
    </w:rPr>
  </w:style>
  <w:style w:type="paragraph" w:customStyle="1" w:styleId="TableNotes">
    <w:name w:val="TableNotes"/>
    <w:basedOn w:val="Normal"/>
    <w:autoRedefine/>
    <w:qFormat/>
    <w:rsid w:val="00533CF1"/>
    <w:pPr>
      <w:spacing w:before="120" w:after="360" w:line="240" w:lineRule="auto"/>
      <w:ind w:left="851" w:hanging="851"/>
      <w:contextualSpacing/>
    </w:pPr>
    <w:rPr>
      <w:sz w:val="18"/>
      <w:szCs w:val="18"/>
    </w:rPr>
  </w:style>
  <w:style w:type="paragraph" w:customStyle="1" w:styleId="Tablefonts">
    <w:name w:val="Tablefonts"/>
    <w:basedOn w:val="Normal"/>
    <w:qFormat/>
    <w:rsid w:val="007538A5"/>
    <w:pPr>
      <w:spacing w:after="0"/>
      <w:contextualSpacing/>
    </w:pPr>
    <w:rPr>
      <w:sz w:val="20"/>
      <w:szCs w:val="20"/>
    </w:rPr>
  </w:style>
  <w:style w:type="paragraph" w:customStyle="1" w:styleId="Title2">
    <w:name w:val="Title2"/>
    <w:basedOn w:val="Normal"/>
    <w:qFormat/>
    <w:rsid w:val="00A909E2"/>
    <w:rPr>
      <w:sz w:val="28"/>
    </w:rPr>
  </w:style>
  <w:style w:type="table" w:styleId="GridTable5Dark-Accent3">
    <w:name w:val="Grid Table 5 Dark Accent 3"/>
    <w:basedOn w:val="TableNormal"/>
    <w:uiPriority w:val="50"/>
    <w:rsid w:val="00692F07"/>
    <w:pPr>
      <w:spacing w:after="0"/>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AF2F9"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9C0E2"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9C0E2"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9C0E2"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9C0E2" w:themeFill="accent3"/>
      </w:tcPr>
    </w:tblStylePr>
    <w:tblStylePr w:type="band1Vert">
      <w:tblPr/>
      <w:tcPr>
        <w:shd w:val="clear" w:color="auto" w:fill="B5E5F3" w:themeFill="accent3" w:themeFillTint="66"/>
      </w:tcPr>
    </w:tblStylePr>
    <w:tblStylePr w:type="band1Horz">
      <w:tblPr/>
      <w:tcPr>
        <w:shd w:val="clear" w:color="auto" w:fill="B5E5F3" w:themeFill="accent3" w:themeFillTint="66"/>
      </w:tcPr>
    </w:tblStylePr>
  </w:style>
  <w:style w:type="paragraph" w:customStyle="1" w:styleId="UTSTitles">
    <w:name w:val="UTS_Titles"/>
    <w:basedOn w:val="NbrHeading1"/>
    <w:qFormat/>
    <w:rsid w:val="00AE19F0"/>
    <w:pPr>
      <w:numPr>
        <w:numId w:val="0"/>
      </w:numPr>
      <w:tabs>
        <w:tab w:val="num" w:pos="1134"/>
      </w:tabs>
    </w:pPr>
  </w:style>
  <w:style w:type="numbering" w:customStyle="1" w:styleId="CurrentList2">
    <w:name w:val="Current List2"/>
    <w:uiPriority w:val="99"/>
    <w:rsid w:val="0076296D"/>
    <w:pPr>
      <w:numPr>
        <w:numId w:val="65"/>
      </w:numPr>
    </w:pPr>
  </w:style>
  <w:style w:type="numbering" w:customStyle="1" w:styleId="CurrentList3">
    <w:name w:val="Current List3"/>
    <w:uiPriority w:val="99"/>
    <w:rsid w:val="0076296D"/>
    <w:pPr>
      <w:numPr>
        <w:numId w:val="67"/>
      </w:numPr>
    </w:pPr>
  </w:style>
  <w:style w:type="paragraph" w:customStyle="1" w:styleId="paragraph">
    <w:name w:val="paragraph"/>
    <w:basedOn w:val="Normal"/>
    <w:rsid w:val="00C50965"/>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normaltextrun">
    <w:name w:val="normaltextrun"/>
    <w:basedOn w:val="DefaultParagraphFont"/>
    <w:rsid w:val="00C50965"/>
  </w:style>
  <w:style w:type="character" w:customStyle="1" w:styleId="eop">
    <w:name w:val="eop"/>
    <w:basedOn w:val="DefaultParagraphFont"/>
    <w:rsid w:val="00C50965"/>
  </w:style>
  <w:style w:type="character" w:styleId="Mention">
    <w:name w:val="Mention"/>
    <w:basedOn w:val="DefaultParagraphFont"/>
    <w:uiPriority w:val="99"/>
    <w:unhideWhenUsed/>
    <w:rsid w:val="00B73FA5"/>
    <w:rPr>
      <w:color w:val="2B579A"/>
      <w:shd w:val="clear" w:color="auto" w:fill="E1DFDD"/>
    </w:rPr>
  </w:style>
  <w:style w:type="table" w:customStyle="1" w:styleId="GridTable4-Accent31">
    <w:name w:val="Grid Table 4 - Accent 31"/>
    <w:basedOn w:val="TableNormal"/>
    <w:next w:val="GridTable4-Accent3"/>
    <w:uiPriority w:val="49"/>
    <w:rsid w:val="00707194"/>
    <w:pPr>
      <w:spacing w:before="0" w:after="0"/>
    </w:pPr>
    <w:rPr>
      <w:kern w:val="2"/>
      <w:sz w:val="24"/>
      <w:szCs w:val="24"/>
      <w14:ligatures w14:val="standardContextual"/>
    </w:r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Pr>
    <w:tblStylePr w:type="firstRow">
      <w:rPr>
        <w:b/>
        <w:bCs/>
        <w:color w:val="FFFFFF"/>
      </w:rPr>
      <w:tblPr/>
      <w:tcPr>
        <w:tcBorders>
          <w:top w:val="single" w:sz="4" w:space="0" w:color="A5A5A5"/>
          <w:left w:val="single" w:sz="4" w:space="0" w:color="A5A5A5"/>
          <w:bottom w:val="single" w:sz="4" w:space="0" w:color="A5A5A5"/>
          <w:right w:val="single" w:sz="4" w:space="0" w:color="A5A5A5"/>
          <w:insideH w:val="nil"/>
          <w:insideV w:val="nil"/>
        </w:tcBorders>
        <w:shd w:val="clear" w:color="auto" w:fill="A5A5A5"/>
      </w:tcPr>
    </w:tblStylePr>
    <w:tblStylePr w:type="lastRow">
      <w:rPr>
        <w:b/>
        <w:bCs/>
      </w:rPr>
      <w:tblPr/>
      <w:tcPr>
        <w:tcBorders>
          <w:top w:val="double" w:sz="4" w:space="0" w:color="A5A5A5"/>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styleId="GridTable4-Accent3">
    <w:name w:val="Grid Table 4 Accent 3"/>
    <w:basedOn w:val="TableNormal"/>
    <w:uiPriority w:val="49"/>
    <w:rsid w:val="00707194"/>
    <w:pPr>
      <w:spacing w:after="0"/>
    </w:pPr>
    <w:tblPr>
      <w:tblStyleRowBandSize w:val="1"/>
      <w:tblStyleColBandSize w:val="1"/>
      <w:tblBorders>
        <w:top w:val="single" w:sz="4" w:space="0" w:color="91D9ED" w:themeColor="accent3" w:themeTint="99"/>
        <w:left w:val="single" w:sz="4" w:space="0" w:color="91D9ED" w:themeColor="accent3" w:themeTint="99"/>
        <w:bottom w:val="single" w:sz="4" w:space="0" w:color="91D9ED" w:themeColor="accent3" w:themeTint="99"/>
        <w:right w:val="single" w:sz="4" w:space="0" w:color="91D9ED" w:themeColor="accent3" w:themeTint="99"/>
        <w:insideH w:val="single" w:sz="4" w:space="0" w:color="91D9ED" w:themeColor="accent3" w:themeTint="99"/>
        <w:insideV w:val="single" w:sz="4" w:space="0" w:color="91D9ED" w:themeColor="accent3" w:themeTint="99"/>
      </w:tblBorders>
    </w:tblPr>
    <w:tblStylePr w:type="firstRow">
      <w:rPr>
        <w:b/>
        <w:bCs/>
        <w:color w:val="FFFFFF" w:themeColor="background1"/>
      </w:rPr>
      <w:tblPr/>
      <w:tcPr>
        <w:tcBorders>
          <w:top w:val="single" w:sz="4" w:space="0" w:color="49C0E2" w:themeColor="accent3"/>
          <w:left w:val="single" w:sz="4" w:space="0" w:color="49C0E2" w:themeColor="accent3"/>
          <w:bottom w:val="single" w:sz="4" w:space="0" w:color="49C0E2" w:themeColor="accent3"/>
          <w:right w:val="single" w:sz="4" w:space="0" w:color="49C0E2" w:themeColor="accent3"/>
          <w:insideH w:val="nil"/>
          <w:insideV w:val="nil"/>
        </w:tcBorders>
        <w:shd w:val="clear" w:color="auto" w:fill="49C0E2" w:themeFill="accent3"/>
      </w:tcPr>
    </w:tblStylePr>
    <w:tblStylePr w:type="lastRow">
      <w:rPr>
        <w:b/>
        <w:bCs/>
      </w:rPr>
      <w:tblPr/>
      <w:tcPr>
        <w:tcBorders>
          <w:top w:val="double" w:sz="4" w:space="0" w:color="49C0E2" w:themeColor="accent3"/>
        </w:tcBorders>
      </w:tcPr>
    </w:tblStylePr>
    <w:tblStylePr w:type="firstCol">
      <w:rPr>
        <w:b/>
        <w:bCs/>
      </w:rPr>
    </w:tblStylePr>
    <w:tblStylePr w:type="lastCol">
      <w:rPr>
        <w:b/>
        <w:bCs/>
      </w:rPr>
    </w:tblStylePr>
    <w:tblStylePr w:type="band1Vert">
      <w:tblPr/>
      <w:tcPr>
        <w:shd w:val="clear" w:color="auto" w:fill="DAF2F9" w:themeFill="accent3" w:themeFillTint="33"/>
      </w:tcPr>
    </w:tblStylePr>
    <w:tblStylePr w:type="band1Horz">
      <w:tblPr/>
      <w:tcPr>
        <w:shd w:val="clear" w:color="auto" w:fill="DAF2F9" w:themeFill="accent3" w:themeFillTint="33"/>
      </w:tcPr>
    </w:tblStylePr>
  </w:style>
  <w:style w:type="table" w:customStyle="1" w:styleId="GridTable4-Accent32">
    <w:name w:val="Grid Table 4 - Accent 32"/>
    <w:basedOn w:val="TableNormal"/>
    <w:next w:val="GridTable4-Accent3"/>
    <w:uiPriority w:val="49"/>
    <w:rsid w:val="00707194"/>
    <w:pPr>
      <w:spacing w:before="0" w:after="0"/>
    </w:pPr>
    <w:rPr>
      <w:kern w:val="2"/>
      <w:sz w:val="24"/>
      <w:szCs w:val="24"/>
      <w14:ligatures w14:val="standardContextual"/>
    </w:r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Pr>
    <w:tblStylePr w:type="firstRow">
      <w:rPr>
        <w:b/>
        <w:bCs/>
        <w:color w:val="FFFFFF"/>
      </w:rPr>
      <w:tblPr/>
      <w:tcPr>
        <w:tcBorders>
          <w:top w:val="single" w:sz="4" w:space="0" w:color="A5A5A5"/>
          <w:left w:val="single" w:sz="4" w:space="0" w:color="A5A5A5"/>
          <w:bottom w:val="single" w:sz="4" w:space="0" w:color="A5A5A5"/>
          <w:right w:val="single" w:sz="4" w:space="0" w:color="A5A5A5"/>
          <w:insideH w:val="nil"/>
          <w:insideV w:val="nil"/>
        </w:tcBorders>
        <w:shd w:val="clear" w:color="auto" w:fill="A5A5A5"/>
      </w:tcPr>
    </w:tblStylePr>
    <w:tblStylePr w:type="lastRow">
      <w:rPr>
        <w:b/>
        <w:bCs/>
      </w:rPr>
      <w:tblPr/>
      <w:tcPr>
        <w:tcBorders>
          <w:top w:val="double" w:sz="4" w:space="0" w:color="A5A5A5"/>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GridTable4-Accent33">
    <w:name w:val="Grid Table 4 - Accent 33"/>
    <w:basedOn w:val="TableNormal"/>
    <w:next w:val="GridTable4-Accent3"/>
    <w:uiPriority w:val="49"/>
    <w:rsid w:val="00707194"/>
    <w:pPr>
      <w:spacing w:before="0" w:after="0"/>
    </w:pPr>
    <w:rPr>
      <w:kern w:val="2"/>
      <w:sz w:val="24"/>
      <w:szCs w:val="24"/>
      <w14:ligatures w14:val="standardContextual"/>
    </w:r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Pr>
    <w:tblStylePr w:type="firstRow">
      <w:rPr>
        <w:b/>
        <w:bCs/>
        <w:color w:val="FFFFFF"/>
      </w:rPr>
      <w:tblPr/>
      <w:tcPr>
        <w:tcBorders>
          <w:top w:val="single" w:sz="4" w:space="0" w:color="A5A5A5"/>
          <w:left w:val="single" w:sz="4" w:space="0" w:color="A5A5A5"/>
          <w:bottom w:val="single" w:sz="4" w:space="0" w:color="A5A5A5"/>
          <w:right w:val="single" w:sz="4" w:space="0" w:color="A5A5A5"/>
          <w:insideH w:val="nil"/>
          <w:insideV w:val="nil"/>
        </w:tcBorders>
        <w:shd w:val="clear" w:color="auto" w:fill="A5A5A5"/>
      </w:tcPr>
    </w:tblStylePr>
    <w:tblStylePr w:type="lastRow">
      <w:rPr>
        <w:b/>
        <w:bCs/>
      </w:rPr>
      <w:tblPr/>
      <w:tcPr>
        <w:tcBorders>
          <w:top w:val="double" w:sz="4" w:space="0" w:color="A5A5A5"/>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GridTable4-Accent34">
    <w:name w:val="Grid Table 4 - Accent 34"/>
    <w:basedOn w:val="TableNormal"/>
    <w:next w:val="GridTable4-Accent3"/>
    <w:uiPriority w:val="49"/>
    <w:rsid w:val="00707194"/>
    <w:pPr>
      <w:spacing w:before="0" w:after="0"/>
    </w:pPr>
    <w:rPr>
      <w:kern w:val="2"/>
      <w:sz w:val="24"/>
      <w:szCs w:val="24"/>
      <w14:ligatures w14:val="standardContextual"/>
    </w:r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Pr>
    <w:tblStylePr w:type="firstRow">
      <w:rPr>
        <w:b/>
        <w:bCs/>
        <w:color w:val="FFFFFF"/>
      </w:rPr>
      <w:tblPr/>
      <w:tcPr>
        <w:tcBorders>
          <w:top w:val="single" w:sz="4" w:space="0" w:color="A5A5A5"/>
          <w:left w:val="single" w:sz="4" w:space="0" w:color="A5A5A5"/>
          <w:bottom w:val="single" w:sz="4" w:space="0" w:color="A5A5A5"/>
          <w:right w:val="single" w:sz="4" w:space="0" w:color="A5A5A5"/>
          <w:insideH w:val="nil"/>
          <w:insideV w:val="nil"/>
        </w:tcBorders>
        <w:shd w:val="clear" w:color="auto" w:fill="A5A5A5"/>
      </w:tcPr>
    </w:tblStylePr>
    <w:tblStylePr w:type="lastRow">
      <w:rPr>
        <w:b/>
        <w:bCs/>
      </w:rPr>
      <w:tblPr/>
      <w:tcPr>
        <w:tcBorders>
          <w:top w:val="double" w:sz="4" w:space="0" w:color="A5A5A5"/>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GridTable4-Accent35">
    <w:name w:val="Grid Table 4 - Accent 35"/>
    <w:basedOn w:val="TableNormal"/>
    <w:next w:val="GridTable4-Accent3"/>
    <w:uiPriority w:val="49"/>
    <w:rsid w:val="00707194"/>
    <w:pPr>
      <w:spacing w:before="0" w:after="0"/>
    </w:pPr>
    <w:rPr>
      <w:kern w:val="2"/>
      <w:sz w:val="24"/>
      <w:szCs w:val="24"/>
      <w14:ligatures w14:val="standardContextual"/>
    </w:r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Pr>
    <w:tblStylePr w:type="firstRow">
      <w:rPr>
        <w:b/>
        <w:bCs/>
        <w:color w:val="FFFFFF"/>
      </w:rPr>
      <w:tblPr/>
      <w:tcPr>
        <w:tcBorders>
          <w:top w:val="single" w:sz="4" w:space="0" w:color="A5A5A5"/>
          <w:left w:val="single" w:sz="4" w:space="0" w:color="A5A5A5"/>
          <w:bottom w:val="single" w:sz="4" w:space="0" w:color="A5A5A5"/>
          <w:right w:val="single" w:sz="4" w:space="0" w:color="A5A5A5"/>
          <w:insideH w:val="nil"/>
          <w:insideV w:val="nil"/>
        </w:tcBorders>
        <w:shd w:val="clear" w:color="auto" w:fill="A5A5A5"/>
      </w:tcPr>
    </w:tblStylePr>
    <w:tblStylePr w:type="lastRow">
      <w:rPr>
        <w:b/>
        <w:bCs/>
      </w:rPr>
      <w:tblPr/>
      <w:tcPr>
        <w:tcBorders>
          <w:top w:val="double" w:sz="4" w:space="0" w:color="A5A5A5"/>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GridTable4-Accent36">
    <w:name w:val="Grid Table 4 - Accent 36"/>
    <w:basedOn w:val="TableNormal"/>
    <w:uiPriority w:val="49"/>
    <w:rsid w:val="006A5720"/>
    <w:pPr>
      <w:spacing w:before="0" w:after="0"/>
    </w:pPr>
    <w:rPr>
      <w:rFonts w:ascii="Arial" w:eastAsia="Arial" w:hAnsi="Arial" w:cs="Arial"/>
      <w:kern w:val="2"/>
      <w:sz w:val="24"/>
      <w:szCs w:val="24"/>
      <w14:ligatures w14:val="standardContextual"/>
    </w:rPr>
    <w:tblPr>
      <w:tblStyleRowBandSize w:val="1"/>
      <w:tblStyleColBandSize w:val="1"/>
      <w:tblInd w:w="0" w:type="nil"/>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Pr>
    <w:tblStylePr w:type="firstRow">
      <w:rPr>
        <w:b/>
        <w:bCs/>
        <w:color w:val="FFFFFF"/>
      </w:rPr>
      <w:tblPr/>
      <w:tcPr>
        <w:tcBorders>
          <w:top w:val="single" w:sz="4" w:space="0" w:color="A5A5A5"/>
          <w:left w:val="single" w:sz="4" w:space="0" w:color="A5A5A5"/>
          <w:bottom w:val="single" w:sz="4" w:space="0" w:color="A5A5A5"/>
          <w:right w:val="single" w:sz="4" w:space="0" w:color="A5A5A5"/>
          <w:insideH w:val="nil"/>
          <w:insideV w:val="nil"/>
        </w:tcBorders>
        <w:shd w:val="clear" w:color="auto" w:fill="A5A5A5"/>
      </w:tcPr>
    </w:tblStylePr>
    <w:tblStylePr w:type="lastRow">
      <w:rPr>
        <w:b/>
        <w:bCs/>
      </w:rPr>
      <w:tblPr/>
      <w:tcPr>
        <w:tcBorders>
          <w:top w:val="double" w:sz="4" w:space="0" w:color="A5A5A5"/>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GridTable4-Accent37">
    <w:name w:val="Grid Table 4 - Accent 37"/>
    <w:basedOn w:val="TableNormal"/>
    <w:next w:val="GridTable4-Accent3"/>
    <w:uiPriority w:val="49"/>
    <w:rsid w:val="005E4164"/>
    <w:pPr>
      <w:spacing w:before="0" w:after="0"/>
    </w:pPr>
    <w:rPr>
      <w:kern w:val="2"/>
      <w:sz w:val="24"/>
      <w:szCs w:val="24"/>
      <w14:ligatures w14:val="standardContextual"/>
    </w:r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Pr>
    <w:tblStylePr w:type="firstRow">
      <w:rPr>
        <w:b/>
        <w:bCs/>
        <w:color w:val="FFFFFF"/>
      </w:rPr>
      <w:tblPr/>
      <w:tcPr>
        <w:tcBorders>
          <w:top w:val="single" w:sz="4" w:space="0" w:color="A5A5A5"/>
          <w:left w:val="single" w:sz="4" w:space="0" w:color="A5A5A5"/>
          <w:bottom w:val="single" w:sz="4" w:space="0" w:color="A5A5A5"/>
          <w:right w:val="single" w:sz="4" w:space="0" w:color="A5A5A5"/>
          <w:insideH w:val="nil"/>
          <w:insideV w:val="nil"/>
        </w:tcBorders>
        <w:shd w:val="clear" w:color="auto" w:fill="A5A5A5"/>
      </w:tcPr>
    </w:tblStylePr>
    <w:tblStylePr w:type="lastRow">
      <w:rPr>
        <w:b/>
        <w:bCs/>
      </w:rPr>
      <w:tblPr/>
      <w:tcPr>
        <w:tcBorders>
          <w:top w:val="double" w:sz="4" w:space="0" w:color="A5A5A5"/>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GridTable4-Accent38">
    <w:name w:val="Grid Table 4 - Accent 38"/>
    <w:basedOn w:val="TableNormal"/>
    <w:next w:val="GridTable4-Accent3"/>
    <w:uiPriority w:val="49"/>
    <w:rsid w:val="001D0032"/>
    <w:pPr>
      <w:spacing w:before="0" w:after="0"/>
    </w:pPr>
    <w:rPr>
      <w:kern w:val="2"/>
      <w:sz w:val="24"/>
      <w:szCs w:val="24"/>
      <w14:ligatures w14:val="standardContextual"/>
    </w:r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Pr>
    <w:tblStylePr w:type="firstRow">
      <w:rPr>
        <w:b/>
        <w:bCs/>
        <w:color w:val="FFFFFF"/>
      </w:rPr>
      <w:tblPr/>
      <w:tcPr>
        <w:tcBorders>
          <w:top w:val="single" w:sz="4" w:space="0" w:color="A5A5A5"/>
          <w:left w:val="single" w:sz="4" w:space="0" w:color="A5A5A5"/>
          <w:bottom w:val="single" w:sz="4" w:space="0" w:color="A5A5A5"/>
          <w:right w:val="single" w:sz="4" w:space="0" w:color="A5A5A5"/>
          <w:insideH w:val="nil"/>
          <w:insideV w:val="nil"/>
        </w:tcBorders>
        <w:shd w:val="clear" w:color="auto" w:fill="A5A5A5"/>
      </w:tcPr>
    </w:tblStylePr>
    <w:tblStylePr w:type="lastRow">
      <w:rPr>
        <w:b/>
        <w:bCs/>
      </w:rPr>
      <w:tblPr/>
      <w:tcPr>
        <w:tcBorders>
          <w:top w:val="double" w:sz="4" w:space="0" w:color="A5A5A5"/>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GridTable4-Accent39">
    <w:name w:val="Grid Table 4 - Accent 39"/>
    <w:basedOn w:val="TableNormal"/>
    <w:next w:val="GridTable4-Accent3"/>
    <w:uiPriority w:val="49"/>
    <w:rsid w:val="00A82A67"/>
    <w:pPr>
      <w:spacing w:before="0" w:after="0"/>
    </w:pPr>
    <w:rPr>
      <w:kern w:val="2"/>
      <w:sz w:val="24"/>
      <w:szCs w:val="24"/>
      <w14:ligatures w14:val="standardContextual"/>
    </w:r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Pr>
    <w:tblStylePr w:type="firstRow">
      <w:rPr>
        <w:b/>
        <w:bCs/>
        <w:color w:val="FFFFFF"/>
      </w:rPr>
      <w:tblPr/>
      <w:tcPr>
        <w:tcBorders>
          <w:top w:val="single" w:sz="4" w:space="0" w:color="A5A5A5"/>
          <w:left w:val="single" w:sz="4" w:space="0" w:color="A5A5A5"/>
          <w:bottom w:val="single" w:sz="4" w:space="0" w:color="A5A5A5"/>
          <w:right w:val="single" w:sz="4" w:space="0" w:color="A5A5A5"/>
          <w:insideH w:val="nil"/>
          <w:insideV w:val="nil"/>
        </w:tcBorders>
        <w:shd w:val="clear" w:color="auto" w:fill="A5A5A5"/>
      </w:tcPr>
    </w:tblStylePr>
    <w:tblStylePr w:type="lastRow">
      <w:rPr>
        <w:b/>
        <w:bCs/>
      </w:rPr>
      <w:tblPr/>
      <w:tcPr>
        <w:tcBorders>
          <w:top w:val="double" w:sz="4" w:space="0" w:color="A5A5A5"/>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520209">
      <w:bodyDiv w:val="1"/>
      <w:marLeft w:val="0"/>
      <w:marRight w:val="0"/>
      <w:marTop w:val="0"/>
      <w:marBottom w:val="0"/>
      <w:divBdr>
        <w:top w:val="none" w:sz="0" w:space="0" w:color="auto"/>
        <w:left w:val="none" w:sz="0" w:space="0" w:color="auto"/>
        <w:bottom w:val="none" w:sz="0" w:space="0" w:color="auto"/>
        <w:right w:val="none" w:sz="0" w:space="0" w:color="auto"/>
      </w:divBdr>
    </w:div>
    <w:div w:id="8265662">
      <w:bodyDiv w:val="1"/>
      <w:marLeft w:val="0"/>
      <w:marRight w:val="0"/>
      <w:marTop w:val="0"/>
      <w:marBottom w:val="0"/>
      <w:divBdr>
        <w:top w:val="none" w:sz="0" w:space="0" w:color="auto"/>
        <w:left w:val="none" w:sz="0" w:space="0" w:color="auto"/>
        <w:bottom w:val="none" w:sz="0" w:space="0" w:color="auto"/>
        <w:right w:val="none" w:sz="0" w:space="0" w:color="auto"/>
      </w:divBdr>
    </w:div>
    <w:div w:id="33386941">
      <w:bodyDiv w:val="1"/>
      <w:marLeft w:val="0"/>
      <w:marRight w:val="0"/>
      <w:marTop w:val="0"/>
      <w:marBottom w:val="0"/>
      <w:divBdr>
        <w:top w:val="none" w:sz="0" w:space="0" w:color="auto"/>
        <w:left w:val="none" w:sz="0" w:space="0" w:color="auto"/>
        <w:bottom w:val="none" w:sz="0" w:space="0" w:color="auto"/>
        <w:right w:val="none" w:sz="0" w:space="0" w:color="auto"/>
      </w:divBdr>
      <w:divsChild>
        <w:div w:id="770245976">
          <w:marLeft w:val="547"/>
          <w:marRight w:val="115"/>
          <w:marTop w:val="120"/>
          <w:marBottom w:val="120"/>
          <w:divBdr>
            <w:top w:val="none" w:sz="0" w:space="0" w:color="auto"/>
            <w:left w:val="none" w:sz="0" w:space="0" w:color="auto"/>
            <w:bottom w:val="none" w:sz="0" w:space="0" w:color="auto"/>
            <w:right w:val="none" w:sz="0" w:space="0" w:color="auto"/>
          </w:divBdr>
        </w:div>
      </w:divsChild>
    </w:div>
    <w:div w:id="85468588">
      <w:bodyDiv w:val="1"/>
      <w:marLeft w:val="0"/>
      <w:marRight w:val="0"/>
      <w:marTop w:val="0"/>
      <w:marBottom w:val="0"/>
      <w:divBdr>
        <w:top w:val="none" w:sz="0" w:space="0" w:color="auto"/>
        <w:left w:val="none" w:sz="0" w:space="0" w:color="auto"/>
        <w:bottom w:val="none" w:sz="0" w:space="0" w:color="auto"/>
        <w:right w:val="none" w:sz="0" w:space="0" w:color="auto"/>
      </w:divBdr>
    </w:div>
    <w:div w:id="113715964">
      <w:bodyDiv w:val="1"/>
      <w:marLeft w:val="0"/>
      <w:marRight w:val="0"/>
      <w:marTop w:val="0"/>
      <w:marBottom w:val="0"/>
      <w:divBdr>
        <w:top w:val="none" w:sz="0" w:space="0" w:color="auto"/>
        <w:left w:val="none" w:sz="0" w:space="0" w:color="auto"/>
        <w:bottom w:val="none" w:sz="0" w:space="0" w:color="auto"/>
        <w:right w:val="none" w:sz="0" w:space="0" w:color="auto"/>
      </w:divBdr>
    </w:div>
    <w:div w:id="118648639">
      <w:bodyDiv w:val="1"/>
      <w:marLeft w:val="0"/>
      <w:marRight w:val="0"/>
      <w:marTop w:val="0"/>
      <w:marBottom w:val="0"/>
      <w:divBdr>
        <w:top w:val="none" w:sz="0" w:space="0" w:color="auto"/>
        <w:left w:val="none" w:sz="0" w:space="0" w:color="auto"/>
        <w:bottom w:val="none" w:sz="0" w:space="0" w:color="auto"/>
        <w:right w:val="none" w:sz="0" w:space="0" w:color="auto"/>
      </w:divBdr>
    </w:div>
    <w:div w:id="174655249">
      <w:bodyDiv w:val="1"/>
      <w:marLeft w:val="0"/>
      <w:marRight w:val="0"/>
      <w:marTop w:val="0"/>
      <w:marBottom w:val="0"/>
      <w:divBdr>
        <w:top w:val="none" w:sz="0" w:space="0" w:color="auto"/>
        <w:left w:val="none" w:sz="0" w:space="0" w:color="auto"/>
        <w:bottom w:val="none" w:sz="0" w:space="0" w:color="auto"/>
        <w:right w:val="none" w:sz="0" w:space="0" w:color="auto"/>
      </w:divBdr>
    </w:div>
    <w:div w:id="187066853">
      <w:bodyDiv w:val="1"/>
      <w:marLeft w:val="0"/>
      <w:marRight w:val="0"/>
      <w:marTop w:val="0"/>
      <w:marBottom w:val="0"/>
      <w:divBdr>
        <w:top w:val="none" w:sz="0" w:space="0" w:color="auto"/>
        <w:left w:val="none" w:sz="0" w:space="0" w:color="auto"/>
        <w:bottom w:val="none" w:sz="0" w:space="0" w:color="auto"/>
        <w:right w:val="none" w:sz="0" w:space="0" w:color="auto"/>
      </w:divBdr>
    </w:div>
    <w:div w:id="196897433">
      <w:bodyDiv w:val="1"/>
      <w:marLeft w:val="0"/>
      <w:marRight w:val="0"/>
      <w:marTop w:val="0"/>
      <w:marBottom w:val="0"/>
      <w:divBdr>
        <w:top w:val="none" w:sz="0" w:space="0" w:color="auto"/>
        <w:left w:val="none" w:sz="0" w:space="0" w:color="auto"/>
        <w:bottom w:val="none" w:sz="0" w:space="0" w:color="auto"/>
        <w:right w:val="none" w:sz="0" w:space="0" w:color="auto"/>
      </w:divBdr>
      <w:divsChild>
        <w:div w:id="1239562021">
          <w:marLeft w:val="0"/>
          <w:marRight w:val="0"/>
          <w:marTop w:val="0"/>
          <w:marBottom w:val="0"/>
          <w:divBdr>
            <w:top w:val="none" w:sz="0" w:space="0" w:color="auto"/>
            <w:left w:val="none" w:sz="0" w:space="0" w:color="auto"/>
            <w:bottom w:val="none" w:sz="0" w:space="0" w:color="auto"/>
            <w:right w:val="none" w:sz="0" w:space="0" w:color="auto"/>
          </w:divBdr>
          <w:divsChild>
            <w:div w:id="856774938">
              <w:marLeft w:val="0"/>
              <w:marRight w:val="0"/>
              <w:marTop w:val="0"/>
              <w:marBottom w:val="0"/>
              <w:divBdr>
                <w:top w:val="none" w:sz="0" w:space="0" w:color="auto"/>
                <w:left w:val="none" w:sz="0" w:space="0" w:color="auto"/>
                <w:bottom w:val="none" w:sz="0" w:space="0" w:color="auto"/>
                <w:right w:val="none" w:sz="0" w:space="0" w:color="auto"/>
              </w:divBdr>
              <w:divsChild>
                <w:div w:id="52536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9390801">
      <w:bodyDiv w:val="1"/>
      <w:marLeft w:val="0"/>
      <w:marRight w:val="0"/>
      <w:marTop w:val="0"/>
      <w:marBottom w:val="0"/>
      <w:divBdr>
        <w:top w:val="none" w:sz="0" w:space="0" w:color="auto"/>
        <w:left w:val="none" w:sz="0" w:space="0" w:color="auto"/>
        <w:bottom w:val="none" w:sz="0" w:space="0" w:color="auto"/>
        <w:right w:val="none" w:sz="0" w:space="0" w:color="auto"/>
      </w:divBdr>
    </w:div>
    <w:div w:id="260800443">
      <w:bodyDiv w:val="1"/>
      <w:marLeft w:val="0"/>
      <w:marRight w:val="0"/>
      <w:marTop w:val="0"/>
      <w:marBottom w:val="0"/>
      <w:divBdr>
        <w:top w:val="none" w:sz="0" w:space="0" w:color="auto"/>
        <w:left w:val="none" w:sz="0" w:space="0" w:color="auto"/>
        <w:bottom w:val="none" w:sz="0" w:space="0" w:color="auto"/>
        <w:right w:val="none" w:sz="0" w:space="0" w:color="auto"/>
      </w:divBdr>
    </w:div>
    <w:div w:id="264771429">
      <w:bodyDiv w:val="1"/>
      <w:marLeft w:val="0"/>
      <w:marRight w:val="0"/>
      <w:marTop w:val="0"/>
      <w:marBottom w:val="0"/>
      <w:divBdr>
        <w:top w:val="none" w:sz="0" w:space="0" w:color="auto"/>
        <w:left w:val="none" w:sz="0" w:space="0" w:color="auto"/>
        <w:bottom w:val="none" w:sz="0" w:space="0" w:color="auto"/>
        <w:right w:val="none" w:sz="0" w:space="0" w:color="auto"/>
      </w:divBdr>
      <w:divsChild>
        <w:div w:id="1150057721">
          <w:marLeft w:val="0"/>
          <w:marRight w:val="0"/>
          <w:marTop w:val="0"/>
          <w:marBottom w:val="0"/>
          <w:divBdr>
            <w:top w:val="none" w:sz="0" w:space="0" w:color="auto"/>
            <w:left w:val="none" w:sz="0" w:space="0" w:color="auto"/>
            <w:bottom w:val="none" w:sz="0" w:space="0" w:color="auto"/>
            <w:right w:val="none" w:sz="0" w:space="0" w:color="auto"/>
          </w:divBdr>
          <w:divsChild>
            <w:div w:id="380134936">
              <w:marLeft w:val="0"/>
              <w:marRight w:val="0"/>
              <w:marTop w:val="0"/>
              <w:marBottom w:val="0"/>
              <w:divBdr>
                <w:top w:val="none" w:sz="0" w:space="0" w:color="auto"/>
                <w:left w:val="none" w:sz="0" w:space="0" w:color="auto"/>
                <w:bottom w:val="none" w:sz="0" w:space="0" w:color="auto"/>
                <w:right w:val="none" w:sz="0" w:space="0" w:color="auto"/>
              </w:divBdr>
              <w:divsChild>
                <w:div w:id="786001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8606929">
      <w:bodyDiv w:val="1"/>
      <w:marLeft w:val="0"/>
      <w:marRight w:val="0"/>
      <w:marTop w:val="0"/>
      <w:marBottom w:val="0"/>
      <w:divBdr>
        <w:top w:val="none" w:sz="0" w:space="0" w:color="auto"/>
        <w:left w:val="none" w:sz="0" w:space="0" w:color="auto"/>
        <w:bottom w:val="none" w:sz="0" w:space="0" w:color="auto"/>
        <w:right w:val="none" w:sz="0" w:space="0" w:color="auto"/>
      </w:divBdr>
      <w:divsChild>
        <w:div w:id="1014307677">
          <w:marLeft w:val="0"/>
          <w:marRight w:val="0"/>
          <w:marTop w:val="0"/>
          <w:marBottom w:val="0"/>
          <w:divBdr>
            <w:top w:val="single" w:sz="2" w:space="0" w:color="D9D9E3"/>
            <w:left w:val="single" w:sz="2" w:space="0" w:color="D9D9E3"/>
            <w:bottom w:val="single" w:sz="2" w:space="0" w:color="D9D9E3"/>
            <w:right w:val="single" w:sz="2" w:space="0" w:color="D9D9E3"/>
          </w:divBdr>
          <w:divsChild>
            <w:div w:id="1585189861">
              <w:marLeft w:val="0"/>
              <w:marRight w:val="0"/>
              <w:marTop w:val="0"/>
              <w:marBottom w:val="0"/>
              <w:divBdr>
                <w:top w:val="single" w:sz="2" w:space="0" w:color="D9D9E3"/>
                <w:left w:val="single" w:sz="2" w:space="0" w:color="D9D9E3"/>
                <w:bottom w:val="single" w:sz="2" w:space="0" w:color="D9D9E3"/>
                <w:right w:val="single" w:sz="2" w:space="0" w:color="D9D9E3"/>
              </w:divBdr>
              <w:divsChild>
                <w:div w:id="492914088">
                  <w:marLeft w:val="0"/>
                  <w:marRight w:val="0"/>
                  <w:marTop w:val="0"/>
                  <w:marBottom w:val="0"/>
                  <w:divBdr>
                    <w:top w:val="single" w:sz="2" w:space="0" w:color="D9D9E3"/>
                    <w:left w:val="single" w:sz="2" w:space="0" w:color="D9D9E3"/>
                    <w:bottom w:val="single" w:sz="2" w:space="0" w:color="D9D9E3"/>
                    <w:right w:val="single" w:sz="2" w:space="0" w:color="D9D9E3"/>
                  </w:divBdr>
                  <w:divsChild>
                    <w:div w:id="1341737866">
                      <w:marLeft w:val="0"/>
                      <w:marRight w:val="0"/>
                      <w:marTop w:val="0"/>
                      <w:marBottom w:val="0"/>
                      <w:divBdr>
                        <w:top w:val="single" w:sz="2" w:space="0" w:color="D9D9E3"/>
                        <w:left w:val="single" w:sz="2" w:space="0" w:color="D9D9E3"/>
                        <w:bottom w:val="single" w:sz="2" w:space="0" w:color="D9D9E3"/>
                        <w:right w:val="single" w:sz="2" w:space="0" w:color="D9D9E3"/>
                      </w:divBdr>
                      <w:divsChild>
                        <w:div w:id="488329137">
                          <w:marLeft w:val="0"/>
                          <w:marRight w:val="0"/>
                          <w:marTop w:val="0"/>
                          <w:marBottom w:val="0"/>
                          <w:divBdr>
                            <w:top w:val="single" w:sz="2" w:space="0" w:color="auto"/>
                            <w:left w:val="single" w:sz="2" w:space="0" w:color="auto"/>
                            <w:bottom w:val="single" w:sz="6" w:space="0" w:color="auto"/>
                            <w:right w:val="single" w:sz="2" w:space="0" w:color="auto"/>
                          </w:divBdr>
                          <w:divsChild>
                            <w:div w:id="131101458">
                              <w:marLeft w:val="0"/>
                              <w:marRight w:val="0"/>
                              <w:marTop w:val="100"/>
                              <w:marBottom w:val="100"/>
                              <w:divBdr>
                                <w:top w:val="single" w:sz="2" w:space="0" w:color="D9D9E3"/>
                                <w:left w:val="single" w:sz="2" w:space="0" w:color="D9D9E3"/>
                                <w:bottom w:val="single" w:sz="2" w:space="0" w:color="D9D9E3"/>
                                <w:right w:val="single" w:sz="2" w:space="0" w:color="D9D9E3"/>
                              </w:divBdr>
                              <w:divsChild>
                                <w:div w:id="728385955">
                                  <w:marLeft w:val="0"/>
                                  <w:marRight w:val="0"/>
                                  <w:marTop w:val="0"/>
                                  <w:marBottom w:val="0"/>
                                  <w:divBdr>
                                    <w:top w:val="single" w:sz="2" w:space="0" w:color="D9D9E3"/>
                                    <w:left w:val="single" w:sz="2" w:space="0" w:color="D9D9E3"/>
                                    <w:bottom w:val="single" w:sz="2" w:space="0" w:color="D9D9E3"/>
                                    <w:right w:val="single" w:sz="2" w:space="0" w:color="D9D9E3"/>
                                  </w:divBdr>
                                  <w:divsChild>
                                    <w:div w:id="1581940232">
                                      <w:marLeft w:val="0"/>
                                      <w:marRight w:val="0"/>
                                      <w:marTop w:val="0"/>
                                      <w:marBottom w:val="0"/>
                                      <w:divBdr>
                                        <w:top w:val="single" w:sz="2" w:space="0" w:color="D9D9E3"/>
                                        <w:left w:val="single" w:sz="2" w:space="0" w:color="D9D9E3"/>
                                        <w:bottom w:val="single" w:sz="2" w:space="0" w:color="D9D9E3"/>
                                        <w:right w:val="single" w:sz="2" w:space="0" w:color="D9D9E3"/>
                                      </w:divBdr>
                                      <w:divsChild>
                                        <w:div w:id="1591501837">
                                          <w:marLeft w:val="0"/>
                                          <w:marRight w:val="0"/>
                                          <w:marTop w:val="0"/>
                                          <w:marBottom w:val="0"/>
                                          <w:divBdr>
                                            <w:top w:val="single" w:sz="2" w:space="0" w:color="D9D9E3"/>
                                            <w:left w:val="single" w:sz="2" w:space="0" w:color="D9D9E3"/>
                                            <w:bottom w:val="single" w:sz="2" w:space="0" w:color="D9D9E3"/>
                                            <w:right w:val="single" w:sz="2" w:space="0" w:color="D9D9E3"/>
                                          </w:divBdr>
                                          <w:divsChild>
                                            <w:div w:id="1687368857">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 w:id="1914583421">
          <w:marLeft w:val="0"/>
          <w:marRight w:val="0"/>
          <w:marTop w:val="0"/>
          <w:marBottom w:val="0"/>
          <w:divBdr>
            <w:top w:val="none" w:sz="0" w:space="0" w:color="auto"/>
            <w:left w:val="none" w:sz="0" w:space="0" w:color="auto"/>
            <w:bottom w:val="none" w:sz="0" w:space="0" w:color="auto"/>
            <w:right w:val="none" w:sz="0" w:space="0" w:color="auto"/>
          </w:divBdr>
          <w:divsChild>
            <w:div w:id="248850061">
              <w:marLeft w:val="0"/>
              <w:marRight w:val="0"/>
              <w:marTop w:val="0"/>
              <w:marBottom w:val="0"/>
              <w:divBdr>
                <w:top w:val="single" w:sz="2" w:space="0" w:color="D9D9E3"/>
                <w:left w:val="single" w:sz="2" w:space="0" w:color="D9D9E3"/>
                <w:bottom w:val="single" w:sz="2" w:space="0" w:color="D9D9E3"/>
                <w:right w:val="single" w:sz="2" w:space="0" w:color="D9D9E3"/>
              </w:divBdr>
              <w:divsChild>
                <w:div w:id="675960852">
                  <w:marLeft w:val="0"/>
                  <w:marRight w:val="0"/>
                  <w:marTop w:val="0"/>
                  <w:marBottom w:val="0"/>
                  <w:divBdr>
                    <w:top w:val="single" w:sz="2" w:space="0" w:color="D9D9E3"/>
                    <w:left w:val="single" w:sz="2" w:space="0" w:color="D9D9E3"/>
                    <w:bottom w:val="single" w:sz="2" w:space="0" w:color="D9D9E3"/>
                    <w:right w:val="single" w:sz="2" w:space="0" w:color="D9D9E3"/>
                  </w:divBdr>
                  <w:divsChild>
                    <w:div w:id="1344673491">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 w:id="316299567">
      <w:bodyDiv w:val="1"/>
      <w:marLeft w:val="0"/>
      <w:marRight w:val="0"/>
      <w:marTop w:val="0"/>
      <w:marBottom w:val="0"/>
      <w:divBdr>
        <w:top w:val="none" w:sz="0" w:space="0" w:color="auto"/>
        <w:left w:val="none" w:sz="0" w:space="0" w:color="auto"/>
        <w:bottom w:val="none" w:sz="0" w:space="0" w:color="auto"/>
        <w:right w:val="none" w:sz="0" w:space="0" w:color="auto"/>
      </w:divBdr>
    </w:div>
    <w:div w:id="357388307">
      <w:bodyDiv w:val="1"/>
      <w:marLeft w:val="0"/>
      <w:marRight w:val="0"/>
      <w:marTop w:val="0"/>
      <w:marBottom w:val="0"/>
      <w:divBdr>
        <w:top w:val="none" w:sz="0" w:space="0" w:color="auto"/>
        <w:left w:val="none" w:sz="0" w:space="0" w:color="auto"/>
        <w:bottom w:val="none" w:sz="0" w:space="0" w:color="auto"/>
        <w:right w:val="none" w:sz="0" w:space="0" w:color="auto"/>
      </w:divBdr>
      <w:divsChild>
        <w:div w:id="611791245">
          <w:marLeft w:val="0"/>
          <w:marRight w:val="0"/>
          <w:marTop w:val="0"/>
          <w:marBottom w:val="0"/>
          <w:divBdr>
            <w:top w:val="none" w:sz="0" w:space="0" w:color="auto"/>
            <w:left w:val="none" w:sz="0" w:space="0" w:color="auto"/>
            <w:bottom w:val="none" w:sz="0" w:space="0" w:color="auto"/>
            <w:right w:val="none" w:sz="0" w:space="0" w:color="auto"/>
          </w:divBdr>
          <w:divsChild>
            <w:div w:id="772215110">
              <w:marLeft w:val="0"/>
              <w:marRight w:val="0"/>
              <w:marTop w:val="0"/>
              <w:marBottom w:val="0"/>
              <w:divBdr>
                <w:top w:val="single" w:sz="2" w:space="0" w:color="D9D9E3"/>
                <w:left w:val="single" w:sz="2" w:space="0" w:color="D9D9E3"/>
                <w:bottom w:val="single" w:sz="2" w:space="0" w:color="D9D9E3"/>
                <w:right w:val="single" w:sz="2" w:space="0" w:color="D9D9E3"/>
              </w:divBdr>
              <w:divsChild>
                <w:div w:id="1998027872">
                  <w:marLeft w:val="0"/>
                  <w:marRight w:val="0"/>
                  <w:marTop w:val="0"/>
                  <w:marBottom w:val="0"/>
                  <w:divBdr>
                    <w:top w:val="single" w:sz="2" w:space="0" w:color="D9D9E3"/>
                    <w:left w:val="single" w:sz="2" w:space="0" w:color="D9D9E3"/>
                    <w:bottom w:val="single" w:sz="2" w:space="0" w:color="D9D9E3"/>
                    <w:right w:val="single" w:sz="2" w:space="0" w:color="D9D9E3"/>
                  </w:divBdr>
                  <w:divsChild>
                    <w:div w:id="607392225">
                      <w:marLeft w:val="0"/>
                      <w:marRight w:val="0"/>
                      <w:marTop w:val="0"/>
                      <w:marBottom w:val="0"/>
                      <w:divBdr>
                        <w:top w:val="single" w:sz="2" w:space="0" w:color="D9D9E3"/>
                        <w:left w:val="single" w:sz="2" w:space="0" w:color="D9D9E3"/>
                        <w:bottom w:val="single" w:sz="2" w:space="0" w:color="D9D9E3"/>
                        <w:right w:val="single" w:sz="2" w:space="0" w:color="D9D9E3"/>
                      </w:divBdr>
                      <w:divsChild>
                        <w:div w:id="1326742054">
                          <w:marLeft w:val="0"/>
                          <w:marRight w:val="0"/>
                          <w:marTop w:val="0"/>
                          <w:marBottom w:val="0"/>
                          <w:divBdr>
                            <w:top w:val="single" w:sz="2" w:space="0" w:color="D9D9E3"/>
                            <w:left w:val="single" w:sz="2" w:space="0" w:color="D9D9E3"/>
                            <w:bottom w:val="single" w:sz="2" w:space="0" w:color="D9D9E3"/>
                            <w:right w:val="single" w:sz="2" w:space="0" w:color="D9D9E3"/>
                          </w:divBdr>
                          <w:divsChild>
                            <w:div w:id="923957212">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 w:id="1374889107">
          <w:marLeft w:val="0"/>
          <w:marRight w:val="0"/>
          <w:marTop w:val="0"/>
          <w:marBottom w:val="0"/>
          <w:divBdr>
            <w:top w:val="single" w:sz="2" w:space="0" w:color="D9D9E3"/>
            <w:left w:val="single" w:sz="2" w:space="0" w:color="D9D9E3"/>
            <w:bottom w:val="single" w:sz="2" w:space="0" w:color="D9D9E3"/>
            <w:right w:val="single" w:sz="2" w:space="0" w:color="D9D9E3"/>
          </w:divBdr>
          <w:divsChild>
            <w:div w:id="2009210801">
              <w:marLeft w:val="0"/>
              <w:marRight w:val="0"/>
              <w:marTop w:val="0"/>
              <w:marBottom w:val="0"/>
              <w:divBdr>
                <w:top w:val="single" w:sz="2" w:space="0" w:color="D9D9E3"/>
                <w:left w:val="single" w:sz="2" w:space="0" w:color="D9D9E3"/>
                <w:bottom w:val="single" w:sz="2" w:space="0" w:color="D9D9E3"/>
                <w:right w:val="single" w:sz="2" w:space="0" w:color="D9D9E3"/>
              </w:divBdr>
              <w:divsChild>
                <w:div w:id="2018729013">
                  <w:marLeft w:val="0"/>
                  <w:marRight w:val="0"/>
                  <w:marTop w:val="0"/>
                  <w:marBottom w:val="0"/>
                  <w:divBdr>
                    <w:top w:val="single" w:sz="2" w:space="0" w:color="D9D9E3"/>
                    <w:left w:val="single" w:sz="2" w:space="0" w:color="D9D9E3"/>
                    <w:bottom w:val="single" w:sz="2" w:space="0" w:color="D9D9E3"/>
                    <w:right w:val="single" w:sz="2" w:space="0" w:color="D9D9E3"/>
                  </w:divBdr>
                  <w:divsChild>
                    <w:div w:id="1259290114">
                      <w:marLeft w:val="0"/>
                      <w:marRight w:val="0"/>
                      <w:marTop w:val="0"/>
                      <w:marBottom w:val="0"/>
                      <w:divBdr>
                        <w:top w:val="single" w:sz="2" w:space="0" w:color="D9D9E3"/>
                        <w:left w:val="single" w:sz="2" w:space="0" w:color="D9D9E3"/>
                        <w:bottom w:val="single" w:sz="2" w:space="0" w:color="D9D9E3"/>
                        <w:right w:val="single" w:sz="2" w:space="0" w:color="D9D9E3"/>
                      </w:divBdr>
                      <w:divsChild>
                        <w:div w:id="1629362373">
                          <w:marLeft w:val="0"/>
                          <w:marRight w:val="0"/>
                          <w:marTop w:val="0"/>
                          <w:marBottom w:val="0"/>
                          <w:divBdr>
                            <w:top w:val="single" w:sz="2" w:space="0" w:color="auto"/>
                            <w:left w:val="single" w:sz="2" w:space="0" w:color="auto"/>
                            <w:bottom w:val="single" w:sz="6" w:space="0" w:color="auto"/>
                            <w:right w:val="single" w:sz="2" w:space="0" w:color="auto"/>
                          </w:divBdr>
                          <w:divsChild>
                            <w:div w:id="618879578">
                              <w:marLeft w:val="0"/>
                              <w:marRight w:val="0"/>
                              <w:marTop w:val="100"/>
                              <w:marBottom w:val="100"/>
                              <w:divBdr>
                                <w:top w:val="single" w:sz="2" w:space="0" w:color="D9D9E3"/>
                                <w:left w:val="single" w:sz="2" w:space="0" w:color="D9D9E3"/>
                                <w:bottom w:val="single" w:sz="2" w:space="0" w:color="D9D9E3"/>
                                <w:right w:val="single" w:sz="2" w:space="0" w:color="D9D9E3"/>
                              </w:divBdr>
                              <w:divsChild>
                                <w:div w:id="1592274715">
                                  <w:marLeft w:val="0"/>
                                  <w:marRight w:val="0"/>
                                  <w:marTop w:val="0"/>
                                  <w:marBottom w:val="0"/>
                                  <w:divBdr>
                                    <w:top w:val="single" w:sz="2" w:space="0" w:color="D9D9E3"/>
                                    <w:left w:val="single" w:sz="2" w:space="0" w:color="D9D9E3"/>
                                    <w:bottom w:val="single" w:sz="2" w:space="0" w:color="D9D9E3"/>
                                    <w:right w:val="single" w:sz="2" w:space="0" w:color="D9D9E3"/>
                                  </w:divBdr>
                                  <w:divsChild>
                                    <w:div w:id="1398015549">
                                      <w:marLeft w:val="0"/>
                                      <w:marRight w:val="0"/>
                                      <w:marTop w:val="0"/>
                                      <w:marBottom w:val="0"/>
                                      <w:divBdr>
                                        <w:top w:val="single" w:sz="2" w:space="0" w:color="D9D9E3"/>
                                        <w:left w:val="single" w:sz="2" w:space="0" w:color="D9D9E3"/>
                                        <w:bottom w:val="single" w:sz="2" w:space="0" w:color="D9D9E3"/>
                                        <w:right w:val="single" w:sz="2" w:space="0" w:color="D9D9E3"/>
                                      </w:divBdr>
                                      <w:divsChild>
                                        <w:div w:id="1247805676">
                                          <w:marLeft w:val="0"/>
                                          <w:marRight w:val="0"/>
                                          <w:marTop w:val="0"/>
                                          <w:marBottom w:val="0"/>
                                          <w:divBdr>
                                            <w:top w:val="single" w:sz="2" w:space="0" w:color="D9D9E3"/>
                                            <w:left w:val="single" w:sz="2" w:space="0" w:color="D9D9E3"/>
                                            <w:bottom w:val="single" w:sz="2" w:space="0" w:color="D9D9E3"/>
                                            <w:right w:val="single" w:sz="2" w:space="0" w:color="D9D9E3"/>
                                          </w:divBdr>
                                          <w:divsChild>
                                            <w:div w:id="1174998306">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 w:id="365297773">
      <w:bodyDiv w:val="1"/>
      <w:marLeft w:val="0"/>
      <w:marRight w:val="0"/>
      <w:marTop w:val="0"/>
      <w:marBottom w:val="0"/>
      <w:divBdr>
        <w:top w:val="none" w:sz="0" w:space="0" w:color="auto"/>
        <w:left w:val="none" w:sz="0" w:space="0" w:color="auto"/>
        <w:bottom w:val="none" w:sz="0" w:space="0" w:color="auto"/>
        <w:right w:val="none" w:sz="0" w:space="0" w:color="auto"/>
      </w:divBdr>
    </w:div>
    <w:div w:id="400563614">
      <w:bodyDiv w:val="1"/>
      <w:marLeft w:val="0"/>
      <w:marRight w:val="0"/>
      <w:marTop w:val="0"/>
      <w:marBottom w:val="0"/>
      <w:divBdr>
        <w:top w:val="none" w:sz="0" w:space="0" w:color="auto"/>
        <w:left w:val="none" w:sz="0" w:space="0" w:color="auto"/>
        <w:bottom w:val="none" w:sz="0" w:space="0" w:color="auto"/>
        <w:right w:val="none" w:sz="0" w:space="0" w:color="auto"/>
      </w:divBdr>
      <w:divsChild>
        <w:div w:id="801385165">
          <w:marLeft w:val="547"/>
          <w:marRight w:val="115"/>
          <w:marTop w:val="120"/>
          <w:marBottom w:val="120"/>
          <w:divBdr>
            <w:top w:val="none" w:sz="0" w:space="0" w:color="auto"/>
            <w:left w:val="none" w:sz="0" w:space="0" w:color="auto"/>
            <w:bottom w:val="none" w:sz="0" w:space="0" w:color="auto"/>
            <w:right w:val="none" w:sz="0" w:space="0" w:color="auto"/>
          </w:divBdr>
        </w:div>
      </w:divsChild>
    </w:div>
    <w:div w:id="512303026">
      <w:bodyDiv w:val="1"/>
      <w:marLeft w:val="0"/>
      <w:marRight w:val="0"/>
      <w:marTop w:val="0"/>
      <w:marBottom w:val="0"/>
      <w:divBdr>
        <w:top w:val="none" w:sz="0" w:space="0" w:color="auto"/>
        <w:left w:val="none" w:sz="0" w:space="0" w:color="auto"/>
        <w:bottom w:val="none" w:sz="0" w:space="0" w:color="auto"/>
        <w:right w:val="none" w:sz="0" w:space="0" w:color="auto"/>
      </w:divBdr>
    </w:div>
    <w:div w:id="522864277">
      <w:bodyDiv w:val="1"/>
      <w:marLeft w:val="0"/>
      <w:marRight w:val="0"/>
      <w:marTop w:val="0"/>
      <w:marBottom w:val="0"/>
      <w:divBdr>
        <w:top w:val="none" w:sz="0" w:space="0" w:color="auto"/>
        <w:left w:val="none" w:sz="0" w:space="0" w:color="auto"/>
        <w:bottom w:val="none" w:sz="0" w:space="0" w:color="auto"/>
        <w:right w:val="none" w:sz="0" w:space="0" w:color="auto"/>
      </w:divBdr>
    </w:div>
    <w:div w:id="539821902">
      <w:bodyDiv w:val="1"/>
      <w:marLeft w:val="0"/>
      <w:marRight w:val="0"/>
      <w:marTop w:val="0"/>
      <w:marBottom w:val="0"/>
      <w:divBdr>
        <w:top w:val="none" w:sz="0" w:space="0" w:color="auto"/>
        <w:left w:val="none" w:sz="0" w:space="0" w:color="auto"/>
        <w:bottom w:val="none" w:sz="0" w:space="0" w:color="auto"/>
        <w:right w:val="none" w:sz="0" w:space="0" w:color="auto"/>
      </w:divBdr>
      <w:divsChild>
        <w:div w:id="1906645578">
          <w:marLeft w:val="0"/>
          <w:marRight w:val="0"/>
          <w:marTop w:val="0"/>
          <w:marBottom w:val="0"/>
          <w:divBdr>
            <w:top w:val="none" w:sz="0" w:space="0" w:color="auto"/>
            <w:left w:val="none" w:sz="0" w:space="0" w:color="auto"/>
            <w:bottom w:val="none" w:sz="0" w:space="0" w:color="auto"/>
            <w:right w:val="none" w:sz="0" w:space="0" w:color="auto"/>
          </w:divBdr>
          <w:divsChild>
            <w:div w:id="2093353147">
              <w:marLeft w:val="0"/>
              <w:marRight w:val="0"/>
              <w:marTop w:val="0"/>
              <w:marBottom w:val="0"/>
              <w:divBdr>
                <w:top w:val="none" w:sz="0" w:space="0" w:color="auto"/>
                <w:left w:val="none" w:sz="0" w:space="0" w:color="auto"/>
                <w:bottom w:val="none" w:sz="0" w:space="0" w:color="auto"/>
                <w:right w:val="none" w:sz="0" w:space="0" w:color="auto"/>
              </w:divBdr>
              <w:divsChild>
                <w:div w:id="5427149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2688281">
      <w:bodyDiv w:val="1"/>
      <w:marLeft w:val="0"/>
      <w:marRight w:val="0"/>
      <w:marTop w:val="0"/>
      <w:marBottom w:val="0"/>
      <w:divBdr>
        <w:top w:val="none" w:sz="0" w:space="0" w:color="auto"/>
        <w:left w:val="none" w:sz="0" w:space="0" w:color="auto"/>
        <w:bottom w:val="none" w:sz="0" w:space="0" w:color="auto"/>
        <w:right w:val="none" w:sz="0" w:space="0" w:color="auto"/>
      </w:divBdr>
      <w:divsChild>
        <w:div w:id="1396467326">
          <w:marLeft w:val="547"/>
          <w:marRight w:val="0"/>
          <w:marTop w:val="0"/>
          <w:marBottom w:val="0"/>
          <w:divBdr>
            <w:top w:val="none" w:sz="0" w:space="0" w:color="auto"/>
            <w:left w:val="none" w:sz="0" w:space="0" w:color="auto"/>
            <w:bottom w:val="none" w:sz="0" w:space="0" w:color="auto"/>
            <w:right w:val="none" w:sz="0" w:space="0" w:color="auto"/>
          </w:divBdr>
        </w:div>
      </w:divsChild>
    </w:div>
    <w:div w:id="678888743">
      <w:bodyDiv w:val="1"/>
      <w:marLeft w:val="0"/>
      <w:marRight w:val="0"/>
      <w:marTop w:val="0"/>
      <w:marBottom w:val="0"/>
      <w:divBdr>
        <w:top w:val="none" w:sz="0" w:space="0" w:color="auto"/>
        <w:left w:val="none" w:sz="0" w:space="0" w:color="auto"/>
        <w:bottom w:val="none" w:sz="0" w:space="0" w:color="auto"/>
        <w:right w:val="none" w:sz="0" w:space="0" w:color="auto"/>
      </w:divBdr>
      <w:divsChild>
        <w:div w:id="1500386433">
          <w:marLeft w:val="0"/>
          <w:marRight w:val="0"/>
          <w:marTop w:val="0"/>
          <w:marBottom w:val="0"/>
          <w:divBdr>
            <w:top w:val="none" w:sz="0" w:space="0" w:color="auto"/>
            <w:left w:val="none" w:sz="0" w:space="0" w:color="auto"/>
            <w:bottom w:val="none" w:sz="0" w:space="0" w:color="auto"/>
            <w:right w:val="none" w:sz="0" w:space="0" w:color="auto"/>
          </w:divBdr>
          <w:divsChild>
            <w:div w:id="1226642489">
              <w:marLeft w:val="0"/>
              <w:marRight w:val="0"/>
              <w:marTop w:val="0"/>
              <w:marBottom w:val="0"/>
              <w:divBdr>
                <w:top w:val="none" w:sz="0" w:space="0" w:color="auto"/>
                <w:left w:val="none" w:sz="0" w:space="0" w:color="auto"/>
                <w:bottom w:val="none" w:sz="0" w:space="0" w:color="auto"/>
                <w:right w:val="none" w:sz="0" w:space="0" w:color="auto"/>
              </w:divBdr>
              <w:divsChild>
                <w:div w:id="12314259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6542395">
      <w:bodyDiv w:val="1"/>
      <w:marLeft w:val="0"/>
      <w:marRight w:val="0"/>
      <w:marTop w:val="0"/>
      <w:marBottom w:val="0"/>
      <w:divBdr>
        <w:top w:val="none" w:sz="0" w:space="0" w:color="auto"/>
        <w:left w:val="none" w:sz="0" w:space="0" w:color="auto"/>
        <w:bottom w:val="none" w:sz="0" w:space="0" w:color="auto"/>
        <w:right w:val="none" w:sz="0" w:space="0" w:color="auto"/>
      </w:divBdr>
    </w:div>
    <w:div w:id="723018305">
      <w:bodyDiv w:val="1"/>
      <w:marLeft w:val="0"/>
      <w:marRight w:val="0"/>
      <w:marTop w:val="0"/>
      <w:marBottom w:val="0"/>
      <w:divBdr>
        <w:top w:val="none" w:sz="0" w:space="0" w:color="auto"/>
        <w:left w:val="none" w:sz="0" w:space="0" w:color="auto"/>
        <w:bottom w:val="none" w:sz="0" w:space="0" w:color="auto"/>
        <w:right w:val="none" w:sz="0" w:space="0" w:color="auto"/>
      </w:divBdr>
      <w:divsChild>
        <w:div w:id="1998456266">
          <w:marLeft w:val="0"/>
          <w:marRight w:val="0"/>
          <w:marTop w:val="0"/>
          <w:marBottom w:val="0"/>
          <w:divBdr>
            <w:top w:val="none" w:sz="0" w:space="0" w:color="auto"/>
            <w:left w:val="none" w:sz="0" w:space="0" w:color="auto"/>
            <w:bottom w:val="none" w:sz="0" w:space="0" w:color="auto"/>
            <w:right w:val="none" w:sz="0" w:space="0" w:color="auto"/>
          </w:divBdr>
          <w:divsChild>
            <w:div w:id="1983920408">
              <w:marLeft w:val="0"/>
              <w:marRight w:val="0"/>
              <w:marTop w:val="0"/>
              <w:marBottom w:val="0"/>
              <w:divBdr>
                <w:top w:val="none" w:sz="0" w:space="0" w:color="auto"/>
                <w:left w:val="none" w:sz="0" w:space="0" w:color="auto"/>
                <w:bottom w:val="none" w:sz="0" w:space="0" w:color="auto"/>
                <w:right w:val="none" w:sz="0" w:space="0" w:color="auto"/>
              </w:divBdr>
              <w:divsChild>
                <w:div w:id="20787467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0318247">
      <w:bodyDiv w:val="1"/>
      <w:marLeft w:val="0"/>
      <w:marRight w:val="0"/>
      <w:marTop w:val="0"/>
      <w:marBottom w:val="0"/>
      <w:divBdr>
        <w:top w:val="none" w:sz="0" w:space="0" w:color="auto"/>
        <w:left w:val="none" w:sz="0" w:space="0" w:color="auto"/>
        <w:bottom w:val="none" w:sz="0" w:space="0" w:color="auto"/>
        <w:right w:val="none" w:sz="0" w:space="0" w:color="auto"/>
      </w:divBdr>
      <w:divsChild>
        <w:div w:id="473722831">
          <w:marLeft w:val="1886"/>
          <w:marRight w:val="0"/>
          <w:marTop w:val="100"/>
          <w:marBottom w:val="0"/>
          <w:divBdr>
            <w:top w:val="none" w:sz="0" w:space="0" w:color="auto"/>
            <w:left w:val="none" w:sz="0" w:space="0" w:color="auto"/>
            <w:bottom w:val="none" w:sz="0" w:space="0" w:color="auto"/>
            <w:right w:val="none" w:sz="0" w:space="0" w:color="auto"/>
          </w:divBdr>
        </w:div>
        <w:div w:id="1383944221">
          <w:marLeft w:val="1886"/>
          <w:marRight w:val="0"/>
          <w:marTop w:val="100"/>
          <w:marBottom w:val="0"/>
          <w:divBdr>
            <w:top w:val="none" w:sz="0" w:space="0" w:color="auto"/>
            <w:left w:val="none" w:sz="0" w:space="0" w:color="auto"/>
            <w:bottom w:val="none" w:sz="0" w:space="0" w:color="auto"/>
            <w:right w:val="none" w:sz="0" w:space="0" w:color="auto"/>
          </w:divBdr>
        </w:div>
        <w:div w:id="1996834228">
          <w:marLeft w:val="1886"/>
          <w:marRight w:val="0"/>
          <w:marTop w:val="100"/>
          <w:marBottom w:val="0"/>
          <w:divBdr>
            <w:top w:val="none" w:sz="0" w:space="0" w:color="auto"/>
            <w:left w:val="none" w:sz="0" w:space="0" w:color="auto"/>
            <w:bottom w:val="none" w:sz="0" w:space="0" w:color="auto"/>
            <w:right w:val="none" w:sz="0" w:space="0" w:color="auto"/>
          </w:divBdr>
        </w:div>
        <w:div w:id="2145345334">
          <w:marLeft w:val="1886"/>
          <w:marRight w:val="0"/>
          <w:marTop w:val="100"/>
          <w:marBottom w:val="0"/>
          <w:divBdr>
            <w:top w:val="none" w:sz="0" w:space="0" w:color="auto"/>
            <w:left w:val="none" w:sz="0" w:space="0" w:color="auto"/>
            <w:bottom w:val="none" w:sz="0" w:space="0" w:color="auto"/>
            <w:right w:val="none" w:sz="0" w:space="0" w:color="auto"/>
          </w:divBdr>
        </w:div>
      </w:divsChild>
    </w:div>
    <w:div w:id="777140645">
      <w:bodyDiv w:val="1"/>
      <w:marLeft w:val="0"/>
      <w:marRight w:val="0"/>
      <w:marTop w:val="0"/>
      <w:marBottom w:val="0"/>
      <w:divBdr>
        <w:top w:val="none" w:sz="0" w:space="0" w:color="auto"/>
        <w:left w:val="none" w:sz="0" w:space="0" w:color="auto"/>
        <w:bottom w:val="none" w:sz="0" w:space="0" w:color="auto"/>
        <w:right w:val="none" w:sz="0" w:space="0" w:color="auto"/>
      </w:divBdr>
    </w:div>
    <w:div w:id="802187739">
      <w:bodyDiv w:val="1"/>
      <w:marLeft w:val="0"/>
      <w:marRight w:val="0"/>
      <w:marTop w:val="0"/>
      <w:marBottom w:val="0"/>
      <w:divBdr>
        <w:top w:val="none" w:sz="0" w:space="0" w:color="auto"/>
        <w:left w:val="none" w:sz="0" w:space="0" w:color="auto"/>
        <w:bottom w:val="none" w:sz="0" w:space="0" w:color="auto"/>
        <w:right w:val="none" w:sz="0" w:space="0" w:color="auto"/>
      </w:divBdr>
      <w:divsChild>
        <w:div w:id="2090609998">
          <w:marLeft w:val="0"/>
          <w:marRight w:val="0"/>
          <w:marTop w:val="0"/>
          <w:marBottom w:val="0"/>
          <w:divBdr>
            <w:top w:val="none" w:sz="0" w:space="0" w:color="auto"/>
            <w:left w:val="none" w:sz="0" w:space="0" w:color="auto"/>
            <w:bottom w:val="none" w:sz="0" w:space="0" w:color="auto"/>
            <w:right w:val="none" w:sz="0" w:space="0" w:color="auto"/>
          </w:divBdr>
          <w:divsChild>
            <w:div w:id="781608670">
              <w:marLeft w:val="0"/>
              <w:marRight w:val="0"/>
              <w:marTop w:val="0"/>
              <w:marBottom w:val="0"/>
              <w:divBdr>
                <w:top w:val="none" w:sz="0" w:space="0" w:color="auto"/>
                <w:left w:val="none" w:sz="0" w:space="0" w:color="auto"/>
                <w:bottom w:val="none" w:sz="0" w:space="0" w:color="auto"/>
                <w:right w:val="none" w:sz="0" w:space="0" w:color="auto"/>
              </w:divBdr>
              <w:divsChild>
                <w:div w:id="5771287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7478170">
      <w:bodyDiv w:val="1"/>
      <w:marLeft w:val="0"/>
      <w:marRight w:val="0"/>
      <w:marTop w:val="0"/>
      <w:marBottom w:val="0"/>
      <w:divBdr>
        <w:top w:val="none" w:sz="0" w:space="0" w:color="auto"/>
        <w:left w:val="none" w:sz="0" w:space="0" w:color="auto"/>
        <w:bottom w:val="none" w:sz="0" w:space="0" w:color="auto"/>
        <w:right w:val="none" w:sz="0" w:space="0" w:color="auto"/>
      </w:divBdr>
      <w:divsChild>
        <w:div w:id="972180250">
          <w:marLeft w:val="0"/>
          <w:marRight w:val="0"/>
          <w:marTop w:val="0"/>
          <w:marBottom w:val="0"/>
          <w:divBdr>
            <w:top w:val="none" w:sz="0" w:space="0" w:color="auto"/>
            <w:left w:val="none" w:sz="0" w:space="0" w:color="auto"/>
            <w:bottom w:val="none" w:sz="0" w:space="0" w:color="auto"/>
            <w:right w:val="none" w:sz="0" w:space="0" w:color="auto"/>
          </w:divBdr>
          <w:divsChild>
            <w:div w:id="1758013481">
              <w:marLeft w:val="0"/>
              <w:marRight w:val="0"/>
              <w:marTop w:val="0"/>
              <w:marBottom w:val="0"/>
              <w:divBdr>
                <w:top w:val="single" w:sz="2" w:space="0" w:color="D9D9E3"/>
                <w:left w:val="single" w:sz="2" w:space="0" w:color="D9D9E3"/>
                <w:bottom w:val="single" w:sz="2" w:space="0" w:color="D9D9E3"/>
                <w:right w:val="single" w:sz="2" w:space="0" w:color="D9D9E3"/>
              </w:divBdr>
              <w:divsChild>
                <w:div w:id="2067416468">
                  <w:marLeft w:val="0"/>
                  <w:marRight w:val="0"/>
                  <w:marTop w:val="0"/>
                  <w:marBottom w:val="0"/>
                  <w:divBdr>
                    <w:top w:val="single" w:sz="2" w:space="0" w:color="D9D9E3"/>
                    <w:left w:val="single" w:sz="2" w:space="0" w:color="D9D9E3"/>
                    <w:bottom w:val="single" w:sz="2" w:space="0" w:color="D9D9E3"/>
                    <w:right w:val="single" w:sz="2" w:space="0" w:color="D9D9E3"/>
                  </w:divBdr>
                  <w:divsChild>
                    <w:div w:id="458651599">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 w:id="1244753298">
          <w:marLeft w:val="0"/>
          <w:marRight w:val="0"/>
          <w:marTop w:val="0"/>
          <w:marBottom w:val="0"/>
          <w:divBdr>
            <w:top w:val="single" w:sz="2" w:space="0" w:color="D9D9E3"/>
            <w:left w:val="single" w:sz="2" w:space="0" w:color="D9D9E3"/>
            <w:bottom w:val="single" w:sz="2" w:space="0" w:color="D9D9E3"/>
            <w:right w:val="single" w:sz="2" w:space="0" w:color="D9D9E3"/>
          </w:divBdr>
          <w:divsChild>
            <w:div w:id="216205167">
              <w:marLeft w:val="0"/>
              <w:marRight w:val="0"/>
              <w:marTop w:val="0"/>
              <w:marBottom w:val="0"/>
              <w:divBdr>
                <w:top w:val="single" w:sz="2" w:space="0" w:color="D9D9E3"/>
                <w:left w:val="single" w:sz="2" w:space="0" w:color="D9D9E3"/>
                <w:bottom w:val="single" w:sz="2" w:space="0" w:color="D9D9E3"/>
                <w:right w:val="single" w:sz="2" w:space="0" w:color="D9D9E3"/>
              </w:divBdr>
              <w:divsChild>
                <w:div w:id="1173106852">
                  <w:marLeft w:val="0"/>
                  <w:marRight w:val="0"/>
                  <w:marTop w:val="0"/>
                  <w:marBottom w:val="0"/>
                  <w:divBdr>
                    <w:top w:val="single" w:sz="2" w:space="0" w:color="D9D9E3"/>
                    <w:left w:val="single" w:sz="2" w:space="0" w:color="D9D9E3"/>
                    <w:bottom w:val="single" w:sz="2" w:space="0" w:color="D9D9E3"/>
                    <w:right w:val="single" w:sz="2" w:space="0" w:color="D9D9E3"/>
                  </w:divBdr>
                  <w:divsChild>
                    <w:div w:id="1665666948">
                      <w:marLeft w:val="0"/>
                      <w:marRight w:val="0"/>
                      <w:marTop w:val="0"/>
                      <w:marBottom w:val="0"/>
                      <w:divBdr>
                        <w:top w:val="single" w:sz="2" w:space="0" w:color="D9D9E3"/>
                        <w:left w:val="single" w:sz="2" w:space="0" w:color="D9D9E3"/>
                        <w:bottom w:val="single" w:sz="2" w:space="0" w:color="D9D9E3"/>
                        <w:right w:val="single" w:sz="2" w:space="0" w:color="D9D9E3"/>
                      </w:divBdr>
                      <w:divsChild>
                        <w:div w:id="1345084291">
                          <w:marLeft w:val="0"/>
                          <w:marRight w:val="0"/>
                          <w:marTop w:val="0"/>
                          <w:marBottom w:val="0"/>
                          <w:divBdr>
                            <w:top w:val="single" w:sz="2" w:space="0" w:color="auto"/>
                            <w:left w:val="single" w:sz="2" w:space="0" w:color="auto"/>
                            <w:bottom w:val="single" w:sz="6" w:space="0" w:color="auto"/>
                            <w:right w:val="single" w:sz="2" w:space="0" w:color="auto"/>
                          </w:divBdr>
                          <w:divsChild>
                            <w:div w:id="392701166">
                              <w:marLeft w:val="0"/>
                              <w:marRight w:val="0"/>
                              <w:marTop w:val="100"/>
                              <w:marBottom w:val="100"/>
                              <w:divBdr>
                                <w:top w:val="single" w:sz="2" w:space="0" w:color="D9D9E3"/>
                                <w:left w:val="single" w:sz="2" w:space="0" w:color="D9D9E3"/>
                                <w:bottom w:val="single" w:sz="2" w:space="0" w:color="D9D9E3"/>
                                <w:right w:val="single" w:sz="2" w:space="0" w:color="D9D9E3"/>
                              </w:divBdr>
                              <w:divsChild>
                                <w:div w:id="2126925423">
                                  <w:marLeft w:val="0"/>
                                  <w:marRight w:val="0"/>
                                  <w:marTop w:val="0"/>
                                  <w:marBottom w:val="0"/>
                                  <w:divBdr>
                                    <w:top w:val="single" w:sz="2" w:space="0" w:color="D9D9E3"/>
                                    <w:left w:val="single" w:sz="2" w:space="0" w:color="D9D9E3"/>
                                    <w:bottom w:val="single" w:sz="2" w:space="0" w:color="D9D9E3"/>
                                    <w:right w:val="single" w:sz="2" w:space="0" w:color="D9D9E3"/>
                                  </w:divBdr>
                                  <w:divsChild>
                                    <w:div w:id="510803512">
                                      <w:marLeft w:val="0"/>
                                      <w:marRight w:val="0"/>
                                      <w:marTop w:val="0"/>
                                      <w:marBottom w:val="0"/>
                                      <w:divBdr>
                                        <w:top w:val="single" w:sz="2" w:space="0" w:color="D9D9E3"/>
                                        <w:left w:val="single" w:sz="2" w:space="0" w:color="D9D9E3"/>
                                        <w:bottom w:val="single" w:sz="2" w:space="0" w:color="D9D9E3"/>
                                        <w:right w:val="single" w:sz="2" w:space="0" w:color="D9D9E3"/>
                                      </w:divBdr>
                                      <w:divsChild>
                                        <w:div w:id="1321470394">
                                          <w:marLeft w:val="0"/>
                                          <w:marRight w:val="0"/>
                                          <w:marTop w:val="0"/>
                                          <w:marBottom w:val="0"/>
                                          <w:divBdr>
                                            <w:top w:val="single" w:sz="2" w:space="0" w:color="D9D9E3"/>
                                            <w:left w:val="single" w:sz="2" w:space="0" w:color="D9D9E3"/>
                                            <w:bottom w:val="single" w:sz="2" w:space="0" w:color="D9D9E3"/>
                                            <w:right w:val="single" w:sz="2" w:space="0" w:color="D9D9E3"/>
                                          </w:divBdr>
                                          <w:divsChild>
                                            <w:div w:id="83383581">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 w:id="822038695">
      <w:bodyDiv w:val="1"/>
      <w:marLeft w:val="0"/>
      <w:marRight w:val="0"/>
      <w:marTop w:val="0"/>
      <w:marBottom w:val="0"/>
      <w:divBdr>
        <w:top w:val="none" w:sz="0" w:space="0" w:color="auto"/>
        <w:left w:val="none" w:sz="0" w:space="0" w:color="auto"/>
        <w:bottom w:val="none" w:sz="0" w:space="0" w:color="auto"/>
        <w:right w:val="none" w:sz="0" w:space="0" w:color="auto"/>
      </w:divBdr>
    </w:div>
    <w:div w:id="853694438">
      <w:bodyDiv w:val="1"/>
      <w:marLeft w:val="0"/>
      <w:marRight w:val="0"/>
      <w:marTop w:val="0"/>
      <w:marBottom w:val="0"/>
      <w:divBdr>
        <w:top w:val="none" w:sz="0" w:space="0" w:color="auto"/>
        <w:left w:val="none" w:sz="0" w:space="0" w:color="auto"/>
        <w:bottom w:val="none" w:sz="0" w:space="0" w:color="auto"/>
        <w:right w:val="none" w:sz="0" w:space="0" w:color="auto"/>
      </w:divBdr>
      <w:divsChild>
        <w:div w:id="72121685">
          <w:marLeft w:val="1267"/>
          <w:marRight w:val="115"/>
          <w:marTop w:val="120"/>
          <w:marBottom w:val="120"/>
          <w:divBdr>
            <w:top w:val="none" w:sz="0" w:space="0" w:color="auto"/>
            <w:left w:val="none" w:sz="0" w:space="0" w:color="auto"/>
            <w:bottom w:val="none" w:sz="0" w:space="0" w:color="auto"/>
            <w:right w:val="none" w:sz="0" w:space="0" w:color="auto"/>
          </w:divBdr>
        </w:div>
        <w:div w:id="323171652">
          <w:marLeft w:val="1267"/>
          <w:marRight w:val="115"/>
          <w:marTop w:val="120"/>
          <w:marBottom w:val="120"/>
          <w:divBdr>
            <w:top w:val="none" w:sz="0" w:space="0" w:color="auto"/>
            <w:left w:val="none" w:sz="0" w:space="0" w:color="auto"/>
            <w:bottom w:val="none" w:sz="0" w:space="0" w:color="auto"/>
            <w:right w:val="none" w:sz="0" w:space="0" w:color="auto"/>
          </w:divBdr>
        </w:div>
        <w:div w:id="696545804">
          <w:marLeft w:val="547"/>
          <w:marRight w:val="115"/>
          <w:marTop w:val="120"/>
          <w:marBottom w:val="120"/>
          <w:divBdr>
            <w:top w:val="none" w:sz="0" w:space="0" w:color="auto"/>
            <w:left w:val="none" w:sz="0" w:space="0" w:color="auto"/>
            <w:bottom w:val="none" w:sz="0" w:space="0" w:color="auto"/>
            <w:right w:val="none" w:sz="0" w:space="0" w:color="auto"/>
          </w:divBdr>
        </w:div>
        <w:div w:id="982851798">
          <w:marLeft w:val="1267"/>
          <w:marRight w:val="115"/>
          <w:marTop w:val="120"/>
          <w:marBottom w:val="120"/>
          <w:divBdr>
            <w:top w:val="none" w:sz="0" w:space="0" w:color="auto"/>
            <w:left w:val="none" w:sz="0" w:space="0" w:color="auto"/>
            <w:bottom w:val="none" w:sz="0" w:space="0" w:color="auto"/>
            <w:right w:val="none" w:sz="0" w:space="0" w:color="auto"/>
          </w:divBdr>
        </w:div>
      </w:divsChild>
    </w:div>
    <w:div w:id="877397731">
      <w:bodyDiv w:val="1"/>
      <w:marLeft w:val="0"/>
      <w:marRight w:val="0"/>
      <w:marTop w:val="0"/>
      <w:marBottom w:val="0"/>
      <w:divBdr>
        <w:top w:val="none" w:sz="0" w:space="0" w:color="auto"/>
        <w:left w:val="none" w:sz="0" w:space="0" w:color="auto"/>
        <w:bottom w:val="none" w:sz="0" w:space="0" w:color="auto"/>
        <w:right w:val="none" w:sz="0" w:space="0" w:color="auto"/>
      </w:divBdr>
      <w:divsChild>
        <w:div w:id="688599789">
          <w:marLeft w:val="0"/>
          <w:marRight w:val="0"/>
          <w:marTop w:val="0"/>
          <w:marBottom w:val="0"/>
          <w:divBdr>
            <w:top w:val="none" w:sz="0" w:space="0" w:color="auto"/>
            <w:left w:val="none" w:sz="0" w:space="0" w:color="auto"/>
            <w:bottom w:val="none" w:sz="0" w:space="0" w:color="auto"/>
            <w:right w:val="none" w:sz="0" w:space="0" w:color="auto"/>
          </w:divBdr>
          <w:divsChild>
            <w:div w:id="953361875">
              <w:marLeft w:val="0"/>
              <w:marRight w:val="0"/>
              <w:marTop w:val="0"/>
              <w:marBottom w:val="0"/>
              <w:divBdr>
                <w:top w:val="none" w:sz="0" w:space="0" w:color="auto"/>
                <w:left w:val="none" w:sz="0" w:space="0" w:color="auto"/>
                <w:bottom w:val="none" w:sz="0" w:space="0" w:color="auto"/>
                <w:right w:val="none" w:sz="0" w:space="0" w:color="auto"/>
              </w:divBdr>
              <w:divsChild>
                <w:div w:id="1575317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2328733">
      <w:bodyDiv w:val="1"/>
      <w:marLeft w:val="0"/>
      <w:marRight w:val="0"/>
      <w:marTop w:val="0"/>
      <w:marBottom w:val="0"/>
      <w:divBdr>
        <w:top w:val="none" w:sz="0" w:space="0" w:color="auto"/>
        <w:left w:val="none" w:sz="0" w:space="0" w:color="auto"/>
        <w:bottom w:val="none" w:sz="0" w:space="0" w:color="auto"/>
        <w:right w:val="none" w:sz="0" w:space="0" w:color="auto"/>
      </w:divBdr>
      <w:divsChild>
        <w:div w:id="111630587">
          <w:marLeft w:val="0"/>
          <w:marRight w:val="0"/>
          <w:marTop w:val="0"/>
          <w:marBottom w:val="0"/>
          <w:divBdr>
            <w:top w:val="none" w:sz="0" w:space="0" w:color="auto"/>
            <w:left w:val="none" w:sz="0" w:space="0" w:color="auto"/>
            <w:bottom w:val="none" w:sz="0" w:space="0" w:color="auto"/>
            <w:right w:val="none" w:sz="0" w:space="0" w:color="auto"/>
          </w:divBdr>
          <w:divsChild>
            <w:div w:id="428087788">
              <w:marLeft w:val="0"/>
              <w:marRight w:val="0"/>
              <w:marTop w:val="0"/>
              <w:marBottom w:val="0"/>
              <w:divBdr>
                <w:top w:val="none" w:sz="0" w:space="0" w:color="auto"/>
                <w:left w:val="none" w:sz="0" w:space="0" w:color="auto"/>
                <w:bottom w:val="none" w:sz="0" w:space="0" w:color="auto"/>
                <w:right w:val="none" w:sz="0" w:space="0" w:color="auto"/>
              </w:divBdr>
              <w:divsChild>
                <w:div w:id="1053232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2543706">
      <w:bodyDiv w:val="1"/>
      <w:marLeft w:val="0"/>
      <w:marRight w:val="0"/>
      <w:marTop w:val="0"/>
      <w:marBottom w:val="0"/>
      <w:divBdr>
        <w:top w:val="none" w:sz="0" w:space="0" w:color="auto"/>
        <w:left w:val="none" w:sz="0" w:space="0" w:color="auto"/>
        <w:bottom w:val="none" w:sz="0" w:space="0" w:color="auto"/>
        <w:right w:val="none" w:sz="0" w:space="0" w:color="auto"/>
      </w:divBdr>
      <w:divsChild>
        <w:div w:id="1481775477">
          <w:marLeft w:val="0"/>
          <w:marRight w:val="0"/>
          <w:marTop w:val="0"/>
          <w:marBottom w:val="0"/>
          <w:divBdr>
            <w:top w:val="none" w:sz="0" w:space="0" w:color="auto"/>
            <w:left w:val="none" w:sz="0" w:space="0" w:color="auto"/>
            <w:bottom w:val="none" w:sz="0" w:space="0" w:color="auto"/>
            <w:right w:val="none" w:sz="0" w:space="0" w:color="auto"/>
          </w:divBdr>
          <w:divsChild>
            <w:div w:id="1940142920">
              <w:marLeft w:val="0"/>
              <w:marRight w:val="0"/>
              <w:marTop w:val="0"/>
              <w:marBottom w:val="0"/>
              <w:divBdr>
                <w:top w:val="none" w:sz="0" w:space="0" w:color="auto"/>
                <w:left w:val="none" w:sz="0" w:space="0" w:color="auto"/>
                <w:bottom w:val="none" w:sz="0" w:space="0" w:color="auto"/>
                <w:right w:val="none" w:sz="0" w:space="0" w:color="auto"/>
              </w:divBdr>
              <w:divsChild>
                <w:div w:id="1014767808">
                  <w:marLeft w:val="0"/>
                  <w:marRight w:val="0"/>
                  <w:marTop w:val="0"/>
                  <w:marBottom w:val="0"/>
                  <w:divBdr>
                    <w:top w:val="none" w:sz="0" w:space="0" w:color="auto"/>
                    <w:left w:val="none" w:sz="0" w:space="0" w:color="auto"/>
                    <w:bottom w:val="none" w:sz="0" w:space="0" w:color="auto"/>
                    <w:right w:val="none" w:sz="0" w:space="0" w:color="auto"/>
                  </w:divBdr>
                  <w:divsChild>
                    <w:div w:id="8766978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19368920">
      <w:bodyDiv w:val="1"/>
      <w:marLeft w:val="0"/>
      <w:marRight w:val="0"/>
      <w:marTop w:val="0"/>
      <w:marBottom w:val="0"/>
      <w:divBdr>
        <w:top w:val="none" w:sz="0" w:space="0" w:color="auto"/>
        <w:left w:val="none" w:sz="0" w:space="0" w:color="auto"/>
        <w:bottom w:val="none" w:sz="0" w:space="0" w:color="auto"/>
        <w:right w:val="none" w:sz="0" w:space="0" w:color="auto"/>
      </w:divBdr>
    </w:div>
    <w:div w:id="925844025">
      <w:bodyDiv w:val="1"/>
      <w:marLeft w:val="0"/>
      <w:marRight w:val="0"/>
      <w:marTop w:val="0"/>
      <w:marBottom w:val="0"/>
      <w:divBdr>
        <w:top w:val="none" w:sz="0" w:space="0" w:color="auto"/>
        <w:left w:val="none" w:sz="0" w:space="0" w:color="auto"/>
        <w:bottom w:val="none" w:sz="0" w:space="0" w:color="auto"/>
        <w:right w:val="none" w:sz="0" w:space="0" w:color="auto"/>
      </w:divBdr>
      <w:divsChild>
        <w:div w:id="1758206132">
          <w:marLeft w:val="0"/>
          <w:marRight w:val="0"/>
          <w:marTop w:val="0"/>
          <w:marBottom w:val="0"/>
          <w:divBdr>
            <w:top w:val="none" w:sz="0" w:space="0" w:color="auto"/>
            <w:left w:val="none" w:sz="0" w:space="0" w:color="auto"/>
            <w:bottom w:val="none" w:sz="0" w:space="0" w:color="auto"/>
            <w:right w:val="none" w:sz="0" w:space="0" w:color="auto"/>
          </w:divBdr>
          <w:divsChild>
            <w:div w:id="1910771245">
              <w:marLeft w:val="0"/>
              <w:marRight w:val="0"/>
              <w:marTop w:val="0"/>
              <w:marBottom w:val="0"/>
              <w:divBdr>
                <w:top w:val="none" w:sz="0" w:space="0" w:color="auto"/>
                <w:left w:val="none" w:sz="0" w:space="0" w:color="auto"/>
                <w:bottom w:val="none" w:sz="0" w:space="0" w:color="auto"/>
                <w:right w:val="none" w:sz="0" w:space="0" w:color="auto"/>
              </w:divBdr>
              <w:divsChild>
                <w:div w:id="15015073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1133926">
      <w:bodyDiv w:val="1"/>
      <w:marLeft w:val="0"/>
      <w:marRight w:val="0"/>
      <w:marTop w:val="0"/>
      <w:marBottom w:val="0"/>
      <w:divBdr>
        <w:top w:val="none" w:sz="0" w:space="0" w:color="auto"/>
        <w:left w:val="none" w:sz="0" w:space="0" w:color="auto"/>
        <w:bottom w:val="none" w:sz="0" w:space="0" w:color="auto"/>
        <w:right w:val="none" w:sz="0" w:space="0" w:color="auto"/>
      </w:divBdr>
      <w:divsChild>
        <w:div w:id="1588735494">
          <w:marLeft w:val="0"/>
          <w:marRight w:val="0"/>
          <w:marTop w:val="0"/>
          <w:marBottom w:val="0"/>
          <w:divBdr>
            <w:top w:val="single" w:sz="2" w:space="0" w:color="D9D9E3"/>
            <w:left w:val="single" w:sz="2" w:space="0" w:color="D9D9E3"/>
            <w:bottom w:val="single" w:sz="2" w:space="0" w:color="D9D9E3"/>
            <w:right w:val="single" w:sz="2" w:space="0" w:color="D9D9E3"/>
          </w:divBdr>
          <w:divsChild>
            <w:div w:id="1000088114">
              <w:marLeft w:val="0"/>
              <w:marRight w:val="0"/>
              <w:marTop w:val="0"/>
              <w:marBottom w:val="0"/>
              <w:divBdr>
                <w:top w:val="single" w:sz="2" w:space="0" w:color="D9D9E3"/>
                <w:left w:val="single" w:sz="2" w:space="0" w:color="D9D9E3"/>
                <w:bottom w:val="single" w:sz="2" w:space="0" w:color="D9D9E3"/>
                <w:right w:val="single" w:sz="2" w:space="0" w:color="D9D9E3"/>
              </w:divBdr>
              <w:divsChild>
                <w:div w:id="1722633283">
                  <w:marLeft w:val="0"/>
                  <w:marRight w:val="0"/>
                  <w:marTop w:val="0"/>
                  <w:marBottom w:val="0"/>
                  <w:divBdr>
                    <w:top w:val="single" w:sz="2" w:space="0" w:color="D9D9E3"/>
                    <w:left w:val="single" w:sz="2" w:space="0" w:color="D9D9E3"/>
                    <w:bottom w:val="single" w:sz="2" w:space="0" w:color="D9D9E3"/>
                    <w:right w:val="single" w:sz="2" w:space="0" w:color="D9D9E3"/>
                  </w:divBdr>
                  <w:divsChild>
                    <w:div w:id="114905193">
                      <w:marLeft w:val="0"/>
                      <w:marRight w:val="0"/>
                      <w:marTop w:val="0"/>
                      <w:marBottom w:val="0"/>
                      <w:divBdr>
                        <w:top w:val="single" w:sz="2" w:space="0" w:color="D9D9E3"/>
                        <w:left w:val="single" w:sz="2" w:space="0" w:color="D9D9E3"/>
                        <w:bottom w:val="single" w:sz="2" w:space="0" w:color="D9D9E3"/>
                        <w:right w:val="single" w:sz="2" w:space="0" w:color="D9D9E3"/>
                      </w:divBdr>
                      <w:divsChild>
                        <w:div w:id="1543398337">
                          <w:marLeft w:val="0"/>
                          <w:marRight w:val="0"/>
                          <w:marTop w:val="0"/>
                          <w:marBottom w:val="0"/>
                          <w:divBdr>
                            <w:top w:val="single" w:sz="2" w:space="0" w:color="auto"/>
                            <w:left w:val="single" w:sz="2" w:space="0" w:color="auto"/>
                            <w:bottom w:val="single" w:sz="6" w:space="0" w:color="auto"/>
                            <w:right w:val="single" w:sz="2" w:space="0" w:color="auto"/>
                          </w:divBdr>
                          <w:divsChild>
                            <w:div w:id="697701606">
                              <w:marLeft w:val="0"/>
                              <w:marRight w:val="0"/>
                              <w:marTop w:val="100"/>
                              <w:marBottom w:val="100"/>
                              <w:divBdr>
                                <w:top w:val="single" w:sz="2" w:space="0" w:color="D9D9E3"/>
                                <w:left w:val="single" w:sz="2" w:space="0" w:color="D9D9E3"/>
                                <w:bottom w:val="single" w:sz="2" w:space="0" w:color="D9D9E3"/>
                                <w:right w:val="single" w:sz="2" w:space="0" w:color="D9D9E3"/>
                              </w:divBdr>
                              <w:divsChild>
                                <w:div w:id="1699357703">
                                  <w:marLeft w:val="0"/>
                                  <w:marRight w:val="0"/>
                                  <w:marTop w:val="0"/>
                                  <w:marBottom w:val="0"/>
                                  <w:divBdr>
                                    <w:top w:val="single" w:sz="2" w:space="0" w:color="D9D9E3"/>
                                    <w:left w:val="single" w:sz="2" w:space="0" w:color="D9D9E3"/>
                                    <w:bottom w:val="single" w:sz="2" w:space="0" w:color="D9D9E3"/>
                                    <w:right w:val="single" w:sz="2" w:space="0" w:color="D9D9E3"/>
                                  </w:divBdr>
                                  <w:divsChild>
                                    <w:div w:id="483859951">
                                      <w:marLeft w:val="0"/>
                                      <w:marRight w:val="0"/>
                                      <w:marTop w:val="0"/>
                                      <w:marBottom w:val="0"/>
                                      <w:divBdr>
                                        <w:top w:val="single" w:sz="2" w:space="0" w:color="D9D9E3"/>
                                        <w:left w:val="single" w:sz="2" w:space="0" w:color="D9D9E3"/>
                                        <w:bottom w:val="single" w:sz="2" w:space="0" w:color="D9D9E3"/>
                                        <w:right w:val="single" w:sz="2" w:space="0" w:color="D9D9E3"/>
                                      </w:divBdr>
                                      <w:divsChild>
                                        <w:div w:id="658994652">
                                          <w:marLeft w:val="0"/>
                                          <w:marRight w:val="0"/>
                                          <w:marTop w:val="0"/>
                                          <w:marBottom w:val="0"/>
                                          <w:divBdr>
                                            <w:top w:val="single" w:sz="2" w:space="0" w:color="D9D9E3"/>
                                            <w:left w:val="single" w:sz="2" w:space="0" w:color="D9D9E3"/>
                                            <w:bottom w:val="single" w:sz="2" w:space="0" w:color="D9D9E3"/>
                                            <w:right w:val="single" w:sz="2" w:space="0" w:color="D9D9E3"/>
                                          </w:divBdr>
                                          <w:divsChild>
                                            <w:div w:id="727386110">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 w:id="1706904316">
          <w:marLeft w:val="0"/>
          <w:marRight w:val="0"/>
          <w:marTop w:val="0"/>
          <w:marBottom w:val="0"/>
          <w:divBdr>
            <w:top w:val="none" w:sz="0" w:space="0" w:color="auto"/>
            <w:left w:val="none" w:sz="0" w:space="0" w:color="auto"/>
            <w:bottom w:val="none" w:sz="0" w:space="0" w:color="auto"/>
            <w:right w:val="none" w:sz="0" w:space="0" w:color="auto"/>
          </w:divBdr>
          <w:divsChild>
            <w:div w:id="73089908">
              <w:marLeft w:val="0"/>
              <w:marRight w:val="0"/>
              <w:marTop w:val="0"/>
              <w:marBottom w:val="0"/>
              <w:divBdr>
                <w:top w:val="single" w:sz="2" w:space="0" w:color="D9D9E3"/>
                <w:left w:val="single" w:sz="2" w:space="0" w:color="D9D9E3"/>
                <w:bottom w:val="single" w:sz="2" w:space="0" w:color="D9D9E3"/>
                <w:right w:val="single" w:sz="2" w:space="0" w:color="D9D9E3"/>
              </w:divBdr>
              <w:divsChild>
                <w:div w:id="756093573">
                  <w:marLeft w:val="0"/>
                  <w:marRight w:val="0"/>
                  <w:marTop w:val="0"/>
                  <w:marBottom w:val="0"/>
                  <w:divBdr>
                    <w:top w:val="single" w:sz="2" w:space="0" w:color="D9D9E3"/>
                    <w:left w:val="single" w:sz="2" w:space="0" w:color="D9D9E3"/>
                    <w:bottom w:val="single" w:sz="2" w:space="0" w:color="D9D9E3"/>
                    <w:right w:val="single" w:sz="2" w:space="0" w:color="D9D9E3"/>
                  </w:divBdr>
                  <w:divsChild>
                    <w:div w:id="108933371">
                      <w:marLeft w:val="0"/>
                      <w:marRight w:val="0"/>
                      <w:marTop w:val="0"/>
                      <w:marBottom w:val="0"/>
                      <w:divBdr>
                        <w:top w:val="single" w:sz="2" w:space="0" w:color="D9D9E3"/>
                        <w:left w:val="single" w:sz="2" w:space="0" w:color="D9D9E3"/>
                        <w:bottom w:val="single" w:sz="2" w:space="0" w:color="D9D9E3"/>
                        <w:right w:val="single" w:sz="2" w:space="0" w:color="D9D9E3"/>
                      </w:divBdr>
                      <w:divsChild>
                        <w:div w:id="925268464">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 w:id="994794997">
      <w:bodyDiv w:val="1"/>
      <w:marLeft w:val="0"/>
      <w:marRight w:val="0"/>
      <w:marTop w:val="0"/>
      <w:marBottom w:val="0"/>
      <w:divBdr>
        <w:top w:val="none" w:sz="0" w:space="0" w:color="auto"/>
        <w:left w:val="none" w:sz="0" w:space="0" w:color="auto"/>
        <w:bottom w:val="none" w:sz="0" w:space="0" w:color="auto"/>
        <w:right w:val="none" w:sz="0" w:space="0" w:color="auto"/>
      </w:divBdr>
    </w:div>
    <w:div w:id="1016076529">
      <w:bodyDiv w:val="1"/>
      <w:marLeft w:val="0"/>
      <w:marRight w:val="0"/>
      <w:marTop w:val="0"/>
      <w:marBottom w:val="0"/>
      <w:divBdr>
        <w:top w:val="none" w:sz="0" w:space="0" w:color="auto"/>
        <w:left w:val="none" w:sz="0" w:space="0" w:color="auto"/>
        <w:bottom w:val="none" w:sz="0" w:space="0" w:color="auto"/>
        <w:right w:val="none" w:sz="0" w:space="0" w:color="auto"/>
      </w:divBdr>
      <w:divsChild>
        <w:div w:id="2112771833">
          <w:marLeft w:val="0"/>
          <w:marRight w:val="0"/>
          <w:marTop w:val="0"/>
          <w:marBottom w:val="0"/>
          <w:divBdr>
            <w:top w:val="none" w:sz="0" w:space="0" w:color="auto"/>
            <w:left w:val="none" w:sz="0" w:space="0" w:color="auto"/>
            <w:bottom w:val="none" w:sz="0" w:space="0" w:color="auto"/>
            <w:right w:val="none" w:sz="0" w:space="0" w:color="auto"/>
          </w:divBdr>
          <w:divsChild>
            <w:div w:id="1694648785">
              <w:marLeft w:val="0"/>
              <w:marRight w:val="0"/>
              <w:marTop w:val="0"/>
              <w:marBottom w:val="0"/>
              <w:divBdr>
                <w:top w:val="none" w:sz="0" w:space="0" w:color="auto"/>
                <w:left w:val="none" w:sz="0" w:space="0" w:color="auto"/>
                <w:bottom w:val="none" w:sz="0" w:space="0" w:color="auto"/>
                <w:right w:val="none" w:sz="0" w:space="0" w:color="auto"/>
              </w:divBdr>
              <w:divsChild>
                <w:div w:id="2114474629">
                  <w:marLeft w:val="0"/>
                  <w:marRight w:val="0"/>
                  <w:marTop w:val="0"/>
                  <w:marBottom w:val="0"/>
                  <w:divBdr>
                    <w:top w:val="none" w:sz="0" w:space="0" w:color="auto"/>
                    <w:left w:val="none" w:sz="0" w:space="0" w:color="auto"/>
                    <w:bottom w:val="none" w:sz="0" w:space="0" w:color="auto"/>
                    <w:right w:val="none" w:sz="0" w:space="0" w:color="auto"/>
                  </w:divBdr>
                  <w:divsChild>
                    <w:div w:id="15391215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39359016">
      <w:bodyDiv w:val="1"/>
      <w:marLeft w:val="0"/>
      <w:marRight w:val="0"/>
      <w:marTop w:val="0"/>
      <w:marBottom w:val="0"/>
      <w:divBdr>
        <w:top w:val="none" w:sz="0" w:space="0" w:color="auto"/>
        <w:left w:val="none" w:sz="0" w:space="0" w:color="auto"/>
        <w:bottom w:val="none" w:sz="0" w:space="0" w:color="auto"/>
        <w:right w:val="none" w:sz="0" w:space="0" w:color="auto"/>
      </w:divBdr>
    </w:div>
    <w:div w:id="1057824732">
      <w:bodyDiv w:val="1"/>
      <w:marLeft w:val="0"/>
      <w:marRight w:val="0"/>
      <w:marTop w:val="0"/>
      <w:marBottom w:val="0"/>
      <w:divBdr>
        <w:top w:val="none" w:sz="0" w:space="0" w:color="auto"/>
        <w:left w:val="none" w:sz="0" w:space="0" w:color="auto"/>
        <w:bottom w:val="none" w:sz="0" w:space="0" w:color="auto"/>
        <w:right w:val="none" w:sz="0" w:space="0" w:color="auto"/>
      </w:divBdr>
      <w:divsChild>
        <w:div w:id="1033071935">
          <w:marLeft w:val="1267"/>
          <w:marRight w:val="115"/>
          <w:marTop w:val="120"/>
          <w:marBottom w:val="120"/>
          <w:divBdr>
            <w:top w:val="none" w:sz="0" w:space="0" w:color="auto"/>
            <w:left w:val="none" w:sz="0" w:space="0" w:color="auto"/>
            <w:bottom w:val="none" w:sz="0" w:space="0" w:color="auto"/>
            <w:right w:val="none" w:sz="0" w:space="0" w:color="auto"/>
          </w:divBdr>
        </w:div>
      </w:divsChild>
    </w:div>
    <w:div w:id="1103262045">
      <w:bodyDiv w:val="1"/>
      <w:marLeft w:val="0"/>
      <w:marRight w:val="0"/>
      <w:marTop w:val="0"/>
      <w:marBottom w:val="0"/>
      <w:divBdr>
        <w:top w:val="none" w:sz="0" w:space="0" w:color="auto"/>
        <w:left w:val="none" w:sz="0" w:space="0" w:color="auto"/>
        <w:bottom w:val="none" w:sz="0" w:space="0" w:color="auto"/>
        <w:right w:val="none" w:sz="0" w:space="0" w:color="auto"/>
      </w:divBdr>
      <w:divsChild>
        <w:div w:id="929193685">
          <w:marLeft w:val="0"/>
          <w:marRight w:val="0"/>
          <w:marTop w:val="0"/>
          <w:marBottom w:val="0"/>
          <w:divBdr>
            <w:top w:val="none" w:sz="0" w:space="0" w:color="auto"/>
            <w:left w:val="none" w:sz="0" w:space="0" w:color="auto"/>
            <w:bottom w:val="none" w:sz="0" w:space="0" w:color="auto"/>
            <w:right w:val="none" w:sz="0" w:space="0" w:color="auto"/>
          </w:divBdr>
          <w:divsChild>
            <w:div w:id="1521431794">
              <w:marLeft w:val="0"/>
              <w:marRight w:val="0"/>
              <w:marTop w:val="0"/>
              <w:marBottom w:val="0"/>
              <w:divBdr>
                <w:top w:val="none" w:sz="0" w:space="0" w:color="auto"/>
                <w:left w:val="none" w:sz="0" w:space="0" w:color="auto"/>
                <w:bottom w:val="none" w:sz="0" w:space="0" w:color="auto"/>
                <w:right w:val="none" w:sz="0" w:space="0" w:color="auto"/>
              </w:divBdr>
              <w:divsChild>
                <w:div w:id="5466466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7038818">
      <w:bodyDiv w:val="1"/>
      <w:marLeft w:val="0"/>
      <w:marRight w:val="0"/>
      <w:marTop w:val="0"/>
      <w:marBottom w:val="0"/>
      <w:divBdr>
        <w:top w:val="none" w:sz="0" w:space="0" w:color="auto"/>
        <w:left w:val="none" w:sz="0" w:space="0" w:color="auto"/>
        <w:bottom w:val="none" w:sz="0" w:space="0" w:color="auto"/>
        <w:right w:val="none" w:sz="0" w:space="0" w:color="auto"/>
      </w:divBdr>
      <w:divsChild>
        <w:div w:id="1696924527">
          <w:marLeft w:val="1886"/>
          <w:marRight w:val="0"/>
          <w:marTop w:val="100"/>
          <w:marBottom w:val="0"/>
          <w:divBdr>
            <w:top w:val="none" w:sz="0" w:space="0" w:color="auto"/>
            <w:left w:val="none" w:sz="0" w:space="0" w:color="auto"/>
            <w:bottom w:val="none" w:sz="0" w:space="0" w:color="auto"/>
            <w:right w:val="none" w:sz="0" w:space="0" w:color="auto"/>
          </w:divBdr>
        </w:div>
        <w:div w:id="1914925745">
          <w:marLeft w:val="1886"/>
          <w:marRight w:val="0"/>
          <w:marTop w:val="100"/>
          <w:marBottom w:val="0"/>
          <w:divBdr>
            <w:top w:val="none" w:sz="0" w:space="0" w:color="auto"/>
            <w:left w:val="none" w:sz="0" w:space="0" w:color="auto"/>
            <w:bottom w:val="none" w:sz="0" w:space="0" w:color="auto"/>
            <w:right w:val="none" w:sz="0" w:space="0" w:color="auto"/>
          </w:divBdr>
        </w:div>
      </w:divsChild>
    </w:div>
    <w:div w:id="1124692153">
      <w:bodyDiv w:val="1"/>
      <w:marLeft w:val="0"/>
      <w:marRight w:val="0"/>
      <w:marTop w:val="0"/>
      <w:marBottom w:val="0"/>
      <w:divBdr>
        <w:top w:val="none" w:sz="0" w:space="0" w:color="auto"/>
        <w:left w:val="none" w:sz="0" w:space="0" w:color="auto"/>
        <w:bottom w:val="none" w:sz="0" w:space="0" w:color="auto"/>
        <w:right w:val="none" w:sz="0" w:space="0" w:color="auto"/>
      </w:divBdr>
    </w:div>
    <w:div w:id="1133131661">
      <w:bodyDiv w:val="1"/>
      <w:marLeft w:val="0"/>
      <w:marRight w:val="0"/>
      <w:marTop w:val="0"/>
      <w:marBottom w:val="0"/>
      <w:divBdr>
        <w:top w:val="none" w:sz="0" w:space="0" w:color="auto"/>
        <w:left w:val="none" w:sz="0" w:space="0" w:color="auto"/>
        <w:bottom w:val="none" w:sz="0" w:space="0" w:color="auto"/>
        <w:right w:val="none" w:sz="0" w:space="0" w:color="auto"/>
      </w:divBdr>
    </w:div>
    <w:div w:id="1146624035">
      <w:bodyDiv w:val="1"/>
      <w:marLeft w:val="0"/>
      <w:marRight w:val="0"/>
      <w:marTop w:val="0"/>
      <w:marBottom w:val="0"/>
      <w:divBdr>
        <w:top w:val="none" w:sz="0" w:space="0" w:color="auto"/>
        <w:left w:val="none" w:sz="0" w:space="0" w:color="auto"/>
        <w:bottom w:val="none" w:sz="0" w:space="0" w:color="auto"/>
        <w:right w:val="none" w:sz="0" w:space="0" w:color="auto"/>
      </w:divBdr>
      <w:divsChild>
        <w:div w:id="463619799">
          <w:marLeft w:val="0"/>
          <w:marRight w:val="0"/>
          <w:marTop w:val="0"/>
          <w:marBottom w:val="0"/>
          <w:divBdr>
            <w:top w:val="none" w:sz="0" w:space="0" w:color="auto"/>
            <w:left w:val="none" w:sz="0" w:space="0" w:color="auto"/>
            <w:bottom w:val="none" w:sz="0" w:space="0" w:color="auto"/>
            <w:right w:val="none" w:sz="0" w:space="0" w:color="auto"/>
          </w:divBdr>
          <w:divsChild>
            <w:div w:id="1725568653">
              <w:marLeft w:val="0"/>
              <w:marRight w:val="0"/>
              <w:marTop w:val="0"/>
              <w:marBottom w:val="0"/>
              <w:divBdr>
                <w:top w:val="none" w:sz="0" w:space="0" w:color="auto"/>
                <w:left w:val="none" w:sz="0" w:space="0" w:color="auto"/>
                <w:bottom w:val="none" w:sz="0" w:space="0" w:color="auto"/>
                <w:right w:val="none" w:sz="0" w:space="0" w:color="auto"/>
              </w:divBdr>
              <w:divsChild>
                <w:div w:id="47917769">
                  <w:marLeft w:val="0"/>
                  <w:marRight w:val="0"/>
                  <w:marTop w:val="0"/>
                  <w:marBottom w:val="0"/>
                  <w:divBdr>
                    <w:top w:val="none" w:sz="0" w:space="0" w:color="auto"/>
                    <w:left w:val="none" w:sz="0" w:space="0" w:color="auto"/>
                    <w:bottom w:val="none" w:sz="0" w:space="0" w:color="auto"/>
                    <w:right w:val="none" w:sz="0" w:space="0" w:color="auto"/>
                  </w:divBdr>
                  <w:divsChild>
                    <w:div w:id="1521416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54494341">
      <w:bodyDiv w:val="1"/>
      <w:marLeft w:val="0"/>
      <w:marRight w:val="0"/>
      <w:marTop w:val="0"/>
      <w:marBottom w:val="0"/>
      <w:divBdr>
        <w:top w:val="none" w:sz="0" w:space="0" w:color="auto"/>
        <w:left w:val="none" w:sz="0" w:space="0" w:color="auto"/>
        <w:bottom w:val="none" w:sz="0" w:space="0" w:color="auto"/>
        <w:right w:val="none" w:sz="0" w:space="0" w:color="auto"/>
      </w:divBdr>
    </w:div>
    <w:div w:id="1161315979">
      <w:bodyDiv w:val="1"/>
      <w:marLeft w:val="0"/>
      <w:marRight w:val="0"/>
      <w:marTop w:val="0"/>
      <w:marBottom w:val="0"/>
      <w:divBdr>
        <w:top w:val="none" w:sz="0" w:space="0" w:color="auto"/>
        <w:left w:val="none" w:sz="0" w:space="0" w:color="auto"/>
        <w:bottom w:val="none" w:sz="0" w:space="0" w:color="auto"/>
        <w:right w:val="none" w:sz="0" w:space="0" w:color="auto"/>
      </w:divBdr>
    </w:div>
    <w:div w:id="1186947458">
      <w:bodyDiv w:val="1"/>
      <w:marLeft w:val="0"/>
      <w:marRight w:val="0"/>
      <w:marTop w:val="0"/>
      <w:marBottom w:val="0"/>
      <w:divBdr>
        <w:top w:val="none" w:sz="0" w:space="0" w:color="auto"/>
        <w:left w:val="none" w:sz="0" w:space="0" w:color="auto"/>
        <w:bottom w:val="none" w:sz="0" w:space="0" w:color="auto"/>
        <w:right w:val="none" w:sz="0" w:space="0" w:color="auto"/>
      </w:divBdr>
    </w:div>
    <w:div w:id="1195770627">
      <w:bodyDiv w:val="1"/>
      <w:marLeft w:val="0"/>
      <w:marRight w:val="0"/>
      <w:marTop w:val="0"/>
      <w:marBottom w:val="0"/>
      <w:divBdr>
        <w:top w:val="none" w:sz="0" w:space="0" w:color="auto"/>
        <w:left w:val="none" w:sz="0" w:space="0" w:color="auto"/>
        <w:bottom w:val="none" w:sz="0" w:space="0" w:color="auto"/>
        <w:right w:val="none" w:sz="0" w:space="0" w:color="auto"/>
      </w:divBdr>
    </w:div>
    <w:div w:id="1201430587">
      <w:bodyDiv w:val="1"/>
      <w:marLeft w:val="0"/>
      <w:marRight w:val="0"/>
      <w:marTop w:val="0"/>
      <w:marBottom w:val="0"/>
      <w:divBdr>
        <w:top w:val="none" w:sz="0" w:space="0" w:color="auto"/>
        <w:left w:val="none" w:sz="0" w:space="0" w:color="auto"/>
        <w:bottom w:val="none" w:sz="0" w:space="0" w:color="auto"/>
        <w:right w:val="none" w:sz="0" w:space="0" w:color="auto"/>
      </w:divBdr>
    </w:div>
    <w:div w:id="1232620714">
      <w:bodyDiv w:val="1"/>
      <w:marLeft w:val="0"/>
      <w:marRight w:val="0"/>
      <w:marTop w:val="0"/>
      <w:marBottom w:val="0"/>
      <w:divBdr>
        <w:top w:val="none" w:sz="0" w:space="0" w:color="auto"/>
        <w:left w:val="none" w:sz="0" w:space="0" w:color="auto"/>
        <w:bottom w:val="none" w:sz="0" w:space="0" w:color="auto"/>
        <w:right w:val="none" w:sz="0" w:space="0" w:color="auto"/>
      </w:divBdr>
      <w:divsChild>
        <w:div w:id="1110978028">
          <w:marLeft w:val="0"/>
          <w:marRight w:val="0"/>
          <w:marTop w:val="0"/>
          <w:marBottom w:val="0"/>
          <w:divBdr>
            <w:top w:val="none" w:sz="0" w:space="0" w:color="auto"/>
            <w:left w:val="none" w:sz="0" w:space="0" w:color="auto"/>
            <w:bottom w:val="none" w:sz="0" w:space="0" w:color="auto"/>
            <w:right w:val="none" w:sz="0" w:space="0" w:color="auto"/>
          </w:divBdr>
          <w:divsChild>
            <w:div w:id="733771696">
              <w:marLeft w:val="0"/>
              <w:marRight w:val="0"/>
              <w:marTop w:val="0"/>
              <w:marBottom w:val="0"/>
              <w:divBdr>
                <w:top w:val="none" w:sz="0" w:space="0" w:color="auto"/>
                <w:left w:val="none" w:sz="0" w:space="0" w:color="auto"/>
                <w:bottom w:val="none" w:sz="0" w:space="0" w:color="auto"/>
                <w:right w:val="none" w:sz="0" w:space="0" w:color="auto"/>
              </w:divBdr>
              <w:divsChild>
                <w:div w:id="4895651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3342556">
      <w:bodyDiv w:val="1"/>
      <w:marLeft w:val="0"/>
      <w:marRight w:val="0"/>
      <w:marTop w:val="0"/>
      <w:marBottom w:val="0"/>
      <w:divBdr>
        <w:top w:val="none" w:sz="0" w:space="0" w:color="auto"/>
        <w:left w:val="none" w:sz="0" w:space="0" w:color="auto"/>
        <w:bottom w:val="none" w:sz="0" w:space="0" w:color="auto"/>
        <w:right w:val="none" w:sz="0" w:space="0" w:color="auto"/>
      </w:divBdr>
      <w:divsChild>
        <w:div w:id="1365985747">
          <w:marLeft w:val="1166"/>
          <w:marRight w:val="0"/>
          <w:marTop w:val="100"/>
          <w:marBottom w:val="0"/>
          <w:divBdr>
            <w:top w:val="none" w:sz="0" w:space="0" w:color="auto"/>
            <w:left w:val="none" w:sz="0" w:space="0" w:color="auto"/>
            <w:bottom w:val="none" w:sz="0" w:space="0" w:color="auto"/>
            <w:right w:val="none" w:sz="0" w:space="0" w:color="auto"/>
          </w:divBdr>
        </w:div>
      </w:divsChild>
    </w:div>
    <w:div w:id="1289820111">
      <w:bodyDiv w:val="1"/>
      <w:marLeft w:val="0"/>
      <w:marRight w:val="0"/>
      <w:marTop w:val="0"/>
      <w:marBottom w:val="0"/>
      <w:divBdr>
        <w:top w:val="none" w:sz="0" w:space="0" w:color="auto"/>
        <w:left w:val="none" w:sz="0" w:space="0" w:color="auto"/>
        <w:bottom w:val="none" w:sz="0" w:space="0" w:color="auto"/>
        <w:right w:val="none" w:sz="0" w:space="0" w:color="auto"/>
      </w:divBdr>
    </w:div>
    <w:div w:id="1332833294">
      <w:bodyDiv w:val="1"/>
      <w:marLeft w:val="0"/>
      <w:marRight w:val="0"/>
      <w:marTop w:val="0"/>
      <w:marBottom w:val="0"/>
      <w:divBdr>
        <w:top w:val="none" w:sz="0" w:space="0" w:color="auto"/>
        <w:left w:val="none" w:sz="0" w:space="0" w:color="auto"/>
        <w:bottom w:val="none" w:sz="0" w:space="0" w:color="auto"/>
        <w:right w:val="none" w:sz="0" w:space="0" w:color="auto"/>
      </w:divBdr>
      <w:divsChild>
        <w:div w:id="291444216">
          <w:marLeft w:val="0"/>
          <w:marRight w:val="0"/>
          <w:marTop w:val="0"/>
          <w:marBottom w:val="0"/>
          <w:divBdr>
            <w:top w:val="none" w:sz="0" w:space="0" w:color="auto"/>
            <w:left w:val="none" w:sz="0" w:space="0" w:color="auto"/>
            <w:bottom w:val="none" w:sz="0" w:space="0" w:color="auto"/>
            <w:right w:val="none" w:sz="0" w:space="0" w:color="auto"/>
          </w:divBdr>
          <w:divsChild>
            <w:div w:id="1949460244">
              <w:marLeft w:val="0"/>
              <w:marRight w:val="0"/>
              <w:marTop w:val="0"/>
              <w:marBottom w:val="0"/>
              <w:divBdr>
                <w:top w:val="single" w:sz="2" w:space="0" w:color="D9D9E3"/>
                <w:left w:val="single" w:sz="2" w:space="0" w:color="D9D9E3"/>
                <w:bottom w:val="single" w:sz="2" w:space="0" w:color="D9D9E3"/>
                <w:right w:val="single" w:sz="2" w:space="0" w:color="D9D9E3"/>
              </w:divBdr>
              <w:divsChild>
                <w:div w:id="1037118767">
                  <w:marLeft w:val="0"/>
                  <w:marRight w:val="0"/>
                  <w:marTop w:val="0"/>
                  <w:marBottom w:val="0"/>
                  <w:divBdr>
                    <w:top w:val="single" w:sz="2" w:space="0" w:color="D9D9E3"/>
                    <w:left w:val="single" w:sz="2" w:space="0" w:color="D9D9E3"/>
                    <w:bottom w:val="single" w:sz="2" w:space="0" w:color="D9D9E3"/>
                    <w:right w:val="single" w:sz="2" w:space="0" w:color="D9D9E3"/>
                  </w:divBdr>
                  <w:divsChild>
                    <w:div w:id="1772431231">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 w:id="529995774">
          <w:marLeft w:val="0"/>
          <w:marRight w:val="0"/>
          <w:marTop w:val="0"/>
          <w:marBottom w:val="0"/>
          <w:divBdr>
            <w:top w:val="single" w:sz="2" w:space="0" w:color="D9D9E3"/>
            <w:left w:val="single" w:sz="2" w:space="0" w:color="D9D9E3"/>
            <w:bottom w:val="single" w:sz="2" w:space="0" w:color="D9D9E3"/>
            <w:right w:val="single" w:sz="2" w:space="0" w:color="D9D9E3"/>
          </w:divBdr>
          <w:divsChild>
            <w:div w:id="1149518083">
              <w:marLeft w:val="0"/>
              <w:marRight w:val="0"/>
              <w:marTop w:val="0"/>
              <w:marBottom w:val="0"/>
              <w:divBdr>
                <w:top w:val="single" w:sz="2" w:space="0" w:color="D9D9E3"/>
                <w:left w:val="single" w:sz="2" w:space="0" w:color="D9D9E3"/>
                <w:bottom w:val="single" w:sz="2" w:space="0" w:color="D9D9E3"/>
                <w:right w:val="single" w:sz="2" w:space="0" w:color="D9D9E3"/>
              </w:divBdr>
              <w:divsChild>
                <w:div w:id="1655647237">
                  <w:marLeft w:val="0"/>
                  <w:marRight w:val="0"/>
                  <w:marTop w:val="0"/>
                  <w:marBottom w:val="0"/>
                  <w:divBdr>
                    <w:top w:val="single" w:sz="2" w:space="0" w:color="D9D9E3"/>
                    <w:left w:val="single" w:sz="2" w:space="0" w:color="D9D9E3"/>
                    <w:bottom w:val="single" w:sz="2" w:space="0" w:color="D9D9E3"/>
                    <w:right w:val="single" w:sz="2" w:space="0" w:color="D9D9E3"/>
                  </w:divBdr>
                  <w:divsChild>
                    <w:div w:id="491334361">
                      <w:marLeft w:val="0"/>
                      <w:marRight w:val="0"/>
                      <w:marTop w:val="0"/>
                      <w:marBottom w:val="0"/>
                      <w:divBdr>
                        <w:top w:val="single" w:sz="2" w:space="0" w:color="D9D9E3"/>
                        <w:left w:val="single" w:sz="2" w:space="0" w:color="D9D9E3"/>
                        <w:bottom w:val="single" w:sz="2" w:space="0" w:color="D9D9E3"/>
                        <w:right w:val="single" w:sz="2" w:space="0" w:color="D9D9E3"/>
                      </w:divBdr>
                      <w:divsChild>
                        <w:div w:id="1956595174">
                          <w:marLeft w:val="0"/>
                          <w:marRight w:val="0"/>
                          <w:marTop w:val="0"/>
                          <w:marBottom w:val="0"/>
                          <w:divBdr>
                            <w:top w:val="single" w:sz="2" w:space="0" w:color="auto"/>
                            <w:left w:val="single" w:sz="2" w:space="0" w:color="auto"/>
                            <w:bottom w:val="single" w:sz="6" w:space="0" w:color="auto"/>
                            <w:right w:val="single" w:sz="2" w:space="0" w:color="auto"/>
                          </w:divBdr>
                          <w:divsChild>
                            <w:div w:id="1005476967">
                              <w:marLeft w:val="0"/>
                              <w:marRight w:val="0"/>
                              <w:marTop w:val="100"/>
                              <w:marBottom w:val="100"/>
                              <w:divBdr>
                                <w:top w:val="single" w:sz="2" w:space="0" w:color="D9D9E3"/>
                                <w:left w:val="single" w:sz="2" w:space="0" w:color="D9D9E3"/>
                                <w:bottom w:val="single" w:sz="2" w:space="0" w:color="D9D9E3"/>
                                <w:right w:val="single" w:sz="2" w:space="0" w:color="D9D9E3"/>
                              </w:divBdr>
                              <w:divsChild>
                                <w:div w:id="1778134091">
                                  <w:marLeft w:val="0"/>
                                  <w:marRight w:val="0"/>
                                  <w:marTop w:val="0"/>
                                  <w:marBottom w:val="0"/>
                                  <w:divBdr>
                                    <w:top w:val="single" w:sz="2" w:space="0" w:color="D9D9E3"/>
                                    <w:left w:val="single" w:sz="2" w:space="0" w:color="D9D9E3"/>
                                    <w:bottom w:val="single" w:sz="2" w:space="0" w:color="D9D9E3"/>
                                    <w:right w:val="single" w:sz="2" w:space="0" w:color="D9D9E3"/>
                                  </w:divBdr>
                                  <w:divsChild>
                                    <w:div w:id="633174154">
                                      <w:marLeft w:val="0"/>
                                      <w:marRight w:val="0"/>
                                      <w:marTop w:val="0"/>
                                      <w:marBottom w:val="0"/>
                                      <w:divBdr>
                                        <w:top w:val="single" w:sz="2" w:space="0" w:color="D9D9E3"/>
                                        <w:left w:val="single" w:sz="2" w:space="0" w:color="D9D9E3"/>
                                        <w:bottom w:val="single" w:sz="2" w:space="0" w:color="D9D9E3"/>
                                        <w:right w:val="single" w:sz="2" w:space="0" w:color="D9D9E3"/>
                                      </w:divBdr>
                                      <w:divsChild>
                                        <w:div w:id="2007591127">
                                          <w:marLeft w:val="0"/>
                                          <w:marRight w:val="0"/>
                                          <w:marTop w:val="0"/>
                                          <w:marBottom w:val="0"/>
                                          <w:divBdr>
                                            <w:top w:val="single" w:sz="2" w:space="0" w:color="D9D9E3"/>
                                            <w:left w:val="single" w:sz="2" w:space="0" w:color="D9D9E3"/>
                                            <w:bottom w:val="single" w:sz="2" w:space="0" w:color="D9D9E3"/>
                                            <w:right w:val="single" w:sz="2" w:space="0" w:color="D9D9E3"/>
                                          </w:divBdr>
                                          <w:divsChild>
                                            <w:div w:id="272368260">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 w:id="1342850754">
      <w:bodyDiv w:val="1"/>
      <w:marLeft w:val="0"/>
      <w:marRight w:val="0"/>
      <w:marTop w:val="0"/>
      <w:marBottom w:val="0"/>
      <w:divBdr>
        <w:top w:val="none" w:sz="0" w:space="0" w:color="auto"/>
        <w:left w:val="none" w:sz="0" w:space="0" w:color="auto"/>
        <w:bottom w:val="none" w:sz="0" w:space="0" w:color="auto"/>
        <w:right w:val="none" w:sz="0" w:space="0" w:color="auto"/>
      </w:divBdr>
      <w:divsChild>
        <w:div w:id="672146256">
          <w:marLeft w:val="0"/>
          <w:marRight w:val="0"/>
          <w:marTop w:val="0"/>
          <w:marBottom w:val="0"/>
          <w:divBdr>
            <w:top w:val="none" w:sz="0" w:space="0" w:color="auto"/>
            <w:left w:val="none" w:sz="0" w:space="0" w:color="auto"/>
            <w:bottom w:val="none" w:sz="0" w:space="0" w:color="auto"/>
            <w:right w:val="none" w:sz="0" w:space="0" w:color="auto"/>
          </w:divBdr>
          <w:divsChild>
            <w:div w:id="834346160">
              <w:marLeft w:val="0"/>
              <w:marRight w:val="0"/>
              <w:marTop w:val="0"/>
              <w:marBottom w:val="0"/>
              <w:divBdr>
                <w:top w:val="none" w:sz="0" w:space="0" w:color="auto"/>
                <w:left w:val="none" w:sz="0" w:space="0" w:color="auto"/>
                <w:bottom w:val="none" w:sz="0" w:space="0" w:color="auto"/>
                <w:right w:val="none" w:sz="0" w:space="0" w:color="auto"/>
              </w:divBdr>
              <w:divsChild>
                <w:div w:id="15121804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4719272">
      <w:bodyDiv w:val="1"/>
      <w:marLeft w:val="0"/>
      <w:marRight w:val="0"/>
      <w:marTop w:val="0"/>
      <w:marBottom w:val="0"/>
      <w:divBdr>
        <w:top w:val="none" w:sz="0" w:space="0" w:color="auto"/>
        <w:left w:val="none" w:sz="0" w:space="0" w:color="auto"/>
        <w:bottom w:val="none" w:sz="0" w:space="0" w:color="auto"/>
        <w:right w:val="none" w:sz="0" w:space="0" w:color="auto"/>
      </w:divBdr>
      <w:divsChild>
        <w:div w:id="1369063260">
          <w:marLeft w:val="0"/>
          <w:marRight w:val="0"/>
          <w:marTop w:val="0"/>
          <w:marBottom w:val="0"/>
          <w:divBdr>
            <w:top w:val="none" w:sz="0" w:space="0" w:color="auto"/>
            <w:left w:val="none" w:sz="0" w:space="0" w:color="auto"/>
            <w:bottom w:val="none" w:sz="0" w:space="0" w:color="auto"/>
            <w:right w:val="none" w:sz="0" w:space="0" w:color="auto"/>
          </w:divBdr>
          <w:divsChild>
            <w:div w:id="329796969">
              <w:marLeft w:val="0"/>
              <w:marRight w:val="0"/>
              <w:marTop w:val="0"/>
              <w:marBottom w:val="0"/>
              <w:divBdr>
                <w:top w:val="none" w:sz="0" w:space="0" w:color="auto"/>
                <w:left w:val="none" w:sz="0" w:space="0" w:color="auto"/>
                <w:bottom w:val="none" w:sz="0" w:space="0" w:color="auto"/>
                <w:right w:val="none" w:sz="0" w:space="0" w:color="auto"/>
              </w:divBdr>
              <w:divsChild>
                <w:div w:id="252473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7341185">
      <w:bodyDiv w:val="1"/>
      <w:marLeft w:val="0"/>
      <w:marRight w:val="0"/>
      <w:marTop w:val="0"/>
      <w:marBottom w:val="0"/>
      <w:divBdr>
        <w:top w:val="none" w:sz="0" w:space="0" w:color="auto"/>
        <w:left w:val="none" w:sz="0" w:space="0" w:color="auto"/>
        <w:bottom w:val="none" w:sz="0" w:space="0" w:color="auto"/>
        <w:right w:val="none" w:sz="0" w:space="0" w:color="auto"/>
      </w:divBdr>
    </w:div>
    <w:div w:id="1466318343">
      <w:bodyDiv w:val="1"/>
      <w:marLeft w:val="0"/>
      <w:marRight w:val="0"/>
      <w:marTop w:val="0"/>
      <w:marBottom w:val="0"/>
      <w:divBdr>
        <w:top w:val="none" w:sz="0" w:space="0" w:color="auto"/>
        <w:left w:val="none" w:sz="0" w:space="0" w:color="auto"/>
        <w:bottom w:val="none" w:sz="0" w:space="0" w:color="auto"/>
        <w:right w:val="none" w:sz="0" w:space="0" w:color="auto"/>
      </w:divBdr>
      <w:divsChild>
        <w:div w:id="385876971">
          <w:marLeft w:val="0"/>
          <w:marRight w:val="0"/>
          <w:marTop w:val="0"/>
          <w:marBottom w:val="0"/>
          <w:divBdr>
            <w:top w:val="none" w:sz="0" w:space="0" w:color="auto"/>
            <w:left w:val="none" w:sz="0" w:space="0" w:color="auto"/>
            <w:bottom w:val="none" w:sz="0" w:space="0" w:color="auto"/>
            <w:right w:val="none" w:sz="0" w:space="0" w:color="auto"/>
          </w:divBdr>
          <w:divsChild>
            <w:div w:id="556163196">
              <w:marLeft w:val="0"/>
              <w:marRight w:val="0"/>
              <w:marTop w:val="0"/>
              <w:marBottom w:val="0"/>
              <w:divBdr>
                <w:top w:val="none" w:sz="0" w:space="0" w:color="auto"/>
                <w:left w:val="none" w:sz="0" w:space="0" w:color="auto"/>
                <w:bottom w:val="none" w:sz="0" w:space="0" w:color="auto"/>
                <w:right w:val="none" w:sz="0" w:space="0" w:color="auto"/>
              </w:divBdr>
              <w:divsChild>
                <w:div w:id="1985953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4662213">
      <w:bodyDiv w:val="1"/>
      <w:marLeft w:val="0"/>
      <w:marRight w:val="0"/>
      <w:marTop w:val="0"/>
      <w:marBottom w:val="0"/>
      <w:divBdr>
        <w:top w:val="none" w:sz="0" w:space="0" w:color="auto"/>
        <w:left w:val="none" w:sz="0" w:space="0" w:color="auto"/>
        <w:bottom w:val="none" w:sz="0" w:space="0" w:color="auto"/>
        <w:right w:val="none" w:sz="0" w:space="0" w:color="auto"/>
      </w:divBdr>
      <w:divsChild>
        <w:div w:id="719324913">
          <w:marLeft w:val="0"/>
          <w:marRight w:val="0"/>
          <w:marTop w:val="0"/>
          <w:marBottom w:val="0"/>
          <w:divBdr>
            <w:top w:val="none" w:sz="0" w:space="0" w:color="auto"/>
            <w:left w:val="none" w:sz="0" w:space="0" w:color="auto"/>
            <w:bottom w:val="none" w:sz="0" w:space="0" w:color="auto"/>
            <w:right w:val="none" w:sz="0" w:space="0" w:color="auto"/>
          </w:divBdr>
          <w:divsChild>
            <w:div w:id="1850411493">
              <w:marLeft w:val="0"/>
              <w:marRight w:val="0"/>
              <w:marTop w:val="0"/>
              <w:marBottom w:val="0"/>
              <w:divBdr>
                <w:top w:val="single" w:sz="2" w:space="0" w:color="D9D9E3"/>
                <w:left w:val="single" w:sz="2" w:space="0" w:color="D9D9E3"/>
                <w:bottom w:val="single" w:sz="2" w:space="0" w:color="D9D9E3"/>
                <w:right w:val="single" w:sz="2" w:space="0" w:color="D9D9E3"/>
              </w:divBdr>
              <w:divsChild>
                <w:div w:id="855996050">
                  <w:marLeft w:val="0"/>
                  <w:marRight w:val="0"/>
                  <w:marTop w:val="0"/>
                  <w:marBottom w:val="0"/>
                  <w:divBdr>
                    <w:top w:val="single" w:sz="2" w:space="0" w:color="D9D9E3"/>
                    <w:left w:val="single" w:sz="2" w:space="0" w:color="D9D9E3"/>
                    <w:bottom w:val="single" w:sz="2" w:space="0" w:color="D9D9E3"/>
                    <w:right w:val="single" w:sz="2" w:space="0" w:color="D9D9E3"/>
                  </w:divBdr>
                  <w:divsChild>
                    <w:div w:id="555049075">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 w:id="1687945730">
          <w:marLeft w:val="0"/>
          <w:marRight w:val="0"/>
          <w:marTop w:val="0"/>
          <w:marBottom w:val="0"/>
          <w:divBdr>
            <w:top w:val="single" w:sz="2" w:space="0" w:color="D9D9E3"/>
            <w:left w:val="single" w:sz="2" w:space="0" w:color="D9D9E3"/>
            <w:bottom w:val="single" w:sz="2" w:space="0" w:color="D9D9E3"/>
            <w:right w:val="single" w:sz="2" w:space="0" w:color="D9D9E3"/>
          </w:divBdr>
          <w:divsChild>
            <w:div w:id="1720012228">
              <w:marLeft w:val="0"/>
              <w:marRight w:val="0"/>
              <w:marTop w:val="0"/>
              <w:marBottom w:val="0"/>
              <w:divBdr>
                <w:top w:val="single" w:sz="2" w:space="0" w:color="D9D9E3"/>
                <w:left w:val="single" w:sz="2" w:space="0" w:color="D9D9E3"/>
                <w:bottom w:val="single" w:sz="2" w:space="0" w:color="D9D9E3"/>
                <w:right w:val="single" w:sz="2" w:space="0" w:color="D9D9E3"/>
              </w:divBdr>
              <w:divsChild>
                <w:div w:id="1454597773">
                  <w:marLeft w:val="0"/>
                  <w:marRight w:val="0"/>
                  <w:marTop w:val="0"/>
                  <w:marBottom w:val="0"/>
                  <w:divBdr>
                    <w:top w:val="single" w:sz="2" w:space="0" w:color="D9D9E3"/>
                    <w:left w:val="single" w:sz="2" w:space="0" w:color="D9D9E3"/>
                    <w:bottom w:val="single" w:sz="2" w:space="0" w:color="D9D9E3"/>
                    <w:right w:val="single" w:sz="2" w:space="0" w:color="D9D9E3"/>
                  </w:divBdr>
                  <w:divsChild>
                    <w:div w:id="1268541489">
                      <w:marLeft w:val="0"/>
                      <w:marRight w:val="0"/>
                      <w:marTop w:val="0"/>
                      <w:marBottom w:val="0"/>
                      <w:divBdr>
                        <w:top w:val="single" w:sz="2" w:space="0" w:color="D9D9E3"/>
                        <w:left w:val="single" w:sz="2" w:space="0" w:color="D9D9E3"/>
                        <w:bottom w:val="single" w:sz="2" w:space="0" w:color="D9D9E3"/>
                        <w:right w:val="single" w:sz="2" w:space="0" w:color="D9D9E3"/>
                      </w:divBdr>
                      <w:divsChild>
                        <w:div w:id="1596283612">
                          <w:marLeft w:val="0"/>
                          <w:marRight w:val="0"/>
                          <w:marTop w:val="0"/>
                          <w:marBottom w:val="0"/>
                          <w:divBdr>
                            <w:top w:val="single" w:sz="2" w:space="0" w:color="auto"/>
                            <w:left w:val="single" w:sz="2" w:space="0" w:color="auto"/>
                            <w:bottom w:val="single" w:sz="6" w:space="0" w:color="auto"/>
                            <w:right w:val="single" w:sz="2" w:space="0" w:color="auto"/>
                          </w:divBdr>
                          <w:divsChild>
                            <w:div w:id="1905291861">
                              <w:marLeft w:val="0"/>
                              <w:marRight w:val="0"/>
                              <w:marTop w:val="100"/>
                              <w:marBottom w:val="100"/>
                              <w:divBdr>
                                <w:top w:val="single" w:sz="2" w:space="0" w:color="D9D9E3"/>
                                <w:left w:val="single" w:sz="2" w:space="0" w:color="D9D9E3"/>
                                <w:bottom w:val="single" w:sz="2" w:space="0" w:color="D9D9E3"/>
                                <w:right w:val="single" w:sz="2" w:space="0" w:color="D9D9E3"/>
                              </w:divBdr>
                              <w:divsChild>
                                <w:div w:id="1000931958">
                                  <w:marLeft w:val="0"/>
                                  <w:marRight w:val="0"/>
                                  <w:marTop w:val="0"/>
                                  <w:marBottom w:val="0"/>
                                  <w:divBdr>
                                    <w:top w:val="single" w:sz="2" w:space="0" w:color="D9D9E3"/>
                                    <w:left w:val="single" w:sz="2" w:space="0" w:color="D9D9E3"/>
                                    <w:bottom w:val="single" w:sz="2" w:space="0" w:color="D9D9E3"/>
                                    <w:right w:val="single" w:sz="2" w:space="0" w:color="D9D9E3"/>
                                  </w:divBdr>
                                  <w:divsChild>
                                    <w:div w:id="1541748738">
                                      <w:marLeft w:val="0"/>
                                      <w:marRight w:val="0"/>
                                      <w:marTop w:val="0"/>
                                      <w:marBottom w:val="0"/>
                                      <w:divBdr>
                                        <w:top w:val="single" w:sz="2" w:space="0" w:color="D9D9E3"/>
                                        <w:left w:val="single" w:sz="2" w:space="0" w:color="D9D9E3"/>
                                        <w:bottom w:val="single" w:sz="2" w:space="0" w:color="D9D9E3"/>
                                        <w:right w:val="single" w:sz="2" w:space="0" w:color="D9D9E3"/>
                                      </w:divBdr>
                                      <w:divsChild>
                                        <w:div w:id="235020896">
                                          <w:marLeft w:val="0"/>
                                          <w:marRight w:val="0"/>
                                          <w:marTop w:val="0"/>
                                          <w:marBottom w:val="0"/>
                                          <w:divBdr>
                                            <w:top w:val="single" w:sz="2" w:space="0" w:color="D9D9E3"/>
                                            <w:left w:val="single" w:sz="2" w:space="0" w:color="D9D9E3"/>
                                            <w:bottom w:val="single" w:sz="2" w:space="0" w:color="D9D9E3"/>
                                            <w:right w:val="single" w:sz="2" w:space="0" w:color="D9D9E3"/>
                                          </w:divBdr>
                                          <w:divsChild>
                                            <w:div w:id="618225821">
                                              <w:marLeft w:val="0"/>
                                              <w:marRight w:val="0"/>
                                              <w:marTop w:val="0"/>
                                              <w:marBottom w:val="0"/>
                                              <w:divBdr>
                                                <w:top w:val="single" w:sz="2" w:space="0" w:color="D9D9E3"/>
                                                <w:left w:val="single" w:sz="2" w:space="0" w:color="D9D9E3"/>
                                                <w:bottom w:val="single" w:sz="2" w:space="0" w:color="D9D9E3"/>
                                                <w:right w:val="single" w:sz="2" w:space="0" w:color="D9D9E3"/>
                                              </w:divBdr>
                                              <w:divsChild>
                                                <w:div w:id="1488283132">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1525898330">
      <w:bodyDiv w:val="1"/>
      <w:marLeft w:val="0"/>
      <w:marRight w:val="0"/>
      <w:marTop w:val="0"/>
      <w:marBottom w:val="0"/>
      <w:divBdr>
        <w:top w:val="none" w:sz="0" w:space="0" w:color="auto"/>
        <w:left w:val="none" w:sz="0" w:space="0" w:color="auto"/>
        <w:bottom w:val="none" w:sz="0" w:space="0" w:color="auto"/>
        <w:right w:val="none" w:sz="0" w:space="0" w:color="auto"/>
      </w:divBdr>
    </w:div>
    <w:div w:id="1527214686">
      <w:bodyDiv w:val="1"/>
      <w:marLeft w:val="0"/>
      <w:marRight w:val="0"/>
      <w:marTop w:val="0"/>
      <w:marBottom w:val="0"/>
      <w:divBdr>
        <w:top w:val="none" w:sz="0" w:space="0" w:color="auto"/>
        <w:left w:val="none" w:sz="0" w:space="0" w:color="auto"/>
        <w:bottom w:val="none" w:sz="0" w:space="0" w:color="auto"/>
        <w:right w:val="none" w:sz="0" w:space="0" w:color="auto"/>
      </w:divBdr>
      <w:divsChild>
        <w:div w:id="1758016985">
          <w:marLeft w:val="0"/>
          <w:marRight w:val="0"/>
          <w:marTop w:val="0"/>
          <w:marBottom w:val="0"/>
          <w:divBdr>
            <w:top w:val="none" w:sz="0" w:space="0" w:color="auto"/>
            <w:left w:val="none" w:sz="0" w:space="0" w:color="auto"/>
            <w:bottom w:val="none" w:sz="0" w:space="0" w:color="auto"/>
            <w:right w:val="none" w:sz="0" w:space="0" w:color="auto"/>
          </w:divBdr>
          <w:divsChild>
            <w:div w:id="345601565">
              <w:marLeft w:val="0"/>
              <w:marRight w:val="0"/>
              <w:marTop w:val="0"/>
              <w:marBottom w:val="0"/>
              <w:divBdr>
                <w:top w:val="none" w:sz="0" w:space="0" w:color="auto"/>
                <w:left w:val="none" w:sz="0" w:space="0" w:color="auto"/>
                <w:bottom w:val="none" w:sz="0" w:space="0" w:color="auto"/>
                <w:right w:val="none" w:sz="0" w:space="0" w:color="auto"/>
              </w:divBdr>
              <w:divsChild>
                <w:div w:id="19803074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1889554">
      <w:bodyDiv w:val="1"/>
      <w:marLeft w:val="0"/>
      <w:marRight w:val="0"/>
      <w:marTop w:val="0"/>
      <w:marBottom w:val="0"/>
      <w:divBdr>
        <w:top w:val="none" w:sz="0" w:space="0" w:color="auto"/>
        <w:left w:val="none" w:sz="0" w:space="0" w:color="auto"/>
        <w:bottom w:val="none" w:sz="0" w:space="0" w:color="auto"/>
        <w:right w:val="none" w:sz="0" w:space="0" w:color="auto"/>
      </w:divBdr>
    </w:div>
    <w:div w:id="1575124322">
      <w:bodyDiv w:val="1"/>
      <w:marLeft w:val="0"/>
      <w:marRight w:val="0"/>
      <w:marTop w:val="0"/>
      <w:marBottom w:val="0"/>
      <w:divBdr>
        <w:top w:val="none" w:sz="0" w:space="0" w:color="auto"/>
        <w:left w:val="none" w:sz="0" w:space="0" w:color="auto"/>
        <w:bottom w:val="none" w:sz="0" w:space="0" w:color="auto"/>
        <w:right w:val="none" w:sz="0" w:space="0" w:color="auto"/>
      </w:divBdr>
      <w:divsChild>
        <w:div w:id="1989820840">
          <w:marLeft w:val="0"/>
          <w:marRight w:val="0"/>
          <w:marTop w:val="0"/>
          <w:marBottom w:val="0"/>
          <w:divBdr>
            <w:top w:val="none" w:sz="0" w:space="0" w:color="auto"/>
            <w:left w:val="none" w:sz="0" w:space="0" w:color="auto"/>
            <w:bottom w:val="none" w:sz="0" w:space="0" w:color="auto"/>
            <w:right w:val="none" w:sz="0" w:space="0" w:color="auto"/>
          </w:divBdr>
          <w:divsChild>
            <w:div w:id="169373733">
              <w:marLeft w:val="0"/>
              <w:marRight w:val="0"/>
              <w:marTop w:val="0"/>
              <w:marBottom w:val="0"/>
              <w:divBdr>
                <w:top w:val="none" w:sz="0" w:space="0" w:color="auto"/>
                <w:left w:val="none" w:sz="0" w:space="0" w:color="auto"/>
                <w:bottom w:val="none" w:sz="0" w:space="0" w:color="auto"/>
                <w:right w:val="none" w:sz="0" w:space="0" w:color="auto"/>
              </w:divBdr>
              <w:divsChild>
                <w:div w:id="18839071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7395657">
      <w:bodyDiv w:val="1"/>
      <w:marLeft w:val="0"/>
      <w:marRight w:val="0"/>
      <w:marTop w:val="0"/>
      <w:marBottom w:val="0"/>
      <w:divBdr>
        <w:top w:val="none" w:sz="0" w:space="0" w:color="auto"/>
        <w:left w:val="none" w:sz="0" w:space="0" w:color="auto"/>
        <w:bottom w:val="none" w:sz="0" w:space="0" w:color="auto"/>
        <w:right w:val="none" w:sz="0" w:space="0" w:color="auto"/>
      </w:divBdr>
      <w:divsChild>
        <w:div w:id="499658708">
          <w:marLeft w:val="0"/>
          <w:marRight w:val="0"/>
          <w:marTop w:val="0"/>
          <w:marBottom w:val="0"/>
          <w:divBdr>
            <w:top w:val="none" w:sz="0" w:space="0" w:color="auto"/>
            <w:left w:val="none" w:sz="0" w:space="0" w:color="auto"/>
            <w:bottom w:val="none" w:sz="0" w:space="0" w:color="auto"/>
            <w:right w:val="none" w:sz="0" w:space="0" w:color="auto"/>
          </w:divBdr>
          <w:divsChild>
            <w:div w:id="546725779">
              <w:marLeft w:val="0"/>
              <w:marRight w:val="0"/>
              <w:marTop w:val="0"/>
              <w:marBottom w:val="0"/>
              <w:divBdr>
                <w:top w:val="none" w:sz="0" w:space="0" w:color="auto"/>
                <w:left w:val="none" w:sz="0" w:space="0" w:color="auto"/>
                <w:bottom w:val="none" w:sz="0" w:space="0" w:color="auto"/>
                <w:right w:val="none" w:sz="0" w:space="0" w:color="auto"/>
              </w:divBdr>
              <w:divsChild>
                <w:div w:id="16330960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2641824">
      <w:bodyDiv w:val="1"/>
      <w:marLeft w:val="0"/>
      <w:marRight w:val="0"/>
      <w:marTop w:val="0"/>
      <w:marBottom w:val="0"/>
      <w:divBdr>
        <w:top w:val="none" w:sz="0" w:space="0" w:color="auto"/>
        <w:left w:val="none" w:sz="0" w:space="0" w:color="auto"/>
        <w:bottom w:val="none" w:sz="0" w:space="0" w:color="auto"/>
        <w:right w:val="none" w:sz="0" w:space="0" w:color="auto"/>
      </w:divBdr>
      <w:divsChild>
        <w:div w:id="1402487662">
          <w:marLeft w:val="1267"/>
          <w:marRight w:val="115"/>
          <w:marTop w:val="120"/>
          <w:marBottom w:val="120"/>
          <w:divBdr>
            <w:top w:val="none" w:sz="0" w:space="0" w:color="auto"/>
            <w:left w:val="none" w:sz="0" w:space="0" w:color="auto"/>
            <w:bottom w:val="none" w:sz="0" w:space="0" w:color="auto"/>
            <w:right w:val="none" w:sz="0" w:space="0" w:color="auto"/>
          </w:divBdr>
        </w:div>
      </w:divsChild>
    </w:div>
    <w:div w:id="1611473342">
      <w:bodyDiv w:val="1"/>
      <w:marLeft w:val="0"/>
      <w:marRight w:val="0"/>
      <w:marTop w:val="0"/>
      <w:marBottom w:val="0"/>
      <w:divBdr>
        <w:top w:val="none" w:sz="0" w:space="0" w:color="auto"/>
        <w:left w:val="none" w:sz="0" w:space="0" w:color="auto"/>
        <w:bottom w:val="none" w:sz="0" w:space="0" w:color="auto"/>
        <w:right w:val="none" w:sz="0" w:space="0" w:color="auto"/>
      </w:divBdr>
    </w:div>
    <w:div w:id="1654675175">
      <w:bodyDiv w:val="1"/>
      <w:marLeft w:val="0"/>
      <w:marRight w:val="0"/>
      <w:marTop w:val="0"/>
      <w:marBottom w:val="0"/>
      <w:divBdr>
        <w:top w:val="none" w:sz="0" w:space="0" w:color="auto"/>
        <w:left w:val="none" w:sz="0" w:space="0" w:color="auto"/>
        <w:bottom w:val="none" w:sz="0" w:space="0" w:color="auto"/>
        <w:right w:val="none" w:sz="0" w:space="0" w:color="auto"/>
      </w:divBdr>
      <w:divsChild>
        <w:div w:id="20472027">
          <w:marLeft w:val="547"/>
          <w:marRight w:val="115"/>
          <w:marTop w:val="120"/>
          <w:marBottom w:val="120"/>
          <w:divBdr>
            <w:top w:val="none" w:sz="0" w:space="0" w:color="auto"/>
            <w:left w:val="none" w:sz="0" w:space="0" w:color="auto"/>
            <w:bottom w:val="none" w:sz="0" w:space="0" w:color="auto"/>
            <w:right w:val="none" w:sz="0" w:space="0" w:color="auto"/>
          </w:divBdr>
        </w:div>
      </w:divsChild>
    </w:div>
    <w:div w:id="1654990807">
      <w:bodyDiv w:val="1"/>
      <w:marLeft w:val="0"/>
      <w:marRight w:val="0"/>
      <w:marTop w:val="0"/>
      <w:marBottom w:val="0"/>
      <w:divBdr>
        <w:top w:val="none" w:sz="0" w:space="0" w:color="auto"/>
        <w:left w:val="none" w:sz="0" w:space="0" w:color="auto"/>
        <w:bottom w:val="none" w:sz="0" w:space="0" w:color="auto"/>
        <w:right w:val="none" w:sz="0" w:space="0" w:color="auto"/>
      </w:divBdr>
    </w:div>
    <w:div w:id="1677420625">
      <w:bodyDiv w:val="1"/>
      <w:marLeft w:val="0"/>
      <w:marRight w:val="0"/>
      <w:marTop w:val="0"/>
      <w:marBottom w:val="0"/>
      <w:divBdr>
        <w:top w:val="none" w:sz="0" w:space="0" w:color="auto"/>
        <w:left w:val="none" w:sz="0" w:space="0" w:color="auto"/>
        <w:bottom w:val="none" w:sz="0" w:space="0" w:color="auto"/>
        <w:right w:val="none" w:sz="0" w:space="0" w:color="auto"/>
      </w:divBdr>
      <w:divsChild>
        <w:div w:id="1493644174">
          <w:marLeft w:val="0"/>
          <w:marRight w:val="0"/>
          <w:marTop w:val="0"/>
          <w:marBottom w:val="0"/>
          <w:divBdr>
            <w:top w:val="none" w:sz="0" w:space="0" w:color="auto"/>
            <w:left w:val="none" w:sz="0" w:space="0" w:color="auto"/>
            <w:bottom w:val="none" w:sz="0" w:space="0" w:color="auto"/>
            <w:right w:val="none" w:sz="0" w:space="0" w:color="auto"/>
          </w:divBdr>
          <w:divsChild>
            <w:div w:id="157309747">
              <w:marLeft w:val="0"/>
              <w:marRight w:val="0"/>
              <w:marTop w:val="0"/>
              <w:marBottom w:val="0"/>
              <w:divBdr>
                <w:top w:val="none" w:sz="0" w:space="0" w:color="auto"/>
                <w:left w:val="none" w:sz="0" w:space="0" w:color="auto"/>
                <w:bottom w:val="none" w:sz="0" w:space="0" w:color="auto"/>
                <w:right w:val="none" w:sz="0" w:space="0" w:color="auto"/>
              </w:divBdr>
              <w:divsChild>
                <w:div w:id="14587213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3919576">
      <w:bodyDiv w:val="1"/>
      <w:marLeft w:val="0"/>
      <w:marRight w:val="0"/>
      <w:marTop w:val="0"/>
      <w:marBottom w:val="0"/>
      <w:divBdr>
        <w:top w:val="none" w:sz="0" w:space="0" w:color="auto"/>
        <w:left w:val="none" w:sz="0" w:space="0" w:color="auto"/>
        <w:bottom w:val="none" w:sz="0" w:space="0" w:color="auto"/>
        <w:right w:val="none" w:sz="0" w:space="0" w:color="auto"/>
      </w:divBdr>
    </w:div>
    <w:div w:id="1703164453">
      <w:bodyDiv w:val="1"/>
      <w:marLeft w:val="0"/>
      <w:marRight w:val="0"/>
      <w:marTop w:val="0"/>
      <w:marBottom w:val="0"/>
      <w:divBdr>
        <w:top w:val="none" w:sz="0" w:space="0" w:color="auto"/>
        <w:left w:val="none" w:sz="0" w:space="0" w:color="auto"/>
        <w:bottom w:val="none" w:sz="0" w:space="0" w:color="auto"/>
        <w:right w:val="none" w:sz="0" w:space="0" w:color="auto"/>
      </w:divBdr>
      <w:divsChild>
        <w:div w:id="745151923">
          <w:marLeft w:val="0"/>
          <w:marRight w:val="0"/>
          <w:marTop w:val="0"/>
          <w:marBottom w:val="0"/>
          <w:divBdr>
            <w:top w:val="none" w:sz="0" w:space="0" w:color="auto"/>
            <w:left w:val="none" w:sz="0" w:space="0" w:color="auto"/>
            <w:bottom w:val="none" w:sz="0" w:space="0" w:color="auto"/>
            <w:right w:val="none" w:sz="0" w:space="0" w:color="auto"/>
          </w:divBdr>
          <w:divsChild>
            <w:div w:id="529416484">
              <w:marLeft w:val="0"/>
              <w:marRight w:val="0"/>
              <w:marTop w:val="0"/>
              <w:marBottom w:val="0"/>
              <w:divBdr>
                <w:top w:val="none" w:sz="0" w:space="0" w:color="auto"/>
                <w:left w:val="none" w:sz="0" w:space="0" w:color="auto"/>
                <w:bottom w:val="none" w:sz="0" w:space="0" w:color="auto"/>
                <w:right w:val="none" w:sz="0" w:space="0" w:color="auto"/>
              </w:divBdr>
              <w:divsChild>
                <w:div w:id="7039466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9284478">
      <w:bodyDiv w:val="1"/>
      <w:marLeft w:val="0"/>
      <w:marRight w:val="0"/>
      <w:marTop w:val="0"/>
      <w:marBottom w:val="0"/>
      <w:divBdr>
        <w:top w:val="none" w:sz="0" w:space="0" w:color="auto"/>
        <w:left w:val="none" w:sz="0" w:space="0" w:color="auto"/>
        <w:bottom w:val="none" w:sz="0" w:space="0" w:color="auto"/>
        <w:right w:val="none" w:sz="0" w:space="0" w:color="auto"/>
      </w:divBdr>
      <w:divsChild>
        <w:div w:id="245841884">
          <w:marLeft w:val="0"/>
          <w:marRight w:val="0"/>
          <w:marTop w:val="0"/>
          <w:marBottom w:val="0"/>
          <w:divBdr>
            <w:top w:val="none" w:sz="0" w:space="0" w:color="auto"/>
            <w:left w:val="none" w:sz="0" w:space="0" w:color="auto"/>
            <w:bottom w:val="none" w:sz="0" w:space="0" w:color="auto"/>
            <w:right w:val="none" w:sz="0" w:space="0" w:color="auto"/>
          </w:divBdr>
          <w:divsChild>
            <w:div w:id="183133161">
              <w:marLeft w:val="0"/>
              <w:marRight w:val="0"/>
              <w:marTop w:val="0"/>
              <w:marBottom w:val="0"/>
              <w:divBdr>
                <w:top w:val="single" w:sz="2" w:space="0" w:color="D9D9E3"/>
                <w:left w:val="single" w:sz="2" w:space="0" w:color="D9D9E3"/>
                <w:bottom w:val="single" w:sz="2" w:space="0" w:color="D9D9E3"/>
                <w:right w:val="single" w:sz="2" w:space="0" w:color="D9D9E3"/>
              </w:divBdr>
              <w:divsChild>
                <w:div w:id="1095519594">
                  <w:marLeft w:val="0"/>
                  <w:marRight w:val="0"/>
                  <w:marTop w:val="0"/>
                  <w:marBottom w:val="0"/>
                  <w:divBdr>
                    <w:top w:val="single" w:sz="2" w:space="0" w:color="D9D9E3"/>
                    <w:left w:val="single" w:sz="2" w:space="0" w:color="D9D9E3"/>
                    <w:bottom w:val="single" w:sz="2" w:space="0" w:color="D9D9E3"/>
                    <w:right w:val="single" w:sz="2" w:space="0" w:color="D9D9E3"/>
                  </w:divBdr>
                  <w:divsChild>
                    <w:div w:id="267004482">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 w:id="1028526262">
          <w:marLeft w:val="0"/>
          <w:marRight w:val="0"/>
          <w:marTop w:val="0"/>
          <w:marBottom w:val="0"/>
          <w:divBdr>
            <w:top w:val="single" w:sz="2" w:space="0" w:color="D9D9E3"/>
            <w:left w:val="single" w:sz="2" w:space="0" w:color="D9D9E3"/>
            <w:bottom w:val="single" w:sz="2" w:space="0" w:color="D9D9E3"/>
            <w:right w:val="single" w:sz="2" w:space="0" w:color="D9D9E3"/>
          </w:divBdr>
          <w:divsChild>
            <w:div w:id="379207819">
              <w:marLeft w:val="0"/>
              <w:marRight w:val="0"/>
              <w:marTop w:val="0"/>
              <w:marBottom w:val="0"/>
              <w:divBdr>
                <w:top w:val="single" w:sz="2" w:space="0" w:color="D9D9E3"/>
                <w:left w:val="single" w:sz="2" w:space="0" w:color="D9D9E3"/>
                <w:bottom w:val="single" w:sz="2" w:space="0" w:color="D9D9E3"/>
                <w:right w:val="single" w:sz="2" w:space="0" w:color="D9D9E3"/>
              </w:divBdr>
              <w:divsChild>
                <w:div w:id="495725261">
                  <w:marLeft w:val="0"/>
                  <w:marRight w:val="0"/>
                  <w:marTop w:val="0"/>
                  <w:marBottom w:val="0"/>
                  <w:divBdr>
                    <w:top w:val="single" w:sz="2" w:space="0" w:color="D9D9E3"/>
                    <w:left w:val="single" w:sz="2" w:space="0" w:color="D9D9E3"/>
                    <w:bottom w:val="single" w:sz="2" w:space="0" w:color="D9D9E3"/>
                    <w:right w:val="single" w:sz="2" w:space="0" w:color="D9D9E3"/>
                  </w:divBdr>
                  <w:divsChild>
                    <w:div w:id="868181080">
                      <w:marLeft w:val="0"/>
                      <w:marRight w:val="0"/>
                      <w:marTop w:val="0"/>
                      <w:marBottom w:val="0"/>
                      <w:divBdr>
                        <w:top w:val="single" w:sz="2" w:space="0" w:color="D9D9E3"/>
                        <w:left w:val="single" w:sz="2" w:space="0" w:color="D9D9E3"/>
                        <w:bottom w:val="single" w:sz="2" w:space="0" w:color="D9D9E3"/>
                        <w:right w:val="single" w:sz="2" w:space="0" w:color="D9D9E3"/>
                      </w:divBdr>
                      <w:divsChild>
                        <w:div w:id="506409228">
                          <w:marLeft w:val="0"/>
                          <w:marRight w:val="0"/>
                          <w:marTop w:val="0"/>
                          <w:marBottom w:val="0"/>
                          <w:divBdr>
                            <w:top w:val="single" w:sz="2" w:space="0" w:color="auto"/>
                            <w:left w:val="single" w:sz="2" w:space="0" w:color="auto"/>
                            <w:bottom w:val="single" w:sz="6" w:space="0" w:color="auto"/>
                            <w:right w:val="single" w:sz="2" w:space="0" w:color="auto"/>
                          </w:divBdr>
                          <w:divsChild>
                            <w:div w:id="2137285463">
                              <w:marLeft w:val="0"/>
                              <w:marRight w:val="0"/>
                              <w:marTop w:val="100"/>
                              <w:marBottom w:val="100"/>
                              <w:divBdr>
                                <w:top w:val="single" w:sz="2" w:space="0" w:color="D9D9E3"/>
                                <w:left w:val="single" w:sz="2" w:space="0" w:color="D9D9E3"/>
                                <w:bottom w:val="single" w:sz="2" w:space="0" w:color="D9D9E3"/>
                                <w:right w:val="single" w:sz="2" w:space="0" w:color="D9D9E3"/>
                              </w:divBdr>
                              <w:divsChild>
                                <w:div w:id="723338158">
                                  <w:marLeft w:val="0"/>
                                  <w:marRight w:val="0"/>
                                  <w:marTop w:val="0"/>
                                  <w:marBottom w:val="0"/>
                                  <w:divBdr>
                                    <w:top w:val="single" w:sz="2" w:space="0" w:color="D9D9E3"/>
                                    <w:left w:val="single" w:sz="2" w:space="0" w:color="D9D9E3"/>
                                    <w:bottom w:val="single" w:sz="2" w:space="0" w:color="D9D9E3"/>
                                    <w:right w:val="single" w:sz="2" w:space="0" w:color="D9D9E3"/>
                                  </w:divBdr>
                                  <w:divsChild>
                                    <w:div w:id="1603756237">
                                      <w:marLeft w:val="0"/>
                                      <w:marRight w:val="0"/>
                                      <w:marTop w:val="0"/>
                                      <w:marBottom w:val="0"/>
                                      <w:divBdr>
                                        <w:top w:val="single" w:sz="2" w:space="0" w:color="D9D9E3"/>
                                        <w:left w:val="single" w:sz="2" w:space="0" w:color="D9D9E3"/>
                                        <w:bottom w:val="single" w:sz="2" w:space="0" w:color="D9D9E3"/>
                                        <w:right w:val="single" w:sz="2" w:space="0" w:color="D9D9E3"/>
                                      </w:divBdr>
                                      <w:divsChild>
                                        <w:div w:id="433398582">
                                          <w:marLeft w:val="0"/>
                                          <w:marRight w:val="0"/>
                                          <w:marTop w:val="0"/>
                                          <w:marBottom w:val="0"/>
                                          <w:divBdr>
                                            <w:top w:val="single" w:sz="2" w:space="0" w:color="D9D9E3"/>
                                            <w:left w:val="single" w:sz="2" w:space="0" w:color="D9D9E3"/>
                                            <w:bottom w:val="single" w:sz="2" w:space="0" w:color="D9D9E3"/>
                                            <w:right w:val="single" w:sz="2" w:space="0" w:color="D9D9E3"/>
                                          </w:divBdr>
                                          <w:divsChild>
                                            <w:div w:id="74937316">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 w:id="1733236473">
      <w:bodyDiv w:val="1"/>
      <w:marLeft w:val="0"/>
      <w:marRight w:val="0"/>
      <w:marTop w:val="0"/>
      <w:marBottom w:val="0"/>
      <w:divBdr>
        <w:top w:val="none" w:sz="0" w:space="0" w:color="auto"/>
        <w:left w:val="none" w:sz="0" w:space="0" w:color="auto"/>
        <w:bottom w:val="none" w:sz="0" w:space="0" w:color="auto"/>
        <w:right w:val="none" w:sz="0" w:space="0" w:color="auto"/>
      </w:divBdr>
      <w:divsChild>
        <w:div w:id="1890260065">
          <w:marLeft w:val="0"/>
          <w:marRight w:val="0"/>
          <w:marTop w:val="0"/>
          <w:marBottom w:val="0"/>
          <w:divBdr>
            <w:top w:val="none" w:sz="0" w:space="0" w:color="auto"/>
            <w:left w:val="none" w:sz="0" w:space="0" w:color="auto"/>
            <w:bottom w:val="none" w:sz="0" w:space="0" w:color="auto"/>
            <w:right w:val="none" w:sz="0" w:space="0" w:color="auto"/>
          </w:divBdr>
          <w:divsChild>
            <w:div w:id="544099490">
              <w:marLeft w:val="0"/>
              <w:marRight w:val="0"/>
              <w:marTop w:val="0"/>
              <w:marBottom w:val="0"/>
              <w:divBdr>
                <w:top w:val="none" w:sz="0" w:space="0" w:color="auto"/>
                <w:left w:val="none" w:sz="0" w:space="0" w:color="auto"/>
                <w:bottom w:val="none" w:sz="0" w:space="0" w:color="auto"/>
                <w:right w:val="none" w:sz="0" w:space="0" w:color="auto"/>
              </w:divBdr>
              <w:divsChild>
                <w:div w:id="511802941">
                  <w:marLeft w:val="0"/>
                  <w:marRight w:val="0"/>
                  <w:marTop w:val="0"/>
                  <w:marBottom w:val="0"/>
                  <w:divBdr>
                    <w:top w:val="none" w:sz="0" w:space="0" w:color="auto"/>
                    <w:left w:val="none" w:sz="0" w:space="0" w:color="auto"/>
                    <w:bottom w:val="none" w:sz="0" w:space="0" w:color="auto"/>
                    <w:right w:val="none" w:sz="0" w:space="0" w:color="auto"/>
                  </w:divBdr>
                </w:div>
              </w:divsChild>
            </w:div>
            <w:div w:id="853424983">
              <w:marLeft w:val="0"/>
              <w:marRight w:val="0"/>
              <w:marTop w:val="0"/>
              <w:marBottom w:val="0"/>
              <w:divBdr>
                <w:top w:val="none" w:sz="0" w:space="0" w:color="auto"/>
                <w:left w:val="none" w:sz="0" w:space="0" w:color="auto"/>
                <w:bottom w:val="none" w:sz="0" w:space="0" w:color="auto"/>
                <w:right w:val="none" w:sz="0" w:space="0" w:color="auto"/>
              </w:divBdr>
              <w:divsChild>
                <w:div w:id="12446867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9131496">
          <w:marLeft w:val="0"/>
          <w:marRight w:val="0"/>
          <w:marTop w:val="0"/>
          <w:marBottom w:val="0"/>
          <w:divBdr>
            <w:top w:val="none" w:sz="0" w:space="0" w:color="auto"/>
            <w:left w:val="none" w:sz="0" w:space="0" w:color="auto"/>
            <w:bottom w:val="none" w:sz="0" w:space="0" w:color="auto"/>
            <w:right w:val="none" w:sz="0" w:space="0" w:color="auto"/>
          </w:divBdr>
          <w:divsChild>
            <w:div w:id="1550534694">
              <w:marLeft w:val="0"/>
              <w:marRight w:val="0"/>
              <w:marTop w:val="0"/>
              <w:marBottom w:val="0"/>
              <w:divBdr>
                <w:top w:val="none" w:sz="0" w:space="0" w:color="auto"/>
                <w:left w:val="none" w:sz="0" w:space="0" w:color="auto"/>
                <w:bottom w:val="none" w:sz="0" w:space="0" w:color="auto"/>
                <w:right w:val="none" w:sz="0" w:space="0" w:color="auto"/>
              </w:divBdr>
              <w:divsChild>
                <w:div w:id="13030782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0033810">
      <w:bodyDiv w:val="1"/>
      <w:marLeft w:val="0"/>
      <w:marRight w:val="0"/>
      <w:marTop w:val="0"/>
      <w:marBottom w:val="0"/>
      <w:divBdr>
        <w:top w:val="none" w:sz="0" w:space="0" w:color="auto"/>
        <w:left w:val="none" w:sz="0" w:space="0" w:color="auto"/>
        <w:bottom w:val="none" w:sz="0" w:space="0" w:color="auto"/>
        <w:right w:val="none" w:sz="0" w:space="0" w:color="auto"/>
      </w:divBdr>
      <w:divsChild>
        <w:div w:id="625552586">
          <w:marLeft w:val="446"/>
          <w:marRight w:val="0"/>
          <w:marTop w:val="200"/>
          <w:marBottom w:val="0"/>
          <w:divBdr>
            <w:top w:val="none" w:sz="0" w:space="0" w:color="auto"/>
            <w:left w:val="none" w:sz="0" w:space="0" w:color="auto"/>
            <w:bottom w:val="none" w:sz="0" w:space="0" w:color="auto"/>
            <w:right w:val="none" w:sz="0" w:space="0" w:color="auto"/>
          </w:divBdr>
        </w:div>
      </w:divsChild>
    </w:div>
    <w:div w:id="1762028131">
      <w:bodyDiv w:val="1"/>
      <w:marLeft w:val="0"/>
      <w:marRight w:val="0"/>
      <w:marTop w:val="0"/>
      <w:marBottom w:val="0"/>
      <w:divBdr>
        <w:top w:val="none" w:sz="0" w:space="0" w:color="auto"/>
        <w:left w:val="none" w:sz="0" w:space="0" w:color="auto"/>
        <w:bottom w:val="none" w:sz="0" w:space="0" w:color="auto"/>
        <w:right w:val="none" w:sz="0" w:space="0" w:color="auto"/>
      </w:divBdr>
    </w:div>
    <w:div w:id="1762680786">
      <w:bodyDiv w:val="1"/>
      <w:marLeft w:val="0"/>
      <w:marRight w:val="0"/>
      <w:marTop w:val="0"/>
      <w:marBottom w:val="0"/>
      <w:divBdr>
        <w:top w:val="none" w:sz="0" w:space="0" w:color="auto"/>
        <w:left w:val="none" w:sz="0" w:space="0" w:color="auto"/>
        <w:bottom w:val="none" w:sz="0" w:space="0" w:color="auto"/>
        <w:right w:val="none" w:sz="0" w:space="0" w:color="auto"/>
      </w:divBdr>
    </w:div>
    <w:div w:id="1769739361">
      <w:bodyDiv w:val="1"/>
      <w:marLeft w:val="0"/>
      <w:marRight w:val="0"/>
      <w:marTop w:val="0"/>
      <w:marBottom w:val="0"/>
      <w:divBdr>
        <w:top w:val="none" w:sz="0" w:space="0" w:color="auto"/>
        <w:left w:val="none" w:sz="0" w:space="0" w:color="auto"/>
        <w:bottom w:val="none" w:sz="0" w:space="0" w:color="auto"/>
        <w:right w:val="none" w:sz="0" w:space="0" w:color="auto"/>
      </w:divBdr>
      <w:divsChild>
        <w:div w:id="1463499332">
          <w:marLeft w:val="547"/>
          <w:marRight w:val="115"/>
          <w:marTop w:val="120"/>
          <w:marBottom w:val="120"/>
          <w:divBdr>
            <w:top w:val="none" w:sz="0" w:space="0" w:color="auto"/>
            <w:left w:val="none" w:sz="0" w:space="0" w:color="auto"/>
            <w:bottom w:val="none" w:sz="0" w:space="0" w:color="auto"/>
            <w:right w:val="none" w:sz="0" w:space="0" w:color="auto"/>
          </w:divBdr>
        </w:div>
      </w:divsChild>
    </w:div>
    <w:div w:id="1780098368">
      <w:bodyDiv w:val="1"/>
      <w:marLeft w:val="0"/>
      <w:marRight w:val="0"/>
      <w:marTop w:val="0"/>
      <w:marBottom w:val="0"/>
      <w:divBdr>
        <w:top w:val="none" w:sz="0" w:space="0" w:color="auto"/>
        <w:left w:val="none" w:sz="0" w:space="0" w:color="auto"/>
        <w:bottom w:val="none" w:sz="0" w:space="0" w:color="auto"/>
        <w:right w:val="none" w:sz="0" w:space="0" w:color="auto"/>
      </w:divBdr>
      <w:divsChild>
        <w:div w:id="494228852">
          <w:marLeft w:val="0"/>
          <w:marRight w:val="0"/>
          <w:marTop w:val="0"/>
          <w:marBottom w:val="0"/>
          <w:divBdr>
            <w:top w:val="none" w:sz="0" w:space="0" w:color="auto"/>
            <w:left w:val="none" w:sz="0" w:space="0" w:color="auto"/>
            <w:bottom w:val="none" w:sz="0" w:space="0" w:color="auto"/>
            <w:right w:val="none" w:sz="0" w:space="0" w:color="auto"/>
          </w:divBdr>
          <w:divsChild>
            <w:div w:id="119303043">
              <w:marLeft w:val="0"/>
              <w:marRight w:val="0"/>
              <w:marTop w:val="0"/>
              <w:marBottom w:val="0"/>
              <w:divBdr>
                <w:top w:val="none" w:sz="0" w:space="0" w:color="auto"/>
                <w:left w:val="none" w:sz="0" w:space="0" w:color="auto"/>
                <w:bottom w:val="none" w:sz="0" w:space="0" w:color="auto"/>
                <w:right w:val="none" w:sz="0" w:space="0" w:color="auto"/>
              </w:divBdr>
              <w:divsChild>
                <w:div w:id="3244826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0080471">
      <w:bodyDiv w:val="1"/>
      <w:marLeft w:val="0"/>
      <w:marRight w:val="0"/>
      <w:marTop w:val="0"/>
      <w:marBottom w:val="0"/>
      <w:divBdr>
        <w:top w:val="none" w:sz="0" w:space="0" w:color="auto"/>
        <w:left w:val="none" w:sz="0" w:space="0" w:color="auto"/>
        <w:bottom w:val="none" w:sz="0" w:space="0" w:color="auto"/>
        <w:right w:val="none" w:sz="0" w:space="0" w:color="auto"/>
      </w:divBdr>
      <w:divsChild>
        <w:div w:id="92406140">
          <w:marLeft w:val="0"/>
          <w:marRight w:val="0"/>
          <w:marTop w:val="0"/>
          <w:marBottom w:val="0"/>
          <w:divBdr>
            <w:top w:val="none" w:sz="0" w:space="0" w:color="auto"/>
            <w:left w:val="none" w:sz="0" w:space="0" w:color="auto"/>
            <w:bottom w:val="none" w:sz="0" w:space="0" w:color="auto"/>
            <w:right w:val="none" w:sz="0" w:space="0" w:color="auto"/>
          </w:divBdr>
        </w:div>
        <w:div w:id="915675651">
          <w:marLeft w:val="0"/>
          <w:marRight w:val="0"/>
          <w:marTop w:val="0"/>
          <w:marBottom w:val="0"/>
          <w:divBdr>
            <w:top w:val="none" w:sz="0" w:space="0" w:color="auto"/>
            <w:left w:val="none" w:sz="0" w:space="0" w:color="auto"/>
            <w:bottom w:val="none" w:sz="0" w:space="0" w:color="auto"/>
            <w:right w:val="none" w:sz="0" w:space="0" w:color="auto"/>
          </w:divBdr>
        </w:div>
        <w:div w:id="944994301">
          <w:marLeft w:val="0"/>
          <w:marRight w:val="0"/>
          <w:marTop w:val="0"/>
          <w:marBottom w:val="0"/>
          <w:divBdr>
            <w:top w:val="none" w:sz="0" w:space="0" w:color="auto"/>
            <w:left w:val="none" w:sz="0" w:space="0" w:color="auto"/>
            <w:bottom w:val="none" w:sz="0" w:space="0" w:color="auto"/>
            <w:right w:val="none" w:sz="0" w:space="0" w:color="auto"/>
          </w:divBdr>
        </w:div>
        <w:div w:id="1028263392">
          <w:marLeft w:val="0"/>
          <w:marRight w:val="0"/>
          <w:marTop w:val="0"/>
          <w:marBottom w:val="0"/>
          <w:divBdr>
            <w:top w:val="none" w:sz="0" w:space="0" w:color="auto"/>
            <w:left w:val="none" w:sz="0" w:space="0" w:color="auto"/>
            <w:bottom w:val="none" w:sz="0" w:space="0" w:color="auto"/>
            <w:right w:val="none" w:sz="0" w:space="0" w:color="auto"/>
          </w:divBdr>
        </w:div>
        <w:div w:id="1137796873">
          <w:marLeft w:val="0"/>
          <w:marRight w:val="0"/>
          <w:marTop w:val="0"/>
          <w:marBottom w:val="0"/>
          <w:divBdr>
            <w:top w:val="none" w:sz="0" w:space="0" w:color="auto"/>
            <w:left w:val="none" w:sz="0" w:space="0" w:color="auto"/>
            <w:bottom w:val="none" w:sz="0" w:space="0" w:color="auto"/>
            <w:right w:val="none" w:sz="0" w:space="0" w:color="auto"/>
          </w:divBdr>
        </w:div>
        <w:div w:id="1292243332">
          <w:marLeft w:val="0"/>
          <w:marRight w:val="0"/>
          <w:marTop w:val="0"/>
          <w:marBottom w:val="0"/>
          <w:divBdr>
            <w:top w:val="none" w:sz="0" w:space="0" w:color="auto"/>
            <w:left w:val="none" w:sz="0" w:space="0" w:color="auto"/>
            <w:bottom w:val="none" w:sz="0" w:space="0" w:color="auto"/>
            <w:right w:val="none" w:sz="0" w:space="0" w:color="auto"/>
          </w:divBdr>
        </w:div>
        <w:div w:id="1301958299">
          <w:marLeft w:val="0"/>
          <w:marRight w:val="0"/>
          <w:marTop w:val="0"/>
          <w:marBottom w:val="0"/>
          <w:divBdr>
            <w:top w:val="none" w:sz="0" w:space="0" w:color="auto"/>
            <w:left w:val="none" w:sz="0" w:space="0" w:color="auto"/>
            <w:bottom w:val="none" w:sz="0" w:space="0" w:color="auto"/>
            <w:right w:val="none" w:sz="0" w:space="0" w:color="auto"/>
          </w:divBdr>
        </w:div>
        <w:div w:id="1612593411">
          <w:marLeft w:val="0"/>
          <w:marRight w:val="0"/>
          <w:marTop w:val="0"/>
          <w:marBottom w:val="0"/>
          <w:divBdr>
            <w:top w:val="none" w:sz="0" w:space="0" w:color="auto"/>
            <w:left w:val="none" w:sz="0" w:space="0" w:color="auto"/>
            <w:bottom w:val="none" w:sz="0" w:space="0" w:color="auto"/>
            <w:right w:val="none" w:sz="0" w:space="0" w:color="auto"/>
          </w:divBdr>
        </w:div>
        <w:div w:id="1779526529">
          <w:marLeft w:val="0"/>
          <w:marRight w:val="0"/>
          <w:marTop w:val="0"/>
          <w:marBottom w:val="0"/>
          <w:divBdr>
            <w:top w:val="none" w:sz="0" w:space="0" w:color="auto"/>
            <w:left w:val="none" w:sz="0" w:space="0" w:color="auto"/>
            <w:bottom w:val="none" w:sz="0" w:space="0" w:color="auto"/>
            <w:right w:val="none" w:sz="0" w:space="0" w:color="auto"/>
          </w:divBdr>
        </w:div>
        <w:div w:id="1985814972">
          <w:marLeft w:val="0"/>
          <w:marRight w:val="0"/>
          <w:marTop w:val="0"/>
          <w:marBottom w:val="0"/>
          <w:divBdr>
            <w:top w:val="none" w:sz="0" w:space="0" w:color="auto"/>
            <w:left w:val="none" w:sz="0" w:space="0" w:color="auto"/>
            <w:bottom w:val="none" w:sz="0" w:space="0" w:color="auto"/>
            <w:right w:val="none" w:sz="0" w:space="0" w:color="auto"/>
          </w:divBdr>
        </w:div>
        <w:div w:id="2060009279">
          <w:marLeft w:val="0"/>
          <w:marRight w:val="0"/>
          <w:marTop w:val="0"/>
          <w:marBottom w:val="0"/>
          <w:divBdr>
            <w:top w:val="none" w:sz="0" w:space="0" w:color="auto"/>
            <w:left w:val="none" w:sz="0" w:space="0" w:color="auto"/>
            <w:bottom w:val="none" w:sz="0" w:space="0" w:color="auto"/>
            <w:right w:val="none" w:sz="0" w:space="0" w:color="auto"/>
          </w:divBdr>
        </w:div>
      </w:divsChild>
    </w:div>
    <w:div w:id="1803885396">
      <w:bodyDiv w:val="1"/>
      <w:marLeft w:val="0"/>
      <w:marRight w:val="0"/>
      <w:marTop w:val="0"/>
      <w:marBottom w:val="0"/>
      <w:divBdr>
        <w:top w:val="none" w:sz="0" w:space="0" w:color="auto"/>
        <w:left w:val="none" w:sz="0" w:space="0" w:color="auto"/>
        <w:bottom w:val="none" w:sz="0" w:space="0" w:color="auto"/>
        <w:right w:val="none" w:sz="0" w:space="0" w:color="auto"/>
      </w:divBdr>
    </w:div>
    <w:div w:id="1810779280">
      <w:bodyDiv w:val="1"/>
      <w:marLeft w:val="0"/>
      <w:marRight w:val="0"/>
      <w:marTop w:val="0"/>
      <w:marBottom w:val="0"/>
      <w:divBdr>
        <w:top w:val="none" w:sz="0" w:space="0" w:color="auto"/>
        <w:left w:val="none" w:sz="0" w:space="0" w:color="auto"/>
        <w:bottom w:val="none" w:sz="0" w:space="0" w:color="auto"/>
        <w:right w:val="none" w:sz="0" w:space="0" w:color="auto"/>
      </w:divBdr>
    </w:div>
    <w:div w:id="1843154808">
      <w:bodyDiv w:val="1"/>
      <w:marLeft w:val="0"/>
      <w:marRight w:val="0"/>
      <w:marTop w:val="0"/>
      <w:marBottom w:val="0"/>
      <w:divBdr>
        <w:top w:val="none" w:sz="0" w:space="0" w:color="auto"/>
        <w:left w:val="none" w:sz="0" w:space="0" w:color="auto"/>
        <w:bottom w:val="none" w:sz="0" w:space="0" w:color="auto"/>
        <w:right w:val="none" w:sz="0" w:space="0" w:color="auto"/>
      </w:divBdr>
    </w:div>
    <w:div w:id="1868564243">
      <w:bodyDiv w:val="1"/>
      <w:marLeft w:val="0"/>
      <w:marRight w:val="0"/>
      <w:marTop w:val="0"/>
      <w:marBottom w:val="0"/>
      <w:divBdr>
        <w:top w:val="none" w:sz="0" w:space="0" w:color="auto"/>
        <w:left w:val="none" w:sz="0" w:space="0" w:color="auto"/>
        <w:bottom w:val="none" w:sz="0" w:space="0" w:color="auto"/>
        <w:right w:val="none" w:sz="0" w:space="0" w:color="auto"/>
      </w:divBdr>
    </w:div>
    <w:div w:id="1891844476">
      <w:bodyDiv w:val="1"/>
      <w:marLeft w:val="0"/>
      <w:marRight w:val="0"/>
      <w:marTop w:val="0"/>
      <w:marBottom w:val="0"/>
      <w:divBdr>
        <w:top w:val="none" w:sz="0" w:space="0" w:color="auto"/>
        <w:left w:val="none" w:sz="0" w:space="0" w:color="auto"/>
        <w:bottom w:val="none" w:sz="0" w:space="0" w:color="auto"/>
        <w:right w:val="none" w:sz="0" w:space="0" w:color="auto"/>
      </w:divBdr>
    </w:div>
    <w:div w:id="1907571857">
      <w:bodyDiv w:val="1"/>
      <w:marLeft w:val="0"/>
      <w:marRight w:val="0"/>
      <w:marTop w:val="0"/>
      <w:marBottom w:val="0"/>
      <w:divBdr>
        <w:top w:val="none" w:sz="0" w:space="0" w:color="auto"/>
        <w:left w:val="none" w:sz="0" w:space="0" w:color="auto"/>
        <w:bottom w:val="none" w:sz="0" w:space="0" w:color="auto"/>
        <w:right w:val="none" w:sz="0" w:space="0" w:color="auto"/>
      </w:divBdr>
    </w:div>
    <w:div w:id="1930235065">
      <w:bodyDiv w:val="1"/>
      <w:marLeft w:val="0"/>
      <w:marRight w:val="0"/>
      <w:marTop w:val="0"/>
      <w:marBottom w:val="0"/>
      <w:divBdr>
        <w:top w:val="none" w:sz="0" w:space="0" w:color="auto"/>
        <w:left w:val="none" w:sz="0" w:space="0" w:color="auto"/>
        <w:bottom w:val="none" w:sz="0" w:space="0" w:color="auto"/>
        <w:right w:val="none" w:sz="0" w:space="0" w:color="auto"/>
      </w:divBdr>
    </w:div>
    <w:div w:id="1968271702">
      <w:bodyDiv w:val="1"/>
      <w:marLeft w:val="0"/>
      <w:marRight w:val="0"/>
      <w:marTop w:val="0"/>
      <w:marBottom w:val="0"/>
      <w:divBdr>
        <w:top w:val="none" w:sz="0" w:space="0" w:color="auto"/>
        <w:left w:val="none" w:sz="0" w:space="0" w:color="auto"/>
        <w:bottom w:val="none" w:sz="0" w:space="0" w:color="auto"/>
        <w:right w:val="none" w:sz="0" w:space="0" w:color="auto"/>
      </w:divBdr>
    </w:div>
    <w:div w:id="2000645911">
      <w:bodyDiv w:val="1"/>
      <w:marLeft w:val="0"/>
      <w:marRight w:val="0"/>
      <w:marTop w:val="0"/>
      <w:marBottom w:val="0"/>
      <w:divBdr>
        <w:top w:val="none" w:sz="0" w:space="0" w:color="auto"/>
        <w:left w:val="none" w:sz="0" w:space="0" w:color="auto"/>
        <w:bottom w:val="none" w:sz="0" w:space="0" w:color="auto"/>
        <w:right w:val="none" w:sz="0" w:space="0" w:color="auto"/>
      </w:divBdr>
      <w:divsChild>
        <w:div w:id="742751430">
          <w:marLeft w:val="0"/>
          <w:marRight w:val="0"/>
          <w:marTop w:val="0"/>
          <w:marBottom w:val="0"/>
          <w:divBdr>
            <w:top w:val="none" w:sz="0" w:space="0" w:color="auto"/>
            <w:left w:val="none" w:sz="0" w:space="0" w:color="auto"/>
            <w:bottom w:val="none" w:sz="0" w:space="0" w:color="auto"/>
            <w:right w:val="none" w:sz="0" w:space="0" w:color="auto"/>
          </w:divBdr>
          <w:divsChild>
            <w:div w:id="600798774">
              <w:marLeft w:val="0"/>
              <w:marRight w:val="0"/>
              <w:marTop w:val="0"/>
              <w:marBottom w:val="0"/>
              <w:divBdr>
                <w:top w:val="none" w:sz="0" w:space="0" w:color="auto"/>
                <w:left w:val="none" w:sz="0" w:space="0" w:color="auto"/>
                <w:bottom w:val="none" w:sz="0" w:space="0" w:color="auto"/>
                <w:right w:val="none" w:sz="0" w:space="0" w:color="auto"/>
              </w:divBdr>
              <w:divsChild>
                <w:div w:id="12084883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3851390">
      <w:bodyDiv w:val="1"/>
      <w:marLeft w:val="0"/>
      <w:marRight w:val="0"/>
      <w:marTop w:val="0"/>
      <w:marBottom w:val="0"/>
      <w:divBdr>
        <w:top w:val="none" w:sz="0" w:space="0" w:color="auto"/>
        <w:left w:val="none" w:sz="0" w:space="0" w:color="auto"/>
        <w:bottom w:val="none" w:sz="0" w:space="0" w:color="auto"/>
        <w:right w:val="none" w:sz="0" w:space="0" w:color="auto"/>
      </w:divBdr>
      <w:divsChild>
        <w:div w:id="132450179">
          <w:marLeft w:val="547"/>
          <w:marRight w:val="115"/>
          <w:marTop w:val="120"/>
          <w:marBottom w:val="120"/>
          <w:divBdr>
            <w:top w:val="none" w:sz="0" w:space="0" w:color="auto"/>
            <w:left w:val="none" w:sz="0" w:space="0" w:color="auto"/>
            <w:bottom w:val="none" w:sz="0" w:space="0" w:color="auto"/>
            <w:right w:val="none" w:sz="0" w:space="0" w:color="auto"/>
          </w:divBdr>
        </w:div>
        <w:div w:id="1044712835">
          <w:marLeft w:val="1267"/>
          <w:marRight w:val="115"/>
          <w:marTop w:val="120"/>
          <w:marBottom w:val="120"/>
          <w:divBdr>
            <w:top w:val="none" w:sz="0" w:space="0" w:color="auto"/>
            <w:left w:val="none" w:sz="0" w:space="0" w:color="auto"/>
            <w:bottom w:val="none" w:sz="0" w:space="0" w:color="auto"/>
            <w:right w:val="none" w:sz="0" w:space="0" w:color="auto"/>
          </w:divBdr>
        </w:div>
        <w:div w:id="1352100968">
          <w:marLeft w:val="1267"/>
          <w:marRight w:val="115"/>
          <w:marTop w:val="120"/>
          <w:marBottom w:val="120"/>
          <w:divBdr>
            <w:top w:val="none" w:sz="0" w:space="0" w:color="auto"/>
            <w:left w:val="none" w:sz="0" w:space="0" w:color="auto"/>
            <w:bottom w:val="none" w:sz="0" w:space="0" w:color="auto"/>
            <w:right w:val="none" w:sz="0" w:space="0" w:color="auto"/>
          </w:divBdr>
        </w:div>
      </w:divsChild>
    </w:div>
    <w:div w:id="2024935141">
      <w:bodyDiv w:val="1"/>
      <w:marLeft w:val="0"/>
      <w:marRight w:val="0"/>
      <w:marTop w:val="0"/>
      <w:marBottom w:val="0"/>
      <w:divBdr>
        <w:top w:val="none" w:sz="0" w:space="0" w:color="auto"/>
        <w:left w:val="none" w:sz="0" w:space="0" w:color="auto"/>
        <w:bottom w:val="none" w:sz="0" w:space="0" w:color="auto"/>
        <w:right w:val="none" w:sz="0" w:space="0" w:color="auto"/>
      </w:divBdr>
    </w:div>
    <w:div w:id="2025858620">
      <w:bodyDiv w:val="1"/>
      <w:marLeft w:val="0"/>
      <w:marRight w:val="0"/>
      <w:marTop w:val="0"/>
      <w:marBottom w:val="0"/>
      <w:divBdr>
        <w:top w:val="none" w:sz="0" w:space="0" w:color="auto"/>
        <w:left w:val="none" w:sz="0" w:space="0" w:color="auto"/>
        <w:bottom w:val="none" w:sz="0" w:space="0" w:color="auto"/>
        <w:right w:val="none" w:sz="0" w:space="0" w:color="auto"/>
      </w:divBdr>
      <w:divsChild>
        <w:div w:id="1645961933">
          <w:marLeft w:val="0"/>
          <w:marRight w:val="0"/>
          <w:marTop w:val="0"/>
          <w:marBottom w:val="0"/>
          <w:divBdr>
            <w:top w:val="none" w:sz="0" w:space="0" w:color="auto"/>
            <w:left w:val="none" w:sz="0" w:space="0" w:color="auto"/>
            <w:bottom w:val="none" w:sz="0" w:space="0" w:color="auto"/>
            <w:right w:val="none" w:sz="0" w:space="0" w:color="auto"/>
          </w:divBdr>
          <w:divsChild>
            <w:div w:id="166940430">
              <w:marLeft w:val="0"/>
              <w:marRight w:val="0"/>
              <w:marTop w:val="0"/>
              <w:marBottom w:val="0"/>
              <w:divBdr>
                <w:top w:val="none" w:sz="0" w:space="0" w:color="auto"/>
                <w:left w:val="none" w:sz="0" w:space="0" w:color="auto"/>
                <w:bottom w:val="none" w:sz="0" w:space="0" w:color="auto"/>
                <w:right w:val="none" w:sz="0" w:space="0" w:color="auto"/>
              </w:divBdr>
              <w:divsChild>
                <w:div w:id="1716348755">
                  <w:marLeft w:val="0"/>
                  <w:marRight w:val="0"/>
                  <w:marTop w:val="0"/>
                  <w:marBottom w:val="0"/>
                  <w:divBdr>
                    <w:top w:val="none" w:sz="0" w:space="0" w:color="auto"/>
                    <w:left w:val="none" w:sz="0" w:space="0" w:color="auto"/>
                    <w:bottom w:val="none" w:sz="0" w:space="0" w:color="auto"/>
                    <w:right w:val="none" w:sz="0" w:space="0" w:color="auto"/>
                  </w:divBdr>
                  <w:divsChild>
                    <w:div w:id="15497606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29021523">
      <w:bodyDiv w:val="1"/>
      <w:marLeft w:val="0"/>
      <w:marRight w:val="0"/>
      <w:marTop w:val="0"/>
      <w:marBottom w:val="0"/>
      <w:divBdr>
        <w:top w:val="none" w:sz="0" w:space="0" w:color="auto"/>
        <w:left w:val="none" w:sz="0" w:space="0" w:color="auto"/>
        <w:bottom w:val="none" w:sz="0" w:space="0" w:color="auto"/>
        <w:right w:val="none" w:sz="0" w:space="0" w:color="auto"/>
      </w:divBdr>
    </w:div>
    <w:div w:id="2097247750">
      <w:bodyDiv w:val="1"/>
      <w:marLeft w:val="0"/>
      <w:marRight w:val="0"/>
      <w:marTop w:val="0"/>
      <w:marBottom w:val="0"/>
      <w:divBdr>
        <w:top w:val="none" w:sz="0" w:space="0" w:color="auto"/>
        <w:left w:val="none" w:sz="0" w:space="0" w:color="auto"/>
        <w:bottom w:val="none" w:sz="0" w:space="0" w:color="auto"/>
        <w:right w:val="none" w:sz="0" w:space="0" w:color="auto"/>
      </w:divBdr>
      <w:divsChild>
        <w:div w:id="1684936362">
          <w:marLeft w:val="0"/>
          <w:marRight w:val="0"/>
          <w:marTop w:val="0"/>
          <w:marBottom w:val="0"/>
          <w:divBdr>
            <w:top w:val="none" w:sz="0" w:space="0" w:color="auto"/>
            <w:left w:val="none" w:sz="0" w:space="0" w:color="auto"/>
            <w:bottom w:val="none" w:sz="0" w:space="0" w:color="auto"/>
            <w:right w:val="none" w:sz="0" w:space="0" w:color="auto"/>
          </w:divBdr>
          <w:divsChild>
            <w:div w:id="705566310">
              <w:marLeft w:val="0"/>
              <w:marRight w:val="0"/>
              <w:marTop w:val="0"/>
              <w:marBottom w:val="0"/>
              <w:divBdr>
                <w:top w:val="none" w:sz="0" w:space="0" w:color="auto"/>
                <w:left w:val="none" w:sz="0" w:space="0" w:color="auto"/>
                <w:bottom w:val="none" w:sz="0" w:space="0" w:color="auto"/>
                <w:right w:val="none" w:sz="0" w:space="0" w:color="auto"/>
              </w:divBdr>
              <w:divsChild>
                <w:div w:id="5540479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0327862">
      <w:bodyDiv w:val="1"/>
      <w:marLeft w:val="0"/>
      <w:marRight w:val="0"/>
      <w:marTop w:val="0"/>
      <w:marBottom w:val="0"/>
      <w:divBdr>
        <w:top w:val="none" w:sz="0" w:space="0" w:color="auto"/>
        <w:left w:val="none" w:sz="0" w:space="0" w:color="auto"/>
        <w:bottom w:val="none" w:sz="0" w:space="0" w:color="auto"/>
        <w:right w:val="none" w:sz="0" w:space="0" w:color="auto"/>
      </w:divBdr>
      <w:divsChild>
        <w:div w:id="128325103">
          <w:marLeft w:val="0"/>
          <w:marRight w:val="0"/>
          <w:marTop w:val="0"/>
          <w:marBottom w:val="0"/>
          <w:divBdr>
            <w:top w:val="none" w:sz="0" w:space="0" w:color="auto"/>
            <w:left w:val="none" w:sz="0" w:space="0" w:color="auto"/>
            <w:bottom w:val="none" w:sz="0" w:space="0" w:color="auto"/>
            <w:right w:val="none" w:sz="0" w:space="0" w:color="auto"/>
          </w:divBdr>
          <w:divsChild>
            <w:div w:id="1961453355">
              <w:marLeft w:val="0"/>
              <w:marRight w:val="0"/>
              <w:marTop w:val="0"/>
              <w:marBottom w:val="0"/>
              <w:divBdr>
                <w:top w:val="none" w:sz="0" w:space="0" w:color="auto"/>
                <w:left w:val="none" w:sz="0" w:space="0" w:color="auto"/>
                <w:bottom w:val="none" w:sz="0" w:space="0" w:color="auto"/>
                <w:right w:val="none" w:sz="0" w:space="0" w:color="auto"/>
              </w:divBdr>
              <w:divsChild>
                <w:div w:id="14796117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0836097">
      <w:bodyDiv w:val="1"/>
      <w:marLeft w:val="0"/>
      <w:marRight w:val="0"/>
      <w:marTop w:val="0"/>
      <w:marBottom w:val="0"/>
      <w:divBdr>
        <w:top w:val="none" w:sz="0" w:space="0" w:color="auto"/>
        <w:left w:val="none" w:sz="0" w:space="0" w:color="auto"/>
        <w:bottom w:val="none" w:sz="0" w:space="0" w:color="auto"/>
        <w:right w:val="none" w:sz="0" w:space="0" w:color="auto"/>
      </w:divBdr>
      <w:divsChild>
        <w:div w:id="1891647999">
          <w:marLeft w:val="0"/>
          <w:marRight w:val="0"/>
          <w:marTop w:val="0"/>
          <w:marBottom w:val="0"/>
          <w:divBdr>
            <w:top w:val="none" w:sz="0" w:space="0" w:color="auto"/>
            <w:left w:val="none" w:sz="0" w:space="0" w:color="auto"/>
            <w:bottom w:val="none" w:sz="0" w:space="0" w:color="auto"/>
            <w:right w:val="none" w:sz="0" w:space="0" w:color="auto"/>
          </w:divBdr>
          <w:divsChild>
            <w:div w:id="1809660525">
              <w:marLeft w:val="0"/>
              <w:marRight w:val="0"/>
              <w:marTop w:val="0"/>
              <w:marBottom w:val="0"/>
              <w:divBdr>
                <w:top w:val="none" w:sz="0" w:space="0" w:color="auto"/>
                <w:left w:val="none" w:sz="0" w:space="0" w:color="auto"/>
                <w:bottom w:val="none" w:sz="0" w:space="0" w:color="auto"/>
                <w:right w:val="none" w:sz="0" w:space="0" w:color="auto"/>
              </w:divBdr>
              <w:divsChild>
                <w:div w:id="20114463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3570894">
      <w:bodyDiv w:val="1"/>
      <w:marLeft w:val="0"/>
      <w:marRight w:val="0"/>
      <w:marTop w:val="0"/>
      <w:marBottom w:val="0"/>
      <w:divBdr>
        <w:top w:val="none" w:sz="0" w:space="0" w:color="auto"/>
        <w:left w:val="none" w:sz="0" w:space="0" w:color="auto"/>
        <w:bottom w:val="none" w:sz="0" w:space="0" w:color="auto"/>
        <w:right w:val="none" w:sz="0" w:space="0" w:color="auto"/>
      </w:divBdr>
      <w:divsChild>
        <w:div w:id="188028042">
          <w:marLeft w:val="0"/>
          <w:marRight w:val="0"/>
          <w:marTop w:val="0"/>
          <w:marBottom w:val="0"/>
          <w:divBdr>
            <w:top w:val="none" w:sz="0" w:space="0" w:color="auto"/>
            <w:left w:val="none" w:sz="0" w:space="0" w:color="auto"/>
            <w:bottom w:val="none" w:sz="0" w:space="0" w:color="auto"/>
            <w:right w:val="none" w:sz="0" w:space="0" w:color="auto"/>
          </w:divBdr>
          <w:divsChild>
            <w:div w:id="1688602945">
              <w:marLeft w:val="0"/>
              <w:marRight w:val="0"/>
              <w:marTop w:val="0"/>
              <w:marBottom w:val="0"/>
              <w:divBdr>
                <w:top w:val="single" w:sz="2" w:space="0" w:color="D9D9E3"/>
                <w:left w:val="single" w:sz="2" w:space="0" w:color="D9D9E3"/>
                <w:bottom w:val="single" w:sz="2" w:space="0" w:color="D9D9E3"/>
                <w:right w:val="single" w:sz="2" w:space="0" w:color="D9D9E3"/>
              </w:divBdr>
              <w:divsChild>
                <w:div w:id="1819570370">
                  <w:marLeft w:val="0"/>
                  <w:marRight w:val="0"/>
                  <w:marTop w:val="0"/>
                  <w:marBottom w:val="0"/>
                  <w:divBdr>
                    <w:top w:val="single" w:sz="2" w:space="0" w:color="D9D9E3"/>
                    <w:left w:val="single" w:sz="2" w:space="0" w:color="D9D9E3"/>
                    <w:bottom w:val="single" w:sz="2" w:space="0" w:color="D9D9E3"/>
                    <w:right w:val="single" w:sz="2" w:space="0" w:color="D9D9E3"/>
                  </w:divBdr>
                  <w:divsChild>
                    <w:div w:id="156849224">
                      <w:marLeft w:val="0"/>
                      <w:marRight w:val="0"/>
                      <w:marTop w:val="0"/>
                      <w:marBottom w:val="0"/>
                      <w:divBdr>
                        <w:top w:val="single" w:sz="2" w:space="0" w:color="D9D9E3"/>
                        <w:left w:val="single" w:sz="2" w:space="0" w:color="D9D9E3"/>
                        <w:bottom w:val="single" w:sz="2" w:space="0" w:color="D9D9E3"/>
                        <w:right w:val="single" w:sz="2" w:space="0" w:color="D9D9E3"/>
                      </w:divBdr>
                      <w:divsChild>
                        <w:div w:id="1699310890">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 w:id="1672103159">
          <w:marLeft w:val="0"/>
          <w:marRight w:val="0"/>
          <w:marTop w:val="0"/>
          <w:marBottom w:val="0"/>
          <w:divBdr>
            <w:top w:val="single" w:sz="2" w:space="0" w:color="D9D9E3"/>
            <w:left w:val="single" w:sz="2" w:space="0" w:color="D9D9E3"/>
            <w:bottom w:val="single" w:sz="2" w:space="0" w:color="D9D9E3"/>
            <w:right w:val="single" w:sz="2" w:space="0" w:color="D9D9E3"/>
          </w:divBdr>
          <w:divsChild>
            <w:div w:id="936791935">
              <w:marLeft w:val="0"/>
              <w:marRight w:val="0"/>
              <w:marTop w:val="0"/>
              <w:marBottom w:val="0"/>
              <w:divBdr>
                <w:top w:val="single" w:sz="2" w:space="0" w:color="D9D9E3"/>
                <w:left w:val="single" w:sz="2" w:space="0" w:color="D9D9E3"/>
                <w:bottom w:val="single" w:sz="2" w:space="0" w:color="D9D9E3"/>
                <w:right w:val="single" w:sz="2" w:space="0" w:color="D9D9E3"/>
              </w:divBdr>
              <w:divsChild>
                <w:div w:id="1985771963">
                  <w:marLeft w:val="0"/>
                  <w:marRight w:val="0"/>
                  <w:marTop w:val="0"/>
                  <w:marBottom w:val="0"/>
                  <w:divBdr>
                    <w:top w:val="single" w:sz="2" w:space="0" w:color="D9D9E3"/>
                    <w:left w:val="single" w:sz="2" w:space="0" w:color="D9D9E3"/>
                    <w:bottom w:val="single" w:sz="2" w:space="0" w:color="D9D9E3"/>
                    <w:right w:val="single" w:sz="2" w:space="0" w:color="D9D9E3"/>
                  </w:divBdr>
                  <w:divsChild>
                    <w:div w:id="726032387">
                      <w:marLeft w:val="0"/>
                      <w:marRight w:val="0"/>
                      <w:marTop w:val="0"/>
                      <w:marBottom w:val="0"/>
                      <w:divBdr>
                        <w:top w:val="single" w:sz="2" w:space="0" w:color="D9D9E3"/>
                        <w:left w:val="single" w:sz="2" w:space="0" w:color="D9D9E3"/>
                        <w:bottom w:val="single" w:sz="2" w:space="0" w:color="D9D9E3"/>
                        <w:right w:val="single" w:sz="2" w:space="0" w:color="D9D9E3"/>
                      </w:divBdr>
                      <w:divsChild>
                        <w:div w:id="1943340667">
                          <w:marLeft w:val="0"/>
                          <w:marRight w:val="0"/>
                          <w:marTop w:val="0"/>
                          <w:marBottom w:val="0"/>
                          <w:divBdr>
                            <w:top w:val="single" w:sz="2" w:space="0" w:color="auto"/>
                            <w:left w:val="single" w:sz="2" w:space="0" w:color="auto"/>
                            <w:bottom w:val="single" w:sz="6" w:space="0" w:color="auto"/>
                            <w:right w:val="single" w:sz="2" w:space="0" w:color="auto"/>
                          </w:divBdr>
                          <w:divsChild>
                            <w:div w:id="1585184914">
                              <w:marLeft w:val="0"/>
                              <w:marRight w:val="0"/>
                              <w:marTop w:val="100"/>
                              <w:marBottom w:val="100"/>
                              <w:divBdr>
                                <w:top w:val="single" w:sz="2" w:space="0" w:color="D9D9E3"/>
                                <w:left w:val="single" w:sz="2" w:space="0" w:color="D9D9E3"/>
                                <w:bottom w:val="single" w:sz="2" w:space="0" w:color="D9D9E3"/>
                                <w:right w:val="single" w:sz="2" w:space="0" w:color="D9D9E3"/>
                              </w:divBdr>
                              <w:divsChild>
                                <w:div w:id="916552858">
                                  <w:marLeft w:val="0"/>
                                  <w:marRight w:val="0"/>
                                  <w:marTop w:val="0"/>
                                  <w:marBottom w:val="0"/>
                                  <w:divBdr>
                                    <w:top w:val="single" w:sz="2" w:space="0" w:color="D9D9E3"/>
                                    <w:left w:val="single" w:sz="2" w:space="0" w:color="D9D9E3"/>
                                    <w:bottom w:val="single" w:sz="2" w:space="0" w:color="D9D9E3"/>
                                    <w:right w:val="single" w:sz="2" w:space="0" w:color="D9D9E3"/>
                                  </w:divBdr>
                                  <w:divsChild>
                                    <w:div w:id="1287076529">
                                      <w:marLeft w:val="0"/>
                                      <w:marRight w:val="0"/>
                                      <w:marTop w:val="0"/>
                                      <w:marBottom w:val="0"/>
                                      <w:divBdr>
                                        <w:top w:val="single" w:sz="2" w:space="0" w:color="D9D9E3"/>
                                        <w:left w:val="single" w:sz="2" w:space="0" w:color="D9D9E3"/>
                                        <w:bottom w:val="single" w:sz="2" w:space="0" w:color="D9D9E3"/>
                                        <w:right w:val="single" w:sz="2" w:space="0" w:color="D9D9E3"/>
                                      </w:divBdr>
                                      <w:divsChild>
                                        <w:div w:id="280307683">
                                          <w:marLeft w:val="0"/>
                                          <w:marRight w:val="0"/>
                                          <w:marTop w:val="0"/>
                                          <w:marBottom w:val="0"/>
                                          <w:divBdr>
                                            <w:top w:val="single" w:sz="2" w:space="0" w:color="D9D9E3"/>
                                            <w:left w:val="single" w:sz="2" w:space="0" w:color="D9D9E3"/>
                                            <w:bottom w:val="single" w:sz="2" w:space="0" w:color="D9D9E3"/>
                                            <w:right w:val="single" w:sz="2" w:space="0" w:color="D9D9E3"/>
                                          </w:divBdr>
                                          <w:divsChild>
                                            <w:div w:id="1792434183">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 w:id="214716104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1.xml"/><Relationship Id="rId117" Type="http://schemas.openxmlformats.org/officeDocument/2006/relationships/hyperlink" Target="https://www.kkh.com.sg/giving/Documents/Rare-Disease-Fund/index.html" TargetMode="External"/><Relationship Id="rId21" Type="http://schemas.openxmlformats.org/officeDocument/2006/relationships/image" Target="media/image7.png"/><Relationship Id="rId42" Type="http://schemas.openxmlformats.org/officeDocument/2006/relationships/image" Target="media/image27.png"/><Relationship Id="rId47" Type="http://schemas.openxmlformats.org/officeDocument/2006/relationships/header" Target="header1.xml"/><Relationship Id="rId63" Type="http://schemas.openxmlformats.org/officeDocument/2006/relationships/image" Target="media/image38.png"/><Relationship Id="rId68" Type="http://schemas.openxmlformats.org/officeDocument/2006/relationships/hyperlink" Target="https://www.pbs.gov.au/info/industry/listing/procedure-guidance/8-procedures-positive-recommendation-list/8-procedures-for-a-positive-recommendation-to-list" TargetMode="External"/><Relationship Id="rId84" Type="http://schemas.openxmlformats.org/officeDocument/2006/relationships/hyperlink" Target="https://www.globallegalinsights.com/practice-areas/pricing-and-reimbursement-laws-and-regulations/italy" TargetMode="External"/><Relationship Id="rId89" Type="http://schemas.openxmlformats.org/officeDocument/2006/relationships/hyperlink" Target="https://www.oecd.org/health/health-systems/Pharmaceutical-Reimbursement-and-Pricing-in-Germany.pdf" TargetMode="External"/><Relationship Id="rId112" Type="http://schemas.openxmlformats.org/officeDocument/2006/relationships/hyperlink" Target="https://www.aph.gov.au/Parliamentary_Business/Committees/House/Health_Aged_Care_and_Sport/Newdrugs/Report/section?id=committees%2Freportrep%2F024755%2F77601" TargetMode="External"/><Relationship Id="rId133" Type="http://schemas.openxmlformats.org/officeDocument/2006/relationships/hyperlink" Target="https://www2.gnb.ca/content/gnb/en/services/services_renderer.201352.New_Brunswick_Drugs_for_Rare_Diseases_Plan.html" TargetMode="External"/><Relationship Id="rId138" Type="http://schemas.openxmlformats.org/officeDocument/2006/relationships/hyperlink" Target="http://www.agenziafarmaco.gov.it/allegati/integral_document.pdf" TargetMode="External"/><Relationship Id="rId154" Type="http://schemas.openxmlformats.org/officeDocument/2006/relationships/hyperlink" Target="https://digital-strategy.ec.europa.eu/en/library/communication-enabling-digital-transformation-health-and-care-digital-single-market-empowering" TargetMode="External"/><Relationship Id="rId159" Type="http://schemas.openxmlformats.org/officeDocument/2006/relationships/image" Target="media/image42.png"/><Relationship Id="rId170" Type="http://schemas.openxmlformats.org/officeDocument/2006/relationships/theme" Target="theme/theme1.xml"/><Relationship Id="rId16" Type="http://schemas.openxmlformats.org/officeDocument/2006/relationships/hyperlink" Target="https://creativecommons.org/licenses/by/4.0/legalcode" TargetMode="External"/><Relationship Id="rId107" Type="http://schemas.openxmlformats.org/officeDocument/2006/relationships/hyperlink" Target="https://www.dmp.no/contentassets/b71d6f2f34264dd7a22822deab47c201/compassionate-use-program_eng_2024-01-12.pdf" TargetMode="External"/><Relationship Id="rId11" Type="http://schemas.openxmlformats.org/officeDocument/2006/relationships/endnotes" Target="endnotes.xml"/><Relationship Id="rId32" Type="http://schemas.openxmlformats.org/officeDocument/2006/relationships/image" Target="media/image17.png"/><Relationship Id="rId37" Type="http://schemas.openxmlformats.org/officeDocument/2006/relationships/image" Target="media/image22.png"/><Relationship Id="rId53" Type="http://schemas.openxmlformats.org/officeDocument/2006/relationships/header" Target="header4.xml"/><Relationship Id="rId58" Type="http://schemas.openxmlformats.org/officeDocument/2006/relationships/image" Target="media/image33.png"/><Relationship Id="rId74" Type="http://schemas.openxmlformats.org/officeDocument/2006/relationships/hyperlink" Target="https://www.globallegalinsights.com/practice-areas/pricing-and-reimbursement-laws-and-regulations/korea" TargetMode="External"/><Relationship Id="rId79" Type="http://schemas.openxmlformats.org/officeDocument/2006/relationships/hyperlink" Target="https://www.pbs.gov.au/pbs/industry/listing/procedure-guidance/8-procedures-positive-recommendation-list/8-4-negotiation-and-agreement" TargetMode="External"/><Relationship Id="rId102" Type="http://schemas.openxmlformats.org/officeDocument/2006/relationships/hyperlink" Target="https://pbac.pbs.gov.au/product-type-4-codependent-technologies.html" TargetMode="External"/><Relationship Id="rId123" Type="http://schemas.openxmlformats.org/officeDocument/2006/relationships/hyperlink" Target="https://www.aifa.gov.it/en/farmaci-innovativi" TargetMode="External"/><Relationship Id="rId128" Type="http://schemas.openxmlformats.org/officeDocument/2006/relationships/hyperlink" Target="https://www.iqwig.de/en/presse/press-releases/press-releases-detailpage_58496.html" TargetMode="External"/><Relationship Id="rId144" Type="http://schemas.openxmlformats.org/officeDocument/2006/relationships/hyperlink" Target="https://www.normattiva.it/uri-res/N2Ls?urn:nir:stato:legge:2014-05-16;79!vig" TargetMode="External"/><Relationship Id="rId149" Type="http://schemas.openxmlformats.org/officeDocument/2006/relationships/hyperlink" Target="https://www.aifa.gov.it/documents/20142/1145839/AIFA_Report_Base_Xtandi_post-docetaxel_10.07.2020.pdf/a0701a01-eb71-4192-da84-1679c9464d05" TargetMode="External"/><Relationship Id="rId5" Type="http://schemas.openxmlformats.org/officeDocument/2006/relationships/customXml" Target="../customXml/item5.xml"/><Relationship Id="rId90" Type="http://schemas.openxmlformats.org/officeDocument/2006/relationships/hyperlink" Target="https://www.commonwealthfund.org/blog/2019/how-drug-prices-are-negotiated-germany" TargetMode="External"/><Relationship Id="rId95" Type="http://schemas.openxmlformats.org/officeDocument/2006/relationships/hyperlink" Target="https://beneluxa.org/HTA_procedures" TargetMode="External"/><Relationship Id="rId160" Type="http://schemas.openxmlformats.org/officeDocument/2006/relationships/image" Target="media/image43.png"/><Relationship Id="rId165" Type="http://schemas.openxmlformats.org/officeDocument/2006/relationships/header" Target="header9.xml"/><Relationship Id="rId22" Type="http://schemas.openxmlformats.org/officeDocument/2006/relationships/image" Target="media/image8.png"/><Relationship Id="rId27" Type="http://schemas.openxmlformats.org/officeDocument/2006/relationships/image" Target="media/image12.png"/><Relationship Id="rId43" Type="http://schemas.openxmlformats.org/officeDocument/2006/relationships/image" Target="media/image28.png"/><Relationship Id="rId48" Type="http://schemas.openxmlformats.org/officeDocument/2006/relationships/header" Target="header2.xml"/><Relationship Id="rId64" Type="http://schemas.openxmlformats.org/officeDocument/2006/relationships/hyperlink" Target="https://www.efpia.eu/media/s4qf1eqo/efpia_patient_wait_indicator_final_report.pdf" TargetMode="External"/><Relationship Id="rId69" Type="http://schemas.openxmlformats.org/officeDocument/2006/relationships/hyperlink" Target="https://www.nice.org.uk/about/what-we-do/our-programmes/nice-guidance/nice-technology-appraisal-guidance/types-of-recommendation" TargetMode="External"/><Relationship Id="rId113" Type="http://schemas.openxmlformats.org/officeDocument/2006/relationships/hyperlink" Target="https://www.raredisorders.org.nz/about-rare-disorders/rare-disorders-in-new-zealand/rare-disorders-strategy-progress/" TargetMode="External"/><Relationship Id="rId118" Type="http://schemas.openxmlformats.org/officeDocument/2006/relationships/hyperlink" Target="https://www.moh.gov.sg/docs/librariesprovider5/default-document-library/annex-c.pdf" TargetMode="External"/><Relationship Id="rId134" Type="http://schemas.openxmlformats.org/officeDocument/2006/relationships/hyperlink" Target="https://www.inesss.qc.ca/en/themes/medicaments/evaluation-process-and-criteria/exceptional-medications.html" TargetMode="External"/><Relationship Id="rId139" Type="http://schemas.openxmlformats.org/officeDocument/2006/relationships/hyperlink" Target="https://innovativemedicines.ca/wp-content/uploads/2023/05/20230800-Symposium-Poster_EN_V5.pdf" TargetMode="External"/><Relationship Id="rId80" Type="http://schemas.openxmlformats.org/officeDocument/2006/relationships/hyperlink" Target="https://www.globallegalinsights.com/practice-areas/pricing-and-reimbursement-laws-and-regulations/belgium" TargetMode="External"/><Relationship Id="rId85" Type="http://schemas.openxmlformats.org/officeDocument/2006/relationships/hyperlink" Target="https://www.globallegalinsights.com/practice-areas/pricing-and-reimbursement-laws-and-regulations/spain" TargetMode="External"/><Relationship Id="rId150" Type="http://schemas.openxmlformats.org/officeDocument/2006/relationships/hyperlink" Target="https://www.pbs.gov.au/pbs/industry/listing/procedure-guidance/8-procedures-positive-recommendation-list/8-7-preparation-of-additional-access-arrangements" TargetMode="External"/><Relationship Id="rId155" Type="http://schemas.openxmlformats.org/officeDocument/2006/relationships/hyperlink" Target="https://apps.who.int/iris/bitstream/handle/10665/260480/WHO-RHR-18.06-eng.pdf;jsessionid=145D00A4AB9E08F4BDD2D237264F7F24?sequence=1" TargetMode="External"/><Relationship Id="rId12" Type="http://schemas.openxmlformats.org/officeDocument/2006/relationships/image" Target="media/image1.jpg"/><Relationship Id="rId17" Type="http://schemas.openxmlformats.org/officeDocument/2006/relationships/hyperlink" Target="mailto:copyright@health.gov.au" TargetMode="External"/><Relationship Id="rId33" Type="http://schemas.openxmlformats.org/officeDocument/2006/relationships/image" Target="media/image18.png"/><Relationship Id="rId38" Type="http://schemas.openxmlformats.org/officeDocument/2006/relationships/image" Target="media/image23.png"/><Relationship Id="rId59" Type="http://schemas.openxmlformats.org/officeDocument/2006/relationships/image" Target="media/image34.png"/><Relationship Id="rId103" Type="http://schemas.openxmlformats.org/officeDocument/2006/relationships/hyperlink" Target="https://www.who.int/health-topics/health-equity" TargetMode="External"/><Relationship Id="rId108" Type="http://schemas.openxmlformats.org/officeDocument/2006/relationships/hyperlink" Target="https://pharmac.govt.nz/te-tiriti-o-waitangi/te-whaioranga/te-rautaki-te-whaioranga/priority-equity-for-maori/" TargetMode="External"/><Relationship Id="rId124" Type="http://schemas.openxmlformats.org/officeDocument/2006/relationships/hyperlink" Target="https://www2.gov.bc.ca/gov/content/health/health-drug-coverage/pharmacare-for-bc-residents/what-we-cover/exceptional-funding-edrd" TargetMode="External"/><Relationship Id="rId129" Type="http://schemas.openxmlformats.org/officeDocument/2006/relationships/hyperlink" Target="https://www.gov.scot/publications/foi-202200287608/" TargetMode="External"/><Relationship Id="rId54" Type="http://schemas.openxmlformats.org/officeDocument/2006/relationships/header" Target="header5.xml"/><Relationship Id="rId70" Type="http://schemas.openxmlformats.org/officeDocument/2006/relationships/hyperlink" Target="https://www.has-sante.fr/?id=c_1729388" TargetMode="External"/><Relationship Id="rId75" Type="http://schemas.openxmlformats.org/officeDocument/2006/relationships/hyperlink" Target="https://www.pbs.gov.au/info/industry/listing/procedure-guidance/9-review-pbs-listings/9-1-Resubmission-pathways" TargetMode="External"/><Relationship Id="rId91" Type="http://schemas.openxmlformats.org/officeDocument/2006/relationships/hyperlink" Target="https://www.medicinesaustralia.com.au/policy/health-technology-assessment-hta/" TargetMode="External"/><Relationship Id="rId96" Type="http://schemas.openxmlformats.org/officeDocument/2006/relationships/hyperlink" Target="https://c2h.niph.go.jp/en/assessment/roles/" TargetMode="External"/><Relationship Id="rId140" Type="http://schemas.openxmlformats.org/officeDocument/2006/relationships/hyperlink" Target="https://www.eversana.com/insights/the-evolution-of-hta-and-its-impact-on-drug-prices-in-japan/" TargetMode="External"/><Relationship Id="rId145" Type="http://schemas.openxmlformats.org/officeDocument/2006/relationships/hyperlink" Target="https://www.aifa.gov.it/documents/20142/961234/Determina_DG-1643-2019_Yescarta.pdf/26464c52-5e7b-e97d-74d5-f66f69039fa0" TargetMode="External"/><Relationship Id="rId161" Type="http://schemas.openxmlformats.org/officeDocument/2006/relationships/header" Target="header7.xml"/><Relationship Id="rId166" Type="http://schemas.openxmlformats.org/officeDocument/2006/relationships/footer" Target="footer8.xml"/><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image" Target="cid:image001.png@01D10CF0.2ACF2D40" TargetMode="External"/><Relationship Id="rId23" Type="http://schemas.openxmlformats.org/officeDocument/2006/relationships/image" Target="media/image9.png"/><Relationship Id="rId28" Type="http://schemas.openxmlformats.org/officeDocument/2006/relationships/image" Target="media/image13.png"/><Relationship Id="rId36" Type="http://schemas.openxmlformats.org/officeDocument/2006/relationships/image" Target="media/image21.png"/><Relationship Id="rId49" Type="http://schemas.openxmlformats.org/officeDocument/2006/relationships/footer" Target="footer1.xml"/><Relationship Id="rId57" Type="http://schemas.openxmlformats.org/officeDocument/2006/relationships/footer" Target="footer5.xml"/><Relationship Id="rId106" Type="http://schemas.openxmlformats.org/officeDocument/2006/relationships/hyperlink" Target="https://www.dmp.no/en/approval-of-medicines/clinical-trials/compassionate-use-program" TargetMode="External"/><Relationship Id="rId114" Type="http://schemas.openxmlformats.org/officeDocument/2006/relationships/hyperlink" Target="https://www.tfrd2.org.tw/tfrd_eng/index.php/rd1" TargetMode="External"/><Relationship Id="rId119" Type="http://schemas.openxmlformats.org/officeDocument/2006/relationships/hyperlink" Target="https://legemiddelverket.no/english/public-funding-and-pricing/documentation-for-sta/access-to-pharmaceuticals-for-very-small-patient-groups-with-extremely-severe-conditions" TargetMode="External"/><Relationship Id="rId127" Type="http://schemas.openxmlformats.org/officeDocument/2006/relationships/hyperlink" Target="https://www.has-sante.fr/jcms/p_3340090/en/early-access-authorisation-a-positive-initial-report-and-refined-assessment-methods" TargetMode="External"/><Relationship Id="rId10" Type="http://schemas.openxmlformats.org/officeDocument/2006/relationships/footnotes" Target="footnotes.xml"/><Relationship Id="rId31" Type="http://schemas.openxmlformats.org/officeDocument/2006/relationships/image" Target="media/image16.png"/><Relationship Id="rId44" Type="http://schemas.openxmlformats.org/officeDocument/2006/relationships/image" Target="media/image29.png"/><Relationship Id="rId52" Type="http://schemas.openxmlformats.org/officeDocument/2006/relationships/footer" Target="footer3.xml"/><Relationship Id="rId60" Type="http://schemas.openxmlformats.org/officeDocument/2006/relationships/image" Target="media/image35.png"/><Relationship Id="rId65" Type="http://schemas.openxmlformats.org/officeDocument/2006/relationships/hyperlink" Target="https://www.efpia.eu/media/602652/efpia-patient-wait-indicator-final-250521.pdf" TargetMode="External"/><Relationship Id="rId73" Type="http://schemas.openxmlformats.org/officeDocument/2006/relationships/hyperlink" Target="https://legemiddelverket.no/Documents/English/Public%20funding%20and%20pricing/Maximum%20Price/Price%20guidelines.docx.pdf" TargetMode="External"/><Relationship Id="rId78" Type="http://schemas.openxmlformats.org/officeDocument/2006/relationships/hyperlink" Target="https://www.scottishmedicines.org.uk/media/5000/guidance-to-submitting-companies-fast-track-resubmission-process-v20.pdf" TargetMode="External"/><Relationship Id="rId81" Type="http://schemas.openxmlformats.org/officeDocument/2006/relationships/hyperlink" Target="https://www.pcpacanada.ca/sites/default/files/aoda/pCPA_Brand_Process_Guidelines_EN_FINAL-s.pdf" TargetMode="External"/><Relationship Id="rId86" Type="http://schemas.openxmlformats.org/officeDocument/2006/relationships/hyperlink" Target="https://www.globallegalinsights.com/practice-areas/pricing-and-reimbursement-laws-and-regulations/sweden" TargetMode="External"/><Relationship Id="rId94" Type="http://schemas.openxmlformats.org/officeDocument/2006/relationships/hyperlink" Target="https://www.pbs.gov.au/info/industry/useful-resources/pbs-calendar" TargetMode="External"/><Relationship Id="rId99" Type="http://schemas.openxmlformats.org/officeDocument/2006/relationships/hyperlink" Target="https://www.healthsystemtracker.org/chart-collection/how-do-prescription-drug-costs-in-the-united-states-compare-to-other-countries/" TargetMode="External"/><Relationship Id="rId101" Type="http://schemas.openxmlformats.org/officeDocument/2006/relationships/hyperlink" Target="https://www.marketsandmarkets.com/Market-Reports/companion-diagnostics-market-155571681.html" TargetMode="External"/><Relationship Id="rId122" Type="http://schemas.openxmlformats.org/officeDocument/2006/relationships/hyperlink" Target="https://pbac.pbs.gov.au/section-5/5-4-basis-for-any-claim-for-the-rule-of-rescue.html" TargetMode="External"/><Relationship Id="rId130" Type="http://schemas.openxmlformats.org/officeDocument/2006/relationships/hyperlink" Target="https://www.nice.org.uk/process/pmg37/chapter/highly-specialised-technologies" TargetMode="External"/><Relationship Id="rId135" Type="http://schemas.openxmlformats.org/officeDocument/2006/relationships/hyperlink" Target="https://www.sehd.scot.nhs.uk/publications/DC20180329PACS.pdf" TargetMode="External"/><Relationship Id="rId143" Type="http://schemas.openxmlformats.org/officeDocument/2006/relationships/hyperlink" Target="https://www.normattiva.it/uri-res/N2Ls?urn:nir:stato:legge:1996-12-23;648!vig" TargetMode="External"/><Relationship Id="rId148" Type="http://schemas.openxmlformats.org/officeDocument/2006/relationships/hyperlink" Target="https://www.aifa.gov.it/documents/20142/1145839/AIFA_Report_Zytiga_I_15.04.2020.pdf/32eb3ac7-a5ed-731f-4497-305b75fea604" TargetMode="External"/><Relationship Id="rId151" Type="http://schemas.openxmlformats.org/officeDocument/2006/relationships/hyperlink" Target="https://www.england.nhs.uk/2022/07/nhs-saves-1-2-billion-on-medicines-over-three-years/" TargetMode="External"/><Relationship Id="rId156" Type="http://schemas.openxmlformats.org/officeDocument/2006/relationships/image" Target="media/image39.png"/><Relationship Id="rId164" Type="http://schemas.openxmlformats.org/officeDocument/2006/relationships/footer" Target="footer7.xml"/><Relationship Id="rId169"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webSettings" Target="webSettings.xml"/><Relationship Id="rId13" Type="http://schemas.openxmlformats.org/officeDocument/2006/relationships/image" Target="media/image2.jpeg"/><Relationship Id="rId18" Type="http://schemas.openxmlformats.org/officeDocument/2006/relationships/image" Target="media/image4.png"/><Relationship Id="rId39" Type="http://schemas.openxmlformats.org/officeDocument/2006/relationships/image" Target="media/image24.png"/><Relationship Id="rId109" Type="http://schemas.openxmlformats.org/officeDocument/2006/relationships/hyperlink" Target="https://www.cadth.ca/annual-report-path-reconciliation" TargetMode="External"/><Relationship Id="rId34" Type="http://schemas.openxmlformats.org/officeDocument/2006/relationships/image" Target="media/image19.png"/><Relationship Id="rId50" Type="http://schemas.openxmlformats.org/officeDocument/2006/relationships/footer" Target="footer2.xml"/><Relationship Id="rId55" Type="http://schemas.openxmlformats.org/officeDocument/2006/relationships/footer" Target="footer4.xml"/><Relationship Id="rId76" Type="http://schemas.openxmlformats.org/officeDocument/2006/relationships/hyperlink" Target="https://www.cadth.ca/sites/default/files/Drug_Review_Process/CADTH%20Drug%20Reimbursement%20Review%20Procedures.pdf" TargetMode="External"/><Relationship Id="rId97" Type="http://schemas.openxmlformats.org/officeDocument/2006/relationships/hyperlink" Target="https://pharmac.govt.nz/medicine-funding-and-supply/the-funding-process/prioritisation/" TargetMode="External"/><Relationship Id="rId104" Type="http://schemas.openxmlformats.org/officeDocument/2006/relationships/hyperlink" Target="https://www.nice.org.uk/about/who-we-are/our-principles" TargetMode="External"/><Relationship Id="rId120" Type="http://schemas.openxmlformats.org/officeDocument/2006/relationships/hyperlink" Target="https://www.scottishmedicines.org.uk/media/3565/modifiers.pdf" TargetMode="External"/><Relationship Id="rId125" Type="http://schemas.openxmlformats.org/officeDocument/2006/relationships/hyperlink" Target="https://www.scottishmedicines.org.uk/media/7217/pace-overview-document-v36docx.pdf" TargetMode="External"/><Relationship Id="rId141" Type="http://schemas.openxmlformats.org/officeDocument/2006/relationships/hyperlink" Target="https://www.nice.org.uk/corporate/ecd9/resources/nice-realworld-evidence-framework-pdf-1124020816837" TargetMode="External"/><Relationship Id="rId146" Type="http://schemas.openxmlformats.org/officeDocument/2006/relationships/hyperlink" Target="https://www.aifa.gov.it/documents/20142/847786/Determina_1264-2019_Kymriah.pdf/88f22d83-8907-9399-bda6-eb415690c144" TargetMode="External"/><Relationship Id="rId167" Type="http://schemas.openxmlformats.org/officeDocument/2006/relationships/image" Target="media/image44.png"/><Relationship Id="rId7" Type="http://schemas.openxmlformats.org/officeDocument/2006/relationships/styles" Target="styles.xml"/><Relationship Id="rId71" Type="http://schemas.openxmlformats.org/officeDocument/2006/relationships/hyperlink" Target="https://eradigm.com/white-paper/breaking-down-japans-drug-pricing-system/" TargetMode="External"/><Relationship Id="rId92" Type="http://schemas.openxmlformats.org/officeDocument/2006/relationships/hyperlink" Target="https://www.msd-australia.com.au/news/parliamentary-inquiry-to-hear-from-pharmaceutical-leaders-today/" TargetMode="External"/><Relationship Id="rId162" Type="http://schemas.openxmlformats.org/officeDocument/2006/relationships/header" Target="header8.xml"/><Relationship Id="rId2" Type="http://schemas.openxmlformats.org/officeDocument/2006/relationships/customXml" Target="../customXml/item2.xml"/><Relationship Id="rId29" Type="http://schemas.openxmlformats.org/officeDocument/2006/relationships/image" Target="media/image14.png"/><Relationship Id="rId24" Type="http://schemas.openxmlformats.org/officeDocument/2006/relationships/image" Target="media/image10.png"/><Relationship Id="rId40" Type="http://schemas.openxmlformats.org/officeDocument/2006/relationships/image" Target="media/image25.png"/><Relationship Id="rId45" Type="http://schemas.openxmlformats.org/officeDocument/2006/relationships/image" Target="media/image30.png"/><Relationship Id="rId66" Type="http://schemas.openxmlformats.org/officeDocument/2006/relationships/hyperlink" Target="https://germanmarketaccesssimplified.com/" TargetMode="External"/><Relationship Id="rId87" Type="http://schemas.openxmlformats.org/officeDocument/2006/relationships/hyperlink" Target="https://www.globallegalinsights.com/practice-areas/pricing-and-reimbursement-laws-and-regulations/netherlands" TargetMode="External"/><Relationship Id="rId110" Type="http://schemas.openxmlformats.org/officeDocument/2006/relationships/hyperlink" Target="https://rarevoices.org.au/wp-content/uploads/2020/08/NationalStrategicAPRD.pdf" TargetMode="External"/><Relationship Id="rId115" Type="http://schemas.openxmlformats.org/officeDocument/2006/relationships/hyperlink" Target="https://www.finance.gov.au/publications/resource-management-guides/guide-appropriations-rmg-100" TargetMode="External"/><Relationship Id="rId131" Type="http://schemas.openxmlformats.org/officeDocument/2006/relationships/hyperlink" Target="https://www.gov.scot/binaries/content/documents/govscot/publications/advice-and-guidance/2019/05/ultra-orphan-medicine-pathways-guidance/documents/ultra-orphan-medicines-pathway-guide/ultra-orphan-medicines-pathway-guide/govscot%3Adocument/Generic%2BGuidance%2B-%2BUltra-orphan%2Bpathway_draft%2Bguidance%2B-%2Bfinal.pdf" TargetMode="External"/><Relationship Id="rId136" Type="http://schemas.openxmlformats.org/officeDocument/2006/relationships/hyperlink" Target="https://pharmac.govt.nz/medicine-funding-and-supply/the-funding-process/policies-manuals-and-processes/exceptional-circumstances-framework-including-the-named-patient-pharmaceutical-assessment-policy/" TargetMode="External"/><Relationship Id="rId157" Type="http://schemas.openxmlformats.org/officeDocument/2006/relationships/image" Target="media/image40.png"/><Relationship Id="rId61" Type="http://schemas.openxmlformats.org/officeDocument/2006/relationships/image" Target="media/image36.png"/><Relationship Id="rId82" Type="http://schemas.openxmlformats.org/officeDocument/2006/relationships/hyperlink" Target="https://www.globallegalinsights.com/practice-areas/pricing-and-reimbursement-laws-and-regulations/united-kingdom" TargetMode="External"/><Relationship Id="rId152" Type="http://schemas.openxmlformats.org/officeDocument/2006/relationships/hyperlink" Target="https://www.canada.ca/content/dam/pmprb-cepmb/documents/consultations/draft-guidelines/2020/PMPRB-Guidelines2020-en.pdf" TargetMode="External"/><Relationship Id="rId19" Type="http://schemas.openxmlformats.org/officeDocument/2006/relationships/image" Target="media/image5.png"/><Relationship Id="rId14" Type="http://schemas.openxmlformats.org/officeDocument/2006/relationships/image" Target="media/image3.png"/><Relationship Id="rId30" Type="http://schemas.openxmlformats.org/officeDocument/2006/relationships/image" Target="media/image15.png"/><Relationship Id="rId35" Type="http://schemas.openxmlformats.org/officeDocument/2006/relationships/image" Target="media/image20.gif"/><Relationship Id="rId56" Type="http://schemas.openxmlformats.org/officeDocument/2006/relationships/header" Target="header6.xml"/><Relationship Id="rId77" Type="http://schemas.openxmlformats.org/officeDocument/2006/relationships/hyperlink" Target="https://www.nice.org.uk/process/pmg19/resources/guide-to-the-processes-of-technology-appraisal-pdf-72286663351237" TargetMode="External"/><Relationship Id="rId100" Type="http://schemas.openxmlformats.org/officeDocument/2006/relationships/hyperlink" Target="https://www.prnewswire.com/news-releases/companion-diagnostics-technologies-and-markets-273660871.html" TargetMode="External"/><Relationship Id="rId105" Type="http://schemas.openxmlformats.org/officeDocument/2006/relationships/hyperlink" Target="https://www.publichealth.columbia.edu/research/others/comparative-health-policy-library/germany-summary" TargetMode="External"/><Relationship Id="rId126" Type="http://schemas.openxmlformats.org/officeDocument/2006/relationships/hyperlink" Target="https://www.cevidra.com/early-access-programs-in-france/" TargetMode="External"/><Relationship Id="rId147" Type="http://schemas.openxmlformats.org/officeDocument/2006/relationships/hyperlink" Target="https://www.aifa.gov.it/documents/20142/1145839/AIFA_Report_Zytiga_prechemio_11.05.2020.pdf/2824be4d-3bb9-03e8-4274-af8865c07759" TargetMode="External"/><Relationship Id="rId168" Type="http://schemas.openxmlformats.org/officeDocument/2006/relationships/image" Target="media/image45.png"/><Relationship Id="rId8" Type="http://schemas.openxmlformats.org/officeDocument/2006/relationships/settings" Target="settings.xml"/><Relationship Id="rId51" Type="http://schemas.openxmlformats.org/officeDocument/2006/relationships/header" Target="header3.xml"/><Relationship Id="rId72" Type="http://schemas.openxmlformats.org/officeDocument/2006/relationships/hyperlink" Target="https://www.globallegalinsights.com/practice-areas/pricing-and-reimbursement-laws-and-regulations/norway" TargetMode="External"/><Relationship Id="rId93" Type="http://schemas.openxmlformats.org/officeDocument/2006/relationships/hyperlink" Target="https://www.cde.org.tw/eng/HTA/" TargetMode="External"/><Relationship Id="rId98" Type="http://schemas.openxmlformats.org/officeDocument/2006/relationships/hyperlink" Target="https://www.commonwealthfund.org/" TargetMode="External"/><Relationship Id="rId121" Type="http://schemas.openxmlformats.org/officeDocument/2006/relationships/hyperlink" Target="https://english.zorginstituutnederland.nl/about-us/tasks-of-the-national-health-care-institute/conditional-inclusion-of-orphan-drugs-conditionals-and-exceptionals" TargetMode="External"/><Relationship Id="rId142" Type="http://schemas.openxmlformats.org/officeDocument/2006/relationships/hyperlink" Target="http://www.gazzettaufficiale.it/eli/id/2016/12/21/16G00242/sg" TargetMode="External"/><Relationship Id="rId163" Type="http://schemas.openxmlformats.org/officeDocument/2006/relationships/footer" Target="footer6.xml"/><Relationship Id="rId3" Type="http://schemas.openxmlformats.org/officeDocument/2006/relationships/customXml" Target="../customXml/item3.xml"/><Relationship Id="rId25" Type="http://schemas.openxmlformats.org/officeDocument/2006/relationships/image" Target="media/image11.png"/><Relationship Id="rId46" Type="http://schemas.openxmlformats.org/officeDocument/2006/relationships/image" Target="media/image31.jpeg"/><Relationship Id="rId67" Type="http://schemas.openxmlformats.org/officeDocument/2006/relationships/hyperlink" Target="https://www.nice.org.uk/about/what-we-do/our-programmes/nice-guidance/nice-technology-appraisal-guidance" TargetMode="External"/><Relationship Id="rId116" Type="http://schemas.openxmlformats.org/officeDocument/2006/relationships/hyperlink" Target="https://pharmac.govt.nz/news-and-resources/consultations-and-decisions/contestable-fund-for-medicines-for-rare-disorders/" TargetMode="External"/><Relationship Id="rId137" Type="http://schemas.openxmlformats.org/officeDocument/2006/relationships/hyperlink" Target="https://od-expertgroup.eu/277-2/" TargetMode="External"/><Relationship Id="rId158" Type="http://schemas.openxmlformats.org/officeDocument/2006/relationships/image" Target="media/image41.png"/><Relationship Id="rId20" Type="http://schemas.openxmlformats.org/officeDocument/2006/relationships/image" Target="media/image6.png"/><Relationship Id="rId41" Type="http://schemas.openxmlformats.org/officeDocument/2006/relationships/image" Target="media/image26.png"/><Relationship Id="rId62" Type="http://schemas.openxmlformats.org/officeDocument/2006/relationships/image" Target="media/image37.png"/><Relationship Id="rId83" Type="http://schemas.openxmlformats.org/officeDocument/2006/relationships/hyperlink" Target="https://digitalpublications.parliament.scot/ResearchBriefings/Report/2020/1/16/Medicines-in-Scotland-1" TargetMode="External"/><Relationship Id="rId88" Type="http://schemas.openxmlformats.org/officeDocument/2006/relationships/hyperlink" Target="https://www.globallegalinsights.com/practice-areas/pricing-and-reimbursement-laws-and-regulations/germany" TargetMode="External"/><Relationship Id="rId111" Type="http://schemas.openxmlformats.org/officeDocument/2006/relationships/hyperlink" Target="https://www.tga.gov.au/resources/resource/guidance/orphan-drug-designation-eligibility-criteria" TargetMode="External"/><Relationship Id="rId132" Type="http://schemas.openxmlformats.org/officeDocument/2006/relationships/hyperlink" Target="https://www.ab.bluecross.ca/dbl/pdfs/dbl_sec4.pdf" TargetMode="External"/><Relationship Id="rId153" Type="http://schemas.openxmlformats.org/officeDocument/2006/relationships/hyperlink" Target="https://www.fda.gov/media/106331/download" TargetMode="External"/></Relationships>
</file>

<file path=word/_rels/footer2.xml.rels><?xml version="1.0" encoding="UTF-8" standalone="yes"?>
<Relationships xmlns="http://schemas.openxmlformats.org/package/2006/relationships"><Relationship Id="rId1" Type="http://schemas.openxmlformats.org/officeDocument/2006/relationships/image" Target="media/image32.jpg"/></Relationships>
</file>

<file path=word/_rels/footnotes.xml.rels><?xml version="1.0" encoding="UTF-8" standalone="yes"?>
<Relationships xmlns="http://schemas.openxmlformats.org/package/2006/relationships"><Relationship Id="rId1" Type="http://schemas.openxmlformats.org/officeDocument/2006/relationships/hyperlink" Target="https://www.medicinesaustralia.com.au/wp-content/uploads/sites/65/2023/04/Medicines-Matter-2022-FINAL.pdf"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https://studentutsedu-my.sharepoint.com/personal/samuel_vigours_uts_edu_au/Documents/HTA%20Review/Endnote%20Libraries/Book1.xlsx"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[Book1.xlsx]Sheet1!$B$2</c:f>
              <c:strCache>
                <c:ptCount val="1"/>
                <c:pt idx="0">
                  <c:v>EFPIA (2015-2018)</c:v>
                </c:pt>
              </c:strCache>
            </c:strRef>
          </c:tx>
          <c:spPr>
            <a:solidFill>
              <a:schemeClr val="accent1"/>
            </a:solidFill>
            <a:ln>
              <a:noFill/>
            </a:ln>
            <a:effectLst/>
          </c:spPr>
          <c:invertIfNegative val="0"/>
          <c:cat>
            <c:strRef>
              <c:f>[Book1.xlsx]Sheet1!$A$3:$A$17</c:f>
              <c:strCache>
                <c:ptCount val="15"/>
                <c:pt idx="0">
                  <c:v>POR</c:v>
                </c:pt>
                <c:pt idx="1">
                  <c:v>FRA</c:v>
                </c:pt>
                <c:pt idx="2">
                  <c:v>NOR</c:v>
                </c:pt>
                <c:pt idx="3">
                  <c:v>IRL</c:v>
                </c:pt>
                <c:pt idx="4">
                  <c:v>BEL</c:v>
                </c:pt>
                <c:pt idx="5">
                  <c:v>ITA</c:v>
                </c:pt>
                <c:pt idx="6">
                  <c:v>AUS</c:v>
                </c:pt>
                <c:pt idx="7">
                  <c:v>ESP</c:v>
                </c:pt>
                <c:pt idx="8">
                  <c:v>ENG</c:v>
                </c:pt>
                <c:pt idx="9">
                  <c:v>AUT</c:v>
                </c:pt>
                <c:pt idx="10">
                  <c:v>FIN</c:v>
                </c:pt>
                <c:pt idx="11">
                  <c:v>SWE</c:v>
                </c:pt>
                <c:pt idx="12">
                  <c:v>NED</c:v>
                </c:pt>
                <c:pt idx="13">
                  <c:v>SUI</c:v>
                </c:pt>
                <c:pt idx="14">
                  <c:v>GER</c:v>
                </c:pt>
              </c:strCache>
            </c:strRef>
          </c:cat>
          <c:val>
            <c:numRef>
              <c:f>[Book1.xlsx]Sheet1!$B$3:$B$17</c:f>
              <c:numCache>
                <c:formatCode>General</c:formatCode>
                <c:ptCount val="15"/>
                <c:pt idx="0">
                  <c:v>711</c:v>
                </c:pt>
                <c:pt idx="1">
                  <c:v>566</c:v>
                </c:pt>
                <c:pt idx="2">
                  <c:v>522</c:v>
                </c:pt>
                <c:pt idx="3">
                  <c:v>521</c:v>
                </c:pt>
                <c:pt idx="4">
                  <c:v>439</c:v>
                </c:pt>
                <c:pt idx="5">
                  <c:v>436</c:v>
                </c:pt>
                <c:pt idx="6">
                  <c:v>0</c:v>
                </c:pt>
                <c:pt idx="7">
                  <c:v>414</c:v>
                </c:pt>
                <c:pt idx="8">
                  <c:v>349</c:v>
                </c:pt>
                <c:pt idx="9">
                  <c:v>307</c:v>
                </c:pt>
                <c:pt idx="10">
                  <c:v>298</c:v>
                </c:pt>
                <c:pt idx="11">
                  <c:v>269</c:v>
                </c:pt>
                <c:pt idx="12">
                  <c:v>252</c:v>
                </c:pt>
                <c:pt idx="13">
                  <c:v>158</c:v>
                </c:pt>
                <c:pt idx="14">
                  <c:v>127</c:v>
                </c:pt>
              </c:numCache>
            </c:numRef>
          </c:val>
          <c:extLst>
            <c:ext xmlns:c16="http://schemas.microsoft.com/office/drawing/2014/chart" uri="{C3380CC4-5D6E-409C-BE32-E72D297353CC}">
              <c16:uniqueId val="{00000000-6DD3-45ED-BB54-B6CF1AC588B1}"/>
            </c:ext>
          </c:extLst>
        </c:ser>
        <c:ser>
          <c:idx val="1"/>
          <c:order val="1"/>
          <c:tx>
            <c:strRef>
              <c:f>[Book1.xlsx]Sheet1!$C$2</c:f>
              <c:strCache>
                <c:ptCount val="1"/>
                <c:pt idx="0">
                  <c:v>Medicines Australia Report (2012-2017)</c:v>
                </c:pt>
              </c:strCache>
            </c:strRef>
          </c:tx>
          <c:spPr>
            <a:solidFill>
              <a:schemeClr val="accent2"/>
            </a:solidFill>
            <a:ln>
              <a:noFill/>
            </a:ln>
            <a:effectLst/>
          </c:spPr>
          <c:invertIfNegative val="0"/>
          <c:dPt>
            <c:idx val="6"/>
            <c:invertIfNegative val="0"/>
            <c:bubble3D val="0"/>
            <c:spPr>
              <a:solidFill>
                <a:schemeClr val="accent2"/>
              </a:solidFill>
              <a:ln w="19050">
                <a:solidFill>
                  <a:srgbClr val="00B050"/>
                </a:solidFill>
              </a:ln>
              <a:effectLst/>
            </c:spPr>
            <c:extLst>
              <c:ext xmlns:c16="http://schemas.microsoft.com/office/drawing/2014/chart" uri="{C3380CC4-5D6E-409C-BE32-E72D297353CC}">
                <c16:uniqueId val="{00000002-6DD3-45ED-BB54-B6CF1AC588B1}"/>
              </c:ext>
            </c:extLst>
          </c:dPt>
          <c:cat>
            <c:strRef>
              <c:f>[Book1.xlsx]Sheet1!$A$3:$A$17</c:f>
              <c:strCache>
                <c:ptCount val="15"/>
                <c:pt idx="0">
                  <c:v>POR</c:v>
                </c:pt>
                <c:pt idx="1">
                  <c:v>FRA</c:v>
                </c:pt>
                <c:pt idx="2">
                  <c:v>NOR</c:v>
                </c:pt>
                <c:pt idx="3">
                  <c:v>IRL</c:v>
                </c:pt>
                <c:pt idx="4">
                  <c:v>BEL</c:v>
                </c:pt>
                <c:pt idx="5">
                  <c:v>ITA</c:v>
                </c:pt>
                <c:pt idx="6">
                  <c:v>AUS</c:v>
                </c:pt>
                <c:pt idx="7">
                  <c:v>ESP</c:v>
                </c:pt>
                <c:pt idx="8">
                  <c:v>ENG</c:v>
                </c:pt>
                <c:pt idx="9">
                  <c:v>AUT</c:v>
                </c:pt>
                <c:pt idx="10">
                  <c:v>FIN</c:v>
                </c:pt>
                <c:pt idx="11">
                  <c:v>SWE</c:v>
                </c:pt>
                <c:pt idx="12">
                  <c:v>NED</c:v>
                </c:pt>
                <c:pt idx="13">
                  <c:v>SUI</c:v>
                </c:pt>
                <c:pt idx="14">
                  <c:v>GER</c:v>
                </c:pt>
              </c:strCache>
            </c:strRef>
          </c:cat>
          <c:val>
            <c:numRef>
              <c:f>[Book1.xlsx]Sheet1!$C$3:$C$17</c:f>
              <c:numCache>
                <c:formatCode>General</c:formatCode>
                <c:ptCount val="15"/>
                <c:pt idx="0">
                  <c:v>871</c:v>
                </c:pt>
                <c:pt idx="1">
                  <c:v>373</c:v>
                </c:pt>
                <c:pt idx="2">
                  <c:v>202</c:v>
                </c:pt>
                <c:pt idx="3">
                  <c:v>282</c:v>
                </c:pt>
                <c:pt idx="4">
                  <c:v>420</c:v>
                </c:pt>
                <c:pt idx="5">
                  <c:v>481</c:v>
                </c:pt>
                <c:pt idx="6">
                  <c:v>420</c:v>
                </c:pt>
                <c:pt idx="7">
                  <c:v>469</c:v>
                </c:pt>
                <c:pt idx="8">
                  <c:v>128</c:v>
                </c:pt>
                <c:pt idx="9">
                  <c:v>125</c:v>
                </c:pt>
                <c:pt idx="10">
                  <c:v>277</c:v>
                </c:pt>
                <c:pt idx="11">
                  <c:v>254</c:v>
                </c:pt>
                <c:pt idx="12">
                  <c:v>305</c:v>
                </c:pt>
                <c:pt idx="13">
                  <c:v>153</c:v>
                </c:pt>
                <c:pt idx="14">
                  <c:v>117</c:v>
                </c:pt>
              </c:numCache>
            </c:numRef>
          </c:val>
          <c:extLst>
            <c:ext xmlns:c16="http://schemas.microsoft.com/office/drawing/2014/chart" uri="{C3380CC4-5D6E-409C-BE32-E72D297353CC}">
              <c16:uniqueId val="{00000003-6DD3-45ED-BB54-B6CF1AC588B1}"/>
            </c:ext>
          </c:extLst>
        </c:ser>
        <c:dLbls>
          <c:showLegendKey val="0"/>
          <c:showVal val="0"/>
          <c:showCatName val="0"/>
          <c:showSerName val="0"/>
          <c:showPercent val="0"/>
          <c:showBubbleSize val="0"/>
        </c:dLbls>
        <c:gapWidth val="182"/>
        <c:axId val="335587856"/>
        <c:axId val="347227744"/>
      </c:barChart>
      <c:catAx>
        <c:axId val="33558785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47227744"/>
        <c:crosses val="autoZero"/>
        <c:auto val="1"/>
        <c:lblAlgn val="ctr"/>
        <c:lblOffset val="100"/>
        <c:noMultiLvlLbl val="0"/>
      </c:catAx>
      <c:valAx>
        <c:axId val="347227744"/>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3558785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UTS">
      <a:dk1>
        <a:sysClr val="windowText" lastClr="000000"/>
      </a:dk1>
      <a:lt1>
        <a:sysClr val="window" lastClr="FFFFFF"/>
      </a:lt1>
      <a:dk2>
        <a:srgbClr val="B2B2B2"/>
      </a:dk2>
      <a:lt2>
        <a:srgbClr val="F2F2F2"/>
      </a:lt2>
      <a:accent1>
        <a:srgbClr val="0F4BEB"/>
      </a:accent1>
      <a:accent2>
        <a:srgbClr val="FF2305"/>
      </a:accent2>
      <a:accent3>
        <a:srgbClr val="49C0E2"/>
      </a:accent3>
      <a:accent4>
        <a:srgbClr val="068D38"/>
      </a:accent4>
      <a:accent5>
        <a:srgbClr val="AECA0C"/>
      </a:accent5>
      <a:accent6>
        <a:srgbClr val="6E237F"/>
      </a:accent6>
      <a:hlink>
        <a:srgbClr val="0F4BEB"/>
      </a:hlink>
      <a:folHlink>
        <a:srgbClr val="0F4BEB"/>
      </a:folHlink>
    </a:clrScheme>
    <a:fontScheme name="Office Classic 2">
      <a:maj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ajorFont>
      <a:min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p:properties xmlns:p="http://schemas.microsoft.com/office/2006/metadata/properties" xmlns:xsi="http://www.w3.org/2001/XMLSchema-instance" xmlns:pc="http://schemas.microsoft.com/office/infopath/2007/PartnerControls">
  <documentManagement>
    <lcf76f155ced4ddcb4097134ff3c332f xmlns="01920aa1-7832-453e-a147-98c77996387c">
      <Terms xmlns="http://schemas.microsoft.com/office/infopath/2007/PartnerControls"/>
    </lcf76f155ced4ddcb4097134ff3c332f>
    <TaxCatchAll xmlns="c4876c76-5897-4d5d-ac80-954d0599e137" xsi:nil="true"/>
  </documentManagement>
</p:properties>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ct:contentTypeSchema xmlns:ct="http://schemas.microsoft.com/office/2006/metadata/contentType" xmlns:ma="http://schemas.microsoft.com/office/2006/metadata/properties/metaAttributes" ct:_="" ma:_="" ma:contentTypeName="Document" ma:contentTypeID="0x010100FEE71144B0A72D48BAD5085EFC329F68" ma:contentTypeVersion="16" ma:contentTypeDescription="Create a new document." ma:contentTypeScope="" ma:versionID="3b368dc8a2b8b31f5f834a0327a44a56">
  <xsd:schema xmlns:xsd="http://www.w3.org/2001/XMLSchema" xmlns:xs="http://www.w3.org/2001/XMLSchema" xmlns:p="http://schemas.microsoft.com/office/2006/metadata/properties" xmlns:ns2="c4876c76-5897-4d5d-ac80-954d0599e137" xmlns:ns3="01920aa1-7832-453e-a147-98c77996387c" targetNamespace="http://schemas.microsoft.com/office/2006/metadata/properties" ma:root="true" ma:fieldsID="e67780a3b9c0d6ec2d453ca394bc367e" ns2:_="" ns3:_="">
    <xsd:import namespace="c4876c76-5897-4d5d-ac80-954d0599e137"/>
    <xsd:import namespace="01920aa1-7832-453e-a147-98c77996387c"/>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AutoKeyPoints" minOccurs="0"/>
                <xsd:element ref="ns3:MediaServiceKeyPoints" minOccurs="0"/>
                <xsd:element ref="ns3:lcf76f155ced4ddcb4097134ff3c332f" minOccurs="0"/>
                <xsd:element ref="ns2:TaxCatchAll" minOccurs="0"/>
                <xsd:element ref="ns3:MediaServiceGenerationTime" minOccurs="0"/>
                <xsd:element ref="ns3:MediaServiceEventHashCode" minOccurs="0"/>
                <xsd:element ref="ns3:MediaServiceOCR" minOccurs="0"/>
                <xsd:element ref="ns3:MediaServiceObjectDetectorVersions" minOccurs="0"/>
                <xsd:element ref="ns3:MediaServiceDateTaken" minOccurs="0"/>
                <xsd:element ref="ns3:MediaLengthInSeconds" minOccurs="0"/>
                <xsd:element ref="ns3: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4876c76-5897-4d5d-ac80-954d0599e137"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element name="TaxCatchAll" ma:index="16" nillable="true" ma:displayName="Taxonomy Catch All Column" ma:hidden="true" ma:list="{5074fb71-3d31-424b-8837-24a0ba3e9c61}" ma:internalName="TaxCatchAll" ma:showField="CatchAllData" ma:web="c4876c76-5897-4d5d-ac80-954d0599e137">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01920aa1-7832-453e-a147-98c77996387c"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lcf76f155ced4ddcb4097134ff3c332f" ma:index="15" nillable="true" ma:taxonomy="true" ma:internalName="lcf76f155ced4ddcb4097134ff3c332f" ma:taxonomyFieldName="MediaServiceImageTags" ma:displayName="Image Tags" ma:readOnly="false" ma:fieldId="{5cf76f15-5ced-4ddc-b409-7134ff3c332f}" ma:taxonomyMulti="true" ma:sspId="89927c38-8944-418e-ac9b-4d6e75543028" ma:termSetId="09814cd3-568e-fe90-9814-8d621ff8fb84" ma:anchorId="fba54fb3-c3e1-fe81-a776-ca4b69148c4d" ma:open="true" ma:isKeyword="false">
      <xsd:complexType>
        <xsd:sequence>
          <xsd:element ref="pc:Terms" minOccurs="0" maxOccurs="1"/>
        </xsd:sequence>
      </xsd:complex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OCR" ma:index="19" nillable="true" ma:displayName="Extracted Text" ma:internalName="MediaServiceOCR" ma:readOnly="true">
      <xsd:simpleType>
        <xsd:restriction base="dms:Note">
          <xsd:maxLength value="255"/>
        </xsd:restriction>
      </xsd:simpleType>
    </xsd:element>
    <xsd:element name="MediaServiceObjectDetectorVersions" ma:index="20" nillable="true" ma:displayName="MediaServiceObjectDetectorVersions" ma:hidden="true" ma:indexed="true" ma:internalName="MediaServiceObjectDetectorVersions" ma:readOnly="true">
      <xsd:simpleType>
        <xsd:restriction base="dms:Text"/>
      </xsd:simpleType>
    </xsd:element>
    <xsd:element name="MediaServiceDateTaken" ma:index="21" nillable="true" ma:displayName="MediaServiceDateTaken" ma:hidden="true" ma:indexed="true" ma:internalName="MediaServiceDateTaken" ma:readOnly="true">
      <xsd:simpleType>
        <xsd:restriction base="dms:Text"/>
      </xsd:simpleType>
    </xsd:element>
    <xsd:element name="MediaLengthInSeconds" ma:index="22" nillable="true" ma:displayName="MediaLengthInSeconds" ma:hidden="true" ma:internalName="MediaLengthInSeconds" ma:readOnly="true">
      <xsd:simpleType>
        <xsd:restriction base="dms:Unknown"/>
      </xsd:simpleType>
    </xsd:element>
    <xsd:element name="MediaServiceSearchProperties" ma:index="23" nillable="true" ma:displayName="MediaServiceSearchProperties" ma:hidden="true" ma:internalName="MediaServiceSearchPropertie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342C3DE7-89F2-461E-A4FE-CDB0AD186FE9}">
  <ds:schemaRefs>
    <ds:schemaRef ds:uri="http://schemas.microsoft.com/office/2006/metadata/properties"/>
    <ds:schemaRef ds:uri="http://schemas.microsoft.com/office/infopath/2007/PartnerControls"/>
    <ds:schemaRef ds:uri="01920aa1-7832-453e-a147-98c77996387c"/>
    <ds:schemaRef ds:uri="c4876c76-5897-4d5d-ac80-954d0599e137"/>
  </ds:schemaRefs>
</ds:datastoreItem>
</file>

<file path=customXml/itemProps3.xml><?xml version="1.0" encoding="utf-8"?>
<ds:datastoreItem xmlns:ds="http://schemas.openxmlformats.org/officeDocument/2006/customXml" ds:itemID="{92207EDB-5976-469B-BD61-F746DD886FC0}">
  <ds:schemaRefs>
    <ds:schemaRef ds:uri="http://schemas.openxmlformats.org/officeDocument/2006/bibliography"/>
  </ds:schemaRefs>
</ds:datastoreItem>
</file>

<file path=customXml/itemProps4.xml><?xml version="1.0" encoding="utf-8"?>
<ds:datastoreItem xmlns:ds="http://schemas.openxmlformats.org/officeDocument/2006/customXml" ds:itemID="{06E5BF3D-54B5-4D55-9657-54C546679E07}">
  <ds:schemaRefs>
    <ds:schemaRef ds:uri="http://schemas.microsoft.com/sharepoint/v3/contenttype/forms"/>
  </ds:schemaRefs>
</ds:datastoreItem>
</file>

<file path=customXml/itemProps5.xml><?xml version="1.0" encoding="utf-8"?>
<ds:datastoreItem xmlns:ds="http://schemas.openxmlformats.org/officeDocument/2006/customXml" ds:itemID="{9245DC91-3A66-45E6-BF1E-217D99DA434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4876c76-5897-4d5d-ac80-954d0599e137"/>
    <ds:schemaRef ds:uri="01920aa1-7832-453e-a147-98c77996387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Pages>
  <Words>124116</Words>
  <Characters>707467</Characters>
  <Application>Microsoft Office Word</Application>
  <DocSecurity>0</DocSecurity>
  <Lines>5895</Lines>
  <Paragraphs>1659</Paragraphs>
  <ScaleCrop>false</ScaleCrop>
  <Company/>
  <LinksUpToDate>false</LinksUpToDate>
  <CharactersWithSpaces>829924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2024-07-09T03:00:00Z</dcterms:created>
  <dcterms:modified xsi:type="dcterms:W3CDTF">2024-07-09T03:00:00Z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7454fd80-e2ff-40dc-a7ce-a8751429c4f7_SiteId">
    <vt:lpwstr>e8911c26-cf9f-4a9c-878e-527807be8791</vt:lpwstr>
  </property>
  <property fmtid="{D5CDD505-2E9C-101B-9397-08002B2CF9AE}" pid="3" name="MSIP_Label_7454fd80-e2ff-40dc-a7ce-a8751429c4f7_Method">
    <vt:lpwstr>Privileged</vt:lpwstr>
  </property>
  <property fmtid="{D5CDD505-2E9C-101B-9397-08002B2CF9AE}" pid="4" name="MSIP_Label_7454fd80-e2ff-40dc-a7ce-a8751429c4f7_ContentBits">
    <vt:lpwstr>0</vt:lpwstr>
  </property>
  <property fmtid="{D5CDD505-2E9C-101B-9397-08002B2CF9AE}" pid="5" name="MSIP_Label_7454fd80-e2ff-40dc-a7ce-a8751429c4f7_ActionId">
    <vt:lpwstr>290bf954-0a0f-497e-a5af-2abd165447e6</vt:lpwstr>
  </property>
  <property fmtid="{D5CDD505-2E9C-101B-9397-08002B2CF9AE}" pid="6" name="MediaServiceImageTags">
    <vt:lpwstr/>
  </property>
  <property fmtid="{D5CDD505-2E9C-101B-9397-08002B2CF9AE}" pid="7" name="ContentTypeId">
    <vt:lpwstr>0x010100FEE71144B0A72D48BAD5085EFC329F68</vt:lpwstr>
  </property>
  <property fmtid="{D5CDD505-2E9C-101B-9397-08002B2CF9AE}" pid="8" name="MSIP_Label_7454fd80-e2ff-40dc-a7ce-a8751429c4f7_SetDate">
    <vt:lpwstr>2023-11-01T00:44:26Z</vt:lpwstr>
  </property>
  <property fmtid="{D5CDD505-2E9C-101B-9397-08002B2CF9AE}" pid="9" name="MSIP_Label_7454fd80-e2ff-40dc-a7ce-a8751429c4f7_Name">
    <vt:lpwstr>UTS-Confidential</vt:lpwstr>
  </property>
  <property fmtid="{D5CDD505-2E9C-101B-9397-08002B2CF9AE}" pid="10" name="MSIP_Label_7454fd80-e2ff-40dc-a7ce-a8751429c4f7_Enabled">
    <vt:lpwstr>true</vt:lpwstr>
  </property>
</Properties>
</file>