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2BBD" w14:textId="77777777" w:rsidR="00640067" w:rsidRDefault="00640067" w:rsidP="00640067">
      <w:pPr>
        <w:pStyle w:val="Title"/>
        <w:spacing w:after="360"/>
        <w:ind w:left="-142"/>
        <w:rPr>
          <w:sz w:val="72"/>
          <w:szCs w:val="52"/>
          <w:lang w:val="en-US"/>
        </w:rPr>
      </w:pPr>
      <w:bookmarkStart w:id="0" w:name="_Hlk134601435"/>
      <w:r w:rsidRPr="00616345">
        <w:rPr>
          <w:noProof/>
          <w:color w:val="2B579A"/>
          <w:shd w:val="clear" w:color="auto" w:fill="E6E6E6"/>
        </w:rPr>
        <mc:AlternateContent>
          <mc:Choice Requires="wpg">
            <w:drawing>
              <wp:anchor distT="0" distB="0" distL="114300" distR="114300" simplePos="0" relativeHeight="251660288" behindDoc="0" locked="0" layoutInCell="1" allowOverlap="1" wp14:anchorId="2D69AA5E" wp14:editId="49B9ACE4">
                <wp:simplePos x="0" y="0"/>
                <wp:positionH relativeFrom="column">
                  <wp:posOffset>-543824</wp:posOffset>
                </wp:positionH>
                <wp:positionV relativeFrom="paragraph">
                  <wp:posOffset>2188210</wp:posOffset>
                </wp:positionV>
                <wp:extent cx="6858000" cy="180000"/>
                <wp:effectExtent l="0" t="0" r="0" b="0"/>
                <wp:wrapNone/>
                <wp:docPr id="16" name="Group 16">
                  <a:extLst xmlns:a="http://schemas.openxmlformats.org/drawingml/2006/main">
                    <a:ext uri="{FF2B5EF4-FFF2-40B4-BE49-F238E27FC236}">
                      <a16:creationId xmlns:a16="http://schemas.microsoft.com/office/drawing/2014/main" id="{C25B9496-17B0-4FB2-8168-CF6E3D937B7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180000"/>
                          <a:chOff x="0" y="0"/>
                          <a:chExt cx="6858000" cy="180000"/>
                        </a:xfrm>
                      </wpg:grpSpPr>
                      <wps:wsp>
                        <wps:cNvPr id="2" name="Rectangle 2">
                          <a:extLst>
                            <a:ext uri="{FF2B5EF4-FFF2-40B4-BE49-F238E27FC236}">
                              <a16:creationId xmlns:a16="http://schemas.microsoft.com/office/drawing/2014/main" id="{BE49EDDD-5743-41CC-AD68-23F7A44AC9CE}"/>
                            </a:ext>
                          </a:extLst>
                        </wps:cNvPr>
                        <wps:cNvSpPr/>
                        <wps:spPr>
                          <a:xfrm>
                            <a:off x="0" y="0"/>
                            <a:ext cx="6858000" cy="180000"/>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 name="Picture 3">
                            <a:extLst>
                              <a:ext uri="{FF2B5EF4-FFF2-40B4-BE49-F238E27FC236}">
                                <a16:creationId xmlns:a16="http://schemas.microsoft.com/office/drawing/2014/main" id="{7967C53B-EAD4-4F2C-83BB-EA890ADD93AC}"/>
                              </a:ext>
                            </a:extLst>
                          </pic:cNvPr>
                          <pic:cNvPicPr>
                            <a:picLocks noChangeAspect="1"/>
                          </pic:cNvPicPr>
                        </pic:nvPicPr>
                        <pic:blipFill rotWithShape="1">
                          <a:blip r:embed="rId11"/>
                          <a:srcRect l="60" t="6303" r="315" b="5131"/>
                          <a:stretch/>
                        </pic:blipFill>
                        <pic:spPr>
                          <a:xfrm>
                            <a:off x="677708" y="0"/>
                            <a:ext cx="4646022" cy="180000"/>
                          </a:xfrm>
                          <a:prstGeom prst="rect">
                            <a:avLst/>
                          </a:prstGeom>
                        </pic:spPr>
                      </pic:pic>
                    </wpg:wgp>
                  </a:graphicData>
                </a:graphic>
              </wp:anchor>
            </w:drawing>
          </mc:Choice>
          <mc:Fallback>
            <w:pict>
              <v:group w14:anchorId="3A0F9CBB" id="Group 16" o:spid="_x0000_s1026" alt="&quot;&quot;" style="position:absolute;margin-left:-42.8pt;margin-top:172.3pt;width:540pt;height:14.15pt;z-index:251660288" coordsize="68580,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xCSGQMAAMkHAAAOAAAAZHJzL2Uyb0RvYy54bWykVVtP2zAUfp+0/2Dl&#10;HZK2NHRRW4RgoEnThmDTnl3HSSwc27Ld27/fOXYSVsrYBA9N7Zz7l++cM7/YtZJsuHVCq0UyOs0S&#10;whXTpVD1Ivn54+ZklhDnqSqp1Iovkj13ycXy44f51hR8rBstS24JOFGu2JpF0nhvijR1rOEtdafa&#10;cAXCStuWerjaOi0t3YL3VqbjLMvTrbalsZpx5+DtdRQmy+C/qjjz36vKcU/kIoHcfHja8FzhM13O&#10;aVFbahrBujToG7JoqVAQdHB1TT0layuOXLWCWe105U+ZblNdVYLxUANUM8qeVXNr9dqEWupiW5sB&#10;JoD2GU5vdsu+bW6teTB3FpDYmhqwCDesZVfZFv8hS7ILkO0HyPjOEwYv89l0lmWALAPZCI8dpqwB&#10;4I/MWPP5dcO0D5seJLM1QA/3hIB7HwIPDTU8AOsKQODOElEuknFCFG2BpPdAG6pqyckYCYLBQWsA&#10;yRUO8HonQkOhtDDW+VuuW4KHRWIheuAS3Xx1HuKDaq+CQZ2WorwRUoaLrVdX0pINRYJns8tPOaYM&#10;JgdqUqGy0mgWxfgGMO5rCSe/lxz1pLrnFUAC33ccMgntyIc4lDGu/CiKGlryGH7af32Mjg2MFiGX&#10;4BA9VxB/8N056DWjk953zLLTR1Meunkwzl5LLBoPFiGyVn4wboXS9iUHEqrqIkf9HqQIDaK00uUe&#10;CGO9vNJxqFDFGg0zhXkbjFELyLqcG8EK+HV9C6cj1v57voGVX1uedE7a//LRUvu4NicwYgz1YiWk&#10;8PswLqFmTEpt7gRDCuPlqQEmfQOAFIOSCdbT60QL4KJgXzV7dETpqwbahF86A5SF9g/VH6qneD0I&#10;t5LCIA2J1f6X8E3oRTTGr4TCrlIA9NmQewGsOECvNVu3wMi4ESyXULRWrhHGJcQWvF1xaG/7pQwZ&#10;AjktwxbHnZDHpZBPMigeQk5G04TAZpiOJr2yt9yzBlmBtfTpR1z+Mgjy8/PzDDbf8bw8y8/ybAyT&#10;5nBevnUahJRiEuEIGQbGhn0RWq/bbbiQ/rwHracNvPwNAAD//wMAUEsDBAoAAAAAAAAAIQC6kXcJ&#10;ywIAAMsCAAAUAAAAZHJzL21lZGlhL2ltYWdlMS5wbmeJUE5HDQoaCgAAAA1JSERSAAADUQAAACUI&#10;AgAAACy89LcAAAABc1JHQgCuzhzpAAAChUlEQVR4Xu3WoXECYRgEUA5DH8iUgKEFROpApJA0g0Dg&#10;aQGBj0kRfzrIMoPg9nhY9ubY9w0zO40xVj4ECBAgQIAAAQKLFphWp8uiCz5R7vv6xMNv/+jh8+0J&#10;EsD2JyVe9P3t/qIXP/Da8+8DIZFlCXztZtdnzv+R2WEt5Qdt9u1NxvFj3d7B7ydAgAABAgQIEIgC&#10;Nl8kEiBAgAABAgQI1AvYfPUnVIAAAQIECBAgEAVsvkgkQIAAAQIECBCoF7D56k+oAAECBAgQIEAg&#10;Cth8kUiAAAECBAgQIFAvYPPVn1ABAgQIECBAgEAUsPkikQABAgQIECBAoF7A5qs/oQIECBAgQIAA&#10;gShg80UiAQIECBAgQIBAvYDNV39CBQgQIECAAAECUcDmi0QCBAgQIECAAIF6AZuv/oQKECBAgAAB&#10;AgSigM0XiQQIECBAgAABAvUCNl/9CRUgQIAAAQIECEQBmy8SCRAgQIAAAQIE6gVsvvoTKkCAAAEC&#10;BAgQiAI2XyQSIECAAAECBAjUC9h89SdUgAABAgQIECAQBWy+SCRAgAABAgQIEKgXsPnqT6gAAQIE&#10;CBAgQCAK2HyRSIAAAQIECBAgUC9g89WfUAECBAgQIECAQBSw+SKRAAECBAgQIECgXsDmqz+hAgQI&#10;ECBAgACBKGDzRSIBAgQIECBAgEC9gM1Xf0IFCBAgQIAAAQJRwOaLRAIECBAgQIAAgXoBm6/+hAoQ&#10;IECAAAECBKKAzReJBAgQIECAAAEC9QI2X/0JFSBAgAABAgQIRAGbLxIJECBAgAABAgTqBWy++hMq&#10;QIAAAQIECBCIAjZfJBIgQIAAAQIECNQLTGOM+hIKECBAgAABAgQI/CvwB/NdEj+Q9KTuAAAAAElF&#10;TkSuQmCCUEsDBBQABgAIAAAAIQAVkOov4gAAAAsBAAAPAAAAZHJzL2Rvd25yZXYueG1sTI9Nb4JA&#10;EIbvTfofNtOkN11QtIIsxpi2J9Ok2qTxtsIIRHaWsCvgv+/01N7m48k7z6Sb0TSix87VlhSE0wAE&#10;Um6LmkoFX8e3yQqE85oK3VhCBXd0sMkeH1KdFHagT+wPvhQcQi7RCirv20RKl1dotJvaFol3F9sZ&#10;7bntSll0euBw08hZECyl0TXxhUq3uKswvx5uRsH7oIftPHzt99fL7n46Lj6+9yEq9fw0btcgPI7+&#10;D4ZffVaHjJ3O9kaFE42CyWqxZFTBPIq4YCKOowjEmScvsxhklsr/P2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YXEJIZAwAAyQcAAA4AAAAAAAAAAAAAAAAA&#10;OgIAAGRycy9lMm9Eb2MueG1sUEsBAi0ACgAAAAAAAAAhALqRdwnLAgAAywIAABQAAAAAAAAAAAAA&#10;AAAAfwUAAGRycy9tZWRpYS9pbWFnZTEucG5nUEsBAi0AFAAGAAgAAAAhABWQ6i/iAAAACwEAAA8A&#10;AAAAAAAAAAAAAAAAfAgAAGRycy9kb3ducmV2LnhtbFBLAQItABQABgAIAAAAIQCqJg6+vAAAACEB&#10;AAAZAAAAAAAAAAAAAAAAAIsJAABkcnMvX3JlbHMvZTJvRG9jLnhtbC5yZWxzUEsFBgAAAAAGAAYA&#10;fAEAAH4KAAAAAA==&#10;">
                <v:rect id="Rectangle 2" o:spid="_x0000_s1027" style="position:absolute;width:685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jYwwQAAANoAAAAPAAAAZHJzL2Rvd25yZXYueG1sRI9PawIx&#10;FMTvgt8hPMGbZqtQy9YoRRBaevEftMdH8roJ3bwsSdT12zcFweMwM79hluvet+JCMbnACp6mFQhi&#10;HYzjRsHpuJ28gEgZ2WAbmBTcKMF6NRwssTbhynu6HHIjCoRTjQpszl0tZdKWPKZp6IiL9xOix1xk&#10;bKSJeC1w38pZVT1Lj47LgsWONpb07+HsFWydrr4/29t8F+3XWe8Wmw9rnVLjUf/2CiJTnx/he/vd&#10;KJjB/5VyA+TqDwAA//8DAFBLAQItABQABgAIAAAAIQDb4fbL7gAAAIUBAAATAAAAAAAAAAAAAAAA&#10;AAAAAABbQ29udGVudF9UeXBlc10ueG1sUEsBAi0AFAAGAAgAAAAhAFr0LFu/AAAAFQEAAAsAAAAA&#10;AAAAAAAAAAAAHwEAAF9yZWxzLy5yZWxzUEsBAi0AFAAGAAgAAAAhAHfONjDBAAAA2gAAAA8AAAAA&#10;AAAAAAAAAAAABwIAAGRycy9kb3ducmV2LnhtbFBLBQYAAAAAAwADALcAAAD1AgAAAAA=&#10;" fillcolor="#008a96"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777;width:4646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Q3xAAAANoAAAAPAAAAZHJzL2Rvd25yZXYueG1sRI9fa8Iw&#10;FMXfhX2HcAe+aeqEIZ2pjIEigo7ZMtjbXXNt65qbkqTafftlIPh4OH9+nOVqMK24kPONZQWzaQKC&#10;uLS64UpBka8nCxA+IGtsLZOCX/Kwyh5GS0y1vfIHXY6hEnGEfYoK6hC6VEpf1mTQT21HHL2TdQZD&#10;lK6S2uE1jptWPiXJszTYcCTU2NFbTeXPsTeRu8tPhT248/di87lfv/fnr9kmV2r8OLy+gAg0hHv4&#10;1t5qBXP4vxJvgMz+AAAA//8DAFBLAQItABQABgAIAAAAIQDb4fbL7gAAAIUBAAATAAAAAAAAAAAA&#10;AAAAAAAAAABbQ29udGVudF9UeXBlc10ueG1sUEsBAi0AFAAGAAgAAAAhAFr0LFu/AAAAFQEAAAsA&#10;AAAAAAAAAAAAAAAAHwEAAF9yZWxzLy5yZWxzUEsBAi0AFAAGAAgAAAAhABI+lDfEAAAA2gAAAA8A&#10;AAAAAAAAAAAAAAAABwIAAGRycy9kb3ducmV2LnhtbFBLBQYAAAAAAwADALcAAAD4AgAAAAA=&#10;">
                  <v:imagedata r:id="rId12" o:title="" croptop="4131f" cropbottom="3363f" cropleft="39f" cropright="206f"/>
                </v:shape>
              </v:group>
            </w:pict>
          </mc:Fallback>
        </mc:AlternateContent>
      </w:r>
      <w:r w:rsidRPr="00417DE7">
        <w:rPr>
          <w:noProof/>
          <w:color w:val="2B579A"/>
          <w:shd w:val="clear" w:color="auto" w:fill="E6E6E6"/>
        </w:rPr>
        <mc:AlternateContent>
          <mc:Choice Requires="wps">
            <w:drawing>
              <wp:anchor distT="0" distB="0" distL="114300" distR="114300" simplePos="0" relativeHeight="251659264" behindDoc="1" locked="0" layoutInCell="1" allowOverlap="1" wp14:anchorId="732A9160" wp14:editId="4317F4F4">
                <wp:simplePos x="0" y="0"/>
                <wp:positionH relativeFrom="margin">
                  <wp:align>center</wp:align>
                </wp:positionH>
                <wp:positionV relativeFrom="paragraph">
                  <wp:posOffset>0</wp:posOffset>
                </wp:positionV>
                <wp:extent cx="6858000" cy="2384855"/>
                <wp:effectExtent l="0" t="0" r="0" b="0"/>
                <wp:wrapNone/>
                <wp:docPr id="15" name="Rectangle 15">
                  <a:extLst xmlns:a="http://schemas.openxmlformats.org/drawingml/2006/main">
                    <a:ext uri="{FF2B5EF4-FFF2-40B4-BE49-F238E27FC236}">
                      <a16:creationId xmlns:a16="http://schemas.microsoft.com/office/drawing/2014/main" id="{569C0709-3642-4198-B63D-E466642DD1DE}"/>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58000" cy="2384855"/>
                        </a:xfrm>
                        <a:prstGeom prst="rect">
                          <a:avLst/>
                        </a:prstGeom>
                        <a:gradFill>
                          <a:gsLst>
                            <a:gs pos="20000">
                              <a:srgbClr val="D6DBE2"/>
                            </a:gs>
                            <a:gs pos="6000">
                              <a:srgbClr val="BAC4D1"/>
                            </a:gs>
                            <a:gs pos="0">
                              <a:schemeClr val="tx2">
                                <a:lumMod val="40000"/>
                                <a:lumOff val="60000"/>
                              </a:schemeClr>
                            </a:gs>
                            <a:gs pos="100000">
                              <a:srgbClr val="F1F2F2">
                                <a:alpha val="0"/>
                              </a:srgbClr>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9FBE655" id="Rectangle 15" o:spid="_x0000_s1026" alt="&quot;&quot;" style="position:absolute;margin-left:0;margin-top:0;width:540pt;height:187.8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ORTwIAAE8FAAAOAAAAZHJzL2Uyb0RvYy54bWysVMmO2zAMvRfoPwi+N16aBEEQZ9BJml66&#10;DGbaD1C02Aa0QdJk+ftSkqNM2pyKXmSZIt8jHyWuHk5SoAOzbtCqLepJVSCmiKaD6tri18/dh0WB&#10;nMeKYqEVa4szc8XD+v271dEsWaN7LSizCECUWx5NW/Tem2VZOtIzid1EG6bgkGsrsYdf25XU4iOg&#10;S1E2VTUvj9pSYzVhzoF1mw6LdcTnnBH/g3PHPBJtAbn5uNq47sNarld42Vls+oGMaeB/yELiQQFp&#10;htpij9GrHf6CkgOx2mnuJ0TLUnM+EBZrgGrq6o9qXnpsWKwFxHEmy+T+Hyz5fngxTxZkOBq3dLAN&#10;VZy4leEL+aFTFOucxWInjwgY54vZoqpAUwJnzcfFdDGbBTnLa7ixzn9hWqKwaQsL3Ygi4cNX55Pr&#10;xWXUju4GIeLegUvaIKOhYGg2kAWLs91+Iyw6YOjpdr59/NyMvJ17GzG/G/D4aTPd1ncDRvhw9Vgm&#10;8KcmsopX+U3TRDqNucSrA2a4YMkcCOONAgniBQ4oUZDbxOrgd6eWXb1rdokNC9PjhJoRU9kZD0i6&#10;i0hiUAiHFwftcAQLRsd2BSeLs6pCBYGUDion/YOlvLY+7vxZsOAn1DPjaKDQ7JRVLiplhglhytep&#10;KT2mLJlnsboEnyNi2hEwIHPgz9gjwK3sF+wEM/qHUBYfdQ6+27Pb4BwRmbXyOVgOStuU/i27gKpG&#10;5uR/ESlJE1Taa3p+ssh6sdFptmBFeg2jhXgbg4MXvNrUsDRhwlh4+x9hr3Nw/RsAAP//AwBQSwME&#10;FAAGAAgAAAAhAOZEGHLcAAAABgEAAA8AAABkcnMvZG93bnJldi54bWxMj1FLAzEQhN8F/0NYwTeb&#10;aGkt5+WKiFIQRK72B6SX7eXaZHMk6fX015v6Ul8Ghllmvi2Xo7NswBA7TxLuJwIYUuN1R62Ezdfb&#10;3QJYTIq0sp5QwjdGWFbXV6UqtD9RjcM6tSyXUCyUBJNSX3AeG4NOxYnvkXK288GplG1ouQ7qlMud&#10;5Q9CzLlTHeUFo3p8Mdgc1kcn4bO2m93e1ebHuNkwfQ2r9/pjJeXtzfj8BCzhmC7HcMbP6FBlpq0/&#10;ko7MSsiPpD89Z2Ihst9KmD7O5sCrkv/Hr34BAAD//wMAUEsBAi0AFAAGAAgAAAAhALaDOJL+AAAA&#10;4QEAABMAAAAAAAAAAAAAAAAAAAAAAFtDb250ZW50X1R5cGVzXS54bWxQSwECLQAUAAYACAAAACEA&#10;OP0h/9YAAACUAQAACwAAAAAAAAAAAAAAAAAvAQAAX3JlbHMvLnJlbHNQSwECLQAUAAYACAAAACEA&#10;+qnjkU8CAABPBQAADgAAAAAAAAAAAAAAAAAuAgAAZHJzL2Uyb0RvYy54bWxQSwECLQAUAAYACAAA&#10;ACEA5kQYctwAAAAGAQAADwAAAAAAAAAAAAAAAACpBAAAZHJzL2Rvd25yZXYueG1sUEsFBgAAAAAE&#10;AAQA8wAAALIFAAAAAA==&#10;" fillcolor="#acb9ca [1311]" stroked="f" strokeweight="1pt">
                <v:fill opacity="0" color2="#f1f2f2" angle="90" colors="0 #adb9ca;3932f #bac4d1;13107f #d6dbe2;1 #f1f2f2" focus="100%" type="gradient">
                  <o:fill v:ext="view" type="gradientUnscaled"/>
                </v:fill>
                <w10:wrap anchorx="margin"/>
              </v:rect>
            </w:pict>
          </mc:Fallback>
        </mc:AlternateContent>
      </w:r>
      <w:r w:rsidRPr="00321AD6">
        <w:rPr>
          <w:sz w:val="72"/>
          <w:szCs w:val="52"/>
          <w:lang w:val="en-US"/>
        </w:rPr>
        <w:t>Health Technology Assessment Policy and Methods Review</w:t>
      </w:r>
    </w:p>
    <w:p w14:paraId="33151386" w14:textId="77777777" w:rsidR="00D837F2" w:rsidRDefault="00640067" w:rsidP="00BE1C38">
      <w:pPr>
        <w:spacing w:after="240"/>
        <w:rPr>
          <w:color w:val="0070C0"/>
          <w:sz w:val="40"/>
          <w:szCs w:val="40"/>
          <w:lang w:val="en-US"/>
        </w:rPr>
      </w:pPr>
      <w:r w:rsidRPr="00321AD6">
        <w:rPr>
          <w:color w:val="0070C0"/>
          <w:sz w:val="40"/>
          <w:szCs w:val="40"/>
          <w:lang w:val="en-US"/>
        </w:rPr>
        <w:t>Emerging health technologies</w:t>
      </w:r>
    </w:p>
    <w:p w14:paraId="30770711" w14:textId="77777777" w:rsidR="00D837F2" w:rsidRPr="00D837F2" w:rsidRDefault="00D837F2" w:rsidP="00D837F2"/>
    <w:p w14:paraId="5F9F95AB" w14:textId="77777777" w:rsidR="00D837F2" w:rsidRPr="00D837F2" w:rsidRDefault="00D837F2" w:rsidP="00D837F2"/>
    <w:p w14:paraId="3E210488" w14:textId="77777777" w:rsidR="00D837F2" w:rsidRPr="00D837F2" w:rsidRDefault="00D837F2" w:rsidP="00D837F2"/>
    <w:p w14:paraId="0826FCEF" w14:textId="77777777" w:rsidR="00D837F2" w:rsidRPr="00D837F2" w:rsidRDefault="00D837F2" w:rsidP="00D837F2"/>
    <w:p w14:paraId="629C0445" w14:textId="77777777" w:rsidR="00D837F2" w:rsidRPr="00D837F2" w:rsidRDefault="00D837F2" w:rsidP="00D837F2"/>
    <w:p w14:paraId="002890AA" w14:textId="77777777" w:rsidR="00D837F2" w:rsidRPr="00D837F2" w:rsidRDefault="00D837F2" w:rsidP="00D837F2"/>
    <w:p w14:paraId="27187DF6" w14:textId="77777777" w:rsidR="00D837F2" w:rsidRPr="00D837F2" w:rsidRDefault="00D837F2" w:rsidP="00D837F2"/>
    <w:p w14:paraId="6308AE82" w14:textId="77777777" w:rsidR="00D837F2" w:rsidRPr="00D837F2" w:rsidRDefault="00D837F2" w:rsidP="00D837F2"/>
    <w:p w14:paraId="3FCC902D" w14:textId="77777777" w:rsidR="00D837F2" w:rsidRPr="00D837F2" w:rsidRDefault="00D837F2" w:rsidP="00D837F2"/>
    <w:p w14:paraId="6495EECD" w14:textId="77777777" w:rsidR="00D837F2" w:rsidRPr="00D837F2" w:rsidRDefault="00D837F2" w:rsidP="00D837F2"/>
    <w:p w14:paraId="31AFCC93" w14:textId="77777777" w:rsidR="00D837F2" w:rsidRPr="00D837F2" w:rsidRDefault="00D837F2" w:rsidP="00D837F2"/>
    <w:p w14:paraId="249D0744" w14:textId="77777777" w:rsidR="00D837F2" w:rsidRPr="00D837F2" w:rsidRDefault="00D837F2" w:rsidP="00D837F2"/>
    <w:p w14:paraId="42C29A91" w14:textId="77777777" w:rsidR="00D837F2" w:rsidRPr="00D837F2" w:rsidRDefault="00D837F2" w:rsidP="00D837F2"/>
    <w:p w14:paraId="15BAC0E7" w14:textId="77777777" w:rsidR="00D837F2" w:rsidRPr="00D837F2" w:rsidRDefault="00D837F2" w:rsidP="00D837F2"/>
    <w:p w14:paraId="330346B9" w14:textId="77777777" w:rsidR="00D837F2" w:rsidRPr="00D837F2" w:rsidRDefault="00D837F2" w:rsidP="00D837F2"/>
    <w:p w14:paraId="300F0458" w14:textId="77777777" w:rsidR="00D837F2" w:rsidRDefault="00D837F2" w:rsidP="00D837F2"/>
    <w:p w14:paraId="717FEBD9" w14:textId="77777777" w:rsidR="00D837F2" w:rsidRDefault="00D837F2" w:rsidP="00D837F2"/>
    <w:p w14:paraId="1D6114BF" w14:textId="77777777" w:rsidR="00D837F2" w:rsidRDefault="00D837F2" w:rsidP="00D837F2"/>
    <w:p w14:paraId="45987F9A" w14:textId="77777777" w:rsidR="00D837F2" w:rsidRDefault="00D837F2" w:rsidP="00D837F2"/>
    <w:p w14:paraId="48439C6C" w14:textId="77777777" w:rsidR="00D837F2" w:rsidRDefault="00D837F2" w:rsidP="00D837F2"/>
    <w:p w14:paraId="51BFEE37" w14:textId="77777777" w:rsidR="00D837F2" w:rsidRDefault="00D837F2" w:rsidP="00D837F2"/>
    <w:p w14:paraId="0B1FBB01" w14:textId="77777777" w:rsidR="00D837F2" w:rsidRDefault="00D837F2" w:rsidP="00D837F2"/>
    <w:p w14:paraId="03D8DF5C" w14:textId="77777777" w:rsidR="00D837F2" w:rsidRDefault="00D837F2" w:rsidP="00D837F2"/>
    <w:p w14:paraId="66AA3A82" w14:textId="77777777" w:rsidR="00D837F2" w:rsidRDefault="00D837F2" w:rsidP="00D837F2"/>
    <w:p w14:paraId="527556DF" w14:textId="77777777" w:rsidR="00D837F2" w:rsidRDefault="00D837F2" w:rsidP="00D837F2"/>
    <w:p w14:paraId="6206131D" w14:textId="3C4D4FF6" w:rsidR="00D837F2" w:rsidRPr="00DD1BC2" w:rsidRDefault="0038624C" w:rsidP="00D837F2">
      <w:pPr>
        <w:rPr>
          <w:b/>
          <w:bCs/>
          <w:sz w:val="28"/>
          <w:szCs w:val="28"/>
        </w:rPr>
      </w:pPr>
      <w:sdt>
        <w:sdtPr>
          <w:rPr>
            <w:rFonts w:cs="Segoe UI"/>
            <w:b/>
            <w:bCs/>
            <w:color w:val="44546A"/>
            <w:sz w:val="28"/>
            <w:szCs w:val="28"/>
          </w:rPr>
          <w:id w:val="777995787"/>
          <w15:color w:val="FF0000"/>
          <w:date w:fullDate="2024-05-29T00:00:00Z">
            <w:dateFormat w:val="MMMM yyyy"/>
            <w:lid w:val="en-AU"/>
            <w:storeMappedDataAs w:val="dateTime"/>
            <w:calendar w:val="gregorian"/>
          </w:date>
        </w:sdtPr>
        <w:sdtEndPr/>
        <w:sdtContent>
          <w:r w:rsidR="00A538F8" w:rsidRPr="00DD1BC2">
            <w:rPr>
              <w:rFonts w:cs="Segoe UI"/>
              <w:b/>
              <w:bCs/>
              <w:color w:val="44546A"/>
              <w:sz w:val="28"/>
              <w:szCs w:val="28"/>
              <w:lang w:val="en-AU"/>
            </w:rPr>
            <w:t>May 2024</w:t>
          </w:r>
        </w:sdtContent>
      </w:sdt>
    </w:p>
    <w:p w14:paraId="0431BB02" w14:textId="4B26732B" w:rsidR="00BE1C38" w:rsidRPr="006D55B2" w:rsidRDefault="00640067" w:rsidP="00BE1C38">
      <w:pPr>
        <w:spacing w:after="240"/>
        <w:rPr>
          <w:rFonts w:cs="Arial"/>
        </w:rPr>
      </w:pPr>
      <w:r w:rsidRPr="00D837F2">
        <w:br w:type="page"/>
      </w:r>
      <w:r w:rsidR="00BE1C38" w:rsidRPr="52A0037B">
        <w:rPr>
          <w:rFonts w:cs="Arial"/>
        </w:rPr>
        <w:lastRenderedPageBreak/>
        <w:t>© Commonwealth of Australia as represented by the Department of Health and Aged Care 20</w:t>
      </w:r>
      <w:r w:rsidR="00BE1C38">
        <w:rPr>
          <w:rFonts w:cs="Arial"/>
        </w:rPr>
        <w:t>24</w:t>
      </w:r>
    </w:p>
    <w:p w14:paraId="02DFE1F2" w14:textId="77777777" w:rsidR="00BE1C38" w:rsidRPr="006D55B2" w:rsidRDefault="00BE1C38" w:rsidP="00BE1C38">
      <w:pPr>
        <w:pBdr>
          <w:top w:val="single" w:sz="4" w:space="1" w:color="auto"/>
          <w:bottom w:val="single" w:sz="4" w:space="1" w:color="auto"/>
        </w:pBdr>
        <w:rPr>
          <w:rFonts w:cs="Arial"/>
        </w:rPr>
      </w:pPr>
      <w:r w:rsidRPr="006D55B2">
        <w:rPr>
          <w:rFonts w:cs="Arial"/>
        </w:rPr>
        <w:t xml:space="preserve">Title: </w:t>
      </w:r>
      <w:r w:rsidRPr="003A5802">
        <w:rPr>
          <w:rFonts w:cs="Arial"/>
        </w:rPr>
        <w:t>Health Technology Assessment Policy and Methods Review</w:t>
      </w:r>
      <w:r>
        <w:rPr>
          <w:rFonts w:cs="Arial"/>
        </w:rPr>
        <w:t xml:space="preserve">: </w:t>
      </w:r>
      <w:r w:rsidRPr="008D652B">
        <w:rPr>
          <w:rFonts w:cs="Arial"/>
        </w:rPr>
        <w:t>Emerging health technologies</w:t>
      </w:r>
      <w:r w:rsidRPr="006D55B2">
        <w:rPr>
          <w:rFonts w:cs="Arial"/>
        </w:rPr>
        <w:t xml:space="preserve">  </w:t>
      </w:r>
    </w:p>
    <w:p w14:paraId="61EBA674" w14:textId="77777777" w:rsidR="00BE1C38" w:rsidRPr="006D55B2" w:rsidRDefault="00BE1C38" w:rsidP="00BE1C38">
      <w:pPr>
        <w:rPr>
          <w:rFonts w:cs="Arial"/>
        </w:rPr>
      </w:pPr>
    </w:p>
    <w:p w14:paraId="285D8A0F" w14:textId="77777777" w:rsidR="00BE1C38" w:rsidRPr="006D55B2" w:rsidRDefault="00BE1C38" w:rsidP="00BE1C38">
      <w:pPr>
        <w:spacing w:after="240"/>
        <w:rPr>
          <w:rFonts w:cs="Arial"/>
          <w:b/>
        </w:rPr>
      </w:pPr>
      <w:r w:rsidRPr="006D55B2">
        <w:rPr>
          <w:rFonts w:cs="Arial"/>
          <w:b/>
        </w:rPr>
        <w:t>Creative Commons Licence</w:t>
      </w:r>
    </w:p>
    <w:p w14:paraId="27862ABB" w14:textId="77777777" w:rsidR="00BE1C38" w:rsidRPr="006D55B2" w:rsidRDefault="00BE1C38" w:rsidP="00BE1C38">
      <w:pPr>
        <w:rPr>
          <w:rFonts w:cs="Arial"/>
        </w:rPr>
      </w:pPr>
      <w:r w:rsidRPr="006D55B2">
        <w:rPr>
          <w:rFonts w:cs="Arial"/>
          <w:noProof/>
        </w:rPr>
        <w:drawing>
          <wp:inline distT="0" distB="0" distL="0" distR="0" wp14:anchorId="4D5AF2C1" wp14:editId="0D478238">
            <wp:extent cx="1026160" cy="356870"/>
            <wp:effectExtent l="0" t="0" r="2540" b="5080"/>
            <wp:docPr id="1" name="Picture 1"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14:paraId="61221422" w14:textId="77777777" w:rsidR="00BE1C38" w:rsidRPr="006D55B2" w:rsidRDefault="00BE1C38" w:rsidP="00BE1C38">
      <w:pPr>
        <w:autoSpaceDE w:val="0"/>
        <w:autoSpaceDN w:val="0"/>
        <w:spacing w:before="240" w:after="240" w:line="181" w:lineRule="atLeast"/>
        <w:rPr>
          <w:rFonts w:cs="Arial"/>
        </w:rPr>
      </w:pPr>
      <w:r w:rsidRPr="006D55B2">
        <w:rPr>
          <w:rFonts w:cs="Arial"/>
        </w:rPr>
        <w:t xml:space="preserve">This publication is licensed under the Creative Commons Attribution 4.0 International Public License available from </w:t>
      </w:r>
      <w:hyperlink r:id="rId15" w:history="1">
        <w:r w:rsidRPr="006D55B2">
          <w:rPr>
            <w:rStyle w:val="Hyperlink"/>
            <w:rFonts w:cs="Arial"/>
          </w:rPr>
          <w:t>https://creativecommons.org/licenses/by/4.0/legalcode</w:t>
        </w:r>
      </w:hyperlink>
      <w:r w:rsidRPr="006D55B2">
        <w:rPr>
          <w:rStyle w:val="Hyperlink"/>
          <w:rFonts w:cs="Arial"/>
        </w:rPr>
        <w:t xml:space="preserve"> </w:t>
      </w:r>
      <w:r w:rsidRPr="006D55B2">
        <w:rPr>
          <w:rFonts w:cs="Arial"/>
        </w:rPr>
        <w:t xml:space="preserve">(“Licence”). You must read and understand the Licence before using any material from this publication. </w:t>
      </w:r>
    </w:p>
    <w:p w14:paraId="736B5223" w14:textId="77777777" w:rsidR="00BE1C38" w:rsidRPr="006D55B2" w:rsidRDefault="00BE1C38" w:rsidP="00BE1C38">
      <w:pPr>
        <w:autoSpaceDE w:val="0"/>
        <w:autoSpaceDN w:val="0"/>
        <w:spacing w:before="100" w:after="240" w:line="181" w:lineRule="atLeast"/>
        <w:rPr>
          <w:rFonts w:cs="Arial"/>
        </w:rPr>
      </w:pPr>
      <w:r w:rsidRPr="006D55B2">
        <w:rPr>
          <w:rFonts w:cs="Arial"/>
        </w:rPr>
        <w:t>Restrictions</w:t>
      </w:r>
    </w:p>
    <w:p w14:paraId="773AF73B" w14:textId="77777777" w:rsidR="00BE1C38" w:rsidRPr="006D55B2" w:rsidRDefault="00BE1C38" w:rsidP="00BE1C38">
      <w:pPr>
        <w:autoSpaceDE w:val="0"/>
        <w:autoSpaceDN w:val="0"/>
        <w:spacing w:before="100" w:after="240" w:line="181" w:lineRule="atLeast"/>
        <w:rPr>
          <w:rFonts w:cs="Arial"/>
        </w:rPr>
      </w:pPr>
      <w:r w:rsidRPr="006D55B2">
        <w:rPr>
          <w:rFonts w:cs="Arial"/>
        </w:rPr>
        <w:t xml:space="preserve">The Licence may not give you all the permissions necessary for your intended use. For example, other rights (such as publicity, privacy and moral rights) may limit how you use the material found in this publication.  </w:t>
      </w:r>
    </w:p>
    <w:p w14:paraId="2C2B8FA4" w14:textId="77777777" w:rsidR="00BE1C38" w:rsidRPr="006D55B2" w:rsidRDefault="00BE1C38" w:rsidP="00BE1C38">
      <w:pPr>
        <w:autoSpaceDE w:val="0"/>
        <w:autoSpaceDN w:val="0"/>
        <w:spacing w:before="100" w:line="181" w:lineRule="atLeast"/>
        <w:rPr>
          <w:rFonts w:cs="Arial"/>
        </w:rPr>
      </w:pPr>
      <w:r w:rsidRPr="006D55B2">
        <w:rPr>
          <w:rFonts w:cs="Arial"/>
        </w:rPr>
        <w:t xml:space="preserve">The Licence does not cover, and there is no permission given for, use of any of the following material found in this publication: </w:t>
      </w:r>
    </w:p>
    <w:p w14:paraId="1E324E23" w14:textId="77777777" w:rsidR="00BE1C38" w:rsidRPr="006D55B2" w:rsidRDefault="00BE1C38" w:rsidP="00BE1C38">
      <w:pPr>
        <w:pStyle w:val="ListParagraph"/>
        <w:numPr>
          <w:ilvl w:val="0"/>
          <w:numId w:val="59"/>
        </w:numPr>
        <w:spacing w:before="0" w:line="240" w:lineRule="auto"/>
        <w:rPr>
          <w:rFonts w:ascii="Arial" w:hAnsi="Arial" w:cs="Arial"/>
          <w:sz w:val="20"/>
          <w:szCs w:val="20"/>
        </w:rPr>
      </w:pPr>
      <w:r w:rsidRPr="006D55B2">
        <w:rPr>
          <w:rFonts w:ascii="Arial" w:hAnsi="Arial" w:cs="Arial"/>
          <w:sz w:val="20"/>
          <w:szCs w:val="20"/>
        </w:rPr>
        <w:t>the Commonwealth Coat of Arms. (by way of information, the terms under which the Coat of Arms may be used can be found</w:t>
      </w:r>
      <w:r>
        <w:rPr>
          <w:rFonts w:ascii="Arial" w:hAnsi="Arial" w:cs="Arial"/>
          <w:sz w:val="20"/>
          <w:szCs w:val="20"/>
        </w:rPr>
        <w:t xml:space="preserve"> on the</w:t>
      </w:r>
      <w:r w:rsidRPr="00F23010">
        <w:rPr>
          <w:rFonts w:ascii="Arial" w:hAnsi="Arial" w:cs="Arial"/>
          <w:sz w:val="20"/>
          <w:szCs w:val="20"/>
        </w:rPr>
        <w:t xml:space="preserve"> Department of Prime Minister and Cabinet website</w:t>
      </w:r>
      <w:r>
        <w:rPr>
          <w:rFonts w:ascii="Arial" w:hAnsi="Arial" w:cs="Arial"/>
          <w:sz w:val="20"/>
          <w:szCs w:val="20"/>
        </w:rPr>
        <w:t xml:space="preserve"> </w:t>
      </w:r>
      <w:r w:rsidRPr="00F23010">
        <w:rPr>
          <w:rStyle w:val="Hyperlink"/>
          <w:rFonts w:ascii="Arial" w:hAnsi="Arial" w:cs="Arial"/>
          <w:sz w:val="20"/>
          <w:szCs w:val="20"/>
          <w:lang w:eastAsia="en-AU"/>
        </w:rPr>
        <w:t>http://www.dpmc.gov.au/government/commonwealth-coat-arms</w:t>
      </w:r>
      <w:r>
        <w:rPr>
          <w:rFonts w:ascii="Arial" w:hAnsi="Arial" w:cs="Arial"/>
          <w:sz w:val="20"/>
          <w:szCs w:val="20"/>
        </w:rPr>
        <w:t>);</w:t>
      </w:r>
    </w:p>
    <w:p w14:paraId="0AEC5A1A" w14:textId="77777777" w:rsidR="00BE1C38" w:rsidRPr="006D55B2" w:rsidRDefault="00BE1C38" w:rsidP="00BE1C38">
      <w:pPr>
        <w:pStyle w:val="ListParagraph"/>
        <w:numPr>
          <w:ilvl w:val="0"/>
          <w:numId w:val="59"/>
        </w:numPr>
        <w:spacing w:before="0" w:line="240" w:lineRule="auto"/>
        <w:rPr>
          <w:rFonts w:ascii="Arial" w:hAnsi="Arial" w:cs="Arial"/>
          <w:sz w:val="20"/>
          <w:szCs w:val="20"/>
        </w:rPr>
      </w:pPr>
      <w:r w:rsidRPr="006D55B2">
        <w:rPr>
          <w:rFonts w:ascii="Arial" w:hAnsi="Arial" w:cs="Arial"/>
          <w:sz w:val="20"/>
          <w:szCs w:val="20"/>
        </w:rPr>
        <w:t>any logos and trademarks;</w:t>
      </w:r>
    </w:p>
    <w:p w14:paraId="28495291" w14:textId="77777777" w:rsidR="00BE1C38" w:rsidRPr="006D55B2" w:rsidRDefault="00BE1C38" w:rsidP="00BE1C38">
      <w:pPr>
        <w:pStyle w:val="ListParagraph"/>
        <w:numPr>
          <w:ilvl w:val="0"/>
          <w:numId w:val="59"/>
        </w:numPr>
        <w:spacing w:before="0" w:line="240" w:lineRule="auto"/>
        <w:rPr>
          <w:rFonts w:ascii="Arial" w:hAnsi="Arial" w:cs="Arial"/>
          <w:sz w:val="20"/>
          <w:szCs w:val="20"/>
        </w:rPr>
      </w:pPr>
      <w:r w:rsidRPr="006D55B2">
        <w:rPr>
          <w:rFonts w:ascii="Arial" w:hAnsi="Arial" w:cs="Arial"/>
          <w:sz w:val="20"/>
          <w:szCs w:val="20"/>
        </w:rPr>
        <w:t xml:space="preserve">any photographs and images; </w:t>
      </w:r>
    </w:p>
    <w:p w14:paraId="1FF14438" w14:textId="77777777" w:rsidR="00BE1C38" w:rsidRPr="006D55B2" w:rsidRDefault="00BE1C38" w:rsidP="00BE1C38">
      <w:pPr>
        <w:pStyle w:val="ListParagraph"/>
        <w:numPr>
          <w:ilvl w:val="0"/>
          <w:numId w:val="59"/>
        </w:numPr>
        <w:spacing w:before="0" w:line="240" w:lineRule="auto"/>
        <w:rPr>
          <w:rFonts w:ascii="Arial" w:hAnsi="Arial" w:cs="Arial"/>
          <w:sz w:val="20"/>
          <w:szCs w:val="20"/>
        </w:rPr>
      </w:pPr>
      <w:r w:rsidRPr="006D55B2">
        <w:rPr>
          <w:rFonts w:ascii="Arial" w:hAnsi="Arial" w:cs="Arial"/>
          <w:sz w:val="20"/>
          <w:szCs w:val="20"/>
        </w:rPr>
        <w:t>any signatures; and</w:t>
      </w:r>
    </w:p>
    <w:p w14:paraId="05D2CD06" w14:textId="77777777" w:rsidR="00BE1C38" w:rsidRPr="006D55B2" w:rsidRDefault="00BE1C38" w:rsidP="00BE1C38">
      <w:pPr>
        <w:pStyle w:val="ListParagraph"/>
        <w:numPr>
          <w:ilvl w:val="0"/>
          <w:numId w:val="59"/>
        </w:numPr>
        <w:spacing w:before="0" w:line="240" w:lineRule="auto"/>
        <w:rPr>
          <w:rFonts w:ascii="Arial" w:hAnsi="Arial" w:cs="Arial"/>
          <w:sz w:val="20"/>
          <w:szCs w:val="20"/>
        </w:rPr>
      </w:pPr>
      <w:r w:rsidRPr="006D55B2">
        <w:rPr>
          <w:rFonts w:ascii="Arial" w:hAnsi="Arial" w:cs="Arial"/>
          <w:sz w:val="20"/>
          <w:szCs w:val="20"/>
        </w:rPr>
        <w:t>any material belonging to third parties.</w:t>
      </w:r>
    </w:p>
    <w:p w14:paraId="031006E5" w14:textId="77777777" w:rsidR="00BE1C38" w:rsidRPr="006D55B2" w:rsidRDefault="00BE1C38" w:rsidP="00BE1C38">
      <w:pPr>
        <w:autoSpaceDE w:val="0"/>
        <w:autoSpaceDN w:val="0"/>
        <w:spacing w:before="240" w:line="181" w:lineRule="atLeast"/>
        <w:ind w:right="-766"/>
        <w:rPr>
          <w:rFonts w:cs="Arial"/>
        </w:rPr>
      </w:pPr>
      <w:r w:rsidRPr="006D55B2">
        <w:rPr>
          <w:rFonts w:cs="Arial"/>
        </w:rPr>
        <w:t>Attribution</w:t>
      </w:r>
    </w:p>
    <w:p w14:paraId="18E53D03" w14:textId="77777777" w:rsidR="00BE1C38" w:rsidRPr="006D55B2" w:rsidRDefault="00BE1C38" w:rsidP="00BE1C38">
      <w:pPr>
        <w:autoSpaceDE w:val="0"/>
        <w:autoSpaceDN w:val="0"/>
        <w:spacing w:before="240" w:line="181" w:lineRule="atLeast"/>
        <w:rPr>
          <w:rFonts w:cs="Arial"/>
        </w:rPr>
      </w:pPr>
      <w:r w:rsidRPr="52A0037B">
        <w:rPr>
          <w:rFonts w:cs="Arial"/>
        </w:rPr>
        <w:t>Without limiting your obligations under the Licence, the Department of Health and Aged Care requests that you attribute this publication in your work. Any reasonable form of words may be used provided that you:</w:t>
      </w:r>
    </w:p>
    <w:p w14:paraId="2D6249F3" w14:textId="77777777" w:rsidR="00BE1C38" w:rsidRPr="006D55B2" w:rsidRDefault="00BE1C38" w:rsidP="00BE1C38">
      <w:pPr>
        <w:pStyle w:val="ListParagraph"/>
        <w:numPr>
          <w:ilvl w:val="0"/>
          <w:numId w:val="60"/>
        </w:numPr>
        <w:autoSpaceDE w:val="0"/>
        <w:autoSpaceDN w:val="0"/>
        <w:spacing w:before="0" w:line="181" w:lineRule="atLeast"/>
        <w:jc w:val="both"/>
        <w:rPr>
          <w:rFonts w:ascii="Arial" w:hAnsi="Arial" w:cs="Arial"/>
          <w:sz w:val="20"/>
          <w:szCs w:val="20"/>
        </w:rPr>
      </w:pPr>
      <w:r w:rsidRPr="006D55B2">
        <w:rPr>
          <w:rFonts w:ascii="Arial" w:hAnsi="Arial" w:cs="Arial"/>
          <w:sz w:val="20"/>
          <w:szCs w:val="20"/>
        </w:rPr>
        <w:t xml:space="preserve">include a reference to this publication and where, practicable, the relevant page numbers; </w:t>
      </w:r>
    </w:p>
    <w:p w14:paraId="2EBBC00D" w14:textId="77777777" w:rsidR="00BE1C38" w:rsidRPr="006D55B2" w:rsidRDefault="00BE1C38" w:rsidP="00BE1C38">
      <w:pPr>
        <w:pStyle w:val="ListParagraph"/>
        <w:numPr>
          <w:ilvl w:val="0"/>
          <w:numId w:val="60"/>
        </w:numPr>
        <w:autoSpaceDE w:val="0"/>
        <w:autoSpaceDN w:val="0"/>
        <w:spacing w:before="0" w:line="181" w:lineRule="atLeast"/>
        <w:jc w:val="both"/>
        <w:rPr>
          <w:rFonts w:ascii="Arial" w:hAnsi="Arial" w:cs="Arial"/>
          <w:sz w:val="20"/>
          <w:szCs w:val="20"/>
        </w:rPr>
      </w:pPr>
      <w:r w:rsidRPr="006D55B2">
        <w:rPr>
          <w:rFonts w:ascii="Arial" w:hAnsi="Arial" w:cs="Arial"/>
          <w:sz w:val="20"/>
          <w:szCs w:val="20"/>
        </w:rPr>
        <w:t>make it clear that you have permission to use the material under the Creative Commons Attribution 4.0 International Public License;</w:t>
      </w:r>
    </w:p>
    <w:p w14:paraId="73C38537" w14:textId="77777777" w:rsidR="00BE1C38" w:rsidRPr="006D55B2" w:rsidRDefault="00BE1C38" w:rsidP="00BE1C38">
      <w:pPr>
        <w:pStyle w:val="ListParagraph"/>
        <w:numPr>
          <w:ilvl w:val="0"/>
          <w:numId w:val="60"/>
        </w:numPr>
        <w:autoSpaceDE w:val="0"/>
        <w:autoSpaceDN w:val="0"/>
        <w:spacing w:before="0" w:line="181" w:lineRule="atLeast"/>
        <w:jc w:val="both"/>
        <w:rPr>
          <w:rFonts w:ascii="Arial" w:hAnsi="Arial" w:cs="Arial"/>
          <w:sz w:val="20"/>
          <w:szCs w:val="20"/>
        </w:rPr>
      </w:pPr>
      <w:r w:rsidRPr="006D55B2">
        <w:rPr>
          <w:rFonts w:ascii="Arial" w:hAnsi="Arial" w:cs="Arial"/>
          <w:sz w:val="20"/>
          <w:szCs w:val="20"/>
        </w:rPr>
        <w:t xml:space="preserve">make it clear whether or not you have changed the material used from this publication; </w:t>
      </w:r>
    </w:p>
    <w:p w14:paraId="2EDA8EA9" w14:textId="77777777" w:rsidR="00BE1C38" w:rsidRPr="006D55B2" w:rsidRDefault="00BE1C38" w:rsidP="00BE1C38">
      <w:pPr>
        <w:pStyle w:val="ListParagraph"/>
        <w:numPr>
          <w:ilvl w:val="0"/>
          <w:numId w:val="60"/>
        </w:numPr>
        <w:autoSpaceDE w:val="0"/>
        <w:autoSpaceDN w:val="0"/>
        <w:spacing w:before="0" w:line="181" w:lineRule="atLeast"/>
        <w:jc w:val="both"/>
        <w:rPr>
          <w:rFonts w:ascii="Arial" w:hAnsi="Arial" w:cs="Arial"/>
          <w:sz w:val="20"/>
          <w:szCs w:val="20"/>
        </w:rPr>
      </w:pPr>
      <w:r w:rsidRPr="52A0037B">
        <w:rPr>
          <w:rFonts w:ascii="Arial" w:hAnsi="Arial" w:cs="Arial"/>
          <w:sz w:val="20"/>
          <w:szCs w:val="20"/>
        </w:rPr>
        <w:t>include a copyright notice in relation to the material used. In the case of no change to the material, the words “© Commonwealth of Australia (Department of Health and Aged Care) 20</w:t>
      </w:r>
      <w:r>
        <w:rPr>
          <w:rFonts w:ascii="Arial" w:hAnsi="Arial" w:cs="Arial"/>
          <w:sz w:val="20"/>
          <w:szCs w:val="20"/>
        </w:rPr>
        <w:t>24</w:t>
      </w:r>
      <w:r w:rsidRPr="52A0037B">
        <w:rPr>
          <w:rFonts w:ascii="Arial" w:hAnsi="Arial" w:cs="Arial"/>
          <w:sz w:val="20"/>
          <w:szCs w:val="20"/>
        </w:rPr>
        <w:t>” may be used. In the case where the material has been changed or adapted, the words: “Based on Commonwealth of Australia (Department of Health and Aged Care) material” may be used; and</w:t>
      </w:r>
    </w:p>
    <w:p w14:paraId="119FB0A8" w14:textId="77777777" w:rsidR="00BE1C38" w:rsidRPr="006D55B2" w:rsidRDefault="00BE1C38" w:rsidP="00BE1C38">
      <w:pPr>
        <w:pStyle w:val="ListParagraph"/>
        <w:numPr>
          <w:ilvl w:val="0"/>
          <w:numId w:val="60"/>
        </w:numPr>
        <w:autoSpaceDE w:val="0"/>
        <w:autoSpaceDN w:val="0"/>
        <w:spacing w:before="0" w:line="181" w:lineRule="atLeast"/>
        <w:jc w:val="both"/>
        <w:rPr>
          <w:rFonts w:ascii="Arial" w:hAnsi="Arial" w:cs="Arial"/>
          <w:sz w:val="20"/>
          <w:szCs w:val="20"/>
        </w:rPr>
      </w:pPr>
      <w:r w:rsidRPr="52A0037B">
        <w:rPr>
          <w:rFonts w:ascii="Arial" w:hAnsi="Arial" w:cs="Arial"/>
          <w:sz w:val="20"/>
          <w:szCs w:val="20"/>
        </w:rPr>
        <w:t>do not suggest that the Department of Health and Aged Care endorses you or your use of the material.</w:t>
      </w:r>
    </w:p>
    <w:p w14:paraId="3648C68B" w14:textId="77777777" w:rsidR="00BE1C38" w:rsidRPr="006D55B2" w:rsidRDefault="00BE1C38" w:rsidP="00BE1C38">
      <w:pPr>
        <w:pStyle w:val="ListParagraph"/>
        <w:tabs>
          <w:tab w:val="left" w:pos="426"/>
          <w:tab w:val="left" w:pos="1560"/>
        </w:tabs>
        <w:autoSpaceDE w:val="0"/>
        <w:autoSpaceDN w:val="0"/>
        <w:spacing w:line="181" w:lineRule="atLeast"/>
        <w:ind w:left="780" w:right="-766"/>
        <w:rPr>
          <w:rFonts w:ascii="Arial" w:hAnsi="Arial" w:cs="Arial"/>
          <w:sz w:val="20"/>
          <w:szCs w:val="20"/>
        </w:rPr>
      </w:pPr>
      <w:r w:rsidRPr="006D55B2">
        <w:rPr>
          <w:rFonts w:ascii="Arial" w:hAnsi="Arial" w:cs="Arial"/>
          <w:sz w:val="20"/>
          <w:szCs w:val="20"/>
        </w:rPr>
        <w:t>.</w:t>
      </w:r>
    </w:p>
    <w:p w14:paraId="20F58E1A" w14:textId="77777777" w:rsidR="00BE1C38" w:rsidRPr="006D55B2" w:rsidRDefault="00BE1C38" w:rsidP="00BE1C38">
      <w:pPr>
        <w:autoSpaceDE w:val="0"/>
        <w:autoSpaceDN w:val="0"/>
        <w:spacing w:after="240"/>
        <w:rPr>
          <w:rFonts w:cs="Arial"/>
        </w:rPr>
      </w:pPr>
      <w:r w:rsidRPr="006D55B2">
        <w:rPr>
          <w:rFonts w:cs="Arial"/>
        </w:rPr>
        <w:t>Enquiries</w:t>
      </w:r>
    </w:p>
    <w:p w14:paraId="0759397D" w14:textId="77777777" w:rsidR="00BE1C38" w:rsidRPr="006D55B2" w:rsidRDefault="00BE1C38" w:rsidP="00BE1C38">
      <w:pPr>
        <w:rPr>
          <w:rStyle w:val="Hyperlink"/>
          <w:rFonts w:cs="Arial"/>
        </w:rPr>
      </w:pPr>
      <w:r w:rsidRPr="52A0037B">
        <w:rPr>
          <w:rFonts w:cs="Arial"/>
        </w:rPr>
        <w:t xml:space="preserve">Enquiries regarding any other use of this publication should be addressed to the Branch Manager, Communication Branch, Department of Health and Aged Care, GPO Box 9848, Canberra ACT 2601, or via e-mail to </w:t>
      </w:r>
      <w:hyperlink r:id="rId16" w:history="1">
        <w:r w:rsidRPr="52A0037B">
          <w:rPr>
            <w:rStyle w:val="Hyperlink"/>
            <w:rFonts w:cs="Arial"/>
          </w:rPr>
          <w:t>copyright@health.gov.au</w:t>
        </w:r>
      </w:hyperlink>
    </w:p>
    <w:p w14:paraId="639131A7" w14:textId="04FF332D" w:rsidR="00BE1C38" w:rsidRDefault="00BE1C38">
      <w:pPr>
        <w:spacing w:before="0" w:after="160"/>
        <w:rPr>
          <w:rFonts w:eastAsiaTheme="minorEastAsia"/>
          <w:color w:val="5A5A5A" w:themeColor="text1" w:themeTint="A5"/>
          <w:spacing w:val="15"/>
        </w:rPr>
      </w:pPr>
      <w:r>
        <w:br w:type="page"/>
      </w:r>
    </w:p>
    <w:p w14:paraId="5E39E5F8" w14:textId="77777777" w:rsidR="00924DD0" w:rsidRPr="00640067" w:rsidRDefault="00924DD0" w:rsidP="00640067">
      <w:pPr>
        <w:pStyle w:val="Subtitle"/>
        <w:ind w:hanging="142"/>
        <w:rPr>
          <w:color w:val="0070C0"/>
          <w:sz w:val="40"/>
          <w:szCs w:val="40"/>
          <w:lang w:val="en-US"/>
        </w:rPr>
      </w:pPr>
    </w:p>
    <w:bookmarkEnd w:id="0" w:displacedByCustomXml="next"/>
    <w:sdt>
      <w:sdtPr>
        <w:rPr>
          <w:rFonts w:asciiTheme="minorHAnsi" w:eastAsiaTheme="minorHAnsi" w:hAnsiTheme="minorHAnsi" w:cstheme="minorBidi"/>
          <w:sz w:val="22"/>
          <w:szCs w:val="22"/>
          <w:lang w:val="en-GB"/>
        </w:rPr>
        <w:id w:val="11263538"/>
        <w:docPartObj>
          <w:docPartGallery w:val="Table of Contents"/>
          <w:docPartUnique/>
        </w:docPartObj>
      </w:sdtPr>
      <w:sdtEndPr>
        <w:rPr>
          <w:b/>
          <w:bCs/>
          <w:noProof/>
        </w:rPr>
      </w:sdtEndPr>
      <w:sdtContent>
        <w:p w14:paraId="098A34F7" w14:textId="37743658" w:rsidR="00B632AB" w:rsidRDefault="00B632AB" w:rsidP="00513835">
          <w:pPr>
            <w:pStyle w:val="TOCHeading"/>
            <w:numPr>
              <w:ilvl w:val="0"/>
              <w:numId w:val="0"/>
            </w:numPr>
          </w:pPr>
          <w:r>
            <w:t>Contents</w:t>
          </w:r>
        </w:p>
        <w:p w14:paraId="7D68B860" w14:textId="1C59590E" w:rsidR="007A17F9" w:rsidRDefault="00477FE5">
          <w:pPr>
            <w:pStyle w:val="TOC1"/>
            <w:rPr>
              <w:rFonts w:eastAsiaTheme="minorEastAsia"/>
              <w:noProof/>
              <w:kern w:val="2"/>
              <w:lang w:val="en-AU" w:eastAsia="en-AU"/>
              <w14:ligatures w14:val="standardContextual"/>
            </w:rPr>
          </w:pPr>
          <w:r>
            <w:fldChar w:fldCharType="begin"/>
          </w:r>
          <w:r>
            <w:instrText xml:space="preserve"> TOC \o "1-2" \h \z \u </w:instrText>
          </w:r>
          <w:r>
            <w:fldChar w:fldCharType="separate"/>
          </w:r>
          <w:hyperlink w:anchor="_Toc158900416" w:history="1">
            <w:r w:rsidR="007A17F9" w:rsidRPr="00CC09ED">
              <w:rPr>
                <w:rStyle w:val="Hyperlink"/>
                <w:noProof/>
              </w:rPr>
              <w:t>1</w:t>
            </w:r>
            <w:r w:rsidR="007A17F9">
              <w:rPr>
                <w:rFonts w:eastAsiaTheme="minorEastAsia"/>
                <w:noProof/>
                <w:kern w:val="2"/>
                <w:lang w:val="en-AU" w:eastAsia="en-AU"/>
                <w14:ligatures w14:val="standardContextual"/>
              </w:rPr>
              <w:tab/>
            </w:r>
            <w:r w:rsidR="007A17F9" w:rsidRPr="00CC09ED">
              <w:rPr>
                <w:rStyle w:val="Hyperlink"/>
                <w:noProof/>
              </w:rPr>
              <w:t>Introduction</w:t>
            </w:r>
            <w:r w:rsidR="007A17F9">
              <w:rPr>
                <w:noProof/>
                <w:webHidden/>
              </w:rPr>
              <w:tab/>
            </w:r>
            <w:r w:rsidR="007A17F9">
              <w:rPr>
                <w:noProof/>
                <w:webHidden/>
              </w:rPr>
              <w:fldChar w:fldCharType="begin"/>
            </w:r>
            <w:r w:rsidR="007A17F9">
              <w:rPr>
                <w:noProof/>
                <w:webHidden/>
              </w:rPr>
              <w:instrText xml:space="preserve"> PAGEREF _Toc158900416 \h </w:instrText>
            </w:r>
            <w:r w:rsidR="007A17F9">
              <w:rPr>
                <w:noProof/>
                <w:webHidden/>
              </w:rPr>
            </w:r>
            <w:r w:rsidR="007A17F9">
              <w:rPr>
                <w:noProof/>
                <w:webHidden/>
              </w:rPr>
              <w:fldChar w:fldCharType="separate"/>
            </w:r>
            <w:r w:rsidR="00395B47">
              <w:rPr>
                <w:noProof/>
                <w:webHidden/>
              </w:rPr>
              <w:t>4</w:t>
            </w:r>
            <w:r w:rsidR="007A17F9">
              <w:rPr>
                <w:noProof/>
                <w:webHidden/>
              </w:rPr>
              <w:fldChar w:fldCharType="end"/>
            </w:r>
          </w:hyperlink>
        </w:p>
        <w:p w14:paraId="357641E6" w14:textId="72872299" w:rsidR="007A17F9" w:rsidRDefault="0038624C">
          <w:pPr>
            <w:pStyle w:val="TOC2"/>
            <w:rPr>
              <w:rFonts w:eastAsiaTheme="minorEastAsia"/>
              <w:noProof/>
              <w:kern w:val="2"/>
              <w:lang w:val="en-AU" w:eastAsia="en-AU"/>
              <w14:ligatures w14:val="standardContextual"/>
            </w:rPr>
          </w:pPr>
          <w:hyperlink w:anchor="_Toc158900417" w:history="1">
            <w:r w:rsidR="007A17F9" w:rsidRPr="00CC09ED">
              <w:rPr>
                <w:rStyle w:val="Hyperlink"/>
                <w:noProof/>
              </w:rPr>
              <w:t>1.1</w:t>
            </w:r>
            <w:r w:rsidR="007A17F9">
              <w:rPr>
                <w:rFonts w:eastAsiaTheme="minorEastAsia"/>
                <w:noProof/>
                <w:kern w:val="2"/>
                <w:lang w:val="en-AU" w:eastAsia="en-AU"/>
                <w14:ligatures w14:val="standardContextual"/>
              </w:rPr>
              <w:tab/>
            </w:r>
            <w:r w:rsidR="007A17F9" w:rsidRPr="00CC09ED">
              <w:rPr>
                <w:rStyle w:val="Hyperlink"/>
                <w:noProof/>
              </w:rPr>
              <w:t>Purpose and structure of paper</w:t>
            </w:r>
            <w:r w:rsidR="007A17F9">
              <w:rPr>
                <w:noProof/>
                <w:webHidden/>
              </w:rPr>
              <w:tab/>
            </w:r>
            <w:r w:rsidR="007A17F9">
              <w:rPr>
                <w:noProof/>
                <w:webHidden/>
              </w:rPr>
              <w:fldChar w:fldCharType="begin"/>
            </w:r>
            <w:r w:rsidR="007A17F9">
              <w:rPr>
                <w:noProof/>
                <w:webHidden/>
              </w:rPr>
              <w:instrText xml:space="preserve"> PAGEREF _Toc158900417 \h </w:instrText>
            </w:r>
            <w:r w:rsidR="007A17F9">
              <w:rPr>
                <w:noProof/>
                <w:webHidden/>
              </w:rPr>
            </w:r>
            <w:r w:rsidR="007A17F9">
              <w:rPr>
                <w:noProof/>
                <w:webHidden/>
              </w:rPr>
              <w:fldChar w:fldCharType="separate"/>
            </w:r>
            <w:r w:rsidR="00395B47">
              <w:rPr>
                <w:noProof/>
                <w:webHidden/>
              </w:rPr>
              <w:t>4</w:t>
            </w:r>
            <w:r w:rsidR="007A17F9">
              <w:rPr>
                <w:noProof/>
                <w:webHidden/>
              </w:rPr>
              <w:fldChar w:fldCharType="end"/>
            </w:r>
          </w:hyperlink>
        </w:p>
        <w:p w14:paraId="14CAD452" w14:textId="5A99BBC4" w:rsidR="007A17F9" w:rsidRDefault="0038624C">
          <w:pPr>
            <w:pStyle w:val="TOC2"/>
            <w:rPr>
              <w:rFonts w:eastAsiaTheme="minorEastAsia"/>
              <w:noProof/>
              <w:kern w:val="2"/>
              <w:lang w:val="en-AU" w:eastAsia="en-AU"/>
              <w14:ligatures w14:val="standardContextual"/>
            </w:rPr>
          </w:pPr>
          <w:hyperlink w:anchor="_Toc158900418" w:history="1">
            <w:r w:rsidR="007A17F9" w:rsidRPr="00CC09ED">
              <w:rPr>
                <w:rStyle w:val="Hyperlink"/>
                <w:rFonts w:ascii="Calibri" w:eastAsia="Calibri" w:hAnsi="Calibri" w:cs="Calibri"/>
                <w:noProof/>
              </w:rPr>
              <w:t>1.2</w:t>
            </w:r>
            <w:r w:rsidR="007A17F9">
              <w:rPr>
                <w:rFonts w:eastAsiaTheme="minorEastAsia"/>
                <w:noProof/>
                <w:kern w:val="2"/>
                <w:lang w:val="en-AU" w:eastAsia="en-AU"/>
                <w14:ligatures w14:val="standardContextual"/>
              </w:rPr>
              <w:tab/>
            </w:r>
            <w:r w:rsidR="007A17F9" w:rsidRPr="00CC09ED">
              <w:rPr>
                <w:rStyle w:val="Hyperlink"/>
                <w:noProof/>
              </w:rPr>
              <w:t>Information sources</w:t>
            </w:r>
            <w:r w:rsidR="007A17F9">
              <w:rPr>
                <w:noProof/>
                <w:webHidden/>
              </w:rPr>
              <w:tab/>
            </w:r>
            <w:r w:rsidR="007A17F9">
              <w:rPr>
                <w:noProof/>
                <w:webHidden/>
              </w:rPr>
              <w:fldChar w:fldCharType="begin"/>
            </w:r>
            <w:r w:rsidR="007A17F9">
              <w:rPr>
                <w:noProof/>
                <w:webHidden/>
              </w:rPr>
              <w:instrText xml:space="preserve"> PAGEREF _Toc158900418 \h </w:instrText>
            </w:r>
            <w:r w:rsidR="007A17F9">
              <w:rPr>
                <w:noProof/>
                <w:webHidden/>
              </w:rPr>
            </w:r>
            <w:r w:rsidR="007A17F9">
              <w:rPr>
                <w:noProof/>
                <w:webHidden/>
              </w:rPr>
              <w:fldChar w:fldCharType="separate"/>
            </w:r>
            <w:r w:rsidR="00395B47">
              <w:rPr>
                <w:noProof/>
                <w:webHidden/>
              </w:rPr>
              <w:t>4</w:t>
            </w:r>
            <w:r w:rsidR="007A17F9">
              <w:rPr>
                <w:noProof/>
                <w:webHidden/>
              </w:rPr>
              <w:fldChar w:fldCharType="end"/>
            </w:r>
          </w:hyperlink>
        </w:p>
        <w:p w14:paraId="4440175E" w14:textId="6598146A" w:rsidR="007A17F9" w:rsidRDefault="0038624C">
          <w:pPr>
            <w:pStyle w:val="TOC2"/>
            <w:rPr>
              <w:rFonts w:eastAsiaTheme="minorEastAsia"/>
              <w:noProof/>
              <w:kern w:val="2"/>
              <w:lang w:val="en-AU" w:eastAsia="en-AU"/>
              <w14:ligatures w14:val="standardContextual"/>
            </w:rPr>
          </w:pPr>
          <w:hyperlink w:anchor="_Toc158900419" w:history="1">
            <w:r w:rsidR="007A17F9" w:rsidRPr="00CC09ED">
              <w:rPr>
                <w:rStyle w:val="Hyperlink"/>
                <w:rFonts w:ascii="Calibri" w:eastAsia="Calibri" w:hAnsi="Calibri" w:cs="Calibri"/>
                <w:noProof/>
              </w:rPr>
              <w:t>1.3</w:t>
            </w:r>
            <w:r w:rsidR="007A17F9">
              <w:rPr>
                <w:rFonts w:eastAsiaTheme="minorEastAsia"/>
                <w:noProof/>
                <w:kern w:val="2"/>
                <w:lang w:val="en-AU" w:eastAsia="en-AU"/>
                <w14:ligatures w14:val="standardContextual"/>
              </w:rPr>
              <w:tab/>
            </w:r>
            <w:r w:rsidR="007A17F9" w:rsidRPr="00CC09ED">
              <w:rPr>
                <w:rStyle w:val="Hyperlink"/>
                <w:noProof/>
              </w:rPr>
              <w:t>Assessment and funding pathways</w:t>
            </w:r>
            <w:r w:rsidR="007A17F9">
              <w:rPr>
                <w:noProof/>
                <w:webHidden/>
              </w:rPr>
              <w:tab/>
            </w:r>
            <w:r w:rsidR="007A17F9">
              <w:rPr>
                <w:noProof/>
                <w:webHidden/>
              </w:rPr>
              <w:fldChar w:fldCharType="begin"/>
            </w:r>
            <w:r w:rsidR="007A17F9">
              <w:rPr>
                <w:noProof/>
                <w:webHidden/>
              </w:rPr>
              <w:instrText xml:space="preserve"> PAGEREF _Toc158900419 \h </w:instrText>
            </w:r>
            <w:r w:rsidR="007A17F9">
              <w:rPr>
                <w:noProof/>
                <w:webHidden/>
              </w:rPr>
            </w:r>
            <w:r w:rsidR="007A17F9">
              <w:rPr>
                <w:noProof/>
                <w:webHidden/>
              </w:rPr>
              <w:fldChar w:fldCharType="separate"/>
            </w:r>
            <w:r w:rsidR="00395B47">
              <w:rPr>
                <w:noProof/>
                <w:webHidden/>
              </w:rPr>
              <w:t>5</w:t>
            </w:r>
            <w:r w:rsidR="007A17F9">
              <w:rPr>
                <w:noProof/>
                <w:webHidden/>
              </w:rPr>
              <w:fldChar w:fldCharType="end"/>
            </w:r>
          </w:hyperlink>
        </w:p>
        <w:p w14:paraId="69CD5939" w14:textId="334FDD75" w:rsidR="007A17F9" w:rsidRDefault="0038624C">
          <w:pPr>
            <w:pStyle w:val="TOC2"/>
            <w:rPr>
              <w:rFonts w:eastAsiaTheme="minorEastAsia"/>
              <w:noProof/>
              <w:kern w:val="2"/>
              <w:lang w:val="en-AU" w:eastAsia="en-AU"/>
              <w14:ligatures w14:val="standardContextual"/>
            </w:rPr>
          </w:pPr>
          <w:hyperlink w:anchor="_Toc158900420" w:history="1">
            <w:r w:rsidR="007A17F9" w:rsidRPr="00CC09ED">
              <w:rPr>
                <w:rStyle w:val="Hyperlink"/>
                <w:noProof/>
              </w:rPr>
              <w:t>1.4</w:t>
            </w:r>
            <w:r w:rsidR="007A17F9">
              <w:rPr>
                <w:rFonts w:eastAsiaTheme="minorEastAsia"/>
                <w:noProof/>
                <w:kern w:val="2"/>
                <w:lang w:val="en-AU" w:eastAsia="en-AU"/>
                <w14:ligatures w14:val="standardContextual"/>
              </w:rPr>
              <w:tab/>
            </w:r>
            <w:r w:rsidR="007A17F9" w:rsidRPr="00CC09ED">
              <w:rPr>
                <w:rStyle w:val="Hyperlink"/>
                <w:noProof/>
              </w:rPr>
              <w:t>Issues raised in relation to emerging technologies</w:t>
            </w:r>
            <w:r w:rsidR="007A17F9">
              <w:rPr>
                <w:noProof/>
                <w:webHidden/>
              </w:rPr>
              <w:tab/>
            </w:r>
            <w:r w:rsidR="007A17F9">
              <w:rPr>
                <w:noProof/>
                <w:webHidden/>
              </w:rPr>
              <w:fldChar w:fldCharType="begin"/>
            </w:r>
            <w:r w:rsidR="007A17F9">
              <w:rPr>
                <w:noProof/>
                <w:webHidden/>
              </w:rPr>
              <w:instrText xml:space="preserve"> PAGEREF _Toc158900420 \h </w:instrText>
            </w:r>
            <w:r w:rsidR="007A17F9">
              <w:rPr>
                <w:noProof/>
                <w:webHidden/>
              </w:rPr>
            </w:r>
            <w:r w:rsidR="007A17F9">
              <w:rPr>
                <w:noProof/>
                <w:webHidden/>
              </w:rPr>
              <w:fldChar w:fldCharType="separate"/>
            </w:r>
            <w:r w:rsidR="00395B47">
              <w:rPr>
                <w:noProof/>
                <w:webHidden/>
              </w:rPr>
              <w:t>11</w:t>
            </w:r>
            <w:r w:rsidR="007A17F9">
              <w:rPr>
                <w:noProof/>
                <w:webHidden/>
              </w:rPr>
              <w:fldChar w:fldCharType="end"/>
            </w:r>
          </w:hyperlink>
        </w:p>
        <w:p w14:paraId="05E4C504" w14:textId="1884D80D" w:rsidR="007A17F9" w:rsidRDefault="0038624C">
          <w:pPr>
            <w:pStyle w:val="TOC1"/>
            <w:rPr>
              <w:rFonts w:eastAsiaTheme="minorEastAsia"/>
              <w:noProof/>
              <w:kern w:val="2"/>
              <w:lang w:val="en-AU" w:eastAsia="en-AU"/>
              <w14:ligatures w14:val="standardContextual"/>
            </w:rPr>
          </w:pPr>
          <w:hyperlink w:anchor="_Toc158900421" w:history="1">
            <w:r w:rsidR="007A17F9" w:rsidRPr="00CC09ED">
              <w:rPr>
                <w:rStyle w:val="Hyperlink"/>
                <w:noProof/>
              </w:rPr>
              <w:t>2</w:t>
            </w:r>
            <w:r w:rsidR="007A17F9">
              <w:rPr>
                <w:rFonts w:eastAsiaTheme="minorEastAsia"/>
                <w:noProof/>
                <w:kern w:val="2"/>
                <w:lang w:val="en-AU" w:eastAsia="en-AU"/>
                <w14:ligatures w14:val="standardContextual"/>
              </w:rPr>
              <w:tab/>
            </w:r>
            <w:r w:rsidR="007A17F9" w:rsidRPr="00CC09ED">
              <w:rPr>
                <w:rStyle w:val="Hyperlink"/>
                <w:noProof/>
              </w:rPr>
              <w:t>Advanced therapies</w:t>
            </w:r>
            <w:r w:rsidR="007A17F9">
              <w:rPr>
                <w:noProof/>
                <w:webHidden/>
              </w:rPr>
              <w:tab/>
            </w:r>
            <w:r w:rsidR="007A17F9">
              <w:rPr>
                <w:noProof/>
                <w:webHidden/>
              </w:rPr>
              <w:fldChar w:fldCharType="begin"/>
            </w:r>
            <w:r w:rsidR="007A17F9">
              <w:rPr>
                <w:noProof/>
                <w:webHidden/>
              </w:rPr>
              <w:instrText xml:space="preserve"> PAGEREF _Toc158900421 \h </w:instrText>
            </w:r>
            <w:r w:rsidR="007A17F9">
              <w:rPr>
                <w:noProof/>
                <w:webHidden/>
              </w:rPr>
            </w:r>
            <w:r w:rsidR="007A17F9">
              <w:rPr>
                <w:noProof/>
                <w:webHidden/>
              </w:rPr>
              <w:fldChar w:fldCharType="separate"/>
            </w:r>
            <w:r w:rsidR="00395B47">
              <w:rPr>
                <w:noProof/>
                <w:webHidden/>
              </w:rPr>
              <w:t>13</w:t>
            </w:r>
            <w:r w:rsidR="007A17F9">
              <w:rPr>
                <w:noProof/>
                <w:webHidden/>
              </w:rPr>
              <w:fldChar w:fldCharType="end"/>
            </w:r>
          </w:hyperlink>
        </w:p>
        <w:p w14:paraId="3466CDBF" w14:textId="1A4B9F9F" w:rsidR="007A17F9" w:rsidRDefault="0038624C">
          <w:pPr>
            <w:pStyle w:val="TOC2"/>
            <w:rPr>
              <w:rFonts w:eastAsiaTheme="minorEastAsia"/>
              <w:noProof/>
              <w:kern w:val="2"/>
              <w:lang w:val="en-AU" w:eastAsia="en-AU"/>
              <w14:ligatures w14:val="standardContextual"/>
            </w:rPr>
          </w:pPr>
          <w:hyperlink w:anchor="_Toc158900422" w:history="1">
            <w:r w:rsidR="007A17F9" w:rsidRPr="00CC09ED">
              <w:rPr>
                <w:rStyle w:val="Hyperlink"/>
                <w:noProof/>
              </w:rPr>
              <w:t>2.1</w:t>
            </w:r>
            <w:r w:rsidR="007A17F9">
              <w:rPr>
                <w:rFonts w:eastAsiaTheme="minorEastAsia"/>
                <w:noProof/>
                <w:kern w:val="2"/>
                <w:lang w:val="en-AU" w:eastAsia="en-AU"/>
                <w14:ligatures w14:val="standardContextual"/>
              </w:rPr>
              <w:tab/>
            </w:r>
            <w:r w:rsidR="007A17F9" w:rsidRPr="00CC09ED">
              <w:rPr>
                <w:rStyle w:val="Hyperlink"/>
                <w:noProof/>
              </w:rPr>
              <w:t>Gene therapies</w:t>
            </w:r>
            <w:r w:rsidR="007A17F9">
              <w:rPr>
                <w:noProof/>
                <w:webHidden/>
              </w:rPr>
              <w:tab/>
            </w:r>
            <w:r w:rsidR="007A17F9">
              <w:rPr>
                <w:noProof/>
                <w:webHidden/>
              </w:rPr>
              <w:fldChar w:fldCharType="begin"/>
            </w:r>
            <w:r w:rsidR="007A17F9">
              <w:rPr>
                <w:noProof/>
                <w:webHidden/>
              </w:rPr>
              <w:instrText xml:space="preserve"> PAGEREF _Toc158900422 \h </w:instrText>
            </w:r>
            <w:r w:rsidR="007A17F9">
              <w:rPr>
                <w:noProof/>
                <w:webHidden/>
              </w:rPr>
            </w:r>
            <w:r w:rsidR="007A17F9">
              <w:rPr>
                <w:noProof/>
                <w:webHidden/>
              </w:rPr>
              <w:fldChar w:fldCharType="separate"/>
            </w:r>
            <w:r w:rsidR="00395B47">
              <w:rPr>
                <w:noProof/>
                <w:webHidden/>
              </w:rPr>
              <w:t>13</w:t>
            </w:r>
            <w:r w:rsidR="007A17F9">
              <w:rPr>
                <w:noProof/>
                <w:webHidden/>
              </w:rPr>
              <w:fldChar w:fldCharType="end"/>
            </w:r>
          </w:hyperlink>
        </w:p>
        <w:p w14:paraId="66EFE111" w14:textId="7F94E767" w:rsidR="007A17F9" w:rsidRDefault="0038624C">
          <w:pPr>
            <w:pStyle w:val="TOC2"/>
            <w:rPr>
              <w:rFonts w:eastAsiaTheme="minorEastAsia"/>
              <w:noProof/>
              <w:kern w:val="2"/>
              <w:lang w:val="en-AU" w:eastAsia="en-AU"/>
              <w14:ligatures w14:val="standardContextual"/>
            </w:rPr>
          </w:pPr>
          <w:hyperlink w:anchor="_Toc158900423" w:history="1">
            <w:r w:rsidR="007A17F9" w:rsidRPr="00CC09ED">
              <w:rPr>
                <w:rStyle w:val="Hyperlink"/>
                <w:noProof/>
              </w:rPr>
              <w:t>2.2</w:t>
            </w:r>
            <w:r w:rsidR="007A17F9">
              <w:rPr>
                <w:rFonts w:eastAsiaTheme="minorEastAsia"/>
                <w:noProof/>
                <w:kern w:val="2"/>
                <w:lang w:val="en-AU" w:eastAsia="en-AU"/>
                <w14:ligatures w14:val="standardContextual"/>
              </w:rPr>
              <w:tab/>
            </w:r>
            <w:r w:rsidR="007A17F9" w:rsidRPr="00CC09ED">
              <w:rPr>
                <w:rStyle w:val="Hyperlink"/>
                <w:noProof/>
              </w:rPr>
              <w:t>Gene silencing oligonucleotides</w:t>
            </w:r>
            <w:r w:rsidR="007A17F9">
              <w:rPr>
                <w:noProof/>
                <w:webHidden/>
              </w:rPr>
              <w:tab/>
            </w:r>
            <w:r w:rsidR="007A17F9">
              <w:rPr>
                <w:noProof/>
                <w:webHidden/>
              </w:rPr>
              <w:fldChar w:fldCharType="begin"/>
            </w:r>
            <w:r w:rsidR="007A17F9">
              <w:rPr>
                <w:noProof/>
                <w:webHidden/>
              </w:rPr>
              <w:instrText xml:space="preserve"> PAGEREF _Toc158900423 \h </w:instrText>
            </w:r>
            <w:r w:rsidR="007A17F9">
              <w:rPr>
                <w:noProof/>
                <w:webHidden/>
              </w:rPr>
            </w:r>
            <w:r w:rsidR="007A17F9">
              <w:rPr>
                <w:noProof/>
                <w:webHidden/>
              </w:rPr>
              <w:fldChar w:fldCharType="separate"/>
            </w:r>
            <w:r w:rsidR="00395B47">
              <w:rPr>
                <w:noProof/>
                <w:webHidden/>
              </w:rPr>
              <w:t>16</w:t>
            </w:r>
            <w:r w:rsidR="007A17F9">
              <w:rPr>
                <w:noProof/>
                <w:webHidden/>
              </w:rPr>
              <w:fldChar w:fldCharType="end"/>
            </w:r>
          </w:hyperlink>
        </w:p>
        <w:p w14:paraId="1B9A2A5C" w14:textId="2264208C" w:rsidR="007A17F9" w:rsidRDefault="0038624C">
          <w:pPr>
            <w:pStyle w:val="TOC2"/>
            <w:rPr>
              <w:rFonts w:eastAsiaTheme="minorEastAsia"/>
              <w:noProof/>
              <w:kern w:val="2"/>
              <w:lang w:val="en-AU" w:eastAsia="en-AU"/>
              <w14:ligatures w14:val="standardContextual"/>
            </w:rPr>
          </w:pPr>
          <w:hyperlink w:anchor="_Toc158900424" w:history="1">
            <w:r w:rsidR="007A17F9" w:rsidRPr="00CC09ED">
              <w:rPr>
                <w:rStyle w:val="Hyperlink"/>
                <w:noProof/>
              </w:rPr>
              <w:t>2.3</w:t>
            </w:r>
            <w:r w:rsidR="007A17F9">
              <w:rPr>
                <w:rFonts w:eastAsiaTheme="minorEastAsia"/>
                <w:noProof/>
                <w:kern w:val="2"/>
                <w:lang w:val="en-AU" w:eastAsia="en-AU"/>
                <w14:ligatures w14:val="standardContextual"/>
              </w:rPr>
              <w:tab/>
            </w:r>
            <w:r w:rsidR="007A17F9" w:rsidRPr="00CC09ED">
              <w:rPr>
                <w:rStyle w:val="Hyperlink"/>
                <w:noProof/>
              </w:rPr>
              <w:t>Gene modified cell therapies</w:t>
            </w:r>
            <w:r w:rsidR="007A17F9">
              <w:rPr>
                <w:noProof/>
                <w:webHidden/>
              </w:rPr>
              <w:tab/>
            </w:r>
            <w:r w:rsidR="007A17F9">
              <w:rPr>
                <w:noProof/>
                <w:webHidden/>
              </w:rPr>
              <w:fldChar w:fldCharType="begin"/>
            </w:r>
            <w:r w:rsidR="007A17F9">
              <w:rPr>
                <w:noProof/>
                <w:webHidden/>
              </w:rPr>
              <w:instrText xml:space="preserve"> PAGEREF _Toc158900424 \h </w:instrText>
            </w:r>
            <w:r w:rsidR="007A17F9">
              <w:rPr>
                <w:noProof/>
                <w:webHidden/>
              </w:rPr>
            </w:r>
            <w:r w:rsidR="007A17F9">
              <w:rPr>
                <w:noProof/>
                <w:webHidden/>
              </w:rPr>
              <w:fldChar w:fldCharType="separate"/>
            </w:r>
            <w:r w:rsidR="00395B47">
              <w:rPr>
                <w:noProof/>
                <w:webHidden/>
              </w:rPr>
              <w:t>18</w:t>
            </w:r>
            <w:r w:rsidR="007A17F9">
              <w:rPr>
                <w:noProof/>
                <w:webHidden/>
              </w:rPr>
              <w:fldChar w:fldCharType="end"/>
            </w:r>
          </w:hyperlink>
        </w:p>
        <w:p w14:paraId="0457D574" w14:textId="4241AC98" w:rsidR="007A17F9" w:rsidRDefault="0038624C">
          <w:pPr>
            <w:pStyle w:val="TOC2"/>
            <w:rPr>
              <w:rFonts w:eastAsiaTheme="minorEastAsia"/>
              <w:noProof/>
              <w:kern w:val="2"/>
              <w:lang w:val="en-AU" w:eastAsia="en-AU"/>
              <w14:ligatures w14:val="standardContextual"/>
            </w:rPr>
          </w:pPr>
          <w:hyperlink w:anchor="_Toc158900425" w:history="1">
            <w:r w:rsidR="007A17F9" w:rsidRPr="00CC09ED">
              <w:rPr>
                <w:rStyle w:val="Hyperlink"/>
                <w:noProof/>
              </w:rPr>
              <w:t>2.4</w:t>
            </w:r>
            <w:r w:rsidR="007A17F9">
              <w:rPr>
                <w:rFonts w:eastAsiaTheme="minorEastAsia"/>
                <w:noProof/>
                <w:kern w:val="2"/>
                <w:lang w:val="en-AU" w:eastAsia="en-AU"/>
                <w14:ligatures w14:val="standardContextual"/>
              </w:rPr>
              <w:tab/>
            </w:r>
            <w:r w:rsidR="007A17F9" w:rsidRPr="00CC09ED">
              <w:rPr>
                <w:rStyle w:val="Hyperlink"/>
                <w:noProof/>
              </w:rPr>
              <w:t>Challenges identified for assessment, funding, and implementation of advanced therapies</w:t>
            </w:r>
            <w:r w:rsidR="007A17F9">
              <w:rPr>
                <w:noProof/>
                <w:webHidden/>
              </w:rPr>
              <w:tab/>
            </w:r>
            <w:r w:rsidR="007A17F9">
              <w:rPr>
                <w:noProof/>
                <w:webHidden/>
              </w:rPr>
              <w:fldChar w:fldCharType="begin"/>
            </w:r>
            <w:r w:rsidR="007A17F9">
              <w:rPr>
                <w:noProof/>
                <w:webHidden/>
              </w:rPr>
              <w:instrText xml:space="preserve"> PAGEREF _Toc158900425 \h </w:instrText>
            </w:r>
            <w:r w:rsidR="007A17F9">
              <w:rPr>
                <w:noProof/>
                <w:webHidden/>
              </w:rPr>
            </w:r>
            <w:r w:rsidR="007A17F9">
              <w:rPr>
                <w:noProof/>
                <w:webHidden/>
              </w:rPr>
              <w:fldChar w:fldCharType="separate"/>
            </w:r>
            <w:r w:rsidR="00395B47">
              <w:rPr>
                <w:noProof/>
                <w:webHidden/>
              </w:rPr>
              <w:t>22</w:t>
            </w:r>
            <w:r w:rsidR="007A17F9">
              <w:rPr>
                <w:noProof/>
                <w:webHidden/>
              </w:rPr>
              <w:fldChar w:fldCharType="end"/>
            </w:r>
          </w:hyperlink>
        </w:p>
        <w:p w14:paraId="38A4884D" w14:textId="18ABC084" w:rsidR="007A17F9" w:rsidRDefault="0038624C">
          <w:pPr>
            <w:pStyle w:val="TOC2"/>
            <w:rPr>
              <w:rFonts w:eastAsiaTheme="minorEastAsia"/>
              <w:noProof/>
              <w:kern w:val="2"/>
              <w:lang w:val="en-AU" w:eastAsia="en-AU"/>
              <w14:ligatures w14:val="standardContextual"/>
            </w:rPr>
          </w:pPr>
          <w:hyperlink w:anchor="_Toc158900426" w:history="1">
            <w:r w:rsidR="007A17F9" w:rsidRPr="00CC09ED">
              <w:rPr>
                <w:rStyle w:val="Hyperlink"/>
                <w:noProof/>
              </w:rPr>
              <w:t>2.5</w:t>
            </w:r>
            <w:r w:rsidR="007A17F9">
              <w:rPr>
                <w:rFonts w:eastAsiaTheme="minorEastAsia"/>
                <w:noProof/>
                <w:kern w:val="2"/>
                <w:lang w:val="en-AU" w:eastAsia="en-AU"/>
                <w14:ligatures w14:val="standardContextual"/>
              </w:rPr>
              <w:tab/>
            </w:r>
            <w:r w:rsidR="007A17F9" w:rsidRPr="00CC09ED">
              <w:rPr>
                <w:rStyle w:val="Hyperlink"/>
                <w:noProof/>
              </w:rPr>
              <w:t>Tumour-agnostic cancer therapies</w:t>
            </w:r>
            <w:r w:rsidR="007A17F9">
              <w:rPr>
                <w:noProof/>
                <w:webHidden/>
              </w:rPr>
              <w:tab/>
            </w:r>
            <w:r w:rsidR="007A17F9">
              <w:rPr>
                <w:noProof/>
                <w:webHidden/>
              </w:rPr>
              <w:fldChar w:fldCharType="begin"/>
            </w:r>
            <w:r w:rsidR="007A17F9">
              <w:rPr>
                <w:noProof/>
                <w:webHidden/>
              </w:rPr>
              <w:instrText xml:space="preserve"> PAGEREF _Toc158900426 \h </w:instrText>
            </w:r>
            <w:r w:rsidR="007A17F9">
              <w:rPr>
                <w:noProof/>
                <w:webHidden/>
              </w:rPr>
            </w:r>
            <w:r w:rsidR="007A17F9">
              <w:rPr>
                <w:noProof/>
                <w:webHidden/>
              </w:rPr>
              <w:fldChar w:fldCharType="separate"/>
            </w:r>
            <w:r w:rsidR="00395B47">
              <w:rPr>
                <w:noProof/>
                <w:webHidden/>
              </w:rPr>
              <w:t>24</w:t>
            </w:r>
            <w:r w:rsidR="007A17F9">
              <w:rPr>
                <w:noProof/>
                <w:webHidden/>
              </w:rPr>
              <w:fldChar w:fldCharType="end"/>
            </w:r>
          </w:hyperlink>
        </w:p>
        <w:p w14:paraId="1B0DBE8D" w14:textId="37E78D0B" w:rsidR="007A17F9" w:rsidRDefault="0038624C">
          <w:pPr>
            <w:pStyle w:val="TOC1"/>
            <w:rPr>
              <w:rFonts w:eastAsiaTheme="minorEastAsia"/>
              <w:noProof/>
              <w:kern w:val="2"/>
              <w:lang w:val="en-AU" w:eastAsia="en-AU"/>
              <w14:ligatures w14:val="standardContextual"/>
            </w:rPr>
          </w:pPr>
          <w:hyperlink w:anchor="_Toc158900427" w:history="1">
            <w:r w:rsidR="007A17F9" w:rsidRPr="00CC09ED">
              <w:rPr>
                <w:rStyle w:val="Hyperlink"/>
                <w:noProof/>
              </w:rPr>
              <w:t>3</w:t>
            </w:r>
            <w:r w:rsidR="007A17F9">
              <w:rPr>
                <w:rFonts w:eastAsiaTheme="minorEastAsia"/>
                <w:noProof/>
                <w:kern w:val="2"/>
                <w:lang w:val="en-AU" w:eastAsia="en-AU"/>
                <w14:ligatures w14:val="standardContextual"/>
              </w:rPr>
              <w:tab/>
            </w:r>
            <w:r w:rsidR="007A17F9" w:rsidRPr="00CC09ED">
              <w:rPr>
                <w:rStyle w:val="Hyperlink"/>
                <w:noProof/>
              </w:rPr>
              <w:t>Emerging antibody-based therapies</w:t>
            </w:r>
            <w:r w:rsidR="007A17F9">
              <w:rPr>
                <w:noProof/>
                <w:webHidden/>
              </w:rPr>
              <w:tab/>
            </w:r>
            <w:r w:rsidR="007A17F9">
              <w:rPr>
                <w:noProof/>
                <w:webHidden/>
              </w:rPr>
              <w:fldChar w:fldCharType="begin"/>
            </w:r>
            <w:r w:rsidR="007A17F9">
              <w:rPr>
                <w:noProof/>
                <w:webHidden/>
              </w:rPr>
              <w:instrText xml:space="preserve"> PAGEREF _Toc158900427 \h </w:instrText>
            </w:r>
            <w:r w:rsidR="007A17F9">
              <w:rPr>
                <w:noProof/>
                <w:webHidden/>
              </w:rPr>
            </w:r>
            <w:r w:rsidR="007A17F9">
              <w:rPr>
                <w:noProof/>
                <w:webHidden/>
              </w:rPr>
              <w:fldChar w:fldCharType="separate"/>
            </w:r>
            <w:r w:rsidR="00395B47">
              <w:rPr>
                <w:noProof/>
                <w:webHidden/>
              </w:rPr>
              <w:t>28</w:t>
            </w:r>
            <w:r w:rsidR="007A17F9">
              <w:rPr>
                <w:noProof/>
                <w:webHidden/>
              </w:rPr>
              <w:fldChar w:fldCharType="end"/>
            </w:r>
          </w:hyperlink>
        </w:p>
        <w:p w14:paraId="7953F31F" w14:textId="1E129F5E" w:rsidR="007A17F9" w:rsidRDefault="0038624C">
          <w:pPr>
            <w:pStyle w:val="TOC2"/>
            <w:rPr>
              <w:rFonts w:eastAsiaTheme="minorEastAsia"/>
              <w:noProof/>
              <w:kern w:val="2"/>
              <w:lang w:val="en-AU" w:eastAsia="en-AU"/>
              <w14:ligatures w14:val="standardContextual"/>
            </w:rPr>
          </w:pPr>
          <w:hyperlink w:anchor="_Toc158900428" w:history="1">
            <w:r w:rsidR="007A17F9" w:rsidRPr="00CC09ED">
              <w:rPr>
                <w:rStyle w:val="Hyperlink"/>
                <w:noProof/>
              </w:rPr>
              <w:t>3.1</w:t>
            </w:r>
            <w:r w:rsidR="007A17F9">
              <w:rPr>
                <w:rFonts w:eastAsiaTheme="minorEastAsia"/>
                <w:noProof/>
                <w:kern w:val="2"/>
                <w:lang w:val="en-AU" w:eastAsia="en-AU"/>
                <w14:ligatures w14:val="standardContextual"/>
              </w:rPr>
              <w:tab/>
            </w:r>
            <w:r w:rsidR="007A17F9" w:rsidRPr="00CC09ED">
              <w:rPr>
                <w:rStyle w:val="Hyperlink"/>
                <w:noProof/>
              </w:rPr>
              <w:t>Antibody-drug conjugates</w:t>
            </w:r>
            <w:r w:rsidR="007A17F9">
              <w:rPr>
                <w:noProof/>
                <w:webHidden/>
              </w:rPr>
              <w:tab/>
            </w:r>
            <w:r w:rsidR="007A17F9">
              <w:rPr>
                <w:noProof/>
                <w:webHidden/>
              </w:rPr>
              <w:fldChar w:fldCharType="begin"/>
            </w:r>
            <w:r w:rsidR="007A17F9">
              <w:rPr>
                <w:noProof/>
                <w:webHidden/>
              </w:rPr>
              <w:instrText xml:space="preserve"> PAGEREF _Toc158900428 \h </w:instrText>
            </w:r>
            <w:r w:rsidR="007A17F9">
              <w:rPr>
                <w:noProof/>
                <w:webHidden/>
              </w:rPr>
            </w:r>
            <w:r w:rsidR="007A17F9">
              <w:rPr>
                <w:noProof/>
                <w:webHidden/>
              </w:rPr>
              <w:fldChar w:fldCharType="separate"/>
            </w:r>
            <w:r w:rsidR="00395B47">
              <w:rPr>
                <w:noProof/>
                <w:webHidden/>
              </w:rPr>
              <w:t>28</w:t>
            </w:r>
            <w:r w:rsidR="007A17F9">
              <w:rPr>
                <w:noProof/>
                <w:webHidden/>
              </w:rPr>
              <w:fldChar w:fldCharType="end"/>
            </w:r>
          </w:hyperlink>
        </w:p>
        <w:p w14:paraId="24A2EC8A" w14:textId="6F9CEF68" w:rsidR="007A17F9" w:rsidRDefault="0038624C">
          <w:pPr>
            <w:pStyle w:val="TOC2"/>
            <w:rPr>
              <w:rFonts w:eastAsiaTheme="minorEastAsia"/>
              <w:noProof/>
              <w:kern w:val="2"/>
              <w:lang w:val="en-AU" w:eastAsia="en-AU"/>
              <w14:ligatures w14:val="standardContextual"/>
            </w:rPr>
          </w:pPr>
          <w:hyperlink w:anchor="_Toc158900429" w:history="1">
            <w:r w:rsidR="007A17F9" w:rsidRPr="00CC09ED">
              <w:rPr>
                <w:rStyle w:val="Hyperlink"/>
                <w:noProof/>
              </w:rPr>
              <w:t>3.2</w:t>
            </w:r>
            <w:r w:rsidR="007A17F9">
              <w:rPr>
                <w:rFonts w:eastAsiaTheme="minorEastAsia"/>
                <w:noProof/>
                <w:kern w:val="2"/>
                <w:lang w:val="en-AU" w:eastAsia="en-AU"/>
                <w14:ligatures w14:val="standardContextual"/>
              </w:rPr>
              <w:tab/>
            </w:r>
            <w:r w:rsidR="007A17F9" w:rsidRPr="00CC09ED">
              <w:rPr>
                <w:rStyle w:val="Hyperlink"/>
                <w:noProof/>
              </w:rPr>
              <w:t>Bi-specific antibodies</w:t>
            </w:r>
            <w:r w:rsidR="007A17F9">
              <w:rPr>
                <w:noProof/>
                <w:webHidden/>
              </w:rPr>
              <w:tab/>
            </w:r>
            <w:r w:rsidR="007A17F9">
              <w:rPr>
                <w:noProof/>
                <w:webHidden/>
              </w:rPr>
              <w:fldChar w:fldCharType="begin"/>
            </w:r>
            <w:r w:rsidR="007A17F9">
              <w:rPr>
                <w:noProof/>
                <w:webHidden/>
              </w:rPr>
              <w:instrText xml:space="preserve"> PAGEREF _Toc158900429 \h </w:instrText>
            </w:r>
            <w:r w:rsidR="007A17F9">
              <w:rPr>
                <w:noProof/>
                <w:webHidden/>
              </w:rPr>
            </w:r>
            <w:r w:rsidR="007A17F9">
              <w:rPr>
                <w:noProof/>
                <w:webHidden/>
              </w:rPr>
              <w:fldChar w:fldCharType="separate"/>
            </w:r>
            <w:r w:rsidR="00395B47">
              <w:rPr>
                <w:noProof/>
                <w:webHidden/>
              </w:rPr>
              <w:t>29</w:t>
            </w:r>
            <w:r w:rsidR="007A17F9">
              <w:rPr>
                <w:noProof/>
                <w:webHidden/>
              </w:rPr>
              <w:fldChar w:fldCharType="end"/>
            </w:r>
          </w:hyperlink>
        </w:p>
        <w:p w14:paraId="195942C7" w14:textId="033D9336" w:rsidR="007A17F9" w:rsidRDefault="0038624C">
          <w:pPr>
            <w:pStyle w:val="TOC2"/>
            <w:rPr>
              <w:rFonts w:eastAsiaTheme="minorEastAsia"/>
              <w:noProof/>
              <w:kern w:val="2"/>
              <w:lang w:val="en-AU" w:eastAsia="en-AU"/>
              <w14:ligatures w14:val="standardContextual"/>
            </w:rPr>
          </w:pPr>
          <w:hyperlink w:anchor="_Toc158900430" w:history="1">
            <w:r w:rsidR="007A17F9" w:rsidRPr="00CC09ED">
              <w:rPr>
                <w:rStyle w:val="Hyperlink"/>
                <w:noProof/>
              </w:rPr>
              <w:t>3.3</w:t>
            </w:r>
            <w:r w:rsidR="007A17F9">
              <w:rPr>
                <w:rFonts w:eastAsiaTheme="minorEastAsia"/>
                <w:noProof/>
                <w:kern w:val="2"/>
                <w:lang w:val="en-AU" w:eastAsia="en-AU"/>
                <w14:ligatures w14:val="standardContextual"/>
              </w:rPr>
              <w:tab/>
            </w:r>
            <w:r w:rsidR="007A17F9" w:rsidRPr="00CC09ED">
              <w:rPr>
                <w:rStyle w:val="Hyperlink"/>
                <w:noProof/>
              </w:rPr>
              <w:t>Monoclonal antibodies as passive immunisation strategy</w:t>
            </w:r>
            <w:r w:rsidR="007A17F9">
              <w:rPr>
                <w:noProof/>
                <w:webHidden/>
              </w:rPr>
              <w:tab/>
            </w:r>
            <w:r w:rsidR="007A17F9">
              <w:rPr>
                <w:noProof/>
                <w:webHidden/>
              </w:rPr>
              <w:fldChar w:fldCharType="begin"/>
            </w:r>
            <w:r w:rsidR="007A17F9">
              <w:rPr>
                <w:noProof/>
                <w:webHidden/>
              </w:rPr>
              <w:instrText xml:space="preserve"> PAGEREF _Toc158900430 \h </w:instrText>
            </w:r>
            <w:r w:rsidR="007A17F9">
              <w:rPr>
                <w:noProof/>
                <w:webHidden/>
              </w:rPr>
            </w:r>
            <w:r w:rsidR="007A17F9">
              <w:rPr>
                <w:noProof/>
                <w:webHidden/>
              </w:rPr>
              <w:fldChar w:fldCharType="separate"/>
            </w:r>
            <w:r w:rsidR="00395B47">
              <w:rPr>
                <w:noProof/>
                <w:webHidden/>
              </w:rPr>
              <w:t>32</w:t>
            </w:r>
            <w:r w:rsidR="007A17F9">
              <w:rPr>
                <w:noProof/>
                <w:webHidden/>
              </w:rPr>
              <w:fldChar w:fldCharType="end"/>
            </w:r>
          </w:hyperlink>
        </w:p>
        <w:p w14:paraId="10637B34" w14:textId="346EE21A" w:rsidR="007A17F9" w:rsidRDefault="0038624C">
          <w:pPr>
            <w:pStyle w:val="TOC1"/>
            <w:rPr>
              <w:rFonts w:eastAsiaTheme="minorEastAsia"/>
              <w:noProof/>
              <w:kern w:val="2"/>
              <w:lang w:val="en-AU" w:eastAsia="en-AU"/>
              <w14:ligatures w14:val="standardContextual"/>
            </w:rPr>
          </w:pPr>
          <w:hyperlink w:anchor="_Toc158900431" w:history="1">
            <w:r w:rsidR="007A17F9" w:rsidRPr="00CC09ED">
              <w:rPr>
                <w:rStyle w:val="Hyperlink"/>
                <w:noProof/>
              </w:rPr>
              <w:t>4</w:t>
            </w:r>
            <w:r w:rsidR="007A17F9">
              <w:rPr>
                <w:rFonts w:eastAsiaTheme="minorEastAsia"/>
                <w:noProof/>
                <w:kern w:val="2"/>
                <w:lang w:val="en-AU" w:eastAsia="en-AU"/>
                <w14:ligatures w14:val="standardContextual"/>
              </w:rPr>
              <w:tab/>
            </w:r>
            <w:r w:rsidR="007A17F9" w:rsidRPr="00CC09ED">
              <w:rPr>
                <w:rStyle w:val="Hyperlink"/>
                <w:noProof/>
              </w:rPr>
              <w:t>Other emerging therapies</w:t>
            </w:r>
            <w:r w:rsidR="007A17F9">
              <w:rPr>
                <w:noProof/>
                <w:webHidden/>
              </w:rPr>
              <w:tab/>
            </w:r>
            <w:r w:rsidR="007A17F9">
              <w:rPr>
                <w:noProof/>
                <w:webHidden/>
              </w:rPr>
              <w:fldChar w:fldCharType="begin"/>
            </w:r>
            <w:r w:rsidR="007A17F9">
              <w:rPr>
                <w:noProof/>
                <w:webHidden/>
              </w:rPr>
              <w:instrText xml:space="preserve"> PAGEREF _Toc158900431 \h </w:instrText>
            </w:r>
            <w:r w:rsidR="007A17F9">
              <w:rPr>
                <w:noProof/>
                <w:webHidden/>
              </w:rPr>
            </w:r>
            <w:r w:rsidR="007A17F9">
              <w:rPr>
                <w:noProof/>
                <w:webHidden/>
              </w:rPr>
              <w:fldChar w:fldCharType="separate"/>
            </w:r>
            <w:r w:rsidR="00395B47">
              <w:rPr>
                <w:noProof/>
                <w:webHidden/>
              </w:rPr>
              <w:t>33</w:t>
            </w:r>
            <w:r w:rsidR="007A17F9">
              <w:rPr>
                <w:noProof/>
                <w:webHidden/>
              </w:rPr>
              <w:fldChar w:fldCharType="end"/>
            </w:r>
          </w:hyperlink>
        </w:p>
        <w:p w14:paraId="537A2220" w14:textId="124E18BF" w:rsidR="007A17F9" w:rsidRDefault="0038624C">
          <w:pPr>
            <w:pStyle w:val="TOC2"/>
            <w:rPr>
              <w:rFonts w:eastAsiaTheme="minorEastAsia"/>
              <w:noProof/>
              <w:kern w:val="2"/>
              <w:lang w:val="en-AU" w:eastAsia="en-AU"/>
              <w14:ligatures w14:val="standardContextual"/>
            </w:rPr>
          </w:pPr>
          <w:hyperlink w:anchor="_Toc158900432" w:history="1">
            <w:r w:rsidR="007A17F9" w:rsidRPr="00CC09ED">
              <w:rPr>
                <w:rStyle w:val="Hyperlink"/>
                <w:noProof/>
              </w:rPr>
              <w:t>4.1</w:t>
            </w:r>
            <w:r w:rsidR="007A17F9">
              <w:rPr>
                <w:rFonts w:eastAsiaTheme="minorEastAsia"/>
                <w:noProof/>
                <w:kern w:val="2"/>
                <w:lang w:val="en-AU" w:eastAsia="en-AU"/>
                <w14:ligatures w14:val="standardContextual"/>
              </w:rPr>
              <w:tab/>
            </w:r>
            <w:r w:rsidR="007A17F9" w:rsidRPr="00CC09ED">
              <w:rPr>
                <w:rStyle w:val="Hyperlink"/>
                <w:noProof/>
              </w:rPr>
              <w:t>Phage therapy</w:t>
            </w:r>
            <w:r w:rsidR="007A17F9">
              <w:rPr>
                <w:noProof/>
                <w:webHidden/>
              </w:rPr>
              <w:tab/>
            </w:r>
            <w:r w:rsidR="007A17F9">
              <w:rPr>
                <w:noProof/>
                <w:webHidden/>
              </w:rPr>
              <w:fldChar w:fldCharType="begin"/>
            </w:r>
            <w:r w:rsidR="007A17F9">
              <w:rPr>
                <w:noProof/>
                <w:webHidden/>
              </w:rPr>
              <w:instrText xml:space="preserve"> PAGEREF _Toc158900432 \h </w:instrText>
            </w:r>
            <w:r w:rsidR="007A17F9">
              <w:rPr>
                <w:noProof/>
                <w:webHidden/>
              </w:rPr>
            </w:r>
            <w:r w:rsidR="007A17F9">
              <w:rPr>
                <w:noProof/>
                <w:webHidden/>
              </w:rPr>
              <w:fldChar w:fldCharType="separate"/>
            </w:r>
            <w:r w:rsidR="00395B47">
              <w:rPr>
                <w:noProof/>
                <w:webHidden/>
              </w:rPr>
              <w:t>33</w:t>
            </w:r>
            <w:r w:rsidR="007A17F9">
              <w:rPr>
                <w:noProof/>
                <w:webHidden/>
              </w:rPr>
              <w:fldChar w:fldCharType="end"/>
            </w:r>
          </w:hyperlink>
        </w:p>
        <w:p w14:paraId="0F7C1439" w14:textId="0BFDBF99" w:rsidR="007A17F9" w:rsidRDefault="0038624C">
          <w:pPr>
            <w:pStyle w:val="TOC2"/>
            <w:rPr>
              <w:rFonts w:eastAsiaTheme="minorEastAsia"/>
              <w:noProof/>
              <w:kern w:val="2"/>
              <w:lang w:val="en-AU" w:eastAsia="en-AU"/>
              <w14:ligatures w14:val="standardContextual"/>
            </w:rPr>
          </w:pPr>
          <w:hyperlink w:anchor="_Toc158900433" w:history="1">
            <w:r w:rsidR="007A17F9" w:rsidRPr="00CC09ED">
              <w:rPr>
                <w:rStyle w:val="Hyperlink"/>
                <w:noProof/>
              </w:rPr>
              <w:t>4.2</w:t>
            </w:r>
            <w:r w:rsidR="007A17F9">
              <w:rPr>
                <w:rFonts w:eastAsiaTheme="minorEastAsia"/>
                <w:noProof/>
                <w:kern w:val="2"/>
                <w:lang w:val="en-AU" w:eastAsia="en-AU"/>
                <w14:ligatures w14:val="standardContextual"/>
              </w:rPr>
              <w:tab/>
            </w:r>
            <w:r w:rsidR="007A17F9" w:rsidRPr="00CC09ED">
              <w:rPr>
                <w:rStyle w:val="Hyperlink"/>
                <w:noProof/>
              </w:rPr>
              <w:t>Microbiome-based therapies</w:t>
            </w:r>
            <w:r w:rsidR="007A17F9">
              <w:rPr>
                <w:noProof/>
                <w:webHidden/>
              </w:rPr>
              <w:tab/>
            </w:r>
            <w:r w:rsidR="007A17F9">
              <w:rPr>
                <w:noProof/>
                <w:webHidden/>
              </w:rPr>
              <w:fldChar w:fldCharType="begin"/>
            </w:r>
            <w:r w:rsidR="007A17F9">
              <w:rPr>
                <w:noProof/>
                <w:webHidden/>
              </w:rPr>
              <w:instrText xml:space="preserve"> PAGEREF _Toc158900433 \h </w:instrText>
            </w:r>
            <w:r w:rsidR="007A17F9">
              <w:rPr>
                <w:noProof/>
                <w:webHidden/>
              </w:rPr>
            </w:r>
            <w:r w:rsidR="007A17F9">
              <w:rPr>
                <w:noProof/>
                <w:webHidden/>
              </w:rPr>
              <w:fldChar w:fldCharType="separate"/>
            </w:r>
            <w:r w:rsidR="00395B47">
              <w:rPr>
                <w:noProof/>
                <w:webHidden/>
              </w:rPr>
              <w:t>35</w:t>
            </w:r>
            <w:r w:rsidR="007A17F9">
              <w:rPr>
                <w:noProof/>
                <w:webHidden/>
              </w:rPr>
              <w:fldChar w:fldCharType="end"/>
            </w:r>
          </w:hyperlink>
        </w:p>
        <w:p w14:paraId="26208615" w14:textId="009D96B7" w:rsidR="007A17F9" w:rsidRDefault="0038624C">
          <w:pPr>
            <w:pStyle w:val="TOC2"/>
            <w:rPr>
              <w:rFonts w:eastAsiaTheme="minorEastAsia"/>
              <w:noProof/>
              <w:kern w:val="2"/>
              <w:lang w:val="en-AU" w:eastAsia="en-AU"/>
              <w14:ligatures w14:val="standardContextual"/>
            </w:rPr>
          </w:pPr>
          <w:hyperlink w:anchor="_Toc158900434" w:history="1">
            <w:r w:rsidR="007A17F9" w:rsidRPr="00CC09ED">
              <w:rPr>
                <w:rStyle w:val="Hyperlink"/>
                <w:noProof/>
              </w:rPr>
              <w:t>4.3</w:t>
            </w:r>
            <w:r w:rsidR="007A17F9">
              <w:rPr>
                <w:rFonts w:eastAsiaTheme="minorEastAsia"/>
                <w:noProof/>
                <w:kern w:val="2"/>
                <w:lang w:val="en-AU" w:eastAsia="en-AU"/>
                <w14:ligatures w14:val="standardContextual"/>
              </w:rPr>
              <w:tab/>
            </w:r>
            <w:r w:rsidR="007A17F9" w:rsidRPr="00CC09ED">
              <w:rPr>
                <w:rStyle w:val="Hyperlink"/>
                <w:noProof/>
              </w:rPr>
              <w:t>Therapeutic Vaccines</w:t>
            </w:r>
            <w:r w:rsidR="007A17F9">
              <w:rPr>
                <w:noProof/>
                <w:webHidden/>
              </w:rPr>
              <w:tab/>
            </w:r>
            <w:r w:rsidR="007A17F9">
              <w:rPr>
                <w:noProof/>
                <w:webHidden/>
              </w:rPr>
              <w:fldChar w:fldCharType="begin"/>
            </w:r>
            <w:r w:rsidR="007A17F9">
              <w:rPr>
                <w:noProof/>
                <w:webHidden/>
              </w:rPr>
              <w:instrText xml:space="preserve"> PAGEREF _Toc158900434 \h </w:instrText>
            </w:r>
            <w:r w:rsidR="007A17F9">
              <w:rPr>
                <w:noProof/>
                <w:webHidden/>
              </w:rPr>
            </w:r>
            <w:r w:rsidR="007A17F9">
              <w:rPr>
                <w:noProof/>
                <w:webHidden/>
              </w:rPr>
              <w:fldChar w:fldCharType="separate"/>
            </w:r>
            <w:r w:rsidR="00395B47">
              <w:rPr>
                <w:noProof/>
                <w:webHidden/>
              </w:rPr>
              <w:t>37</w:t>
            </w:r>
            <w:r w:rsidR="007A17F9">
              <w:rPr>
                <w:noProof/>
                <w:webHidden/>
              </w:rPr>
              <w:fldChar w:fldCharType="end"/>
            </w:r>
          </w:hyperlink>
        </w:p>
        <w:p w14:paraId="48C49005" w14:textId="28876C52" w:rsidR="007A17F9" w:rsidRDefault="0038624C">
          <w:pPr>
            <w:pStyle w:val="TOC2"/>
            <w:rPr>
              <w:rFonts w:eastAsiaTheme="minorEastAsia"/>
              <w:noProof/>
              <w:kern w:val="2"/>
              <w:lang w:val="en-AU" w:eastAsia="en-AU"/>
              <w14:ligatures w14:val="standardContextual"/>
            </w:rPr>
          </w:pPr>
          <w:hyperlink w:anchor="_Toc158900435" w:history="1">
            <w:r w:rsidR="007A17F9" w:rsidRPr="00CC09ED">
              <w:rPr>
                <w:rStyle w:val="Hyperlink"/>
                <w:noProof/>
              </w:rPr>
              <w:t>4.4</w:t>
            </w:r>
            <w:r w:rsidR="007A17F9">
              <w:rPr>
                <w:rFonts w:eastAsiaTheme="minorEastAsia"/>
                <w:noProof/>
                <w:kern w:val="2"/>
                <w:lang w:val="en-AU" w:eastAsia="en-AU"/>
                <w14:ligatures w14:val="standardContextual"/>
              </w:rPr>
              <w:tab/>
            </w:r>
            <w:r w:rsidR="007A17F9" w:rsidRPr="00CC09ED">
              <w:rPr>
                <w:rStyle w:val="Hyperlink"/>
                <w:noProof/>
              </w:rPr>
              <w:t>Emerging vaccine manufacturing technologies</w:t>
            </w:r>
            <w:r w:rsidR="007A17F9">
              <w:rPr>
                <w:noProof/>
                <w:webHidden/>
              </w:rPr>
              <w:tab/>
            </w:r>
            <w:r w:rsidR="007A17F9">
              <w:rPr>
                <w:noProof/>
                <w:webHidden/>
              </w:rPr>
              <w:fldChar w:fldCharType="begin"/>
            </w:r>
            <w:r w:rsidR="007A17F9">
              <w:rPr>
                <w:noProof/>
                <w:webHidden/>
              </w:rPr>
              <w:instrText xml:space="preserve"> PAGEREF _Toc158900435 \h </w:instrText>
            </w:r>
            <w:r w:rsidR="007A17F9">
              <w:rPr>
                <w:noProof/>
                <w:webHidden/>
              </w:rPr>
            </w:r>
            <w:r w:rsidR="007A17F9">
              <w:rPr>
                <w:noProof/>
                <w:webHidden/>
              </w:rPr>
              <w:fldChar w:fldCharType="separate"/>
            </w:r>
            <w:r w:rsidR="00395B47">
              <w:rPr>
                <w:noProof/>
                <w:webHidden/>
              </w:rPr>
              <w:t>37</w:t>
            </w:r>
            <w:r w:rsidR="007A17F9">
              <w:rPr>
                <w:noProof/>
                <w:webHidden/>
              </w:rPr>
              <w:fldChar w:fldCharType="end"/>
            </w:r>
          </w:hyperlink>
        </w:p>
        <w:p w14:paraId="37D5F917" w14:textId="0C2CFBD5" w:rsidR="007A17F9" w:rsidRDefault="0038624C">
          <w:pPr>
            <w:pStyle w:val="TOC1"/>
            <w:rPr>
              <w:rFonts w:eastAsiaTheme="minorEastAsia"/>
              <w:noProof/>
              <w:kern w:val="2"/>
              <w:lang w:val="en-AU" w:eastAsia="en-AU"/>
              <w14:ligatures w14:val="standardContextual"/>
            </w:rPr>
          </w:pPr>
          <w:hyperlink w:anchor="_Toc158900436" w:history="1">
            <w:r w:rsidR="007A17F9" w:rsidRPr="00CC09ED">
              <w:rPr>
                <w:rStyle w:val="Hyperlink"/>
                <w:noProof/>
              </w:rPr>
              <w:t>5</w:t>
            </w:r>
            <w:r w:rsidR="007A17F9">
              <w:rPr>
                <w:rFonts w:eastAsiaTheme="minorEastAsia"/>
                <w:noProof/>
                <w:kern w:val="2"/>
                <w:lang w:val="en-AU" w:eastAsia="en-AU"/>
                <w14:ligatures w14:val="standardContextual"/>
              </w:rPr>
              <w:tab/>
            </w:r>
            <w:r w:rsidR="007A17F9" w:rsidRPr="00CC09ED">
              <w:rPr>
                <w:rStyle w:val="Hyperlink"/>
                <w:noProof/>
              </w:rPr>
              <w:t>Precision medicine: medicine linked genetic and genomic testing</w:t>
            </w:r>
            <w:r w:rsidR="007A17F9">
              <w:rPr>
                <w:noProof/>
                <w:webHidden/>
              </w:rPr>
              <w:tab/>
            </w:r>
            <w:r w:rsidR="007A17F9">
              <w:rPr>
                <w:noProof/>
                <w:webHidden/>
              </w:rPr>
              <w:fldChar w:fldCharType="begin"/>
            </w:r>
            <w:r w:rsidR="007A17F9">
              <w:rPr>
                <w:noProof/>
                <w:webHidden/>
              </w:rPr>
              <w:instrText xml:space="preserve"> PAGEREF _Toc158900436 \h </w:instrText>
            </w:r>
            <w:r w:rsidR="007A17F9">
              <w:rPr>
                <w:noProof/>
                <w:webHidden/>
              </w:rPr>
            </w:r>
            <w:r w:rsidR="007A17F9">
              <w:rPr>
                <w:noProof/>
                <w:webHidden/>
              </w:rPr>
              <w:fldChar w:fldCharType="separate"/>
            </w:r>
            <w:r w:rsidR="00395B47">
              <w:rPr>
                <w:noProof/>
                <w:webHidden/>
              </w:rPr>
              <w:t>39</w:t>
            </w:r>
            <w:r w:rsidR="007A17F9">
              <w:rPr>
                <w:noProof/>
                <w:webHidden/>
              </w:rPr>
              <w:fldChar w:fldCharType="end"/>
            </w:r>
          </w:hyperlink>
        </w:p>
        <w:p w14:paraId="26C1C910" w14:textId="241814FD" w:rsidR="007A17F9" w:rsidRDefault="0038624C">
          <w:pPr>
            <w:pStyle w:val="TOC2"/>
            <w:rPr>
              <w:rFonts w:eastAsiaTheme="minorEastAsia"/>
              <w:noProof/>
              <w:kern w:val="2"/>
              <w:lang w:val="en-AU" w:eastAsia="en-AU"/>
              <w14:ligatures w14:val="standardContextual"/>
            </w:rPr>
          </w:pPr>
          <w:hyperlink w:anchor="_Toc158900437" w:history="1">
            <w:r w:rsidR="007A17F9" w:rsidRPr="00CC09ED">
              <w:rPr>
                <w:rStyle w:val="Hyperlink"/>
                <w:noProof/>
              </w:rPr>
              <w:t>5.1</w:t>
            </w:r>
            <w:r w:rsidR="007A17F9">
              <w:rPr>
                <w:rFonts w:eastAsiaTheme="minorEastAsia"/>
                <w:noProof/>
                <w:kern w:val="2"/>
                <w:lang w:val="en-AU" w:eastAsia="en-AU"/>
                <w14:ligatures w14:val="standardContextual"/>
              </w:rPr>
              <w:tab/>
            </w:r>
            <w:r w:rsidR="007A17F9" w:rsidRPr="00CC09ED">
              <w:rPr>
                <w:rStyle w:val="Hyperlink"/>
                <w:noProof/>
              </w:rPr>
              <w:t>Genetic and genomic testing</w:t>
            </w:r>
            <w:r w:rsidR="007A17F9">
              <w:rPr>
                <w:noProof/>
                <w:webHidden/>
              </w:rPr>
              <w:tab/>
            </w:r>
            <w:r w:rsidR="007A17F9">
              <w:rPr>
                <w:noProof/>
                <w:webHidden/>
              </w:rPr>
              <w:fldChar w:fldCharType="begin"/>
            </w:r>
            <w:r w:rsidR="007A17F9">
              <w:rPr>
                <w:noProof/>
                <w:webHidden/>
              </w:rPr>
              <w:instrText xml:space="preserve"> PAGEREF _Toc158900437 \h </w:instrText>
            </w:r>
            <w:r w:rsidR="007A17F9">
              <w:rPr>
                <w:noProof/>
                <w:webHidden/>
              </w:rPr>
            </w:r>
            <w:r w:rsidR="007A17F9">
              <w:rPr>
                <w:noProof/>
                <w:webHidden/>
              </w:rPr>
              <w:fldChar w:fldCharType="separate"/>
            </w:r>
            <w:r w:rsidR="00395B47">
              <w:rPr>
                <w:noProof/>
                <w:webHidden/>
              </w:rPr>
              <w:t>40</w:t>
            </w:r>
            <w:r w:rsidR="007A17F9">
              <w:rPr>
                <w:noProof/>
                <w:webHidden/>
              </w:rPr>
              <w:fldChar w:fldCharType="end"/>
            </w:r>
          </w:hyperlink>
        </w:p>
        <w:p w14:paraId="734B3F41" w14:textId="0F0FE43C" w:rsidR="007A17F9" w:rsidRDefault="0038624C">
          <w:pPr>
            <w:pStyle w:val="TOC2"/>
            <w:rPr>
              <w:rFonts w:eastAsiaTheme="minorEastAsia"/>
              <w:noProof/>
              <w:kern w:val="2"/>
              <w:lang w:val="en-AU" w:eastAsia="en-AU"/>
              <w14:ligatures w14:val="standardContextual"/>
            </w:rPr>
          </w:pPr>
          <w:hyperlink w:anchor="_Toc158900438" w:history="1">
            <w:r w:rsidR="007A17F9" w:rsidRPr="00CC09ED">
              <w:rPr>
                <w:rStyle w:val="Hyperlink"/>
                <w:noProof/>
              </w:rPr>
              <w:t>5.2</w:t>
            </w:r>
            <w:r w:rsidR="007A17F9">
              <w:rPr>
                <w:rFonts w:eastAsiaTheme="minorEastAsia"/>
                <w:noProof/>
                <w:kern w:val="2"/>
                <w:lang w:val="en-AU" w:eastAsia="en-AU"/>
                <w14:ligatures w14:val="standardContextual"/>
              </w:rPr>
              <w:tab/>
            </w:r>
            <w:r w:rsidR="007A17F9" w:rsidRPr="00CC09ED">
              <w:rPr>
                <w:rStyle w:val="Hyperlink"/>
                <w:noProof/>
              </w:rPr>
              <w:t>Genetic tests for detection of pathologic gene variants</w:t>
            </w:r>
            <w:r w:rsidR="007A17F9">
              <w:rPr>
                <w:noProof/>
                <w:webHidden/>
              </w:rPr>
              <w:tab/>
            </w:r>
            <w:r w:rsidR="007A17F9">
              <w:rPr>
                <w:noProof/>
                <w:webHidden/>
              </w:rPr>
              <w:fldChar w:fldCharType="begin"/>
            </w:r>
            <w:r w:rsidR="007A17F9">
              <w:rPr>
                <w:noProof/>
                <w:webHidden/>
              </w:rPr>
              <w:instrText xml:space="preserve"> PAGEREF _Toc158900438 \h </w:instrText>
            </w:r>
            <w:r w:rsidR="007A17F9">
              <w:rPr>
                <w:noProof/>
                <w:webHidden/>
              </w:rPr>
            </w:r>
            <w:r w:rsidR="007A17F9">
              <w:rPr>
                <w:noProof/>
                <w:webHidden/>
              </w:rPr>
              <w:fldChar w:fldCharType="separate"/>
            </w:r>
            <w:r w:rsidR="00395B47">
              <w:rPr>
                <w:noProof/>
                <w:webHidden/>
              </w:rPr>
              <w:t>42</w:t>
            </w:r>
            <w:r w:rsidR="007A17F9">
              <w:rPr>
                <w:noProof/>
                <w:webHidden/>
              </w:rPr>
              <w:fldChar w:fldCharType="end"/>
            </w:r>
          </w:hyperlink>
        </w:p>
        <w:p w14:paraId="28C695A7" w14:textId="57E0FF83" w:rsidR="007A17F9" w:rsidRDefault="0038624C">
          <w:pPr>
            <w:pStyle w:val="TOC2"/>
            <w:rPr>
              <w:rFonts w:eastAsiaTheme="minorEastAsia"/>
              <w:noProof/>
              <w:kern w:val="2"/>
              <w:lang w:val="en-AU" w:eastAsia="en-AU"/>
              <w14:ligatures w14:val="standardContextual"/>
            </w:rPr>
          </w:pPr>
          <w:hyperlink w:anchor="_Toc158900439" w:history="1">
            <w:r w:rsidR="007A17F9" w:rsidRPr="00CC09ED">
              <w:rPr>
                <w:rStyle w:val="Hyperlink"/>
                <w:noProof/>
              </w:rPr>
              <w:t>5.3</w:t>
            </w:r>
            <w:r w:rsidR="007A17F9">
              <w:rPr>
                <w:rFonts w:eastAsiaTheme="minorEastAsia"/>
                <w:noProof/>
                <w:kern w:val="2"/>
                <w:lang w:val="en-AU" w:eastAsia="en-AU"/>
                <w14:ligatures w14:val="standardContextual"/>
              </w:rPr>
              <w:tab/>
            </w:r>
            <w:r w:rsidR="007A17F9" w:rsidRPr="00CC09ED">
              <w:rPr>
                <w:rStyle w:val="Hyperlink"/>
                <w:noProof/>
              </w:rPr>
              <w:t>Gene expression testing</w:t>
            </w:r>
            <w:r w:rsidR="007A17F9">
              <w:rPr>
                <w:noProof/>
                <w:webHidden/>
              </w:rPr>
              <w:tab/>
            </w:r>
            <w:r w:rsidR="007A17F9">
              <w:rPr>
                <w:noProof/>
                <w:webHidden/>
              </w:rPr>
              <w:fldChar w:fldCharType="begin"/>
            </w:r>
            <w:r w:rsidR="007A17F9">
              <w:rPr>
                <w:noProof/>
                <w:webHidden/>
              </w:rPr>
              <w:instrText xml:space="preserve"> PAGEREF _Toc158900439 \h </w:instrText>
            </w:r>
            <w:r w:rsidR="007A17F9">
              <w:rPr>
                <w:noProof/>
                <w:webHidden/>
              </w:rPr>
            </w:r>
            <w:r w:rsidR="007A17F9">
              <w:rPr>
                <w:noProof/>
                <w:webHidden/>
              </w:rPr>
              <w:fldChar w:fldCharType="separate"/>
            </w:r>
            <w:r w:rsidR="00395B47">
              <w:rPr>
                <w:noProof/>
                <w:webHidden/>
              </w:rPr>
              <w:t>46</w:t>
            </w:r>
            <w:r w:rsidR="007A17F9">
              <w:rPr>
                <w:noProof/>
                <w:webHidden/>
              </w:rPr>
              <w:fldChar w:fldCharType="end"/>
            </w:r>
          </w:hyperlink>
        </w:p>
        <w:p w14:paraId="6567F704" w14:textId="24A438CF" w:rsidR="007A17F9" w:rsidRDefault="0038624C">
          <w:pPr>
            <w:pStyle w:val="TOC2"/>
            <w:rPr>
              <w:rFonts w:eastAsiaTheme="minorEastAsia"/>
              <w:noProof/>
              <w:kern w:val="2"/>
              <w:lang w:val="en-AU" w:eastAsia="en-AU"/>
              <w14:ligatures w14:val="standardContextual"/>
            </w:rPr>
          </w:pPr>
          <w:hyperlink w:anchor="_Toc158900440" w:history="1">
            <w:r w:rsidR="007A17F9" w:rsidRPr="00CC09ED">
              <w:rPr>
                <w:rStyle w:val="Hyperlink"/>
                <w:noProof/>
              </w:rPr>
              <w:t>5.4</w:t>
            </w:r>
            <w:r w:rsidR="007A17F9">
              <w:rPr>
                <w:rFonts w:eastAsiaTheme="minorEastAsia"/>
                <w:noProof/>
                <w:kern w:val="2"/>
                <w:lang w:val="en-AU" w:eastAsia="en-AU"/>
                <w14:ligatures w14:val="standardContextual"/>
              </w:rPr>
              <w:tab/>
            </w:r>
            <w:r w:rsidR="007A17F9" w:rsidRPr="00CC09ED">
              <w:rPr>
                <w:rStyle w:val="Hyperlink"/>
                <w:noProof/>
              </w:rPr>
              <w:t>Polygenic risk scores</w:t>
            </w:r>
            <w:r w:rsidR="007A17F9">
              <w:rPr>
                <w:noProof/>
                <w:webHidden/>
              </w:rPr>
              <w:tab/>
            </w:r>
            <w:r w:rsidR="007A17F9">
              <w:rPr>
                <w:noProof/>
                <w:webHidden/>
              </w:rPr>
              <w:fldChar w:fldCharType="begin"/>
            </w:r>
            <w:r w:rsidR="007A17F9">
              <w:rPr>
                <w:noProof/>
                <w:webHidden/>
              </w:rPr>
              <w:instrText xml:space="preserve"> PAGEREF _Toc158900440 \h </w:instrText>
            </w:r>
            <w:r w:rsidR="007A17F9">
              <w:rPr>
                <w:noProof/>
                <w:webHidden/>
              </w:rPr>
            </w:r>
            <w:r w:rsidR="007A17F9">
              <w:rPr>
                <w:noProof/>
                <w:webHidden/>
              </w:rPr>
              <w:fldChar w:fldCharType="separate"/>
            </w:r>
            <w:r w:rsidR="00395B47">
              <w:rPr>
                <w:noProof/>
                <w:webHidden/>
              </w:rPr>
              <w:t>47</w:t>
            </w:r>
            <w:r w:rsidR="007A17F9">
              <w:rPr>
                <w:noProof/>
                <w:webHidden/>
              </w:rPr>
              <w:fldChar w:fldCharType="end"/>
            </w:r>
          </w:hyperlink>
        </w:p>
        <w:p w14:paraId="607C3C01" w14:textId="4349FB61" w:rsidR="007A17F9" w:rsidRDefault="0038624C">
          <w:pPr>
            <w:pStyle w:val="TOC2"/>
            <w:rPr>
              <w:rFonts w:eastAsiaTheme="minorEastAsia"/>
              <w:noProof/>
              <w:kern w:val="2"/>
              <w:lang w:val="en-AU" w:eastAsia="en-AU"/>
              <w14:ligatures w14:val="standardContextual"/>
            </w:rPr>
          </w:pPr>
          <w:hyperlink w:anchor="_Toc158900441" w:history="1">
            <w:r w:rsidR="007A17F9" w:rsidRPr="00CC09ED">
              <w:rPr>
                <w:rStyle w:val="Hyperlink"/>
                <w:noProof/>
              </w:rPr>
              <w:t>5.5</w:t>
            </w:r>
            <w:r w:rsidR="007A17F9">
              <w:rPr>
                <w:rFonts w:eastAsiaTheme="minorEastAsia"/>
                <w:noProof/>
                <w:kern w:val="2"/>
                <w:lang w:val="en-AU" w:eastAsia="en-AU"/>
                <w14:ligatures w14:val="standardContextual"/>
              </w:rPr>
              <w:tab/>
            </w:r>
            <w:r w:rsidR="007A17F9" w:rsidRPr="00CC09ED">
              <w:rPr>
                <w:rStyle w:val="Hyperlink"/>
                <w:noProof/>
              </w:rPr>
              <w:t>Challenges identified for Assessment for funding of medicine linked genetic and genomic tests</w:t>
            </w:r>
            <w:r w:rsidR="007A17F9">
              <w:rPr>
                <w:noProof/>
                <w:webHidden/>
              </w:rPr>
              <w:tab/>
            </w:r>
            <w:r w:rsidR="007A17F9">
              <w:rPr>
                <w:noProof/>
                <w:webHidden/>
              </w:rPr>
              <w:fldChar w:fldCharType="begin"/>
            </w:r>
            <w:r w:rsidR="007A17F9">
              <w:rPr>
                <w:noProof/>
                <w:webHidden/>
              </w:rPr>
              <w:instrText xml:space="preserve"> PAGEREF _Toc158900441 \h </w:instrText>
            </w:r>
            <w:r w:rsidR="007A17F9">
              <w:rPr>
                <w:noProof/>
                <w:webHidden/>
              </w:rPr>
            </w:r>
            <w:r w:rsidR="007A17F9">
              <w:rPr>
                <w:noProof/>
                <w:webHidden/>
              </w:rPr>
              <w:fldChar w:fldCharType="separate"/>
            </w:r>
            <w:r w:rsidR="00395B47">
              <w:rPr>
                <w:noProof/>
                <w:webHidden/>
              </w:rPr>
              <w:t>49</w:t>
            </w:r>
            <w:r w:rsidR="007A17F9">
              <w:rPr>
                <w:noProof/>
                <w:webHidden/>
              </w:rPr>
              <w:fldChar w:fldCharType="end"/>
            </w:r>
          </w:hyperlink>
        </w:p>
        <w:p w14:paraId="1916CD41" w14:textId="3D9E14FD" w:rsidR="007A17F9" w:rsidRDefault="0038624C">
          <w:pPr>
            <w:pStyle w:val="TOC1"/>
            <w:rPr>
              <w:rFonts w:eastAsiaTheme="minorEastAsia"/>
              <w:noProof/>
              <w:kern w:val="2"/>
              <w:lang w:val="en-AU" w:eastAsia="en-AU"/>
              <w14:ligatures w14:val="standardContextual"/>
            </w:rPr>
          </w:pPr>
          <w:hyperlink w:anchor="_Toc158900442" w:history="1">
            <w:r w:rsidR="007A17F9" w:rsidRPr="00CC09ED">
              <w:rPr>
                <w:rStyle w:val="Hyperlink"/>
                <w:noProof/>
              </w:rPr>
              <w:t>6</w:t>
            </w:r>
            <w:r w:rsidR="007A17F9">
              <w:rPr>
                <w:rFonts w:eastAsiaTheme="minorEastAsia"/>
                <w:noProof/>
                <w:kern w:val="2"/>
                <w:lang w:val="en-AU" w:eastAsia="en-AU"/>
                <w14:ligatures w14:val="standardContextual"/>
              </w:rPr>
              <w:tab/>
            </w:r>
            <w:r w:rsidR="007A17F9" w:rsidRPr="00CC09ED">
              <w:rPr>
                <w:rStyle w:val="Hyperlink"/>
                <w:noProof/>
              </w:rPr>
              <w:t>Theranostics</w:t>
            </w:r>
            <w:r w:rsidR="007A17F9">
              <w:rPr>
                <w:noProof/>
                <w:webHidden/>
              </w:rPr>
              <w:tab/>
            </w:r>
            <w:r w:rsidR="007A17F9">
              <w:rPr>
                <w:noProof/>
                <w:webHidden/>
              </w:rPr>
              <w:fldChar w:fldCharType="begin"/>
            </w:r>
            <w:r w:rsidR="007A17F9">
              <w:rPr>
                <w:noProof/>
                <w:webHidden/>
              </w:rPr>
              <w:instrText xml:space="preserve"> PAGEREF _Toc158900442 \h </w:instrText>
            </w:r>
            <w:r w:rsidR="007A17F9">
              <w:rPr>
                <w:noProof/>
                <w:webHidden/>
              </w:rPr>
            </w:r>
            <w:r w:rsidR="007A17F9">
              <w:rPr>
                <w:noProof/>
                <w:webHidden/>
              </w:rPr>
              <w:fldChar w:fldCharType="separate"/>
            </w:r>
            <w:r w:rsidR="00395B47">
              <w:rPr>
                <w:noProof/>
                <w:webHidden/>
              </w:rPr>
              <w:t>51</w:t>
            </w:r>
            <w:r w:rsidR="007A17F9">
              <w:rPr>
                <w:noProof/>
                <w:webHidden/>
              </w:rPr>
              <w:fldChar w:fldCharType="end"/>
            </w:r>
          </w:hyperlink>
        </w:p>
        <w:p w14:paraId="1ACCF6C1" w14:textId="07B31F52" w:rsidR="007A17F9" w:rsidRDefault="0038624C">
          <w:pPr>
            <w:pStyle w:val="TOC2"/>
            <w:rPr>
              <w:rFonts w:eastAsiaTheme="minorEastAsia"/>
              <w:noProof/>
              <w:kern w:val="2"/>
              <w:lang w:val="en-AU" w:eastAsia="en-AU"/>
              <w14:ligatures w14:val="standardContextual"/>
            </w:rPr>
          </w:pPr>
          <w:hyperlink w:anchor="_Toc158900443" w:history="1">
            <w:r w:rsidR="007A17F9" w:rsidRPr="00CC09ED">
              <w:rPr>
                <w:rStyle w:val="Hyperlink"/>
                <w:noProof/>
              </w:rPr>
              <w:t>6.1</w:t>
            </w:r>
            <w:r w:rsidR="007A17F9">
              <w:rPr>
                <w:rFonts w:eastAsiaTheme="minorEastAsia"/>
                <w:noProof/>
                <w:kern w:val="2"/>
                <w:lang w:val="en-AU" w:eastAsia="en-AU"/>
                <w14:ligatures w14:val="standardContextual"/>
              </w:rPr>
              <w:tab/>
            </w:r>
            <w:r w:rsidR="007A17F9" w:rsidRPr="00CC09ED">
              <w:rPr>
                <w:rStyle w:val="Hyperlink"/>
                <w:noProof/>
              </w:rPr>
              <w:t>Radiotheranostics</w:t>
            </w:r>
            <w:r w:rsidR="007A17F9">
              <w:rPr>
                <w:noProof/>
                <w:webHidden/>
              </w:rPr>
              <w:tab/>
            </w:r>
            <w:r w:rsidR="007A17F9">
              <w:rPr>
                <w:noProof/>
                <w:webHidden/>
              </w:rPr>
              <w:fldChar w:fldCharType="begin"/>
            </w:r>
            <w:r w:rsidR="007A17F9">
              <w:rPr>
                <w:noProof/>
                <w:webHidden/>
              </w:rPr>
              <w:instrText xml:space="preserve"> PAGEREF _Toc158900443 \h </w:instrText>
            </w:r>
            <w:r w:rsidR="007A17F9">
              <w:rPr>
                <w:noProof/>
                <w:webHidden/>
              </w:rPr>
            </w:r>
            <w:r w:rsidR="007A17F9">
              <w:rPr>
                <w:noProof/>
                <w:webHidden/>
              </w:rPr>
              <w:fldChar w:fldCharType="separate"/>
            </w:r>
            <w:r w:rsidR="00395B47">
              <w:rPr>
                <w:noProof/>
                <w:webHidden/>
              </w:rPr>
              <w:t>51</w:t>
            </w:r>
            <w:r w:rsidR="007A17F9">
              <w:rPr>
                <w:noProof/>
                <w:webHidden/>
              </w:rPr>
              <w:fldChar w:fldCharType="end"/>
            </w:r>
          </w:hyperlink>
        </w:p>
        <w:p w14:paraId="4423102C" w14:textId="15A0A6F6" w:rsidR="007A17F9" w:rsidRDefault="0038624C">
          <w:pPr>
            <w:pStyle w:val="TOC2"/>
            <w:rPr>
              <w:rFonts w:eastAsiaTheme="minorEastAsia"/>
              <w:noProof/>
              <w:kern w:val="2"/>
              <w:lang w:val="en-AU" w:eastAsia="en-AU"/>
              <w14:ligatures w14:val="standardContextual"/>
            </w:rPr>
          </w:pPr>
          <w:hyperlink w:anchor="_Toc158900444" w:history="1">
            <w:r w:rsidR="007A17F9" w:rsidRPr="00CC09ED">
              <w:rPr>
                <w:rStyle w:val="Hyperlink"/>
                <w:noProof/>
              </w:rPr>
              <w:t>6.2</w:t>
            </w:r>
            <w:r w:rsidR="007A17F9">
              <w:rPr>
                <w:rFonts w:eastAsiaTheme="minorEastAsia"/>
                <w:noProof/>
                <w:kern w:val="2"/>
                <w:lang w:val="en-AU" w:eastAsia="en-AU"/>
                <w14:ligatures w14:val="standardContextual"/>
              </w:rPr>
              <w:tab/>
            </w:r>
            <w:r w:rsidR="007A17F9" w:rsidRPr="00CC09ED">
              <w:rPr>
                <w:rStyle w:val="Hyperlink"/>
                <w:noProof/>
              </w:rPr>
              <w:t>Other theranostics</w:t>
            </w:r>
            <w:r w:rsidR="007A17F9">
              <w:rPr>
                <w:noProof/>
                <w:webHidden/>
              </w:rPr>
              <w:tab/>
            </w:r>
            <w:r w:rsidR="007A17F9">
              <w:rPr>
                <w:noProof/>
                <w:webHidden/>
              </w:rPr>
              <w:fldChar w:fldCharType="begin"/>
            </w:r>
            <w:r w:rsidR="007A17F9">
              <w:rPr>
                <w:noProof/>
                <w:webHidden/>
              </w:rPr>
              <w:instrText xml:space="preserve"> PAGEREF _Toc158900444 \h </w:instrText>
            </w:r>
            <w:r w:rsidR="007A17F9">
              <w:rPr>
                <w:noProof/>
                <w:webHidden/>
              </w:rPr>
            </w:r>
            <w:r w:rsidR="007A17F9">
              <w:rPr>
                <w:noProof/>
                <w:webHidden/>
              </w:rPr>
              <w:fldChar w:fldCharType="separate"/>
            </w:r>
            <w:r w:rsidR="00395B47">
              <w:rPr>
                <w:noProof/>
                <w:webHidden/>
              </w:rPr>
              <w:t>53</w:t>
            </w:r>
            <w:r w:rsidR="007A17F9">
              <w:rPr>
                <w:noProof/>
                <w:webHidden/>
              </w:rPr>
              <w:fldChar w:fldCharType="end"/>
            </w:r>
          </w:hyperlink>
        </w:p>
        <w:p w14:paraId="10303B75" w14:textId="4880C7A8" w:rsidR="007A17F9" w:rsidRDefault="0038624C">
          <w:pPr>
            <w:pStyle w:val="TOC1"/>
            <w:rPr>
              <w:rFonts w:eastAsiaTheme="minorEastAsia"/>
              <w:noProof/>
              <w:kern w:val="2"/>
              <w:lang w:val="en-AU" w:eastAsia="en-AU"/>
              <w14:ligatures w14:val="standardContextual"/>
            </w:rPr>
          </w:pPr>
          <w:hyperlink w:anchor="_Toc158900445" w:history="1">
            <w:r w:rsidR="007A17F9" w:rsidRPr="00CC09ED">
              <w:rPr>
                <w:rStyle w:val="Hyperlink"/>
                <w:noProof/>
              </w:rPr>
              <w:t>7</w:t>
            </w:r>
            <w:r w:rsidR="007A17F9">
              <w:rPr>
                <w:rFonts w:eastAsiaTheme="minorEastAsia"/>
                <w:noProof/>
                <w:kern w:val="2"/>
                <w:lang w:val="en-AU" w:eastAsia="en-AU"/>
                <w14:ligatures w14:val="standardContextual"/>
              </w:rPr>
              <w:tab/>
            </w:r>
            <w:r w:rsidR="007A17F9" w:rsidRPr="00CC09ED">
              <w:rPr>
                <w:rStyle w:val="Hyperlink"/>
                <w:noProof/>
              </w:rPr>
              <w:t>Medicine linked digital health technologies</w:t>
            </w:r>
            <w:r w:rsidR="007A17F9">
              <w:rPr>
                <w:noProof/>
                <w:webHidden/>
              </w:rPr>
              <w:tab/>
            </w:r>
            <w:r w:rsidR="007A17F9">
              <w:rPr>
                <w:noProof/>
                <w:webHidden/>
              </w:rPr>
              <w:fldChar w:fldCharType="begin"/>
            </w:r>
            <w:r w:rsidR="007A17F9">
              <w:rPr>
                <w:noProof/>
                <w:webHidden/>
              </w:rPr>
              <w:instrText xml:space="preserve"> PAGEREF _Toc158900445 \h </w:instrText>
            </w:r>
            <w:r w:rsidR="007A17F9">
              <w:rPr>
                <w:noProof/>
                <w:webHidden/>
              </w:rPr>
            </w:r>
            <w:r w:rsidR="007A17F9">
              <w:rPr>
                <w:noProof/>
                <w:webHidden/>
              </w:rPr>
              <w:fldChar w:fldCharType="separate"/>
            </w:r>
            <w:r w:rsidR="00395B47">
              <w:rPr>
                <w:noProof/>
                <w:webHidden/>
              </w:rPr>
              <w:t>54</w:t>
            </w:r>
            <w:r w:rsidR="007A17F9">
              <w:rPr>
                <w:noProof/>
                <w:webHidden/>
              </w:rPr>
              <w:fldChar w:fldCharType="end"/>
            </w:r>
          </w:hyperlink>
        </w:p>
        <w:p w14:paraId="2565B852" w14:textId="15AA6C88" w:rsidR="007A17F9" w:rsidRDefault="0038624C">
          <w:pPr>
            <w:pStyle w:val="TOC1"/>
            <w:rPr>
              <w:rFonts w:eastAsiaTheme="minorEastAsia"/>
              <w:noProof/>
              <w:kern w:val="2"/>
              <w:lang w:val="en-AU" w:eastAsia="en-AU"/>
              <w14:ligatures w14:val="standardContextual"/>
            </w:rPr>
          </w:pPr>
          <w:hyperlink w:anchor="_Toc158900446" w:history="1">
            <w:r w:rsidR="007A17F9" w:rsidRPr="00CC09ED">
              <w:rPr>
                <w:rStyle w:val="Hyperlink"/>
                <w:noProof/>
              </w:rPr>
              <w:t>8</w:t>
            </w:r>
            <w:r w:rsidR="007A17F9">
              <w:rPr>
                <w:rFonts w:eastAsiaTheme="minorEastAsia"/>
                <w:noProof/>
                <w:kern w:val="2"/>
                <w:lang w:val="en-AU" w:eastAsia="en-AU"/>
                <w14:ligatures w14:val="standardContextual"/>
              </w:rPr>
              <w:tab/>
            </w:r>
            <w:r w:rsidR="007A17F9" w:rsidRPr="00CC09ED">
              <w:rPr>
                <w:rStyle w:val="Hyperlink"/>
                <w:noProof/>
              </w:rPr>
              <w:t>Appendix 1: Glossary of Terms</w:t>
            </w:r>
            <w:r w:rsidR="007A17F9">
              <w:rPr>
                <w:noProof/>
                <w:webHidden/>
              </w:rPr>
              <w:tab/>
            </w:r>
            <w:r w:rsidR="007A17F9">
              <w:rPr>
                <w:noProof/>
                <w:webHidden/>
              </w:rPr>
              <w:fldChar w:fldCharType="begin"/>
            </w:r>
            <w:r w:rsidR="007A17F9">
              <w:rPr>
                <w:noProof/>
                <w:webHidden/>
              </w:rPr>
              <w:instrText xml:space="preserve"> PAGEREF _Toc158900446 \h </w:instrText>
            </w:r>
            <w:r w:rsidR="007A17F9">
              <w:rPr>
                <w:noProof/>
                <w:webHidden/>
              </w:rPr>
            </w:r>
            <w:r w:rsidR="007A17F9">
              <w:rPr>
                <w:noProof/>
                <w:webHidden/>
              </w:rPr>
              <w:fldChar w:fldCharType="separate"/>
            </w:r>
            <w:r w:rsidR="00395B47">
              <w:rPr>
                <w:noProof/>
                <w:webHidden/>
              </w:rPr>
              <w:t>56</w:t>
            </w:r>
            <w:r w:rsidR="007A17F9">
              <w:rPr>
                <w:noProof/>
                <w:webHidden/>
              </w:rPr>
              <w:fldChar w:fldCharType="end"/>
            </w:r>
          </w:hyperlink>
        </w:p>
        <w:p w14:paraId="1EA7E010" w14:textId="4A5CD9D6" w:rsidR="00387D69" w:rsidRPr="00501A77" w:rsidRDefault="00477FE5">
          <w:r>
            <w:fldChar w:fldCharType="end"/>
          </w:r>
        </w:p>
      </w:sdtContent>
    </w:sdt>
    <w:p w14:paraId="02DF22DE" w14:textId="05417225" w:rsidR="00D52471" w:rsidRPr="003A22CE" w:rsidRDefault="00D52471" w:rsidP="00513835">
      <w:pPr>
        <w:pStyle w:val="Heading1"/>
        <w:numPr>
          <w:ilvl w:val="0"/>
          <w:numId w:val="46"/>
        </w:numPr>
        <w:ind w:left="426"/>
        <w:jc w:val="both"/>
      </w:pPr>
      <w:bookmarkStart w:id="1" w:name="_Toc128579875"/>
      <w:bookmarkStart w:id="2" w:name="_Toc158900416"/>
      <w:r w:rsidRPr="003A22CE">
        <w:t>Introduction</w:t>
      </w:r>
      <w:bookmarkEnd w:id="1"/>
      <w:bookmarkEnd w:id="2"/>
    </w:p>
    <w:p w14:paraId="45495F9C" w14:textId="77777777" w:rsidR="00D52471" w:rsidRDefault="00D52471" w:rsidP="00513835">
      <w:pPr>
        <w:pStyle w:val="Heading2"/>
        <w:ind w:left="567"/>
      </w:pPr>
      <w:bookmarkStart w:id="3" w:name="_Toc128579876"/>
      <w:bookmarkStart w:id="4" w:name="_Toc158900417"/>
      <w:r>
        <w:t>Purpose and structure of paper</w:t>
      </w:r>
      <w:bookmarkEnd w:id="3"/>
      <w:bookmarkEnd w:id="4"/>
    </w:p>
    <w:p w14:paraId="70D17DD9" w14:textId="54778B90" w:rsidR="00DB1CCA" w:rsidRDefault="00D52471" w:rsidP="00D52471">
      <w:pPr>
        <w:rPr>
          <w:rFonts w:ascii="Calibri" w:eastAsia="Calibri" w:hAnsi="Calibri" w:cs="Calibri"/>
        </w:rPr>
      </w:pPr>
      <w:r>
        <w:rPr>
          <w:rFonts w:ascii="Calibri" w:eastAsia="Calibri" w:hAnsi="Calibri" w:cs="Calibri"/>
        </w:rPr>
        <w:t xml:space="preserve">The purpose of this </w:t>
      </w:r>
      <w:r w:rsidR="00DB1CCA">
        <w:rPr>
          <w:rFonts w:ascii="Calibri" w:eastAsia="Calibri" w:hAnsi="Calibri" w:cs="Calibri"/>
        </w:rPr>
        <w:t>paper</w:t>
      </w:r>
      <w:r>
        <w:rPr>
          <w:rFonts w:ascii="Calibri" w:eastAsia="Calibri" w:hAnsi="Calibri" w:cs="Calibri"/>
        </w:rPr>
        <w:t xml:space="preserve"> is to pr</w:t>
      </w:r>
      <w:r w:rsidR="00E141F4">
        <w:rPr>
          <w:rFonts w:ascii="Calibri" w:eastAsia="Calibri" w:hAnsi="Calibri" w:cs="Calibri"/>
        </w:rPr>
        <w:t xml:space="preserve">ovide </w:t>
      </w:r>
      <w:r>
        <w:rPr>
          <w:rFonts w:ascii="Calibri" w:eastAsia="Calibri" w:hAnsi="Calibri" w:cs="Calibri"/>
        </w:rPr>
        <w:t>an overview of emerging medicine</w:t>
      </w:r>
      <w:r w:rsidR="005A3412">
        <w:rPr>
          <w:rFonts w:ascii="Calibri" w:eastAsia="Calibri" w:hAnsi="Calibri" w:cs="Calibri"/>
        </w:rPr>
        <w:t>s, vac</w:t>
      </w:r>
      <w:r w:rsidR="002610EB">
        <w:rPr>
          <w:rFonts w:ascii="Calibri" w:eastAsia="Calibri" w:hAnsi="Calibri" w:cs="Calibri"/>
        </w:rPr>
        <w:t>c</w:t>
      </w:r>
      <w:r w:rsidR="005A3412">
        <w:rPr>
          <w:rFonts w:ascii="Calibri" w:eastAsia="Calibri" w:hAnsi="Calibri" w:cs="Calibri"/>
        </w:rPr>
        <w:t>ines</w:t>
      </w:r>
      <w:r>
        <w:rPr>
          <w:rFonts w:ascii="Calibri" w:eastAsia="Calibri" w:hAnsi="Calibri" w:cs="Calibri"/>
        </w:rPr>
        <w:t xml:space="preserve"> and medicine</w:t>
      </w:r>
      <w:r w:rsidR="00973A2F">
        <w:rPr>
          <w:rFonts w:ascii="Calibri" w:eastAsia="Calibri" w:hAnsi="Calibri" w:cs="Calibri"/>
        </w:rPr>
        <w:t>-</w:t>
      </w:r>
      <w:r>
        <w:rPr>
          <w:rFonts w:ascii="Calibri" w:eastAsia="Calibri" w:hAnsi="Calibri" w:cs="Calibri"/>
        </w:rPr>
        <w:t xml:space="preserve">related health technologies that may require assessment for funding in the foreseeable future. Through its </w:t>
      </w:r>
      <w:r w:rsidR="006055E0">
        <w:rPr>
          <w:rFonts w:ascii="Calibri" w:eastAsia="Calibri" w:hAnsi="Calibri" w:cs="Calibri"/>
        </w:rPr>
        <w:t>i</w:t>
      </w:r>
      <w:r>
        <w:rPr>
          <w:rFonts w:ascii="Calibri" w:eastAsia="Calibri" w:hAnsi="Calibri" w:cs="Calibri"/>
        </w:rPr>
        <w:t>nquiry into approval processes for new drugs and novel medical technologies in Australia (Inquiry), the Standing Committee on Health, Aged Care and Sport (Standing Committee) formed the view that treatments and therapies such as those for rare cancers, antimicrobials, orphan drugs and precision medicines</w:t>
      </w:r>
      <w:r w:rsidR="001010A3">
        <w:rPr>
          <w:rFonts w:ascii="Calibri" w:eastAsia="Calibri" w:hAnsi="Calibri" w:cs="Calibri"/>
        </w:rPr>
        <w:t>,</w:t>
      </w:r>
      <w:r>
        <w:rPr>
          <w:rFonts w:ascii="Calibri" w:eastAsia="Calibri" w:hAnsi="Calibri" w:cs="Calibri"/>
        </w:rPr>
        <w:t xml:space="preserve"> do not fit neatly into the current system.</w:t>
      </w:r>
      <w:r w:rsidRPr="006F08DB">
        <w:rPr>
          <w:rFonts w:ascii="Calibri" w:eastAsia="Calibri" w:hAnsi="Calibri" w:cs="Calibri"/>
          <w:vertAlign w:val="superscript"/>
        </w:rPr>
        <w:footnoteReference w:id="2"/>
      </w:r>
      <w:r>
        <w:rPr>
          <w:rFonts w:ascii="Calibri" w:eastAsia="Calibri" w:hAnsi="Calibri" w:cs="Calibri"/>
        </w:rPr>
        <w:t xml:space="preserve"> </w:t>
      </w:r>
    </w:p>
    <w:p w14:paraId="05AC657D" w14:textId="29B1AC85" w:rsidR="005F39DA" w:rsidRDefault="00D52471" w:rsidP="00805149">
      <w:pPr>
        <w:rPr>
          <w:rFonts w:ascii="Calibri" w:eastAsia="Calibri" w:hAnsi="Calibri" w:cs="Calibri"/>
        </w:rPr>
      </w:pPr>
      <w:r>
        <w:rPr>
          <w:rFonts w:ascii="Calibri" w:eastAsia="Calibri" w:hAnsi="Calibri" w:cs="Calibri"/>
        </w:rPr>
        <w:t xml:space="preserve">This paper provides information on </w:t>
      </w:r>
      <w:r w:rsidR="005F39DA">
        <w:rPr>
          <w:rFonts w:ascii="Calibri" w:eastAsia="Calibri" w:hAnsi="Calibri" w:cs="Calibri"/>
        </w:rPr>
        <w:t>the status of regulatory and reimbursement approval for emerging technologies in Australia and internationally that are in the scope of the terms of reference for the</w:t>
      </w:r>
      <w:r w:rsidR="008547B5">
        <w:rPr>
          <w:rFonts w:ascii="Calibri" w:eastAsia="Calibri" w:hAnsi="Calibri" w:cs="Calibri"/>
        </w:rPr>
        <w:t xml:space="preserve"> Health Technology Assessment (HTA) Policy and Methods Review (HTA Review)</w:t>
      </w:r>
      <w:r w:rsidR="005F39DA">
        <w:rPr>
          <w:rFonts w:ascii="Calibri" w:eastAsia="Calibri" w:hAnsi="Calibri" w:cs="Calibri"/>
        </w:rPr>
        <w:t>.</w:t>
      </w:r>
      <w:r>
        <w:rPr>
          <w:rFonts w:ascii="Calibri" w:eastAsia="Calibri" w:hAnsi="Calibri" w:cs="Calibri"/>
        </w:rPr>
        <w:t xml:space="preserve"> </w:t>
      </w:r>
    </w:p>
    <w:p w14:paraId="3137A2CC" w14:textId="5821043C" w:rsidR="005A3412" w:rsidRDefault="005A3412" w:rsidP="00805149">
      <w:pPr>
        <w:rPr>
          <w:rFonts w:ascii="Calibri" w:eastAsia="Calibri" w:hAnsi="Calibri" w:cs="Calibri"/>
        </w:rPr>
      </w:pPr>
      <w:r>
        <w:rPr>
          <w:rFonts w:ascii="Calibri" w:eastAsia="Calibri" w:hAnsi="Calibri" w:cs="Calibri"/>
        </w:rPr>
        <w:t xml:space="preserve">The technologies in scope for the HTA Review identified in the terms of reference are as follows: </w:t>
      </w:r>
    </w:p>
    <w:p w14:paraId="6B4F481B" w14:textId="77777777" w:rsidR="005F39DA" w:rsidRPr="002A4121" w:rsidRDefault="005F39DA" w:rsidP="00AF49AC">
      <w:pPr>
        <w:pStyle w:val="ListNumber"/>
        <w:tabs>
          <w:tab w:val="clear" w:pos="360"/>
          <w:tab w:val="num" w:pos="720"/>
        </w:tabs>
        <w:ind w:left="720"/>
      </w:pPr>
      <w:r w:rsidRPr="002A4121">
        <w:t>all medicines and vaccines</w:t>
      </w:r>
    </w:p>
    <w:p w14:paraId="5B8E30CA" w14:textId="2586330D" w:rsidR="005F39DA" w:rsidRPr="002A4121" w:rsidRDefault="005F39DA" w:rsidP="00AF49AC">
      <w:pPr>
        <w:pStyle w:val="ListNumber"/>
        <w:tabs>
          <w:tab w:val="clear" w:pos="360"/>
          <w:tab w:val="num" w:pos="720"/>
        </w:tabs>
        <w:ind w:left="720"/>
      </w:pPr>
      <w:r w:rsidRPr="002A4121">
        <w:t>highly specialised therapies (</w:t>
      </w:r>
      <w:r w:rsidR="00BB310C" w:rsidRPr="002A4121">
        <w:t>for example</w:t>
      </w:r>
      <w:r w:rsidR="009009B7" w:rsidRPr="002A4121">
        <w:t xml:space="preserve">, </w:t>
      </w:r>
      <w:r w:rsidRPr="002A4121">
        <w:t>cell and gene therapies)</w:t>
      </w:r>
    </w:p>
    <w:p w14:paraId="78F2A566" w14:textId="383F98F4" w:rsidR="005F39DA" w:rsidRPr="00AF49AC" w:rsidDel="00AA2205" w:rsidRDefault="005F39DA" w:rsidP="00AF49AC">
      <w:pPr>
        <w:pStyle w:val="ListNumber"/>
        <w:tabs>
          <w:tab w:val="clear" w:pos="360"/>
          <w:tab w:val="num" w:pos="720"/>
        </w:tabs>
        <w:ind w:left="720"/>
        <w:rPr>
          <w:rStyle w:val="LineNumber"/>
        </w:rPr>
      </w:pPr>
      <w:r w:rsidRPr="00AF49AC">
        <w:rPr>
          <w:rFonts w:ascii="Calibri" w:hAnsi="Calibri" w:cs="Calibri"/>
          <w:szCs w:val="24"/>
        </w:rPr>
        <w:t>other health technologies (for example</w:t>
      </w:r>
      <w:r w:rsidR="00DA76D4" w:rsidRPr="00AF49AC">
        <w:rPr>
          <w:rFonts w:ascii="Calibri" w:hAnsi="Calibri" w:cs="Calibri"/>
          <w:szCs w:val="24"/>
        </w:rPr>
        <w:t>,</w:t>
      </w:r>
      <w:r w:rsidRPr="00AF49AC">
        <w:rPr>
          <w:rFonts w:ascii="Calibri" w:hAnsi="Calibri" w:cs="Calibri"/>
          <w:szCs w:val="24"/>
        </w:rPr>
        <w:t xml:space="preserve"> a pathology test or an imaging technology) that improve health outcomes associated with</w:t>
      </w:r>
      <w:bookmarkStart w:id="5" w:name="_Hlk122431541"/>
      <w:r w:rsidRPr="00AF49AC">
        <w:rPr>
          <w:rStyle w:val="LineNumber"/>
        </w:rPr>
        <w:t xml:space="preserve"> </w:t>
      </w:r>
      <w:r w:rsidRPr="00AF49AC">
        <w:rPr>
          <w:rFonts w:ascii="Calibri" w:hAnsi="Calibri" w:cs="Calibri"/>
          <w:szCs w:val="24"/>
        </w:rPr>
        <w:t>the technologies defined in points 1 and 2</w:t>
      </w:r>
      <w:bookmarkEnd w:id="5"/>
    </w:p>
    <w:p w14:paraId="0FC0291A" w14:textId="5F8FDF8F" w:rsidR="005F39DA" w:rsidRPr="00AA2205" w:rsidRDefault="005F39DA" w:rsidP="00376A8C">
      <w:pPr>
        <w:pStyle w:val="ListNumber"/>
        <w:tabs>
          <w:tab w:val="clear" w:pos="360"/>
          <w:tab w:val="num" w:pos="426"/>
        </w:tabs>
        <w:ind w:left="709"/>
        <w:rPr>
          <w:rFonts w:cs="Arial"/>
          <w:szCs w:val="20"/>
        </w:rPr>
      </w:pPr>
      <w:r w:rsidRPr="00AA2205">
        <w:rPr>
          <w:rFonts w:cs="Arial"/>
          <w:szCs w:val="20"/>
        </w:rPr>
        <w:t>foreseeable changes in health</w:t>
      </w:r>
      <w:r w:rsidRPr="00AA2205" w:rsidDel="00F57A69">
        <w:rPr>
          <w:rFonts w:cs="Arial"/>
          <w:szCs w:val="20"/>
        </w:rPr>
        <w:t xml:space="preserve"> </w:t>
      </w:r>
      <w:r w:rsidRPr="00AA2205">
        <w:rPr>
          <w:rFonts w:cs="Arial"/>
          <w:szCs w:val="20"/>
        </w:rPr>
        <w:t>care that may influence the need, accessibility, effectiveness or cost-effectiveness of new health technologies.</w:t>
      </w:r>
    </w:p>
    <w:p w14:paraId="7E4513B2" w14:textId="4F78C86E" w:rsidR="00656A75" w:rsidRDefault="00B30B14" w:rsidP="00805149">
      <w:pPr>
        <w:rPr>
          <w:rFonts w:ascii="Calibri" w:eastAsia="Calibri" w:hAnsi="Calibri" w:cs="Calibri"/>
        </w:rPr>
      </w:pPr>
      <w:r>
        <w:rPr>
          <w:rFonts w:ascii="Calibri" w:eastAsia="Calibri" w:hAnsi="Calibri" w:cs="Calibri"/>
        </w:rPr>
        <w:t>This paper has two parts</w:t>
      </w:r>
      <w:r w:rsidR="00656A75">
        <w:rPr>
          <w:rFonts w:ascii="Calibri" w:eastAsia="Calibri" w:hAnsi="Calibri" w:cs="Calibri"/>
        </w:rPr>
        <w:t>:</w:t>
      </w:r>
    </w:p>
    <w:p w14:paraId="67AE037E" w14:textId="31D28DD2" w:rsidR="00656A75" w:rsidRDefault="00656A75" w:rsidP="00AF49AC">
      <w:pPr>
        <w:pStyle w:val="ListNumber"/>
        <w:numPr>
          <w:ilvl w:val="0"/>
          <w:numId w:val="58"/>
        </w:numPr>
        <w:tabs>
          <w:tab w:val="clear" w:pos="360"/>
          <w:tab w:val="num" w:pos="720"/>
        </w:tabs>
        <w:ind w:left="720"/>
      </w:pPr>
      <w:r>
        <w:t>emerging technologies in scope for the HTA Review</w:t>
      </w:r>
      <w:r w:rsidR="00135FF8">
        <w:t>, and</w:t>
      </w:r>
    </w:p>
    <w:p w14:paraId="4EDD0C0D" w14:textId="3810565F" w:rsidR="00656A75" w:rsidRPr="00656A75" w:rsidRDefault="00656A75" w:rsidP="00AF49AC">
      <w:pPr>
        <w:pStyle w:val="ListNumber"/>
        <w:tabs>
          <w:tab w:val="clear" w:pos="360"/>
          <w:tab w:val="num" w:pos="720"/>
        </w:tabs>
        <w:ind w:left="720"/>
      </w:pPr>
      <w:r>
        <w:t>emerging technologies that are linked to medicines, vaccines and highly specialised therapies</w:t>
      </w:r>
      <w:r w:rsidR="00135FF8">
        <w:t>.</w:t>
      </w:r>
    </w:p>
    <w:p w14:paraId="5237EB80" w14:textId="5FDF1199" w:rsidR="00DB1CCA" w:rsidRDefault="00EC054F" w:rsidP="00805149">
      <w:pPr>
        <w:rPr>
          <w:rFonts w:ascii="Calibri" w:eastAsia="Calibri" w:hAnsi="Calibri" w:cs="Calibri"/>
        </w:rPr>
      </w:pPr>
      <w:r>
        <w:rPr>
          <w:rFonts w:ascii="Calibri" w:eastAsia="Calibri" w:hAnsi="Calibri" w:cs="Calibri"/>
        </w:rPr>
        <w:t>This paper also seeks to identify any unique characteristics of emerging technologies that may challenge existing health technology assessment</w:t>
      </w:r>
      <w:r w:rsidR="00DF1B16">
        <w:rPr>
          <w:rFonts w:ascii="Calibri" w:eastAsia="Calibri" w:hAnsi="Calibri" w:cs="Calibri"/>
        </w:rPr>
        <w:t>,</w:t>
      </w:r>
      <w:r>
        <w:rPr>
          <w:rFonts w:ascii="Calibri" w:eastAsia="Calibri" w:hAnsi="Calibri" w:cs="Calibri"/>
        </w:rPr>
        <w:t xml:space="preserve"> funding or subsidy pathways. </w:t>
      </w:r>
      <w:r w:rsidR="00D336EA">
        <w:rPr>
          <w:rFonts w:ascii="Calibri" w:eastAsia="Calibri" w:hAnsi="Calibri" w:cs="Calibri"/>
        </w:rPr>
        <w:t>This paper does not consider emerging technologies that are in the pre-clinical stage of development.</w:t>
      </w:r>
      <w:r w:rsidR="00DB1CCA">
        <w:rPr>
          <w:rFonts w:ascii="Calibri" w:eastAsia="Calibri" w:hAnsi="Calibri" w:cs="Calibri"/>
        </w:rPr>
        <w:t xml:space="preserve"> </w:t>
      </w:r>
    </w:p>
    <w:p w14:paraId="7E3FB304" w14:textId="35E6BD64" w:rsidR="00D52471" w:rsidRPr="00DB1CCA" w:rsidRDefault="00D52471" w:rsidP="00805149">
      <w:pPr>
        <w:rPr>
          <w:rFonts w:ascii="Calibri" w:eastAsia="Calibri" w:hAnsi="Calibri" w:cs="Calibri"/>
        </w:rPr>
      </w:pPr>
      <w:r>
        <w:rPr>
          <w:rFonts w:ascii="Calibri" w:eastAsia="Calibri" w:hAnsi="Calibri" w:cs="Calibri"/>
        </w:rPr>
        <w:t xml:space="preserve">The goal of this paper is to ensure that consideration of options for reform through the </w:t>
      </w:r>
      <w:r w:rsidR="008547B5">
        <w:rPr>
          <w:rFonts w:ascii="Calibri" w:eastAsia="Calibri" w:hAnsi="Calibri" w:cs="Calibri"/>
        </w:rPr>
        <w:t xml:space="preserve">HTA Review </w:t>
      </w:r>
      <w:r>
        <w:rPr>
          <w:rFonts w:ascii="Calibri" w:eastAsia="Calibri" w:hAnsi="Calibri" w:cs="Calibri"/>
        </w:rPr>
        <w:t xml:space="preserve">is supported by information about the types of </w:t>
      </w:r>
      <w:r w:rsidR="00B66459">
        <w:rPr>
          <w:rFonts w:ascii="Calibri" w:eastAsia="Calibri" w:hAnsi="Calibri" w:cs="Calibri"/>
        </w:rPr>
        <w:t xml:space="preserve">emerging </w:t>
      </w:r>
      <w:r>
        <w:rPr>
          <w:rFonts w:ascii="Calibri" w:eastAsia="Calibri" w:hAnsi="Calibri" w:cs="Calibri"/>
        </w:rPr>
        <w:t>technologies that will require assessment for funding or subsidy in the foreseeable future.</w:t>
      </w:r>
      <w:r w:rsidR="00B66459">
        <w:rPr>
          <w:rFonts w:ascii="Calibri" w:eastAsia="Calibri" w:hAnsi="Calibri" w:cs="Calibri"/>
        </w:rPr>
        <w:t xml:space="preserve"> </w:t>
      </w:r>
      <w:r>
        <w:rPr>
          <w:rFonts w:ascii="Calibri" w:eastAsia="Calibri" w:hAnsi="Calibri" w:cs="Calibri"/>
        </w:rPr>
        <w:t xml:space="preserve"> </w:t>
      </w:r>
    </w:p>
    <w:p w14:paraId="5EE709AF" w14:textId="4D903702" w:rsidR="00EB76F0" w:rsidRPr="00EB76F0" w:rsidRDefault="00EB76F0" w:rsidP="00C652C5">
      <w:pPr>
        <w:pStyle w:val="Heading2"/>
        <w:ind w:left="567"/>
        <w:rPr>
          <w:rFonts w:ascii="Calibri" w:eastAsia="Calibri" w:hAnsi="Calibri" w:cs="Calibri"/>
        </w:rPr>
      </w:pPr>
      <w:bookmarkStart w:id="6" w:name="_Toc158900418"/>
      <w:r>
        <w:t>Information sources</w:t>
      </w:r>
      <w:bookmarkEnd w:id="6"/>
    </w:p>
    <w:p w14:paraId="75E3A0DD" w14:textId="49411FC4" w:rsidR="003B05C2" w:rsidRDefault="00D52471" w:rsidP="00805149">
      <w:pPr>
        <w:rPr>
          <w:rFonts w:ascii="Calibri" w:eastAsia="Calibri" w:hAnsi="Calibri" w:cs="Calibri"/>
        </w:rPr>
      </w:pPr>
      <w:r w:rsidRPr="00805149">
        <w:rPr>
          <w:rFonts w:ascii="Calibri" w:eastAsia="Calibri" w:hAnsi="Calibri" w:cs="Calibri"/>
        </w:rPr>
        <w:t>T</w:t>
      </w:r>
      <w:r>
        <w:rPr>
          <w:rFonts w:ascii="Calibri" w:eastAsia="Calibri" w:hAnsi="Calibri" w:cs="Calibri"/>
        </w:rPr>
        <w:t xml:space="preserve">he emerging technologies set out in this paper, and </w:t>
      </w:r>
      <w:r w:rsidR="003058E7">
        <w:rPr>
          <w:rFonts w:ascii="Calibri" w:eastAsia="Calibri" w:hAnsi="Calibri" w:cs="Calibri"/>
        </w:rPr>
        <w:t xml:space="preserve">the </w:t>
      </w:r>
      <w:r>
        <w:rPr>
          <w:rFonts w:ascii="Calibri" w:eastAsia="Calibri" w:hAnsi="Calibri" w:cs="Calibri"/>
        </w:rPr>
        <w:t xml:space="preserve">potential challenges they present, have been identified through published horizon scanning studies, and other literature such as academic </w:t>
      </w:r>
      <w:r>
        <w:rPr>
          <w:rFonts w:ascii="Calibri" w:eastAsia="Calibri" w:hAnsi="Calibri" w:cs="Calibri"/>
        </w:rPr>
        <w:lastRenderedPageBreak/>
        <w:t xml:space="preserve">papers and reports, and reports from regulatory and HTA bodies in Australia and other countries. </w:t>
      </w:r>
      <w:r w:rsidR="003B05C2">
        <w:rPr>
          <w:rFonts w:ascii="Calibri" w:eastAsia="Calibri" w:hAnsi="Calibri" w:cs="Calibri"/>
        </w:rPr>
        <w:t xml:space="preserve">These sources include: </w:t>
      </w:r>
    </w:p>
    <w:p w14:paraId="0D4C00BF" w14:textId="5E5A514F" w:rsidR="003B05C2" w:rsidRDefault="003B05C2" w:rsidP="00C652C5">
      <w:pPr>
        <w:pStyle w:val="ListBullet"/>
        <w:tabs>
          <w:tab w:val="clear" w:pos="360"/>
          <w:tab w:val="num" w:pos="720"/>
        </w:tabs>
        <w:ind w:left="720"/>
      </w:pPr>
      <w:r>
        <w:t>Newcastle University (UK) National Institute of Health Research Innovation Observatory Horizon Scanning Reports</w:t>
      </w:r>
    </w:p>
    <w:p w14:paraId="14A8CE0A" w14:textId="030D18F0" w:rsidR="003B05C2" w:rsidRDefault="003B05C2" w:rsidP="00C652C5">
      <w:pPr>
        <w:pStyle w:val="ListBullet"/>
        <w:tabs>
          <w:tab w:val="clear" w:pos="360"/>
          <w:tab w:val="num" w:pos="720"/>
        </w:tabs>
        <w:ind w:left="720"/>
      </w:pPr>
      <w:r>
        <w:t>Patient-</w:t>
      </w:r>
      <w:r w:rsidR="00C763E1">
        <w:t>C</w:t>
      </w:r>
      <w:r>
        <w:t xml:space="preserve">entred </w:t>
      </w:r>
      <w:r w:rsidR="00C763E1">
        <w:t>O</w:t>
      </w:r>
      <w:r>
        <w:t xml:space="preserve">utcomes </w:t>
      </w:r>
      <w:r w:rsidR="00C763E1">
        <w:t>R</w:t>
      </w:r>
      <w:r>
        <w:t xml:space="preserve">esearch </w:t>
      </w:r>
      <w:r w:rsidR="00C763E1">
        <w:t>I</w:t>
      </w:r>
      <w:r>
        <w:t>nstitute – Horizon Scanning High Potential Disruption Reports</w:t>
      </w:r>
    </w:p>
    <w:p w14:paraId="4E38E9A9" w14:textId="7EC2FC53" w:rsidR="003B05C2" w:rsidRDefault="00DE4596" w:rsidP="00C652C5">
      <w:pPr>
        <w:pStyle w:val="ListBullet"/>
        <w:tabs>
          <w:tab w:val="clear" w:pos="360"/>
          <w:tab w:val="num" w:pos="720"/>
        </w:tabs>
        <w:ind w:left="720"/>
      </w:pPr>
      <w:r>
        <w:t xml:space="preserve">the </w:t>
      </w:r>
      <w:r w:rsidR="003B05C2" w:rsidRPr="003B05C2">
        <w:t>World Health Organi</w:t>
      </w:r>
      <w:r w:rsidR="00026EDB">
        <w:t>z</w:t>
      </w:r>
      <w:r w:rsidR="003B05C2" w:rsidRPr="003B05C2">
        <w:t>ation</w:t>
      </w:r>
      <w:r w:rsidR="003B05C2">
        <w:t xml:space="preserve"> report</w:t>
      </w:r>
      <w:r>
        <w:t xml:space="preserve">: </w:t>
      </w:r>
      <w:r w:rsidR="003B05C2" w:rsidRPr="003B05C2">
        <w:t xml:space="preserve">Emerging </w:t>
      </w:r>
      <w:r w:rsidR="002C09B4">
        <w:t>t</w:t>
      </w:r>
      <w:r w:rsidR="003B05C2" w:rsidRPr="003B05C2">
        <w:t>rends and technologies: a horizon scan for global public health</w:t>
      </w:r>
      <w:r>
        <w:t xml:space="preserve"> (2022)</w:t>
      </w:r>
    </w:p>
    <w:p w14:paraId="40E3EEC4" w14:textId="3577B2CB" w:rsidR="007E3A7C" w:rsidRDefault="007E77DF" w:rsidP="00C652C5">
      <w:pPr>
        <w:pStyle w:val="ListBullet"/>
        <w:tabs>
          <w:tab w:val="clear" w:pos="360"/>
          <w:tab w:val="num" w:pos="720"/>
        </w:tabs>
        <w:ind w:left="720"/>
      </w:pPr>
      <w:r>
        <w:t xml:space="preserve">the </w:t>
      </w:r>
      <w:r w:rsidR="007E3A7C">
        <w:t>American Society of Gene and Cell Therapy – Gene, Cell and RNA Therapy Landscape Report</w:t>
      </w:r>
      <w:r>
        <w:t>.</w:t>
      </w:r>
    </w:p>
    <w:p w14:paraId="5658F500" w14:textId="63CC0B0F" w:rsidR="00EB76F0" w:rsidRDefault="000946A5" w:rsidP="00831429">
      <w:pPr>
        <w:rPr>
          <w:rFonts w:ascii="Calibri" w:eastAsia="Calibri" w:hAnsi="Calibri" w:cs="Calibri"/>
        </w:rPr>
      </w:pPr>
      <w:r>
        <w:rPr>
          <w:rFonts w:ascii="Calibri" w:eastAsia="Calibri" w:hAnsi="Calibri" w:cs="Calibri"/>
        </w:rPr>
        <w:t>Information about the status of regulatory and reimbursement approval was obtained from the w</w:t>
      </w:r>
      <w:r w:rsidR="0035395E" w:rsidRPr="000946A5">
        <w:rPr>
          <w:rFonts w:ascii="Calibri" w:eastAsia="Calibri" w:hAnsi="Calibri" w:cs="Calibri"/>
        </w:rPr>
        <w:t xml:space="preserve">ebsites of the European Medicines Agency (EMA), United States Food and Drug Administration (FDA), Australian Therapeutic Goods Administration (TGA), Australian Pharmaceutical Benefits Scheme (PBS), </w:t>
      </w:r>
      <w:r w:rsidR="00247A81">
        <w:rPr>
          <w:rFonts w:ascii="Calibri" w:eastAsia="Calibri" w:hAnsi="Calibri" w:cs="Calibri"/>
        </w:rPr>
        <w:t xml:space="preserve">and the </w:t>
      </w:r>
      <w:r w:rsidR="0035395E" w:rsidRPr="000946A5">
        <w:rPr>
          <w:rFonts w:ascii="Calibri" w:eastAsia="Calibri" w:hAnsi="Calibri" w:cs="Calibri"/>
        </w:rPr>
        <w:t>Australian Medical Services Advisory Committee (MSAC).</w:t>
      </w:r>
      <w:r w:rsidR="00DB1CCA">
        <w:rPr>
          <w:rFonts w:ascii="Calibri" w:eastAsia="Calibri" w:hAnsi="Calibri" w:cs="Calibri"/>
        </w:rPr>
        <w:t xml:space="preserve"> </w:t>
      </w:r>
    </w:p>
    <w:p w14:paraId="5CEF0927" w14:textId="44A3AE0D" w:rsidR="00D336EA" w:rsidRDefault="00D52471" w:rsidP="00831429">
      <w:r>
        <w:rPr>
          <w:rFonts w:ascii="Calibri" w:eastAsia="Calibri" w:hAnsi="Calibri" w:cs="Calibri"/>
        </w:rPr>
        <w:t xml:space="preserve">A summary of the technologies identified is provided at </w:t>
      </w:r>
      <w:r w:rsidR="00EB76F0">
        <w:t>Table 1.</w:t>
      </w:r>
    </w:p>
    <w:p w14:paraId="38D6958B" w14:textId="0A5441ED" w:rsidR="00EB76F0" w:rsidRPr="00EB76F0" w:rsidRDefault="00EB76F0" w:rsidP="00831429">
      <w:pPr>
        <w:pStyle w:val="Heading2"/>
        <w:rPr>
          <w:rFonts w:ascii="Calibri" w:eastAsia="Calibri" w:hAnsi="Calibri" w:cs="Calibri"/>
        </w:rPr>
      </w:pPr>
      <w:bookmarkStart w:id="7" w:name="_Toc158900419"/>
      <w:r>
        <w:t>Assessment and funding pathways</w:t>
      </w:r>
      <w:bookmarkEnd w:id="7"/>
    </w:p>
    <w:p w14:paraId="48687D5B" w14:textId="77777777" w:rsidR="00EB76F0" w:rsidRDefault="00EB76F0" w:rsidP="00805149">
      <w:r>
        <w:t xml:space="preserve">Several of the emerging technology types identified in this paper are beginning to be assessed for funding or subsidy in Australia. </w:t>
      </w:r>
      <w:r w:rsidR="00D336EA" w:rsidRPr="00805149">
        <w:t>The funding and assessment pathways</w:t>
      </w:r>
      <w:r w:rsidR="00D336EA">
        <w:t>, as they have been used for emerging technologies presented in Table 1,</w:t>
      </w:r>
      <w:r w:rsidR="00D336EA" w:rsidRPr="00805149">
        <w:t xml:space="preserve"> are </w:t>
      </w:r>
      <w:r w:rsidR="00D336EA">
        <w:t>illustrated in the figure below</w:t>
      </w:r>
      <w:r w:rsidR="00D336EA" w:rsidRPr="00805149">
        <w:t>.</w:t>
      </w:r>
      <w:r w:rsidR="00D336EA">
        <w:t xml:space="preserve"> </w:t>
      </w:r>
    </w:p>
    <w:p w14:paraId="0523BB13" w14:textId="6B9DEA64" w:rsidR="00A631BA" w:rsidRDefault="00D336EA" w:rsidP="00805149">
      <w:pPr>
        <w:rPr>
          <w:rFonts w:ascii="Calibri" w:eastAsia="Calibri" w:hAnsi="Calibri" w:cs="Calibri"/>
        </w:rPr>
      </w:pPr>
      <w:r>
        <w:t>More detail about these pathways will be provided</w:t>
      </w:r>
      <w:r w:rsidR="0035395E">
        <w:t xml:space="preserve"> in the paper on Australian market approval, funding and assessment pathways and timelines.</w:t>
      </w:r>
    </w:p>
    <w:p w14:paraId="77A3C178" w14:textId="77777777" w:rsidR="00A631BA" w:rsidRDefault="00A631BA" w:rsidP="00805149">
      <w:pPr>
        <w:rPr>
          <w:rFonts w:ascii="Calibri" w:eastAsia="Calibri" w:hAnsi="Calibri" w:cs="Calibri"/>
        </w:rPr>
        <w:sectPr w:rsidR="00A631BA" w:rsidSect="00A31880">
          <w:footerReference w:type="default" r:id="rId17"/>
          <w:pgSz w:w="11906" w:h="16838"/>
          <w:pgMar w:top="1440" w:right="1440" w:bottom="1440" w:left="1440" w:header="720" w:footer="720" w:gutter="0"/>
          <w:cols w:space="720"/>
          <w:docGrid w:linePitch="360"/>
        </w:sectPr>
      </w:pPr>
    </w:p>
    <w:p w14:paraId="22CD70D2" w14:textId="569C88EF" w:rsidR="00276B72" w:rsidRPr="00640067" w:rsidRDefault="00276B72" w:rsidP="00640067">
      <w:pPr>
        <w:rPr>
          <w:b/>
          <w:bCs/>
          <w:color w:val="002060"/>
        </w:rPr>
      </w:pPr>
      <w:bookmarkStart w:id="8" w:name="_Ref129352279"/>
      <w:r w:rsidRPr="00640067">
        <w:rPr>
          <w:b/>
          <w:bCs/>
          <w:color w:val="002060"/>
        </w:rPr>
        <w:lastRenderedPageBreak/>
        <w:t>Figure 1. Funding pathways for Commonwealth</w:t>
      </w:r>
      <w:r w:rsidR="00EB4A14" w:rsidRPr="00640067">
        <w:rPr>
          <w:b/>
          <w:bCs/>
          <w:color w:val="002060"/>
        </w:rPr>
        <w:t>-</w:t>
      </w:r>
      <w:r w:rsidRPr="00640067">
        <w:rPr>
          <w:b/>
          <w:bCs/>
          <w:color w:val="002060"/>
        </w:rPr>
        <w:t>funded health technologies</w:t>
      </w:r>
    </w:p>
    <w:p w14:paraId="3E6DE6A1" w14:textId="77777777" w:rsidR="00276B72" w:rsidRDefault="00276B72" w:rsidP="00276B72">
      <w:pPr>
        <w:jc w:val="center"/>
      </w:pPr>
      <w:r w:rsidRPr="009F2E91">
        <w:rPr>
          <w:noProof/>
        </w:rPr>
        <w:drawing>
          <wp:inline distT="0" distB="0" distL="0" distR="0" wp14:anchorId="3673C7E9" wp14:editId="0F329876">
            <wp:extent cx="9404985" cy="4975860"/>
            <wp:effectExtent l="0" t="0" r="0" b="0"/>
            <wp:docPr id="155350197" name="Picture 155350197" descr="Funding pathways for Commonwealth-funded health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0197" name="Picture 155350197" descr="Funding pathways for Commonwealth-funded health technologi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04985" cy="4975860"/>
                    </a:xfrm>
                    <a:prstGeom prst="rect">
                      <a:avLst/>
                    </a:prstGeom>
                    <a:solidFill>
                      <a:schemeClr val="bg1"/>
                    </a:solidFill>
                    <a:ln>
                      <a:noFill/>
                    </a:ln>
                  </pic:spPr>
                </pic:pic>
              </a:graphicData>
            </a:graphic>
          </wp:inline>
        </w:drawing>
      </w:r>
    </w:p>
    <w:p w14:paraId="19358D20" w14:textId="77777777" w:rsidR="00276B72" w:rsidRPr="005C5F45" w:rsidRDefault="00276B72" w:rsidP="00EB54F5">
      <w:pPr>
        <w:pStyle w:val="Caption"/>
      </w:pPr>
      <w:r w:rsidRPr="005C5F45">
        <w:rPr>
          <w:i w:val="0"/>
          <w:color w:val="auto"/>
          <w:sz w:val="22"/>
          <w:szCs w:val="22"/>
        </w:rPr>
        <w:t xml:space="preserve">Acronyms: ABF = Activity Based Funding; ATAGI = Australian Technical Advisory Group on Immunisation; IHACPA = Independent Health and Aged Care Pricing Authority; JBC = Jurisdictional Blood Committee; LSDPEP = Life Saving Drugs Program Expert Panel; LSDP = Life Saving Drugs Program; MBS = Medicare Benefits Schedule; MSAC = Medical Services Advisory Committee; NIP = National Immunisation Program; PBS = Pharmaceutical Benefits Scheme; NHRA = National Health Reform Agreement; NPPL = National Product Price List. </w:t>
      </w:r>
    </w:p>
    <w:p w14:paraId="73703C67" w14:textId="37F88979" w:rsidR="00D336EA" w:rsidRDefault="00D336EA">
      <w:pPr>
        <w:rPr>
          <w:i/>
          <w:iCs/>
          <w:color w:val="44546A" w:themeColor="text2"/>
          <w:sz w:val="18"/>
          <w:szCs w:val="18"/>
        </w:rPr>
      </w:pPr>
    </w:p>
    <w:p w14:paraId="11C0080C" w14:textId="2AC0FC01" w:rsidR="00A631BA" w:rsidRPr="00640067" w:rsidRDefault="00912798" w:rsidP="00640067">
      <w:pPr>
        <w:rPr>
          <w:b/>
          <w:bCs/>
          <w:color w:val="002060"/>
        </w:rPr>
      </w:pPr>
      <w:r w:rsidRPr="00640067">
        <w:rPr>
          <w:b/>
          <w:bCs/>
          <w:color w:val="002060"/>
        </w:rPr>
        <w:t xml:space="preserve">Table </w:t>
      </w:r>
      <w:r w:rsidR="00B304FA" w:rsidRPr="00640067">
        <w:rPr>
          <w:b/>
          <w:bCs/>
          <w:color w:val="002060"/>
        </w:rPr>
        <w:fldChar w:fldCharType="begin"/>
      </w:r>
      <w:r w:rsidR="00B304FA" w:rsidRPr="00640067">
        <w:rPr>
          <w:b/>
          <w:bCs/>
          <w:color w:val="002060"/>
        </w:rPr>
        <w:instrText xml:space="preserve"> SEQ Table \* ARABIC </w:instrText>
      </w:r>
      <w:r w:rsidR="00B304FA" w:rsidRPr="00640067">
        <w:rPr>
          <w:b/>
          <w:bCs/>
          <w:color w:val="002060"/>
        </w:rPr>
        <w:fldChar w:fldCharType="separate"/>
      </w:r>
      <w:r w:rsidR="00395B47">
        <w:rPr>
          <w:b/>
          <w:bCs/>
          <w:noProof/>
          <w:color w:val="002060"/>
        </w:rPr>
        <w:t>1</w:t>
      </w:r>
      <w:r w:rsidR="00B304FA" w:rsidRPr="00640067">
        <w:rPr>
          <w:b/>
          <w:bCs/>
          <w:color w:val="002060"/>
        </w:rPr>
        <w:fldChar w:fldCharType="end"/>
      </w:r>
      <w:bookmarkEnd w:id="8"/>
      <w:r w:rsidRPr="00640067">
        <w:rPr>
          <w:b/>
          <w:bCs/>
          <w:color w:val="002060"/>
        </w:rPr>
        <w:t xml:space="preserve"> Summary of emerging technologies identified</w:t>
      </w:r>
    </w:p>
    <w:tbl>
      <w:tblPr>
        <w:tblStyle w:val="DepartmentofHealthtable"/>
        <w:tblW w:w="0" w:type="auto"/>
        <w:tblLook w:val="04A0" w:firstRow="1" w:lastRow="0" w:firstColumn="1" w:lastColumn="0" w:noHBand="0" w:noVBand="1"/>
      </w:tblPr>
      <w:tblGrid>
        <w:gridCol w:w="1899"/>
        <w:gridCol w:w="1665"/>
        <w:gridCol w:w="610"/>
        <w:gridCol w:w="564"/>
        <w:gridCol w:w="880"/>
        <w:gridCol w:w="1515"/>
        <w:gridCol w:w="1802"/>
        <w:gridCol w:w="1477"/>
        <w:gridCol w:w="2401"/>
        <w:gridCol w:w="2544"/>
      </w:tblGrid>
      <w:tr w:rsidR="009F21B9" w14:paraId="515F1E97" w14:textId="77777777" w:rsidTr="00CA3F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9" w:type="dxa"/>
            <w:vAlign w:val="center"/>
          </w:tcPr>
          <w:p w14:paraId="4478C0F0" w14:textId="0B8E8D1E" w:rsidR="00A912D0" w:rsidRPr="00AE09D0" w:rsidRDefault="00A912D0" w:rsidP="00FB12D7">
            <w:pPr>
              <w:spacing w:before="0"/>
              <w:rPr>
                <w:rFonts w:asciiTheme="minorHAnsi" w:eastAsia="Calibri" w:hAnsiTheme="minorHAnsi" w:cstheme="minorHAnsi"/>
                <w:sz w:val="20"/>
              </w:rPr>
            </w:pPr>
            <w:r w:rsidRPr="00AE09D0">
              <w:rPr>
                <w:rFonts w:asciiTheme="minorHAnsi" w:hAnsiTheme="minorHAnsi" w:cstheme="minorHAnsi"/>
                <w:b/>
                <w:bCs/>
                <w:sz w:val="20"/>
              </w:rPr>
              <w:t>Category</w:t>
            </w:r>
          </w:p>
        </w:tc>
        <w:tc>
          <w:tcPr>
            <w:tcW w:w="1665" w:type="dxa"/>
            <w:vAlign w:val="center"/>
          </w:tcPr>
          <w:p w14:paraId="678E9D9D" w14:textId="31BC08B9" w:rsidR="00A912D0" w:rsidRPr="00AE09D0" w:rsidRDefault="00A912D0" w:rsidP="00FB12D7">
            <w:pPr>
              <w:spacing w:before="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E09D0">
              <w:rPr>
                <w:rFonts w:asciiTheme="minorHAnsi" w:hAnsiTheme="minorHAnsi" w:cstheme="minorHAnsi"/>
                <w:b/>
                <w:bCs/>
                <w:sz w:val="20"/>
              </w:rPr>
              <w:t>Examples</w:t>
            </w:r>
          </w:p>
        </w:tc>
        <w:tc>
          <w:tcPr>
            <w:tcW w:w="610" w:type="dxa"/>
            <w:vAlign w:val="center"/>
          </w:tcPr>
          <w:p w14:paraId="3510F6EC" w14:textId="77777777" w:rsidR="00A912D0" w:rsidRDefault="00A912D0" w:rsidP="007E3807">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bCs/>
              </w:rPr>
            </w:pPr>
            <w:r w:rsidRPr="00AE09D0">
              <w:rPr>
                <w:rFonts w:asciiTheme="minorHAnsi" w:hAnsiTheme="minorHAnsi" w:cstheme="minorHAnsi"/>
                <w:b/>
                <w:bCs/>
                <w:sz w:val="20"/>
              </w:rPr>
              <w:t>EMA</w:t>
            </w:r>
          </w:p>
          <w:p w14:paraId="1AA668A7" w14:textId="30A431A8" w:rsidR="00CC4502" w:rsidRPr="00AE09D0" w:rsidRDefault="00CC4502" w:rsidP="007E3807">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bCs/>
                <w:sz w:val="20"/>
              </w:rPr>
            </w:pPr>
            <w:r>
              <w:rPr>
                <w:rFonts w:cstheme="minorHAnsi"/>
                <w:b/>
                <w:bCs/>
                <w:sz w:val="20"/>
              </w:rPr>
              <w:t>(n)</w:t>
            </w:r>
          </w:p>
        </w:tc>
        <w:tc>
          <w:tcPr>
            <w:tcW w:w="564" w:type="dxa"/>
            <w:vAlign w:val="center"/>
          </w:tcPr>
          <w:p w14:paraId="11EC06DD" w14:textId="77777777" w:rsidR="00A912D0" w:rsidRDefault="00A912D0" w:rsidP="007E3807">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bCs/>
              </w:rPr>
            </w:pPr>
            <w:r w:rsidRPr="00AE09D0">
              <w:rPr>
                <w:rFonts w:asciiTheme="minorHAnsi" w:hAnsiTheme="minorHAnsi" w:cstheme="minorHAnsi"/>
                <w:b/>
                <w:bCs/>
                <w:sz w:val="20"/>
              </w:rPr>
              <w:t>FDA</w:t>
            </w:r>
          </w:p>
          <w:p w14:paraId="6541757C" w14:textId="299C2C64" w:rsidR="00CC4502" w:rsidRPr="00AE09D0" w:rsidRDefault="00CC4502"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Pr>
                <w:rFonts w:asciiTheme="minorHAnsi" w:hAnsiTheme="minorHAnsi" w:cstheme="minorHAnsi"/>
                <w:b/>
                <w:bCs/>
                <w:sz w:val="20"/>
              </w:rPr>
              <w:t>(n)</w:t>
            </w:r>
          </w:p>
        </w:tc>
        <w:tc>
          <w:tcPr>
            <w:tcW w:w="880" w:type="dxa"/>
            <w:vAlign w:val="center"/>
          </w:tcPr>
          <w:p w14:paraId="6084BF02" w14:textId="77777777" w:rsidR="00A912D0" w:rsidRDefault="00A912D0" w:rsidP="007E3807">
            <w:pPr>
              <w:spacing w:before="0"/>
              <w:jc w:val="center"/>
              <w:cnfStyle w:val="100000000000" w:firstRow="1" w:lastRow="0" w:firstColumn="0" w:lastColumn="0" w:oddVBand="0" w:evenVBand="0" w:oddHBand="0" w:evenHBand="0" w:firstRowFirstColumn="0" w:firstRowLastColumn="0" w:lastRowFirstColumn="0" w:lastRowLastColumn="0"/>
              <w:rPr>
                <w:rFonts w:cstheme="minorHAnsi"/>
                <w:b/>
                <w:bCs/>
              </w:rPr>
            </w:pPr>
            <w:r w:rsidRPr="00AE09D0">
              <w:rPr>
                <w:rFonts w:asciiTheme="minorHAnsi" w:hAnsiTheme="minorHAnsi" w:cstheme="minorHAnsi"/>
                <w:b/>
                <w:bCs/>
                <w:sz w:val="20"/>
              </w:rPr>
              <w:t>TGA</w:t>
            </w:r>
          </w:p>
          <w:p w14:paraId="441D2ACD" w14:textId="352DA949" w:rsidR="00CC4502" w:rsidRPr="00AE09D0" w:rsidRDefault="00CC4502"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Pr>
                <w:rFonts w:asciiTheme="minorHAnsi" w:hAnsiTheme="minorHAnsi" w:cstheme="minorHAnsi"/>
                <w:b/>
                <w:bCs/>
                <w:sz w:val="20"/>
              </w:rPr>
              <w:t>(n)</w:t>
            </w:r>
          </w:p>
        </w:tc>
        <w:tc>
          <w:tcPr>
            <w:tcW w:w="1515" w:type="dxa"/>
            <w:vAlign w:val="center"/>
          </w:tcPr>
          <w:p w14:paraId="2DFFDC68" w14:textId="2D7472E7" w:rsidR="00A912D0" w:rsidRPr="00AE09D0" w:rsidRDefault="00A912D0"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E09D0">
              <w:rPr>
                <w:rFonts w:asciiTheme="minorHAnsi" w:hAnsiTheme="minorHAnsi" w:cstheme="minorHAnsi"/>
                <w:b/>
                <w:bCs/>
                <w:sz w:val="20"/>
              </w:rPr>
              <w:t>Subsidised in Australia</w:t>
            </w:r>
          </w:p>
        </w:tc>
        <w:tc>
          <w:tcPr>
            <w:tcW w:w="1802" w:type="dxa"/>
            <w:vAlign w:val="center"/>
          </w:tcPr>
          <w:p w14:paraId="4BB744C4" w14:textId="6768D278" w:rsidR="00A912D0" w:rsidRPr="00AE09D0" w:rsidRDefault="00A912D0"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E09D0">
              <w:rPr>
                <w:rFonts w:asciiTheme="minorHAnsi" w:hAnsiTheme="minorHAnsi" w:cstheme="minorHAnsi"/>
                <w:b/>
                <w:bCs/>
                <w:sz w:val="20"/>
              </w:rPr>
              <w:t>Indications (broad)</w:t>
            </w:r>
          </w:p>
        </w:tc>
        <w:tc>
          <w:tcPr>
            <w:tcW w:w="1477" w:type="dxa"/>
            <w:vAlign w:val="center"/>
          </w:tcPr>
          <w:p w14:paraId="50D5FBE1" w14:textId="3B5F3B88" w:rsidR="00A912D0" w:rsidRPr="00AE09D0" w:rsidRDefault="00A912D0" w:rsidP="00FB12D7">
            <w:pPr>
              <w:spacing w:before="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E09D0">
              <w:rPr>
                <w:rFonts w:asciiTheme="minorHAnsi" w:hAnsiTheme="minorHAnsi" w:cstheme="minorHAnsi"/>
                <w:b/>
                <w:bCs/>
                <w:sz w:val="20"/>
              </w:rPr>
              <w:t>Care settings</w:t>
            </w:r>
          </w:p>
        </w:tc>
        <w:tc>
          <w:tcPr>
            <w:tcW w:w="2401" w:type="dxa"/>
            <w:vAlign w:val="center"/>
          </w:tcPr>
          <w:p w14:paraId="3C2CB710" w14:textId="4F7BA680" w:rsidR="00A912D0" w:rsidRPr="00AE09D0" w:rsidRDefault="00A912D0" w:rsidP="00FB12D7">
            <w:pPr>
              <w:spacing w:before="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E09D0">
              <w:rPr>
                <w:rFonts w:asciiTheme="minorHAnsi" w:hAnsiTheme="minorHAnsi" w:cstheme="minorHAnsi"/>
                <w:b/>
                <w:bCs/>
                <w:sz w:val="20"/>
              </w:rPr>
              <w:t>HTA challenges</w:t>
            </w:r>
          </w:p>
        </w:tc>
        <w:tc>
          <w:tcPr>
            <w:tcW w:w="2544" w:type="dxa"/>
            <w:vAlign w:val="center"/>
          </w:tcPr>
          <w:p w14:paraId="1A77AFDD" w14:textId="4E9EEAD7" w:rsidR="00A912D0" w:rsidRPr="00AE09D0" w:rsidRDefault="00A912D0" w:rsidP="00FB12D7">
            <w:pPr>
              <w:spacing w:before="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sz w:val="20"/>
              </w:rPr>
            </w:pPr>
            <w:r w:rsidRPr="00AE09D0">
              <w:rPr>
                <w:rFonts w:asciiTheme="minorHAnsi" w:hAnsiTheme="minorHAnsi" w:cstheme="minorHAnsi"/>
                <w:b/>
                <w:bCs/>
                <w:sz w:val="20"/>
              </w:rPr>
              <w:t>Funding and Implementation challenges</w:t>
            </w:r>
          </w:p>
        </w:tc>
      </w:tr>
      <w:tr w:rsidR="009F21B9" w14:paraId="30C80AAC"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56408B8E" w14:textId="0FBBEE65" w:rsidR="00A912D0" w:rsidRPr="00AE09D0" w:rsidRDefault="00A912D0" w:rsidP="00FB12D7">
            <w:pPr>
              <w:spacing w:before="0"/>
              <w:rPr>
                <w:rFonts w:cstheme="minorHAnsi"/>
              </w:rPr>
            </w:pPr>
            <w:r w:rsidRPr="00AE09D0">
              <w:rPr>
                <w:rFonts w:cstheme="minorHAnsi"/>
              </w:rPr>
              <w:t>Gene therapies</w:t>
            </w:r>
          </w:p>
        </w:tc>
        <w:tc>
          <w:tcPr>
            <w:tcW w:w="1665" w:type="dxa"/>
          </w:tcPr>
          <w:p w14:paraId="37B55C5A" w14:textId="59D44042"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Zolgensma</w:t>
            </w:r>
            <w:r w:rsidR="00385FD3" w:rsidRPr="00044733">
              <w:rPr>
                <w:rFonts w:cstheme="minorHAnsi"/>
              </w:rPr>
              <w:t>®</w:t>
            </w:r>
          </w:p>
          <w:p w14:paraId="43A4C35C" w14:textId="3EB20D1A"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Luxturna</w:t>
            </w:r>
            <w:r w:rsidR="00385FD3" w:rsidRPr="00044733">
              <w:rPr>
                <w:rFonts w:cstheme="minorHAnsi"/>
              </w:rPr>
              <w:t>®</w:t>
            </w:r>
          </w:p>
          <w:p w14:paraId="22E77205" w14:textId="77777777"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p>
          <w:p w14:paraId="0536A8BF" w14:textId="77777777"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p>
        </w:tc>
        <w:tc>
          <w:tcPr>
            <w:tcW w:w="610" w:type="dxa"/>
          </w:tcPr>
          <w:p w14:paraId="03445507" w14:textId="77777777" w:rsidR="00A912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73D7D452" w14:textId="665B74F7" w:rsidR="00A912D0" w:rsidRPr="00AE09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F04089">
              <w:rPr>
                <w:rFonts w:cstheme="minorHAnsi"/>
              </w:rPr>
              <w:t>6</w:t>
            </w:r>
            <w:r>
              <w:rPr>
                <w:rFonts w:cstheme="minorHAnsi"/>
              </w:rPr>
              <w:t>)</w:t>
            </w:r>
          </w:p>
        </w:tc>
        <w:tc>
          <w:tcPr>
            <w:tcW w:w="564" w:type="dxa"/>
          </w:tcPr>
          <w:p w14:paraId="1CF458EB" w14:textId="6AFA188F" w:rsidR="00A912D0" w:rsidRPr="00AE09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r>
              <w:rPr>
                <w:rFonts w:cstheme="minorHAnsi"/>
              </w:rPr>
              <w:t xml:space="preserve"> (</w:t>
            </w:r>
            <w:r w:rsidR="00F04089">
              <w:rPr>
                <w:rFonts w:cstheme="minorHAnsi"/>
              </w:rPr>
              <w:t>8</w:t>
            </w:r>
            <w:r>
              <w:rPr>
                <w:rFonts w:cstheme="minorHAnsi"/>
              </w:rPr>
              <w:t>)</w:t>
            </w:r>
          </w:p>
        </w:tc>
        <w:tc>
          <w:tcPr>
            <w:tcW w:w="880" w:type="dxa"/>
          </w:tcPr>
          <w:p w14:paraId="547C8A32" w14:textId="77777777" w:rsidR="00A912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61814C3C" w14:textId="59B1D3BB" w:rsidR="00A912D0" w:rsidRPr="00AE09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E647C">
              <w:rPr>
                <w:rFonts w:cstheme="minorHAnsi"/>
              </w:rPr>
              <w:t>3</w:t>
            </w:r>
            <w:r>
              <w:rPr>
                <w:rFonts w:cstheme="minorHAnsi"/>
              </w:rPr>
              <w:t>)</w:t>
            </w:r>
          </w:p>
        </w:tc>
        <w:tc>
          <w:tcPr>
            <w:tcW w:w="1515" w:type="dxa"/>
          </w:tcPr>
          <w:p w14:paraId="2C87919E" w14:textId="67EA1BA9" w:rsidR="00211C87" w:rsidRDefault="00211C87" w:rsidP="00996E28">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1A4389CF" w14:textId="7DF49F13" w:rsidR="00A912D0" w:rsidRPr="00AE09D0" w:rsidRDefault="00A912D0" w:rsidP="00996E28">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1 (PBS)</w:t>
            </w:r>
          </w:p>
          <w:p w14:paraId="385684A5" w14:textId="58E10BDC" w:rsidR="00A912D0" w:rsidRPr="00AE09D0" w:rsidRDefault="00A912D0" w:rsidP="00996E28">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1 (NHRA</w:t>
            </w:r>
            <w:r w:rsidR="002072C3">
              <w:rPr>
                <w:rFonts w:cstheme="minorHAnsi"/>
              </w:rPr>
              <w:t>-</w:t>
            </w:r>
            <w:r w:rsidRPr="00AE09D0">
              <w:rPr>
                <w:rFonts w:cstheme="minorHAnsi"/>
              </w:rPr>
              <w:t>HST)</w:t>
            </w:r>
          </w:p>
        </w:tc>
        <w:tc>
          <w:tcPr>
            <w:tcW w:w="1802" w:type="dxa"/>
          </w:tcPr>
          <w:p w14:paraId="6A2B8887" w14:textId="2DAEE438" w:rsidR="00A912D0" w:rsidRPr="00AE09D0" w:rsidRDefault="00A912D0" w:rsidP="0061667E">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Genetic disorders or cancers</w:t>
            </w:r>
          </w:p>
        </w:tc>
        <w:tc>
          <w:tcPr>
            <w:tcW w:w="1477" w:type="dxa"/>
          </w:tcPr>
          <w:p w14:paraId="23219409" w14:textId="416B945C"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Mixed settings (public hospital inpatient and outpatient)</w:t>
            </w:r>
          </w:p>
        </w:tc>
        <w:tc>
          <w:tcPr>
            <w:tcW w:w="2401" w:type="dxa"/>
          </w:tcPr>
          <w:p w14:paraId="0AE5FB7E" w14:textId="4357FF61" w:rsidR="00020742" w:rsidRPr="00020742" w:rsidRDefault="00020742"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smaller evidence base resulting from trial designs and smaller populations</w:t>
            </w:r>
          </w:p>
          <w:p w14:paraId="1F6BF319" w14:textId="5CDE61F6"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high uncertainty about long</w:t>
            </w:r>
            <w:r w:rsidR="00AC783D">
              <w:rPr>
                <w:rFonts w:cstheme="minorHAnsi"/>
              </w:rPr>
              <w:t>-</w:t>
            </w:r>
            <w:r w:rsidRPr="00AE09D0">
              <w:rPr>
                <w:rFonts w:cstheme="minorHAnsi"/>
              </w:rPr>
              <w:t>term health outcomes</w:t>
            </w:r>
          </w:p>
          <w:p w14:paraId="0B59CAA5" w14:textId="6832A083" w:rsidR="00A912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high uncertainty about cost-effectiveness</w:t>
            </w:r>
          </w:p>
          <w:p w14:paraId="7944A936" w14:textId="6509CFE1" w:rsidR="00FB12D7" w:rsidRPr="00AE09D0" w:rsidRDefault="00FB12D7"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potential for individualised therapy</w:t>
            </w:r>
          </w:p>
          <w:p w14:paraId="0EBFD723" w14:textId="77777777"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p>
          <w:p w14:paraId="5A38F3CF" w14:textId="77777777"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p>
        </w:tc>
        <w:tc>
          <w:tcPr>
            <w:tcW w:w="2544" w:type="dxa"/>
          </w:tcPr>
          <w:p w14:paraId="4C440D3E" w14:textId="39B0D2B8" w:rsidR="002072C3" w:rsidRPr="00AE09D0" w:rsidRDefault="002072C3" w:rsidP="002072C3">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xml:space="preserve">- high cost </w:t>
            </w:r>
          </w:p>
          <w:p w14:paraId="70AD2038" w14:textId="15F5AC8D"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complex and resource</w:t>
            </w:r>
            <w:r w:rsidR="00E007D2">
              <w:rPr>
                <w:rFonts w:eastAsia="Calibri" w:cstheme="minorHAnsi"/>
              </w:rPr>
              <w:t>-</w:t>
            </w:r>
            <w:r w:rsidRPr="00AE09D0">
              <w:rPr>
                <w:rFonts w:eastAsia="Calibri" w:cstheme="minorHAnsi"/>
              </w:rPr>
              <w:t>intensive implementation</w:t>
            </w:r>
          </w:p>
          <w:p w14:paraId="3CBA01A0" w14:textId="77777777"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xml:space="preserve">- requires health outcome data collection </w:t>
            </w:r>
          </w:p>
          <w:p w14:paraId="55EE4488" w14:textId="02444A3F"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xml:space="preserve">- requires set up of mechanisms for assessment of health outcome data and price adjustment </w:t>
            </w:r>
          </w:p>
        </w:tc>
      </w:tr>
      <w:tr w:rsidR="009F21B9" w14:paraId="349DB299"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1464D8FF" w14:textId="4F0A63CD" w:rsidR="00A912D0" w:rsidRPr="00AE09D0" w:rsidRDefault="00A912D0" w:rsidP="00FB12D7">
            <w:pPr>
              <w:spacing w:before="0"/>
              <w:rPr>
                <w:rFonts w:cstheme="minorHAnsi"/>
              </w:rPr>
            </w:pPr>
            <w:r>
              <w:rPr>
                <w:rFonts w:cstheme="minorHAnsi"/>
              </w:rPr>
              <w:t xml:space="preserve">Gene silencing </w:t>
            </w:r>
            <w:r w:rsidR="0059076C">
              <w:rPr>
                <w:rFonts w:cstheme="minorHAnsi"/>
              </w:rPr>
              <w:t>oligonucleotides</w:t>
            </w:r>
          </w:p>
        </w:tc>
        <w:tc>
          <w:tcPr>
            <w:tcW w:w="1665" w:type="dxa"/>
          </w:tcPr>
          <w:p w14:paraId="7BE56422" w14:textId="6B8ECE6E" w:rsidR="00A912D0" w:rsidRPr="00AE09D0" w:rsidRDefault="00B32A45" w:rsidP="00FB12D7">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Spinraza</w:t>
            </w:r>
            <w:r w:rsidR="004228F8" w:rsidRPr="00044733">
              <w:rPr>
                <w:rFonts w:cstheme="minorHAnsi"/>
              </w:rPr>
              <w:t>®</w:t>
            </w:r>
          </w:p>
        </w:tc>
        <w:tc>
          <w:tcPr>
            <w:tcW w:w="610" w:type="dxa"/>
          </w:tcPr>
          <w:p w14:paraId="6710F8B5" w14:textId="77777777"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2CBBD4D0" w14:textId="11221472"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(8)</w:t>
            </w:r>
          </w:p>
        </w:tc>
        <w:tc>
          <w:tcPr>
            <w:tcW w:w="564" w:type="dxa"/>
          </w:tcPr>
          <w:p w14:paraId="6C1807E1" w14:textId="1FBC5BD3"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2A3F60B8" w14:textId="647AF6B4" w:rsidR="00A912D0" w:rsidRPr="00AE09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r w:rsidR="00791030">
              <w:rPr>
                <w:rFonts w:cstheme="minorHAnsi"/>
              </w:rPr>
              <w:t>6</w:t>
            </w:r>
            <w:r>
              <w:rPr>
                <w:rFonts w:cstheme="minorHAnsi"/>
              </w:rPr>
              <w:t>)</w:t>
            </w:r>
          </w:p>
        </w:tc>
        <w:tc>
          <w:tcPr>
            <w:tcW w:w="880" w:type="dxa"/>
          </w:tcPr>
          <w:p w14:paraId="66B3B867" w14:textId="77777777"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09452384" w14:textId="5A7358A4" w:rsidR="00A912D0" w:rsidRPr="00AE09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791030">
              <w:rPr>
                <w:rFonts w:cstheme="minorHAnsi"/>
              </w:rPr>
              <w:t>4</w:t>
            </w:r>
            <w:r>
              <w:rPr>
                <w:rFonts w:cstheme="minorHAnsi"/>
              </w:rPr>
              <w:t>)</w:t>
            </w:r>
          </w:p>
        </w:tc>
        <w:tc>
          <w:tcPr>
            <w:tcW w:w="1515" w:type="dxa"/>
          </w:tcPr>
          <w:p w14:paraId="3593EDA2" w14:textId="4AFB642A" w:rsidR="00211C87" w:rsidRDefault="00211C87" w:rsidP="00996E28">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3C70343A" w14:textId="11998E79" w:rsidR="00A912D0" w:rsidRPr="00AE09D0" w:rsidRDefault="00A912D0" w:rsidP="00996E28">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 (PBS)</w:t>
            </w:r>
          </w:p>
        </w:tc>
        <w:tc>
          <w:tcPr>
            <w:tcW w:w="1802" w:type="dxa"/>
          </w:tcPr>
          <w:p w14:paraId="37907488" w14:textId="1C608CAC" w:rsidR="00A912D0" w:rsidRPr="00AE09D0" w:rsidRDefault="00A912D0" w:rsidP="0061667E">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Genetic disorders</w:t>
            </w:r>
          </w:p>
        </w:tc>
        <w:tc>
          <w:tcPr>
            <w:tcW w:w="1477" w:type="dxa"/>
          </w:tcPr>
          <w:p w14:paraId="3BD3489E" w14:textId="3F0176C7" w:rsidR="00A912D0" w:rsidRPr="00AE09D0" w:rsidRDefault="00A912D0"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Mixed settings (hospital inpatient and outpatient)</w:t>
            </w:r>
          </w:p>
        </w:tc>
        <w:tc>
          <w:tcPr>
            <w:tcW w:w="2401" w:type="dxa"/>
          </w:tcPr>
          <w:p w14:paraId="630B2B04" w14:textId="77777777" w:rsidR="00020742" w:rsidRPr="00020742" w:rsidRDefault="00020742" w:rsidP="00020742">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smaller evidence base resulting from trial designs and smaller populations</w:t>
            </w:r>
          </w:p>
          <w:p w14:paraId="675AD521" w14:textId="67F3DF9C" w:rsidR="00A912D0" w:rsidRDefault="00A912D0"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FB12D7">
              <w:rPr>
                <w:rFonts w:cstheme="minorHAnsi"/>
              </w:rPr>
              <w:t xml:space="preserve"> </w:t>
            </w:r>
            <w:r>
              <w:rPr>
                <w:rFonts w:cstheme="minorHAnsi"/>
              </w:rPr>
              <w:t>long treatment and effect duration</w:t>
            </w:r>
          </w:p>
          <w:p w14:paraId="6C3B5962" w14:textId="700DE8D5" w:rsidR="00A912D0" w:rsidRDefault="00A912D0"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FB12D7">
              <w:rPr>
                <w:rFonts w:cstheme="minorHAnsi"/>
              </w:rPr>
              <w:t xml:space="preserve"> </w:t>
            </w:r>
            <w:r>
              <w:rPr>
                <w:rFonts w:cstheme="minorHAnsi"/>
              </w:rPr>
              <w:t>high uncertainty about long</w:t>
            </w:r>
            <w:r w:rsidR="00903D68">
              <w:rPr>
                <w:rFonts w:cstheme="minorHAnsi"/>
              </w:rPr>
              <w:t>-</w:t>
            </w:r>
            <w:r>
              <w:rPr>
                <w:rFonts w:cstheme="minorHAnsi"/>
              </w:rPr>
              <w:t>term health outcomes and cost-effectiveness</w:t>
            </w:r>
          </w:p>
          <w:p w14:paraId="3395AC9E" w14:textId="3FB944A8" w:rsidR="00FB12D7" w:rsidRPr="00AE09D0" w:rsidRDefault="00FB12D7"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potential for individualised therapy</w:t>
            </w:r>
          </w:p>
        </w:tc>
        <w:tc>
          <w:tcPr>
            <w:tcW w:w="2544" w:type="dxa"/>
          </w:tcPr>
          <w:p w14:paraId="3AF1F228" w14:textId="70EDF5E2" w:rsidR="00A912D0" w:rsidRDefault="00A912D0"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FB12D7">
              <w:rPr>
                <w:rFonts w:cstheme="minorHAnsi"/>
              </w:rPr>
              <w:t xml:space="preserve"> </w:t>
            </w:r>
            <w:r>
              <w:rPr>
                <w:rFonts w:cstheme="minorHAnsi"/>
              </w:rPr>
              <w:t>high cost</w:t>
            </w:r>
          </w:p>
          <w:p w14:paraId="100BED5D" w14:textId="017F99CF" w:rsidR="00A912D0" w:rsidRPr="00AE09D0" w:rsidRDefault="00FB12D7" w:rsidP="00A912D0">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potential for synthesis of individualised therapeutics using in-house facilities</w:t>
            </w:r>
          </w:p>
        </w:tc>
      </w:tr>
      <w:tr w:rsidR="009F21B9" w14:paraId="045180AC"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00A0D4BE" w14:textId="40DE0CCE" w:rsidR="00A912D0" w:rsidRPr="00AE09D0" w:rsidRDefault="00A912D0" w:rsidP="00FB12D7">
            <w:pPr>
              <w:spacing w:before="0"/>
              <w:rPr>
                <w:rFonts w:eastAsia="Calibri" w:cstheme="minorHAnsi"/>
              </w:rPr>
            </w:pPr>
            <w:r w:rsidRPr="00AE09D0">
              <w:rPr>
                <w:rFonts w:cstheme="minorHAnsi"/>
              </w:rPr>
              <w:lastRenderedPageBreak/>
              <w:t>Gene modified cell therapies</w:t>
            </w:r>
          </w:p>
        </w:tc>
        <w:tc>
          <w:tcPr>
            <w:tcW w:w="1665" w:type="dxa"/>
          </w:tcPr>
          <w:p w14:paraId="219E1CB2" w14:textId="639EAB86"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Yescarta</w:t>
            </w:r>
            <w:r w:rsidR="004228F8" w:rsidRPr="00044733">
              <w:rPr>
                <w:rFonts w:cstheme="minorHAnsi"/>
              </w:rPr>
              <w:t>®</w:t>
            </w:r>
          </w:p>
          <w:p w14:paraId="49BF94AE" w14:textId="59272EEF"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Kymriah</w:t>
            </w:r>
            <w:r w:rsidR="004228F8" w:rsidRPr="00044733">
              <w:rPr>
                <w:rFonts w:cstheme="minorHAnsi"/>
              </w:rPr>
              <w:t>®</w:t>
            </w:r>
          </w:p>
          <w:p w14:paraId="350E3BBD" w14:textId="4F407F4F" w:rsidR="00A912D0" w:rsidRPr="00AE09D0" w:rsidRDefault="00A912D0" w:rsidP="00FB12D7">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Tecartus</w:t>
            </w:r>
            <w:r w:rsidR="004228F8" w:rsidRPr="00044733">
              <w:rPr>
                <w:rFonts w:cstheme="minorHAnsi"/>
              </w:rPr>
              <w:t>®</w:t>
            </w:r>
          </w:p>
        </w:tc>
        <w:tc>
          <w:tcPr>
            <w:tcW w:w="610" w:type="dxa"/>
          </w:tcPr>
          <w:p w14:paraId="637700F9" w14:textId="77777777" w:rsidR="00A912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79E9A52E" w14:textId="0788D9FE" w:rsidR="00A912D0" w:rsidRPr="00AE09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F97219">
              <w:rPr>
                <w:rFonts w:cstheme="minorHAnsi"/>
              </w:rPr>
              <w:t>9</w:t>
            </w:r>
            <w:r>
              <w:rPr>
                <w:rFonts w:cstheme="minorHAnsi"/>
              </w:rPr>
              <w:t>)</w:t>
            </w:r>
          </w:p>
        </w:tc>
        <w:tc>
          <w:tcPr>
            <w:tcW w:w="564" w:type="dxa"/>
          </w:tcPr>
          <w:p w14:paraId="2C97AF39" w14:textId="6DF3FA73" w:rsidR="00A912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7E169CC5" w14:textId="57D46D85" w:rsidR="00A912D0" w:rsidRPr="00AE09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w:t>
            </w:r>
            <w:r w:rsidR="00F97219">
              <w:rPr>
                <w:rFonts w:cstheme="minorHAnsi"/>
              </w:rPr>
              <w:t>11</w:t>
            </w:r>
            <w:r>
              <w:rPr>
                <w:rFonts w:cstheme="minorHAnsi"/>
              </w:rPr>
              <w:t>)</w:t>
            </w:r>
          </w:p>
        </w:tc>
        <w:tc>
          <w:tcPr>
            <w:tcW w:w="880" w:type="dxa"/>
          </w:tcPr>
          <w:p w14:paraId="782D27C5" w14:textId="77777777" w:rsidR="00A912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5F4868C6" w14:textId="065D8F05" w:rsidR="00A912D0" w:rsidRPr="00AE09D0" w:rsidRDefault="00A912D0" w:rsidP="00A912D0">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w:t>
            </w:r>
            <w:r w:rsidR="00F97219">
              <w:rPr>
                <w:rFonts w:cstheme="minorHAnsi"/>
              </w:rPr>
              <w:t>4</w:t>
            </w:r>
            <w:r>
              <w:rPr>
                <w:rFonts w:cstheme="minorHAnsi"/>
              </w:rPr>
              <w:t>)</w:t>
            </w:r>
          </w:p>
        </w:tc>
        <w:tc>
          <w:tcPr>
            <w:tcW w:w="1515" w:type="dxa"/>
          </w:tcPr>
          <w:p w14:paraId="709CEDAA" w14:textId="79E6D7A8" w:rsidR="00A912D0" w:rsidRPr="00AE09D0" w:rsidRDefault="00211C87" w:rsidP="00996E28">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77E86691" w14:textId="3B81F829" w:rsidR="00A912D0" w:rsidRPr="00AE09D0" w:rsidRDefault="00A912D0" w:rsidP="00996E28">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3 (NHRA</w:t>
            </w:r>
            <w:r w:rsidR="002072C3">
              <w:rPr>
                <w:rFonts w:cstheme="minorHAnsi"/>
              </w:rPr>
              <w:t>-</w:t>
            </w:r>
            <w:r w:rsidRPr="00AE09D0">
              <w:rPr>
                <w:rFonts w:cstheme="minorHAnsi"/>
              </w:rPr>
              <w:t>HST)</w:t>
            </w:r>
          </w:p>
        </w:tc>
        <w:tc>
          <w:tcPr>
            <w:tcW w:w="1802" w:type="dxa"/>
          </w:tcPr>
          <w:p w14:paraId="29B3C56F" w14:textId="45E0C9AB" w:rsidR="00A912D0" w:rsidRPr="00AE09D0" w:rsidRDefault="00A912D0" w:rsidP="0061667E">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Haematological diseases</w:t>
            </w:r>
          </w:p>
        </w:tc>
        <w:tc>
          <w:tcPr>
            <w:tcW w:w="1477" w:type="dxa"/>
          </w:tcPr>
          <w:p w14:paraId="70A9F76E" w14:textId="290ADE83"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Inpatient (to date)</w:t>
            </w:r>
          </w:p>
        </w:tc>
        <w:tc>
          <w:tcPr>
            <w:tcW w:w="2401" w:type="dxa"/>
          </w:tcPr>
          <w:p w14:paraId="30BD0208" w14:textId="29400FFD" w:rsidR="00020742" w:rsidRPr="00020742" w:rsidRDefault="00020742" w:rsidP="00020742">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smaller evidence base resulting from trial designs and smaller populations</w:t>
            </w:r>
          </w:p>
          <w:p w14:paraId="3AE672F2" w14:textId="5BE9175E"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high uncertainty about long</w:t>
            </w:r>
            <w:r w:rsidR="00610FE3">
              <w:rPr>
                <w:rFonts w:cstheme="minorHAnsi"/>
              </w:rPr>
              <w:t>-</w:t>
            </w:r>
            <w:r w:rsidRPr="00AE09D0">
              <w:rPr>
                <w:rFonts w:cstheme="minorHAnsi"/>
              </w:rPr>
              <w:t>term health outcomes</w:t>
            </w:r>
          </w:p>
          <w:p w14:paraId="244FE873" w14:textId="57AFDA63" w:rsidR="00A912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high uncertainty about cost-effectiveness</w:t>
            </w:r>
          </w:p>
          <w:p w14:paraId="7433C991" w14:textId="74F241B5" w:rsidR="00FB12D7" w:rsidRDefault="00FB12D7"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potential for individualised therapy</w:t>
            </w:r>
          </w:p>
          <w:p w14:paraId="0CCFA788" w14:textId="77777777" w:rsidR="00020742" w:rsidRPr="00AE09D0" w:rsidRDefault="00020742" w:rsidP="00FB12D7">
            <w:pPr>
              <w:spacing w:before="0"/>
              <w:cnfStyle w:val="000000100000" w:firstRow="0" w:lastRow="0" w:firstColumn="0" w:lastColumn="0" w:oddVBand="0" w:evenVBand="0" w:oddHBand="1" w:evenHBand="0" w:firstRowFirstColumn="0" w:firstRowLastColumn="0" w:lastRowFirstColumn="0" w:lastRowLastColumn="0"/>
              <w:rPr>
                <w:rFonts w:cstheme="minorHAnsi"/>
              </w:rPr>
            </w:pPr>
          </w:p>
          <w:p w14:paraId="2775FB3B" w14:textId="77777777" w:rsidR="00FB12D7" w:rsidRPr="00AE09D0" w:rsidRDefault="00FB12D7" w:rsidP="00A912D0">
            <w:pPr>
              <w:spacing w:before="0"/>
              <w:cnfStyle w:val="000000100000" w:firstRow="0" w:lastRow="0" w:firstColumn="0" w:lastColumn="0" w:oddVBand="0" w:evenVBand="0" w:oddHBand="1" w:evenHBand="0" w:firstRowFirstColumn="0" w:firstRowLastColumn="0" w:lastRowFirstColumn="0" w:lastRowLastColumn="0"/>
              <w:rPr>
                <w:rFonts w:cstheme="minorHAnsi"/>
              </w:rPr>
            </w:pPr>
          </w:p>
          <w:p w14:paraId="43863B6F" w14:textId="35D47A7E"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p>
        </w:tc>
        <w:tc>
          <w:tcPr>
            <w:tcW w:w="2544" w:type="dxa"/>
          </w:tcPr>
          <w:p w14:paraId="02EA9AD8" w14:textId="77777777" w:rsidR="002072C3" w:rsidRPr="00AE09D0" w:rsidRDefault="002072C3" w:rsidP="002072C3">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high cost</w:t>
            </w:r>
          </w:p>
          <w:p w14:paraId="53B56C68" w14:textId="0F841111"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complex and resource</w:t>
            </w:r>
            <w:r w:rsidR="00E06483">
              <w:rPr>
                <w:rFonts w:eastAsia="Calibri" w:cstheme="minorHAnsi"/>
              </w:rPr>
              <w:t>-</w:t>
            </w:r>
            <w:r w:rsidRPr="00AE09D0">
              <w:rPr>
                <w:rFonts w:eastAsia="Calibri" w:cstheme="minorHAnsi"/>
              </w:rPr>
              <w:t>intensive implementation</w:t>
            </w:r>
          </w:p>
          <w:p w14:paraId="76B3ADB9" w14:textId="17147BD1"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requires capital investment to set up specialised facilities</w:t>
            </w:r>
          </w:p>
          <w:p w14:paraId="10297AF2" w14:textId="07DECF88" w:rsidR="00A912D0" w:rsidRPr="00AE09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xml:space="preserve">- requires health outcome data collection </w:t>
            </w:r>
          </w:p>
          <w:p w14:paraId="24C1EED0" w14:textId="6F700D67" w:rsidR="00A912D0" w:rsidRDefault="00A912D0"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xml:space="preserve">- requires set up of mechanisms for assessment of health outcome data and price adjustment </w:t>
            </w:r>
          </w:p>
          <w:p w14:paraId="0FA2F090" w14:textId="441B5CD4" w:rsidR="00FB12D7" w:rsidRPr="00AE09D0" w:rsidRDefault="00FB12D7" w:rsidP="00A912D0">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potential for synthesis of individualised therapeutics using in-house facilities</w:t>
            </w:r>
          </w:p>
        </w:tc>
      </w:tr>
      <w:tr w:rsidR="009F21B9" w14:paraId="5638827A"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5D5D04E3" w14:textId="78A063C5" w:rsidR="00A912D0" w:rsidRPr="00AE09D0" w:rsidRDefault="00A912D0" w:rsidP="00FB12D7">
            <w:pPr>
              <w:spacing w:before="0"/>
              <w:rPr>
                <w:rFonts w:cstheme="minorHAnsi"/>
              </w:rPr>
            </w:pPr>
            <w:r w:rsidRPr="00AE09D0">
              <w:rPr>
                <w:rFonts w:cstheme="minorHAnsi"/>
              </w:rPr>
              <w:t>Tumour/tissue agnostic therapies</w:t>
            </w:r>
          </w:p>
        </w:tc>
        <w:tc>
          <w:tcPr>
            <w:tcW w:w="1665" w:type="dxa"/>
          </w:tcPr>
          <w:p w14:paraId="3C207B32" w14:textId="7860D688" w:rsidR="00A912D0" w:rsidRPr="00AE09D0" w:rsidRDefault="00A912D0" w:rsidP="00FB12D7">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Keytruda</w:t>
            </w:r>
            <w:r w:rsidR="004228F8" w:rsidRPr="00044733">
              <w:rPr>
                <w:rFonts w:cstheme="minorHAnsi"/>
              </w:rPr>
              <w:t>®</w:t>
            </w:r>
          </w:p>
          <w:p w14:paraId="4523061B" w14:textId="361321A2" w:rsidR="00A912D0" w:rsidRPr="00AE09D0" w:rsidRDefault="00A912D0" w:rsidP="00FB12D7">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Vitrakvi</w:t>
            </w:r>
            <w:r w:rsidR="004228F8" w:rsidRPr="00044733">
              <w:rPr>
                <w:rFonts w:cstheme="minorHAnsi"/>
              </w:rPr>
              <w:t>®</w:t>
            </w:r>
          </w:p>
          <w:p w14:paraId="5491597F" w14:textId="16FE1201" w:rsidR="00A912D0" w:rsidRPr="00AE09D0" w:rsidRDefault="00A912D0" w:rsidP="00FB12D7">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Rozlytrek</w:t>
            </w:r>
            <w:r w:rsidR="004228F8" w:rsidRPr="00044733">
              <w:rPr>
                <w:rFonts w:cstheme="minorHAnsi"/>
              </w:rPr>
              <w:t>®</w:t>
            </w:r>
          </w:p>
        </w:tc>
        <w:tc>
          <w:tcPr>
            <w:tcW w:w="610" w:type="dxa"/>
          </w:tcPr>
          <w:p w14:paraId="48A18DB0" w14:textId="77777777"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38E11408" w14:textId="42937EF6" w:rsidR="00A912D0" w:rsidRPr="00AE09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(6)</w:t>
            </w:r>
          </w:p>
        </w:tc>
        <w:tc>
          <w:tcPr>
            <w:tcW w:w="564" w:type="dxa"/>
          </w:tcPr>
          <w:p w14:paraId="0B97AF9B" w14:textId="77777777"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67233F97" w14:textId="743670E2" w:rsidR="00A912D0" w:rsidRPr="00AE09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(6)</w:t>
            </w:r>
          </w:p>
        </w:tc>
        <w:tc>
          <w:tcPr>
            <w:tcW w:w="880" w:type="dxa"/>
          </w:tcPr>
          <w:p w14:paraId="6EEB9ECE" w14:textId="77777777" w:rsidR="00A912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4038DA97" w14:textId="63686961" w:rsidR="00A912D0" w:rsidRPr="00AE09D0" w:rsidRDefault="00A912D0"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2C161C">
              <w:rPr>
                <w:rFonts w:cstheme="minorHAnsi"/>
              </w:rPr>
              <w:t>6</w:t>
            </w:r>
            <w:r>
              <w:rPr>
                <w:rFonts w:cstheme="minorHAnsi"/>
              </w:rPr>
              <w:t>)</w:t>
            </w:r>
          </w:p>
        </w:tc>
        <w:tc>
          <w:tcPr>
            <w:tcW w:w="1515" w:type="dxa"/>
          </w:tcPr>
          <w:p w14:paraId="30B694D8" w14:textId="6778E71A" w:rsidR="00211C87" w:rsidRDefault="00211C87" w:rsidP="004E5377">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6026A5CD" w14:textId="0A3F1288" w:rsidR="00A912D0" w:rsidRPr="00AE09D0" w:rsidRDefault="00A912D0" w:rsidP="004E5377">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r w:rsidRPr="00AE09D0">
              <w:rPr>
                <w:rFonts w:cstheme="minorHAnsi"/>
              </w:rPr>
              <w:t xml:space="preserve"> (PBS)</w:t>
            </w:r>
          </w:p>
        </w:tc>
        <w:tc>
          <w:tcPr>
            <w:tcW w:w="1802" w:type="dxa"/>
          </w:tcPr>
          <w:p w14:paraId="45B3863C" w14:textId="0FC7D5B2" w:rsidR="00A912D0" w:rsidRPr="00AE09D0" w:rsidRDefault="00A912D0" w:rsidP="0061667E">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Cancer</w:t>
            </w:r>
          </w:p>
        </w:tc>
        <w:tc>
          <w:tcPr>
            <w:tcW w:w="1477" w:type="dxa"/>
          </w:tcPr>
          <w:p w14:paraId="133180B2" w14:textId="4AE3C7A5" w:rsidR="00A912D0" w:rsidRPr="00AE09D0" w:rsidRDefault="00CA3F5B"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Mixed settings (hospital inpatient and outpatient</w:t>
            </w:r>
            <w:r>
              <w:rPr>
                <w:rFonts w:cstheme="minorHAnsi"/>
              </w:rPr>
              <w:t>, and others</w:t>
            </w:r>
            <w:r w:rsidRPr="00AE09D0">
              <w:rPr>
                <w:rFonts w:cstheme="minorHAnsi"/>
              </w:rPr>
              <w:t>)</w:t>
            </w:r>
          </w:p>
        </w:tc>
        <w:tc>
          <w:tcPr>
            <w:tcW w:w="2401" w:type="dxa"/>
          </w:tcPr>
          <w:p w14:paraId="295F8163" w14:textId="28942CCD" w:rsidR="00A912D0" w:rsidRPr="00AE09D0" w:rsidRDefault="00A912D0"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w:t>
            </w:r>
            <w:r w:rsidR="00C54893">
              <w:rPr>
                <w:rFonts w:cstheme="minorHAnsi"/>
              </w:rPr>
              <w:t xml:space="preserve"> </w:t>
            </w:r>
            <w:r>
              <w:rPr>
                <w:rFonts w:cstheme="minorHAnsi"/>
              </w:rPr>
              <w:t>u</w:t>
            </w:r>
            <w:r w:rsidRPr="00AE09D0">
              <w:rPr>
                <w:rFonts w:cstheme="minorHAnsi"/>
              </w:rPr>
              <w:t xml:space="preserve">ncertainty about relative benefits in different cancer types. </w:t>
            </w:r>
          </w:p>
          <w:p w14:paraId="4FF3829D" w14:textId="3CBF4428" w:rsidR="00A912D0" w:rsidRDefault="00A912D0" w:rsidP="00A912D0">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sidR="008F4B18">
              <w:rPr>
                <w:rFonts w:eastAsia="Calibri" w:cstheme="minorHAnsi"/>
              </w:rPr>
              <w:t xml:space="preserve"> </w:t>
            </w:r>
            <w:r w:rsidRPr="00AE09D0">
              <w:rPr>
                <w:rFonts w:eastAsia="Calibri" w:cstheme="minorHAnsi"/>
              </w:rPr>
              <w:t>clinical trials have small, highly heterogeneous populations</w:t>
            </w:r>
          </w:p>
          <w:p w14:paraId="6466BDC0" w14:textId="4CD89B1F" w:rsidR="00A912D0" w:rsidRDefault="0035395E"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E72AF6">
              <w:rPr>
                <w:rFonts w:cstheme="minorHAnsi"/>
              </w:rPr>
              <w:t xml:space="preserve"> </w:t>
            </w:r>
            <w:r w:rsidR="00A912D0" w:rsidRPr="00AE09D0">
              <w:rPr>
                <w:rFonts w:cstheme="minorHAnsi"/>
              </w:rPr>
              <w:t>accuracy of companion diagnostic test</w:t>
            </w:r>
          </w:p>
          <w:p w14:paraId="6D22D86B" w14:textId="5B37562F" w:rsidR="00020742" w:rsidRPr="00020742" w:rsidRDefault="00020742" w:rsidP="00A912D0">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smaller evidence base resulting from trial designs</w:t>
            </w:r>
          </w:p>
        </w:tc>
        <w:tc>
          <w:tcPr>
            <w:tcW w:w="2544" w:type="dxa"/>
          </w:tcPr>
          <w:p w14:paraId="6CD58411" w14:textId="5398A51F" w:rsidR="00A912D0" w:rsidRPr="00AE09D0" w:rsidRDefault="00906317" w:rsidP="00A912D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 </w:t>
            </w:r>
            <w:r w:rsidR="00A912D0" w:rsidRPr="00AE09D0">
              <w:rPr>
                <w:rFonts w:cstheme="minorHAnsi"/>
              </w:rPr>
              <w:t>no challenges unique to this group</w:t>
            </w:r>
          </w:p>
        </w:tc>
      </w:tr>
      <w:tr w:rsidR="009F21B9" w14:paraId="1B05CAC3"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719F6032" w14:textId="640B5773" w:rsidR="00CA3F5B" w:rsidRPr="00AE09D0" w:rsidRDefault="00CA3F5B" w:rsidP="00CA3F5B">
            <w:pPr>
              <w:spacing w:before="0"/>
              <w:rPr>
                <w:rFonts w:eastAsia="Calibri" w:cstheme="minorHAnsi"/>
              </w:rPr>
            </w:pPr>
            <w:r w:rsidRPr="00AE09D0">
              <w:rPr>
                <w:rFonts w:cstheme="minorHAnsi"/>
              </w:rPr>
              <w:t>Antibody drug conjugates</w:t>
            </w:r>
          </w:p>
        </w:tc>
        <w:tc>
          <w:tcPr>
            <w:tcW w:w="1665" w:type="dxa"/>
          </w:tcPr>
          <w:p w14:paraId="2226B6D6" w14:textId="4E7CDF26"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Mylotarg</w:t>
            </w:r>
            <w:r w:rsidRPr="00044733">
              <w:rPr>
                <w:rFonts w:cstheme="minorHAnsi"/>
              </w:rPr>
              <w:t>®</w:t>
            </w:r>
          </w:p>
          <w:p w14:paraId="42410456" w14:textId="27899876"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Adcetris</w:t>
            </w:r>
            <w:r w:rsidRPr="00044733">
              <w:rPr>
                <w:rFonts w:cstheme="minorHAnsi"/>
              </w:rPr>
              <w:t>®</w:t>
            </w:r>
          </w:p>
          <w:p w14:paraId="0A3A608B" w14:textId="64AAB0AB"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Besponsa</w:t>
            </w:r>
            <w:r w:rsidRPr="00044733">
              <w:rPr>
                <w:rFonts w:cstheme="minorHAnsi"/>
              </w:rPr>
              <w:t>®</w:t>
            </w:r>
          </w:p>
        </w:tc>
        <w:tc>
          <w:tcPr>
            <w:tcW w:w="610" w:type="dxa"/>
          </w:tcPr>
          <w:p w14:paraId="1677C283"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457A21B5" w14:textId="49F285FD"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p>
        </w:tc>
        <w:tc>
          <w:tcPr>
            <w:tcW w:w="564" w:type="dxa"/>
          </w:tcPr>
          <w:p w14:paraId="39BB94B0"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7C966A11" w14:textId="7527E8AD"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(12)</w:t>
            </w:r>
          </w:p>
        </w:tc>
        <w:tc>
          <w:tcPr>
            <w:tcW w:w="880" w:type="dxa"/>
          </w:tcPr>
          <w:p w14:paraId="1FE95F95"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32299978" w14:textId="4DE5A22F"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(8)</w:t>
            </w:r>
          </w:p>
        </w:tc>
        <w:tc>
          <w:tcPr>
            <w:tcW w:w="1515" w:type="dxa"/>
          </w:tcPr>
          <w:p w14:paraId="4832EAD8" w14:textId="646837C2"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00F150E3" w14:textId="2446B8F9"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5 (PBS)</w:t>
            </w:r>
          </w:p>
        </w:tc>
        <w:tc>
          <w:tcPr>
            <w:tcW w:w="1802" w:type="dxa"/>
          </w:tcPr>
          <w:p w14:paraId="44B8C219" w14:textId="1EB603CD"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Haematological malignancies and solid tumours</w:t>
            </w:r>
          </w:p>
        </w:tc>
        <w:tc>
          <w:tcPr>
            <w:tcW w:w="1477" w:type="dxa"/>
          </w:tcPr>
          <w:p w14:paraId="7EFB044F" w14:textId="0B4A5E5D"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Mixed settings (hospital inpatient and outpatient</w:t>
            </w:r>
            <w:r>
              <w:rPr>
                <w:rFonts w:cstheme="minorHAnsi"/>
              </w:rPr>
              <w:t>, and others</w:t>
            </w:r>
            <w:r w:rsidRPr="00AE09D0">
              <w:rPr>
                <w:rFonts w:cstheme="minorHAnsi"/>
              </w:rPr>
              <w:t>)</w:t>
            </w:r>
          </w:p>
        </w:tc>
        <w:tc>
          <w:tcPr>
            <w:tcW w:w="2401" w:type="dxa"/>
          </w:tcPr>
          <w:p w14:paraId="7EE13E16" w14:textId="2B9496B3" w:rsidR="00CA3F5B" w:rsidRPr="008228A7" w:rsidRDefault="009D08F6" w:rsidP="008228A7">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 xml:space="preserve"> - </w:t>
            </w:r>
            <w:r w:rsidR="00CA3F5B" w:rsidRPr="008228A7">
              <w:rPr>
                <w:rFonts w:cstheme="minorHAnsi"/>
              </w:rPr>
              <w:t>no challenges unique to this group</w:t>
            </w:r>
          </w:p>
        </w:tc>
        <w:tc>
          <w:tcPr>
            <w:tcW w:w="2544" w:type="dxa"/>
          </w:tcPr>
          <w:p w14:paraId="2217C7B5" w14:textId="658E5E64" w:rsidR="00CA3F5B" w:rsidRPr="00AE09D0" w:rsidRDefault="009D08F6"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 xml:space="preserve">- </w:t>
            </w:r>
            <w:r w:rsidR="00CA3F5B" w:rsidRPr="00AE09D0">
              <w:rPr>
                <w:rFonts w:cstheme="minorHAnsi"/>
              </w:rPr>
              <w:t>no challenges unique to this group</w:t>
            </w:r>
          </w:p>
        </w:tc>
      </w:tr>
      <w:tr w:rsidR="009F21B9" w14:paraId="13CB3A62"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474C9477" w14:textId="77777777" w:rsidR="00CA3F5B" w:rsidRPr="00AE09D0" w:rsidRDefault="00CA3F5B" w:rsidP="00CA3F5B">
            <w:pPr>
              <w:spacing w:before="0"/>
              <w:rPr>
                <w:rFonts w:cstheme="minorHAnsi"/>
              </w:rPr>
            </w:pPr>
            <w:r w:rsidRPr="00AE09D0">
              <w:rPr>
                <w:rFonts w:cstheme="minorHAnsi"/>
              </w:rPr>
              <w:t>Bi-specific antibodies</w:t>
            </w:r>
          </w:p>
          <w:p w14:paraId="2F867750" w14:textId="77777777" w:rsidR="00CA3F5B" w:rsidRPr="00AE09D0" w:rsidRDefault="00CA3F5B" w:rsidP="00CA3F5B">
            <w:pPr>
              <w:spacing w:before="0"/>
              <w:rPr>
                <w:rFonts w:eastAsia="Calibri" w:cstheme="minorHAnsi"/>
              </w:rPr>
            </w:pPr>
          </w:p>
        </w:tc>
        <w:tc>
          <w:tcPr>
            <w:tcW w:w="1665" w:type="dxa"/>
          </w:tcPr>
          <w:p w14:paraId="5FE8814E" w14:textId="503496CA"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Blincyto</w:t>
            </w:r>
            <w:r w:rsidRPr="00044733">
              <w:rPr>
                <w:rFonts w:cstheme="minorHAnsi"/>
              </w:rPr>
              <w:t>®</w:t>
            </w:r>
          </w:p>
          <w:p w14:paraId="75B572A3" w14:textId="0C89925C"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Vabysmo</w:t>
            </w:r>
            <w:r w:rsidRPr="00044733">
              <w:rPr>
                <w:rFonts w:cstheme="minorHAnsi"/>
              </w:rPr>
              <w:t>®</w:t>
            </w:r>
          </w:p>
          <w:p w14:paraId="4CFBC73B" w14:textId="14C09822"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Hemlibra</w:t>
            </w:r>
            <w:r w:rsidRPr="00044733">
              <w:rPr>
                <w:rFonts w:cstheme="minorHAnsi"/>
              </w:rPr>
              <w:t>®</w:t>
            </w:r>
          </w:p>
          <w:p w14:paraId="549BF414" w14:textId="3B99197B"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Glofitamab</w:t>
            </w:r>
            <w:r w:rsidRPr="00044733">
              <w:rPr>
                <w:rFonts w:cstheme="minorHAnsi"/>
              </w:rPr>
              <w:t>®</w:t>
            </w:r>
            <w:r w:rsidRPr="00AE09D0">
              <w:rPr>
                <w:rFonts w:cstheme="minorHAnsi"/>
              </w:rPr>
              <w:t xml:space="preserve"> (RG6026)</w:t>
            </w:r>
          </w:p>
        </w:tc>
        <w:tc>
          <w:tcPr>
            <w:tcW w:w="610" w:type="dxa"/>
          </w:tcPr>
          <w:p w14:paraId="5F4F8031" w14:textId="77777777" w:rsidR="00CA3F5B"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3B257651" w14:textId="0F76D133"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011E9E">
              <w:rPr>
                <w:rFonts w:cstheme="minorHAnsi"/>
              </w:rPr>
              <w:t>11</w:t>
            </w:r>
            <w:r>
              <w:rPr>
                <w:rFonts w:cstheme="minorHAnsi"/>
              </w:rPr>
              <w:t>)</w:t>
            </w:r>
          </w:p>
        </w:tc>
        <w:tc>
          <w:tcPr>
            <w:tcW w:w="564" w:type="dxa"/>
          </w:tcPr>
          <w:p w14:paraId="4F34C47D" w14:textId="77777777" w:rsidR="00CA3F5B"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7DEF900F" w14:textId="4BBF0104"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w:t>
            </w:r>
            <w:r w:rsidR="00011E9E">
              <w:rPr>
                <w:rFonts w:cstheme="minorHAnsi"/>
              </w:rPr>
              <w:t>11</w:t>
            </w:r>
            <w:r>
              <w:rPr>
                <w:rFonts w:cstheme="minorHAnsi"/>
              </w:rPr>
              <w:t>)</w:t>
            </w:r>
          </w:p>
        </w:tc>
        <w:tc>
          <w:tcPr>
            <w:tcW w:w="880" w:type="dxa"/>
          </w:tcPr>
          <w:p w14:paraId="0705AE33" w14:textId="77777777" w:rsidR="00CA3F5B"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5FF65C7C" w14:textId="43C42B4C"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w:t>
            </w:r>
            <w:r w:rsidR="00011E9E">
              <w:rPr>
                <w:rFonts w:cstheme="minorHAnsi"/>
              </w:rPr>
              <w:t>7</w:t>
            </w:r>
            <w:r>
              <w:rPr>
                <w:rFonts w:cstheme="minorHAnsi"/>
              </w:rPr>
              <w:t>)</w:t>
            </w:r>
          </w:p>
        </w:tc>
        <w:tc>
          <w:tcPr>
            <w:tcW w:w="1515" w:type="dxa"/>
          </w:tcPr>
          <w:p w14:paraId="054D979F" w14:textId="6FC91152" w:rsidR="00CA3F5B"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0946E84D" w14:textId="0BD71913"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2 (PBS)</w:t>
            </w:r>
          </w:p>
        </w:tc>
        <w:tc>
          <w:tcPr>
            <w:tcW w:w="1802" w:type="dxa"/>
          </w:tcPr>
          <w:p w14:paraId="004A90FE" w14:textId="3AD90FAE"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Cancer and potentially other diseases</w:t>
            </w:r>
          </w:p>
        </w:tc>
        <w:tc>
          <w:tcPr>
            <w:tcW w:w="1477" w:type="dxa"/>
          </w:tcPr>
          <w:p w14:paraId="47A90A88" w14:textId="2D600A73"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Mixed settings (hospital inpatient and outpatient</w:t>
            </w:r>
            <w:r>
              <w:rPr>
                <w:rFonts w:cstheme="minorHAnsi"/>
              </w:rPr>
              <w:t>, and others</w:t>
            </w:r>
            <w:r w:rsidRPr="00AE09D0">
              <w:rPr>
                <w:rFonts w:cstheme="minorHAnsi"/>
              </w:rPr>
              <w:t>)</w:t>
            </w:r>
          </w:p>
        </w:tc>
        <w:tc>
          <w:tcPr>
            <w:tcW w:w="2401" w:type="dxa"/>
          </w:tcPr>
          <w:p w14:paraId="3B05EE55" w14:textId="4EF7619A" w:rsidR="00CA3F5B" w:rsidRPr="00B62064" w:rsidRDefault="00B62064" w:rsidP="00B62064">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 xml:space="preserve">- </w:t>
            </w:r>
            <w:r w:rsidR="00CA3F5B" w:rsidRPr="00B62064">
              <w:rPr>
                <w:rFonts w:cstheme="minorHAnsi"/>
              </w:rPr>
              <w:t>no challenges unique to this group</w:t>
            </w:r>
          </w:p>
        </w:tc>
        <w:tc>
          <w:tcPr>
            <w:tcW w:w="2544" w:type="dxa"/>
          </w:tcPr>
          <w:p w14:paraId="6D94FC75" w14:textId="74132D53" w:rsidR="00CA3F5B" w:rsidRPr="00AE09D0" w:rsidRDefault="007852D9"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 xml:space="preserve">- </w:t>
            </w:r>
            <w:r w:rsidR="00CA3F5B" w:rsidRPr="00AE09D0">
              <w:rPr>
                <w:rFonts w:cstheme="minorHAnsi"/>
              </w:rPr>
              <w:t>no challenges unique to this group</w:t>
            </w:r>
          </w:p>
        </w:tc>
      </w:tr>
      <w:tr w:rsidR="009F21B9" w14:paraId="53DFAE59"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05D79F26" w14:textId="4C784354" w:rsidR="00CA3F5B" w:rsidRPr="00AE09D0" w:rsidRDefault="00CA3F5B" w:rsidP="00CA3F5B">
            <w:pPr>
              <w:spacing w:before="0"/>
              <w:rPr>
                <w:rFonts w:eastAsia="Calibri" w:cstheme="minorHAnsi"/>
              </w:rPr>
            </w:pPr>
            <w:r w:rsidRPr="00AE09D0">
              <w:rPr>
                <w:rFonts w:cstheme="minorHAnsi"/>
              </w:rPr>
              <w:lastRenderedPageBreak/>
              <w:t>Phage therapy</w:t>
            </w:r>
          </w:p>
        </w:tc>
        <w:tc>
          <w:tcPr>
            <w:tcW w:w="1665" w:type="dxa"/>
          </w:tcPr>
          <w:p w14:paraId="3C011F11" w14:textId="3CBBD2F8"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Not yet marketed</w:t>
            </w:r>
          </w:p>
        </w:tc>
        <w:tc>
          <w:tcPr>
            <w:tcW w:w="610" w:type="dxa"/>
          </w:tcPr>
          <w:p w14:paraId="4BCA8B2B" w14:textId="0F7EC5F6"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564" w:type="dxa"/>
          </w:tcPr>
          <w:p w14:paraId="121193BD" w14:textId="479E70C3"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N</w:t>
            </w:r>
          </w:p>
        </w:tc>
        <w:tc>
          <w:tcPr>
            <w:tcW w:w="880" w:type="dxa"/>
          </w:tcPr>
          <w:p w14:paraId="6758BC10" w14:textId="4CCCC7CE"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N</w:t>
            </w:r>
          </w:p>
        </w:tc>
        <w:tc>
          <w:tcPr>
            <w:tcW w:w="1515" w:type="dxa"/>
          </w:tcPr>
          <w:p w14:paraId="5233AF18" w14:textId="4881D934"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N</w:t>
            </w:r>
          </w:p>
        </w:tc>
        <w:tc>
          <w:tcPr>
            <w:tcW w:w="1802" w:type="dxa"/>
          </w:tcPr>
          <w:p w14:paraId="23D0FA2C" w14:textId="7C351DB3"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Treatment of antibiotic</w:t>
            </w:r>
            <w:r w:rsidR="00E20EEB">
              <w:rPr>
                <w:rFonts w:cstheme="minorHAnsi"/>
              </w:rPr>
              <w:t>-</w:t>
            </w:r>
            <w:r w:rsidRPr="00AE09D0">
              <w:rPr>
                <w:rFonts w:cstheme="minorHAnsi"/>
              </w:rPr>
              <w:t>resistant bacterial infections</w:t>
            </w:r>
          </w:p>
        </w:tc>
        <w:tc>
          <w:tcPr>
            <w:tcW w:w="1477" w:type="dxa"/>
          </w:tcPr>
          <w:p w14:paraId="231A2448" w14:textId="5709F46A"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u</w:t>
            </w:r>
            <w:r w:rsidRPr="00AE09D0">
              <w:rPr>
                <w:rFonts w:cstheme="minorHAnsi"/>
              </w:rPr>
              <w:t>ncertain</w:t>
            </w:r>
          </w:p>
        </w:tc>
        <w:tc>
          <w:tcPr>
            <w:tcW w:w="2401" w:type="dxa"/>
          </w:tcPr>
          <w:p w14:paraId="3CEE9DC5" w14:textId="248E7BBF" w:rsidR="00CA3F5B" w:rsidRPr="00AE09D0" w:rsidRDefault="009D64DE"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 xml:space="preserve">- </w:t>
            </w:r>
            <w:r w:rsidR="00CA3F5B">
              <w:rPr>
                <w:rFonts w:cstheme="minorHAnsi"/>
              </w:rPr>
              <w:t>uncertain</w:t>
            </w:r>
          </w:p>
        </w:tc>
        <w:tc>
          <w:tcPr>
            <w:tcW w:w="2544" w:type="dxa"/>
          </w:tcPr>
          <w:p w14:paraId="5F12AF29" w14:textId="081E00B4"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w:t>
            </w:r>
            <w:r>
              <w:rPr>
                <w:rFonts w:cstheme="minorHAnsi"/>
              </w:rPr>
              <w:t xml:space="preserve"> </w:t>
            </w:r>
            <w:r w:rsidRPr="00AE09D0">
              <w:rPr>
                <w:rFonts w:cstheme="minorHAnsi"/>
              </w:rPr>
              <w:t xml:space="preserve">set up of infrastructure </w:t>
            </w:r>
          </w:p>
          <w:p w14:paraId="29277093" w14:textId="20C79C92"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w:t>
            </w:r>
            <w:r>
              <w:rPr>
                <w:rFonts w:cstheme="minorHAnsi"/>
              </w:rPr>
              <w:t xml:space="preserve"> </w:t>
            </w:r>
            <w:r w:rsidRPr="00AE09D0">
              <w:rPr>
                <w:rFonts w:cstheme="minorHAnsi"/>
              </w:rPr>
              <w:t xml:space="preserve">training of workforce to administer treatment </w:t>
            </w:r>
          </w:p>
        </w:tc>
      </w:tr>
      <w:tr w:rsidR="009F21B9" w14:paraId="1268A54C"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1F6D649D" w14:textId="2F9C1E28" w:rsidR="00CA3F5B" w:rsidRPr="00AE09D0" w:rsidRDefault="00CA3F5B" w:rsidP="00CA3F5B">
            <w:pPr>
              <w:spacing w:before="0"/>
              <w:rPr>
                <w:rFonts w:eastAsia="Calibri" w:cstheme="minorHAnsi"/>
              </w:rPr>
            </w:pPr>
            <w:r w:rsidRPr="00AE09D0">
              <w:rPr>
                <w:rFonts w:cstheme="minorHAnsi"/>
              </w:rPr>
              <w:t>Faecal microbiota products</w:t>
            </w:r>
          </w:p>
        </w:tc>
        <w:tc>
          <w:tcPr>
            <w:tcW w:w="1665" w:type="dxa"/>
          </w:tcPr>
          <w:p w14:paraId="651234F8" w14:textId="0FE6B548"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Biomictra</w:t>
            </w:r>
            <w:r w:rsidRPr="00044733">
              <w:rPr>
                <w:rFonts w:cstheme="minorHAnsi"/>
              </w:rPr>
              <w:t>®</w:t>
            </w:r>
          </w:p>
          <w:p w14:paraId="42B9ABBC" w14:textId="20C5405C"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Rebyota</w:t>
            </w:r>
            <w:r w:rsidRPr="00044733">
              <w:rPr>
                <w:rFonts w:cstheme="minorHAnsi"/>
              </w:rPr>
              <w:t>®</w:t>
            </w:r>
          </w:p>
        </w:tc>
        <w:tc>
          <w:tcPr>
            <w:tcW w:w="610" w:type="dxa"/>
          </w:tcPr>
          <w:p w14:paraId="0CF1ADAA" w14:textId="0D7D31F5"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564" w:type="dxa"/>
          </w:tcPr>
          <w:p w14:paraId="2091C47A" w14:textId="77777777" w:rsidR="00CA3F5B"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67FE16D3" w14:textId="2AEFE7DE"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(2)</w:t>
            </w:r>
          </w:p>
        </w:tc>
        <w:tc>
          <w:tcPr>
            <w:tcW w:w="880" w:type="dxa"/>
          </w:tcPr>
          <w:p w14:paraId="7B50CAB9" w14:textId="77777777" w:rsidR="00CA3F5B"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3B5E8B3D" w14:textId="3DEEBD00"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(1)</w:t>
            </w:r>
          </w:p>
        </w:tc>
        <w:tc>
          <w:tcPr>
            <w:tcW w:w="1515" w:type="dxa"/>
          </w:tcPr>
          <w:p w14:paraId="3510768E" w14:textId="350EC243"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N</w:t>
            </w:r>
          </w:p>
        </w:tc>
        <w:tc>
          <w:tcPr>
            <w:tcW w:w="1802" w:type="dxa"/>
          </w:tcPr>
          <w:p w14:paraId="53A105CB" w14:textId="5169DBDF"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Treatment of Clostridioides difficile infection</w:t>
            </w:r>
          </w:p>
        </w:tc>
        <w:tc>
          <w:tcPr>
            <w:tcW w:w="1477" w:type="dxa"/>
          </w:tcPr>
          <w:p w14:paraId="63681F46" w14:textId="75611CC0"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u</w:t>
            </w:r>
            <w:r w:rsidRPr="00AE09D0">
              <w:rPr>
                <w:rFonts w:cstheme="minorHAnsi"/>
              </w:rPr>
              <w:t xml:space="preserve">ncertain - potentially hospital </w:t>
            </w:r>
            <w:r>
              <w:rPr>
                <w:rFonts w:cstheme="minorHAnsi"/>
              </w:rPr>
              <w:t xml:space="preserve">inpatient or outpatient </w:t>
            </w:r>
            <w:r w:rsidRPr="00AE09D0">
              <w:rPr>
                <w:rFonts w:cstheme="minorHAnsi"/>
              </w:rPr>
              <w:t>setting</w:t>
            </w:r>
          </w:p>
        </w:tc>
        <w:tc>
          <w:tcPr>
            <w:tcW w:w="2401" w:type="dxa"/>
          </w:tcPr>
          <w:p w14:paraId="2C84BB2A" w14:textId="74A80D8C" w:rsidR="00CA3F5B" w:rsidRPr="00AE09D0" w:rsidRDefault="009D64DE"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 xml:space="preserve">- </w:t>
            </w:r>
            <w:r w:rsidR="00CA3F5B">
              <w:rPr>
                <w:rFonts w:cstheme="minorHAnsi"/>
              </w:rPr>
              <w:t>u</w:t>
            </w:r>
            <w:r w:rsidR="00CA3F5B" w:rsidRPr="00AE09D0">
              <w:rPr>
                <w:rFonts w:cstheme="minorHAnsi"/>
              </w:rPr>
              <w:t>ncertain</w:t>
            </w:r>
          </w:p>
        </w:tc>
        <w:tc>
          <w:tcPr>
            <w:tcW w:w="2544" w:type="dxa"/>
          </w:tcPr>
          <w:p w14:paraId="083B4E56" w14:textId="014FA723"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w:t>
            </w:r>
            <w:r>
              <w:rPr>
                <w:rFonts w:cstheme="minorHAnsi"/>
              </w:rPr>
              <w:t xml:space="preserve"> </w:t>
            </w:r>
            <w:r w:rsidRPr="00AE09D0">
              <w:rPr>
                <w:rFonts w:cstheme="minorHAnsi"/>
              </w:rPr>
              <w:t xml:space="preserve">set up of infrastructure </w:t>
            </w:r>
          </w:p>
          <w:p w14:paraId="7B0D01F6" w14:textId="79826F7F"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w:t>
            </w:r>
            <w:r w:rsidR="008F3A26">
              <w:rPr>
                <w:rFonts w:cstheme="minorHAnsi"/>
              </w:rPr>
              <w:t xml:space="preserve"> </w:t>
            </w:r>
            <w:r w:rsidRPr="00AE09D0">
              <w:rPr>
                <w:rFonts w:cstheme="minorHAnsi"/>
              </w:rPr>
              <w:t xml:space="preserve">training of workforce to administer treatment </w:t>
            </w:r>
          </w:p>
        </w:tc>
      </w:tr>
      <w:tr w:rsidR="009F21B9" w14:paraId="0495A6E2"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305F0B20" w14:textId="5F8ABA2D" w:rsidR="00CA3F5B" w:rsidRPr="00AE09D0" w:rsidRDefault="00CA3F5B" w:rsidP="00CA3F5B">
            <w:pPr>
              <w:spacing w:before="0"/>
              <w:rPr>
                <w:rFonts w:cstheme="minorHAnsi"/>
              </w:rPr>
            </w:pPr>
            <w:r>
              <w:rPr>
                <w:rFonts w:cstheme="minorHAnsi"/>
              </w:rPr>
              <w:t>Therapeutic vaccines</w:t>
            </w:r>
          </w:p>
        </w:tc>
        <w:tc>
          <w:tcPr>
            <w:tcW w:w="1665" w:type="dxa"/>
          </w:tcPr>
          <w:p w14:paraId="493A9B06" w14:textId="49787D79"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Oncotice</w:t>
            </w:r>
            <w:r w:rsidRPr="00044733">
              <w:rPr>
                <w:rFonts w:cstheme="minorHAnsi"/>
              </w:rPr>
              <w:t>®</w:t>
            </w:r>
          </w:p>
        </w:tc>
        <w:tc>
          <w:tcPr>
            <w:tcW w:w="610" w:type="dxa"/>
          </w:tcPr>
          <w:p w14:paraId="64E584FC"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685A0B32" w14:textId="2F3E046A"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11E9E">
              <w:rPr>
                <w:rFonts w:cstheme="minorHAnsi"/>
              </w:rPr>
              <w:t>2</w:t>
            </w:r>
            <w:r>
              <w:rPr>
                <w:rFonts w:cstheme="minorHAnsi"/>
              </w:rPr>
              <w:t>)</w:t>
            </w:r>
          </w:p>
        </w:tc>
        <w:tc>
          <w:tcPr>
            <w:tcW w:w="564" w:type="dxa"/>
          </w:tcPr>
          <w:p w14:paraId="7C93FA29"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616C6B15" w14:textId="06FAD026"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880" w:type="dxa"/>
          </w:tcPr>
          <w:p w14:paraId="7FAC7A92"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1754F061" w14:textId="408CE77B"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515" w:type="dxa"/>
          </w:tcPr>
          <w:p w14:paraId="28BC28F5"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3096745C" w14:textId="5E3EE3A4"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802" w:type="dxa"/>
          </w:tcPr>
          <w:p w14:paraId="16FAACF7" w14:textId="090B7CE7"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Cancer (other indications being trialled)</w:t>
            </w:r>
          </w:p>
        </w:tc>
        <w:tc>
          <w:tcPr>
            <w:tcW w:w="1477" w:type="dxa"/>
          </w:tcPr>
          <w:p w14:paraId="29CA3468" w14:textId="49B54C6F"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Mixed settings (hospital inpatient and outpatient</w:t>
            </w:r>
            <w:r>
              <w:rPr>
                <w:rFonts w:cstheme="minorHAnsi"/>
              </w:rPr>
              <w:t>, and others</w:t>
            </w:r>
            <w:r w:rsidRPr="00AE09D0">
              <w:rPr>
                <w:rFonts w:cstheme="minorHAnsi"/>
              </w:rPr>
              <w:t>)</w:t>
            </w:r>
          </w:p>
        </w:tc>
        <w:tc>
          <w:tcPr>
            <w:tcW w:w="2401" w:type="dxa"/>
          </w:tcPr>
          <w:p w14:paraId="53D97929" w14:textId="03B8FE26" w:rsidR="00CA3F5B" w:rsidRDefault="009D64DE"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u</w:t>
            </w:r>
            <w:r w:rsidR="00CA3F5B">
              <w:rPr>
                <w:rFonts w:cstheme="minorHAnsi"/>
              </w:rPr>
              <w:t>ncertain</w:t>
            </w:r>
          </w:p>
          <w:p w14:paraId="4D4947DB" w14:textId="70FA40E2"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potential for individualised therapy</w:t>
            </w:r>
          </w:p>
        </w:tc>
        <w:tc>
          <w:tcPr>
            <w:tcW w:w="2544" w:type="dxa"/>
          </w:tcPr>
          <w:p w14:paraId="0F5680BE" w14:textId="25E946D9"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eastAsia="Calibri" w:cstheme="minorHAnsi"/>
              </w:rPr>
              <w:t>- potential for synthesis of individualised therapeutics using in-house facilities</w:t>
            </w:r>
          </w:p>
        </w:tc>
      </w:tr>
      <w:tr w:rsidR="009F21B9" w14:paraId="7A96EE4E"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04CC54C9" w14:textId="133DA892" w:rsidR="00CA3F5B" w:rsidRPr="00AE09D0" w:rsidRDefault="00CA3F5B" w:rsidP="00CA3F5B">
            <w:pPr>
              <w:spacing w:before="0"/>
              <w:rPr>
                <w:rFonts w:eastAsia="Calibri" w:cstheme="minorHAnsi"/>
              </w:rPr>
            </w:pPr>
            <w:r>
              <w:rPr>
                <w:rFonts w:eastAsia="Calibri" w:cstheme="minorHAnsi"/>
              </w:rPr>
              <w:t>Single gene tests and panel tests</w:t>
            </w:r>
          </w:p>
        </w:tc>
        <w:tc>
          <w:tcPr>
            <w:tcW w:w="1665" w:type="dxa"/>
          </w:tcPr>
          <w:p w14:paraId="0AF7DC55" w14:textId="77AB9098"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Companion diagnostics for medicines</w:t>
            </w:r>
          </w:p>
          <w:p w14:paraId="6A002DE8" w14:textId="77777777"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p>
          <w:p w14:paraId="2DDD627C" w14:textId="1C6F34EB"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Panel test for diagnosis of neuromuscular disorders</w:t>
            </w:r>
          </w:p>
        </w:tc>
        <w:tc>
          <w:tcPr>
            <w:tcW w:w="610" w:type="dxa"/>
          </w:tcPr>
          <w:p w14:paraId="4D696E77" w14:textId="16F23157"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564" w:type="dxa"/>
          </w:tcPr>
          <w:p w14:paraId="2118031E" w14:textId="11BD515A"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Y</w:t>
            </w:r>
          </w:p>
        </w:tc>
        <w:tc>
          <w:tcPr>
            <w:tcW w:w="880" w:type="dxa"/>
          </w:tcPr>
          <w:p w14:paraId="75724485" w14:textId="42D83505"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Y</w:t>
            </w:r>
          </w:p>
        </w:tc>
        <w:tc>
          <w:tcPr>
            <w:tcW w:w="1515" w:type="dxa"/>
          </w:tcPr>
          <w:p w14:paraId="3BBBA06C" w14:textId="05C5D499"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 xml:space="preserve">Numerous subsidised by Commonwealth through the MBS, </w:t>
            </w:r>
            <w:r w:rsidR="00893CCF">
              <w:rPr>
                <w:rFonts w:cstheme="minorHAnsi"/>
              </w:rPr>
              <w:t>a</w:t>
            </w:r>
            <w:r w:rsidRPr="00AE09D0">
              <w:rPr>
                <w:rFonts w:cstheme="minorHAnsi"/>
              </w:rPr>
              <w:t>ctivity</w:t>
            </w:r>
            <w:r w:rsidR="004F0D18">
              <w:rPr>
                <w:rFonts w:cstheme="minorHAnsi"/>
              </w:rPr>
              <w:t>-b</w:t>
            </w:r>
            <w:r w:rsidRPr="00AE09D0">
              <w:rPr>
                <w:rFonts w:cstheme="minorHAnsi"/>
              </w:rPr>
              <w:t xml:space="preserve">ased </w:t>
            </w:r>
            <w:r w:rsidR="004F0D18">
              <w:rPr>
                <w:rFonts w:cstheme="minorHAnsi"/>
              </w:rPr>
              <w:t>f</w:t>
            </w:r>
            <w:r w:rsidRPr="00AE09D0">
              <w:rPr>
                <w:rFonts w:cstheme="minorHAnsi"/>
              </w:rPr>
              <w:t xml:space="preserve">unding. States also fund tests </w:t>
            </w:r>
            <w:r>
              <w:rPr>
                <w:rFonts w:cstheme="minorHAnsi"/>
              </w:rPr>
              <w:t xml:space="preserve">outside of ABF </w:t>
            </w:r>
            <w:r w:rsidRPr="00AE09D0">
              <w:rPr>
                <w:rFonts w:cstheme="minorHAnsi"/>
              </w:rPr>
              <w:t>in certain circumstances.</w:t>
            </w:r>
          </w:p>
        </w:tc>
        <w:tc>
          <w:tcPr>
            <w:tcW w:w="1802" w:type="dxa"/>
          </w:tcPr>
          <w:p w14:paraId="28061DB0" w14:textId="5DC6045D"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Conditions where genetic variations cause disease, predispose carriers to greater risk of a certain disease, or modify effectiveness or safety of a therapy</w:t>
            </w:r>
          </w:p>
        </w:tc>
        <w:tc>
          <w:tcPr>
            <w:tcW w:w="1477" w:type="dxa"/>
          </w:tcPr>
          <w:p w14:paraId="0DADA33C" w14:textId="1DE1E352"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Mixed settings (hospital inpatient and outpatient)</w:t>
            </w:r>
          </w:p>
        </w:tc>
        <w:tc>
          <w:tcPr>
            <w:tcW w:w="2401" w:type="dxa"/>
          </w:tcPr>
          <w:p w14:paraId="0A67DDF5" w14:textId="6778DD00"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eastAsia="Calibri" w:cstheme="minorHAnsi"/>
              </w:rPr>
              <w:t>-</w:t>
            </w:r>
            <w:r>
              <w:rPr>
                <w:rFonts w:eastAsia="Calibri" w:cstheme="minorHAnsi"/>
              </w:rPr>
              <w:t xml:space="preserve"> </w:t>
            </w:r>
            <w:r w:rsidRPr="00AE09D0">
              <w:rPr>
                <w:rFonts w:cstheme="minorHAnsi"/>
              </w:rPr>
              <w:t>accuracy of companion diagnostic tests</w:t>
            </w:r>
          </w:p>
          <w:p w14:paraId="61B319E5" w14:textId="22C3405D"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w:t>
            </w:r>
            <w:r>
              <w:rPr>
                <w:rFonts w:cstheme="minorHAnsi"/>
              </w:rPr>
              <w:t xml:space="preserve"> </w:t>
            </w:r>
            <w:r w:rsidRPr="00AE09D0">
              <w:rPr>
                <w:rFonts w:cstheme="minorHAnsi"/>
              </w:rPr>
              <w:t>potential broader use of test than sponsor seeks in application for subsidy</w:t>
            </w:r>
          </w:p>
          <w:p w14:paraId="3F14A7C1" w14:textId="3788F0D3"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increasing stratification of disease leading to smaller evidence base.</w:t>
            </w:r>
          </w:p>
          <w:p w14:paraId="549A8F33" w14:textId="77777777" w:rsidR="00020742" w:rsidRPr="00AE09D0" w:rsidRDefault="00020742" w:rsidP="00020742">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smaller evidence base resulting from trial designs</w:t>
            </w:r>
          </w:p>
          <w:p w14:paraId="62E12CE4" w14:textId="755140EC"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tests can have prognostic value in addition to clinical utility</w:t>
            </w:r>
          </w:p>
          <w:p w14:paraId="595BF469" w14:textId="4823F2FC" w:rsidR="00CA3F5B" w:rsidRPr="00AE09D0" w:rsidRDefault="00CA3F5B" w:rsidP="00020742">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algorithm for calculating risk in some panel tests not known</w:t>
            </w:r>
          </w:p>
        </w:tc>
        <w:tc>
          <w:tcPr>
            <w:tcW w:w="2544" w:type="dxa"/>
          </w:tcPr>
          <w:p w14:paraId="613DA87C" w14:textId="7F04ADC3"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alignment of funding decisions for test and linked therapy</w:t>
            </w:r>
          </w:p>
          <w:p w14:paraId="21DD870A" w14:textId="7F532F2E"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 xml:space="preserve">large number of tests already in use across Australia </w:t>
            </w:r>
          </w:p>
          <w:p w14:paraId="10049AE3" w14:textId="4D880A07"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existing tests are highly heterogenous, includes in</w:t>
            </w:r>
            <w:r w:rsidR="00AA7E92">
              <w:rPr>
                <w:rFonts w:eastAsia="Calibri" w:cstheme="minorHAnsi"/>
              </w:rPr>
              <w:t>-</w:t>
            </w:r>
            <w:r w:rsidRPr="00AE09D0">
              <w:rPr>
                <w:rFonts w:eastAsia="Calibri" w:cstheme="minorHAnsi"/>
              </w:rPr>
              <w:t xml:space="preserve">house facilities and commercial products </w:t>
            </w:r>
          </w:p>
          <w:p w14:paraId="36A93B8A" w14:textId="2145BDB0" w:rsidR="00CA3F5B"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ownership of data</w:t>
            </w:r>
          </w:p>
          <w:p w14:paraId="225AA540" w14:textId="262D8F08"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potential to supersede existing diagnostic methods, and change treatment algorithms that form criteria for subsidy</w:t>
            </w:r>
          </w:p>
          <w:p w14:paraId="37BC4227" w14:textId="05DA8AC3"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9F21B9" w14:paraId="7884D87F"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3C136340" w14:textId="25097F36" w:rsidR="00CA3F5B" w:rsidRPr="00AE09D0" w:rsidRDefault="00CA3F5B" w:rsidP="00CA3F5B">
            <w:pPr>
              <w:spacing w:before="0"/>
              <w:rPr>
                <w:rFonts w:cstheme="minorHAnsi"/>
              </w:rPr>
            </w:pPr>
            <w:r>
              <w:rPr>
                <w:rFonts w:cstheme="minorHAnsi"/>
              </w:rPr>
              <w:t>Gene expression tests</w:t>
            </w:r>
          </w:p>
        </w:tc>
        <w:tc>
          <w:tcPr>
            <w:tcW w:w="1665" w:type="dxa"/>
          </w:tcPr>
          <w:p w14:paraId="3058385B" w14:textId="1884A8A0"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EndoPredict</w:t>
            </w:r>
            <w:r w:rsidRPr="00044733">
              <w:rPr>
                <w:rFonts w:cstheme="minorHAnsi"/>
              </w:rPr>
              <w:t>®</w:t>
            </w:r>
          </w:p>
          <w:p w14:paraId="4ED368D6" w14:textId="3445D166"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Oncotype</w:t>
            </w:r>
            <w:r>
              <w:rPr>
                <w:rFonts w:cstheme="minorHAnsi"/>
              </w:rPr>
              <w:t xml:space="preserve"> DX</w:t>
            </w:r>
            <w:r w:rsidRPr="00044733">
              <w:rPr>
                <w:rFonts w:cstheme="minorHAnsi"/>
              </w:rPr>
              <w:t>®</w:t>
            </w:r>
          </w:p>
        </w:tc>
        <w:tc>
          <w:tcPr>
            <w:tcW w:w="610" w:type="dxa"/>
          </w:tcPr>
          <w:p w14:paraId="3634924B" w14:textId="645B85F5"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c>
          <w:tcPr>
            <w:tcW w:w="564" w:type="dxa"/>
            <w:shd w:val="clear" w:color="auto" w:fill="auto"/>
          </w:tcPr>
          <w:p w14:paraId="1F69CABD" w14:textId="7A41FA78" w:rsidR="00CA3F5B" w:rsidRPr="00ED4163"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880" w:type="dxa"/>
            <w:shd w:val="clear" w:color="auto" w:fill="auto"/>
          </w:tcPr>
          <w:p w14:paraId="09905E15" w14:textId="6986D03D" w:rsidR="00CA3F5B" w:rsidRPr="00ED4163"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515" w:type="dxa"/>
          </w:tcPr>
          <w:p w14:paraId="22CC3643" w14:textId="77777777"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0275F42B" w14:textId="20FE2574" w:rsidR="00CA3F5B"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 (MBS)</w:t>
            </w:r>
          </w:p>
        </w:tc>
        <w:tc>
          <w:tcPr>
            <w:tcW w:w="1802" w:type="dxa"/>
          </w:tcPr>
          <w:p w14:paraId="0224D35E" w14:textId="77E8AE43"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Prediction of diseases such as recurrence of breast cancer, or transplant rejection</w:t>
            </w:r>
          </w:p>
        </w:tc>
        <w:tc>
          <w:tcPr>
            <w:tcW w:w="1477" w:type="dxa"/>
          </w:tcPr>
          <w:p w14:paraId="59CD640A" w14:textId="5A252D74"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67482B">
              <w:rPr>
                <w:rFonts w:cstheme="minorHAnsi"/>
              </w:rPr>
              <w:t>Uncertain</w:t>
            </w:r>
          </w:p>
        </w:tc>
        <w:tc>
          <w:tcPr>
            <w:tcW w:w="2401" w:type="dxa"/>
          </w:tcPr>
          <w:p w14:paraId="5F4DA6E3" w14:textId="2693B89D"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poor evidence of clinical utility</w:t>
            </w:r>
          </w:p>
          <w:p w14:paraId="57EA7564" w14:textId="0C1E1330"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high cost</w:t>
            </w:r>
          </w:p>
          <w:p w14:paraId="3783A886" w14:textId="78D2DC18"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cstheme="minorHAnsi"/>
              </w:rPr>
              <w:t>- algorithms for calculating risk in some tests not known</w:t>
            </w:r>
          </w:p>
        </w:tc>
        <w:tc>
          <w:tcPr>
            <w:tcW w:w="2544" w:type="dxa"/>
          </w:tcPr>
          <w:p w14:paraId="1EB1F8D6" w14:textId="4C5285BF"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high cost</w:t>
            </w:r>
          </w:p>
          <w:p w14:paraId="50E4E728" w14:textId="14E1C223"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need for individual quality assurance for different tests</w:t>
            </w:r>
          </w:p>
        </w:tc>
      </w:tr>
      <w:tr w:rsidR="009F21B9" w14:paraId="29DC12DB"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326C35D1" w14:textId="432C2989" w:rsidR="00CA3F5B" w:rsidRPr="00AE09D0" w:rsidRDefault="00CA3F5B" w:rsidP="00CA3F5B">
            <w:pPr>
              <w:spacing w:before="0"/>
              <w:rPr>
                <w:rFonts w:eastAsia="Calibri" w:cstheme="minorHAnsi"/>
              </w:rPr>
            </w:pPr>
            <w:r w:rsidRPr="00AE09D0">
              <w:rPr>
                <w:rFonts w:cstheme="minorHAnsi"/>
              </w:rPr>
              <w:lastRenderedPageBreak/>
              <w:t>Polygenic Risk Scores</w:t>
            </w:r>
          </w:p>
        </w:tc>
        <w:tc>
          <w:tcPr>
            <w:tcW w:w="1665" w:type="dxa"/>
          </w:tcPr>
          <w:p w14:paraId="7C59639F" w14:textId="2A66DAA7"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None</w:t>
            </w:r>
          </w:p>
        </w:tc>
        <w:tc>
          <w:tcPr>
            <w:tcW w:w="610" w:type="dxa"/>
          </w:tcPr>
          <w:p w14:paraId="53341BB3" w14:textId="262F006A" w:rsidR="00CA3F5B" w:rsidRPr="00ED4163"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ED4163">
              <w:rPr>
                <w:rFonts w:cstheme="minorHAnsi"/>
              </w:rPr>
              <w:t>N</w:t>
            </w:r>
          </w:p>
        </w:tc>
        <w:tc>
          <w:tcPr>
            <w:tcW w:w="564" w:type="dxa"/>
            <w:shd w:val="clear" w:color="auto" w:fill="auto"/>
          </w:tcPr>
          <w:p w14:paraId="0C4FBCA8" w14:textId="477B4360" w:rsidR="00CA3F5B" w:rsidRPr="00ED4163"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ED4163">
              <w:rPr>
                <w:rFonts w:cstheme="minorHAnsi"/>
              </w:rPr>
              <w:t>N</w:t>
            </w:r>
          </w:p>
        </w:tc>
        <w:tc>
          <w:tcPr>
            <w:tcW w:w="880" w:type="dxa"/>
            <w:shd w:val="clear" w:color="auto" w:fill="auto"/>
          </w:tcPr>
          <w:p w14:paraId="641342B0" w14:textId="03569B65" w:rsidR="00CA3F5B" w:rsidRPr="00ED4163"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ED4163">
              <w:rPr>
                <w:rFonts w:cstheme="minorHAnsi"/>
              </w:rPr>
              <w:t>N</w:t>
            </w:r>
          </w:p>
        </w:tc>
        <w:tc>
          <w:tcPr>
            <w:tcW w:w="1515" w:type="dxa"/>
          </w:tcPr>
          <w:p w14:paraId="51F253B2" w14:textId="6DD05A26"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None</w:t>
            </w:r>
          </w:p>
        </w:tc>
        <w:tc>
          <w:tcPr>
            <w:tcW w:w="1802" w:type="dxa"/>
          </w:tcPr>
          <w:p w14:paraId="5881B3DF" w14:textId="7B579BFE"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Conditions where genetic variations cause disease, predispose carriers to greater risk of a certain disease, or modify effectiveness or safety of a therapy</w:t>
            </w:r>
          </w:p>
        </w:tc>
        <w:tc>
          <w:tcPr>
            <w:tcW w:w="1477" w:type="dxa"/>
          </w:tcPr>
          <w:p w14:paraId="02DE548C" w14:textId="47CA97BE"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cstheme="minorHAnsi"/>
              </w:rPr>
              <w:t>Uncertain</w:t>
            </w:r>
          </w:p>
        </w:tc>
        <w:tc>
          <w:tcPr>
            <w:tcW w:w="2401" w:type="dxa"/>
          </w:tcPr>
          <w:p w14:paraId="42585F9F" w14:textId="4ECBB022"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 xml:space="preserve">potential utility in a broad range of clinical settings (multiple comparators, and health outcomes depending on genes analysed) </w:t>
            </w:r>
          </w:p>
          <w:p w14:paraId="265E2CDE" w14:textId="1D0ADD44"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vari</w:t>
            </w:r>
            <w:r>
              <w:rPr>
                <w:rFonts w:eastAsia="Calibri" w:cstheme="minorHAnsi"/>
              </w:rPr>
              <w:t>able and opaque</w:t>
            </w:r>
            <w:r w:rsidRPr="00AE09D0">
              <w:rPr>
                <w:rFonts w:eastAsia="Calibri" w:cstheme="minorHAnsi"/>
              </w:rPr>
              <w:t xml:space="preserve"> methodologies for calculating risk </w:t>
            </w:r>
          </w:p>
        </w:tc>
        <w:tc>
          <w:tcPr>
            <w:tcW w:w="2544" w:type="dxa"/>
          </w:tcPr>
          <w:p w14:paraId="2708AFD5" w14:textId="262FA8D6"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Pr>
                <w:rFonts w:eastAsia="Calibri" w:cstheme="minorHAnsi"/>
              </w:rPr>
              <w:t xml:space="preserve"> </w:t>
            </w:r>
            <w:r w:rsidRPr="00AE09D0">
              <w:rPr>
                <w:rFonts w:eastAsia="Calibri" w:cstheme="minorHAnsi"/>
              </w:rPr>
              <w:t>incidental findings may result in additional interactions with the health system</w:t>
            </w:r>
          </w:p>
          <w:p w14:paraId="041C7FC8" w14:textId="0D6CE234"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potential to supersede existing diagnostic methods, and change treatment algorithms that form criteria for subsidy</w:t>
            </w:r>
          </w:p>
          <w:p w14:paraId="33D1EFFB" w14:textId="4A7344CB"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sidRPr="00AE09D0">
              <w:rPr>
                <w:rFonts w:eastAsia="Calibri" w:cstheme="minorHAnsi"/>
              </w:rPr>
              <w:t>-</w:t>
            </w:r>
            <w:r w:rsidR="00DF6A7B">
              <w:rPr>
                <w:rFonts w:eastAsia="Calibri" w:cstheme="minorHAnsi"/>
              </w:rPr>
              <w:t xml:space="preserve"> </w:t>
            </w:r>
            <w:r w:rsidRPr="00AE09D0">
              <w:rPr>
                <w:rFonts w:eastAsia="Calibri" w:cstheme="minorHAnsi"/>
              </w:rPr>
              <w:t>ownership of genomic data</w:t>
            </w:r>
          </w:p>
          <w:p w14:paraId="05EC085C" w14:textId="6AFC443D"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p>
        </w:tc>
      </w:tr>
      <w:tr w:rsidR="009F21B9" w14:paraId="55C796C5" w14:textId="77777777" w:rsidTr="00CA3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5B7D4617" w14:textId="3B96647B" w:rsidR="00CA3F5B" w:rsidRPr="00AE09D0" w:rsidRDefault="00CA3F5B" w:rsidP="00CA3F5B">
            <w:pPr>
              <w:spacing w:before="0"/>
              <w:rPr>
                <w:rFonts w:eastAsia="Calibri" w:cstheme="minorHAnsi"/>
              </w:rPr>
            </w:pPr>
            <w:r w:rsidRPr="00AE09D0">
              <w:rPr>
                <w:rFonts w:cstheme="minorHAnsi"/>
              </w:rPr>
              <w:t>Radiotheranostics (Radioligand therapy &amp; companion radioactive diagnostic agents)</w:t>
            </w:r>
          </w:p>
        </w:tc>
        <w:tc>
          <w:tcPr>
            <w:tcW w:w="1665" w:type="dxa"/>
          </w:tcPr>
          <w:p w14:paraId="139993FC" w14:textId="757F16A2"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Lutathera</w:t>
            </w:r>
            <w:r w:rsidRPr="00044733">
              <w:rPr>
                <w:rFonts w:cstheme="minorHAnsi"/>
              </w:rPr>
              <w:t>®</w:t>
            </w:r>
          </w:p>
          <w:p w14:paraId="05CEE119" w14:textId="27944A3A"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Pluvicto</w:t>
            </w:r>
            <w:r w:rsidRPr="00044733">
              <w:rPr>
                <w:rFonts w:cstheme="minorHAnsi"/>
              </w:rPr>
              <w:t>®</w:t>
            </w:r>
          </w:p>
          <w:p w14:paraId="6FF6D47E" w14:textId="6C9E388C"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177Lu PSMA i&amp;t</w:t>
            </w:r>
          </w:p>
        </w:tc>
        <w:tc>
          <w:tcPr>
            <w:tcW w:w="610" w:type="dxa"/>
          </w:tcPr>
          <w:p w14:paraId="0321A720" w14:textId="65C11ADB"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564" w:type="dxa"/>
          </w:tcPr>
          <w:p w14:paraId="6B42D471" w14:textId="2BCEF6A3"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Y</w:t>
            </w:r>
          </w:p>
        </w:tc>
        <w:tc>
          <w:tcPr>
            <w:tcW w:w="880" w:type="dxa"/>
          </w:tcPr>
          <w:p w14:paraId="1C50C5B2" w14:textId="7D143977"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Y</w:t>
            </w:r>
          </w:p>
        </w:tc>
        <w:tc>
          <w:tcPr>
            <w:tcW w:w="1515" w:type="dxa"/>
          </w:tcPr>
          <w:p w14:paraId="61BD03DF" w14:textId="067E1DAC"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 xml:space="preserve">Not </w:t>
            </w:r>
            <w:r>
              <w:rPr>
                <w:rFonts w:cstheme="minorHAnsi"/>
              </w:rPr>
              <w:t xml:space="preserve">supported </w:t>
            </w:r>
            <w:r w:rsidRPr="00AE09D0">
              <w:rPr>
                <w:rFonts w:cstheme="minorHAnsi"/>
              </w:rPr>
              <w:t>(M</w:t>
            </w:r>
            <w:r>
              <w:rPr>
                <w:rFonts w:cstheme="minorHAnsi"/>
              </w:rPr>
              <w:t>S</w:t>
            </w:r>
            <w:r w:rsidRPr="00AE09D0">
              <w:rPr>
                <w:rFonts w:cstheme="minorHAnsi"/>
              </w:rPr>
              <w:t>AC)</w:t>
            </w:r>
          </w:p>
        </w:tc>
        <w:tc>
          <w:tcPr>
            <w:tcW w:w="1802" w:type="dxa"/>
          </w:tcPr>
          <w:p w14:paraId="2B4A636C" w14:textId="2976049F" w:rsidR="00CA3F5B" w:rsidRPr="00AE09D0" w:rsidRDefault="00CA3F5B" w:rsidP="00CA3F5B">
            <w:pPr>
              <w:spacing w:before="0"/>
              <w:jc w:val="center"/>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Solid tumours</w:t>
            </w:r>
          </w:p>
        </w:tc>
        <w:tc>
          <w:tcPr>
            <w:tcW w:w="1477" w:type="dxa"/>
          </w:tcPr>
          <w:p w14:paraId="36337E5B" w14:textId="3F7899D1"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Delivered by nuclear medicine specialists in specialist</w:t>
            </w:r>
          </w:p>
          <w:p w14:paraId="5FD4DECE" w14:textId="7083339C"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cstheme="minorHAnsi"/>
              </w:rPr>
              <w:t>outpatient facilities</w:t>
            </w:r>
          </w:p>
        </w:tc>
        <w:tc>
          <w:tcPr>
            <w:tcW w:w="2401" w:type="dxa"/>
          </w:tcPr>
          <w:p w14:paraId="04746400" w14:textId="1FA4F0BD"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none identified</w:t>
            </w:r>
          </w:p>
        </w:tc>
        <w:tc>
          <w:tcPr>
            <w:tcW w:w="2544" w:type="dxa"/>
          </w:tcPr>
          <w:p w14:paraId="50068097" w14:textId="252E8ACE"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xml:space="preserve">- </w:t>
            </w:r>
            <w:r w:rsidRPr="00AE09D0">
              <w:rPr>
                <w:rFonts w:eastAsia="Calibri" w:cstheme="minorHAnsi"/>
              </w:rPr>
              <w:t>complex and resource intensive implementation</w:t>
            </w:r>
          </w:p>
          <w:p w14:paraId="247FFB72" w14:textId="46523410" w:rsidR="00CA3F5B"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AE09D0">
              <w:rPr>
                <w:rFonts w:eastAsia="Calibri" w:cstheme="minorHAnsi"/>
              </w:rPr>
              <w:t xml:space="preserve">- requires capital investment </w:t>
            </w:r>
            <w:r>
              <w:rPr>
                <w:rFonts w:eastAsia="Calibri" w:cstheme="minorHAnsi"/>
              </w:rPr>
              <w:t>and use of</w:t>
            </w:r>
            <w:r w:rsidRPr="00AE09D0">
              <w:rPr>
                <w:rFonts w:eastAsia="Calibri" w:cstheme="minorHAnsi"/>
              </w:rPr>
              <w:t xml:space="preserve"> specialised facilities</w:t>
            </w:r>
          </w:p>
          <w:p w14:paraId="002CFB57" w14:textId="709C2AFF" w:rsidR="00CA3F5B" w:rsidRPr="00AE09D0" w:rsidRDefault="00CA3F5B" w:rsidP="00CA3F5B">
            <w:pPr>
              <w:spacing w:before="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 xml:space="preserve">- requires arrangements for appropriate disposal </w:t>
            </w:r>
          </w:p>
        </w:tc>
      </w:tr>
      <w:tr w:rsidR="009F21B9" w14:paraId="20205702" w14:textId="77777777" w:rsidTr="00CA3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9" w:type="dxa"/>
          </w:tcPr>
          <w:p w14:paraId="62F27BFC" w14:textId="6A8AFC28" w:rsidR="00CA3F5B" w:rsidRPr="00AE09D0" w:rsidRDefault="00CA3F5B" w:rsidP="00CA3F5B">
            <w:pPr>
              <w:spacing w:before="0"/>
              <w:rPr>
                <w:rFonts w:cstheme="minorHAnsi"/>
              </w:rPr>
            </w:pPr>
            <w:r>
              <w:rPr>
                <w:rFonts w:cstheme="minorHAnsi"/>
              </w:rPr>
              <w:t>Digital health technologies</w:t>
            </w:r>
          </w:p>
        </w:tc>
        <w:tc>
          <w:tcPr>
            <w:tcW w:w="1665" w:type="dxa"/>
          </w:tcPr>
          <w:p w14:paraId="43FF9E39" w14:textId="301AB488" w:rsidR="00507144" w:rsidRDefault="00507144" w:rsidP="00507144">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Medication adherence applications</w:t>
            </w:r>
          </w:p>
          <w:p w14:paraId="4DC6B780" w14:textId="0EEFE5B9" w:rsidR="00507144" w:rsidRDefault="00507144" w:rsidP="00507144">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Clinical decision support systems</w:t>
            </w:r>
          </w:p>
          <w:p w14:paraId="059A7774" w14:textId="5F8088FE" w:rsidR="00507144" w:rsidRDefault="00507144" w:rsidP="00507144">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Health monitoring devices</w:t>
            </w:r>
          </w:p>
          <w:p w14:paraId="6A22788E" w14:textId="09E745AB" w:rsidR="00507144" w:rsidRDefault="00507144" w:rsidP="00507144">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Algorithms for disease risk profiling</w:t>
            </w:r>
          </w:p>
          <w:p w14:paraId="0B8B6544" w14:textId="62127C61" w:rsidR="00507144" w:rsidRPr="00AE09D0" w:rsidRDefault="00507144" w:rsidP="00507144">
            <w:pPr>
              <w:spacing w:before="0"/>
              <w:cnfStyle w:val="000000010000" w:firstRow="0" w:lastRow="0" w:firstColumn="0" w:lastColumn="0" w:oddVBand="0" w:evenVBand="0" w:oddHBand="0" w:evenHBand="1" w:firstRowFirstColumn="0" w:firstRowLastColumn="0" w:lastRowFirstColumn="0" w:lastRowLastColumn="0"/>
              <w:rPr>
                <w:rFonts w:cstheme="minorHAnsi"/>
              </w:rPr>
            </w:pPr>
          </w:p>
        </w:tc>
        <w:tc>
          <w:tcPr>
            <w:tcW w:w="610" w:type="dxa"/>
          </w:tcPr>
          <w:p w14:paraId="7DB898B2" w14:textId="77777777"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64" w:type="dxa"/>
          </w:tcPr>
          <w:p w14:paraId="2DC6F14E" w14:textId="77777777"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880" w:type="dxa"/>
          </w:tcPr>
          <w:p w14:paraId="442414ED" w14:textId="4378640B"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 (as medical devices)</w:t>
            </w:r>
          </w:p>
        </w:tc>
        <w:tc>
          <w:tcPr>
            <w:tcW w:w="1515" w:type="dxa"/>
          </w:tcPr>
          <w:p w14:paraId="3743AEE6" w14:textId="2C445373"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1802" w:type="dxa"/>
          </w:tcPr>
          <w:p w14:paraId="3A998F7D" w14:textId="79D72F64" w:rsidR="00CA3F5B" w:rsidRPr="00AE09D0" w:rsidRDefault="00CA3F5B" w:rsidP="00CA3F5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Many</w:t>
            </w:r>
          </w:p>
        </w:tc>
        <w:tc>
          <w:tcPr>
            <w:tcW w:w="1477" w:type="dxa"/>
          </w:tcPr>
          <w:p w14:paraId="30227166" w14:textId="4E3B2284"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All</w:t>
            </w:r>
          </w:p>
        </w:tc>
        <w:tc>
          <w:tcPr>
            <w:tcW w:w="2401" w:type="dxa"/>
          </w:tcPr>
          <w:p w14:paraId="4C168C81" w14:textId="65D7979D" w:rsidR="00CA3F5B"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variability, quality, and generalisability of data</w:t>
            </w:r>
          </w:p>
          <w:p w14:paraId="3465185E" w14:textId="7A40B677"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cstheme="minorHAnsi"/>
              </w:rPr>
              <w:t>- algorithms for calculating risk in some tests not known</w:t>
            </w:r>
            <w:r w:rsidRPr="00AE09D0">
              <w:rPr>
                <w:rFonts w:eastAsia="Calibri" w:cstheme="minorHAnsi"/>
              </w:rPr>
              <w:t xml:space="preserve"> </w:t>
            </w:r>
          </w:p>
        </w:tc>
        <w:tc>
          <w:tcPr>
            <w:tcW w:w="2544" w:type="dxa"/>
          </w:tcPr>
          <w:p w14:paraId="6A58B76F" w14:textId="058FD73B"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r>
              <w:rPr>
                <w:rFonts w:eastAsia="Calibri" w:cstheme="minorHAnsi"/>
              </w:rPr>
              <w:t>- potential to supersede existing diagnostic methods, and change treatment algorithms that form criteria for subsidy</w:t>
            </w:r>
          </w:p>
          <w:p w14:paraId="25649E79" w14:textId="77777777" w:rsidR="00CA3F5B" w:rsidRPr="00AE09D0" w:rsidRDefault="00CA3F5B" w:rsidP="00CA3F5B">
            <w:pPr>
              <w:spacing w:before="0"/>
              <w:cnfStyle w:val="000000010000" w:firstRow="0" w:lastRow="0" w:firstColumn="0" w:lastColumn="0" w:oddVBand="0" w:evenVBand="0" w:oddHBand="0" w:evenHBand="1" w:firstRowFirstColumn="0" w:firstRowLastColumn="0" w:lastRowFirstColumn="0" w:lastRowLastColumn="0"/>
              <w:rPr>
                <w:rFonts w:eastAsia="Calibri" w:cstheme="minorHAnsi"/>
              </w:rPr>
            </w:pPr>
          </w:p>
        </w:tc>
      </w:tr>
    </w:tbl>
    <w:p w14:paraId="70D38CDC" w14:textId="4C58B8E7" w:rsidR="0021462B" w:rsidRDefault="00CC4502" w:rsidP="00EB54F5">
      <w:pPr>
        <w:pStyle w:val="Caption"/>
      </w:pPr>
      <w:r w:rsidRPr="00AC07A7">
        <w:t xml:space="preserve">Y = there are technologies of the specified category that have market authorisation from the EMA, FDA, or TGA or are subsidised in Australia; (n) = the number of health technologies of the specified categories identified that have market authorisation from the EMA, FDA, or TGA or are subsidised in Australia; N = there are no examples of the technologies of the specified category that have market authorisation in relevant jurisdictions.    </w:t>
      </w:r>
      <w:bookmarkStart w:id="9" w:name="_Toc128577890"/>
      <w:bookmarkStart w:id="10" w:name="_Toc128579877"/>
      <w:bookmarkStart w:id="11" w:name="_Toc128581458"/>
      <w:bookmarkStart w:id="12" w:name="_Toc128582359"/>
      <w:bookmarkStart w:id="13" w:name="_Toc128577891"/>
      <w:bookmarkStart w:id="14" w:name="_Toc128579878"/>
      <w:bookmarkStart w:id="15" w:name="_Toc128581459"/>
      <w:bookmarkStart w:id="16" w:name="_Toc128582360"/>
      <w:bookmarkStart w:id="17" w:name="_Toc128577892"/>
      <w:bookmarkStart w:id="18" w:name="_Toc128579879"/>
      <w:bookmarkStart w:id="19" w:name="_Toc128581460"/>
      <w:bookmarkStart w:id="20" w:name="_Toc128582361"/>
      <w:bookmarkStart w:id="21" w:name="_Toc128577893"/>
      <w:bookmarkStart w:id="22" w:name="_Toc128579880"/>
      <w:bookmarkStart w:id="23" w:name="_Toc128581461"/>
      <w:bookmarkStart w:id="24" w:name="_Toc128582362"/>
      <w:bookmarkStart w:id="25" w:name="_Toc128577894"/>
      <w:bookmarkStart w:id="26" w:name="_Toc128579881"/>
      <w:bookmarkStart w:id="27" w:name="_Toc128581462"/>
      <w:bookmarkStart w:id="28" w:name="_Toc128582363"/>
      <w:bookmarkStart w:id="29" w:name="_Toc128577895"/>
      <w:bookmarkStart w:id="30" w:name="_Toc128579882"/>
      <w:bookmarkStart w:id="31" w:name="_Toc128581463"/>
      <w:bookmarkStart w:id="32" w:name="_Toc128582364"/>
      <w:bookmarkStart w:id="33" w:name="_Toc128577896"/>
      <w:bookmarkStart w:id="34" w:name="_Toc128579883"/>
      <w:bookmarkStart w:id="35" w:name="_Toc128581464"/>
      <w:bookmarkStart w:id="36" w:name="_Toc128582365"/>
      <w:bookmarkStart w:id="37" w:name="_Toc128577897"/>
      <w:bookmarkStart w:id="38" w:name="_Toc128579884"/>
      <w:bookmarkStart w:id="39" w:name="_Toc128581465"/>
      <w:bookmarkStart w:id="40" w:name="_Toc128582366"/>
      <w:bookmarkStart w:id="41" w:name="_Toc128577898"/>
      <w:bookmarkStart w:id="42" w:name="_Toc128579885"/>
      <w:bookmarkStart w:id="43" w:name="_Toc128581466"/>
      <w:bookmarkStart w:id="44" w:name="_Toc128582367"/>
      <w:bookmarkStart w:id="45" w:name="_Toc128577899"/>
      <w:bookmarkStart w:id="46" w:name="_Toc128579886"/>
      <w:bookmarkStart w:id="47" w:name="_Toc128581467"/>
      <w:bookmarkStart w:id="48" w:name="_Toc128582368"/>
      <w:bookmarkStart w:id="49" w:name="_Toc128577900"/>
      <w:bookmarkStart w:id="50" w:name="_Toc128579887"/>
      <w:bookmarkStart w:id="51" w:name="_Toc128581468"/>
      <w:bookmarkStart w:id="52" w:name="_Toc12858236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21462B">
        <w:rPr>
          <w:color w:val="000000"/>
          <w:shd w:val="clear" w:color="auto" w:fill="FFFFFF"/>
        </w:rPr>
        <w:br/>
      </w:r>
    </w:p>
    <w:p w14:paraId="3F71EE91" w14:textId="7ECFC788" w:rsidR="0021462B" w:rsidRDefault="0021462B" w:rsidP="00D52471">
      <w:pPr>
        <w:sectPr w:rsidR="0021462B" w:rsidSect="007A7F92">
          <w:pgSz w:w="16838" w:h="11906" w:orient="landscape"/>
          <w:pgMar w:top="720" w:right="720" w:bottom="720" w:left="720" w:header="720" w:footer="720" w:gutter="0"/>
          <w:cols w:space="720"/>
          <w:docGrid w:linePitch="360"/>
        </w:sectPr>
      </w:pPr>
    </w:p>
    <w:p w14:paraId="01D3C37A" w14:textId="3D0507E8" w:rsidR="00D52471" w:rsidRDefault="00D52471" w:rsidP="00D52471">
      <w:pPr>
        <w:pStyle w:val="Heading2"/>
      </w:pPr>
      <w:bookmarkStart w:id="53" w:name="_Toc128577906"/>
      <w:bookmarkStart w:id="54" w:name="_Toc128579893"/>
      <w:bookmarkStart w:id="55" w:name="_Toc128581474"/>
      <w:bookmarkStart w:id="56" w:name="_Toc128582375"/>
      <w:bookmarkStart w:id="57" w:name="_Toc128577907"/>
      <w:bookmarkStart w:id="58" w:name="_Toc128579894"/>
      <w:bookmarkStart w:id="59" w:name="_Toc128581475"/>
      <w:bookmarkStart w:id="60" w:name="_Toc128582376"/>
      <w:bookmarkStart w:id="61" w:name="_Toc128577908"/>
      <w:bookmarkStart w:id="62" w:name="_Toc128579895"/>
      <w:bookmarkStart w:id="63" w:name="_Toc128581476"/>
      <w:bookmarkStart w:id="64" w:name="_Toc128582377"/>
      <w:bookmarkStart w:id="65" w:name="_Toc128577909"/>
      <w:bookmarkStart w:id="66" w:name="_Toc128579896"/>
      <w:bookmarkStart w:id="67" w:name="_Toc128581477"/>
      <w:bookmarkStart w:id="68" w:name="_Toc128582378"/>
      <w:bookmarkStart w:id="69" w:name="_Toc128577910"/>
      <w:bookmarkStart w:id="70" w:name="_Toc128579897"/>
      <w:bookmarkStart w:id="71" w:name="_Toc128581478"/>
      <w:bookmarkStart w:id="72" w:name="_Toc128582379"/>
      <w:bookmarkStart w:id="73" w:name="_Toc128577911"/>
      <w:bookmarkStart w:id="74" w:name="_Toc128579898"/>
      <w:bookmarkStart w:id="75" w:name="_Toc128581479"/>
      <w:bookmarkStart w:id="76" w:name="_Toc128582380"/>
      <w:bookmarkStart w:id="77" w:name="_Toc128577912"/>
      <w:bookmarkStart w:id="78" w:name="_Toc128579899"/>
      <w:bookmarkStart w:id="79" w:name="_Toc128581480"/>
      <w:bookmarkStart w:id="80" w:name="_Toc128582381"/>
      <w:bookmarkStart w:id="81" w:name="_Toc128577913"/>
      <w:bookmarkStart w:id="82" w:name="_Toc128579900"/>
      <w:bookmarkStart w:id="83" w:name="_Toc128581481"/>
      <w:bookmarkStart w:id="84" w:name="_Toc128582382"/>
      <w:bookmarkStart w:id="85" w:name="_Toc128577914"/>
      <w:bookmarkStart w:id="86" w:name="_Toc128579901"/>
      <w:bookmarkStart w:id="87" w:name="_Toc128581482"/>
      <w:bookmarkStart w:id="88" w:name="_Toc128582383"/>
      <w:bookmarkStart w:id="89" w:name="_Toc128577915"/>
      <w:bookmarkStart w:id="90" w:name="_Toc128579902"/>
      <w:bookmarkStart w:id="91" w:name="_Toc128581483"/>
      <w:bookmarkStart w:id="92" w:name="_Toc128582384"/>
      <w:bookmarkStart w:id="93" w:name="_Toc128577916"/>
      <w:bookmarkStart w:id="94" w:name="_Toc128579903"/>
      <w:bookmarkStart w:id="95" w:name="_Toc128581484"/>
      <w:bookmarkStart w:id="96" w:name="_Toc128582385"/>
      <w:bookmarkStart w:id="97" w:name="_Toc128579904"/>
      <w:bookmarkStart w:id="98" w:name="_Toc15890042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lastRenderedPageBreak/>
        <w:t>Issues raised in relation to emerging technologies</w:t>
      </w:r>
      <w:bookmarkEnd w:id="97"/>
      <w:bookmarkEnd w:id="98"/>
    </w:p>
    <w:p w14:paraId="33FEC4F0" w14:textId="6CF7E8D0" w:rsidR="00D52471" w:rsidRPr="00D52471" w:rsidRDefault="00A81872" w:rsidP="00D52471">
      <w:pPr>
        <w:spacing w:after="60"/>
      </w:pPr>
      <w:r w:rsidRPr="00805149">
        <w:t>Several</w:t>
      </w:r>
      <w:r w:rsidR="00D52471" w:rsidRPr="00805149">
        <w:t xml:space="preserve"> challenges posed by emerging technologies were</w:t>
      </w:r>
      <w:r w:rsidR="00D52471">
        <w:t xml:space="preserve"> identified in submissions to </w:t>
      </w:r>
      <w:r w:rsidR="00D52471" w:rsidRPr="00805149">
        <w:t>the Inquiry</w:t>
      </w:r>
      <w:r w:rsidR="004E5377">
        <w:t>,</w:t>
      </w:r>
      <w:r w:rsidR="009A39D2">
        <w:t xml:space="preserve"> </w:t>
      </w:r>
      <w:r w:rsidR="00D52471" w:rsidRPr="00805149">
        <w:t>the horizon scanning studies</w:t>
      </w:r>
      <w:r w:rsidR="00D52471">
        <w:t xml:space="preserve"> and other documents</w:t>
      </w:r>
      <w:r w:rsidR="00D52471" w:rsidRPr="00805149">
        <w:t xml:space="preserve"> considered</w:t>
      </w:r>
      <w:r w:rsidR="00D52471">
        <w:t xml:space="preserve"> </w:t>
      </w:r>
      <w:r w:rsidR="004E5377">
        <w:t>in</w:t>
      </w:r>
      <w:r w:rsidR="004E5377" w:rsidRPr="00805149">
        <w:t xml:space="preserve"> </w:t>
      </w:r>
      <w:r w:rsidR="00D52471" w:rsidRPr="00805149">
        <w:t xml:space="preserve">this paper. </w:t>
      </w:r>
      <w:r w:rsidR="0021462B">
        <w:t xml:space="preserve">These are briefly summarised below and will be considered in greater depth in </w:t>
      </w:r>
      <w:r w:rsidR="0035395E">
        <w:t>later papers to support the HTA Review</w:t>
      </w:r>
      <w:r w:rsidR="0021462B">
        <w:t xml:space="preserve">. </w:t>
      </w:r>
    </w:p>
    <w:p w14:paraId="4A9DA188" w14:textId="7FBF0137" w:rsidR="00862C32" w:rsidRPr="0023724D" w:rsidRDefault="00862C32" w:rsidP="00EB54F5">
      <w:pPr>
        <w:pStyle w:val="Heading3"/>
        <w:ind w:left="709"/>
      </w:pPr>
      <w:r>
        <w:t>Assessment and funding pathways</w:t>
      </w:r>
    </w:p>
    <w:p w14:paraId="09E09D52" w14:textId="7F87C934" w:rsidR="00862C32" w:rsidRDefault="00862C32" w:rsidP="00862C32">
      <w:pPr>
        <w:spacing w:after="60"/>
      </w:pPr>
      <w:r>
        <w:t xml:space="preserve">Industry stakeholders </w:t>
      </w:r>
      <w:r w:rsidR="00A031F7">
        <w:t xml:space="preserve">that </w:t>
      </w:r>
      <w:r>
        <w:t>made submissions to</w:t>
      </w:r>
      <w:r w:rsidR="00D52471" w:rsidRPr="00805149">
        <w:t xml:space="preserve"> the Inquiry </w:t>
      </w:r>
      <w:r w:rsidR="00B50545">
        <w:t>considered there was</w:t>
      </w:r>
      <w:r>
        <w:t xml:space="preserve"> l</w:t>
      </w:r>
      <w:r w:rsidR="00AD08A0">
        <w:t xml:space="preserve">ack of clarity for sponsors about pathways for assessment </w:t>
      </w:r>
      <w:r>
        <w:t xml:space="preserve">of certain </w:t>
      </w:r>
      <w:r w:rsidR="00FC4E67">
        <w:t xml:space="preserve">health technologies </w:t>
      </w:r>
      <w:r>
        <w:t>such as</w:t>
      </w:r>
      <w:r w:rsidR="00AD08A0">
        <w:t xml:space="preserve"> gene and gene</w:t>
      </w:r>
      <w:r w:rsidR="00DD1985">
        <w:t>-</w:t>
      </w:r>
      <w:r w:rsidR="00AD08A0">
        <w:t>modified cell therapies.</w:t>
      </w:r>
      <w:r>
        <w:t xml:space="preserve"> Industry stakeholders also expressed concern </w:t>
      </w:r>
      <w:r w:rsidR="00EC054F">
        <w:t>about</w:t>
      </w:r>
      <w:r>
        <w:t xml:space="preserve"> different assessment procedures,</w:t>
      </w:r>
      <w:r w:rsidR="00E77CF7">
        <w:t xml:space="preserve"> assessment</w:t>
      </w:r>
      <w:r>
        <w:t xml:space="preserve"> timings, and funding mechanisms for medicine and diagnostic test components of co-dependent technologies.  </w:t>
      </w:r>
    </w:p>
    <w:p w14:paraId="650369A0" w14:textId="2EA6BD85" w:rsidR="006F3CC4" w:rsidRDefault="00862C32" w:rsidP="00862C32">
      <w:pPr>
        <w:spacing w:after="60"/>
      </w:pPr>
      <w:r>
        <w:t>The Standing Committee and state and territory stakeholde</w:t>
      </w:r>
      <w:r w:rsidR="00161D57">
        <w:t>rs</w:t>
      </w:r>
      <w:r>
        <w:t xml:space="preserve"> </w:t>
      </w:r>
      <w:r w:rsidR="00161D57">
        <w:t>also</w:t>
      </w:r>
      <w:r>
        <w:t xml:space="preserve"> raised concern </w:t>
      </w:r>
      <w:r w:rsidR="00161D57">
        <w:t>about</w:t>
      </w:r>
      <w:r w:rsidR="00E77CF7">
        <w:t xml:space="preserve"> existing</w:t>
      </w:r>
      <w:r w:rsidR="001C2EB1">
        <w:t xml:space="preserve"> funding arrangements causing</w:t>
      </w:r>
      <w:r w:rsidR="00161D57">
        <w:t xml:space="preserve"> potential gaps in continuity of care for patients </w:t>
      </w:r>
      <w:r w:rsidR="00F81B4A">
        <w:t xml:space="preserve">who </w:t>
      </w:r>
      <w:r w:rsidR="00161D57">
        <w:t>receive some of their treatment as inpatients and some of their treatment as outpatients.</w:t>
      </w:r>
      <w:r w:rsidR="00161D57">
        <w:rPr>
          <w:rStyle w:val="FootnoteReference"/>
        </w:rPr>
        <w:footnoteReference w:id="3"/>
      </w:r>
      <w:r w:rsidR="00161D57">
        <w:t xml:space="preserve"> </w:t>
      </w:r>
    </w:p>
    <w:p w14:paraId="2FB0903C" w14:textId="45F44F15" w:rsidR="00862C32" w:rsidRDefault="006F3CC4" w:rsidP="00862C32">
      <w:pPr>
        <w:spacing w:after="60"/>
      </w:pPr>
      <w:r>
        <w:t>C</w:t>
      </w:r>
      <w:r w:rsidR="00161D57">
        <w:t xml:space="preserve">oncerns have </w:t>
      </w:r>
      <w:r w:rsidR="00EC054F">
        <w:t xml:space="preserve">also </w:t>
      </w:r>
      <w:r w:rsidR="00161D57">
        <w:t>been raised about potential for treatments currently delivered in the inpatient setting (such as CAR</w:t>
      </w:r>
      <w:r w:rsidR="000D7C53">
        <w:t xml:space="preserve"> </w:t>
      </w:r>
      <w:r w:rsidR="00161D57">
        <w:t>T</w:t>
      </w:r>
      <w:r w:rsidR="00E77CF7">
        <w:t xml:space="preserve"> cell therapy</w:t>
      </w:r>
      <w:r w:rsidR="00161D57">
        <w:t>) to become outpatient treatment</w:t>
      </w:r>
      <w:r>
        <w:t xml:space="preserve"> and how they might be funded should this occur. </w:t>
      </w:r>
    </w:p>
    <w:p w14:paraId="69E10BD6" w14:textId="5C5C58F8" w:rsidR="00607500" w:rsidRPr="0023724D" w:rsidRDefault="00DB1CCA" w:rsidP="008A0DC4">
      <w:pPr>
        <w:pStyle w:val="Heading3"/>
        <w:ind w:left="709"/>
      </w:pPr>
      <w:r>
        <w:t>HTA Challenges</w:t>
      </w:r>
    </w:p>
    <w:p w14:paraId="5FF0B0AD" w14:textId="45241CC3" w:rsidR="006412ED" w:rsidRDefault="00D52471" w:rsidP="00D52471">
      <w:pPr>
        <w:spacing w:after="60"/>
      </w:pPr>
      <w:r>
        <w:t xml:space="preserve">The challenges to </w:t>
      </w:r>
      <w:r w:rsidR="00862C32">
        <w:t>HTA</w:t>
      </w:r>
      <w:r>
        <w:t xml:space="preserve"> vary depending on the technology. </w:t>
      </w:r>
      <w:r w:rsidR="005D4361">
        <w:t xml:space="preserve">Therapies that target specific gene variants, or gene expression profiles, </w:t>
      </w:r>
      <w:r>
        <w:t>have been identified as posing the greatest challenge to evaluation methods.</w:t>
      </w:r>
      <w:r w:rsidRPr="00805149">
        <w:rPr>
          <w:vertAlign w:val="superscript"/>
        </w:rPr>
        <w:footnoteReference w:id="4"/>
      </w:r>
      <w:r>
        <w:t xml:space="preserve"> </w:t>
      </w:r>
      <w:r w:rsidR="000707AB">
        <w:t>These include gene therapies, gene</w:t>
      </w:r>
      <w:r w:rsidR="00B81305">
        <w:t>-</w:t>
      </w:r>
      <w:r w:rsidR="000707AB">
        <w:t xml:space="preserve">silencing </w:t>
      </w:r>
      <w:r w:rsidR="004B0F50">
        <w:t>oligonucleotides</w:t>
      </w:r>
      <w:r w:rsidR="000707AB">
        <w:t>, gene</w:t>
      </w:r>
      <w:r w:rsidR="00B81305">
        <w:t>-</w:t>
      </w:r>
      <w:r w:rsidR="000707AB">
        <w:t xml:space="preserve">modified cell therapies, </w:t>
      </w:r>
      <w:r w:rsidR="00695D06" w:rsidRPr="00CC4502">
        <w:rPr>
          <w:rStyle w:val="null1"/>
          <w:rFonts w:eastAsia="Times New Roman"/>
        </w:rPr>
        <w:t>tumour</w:t>
      </w:r>
      <w:r w:rsidR="00585360">
        <w:rPr>
          <w:rStyle w:val="null1"/>
          <w:rFonts w:eastAsia="Times New Roman"/>
        </w:rPr>
        <w:t>-</w:t>
      </w:r>
      <w:r w:rsidR="00695D06" w:rsidRPr="00CC4502">
        <w:rPr>
          <w:rStyle w:val="null1"/>
          <w:rFonts w:eastAsia="Times New Roman"/>
        </w:rPr>
        <w:t>agnostic</w:t>
      </w:r>
      <w:r w:rsidR="00695D06" w:rsidRPr="00CC4502" w:rsidDel="00695D06">
        <w:rPr>
          <w:sz w:val="20"/>
          <w:szCs w:val="20"/>
        </w:rPr>
        <w:t xml:space="preserve"> </w:t>
      </w:r>
      <w:r w:rsidR="000707AB">
        <w:t xml:space="preserve">cancer drugs, and use of drugs based on gene expression assays. </w:t>
      </w:r>
    </w:p>
    <w:p w14:paraId="593FB088" w14:textId="5EDC94FC" w:rsidR="005D4361" w:rsidRDefault="00F76CA1" w:rsidP="00D52471">
      <w:pPr>
        <w:spacing w:after="60"/>
      </w:pPr>
      <w:r>
        <w:t>T</w:t>
      </w:r>
      <w:r w:rsidR="00D52471">
        <w:t xml:space="preserve">he lack of high-quality data and high uncertainty associated with the design of clinical trials used to determine safety and effectiveness </w:t>
      </w:r>
      <w:r>
        <w:t>have been identified as the main challenges in assessing these therapies</w:t>
      </w:r>
      <w:r w:rsidR="0023724D">
        <w:t>.</w:t>
      </w:r>
      <w:r w:rsidR="00D52471" w:rsidRPr="00805149">
        <w:rPr>
          <w:vertAlign w:val="superscript"/>
        </w:rPr>
        <w:footnoteReference w:id="5"/>
      </w:r>
      <w:r w:rsidR="005D4361">
        <w:t xml:space="preserve"> Trials for these therapies are often far shorter than </w:t>
      </w:r>
      <w:r>
        <w:t xml:space="preserve">the </w:t>
      </w:r>
      <w:r w:rsidR="005D4361">
        <w:t>claimed duration of effectiveness</w:t>
      </w:r>
      <w:r w:rsidR="00F1739B">
        <w:t>,</w:t>
      </w:r>
      <w:r w:rsidR="005D4361">
        <w:t xml:space="preserve"> leading to significant uncertainty about long</w:t>
      </w:r>
      <w:r>
        <w:t>-</w:t>
      </w:r>
      <w:r w:rsidR="005D4361">
        <w:t>term effectiveness.</w:t>
      </w:r>
      <w:r w:rsidR="006412ED">
        <w:t xml:space="preserve"> </w:t>
      </w:r>
    </w:p>
    <w:p w14:paraId="3CD5023C" w14:textId="3D22855D" w:rsidR="00FD32F4" w:rsidRDefault="005D4361" w:rsidP="00D52471">
      <w:pPr>
        <w:spacing w:after="60"/>
      </w:pPr>
      <w:r>
        <w:t xml:space="preserve">These </w:t>
      </w:r>
      <w:r w:rsidR="006412ED">
        <w:t>therapies are</w:t>
      </w:r>
      <w:r>
        <w:t xml:space="preserve"> also</w:t>
      </w:r>
      <w:r w:rsidR="006412ED">
        <w:t xml:space="preserve"> being developed for </w:t>
      </w:r>
      <w:r w:rsidR="00D547EF">
        <w:t>progressively</w:t>
      </w:r>
      <w:r w:rsidR="006412ED">
        <w:t xml:space="preserve"> smaller </w:t>
      </w:r>
      <w:r w:rsidR="00A81872">
        <w:t>populations</w:t>
      </w:r>
      <w:r w:rsidR="007A0E9C">
        <w:t>,</w:t>
      </w:r>
      <w:r w:rsidR="006412ED">
        <w:t xml:space="preserve"> particularly as new patho</w:t>
      </w:r>
      <w:r w:rsidR="000E68A5">
        <w:t>genic</w:t>
      </w:r>
      <w:r w:rsidR="006412ED">
        <w:t xml:space="preserve"> gene varia</w:t>
      </w:r>
      <w:r w:rsidR="000E68A5">
        <w:t>nts</w:t>
      </w:r>
      <w:r w:rsidR="006412ED">
        <w:t xml:space="preserve"> are discovered</w:t>
      </w:r>
      <w:r w:rsidR="00616F32">
        <w:t>,</w:t>
      </w:r>
      <w:r w:rsidR="005F7CAA">
        <w:t xml:space="preserve"> </w:t>
      </w:r>
      <w:r w:rsidR="00D547EF">
        <w:t>leading</w:t>
      </w:r>
      <w:r w:rsidR="005F7CAA">
        <w:t xml:space="preserve"> </w:t>
      </w:r>
      <w:r w:rsidR="00D547EF">
        <w:t xml:space="preserve">to </w:t>
      </w:r>
      <w:r w:rsidR="001641BF">
        <w:t xml:space="preserve">the </w:t>
      </w:r>
      <w:r w:rsidR="005F7CAA">
        <w:t>creat</w:t>
      </w:r>
      <w:r w:rsidR="00D547EF">
        <w:t>ion</w:t>
      </w:r>
      <w:r w:rsidR="00F76CA1">
        <w:t xml:space="preserve"> of</w:t>
      </w:r>
      <w:r w:rsidR="005F7CAA">
        <w:t xml:space="preserve"> sub-populations </w:t>
      </w:r>
      <w:r w:rsidR="00F76CA1">
        <w:t xml:space="preserve">within </w:t>
      </w:r>
      <w:r w:rsidR="005F7CAA">
        <w:t>existing disease categories</w:t>
      </w:r>
      <w:r w:rsidR="006412ED">
        <w:t xml:space="preserve">. </w:t>
      </w:r>
      <w:r>
        <w:t xml:space="preserve">This </w:t>
      </w:r>
      <w:r w:rsidR="00D33BD8">
        <w:t>has led</w:t>
      </w:r>
      <w:r>
        <w:t xml:space="preserve"> to progressively smaller </w:t>
      </w:r>
      <w:r w:rsidR="00D33BD8">
        <w:t>patient numbers</w:t>
      </w:r>
      <w:r>
        <w:t xml:space="preserve"> in</w:t>
      </w:r>
      <w:r w:rsidR="000E68A5">
        <w:t xml:space="preserve"> traditional phased</w:t>
      </w:r>
      <w:r>
        <w:t xml:space="preserve"> clinical trials</w:t>
      </w:r>
      <w:r w:rsidR="00D33BD8">
        <w:t xml:space="preserve"> </w:t>
      </w:r>
      <w:r w:rsidR="0075544D">
        <w:t>and</w:t>
      </w:r>
      <w:r w:rsidR="000E68A5">
        <w:t xml:space="preserve"> development of basket trials,</w:t>
      </w:r>
      <w:r>
        <w:t xml:space="preserve"> also contribut</w:t>
      </w:r>
      <w:r w:rsidR="00FD0517">
        <w:t>ing</w:t>
      </w:r>
      <w:r>
        <w:t xml:space="preserve"> to uncertainty. </w:t>
      </w:r>
      <w:r w:rsidR="00D33BD8">
        <w:t>In</w:t>
      </w:r>
      <w:r w:rsidR="000E68A5" w:rsidRPr="000E68A5">
        <w:t xml:space="preserve"> smaller disease populations</w:t>
      </w:r>
      <w:r w:rsidR="00D33BD8">
        <w:t>,</w:t>
      </w:r>
      <w:r w:rsidR="000E68A5" w:rsidRPr="000E68A5">
        <w:t xml:space="preserve"> Phase 2 trials</w:t>
      </w:r>
      <w:r w:rsidR="00D33BD8">
        <w:t xml:space="preserve"> </w:t>
      </w:r>
      <w:r w:rsidR="00E570D5">
        <w:t>that</w:t>
      </w:r>
      <w:r w:rsidR="00E570D5" w:rsidRPr="000E68A5">
        <w:t xml:space="preserve"> </w:t>
      </w:r>
      <w:r w:rsidR="000E68A5" w:rsidRPr="000E68A5">
        <w:t>demonstrate substantial improvement in safety and efficacy</w:t>
      </w:r>
      <w:r w:rsidR="008A7D45">
        <w:t xml:space="preserve"> have </w:t>
      </w:r>
      <w:r w:rsidR="000E68A5" w:rsidRPr="000E68A5">
        <w:t xml:space="preserve">been considered sufficient to enable provisional </w:t>
      </w:r>
      <w:r w:rsidR="008A7D45">
        <w:t xml:space="preserve">market authorisation </w:t>
      </w:r>
      <w:r w:rsidR="000E68A5" w:rsidRPr="000E68A5">
        <w:t xml:space="preserve">without progression to a </w:t>
      </w:r>
      <w:r w:rsidR="000E68A5" w:rsidRPr="000E68A5">
        <w:lastRenderedPageBreak/>
        <w:t xml:space="preserve">Phase 3 trial in the same disease stage, </w:t>
      </w:r>
      <w:r w:rsidR="000F4E6F">
        <w:t>with</w:t>
      </w:r>
      <w:r w:rsidR="000E68A5" w:rsidRPr="000E68A5">
        <w:t xml:space="preserve"> confirmatory data </w:t>
      </w:r>
      <w:r w:rsidR="000F4E6F">
        <w:t>collected</w:t>
      </w:r>
      <w:r w:rsidR="000E68A5" w:rsidRPr="000E68A5">
        <w:t xml:space="preserve"> from a different disease stage.</w:t>
      </w:r>
    </w:p>
    <w:p w14:paraId="51A2F04D" w14:textId="284DD089" w:rsidR="00FD32F4" w:rsidRDefault="00AA1391" w:rsidP="00D52471">
      <w:pPr>
        <w:spacing w:after="60"/>
      </w:pPr>
      <w:r>
        <w:t xml:space="preserve">Models of treatment are also being developed where in-house facilities </w:t>
      </w:r>
      <w:r w:rsidR="000F4E6F">
        <w:t>manufacture therapies (</w:t>
      </w:r>
      <w:r w:rsidR="000C51D6">
        <w:t xml:space="preserve">for instance, </w:t>
      </w:r>
      <w:r w:rsidR="000F4E6F">
        <w:t>gene therapies and gene</w:t>
      </w:r>
      <w:r w:rsidR="000B3951">
        <w:t>-</w:t>
      </w:r>
      <w:r w:rsidR="000F4E6F">
        <w:t>silencing oligonucleotides) that are designed to</w:t>
      </w:r>
      <w:r w:rsidR="00FD32F4">
        <w:t xml:space="preserve"> target specific genes </w:t>
      </w:r>
      <w:r>
        <w:t xml:space="preserve">in </w:t>
      </w:r>
      <w:r w:rsidR="00FD32F4">
        <w:t xml:space="preserve">individual patients. </w:t>
      </w:r>
      <w:r w:rsidR="000F4E6F">
        <w:t xml:space="preserve">It is unlikely that the safety and effectiveness of each individualised therapy could be established through clinical trials. </w:t>
      </w:r>
    </w:p>
    <w:p w14:paraId="2F73F071" w14:textId="5525881C" w:rsidR="00607500" w:rsidRDefault="00DB1CCA" w:rsidP="008A0DC4">
      <w:pPr>
        <w:pStyle w:val="Heading3"/>
        <w:ind w:left="709"/>
      </w:pPr>
      <w:r>
        <w:t>Funding and i</w:t>
      </w:r>
      <w:r w:rsidR="00607500" w:rsidRPr="00D12620">
        <w:t>mplementation</w:t>
      </w:r>
    </w:p>
    <w:p w14:paraId="5BBB96EC" w14:textId="00B8931A" w:rsidR="00DB1CCA" w:rsidRDefault="00DB1CCA" w:rsidP="00D52471">
      <w:pPr>
        <w:spacing w:after="60"/>
      </w:pPr>
      <w:r>
        <w:t xml:space="preserve">Several of the emerging therapies identified have a very high cost. These costs create opportunity costs for funders at the federal and state level.  </w:t>
      </w:r>
    </w:p>
    <w:p w14:paraId="17A837F4" w14:textId="54B30157" w:rsidR="006412ED" w:rsidRDefault="00D52471" w:rsidP="00D52471">
      <w:pPr>
        <w:spacing w:after="60"/>
      </w:pPr>
      <w:r>
        <w:t>Several of the emerging therapies</w:t>
      </w:r>
      <w:r w:rsidR="00862C32">
        <w:t xml:space="preserve"> identified</w:t>
      </w:r>
      <w:r>
        <w:t xml:space="preserve"> </w:t>
      </w:r>
      <w:r w:rsidR="00862C32">
        <w:t>also</w:t>
      </w:r>
      <w:r>
        <w:t xml:space="preserve"> require more resource intensive implementation than previous new </w:t>
      </w:r>
      <w:r w:rsidR="00862C32">
        <w:t>therapies</w:t>
      </w:r>
      <w:r>
        <w:t>. These challenges arise from greater uncertainty about safety</w:t>
      </w:r>
      <w:r w:rsidR="00B50545">
        <w:t xml:space="preserve"> </w:t>
      </w:r>
      <w:r>
        <w:t>and effectiveness</w:t>
      </w:r>
      <w:r w:rsidR="00862C32">
        <w:t xml:space="preserve"> over the </w:t>
      </w:r>
      <w:r w:rsidR="008E03B0">
        <w:t>longer</w:t>
      </w:r>
      <w:r w:rsidR="00C910B4">
        <w:t xml:space="preserve"> </w:t>
      </w:r>
      <w:r w:rsidR="008E03B0">
        <w:t>term</w:t>
      </w:r>
      <w:r w:rsidR="009723F4">
        <w:t>, and more severe adverse effects</w:t>
      </w:r>
      <w:r w:rsidR="00B41949">
        <w:t xml:space="preserve">. This, </w:t>
      </w:r>
      <w:r w:rsidR="00CF37F3">
        <w:t>in turn</w:t>
      </w:r>
      <w:r w:rsidR="00E53D80">
        <w:t>,</w:t>
      </w:r>
      <w:r w:rsidR="00CF37F3">
        <w:t xml:space="preserve"> necessitates</w:t>
      </w:r>
      <w:r w:rsidR="000E68A5">
        <w:t xml:space="preserve"> data collection via registries</w:t>
      </w:r>
      <w:r>
        <w:t xml:space="preserve">, </w:t>
      </w:r>
      <w:r w:rsidR="005D19E0">
        <w:t xml:space="preserve">and increases the </w:t>
      </w:r>
      <w:r>
        <w:t>likelihood of complex administrat</w:t>
      </w:r>
      <w:r w:rsidR="000733EA">
        <w:t>ive</w:t>
      </w:r>
      <w:r>
        <w:t xml:space="preserve"> requirements requiring admission of patients to hospitals or attendance </w:t>
      </w:r>
      <w:r w:rsidR="005D6FA6">
        <w:t xml:space="preserve">at </w:t>
      </w:r>
      <w:r>
        <w:t>other specialised care settings, and potentially very high costs</w:t>
      </w:r>
      <w:r w:rsidR="00B07EBB">
        <w:t xml:space="preserve"> (</w:t>
      </w:r>
      <w:r w:rsidR="00C20ACF">
        <w:t>on</w:t>
      </w:r>
      <w:r w:rsidR="00853BD7">
        <w:t xml:space="preserve"> </w:t>
      </w:r>
      <w:r w:rsidR="00AE1F40">
        <w:t>a per-patient basis o</w:t>
      </w:r>
      <w:r w:rsidR="00426948">
        <w:t>r in terms of total costs</w:t>
      </w:r>
      <w:r w:rsidR="00E91765">
        <w:t>, or both)</w:t>
      </w:r>
      <w:r>
        <w:t xml:space="preserve">. </w:t>
      </w:r>
    </w:p>
    <w:p w14:paraId="4F6E7EEF" w14:textId="27DEC7A8" w:rsidR="00B74AD9" w:rsidRPr="00975C1E" w:rsidRDefault="00D52471" w:rsidP="00B74AD9">
      <w:pPr>
        <w:spacing w:after="60"/>
        <w:rPr>
          <w:rFonts w:eastAsia="Calibri"/>
          <w:lang w:eastAsia="en-AU"/>
        </w:rPr>
      </w:pPr>
      <w:r>
        <w:t xml:space="preserve">Additional arrangements to enable implementation of </w:t>
      </w:r>
      <w:r w:rsidR="00EE47E5">
        <w:t>decisions to fund</w:t>
      </w:r>
      <w:r>
        <w:t xml:space="preserve"> some of the identified emerging therapies have included </w:t>
      </w:r>
      <w:r w:rsidR="00486F0F">
        <w:t>estab</w:t>
      </w:r>
      <w:r w:rsidR="00946C2D">
        <w:t>lishing</w:t>
      </w:r>
      <w:r>
        <w:t xml:space="preserve"> specialised</w:t>
      </w:r>
      <w:r w:rsidR="00607500">
        <w:t xml:space="preserve"> </w:t>
      </w:r>
      <w:r>
        <w:t>facilities and data collection arrangements</w:t>
      </w:r>
      <w:r w:rsidR="003C07ED">
        <w:t xml:space="preserve">. They have also included </w:t>
      </w:r>
      <w:r>
        <w:t xml:space="preserve">contractual arrangements between suppliers and funders to manage risks associated with underperformance of the </w:t>
      </w:r>
      <w:r w:rsidR="00EE47E5">
        <w:t>therapy</w:t>
      </w:r>
      <w:r w:rsidR="00B50545">
        <w:t>,</w:t>
      </w:r>
      <w:r>
        <w:t xml:space="preserve"> use outside of the intended population</w:t>
      </w:r>
      <w:r w:rsidR="00B50545">
        <w:t>, or greater number</w:t>
      </w:r>
      <w:r w:rsidR="003C7E25">
        <w:t>s</w:t>
      </w:r>
      <w:r w:rsidR="00B50545">
        <w:t xml:space="preserve"> of patients than estimated in the HTA</w:t>
      </w:r>
      <w:r>
        <w:t>.</w:t>
      </w:r>
      <w:r w:rsidR="00D547EF" w:rsidRPr="00805149">
        <w:rPr>
          <w:vertAlign w:val="superscript"/>
        </w:rPr>
        <w:footnoteReference w:id="6"/>
      </w:r>
    </w:p>
    <w:p w14:paraId="766BB8A2" w14:textId="1D9724C0" w:rsidR="00640067" w:rsidRDefault="007F0CE5" w:rsidP="00640067">
      <w:pPr>
        <w:rPr>
          <w:rFonts w:asciiTheme="majorHAnsi" w:hAnsiTheme="majorHAnsi" w:cstheme="majorHAnsi"/>
          <w:color w:val="44546A" w:themeColor="text2"/>
          <w:sz w:val="96"/>
          <w:szCs w:val="96"/>
        </w:rPr>
      </w:pPr>
      <w:r w:rsidRPr="00975C1E">
        <w:br w:type="page"/>
      </w:r>
      <w:r w:rsidR="0032703C" w:rsidRPr="00640067">
        <w:rPr>
          <w:rFonts w:asciiTheme="majorHAnsi" w:hAnsiTheme="majorHAnsi" w:cstheme="majorHAnsi"/>
          <w:color w:val="44546A" w:themeColor="text2"/>
          <w:sz w:val="96"/>
          <w:szCs w:val="96"/>
        </w:rPr>
        <w:lastRenderedPageBreak/>
        <w:t>Emerging</w:t>
      </w:r>
      <w:r w:rsidR="00EB76F0" w:rsidRPr="00640067">
        <w:rPr>
          <w:rFonts w:asciiTheme="majorHAnsi" w:hAnsiTheme="majorHAnsi" w:cstheme="majorHAnsi"/>
          <w:color w:val="44546A" w:themeColor="text2"/>
          <w:sz w:val="96"/>
          <w:szCs w:val="96"/>
        </w:rPr>
        <w:t xml:space="preserve"> Health</w:t>
      </w:r>
      <w:r w:rsidR="0032703C" w:rsidRPr="00640067">
        <w:rPr>
          <w:rFonts w:asciiTheme="majorHAnsi" w:hAnsiTheme="majorHAnsi" w:cstheme="majorHAnsi"/>
          <w:color w:val="44546A" w:themeColor="text2"/>
          <w:sz w:val="96"/>
          <w:szCs w:val="96"/>
        </w:rPr>
        <w:t xml:space="preserve"> </w:t>
      </w:r>
      <w:r w:rsidR="001A635D" w:rsidRPr="00640067">
        <w:rPr>
          <w:rFonts w:asciiTheme="majorHAnsi" w:hAnsiTheme="majorHAnsi" w:cstheme="majorHAnsi"/>
          <w:color w:val="44546A" w:themeColor="text2"/>
          <w:sz w:val="96"/>
          <w:szCs w:val="96"/>
        </w:rPr>
        <w:t>T</w:t>
      </w:r>
      <w:r w:rsidR="00B30B14" w:rsidRPr="00640067">
        <w:rPr>
          <w:rFonts w:asciiTheme="majorHAnsi" w:hAnsiTheme="majorHAnsi" w:cstheme="majorHAnsi"/>
          <w:color w:val="44546A" w:themeColor="text2"/>
          <w:sz w:val="96"/>
          <w:szCs w:val="96"/>
        </w:rPr>
        <w:t>echnologies</w:t>
      </w:r>
    </w:p>
    <w:p w14:paraId="51C5946D" w14:textId="77777777" w:rsidR="00640067" w:rsidRPr="00640067" w:rsidRDefault="00640067" w:rsidP="00640067">
      <w:pPr>
        <w:spacing w:line="720" w:lineRule="auto"/>
      </w:pPr>
    </w:p>
    <w:p w14:paraId="35E189BE" w14:textId="66E5922F" w:rsidR="00FE3C1A" w:rsidRDefault="008E54E0" w:rsidP="008A0DC4">
      <w:pPr>
        <w:pStyle w:val="Heading1"/>
        <w:ind w:left="426"/>
      </w:pPr>
      <w:bookmarkStart w:id="99" w:name="_Ref130300801"/>
      <w:bookmarkStart w:id="100" w:name="_Ref130300808"/>
      <w:bookmarkStart w:id="101" w:name="_Ref130300844"/>
      <w:bookmarkStart w:id="102" w:name="_Ref130300862"/>
      <w:bookmarkStart w:id="103" w:name="_Toc158900421"/>
      <w:r w:rsidRPr="007115EC">
        <w:t>Advanced</w:t>
      </w:r>
      <w:r w:rsidRPr="008E54E0">
        <w:t xml:space="preserve"> </w:t>
      </w:r>
      <w:r w:rsidR="001A635D">
        <w:t>t</w:t>
      </w:r>
      <w:r w:rsidRPr="008E54E0">
        <w:t>herap</w:t>
      </w:r>
      <w:r w:rsidR="00374560">
        <w:t>ies</w:t>
      </w:r>
      <w:bookmarkEnd w:id="99"/>
      <w:bookmarkEnd w:id="100"/>
      <w:bookmarkEnd w:id="101"/>
      <w:bookmarkEnd w:id="102"/>
      <w:bookmarkEnd w:id="103"/>
      <w:r w:rsidR="00374560">
        <w:t xml:space="preserve"> </w:t>
      </w:r>
      <w:r>
        <w:t xml:space="preserve"> </w:t>
      </w:r>
    </w:p>
    <w:p w14:paraId="24775F9F" w14:textId="78190C29" w:rsidR="0042596A" w:rsidRDefault="00D12620" w:rsidP="003014CC">
      <w:r>
        <w:t>The t</w:t>
      </w:r>
      <w:r w:rsidR="00374560">
        <w:t>erm</w:t>
      </w:r>
      <w:r w:rsidR="00BD6B60">
        <w:t>s</w:t>
      </w:r>
      <w:r w:rsidR="00374560">
        <w:t xml:space="preserve"> “advanced therapies”, or “</w:t>
      </w:r>
      <w:r w:rsidR="000713AF">
        <w:t>advanced therapy medicinal products (ATMPs)</w:t>
      </w:r>
      <w:r w:rsidR="00374560">
        <w:t>”</w:t>
      </w:r>
      <w:r w:rsidR="000713AF">
        <w:t xml:space="preserve"> </w:t>
      </w:r>
      <w:r w:rsidR="00BD6B60">
        <w:t>have been defined as</w:t>
      </w:r>
      <w:r w:rsidR="00374560">
        <w:t xml:space="preserve"> </w:t>
      </w:r>
      <w:r w:rsidR="000713AF">
        <w:t xml:space="preserve">medicines for human use that are based on genes, </w:t>
      </w:r>
      <w:r w:rsidR="00A81872">
        <w:t>tissues,</w:t>
      </w:r>
      <w:r w:rsidR="000713AF">
        <w:t xml:space="preserve"> or cells</w:t>
      </w:r>
      <w:bookmarkStart w:id="104" w:name="_Ref124519282"/>
      <w:r w:rsidR="000713AF">
        <w:t>.</w:t>
      </w:r>
      <w:r w:rsidR="000713AF">
        <w:rPr>
          <w:rStyle w:val="FootnoteReference"/>
        </w:rPr>
        <w:footnoteReference w:id="7"/>
      </w:r>
      <w:bookmarkEnd w:id="104"/>
      <w:r w:rsidR="00E75492">
        <w:t xml:space="preserve"> </w:t>
      </w:r>
      <w:r w:rsidR="00BD6B60">
        <w:t>Different definitions and classifications are used</w:t>
      </w:r>
      <w:r w:rsidR="00E75492">
        <w:t xml:space="preserve"> </w:t>
      </w:r>
      <w:r w:rsidR="002A012E">
        <w:t xml:space="preserve">by </w:t>
      </w:r>
      <w:r w:rsidR="00E75492">
        <w:t xml:space="preserve">academia, </w:t>
      </w:r>
      <w:r w:rsidR="00A81872">
        <w:t>industry,</w:t>
      </w:r>
      <w:r w:rsidR="00E75492">
        <w:t xml:space="preserve"> and governing bodies</w:t>
      </w:r>
      <w:r w:rsidR="00BD6B60">
        <w:t xml:space="preserve">. </w:t>
      </w:r>
    </w:p>
    <w:p w14:paraId="1CD6ABB3" w14:textId="28D91E22" w:rsidR="00BD6B60" w:rsidRDefault="003326C0" w:rsidP="000F4E6F">
      <w:pPr>
        <w:spacing w:after="240"/>
        <w:rPr>
          <w:lang w:val="en-AU"/>
        </w:rPr>
      </w:pPr>
      <w:r>
        <w:rPr>
          <w:lang w:val="en-AU"/>
        </w:rPr>
        <w:t xml:space="preserve">There is no definition for advanced therapies under the </w:t>
      </w:r>
      <w:r>
        <w:rPr>
          <w:i/>
          <w:iCs/>
          <w:lang w:val="en-AU"/>
        </w:rPr>
        <w:t>Therapeutic Goods Act 1989</w:t>
      </w:r>
      <w:r>
        <w:rPr>
          <w:lang w:val="en-AU"/>
        </w:rPr>
        <w:t xml:space="preserve"> or the </w:t>
      </w:r>
      <w:r>
        <w:rPr>
          <w:i/>
          <w:iCs/>
          <w:lang w:val="en-AU"/>
        </w:rPr>
        <w:t xml:space="preserve">Therapeutic Goods Regulations </w:t>
      </w:r>
      <w:r w:rsidRPr="003326C0">
        <w:rPr>
          <w:lang w:val="en-AU"/>
        </w:rPr>
        <w:t>1990</w:t>
      </w:r>
      <w:r>
        <w:rPr>
          <w:lang w:val="en-AU"/>
        </w:rPr>
        <w:t>. However t</w:t>
      </w:r>
      <w:r w:rsidR="003014CC" w:rsidRPr="003326C0">
        <w:rPr>
          <w:lang w:val="en-AU"/>
        </w:rPr>
        <w:t>he</w:t>
      </w:r>
      <w:r w:rsidR="003014CC" w:rsidRPr="003014CC">
        <w:rPr>
          <w:lang w:val="en-AU"/>
        </w:rPr>
        <w:t xml:space="preserve"> TGA uses the following definition for advanced therapies</w:t>
      </w:r>
      <w:r>
        <w:rPr>
          <w:lang w:val="en-AU"/>
        </w:rPr>
        <w:t xml:space="preserve"> on its website</w:t>
      </w:r>
      <w:r w:rsidR="003014CC" w:rsidRPr="003014CC">
        <w:rPr>
          <w:lang w:val="en-AU"/>
        </w:rPr>
        <w:t>:</w:t>
      </w:r>
    </w:p>
    <w:p w14:paraId="06A74165" w14:textId="57DA6800" w:rsidR="003014CC" w:rsidRPr="00A167C3" w:rsidRDefault="003014CC" w:rsidP="008A0DC4">
      <w:pPr>
        <w:pStyle w:val="List"/>
        <w:numPr>
          <w:ilvl w:val="0"/>
          <w:numId w:val="52"/>
        </w:numPr>
        <w:rPr>
          <w:lang w:val="en-AU"/>
        </w:rPr>
      </w:pPr>
      <w:r w:rsidRPr="00A167C3">
        <w:rPr>
          <w:lang w:val="en-AU"/>
        </w:rPr>
        <w:t>Gene therapies</w:t>
      </w:r>
    </w:p>
    <w:p w14:paraId="59846DC5" w14:textId="69052B52" w:rsidR="003014CC" w:rsidRPr="00A167C3" w:rsidRDefault="003014CC" w:rsidP="008A0DC4">
      <w:pPr>
        <w:pStyle w:val="List"/>
        <w:numPr>
          <w:ilvl w:val="0"/>
          <w:numId w:val="53"/>
        </w:numPr>
        <w:rPr>
          <w:lang w:val="en-AU"/>
        </w:rPr>
      </w:pPr>
      <w:r w:rsidRPr="00A167C3">
        <w:rPr>
          <w:lang w:val="en-AU"/>
        </w:rPr>
        <w:t xml:space="preserve">the substance is used in or administered to human beings to regulate, repair, replace, </w:t>
      </w:r>
      <w:r w:rsidR="00A81872" w:rsidRPr="00A167C3">
        <w:rPr>
          <w:lang w:val="en-AU"/>
        </w:rPr>
        <w:t>add,</w:t>
      </w:r>
      <w:r w:rsidRPr="00A167C3">
        <w:rPr>
          <w:lang w:val="en-AU"/>
        </w:rPr>
        <w:t xml:space="preserve"> or delete a genetic sequence</w:t>
      </w:r>
    </w:p>
    <w:p w14:paraId="4874139B" w14:textId="77777777" w:rsidR="003014CC" w:rsidRPr="00A167C3" w:rsidRDefault="003014CC" w:rsidP="008A0DC4">
      <w:pPr>
        <w:pStyle w:val="List"/>
        <w:ind w:left="1569"/>
        <w:rPr>
          <w:lang w:val="en-AU"/>
        </w:rPr>
      </w:pPr>
      <w:r w:rsidRPr="00A167C3">
        <w:rPr>
          <w:lang w:val="en-AU"/>
        </w:rPr>
        <w:t>AND</w:t>
      </w:r>
    </w:p>
    <w:p w14:paraId="2820F082" w14:textId="352512F7" w:rsidR="003014CC" w:rsidRPr="00A167C3" w:rsidRDefault="003014CC" w:rsidP="008A0DC4">
      <w:pPr>
        <w:pStyle w:val="List"/>
        <w:numPr>
          <w:ilvl w:val="0"/>
          <w:numId w:val="53"/>
        </w:numPr>
        <w:rPr>
          <w:lang w:val="en-AU"/>
        </w:rPr>
      </w:pPr>
      <w:r w:rsidRPr="00A167C3">
        <w:rPr>
          <w:lang w:val="en-AU"/>
        </w:rPr>
        <w:t>the substance is involved in the therapeutic, prophylactic, or diagnostic effect of the product</w:t>
      </w:r>
    </w:p>
    <w:p w14:paraId="12B784D8" w14:textId="78C7CA89" w:rsidR="003014CC" w:rsidRPr="00A167C3" w:rsidRDefault="003014CC" w:rsidP="008A0DC4">
      <w:pPr>
        <w:pStyle w:val="List"/>
        <w:numPr>
          <w:ilvl w:val="0"/>
          <w:numId w:val="52"/>
        </w:numPr>
        <w:rPr>
          <w:lang w:val="en-AU"/>
        </w:rPr>
      </w:pPr>
      <w:r w:rsidRPr="00A167C3">
        <w:rPr>
          <w:lang w:val="en-AU"/>
        </w:rPr>
        <w:t>Gene modified cell therapies</w:t>
      </w:r>
    </w:p>
    <w:p w14:paraId="25700F3D" w14:textId="77777777" w:rsidR="003014CC" w:rsidRPr="00A167C3" w:rsidRDefault="003014CC" w:rsidP="008A0DC4">
      <w:pPr>
        <w:pStyle w:val="List"/>
        <w:numPr>
          <w:ilvl w:val="0"/>
          <w:numId w:val="52"/>
        </w:numPr>
        <w:rPr>
          <w:lang w:val="en-AU"/>
        </w:rPr>
      </w:pPr>
      <w:r w:rsidRPr="00A167C3">
        <w:rPr>
          <w:lang w:val="en-AU"/>
        </w:rPr>
        <w:t>Cell and tissue therapies that:</w:t>
      </w:r>
    </w:p>
    <w:p w14:paraId="5705568C" w14:textId="77777777" w:rsidR="003014CC" w:rsidRPr="00A167C3" w:rsidRDefault="003014CC" w:rsidP="008A0DC4">
      <w:pPr>
        <w:pStyle w:val="List"/>
        <w:numPr>
          <w:ilvl w:val="0"/>
          <w:numId w:val="54"/>
        </w:numPr>
        <w:rPr>
          <w:lang w:val="en-AU"/>
        </w:rPr>
      </w:pPr>
      <w:r w:rsidRPr="00A167C3">
        <w:rPr>
          <w:lang w:val="en-AU"/>
        </w:rPr>
        <w:t>are not devices</w:t>
      </w:r>
    </w:p>
    <w:p w14:paraId="02D62C54" w14:textId="77777777" w:rsidR="003014CC" w:rsidRPr="00A167C3" w:rsidRDefault="003014CC" w:rsidP="008A0DC4">
      <w:pPr>
        <w:pStyle w:val="List"/>
        <w:numPr>
          <w:ilvl w:val="0"/>
          <w:numId w:val="54"/>
        </w:numPr>
        <w:rPr>
          <w:lang w:val="en-AU"/>
        </w:rPr>
      </w:pPr>
      <w:r w:rsidRPr="00A167C3">
        <w:rPr>
          <w:lang w:val="en-AU"/>
        </w:rPr>
        <w:t>have been classified as class 3 or 4 biologicals.</w:t>
      </w:r>
    </w:p>
    <w:p w14:paraId="6D6F4278" w14:textId="42E78E58" w:rsidR="003014CC" w:rsidRPr="00A167C3" w:rsidRDefault="003014CC" w:rsidP="008A0DC4">
      <w:pPr>
        <w:pStyle w:val="List"/>
        <w:numPr>
          <w:ilvl w:val="0"/>
          <w:numId w:val="52"/>
        </w:numPr>
        <w:rPr>
          <w:lang w:val="en-AU"/>
        </w:rPr>
      </w:pPr>
      <w:r w:rsidRPr="00A167C3">
        <w:rPr>
          <w:lang w:val="en-AU"/>
        </w:rPr>
        <w:t>Either a or b in combination with a device</w:t>
      </w:r>
      <w:bookmarkStart w:id="105" w:name="_Ref134186667"/>
      <w:r w:rsidR="007401F2">
        <w:rPr>
          <w:rStyle w:val="FootnoteReference"/>
          <w:sz w:val="20"/>
          <w:szCs w:val="20"/>
          <w:lang w:val="en-AU"/>
        </w:rPr>
        <w:footnoteReference w:id="8"/>
      </w:r>
      <w:bookmarkEnd w:id="105"/>
      <w:r w:rsidR="001A635D">
        <w:rPr>
          <w:lang w:val="en-AU"/>
        </w:rPr>
        <w:t>.</w:t>
      </w:r>
    </w:p>
    <w:p w14:paraId="1FEEA438" w14:textId="383B7362" w:rsidR="00B422AB" w:rsidRPr="007F0CE5" w:rsidRDefault="00B422AB" w:rsidP="00A167C3">
      <w:pPr>
        <w:pStyle w:val="Heading2"/>
      </w:pPr>
      <w:bookmarkStart w:id="106" w:name="_Toc128663501"/>
      <w:bookmarkStart w:id="107" w:name="_Toc128663531"/>
      <w:bookmarkStart w:id="108" w:name="_Toc128663542"/>
      <w:bookmarkStart w:id="109" w:name="_Toc158900422"/>
      <w:bookmarkEnd w:id="106"/>
      <w:bookmarkEnd w:id="107"/>
      <w:bookmarkEnd w:id="108"/>
      <w:r w:rsidRPr="007F0CE5">
        <w:t>Gene therapies</w:t>
      </w:r>
      <w:bookmarkEnd w:id="109"/>
      <w:r w:rsidRPr="007F0CE5">
        <w:t xml:space="preserve"> </w:t>
      </w:r>
    </w:p>
    <w:p w14:paraId="55CF7962" w14:textId="1F3C660B" w:rsidR="00B422AB" w:rsidRDefault="00B422AB" w:rsidP="00A167C3">
      <w:r>
        <w:t xml:space="preserve">Gene therapies are used in or administered to humans to regulate, repair, replace, </w:t>
      </w:r>
      <w:r w:rsidR="00A81872">
        <w:t>add,</w:t>
      </w:r>
      <w:r>
        <w:t xml:space="preserve"> or delete a genetic sequence (in vivo) for therapeutic, prophylactic, or diagnostic effect, and are regulated by the TGA as prescription medicines.</w:t>
      </w:r>
      <w:r w:rsidR="00525895" w:rsidRPr="00525895">
        <w:rPr>
          <w:vertAlign w:val="superscript"/>
        </w:rPr>
        <w:fldChar w:fldCharType="begin"/>
      </w:r>
      <w:r w:rsidR="00525895" w:rsidRPr="00525895">
        <w:rPr>
          <w:vertAlign w:val="superscript"/>
        </w:rPr>
        <w:instrText xml:space="preserve"> NOTEREF _Ref134186667 \h </w:instrText>
      </w:r>
      <w:r w:rsidR="00525895">
        <w:rPr>
          <w:vertAlign w:val="superscript"/>
        </w:rPr>
        <w:instrText xml:space="preserve"> \* MERGEFORMAT </w:instrText>
      </w:r>
      <w:r w:rsidR="00525895" w:rsidRPr="00525895">
        <w:rPr>
          <w:vertAlign w:val="superscript"/>
        </w:rPr>
      </w:r>
      <w:r w:rsidR="00525895" w:rsidRPr="00525895">
        <w:rPr>
          <w:vertAlign w:val="superscript"/>
        </w:rPr>
        <w:fldChar w:fldCharType="separate"/>
      </w:r>
      <w:r w:rsidR="00395B47">
        <w:rPr>
          <w:vertAlign w:val="superscript"/>
        </w:rPr>
        <w:t>7</w:t>
      </w:r>
      <w:r w:rsidR="00525895" w:rsidRPr="00525895">
        <w:rPr>
          <w:vertAlign w:val="superscript"/>
        </w:rPr>
        <w:fldChar w:fldCharType="end"/>
      </w:r>
      <w:r>
        <w:t xml:space="preserve"> </w:t>
      </w:r>
      <w:r w:rsidR="00C27C80">
        <w:t xml:space="preserve">The FDA provides the following examples of gene therapy products:  </w:t>
      </w:r>
    </w:p>
    <w:p w14:paraId="033C913B" w14:textId="5F15D219" w:rsidR="00640067" w:rsidRDefault="00C27C80" w:rsidP="008A0DC4">
      <w:pPr>
        <w:pStyle w:val="ListContinue"/>
        <w:ind w:left="720"/>
      </w:pPr>
      <w:r w:rsidRPr="000F4E6F">
        <w:rPr>
          <w:b/>
          <w:bCs/>
        </w:rPr>
        <w:t>Plasmid DNA</w:t>
      </w:r>
      <w:r w:rsidRPr="000F4E6F">
        <w:t>: Circular DNA molecules can be genetically engineered to carry therapeutic genes into human cells.</w:t>
      </w:r>
    </w:p>
    <w:p w14:paraId="0BDAAC6F" w14:textId="77777777" w:rsidR="00640067" w:rsidRDefault="00640067">
      <w:pPr>
        <w:spacing w:before="0" w:after="160"/>
      </w:pPr>
      <w:r>
        <w:br w:type="page"/>
      </w:r>
    </w:p>
    <w:p w14:paraId="459C2853" w14:textId="160FB4FA" w:rsidR="00C27C80" w:rsidRPr="000F4E6F" w:rsidRDefault="00C27C80" w:rsidP="008A0DC4">
      <w:pPr>
        <w:pStyle w:val="ListContinue"/>
        <w:ind w:left="720"/>
      </w:pPr>
      <w:r w:rsidRPr="000F4E6F">
        <w:rPr>
          <w:b/>
          <w:bCs/>
        </w:rPr>
        <w:lastRenderedPageBreak/>
        <w:t>Viral vectors</w:t>
      </w:r>
      <w:r w:rsidRPr="000F4E6F">
        <w:t>: Viruses have a natural ability to deliver genetic material into cells, and therefore some gene therapy products are derived from viruses. Once viruses have been modified to remove their ability to cause infectious disease, these modified viruses can be used as vectors (vehicles) to carry therapeutic genes into human cells.</w:t>
      </w:r>
      <w:r w:rsidR="00D816F7">
        <w:br/>
      </w:r>
    </w:p>
    <w:p w14:paraId="12C3D239" w14:textId="0DA2C56D" w:rsidR="00C27C80" w:rsidRPr="000F4E6F" w:rsidRDefault="00C27C80" w:rsidP="008A0DC4">
      <w:pPr>
        <w:pStyle w:val="ListContinue"/>
        <w:ind w:left="720"/>
      </w:pPr>
      <w:r w:rsidRPr="000F4E6F">
        <w:rPr>
          <w:b/>
          <w:bCs/>
        </w:rPr>
        <w:t>Bacterial vectors</w:t>
      </w:r>
      <w:r w:rsidRPr="000F4E6F">
        <w:t>: Bacteria can be modified to prevent them from causing infectious disease and then used as vectors (vehicles) to carry therapeutic genes into human tissues.</w:t>
      </w:r>
      <w:r w:rsidR="00D816F7">
        <w:br/>
      </w:r>
    </w:p>
    <w:p w14:paraId="7D64858F" w14:textId="3B64B143" w:rsidR="00C27C80" w:rsidRPr="000F4E6F" w:rsidRDefault="00C27C80" w:rsidP="008A0DC4">
      <w:pPr>
        <w:pStyle w:val="ListContinue"/>
        <w:ind w:left="720"/>
      </w:pPr>
      <w:r w:rsidRPr="000F4E6F">
        <w:rPr>
          <w:b/>
          <w:bCs/>
        </w:rPr>
        <w:t>Human gene editing technology</w:t>
      </w:r>
      <w:r w:rsidRPr="000F4E6F">
        <w:t>: The goals of gene editing are to disrupt harmful genes or to repair mutated genes.</w:t>
      </w:r>
      <w:r w:rsidR="00D816F7">
        <w:br/>
      </w:r>
    </w:p>
    <w:p w14:paraId="08C33B8A" w14:textId="277FF84E" w:rsidR="00C27C80" w:rsidRPr="000F4E6F" w:rsidRDefault="00C27C80" w:rsidP="008A0DC4">
      <w:pPr>
        <w:pStyle w:val="ListContinue"/>
        <w:ind w:left="720"/>
      </w:pPr>
      <w:r w:rsidRPr="000F4E6F">
        <w:rPr>
          <w:b/>
          <w:bCs/>
        </w:rPr>
        <w:t>Patient-derived cellular gene therapy products</w:t>
      </w:r>
      <w:r w:rsidRPr="000F4E6F">
        <w:t>: Cells are removed from the patient, genetically modified (often using a viral vector) and then returned to the patient.</w:t>
      </w:r>
      <w:r w:rsidRPr="000F4E6F">
        <w:rPr>
          <w:rStyle w:val="FootnoteReference"/>
          <w:sz w:val="20"/>
          <w:szCs w:val="20"/>
        </w:rPr>
        <w:footnoteReference w:id="9"/>
      </w:r>
      <w:r w:rsidR="00D816F7">
        <w:br/>
      </w:r>
    </w:p>
    <w:p w14:paraId="12C2B683" w14:textId="65E1A844" w:rsidR="0049056A" w:rsidRDefault="002D1505" w:rsidP="008A0DC4">
      <w:pPr>
        <w:pStyle w:val="Heading3"/>
        <w:ind w:left="709"/>
      </w:pPr>
      <w:r>
        <w:t>Development, market approval, and Australian funding status</w:t>
      </w:r>
      <w:bookmarkStart w:id="110" w:name="_Toc128663546"/>
      <w:bookmarkStart w:id="111" w:name="_Toc128663547"/>
      <w:bookmarkStart w:id="112" w:name="_Toc128663548"/>
      <w:bookmarkStart w:id="113" w:name="_Toc128663549"/>
      <w:bookmarkEnd w:id="110"/>
      <w:bookmarkEnd w:id="111"/>
      <w:bookmarkEnd w:id="112"/>
      <w:bookmarkEnd w:id="113"/>
    </w:p>
    <w:p w14:paraId="6F9A787D" w14:textId="61F5E820" w:rsidR="007115EC" w:rsidRDefault="004D38B3" w:rsidP="007115EC">
      <w:r>
        <w:t xml:space="preserve">This analysis identified </w:t>
      </w:r>
      <w:r w:rsidR="00961C76">
        <w:t xml:space="preserve">nine </w:t>
      </w:r>
      <w:r>
        <w:t>gene therapies that have market authorisation across Europe, the US and Australia</w:t>
      </w:r>
      <w:r w:rsidR="007115EC">
        <w:t xml:space="preserve">. They are </w:t>
      </w:r>
      <w:r>
        <w:t>used to treat</w:t>
      </w:r>
      <w:r w:rsidR="007115EC">
        <w:t xml:space="preserve"> certain </w:t>
      </w:r>
      <w:r>
        <w:t xml:space="preserve">familial diseases </w:t>
      </w:r>
      <w:r w:rsidR="007115EC">
        <w:t>or cancers. Currently</w:t>
      </w:r>
      <w:r w:rsidR="007115EC" w:rsidDel="000667E1">
        <w:t xml:space="preserve"> </w:t>
      </w:r>
      <w:r w:rsidR="000667E1">
        <w:t xml:space="preserve">two </w:t>
      </w:r>
      <w:r w:rsidR="007115EC">
        <w:t>gene therapies are registered in Australia and</w:t>
      </w:r>
      <w:r w:rsidR="007115EC" w:rsidDel="008260CF">
        <w:t xml:space="preserve"> </w:t>
      </w:r>
      <w:r w:rsidR="007115EC" w:rsidRPr="00FD3927">
        <w:t>are subsidised</w:t>
      </w:r>
      <w:r w:rsidR="007115EC">
        <w:t>. There are several more gene therapies in development</w:t>
      </w:r>
      <w:r w:rsidR="00F906B8">
        <w:t>.</w:t>
      </w:r>
    </w:p>
    <w:p w14:paraId="66873EAD" w14:textId="0E1BE143" w:rsidR="008E0730" w:rsidRPr="00330FBE" w:rsidRDefault="008C0A58" w:rsidP="00330FBE">
      <w:pPr>
        <w:rPr>
          <w:b/>
          <w:bCs/>
          <w:color w:val="002060"/>
        </w:rPr>
      </w:pPr>
      <w:r w:rsidRPr="00330FBE">
        <w:rPr>
          <w:b/>
          <w:bCs/>
          <w:color w:val="002060"/>
        </w:rPr>
        <w:t xml:space="preserve">Table </w:t>
      </w:r>
      <w:r w:rsidR="00B304FA" w:rsidRPr="00330FBE">
        <w:rPr>
          <w:b/>
          <w:bCs/>
          <w:color w:val="002060"/>
        </w:rPr>
        <w:fldChar w:fldCharType="begin"/>
      </w:r>
      <w:r w:rsidR="00B304FA" w:rsidRPr="00330FBE">
        <w:rPr>
          <w:b/>
          <w:bCs/>
          <w:color w:val="002060"/>
        </w:rPr>
        <w:instrText xml:space="preserve"> SEQ Table \* ARABIC </w:instrText>
      </w:r>
      <w:r w:rsidR="00B304FA" w:rsidRPr="00330FBE">
        <w:rPr>
          <w:b/>
          <w:bCs/>
          <w:color w:val="002060"/>
        </w:rPr>
        <w:fldChar w:fldCharType="separate"/>
      </w:r>
      <w:r w:rsidR="00395B47">
        <w:rPr>
          <w:b/>
          <w:bCs/>
          <w:noProof/>
          <w:color w:val="002060"/>
        </w:rPr>
        <w:t>2</w:t>
      </w:r>
      <w:r w:rsidR="00B304FA" w:rsidRPr="00330FBE">
        <w:rPr>
          <w:b/>
          <w:bCs/>
          <w:color w:val="002060"/>
        </w:rPr>
        <w:fldChar w:fldCharType="end"/>
      </w:r>
      <w:r w:rsidRPr="00330FBE">
        <w:rPr>
          <w:b/>
          <w:bCs/>
          <w:color w:val="002060"/>
        </w:rPr>
        <w:t xml:space="preserve"> </w:t>
      </w:r>
      <w:r w:rsidR="00316713" w:rsidRPr="00330FBE">
        <w:rPr>
          <w:b/>
          <w:bCs/>
          <w:color w:val="002060"/>
        </w:rPr>
        <w:t>Gene therapies</w:t>
      </w:r>
    </w:p>
    <w:tbl>
      <w:tblPr>
        <w:tblStyle w:val="DepartmentofHealthtable"/>
        <w:tblW w:w="0" w:type="auto"/>
        <w:tblLayout w:type="fixed"/>
        <w:tblLook w:val="04A0" w:firstRow="1" w:lastRow="0" w:firstColumn="1" w:lastColumn="0" w:noHBand="0" w:noVBand="1"/>
      </w:tblPr>
      <w:tblGrid>
        <w:gridCol w:w="1843"/>
        <w:gridCol w:w="2977"/>
        <w:gridCol w:w="709"/>
        <w:gridCol w:w="850"/>
        <w:gridCol w:w="851"/>
        <w:gridCol w:w="1796"/>
      </w:tblGrid>
      <w:tr w:rsidR="00FD32F4" w:rsidRPr="00DD174D" w14:paraId="0962DA3F" w14:textId="77777777" w:rsidTr="00BB68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hideMark/>
          </w:tcPr>
          <w:p w14:paraId="2B4EF387" w14:textId="13EDDC92" w:rsidR="00FD32F4" w:rsidRPr="006E00BA" w:rsidRDefault="006E00BA" w:rsidP="006055E0">
            <w:pPr>
              <w:spacing w:before="0" w:line="259" w:lineRule="auto"/>
              <w:rPr>
                <w:rFonts w:cstheme="minorHAnsi"/>
                <w:b/>
                <w:bCs/>
              </w:rPr>
            </w:pPr>
            <w:bookmarkStart w:id="114" w:name="_Hlk128655442"/>
            <w:r>
              <w:rPr>
                <w:rFonts w:asciiTheme="minorHAnsi" w:hAnsiTheme="minorHAnsi" w:cstheme="minorHAnsi"/>
                <w:b/>
                <w:bCs/>
                <w:sz w:val="20"/>
              </w:rPr>
              <w:t>Drug name (Brand name)</w:t>
            </w:r>
          </w:p>
        </w:tc>
        <w:tc>
          <w:tcPr>
            <w:tcW w:w="2977" w:type="dxa"/>
            <w:hideMark/>
          </w:tcPr>
          <w:p w14:paraId="0EE14615" w14:textId="13BAA093" w:rsidR="00FD32F4" w:rsidRPr="00AE09D0" w:rsidRDefault="00644590" w:rsidP="006055E0">
            <w:pPr>
              <w:spacing w:before="0" w:after="160"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Pr>
                <w:rFonts w:asciiTheme="minorHAnsi" w:hAnsiTheme="minorHAnsi" w:cstheme="minorHAnsi"/>
                <w:b/>
                <w:bCs/>
                <w:sz w:val="20"/>
              </w:rPr>
              <w:t xml:space="preserve">Registered </w:t>
            </w:r>
            <w:r w:rsidR="00FD32F4" w:rsidRPr="00AE09D0">
              <w:rPr>
                <w:rFonts w:asciiTheme="minorHAnsi" w:hAnsiTheme="minorHAnsi" w:cstheme="minorHAnsi"/>
                <w:b/>
                <w:bCs/>
                <w:sz w:val="20"/>
              </w:rPr>
              <w:t>Indication</w:t>
            </w:r>
          </w:p>
        </w:tc>
        <w:tc>
          <w:tcPr>
            <w:tcW w:w="709" w:type="dxa"/>
            <w:hideMark/>
          </w:tcPr>
          <w:p w14:paraId="734A4468" w14:textId="77777777" w:rsidR="00FD32F4" w:rsidRPr="00AE09D0" w:rsidRDefault="00FD32F4" w:rsidP="007E3807">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EMA</w:t>
            </w:r>
          </w:p>
        </w:tc>
        <w:tc>
          <w:tcPr>
            <w:tcW w:w="850" w:type="dxa"/>
            <w:hideMark/>
          </w:tcPr>
          <w:p w14:paraId="032F2D24" w14:textId="77777777" w:rsidR="00FD32F4" w:rsidRPr="00AE09D0" w:rsidRDefault="00FD32F4" w:rsidP="007E3807">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FDA</w:t>
            </w:r>
          </w:p>
        </w:tc>
        <w:tc>
          <w:tcPr>
            <w:tcW w:w="851" w:type="dxa"/>
            <w:hideMark/>
          </w:tcPr>
          <w:p w14:paraId="43E36C29" w14:textId="77777777" w:rsidR="00FD32F4" w:rsidRPr="00AE09D0" w:rsidRDefault="00FD32F4" w:rsidP="007E3807">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TGA</w:t>
            </w:r>
          </w:p>
        </w:tc>
        <w:tc>
          <w:tcPr>
            <w:tcW w:w="1796" w:type="dxa"/>
            <w:hideMark/>
          </w:tcPr>
          <w:p w14:paraId="06B92F93" w14:textId="7542926A" w:rsidR="00FD32F4" w:rsidRPr="00AE09D0" w:rsidRDefault="00FD32F4" w:rsidP="007E3807">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Australian Subsidy</w:t>
            </w:r>
          </w:p>
        </w:tc>
      </w:tr>
      <w:tr w:rsidR="00FD32F4" w:rsidRPr="00DD174D" w14:paraId="1BFF9B51" w14:textId="77777777" w:rsidTr="00BB6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9A88F7E" w14:textId="10B1CA49" w:rsidR="00FD32F4" w:rsidRPr="00AE09D0" w:rsidRDefault="006E00BA" w:rsidP="006055E0">
            <w:pPr>
              <w:spacing w:before="0"/>
              <w:rPr>
                <w:rFonts w:cstheme="minorHAnsi"/>
                <w:b/>
                <w:bCs/>
              </w:rPr>
            </w:pPr>
            <w:r w:rsidRPr="00AE09D0">
              <w:rPr>
                <w:rFonts w:cstheme="minorHAnsi"/>
              </w:rPr>
              <w:t>Voretigene neparvovec-rzyl</w:t>
            </w:r>
            <w:r>
              <w:rPr>
                <w:rFonts w:cstheme="minorHAnsi"/>
              </w:rPr>
              <w:t xml:space="preserve"> (</w:t>
            </w:r>
            <w:r w:rsidR="00FD32F4" w:rsidRPr="00AE09D0">
              <w:rPr>
                <w:rFonts w:cstheme="minorHAnsi"/>
              </w:rPr>
              <w:t>Luxturna</w:t>
            </w:r>
            <w:r w:rsidR="002E7B21" w:rsidRPr="00044733">
              <w:rPr>
                <w:rFonts w:cstheme="minorHAnsi"/>
              </w:rPr>
              <w:t>®</w:t>
            </w:r>
            <w:r>
              <w:rPr>
                <w:rFonts w:cstheme="minorHAnsi"/>
              </w:rPr>
              <w:t>)</w:t>
            </w:r>
          </w:p>
        </w:tc>
        <w:tc>
          <w:tcPr>
            <w:tcW w:w="2977" w:type="dxa"/>
          </w:tcPr>
          <w:p w14:paraId="1295BA74" w14:textId="77777777" w:rsidR="00FD32F4" w:rsidRPr="00AE09D0" w:rsidRDefault="00FD32F4" w:rsidP="00D17C70">
            <w:pPr>
              <w:spacing w:before="0"/>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B</w:t>
            </w:r>
            <w:r w:rsidRPr="00AE09D0">
              <w:rPr>
                <w:rFonts w:cstheme="minorHAnsi"/>
              </w:rPr>
              <w:t>iallelic RPE65 mutation-associated retinal dystrophy.</w:t>
            </w:r>
          </w:p>
        </w:tc>
        <w:tc>
          <w:tcPr>
            <w:tcW w:w="709" w:type="dxa"/>
          </w:tcPr>
          <w:p w14:paraId="151EBA47"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850" w:type="dxa"/>
          </w:tcPr>
          <w:p w14:paraId="56DCE9DE"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851" w:type="dxa"/>
          </w:tcPr>
          <w:p w14:paraId="7404CCB3"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796" w:type="dxa"/>
          </w:tcPr>
          <w:p w14:paraId="772DF42C" w14:textId="77777777" w:rsidR="00FD32F4" w:rsidRDefault="00FD32F4" w:rsidP="00AE09D0">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64B31DED" w14:textId="61906C67" w:rsidR="00FD32F4" w:rsidRPr="00AE09D0" w:rsidRDefault="00FD32F4" w:rsidP="00AE09D0">
            <w:pPr>
              <w:spacing w:before="0" w:line="259"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xml:space="preserve"> NHRA (HST)</w:t>
            </w:r>
          </w:p>
          <w:p w14:paraId="468FF6E5"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FD32F4" w:rsidRPr="00DD174D" w14:paraId="007081A1" w14:textId="77777777" w:rsidTr="00BB6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37F62A06" w14:textId="0FAA0074" w:rsidR="00FD32F4" w:rsidRPr="00AE09D0" w:rsidRDefault="00FD32F4" w:rsidP="006055E0">
            <w:pPr>
              <w:spacing w:before="0"/>
              <w:rPr>
                <w:rFonts w:cstheme="minorHAnsi"/>
              </w:rPr>
            </w:pPr>
            <w:r w:rsidRPr="00AE09D0">
              <w:rPr>
                <w:rFonts w:cstheme="minorHAnsi"/>
              </w:rPr>
              <w:t>Onasemnogene abeparvovec-xioi</w:t>
            </w:r>
            <w:r w:rsidR="006E00BA" w:rsidRPr="00AE09D0">
              <w:rPr>
                <w:rFonts w:cstheme="minorHAnsi"/>
              </w:rPr>
              <w:t xml:space="preserve"> </w:t>
            </w:r>
            <w:r w:rsidR="006E00BA">
              <w:rPr>
                <w:rFonts w:cstheme="minorHAnsi"/>
              </w:rPr>
              <w:t>(</w:t>
            </w:r>
            <w:r w:rsidR="006E00BA" w:rsidRPr="00AE09D0">
              <w:rPr>
                <w:rFonts w:cstheme="minorHAnsi"/>
              </w:rPr>
              <w:t>Zolgensma</w:t>
            </w:r>
            <w:r w:rsidR="002E7B21" w:rsidRPr="00044733">
              <w:rPr>
                <w:rFonts w:cstheme="minorHAnsi"/>
              </w:rPr>
              <w:t>®</w:t>
            </w:r>
            <w:r w:rsidR="006E00BA">
              <w:rPr>
                <w:rFonts w:cstheme="minorHAnsi"/>
              </w:rPr>
              <w:t>)</w:t>
            </w:r>
          </w:p>
        </w:tc>
        <w:tc>
          <w:tcPr>
            <w:tcW w:w="2977" w:type="dxa"/>
          </w:tcPr>
          <w:p w14:paraId="79B6F979" w14:textId="77777777" w:rsidR="00FD32F4" w:rsidRPr="00AE09D0" w:rsidRDefault="00FD32F4" w:rsidP="00D17C70">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Treatment of Spinal Muscular Atrophy (Type I)</w:t>
            </w:r>
          </w:p>
        </w:tc>
        <w:tc>
          <w:tcPr>
            <w:tcW w:w="709" w:type="dxa"/>
          </w:tcPr>
          <w:p w14:paraId="7B8D9A3A" w14:textId="77777777" w:rsidR="00FD32F4" w:rsidRPr="00AE09D0" w:rsidRDefault="00FD32F4" w:rsidP="00FD32F4">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850" w:type="dxa"/>
          </w:tcPr>
          <w:p w14:paraId="0262AC45" w14:textId="77777777"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851" w:type="dxa"/>
          </w:tcPr>
          <w:p w14:paraId="1E7776A9" w14:textId="77777777" w:rsidR="00FD32F4" w:rsidRPr="00AE09D0" w:rsidRDefault="00FD32F4" w:rsidP="00A912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1796" w:type="dxa"/>
          </w:tcPr>
          <w:p w14:paraId="680FEF96" w14:textId="77777777" w:rsidR="00FD32F4" w:rsidRDefault="00FD32F4" w:rsidP="00FD32F4">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46673531" w14:textId="77777777" w:rsidR="00FD32F4" w:rsidRPr="00AE09D0" w:rsidRDefault="00FD32F4" w:rsidP="00FD32F4">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(PBS)</w:t>
            </w:r>
          </w:p>
        </w:tc>
      </w:tr>
      <w:tr w:rsidR="00FD32F4" w:rsidRPr="00DD174D" w14:paraId="1FDE5214" w14:textId="77777777" w:rsidTr="00BB6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205DC7" w14:textId="160F16E3" w:rsidR="00FD32F4" w:rsidRPr="00AE09D0" w:rsidRDefault="00FD32F4" w:rsidP="006055E0">
            <w:pPr>
              <w:spacing w:before="0"/>
              <w:rPr>
                <w:rFonts w:cstheme="minorHAnsi"/>
              </w:rPr>
            </w:pPr>
            <w:r w:rsidRPr="00AE09D0">
              <w:rPr>
                <w:rFonts w:cstheme="minorHAnsi"/>
              </w:rPr>
              <w:t>Etranacogene dezaparvovec</w:t>
            </w:r>
            <w:r w:rsidR="006E00BA" w:rsidRPr="00AE09D0">
              <w:rPr>
                <w:rFonts w:cstheme="minorHAnsi"/>
              </w:rPr>
              <w:t xml:space="preserve"> </w:t>
            </w:r>
            <w:r w:rsidR="006E00BA">
              <w:rPr>
                <w:rFonts w:cstheme="minorHAnsi"/>
              </w:rPr>
              <w:t>(</w:t>
            </w:r>
            <w:r w:rsidR="006E00BA" w:rsidRPr="00AE09D0">
              <w:rPr>
                <w:rFonts w:cstheme="minorHAnsi"/>
              </w:rPr>
              <w:t>Hemgenix</w:t>
            </w:r>
            <w:r w:rsidR="002E7B21" w:rsidRPr="00044733">
              <w:rPr>
                <w:rFonts w:cstheme="minorHAnsi"/>
              </w:rPr>
              <w:t>®</w:t>
            </w:r>
            <w:r w:rsidR="006E00BA">
              <w:rPr>
                <w:rFonts w:cstheme="minorHAnsi"/>
              </w:rPr>
              <w:t>)</w:t>
            </w:r>
          </w:p>
        </w:tc>
        <w:tc>
          <w:tcPr>
            <w:tcW w:w="2977" w:type="dxa"/>
          </w:tcPr>
          <w:p w14:paraId="72BA4CF8" w14:textId="207124A8" w:rsidR="00FD32F4" w:rsidRPr="00AE09D0" w:rsidRDefault="00A81872" w:rsidP="00D17C7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Haemophilia</w:t>
            </w:r>
            <w:r w:rsidR="00FD32F4" w:rsidRPr="00AE09D0">
              <w:rPr>
                <w:rFonts w:cstheme="minorHAnsi"/>
              </w:rPr>
              <w:t xml:space="preserve"> B (congenital Factor IX deficiency)</w:t>
            </w:r>
          </w:p>
        </w:tc>
        <w:tc>
          <w:tcPr>
            <w:tcW w:w="709" w:type="dxa"/>
          </w:tcPr>
          <w:p w14:paraId="7027B057" w14:textId="1F25CAD7" w:rsidR="00FD32F4" w:rsidRPr="00AE09D0" w:rsidRDefault="00FD32F4" w:rsidP="00AE09D0">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r w:rsidR="00AA1B9C">
              <w:rPr>
                <w:rFonts w:cstheme="minorHAnsi"/>
              </w:rPr>
              <w:br/>
              <w:t>(O)</w:t>
            </w:r>
          </w:p>
        </w:tc>
        <w:tc>
          <w:tcPr>
            <w:tcW w:w="850" w:type="dxa"/>
          </w:tcPr>
          <w:p w14:paraId="3DA4E953" w14:textId="77777777" w:rsidR="00FD32F4" w:rsidRPr="00AE09D0" w:rsidRDefault="00FD32F4" w:rsidP="00AE09D0">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851" w:type="dxa"/>
          </w:tcPr>
          <w:p w14:paraId="1EC3406C" w14:textId="30E9F8E8" w:rsidR="00FD32F4" w:rsidRDefault="00950C84" w:rsidP="00AE09D0">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7A97E865" w14:textId="3F0F1212" w:rsidR="00E70F54" w:rsidRPr="00AE09D0" w:rsidRDefault="00E70F54" w:rsidP="00AE09D0">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796" w:type="dxa"/>
          </w:tcPr>
          <w:p w14:paraId="26271DEC" w14:textId="4BCB4FA2" w:rsidR="00FD32F4" w:rsidRDefault="0050093A" w:rsidP="00AE09D0">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30BB6354" w14:textId="6A4C6293" w:rsidR="0050093A" w:rsidRPr="00AE09D0" w:rsidRDefault="0061667E" w:rsidP="00FA5E2F">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lang w:val="en-GB"/>
              </w:rPr>
              <w:t>(</w:t>
            </w:r>
            <w:r w:rsidR="00C27C80">
              <w:rPr>
                <w:lang w:val="en-GB"/>
              </w:rPr>
              <w:t>Submission received for National Blood Agreement funding</w:t>
            </w:r>
            <w:r>
              <w:rPr>
                <w:lang w:val="en-GB"/>
              </w:rPr>
              <w:t>)</w:t>
            </w:r>
          </w:p>
        </w:tc>
      </w:tr>
      <w:tr w:rsidR="00FD32F4" w:rsidRPr="00DD174D" w14:paraId="74C7E757" w14:textId="77777777" w:rsidTr="00BB6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4D155B7F" w14:textId="5BEDC274" w:rsidR="00FA5E2F" w:rsidRDefault="00FD32F4" w:rsidP="006055E0">
            <w:pPr>
              <w:spacing w:before="0"/>
              <w:rPr>
                <w:rFonts w:cstheme="minorHAnsi"/>
              </w:rPr>
            </w:pPr>
            <w:r w:rsidRPr="00AE09D0">
              <w:rPr>
                <w:rFonts w:cstheme="minorHAnsi"/>
              </w:rPr>
              <w:t>Talimogene laherparepvec</w:t>
            </w:r>
            <w:r w:rsidR="00FA5E2F">
              <w:rPr>
                <w:rFonts w:cstheme="minorHAnsi"/>
              </w:rPr>
              <w:t xml:space="preserve"> (</w:t>
            </w:r>
            <w:r w:rsidR="00FA5E2F" w:rsidRPr="00AE09D0">
              <w:rPr>
                <w:rFonts w:cstheme="minorHAnsi"/>
              </w:rPr>
              <w:t>Imlygic</w:t>
            </w:r>
            <w:r w:rsidR="002E7B21" w:rsidRPr="00044733">
              <w:rPr>
                <w:rFonts w:cstheme="minorHAnsi"/>
              </w:rPr>
              <w:t>®</w:t>
            </w:r>
            <w:r w:rsidR="00FA5E2F">
              <w:rPr>
                <w:rFonts w:cstheme="minorHAnsi"/>
              </w:rPr>
              <w:t>)</w:t>
            </w:r>
          </w:p>
          <w:p w14:paraId="1B896961" w14:textId="4763E30A" w:rsidR="00FD32F4" w:rsidRPr="00AE09D0" w:rsidRDefault="00FD32F4" w:rsidP="006055E0">
            <w:pPr>
              <w:spacing w:before="0"/>
              <w:rPr>
                <w:rFonts w:cstheme="minorHAnsi"/>
                <w:b/>
                <w:bCs/>
              </w:rPr>
            </w:pPr>
          </w:p>
        </w:tc>
        <w:tc>
          <w:tcPr>
            <w:tcW w:w="2977" w:type="dxa"/>
          </w:tcPr>
          <w:p w14:paraId="019C5ECC" w14:textId="77777777" w:rsidR="00FD32F4" w:rsidRPr="00AE09D0" w:rsidRDefault="00FD32F4" w:rsidP="00D17C7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w:t>
            </w:r>
            <w:r w:rsidRPr="00AE09D0">
              <w:rPr>
                <w:rFonts w:cstheme="minorHAnsi"/>
              </w:rPr>
              <w:t>nresectable cutaneous, subcutaneous, and nodal lesions in patients with melanoma recurrent after initial surgery.</w:t>
            </w:r>
          </w:p>
        </w:tc>
        <w:tc>
          <w:tcPr>
            <w:tcW w:w="709" w:type="dxa"/>
          </w:tcPr>
          <w:p w14:paraId="66ED6032" w14:textId="77777777"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850" w:type="dxa"/>
          </w:tcPr>
          <w:p w14:paraId="3B903ED3" w14:textId="77777777"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851" w:type="dxa"/>
          </w:tcPr>
          <w:p w14:paraId="27C6EFBB" w14:textId="5E247393" w:rsidR="00FD32F4" w:rsidRPr="00AE09D0" w:rsidRDefault="003326C0"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 (cancelled in 2021)</w:t>
            </w:r>
          </w:p>
        </w:tc>
        <w:tc>
          <w:tcPr>
            <w:tcW w:w="1796" w:type="dxa"/>
          </w:tcPr>
          <w:p w14:paraId="2454CCFE" w14:textId="77777777" w:rsidR="00FD32F4"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15E7B2ED" w14:textId="1EED6F01" w:rsidR="0050093A" w:rsidRPr="00AE09D0" w:rsidRDefault="0061667E"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lang w:val="en-GB"/>
              </w:rPr>
              <w:t>(</w:t>
            </w:r>
            <w:r w:rsidR="0050093A">
              <w:rPr>
                <w:lang w:val="en-GB"/>
              </w:rPr>
              <w:t>Not registered</w:t>
            </w:r>
            <w:r>
              <w:rPr>
                <w:lang w:val="en-GB"/>
              </w:rPr>
              <w:t>)</w:t>
            </w:r>
          </w:p>
        </w:tc>
      </w:tr>
      <w:tr w:rsidR="00FD32F4" w:rsidRPr="00DD174D" w14:paraId="1B763734" w14:textId="797F58D0" w:rsidTr="00BB6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402EC1E" w14:textId="2C1E7D00" w:rsidR="00FD32F4" w:rsidRPr="00AE09D0" w:rsidRDefault="00FD32F4" w:rsidP="006055E0">
            <w:pPr>
              <w:spacing w:before="0"/>
              <w:rPr>
                <w:rFonts w:cstheme="minorHAnsi"/>
              </w:rPr>
            </w:pPr>
            <w:r w:rsidRPr="00D77223">
              <w:rPr>
                <w:rFonts w:cstheme="minorHAnsi"/>
              </w:rPr>
              <w:t>ASC618</w:t>
            </w:r>
          </w:p>
        </w:tc>
        <w:tc>
          <w:tcPr>
            <w:tcW w:w="2977" w:type="dxa"/>
          </w:tcPr>
          <w:p w14:paraId="6F2909F2" w14:textId="3CC34C42" w:rsidR="00FD32F4" w:rsidRPr="00AE09D0" w:rsidRDefault="00FD32F4" w:rsidP="00D17C70">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Haemophilia A</w:t>
            </w:r>
          </w:p>
        </w:tc>
        <w:tc>
          <w:tcPr>
            <w:tcW w:w="709" w:type="dxa"/>
          </w:tcPr>
          <w:p w14:paraId="146F7AF5" w14:textId="3AE07029" w:rsidR="00FD32F4" w:rsidRDefault="00F367CC"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FD32F4" w:rsidRPr="00AE09D0">
              <w:rPr>
                <w:rFonts w:cstheme="minorHAnsi"/>
              </w:rPr>
              <w:t xml:space="preserve"> </w:t>
            </w:r>
          </w:p>
          <w:p w14:paraId="13CCCE2A" w14:textId="686EF718"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w:t>
            </w:r>
            <w:r>
              <w:rPr>
                <w:rFonts w:cstheme="minorHAnsi"/>
              </w:rPr>
              <w:t>O</w:t>
            </w:r>
            <w:r w:rsidRPr="00AE09D0">
              <w:rPr>
                <w:rFonts w:cstheme="minorHAnsi"/>
              </w:rPr>
              <w:t>)</w:t>
            </w:r>
          </w:p>
        </w:tc>
        <w:tc>
          <w:tcPr>
            <w:tcW w:w="850" w:type="dxa"/>
          </w:tcPr>
          <w:p w14:paraId="330DEDD6" w14:textId="1B70545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851" w:type="dxa"/>
          </w:tcPr>
          <w:p w14:paraId="3869F6A5" w14:textId="6C3A4274"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1796" w:type="dxa"/>
          </w:tcPr>
          <w:p w14:paraId="4996A230" w14:textId="2D592512" w:rsidR="00FD32F4"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5427F1DB" w14:textId="3FF01C6D" w:rsidR="0050093A" w:rsidRPr="00AE09D0" w:rsidRDefault="0061667E"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lang w:val="en-GB"/>
              </w:rPr>
              <w:t>(Not registered)</w:t>
            </w:r>
          </w:p>
        </w:tc>
      </w:tr>
      <w:tr w:rsidR="00FD32F4" w:rsidRPr="00DD174D" w14:paraId="25CE4599" w14:textId="7B9214DD" w:rsidTr="00BB6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F8D9C91" w14:textId="3FC48A24" w:rsidR="00FD32F4" w:rsidRPr="00AE09D0" w:rsidRDefault="00FD32F4" w:rsidP="006055E0">
            <w:pPr>
              <w:spacing w:before="0"/>
              <w:rPr>
                <w:rFonts w:cstheme="minorHAnsi"/>
              </w:rPr>
            </w:pPr>
            <w:r w:rsidRPr="00AE09D0">
              <w:rPr>
                <w:rFonts w:cstheme="minorHAnsi"/>
              </w:rPr>
              <w:t>Giroctocgene fitelparvovec</w:t>
            </w:r>
            <w:r w:rsidR="007E09F4" w:rsidRPr="00AE09D0">
              <w:rPr>
                <w:rFonts w:cstheme="minorHAnsi"/>
              </w:rPr>
              <w:t xml:space="preserve"> </w:t>
            </w:r>
            <w:r w:rsidR="007E09F4">
              <w:rPr>
                <w:rFonts w:cstheme="minorHAnsi"/>
              </w:rPr>
              <w:t>(</w:t>
            </w:r>
            <w:r w:rsidR="007E09F4" w:rsidRPr="00AE09D0">
              <w:rPr>
                <w:rFonts w:cstheme="minorHAnsi"/>
              </w:rPr>
              <w:t>PF-07055480/ SB-525</w:t>
            </w:r>
            <w:r w:rsidR="007E09F4">
              <w:rPr>
                <w:rFonts w:cstheme="minorHAnsi"/>
              </w:rPr>
              <w:t>)</w:t>
            </w:r>
          </w:p>
        </w:tc>
        <w:tc>
          <w:tcPr>
            <w:tcW w:w="2977" w:type="dxa"/>
          </w:tcPr>
          <w:p w14:paraId="36BC3115" w14:textId="47DDA18B" w:rsidR="00FD32F4" w:rsidRPr="00AE09D0" w:rsidRDefault="00FD32F4" w:rsidP="00D17C70">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Haemophilia A</w:t>
            </w:r>
          </w:p>
        </w:tc>
        <w:tc>
          <w:tcPr>
            <w:tcW w:w="709" w:type="dxa"/>
          </w:tcPr>
          <w:p w14:paraId="6CB3B444" w14:textId="1BF17F2D" w:rsidR="00FD32F4" w:rsidRDefault="0064534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sidR="00FD32F4" w:rsidRPr="00AE09D0">
              <w:rPr>
                <w:rFonts w:cstheme="minorHAnsi"/>
              </w:rPr>
              <w:t xml:space="preserve"> </w:t>
            </w:r>
          </w:p>
          <w:p w14:paraId="4517730A" w14:textId="36F1D339"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w:t>
            </w:r>
            <w:r>
              <w:rPr>
                <w:rFonts w:cstheme="minorHAnsi"/>
              </w:rPr>
              <w:t>O</w:t>
            </w:r>
            <w:r w:rsidRPr="00AE09D0">
              <w:rPr>
                <w:rFonts w:cstheme="minorHAnsi"/>
              </w:rPr>
              <w:t xml:space="preserve">) </w:t>
            </w:r>
          </w:p>
        </w:tc>
        <w:tc>
          <w:tcPr>
            <w:tcW w:w="850" w:type="dxa"/>
          </w:tcPr>
          <w:p w14:paraId="2FA5147C" w14:textId="392282FF"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851" w:type="dxa"/>
          </w:tcPr>
          <w:p w14:paraId="6B0FA852" w14:textId="648882B7"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1796" w:type="dxa"/>
          </w:tcPr>
          <w:p w14:paraId="67DD135D" w14:textId="2B99752F" w:rsidR="00FD32F4"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52B9325F" w14:textId="32798939" w:rsidR="0050093A" w:rsidRPr="00AE09D0" w:rsidRDefault="0061667E"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lang w:val="en-GB"/>
              </w:rPr>
              <w:t>(Not registered)</w:t>
            </w:r>
          </w:p>
        </w:tc>
      </w:tr>
      <w:tr w:rsidR="00FD32F4" w:rsidRPr="00DD174D" w14:paraId="3DA43AA5" w14:textId="77777777" w:rsidTr="00BB6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7550C550" w14:textId="4B49BAA0" w:rsidR="00FD32F4" w:rsidRPr="00AE09D0" w:rsidRDefault="00FD32F4" w:rsidP="006055E0">
            <w:pPr>
              <w:spacing w:before="0"/>
              <w:rPr>
                <w:rFonts w:cstheme="minorHAnsi"/>
              </w:rPr>
            </w:pPr>
            <w:r w:rsidRPr="00AE09D0">
              <w:rPr>
                <w:rFonts w:cstheme="minorHAnsi"/>
              </w:rPr>
              <w:lastRenderedPageBreak/>
              <w:t>Valoctocogene roxaparvovec</w:t>
            </w:r>
            <w:r w:rsidR="007E09F4" w:rsidRPr="00AE09D0">
              <w:rPr>
                <w:rFonts w:cstheme="minorHAnsi"/>
              </w:rPr>
              <w:t xml:space="preserve"> </w:t>
            </w:r>
            <w:r w:rsidR="007E09F4">
              <w:rPr>
                <w:rFonts w:cstheme="minorHAnsi"/>
              </w:rPr>
              <w:t>(</w:t>
            </w:r>
            <w:r w:rsidR="007E09F4" w:rsidRPr="00AE09D0">
              <w:rPr>
                <w:rFonts w:cstheme="minorHAnsi"/>
              </w:rPr>
              <w:t>Roctavian</w:t>
            </w:r>
            <w:r w:rsidR="002E7B21" w:rsidRPr="00044733">
              <w:rPr>
                <w:rFonts w:cstheme="minorHAnsi"/>
              </w:rPr>
              <w:t>®</w:t>
            </w:r>
            <w:r w:rsidR="007E09F4">
              <w:rPr>
                <w:rFonts w:cstheme="minorHAnsi"/>
              </w:rPr>
              <w:t>)</w:t>
            </w:r>
          </w:p>
        </w:tc>
        <w:tc>
          <w:tcPr>
            <w:tcW w:w="2977" w:type="dxa"/>
          </w:tcPr>
          <w:p w14:paraId="36AE79E3" w14:textId="77777777" w:rsidR="00FD32F4" w:rsidRPr="00AE09D0" w:rsidRDefault="00FD32F4" w:rsidP="00D17C7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w:t>
            </w:r>
            <w:r w:rsidRPr="00AE09D0">
              <w:rPr>
                <w:rFonts w:cstheme="minorHAnsi"/>
              </w:rPr>
              <w:t>evere haemophilia A (congenital factor VIII deficiency) in adult patients without a history of factor VIII inhibitors and without detectable antibodies to adeno-associated virus serotype 5 (AAV5)</w:t>
            </w:r>
          </w:p>
        </w:tc>
        <w:tc>
          <w:tcPr>
            <w:tcW w:w="709" w:type="dxa"/>
          </w:tcPr>
          <w:p w14:paraId="5E86BBA0"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850" w:type="dxa"/>
          </w:tcPr>
          <w:p w14:paraId="71D8D1DF" w14:textId="7F96C63B" w:rsidR="00FD32F4" w:rsidRPr="00AE09D0" w:rsidRDefault="007415B3"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851" w:type="dxa"/>
          </w:tcPr>
          <w:p w14:paraId="25F855AB" w14:textId="020FE4F3"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r w:rsidR="009718F7">
              <w:rPr>
                <w:rFonts w:cstheme="minorHAnsi"/>
              </w:rPr>
              <w:t>*</w:t>
            </w:r>
            <w:r w:rsidR="00AA539C">
              <w:rPr>
                <w:rFonts w:cstheme="minorHAnsi"/>
              </w:rPr>
              <w:br/>
            </w:r>
          </w:p>
        </w:tc>
        <w:tc>
          <w:tcPr>
            <w:tcW w:w="1796" w:type="dxa"/>
          </w:tcPr>
          <w:p w14:paraId="74697632" w14:textId="77777777" w:rsidR="00FD32F4"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42FB4C20" w14:textId="0706B5AD" w:rsidR="0050093A" w:rsidRPr="00AE09D0" w:rsidRDefault="0061667E"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lang w:val="en-GB"/>
              </w:rPr>
              <w:t>(</w:t>
            </w:r>
            <w:r w:rsidR="00C27C80">
              <w:rPr>
                <w:lang w:val="en-GB"/>
              </w:rPr>
              <w:t>Submission received for National Blood Agreement funding</w:t>
            </w:r>
            <w:r>
              <w:rPr>
                <w:lang w:val="en-GB"/>
              </w:rPr>
              <w:t>)</w:t>
            </w:r>
          </w:p>
        </w:tc>
      </w:tr>
      <w:tr w:rsidR="00FD32F4" w:rsidRPr="00DD174D" w14:paraId="528E8008" w14:textId="77777777" w:rsidTr="00BB6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77E22A41" w14:textId="668967D6" w:rsidR="00FD32F4" w:rsidRPr="00AE09D0" w:rsidRDefault="007E09F4" w:rsidP="006055E0">
            <w:pPr>
              <w:spacing w:before="0"/>
              <w:rPr>
                <w:rFonts w:cstheme="minorHAnsi"/>
                <w:highlight w:val="yellow"/>
              </w:rPr>
            </w:pPr>
            <w:r>
              <w:rPr>
                <w:rFonts w:cstheme="minorHAnsi"/>
              </w:rPr>
              <w:t>E</w:t>
            </w:r>
            <w:r w:rsidR="00FD32F4" w:rsidRPr="00AE09D0">
              <w:rPr>
                <w:rFonts w:cstheme="minorHAnsi"/>
              </w:rPr>
              <w:t>ladocagene exuparvovec</w:t>
            </w:r>
            <w:r w:rsidRPr="00AE09D0">
              <w:rPr>
                <w:rFonts w:cstheme="minorHAnsi"/>
              </w:rPr>
              <w:t xml:space="preserve"> </w:t>
            </w:r>
            <w:r>
              <w:rPr>
                <w:rFonts w:cstheme="minorHAnsi"/>
              </w:rPr>
              <w:t>(</w:t>
            </w:r>
            <w:r w:rsidRPr="00AE09D0">
              <w:rPr>
                <w:rFonts w:cstheme="minorHAnsi"/>
              </w:rPr>
              <w:t>Upstaza</w:t>
            </w:r>
            <w:r w:rsidR="002E7B21" w:rsidRPr="00044733">
              <w:rPr>
                <w:rFonts w:cstheme="minorHAnsi"/>
              </w:rPr>
              <w:t>®</w:t>
            </w:r>
            <w:r>
              <w:rPr>
                <w:rFonts w:cstheme="minorHAnsi"/>
              </w:rPr>
              <w:t>)</w:t>
            </w:r>
          </w:p>
        </w:tc>
        <w:tc>
          <w:tcPr>
            <w:tcW w:w="2977" w:type="dxa"/>
          </w:tcPr>
          <w:p w14:paraId="3A7BF879" w14:textId="2F98048B" w:rsidR="00FD32F4" w:rsidRPr="00AE09D0" w:rsidRDefault="00FD32F4" w:rsidP="00D17C7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w:t>
            </w:r>
            <w:r w:rsidRPr="005D7CBF">
              <w:rPr>
                <w:rFonts w:cstheme="minorHAnsi"/>
              </w:rPr>
              <w:t>evere aromatic L-amino acid decarboxylase (AADC) deficienc</w:t>
            </w:r>
            <w:r w:rsidR="00A81872">
              <w:rPr>
                <w:rFonts w:cstheme="minorHAnsi"/>
              </w:rPr>
              <w:t>y</w:t>
            </w:r>
          </w:p>
        </w:tc>
        <w:tc>
          <w:tcPr>
            <w:tcW w:w="709" w:type="dxa"/>
          </w:tcPr>
          <w:p w14:paraId="0210254D" w14:textId="77777777" w:rsidR="00FD32F4"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40F81359" w14:textId="5F5C0911" w:rsidR="0042353A" w:rsidRPr="00AE09D0" w:rsidRDefault="0042353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(O)</w:t>
            </w:r>
          </w:p>
        </w:tc>
        <w:tc>
          <w:tcPr>
            <w:tcW w:w="850" w:type="dxa"/>
          </w:tcPr>
          <w:p w14:paraId="080B0B90" w14:textId="77777777"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851" w:type="dxa"/>
          </w:tcPr>
          <w:p w14:paraId="2AC738B4" w14:textId="77777777" w:rsidR="00FD32F4" w:rsidRPr="00AE09D0"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1796" w:type="dxa"/>
          </w:tcPr>
          <w:p w14:paraId="50FD99C9" w14:textId="77777777" w:rsidR="00FD32F4" w:rsidRDefault="00FD32F4"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37D71D5E" w14:textId="329682BE" w:rsidR="0050093A" w:rsidRPr="00AE09D0" w:rsidRDefault="0061667E"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61667E">
              <w:rPr>
                <w:lang w:val="en-GB"/>
              </w:rPr>
              <w:t>(Not registered)</w:t>
            </w:r>
          </w:p>
        </w:tc>
      </w:tr>
      <w:tr w:rsidR="00FD32F4" w:rsidRPr="00DD174D" w14:paraId="2A37AC02" w14:textId="77777777" w:rsidTr="00BB6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3FD2876D" w14:textId="4061632B" w:rsidR="00FD32F4" w:rsidRPr="00AE09D0" w:rsidRDefault="00FD32F4" w:rsidP="006055E0">
            <w:pPr>
              <w:spacing w:before="0"/>
              <w:rPr>
                <w:rFonts w:cstheme="minorHAnsi"/>
              </w:rPr>
            </w:pPr>
            <w:r w:rsidRPr="00AE09D0">
              <w:rPr>
                <w:rFonts w:cstheme="minorHAnsi"/>
              </w:rPr>
              <w:t>Nadofaragene firadenovec</w:t>
            </w:r>
            <w:r w:rsidR="00E5618E">
              <w:rPr>
                <w:rFonts w:cstheme="minorHAnsi"/>
              </w:rPr>
              <w:t xml:space="preserve"> (</w:t>
            </w:r>
            <w:r w:rsidR="00E5618E" w:rsidRPr="00AE09D0">
              <w:rPr>
                <w:rFonts w:cstheme="minorHAnsi"/>
              </w:rPr>
              <w:t>Adstiladrin</w:t>
            </w:r>
            <w:r w:rsidR="002E7B21" w:rsidRPr="00044733">
              <w:rPr>
                <w:rFonts w:cstheme="minorHAnsi"/>
              </w:rPr>
              <w:t>®</w:t>
            </w:r>
            <w:r w:rsidR="00E5618E">
              <w:rPr>
                <w:rFonts w:cstheme="minorHAnsi"/>
              </w:rPr>
              <w:t>)</w:t>
            </w:r>
          </w:p>
        </w:tc>
        <w:tc>
          <w:tcPr>
            <w:tcW w:w="2977" w:type="dxa"/>
          </w:tcPr>
          <w:p w14:paraId="0AA2363F" w14:textId="5C1B9D9B" w:rsidR="00FD32F4" w:rsidRPr="00AE09D0" w:rsidRDefault="00FD32F4" w:rsidP="00D17C7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w:t>
            </w:r>
            <w:r w:rsidRPr="00AE09D0">
              <w:rPr>
                <w:rFonts w:cstheme="minorHAnsi"/>
              </w:rPr>
              <w:t xml:space="preserve">igh-risk Bacillus Calmette-Guérin (BCG)-unresponsive non-muscle invasive bladder cancer (NMIBC) with carcinoma in situ (CIS) with or without papillary </w:t>
            </w:r>
            <w:r w:rsidR="00A81872" w:rsidRPr="00AE09D0">
              <w:rPr>
                <w:rFonts w:cstheme="minorHAnsi"/>
              </w:rPr>
              <w:t>tumours</w:t>
            </w:r>
          </w:p>
        </w:tc>
        <w:tc>
          <w:tcPr>
            <w:tcW w:w="709" w:type="dxa"/>
          </w:tcPr>
          <w:p w14:paraId="0C07B39B"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850" w:type="dxa"/>
          </w:tcPr>
          <w:p w14:paraId="1E81F4F0"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851" w:type="dxa"/>
          </w:tcPr>
          <w:p w14:paraId="7A9E546E" w14:textId="77777777" w:rsidR="00FD32F4" w:rsidRPr="00AE09D0"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1796" w:type="dxa"/>
          </w:tcPr>
          <w:p w14:paraId="2763E3D7" w14:textId="77777777" w:rsidR="00FD32F4" w:rsidRDefault="00FD32F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2719F779" w14:textId="424FBF36" w:rsidR="0050093A" w:rsidRPr="00AE09D0" w:rsidRDefault="0061667E"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61667E">
              <w:rPr>
                <w:lang w:val="en-GB"/>
              </w:rPr>
              <w:t>(Not registered)</w:t>
            </w:r>
          </w:p>
        </w:tc>
      </w:tr>
      <w:tr w:rsidR="00C5420E" w:rsidRPr="00DD174D" w14:paraId="128F9D52" w14:textId="77777777" w:rsidTr="00BB6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2AD778DC" w14:textId="4C47C1D0" w:rsidR="00C5420E" w:rsidRPr="00AE09D0" w:rsidRDefault="00B927E2" w:rsidP="006055E0">
            <w:pPr>
              <w:spacing w:before="0"/>
              <w:rPr>
                <w:rFonts w:cstheme="minorHAnsi"/>
              </w:rPr>
            </w:pPr>
            <w:r>
              <w:rPr>
                <w:rFonts w:cstheme="minorHAnsi"/>
              </w:rPr>
              <w:t>D</w:t>
            </w:r>
            <w:r w:rsidRPr="00B927E2">
              <w:rPr>
                <w:rFonts w:cstheme="minorHAnsi"/>
              </w:rPr>
              <w:t>elandistrogene moxeparvovec-rokl)</w:t>
            </w:r>
            <w:r>
              <w:rPr>
                <w:rFonts w:cstheme="minorHAnsi"/>
              </w:rPr>
              <w:t xml:space="preserve"> </w:t>
            </w:r>
            <w:r>
              <w:rPr>
                <w:rFonts w:cstheme="minorHAnsi"/>
              </w:rPr>
              <w:br/>
              <w:t>(Elevidys)</w:t>
            </w:r>
          </w:p>
        </w:tc>
        <w:tc>
          <w:tcPr>
            <w:tcW w:w="2977" w:type="dxa"/>
          </w:tcPr>
          <w:p w14:paraId="27444C8A" w14:textId="2F50EDCA" w:rsidR="00C5420E" w:rsidRDefault="009D61AA" w:rsidP="00D17C70">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9D61AA">
              <w:rPr>
                <w:rFonts w:cstheme="minorHAnsi"/>
              </w:rPr>
              <w:t>Treatment of ambulatory pediatric patients aged 4 through 5 years with Duchenne muscular dystrophy (DMD) with a confirmed mutation in the DMD gene.</w:t>
            </w:r>
          </w:p>
        </w:tc>
        <w:tc>
          <w:tcPr>
            <w:tcW w:w="709" w:type="dxa"/>
          </w:tcPr>
          <w:p w14:paraId="023921F4" w14:textId="51C35F7C" w:rsidR="00C5420E" w:rsidRPr="00AE09D0" w:rsidRDefault="00D1426F"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850" w:type="dxa"/>
          </w:tcPr>
          <w:p w14:paraId="64D83C9E" w14:textId="4B47B431" w:rsidR="00C5420E" w:rsidRPr="00AE09D0" w:rsidRDefault="009D61A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851" w:type="dxa"/>
          </w:tcPr>
          <w:p w14:paraId="569A7555" w14:textId="275F0AD9" w:rsidR="00C5420E" w:rsidRPr="00AE09D0" w:rsidRDefault="00D1426F"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796" w:type="dxa"/>
          </w:tcPr>
          <w:p w14:paraId="7E9418FD" w14:textId="4822F4B5" w:rsidR="00C5420E" w:rsidRDefault="00D1426F"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Pr>
                <w:rFonts w:cstheme="minorHAnsi"/>
              </w:rPr>
              <w:br/>
              <w:t>(Not registered)</w:t>
            </w:r>
          </w:p>
        </w:tc>
      </w:tr>
      <w:tr w:rsidR="00202588" w:rsidRPr="00DD174D" w14:paraId="181C4440" w14:textId="77777777" w:rsidTr="00BB6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14:paraId="0063D981" w14:textId="539BD8E9" w:rsidR="00202588" w:rsidRDefault="00B62AAD" w:rsidP="006055E0">
            <w:pPr>
              <w:spacing w:before="0"/>
              <w:rPr>
                <w:rFonts w:cstheme="minorHAnsi"/>
              </w:rPr>
            </w:pPr>
            <w:r>
              <w:t>Beremagene geperpavec-svdt</w:t>
            </w:r>
            <w:r>
              <w:br/>
              <w:t>(Vyjuvek)</w:t>
            </w:r>
          </w:p>
        </w:tc>
        <w:tc>
          <w:tcPr>
            <w:tcW w:w="2977" w:type="dxa"/>
          </w:tcPr>
          <w:p w14:paraId="119BDDDE" w14:textId="2258A1D7" w:rsidR="00202588" w:rsidRPr="009D61AA" w:rsidRDefault="00B62AAD" w:rsidP="00D17C70">
            <w:pPr>
              <w:spacing w:before="0"/>
              <w:cnfStyle w:val="000000100000" w:firstRow="0" w:lastRow="0" w:firstColumn="0" w:lastColumn="0" w:oddVBand="0" w:evenVBand="0" w:oddHBand="1" w:evenHBand="0" w:firstRowFirstColumn="0" w:firstRowLastColumn="0" w:lastRowFirstColumn="0" w:lastRowLastColumn="0"/>
              <w:rPr>
                <w:rFonts w:cstheme="minorHAnsi"/>
              </w:rPr>
            </w:pPr>
            <w:r>
              <w:t>Dystrophic epidermolysis bullosa with mutation(s) in the collagen type VII alpha 1 chain (COL7A1) gene</w:t>
            </w:r>
          </w:p>
        </w:tc>
        <w:tc>
          <w:tcPr>
            <w:tcW w:w="709" w:type="dxa"/>
          </w:tcPr>
          <w:p w14:paraId="36992B02" w14:textId="77777777" w:rsidR="00202588" w:rsidRDefault="00914DD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239B4360" w14:textId="42F2182A" w:rsidR="00EA1AA6" w:rsidRDefault="00EA1AA6"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850" w:type="dxa"/>
          </w:tcPr>
          <w:p w14:paraId="167484CA" w14:textId="52868230" w:rsidR="00202588" w:rsidRDefault="00B62A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851" w:type="dxa"/>
          </w:tcPr>
          <w:p w14:paraId="0F16E6F1" w14:textId="63B08FD4" w:rsidR="00202588" w:rsidRDefault="00914DD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796" w:type="dxa"/>
          </w:tcPr>
          <w:p w14:paraId="7CA66FCF" w14:textId="226E5BFD" w:rsidR="00202588" w:rsidRDefault="00914DD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Pr>
                <w:rFonts w:cstheme="minorHAnsi"/>
              </w:rPr>
              <w:br/>
              <w:t>(Not registered)</w:t>
            </w:r>
          </w:p>
        </w:tc>
      </w:tr>
    </w:tbl>
    <w:bookmarkEnd w:id="114"/>
    <w:p w14:paraId="0895EE57" w14:textId="52BE8D5C" w:rsidR="00DB3F90" w:rsidRPr="005B5505" w:rsidRDefault="00191534" w:rsidP="008A0DC4">
      <w:pPr>
        <w:pStyle w:val="Caption"/>
      </w:pPr>
      <w:r w:rsidRPr="008A0DC4">
        <w:rPr>
          <w:i w:val="0"/>
        </w:rPr>
        <w:t>Y= registered or funded. N = not registered</w:t>
      </w:r>
      <w:r w:rsidR="000E68A5" w:rsidRPr="008A0DC4">
        <w:rPr>
          <w:i w:val="0"/>
        </w:rPr>
        <w:t xml:space="preserve"> (including not approved for registration)</w:t>
      </w:r>
      <w:r w:rsidRPr="008A0DC4">
        <w:rPr>
          <w:i w:val="0"/>
        </w:rPr>
        <w:t xml:space="preserve">. </w:t>
      </w:r>
      <w:r w:rsidR="0042596A" w:rsidRPr="008A0DC4">
        <w:rPr>
          <w:i w:val="0"/>
        </w:rPr>
        <w:t xml:space="preserve">O = </w:t>
      </w:r>
      <w:r w:rsidR="009F0365" w:rsidRPr="008A0DC4">
        <w:rPr>
          <w:i w:val="0"/>
        </w:rPr>
        <w:t xml:space="preserve">Orphan medicine (EMA): A medicine for the diagnosis, </w:t>
      </w:r>
      <w:r w:rsidR="00A81872" w:rsidRPr="008A0DC4">
        <w:rPr>
          <w:i w:val="0"/>
        </w:rPr>
        <w:t>prevention,</w:t>
      </w:r>
      <w:r w:rsidR="009F0365" w:rsidRPr="008A0DC4">
        <w:rPr>
          <w:i w:val="0"/>
        </w:rPr>
        <w:t xml:space="preserve"> or treatment of a life-threatening or chronically debilitating condition that is rare (affecting not more than five in 10,000 people in the European Union) or where the medicine is unlikely to generate sufficient profit to justify research and development costs.</w:t>
      </w:r>
      <w:bookmarkStart w:id="115" w:name="_Ref130465753"/>
      <w:r w:rsidR="00BE3911" w:rsidRPr="008A0DC4">
        <w:rPr>
          <w:rStyle w:val="FootnoteReference"/>
          <w:i w:val="0"/>
        </w:rPr>
        <w:footnoteReference w:id="10"/>
      </w:r>
      <w:bookmarkEnd w:id="115"/>
      <w:r w:rsidRPr="008A0DC4">
        <w:rPr>
          <w:i w:val="0"/>
        </w:rPr>
        <w:t xml:space="preserve"> </w:t>
      </w:r>
      <w:r w:rsidR="00502053" w:rsidRPr="008A0DC4">
        <w:rPr>
          <w:i w:val="0"/>
        </w:rPr>
        <w:t>* =</w:t>
      </w:r>
      <w:r w:rsidR="009A57CE" w:rsidRPr="008A0DC4">
        <w:rPr>
          <w:i w:val="0"/>
        </w:rPr>
        <w:t xml:space="preserve"> submission</w:t>
      </w:r>
      <w:r w:rsidR="00502053" w:rsidRPr="008A0DC4">
        <w:rPr>
          <w:i w:val="0"/>
        </w:rPr>
        <w:t xml:space="preserve"> currently under evaluation</w:t>
      </w:r>
      <w:r w:rsidR="009A57CE" w:rsidRPr="008A0DC4">
        <w:rPr>
          <w:i w:val="0"/>
        </w:rPr>
        <w:t xml:space="preserve"> with regulator</w:t>
      </w:r>
      <w:r w:rsidR="009A57CE" w:rsidRPr="008A0DC4">
        <w:rPr>
          <w:i w:val="0"/>
          <w:iCs w:val="0"/>
        </w:rPr>
        <w:t>.</w:t>
      </w:r>
    </w:p>
    <w:p w14:paraId="369EC96A" w14:textId="5092774C" w:rsidR="0089310C" w:rsidRPr="00A167C3" w:rsidRDefault="00FD32F4" w:rsidP="005D4361">
      <w:r>
        <w:t xml:space="preserve">It has been reported that </w:t>
      </w:r>
      <w:r w:rsidR="005D4361">
        <w:t xml:space="preserve">there are </w:t>
      </w:r>
      <w:r w:rsidR="00A81872">
        <w:t>many</w:t>
      </w:r>
      <w:r w:rsidR="005D4361">
        <w:t xml:space="preserve"> </w:t>
      </w:r>
      <w:r w:rsidR="008C6793">
        <w:t>gene therapie</w:t>
      </w:r>
      <w:r w:rsidR="005D4361">
        <w:t>s in the development pipeline. In 2019 the FDA predicted that it would approve 10-20 new cell and gene therapies a year by 2025.</w:t>
      </w:r>
      <w:r w:rsidR="005D4361">
        <w:rPr>
          <w:rStyle w:val="FootnoteReference"/>
        </w:rPr>
        <w:footnoteReference w:id="11"/>
      </w:r>
    </w:p>
    <w:p w14:paraId="3C8D40DD" w14:textId="0B1421F2" w:rsidR="00ED2DF5" w:rsidRDefault="00026EDB" w:rsidP="008A0DC4">
      <w:pPr>
        <w:pStyle w:val="Heading3"/>
        <w:ind w:left="709"/>
      </w:pPr>
      <w:bookmarkStart w:id="116" w:name="_Toc128663551"/>
      <w:bookmarkEnd w:id="116"/>
      <w:r>
        <w:t>Assessment for funding of</w:t>
      </w:r>
      <w:r w:rsidR="007115EC">
        <w:t xml:space="preserve"> gene therapies in Australia</w:t>
      </w:r>
    </w:p>
    <w:p w14:paraId="391B7F26" w14:textId="77777777" w:rsidR="00900945" w:rsidRDefault="00472F20" w:rsidP="00A167C3">
      <w:r>
        <w:t>The assessment and funding pathways for gene therapies</w:t>
      </w:r>
      <w:r w:rsidR="009E4AE9">
        <w:t xml:space="preserve"> so far have </w:t>
      </w:r>
      <w:r>
        <w:t>var</w:t>
      </w:r>
      <w:r w:rsidR="009E4AE9">
        <w:t>ied</w:t>
      </w:r>
      <w:r>
        <w:t xml:space="preserve"> depending on treatment setting and cost. The gene therapies funded to date have required the creation of complex implementation arrangements to manage risks associated with </w:t>
      </w:r>
      <w:r w:rsidR="009E4AE9">
        <w:t>uncertain clinical effectiveness and associated cost-effectiveness</w:t>
      </w:r>
      <w:r w:rsidR="005D4361">
        <w:t xml:space="preserve"> particularly over the long term</w:t>
      </w:r>
      <w:r w:rsidR="009E4AE9">
        <w:t xml:space="preserve">. </w:t>
      </w:r>
    </w:p>
    <w:p w14:paraId="44D335DC" w14:textId="01551BE3" w:rsidR="00F611E8" w:rsidRDefault="00AE262F" w:rsidP="00A167C3">
      <w:r>
        <w:rPr>
          <w:noProof/>
        </w:rPr>
        <mc:AlternateContent>
          <mc:Choice Requires="wps">
            <w:drawing>
              <wp:inline distT="0" distB="0" distL="0" distR="0" wp14:anchorId="4D1D6CC5" wp14:editId="46D5F19E">
                <wp:extent cx="5839460" cy="1302385"/>
                <wp:effectExtent l="0" t="0" r="27940" b="1206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302385"/>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1F371681" w14:textId="77777777" w:rsidR="00AE262F" w:rsidRPr="00327595" w:rsidRDefault="00AE262F" w:rsidP="00615739">
                            <w:pPr>
                              <w:rPr>
                                <w:rStyle w:val="Strong"/>
                              </w:rPr>
                            </w:pPr>
                            <w:r w:rsidRPr="00615739">
                              <w:rPr>
                                <w:rStyle w:val="Strong"/>
                              </w:rPr>
                              <w:t>Zolgensma</w:t>
                            </w:r>
                          </w:p>
                          <w:p w14:paraId="1F670C09" w14:textId="77777777" w:rsidR="00AE262F" w:rsidRDefault="00AE262F" w:rsidP="00AE262F">
                            <w:pPr>
                              <w:widowControl w:val="0"/>
                              <w:spacing w:before="0"/>
                            </w:pPr>
                            <w:r>
                              <w:t>Zolgensma</w:t>
                            </w:r>
                            <w:r w:rsidRPr="00EE464E">
                              <w:t xml:space="preserve"> was considered</w:t>
                            </w:r>
                            <w:r w:rsidRPr="00914CA2">
                              <w:t xml:space="preserve"> </w:t>
                            </w:r>
                            <w:r>
                              <w:t>by the PBAC for listing on the PBS at its November 2020, May 2021, and September 2021 meetings. It was recommended for listing on the PBS under the Section 100 Highly Specialised Drugs Program on a cost-minimisation basis to risdiplam. The PBAC agreed to the proposal for an outcomes-based risk sharing arrangement to address uncertainties with the clinical evidence and associated cost effectiveness.</w:t>
                            </w:r>
                            <w:r>
                              <w:rPr>
                                <w:rStyle w:val="FootnoteReference"/>
                              </w:rPr>
                              <w:footnoteRef/>
                            </w:r>
                            <w:r w:rsidRPr="00F65D12">
                              <w:rPr>
                                <w:vertAlign w:val="superscript"/>
                              </w:rPr>
                              <w:t>1</w:t>
                            </w:r>
                          </w:p>
                          <w:p w14:paraId="4F457F73" w14:textId="77777777" w:rsidR="00AE262F" w:rsidRDefault="00AE262F" w:rsidP="00AE262F"/>
                        </w:txbxContent>
                      </wps:txbx>
                      <wps:bodyPr rot="0" vert="horz" wrap="square" lIns="91440" tIns="45720" rIns="91440" bIns="45720" anchor="t" anchorCtr="0">
                        <a:noAutofit/>
                      </wps:bodyPr>
                    </wps:wsp>
                  </a:graphicData>
                </a:graphic>
              </wp:inline>
            </w:drawing>
          </mc:Choice>
          <mc:Fallback>
            <w:pict>
              <v:shapetype w14:anchorId="4D1D6CC5" id="_x0000_t202" coordsize="21600,21600" o:spt="202" path="m,l,21600r21600,l21600,xe">
                <v:stroke joinstyle="miter"/>
                <v:path gradientshapeok="t" o:connecttype="rect"/>
              </v:shapetype>
              <v:shape id="Text Box 23" o:spid="_x0000_s1026" type="#_x0000_t202" style="width:459.8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1vKgIAAJwEAAAOAAAAZHJzL2Uyb0RvYy54bWy8VNuO0zAQfUfiHyy/06RX2qjpaumyCGm5&#10;SLt8gOs4jYXtMbbbpHw9YyftFnhbIfpgeWacM5czp+ubTityFM5LMCUdj3JKhOFQSbMv6ben+zdL&#10;SnxgpmIKjCjpSXh6s3n9at3aQkygAVUJRxDE+KK1JW1CsEWWed4IzfwIrDAYrMFpFtB0+6xyrEV0&#10;rbJJni+yFlxlHXDhPXrv+iDdJPy6Fjx8qWsvAlElxdpCOl06d/HMNmtW7B2zjeRDGewFVWgmDSa9&#10;QN2xwMjByb+gtOQOPNRhxEFnUNeSi9QDdjPO/+jmsWFWpF5wON5exuT/HSz/fHy0Xx0J3TvokMDU&#10;hLcPwL97YmDbMLMXt85B2whWYeJxHFnWWl8Mn8ZR+8JHkF37CSokmR0CJKCudjpOBfskiI4EnC5D&#10;F10gHJ3z5XQ1W2CIY2w8zSfT5TzlYMX5c+t8+CBAk3gpqUNWEzw7PvgQy2HF+UnM5kHJ6l4qlYy4&#10;SWKrHDky3AHGuTChb1MdNNbb+2c5/vptQDfuTO9enN2YIu1kREoJf0uiDGlLuppP5v38/nsBWgaU&#10;kZK6pMtY8tBK5Oy9qdKSByZVf8delBlIjLz1DIZu1+HDSOYOqhPS6aCXC8obLw24n5S0KJWS+h8H&#10;5gQl6qPBlViNZ7OorWTM5m8naLjryO46wgxHqJIGSvrrNiQ9RrIM3OLq1DKR+lzJUCtKII1+kGvU&#10;2LWdXj3/qWx+AQAA//8DAFBLAwQUAAYACAAAACEAPbMzpd8AAAAFAQAADwAAAGRycy9kb3ducmV2&#10;LnhtbEyPT0vDQBDF74LfYRnBi9hNCq0mZlNEKAgi0r+0t012TGKzsyG7beO37+hFLwOP93jvN9ls&#10;sK04Ye8bRwriUQQCqXSmoUrBejW/fwThgyajW0eo4Bs9zPLrq0ynxp1pgadlqASXkE+1gjqELpXS&#10;lzVa7UeuQ2Lv0/VWB5Z9JU2vz1xuWzmOoqm0uiFeqHWHLzWWh+XRKth/fbxvF7K4e5gk8m2737we&#10;5n6n1O3N8PwEIuAQ/sLwg8/okDNT4Y5kvGgV8CPh97KXxMkURKFgHE1ikHkm/9PnFwAAAP//AwBQ&#10;SwECLQAUAAYACAAAACEAtoM4kv4AAADhAQAAEwAAAAAAAAAAAAAAAAAAAAAAW0NvbnRlbnRfVHlw&#10;ZXNdLnhtbFBLAQItABQABgAIAAAAIQA4/SH/1gAAAJQBAAALAAAAAAAAAAAAAAAAAC8BAABfcmVs&#10;cy8ucmVsc1BLAQItABQABgAIAAAAIQDw8g1vKgIAAJwEAAAOAAAAAAAAAAAAAAAAAC4CAABkcnMv&#10;ZTJvRG9jLnhtbFBLAQItABQABgAIAAAAIQA9szOl3wAAAAUBAAAPAAAAAAAAAAAAAAAAAIQEAABk&#10;cnMvZG93bnJldi54bWxQSwUGAAAAAAQABADzAAAAkAUAAAAA&#10;" fillcolor="#b4c6e7 [1300]" strokecolor="#b4c6e7 [1300]">
                <v:textbox>
                  <w:txbxContent>
                    <w:p w14:paraId="1F371681" w14:textId="77777777" w:rsidR="00AE262F" w:rsidRPr="00327595" w:rsidRDefault="00AE262F" w:rsidP="00615739">
                      <w:pPr>
                        <w:rPr>
                          <w:rStyle w:val="Strong"/>
                        </w:rPr>
                      </w:pPr>
                      <w:r w:rsidRPr="00615739">
                        <w:rPr>
                          <w:rStyle w:val="Strong"/>
                        </w:rPr>
                        <w:t>Zolgensma</w:t>
                      </w:r>
                    </w:p>
                    <w:p w14:paraId="1F670C09" w14:textId="77777777" w:rsidR="00AE262F" w:rsidRDefault="00AE262F" w:rsidP="00AE262F">
                      <w:pPr>
                        <w:widowControl w:val="0"/>
                        <w:spacing w:before="0"/>
                      </w:pPr>
                      <w:r>
                        <w:t>Zolgensma</w:t>
                      </w:r>
                      <w:r w:rsidRPr="00EE464E">
                        <w:t xml:space="preserve"> was considered</w:t>
                      </w:r>
                      <w:r w:rsidRPr="00914CA2">
                        <w:t xml:space="preserve"> </w:t>
                      </w:r>
                      <w:r>
                        <w:t>by the PBAC for listing on the PBS at its November 2020, May 2021, and September 2021 meetings. It was recommended for listing on the PBS under the Section 100 Highly Specialised Drugs Program on a cost-minimisation basis to risdiplam. The PBAC agreed to the proposal for an outcomes-based risk sharing arrangement to address uncertainties with the clinical evidence and associated cost effectiveness.</w:t>
                      </w:r>
                      <w:r>
                        <w:rPr>
                          <w:rStyle w:val="FootnoteReference"/>
                        </w:rPr>
                        <w:footnoteRef/>
                      </w:r>
                      <w:r w:rsidRPr="00F65D12">
                        <w:rPr>
                          <w:vertAlign w:val="superscript"/>
                        </w:rPr>
                        <w:t>1</w:t>
                      </w:r>
                    </w:p>
                    <w:p w14:paraId="4F457F73" w14:textId="77777777" w:rsidR="00AE262F" w:rsidRDefault="00AE262F" w:rsidP="00AE262F"/>
                  </w:txbxContent>
                </v:textbox>
                <w10:anchorlock/>
              </v:shape>
            </w:pict>
          </mc:Fallback>
        </mc:AlternateContent>
      </w:r>
    </w:p>
    <w:p w14:paraId="295989B9" w14:textId="505FDDB7" w:rsidR="00C16360" w:rsidRDefault="00C16360" w:rsidP="00A167C3">
      <w:r>
        <w:rPr>
          <w:noProof/>
        </w:rPr>
        <w:lastRenderedPageBreak/>
        <mc:AlternateContent>
          <mc:Choice Requires="wps">
            <w:drawing>
              <wp:inline distT="0" distB="0" distL="0" distR="0" wp14:anchorId="55F41C4C" wp14:editId="56F44527">
                <wp:extent cx="5839460" cy="1404620"/>
                <wp:effectExtent l="0" t="0" r="27940" b="2794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3CD9EA69" w14:textId="77777777" w:rsidR="00CB5698" w:rsidRPr="00213A29" w:rsidRDefault="00CB5698" w:rsidP="00615739">
                            <w:pPr>
                              <w:rPr>
                                <w:rStyle w:val="Strong"/>
                              </w:rPr>
                            </w:pPr>
                            <w:r w:rsidRPr="00213A29">
                              <w:rPr>
                                <w:rStyle w:val="Strong"/>
                              </w:rPr>
                              <w:t>Luxturna</w:t>
                            </w:r>
                          </w:p>
                          <w:p w14:paraId="0F027FC9" w14:textId="3BE86823" w:rsidR="00CB5698" w:rsidRDefault="00CB5698" w:rsidP="00CB5698">
                            <w:pPr>
                              <w:widowControl w:val="0"/>
                              <w:spacing w:before="0"/>
                            </w:pPr>
                            <w:r>
                              <w:t>Luxturna was considered by the MSAC at its July 2020 and November 2020 meetings. At the November 2020 meeting the MSAC supported joint Commonwealth and State/Territory funding through the Highly Specialised Funding arrangements under the National Health Reform Agreement. MSAC considered that several measures should be implemented to contain risks associated with public funding which included treatment centres meeting eligibility criteria, pay for performance arrangements, provision of biannual reports to the Department of Health and Aged Care on numbers of patients treated and treatment results, and a full review of clinical effectiveness, cost effectiveness and budget impact no later than 3 years post the commencement of public subsidy.</w:t>
                            </w:r>
                            <w:r>
                              <w:rPr>
                                <w:rStyle w:val="FootnoteReference"/>
                              </w:rPr>
                              <w:footnoteRef/>
                            </w:r>
                            <w:r w:rsidR="0040367E" w:rsidRPr="00213A29">
                              <w:rPr>
                                <w:vertAlign w:val="superscript"/>
                              </w:rPr>
                              <w:t>2</w:t>
                            </w:r>
                          </w:p>
                          <w:p w14:paraId="6DECF9FD" w14:textId="77777777" w:rsidR="00CB5698" w:rsidRPr="00213A29" w:rsidRDefault="00CB5698" w:rsidP="00615739">
                            <w:pPr>
                              <w:rPr>
                                <w:rStyle w:val="Strong"/>
                              </w:rPr>
                            </w:pPr>
                            <w:r w:rsidRPr="00213A29">
                              <w:rPr>
                                <w:rStyle w:val="Strong"/>
                              </w:rPr>
                              <w:t>Hemgenix</w:t>
                            </w:r>
                          </w:p>
                          <w:p w14:paraId="390BD8EC" w14:textId="7C83DC46" w:rsidR="00C16360" w:rsidRDefault="00CB5698" w:rsidP="00213A29">
                            <w:pPr>
                              <w:widowControl w:val="0"/>
                              <w:spacing w:before="0"/>
                            </w:pPr>
                            <w:r>
                              <w:t>The sponsor for Hemgenix has applied for public funding through National Blood Arrangements. Hemgenix is currently being considered by MSAC.</w:t>
                            </w:r>
                            <w:r>
                              <w:rPr>
                                <w:rStyle w:val="FootnoteReference"/>
                              </w:rPr>
                              <w:footnoteRef/>
                            </w:r>
                            <w:r w:rsidR="00C2336D" w:rsidRPr="00213A29">
                              <w:rPr>
                                <w:vertAlign w:val="superscript"/>
                              </w:rPr>
                              <w:t>3</w:t>
                            </w:r>
                          </w:p>
                        </w:txbxContent>
                      </wps:txbx>
                      <wps:bodyPr rot="0" vert="horz" wrap="square" lIns="91440" tIns="45720" rIns="91440" bIns="45720" anchor="t" anchorCtr="0">
                        <a:spAutoFit/>
                      </wps:bodyPr>
                    </wps:wsp>
                  </a:graphicData>
                </a:graphic>
              </wp:inline>
            </w:drawing>
          </mc:Choice>
          <mc:Fallback>
            <w:pict>
              <v:shape w14:anchorId="55F41C4C" id="Text Box 217" o:spid="_x0000_s1027" type="#_x0000_t202" style="width:45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fqLAIAAKMEAAAOAAAAZHJzL2Uyb0RvYy54bWy8VNuO0zAQfUfiHyy/06QlLW3UdLV0KUJa&#10;LtLCB7iO01jYHmO7TZav37GTdgu8IUQeLHvGPnM5c7K+6bUiJ+G8BFPR6SSnRBgOtTSHin77unu1&#10;pMQHZmqmwIiKPgpPbzYvX6w7W4oZtKBq4QiCGF92tqJtCLbMMs9boZmfgBUGnQ04zQIe3SGrHesQ&#10;XatslueLrANXWwdceI/Wu8FJNwm/aQQPn5vGi0BURTG3kFaX1n1cs82alQfHbCv5mAb7iyw0kwaD&#10;XqDuWGDk6OQfUFpyBx6aMOGgM2gayUWqAauZ5r9V89AyK1It2BxvL23y/w6Wfzo92C+OhP4t9Ehg&#10;KsLbe+DfPTGwbZk5iFvnoGsFqzHwNLYs66wvx6ex1b70EWTffYQaSWbHAAmob5yOXcE6CaIjAY+X&#10;pos+EI7G+fL1qligi6NvWuTFYpZoyVh5fm6dD+8FaBI3FXXIaoJnp3sfYjqsPF+J0TwoWe+kUukQ&#10;J0lslSMnhjPAOBcmDGWqo8Z8B3uR4zdMA5pxZgbz4mzGEGkmI1IK+EsQZUhX0dV8Nh/6998T0DKg&#10;jJTUFV3GlMdSImfvTJ2GPDCphj3WosxIYuRtYDD0+57IemQ4crqH+hFZdTCoBlWOmxbcT0o6VExF&#10;/Y8jc4IS9cHgZKymRREllg7F/A3SSNy1Z3/tYYYjVEUDJcN2G5IsE2f2FidoJxO3z5mMKaMSEgOj&#10;aqPUrs/p1vO/ZfMEAAD//wMAUEsDBBQABgAIAAAAIQAumf1d2gAAAAUBAAAPAAAAZHJzL2Rvd25y&#10;ZXYueG1sTI9BS8QwEIXvgv8hjODNTRuw2m7TRQQvLoqusufZZmyLyaQ02W3990Yvehl4vMd739Sb&#10;xVlxoikMnjXkqwwEcevNwJ2G97eHq1sQISIbtJ5JwxcF2DTnZzVWxs/8Sqdd7EQq4VChhj7GsZIy&#10;tD05DCs/Eifvw08OY5JTJ82Ecyp3VqosK6TDgdNCjyPd99R+7o5Og5lRGVWGrX3ePobr8UXdPBV7&#10;rS8vlrs1iEhL/AvDD35ChyYxHfyRTRBWQ3ok/t7klXlZgDhoUCpXIJta/qdvvgEAAP//AwBQSwEC&#10;LQAUAAYACAAAACEAtoM4kv4AAADhAQAAEwAAAAAAAAAAAAAAAAAAAAAAW0NvbnRlbnRfVHlwZXNd&#10;LnhtbFBLAQItABQABgAIAAAAIQA4/SH/1gAAAJQBAAALAAAAAAAAAAAAAAAAAC8BAABfcmVscy8u&#10;cmVsc1BLAQItABQABgAIAAAAIQCi55fqLAIAAKMEAAAOAAAAAAAAAAAAAAAAAC4CAABkcnMvZTJv&#10;RG9jLnhtbFBLAQItABQABgAIAAAAIQAumf1d2gAAAAUBAAAPAAAAAAAAAAAAAAAAAIYEAABkcnMv&#10;ZG93bnJldi54bWxQSwUGAAAAAAQABADzAAAAjQUAAAAA&#10;" fillcolor="#b4c6e7 [1300]" strokecolor="#b4c6e7 [1300]">
                <v:textbox style="mso-fit-shape-to-text:t">
                  <w:txbxContent>
                    <w:p w14:paraId="3CD9EA69" w14:textId="77777777" w:rsidR="00CB5698" w:rsidRPr="00213A29" w:rsidRDefault="00CB5698" w:rsidP="00615739">
                      <w:pPr>
                        <w:rPr>
                          <w:rStyle w:val="Strong"/>
                        </w:rPr>
                      </w:pPr>
                      <w:r w:rsidRPr="00213A29">
                        <w:rPr>
                          <w:rStyle w:val="Strong"/>
                        </w:rPr>
                        <w:t>Luxturna</w:t>
                      </w:r>
                    </w:p>
                    <w:p w14:paraId="0F027FC9" w14:textId="3BE86823" w:rsidR="00CB5698" w:rsidRDefault="00CB5698" w:rsidP="00CB5698">
                      <w:pPr>
                        <w:widowControl w:val="0"/>
                        <w:spacing w:before="0"/>
                      </w:pPr>
                      <w:r>
                        <w:t>Luxturna was considered by the MSAC at its July 2020 and November 2020 meetings. At the November 2020 meeting the MSAC supported joint Commonwealth and State/Territory funding through the Highly Specialised Funding arrangements under the National Health Reform Agreement. MSAC considered that several measures should be implemented to contain risks associated with public funding which included treatment centres meeting eligibility criteria, pay for performance arrangements, provision of biannual reports to the Department of Health and Aged Care on numbers of patients treated and treatment results, and a full review of clinical effectiveness, cost effectiveness and budget impact no later than 3 years post the commencement of public subsidy.</w:t>
                      </w:r>
                      <w:r>
                        <w:rPr>
                          <w:rStyle w:val="FootnoteReference"/>
                        </w:rPr>
                        <w:footnoteRef/>
                      </w:r>
                      <w:r w:rsidR="0040367E" w:rsidRPr="00213A29">
                        <w:rPr>
                          <w:vertAlign w:val="superscript"/>
                        </w:rPr>
                        <w:t>2</w:t>
                      </w:r>
                    </w:p>
                    <w:p w14:paraId="6DECF9FD" w14:textId="77777777" w:rsidR="00CB5698" w:rsidRPr="00213A29" w:rsidRDefault="00CB5698" w:rsidP="00615739">
                      <w:pPr>
                        <w:rPr>
                          <w:rStyle w:val="Strong"/>
                        </w:rPr>
                      </w:pPr>
                      <w:r w:rsidRPr="00213A29">
                        <w:rPr>
                          <w:rStyle w:val="Strong"/>
                        </w:rPr>
                        <w:t>Hemgenix</w:t>
                      </w:r>
                    </w:p>
                    <w:p w14:paraId="390BD8EC" w14:textId="7C83DC46" w:rsidR="00C16360" w:rsidRDefault="00CB5698" w:rsidP="00213A29">
                      <w:pPr>
                        <w:widowControl w:val="0"/>
                        <w:spacing w:before="0"/>
                      </w:pPr>
                      <w:r>
                        <w:t>The sponsor for Hemgenix has applied for public funding through National Blood Arrangements. Hemgenix is currently being considered by MSAC.</w:t>
                      </w:r>
                      <w:r>
                        <w:rPr>
                          <w:rStyle w:val="FootnoteReference"/>
                        </w:rPr>
                        <w:footnoteRef/>
                      </w:r>
                      <w:r w:rsidR="00C2336D" w:rsidRPr="00213A29">
                        <w:rPr>
                          <w:vertAlign w:val="superscript"/>
                        </w:rPr>
                        <w:t>3</w:t>
                      </w:r>
                    </w:p>
                  </w:txbxContent>
                </v:textbox>
                <w10:anchorlock/>
              </v:shape>
            </w:pict>
          </mc:Fallback>
        </mc:AlternateContent>
      </w:r>
    </w:p>
    <w:p w14:paraId="3BEB4CF8" w14:textId="4797D885" w:rsidR="009E633D" w:rsidRDefault="009E633D" w:rsidP="009E633D">
      <w:pPr>
        <w:pStyle w:val="Heading2"/>
      </w:pPr>
      <w:bookmarkStart w:id="117" w:name="_Toc128663599"/>
      <w:bookmarkStart w:id="118" w:name="_Toc158900423"/>
      <w:bookmarkEnd w:id="117"/>
      <w:r>
        <w:t xml:space="preserve">Gene silencing </w:t>
      </w:r>
      <w:r w:rsidR="00401A7B">
        <w:t>oligonucleotide</w:t>
      </w:r>
      <w:r w:rsidR="0059076C">
        <w:t>s</w:t>
      </w:r>
      <w:bookmarkEnd w:id="118"/>
    </w:p>
    <w:p w14:paraId="4CF4A6E7" w14:textId="7EAB8BA0" w:rsidR="009E633D" w:rsidRDefault="009E633D" w:rsidP="009E633D">
      <w:r>
        <w:t xml:space="preserve">Gene silencing </w:t>
      </w:r>
      <w:r w:rsidR="004B0F50">
        <w:t>oligonucleotides</w:t>
      </w:r>
      <w:r>
        <w:t xml:space="preserve"> are used to inhibit disease-associated genes.</w:t>
      </w:r>
      <w:r w:rsidR="00FD32F4">
        <w:t xml:space="preserve"> </w:t>
      </w:r>
      <w:r>
        <w:t>Th</w:t>
      </w:r>
      <w:r w:rsidR="000707AB">
        <w:t>eir</w:t>
      </w:r>
      <w:r>
        <w:t xml:space="preserve"> effectiveness is dependent on identification of specific genetic alterations. There are two main </w:t>
      </w:r>
      <w:r w:rsidR="000E68A5">
        <w:t xml:space="preserve">commercial </w:t>
      </w:r>
      <w:r>
        <w:t>types</w:t>
      </w:r>
      <w:r w:rsidR="000707AB">
        <w:t xml:space="preserve"> that have received market authorisation to date</w:t>
      </w:r>
      <w:r w:rsidR="00FD32F4">
        <w:t>:</w:t>
      </w:r>
      <w:r>
        <w:t xml:space="preserve"> antisense oligonucleotides and small interfering RNAs.</w:t>
      </w:r>
      <w:bookmarkStart w:id="119" w:name="_Ref134188470"/>
      <w:r w:rsidR="00401A7B">
        <w:rPr>
          <w:rStyle w:val="FootnoteReference"/>
        </w:rPr>
        <w:footnoteReference w:id="12"/>
      </w:r>
      <w:bookmarkEnd w:id="119"/>
      <w:r>
        <w:t xml:space="preserve"> The majority that have gained market authorisation to date are used to treat </w:t>
      </w:r>
      <w:r w:rsidR="00401A7B">
        <w:t>rare genetic</w:t>
      </w:r>
      <w:r>
        <w:t xml:space="preserve"> diseases however they are also being trialled in the treatment of cancer</w:t>
      </w:r>
      <w:r w:rsidR="000E68A5">
        <w:t>,</w:t>
      </w:r>
      <w:r>
        <w:t xml:space="preserve"> viral diseases</w:t>
      </w:r>
      <w:r w:rsidR="000E68A5">
        <w:t>, and as individualised therapies</w:t>
      </w:r>
      <w:r>
        <w:t>.</w:t>
      </w:r>
    </w:p>
    <w:p w14:paraId="60B3B978" w14:textId="77777777" w:rsidR="009E633D" w:rsidRDefault="009E633D" w:rsidP="008A0DC4">
      <w:pPr>
        <w:pStyle w:val="Heading3"/>
        <w:ind w:left="709"/>
      </w:pPr>
      <w:r>
        <w:t>Development, market approval and Australian funding status</w:t>
      </w:r>
    </w:p>
    <w:p w14:paraId="049D0E41" w14:textId="0015F726" w:rsidR="00191534" w:rsidRDefault="004D38B3" w:rsidP="0059076C">
      <w:pPr>
        <w:rPr>
          <w:i/>
          <w:iCs/>
          <w:color w:val="44546A" w:themeColor="text2"/>
          <w:sz w:val="18"/>
          <w:szCs w:val="18"/>
        </w:rPr>
      </w:pPr>
      <w:r>
        <w:t>This analysis identified</w:t>
      </w:r>
      <w:r w:rsidR="009E633D">
        <w:t xml:space="preserve"> </w:t>
      </w:r>
      <w:r w:rsidR="00EC394A">
        <w:t>17</w:t>
      </w:r>
      <w:r w:rsidR="003216FA">
        <w:t xml:space="preserve"> </w:t>
      </w:r>
      <w:r w:rsidR="006A6A5C">
        <w:t>gene silencing oligonucleotides</w:t>
      </w:r>
      <w:r w:rsidR="009E633D">
        <w:t xml:space="preserve"> that have market authorisation across Europe, the US and Australia. One of these, </w:t>
      </w:r>
      <w:r w:rsidR="005D4361">
        <w:t>n</w:t>
      </w:r>
      <w:r w:rsidR="009E633D">
        <w:t xml:space="preserve">usinersen, is subsidised in Australia. </w:t>
      </w:r>
    </w:p>
    <w:p w14:paraId="520EBCE3" w14:textId="01211354" w:rsidR="00191534" w:rsidRPr="00330FBE" w:rsidRDefault="00191534" w:rsidP="00330FBE">
      <w:pPr>
        <w:rPr>
          <w:b/>
          <w:bCs/>
          <w:color w:val="002060"/>
        </w:rPr>
      </w:pPr>
      <w:r w:rsidRPr="00330FBE">
        <w:rPr>
          <w:b/>
          <w:bCs/>
          <w:color w:val="002060"/>
        </w:rPr>
        <w:t xml:space="preserve">Table 3 </w:t>
      </w:r>
      <w:r w:rsidR="00316713" w:rsidRPr="00330FBE">
        <w:rPr>
          <w:b/>
          <w:bCs/>
          <w:color w:val="002060"/>
        </w:rPr>
        <w:t>G</w:t>
      </w:r>
      <w:r w:rsidRPr="00330FBE">
        <w:rPr>
          <w:b/>
          <w:bCs/>
          <w:color w:val="002060"/>
        </w:rPr>
        <w:t xml:space="preserve">ene silencing </w:t>
      </w:r>
      <w:r w:rsidR="004B0F50" w:rsidRPr="00330FBE">
        <w:rPr>
          <w:b/>
          <w:bCs/>
          <w:color w:val="002060"/>
        </w:rPr>
        <w:t>oligonucleotides</w:t>
      </w:r>
      <w:r w:rsidRPr="00330FBE">
        <w:rPr>
          <w:b/>
          <w:bCs/>
          <w:color w:val="002060"/>
        </w:rPr>
        <w:t xml:space="preserve"> </w:t>
      </w:r>
    </w:p>
    <w:tbl>
      <w:tblPr>
        <w:tblStyle w:val="DepartmentofHealthtable"/>
        <w:tblW w:w="0" w:type="auto"/>
        <w:tblLook w:val="04A0" w:firstRow="1" w:lastRow="0" w:firstColumn="1" w:lastColumn="0" w:noHBand="0" w:noVBand="1"/>
      </w:tblPr>
      <w:tblGrid>
        <w:gridCol w:w="2060"/>
        <w:gridCol w:w="3495"/>
        <w:gridCol w:w="610"/>
        <w:gridCol w:w="563"/>
        <w:gridCol w:w="665"/>
        <w:gridCol w:w="1633"/>
      </w:tblGrid>
      <w:tr w:rsidR="004C536F" w:rsidRPr="00AE09D0" w14:paraId="052DEE5D" w14:textId="77777777" w:rsidTr="006D3382">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0" w:type="auto"/>
          </w:tcPr>
          <w:p w14:paraId="7F574CFE" w14:textId="4EEB2B2C" w:rsidR="00FD32F4" w:rsidRPr="00AE09D0" w:rsidRDefault="00A80F31" w:rsidP="00BB1829">
            <w:pPr>
              <w:widowControl w:val="0"/>
              <w:spacing w:before="0"/>
              <w:rPr>
                <w:rFonts w:asciiTheme="minorHAnsi" w:hAnsiTheme="minorHAnsi" w:cstheme="minorHAnsi"/>
                <w:sz w:val="20"/>
              </w:rPr>
            </w:pPr>
            <w:r>
              <w:rPr>
                <w:rFonts w:asciiTheme="minorHAnsi" w:hAnsiTheme="minorHAnsi" w:cstheme="minorHAnsi"/>
                <w:b/>
                <w:bCs/>
                <w:sz w:val="20"/>
                <w:lang w:val="en-GB"/>
              </w:rPr>
              <w:t>Drug name (Brand name)</w:t>
            </w:r>
          </w:p>
        </w:tc>
        <w:tc>
          <w:tcPr>
            <w:tcW w:w="3495" w:type="dxa"/>
          </w:tcPr>
          <w:p w14:paraId="5331AF19" w14:textId="759EF78C" w:rsidR="00FD32F4" w:rsidRPr="00AE09D0" w:rsidRDefault="00644590" w:rsidP="00BB1829">
            <w:pPr>
              <w:widowControl w:val="0"/>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b/>
                <w:bCs/>
                <w:sz w:val="20"/>
                <w:lang w:val="en-GB"/>
              </w:rPr>
              <w:t xml:space="preserve">Registered </w:t>
            </w:r>
            <w:r w:rsidR="00FD32F4" w:rsidRPr="00AE09D0">
              <w:rPr>
                <w:rFonts w:asciiTheme="minorHAnsi" w:hAnsiTheme="minorHAnsi" w:cstheme="minorHAnsi"/>
                <w:b/>
                <w:bCs/>
                <w:sz w:val="20"/>
                <w:lang w:val="en-GB"/>
              </w:rPr>
              <w:t>Indication</w:t>
            </w:r>
          </w:p>
        </w:tc>
        <w:tc>
          <w:tcPr>
            <w:tcW w:w="610" w:type="dxa"/>
          </w:tcPr>
          <w:p w14:paraId="3417319E" w14:textId="77777777" w:rsidR="00FD32F4" w:rsidRPr="00AE09D0" w:rsidRDefault="00FD32F4" w:rsidP="00BB1829">
            <w:pPr>
              <w:widowControl w:val="0"/>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EMA</w:t>
            </w:r>
          </w:p>
        </w:tc>
        <w:tc>
          <w:tcPr>
            <w:tcW w:w="563" w:type="dxa"/>
          </w:tcPr>
          <w:p w14:paraId="78D74493" w14:textId="77777777" w:rsidR="00FD32F4" w:rsidRPr="00AE09D0" w:rsidRDefault="00FD32F4" w:rsidP="00BB1829">
            <w:pPr>
              <w:widowControl w:val="0"/>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FDA</w:t>
            </w:r>
          </w:p>
        </w:tc>
        <w:tc>
          <w:tcPr>
            <w:tcW w:w="665" w:type="dxa"/>
          </w:tcPr>
          <w:p w14:paraId="756EB4DC" w14:textId="77777777" w:rsidR="00FD32F4" w:rsidRPr="00AE09D0" w:rsidRDefault="00FD32F4" w:rsidP="00BB1829">
            <w:pPr>
              <w:widowControl w:val="0"/>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TGA</w:t>
            </w:r>
          </w:p>
        </w:tc>
        <w:tc>
          <w:tcPr>
            <w:tcW w:w="1633" w:type="dxa"/>
          </w:tcPr>
          <w:p w14:paraId="331D46B2" w14:textId="15F7D64F" w:rsidR="00FD32F4" w:rsidRPr="00AE09D0" w:rsidRDefault="00FD32F4" w:rsidP="00BB1829">
            <w:pPr>
              <w:widowControl w:val="0"/>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Australian Subsidy</w:t>
            </w:r>
          </w:p>
        </w:tc>
      </w:tr>
      <w:tr w:rsidR="004C536F" w:rsidRPr="00AE09D0" w14:paraId="5A3C47B3" w14:textId="77777777" w:rsidTr="006D3382">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Pr>
          <w:p w14:paraId="4E1E1524" w14:textId="1C0E9515" w:rsidR="00FD32F4" w:rsidRDefault="00FD32F4" w:rsidP="00BB1829">
            <w:pPr>
              <w:widowControl w:val="0"/>
              <w:spacing w:before="0"/>
              <w:rPr>
                <w:rFonts w:cstheme="minorHAnsi"/>
              </w:rPr>
            </w:pPr>
            <w:r>
              <w:rPr>
                <w:rFonts w:cstheme="minorHAnsi"/>
              </w:rPr>
              <w:t>Nusinersen</w:t>
            </w:r>
            <w:r w:rsidR="00381CF3">
              <w:rPr>
                <w:rFonts w:cstheme="minorHAnsi"/>
              </w:rPr>
              <w:t xml:space="preserve"> (</w:t>
            </w:r>
            <w:r w:rsidR="00381CF3" w:rsidRPr="00381CF3">
              <w:rPr>
                <w:rFonts w:cstheme="minorHAnsi"/>
              </w:rPr>
              <w:t>Spinraza</w:t>
            </w:r>
            <w:r w:rsidR="002E7B21" w:rsidRPr="00044733">
              <w:rPr>
                <w:rFonts w:cstheme="minorHAnsi"/>
              </w:rPr>
              <w:t>®</w:t>
            </w:r>
            <w:r w:rsidR="00381CF3">
              <w:rPr>
                <w:rFonts w:cstheme="minorHAnsi"/>
              </w:rPr>
              <w:t>)</w:t>
            </w:r>
          </w:p>
        </w:tc>
        <w:tc>
          <w:tcPr>
            <w:tcW w:w="3495" w:type="dxa"/>
          </w:tcPr>
          <w:p w14:paraId="731DD81F" w14:textId="4A6D8AA4" w:rsidR="00FD32F4"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Spinal </w:t>
            </w:r>
            <w:r w:rsidR="00A81872">
              <w:rPr>
                <w:rFonts w:cstheme="minorHAnsi"/>
              </w:rPr>
              <w:t>muscular</w:t>
            </w:r>
            <w:r>
              <w:rPr>
                <w:rFonts w:cstheme="minorHAnsi"/>
              </w:rPr>
              <w:t xml:space="preserve"> atrophy</w:t>
            </w:r>
          </w:p>
        </w:tc>
        <w:tc>
          <w:tcPr>
            <w:tcW w:w="610" w:type="dxa"/>
          </w:tcPr>
          <w:p w14:paraId="5AF9197E"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563" w:type="dxa"/>
          </w:tcPr>
          <w:p w14:paraId="2153D6E9"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28685DD8"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633" w:type="dxa"/>
          </w:tcPr>
          <w:p w14:paraId="46E4FFF5"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r>
      <w:tr w:rsidR="004C536F" w:rsidRPr="00AE09D0" w14:paraId="0C1A16C0" w14:textId="77777777" w:rsidTr="006D338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Pr>
          <w:p w14:paraId="559774DE" w14:textId="767A0112" w:rsidR="00FD32F4" w:rsidRDefault="00FD32F4" w:rsidP="00BB1829">
            <w:pPr>
              <w:widowControl w:val="0"/>
              <w:spacing w:before="0"/>
              <w:rPr>
                <w:rFonts w:cstheme="minorHAnsi"/>
              </w:rPr>
            </w:pPr>
            <w:r>
              <w:rPr>
                <w:rFonts w:cstheme="minorHAnsi"/>
              </w:rPr>
              <w:t>Inclisiran</w:t>
            </w:r>
            <w:r w:rsidR="00347597">
              <w:rPr>
                <w:rFonts w:cstheme="minorHAnsi"/>
              </w:rPr>
              <w:t xml:space="preserve"> (</w:t>
            </w:r>
            <w:r w:rsidR="00347597" w:rsidRPr="00347597">
              <w:rPr>
                <w:rFonts w:cstheme="minorHAnsi"/>
              </w:rPr>
              <w:t>Leqvio</w:t>
            </w:r>
            <w:r w:rsidR="002E7B21" w:rsidRPr="00044733">
              <w:rPr>
                <w:rFonts w:cstheme="minorHAnsi"/>
              </w:rPr>
              <w:t>®</w:t>
            </w:r>
            <w:r w:rsidR="00347597">
              <w:rPr>
                <w:rFonts w:cstheme="minorHAnsi"/>
              </w:rPr>
              <w:t>)</w:t>
            </w:r>
          </w:p>
        </w:tc>
        <w:tc>
          <w:tcPr>
            <w:tcW w:w="3495" w:type="dxa"/>
          </w:tcPr>
          <w:p w14:paraId="2E6B567F"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Hypercholesterolemia or mixed dyslipidaemia</w:t>
            </w:r>
          </w:p>
        </w:tc>
        <w:tc>
          <w:tcPr>
            <w:tcW w:w="610" w:type="dxa"/>
          </w:tcPr>
          <w:p w14:paraId="66E2048D"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563" w:type="dxa"/>
          </w:tcPr>
          <w:p w14:paraId="07D57AD4"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23D5D62F"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1633" w:type="dxa"/>
          </w:tcPr>
          <w:p w14:paraId="7588F5EC"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5D868145" w14:textId="2C55760A" w:rsidR="0050093A" w:rsidRDefault="00E02F2B"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50093A">
              <w:rPr>
                <w:rFonts w:cstheme="minorHAnsi"/>
              </w:rPr>
              <w:t>Not Recommended by PBAC  March 2023</w:t>
            </w:r>
            <w:r>
              <w:rPr>
                <w:rFonts w:cstheme="minorHAnsi"/>
              </w:rPr>
              <w:t>)</w:t>
            </w:r>
          </w:p>
        </w:tc>
      </w:tr>
      <w:tr w:rsidR="004C536F" w:rsidRPr="00AE09D0" w14:paraId="17979E71" w14:textId="77777777" w:rsidTr="006D3382">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Pr>
          <w:p w14:paraId="5FE77FB1" w14:textId="41880374" w:rsidR="00FD32F4" w:rsidRDefault="00FD32F4" w:rsidP="00BB1829">
            <w:pPr>
              <w:widowControl w:val="0"/>
              <w:spacing w:before="0"/>
              <w:rPr>
                <w:rFonts w:cstheme="minorHAnsi"/>
              </w:rPr>
            </w:pPr>
            <w:r>
              <w:rPr>
                <w:rFonts w:cstheme="minorHAnsi"/>
              </w:rPr>
              <w:t>Patisiran</w:t>
            </w:r>
            <w:r w:rsidR="008D1E86">
              <w:rPr>
                <w:rFonts w:cstheme="minorHAnsi"/>
              </w:rPr>
              <w:t xml:space="preserve"> (</w:t>
            </w:r>
            <w:r w:rsidR="008D1E86" w:rsidRPr="008D1E86">
              <w:rPr>
                <w:rFonts w:cstheme="minorHAnsi"/>
              </w:rPr>
              <w:t>Onpattro</w:t>
            </w:r>
            <w:r w:rsidR="002E7B21" w:rsidRPr="00044733">
              <w:rPr>
                <w:rFonts w:cstheme="minorHAnsi"/>
              </w:rPr>
              <w:t>®</w:t>
            </w:r>
            <w:r w:rsidR="008D1E86">
              <w:rPr>
                <w:rFonts w:cstheme="minorHAnsi"/>
              </w:rPr>
              <w:t>)</w:t>
            </w:r>
          </w:p>
        </w:tc>
        <w:tc>
          <w:tcPr>
            <w:tcW w:w="3495" w:type="dxa"/>
          </w:tcPr>
          <w:p w14:paraId="4F1A8F21" w14:textId="77777777" w:rsidR="00FD32F4"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Hereditary transthyretin amyloidosis</w:t>
            </w:r>
          </w:p>
        </w:tc>
        <w:tc>
          <w:tcPr>
            <w:tcW w:w="610" w:type="dxa"/>
          </w:tcPr>
          <w:p w14:paraId="48F1B90F"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563" w:type="dxa"/>
          </w:tcPr>
          <w:p w14:paraId="7C5546A4"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4F007AD8"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6E840BBE" w14:textId="4BB12D42" w:rsidR="00D110C9" w:rsidRDefault="00D110C9"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1633" w:type="dxa"/>
          </w:tcPr>
          <w:p w14:paraId="18B1A3F3"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5AC37620" w14:textId="006FBDE5" w:rsidR="0050093A" w:rsidRDefault="00E02F2B"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50093A">
              <w:rPr>
                <w:rFonts w:cstheme="minorHAnsi"/>
              </w:rPr>
              <w:t>No submission</w:t>
            </w:r>
            <w:r>
              <w:rPr>
                <w:rFonts w:cstheme="minorHAnsi"/>
              </w:rPr>
              <w:t>)</w:t>
            </w:r>
          </w:p>
        </w:tc>
      </w:tr>
      <w:tr w:rsidR="004C536F" w:rsidRPr="00AE09D0" w14:paraId="63809B39" w14:textId="77777777" w:rsidTr="006D3382">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Pr>
          <w:p w14:paraId="2EA60F59" w14:textId="71195A8B" w:rsidR="00FD32F4" w:rsidRDefault="00FD32F4" w:rsidP="00BB1829">
            <w:pPr>
              <w:widowControl w:val="0"/>
              <w:spacing w:before="0"/>
              <w:rPr>
                <w:rFonts w:cstheme="minorHAnsi"/>
              </w:rPr>
            </w:pPr>
            <w:r>
              <w:rPr>
                <w:rFonts w:cstheme="minorHAnsi"/>
              </w:rPr>
              <w:t>Givosiran</w:t>
            </w:r>
            <w:r w:rsidR="008D1E86">
              <w:rPr>
                <w:rFonts w:cstheme="minorHAnsi"/>
              </w:rPr>
              <w:t xml:space="preserve"> (</w:t>
            </w:r>
            <w:r w:rsidR="008D1E86" w:rsidRPr="008D1E86">
              <w:rPr>
                <w:rFonts w:cstheme="minorHAnsi"/>
              </w:rPr>
              <w:t>Givlaari</w:t>
            </w:r>
            <w:r w:rsidR="00893427" w:rsidRPr="00044733">
              <w:rPr>
                <w:rFonts w:cstheme="minorHAnsi"/>
              </w:rPr>
              <w:t>®</w:t>
            </w:r>
            <w:r w:rsidR="008D1E86">
              <w:rPr>
                <w:rFonts w:cstheme="minorHAnsi"/>
              </w:rPr>
              <w:t>)</w:t>
            </w:r>
          </w:p>
        </w:tc>
        <w:tc>
          <w:tcPr>
            <w:tcW w:w="3495" w:type="dxa"/>
          </w:tcPr>
          <w:p w14:paraId="33A788F2"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Acute hepatic porphyria</w:t>
            </w:r>
          </w:p>
        </w:tc>
        <w:tc>
          <w:tcPr>
            <w:tcW w:w="610" w:type="dxa"/>
          </w:tcPr>
          <w:p w14:paraId="3D3D8DEC"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563" w:type="dxa"/>
          </w:tcPr>
          <w:p w14:paraId="7D7A60AF"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321BA1EC" w14:textId="77777777" w:rsidR="00D52ECA" w:rsidRDefault="00D52ECA"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5ADC247D" w14:textId="2FF52F2F" w:rsidR="00FD32F4" w:rsidRDefault="00D52ECA"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lastRenderedPageBreak/>
              <w:t>(O)</w:t>
            </w:r>
          </w:p>
        </w:tc>
        <w:tc>
          <w:tcPr>
            <w:tcW w:w="1633" w:type="dxa"/>
          </w:tcPr>
          <w:p w14:paraId="21D37679"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lastRenderedPageBreak/>
              <w:t>N</w:t>
            </w:r>
          </w:p>
          <w:p w14:paraId="4A70C69F" w14:textId="6316B752" w:rsidR="0050093A" w:rsidRDefault="00955AFC"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lastRenderedPageBreak/>
              <w:t>(</w:t>
            </w:r>
            <w:r w:rsidR="0050093A">
              <w:rPr>
                <w:rFonts w:cstheme="minorHAnsi"/>
              </w:rPr>
              <w:t xml:space="preserve">No </w:t>
            </w:r>
            <w:r w:rsidR="004C536F">
              <w:rPr>
                <w:rFonts w:cstheme="minorHAnsi"/>
              </w:rPr>
              <w:t>submission</w:t>
            </w:r>
            <w:r>
              <w:rPr>
                <w:rFonts w:cstheme="minorHAnsi"/>
              </w:rPr>
              <w:t>)</w:t>
            </w:r>
          </w:p>
        </w:tc>
      </w:tr>
      <w:tr w:rsidR="004C536F" w:rsidRPr="00AE09D0" w14:paraId="3333166D" w14:textId="77777777" w:rsidTr="006D3382">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0" w:type="auto"/>
          </w:tcPr>
          <w:p w14:paraId="57CFD543" w14:textId="74B36893" w:rsidR="00FD32F4" w:rsidRDefault="00FD32F4" w:rsidP="00BB1829">
            <w:pPr>
              <w:widowControl w:val="0"/>
              <w:spacing w:before="0"/>
              <w:rPr>
                <w:rFonts w:cstheme="minorHAnsi"/>
              </w:rPr>
            </w:pPr>
            <w:r>
              <w:rPr>
                <w:rFonts w:cstheme="minorHAnsi"/>
              </w:rPr>
              <w:lastRenderedPageBreak/>
              <w:t>Inotersen</w:t>
            </w:r>
            <w:r w:rsidR="008D1E86">
              <w:rPr>
                <w:rFonts w:cstheme="minorHAnsi"/>
              </w:rPr>
              <w:t xml:space="preserve"> (</w:t>
            </w:r>
            <w:r w:rsidR="008D1E86" w:rsidRPr="008D1E86">
              <w:rPr>
                <w:rFonts w:cstheme="minorHAnsi"/>
              </w:rPr>
              <w:t>Tegsedi</w:t>
            </w:r>
            <w:r w:rsidR="00893427" w:rsidRPr="00044733">
              <w:rPr>
                <w:rFonts w:cstheme="minorHAnsi"/>
              </w:rPr>
              <w:t>®</w:t>
            </w:r>
            <w:r w:rsidR="008D1E86">
              <w:rPr>
                <w:rFonts w:cstheme="minorHAnsi"/>
              </w:rPr>
              <w:t>)</w:t>
            </w:r>
          </w:p>
        </w:tc>
        <w:tc>
          <w:tcPr>
            <w:tcW w:w="3495" w:type="dxa"/>
          </w:tcPr>
          <w:p w14:paraId="5B355955" w14:textId="77777777" w:rsidR="00FD32F4"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Homozygous familial hypercholesterolemia</w:t>
            </w:r>
          </w:p>
        </w:tc>
        <w:tc>
          <w:tcPr>
            <w:tcW w:w="610" w:type="dxa"/>
          </w:tcPr>
          <w:p w14:paraId="338E6F4F"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28B10499" w14:textId="04D3694D" w:rsidR="00215361" w:rsidRPr="00AE09D0" w:rsidRDefault="00215361"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563" w:type="dxa"/>
          </w:tcPr>
          <w:p w14:paraId="2A0A1895"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605DCC0B"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29C46EF1"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09699984" w14:textId="0A6545F1" w:rsidR="0050093A" w:rsidRPr="00AE09D0" w:rsidRDefault="00955AFC"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registered)</w:t>
            </w:r>
          </w:p>
        </w:tc>
      </w:tr>
      <w:tr w:rsidR="004C536F" w:rsidRPr="00AE09D0" w14:paraId="075EEC52" w14:textId="77777777" w:rsidTr="006D33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F01349" w14:textId="21BFC6C4" w:rsidR="00FD32F4" w:rsidRDefault="00FD32F4" w:rsidP="00BB1829">
            <w:pPr>
              <w:widowControl w:val="0"/>
              <w:spacing w:before="0"/>
              <w:rPr>
                <w:rFonts w:cstheme="minorHAnsi"/>
              </w:rPr>
            </w:pPr>
            <w:r>
              <w:rPr>
                <w:rFonts w:cstheme="minorHAnsi"/>
              </w:rPr>
              <w:t>Lumasiran</w:t>
            </w:r>
            <w:r w:rsidR="00F53AB1">
              <w:rPr>
                <w:rFonts w:cstheme="minorHAnsi"/>
              </w:rPr>
              <w:t xml:space="preserve"> (</w:t>
            </w:r>
            <w:r w:rsidR="00F53AB1" w:rsidRPr="00F53AB1">
              <w:rPr>
                <w:rFonts w:cstheme="minorHAnsi"/>
              </w:rPr>
              <w:t>Oxlumo</w:t>
            </w:r>
            <w:r w:rsidR="00893427" w:rsidRPr="00044733">
              <w:rPr>
                <w:rFonts w:cstheme="minorHAnsi"/>
              </w:rPr>
              <w:t>®</w:t>
            </w:r>
            <w:r w:rsidR="00F53AB1">
              <w:rPr>
                <w:rFonts w:cstheme="minorHAnsi"/>
              </w:rPr>
              <w:t>)</w:t>
            </w:r>
          </w:p>
        </w:tc>
        <w:tc>
          <w:tcPr>
            <w:tcW w:w="3495" w:type="dxa"/>
          </w:tcPr>
          <w:p w14:paraId="1A20C07F"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Primary hyperoxaluria type 1</w:t>
            </w:r>
          </w:p>
        </w:tc>
        <w:tc>
          <w:tcPr>
            <w:tcW w:w="610" w:type="dxa"/>
          </w:tcPr>
          <w:p w14:paraId="75858DF8"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563" w:type="dxa"/>
          </w:tcPr>
          <w:p w14:paraId="1FA44806"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7C6BDB6D" w14:textId="0AFB4574"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sidR="00BB3FBF">
              <w:rPr>
                <w:rFonts w:cstheme="minorHAnsi"/>
              </w:rPr>
              <w:t>*</w:t>
            </w:r>
          </w:p>
        </w:tc>
        <w:tc>
          <w:tcPr>
            <w:tcW w:w="1633" w:type="dxa"/>
          </w:tcPr>
          <w:p w14:paraId="1B46206B"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50CDEF37" w14:textId="25246848" w:rsidR="0050093A" w:rsidRDefault="00955AFC"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registered)</w:t>
            </w:r>
          </w:p>
        </w:tc>
      </w:tr>
      <w:tr w:rsidR="004C536F" w:rsidRPr="00AE09D0" w14:paraId="2769C12C" w14:textId="77777777" w:rsidTr="006D3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9CC95F" w14:textId="55390E51" w:rsidR="00FD32F4" w:rsidRDefault="00FD32F4" w:rsidP="00BB1829">
            <w:pPr>
              <w:widowControl w:val="0"/>
              <w:spacing w:before="0"/>
              <w:rPr>
                <w:rFonts w:cstheme="minorHAnsi"/>
              </w:rPr>
            </w:pPr>
            <w:r>
              <w:rPr>
                <w:rFonts w:cstheme="minorHAnsi"/>
              </w:rPr>
              <w:t>Volanesorsen</w:t>
            </w:r>
            <w:r w:rsidR="00F53AB1">
              <w:rPr>
                <w:rFonts w:cstheme="minorHAnsi"/>
              </w:rPr>
              <w:t xml:space="preserve"> (</w:t>
            </w:r>
            <w:r w:rsidR="00F53AB1" w:rsidRPr="00F53AB1">
              <w:rPr>
                <w:rFonts w:cstheme="minorHAnsi"/>
              </w:rPr>
              <w:t>Waylivra</w:t>
            </w:r>
            <w:r w:rsidR="00893427" w:rsidRPr="00044733">
              <w:rPr>
                <w:rFonts w:cstheme="minorHAnsi"/>
              </w:rPr>
              <w:t>®</w:t>
            </w:r>
            <w:r w:rsidR="00F53AB1">
              <w:rPr>
                <w:rFonts w:cstheme="minorHAnsi"/>
              </w:rPr>
              <w:t>)</w:t>
            </w:r>
          </w:p>
        </w:tc>
        <w:tc>
          <w:tcPr>
            <w:tcW w:w="3495" w:type="dxa"/>
          </w:tcPr>
          <w:p w14:paraId="1CE63B93" w14:textId="77777777" w:rsidR="00FD32F4"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Familial chylomicronaemia syndrome</w:t>
            </w:r>
          </w:p>
        </w:tc>
        <w:tc>
          <w:tcPr>
            <w:tcW w:w="610" w:type="dxa"/>
          </w:tcPr>
          <w:p w14:paraId="478825C2"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563" w:type="dxa"/>
          </w:tcPr>
          <w:p w14:paraId="4D1D5586"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665" w:type="dxa"/>
          </w:tcPr>
          <w:p w14:paraId="7966CB8B"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23D7B260"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779B99D7" w14:textId="000A0C7D" w:rsidR="0050093A" w:rsidRPr="00AE09D0" w:rsidRDefault="00955AFC"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registered)</w:t>
            </w:r>
          </w:p>
        </w:tc>
      </w:tr>
      <w:tr w:rsidR="004C536F" w:rsidRPr="00AE09D0" w14:paraId="05A2B880" w14:textId="77777777" w:rsidTr="006D33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247666" w14:textId="08E70D59" w:rsidR="00FD32F4" w:rsidRDefault="00FD32F4" w:rsidP="00BB1829">
            <w:pPr>
              <w:widowControl w:val="0"/>
              <w:spacing w:before="0"/>
              <w:rPr>
                <w:rFonts w:cstheme="minorHAnsi"/>
              </w:rPr>
            </w:pPr>
            <w:r>
              <w:rPr>
                <w:rFonts w:cstheme="minorHAnsi"/>
              </w:rPr>
              <w:t>Vutisiran</w:t>
            </w:r>
            <w:r w:rsidR="00F53AB1">
              <w:rPr>
                <w:rFonts w:cstheme="minorHAnsi"/>
              </w:rPr>
              <w:t xml:space="preserve"> (</w:t>
            </w:r>
            <w:r w:rsidR="00F53AB1" w:rsidRPr="00F53AB1">
              <w:rPr>
                <w:rFonts w:cstheme="minorHAnsi"/>
              </w:rPr>
              <w:t>Amvuttra</w:t>
            </w:r>
            <w:r w:rsidR="00893427" w:rsidRPr="00044733">
              <w:rPr>
                <w:rFonts w:cstheme="minorHAnsi"/>
              </w:rPr>
              <w:t>®</w:t>
            </w:r>
            <w:r w:rsidR="00F53AB1">
              <w:rPr>
                <w:rFonts w:cstheme="minorHAnsi"/>
              </w:rPr>
              <w:t>)</w:t>
            </w:r>
          </w:p>
        </w:tc>
        <w:tc>
          <w:tcPr>
            <w:tcW w:w="3495" w:type="dxa"/>
          </w:tcPr>
          <w:p w14:paraId="54DEF07C"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Hereditary transthyretin amyloidosis</w:t>
            </w:r>
          </w:p>
        </w:tc>
        <w:tc>
          <w:tcPr>
            <w:tcW w:w="610" w:type="dxa"/>
          </w:tcPr>
          <w:p w14:paraId="07BC9F30"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563" w:type="dxa"/>
          </w:tcPr>
          <w:p w14:paraId="6A33BB9E"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5DB18BAA"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633" w:type="dxa"/>
          </w:tcPr>
          <w:p w14:paraId="0BEBD113"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7F47EED7" w14:textId="0E0F3B5E" w:rsidR="0050093A" w:rsidRDefault="00955AFC"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registered)</w:t>
            </w:r>
          </w:p>
        </w:tc>
      </w:tr>
      <w:tr w:rsidR="004C536F" w:rsidRPr="00AE09D0" w14:paraId="2DFB7896" w14:textId="77777777" w:rsidTr="006D3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8CCCDB" w14:textId="22F7D398" w:rsidR="00FD32F4" w:rsidRDefault="00FD32F4" w:rsidP="00BB1829">
            <w:pPr>
              <w:widowControl w:val="0"/>
              <w:spacing w:before="0"/>
              <w:rPr>
                <w:rFonts w:cstheme="minorHAnsi"/>
              </w:rPr>
            </w:pPr>
            <w:r>
              <w:rPr>
                <w:rFonts w:cstheme="minorHAnsi"/>
              </w:rPr>
              <w:t>Casimersen</w:t>
            </w:r>
            <w:r w:rsidR="0057035A">
              <w:rPr>
                <w:rFonts w:cstheme="minorHAnsi"/>
              </w:rPr>
              <w:t xml:space="preserve"> (</w:t>
            </w:r>
            <w:r w:rsidR="0057035A" w:rsidRPr="0057035A">
              <w:rPr>
                <w:rFonts w:cstheme="minorHAnsi"/>
              </w:rPr>
              <w:t>Amondys 45</w:t>
            </w:r>
            <w:r w:rsidR="00893427" w:rsidRPr="00044733">
              <w:rPr>
                <w:rFonts w:cstheme="minorHAnsi"/>
              </w:rPr>
              <w:t>®</w:t>
            </w:r>
            <w:r w:rsidR="0057035A">
              <w:rPr>
                <w:rFonts w:cstheme="minorHAnsi"/>
              </w:rPr>
              <w:t>)</w:t>
            </w:r>
          </w:p>
        </w:tc>
        <w:tc>
          <w:tcPr>
            <w:tcW w:w="3495" w:type="dxa"/>
          </w:tcPr>
          <w:p w14:paraId="0A9BDCE8" w14:textId="77777777" w:rsidR="00FD32F4"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Duchenne muscular dystrophy</w:t>
            </w:r>
          </w:p>
        </w:tc>
        <w:tc>
          <w:tcPr>
            <w:tcW w:w="610" w:type="dxa"/>
          </w:tcPr>
          <w:p w14:paraId="1876609D"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563" w:type="dxa"/>
          </w:tcPr>
          <w:p w14:paraId="10652095"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129FBACA"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517B3390"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14CD95E0" w14:textId="37A55A75" w:rsidR="0050093A" w:rsidRPr="00AE09D0" w:rsidRDefault="0053422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50093A">
              <w:rPr>
                <w:rFonts w:cstheme="minorHAnsi"/>
              </w:rPr>
              <w:t>Not registered</w:t>
            </w:r>
            <w:r>
              <w:rPr>
                <w:rFonts w:cstheme="minorHAnsi"/>
              </w:rPr>
              <w:t>)</w:t>
            </w:r>
          </w:p>
        </w:tc>
      </w:tr>
      <w:tr w:rsidR="004C536F" w:rsidRPr="00AE09D0" w14:paraId="5EE54D78" w14:textId="77777777" w:rsidTr="006D33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4DCD8A" w14:textId="187D33E8" w:rsidR="00FD32F4" w:rsidRDefault="00FD32F4" w:rsidP="00BB1829">
            <w:pPr>
              <w:widowControl w:val="0"/>
              <w:spacing w:before="0"/>
              <w:rPr>
                <w:rFonts w:cstheme="minorHAnsi"/>
              </w:rPr>
            </w:pPr>
            <w:r>
              <w:rPr>
                <w:rFonts w:cstheme="minorHAnsi"/>
              </w:rPr>
              <w:t>Eteplirsen</w:t>
            </w:r>
            <w:r w:rsidR="0057035A">
              <w:rPr>
                <w:rFonts w:cstheme="minorHAnsi"/>
              </w:rPr>
              <w:t xml:space="preserve"> (</w:t>
            </w:r>
            <w:r w:rsidR="0057035A" w:rsidRPr="0057035A">
              <w:rPr>
                <w:rFonts w:cstheme="minorHAnsi"/>
              </w:rPr>
              <w:t>Exondys 51</w:t>
            </w:r>
            <w:r w:rsidR="00893427" w:rsidRPr="00044733">
              <w:rPr>
                <w:rFonts w:cstheme="minorHAnsi"/>
              </w:rPr>
              <w:t>®</w:t>
            </w:r>
            <w:r w:rsidR="0057035A">
              <w:rPr>
                <w:rFonts w:cstheme="minorHAnsi"/>
              </w:rPr>
              <w:t>)</w:t>
            </w:r>
          </w:p>
        </w:tc>
        <w:tc>
          <w:tcPr>
            <w:tcW w:w="3495" w:type="dxa"/>
          </w:tcPr>
          <w:p w14:paraId="7AD2DFB3"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Duchenne muscular dystrophy</w:t>
            </w:r>
          </w:p>
        </w:tc>
        <w:tc>
          <w:tcPr>
            <w:tcW w:w="610" w:type="dxa"/>
          </w:tcPr>
          <w:p w14:paraId="06DCDB8E" w14:textId="700B870C" w:rsidR="00FD32F4" w:rsidRPr="00AE09D0"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563" w:type="dxa"/>
          </w:tcPr>
          <w:p w14:paraId="61DF7E12"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55F46E2D" w14:textId="77777777" w:rsidR="00FD32F4" w:rsidRPr="00AE09D0"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633" w:type="dxa"/>
          </w:tcPr>
          <w:p w14:paraId="2A752D2E"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1D3394EF" w14:textId="2192F1B7" w:rsidR="0050093A" w:rsidRPr="00AE09D0" w:rsidRDefault="00955AFC"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registered)</w:t>
            </w:r>
          </w:p>
        </w:tc>
      </w:tr>
      <w:tr w:rsidR="004C536F" w:rsidRPr="00AE09D0" w14:paraId="1AC87A6B" w14:textId="77777777" w:rsidTr="006D3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D9DAB9" w14:textId="163CFBEA" w:rsidR="00FD32F4" w:rsidRPr="00AE09D0" w:rsidRDefault="00FD32F4" w:rsidP="00BB1829">
            <w:pPr>
              <w:widowControl w:val="0"/>
              <w:spacing w:before="0"/>
              <w:rPr>
                <w:rFonts w:cstheme="minorHAnsi"/>
              </w:rPr>
            </w:pPr>
            <w:r>
              <w:rPr>
                <w:rFonts w:cstheme="minorHAnsi"/>
              </w:rPr>
              <w:t>Fomivirsen</w:t>
            </w:r>
            <w:r w:rsidR="0057035A">
              <w:rPr>
                <w:rFonts w:cstheme="minorHAnsi"/>
              </w:rPr>
              <w:t xml:space="preserve"> (</w:t>
            </w:r>
            <w:r w:rsidR="0057035A" w:rsidRPr="0057035A">
              <w:rPr>
                <w:rFonts w:cstheme="minorHAnsi"/>
              </w:rPr>
              <w:t>Vitravene</w:t>
            </w:r>
            <w:r w:rsidR="00893427" w:rsidRPr="00044733">
              <w:rPr>
                <w:rFonts w:cstheme="minorHAnsi"/>
              </w:rPr>
              <w:t>®</w:t>
            </w:r>
            <w:r w:rsidR="0057035A">
              <w:rPr>
                <w:rFonts w:cstheme="minorHAnsi"/>
              </w:rPr>
              <w:t>)</w:t>
            </w:r>
          </w:p>
        </w:tc>
        <w:tc>
          <w:tcPr>
            <w:tcW w:w="3495" w:type="dxa"/>
          </w:tcPr>
          <w:p w14:paraId="49A8B4C9" w14:textId="77777777" w:rsidR="00FD32F4" w:rsidRPr="00AE09D0"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Cytomegalovirus retinitis in immunocompromised AIDS patients</w:t>
            </w:r>
          </w:p>
        </w:tc>
        <w:tc>
          <w:tcPr>
            <w:tcW w:w="610" w:type="dxa"/>
          </w:tcPr>
          <w:p w14:paraId="682C6B18" w14:textId="4018B297" w:rsidR="00FD32F4" w:rsidRPr="00AE09D0" w:rsidRDefault="00A259A5"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w:t>
            </w:r>
          </w:p>
        </w:tc>
        <w:tc>
          <w:tcPr>
            <w:tcW w:w="563" w:type="dxa"/>
          </w:tcPr>
          <w:p w14:paraId="0B155D06"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4D9E78D5"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7C6BB4F0" w14:textId="77777777" w:rsidR="0050093A"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50093A">
              <w:rPr>
                <w:rFonts w:cstheme="minorHAnsi"/>
              </w:rPr>
              <w:t xml:space="preserve"> </w:t>
            </w:r>
          </w:p>
          <w:p w14:paraId="538E726C" w14:textId="10CEE25C" w:rsidR="00FD32F4" w:rsidRPr="00AE09D0" w:rsidRDefault="00955AFC"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registered)</w:t>
            </w:r>
          </w:p>
        </w:tc>
      </w:tr>
      <w:tr w:rsidR="004C536F" w:rsidRPr="00AE09D0" w14:paraId="26AB1752" w14:textId="77777777" w:rsidTr="006D33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0D24E7" w14:textId="3C98EF10" w:rsidR="00FD32F4" w:rsidRDefault="00FD32F4" w:rsidP="00BB1829">
            <w:pPr>
              <w:widowControl w:val="0"/>
              <w:spacing w:before="0"/>
              <w:rPr>
                <w:rFonts w:cstheme="minorHAnsi"/>
              </w:rPr>
            </w:pPr>
            <w:r>
              <w:rPr>
                <w:rFonts w:cstheme="minorHAnsi"/>
              </w:rPr>
              <w:t>Golodirsen</w:t>
            </w:r>
            <w:r w:rsidR="0057035A">
              <w:rPr>
                <w:rFonts w:cstheme="minorHAnsi"/>
              </w:rPr>
              <w:t xml:space="preserve"> (</w:t>
            </w:r>
            <w:r w:rsidR="0057035A" w:rsidRPr="0057035A">
              <w:rPr>
                <w:rFonts w:cstheme="minorHAnsi"/>
              </w:rPr>
              <w:t>Vyondys 53</w:t>
            </w:r>
            <w:r w:rsidR="00893427" w:rsidRPr="00044733">
              <w:rPr>
                <w:rFonts w:cstheme="minorHAnsi"/>
              </w:rPr>
              <w:t>®</w:t>
            </w:r>
            <w:r w:rsidR="0057035A">
              <w:rPr>
                <w:rFonts w:cstheme="minorHAnsi"/>
              </w:rPr>
              <w:t>)</w:t>
            </w:r>
          </w:p>
        </w:tc>
        <w:tc>
          <w:tcPr>
            <w:tcW w:w="3495" w:type="dxa"/>
          </w:tcPr>
          <w:p w14:paraId="4B4D7714"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Duchenne muscular dystrophy</w:t>
            </w:r>
          </w:p>
        </w:tc>
        <w:tc>
          <w:tcPr>
            <w:tcW w:w="610" w:type="dxa"/>
          </w:tcPr>
          <w:p w14:paraId="75DE06D7" w14:textId="77777777" w:rsidR="00FD32F4" w:rsidRPr="00AE09D0"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563" w:type="dxa"/>
          </w:tcPr>
          <w:p w14:paraId="61B9585F"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1E800E81" w14:textId="77777777" w:rsidR="00FD32F4" w:rsidRPr="00AE09D0"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633" w:type="dxa"/>
          </w:tcPr>
          <w:p w14:paraId="3E913945"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31B9241C" w14:textId="20BC375A" w:rsidR="0050093A" w:rsidRPr="00AE09D0" w:rsidRDefault="00955AFC"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registered)</w:t>
            </w:r>
          </w:p>
        </w:tc>
      </w:tr>
      <w:tr w:rsidR="004C536F" w:rsidRPr="00AE09D0" w14:paraId="0CB15C02" w14:textId="77777777" w:rsidTr="006D3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AA73C4" w14:textId="52181559" w:rsidR="00FD32F4" w:rsidRDefault="00FD32F4" w:rsidP="00BB1829">
            <w:pPr>
              <w:widowControl w:val="0"/>
              <w:spacing w:before="0"/>
              <w:rPr>
                <w:rFonts w:cstheme="minorHAnsi"/>
              </w:rPr>
            </w:pPr>
            <w:r>
              <w:rPr>
                <w:rFonts w:cstheme="minorHAnsi"/>
              </w:rPr>
              <w:t>Mipomersen</w:t>
            </w:r>
            <w:r w:rsidR="0057035A">
              <w:rPr>
                <w:rFonts w:cstheme="minorHAnsi"/>
              </w:rPr>
              <w:t xml:space="preserve"> (</w:t>
            </w:r>
            <w:r w:rsidR="0057035A" w:rsidRPr="0057035A">
              <w:rPr>
                <w:rFonts w:cstheme="minorHAnsi"/>
              </w:rPr>
              <w:t>Kynamro</w:t>
            </w:r>
            <w:r w:rsidR="00893427" w:rsidRPr="00044733">
              <w:rPr>
                <w:rFonts w:cstheme="minorHAnsi"/>
              </w:rPr>
              <w:t>®</w:t>
            </w:r>
            <w:r w:rsidR="0057035A">
              <w:rPr>
                <w:rFonts w:cstheme="minorHAnsi"/>
              </w:rPr>
              <w:t>)</w:t>
            </w:r>
          </w:p>
        </w:tc>
        <w:tc>
          <w:tcPr>
            <w:tcW w:w="3495" w:type="dxa"/>
          </w:tcPr>
          <w:p w14:paraId="0227EAEB" w14:textId="77777777" w:rsidR="00FD32F4" w:rsidRDefault="00FD32F4"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Homozygous familial hypercholesterolemia</w:t>
            </w:r>
          </w:p>
        </w:tc>
        <w:tc>
          <w:tcPr>
            <w:tcW w:w="610" w:type="dxa"/>
          </w:tcPr>
          <w:p w14:paraId="506BDC23"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563" w:type="dxa"/>
          </w:tcPr>
          <w:p w14:paraId="54E90F58"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0BFE91A4" w14:textId="77777777" w:rsidR="00FD32F4" w:rsidRPr="00AE09D0"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0392111B" w14:textId="77777777" w:rsidR="00FD32F4" w:rsidRDefault="00FD32F4"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4025FEEB" w14:textId="715BBBD3" w:rsidR="0050093A" w:rsidRPr="00AE09D0" w:rsidRDefault="00955AFC"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registered)</w:t>
            </w:r>
          </w:p>
        </w:tc>
      </w:tr>
      <w:tr w:rsidR="004C536F" w:rsidRPr="00AE09D0" w14:paraId="235139FE" w14:textId="77777777" w:rsidTr="006D338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tcPr>
          <w:p w14:paraId="0B237C04" w14:textId="00F7DDB0" w:rsidR="00FD32F4" w:rsidRDefault="00FD32F4" w:rsidP="00BB1829">
            <w:pPr>
              <w:widowControl w:val="0"/>
              <w:spacing w:before="0"/>
              <w:rPr>
                <w:rFonts w:cstheme="minorHAnsi"/>
              </w:rPr>
            </w:pPr>
            <w:r>
              <w:rPr>
                <w:rFonts w:cstheme="minorHAnsi"/>
              </w:rPr>
              <w:t>Vitolarsen</w:t>
            </w:r>
            <w:r w:rsidR="0057035A">
              <w:rPr>
                <w:rFonts w:cstheme="minorHAnsi"/>
              </w:rPr>
              <w:t xml:space="preserve"> (</w:t>
            </w:r>
            <w:r w:rsidR="0057035A" w:rsidRPr="0057035A">
              <w:rPr>
                <w:rFonts w:cstheme="minorHAnsi"/>
              </w:rPr>
              <w:t>Viltepso</w:t>
            </w:r>
            <w:r w:rsidR="00893427" w:rsidRPr="00044733">
              <w:rPr>
                <w:rFonts w:cstheme="minorHAnsi"/>
              </w:rPr>
              <w:t>®</w:t>
            </w:r>
            <w:r w:rsidR="0057035A">
              <w:rPr>
                <w:rFonts w:cstheme="minorHAnsi"/>
              </w:rPr>
              <w:t>)</w:t>
            </w:r>
          </w:p>
        </w:tc>
        <w:tc>
          <w:tcPr>
            <w:tcW w:w="3495" w:type="dxa"/>
          </w:tcPr>
          <w:p w14:paraId="6B595D46" w14:textId="77777777" w:rsidR="00FD32F4" w:rsidRDefault="00FD32F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Duchenne muscular dystrophy</w:t>
            </w:r>
          </w:p>
        </w:tc>
        <w:tc>
          <w:tcPr>
            <w:tcW w:w="610" w:type="dxa"/>
          </w:tcPr>
          <w:p w14:paraId="5E5C2CA1" w14:textId="77777777" w:rsidR="00FD32F4" w:rsidRPr="00AE09D0"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563" w:type="dxa"/>
          </w:tcPr>
          <w:p w14:paraId="11291367"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6FDA1402" w14:textId="77777777" w:rsidR="00FD32F4" w:rsidRPr="00AE09D0"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633" w:type="dxa"/>
          </w:tcPr>
          <w:p w14:paraId="2AA40787" w14:textId="77777777" w:rsidR="00FD32F4" w:rsidRDefault="00FD32F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1C3E7668" w14:textId="2B22FAA9" w:rsidR="0050093A" w:rsidRPr="00AE09D0" w:rsidRDefault="00955AFC"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registered)</w:t>
            </w:r>
          </w:p>
        </w:tc>
      </w:tr>
      <w:tr w:rsidR="004C536F" w:rsidRPr="00AE09D0" w14:paraId="6B87E2D0" w14:textId="77777777" w:rsidTr="006D338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tcPr>
          <w:p w14:paraId="419B7034" w14:textId="0E882885" w:rsidR="00EF388E" w:rsidRDefault="00CC2CDE" w:rsidP="00BB1829">
            <w:pPr>
              <w:widowControl w:val="0"/>
              <w:spacing w:before="0"/>
              <w:rPr>
                <w:rFonts w:cstheme="minorHAnsi"/>
              </w:rPr>
            </w:pPr>
            <w:r w:rsidRPr="00CC2CDE">
              <w:rPr>
                <w:rFonts w:cstheme="minorHAnsi"/>
              </w:rPr>
              <w:t>Eplontersen</w:t>
            </w:r>
            <w:r>
              <w:rPr>
                <w:rFonts w:cstheme="minorHAnsi"/>
              </w:rPr>
              <w:t xml:space="preserve"> (</w:t>
            </w:r>
            <w:r w:rsidR="00390A2D">
              <w:rPr>
                <w:rFonts w:cstheme="minorHAnsi"/>
              </w:rPr>
              <w:t>Wa</w:t>
            </w:r>
            <w:r w:rsidR="00E51912">
              <w:rPr>
                <w:rFonts w:cstheme="minorHAnsi"/>
              </w:rPr>
              <w:t>inua)</w:t>
            </w:r>
          </w:p>
        </w:tc>
        <w:tc>
          <w:tcPr>
            <w:tcW w:w="3495" w:type="dxa"/>
          </w:tcPr>
          <w:p w14:paraId="24628A81" w14:textId="72BE4CA2" w:rsidR="005711CA" w:rsidRPr="005711CA" w:rsidRDefault="005711CA" w:rsidP="005711CA">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w:t>
            </w:r>
            <w:r w:rsidRPr="005711CA">
              <w:rPr>
                <w:rFonts w:cstheme="minorHAnsi"/>
              </w:rPr>
              <w:t>ereditary transthyretin-mediated</w:t>
            </w:r>
          </w:p>
          <w:p w14:paraId="032C3F9B" w14:textId="73682C96" w:rsidR="00EF388E" w:rsidRDefault="005711CA" w:rsidP="005711CA">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sidRPr="005711CA">
              <w:rPr>
                <w:rFonts w:cstheme="minorHAnsi"/>
              </w:rPr>
              <w:t>amyloidosis</w:t>
            </w:r>
          </w:p>
        </w:tc>
        <w:tc>
          <w:tcPr>
            <w:tcW w:w="610" w:type="dxa"/>
          </w:tcPr>
          <w:p w14:paraId="5390C013" w14:textId="43DDF427" w:rsidR="00EF388E" w:rsidRDefault="00EF4069"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563" w:type="dxa"/>
          </w:tcPr>
          <w:p w14:paraId="73257D88" w14:textId="591DA0A1" w:rsidR="00EF388E" w:rsidRDefault="005711CA"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004DB914" w14:textId="4A0B75DE" w:rsidR="00EF388E" w:rsidRDefault="00B533AF"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40C1F2AE" w14:textId="59AA055F" w:rsidR="00EF388E" w:rsidRDefault="00882BDA"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 </w:t>
            </w:r>
            <w:r>
              <w:rPr>
                <w:rFonts w:cstheme="minorHAnsi"/>
              </w:rPr>
              <w:br/>
              <w:t>(Not registered)</w:t>
            </w:r>
          </w:p>
        </w:tc>
      </w:tr>
      <w:tr w:rsidR="004C536F" w:rsidRPr="00AE09D0" w14:paraId="038C6697" w14:textId="77777777" w:rsidTr="006D3382">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tcPr>
          <w:p w14:paraId="3594DF96" w14:textId="74A833A1" w:rsidR="00EF388E" w:rsidRDefault="00026FD8" w:rsidP="00BB1829">
            <w:pPr>
              <w:widowControl w:val="0"/>
              <w:spacing w:before="0"/>
              <w:rPr>
                <w:rFonts w:cstheme="minorHAnsi"/>
              </w:rPr>
            </w:pPr>
            <w:r>
              <w:t>Tofersen (Qalsody)</w:t>
            </w:r>
          </w:p>
        </w:tc>
        <w:tc>
          <w:tcPr>
            <w:tcW w:w="3495" w:type="dxa"/>
          </w:tcPr>
          <w:p w14:paraId="2B525037" w14:textId="5A207289" w:rsidR="00EF388E" w:rsidRDefault="00856714" w:rsidP="00BB1829">
            <w:pPr>
              <w:widowControl w:val="0"/>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w:t>
            </w:r>
            <w:r w:rsidRPr="00856714">
              <w:rPr>
                <w:rFonts w:cstheme="minorHAnsi"/>
              </w:rPr>
              <w:t>myotrophic lateral sclerosis</w:t>
            </w:r>
          </w:p>
        </w:tc>
        <w:tc>
          <w:tcPr>
            <w:tcW w:w="610" w:type="dxa"/>
          </w:tcPr>
          <w:p w14:paraId="0FDC15D7" w14:textId="4E18DDF9" w:rsidR="00EF388E" w:rsidRDefault="00126EB7"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563" w:type="dxa"/>
          </w:tcPr>
          <w:p w14:paraId="093E9401" w14:textId="33D37F76" w:rsidR="00EF388E" w:rsidRDefault="00856714"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665" w:type="dxa"/>
          </w:tcPr>
          <w:p w14:paraId="40C094FF" w14:textId="7238FFE8" w:rsidR="00EF388E" w:rsidRDefault="000F35E1"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633" w:type="dxa"/>
          </w:tcPr>
          <w:p w14:paraId="3720E20A" w14:textId="0FFABF2F" w:rsidR="00EF388E" w:rsidRDefault="00882BDA" w:rsidP="00BB1829">
            <w:pPr>
              <w:widowControl w:val="0"/>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Pr>
                <w:rFonts w:cstheme="minorHAnsi"/>
              </w:rPr>
              <w:br/>
              <w:t>(Not registered)</w:t>
            </w:r>
          </w:p>
        </w:tc>
      </w:tr>
      <w:tr w:rsidR="004C536F" w:rsidRPr="00AE09D0" w14:paraId="163AAFB6" w14:textId="77777777" w:rsidTr="006D338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auto"/>
          </w:tcPr>
          <w:p w14:paraId="2687E5C9" w14:textId="6590FA31" w:rsidR="00EF388E" w:rsidRDefault="009C7993" w:rsidP="00BB1829">
            <w:pPr>
              <w:widowControl w:val="0"/>
              <w:spacing w:before="0"/>
              <w:rPr>
                <w:rFonts w:cstheme="minorHAnsi"/>
              </w:rPr>
            </w:pPr>
            <w:r w:rsidRPr="009C7993">
              <w:rPr>
                <w:rFonts w:cstheme="minorHAnsi"/>
              </w:rPr>
              <w:t>Nedosiran</w:t>
            </w:r>
            <w:r>
              <w:rPr>
                <w:rFonts w:cstheme="minorHAnsi"/>
              </w:rPr>
              <w:t xml:space="preserve"> (Riv</w:t>
            </w:r>
            <w:r w:rsidR="008E3DE3">
              <w:rPr>
                <w:rFonts w:cstheme="minorHAnsi"/>
              </w:rPr>
              <w:t>floza)</w:t>
            </w:r>
          </w:p>
        </w:tc>
        <w:tc>
          <w:tcPr>
            <w:tcW w:w="3495" w:type="dxa"/>
          </w:tcPr>
          <w:p w14:paraId="468704FE" w14:textId="7858DE5E" w:rsidR="00EF388E" w:rsidRDefault="001158AE" w:rsidP="00BB1829">
            <w:pPr>
              <w:widowControl w:val="0"/>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w:t>
            </w:r>
            <w:r w:rsidRPr="001158AE">
              <w:rPr>
                <w:rFonts w:cstheme="minorHAnsi"/>
              </w:rPr>
              <w:t>rimary hyperoxaluria type 1 (PH1)</w:t>
            </w:r>
          </w:p>
        </w:tc>
        <w:tc>
          <w:tcPr>
            <w:tcW w:w="610" w:type="dxa"/>
          </w:tcPr>
          <w:p w14:paraId="44D76E39" w14:textId="74835208" w:rsidR="00EF388E" w:rsidRDefault="00882BDA"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563" w:type="dxa"/>
          </w:tcPr>
          <w:p w14:paraId="17AC5468" w14:textId="1209C62B" w:rsidR="00EF388E" w:rsidRDefault="00217C1E"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665" w:type="dxa"/>
          </w:tcPr>
          <w:p w14:paraId="492EC923" w14:textId="2F5F3EBC" w:rsidR="00EF388E" w:rsidRDefault="00882BDA"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633" w:type="dxa"/>
          </w:tcPr>
          <w:p w14:paraId="22E715C3" w14:textId="5C3609CE" w:rsidR="00EF388E" w:rsidRDefault="00882BDA" w:rsidP="00BB1829">
            <w:pPr>
              <w:widowControl w:val="0"/>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Pr>
                <w:rFonts w:cstheme="minorHAnsi"/>
              </w:rPr>
              <w:br/>
              <w:t>(Not registered)</w:t>
            </w:r>
          </w:p>
        </w:tc>
      </w:tr>
    </w:tbl>
    <w:p w14:paraId="045A330E" w14:textId="3699AA7E" w:rsidR="00191534" w:rsidRPr="00AC07A7" w:rsidRDefault="00191534" w:rsidP="006D3382">
      <w:pPr>
        <w:pStyle w:val="Caption"/>
      </w:pPr>
      <w:r w:rsidRPr="006D3382">
        <w:rPr>
          <w:color w:val="auto"/>
        </w:rPr>
        <w:t>Y= registered or funded. N = not registered or funded.</w:t>
      </w:r>
      <w:r w:rsidR="006F752C" w:rsidRPr="006D3382">
        <w:rPr>
          <w:color w:val="auto"/>
        </w:rPr>
        <w:t xml:space="preserve"> </w:t>
      </w:r>
      <w:r w:rsidR="00C64EC4" w:rsidRPr="006D3382">
        <w:rPr>
          <w:color w:val="auto"/>
        </w:rPr>
        <w:t>W = withdrawn.</w:t>
      </w:r>
      <w:r w:rsidR="006F752C" w:rsidRPr="006D3382">
        <w:rPr>
          <w:color w:val="auto"/>
        </w:rPr>
        <w:t xml:space="preserve"> O = Orphan medicine (EMA): A medicine for the diagnosis, prevention, or treatment of a life-threatening or chronically debilitating condition that is rare (affecting not more than five in 10,000 people in the European Union) or where the medicine is unlikely to generate sufficient profit to justify research and development costs.</w:t>
      </w:r>
      <w:r w:rsidR="00DB3F7C" w:rsidRPr="006D3382">
        <w:rPr>
          <w:color w:val="auto"/>
        </w:rPr>
        <w:t xml:space="preserve"> O = Orphan medicine (TGA): </w:t>
      </w:r>
      <w:r w:rsidR="008216B5" w:rsidRPr="006D3382">
        <w:rPr>
          <w:color w:val="auto"/>
        </w:rPr>
        <w:t>Sponsors receive a fee waiver to help bring medicines for a small population to market</w:t>
      </w:r>
      <w:r w:rsidR="003543AB" w:rsidRPr="006D3382">
        <w:rPr>
          <w:rStyle w:val="FootnoteReference"/>
          <w:i w:val="0"/>
          <w:color w:val="auto"/>
        </w:rPr>
        <w:footnoteReference w:id="13"/>
      </w:r>
      <w:r w:rsidR="008216B5" w:rsidRPr="006D3382">
        <w:rPr>
          <w:color w:val="auto"/>
        </w:rPr>
        <w:t>.</w:t>
      </w:r>
      <w:r w:rsidR="001F7A4B" w:rsidRPr="006D3382">
        <w:rPr>
          <w:color w:val="auto"/>
        </w:rPr>
        <w:t xml:space="preserve"> </w:t>
      </w:r>
      <w:r w:rsidR="00253304" w:rsidRPr="006D3382">
        <w:rPr>
          <w:color w:val="auto"/>
        </w:rPr>
        <w:t>* = submission currently under evaluation with regulator.</w:t>
      </w:r>
    </w:p>
    <w:p w14:paraId="346472B0" w14:textId="4F22ED31" w:rsidR="00401A7B" w:rsidRPr="006B2B82" w:rsidRDefault="00131364" w:rsidP="00191534">
      <w:r w:rsidRPr="00131364">
        <w:t>A 202</w:t>
      </w:r>
      <w:r>
        <w:t>1</w:t>
      </w:r>
      <w:r w:rsidRPr="00131364">
        <w:t xml:space="preserve"> scan of </w:t>
      </w:r>
      <w:r>
        <w:t xml:space="preserve">oligonucleotide drugs in clinical development found 130 phase II or phase III clinical trials involving 80 oligonucleotides. They were being tested in 102 different indications targeting 66 different genes. The study found use in metabolic disorders, </w:t>
      </w:r>
      <w:r w:rsidR="00A81872">
        <w:t>ophthalmology</w:t>
      </w:r>
      <w:r>
        <w:t xml:space="preserve">, gastrointestinal, dermatology, hormonal disorders, oncology, cardiovascular, infectious disease, </w:t>
      </w:r>
      <w:r w:rsidR="00A81872">
        <w:t>haematology</w:t>
      </w:r>
      <w:r>
        <w:t xml:space="preserve">, immunology, neurology, muscular diseases, genitourinary </w:t>
      </w:r>
      <w:r w:rsidR="00A81872">
        <w:t>disease,</w:t>
      </w:r>
      <w:r>
        <w:t xml:space="preserve"> and respiratory diseases.</w:t>
      </w:r>
      <w:r w:rsidR="00B86350" w:rsidRPr="00B86350">
        <w:rPr>
          <w:vertAlign w:val="superscript"/>
        </w:rPr>
        <w:fldChar w:fldCharType="begin"/>
      </w:r>
      <w:r w:rsidR="00B86350" w:rsidRPr="00B86350">
        <w:rPr>
          <w:vertAlign w:val="superscript"/>
        </w:rPr>
        <w:instrText xml:space="preserve"> NOTEREF _Ref134188470 \h </w:instrText>
      </w:r>
      <w:r w:rsidR="00B86350">
        <w:rPr>
          <w:vertAlign w:val="superscript"/>
        </w:rPr>
        <w:instrText xml:space="preserve"> \* MERGEFORMAT </w:instrText>
      </w:r>
      <w:r w:rsidR="00B86350" w:rsidRPr="00B86350">
        <w:rPr>
          <w:vertAlign w:val="superscript"/>
        </w:rPr>
      </w:r>
      <w:r w:rsidR="00B86350" w:rsidRPr="00B86350">
        <w:rPr>
          <w:vertAlign w:val="superscript"/>
        </w:rPr>
        <w:fldChar w:fldCharType="separate"/>
      </w:r>
      <w:r w:rsidR="00395B47">
        <w:rPr>
          <w:vertAlign w:val="superscript"/>
        </w:rPr>
        <w:t>11</w:t>
      </w:r>
      <w:r w:rsidR="00B86350" w:rsidRPr="00B86350">
        <w:rPr>
          <w:vertAlign w:val="superscript"/>
        </w:rPr>
        <w:fldChar w:fldCharType="end"/>
      </w:r>
      <w:r w:rsidR="006B2B82">
        <w:t xml:space="preserve"> A 2023 scan of RNAi, mRNA and antisense oligonucleotides found 897 therapies in the pipeline (from preclinical to pre-registration).</w:t>
      </w:r>
      <w:r w:rsidR="006B2B82">
        <w:rPr>
          <w:rStyle w:val="FootnoteReference"/>
        </w:rPr>
        <w:footnoteReference w:id="14"/>
      </w:r>
      <w:r w:rsidR="006B2B82">
        <w:t xml:space="preserve"> This analysis found the most common therapeutic area targeted was rare diseases.</w:t>
      </w:r>
    </w:p>
    <w:p w14:paraId="66B5F7D4" w14:textId="6CD4A7DB" w:rsidR="009E633D" w:rsidRDefault="00026EDB" w:rsidP="006D3382">
      <w:pPr>
        <w:pStyle w:val="Heading3"/>
        <w:ind w:left="709"/>
      </w:pPr>
      <w:r>
        <w:lastRenderedPageBreak/>
        <w:t>Assessment for funding of</w:t>
      </w:r>
      <w:r w:rsidR="009E633D">
        <w:t xml:space="preserve"> </w:t>
      </w:r>
      <w:r w:rsidR="00AD08A0">
        <w:t xml:space="preserve">gene silencing </w:t>
      </w:r>
      <w:r w:rsidR="00401A7B">
        <w:t>oligonucleotide</w:t>
      </w:r>
      <w:r w:rsidR="009E633D">
        <w:t xml:space="preserve"> drugs in Australia</w:t>
      </w:r>
    </w:p>
    <w:p w14:paraId="7DF7C68C" w14:textId="20DF20B0" w:rsidR="00AE262F" w:rsidRDefault="00AD08A0" w:rsidP="009E633D">
      <w:r>
        <w:t xml:space="preserve">To date, one gene silencing </w:t>
      </w:r>
      <w:r w:rsidR="00401A7B">
        <w:t>oligonucleotide</w:t>
      </w:r>
      <w:r>
        <w:t xml:space="preserve"> has been subsidised in Australia. </w:t>
      </w:r>
      <w:r w:rsidR="00534224" w:rsidRPr="00381CF3">
        <w:rPr>
          <w:rFonts w:cstheme="minorHAnsi"/>
        </w:rPr>
        <w:t>Spinraza</w:t>
      </w:r>
      <w:r w:rsidR="00BC17F4">
        <w:rPr>
          <w:rStyle w:val="FootnoteReference"/>
          <w:b/>
          <w:bCs/>
        </w:rPr>
        <w:footnoteReference w:id="15"/>
      </w:r>
      <w:r w:rsidR="00534224">
        <w:t xml:space="preserve"> (nusinersen)</w:t>
      </w:r>
      <w:r w:rsidR="009E633D">
        <w:t>,</w:t>
      </w:r>
      <w:r>
        <w:t xml:space="preserve"> was assessed by the PBAC and</w:t>
      </w:r>
      <w:r w:rsidR="009E633D">
        <w:t xml:space="preserve"> is subsidised through the PBS. </w:t>
      </w:r>
    </w:p>
    <w:p w14:paraId="40CDB919" w14:textId="46A65454" w:rsidR="00BC17F4" w:rsidRDefault="00AE262F" w:rsidP="009E633D">
      <w:r>
        <w:rPr>
          <w:noProof/>
        </w:rPr>
        <mc:AlternateContent>
          <mc:Choice Requires="wps">
            <w:drawing>
              <wp:inline distT="0" distB="0" distL="0" distR="0" wp14:anchorId="335434EF" wp14:editId="0316CA57">
                <wp:extent cx="5731510" cy="3219450"/>
                <wp:effectExtent l="0" t="0" r="21590" b="190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1945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635680FD" w14:textId="77777777" w:rsidR="00AE262F" w:rsidRPr="00EB2F3C" w:rsidRDefault="00AE262F" w:rsidP="00AE262F">
                            <w:pPr>
                              <w:rPr>
                                <w:b/>
                                <w:bCs/>
                              </w:rPr>
                            </w:pPr>
                            <w:r w:rsidRPr="00327595">
                              <w:rPr>
                                <w:rStyle w:val="Strong"/>
                              </w:rPr>
                              <w:t>Spinraza</w:t>
                            </w:r>
                            <w:r w:rsidRPr="00534224" w:rsidDel="00534224">
                              <w:rPr>
                                <w:b/>
                                <w:bCs/>
                              </w:rPr>
                              <w:t xml:space="preserve"> </w:t>
                            </w:r>
                          </w:p>
                          <w:p w14:paraId="089F59C8" w14:textId="77777777" w:rsidR="00AE262F" w:rsidRDefault="00AE262F" w:rsidP="00AE262F">
                            <w:pPr>
                              <w:spacing w:before="0"/>
                            </w:pPr>
                            <w:r w:rsidRPr="00381CF3">
                              <w:rPr>
                                <w:rFonts w:cstheme="minorHAnsi"/>
                              </w:rPr>
                              <w:t>Spinraza</w:t>
                            </w:r>
                            <w:r>
                              <w:t xml:space="preserve"> (nusinersen) is registered in Australia for the treatment of 5q spinal muscular atrophy (SMA). The PBAC considered submissions to list nusinersen on the PBS for the first time at its November 2017 and March 2018 meetings. At its November 2017 meeting the PBAC did not recommend the listing of nusinersen for the treatment of patients with infantile onset (type 1) and childhood onset (types II and III) based on uncertainty about clinical effectiveness in terms of the extent and durability of response across the spectrum of SMA for which subsidy was sought. The primary evidence presented was two head-to head randomised trials comparing nusinersen to sham controls. The PBAC noted that both trials were of short duration (13 months and 15 months respectively) in the context of a lifelong condition. </w:t>
                            </w:r>
                          </w:p>
                          <w:p w14:paraId="64440866" w14:textId="77777777" w:rsidR="00AE262F" w:rsidRDefault="00AE262F" w:rsidP="00AE262F">
                            <w:r>
                              <w:t>At its March 2018 meeting the PBAC considered a resubmission from the sponsor requesting listing of nusinersen for the treatment of paediatric patients with infantile-onset or childhood onset SMA with onset of symptoms prior to 3 years of age. The submission provided updated results from an open label extension trial which appeared to confirm that treatment with nusinersen in patients with type 1 SMA increases life expectancy. The PBAC recommended listing.</w:t>
                            </w:r>
                          </w:p>
                        </w:txbxContent>
                      </wps:txbx>
                      <wps:bodyPr rot="0" vert="horz" wrap="square" lIns="91440" tIns="45720" rIns="91440" bIns="45720" anchor="t" anchorCtr="0">
                        <a:noAutofit/>
                      </wps:bodyPr>
                    </wps:wsp>
                  </a:graphicData>
                </a:graphic>
              </wp:inline>
            </w:drawing>
          </mc:Choice>
          <mc:Fallback>
            <w:pict>
              <v:shape w14:anchorId="335434EF" id="Text Box 24" o:spid="_x0000_s1028" type="#_x0000_t202" style="width:451.3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HDMAIAAKMEAAAOAAAAZHJzL2Uyb0RvYy54bWy8VMtu2zAQvBfoPxC817IUK4kFy0HqNEWB&#10;9AGk/QCaoiyiJJclaUvp12dJyY7b3oqiOhDcXWn2MTta3QxakYNwXoKpaT6bUyIMh0aaXU2/fb1/&#10;c02JD8w0TIERNX0Snt6sX79a9bYSBXSgGuEIghhf9bamXQi2yjLPO6GZn4EVBoMtOM0Cmm6XNY71&#10;iK5VVsznl1kPrrEOuPAevXdjkK4TftsKHj63rReBqJpibSGdLp3beGbrFat2jtlO8qkM9hdVaCYN&#10;Jj1B3bHAyN7JP6C05A48tGHGQWfQtpKL1AN2k89/6+axY1akXnA43p7G5P8dLP90eLRfHAnDWxiQ&#10;wNSEtw/Av3tiYNMxsxO3zkHfCdZg4jyOLOutr6ZP46h95SPItv8IDZLM9gES0NA6HaeCfRJERwKe&#10;TkMXQyAcneXVRV7mGOIYuyjy5aJMtGSsOn5unQ/vBWgSLzV1yGqCZ4cHH2I5rDq+ErN5ULK5l0ol&#10;I26S2ChHDgx3gHEuTBjbVHuN9Y7+xRyfcRvQjTszui+PbkyRdjIipYS/JFGG9DVdlkU5zu+/F6Bl&#10;QBkpqWt6HUueWomcvTNNWvLApBrv2IsyE4mRt5HBMGwHIpuaFnEMkdMtNE/IqoNRNahyvHTgflLS&#10;o2Jq6n/smROUqA8GN2OZLxZRYslYlFcFGu48sj2PMMMRqqaBkvG6CUmWkTMDt7hBrUzcvlQylYxK&#10;SAxMqo1SO7fTWy//lvUzAAAA//8DAFBLAwQUAAYACAAAACEAbzZy6t8AAAAFAQAADwAAAGRycy9k&#10;b3ducmV2LnhtbEyPT0vDQBDF74LfYRnBi9hdC21tzKSIUBBEpH8s9rbJjklsdjZkt2389t32opeB&#10;x3u895t01ttGHKjztWOEh4ECQVw4U3OJsF7N7x9B+KDZ6MYxIfySh1l2fZXqxLgjL+iwDKWIJewT&#10;jVCF0CZS+qIiq/3AtcTR+3ad1SHKrpSm08dYbhs5VGosra45LlS6pZeKit1ybxG2Px/vm4XM7yaj&#10;qXzbbD9fd3P/hXh70z8/gQjUh78wnPEjOmSRKXd7Nl40CPGRcLnRm6rhGESOMFITBTJL5X/67AQA&#10;AP//AwBQSwECLQAUAAYACAAAACEAtoM4kv4AAADhAQAAEwAAAAAAAAAAAAAAAAAAAAAAW0NvbnRl&#10;bnRfVHlwZXNdLnhtbFBLAQItABQABgAIAAAAIQA4/SH/1gAAAJQBAAALAAAAAAAAAAAAAAAAAC8B&#10;AABfcmVscy8ucmVsc1BLAQItABQABgAIAAAAIQDJCWHDMAIAAKMEAAAOAAAAAAAAAAAAAAAAAC4C&#10;AABkcnMvZTJvRG9jLnhtbFBLAQItABQABgAIAAAAIQBvNnLq3wAAAAUBAAAPAAAAAAAAAAAAAAAA&#10;AIoEAABkcnMvZG93bnJldi54bWxQSwUGAAAAAAQABADzAAAAlgUAAAAA&#10;" fillcolor="#b4c6e7 [1300]" strokecolor="#b4c6e7 [1300]">
                <v:textbox>
                  <w:txbxContent>
                    <w:p w14:paraId="635680FD" w14:textId="77777777" w:rsidR="00AE262F" w:rsidRPr="00EB2F3C" w:rsidRDefault="00AE262F" w:rsidP="00AE262F">
                      <w:pPr>
                        <w:rPr>
                          <w:b/>
                          <w:bCs/>
                        </w:rPr>
                      </w:pPr>
                      <w:r w:rsidRPr="00327595">
                        <w:rPr>
                          <w:rStyle w:val="Strong"/>
                        </w:rPr>
                        <w:t>Spinraza</w:t>
                      </w:r>
                      <w:r w:rsidRPr="00534224" w:rsidDel="00534224">
                        <w:rPr>
                          <w:b/>
                          <w:bCs/>
                        </w:rPr>
                        <w:t xml:space="preserve"> </w:t>
                      </w:r>
                    </w:p>
                    <w:p w14:paraId="089F59C8" w14:textId="77777777" w:rsidR="00AE262F" w:rsidRDefault="00AE262F" w:rsidP="00AE262F">
                      <w:pPr>
                        <w:spacing w:before="0"/>
                      </w:pPr>
                      <w:r w:rsidRPr="00381CF3">
                        <w:rPr>
                          <w:rFonts w:cstheme="minorHAnsi"/>
                        </w:rPr>
                        <w:t>Spinraza</w:t>
                      </w:r>
                      <w:r>
                        <w:t xml:space="preserve"> (nusinersen) is registered in Australia for the treatment of 5q spinal muscular atrophy (SMA). The PBAC considered submissions to list nusinersen on the PBS for the first time at its November 2017 and March 2018 meetings. At its November 2017 meeting the PBAC did not recommend the listing of nusinersen for the treatment of patients with infantile onset (type 1) and childhood onset (types II and III) based on uncertainty about clinical effectiveness in terms of the extent and durability of response across the spectrum of SMA for which subsidy was sought. The primary evidence presented was two head-to head randomised trials comparing nusinersen to sham controls. The PBAC noted that both trials were of short duration (13 months and 15 months respectively) in the context of a lifelong condition. </w:t>
                      </w:r>
                    </w:p>
                    <w:p w14:paraId="64440866" w14:textId="77777777" w:rsidR="00AE262F" w:rsidRDefault="00AE262F" w:rsidP="00AE262F">
                      <w:r>
                        <w:t>At its March 2018 meeting the PBAC considered a resubmission from the sponsor requesting listing of nusinersen for the treatment of paediatric patients with infantile-onset or childhood onset SMA with onset of symptoms prior to 3 years of age. The submission provided updated results from an open label extension trial which appeared to confirm that treatment with nusinersen in patients with type 1 SMA increases life expectancy. The PBAC recommended listing.</w:t>
                      </w:r>
                    </w:p>
                  </w:txbxContent>
                </v:textbox>
                <w10:anchorlock/>
              </v:shape>
            </w:pict>
          </mc:Fallback>
        </mc:AlternateContent>
      </w:r>
    </w:p>
    <w:p w14:paraId="3DE00A9C" w14:textId="3FC7C063" w:rsidR="00151FE2" w:rsidRDefault="00191534">
      <w:pPr>
        <w:pStyle w:val="Heading2"/>
      </w:pPr>
      <w:bookmarkStart w:id="120" w:name="_Toc158900424"/>
      <w:r>
        <w:t>Gene modified c</w:t>
      </w:r>
      <w:r w:rsidR="00863D41">
        <w:t xml:space="preserve">ell </w:t>
      </w:r>
      <w:r>
        <w:t>t</w:t>
      </w:r>
      <w:r w:rsidR="00863D41">
        <w:t>herapies</w:t>
      </w:r>
      <w:bookmarkEnd w:id="120"/>
    </w:p>
    <w:p w14:paraId="506CC41E" w14:textId="148D5C86" w:rsidR="001A7476" w:rsidRDefault="00DD174D" w:rsidP="001A7476">
      <w:r>
        <w:t xml:space="preserve">Cell therapies </w:t>
      </w:r>
      <w:r w:rsidR="00B13A87">
        <w:t>are a form of treatment where live cells are transferred into a patient to treat a disease.</w:t>
      </w:r>
      <w:r w:rsidR="00B13A87" w:rsidRPr="00B13A87">
        <w:t xml:space="preserve"> Cellular therapy products include cellular immunotherapies, cancer vaccines, and other types of both autologous and allogeneic cells for certain therapeutic indications, including </w:t>
      </w:r>
      <w:r w:rsidR="00A81872" w:rsidRPr="00B13A87">
        <w:t>hematopoietic</w:t>
      </w:r>
      <w:r w:rsidR="00B13A87" w:rsidRPr="00B13A87">
        <w:t xml:space="preserve"> stem cells and adult and embryonic stem cells.</w:t>
      </w:r>
      <w:r w:rsidR="00B13A87">
        <w:rPr>
          <w:rStyle w:val="FootnoteReference"/>
        </w:rPr>
        <w:footnoteReference w:id="16"/>
      </w:r>
      <w:r w:rsidR="00B13A87">
        <w:t xml:space="preserve">  Emerging cell therapies involve manipulation of cells before they are transferred into a patient. This manipulation may or may not involve genetic manipulation. </w:t>
      </w:r>
    </w:p>
    <w:p w14:paraId="3DAF8974" w14:textId="013922F3" w:rsidR="006B79B5" w:rsidRDefault="00520B03" w:rsidP="001A7476">
      <w:r>
        <w:t xml:space="preserve">Gene-modified cell therapy or cell-based gene therapy </w:t>
      </w:r>
      <w:r w:rsidR="00AD08A0">
        <w:t xml:space="preserve">involves the </w:t>
      </w:r>
      <w:r>
        <w:t>incorporat</w:t>
      </w:r>
      <w:r w:rsidR="00AD08A0">
        <w:t>ion of</w:t>
      </w:r>
      <w:r>
        <w:t xml:space="preserve"> a functional gene into a cell-based therapy.</w:t>
      </w:r>
      <w:r>
        <w:rPr>
          <w:rStyle w:val="FootnoteReference"/>
        </w:rPr>
        <w:footnoteReference w:id="17"/>
      </w:r>
      <w:r>
        <w:t xml:space="preserve"> It involves the removal of specific cells from the body</w:t>
      </w:r>
      <w:r w:rsidRPr="004E42EF">
        <w:rPr>
          <w:i/>
          <w:iCs/>
        </w:rPr>
        <w:t>, ex vivo</w:t>
      </w:r>
      <w:r>
        <w:t xml:space="preserve"> genetic modification, and administration </w:t>
      </w:r>
      <w:r w:rsidR="00AD08A0">
        <w:t xml:space="preserve">back </w:t>
      </w:r>
      <w:r>
        <w:t>into the patient to help the patient fight a disease.</w:t>
      </w:r>
      <w:r w:rsidR="006B79B5">
        <w:t xml:space="preserve"> There are multiple types of gene modified cell therapies</w:t>
      </w:r>
      <w:r w:rsidR="00AD08A0">
        <w:t xml:space="preserve"> in development</w:t>
      </w:r>
      <w:r w:rsidR="006B79B5">
        <w:t xml:space="preserve"> including:</w:t>
      </w:r>
      <w:r w:rsidR="006B79B5" w:rsidRPr="006B79B5">
        <w:rPr>
          <w:rStyle w:val="FootnoteReference"/>
        </w:rPr>
        <w:t xml:space="preserve"> </w:t>
      </w:r>
      <w:r w:rsidR="006B79B5">
        <w:rPr>
          <w:rStyle w:val="FootnoteReference"/>
        </w:rPr>
        <w:footnoteReference w:id="18"/>
      </w:r>
    </w:p>
    <w:p w14:paraId="4D7C1150" w14:textId="3AB65762" w:rsidR="006B79B5" w:rsidRDefault="006B79B5" w:rsidP="0086383C">
      <w:pPr>
        <w:pStyle w:val="ListBullet"/>
        <w:tabs>
          <w:tab w:val="clear" w:pos="360"/>
          <w:tab w:val="num" w:pos="720"/>
        </w:tabs>
        <w:ind w:left="720"/>
      </w:pPr>
      <w:r w:rsidRPr="00812DE9">
        <w:t>Chimeric antigen receptor (CAR</w:t>
      </w:r>
      <w:r w:rsidR="006F3CC4">
        <w:t>)</w:t>
      </w:r>
      <w:r w:rsidRPr="00812DE9">
        <w:t xml:space="preserve"> T-cell therapies</w:t>
      </w:r>
    </w:p>
    <w:p w14:paraId="2BB11630" w14:textId="77777777" w:rsidR="006B79B5" w:rsidRDefault="006B79B5" w:rsidP="0086383C">
      <w:pPr>
        <w:pStyle w:val="ListBullet"/>
        <w:tabs>
          <w:tab w:val="clear" w:pos="360"/>
          <w:tab w:val="num" w:pos="720"/>
        </w:tabs>
        <w:ind w:left="720"/>
      </w:pPr>
      <w:r w:rsidRPr="00034EB8">
        <w:t>T-cell receptor (TCR) therapies</w:t>
      </w:r>
    </w:p>
    <w:p w14:paraId="43ACE709" w14:textId="7958DAE3" w:rsidR="006B79B5" w:rsidRDefault="00A81872" w:rsidP="0086383C">
      <w:pPr>
        <w:pStyle w:val="ListBullet"/>
        <w:tabs>
          <w:tab w:val="clear" w:pos="360"/>
          <w:tab w:val="num" w:pos="720"/>
        </w:tabs>
        <w:ind w:left="720"/>
      </w:pPr>
      <w:r w:rsidRPr="00034EB8">
        <w:t>Tumour</w:t>
      </w:r>
      <w:r w:rsidR="006B79B5" w:rsidRPr="00034EB8">
        <w:t xml:space="preserve"> infiltrating lymphocytes (TILs)</w:t>
      </w:r>
    </w:p>
    <w:p w14:paraId="5B281591" w14:textId="77777777" w:rsidR="006B79B5" w:rsidRDefault="006B79B5" w:rsidP="0086383C">
      <w:pPr>
        <w:pStyle w:val="ListBullet"/>
        <w:tabs>
          <w:tab w:val="clear" w:pos="360"/>
          <w:tab w:val="num" w:pos="720"/>
        </w:tabs>
        <w:ind w:left="720"/>
      </w:pPr>
      <w:r w:rsidRPr="00034EB8">
        <w:t>Natural killer (NK) cell therapies</w:t>
      </w:r>
    </w:p>
    <w:p w14:paraId="2BD03897" w14:textId="77777777" w:rsidR="006B79B5" w:rsidRPr="00083035" w:rsidRDefault="006B79B5" w:rsidP="0086383C">
      <w:pPr>
        <w:pStyle w:val="ListBullet"/>
        <w:tabs>
          <w:tab w:val="clear" w:pos="360"/>
          <w:tab w:val="num" w:pos="720"/>
        </w:tabs>
        <w:ind w:left="720"/>
      </w:pPr>
      <w:r w:rsidRPr="00405A38">
        <w:t>M</w:t>
      </w:r>
      <w:r w:rsidRPr="00083035">
        <w:t>arrow derived lymphocytes (MILs)</w:t>
      </w:r>
    </w:p>
    <w:p w14:paraId="6E17B552" w14:textId="77777777" w:rsidR="006B79B5" w:rsidRPr="00083035" w:rsidRDefault="006B79B5" w:rsidP="0086383C">
      <w:pPr>
        <w:pStyle w:val="ListBullet"/>
        <w:tabs>
          <w:tab w:val="clear" w:pos="360"/>
          <w:tab w:val="num" w:pos="720"/>
        </w:tabs>
        <w:ind w:left="720"/>
      </w:pPr>
      <w:r w:rsidRPr="00083035">
        <w:lastRenderedPageBreak/>
        <w:t>Listeria-based</w:t>
      </w:r>
      <w:r>
        <w:t xml:space="preserve"> therapies</w:t>
      </w:r>
    </w:p>
    <w:p w14:paraId="1E93FB09" w14:textId="77777777" w:rsidR="006B79B5" w:rsidRPr="00083035" w:rsidRDefault="006B79B5" w:rsidP="0086383C">
      <w:pPr>
        <w:pStyle w:val="ListBullet"/>
        <w:tabs>
          <w:tab w:val="clear" w:pos="360"/>
          <w:tab w:val="num" w:pos="720"/>
        </w:tabs>
        <w:ind w:left="720"/>
      </w:pPr>
      <w:r w:rsidRPr="00083035">
        <w:t>Dendritic cell vaccine</w:t>
      </w:r>
      <w:r>
        <w:t xml:space="preserve"> therapies</w:t>
      </w:r>
    </w:p>
    <w:p w14:paraId="5B78A0D0" w14:textId="6367BF72" w:rsidR="006B79B5" w:rsidRDefault="006B79B5" w:rsidP="006B79B5">
      <w:r>
        <w:t xml:space="preserve">The majority of these do not have market approval. </w:t>
      </w:r>
      <w:r w:rsidR="00D1601C">
        <w:t>C</w:t>
      </w:r>
      <w:r w:rsidR="00D1601C" w:rsidRPr="00812DE9">
        <w:t>himeric antigen receptor (CAR</w:t>
      </w:r>
      <w:r w:rsidR="00534224">
        <w:t xml:space="preserve">) </w:t>
      </w:r>
      <w:r w:rsidR="00D1601C" w:rsidRPr="00812DE9">
        <w:t>T</w:t>
      </w:r>
      <w:r w:rsidR="00534224">
        <w:t xml:space="preserve"> </w:t>
      </w:r>
      <w:r w:rsidR="00D1601C" w:rsidRPr="00812DE9">
        <w:t>cell therapies</w:t>
      </w:r>
      <w:r w:rsidR="00D1601C">
        <w:t xml:space="preserve"> represent </w:t>
      </w:r>
      <w:r w:rsidR="006F3CC4">
        <w:t>the largest category of</w:t>
      </w:r>
      <w:r w:rsidR="00D1601C">
        <w:t xml:space="preserve"> gene modified cell therapies that have obtained market approval. </w:t>
      </w:r>
      <w:r w:rsidRPr="00E85484">
        <w:rPr>
          <w:rFonts w:cstheme="minorHAnsi"/>
        </w:rPr>
        <w:t xml:space="preserve">They are made by collecting T cells from the patient and </w:t>
      </w:r>
      <w:r w:rsidR="00B50545">
        <w:rPr>
          <w:rFonts w:cstheme="minorHAnsi"/>
        </w:rPr>
        <w:t>genetically modifying</w:t>
      </w:r>
      <w:r w:rsidRPr="00E85484">
        <w:rPr>
          <w:rFonts w:cstheme="minorHAnsi"/>
        </w:rPr>
        <w:t xml:space="preserve"> them in </w:t>
      </w:r>
      <w:r w:rsidR="00B50545">
        <w:rPr>
          <w:rFonts w:cstheme="minorHAnsi"/>
        </w:rPr>
        <w:t>a</w:t>
      </w:r>
      <w:r w:rsidRPr="00E85484">
        <w:rPr>
          <w:rFonts w:cstheme="minorHAnsi"/>
        </w:rPr>
        <w:t xml:space="preserve"> laboratory to produce proteins on their surface called chimeric antigen receptors, or CARs</w:t>
      </w:r>
      <w:r>
        <w:rPr>
          <w:rFonts w:cstheme="minorHAnsi"/>
        </w:rPr>
        <w:t xml:space="preserve"> that </w:t>
      </w:r>
      <w:r w:rsidRPr="00E85484">
        <w:rPr>
          <w:rFonts w:cstheme="minorHAnsi"/>
        </w:rPr>
        <w:t>recognize and bind to specific proteins, or antigens, on the surface of cancer cells</w:t>
      </w:r>
      <w:r w:rsidR="00401A7B">
        <w:rPr>
          <w:rFonts w:cstheme="minorHAnsi"/>
        </w:rPr>
        <w:t xml:space="preserve">. </w:t>
      </w:r>
      <w:r>
        <w:rPr>
          <w:rFonts w:cstheme="minorHAnsi"/>
        </w:rPr>
        <w:t xml:space="preserve">The </w:t>
      </w:r>
      <w:r w:rsidRPr="002768D4">
        <w:t>CAR</w:t>
      </w:r>
      <w:r w:rsidR="00AD08A0">
        <w:t xml:space="preserve"> </w:t>
      </w:r>
      <w:r w:rsidRPr="002768D4">
        <w:t>T</w:t>
      </w:r>
      <w:r w:rsidR="00534224">
        <w:t xml:space="preserve"> </w:t>
      </w:r>
      <w:r w:rsidRPr="002768D4">
        <w:t>cells are then expanded for clinical use and infused back into the patient</w:t>
      </w:r>
      <w:r>
        <w:t>.</w:t>
      </w:r>
      <w:r>
        <w:rPr>
          <w:rStyle w:val="FootnoteReference"/>
        </w:rPr>
        <w:footnoteReference w:id="19"/>
      </w:r>
      <w:r>
        <w:t xml:space="preserve"> </w:t>
      </w:r>
    </w:p>
    <w:p w14:paraId="3DBE288D" w14:textId="1818EE66" w:rsidR="006B79B5" w:rsidRDefault="006B79B5" w:rsidP="006B79B5">
      <w:pPr>
        <w:rPr>
          <w:rFonts w:cstheme="minorHAnsi"/>
        </w:rPr>
      </w:pPr>
      <w:r w:rsidRPr="00A77C3B">
        <w:rPr>
          <w:rFonts w:cstheme="minorHAnsi"/>
        </w:rPr>
        <w:t>They can be generated by either viral transduction leading to a permanent CAR expression, or by using mRNA as well as transposon technology for transient CAR expression.</w:t>
      </w:r>
      <w:bookmarkStart w:id="121" w:name="_Ref129611091"/>
      <w:r w:rsidRPr="00A77C3B">
        <w:rPr>
          <w:rFonts w:eastAsiaTheme="majorEastAsia" w:cstheme="minorHAnsi"/>
          <w:color w:val="2F5496" w:themeColor="accent1" w:themeShade="BF"/>
          <w:vertAlign w:val="superscript"/>
        </w:rPr>
        <w:footnoteReference w:id="20"/>
      </w:r>
      <w:bookmarkEnd w:id="121"/>
    </w:p>
    <w:p w14:paraId="2DA256FB" w14:textId="4B7F8826" w:rsidR="002D1505" w:rsidRDefault="002D1505" w:rsidP="0086383C">
      <w:pPr>
        <w:pStyle w:val="Heading3"/>
        <w:ind w:left="709"/>
      </w:pPr>
      <w:bookmarkStart w:id="122" w:name="_Toc128663601"/>
      <w:bookmarkStart w:id="123" w:name="_Toc128663602"/>
      <w:bookmarkEnd w:id="122"/>
      <w:bookmarkEnd w:id="123"/>
      <w:r>
        <w:t>Development, market approval and Australian funding status</w:t>
      </w:r>
    </w:p>
    <w:p w14:paraId="201E30D9" w14:textId="2D4A6C87" w:rsidR="00044733" w:rsidRDefault="004D38B3" w:rsidP="009E633D">
      <w:r>
        <w:t>This analysis identified</w:t>
      </w:r>
      <w:r w:rsidR="00AE1397">
        <w:t xml:space="preserve"> </w:t>
      </w:r>
      <w:r w:rsidR="000262A4">
        <w:t xml:space="preserve">eleven </w:t>
      </w:r>
      <w:r w:rsidR="00FF7BC9">
        <w:t xml:space="preserve">gene-modified cell therapies approved by the </w:t>
      </w:r>
      <w:r w:rsidR="000262A4">
        <w:t xml:space="preserve">FDA, </w:t>
      </w:r>
      <w:r w:rsidR="009431A5">
        <w:t>nine approved by the EMA</w:t>
      </w:r>
      <w:r w:rsidR="000262A4">
        <w:t>,</w:t>
      </w:r>
      <w:r w:rsidR="00FF7BC9">
        <w:t xml:space="preserve"> and </w:t>
      </w:r>
      <w:r w:rsidR="009B6AB6">
        <w:t xml:space="preserve">four </w:t>
      </w:r>
      <w:r w:rsidR="00FF7BC9">
        <w:t xml:space="preserve">approved by the TGA. </w:t>
      </w:r>
      <w:r w:rsidR="00172B49">
        <w:t xml:space="preserve">Three are approved for subsidy in Australia. </w:t>
      </w:r>
    </w:p>
    <w:p w14:paraId="011D74AD" w14:textId="6B6C352F" w:rsidR="002C408F" w:rsidRPr="00330FBE" w:rsidRDefault="008C0A58" w:rsidP="00330FBE">
      <w:pPr>
        <w:rPr>
          <w:b/>
          <w:bCs/>
          <w:color w:val="002060"/>
        </w:rPr>
      </w:pPr>
      <w:r w:rsidRPr="00330FBE">
        <w:rPr>
          <w:b/>
          <w:bCs/>
          <w:color w:val="002060"/>
        </w:rPr>
        <w:t xml:space="preserve">Table </w:t>
      </w:r>
      <w:r w:rsidR="00191534" w:rsidRPr="00330FBE">
        <w:rPr>
          <w:b/>
          <w:bCs/>
          <w:color w:val="002060"/>
        </w:rPr>
        <w:t>4</w:t>
      </w:r>
      <w:r w:rsidRPr="00330FBE">
        <w:rPr>
          <w:b/>
          <w:bCs/>
          <w:color w:val="002060"/>
        </w:rPr>
        <w:t xml:space="preserve"> Gene-modified cell therapies</w:t>
      </w:r>
    </w:p>
    <w:tbl>
      <w:tblPr>
        <w:tblStyle w:val="DepartmentofHealthtable"/>
        <w:tblW w:w="5000" w:type="pct"/>
        <w:tblLook w:val="04A0" w:firstRow="1" w:lastRow="0" w:firstColumn="1" w:lastColumn="0" w:noHBand="0" w:noVBand="1"/>
      </w:tblPr>
      <w:tblGrid>
        <w:gridCol w:w="1599"/>
        <w:gridCol w:w="67"/>
        <w:gridCol w:w="3887"/>
        <w:gridCol w:w="693"/>
        <w:gridCol w:w="702"/>
        <w:gridCol w:w="672"/>
        <w:gridCol w:w="1406"/>
      </w:tblGrid>
      <w:tr w:rsidR="008865AD" w:rsidRPr="00A167C3" w14:paraId="30049A8C" w14:textId="77777777" w:rsidTr="00935B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6" w:type="pct"/>
            <w:hideMark/>
          </w:tcPr>
          <w:p w14:paraId="3A1892ED" w14:textId="2BCA5184" w:rsidR="00D20A6A" w:rsidRPr="00AE09D0" w:rsidRDefault="00A70A83" w:rsidP="006055E0">
            <w:pPr>
              <w:spacing w:before="0"/>
              <w:rPr>
                <w:rFonts w:asciiTheme="minorHAnsi" w:hAnsiTheme="minorHAnsi" w:cstheme="minorHAnsi"/>
                <w:b/>
                <w:bCs/>
                <w:color w:val="FFFFFF" w:themeColor="background1"/>
                <w:sz w:val="20"/>
                <w:lang w:val="en-GB"/>
              </w:rPr>
            </w:pPr>
            <w:r>
              <w:rPr>
                <w:rFonts w:asciiTheme="minorHAnsi" w:hAnsiTheme="minorHAnsi" w:cstheme="minorHAnsi"/>
                <w:b/>
                <w:bCs/>
                <w:color w:val="FFFFFF" w:themeColor="background1"/>
                <w:sz w:val="20"/>
              </w:rPr>
              <w:t>Drug name (Brand name)</w:t>
            </w:r>
          </w:p>
        </w:tc>
        <w:tc>
          <w:tcPr>
            <w:tcW w:w="0" w:type="pct"/>
            <w:gridSpan w:val="2"/>
            <w:hideMark/>
          </w:tcPr>
          <w:p w14:paraId="5BC953A1" w14:textId="5729D641" w:rsidR="00D20A6A" w:rsidRPr="00AE09D0" w:rsidRDefault="00644590" w:rsidP="006055E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Pr>
                <w:rFonts w:asciiTheme="minorHAnsi" w:hAnsiTheme="minorHAnsi" w:cstheme="minorHAnsi"/>
                <w:b/>
                <w:bCs/>
                <w:sz w:val="20"/>
              </w:rPr>
              <w:t xml:space="preserve">Registered </w:t>
            </w:r>
            <w:r w:rsidR="00D20A6A" w:rsidRPr="00AE09D0">
              <w:rPr>
                <w:rFonts w:asciiTheme="minorHAnsi" w:hAnsiTheme="minorHAnsi" w:cstheme="minorHAnsi"/>
                <w:b/>
                <w:bCs/>
                <w:sz w:val="20"/>
              </w:rPr>
              <w:t>Indication</w:t>
            </w:r>
          </w:p>
        </w:tc>
        <w:tc>
          <w:tcPr>
            <w:tcW w:w="384" w:type="pct"/>
            <w:hideMark/>
          </w:tcPr>
          <w:p w14:paraId="559A36E8" w14:textId="77777777" w:rsidR="00D20A6A" w:rsidRPr="00AE09D0" w:rsidRDefault="00D20A6A"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rPr>
              <w:t>EMA</w:t>
            </w:r>
          </w:p>
        </w:tc>
        <w:tc>
          <w:tcPr>
            <w:tcW w:w="389" w:type="pct"/>
            <w:hideMark/>
          </w:tcPr>
          <w:p w14:paraId="18393FF2" w14:textId="77777777" w:rsidR="00D20A6A" w:rsidRPr="00AE09D0" w:rsidRDefault="00D20A6A"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rPr>
              <w:t>FDA</w:t>
            </w:r>
          </w:p>
        </w:tc>
        <w:tc>
          <w:tcPr>
            <w:tcW w:w="372" w:type="pct"/>
            <w:hideMark/>
          </w:tcPr>
          <w:p w14:paraId="6756DC56" w14:textId="77777777" w:rsidR="00D20A6A" w:rsidRPr="00AE09D0" w:rsidRDefault="00D20A6A"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rPr>
              <w:t>TGA</w:t>
            </w:r>
          </w:p>
        </w:tc>
        <w:tc>
          <w:tcPr>
            <w:tcW w:w="779" w:type="pct"/>
            <w:hideMark/>
          </w:tcPr>
          <w:p w14:paraId="0A4FBCA4" w14:textId="76E13A39" w:rsidR="00D20A6A" w:rsidRPr="00AE09D0" w:rsidRDefault="00D20A6A"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Australian Subsidy</w:t>
            </w:r>
          </w:p>
        </w:tc>
      </w:tr>
      <w:tr w:rsidR="008865AD" w:rsidRPr="00A167C3" w14:paraId="0BD3E385"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785D8685" w14:textId="0F57C324" w:rsidR="00A70A83" w:rsidRPr="00044733" w:rsidRDefault="00A70A83" w:rsidP="006055E0">
            <w:pPr>
              <w:spacing w:before="0"/>
              <w:rPr>
                <w:rFonts w:cstheme="minorHAnsi"/>
              </w:rPr>
            </w:pPr>
            <w:r>
              <w:rPr>
                <w:rStyle w:val="Emphasis"/>
                <w:rFonts w:eastAsiaTheme="majorEastAsia" w:cstheme="minorHAnsi"/>
                <w:i w:val="0"/>
                <w:iCs w:val="0"/>
                <w:color w:val="000000"/>
              </w:rPr>
              <w:t>A</w:t>
            </w:r>
            <w:r w:rsidR="00C96B7B" w:rsidRPr="00044733">
              <w:rPr>
                <w:rStyle w:val="Emphasis"/>
                <w:rFonts w:eastAsiaTheme="majorEastAsia" w:cstheme="minorHAnsi"/>
                <w:i w:val="0"/>
                <w:iCs w:val="0"/>
                <w:color w:val="000000"/>
              </w:rPr>
              <w:t>xicabtagene ciloleucel</w:t>
            </w:r>
            <w:r>
              <w:rPr>
                <w:rStyle w:val="Emphasis"/>
                <w:rFonts w:eastAsiaTheme="majorEastAsia" w:cstheme="minorHAnsi"/>
                <w:i w:val="0"/>
                <w:iCs w:val="0"/>
                <w:color w:val="000000"/>
              </w:rPr>
              <w:t xml:space="preserve"> </w:t>
            </w:r>
            <w:r>
              <w:rPr>
                <w:rFonts w:cstheme="minorHAnsi"/>
              </w:rPr>
              <w:t>(</w:t>
            </w:r>
            <w:r w:rsidRPr="00044733">
              <w:rPr>
                <w:rFonts w:cstheme="minorHAnsi"/>
              </w:rPr>
              <w:t>Yescarta®</w:t>
            </w:r>
            <w:r>
              <w:rPr>
                <w:rFonts w:cstheme="minorHAnsi"/>
              </w:rPr>
              <w:t>)</w:t>
            </w:r>
          </w:p>
          <w:p w14:paraId="7F805F26" w14:textId="36FE8538" w:rsidR="00D20A6A" w:rsidRPr="00044733" w:rsidRDefault="00D20A6A" w:rsidP="006055E0">
            <w:pPr>
              <w:spacing w:before="0"/>
              <w:rPr>
                <w:rFonts w:cstheme="minorHAnsi"/>
                <w:i/>
                <w:iCs/>
                <w:lang w:val="en-GB"/>
              </w:rPr>
            </w:pPr>
          </w:p>
        </w:tc>
        <w:tc>
          <w:tcPr>
            <w:tcW w:w="0" w:type="pct"/>
            <w:gridSpan w:val="2"/>
            <w:hideMark/>
          </w:tcPr>
          <w:p w14:paraId="7ACF2006" w14:textId="40DFD5D6" w:rsidR="00D20A6A" w:rsidRPr="00AE09D0" w:rsidRDefault="005F7CAA"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rPr>
              <w:t>R</w:t>
            </w:r>
            <w:r w:rsidR="00D20A6A" w:rsidRPr="00AE09D0">
              <w:rPr>
                <w:rFonts w:cstheme="minorHAnsi"/>
              </w:rPr>
              <w:t>elapsed or refractory large B-cell lymphoma after two or more lines of systemic therapy, including diffuse large B-cell lymphoma (DLBCL) not otherwise specified, primary mediastinal large B-cell lymphoma, high grade B-cell lymphoma, and DLBCL arising from follicular lymphoma</w:t>
            </w:r>
          </w:p>
        </w:tc>
        <w:tc>
          <w:tcPr>
            <w:tcW w:w="384" w:type="pct"/>
            <w:hideMark/>
          </w:tcPr>
          <w:p w14:paraId="770C83AE" w14:textId="5514F388" w:rsidR="00D20A6A" w:rsidRPr="00AE09D0" w:rsidRDefault="007F00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Y</w:t>
            </w:r>
          </w:p>
        </w:tc>
        <w:tc>
          <w:tcPr>
            <w:tcW w:w="389" w:type="pct"/>
            <w:hideMark/>
          </w:tcPr>
          <w:p w14:paraId="3624B401" w14:textId="78F79616" w:rsidR="00D20A6A" w:rsidRPr="00AE09D0" w:rsidRDefault="007F00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p>
        </w:tc>
        <w:tc>
          <w:tcPr>
            <w:tcW w:w="372" w:type="pct"/>
            <w:hideMark/>
          </w:tcPr>
          <w:p w14:paraId="391A65B4" w14:textId="1A9CA0A5" w:rsidR="00D20A6A"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rPr>
              <w:t>Y</w:t>
            </w:r>
          </w:p>
        </w:tc>
        <w:tc>
          <w:tcPr>
            <w:tcW w:w="779" w:type="pct"/>
            <w:hideMark/>
          </w:tcPr>
          <w:p w14:paraId="6BA689B5" w14:textId="77777777" w:rsidR="00B92219"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44BC6DFA" w14:textId="69C2A7A6" w:rsidR="00D20A6A" w:rsidRPr="00AE09D0" w:rsidRDefault="00D20A6A"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  (NHRA HST)</w:t>
            </w:r>
          </w:p>
        </w:tc>
      </w:tr>
      <w:tr w:rsidR="008865AD" w:rsidRPr="00A167C3" w14:paraId="11E81BA7"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77FA6C97" w14:textId="6A0D9C86" w:rsidR="00A70A83" w:rsidRPr="00044733" w:rsidRDefault="00A70A83" w:rsidP="006055E0">
            <w:pPr>
              <w:spacing w:before="0"/>
              <w:rPr>
                <w:rFonts w:cstheme="minorHAnsi"/>
              </w:rPr>
            </w:pPr>
            <w:r>
              <w:rPr>
                <w:rFonts w:cstheme="minorHAnsi"/>
              </w:rPr>
              <w:t>T</w:t>
            </w:r>
            <w:r w:rsidR="00C96B7B" w:rsidRPr="00044733">
              <w:rPr>
                <w:rFonts w:cstheme="minorHAnsi"/>
              </w:rPr>
              <w:t>isagenlecleucel</w:t>
            </w:r>
            <w:r>
              <w:rPr>
                <w:rFonts w:cstheme="minorHAnsi"/>
              </w:rPr>
              <w:t xml:space="preserve"> (</w:t>
            </w:r>
            <w:r w:rsidRPr="00044733">
              <w:rPr>
                <w:rFonts w:cstheme="minorHAnsi"/>
              </w:rPr>
              <w:t>Kymriah®</w:t>
            </w:r>
            <w:r>
              <w:rPr>
                <w:rFonts w:cstheme="minorHAnsi"/>
              </w:rPr>
              <w:t>)</w:t>
            </w:r>
          </w:p>
          <w:p w14:paraId="5ACC14AB" w14:textId="5D24DBB5" w:rsidR="00D20A6A" w:rsidRPr="00044733" w:rsidRDefault="00D20A6A" w:rsidP="006055E0">
            <w:pPr>
              <w:spacing w:before="0"/>
              <w:rPr>
                <w:rFonts w:cstheme="minorHAnsi"/>
                <w:lang w:val="en-GB"/>
              </w:rPr>
            </w:pPr>
          </w:p>
        </w:tc>
        <w:tc>
          <w:tcPr>
            <w:tcW w:w="0" w:type="pct"/>
            <w:gridSpan w:val="2"/>
            <w:hideMark/>
          </w:tcPr>
          <w:p w14:paraId="6241DC87" w14:textId="22E1C16F" w:rsidR="00D20A6A" w:rsidRPr="00AE09D0" w:rsidRDefault="00D20A6A"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B-cell precursor acute lymphoblastic leukaemia (ALL) that is refractory, in relapse post-transplant, or in second or later relapse. Treatment of adult patients with relapsed or refractory diffuse large B-cell lymphoma (DLBCL) after two or more lines of systemic therapy.</w:t>
            </w:r>
          </w:p>
        </w:tc>
        <w:tc>
          <w:tcPr>
            <w:tcW w:w="384" w:type="pct"/>
            <w:hideMark/>
          </w:tcPr>
          <w:p w14:paraId="13B62347" w14:textId="064E75D0" w:rsidR="00D20A6A" w:rsidRPr="00AE09D0" w:rsidRDefault="007F00AD"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Y</w:t>
            </w:r>
            <w:r w:rsidR="00D20A6A" w:rsidRPr="00AE09D0">
              <w:rPr>
                <w:rFonts w:cstheme="minorHAnsi"/>
              </w:rPr>
              <w:t xml:space="preserve"> </w:t>
            </w:r>
          </w:p>
        </w:tc>
        <w:tc>
          <w:tcPr>
            <w:tcW w:w="389" w:type="pct"/>
            <w:hideMark/>
          </w:tcPr>
          <w:p w14:paraId="4D74146A" w14:textId="671EDBC1" w:rsidR="00D20A6A" w:rsidRPr="00AE09D0" w:rsidRDefault="007F00AD"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p>
        </w:tc>
        <w:tc>
          <w:tcPr>
            <w:tcW w:w="372" w:type="pct"/>
            <w:hideMark/>
          </w:tcPr>
          <w:p w14:paraId="793FF421" w14:textId="6E224659" w:rsidR="00D20A6A"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rPr>
              <w:t>Y</w:t>
            </w:r>
          </w:p>
        </w:tc>
        <w:tc>
          <w:tcPr>
            <w:tcW w:w="779" w:type="pct"/>
            <w:hideMark/>
          </w:tcPr>
          <w:p w14:paraId="242904A1" w14:textId="77777777" w:rsidR="00B92219"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25859D16" w14:textId="526FC017" w:rsidR="00D20A6A" w:rsidRPr="00AE09D0" w:rsidRDefault="00D20A6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 xml:space="preserve"> (NHRA HST)</w:t>
            </w:r>
          </w:p>
        </w:tc>
      </w:tr>
      <w:tr w:rsidR="008865AD" w:rsidRPr="00A167C3" w14:paraId="7042D3A3"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2A739217" w14:textId="6D4BD650" w:rsidR="00A70A83" w:rsidRPr="00044733" w:rsidRDefault="00A70A83" w:rsidP="006055E0">
            <w:pPr>
              <w:spacing w:before="0"/>
              <w:rPr>
                <w:rFonts w:cstheme="minorHAnsi"/>
              </w:rPr>
            </w:pPr>
            <w:r>
              <w:rPr>
                <w:rFonts w:cstheme="minorHAnsi"/>
              </w:rPr>
              <w:t>B</w:t>
            </w:r>
            <w:r w:rsidR="00C96B7B" w:rsidRPr="00044733">
              <w:rPr>
                <w:rFonts w:cstheme="minorHAnsi"/>
              </w:rPr>
              <w:t>rexucabtagene autoleucel</w:t>
            </w:r>
            <w:r>
              <w:rPr>
                <w:rFonts w:cstheme="minorHAnsi"/>
              </w:rPr>
              <w:t xml:space="preserve"> (</w:t>
            </w:r>
            <w:r w:rsidRPr="00044733">
              <w:rPr>
                <w:rFonts w:cstheme="minorHAnsi"/>
              </w:rPr>
              <w:t>Tecartus®</w:t>
            </w:r>
            <w:r>
              <w:rPr>
                <w:rFonts w:cstheme="minorHAnsi"/>
              </w:rPr>
              <w:t>)</w:t>
            </w:r>
          </w:p>
          <w:p w14:paraId="10799429" w14:textId="2EB83EBE" w:rsidR="00D20A6A" w:rsidRPr="00044733" w:rsidRDefault="00D20A6A" w:rsidP="006055E0">
            <w:pPr>
              <w:spacing w:before="0"/>
              <w:rPr>
                <w:rFonts w:cstheme="minorHAnsi"/>
                <w:lang w:val="en-GB"/>
              </w:rPr>
            </w:pPr>
          </w:p>
        </w:tc>
        <w:tc>
          <w:tcPr>
            <w:tcW w:w="0" w:type="pct"/>
            <w:gridSpan w:val="2"/>
            <w:hideMark/>
          </w:tcPr>
          <w:p w14:paraId="3A10DF39" w14:textId="2E372528" w:rsidR="00D20A6A" w:rsidRPr="00AE09D0" w:rsidRDefault="00191534"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w:t>
            </w:r>
            <w:r w:rsidR="00D20A6A" w:rsidRPr="00AE09D0">
              <w:rPr>
                <w:rFonts w:cstheme="minorHAnsi"/>
              </w:rPr>
              <w:t>elapsed or refractory mantle cell lymphoma (MCL), who have received two or more lines of therapy, including a BTK inhibitor, unless ineligible or intolerant to treatment with a BTK inhibitor</w:t>
            </w:r>
            <w:r w:rsidR="007A2F2B" w:rsidRPr="00AE09D0">
              <w:rPr>
                <w:rFonts w:cstheme="minorHAnsi"/>
              </w:rPr>
              <w:t xml:space="preserve">. </w:t>
            </w:r>
          </w:p>
          <w:p w14:paraId="2335AF1B" w14:textId="2D054235" w:rsidR="007A2F2B" w:rsidRPr="00AE09D0" w:rsidRDefault="0019153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R</w:t>
            </w:r>
            <w:r w:rsidR="007A2F2B" w:rsidRPr="00AE09D0">
              <w:rPr>
                <w:rFonts w:cstheme="minorHAnsi"/>
                <w:lang w:val="en-GB"/>
              </w:rPr>
              <w:t>elapsed or refractory (r/r) B-cell acute lymphoblastic leukaemia (B-ALL).</w:t>
            </w:r>
          </w:p>
        </w:tc>
        <w:tc>
          <w:tcPr>
            <w:tcW w:w="384" w:type="pct"/>
            <w:hideMark/>
          </w:tcPr>
          <w:p w14:paraId="5D8B59DA" w14:textId="55B4EA90" w:rsidR="00D20A6A" w:rsidRPr="00AE09D0" w:rsidRDefault="007F00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Y</w:t>
            </w:r>
          </w:p>
        </w:tc>
        <w:tc>
          <w:tcPr>
            <w:tcW w:w="389" w:type="pct"/>
            <w:hideMark/>
          </w:tcPr>
          <w:p w14:paraId="4602DF21" w14:textId="0FDD6ED3" w:rsidR="00D20A6A" w:rsidRPr="00AE09D0" w:rsidRDefault="007F00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Y</w:t>
            </w:r>
          </w:p>
        </w:tc>
        <w:tc>
          <w:tcPr>
            <w:tcW w:w="372" w:type="pct"/>
            <w:hideMark/>
          </w:tcPr>
          <w:p w14:paraId="7736D425" w14:textId="5D3B8B72" w:rsidR="00D20A6A"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rPr>
              <w:t>Y</w:t>
            </w:r>
          </w:p>
        </w:tc>
        <w:tc>
          <w:tcPr>
            <w:tcW w:w="779" w:type="pct"/>
            <w:hideMark/>
          </w:tcPr>
          <w:p w14:paraId="5B8A6940" w14:textId="2B701AAA" w:rsidR="00B92219" w:rsidRDefault="00644590"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06BBB411" w14:textId="0445EC30" w:rsidR="0050093A" w:rsidRDefault="0061667E" w:rsidP="0061667E">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50093A">
              <w:rPr>
                <w:rFonts w:cstheme="minorHAnsi"/>
              </w:rPr>
              <w:t xml:space="preserve">MSAC supported public funding </w:t>
            </w:r>
            <w:r>
              <w:rPr>
                <w:rFonts w:cstheme="minorHAnsi"/>
              </w:rPr>
              <w:t xml:space="preserve">in </w:t>
            </w:r>
            <w:r w:rsidR="0031178E">
              <w:rPr>
                <w:rFonts w:cstheme="minorHAnsi"/>
              </w:rPr>
              <w:t xml:space="preserve">July </w:t>
            </w:r>
            <w:r w:rsidR="008E03B0">
              <w:rPr>
                <w:rFonts w:cstheme="minorHAnsi"/>
              </w:rPr>
              <w:t>2021,</w:t>
            </w:r>
            <w:r w:rsidR="00B50545">
              <w:rPr>
                <w:rFonts w:cstheme="minorHAnsi"/>
              </w:rPr>
              <w:t xml:space="preserve"> but </w:t>
            </w:r>
            <w:r>
              <w:rPr>
                <w:rFonts w:cstheme="minorHAnsi"/>
              </w:rPr>
              <w:t>not yet</w:t>
            </w:r>
            <w:r w:rsidR="00B50545">
              <w:rPr>
                <w:rFonts w:cstheme="minorHAnsi"/>
              </w:rPr>
              <w:t xml:space="preserve"> implemented</w:t>
            </w:r>
            <w:r>
              <w:rPr>
                <w:rFonts w:cstheme="minorHAnsi"/>
              </w:rPr>
              <w:t>)</w:t>
            </w:r>
          </w:p>
          <w:p w14:paraId="0D758382" w14:textId="155BA7BA" w:rsidR="00D20A6A" w:rsidRPr="00AE09D0" w:rsidRDefault="00D20A6A"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 xml:space="preserve"> </w:t>
            </w:r>
          </w:p>
        </w:tc>
      </w:tr>
      <w:tr w:rsidR="008865AD" w:rsidRPr="00A167C3" w14:paraId="5016FEC3"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4EBE0402" w14:textId="3B7F4956" w:rsidR="00D20A6A" w:rsidRPr="00044733" w:rsidRDefault="00310F1E" w:rsidP="006055E0">
            <w:pPr>
              <w:spacing w:before="0"/>
              <w:rPr>
                <w:rFonts w:cstheme="minorHAnsi"/>
                <w:lang w:val="en-GB"/>
              </w:rPr>
            </w:pPr>
            <w:r>
              <w:rPr>
                <w:rFonts w:cstheme="minorHAnsi"/>
              </w:rPr>
              <w:t>L</w:t>
            </w:r>
            <w:r w:rsidR="00C96B7B" w:rsidRPr="00044733">
              <w:rPr>
                <w:rFonts w:cstheme="minorHAnsi"/>
              </w:rPr>
              <w:t>isocabtagene maraleucel</w:t>
            </w:r>
            <w:r>
              <w:rPr>
                <w:rFonts w:cstheme="minorHAnsi"/>
              </w:rPr>
              <w:t xml:space="preserve"> (</w:t>
            </w:r>
            <w:r w:rsidRPr="00044733">
              <w:rPr>
                <w:rFonts w:cstheme="minorHAnsi"/>
              </w:rPr>
              <w:t>Breyanzi®</w:t>
            </w:r>
            <w:r>
              <w:rPr>
                <w:rFonts w:cstheme="minorHAnsi"/>
              </w:rPr>
              <w:t>)</w:t>
            </w:r>
          </w:p>
        </w:tc>
        <w:tc>
          <w:tcPr>
            <w:tcW w:w="0" w:type="pct"/>
            <w:gridSpan w:val="2"/>
            <w:hideMark/>
          </w:tcPr>
          <w:p w14:paraId="6AAC9ADD" w14:textId="2BA2496A" w:rsidR="00D20A6A" w:rsidRPr="00AE09D0" w:rsidRDefault="00191534"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color w:val="000000"/>
              </w:rPr>
              <w:t>L</w:t>
            </w:r>
            <w:r w:rsidR="00D20A6A" w:rsidRPr="00AE09D0">
              <w:rPr>
                <w:rFonts w:cstheme="minorHAnsi"/>
                <w:color w:val="000000"/>
              </w:rPr>
              <w:t>arge B-cell lymphoma (LBCL), including diffuse large B-cell lymphoma (DLBCL) not otherwise specified (including DLBCL arising from indolent lymphoma), high-grade B-cell lymphoma, primary mediastinal large B-cell lymphoma, and follicular lymphoma grade 3B</w:t>
            </w:r>
          </w:p>
        </w:tc>
        <w:tc>
          <w:tcPr>
            <w:tcW w:w="384" w:type="pct"/>
            <w:hideMark/>
          </w:tcPr>
          <w:p w14:paraId="7ABDFDD4" w14:textId="0DBC42F5" w:rsidR="00D20A6A" w:rsidRPr="00AE09D0" w:rsidRDefault="007F00AD"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Y</w:t>
            </w:r>
          </w:p>
        </w:tc>
        <w:tc>
          <w:tcPr>
            <w:tcW w:w="389" w:type="pct"/>
            <w:hideMark/>
          </w:tcPr>
          <w:p w14:paraId="65BF9D48" w14:textId="216E3B1B" w:rsidR="00D20A6A" w:rsidRPr="00AE09D0" w:rsidRDefault="007F00AD"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highlight w:val="yellow"/>
                <w:lang w:val="en-GB"/>
              </w:rPr>
            </w:pPr>
            <w:r w:rsidRPr="00AE09D0">
              <w:rPr>
                <w:rFonts w:cstheme="minorHAnsi"/>
                <w:lang w:val="en-GB"/>
              </w:rPr>
              <w:t>Y</w:t>
            </w:r>
          </w:p>
        </w:tc>
        <w:tc>
          <w:tcPr>
            <w:tcW w:w="372" w:type="pct"/>
            <w:hideMark/>
          </w:tcPr>
          <w:p w14:paraId="0301C952" w14:textId="2C97558F" w:rsidR="00D20A6A" w:rsidRPr="00AE09D0" w:rsidRDefault="005D3B10"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N</w:t>
            </w:r>
          </w:p>
        </w:tc>
        <w:tc>
          <w:tcPr>
            <w:tcW w:w="779" w:type="pct"/>
            <w:hideMark/>
          </w:tcPr>
          <w:p w14:paraId="6D9B0942" w14:textId="77777777" w:rsidR="00D20A6A" w:rsidRDefault="00644590"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7695136C" w14:textId="7D5112FE" w:rsidR="0031178E" w:rsidRPr="00AE09D0" w:rsidRDefault="0061667E"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rPr>
              <w:t>(</w:t>
            </w:r>
            <w:r w:rsidR="0031178E">
              <w:rPr>
                <w:rFonts w:cstheme="minorHAnsi"/>
              </w:rPr>
              <w:t>Not registered</w:t>
            </w:r>
            <w:r>
              <w:rPr>
                <w:rFonts w:cstheme="minorHAnsi"/>
              </w:rPr>
              <w:t>)</w:t>
            </w:r>
          </w:p>
        </w:tc>
      </w:tr>
      <w:tr w:rsidR="008865AD" w:rsidRPr="00A167C3" w14:paraId="264A9050"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5998086E" w14:textId="6F0DB18E" w:rsidR="00310F1E" w:rsidRPr="00044733" w:rsidRDefault="00310F1E" w:rsidP="006055E0">
            <w:pPr>
              <w:spacing w:before="0"/>
              <w:rPr>
                <w:rFonts w:cstheme="minorHAnsi"/>
              </w:rPr>
            </w:pPr>
            <w:r>
              <w:rPr>
                <w:rFonts w:cstheme="minorHAnsi"/>
              </w:rPr>
              <w:lastRenderedPageBreak/>
              <w:t>C</w:t>
            </w:r>
            <w:r w:rsidR="00C96B7B" w:rsidRPr="00044733">
              <w:rPr>
                <w:rFonts w:cstheme="minorHAnsi"/>
              </w:rPr>
              <w:t>iltacabtagene autoleucel</w:t>
            </w:r>
            <w:r>
              <w:rPr>
                <w:rFonts w:cstheme="minorHAnsi"/>
              </w:rPr>
              <w:t xml:space="preserve"> (</w:t>
            </w:r>
            <w:r w:rsidRPr="00044733">
              <w:rPr>
                <w:rFonts w:cstheme="minorHAnsi"/>
              </w:rPr>
              <w:t>Carvykti®</w:t>
            </w:r>
            <w:r>
              <w:rPr>
                <w:rFonts w:cstheme="minorHAnsi"/>
              </w:rPr>
              <w:t>)</w:t>
            </w:r>
          </w:p>
          <w:p w14:paraId="1D38583B" w14:textId="38885028" w:rsidR="00D20A6A" w:rsidRPr="00044733" w:rsidRDefault="00D20A6A" w:rsidP="006055E0">
            <w:pPr>
              <w:spacing w:before="0"/>
              <w:rPr>
                <w:rFonts w:cstheme="minorHAnsi"/>
                <w:lang w:val="en-GB"/>
              </w:rPr>
            </w:pPr>
          </w:p>
        </w:tc>
        <w:tc>
          <w:tcPr>
            <w:tcW w:w="0" w:type="pct"/>
            <w:gridSpan w:val="2"/>
            <w:hideMark/>
          </w:tcPr>
          <w:p w14:paraId="159D9DA9" w14:textId="4C732F01" w:rsidR="00D20A6A" w:rsidRPr="00AE09D0" w:rsidRDefault="00191534"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color w:val="000000"/>
              </w:rPr>
              <w:t>R</w:t>
            </w:r>
            <w:r w:rsidR="00D20A6A" w:rsidRPr="00AE09D0">
              <w:rPr>
                <w:rFonts w:cstheme="minorHAnsi"/>
                <w:color w:val="000000"/>
              </w:rPr>
              <w:t>elapsed or refractory multiple myeloma after four or more prior lines of therapy, including a proteasome inhibitor, an immunomodulatory agent, and an anti-CD38 monoclonal antibody</w:t>
            </w:r>
          </w:p>
        </w:tc>
        <w:tc>
          <w:tcPr>
            <w:tcW w:w="384" w:type="pct"/>
            <w:hideMark/>
          </w:tcPr>
          <w:p w14:paraId="5AB62825" w14:textId="58C32E11" w:rsidR="00D20A6A" w:rsidRPr="00AE09D0" w:rsidRDefault="007F00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p>
        </w:tc>
        <w:tc>
          <w:tcPr>
            <w:tcW w:w="389" w:type="pct"/>
            <w:hideMark/>
          </w:tcPr>
          <w:p w14:paraId="192F05C9" w14:textId="55E48CC7" w:rsidR="00D20A6A" w:rsidRPr="00AE09D0" w:rsidRDefault="007F00A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highlight w:val="yellow"/>
                <w:lang w:val="en-GB"/>
              </w:rPr>
            </w:pPr>
            <w:r w:rsidRPr="00AE09D0">
              <w:rPr>
                <w:rFonts w:cstheme="minorHAnsi"/>
              </w:rPr>
              <w:t>Y</w:t>
            </w:r>
          </w:p>
        </w:tc>
        <w:tc>
          <w:tcPr>
            <w:tcW w:w="372" w:type="pct"/>
            <w:hideMark/>
          </w:tcPr>
          <w:p w14:paraId="3BFDAA8A" w14:textId="3DB0D733" w:rsidR="00D20A6A" w:rsidRPr="00AE09D0" w:rsidRDefault="00A12C6A"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tc>
        <w:tc>
          <w:tcPr>
            <w:tcW w:w="779" w:type="pct"/>
            <w:hideMark/>
          </w:tcPr>
          <w:p w14:paraId="3A06A4A3" w14:textId="77777777" w:rsidR="00D20A6A" w:rsidRDefault="00644590"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0D8444A8" w14:textId="5BAB9FA9" w:rsidR="0031178E" w:rsidRPr="00AE09D0" w:rsidRDefault="00B5054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rPr>
              <w:t xml:space="preserve">Not supported </w:t>
            </w:r>
            <w:r w:rsidR="003D62E9">
              <w:rPr>
                <w:rFonts w:cstheme="minorHAnsi"/>
              </w:rPr>
              <w:t>for public funding by MSAC (July 2022)</w:t>
            </w:r>
          </w:p>
        </w:tc>
      </w:tr>
      <w:tr w:rsidR="008865AD" w:rsidRPr="00A167C3" w14:paraId="297A661F"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362E5E49" w14:textId="7B6199A8" w:rsidR="00CE2619" w:rsidRPr="00044733" w:rsidRDefault="00CE2619" w:rsidP="006055E0">
            <w:pPr>
              <w:spacing w:before="0"/>
              <w:rPr>
                <w:rFonts w:cstheme="minorHAnsi"/>
              </w:rPr>
            </w:pPr>
            <w:r>
              <w:rPr>
                <w:rFonts w:cstheme="minorHAnsi"/>
              </w:rPr>
              <w:t>I</w:t>
            </w:r>
            <w:r w:rsidR="00C96B7B" w:rsidRPr="00044733">
              <w:rPr>
                <w:rFonts w:cstheme="minorHAnsi"/>
              </w:rPr>
              <w:t>decabtagene vicleucel</w:t>
            </w:r>
            <w:r>
              <w:rPr>
                <w:rFonts w:cstheme="minorHAnsi"/>
              </w:rPr>
              <w:t xml:space="preserve"> (</w:t>
            </w:r>
            <w:r w:rsidRPr="00044733">
              <w:rPr>
                <w:rFonts w:cstheme="minorHAnsi"/>
              </w:rPr>
              <w:t>Abecma®</w:t>
            </w:r>
            <w:r>
              <w:rPr>
                <w:rFonts w:cstheme="minorHAnsi"/>
              </w:rPr>
              <w:t>)</w:t>
            </w:r>
          </w:p>
          <w:p w14:paraId="158F1825" w14:textId="2BE3DF34" w:rsidR="00D20A6A" w:rsidRPr="00044733" w:rsidRDefault="00D20A6A" w:rsidP="006055E0">
            <w:pPr>
              <w:spacing w:before="0"/>
              <w:rPr>
                <w:rFonts w:cstheme="minorHAnsi"/>
                <w:lang w:val="en-GB"/>
              </w:rPr>
            </w:pPr>
          </w:p>
        </w:tc>
        <w:tc>
          <w:tcPr>
            <w:tcW w:w="0" w:type="pct"/>
            <w:gridSpan w:val="2"/>
            <w:hideMark/>
          </w:tcPr>
          <w:p w14:paraId="2D9DF712" w14:textId="7FF00C41" w:rsidR="00D20A6A" w:rsidRPr="00AE09D0" w:rsidRDefault="00191534"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color w:val="000000"/>
              </w:rPr>
              <w:t>R</w:t>
            </w:r>
            <w:r w:rsidR="00D20A6A" w:rsidRPr="00AE09D0">
              <w:rPr>
                <w:rFonts w:cstheme="minorHAnsi"/>
                <w:color w:val="000000"/>
              </w:rPr>
              <w:t>elapsed or refractory multiple myeloma after four or more prior lines of therapy including an immunomodulatory agent, a proteasome inhibitor, and an anti-CD38 monoclonal antibody.</w:t>
            </w:r>
          </w:p>
        </w:tc>
        <w:tc>
          <w:tcPr>
            <w:tcW w:w="384" w:type="pct"/>
            <w:hideMark/>
          </w:tcPr>
          <w:p w14:paraId="201C26C9" w14:textId="106A2418" w:rsidR="00D20A6A" w:rsidRPr="00AE09D0" w:rsidRDefault="00697418"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p>
        </w:tc>
        <w:tc>
          <w:tcPr>
            <w:tcW w:w="389" w:type="pct"/>
            <w:hideMark/>
          </w:tcPr>
          <w:p w14:paraId="7308BE2A" w14:textId="0A6CFFE8" w:rsidR="00D20A6A" w:rsidRPr="00AE09D0" w:rsidRDefault="007F00AD"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highlight w:val="yellow"/>
                <w:lang w:val="en-GB"/>
              </w:rPr>
            </w:pPr>
            <w:r w:rsidRPr="00AE09D0">
              <w:rPr>
                <w:rFonts w:cstheme="minorHAnsi"/>
              </w:rPr>
              <w:t>Y</w:t>
            </w:r>
          </w:p>
        </w:tc>
        <w:tc>
          <w:tcPr>
            <w:tcW w:w="372" w:type="pct"/>
            <w:hideMark/>
          </w:tcPr>
          <w:p w14:paraId="31744699" w14:textId="2519EF03" w:rsidR="00D20A6A" w:rsidRPr="00AE09D0" w:rsidRDefault="005D3B10"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779" w:type="pct"/>
            <w:hideMark/>
          </w:tcPr>
          <w:p w14:paraId="7934C745" w14:textId="77777777" w:rsidR="00D20A6A" w:rsidRDefault="00644590"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54C52071" w14:textId="54FE203B" w:rsidR="0031178E" w:rsidRPr="00AE09D0" w:rsidRDefault="00264641"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264641">
              <w:rPr>
                <w:rFonts w:cstheme="minorHAnsi"/>
              </w:rPr>
              <w:t>(Not registered)</w:t>
            </w:r>
          </w:p>
        </w:tc>
      </w:tr>
      <w:tr w:rsidR="008865AD" w:rsidRPr="00A167C3" w14:paraId="00A1F9BD"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hideMark/>
          </w:tcPr>
          <w:p w14:paraId="57AC6949" w14:textId="6A50B2A5" w:rsidR="00D20A6A" w:rsidRPr="00044733" w:rsidRDefault="00E15524" w:rsidP="006055E0">
            <w:pPr>
              <w:spacing w:before="0"/>
              <w:rPr>
                <w:rFonts w:cstheme="minorHAnsi"/>
                <w:lang w:val="en-GB"/>
              </w:rPr>
            </w:pPr>
            <w:r>
              <w:rPr>
                <w:rFonts w:cstheme="minorHAnsi"/>
              </w:rPr>
              <w:t>B</w:t>
            </w:r>
            <w:r w:rsidR="00D20A6A" w:rsidRPr="00044733">
              <w:rPr>
                <w:rFonts w:cstheme="minorHAnsi"/>
              </w:rPr>
              <w:t xml:space="preserve">etibeglogene autotemcel </w:t>
            </w:r>
            <w:r>
              <w:rPr>
                <w:rFonts w:cstheme="minorHAnsi"/>
              </w:rPr>
              <w:t>(</w:t>
            </w:r>
            <w:r w:rsidRPr="00044733">
              <w:rPr>
                <w:rFonts w:cstheme="minorHAnsi"/>
              </w:rPr>
              <w:t>Zynteglo®</w:t>
            </w:r>
            <w:r>
              <w:rPr>
                <w:rFonts w:cstheme="minorHAnsi"/>
              </w:rPr>
              <w:t>)</w:t>
            </w:r>
          </w:p>
        </w:tc>
        <w:tc>
          <w:tcPr>
            <w:tcW w:w="0" w:type="pct"/>
            <w:gridSpan w:val="2"/>
            <w:hideMark/>
          </w:tcPr>
          <w:p w14:paraId="0C4FEDF0" w14:textId="64E16859" w:rsidR="00D20A6A" w:rsidRPr="00AE09D0" w:rsidRDefault="00191534"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color w:val="000000"/>
              </w:rPr>
              <w:t>B</w:t>
            </w:r>
            <w:r w:rsidR="00D20A6A" w:rsidRPr="00AE09D0">
              <w:rPr>
                <w:rFonts w:cstheme="minorHAnsi"/>
                <w:color w:val="000000"/>
              </w:rPr>
              <w:t>eta-thalassemia who require regular red blood cell transfusions</w:t>
            </w:r>
          </w:p>
        </w:tc>
        <w:tc>
          <w:tcPr>
            <w:tcW w:w="384" w:type="pct"/>
            <w:hideMark/>
          </w:tcPr>
          <w:p w14:paraId="7167D08C" w14:textId="2ECBD133" w:rsidR="00D20A6A" w:rsidRPr="00AE09D0" w:rsidRDefault="0019153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W</w:t>
            </w:r>
          </w:p>
        </w:tc>
        <w:tc>
          <w:tcPr>
            <w:tcW w:w="389" w:type="pct"/>
            <w:hideMark/>
          </w:tcPr>
          <w:p w14:paraId="36B88C30" w14:textId="160AD78C" w:rsidR="00D20A6A" w:rsidRPr="00AE09D0" w:rsidRDefault="00B55D9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highlight w:val="yellow"/>
                <w:lang w:val="en-GB"/>
              </w:rPr>
            </w:pPr>
            <w:r w:rsidRPr="00AE09D0">
              <w:rPr>
                <w:rFonts w:cstheme="minorHAnsi"/>
                <w:color w:val="000000"/>
              </w:rPr>
              <w:t>Y</w:t>
            </w:r>
          </w:p>
        </w:tc>
        <w:tc>
          <w:tcPr>
            <w:tcW w:w="372" w:type="pct"/>
            <w:hideMark/>
          </w:tcPr>
          <w:p w14:paraId="60E6D4B1" w14:textId="7EA15033" w:rsidR="00D20A6A" w:rsidRPr="00AE09D0" w:rsidRDefault="005D3B10"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N</w:t>
            </w:r>
          </w:p>
        </w:tc>
        <w:tc>
          <w:tcPr>
            <w:tcW w:w="779" w:type="pct"/>
            <w:hideMark/>
          </w:tcPr>
          <w:p w14:paraId="43B308D7" w14:textId="77777777" w:rsidR="00D20A6A" w:rsidRDefault="00644590"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127A808A" w14:textId="6336193D" w:rsidR="0031178E" w:rsidRPr="00AE09D0" w:rsidRDefault="00264641"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264641">
              <w:rPr>
                <w:rFonts w:cstheme="minorHAnsi"/>
              </w:rPr>
              <w:t>(Not registered)</w:t>
            </w:r>
          </w:p>
        </w:tc>
      </w:tr>
      <w:tr w:rsidR="00C96B7B" w:rsidRPr="00A167C3" w14:paraId="281C77B9"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 w:type="pct"/>
          </w:tcPr>
          <w:p w14:paraId="4CBD2B32" w14:textId="76DE965B" w:rsidR="00C96B7B" w:rsidRPr="00044733" w:rsidRDefault="00E15524" w:rsidP="006055E0">
            <w:pPr>
              <w:spacing w:before="0"/>
              <w:rPr>
                <w:rFonts w:cstheme="minorHAnsi"/>
              </w:rPr>
            </w:pPr>
            <w:r>
              <w:rPr>
                <w:rFonts w:cstheme="minorHAnsi"/>
              </w:rPr>
              <w:t>E</w:t>
            </w:r>
            <w:r w:rsidR="00C96B7B" w:rsidRPr="00044733">
              <w:rPr>
                <w:rFonts w:cstheme="minorHAnsi"/>
              </w:rPr>
              <w:t>livaldogene autotemcel</w:t>
            </w:r>
            <w:r>
              <w:rPr>
                <w:rFonts w:cstheme="minorHAnsi"/>
              </w:rPr>
              <w:t xml:space="preserve"> (</w:t>
            </w:r>
            <w:r w:rsidRPr="00044733">
              <w:rPr>
                <w:rFonts w:cstheme="minorHAnsi"/>
              </w:rPr>
              <w:t>Skysona</w:t>
            </w:r>
            <w:r w:rsidR="005A7767" w:rsidRPr="00044733">
              <w:rPr>
                <w:rFonts w:cstheme="minorHAnsi"/>
              </w:rPr>
              <w:t>®</w:t>
            </w:r>
            <w:r>
              <w:rPr>
                <w:rFonts w:cstheme="minorHAnsi"/>
              </w:rPr>
              <w:t>)</w:t>
            </w:r>
          </w:p>
        </w:tc>
        <w:tc>
          <w:tcPr>
            <w:tcW w:w="0" w:type="pct"/>
            <w:gridSpan w:val="2"/>
          </w:tcPr>
          <w:p w14:paraId="102F02FF" w14:textId="4917ACDC" w:rsidR="00C96B7B" w:rsidRPr="00AE09D0" w:rsidRDefault="00191534"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w:t>
            </w:r>
            <w:r w:rsidR="00C96B7B" w:rsidRPr="005D7CBF">
              <w:rPr>
                <w:rFonts w:cstheme="minorHAnsi"/>
              </w:rPr>
              <w:t>erebral adrenoleukodystrophy (CALD)</w:t>
            </w:r>
          </w:p>
        </w:tc>
        <w:tc>
          <w:tcPr>
            <w:tcW w:w="384" w:type="pct"/>
          </w:tcPr>
          <w:p w14:paraId="76929E57" w14:textId="1E19DA6C" w:rsidR="00C96B7B" w:rsidRPr="00AE09D0" w:rsidRDefault="00191534"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w:t>
            </w:r>
          </w:p>
        </w:tc>
        <w:tc>
          <w:tcPr>
            <w:tcW w:w="389" w:type="pct"/>
          </w:tcPr>
          <w:p w14:paraId="71D1682A" w14:textId="7E3A189C"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372" w:type="pct"/>
          </w:tcPr>
          <w:p w14:paraId="0995F724" w14:textId="15CF17D4"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779" w:type="pct"/>
          </w:tcPr>
          <w:p w14:paraId="273663D5" w14:textId="77777777" w:rsidR="00C96B7B" w:rsidRDefault="00644590"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5936D87F" w14:textId="6E928E9D" w:rsidR="0031178E" w:rsidRPr="00AE09D0" w:rsidRDefault="00264641"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264641">
              <w:rPr>
                <w:rFonts w:cstheme="minorHAnsi"/>
              </w:rPr>
              <w:t>(Not registered)</w:t>
            </w:r>
          </w:p>
        </w:tc>
      </w:tr>
      <w:tr w:rsidR="00191534" w:rsidRPr="00A167C3" w14:paraId="5867DB3D"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Pr>
          <w:p w14:paraId="1E60CB95" w14:textId="543B29A7" w:rsidR="00C96B7B" w:rsidRPr="00044733" w:rsidRDefault="00C96B7B" w:rsidP="006055E0">
            <w:pPr>
              <w:spacing w:before="0"/>
              <w:rPr>
                <w:rFonts w:cstheme="minorHAnsi"/>
              </w:rPr>
            </w:pPr>
            <w:r w:rsidRPr="00044733">
              <w:rPr>
                <w:rFonts w:cstheme="minorHAnsi"/>
              </w:rPr>
              <w:t>Atidarsagene autotemcel</w:t>
            </w:r>
            <w:r w:rsidR="00E15524">
              <w:rPr>
                <w:rFonts w:cstheme="minorHAnsi"/>
              </w:rPr>
              <w:t xml:space="preserve"> (</w:t>
            </w:r>
            <w:r w:rsidR="00E15524" w:rsidRPr="00044733">
              <w:rPr>
                <w:rFonts w:cstheme="minorHAnsi"/>
              </w:rPr>
              <w:t>Libmeldy</w:t>
            </w:r>
            <w:r w:rsidR="005A7767" w:rsidRPr="00044733">
              <w:rPr>
                <w:rFonts w:cstheme="minorHAnsi"/>
              </w:rPr>
              <w:t>®</w:t>
            </w:r>
            <w:r w:rsidR="00E15524">
              <w:rPr>
                <w:rFonts w:cstheme="minorHAnsi"/>
              </w:rPr>
              <w:t>)</w:t>
            </w:r>
          </w:p>
        </w:tc>
        <w:tc>
          <w:tcPr>
            <w:tcW w:w="2153" w:type="pct"/>
          </w:tcPr>
          <w:p w14:paraId="026ECA48" w14:textId="5D4DA7A7" w:rsidR="00C96B7B" w:rsidRPr="00AE09D0" w:rsidRDefault="00191534"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Pr>
                <w:rFonts w:cstheme="minorHAnsi"/>
              </w:rPr>
              <w:t>M</w:t>
            </w:r>
            <w:r w:rsidR="00C96B7B" w:rsidRPr="00AE09D0">
              <w:rPr>
                <w:rFonts w:cstheme="minorHAnsi"/>
              </w:rPr>
              <w:t>etachromatic leukodystrophy (MLD) characterized by biallelic mutations in the arysulfatase A (ARSA) gene leading to a reduction of the ARSA enzymatic activity</w:t>
            </w:r>
          </w:p>
        </w:tc>
        <w:tc>
          <w:tcPr>
            <w:tcW w:w="384" w:type="pct"/>
          </w:tcPr>
          <w:p w14:paraId="6F52D3A4" w14:textId="3721B3BA"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389" w:type="pct"/>
          </w:tcPr>
          <w:p w14:paraId="578E3037" w14:textId="22F8B2D9"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372" w:type="pct"/>
          </w:tcPr>
          <w:p w14:paraId="04DCA5A5" w14:textId="39F2053A"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779" w:type="pct"/>
          </w:tcPr>
          <w:p w14:paraId="6AB664BD" w14:textId="77777777" w:rsidR="00C96B7B" w:rsidRDefault="00644590"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1FCB617E" w14:textId="75D002C5" w:rsidR="0031178E" w:rsidRPr="00AE09D0" w:rsidRDefault="00264641"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264641">
              <w:rPr>
                <w:rFonts w:cstheme="minorHAnsi"/>
              </w:rPr>
              <w:t>(Not registered)</w:t>
            </w:r>
          </w:p>
        </w:tc>
      </w:tr>
      <w:tr w:rsidR="00BD6B60" w:rsidRPr="00A167C3" w14:paraId="08FB5C1B"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hideMark/>
          </w:tcPr>
          <w:p w14:paraId="60F685B3" w14:textId="34E26472" w:rsidR="00C96B7B" w:rsidRPr="00D77223" w:rsidRDefault="00C96B7B" w:rsidP="006055E0">
            <w:pPr>
              <w:spacing w:before="0"/>
              <w:rPr>
                <w:rFonts w:cstheme="minorHAnsi"/>
                <w:lang w:val="en-GB"/>
              </w:rPr>
            </w:pPr>
            <w:r w:rsidRPr="00D77223">
              <w:rPr>
                <w:rFonts w:cstheme="minorHAnsi"/>
              </w:rPr>
              <w:t>FT536</w:t>
            </w:r>
          </w:p>
        </w:tc>
        <w:tc>
          <w:tcPr>
            <w:tcW w:w="2153" w:type="pct"/>
            <w:hideMark/>
          </w:tcPr>
          <w:p w14:paraId="6C740D27" w14:textId="77777777" w:rsidR="00C96B7B" w:rsidRPr="00AE09D0" w:rsidRDefault="00C96B7B"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color w:val="000000"/>
                <w:shd w:val="clear" w:color="auto" w:fill="FFFFFF"/>
              </w:rPr>
              <w:t>Treatment of multiple solid tumour indications</w:t>
            </w:r>
          </w:p>
        </w:tc>
        <w:tc>
          <w:tcPr>
            <w:tcW w:w="384" w:type="pct"/>
            <w:hideMark/>
          </w:tcPr>
          <w:p w14:paraId="3B297067" w14:textId="3A4EC744"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389" w:type="pct"/>
            <w:hideMark/>
          </w:tcPr>
          <w:p w14:paraId="3FC9F42A" w14:textId="37C65DE7" w:rsidR="00C96B7B" w:rsidRPr="00AE09D0" w:rsidRDefault="009C2E69"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highlight w:val="yellow"/>
                <w:lang w:val="en-GB"/>
              </w:rPr>
            </w:pPr>
            <w:r>
              <w:rPr>
                <w:rFonts w:cstheme="minorHAnsi"/>
              </w:rPr>
              <w:t>N</w:t>
            </w:r>
          </w:p>
        </w:tc>
        <w:tc>
          <w:tcPr>
            <w:tcW w:w="372" w:type="pct"/>
            <w:hideMark/>
          </w:tcPr>
          <w:p w14:paraId="41A8B371" w14:textId="37B5304D"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779" w:type="pct"/>
            <w:hideMark/>
          </w:tcPr>
          <w:p w14:paraId="14062DEB" w14:textId="77777777" w:rsidR="00C96B7B" w:rsidRDefault="00644590"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7FF8DB20" w14:textId="29C67766" w:rsidR="0031178E" w:rsidRPr="00AE09D0" w:rsidRDefault="00264641"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264641">
              <w:rPr>
                <w:rFonts w:cstheme="minorHAnsi"/>
              </w:rPr>
              <w:t>(Not registered)</w:t>
            </w:r>
          </w:p>
        </w:tc>
      </w:tr>
      <w:tr w:rsidR="00BD6B60" w:rsidRPr="00A167C3" w14:paraId="01A0887E"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hideMark/>
          </w:tcPr>
          <w:p w14:paraId="2E09267E" w14:textId="2C13E474" w:rsidR="00C96B7B" w:rsidRPr="00D77223" w:rsidRDefault="001A679A" w:rsidP="006055E0">
            <w:pPr>
              <w:spacing w:before="0"/>
              <w:rPr>
                <w:rFonts w:cstheme="minorHAnsi"/>
                <w:lang w:val="en-GB"/>
              </w:rPr>
            </w:pPr>
            <w:r w:rsidRPr="00D77223">
              <w:rPr>
                <w:rFonts w:cstheme="minorHAnsi"/>
                <w:color w:val="000000"/>
                <w:shd w:val="clear" w:color="auto" w:fill="FFFFFF"/>
              </w:rPr>
              <w:t>Afamitresgene autoleucel</w:t>
            </w:r>
          </w:p>
        </w:tc>
        <w:tc>
          <w:tcPr>
            <w:tcW w:w="2153" w:type="pct"/>
            <w:hideMark/>
          </w:tcPr>
          <w:p w14:paraId="30166978" w14:textId="77777777" w:rsidR="00C96B7B" w:rsidRPr="00AE09D0" w:rsidRDefault="00C96B7B"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color w:val="000000"/>
                <w:shd w:val="clear" w:color="auto" w:fill="FFFFFF"/>
              </w:rPr>
              <w:t>Treatment of solid tumours</w:t>
            </w:r>
          </w:p>
        </w:tc>
        <w:tc>
          <w:tcPr>
            <w:tcW w:w="384" w:type="pct"/>
            <w:hideMark/>
          </w:tcPr>
          <w:p w14:paraId="66D8F530" w14:textId="474BAC78"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N</w:t>
            </w:r>
          </w:p>
        </w:tc>
        <w:tc>
          <w:tcPr>
            <w:tcW w:w="389" w:type="pct"/>
            <w:hideMark/>
          </w:tcPr>
          <w:p w14:paraId="2C430F0D" w14:textId="207BAA2D"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highlight w:val="yellow"/>
                <w:lang w:val="en-GB"/>
              </w:rPr>
            </w:pPr>
            <w:r w:rsidRPr="00AE09D0">
              <w:rPr>
                <w:rFonts w:cstheme="minorHAnsi"/>
                <w:color w:val="000000"/>
                <w:shd w:val="clear" w:color="auto" w:fill="FFFFFF"/>
              </w:rPr>
              <w:t>N</w:t>
            </w:r>
          </w:p>
        </w:tc>
        <w:tc>
          <w:tcPr>
            <w:tcW w:w="372" w:type="pct"/>
            <w:hideMark/>
          </w:tcPr>
          <w:p w14:paraId="23A52CAF" w14:textId="61CBD6FC"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N</w:t>
            </w:r>
          </w:p>
        </w:tc>
        <w:tc>
          <w:tcPr>
            <w:tcW w:w="779" w:type="pct"/>
            <w:hideMark/>
          </w:tcPr>
          <w:p w14:paraId="125BE7C1" w14:textId="77777777" w:rsidR="00C96B7B" w:rsidRDefault="00644590"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12AFE994" w14:textId="09D4306F" w:rsidR="0031178E" w:rsidRPr="00AE09D0" w:rsidRDefault="00264641"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264641">
              <w:rPr>
                <w:rFonts w:cstheme="minorHAnsi"/>
              </w:rPr>
              <w:t>(Not registered)</w:t>
            </w:r>
          </w:p>
        </w:tc>
      </w:tr>
      <w:tr w:rsidR="00BD6B60" w:rsidRPr="00A167C3" w14:paraId="306D84EE"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hideMark/>
          </w:tcPr>
          <w:p w14:paraId="06A10652" w14:textId="77777777" w:rsidR="00C96B7B" w:rsidRPr="00D77223" w:rsidRDefault="00C96B7B" w:rsidP="006055E0">
            <w:pPr>
              <w:spacing w:before="0"/>
              <w:rPr>
                <w:rFonts w:cstheme="minorHAnsi"/>
                <w:lang w:val="en-GB"/>
              </w:rPr>
            </w:pPr>
            <w:r w:rsidRPr="00D77223">
              <w:rPr>
                <w:rFonts w:cstheme="minorHAnsi"/>
              </w:rPr>
              <w:t>Invossa (TissueGene-C)</w:t>
            </w:r>
          </w:p>
        </w:tc>
        <w:tc>
          <w:tcPr>
            <w:tcW w:w="2153" w:type="pct"/>
            <w:hideMark/>
          </w:tcPr>
          <w:p w14:paraId="6A7C2246" w14:textId="77777777" w:rsidR="00C96B7B" w:rsidRPr="00AE09D0" w:rsidRDefault="00C96B7B"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Treatment of symptomatic and persistent knee osteoarthritis (OA)</w:t>
            </w:r>
          </w:p>
        </w:tc>
        <w:tc>
          <w:tcPr>
            <w:tcW w:w="384" w:type="pct"/>
            <w:hideMark/>
          </w:tcPr>
          <w:p w14:paraId="373BBC64" w14:textId="721D8EBE"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389" w:type="pct"/>
            <w:hideMark/>
          </w:tcPr>
          <w:p w14:paraId="09B72492" w14:textId="2630A31E" w:rsidR="00C96B7B" w:rsidRPr="00AE09D0" w:rsidRDefault="00044733"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rPr>
              <w:t>N</w:t>
            </w:r>
          </w:p>
        </w:tc>
        <w:tc>
          <w:tcPr>
            <w:tcW w:w="372" w:type="pct"/>
            <w:hideMark/>
          </w:tcPr>
          <w:p w14:paraId="52029927" w14:textId="73147142"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779" w:type="pct"/>
            <w:hideMark/>
          </w:tcPr>
          <w:p w14:paraId="4CDBC5F5" w14:textId="77777777" w:rsidR="00C96B7B" w:rsidRDefault="00644590"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48BA5C23" w14:textId="5ED0AD87" w:rsidR="0031178E" w:rsidRPr="00AE09D0" w:rsidRDefault="00264641"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264641">
              <w:rPr>
                <w:rFonts w:cstheme="minorHAnsi"/>
              </w:rPr>
              <w:t>(Not registered)</w:t>
            </w:r>
          </w:p>
        </w:tc>
      </w:tr>
      <w:tr w:rsidR="00191534" w:rsidRPr="00A167C3" w14:paraId="0AEC21B7"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Pr>
          <w:p w14:paraId="59C32F60" w14:textId="42DE4059" w:rsidR="00C96B7B" w:rsidRPr="00D77223" w:rsidRDefault="000F5256" w:rsidP="006055E0">
            <w:pPr>
              <w:spacing w:before="0"/>
              <w:rPr>
                <w:rFonts w:cstheme="minorHAnsi"/>
              </w:rPr>
            </w:pPr>
            <w:r>
              <w:rPr>
                <w:rFonts w:cstheme="minorHAnsi"/>
              </w:rPr>
              <w:t>A</w:t>
            </w:r>
            <w:r w:rsidRPr="000F5256">
              <w:rPr>
                <w:rFonts w:cstheme="minorHAnsi"/>
              </w:rPr>
              <w:t>autologous CD34+ enriched cell fraction</w:t>
            </w:r>
            <w:r>
              <w:rPr>
                <w:rFonts w:cstheme="minorHAnsi"/>
              </w:rPr>
              <w:t xml:space="preserve"> (</w:t>
            </w:r>
            <w:r w:rsidR="00C96B7B" w:rsidRPr="00D77223">
              <w:rPr>
                <w:rFonts w:cstheme="minorHAnsi"/>
              </w:rPr>
              <w:t>Strimvelis</w:t>
            </w:r>
            <w:r w:rsidR="005A7767" w:rsidRPr="00044733">
              <w:rPr>
                <w:rFonts w:cstheme="minorHAnsi"/>
              </w:rPr>
              <w:t>®</w:t>
            </w:r>
            <w:r>
              <w:rPr>
                <w:rFonts w:cstheme="minorHAnsi"/>
              </w:rPr>
              <w:t>)</w:t>
            </w:r>
          </w:p>
          <w:p w14:paraId="48AFB3F1" w14:textId="2830A801" w:rsidR="00C96B7B" w:rsidRPr="00D77223" w:rsidRDefault="00C96B7B" w:rsidP="006055E0">
            <w:pPr>
              <w:spacing w:before="0"/>
              <w:rPr>
                <w:rFonts w:cstheme="minorHAnsi"/>
              </w:rPr>
            </w:pPr>
          </w:p>
        </w:tc>
        <w:tc>
          <w:tcPr>
            <w:tcW w:w="2153" w:type="pct"/>
          </w:tcPr>
          <w:p w14:paraId="1796FFE4" w14:textId="2C380506" w:rsidR="00C96B7B" w:rsidRPr="00AE09D0" w:rsidRDefault="001A679A"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w:t>
            </w:r>
            <w:r w:rsidR="00C96B7B" w:rsidRPr="005D7CBF">
              <w:rPr>
                <w:rFonts w:cstheme="minorHAnsi"/>
              </w:rPr>
              <w:t>evere combined immunodeficiency due to adenosine deaminase deficiency (ADA-SCID).</w:t>
            </w:r>
          </w:p>
        </w:tc>
        <w:tc>
          <w:tcPr>
            <w:tcW w:w="384" w:type="pct"/>
          </w:tcPr>
          <w:p w14:paraId="1DA8CAEB" w14:textId="77777777" w:rsidR="00C96B7B"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16E3916B" w14:textId="2A871829" w:rsidR="00A962C2" w:rsidRPr="00AE09D0" w:rsidRDefault="00A962C2"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389" w:type="pct"/>
          </w:tcPr>
          <w:p w14:paraId="334E6334" w14:textId="114A5C18"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372" w:type="pct"/>
          </w:tcPr>
          <w:p w14:paraId="6140979B" w14:textId="6CBBC707" w:rsidR="00C96B7B" w:rsidRPr="00AE09D0" w:rsidRDefault="00C96B7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779" w:type="pct"/>
          </w:tcPr>
          <w:p w14:paraId="2D920CF6" w14:textId="77777777" w:rsidR="00C96B7B" w:rsidRDefault="00644590"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06050DB9" w14:textId="7001D809" w:rsidR="0031178E" w:rsidRPr="00AE09D0" w:rsidRDefault="00264641"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264641">
              <w:rPr>
                <w:rFonts w:cstheme="minorHAnsi"/>
              </w:rPr>
              <w:t>(Not registered)</w:t>
            </w:r>
          </w:p>
        </w:tc>
      </w:tr>
      <w:tr w:rsidR="00191534" w:rsidRPr="00A167C3" w14:paraId="656ECCD1"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Pr>
          <w:p w14:paraId="21AB671E" w14:textId="6C343098" w:rsidR="00C96B7B" w:rsidRPr="00044733" w:rsidRDefault="009E363E" w:rsidP="006055E0">
            <w:pPr>
              <w:spacing w:before="0"/>
              <w:rPr>
                <w:rFonts w:cstheme="minorHAnsi"/>
              </w:rPr>
            </w:pPr>
            <w:r>
              <w:rPr>
                <w:rFonts w:cstheme="minorHAnsi"/>
              </w:rPr>
              <w:t>Na</w:t>
            </w:r>
            <w:r w:rsidR="00605128" w:rsidRPr="00605128">
              <w:rPr>
                <w:rFonts w:cstheme="minorHAnsi"/>
              </w:rPr>
              <w:t>lotimagene carmaleucel</w:t>
            </w:r>
            <w:r w:rsidR="00605128">
              <w:rPr>
                <w:rFonts w:cstheme="minorHAnsi"/>
              </w:rPr>
              <w:t xml:space="preserve"> (</w:t>
            </w:r>
            <w:r w:rsidR="00C96B7B" w:rsidRPr="00044733">
              <w:rPr>
                <w:rFonts w:cstheme="minorHAnsi"/>
              </w:rPr>
              <w:t>Zalmoxis</w:t>
            </w:r>
            <w:r w:rsidR="005A7767" w:rsidRPr="00044733">
              <w:rPr>
                <w:rFonts w:cstheme="minorHAnsi"/>
              </w:rPr>
              <w:t>®</w:t>
            </w:r>
            <w:r w:rsidR="00605128">
              <w:rPr>
                <w:rFonts w:cstheme="minorHAnsi"/>
              </w:rPr>
              <w:t>)</w:t>
            </w:r>
          </w:p>
          <w:p w14:paraId="767DC91D" w14:textId="24687C03" w:rsidR="00C96B7B" w:rsidRPr="00044733" w:rsidRDefault="00C96B7B" w:rsidP="006055E0">
            <w:pPr>
              <w:spacing w:before="0"/>
              <w:rPr>
                <w:rFonts w:cstheme="minorHAnsi"/>
              </w:rPr>
            </w:pPr>
          </w:p>
        </w:tc>
        <w:tc>
          <w:tcPr>
            <w:tcW w:w="2153" w:type="pct"/>
          </w:tcPr>
          <w:p w14:paraId="52994370" w14:textId="6F34AFE6" w:rsidR="00C96B7B" w:rsidRPr="00AE09D0" w:rsidRDefault="00605128"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w:t>
            </w:r>
            <w:r w:rsidR="00C96B7B" w:rsidRPr="005D7CBF">
              <w:rPr>
                <w:rFonts w:cstheme="minorHAnsi"/>
              </w:rPr>
              <w:t>djunctive treatment in haploidentical haematopoietic stem cell transplantation (HSCT) of adult patients with high-risk haematological malignancies</w:t>
            </w:r>
          </w:p>
        </w:tc>
        <w:tc>
          <w:tcPr>
            <w:tcW w:w="384" w:type="pct"/>
          </w:tcPr>
          <w:p w14:paraId="5CBCFAB9" w14:textId="3ED7DEB5" w:rsidR="00C96B7B" w:rsidRPr="00AE09D0" w:rsidRDefault="00191534"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w:t>
            </w:r>
          </w:p>
        </w:tc>
        <w:tc>
          <w:tcPr>
            <w:tcW w:w="389" w:type="pct"/>
          </w:tcPr>
          <w:p w14:paraId="58EB7FA5" w14:textId="7706B2F8"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372" w:type="pct"/>
          </w:tcPr>
          <w:p w14:paraId="5D8CC11E" w14:textId="570CD87E" w:rsidR="00C96B7B" w:rsidRPr="00AE09D0" w:rsidRDefault="00C96B7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779" w:type="pct"/>
          </w:tcPr>
          <w:p w14:paraId="5A4560D8" w14:textId="77777777" w:rsidR="00C96B7B" w:rsidRDefault="00644590"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7BD9967A" w14:textId="5F932495" w:rsidR="0031178E" w:rsidRPr="00AE09D0" w:rsidRDefault="00264641"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264641">
              <w:rPr>
                <w:rFonts w:cstheme="minorHAnsi"/>
              </w:rPr>
              <w:t>(Not registered)</w:t>
            </w:r>
          </w:p>
        </w:tc>
      </w:tr>
      <w:tr w:rsidR="008A409A" w:rsidRPr="00A167C3" w14:paraId="78E3B2BC" w14:textId="77777777" w:rsidTr="0093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Pr>
          <w:p w14:paraId="6FEC2C3E" w14:textId="1F812E7D" w:rsidR="008A409A" w:rsidRDefault="00C27828" w:rsidP="006055E0">
            <w:pPr>
              <w:spacing w:before="0"/>
              <w:rPr>
                <w:rFonts w:cstheme="minorHAnsi"/>
              </w:rPr>
            </w:pPr>
            <w:r w:rsidRPr="00C27828">
              <w:rPr>
                <w:rFonts w:cstheme="minorHAnsi"/>
              </w:rPr>
              <w:t>Motixafortide</w:t>
            </w:r>
            <w:r>
              <w:rPr>
                <w:rFonts w:cstheme="minorHAnsi"/>
              </w:rPr>
              <w:t xml:space="preserve"> (</w:t>
            </w:r>
            <w:r w:rsidR="00DC7D4E">
              <w:rPr>
                <w:rFonts w:cstheme="minorHAnsi"/>
              </w:rPr>
              <w:t>Aph</w:t>
            </w:r>
            <w:r w:rsidR="00CC4577">
              <w:rPr>
                <w:rFonts w:cstheme="minorHAnsi"/>
              </w:rPr>
              <w:t>exda)</w:t>
            </w:r>
          </w:p>
        </w:tc>
        <w:tc>
          <w:tcPr>
            <w:tcW w:w="2153" w:type="pct"/>
          </w:tcPr>
          <w:p w14:paraId="526A497F" w14:textId="71AB8A46" w:rsidR="008A409A" w:rsidRDefault="00920762"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t>In combination with filgrastim (G-CSF) to mobilize hematopoietic stem cells to the peripheral blood for collection and subsequent autologous transplantation in patients with multiple myeloma</w:t>
            </w:r>
          </w:p>
        </w:tc>
        <w:tc>
          <w:tcPr>
            <w:tcW w:w="384" w:type="pct"/>
          </w:tcPr>
          <w:p w14:paraId="52927A75" w14:textId="06EB0027" w:rsidR="008A409A" w:rsidRDefault="00056FB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389" w:type="pct"/>
          </w:tcPr>
          <w:p w14:paraId="5870B4DE" w14:textId="58641721" w:rsidR="008A409A" w:rsidRPr="00AE09D0" w:rsidRDefault="00056FB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372" w:type="pct"/>
          </w:tcPr>
          <w:p w14:paraId="76D784BB" w14:textId="319F47B5" w:rsidR="008A409A" w:rsidRPr="00AE09D0" w:rsidRDefault="00056FB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779" w:type="pct"/>
          </w:tcPr>
          <w:p w14:paraId="450C0334" w14:textId="4B26D66C" w:rsidR="008A409A" w:rsidRDefault="00056FBB"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Pr>
                <w:rFonts w:cstheme="minorHAnsi"/>
              </w:rPr>
              <w:br/>
              <w:t>(Not registered)</w:t>
            </w:r>
          </w:p>
        </w:tc>
      </w:tr>
      <w:tr w:rsidR="008A409A" w:rsidRPr="00A167C3" w14:paraId="03F6AE00" w14:textId="77777777" w:rsidTr="00935B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tcPr>
          <w:p w14:paraId="4690FA81" w14:textId="774C8E67" w:rsidR="008A409A" w:rsidRDefault="0014371E" w:rsidP="006055E0">
            <w:pPr>
              <w:spacing w:before="0"/>
              <w:rPr>
                <w:rFonts w:cstheme="minorHAnsi"/>
              </w:rPr>
            </w:pPr>
            <w:r>
              <w:rPr>
                <w:rFonts w:cstheme="minorHAnsi"/>
              </w:rPr>
              <w:t>E</w:t>
            </w:r>
            <w:r w:rsidRPr="0014371E">
              <w:rPr>
                <w:rFonts w:cstheme="minorHAnsi"/>
              </w:rPr>
              <w:t>xagamglogene autotemcel</w:t>
            </w:r>
            <w:r>
              <w:rPr>
                <w:rFonts w:cstheme="minorHAnsi"/>
              </w:rPr>
              <w:br/>
              <w:t>(Casgevy)</w:t>
            </w:r>
          </w:p>
        </w:tc>
        <w:tc>
          <w:tcPr>
            <w:tcW w:w="2153" w:type="pct"/>
          </w:tcPr>
          <w:p w14:paraId="42E71070" w14:textId="102FB221" w:rsidR="008A409A" w:rsidRDefault="001D082E"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t>Treatment of sickle cell disease (SCD)</w:t>
            </w:r>
          </w:p>
        </w:tc>
        <w:tc>
          <w:tcPr>
            <w:tcW w:w="384" w:type="pct"/>
          </w:tcPr>
          <w:p w14:paraId="356E6FE8" w14:textId="0DF33810" w:rsidR="008A409A" w:rsidRDefault="00706EEB"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r w:rsidR="00AA36AC">
              <w:rPr>
                <w:rFonts w:cstheme="minorHAnsi"/>
              </w:rPr>
              <w:br/>
              <w:t>(C, O)</w:t>
            </w:r>
          </w:p>
        </w:tc>
        <w:tc>
          <w:tcPr>
            <w:tcW w:w="389" w:type="pct"/>
          </w:tcPr>
          <w:p w14:paraId="68C7DB3D" w14:textId="7DF2FB25" w:rsidR="008A409A" w:rsidRPr="00AE09D0" w:rsidRDefault="001D082E"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372" w:type="pct"/>
          </w:tcPr>
          <w:p w14:paraId="5632A9B2" w14:textId="6D7C60BB" w:rsidR="008A409A" w:rsidRPr="00AE09D0" w:rsidRDefault="00A4003E"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779" w:type="pct"/>
          </w:tcPr>
          <w:p w14:paraId="70A4F923" w14:textId="7BC25535" w:rsidR="008A409A" w:rsidRDefault="00A4003E" w:rsidP="00C96B7B">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N </w:t>
            </w:r>
            <w:r>
              <w:rPr>
                <w:rFonts w:cstheme="minorHAnsi"/>
              </w:rPr>
              <w:br/>
              <w:t>(Not registered)</w:t>
            </w:r>
          </w:p>
        </w:tc>
      </w:tr>
      <w:tr w:rsidR="000E4E30" w:rsidRPr="00A167C3" w14:paraId="4AB7BB4A" w14:textId="77777777" w:rsidTr="003D7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gridSpan w:val="2"/>
          </w:tcPr>
          <w:p w14:paraId="2C141CF5" w14:textId="09EC0131" w:rsidR="000E4E30" w:rsidRDefault="00107317" w:rsidP="006055E0">
            <w:pPr>
              <w:spacing w:before="0"/>
              <w:rPr>
                <w:rFonts w:cstheme="minorHAnsi"/>
              </w:rPr>
            </w:pPr>
            <w:r w:rsidRPr="00107317">
              <w:rPr>
                <w:rFonts w:cstheme="minorHAnsi"/>
              </w:rPr>
              <w:t>omidubicel-onlv</w:t>
            </w:r>
            <w:r>
              <w:rPr>
                <w:rFonts w:cstheme="minorHAnsi"/>
              </w:rPr>
              <w:t xml:space="preserve"> </w:t>
            </w:r>
            <w:r>
              <w:rPr>
                <w:rFonts w:cstheme="minorHAnsi"/>
              </w:rPr>
              <w:br/>
              <w:t>(Omisirge)</w:t>
            </w:r>
          </w:p>
        </w:tc>
        <w:tc>
          <w:tcPr>
            <w:tcW w:w="2153" w:type="pct"/>
          </w:tcPr>
          <w:p w14:paraId="00829779" w14:textId="4DF32B3C" w:rsidR="00FE31A1" w:rsidRPr="00FE31A1" w:rsidRDefault="00FE31A1" w:rsidP="00FE31A1">
            <w:pPr>
              <w:spacing w:before="0"/>
              <w:cnfStyle w:val="000000100000" w:firstRow="0" w:lastRow="0" w:firstColumn="0" w:lastColumn="0" w:oddVBand="0" w:evenVBand="0" w:oddHBand="1" w:evenHBand="0" w:firstRowFirstColumn="0" w:firstRowLastColumn="0" w:lastRowFirstColumn="0" w:lastRowLastColumn="0"/>
            </w:pPr>
            <w:r>
              <w:t>F</w:t>
            </w:r>
            <w:r w:rsidRPr="00FE31A1">
              <w:t>or use in adults and pediatric</w:t>
            </w:r>
          </w:p>
          <w:p w14:paraId="2CF9BD9F" w14:textId="77777777" w:rsidR="00FE31A1" w:rsidRPr="00FE31A1" w:rsidRDefault="00FE31A1" w:rsidP="00FE31A1">
            <w:pPr>
              <w:spacing w:before="0"/>
              <w:cnfStyle w:val="000000100000" w:firstRow="0" w:lastRow="0" w:firstColumn="0" w:lastColumn="0" w:oddVBand="0" w:evenVBand="0" w:oddHBand="1" w:evenHBand="0" w:firstRowFirstColumn="0" w:firstRowLastColumn="0" w:lastRowFirstColumn="0" w:lastRowLastColumn="0"/>
            </w:pPr>
            <w:r w:rsidRPr="00FE31A1">
              <w:t>patients 12 years and older with hematologic malignancies who are planned</w:t>
            </w:r>
          </w:p>
          <w:p w14:paraId="03EC4D3D" w14:textId="77777777" w:rsidR="00FE31A1" w:rsidRPr="00FE31A1" w:rsidRDefault="00FE31A1" w:rsidP="00FE31A1">
            <w:pPr>
              <w:spacing w:before="0"/>
              <w:cnfStyle w:val="000000100000" w:firstRow="0" w:lastRow="0" w:firstColumn="0" w:lastColumn="0" w:oddVBand="0" w:evenVBand="0" w:oddHBand="1" w:evenHBand="0" w:firstRowFirstColumn="0" w:firstRowLastColumn="0" w:lastRowFirstColumn="0" w:lastRowLastColumn="0"/>
            </w:pPr>
            <w:r w:rsidRPr="00FE31A1">
              <w:t>for umbilical cord blood transplantation following myeloablative conditioning</w:t>
            </w:r>
          </w:p>
          <w:p w14:paraId="1AA7A492" w14:textId="1B5BDF49" w:rsidR="000E4E30" w:rsidRDefault="00FE31A1" w:rsidP="00FE31A1">
            <w:pPr>
              <w:spacing w:before="0"/>
              <w:cnfStyle w:val="000000100000" w:firstRow="0" w:lastRow="0" w:firstColumn="0" w:lastColumn="0" w:oddVBand="0" w:evenVBand="0" w:oddHBand="1" w:evenHBand="0" w:firstRowFirstColumn="0" w:firstRowLastColumn="0" w:lastRowFirstColumn="0" w:lastRowLastColumn="0"/>
            </w:pPr>
            <w:r w:rsidRPr="00FE31A1">
              <w:t>to reduce the time to neutrophil recovery and the incidence of infection</w:t>
            </w:r>
          </w:p>
        </w:tc>
        <w:tc>
          <w:tcPr>
            <w:tcW w:w="384" w:type="pct"/>
          </w:tcPr>
          <w:p w14:paraId="2C61260B" w14:textId="7EBE37C3" w:rsidR="000E4E30" w:rsidRDefault="002C5A7F"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389" w:type="pct"/>
          </w:tcPr>
          <w:p w14:paraId="25FD45E5" w14:textId="703210D3" w:rsidR="000E4E30" w:rsidRDefault="00FE31A1"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372" w:type="pct"/>
          </w:tcPr>
          <w:p w14:paraId="006F2A20" w14:textId="0CA635D4" w:rsidR="000E4E30" w:rsidRDefault="002C5A7F"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779" w:type="pct"/>
          </w:tcPr>
          <w:p w14:paraId="43AFCF7D" w14:textId="7BA898DB" w:rsidR="000E4E30" w:rsidRDefault="002C5A7F" w:rsidP="00C96B7B">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 </w:t>
            </w:r>
            <w:r>
              <w:rPr>
                <w:rFonts w:cstheme="minorHAnsi"/>
              </w:rPr>
              <w:br/>
              <w:t>(Not registered)</w:t>
            </w:r>
          </w:p>
        </w:tc>
      </w:tr>
    </w:tbl>
    <w:p w14:paraId="7DD34778" w14:textId="0ABE68E4" w:rsidR="004D38B3" w:rsidRPr="00D21289" w:rsidRDefault="004D38B3" w:rsidP="00E346A4">
      <w:pPr>
        <w:pStyle w:val="Caption"/>
        <w:rPr>
          <w:color w:val="auto"/>
        </w:rPr>
      </w:pPr>
      <w:r w:rsidRPr="00D21289">
        <w:rPr>
          <w:i w:val="0"/>
          <w:color w:val="auto"/>
        </w:rPr>
        <w:t>Y= registered or funded. N = not registered or funded. W = withdrawn</w:t>
      </w:r>
      <w:r w:rsidR="00AA36AC" w:rsidRPr="00D21289">
        <w:rPr>
          <w:i w:val="0"/>
          <w:color w:val="auto"/>
        </w:rPr>
        <w:t>. C</w:t>
      </w:r>
      <w:r w:rsidR="009F5D4A" w:rsidRPr="00D21289">
        <w:rPr>
          <w:i w:val="0"/>
          <w:color w:val="auto"/>
        </w:rPr>
        <w:t xml:space="preserve"> = Conditional marketing authorisation (EMA): A conditional marketing authorisation is granted to a medicinal product that fulfils an unmet medical need when the benefit to public health of immediate availability outweighs the risk inherent in the fact that additional data are still required. The marketing authorisation holder is expected to provide comprehensive clinical data at a later stage</w:t>
      </w:r>
      <w:r w:rsidR="007634F8" w:rsidRPr="00D21289">
        <w:rPr>
          <w:rStyle w:val="FootnoteReference"/>
          <w:i w:val="0"/>
          <w:color w:val="auto"/>
        </w:rPr>
        <w:footnoteReference w:id="21"/>
      </w:r>
      <w:r w:rsidR="009F5D4A" w:rsidRPr="00D21289">
        <w:rPr>
          <w:i w:val="0"/>
          <w:color w:val="auto"/>
        </w:rPr>
        <w:t>. O = Orphan medicine (EMA): A medicine for the diagnosis, prevention, or treatment of a life-threatening or chronically debilitating condition that is rare (affecting not more than five in 10,000 people in the European Union) or where the medicine is unlikely to generate sufficient profit to justify research and development costs.</w:t>
      </w:r>
    </w:p>
    <w:p w14:paraId="7434D0FE" w14:textId="5B87DC8F" w:rsidR="00CD78D3" w:rsidRPr="00CD78D3" w:rsidRDefault="00CD78D3" w:rsidP="00CD78D3">
      <w:r w:rsidRPr="00CD78D3">
        <w:t>As of 2021, there are approximately 900 studies worldwide with the use of CAR</w:t>
      </w:r>
      <w:r w:rsidR="00534224">
        <w:t xml:space="preserve"> </w:t>
      </w:r>
      <w:r w:rsidRPr="00CD78D3">
        <w:t>T cells as investigational drugs in different tumour entities.</w:t>
      </w:r>
    </w:p>
    <w:p w14:paraId="224A9159" w14:textId="59CE37CB" w:rsidR="00191534" w:rsidRDefault="00026EDB" w:rsidP="00E346A4">
      <w:pPr>
        <w:pStyle w:val="Heading3"/>
        <w:ind w:left="709"/>
      </w:pPr>
      <w:r>
        <w:t>Assessment for funding of</w:t>
      </w:r>
      <w:r w:rsidR="001B66D7">
        <w:t xml:space="preserve"> cell therapies in Australia</w:t>
      </w:r>
    </w:p>
    <w:p w14:paraId="151A5C15" w14:textId="77777777" w:rsidR="00AB2697" w:rsidRDefault="00191534" w:rsidP="007C597D">
      <w:pPr>
        <w:widowControl w:val="0"/>
      </w:pPr>
      <w:r>
        <w:t xml:space="preserve">Gene modified cell therapies have been assessed by MSAC and funded through the NHRA. </w:t>
      </w:r>
    </w:p>
    <w:p w14:paraId="798D94FA" w14:textId="6394D5E6" w:rsidR="00F065E2" w:rsidRPr="00191534" w:rsidRDefault="005004FB" w:rsidP="007C597D">
      <w:pPr>
        <w:widowControl w:val="0"/>
      </w:pPr>
      <w:r>
        <w:rPr>
          <w:noProof/>
        </w:rPr>
        <mc:AlternateContent>
          <mc:Choice Requires="wps">
            <w:drawing>
              <wp:inline distT="0" distB="0" distL="0" distR="0" wp14:anchorId="21BB10DB" wp14:editId="20825423">
                <wp:extent cx="5684520" cy="1404620"/>
                <wp:effectExtent l="0" t="0" r="11430" b="2730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49EBF5FF" w14:textId="77777777" w:rsidR="005004FB" w:rsidRDefault="005004FB" w:rsidP="005004FB">
                            <w:pPr>
                              <w:pStyle w:val="Heading4"/>
                              <w:keepNext w:val="0"/>
                              <w:keepLines w:val="0"/>
                              <w:widowControl w:val="0"/>
                              <w:spacing w:before="0"/>
                              <w:rPr>
                                <w:rFonts w:asciiTheme="minorHAnsi" w:eastAsiaTheme="minorEastAsia" w:hAnsiTheme="minorHAnsi" w:cstheme="minorBidi"/>
                                <w:b/>
                                <w:color w:val="auto"/>
                              </w:rPr>
                            </w:pPr>
                            <w:r>
                              <w:rPr>
                                <w:rFonts w:asciiTheme="minorHAnsi" w:eastAsiaTheme="minorEastAsia" w:hAnsiTheme="minorHAnsi" w:cstheme="minorBidi"/>
                                <w:b/>
                                <w:color w:val="auto"/>
                              </w:rPr>
                              <w:t>Kymriah</w:t>
                            </w:r>
                          </w:p>
                          <w:p w14:paraId="7C490BC7" w14:textId="77777777" w:rsidR="005004FB" w:rsidRDefault="005004FB" w:rsidP="005004FB">
                            <w:pPr>
                              <w:widowControl w:val="0"/>
                              <w:spacing w:before="0"/>
                              <w:rPr>
                                <w:rFonts w:eastAsiaTheme="minorEastAsia"/>
                              </w:rPr>
                            </w:pPr>
                            <w:r>
                              <w:rPr>
                                <w:rFonts w:eastAsiaTheme="minorEastAsia"/>
                              </w:rPr>
                              <w:t>Kymriah was the first CAR-T therapy to be considered for funding in Australia. There was no precedent for the funding and assessment of an identical technology type in Australia. CAR T requires in-patient treatment, administration, and specialised care that is generally only available in some tertiary public hospitals. Therapy also had very high costs. The sponsor requested creation of a new national funding mechanism.</w:t>
                            </w:r>
                            <w:r w:rsidDel="00F065E2">
                              <w:rPr>
                                <w:rStyle w:val="FootnoteReference"/>
                                <w:rFonts w:eastAsiaTheme="minorEastAsia"/>
                              </w:rPr>
                              <w:t xml:space="preserve"> </w:t>
                            </w:r>
                            <w:r w:rsidRPr="00327595">
                              <w:rPr>
                                <w:rFonts w:eastAsiaTheme="minorEastAsia"/>
                                <w:vertAlign w:val="superscript"/>
                              </w:rPr>
                              <w:t>25</w:t>
                            </w:r>
                          </w:p>
                          <w:p w14:paraId="1955D0D3" w14:textId="77777777" w:rsidR="005004FB" w:rsidRDefault="005004FB" w:rsidP="005004FB">
                            <w:pPr>
                              <w:widowControl w:val="0"/>
                              <w:spacing w:before="0"/>
                              <w:rPr>
                                <w:rFonts w:eastAsiaTheme="minorEastAsia"/>
                              </w:rPr>
                            </w:pPr>
                          </w:p>
                          <w:p w14:paraId="0C38E820" w14:textId="1413E6C8" w:rsidR="005004FB" w:rsidRDefault="005004FB" w:rsidP="005004FB">
                            <w:pPr>
                              <w:widowControl w:val="0"/>
                              <w:spacing w:before="0"/>
                              <w:rPr>
                                <w:rFonts w:eastAsiaTheme="minorEastAsia"/>
                              </w:rPr>
                            </w:pPr>
                            <w:r>
                              <w:rPr>
                                <w:rFonts w:eastAsiaTheme="minorEastAsia"/>
                              </w:rPr>
                              <w:t>At its April 2019 meeting MSAC supported the public funding of Kymriah</w:t>
                            </w:r>
                            <w:r>
                              <w:t xml:space="preserve"> </w:t>
                            </w:r>
                            <w:r>
                              <w:rPr>
                                <w:rFonts w:eastAsiaTheme="minorEastAsia"/>
                              </w:rPr>
                              <w:t>for acute lymphoblastic leukaemia in children and young adults up to 25 years old.</w:t>
                            </w:r>
                            <w:r w:rsidR="006D690B">
                              <w:rPr>
                                <w:rFonts w:eastAsiaTheme="minorEastAsia"/>
                              </w:rPr>
                              <w:t xml:space="preserve"> </w:t>
                            </w:r>
                            <w:r w:rsidR="006D690B" w:rsidRPr="006D690B">
                              <w:rPr>
                                <w:rFonts w:eastAsiaTheme="minorEastAsia"/>
                                <w:vertAlign w:val="superscript"/>
                              </w:rPr>
                              <w:t>21</w:t>
                            </w:r>
                            <w:r w:rsidR="006D690B">
                              <w:rPr>
                                <w:rFonts w:eastAsiaTheme="minorEastAsia"/>
                                <w:vertAlign w:val="superscript"/>
                              </w:rPr>
                              <w:t xml:space="preserve"> </w:t>
                            </w:r>
                            <w:r>
                              <w:rPr>
                                <w:rFonts w:eastAsiaTheme="minorEastAsia"/>
                              </w:rPr>
                              <w:t>At its August 2019 meeting,</w:t>
                            </w:r>
                            <w:r>
                              <w:t xml:space="preserve"> </w:t>
                            </w:r>
                            <w:r>
                              <w:rPr>
                                <w:rFonts w:eastAsiaTheme="minorEastAsia"/>
                              </w:rPr>
                              <w:t>MSAC supported the public funding of Kymriah for certain patients with relapsed or refractory diffuse large B-cell lymphoma.</w:t>
                            </w:r>
                            <w:r w:rsidRPr="00327595">
                              <w:rPr>
                                <w:rFonts w:eastAsiaTheme="minorEastAsia"/>
                                <w:vertAlign w:val="superscript"/>
                              </w:rPr>
                              <w:t>26</w:t>
                            </w:r>
                          </w:p>
                          <w:p w14:paraId="7E2DD350" w14:textId="77777777" w:rsidR="005004FB" w:rsidRDefault="005004FB" w:rsidP="005004FB">
                            <w:pPr>
                              <w:widowControl w:val="0"/>
                              <w:rPr>
                                <w:rFonts w:eastAsiaTheme="minorEastAsia"/>
                              </w:rPr>
                            </w:pPr>
                            <w:r>
                              <w:rPr>
                                <w:rFonts w:eastAsiaTheme="minorEastAsia"/>
                              </w:rPr>
                              <w:t xml:space="preserve">MSAC recommended several measures would need to be implemented to contain the risks associated with public funding and patient safety including: </w:t>
                            </w:r>
                          </w:p>
                          <w:p w14:paraId="3F108D0A" w14:textId="77777777" w:rsidR="005004FB" w:rsidRDefault="005004FB" w:rsidP="005004FB">
                            <w:pPr>
                              <w:pStyle w:val="ListParagraph"/>
                              <w:widowControl w:val="0"/>
                              <w:numPr>
                                <w:ilvl w:val="0"/>
                                <w:numId w:val="14"/>
                              </w:numPr>
                              <w:spacing w:line="256" w:lineRule="auto"/>
                              <w:rPr>
                                <w:rFonts w:eastAsiaTheme="minorEastAsia"/>
                              </w:rPr>
                            </w:pPr>
                            <w:r>
                              <w:rPr>
                                <w:rFonts w:eastAsiaTheme="minorEastAsia"/>
                              </w:rPr>
                              <w:t xml:space="preserve">treatment delivered by a haematologist working in a multi-disciplinary team specialising in the provision of CAR-T cell therapy, </w:t>
                            </w:r>
                          </w:p>
                          <w:p w14:paraId="78FF7E8A" w14:textId="77777777" w:rsidR="005004FB" w:rsidRDefault="005004FB" w:rsidP="005004FB">
                            <w:pPr>
                              <w:pStyle w:val="ListParagraph"/>
                              <w:widowControl w:val="0"/>
                              <w:numPr>
                                <w:ilvl w:val="0"/>
                                <w:numId w:val="14"/>
                              </w:numPr>
                              <w:spacing w:line="256" w:lineRule="auto"/>
                              <w:rPr>
                                <w:rFonts w:eastAsiaTheme="minorEastAsia"/>
                              </w:rPr>
                            </w:pPr>
                            <w:r>
                              <w:rPr>
                                <w:rFonts w:eastAsiaTheme="minorEastAsia"/>
                              </w:rPr>
                              <w:t xml:space="preserve">treatment in a tertiary public hospital with appropriate credentials, </w:t>
                            </w:r>
                          </w:p>
                          <w:p w14:paraId="7CA66007" w14:textId="77777777" w:rsidR="005004FB" w:rsidRDefault="005004FB" w:rsidP="005004FB">
                            <w:pPr>
                              <w:pStyle w:val="ListParagraph"/>
                              <w:widowControl w:val="0"/>
                              <w:numPr>
                                <w:ilvl w:val="0"/>
                                <w:numId w:val="14"/>
                              </w:numPr>
                              <w:spacing w:line="256" w:lineRule="auto"/>
                              <w:rPr>
                                <w:rFonts w:eastAsiaTheme="minorEastAsia"/>
                              </w:rPr>
                            </w:pPr>
                            <w:r>
                              <w:t>a limit to one successful CAR-T infusion per lifetime,</w:t>
                            </w:r>
                          </w:p>
                          <w:p w14:paraId="15BEDBF7" w14:textId="77777777" w:rsidR="005004FB" w:rsidRDefault="005004FB" w:rsidP="005004FB">
                            <w:pPr>
                              <w:pStyle w:val="ListParagraph"/>
                              <w:widowControl w:val="0"/>
                              <w:numPr>
                                <w:ilvl w:val="0"/>
                                <w:numId w:val="14"/>
                              </w:numPr>
                              <w:spacing w:line="256" w:lineRule="auto"/>
                              <w:rPr>
                                <w:rFonts w:eastAsiaTheme="minorEastAsia"/>
                              </w:rPr>
                            </w:pPr>
                            <w:r>
                              <w:rPr>
                                <w:rFonts w:eastAsiaTheme="minorEastAsia"/>
                              </w:rPr>
                              <w:t xml:space="preserve">recording of data on the Australasian Bone Marrow Transplant Recipient Registry (ABMTRR). </w:t>
                            </w:r>
                          </w:p>
                          <w:p w14:paraId="56094A1A" w14:textId="40EF6656" w:rsidR="005004FB" w:rsidRDefault="005004FB" w:rsidP="005004FB">
                            <w:pPr>
                              <w:pStyle w:val="ListParagraph"/>
                              <w:widowControl w:val="0"/>
                              <w:numPr>
                                <w:ilvl w:val="0"/>
                                <w:numId w:val="14"/>
                              </w:numPr>
                              <w:spacing w:line="256" w:lineRule="auto"/>
                              <w:rPr>
                                <w:rFonts w:eastAsiaTheme="minorEastAsia"/>
                              </w:rPr>
                            </w:pPr>
                            <w:r>
                              <w:rPr>
                                <w:rFonts w:eastAsiaTheme="minorEastAsia"/>
                              </w:rPr>
                              <w:t>Full review of clinical effectiveness, cost effectiveness and budget impact no later than 2 years post the commencement of public subsidy.</w:t>
                            </w:r>
                            <w:r w:rsidR="006D690B">
                              <w:rPr>
                                <w:vertAlign w:val="superscript"/>
                              </w:rPr>
                              <w:t>22</w:t>
                            </w:r>
                          </w:p>
                          <w:p w14:paraId="0BC83916" w14:textId="60E1555E" w:rsidR="005004FB" w:rsidRPr="00321AD6" w:rsidRDefault="005004FB" w:rsidP="00900931">
                            <w:pPr>
                              <w:widowControl w:val="0"/>
                              <w:rPr>
                                <w:rFonts w:eastAsiaTheme="minorEastAsia"/>
                              </w:rPr>
                            </w:pPr>
                            <w:r>
                              <w:rPr>
                                <w:rFonts w:eastAsiaTheme="minorEastAsia"/>
                              </w:rPr>
                              <w:t>Separate funding arrangements for highly specialised therapies (including Kymriah) were negotiated as part of the 2020-25 National Health Reform Agreement. Kymriah is funded under those arrangements.</w:t>
                            </w:r>
                          </w:p>
                        </w:txbxContent>
                      </wps:txbx>
                      <wps:bodyPr rot="0" vert="horz" wrap="square" lIns="91440" tIns="45720" rIns="91440" bIns="45720" anchor="t" anchorCtr="0">
                        <a:spAutoFit/>
                      </wps:bodyPr>
                    </wps:wsp>
                  </a:graphicData>
                </a:graphic>
              </wp:inline>
            </w:drawing>
          </mc:Choice>
          <mc:Fallback>
            <w:pict>
              <v:shape w14:anchorId="21BB10DB" id="Text Box 25" o:spid="_x0000_s1029" type="#_x0000_t202" style="width:447.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wzLQIAAKMEAAAOAAAAZHJzL2Uyb0RvYy54bWy8VNuO0zAQfUfiHyy/06QlLd2o6WrpUoS0&#10;XKSFD3Adp7GwPcZ2m5Sv37GTdgu8IUQfLM+Mc+bMnJmubnutyFE4L8FUdDrJKRGGQy3NvqLfvm5f&#10;LSnxgZmaKTCioifh6e365YtVZ0sxgxZULRxBEOPLzla0DcGWWeZ5KzTzE7DCYLABp1lA0+2z2rEO&#10;0bXKZnm+yDpwtXXAhffovR+CdJ3wm0bw8LlpvAhEVRS5hXS6dO7ima1XrNw7ZlvJRxrsL1hoJg0m&#10;vUDds8DIwck/oLTkDjw0YcJBZ9A0kotUA1YzzX+r5rFlVqRasDneXtrk/x0s/3R8tF8cCf1b6FHA&#10;VIS3D8C/e2Jg0zKzF3fOQdcKVmPiaWxZ1llfjp/GVvvSR5Bd9xFqFJkdAiSgvnE6dgXrJIiOApwu&#10;TRd9IByd88WymM8wxDE2LfJigUbMwcrz59b58F6AJvFSUYeqJnh2fPBheHp+ErN5ULLeSqWSESdJ&#10;bJQjR4YzwDgXJgxlqoNGvoO/yPE3TAO6cWYG9+LsRjZpJiNS4vZLEmVIV9Gb+Ww+9O+/E9Ay4Bop&#10;qSu6jJTHUqJm70ydhjwwqYY71qLMKGLUbVAw9LueyLqir2MboqY7qE+oqoNha3DL8dKC+0lJhxtT&#10;Uf/jwJygRH0wOBk306KIK5aMYv4mauquI7vrCDMcoSoaKBmum5DWMmlm73CCtjJp+8xkpIybkBQY&#10;tzau2rWdXj3/t6yfAAAA//8DAFBLAwQUAAYACAAAACEA+TwJlNsAAAAFAQAADwAAAGRycy9kb3du&#10;cmV2LnhtbEyPQUvDQBCF70L/wzIFb3bThdY2zaaUgheLolV6nmbHJLg7G7LbJv57Vy96GXi8x3vf&#10;FNvRWXGlPrSeNcxnGQjiypuWaw3vbw93KxAhIhu0nknDFwXYlpObAnPjB36l6zHWIpVwyFFDE2OX&#10;SxmqhhyGme+Ik/fhe4cxyb6WpschlTsrVZYtpcOW00KDHe0bqj6PF6fBDKiMWoeDfT48hkX3ou6f&#10;lietb6fjbgMi0hj/wvCDn9ChTExnf2EThNWQHom/N3mr9UKBOGtQaq5AloX8T19+AwAA//8DAFBL&#10;AQItABQABgAIAAAAIQC2gziS/gAAAOEBAAATAAAAAAAAAAAAAAAAAAAAAABbQ29udGVudF9UeXBl&#10;c10ueG1sUEsBAi0AFAAGAAgAAAAhADj9If/WAAAAlAEAAAsAAAAAAAAAAAAAAAAALwEAAF9yZWxz&#10;Ly5yZWxzUEsBAi0AFAAGAAgAAAAhAMuBfDMtAgAAowQAAA4AAAAAAAAAAAAAAAAALgIAAGRycy9l&#10;Mm9Eb2MueG1sUEsBAi0AFAAGAAgAAAAhAPk8CZTbAAAABQEAAA8AAAAAAAAAAAAAAAAAhwQAAGRy&#10;cy9kb3ducmV2LnhtbFBLBQYAAAAABAAEAPMAAACPBQAAAAA=&#10;" fillcolor="#b4c6e7 [1300]" strokecolor="#b4c6e7 [1300]">
                <v:textbox style="mso-fit-shape-to-text:t">
                  <w:txbxContent>
                    <w:p w14:paraId="49EBF5FF" w14:textId="77777777" w:rsidR="005004FB" w:rsidRDefault="005004FB" w:rsidP="005004FB">
                      <w:pPr>
                        <w:pStyle w:val="Heading4"/>
                        <w:keepNext w:val="0"/>
                        <w:keepLines w:val="0"/>
                        <w:widowControl w:val="0"/>
                        <w:spacing w:before="0"/>
                        <w:rPr>
                          <w:rFonts w:asciiTheme="minorHAnsi" w:eastAsiaTheme="minorEastAsia" w:hAnsiTheme="minorHAnsi" w:cstheme="minorBidi"/>
                          <w:b/>
                          <w:color w:val="auto"/>
                        </w:rPr>
                      </w:pPr>
                      <w:r>
                        <w:rPr>
                          <w:rFonts w:asciiTheme="minorHAnsi" w:eastAsiaTheme="minorEastAsia" w:hAnsiTheme="minorHAnsi" w:cstheme="minorBidi"/>
                          <w:b/>
                          <w:color w:val="auto"/>
                        </w:rPr>
                        <w:t>Kymriah</w:t>
                      </w:r>
                    </w:p>
                    <w:p w14:paraId="7C490BC7" w14:textId="77777777" w:rsidR="005004FB" w:rsidRDefault="005004FB" w:rsidP="005004FB">
                      <w:pPr>
                        <w:widowControl w:val="0"/>
                        <w:spacing w:before="0"/>
                        <w:rPr>
                          <w:rFonts w:eastAsiaTheme="minorEastAsia"/>
                        </w:rPr>
                      </w:pPr>
                      <w:r>
                        <w:rPr>
                          <w:rFonts w:eastAsiaTheme="minorEastAsia"/>
                        </w:rPr>
                        <w:t>Kymriah was the first CAR-T therapy to be considered for funding in Australia. There was no precedent for the funding and assessment of an identical technology type in Australia. CAR T requires in-patient treatment, administration, and specialised care that is generally only available in some tertiary public hospitals. Therapy also had very high costs. The sponsor requested creation of a new national funding mechanism.</w:t>
                      </w:r>
                      <w:r w:rsidDel="00F065E2">
                        <w:rPr>
                          <w:rStyle w:val="FootnoteReference"/>
                          <w:rFonts w:eastAsiaTheme="minorEastAsia"/>
                        </w:rPr>
                        <w:t xml:space="preserve"> </w:t>
                      </w:r>
                      <w:r w:rsidRPr="00327595">
                        <w:rPr>
                          <w:rFonts w:eastAsiaTheme="minorEastAsia"/>
                          <w:vertAlign w:val="superscript"/>
                        </w:rPr>
                        <w:t>25</w:t>
                      </w:r>
                    </w:p>
                    <w:p w14:paraId="1955D0D3" w14:textId="77777777" w:rsidR="005004FB" w:rsidRDefault="005004FB" w:rsidP="005004FB">
                      <w:pPr>
                        <w:widowControl w:val="0"/>
                        <w:spacing w:before="0"/>
                        <w:rPr>
                          <w:rFonts w:eastAsiaTheme="minorEastAsia"/>
                        </w:rPr>
                      </w:pPr>
                    </w:p>
                    <w:p w14:paraId="0C38E820" w14:textId="1413E6C8" w:rsidR="005004FB" w:rsidRDefault="005004FB" w:rsidP="005004FB">
                      <w:pPr>
                        <w:widowControl w:val="0"/>
                        <w:spacing w:before="0"/>
                        <w:rPr>
                          <w:rFonts w:eastAsiaTheme="minorEastAsia"/>
                        </w:rPr>
                      </w:pPr>
                      <w:r>
                        <w:rPr>
                          <w:rFonts w:eastAsiaTheme="minorEastAsia"/>
                        </w:rPr>
                        <w:t>At its April 2019 meeting MSAC supported the public funding of Kymriah</w:t>
                      </w:r>
                      <w:r>
                        <w:t xml:space="preserve"> </w:t>
                      </w:r>
                      <w:r>
                        <w:rPr>
                          <w:rFonts w:eastAsiaTheme="minorEastAsia"/>
                        </w:rPr>
                        <w:t>for acute lymphoblastic leukaemia in children and young adults up to 25 years old.</w:t>
                      </w:r>
                      <w:r w:rsidR="006D690B">
                        <w:rPr>
                          <w:rFonts w:eastAsiaTheme="minorEastAsia"/>
                        </w:rPr>
                        <w:t xml:space="preserve"> </w:t>
                      </w:r>
                      <w:r w:rsidR="006D690B" w:rsidRPr="006D690B">
                        <w:rPr>
                          <w:rFonts w:eastAsiaTheme="minorEastAsia"/>
                          <w:vertAlign w:val="superscript"/>
                        </w:rPr>
                        <w:t>21</w:t>
                      </w:r>
                      <w:r w:rsidR="006D690B">
                        <w:rPr>
                          <w:rFonts w:eastAsiaTheme="minorEastAsia"/>
                          <w:vertAlign w:val="superscript"/>
                        </w:rPr>
                        <w:t xml:space="preserve"> </w:t>
                      </w:r>
                      <w:r>
                        <w:rPr>
                          <w:rFonts w:eastAsiaTheme="minorEastAsia"/>
                        </w:rPr>
                        <w:t>At its August 2019 meeting,</w:t>
                      </w:r>
                      <w:r>
                        <w:t xml:space="preserve"> </w:t>
                      </w:r>
                      <w:r>
                        <w:rPr>
                          <w:rFonts w:eastAsiaTheme="minorEastAsia"/>
                        </w:rPr>
                        <w:t>MSAC supported the public funding of Kymriah for certain patients with relapsed or refractory diffuse large B-cell lymphoma.</w:t>
                      </w:r>
                      <w:r w:rsidRPr="00327595">
                        <w:rPr>
                          <w:rFonts w:eastAsiaTheme="minorEastAsia"/>
                          <w:vertAlign w:val="superscript"/>
                        </w:rPr>
                        <w:t>26</w:t>
                      </w:r>
                    </w:p>
                    <w:p w14:paraId="7E2DD350" w14:textId="77777777" w:rsidR="005004FB" w:rsidRDefault="005004FB" w:rsidP="005004FB">
                      <w:pPr>
                        <w:widowControl w:val="0"/>
                        <w:rPr>
                          <w:rFonts w:eastAsiaTheme="minorEastAsia"/>
                        </w:rPr>
                      </w:pPr>
                      <w:r>
                        <w:rPr>
                          <w:rFonts w:eastAsiaTheme="minorEastAsia"/>
                        </w:rPr>
                        <w:t xml:space="preserve">MSAC recommended several measures would need to be implemented to contain the risks associated with public funding and patient safety including: </w:t>
                      </w:r>
                    </w:p>
                    <w:p w14:paraId="3F108D0A" w14:textId="77777777" w:rsidR="005004FB" w:rsidRDefault="005004FB" w:rsidP="005004FB">
                      <w:pPr>
                        <w:pStyle w:val="ListParagraph"/>
                        <w:widowControl w:val="0"/>
                        <w:numPr>
                          <w:ilvl w:val="0"/>
                          <w:numId w:val="14"/>
                        </w:numPr>
                        <w:spacing w:line="256" w:lineRule="auto"/>
                        <w:rPr>
                          <w:rFonts w:eastAsiaTheme="minorEastAsia"/>
                        </w:rPr>
                      </w:pPr>
                      <w:r>
                        <w:rPr>
                          <w:rFonts w:eastAsiaTheme="minorEastAsia"/>
                        </w:rPr>
                        <w:t xml:space="preserve">treatment delivered by a haematologist working in a multi-disciplinary team specialising in the provision of CAR-T cell therapy, </w:t>
                      </w:r>
                    </w:p>
                    <w:p w14:paraId="78FF7E8A" w14:textId="77777777" w:rsidR="005004FB" w:rsidRDefault="005004FB" w:rsidP="005004FB">
                      <w:pPr>
                        <w:pStyle w:val="ListParagraph"/>
                        <w:widowControl w:val="0"/>
                        <w:numPr>
                          <w:ilvl w:val="0"/>
                          <w:numId w:val="14"/>
                        </w:numPr>
                        <w:spacing w:line="256" w:lineRule="auto"/>
                        <w:rPr>
                          <w:rFonts w:eastAsiaTheme="minorEastAsia"/>
                        </w:rPr>
                      </w:pPr>
                      <w:r>
                        <w:rPr>
                          <w:rFonts w:eastAsiaTheme="minorEastAsia"/>
                        </w:rPr>
                        <w:t xml:space="preserve">treatment in a tertiary public hospital with appropriate credentials, </w:t>
                      </w:r>
                    </w:p>
                    <w:p w14:paraId="7CA66007" w14:textId="77777777" w:rsidR="005004FB" w:rsidRDefault="005004FB" w:rsidP="005004FB">
                      <w:pPr>
                        <w:pStyle w:val="ListParagraph"/>
                        <w:widowControl w:val="0"/>
                        <w:numPr>
                          <w:ilvl w:val="0"/>
                          <w:numId w:val="14"/>
                        </w:numPr>
                        <w:spacing w:line="256" w:lineRule="auto"/>
                        <w:rPr>
                          <w:rFonts w:eastAsiaTheme="minorEastAsia"/>
                        </w:rPr>
                      </w:pPr>
                      <w:r>
                        <w:t>a limit to one successful CAR-T infusion per lifetime,</w:t>
                      </w:r>
                    </w:p>
                    <w:p w14:paraId="15BEDBF7" w14:textId="77777777" w:rsidR="005004FB" w:rsidRDefault="005004FB" w:rsidP="005004FB">
                      <w:pPr>
                        <w:pStyle w:val="ListParagraph"/>
                        <w:widowControl w:val="0"/>
                        <w:numPr>
                          <w:ilvl w:val="0"/>
                          <w:numId w:val="14"/>
                        </w:numPr>
                        <w:spacing w:line="256" w:lineRule="auto"/>
                        <w:rPr>
                          <w:rFonts w:eastAsiaTheme="minorEastAsia"/>
                        </w:rPr>
                      </w:pPr>
                      <w:r>
                        <w:rPr>
                          <w:rFonts w:eastAsiaTheme="minorEastAsia"/>
                        </w:rPr>
                        <w:t xml:space="preserve">recording of data on the Australasian Bone Marrow Transplant Recipient Registry (ABMTRR). </w:t>
                      </w:r>
                    </w:p>
                    <w:p w14:paraId="56094A1A" w14:textId="40EF6656" w:rsidR="005004FB" w:rsidRDefault="005004FB" w:rsidP="005004FB">
                      <w:pPr>
                        <w:pStyle w:val="ListParagraph"/>
                        <w:widowControl w:val="0"/>
                        <w:numPr>
                          <w:ilvl w:val="0"/>
                          <w:numId w:val="14"/>
                        </w:numPr>
                        <w:spacing w:line="256" w:lineRule="auto"/>
                        <w:rPr>
                          <w:rFonts w:eastAsiaTheme="minorEastAsia"/>
                        </w:rPr>
                      </w:pPr>
                      <w:r>
                        <w:rPr>
                          <w:rFonts w:eastAsiaTheme="minorEastAsia"/>
                        </w:rPr>
                        <w:t>Full review of clinical effectiveness, cost effectiveness and budget impact no later than 2 years post the commencement of public subsidy.</w:t>
                      </w:r>
                      <w:r w:rsidR="006D690B">
                        <w:rPr>
                          <w:vertAlign w:val="superscript"/>
                        </w:rPr>
                        <w:t>22</w:t>
                      </w:r>
                    </w:p>
                    <w:p w14:paraId="0BC83916" w14:textId="60E1555E" w:rsidR="005004FB" w:rsidRPr="00321AD6" w:rsidRDefault="005004FB" w:rsidP="00900931">
                      <w:pPr>
                        <w:widowControl w:val="0"/>
                        <w:rPr>
                          <w:rFonts w:eastAsiaTheme="minorEastAsia"/>
                        </w:rPr>
                      </w:pPr>
                      <w:r>
                        <w:rPr>
                          <w:rFonts w:eastAsiaTheme="minorEastAsia"/>
                        </w:rPr>
                        <w:t>Separate funding arrangements for highly specialised therapies (including Kymriah) were negotiated as part of the 2020-25 National Health Reform Agreement. Kymriah is funded under those arrangements.</w:t>
                      </w:r>
                    </w:p>
                  </w:txbxContent>
                </v:textbox>
                <w10:anchorlock/>
              </v:shape>
            </w:pict>
          </mc:Fallback>
        </mc:AlternateContent>
      </w:r>
      <w:r w:rsidR="00AB2697">
        <w:rPr>
          <w:noProof/>
        </w:rPr>
        <mc:AlternateContent>
          <mc:Choice Requires="wps">
            <w:drawing>
              <wp:inline distT="0" distB="0" distL="0" distR="0" wp14:anchorId="5FDECC8B" wp14:editId="0159D13C">
                <wp:extent cx="5684520" cy="1404620"/>
                <wp:effectExtent l="0" t="0" r="11430" b="2730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5BCE8C9D" w14:textId="77777777" w:rsidR="00AB2697" w:rsidRDefault="00AB2697" w:rsidP="00AB2697">
                            <w:pPr>
                              <w:pStyle w:val="Heading4"/>
                              <w:keepNext w:val="0"/>
                              <w:keepLines w:val="0"/>
                              <w:widowControl w:val="0"/>
                              <w:rPr>
                                <w:rFonts w:asciiTheme="minorHAnsi" w:eastAsiaTheme="minorEastAsia" w:hAnsiTheme="minorHAnsi" w:cstheme="minorBidi"/>
                                <w:b/>
                                <w:color w:val="auto"/>
                                <w:lang w:val="en-AU"/>
                              </w:rPr>
                            </w:pPr>
                            <w:r>
                              <w:rPr>
                                <w:rFonts w:asciiTheme="minorHAnsi" w:eastAsiaTheme="minorEastAsia" w:hAnsiTheme="minorHAnsi" w:cstheme="minorBidi"/>
                                <w:b/>
                                <w:color w:val="auto"/>
                                <w:lang w:val="en-AU"/>
                              </w:rPr>
                              <w:t>Yescarta</w:t>
                            </w:r>
                          </w:p>
                          <w:p w14:paraId="1DF538E8" w14:textId="77777777" w:rsidR="00AB2697" w:rsidRPr="00321AD6" w:rsidRDefault="00AB2697" w:rsidP="00AB2697">
                            <w:pPr>
                              <w:spacing w:before="0"/>
                              <w:rPr>
                                <w:rFonts w:eastAsiaTheme="minorEastAsia"/>
                              </w:rPr>
                            </w:pPr>
                            <w:r>
                              <w:rPr>
                                <w:rFonts w:eastAsiaTheme="minorEastAsia"/>
                              </w:rPr>
                              <w:t xml:space="preserve">Yescarta was considered by MSAC at its November 2019 meeting and out of session in January 2020 for the treatment of relapsed or refractory diffuse large B cell lymphoma, primary mediastinal b cell lymphoma and transformed follicular lymphoma. MSAC supported joint Commonwealth and State/Territory funding through the Highly Specialised Therapies Funding arrangements under the National Health Reform Agreement. MSAC considered several measures would need to be implemented to contain the risks associated with public funding including those mentioned above for Kymriah. </w:t>
                            </w:r>
                            <w:r>
                              <w:rPr>
                                <w:rFonts w:eastAsiaTheme="minorEastAsia"/>
                              </w:rPr>
                              <w:br/>
                            </w:r>
                          </w:p>
                        </w:txbxContent>
                      </wps:txbx>
                      <wps:bodyPr rot="0" vert="horz" wrap="square" lIns="91440" tIns="45720" rIns="91440" bIns="45720" anchor="t" anchorCtr="0">
                        <a:spAutoFit/>
                      </wps:bodyPr>
                    </wps:wsp>
                  </a:graphicData>
                </a:graphic>
              </wp:inline>
            </w:drawing>
          </mc:Choice>
          <mc:Fallback>
            <w:pict>
              <v:shape w14:anchorId="5FDECC8B" id="Text Box 26" o:spid="_x0000_s1030" type="#_x0000_t202" style="width:447.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adLQIAAKMEAAAOAAAAZHJzL2Uyb0RvYy54bWy8VNuO2jAQfa/Uf7D8XhJQoGxEWG3ZUlXa&#10;XqTtfoBxHGLV9ri2IaFf37ETWNp9q6ryYHlmnDNn5sywuu21IkfhvART0ekkp0QYDrU0+4o+fdu+&#10;WVLiAzM1U2BERU/C09v161erzpZiBi2oWjiCIMaXna1oG4Its8zzVmjmJ2CFwWADTrOApttntWMd&#10;omuVzfJ8kXXgauuAC+/Rez8E6TrhN43g4UvTeBGIqihyC+l06dzFM1uvWLl3zLaSjzTYX7DQTBpM&#10;eoG6Z4GRg5MvoLTkDjw0YcJBZ9A0kotUA1Yzzf+o5rFlVqRasDneXtrk/x0s/3x8tF8dCf076FHA&#10;VIS3D8C/e2Jg0zKzF3fOQdcKVmPiaWxZ1llfjp/GVvvSR5Bd9wlqFJkdAiSgvnE6dgXrJIiOApwu&#10;TRd9IByd88WymM8wxDE2LfJigUbMwcrz59b58EGAJvFSUYeqJnh2fPBheHp+ErN5ULLeSqWSESdJ&#10;bJQjR4YzwDgXJgxlqoNGvoO/yPE3TAO6cWYG9+LsRjZpJiNS4vZbEmVIV9Gb+Ww+9O+/E9Ay4Bop&#10;qSu6jJTHUqJm702dhjwwqYY71qLMKGLUbVAw9LueyLqiRWxD1HQH9QlVdTBsDW45XlpwPynpcGMq&#10;6n8cmBOUqI8GJ+NmWhRxxZJRzN9GTd11ZHcdYYYjVEUDJcN1E9JaJs3sHU7QViZtn5mMlHETkgLj&#10;1sZVu7bTq+f/lvUvAAAA//8DAFBLAwQUAAYACAAAACEA+TwJlNsAAAAFAQAADwAAAGRycy9kb3du&#10;cmV2LnhtbEyPQUvDQBCF70L/wzIFb3bThdY2zaaUgheLolV6nmbHJLg7G7LbJv57Vy96GXi8x3vf&#10;FNvRWXGlPrSeNcxnGQjiypuWaw3vbw93KxAhIhu0nknDFwXYlpObAnPjB36l6zHWIpVwyFFDE2OX&#10;SxmqhhyGme+Ik/fhe4cxyb6WpschlTsrVZYtpcOW00KDHe0bqj6PF6fBDKiMWoeDfT48hkX3ou6f&#10;lietb6fjbgMi0hj/wvCDn9ChTExnf2EThNWQHom/N3mr9UKBOGtQaq5AloX8T19+AwAA//8DAFBL&#10;AQItABQABgAIAAAAIQC2gziS/gAAAOEBAAATAAAAAAAAAAAAAAAAAAAAAABbQ29udGVudF9UeXBl&#10;c10ueG1sUEsBAi0AFAAGAAgAAAAhADj9If/WAAAAlAEAAAsAAAAAAAAAAAAAAAAALwEAAF9yZWxz&#10;Ly5yZWxzUEsBAi0AFAAGAAgAAAAhADaM5p0tAgAAowQAAA4AAAAAAAAAAAAAAAAALgIAAGRycy9l&#10;Mm9Eb2MueG1sUEsBAi0AFAAGAAgAAAAhAPk8CZTbAAAABQEAAA8AAAAAAAAAAAAAAAAAhwQAAGRy&#10;cy9kb3ducmV2LnhtbFBLBQYAAAAABAAEAPMAAACPBQAAAAA=&#10;" fillcolor="#b4c6e7 [1300]" strokecolor="#b4c6e7 [1300]">
                <v:textbox style="mso-fit-shape-to-text:t">
                  <w:txbxContent>
                    <w:p w14:paraId="5BCE8C9D" w14:textId="77777777" w:rsidR="00AB2697" w:rsidRDefault="00AB2697" w:rsidP="00AB2697">
                      <w:pPr>
                        <w:pStyle w:val="Heading4"/>
                        <w:keepNext w:val="0"/>
                        <w:keepLines w:val="0"/>
                        <w:widowControl w:val="0"/>
                        <w:rPr>
                          <w:rFonts w:asciiTheme="minorHAnsi" w:eastAsiaTheme="minorEastAsia" w:hAnsiTheme="minorHAnsi" w:cstheme="minorBidi"/>
                          <w:b/>
                          <w:color w:val="auto"/>
                          <w:lang w:val="en-AU"/>
                        </w:rPr>
                      </w:pPr>
                      <w:r>
                        <w:rPr>
                          <w:rFonts w:asciiTheme="minorHAnsi" w:eastAsiaTheme="minorEastAsia" w:hAnsiTheme="minorHAnsi" w:cstheme="minorBidi"/>
                          <w:b/>
                          <w:color w:val="auto"/>
                          <w:lang w:val="en-AU"/>
                        </w:rPr>
                        <w:t>Yescarta</w:t>
                      </w:r>
                    </w:p>
                    <w:p w14:paraId="1DF538E8" w14:textId="77777777" w:rsidR="00AB2697" w:rsidRPr="00321AD6" w:rsidRDefault="00AB2697" w:rsidP="00AB2697">
                      <w:pPr>
                        <w:spacing w:before="0"/>
                        <w:rPr>
                          <w:rFonts w:eastAsiaTheme="minorEastAsia"/>
                        </w:rPr>
                      </w:pPr>
                      <w:r>
                        <w:rPr>
                          <w:rFonts w:eastAsiaTheme="minorEastAsia"/>
                        </w:rPr>
                        <w:t xml:space="preserve">Yescarta was considered by MSAC at its November 2019 meeting and out of session in January 2020 for the treatment of relapsed or refractory diffuse large B cell lymphoma, primary mediastinal b cell lymphoma and transformed follicular lymphoma. MSAC supported joint Commonwealth and State/Territory funding through the Highly Specialised Therapies Funding arrangements under the National Health Reform Agreement. MSAC considered several measures would need to be implemented to contain the risks associated with public funding including those mentioned above for Kymriah. </w:t>
                      </w:r>
                      <w:r>
                        <w:rPr>
                          <w:rFonts w:eastAsiaTheme="minorEastAsia"/>
                        </w:rPr>
                        <w:br/>
                      </w:r>
                    </w:p>
                  </w:txbxContent>
                </v:textbox>
                <w10:anchorlock/>
              </v:shape>
            </w:pict>
          </mc:Fallback>
        </mc:AlternateContent>
      </w:r>
      <w:r w:rsidR="00F065E2" w:rsidRPr="00E346A4">
        <w:rPr>
          <w:rStyle w:val="FootnoteReference"/>
          <w:rFonts w:eastAsiaTheme="minorEastAsia"/>
          <w:color w:val="FFFFFF" w:themeColor="background1"/>
        </w:rPr>
        <w:footnoteReference w:id="22"/>
      </w:r>
      <w:r w:rsidR="00F065E2" w:rsidRPr="00E346A4">
        <w:rPr>
          <w:rStyle w:val="FootnoteReference"/>
          <w:rFonts w:eastAsiaTheme="minorEastAsia"/>
          <w:color w:val="FFFFFF" w:themeColor="background1"/>
        </w:rPr>
        <w:footnoteReference w:id="23"/>
      </w:r>
    </w:p>
    <w:p w14:paraId="054A0191" w14:textId="2F450EF3" w:rsidR="000B2A6F" w:rsidRDefault="00CC2FB5" w:rsidP="000B2A6F">
      <w:pPr>
        <w:pStyle w:val="Heading2"/>
      </w:pPr>
      <w:bookmarkStart w:id="124" w:name="_Toc158900425"/>
      <w:r>
        <w:t>Challenges identified for</w:t>
      </w:r>
      <w:r w:rsidR="000B2A6F">
        <w:t xml:space="preserve"> </w:t>
      </w:r>
      <w:r w:rsidR="00277E77">
        <w:t xml:space="preserve">assessment, </w:t>
      </w:r>
      <w:r w:rsidR="00A81872">
        <w:t>funding,</w:t>
      </w:r>
      <w:r w:rsidR="000B2A6F">
        <w:t xml:space="preserve"> and implementation of </w:t>
      </w:r>
      <w:r>
        <w:t>a</w:t>
      </w:r>
      <w:r w:rsidR="000B2A6F">
        <w:t>dvanced therapies</w:t>
      </w:r>
      <w:bookmarkEnd w:id="124"/>
    </w:p>
    <w:p w14:paraId="1ABE1498" w14:textId="384C6D98" w:rsidR="007164B4" w:rsidRDefault="007164B4" w:rsidP="00A167C3">
      <w:r>
        <w:t>The advanced therapies considered for funding</w:t>
      </w:r>
      <w:r w:rsidR="005200D5">
        <w:t xml:space="preserve"> to date present complexities of</w:t>
      </w:r>
      <w:r>
        <w:t xml:space="preserve"> high cost, </w:t>
      </w:r>
      <w:r w:rsidR="0048715C">
        <w:t>greater uncertainty about the health outcomes they deliver</w:t>
      </w:r>
      <w:r>
        <w:t xml:space="preserve"> and complex and resource intensive implementation.</w:t>
      </w:r>
      <w:r w:rsidR="0048715C" w:rsidRPr="00F056B7">
        <w:rPr>
          <w:vertAlign w:val="superscript"/>
        </w:rPr>
        <w:footnoteReference w:id="24"/>
      </w:r>
      <w:r w:rsidR="0048715C" w:rsidRPr="00F056B7">
        <w:rPr>
          <w:vertAlign w:val="superscript"/>
        </w:rPr>
        <w:t xml:space="preserve"> </w:t>
      </w:r>
      <w:r>
        <w:t xml:space="preserve"> </w:t>
      </w:r>
    </w:p>
    <w:p w14:paraId="6C005288" w14:textId="6F93F8D6" w:rsidR="007164B4" w:rsidRDefault="007164B4" w:rsidP="00E346A4">
      <w:pPr>
        <w:pStyle w:val="Heading3"/>
        <w:ind w:left="709"/>
      </w:pPr>
      <w:r>
        <w:t>Assessment and funding pathways</w:t>
      </w:r>
    </w:p>
    <w:p w14:paraId="2B0F35DD" w14:textId="77777777" w:rsidR="00CF75EF" w:rsidRDefault="00CF75EF" w:rsidP="00CF75EF">
      <w:r>
        <w:rPr>
          <w:lang w:val="en-AU" w:eastAsia="en-AU"/>
        </w:rPr>
        <w:t>Through the Inquiry, industry stakeholders expressed concern that cell and gene therapies are assessed by different HTA committees (MSAC or PBAC) based on treatment setting. I</w:t>
      </w:r>
      <w:r>
        <w:t xml:space="preserve">ndustry stakeholders </w:t>
      </w:r>
      <w:r>
        <w:rPr>
          <w:lang w:val="en-AU" w:eastAsia="en-AU"/>
        </w:rPr>
        <w:t>commented that it can be challenging for the sponsors to determine the appropriate pathways in cases where there may be potential for provision in either setting.</w:t>
      </w:r>
      <w:r>
        <w:rPr>
          <w:rStyle w:val="FootnoteReference"/>
          <w:lang w:val="en-AU" w:eastAsia="en-AU"/>
        </w:rPr>
        <w:footnoteReference w:id="25"/>
      </w:r>
    </w:p>
    <w:p w14:paraId="01922FFD" w14:textId="57B2B9DC" w:rsidR="00CF75EF" w:rsidRDefault="00FB12D7" w:rsidP="00CF75EF">
      <w:r>
        <w:t>Applications for funding of g</w:t>
      </w:r>
      <w:r w:rsidR="00CF75EF">
        <w:t xml:space="preserve">ene therapies </w:t>
      </w:r>
      <w:r>
        <w:t>have been made for</w:t>
      </w:r>
      <w:r w:rsidR="00CF75EF">
        <w:t xml:space="preserve"> NHRA HST </w:t>
      </w:r>
      <w:r>
        <w:t>arrangements</w:t>
      </w:r>
      <w:r w:rsidR="00CF75EF">
        <w:t xml:space="preserve">, the PBS, </w:t>
      </w:r>
      <w:r>
        <w:t>and</w:t>
      </w:r>
      <w:r w:rsidR="00CF75EF">
        <w:t xml:space="preserve"> under the National Blood Arrangements. </w:t>
      </w:r>
    </w:p>
    <w:p w14:paraId="6047A213" w14:textId="375DB680" w:rsidR="00CF75EF" w:rsidRDefault="00CF75EF" w:rsidP="00CF75EF">
      <w:r>
        <w:t xml:space="preserve">The assessment and funding pathway depend primarily on the treatment setting.  Whether the treatments are eligible for funding under the PBS, require in-patient administration in a public hospital or potentially meet the definition of ‘blood related product’ or ‘blood related service’ under the National Blood Arrangement are all </w:t>
      </w:r>
      <w:r w:rsidR="008E03B0">
        <w:t>considered</w:t>
      </w:r>
      <w:r>
        <w:t xml:space="preserve"> when determining the appropriate funding source and therefore assessment pathway. </w:t>
      </w:r>
    </w:p>
    <w:p w14:paraId="37219057" w14:textId="7CFB62E8" w:rsidR="00CF75EF" w:rsidRDefault="00CF75EF" w:rsidP="00CF75EF">
      <w:r>
        <w:t xml:space="preserve">Stakeholders have also raised that current arrangements do not </w:t>
      </w:r>
      <w:r w:rsidR="006055E0">
        <w:t>provide</w:t>
      </w:r>
      <w:r w:rsidR="006467BD">
        <w:t xml:space="preserve"> for</w:t>
      </w:r>
      <w:r>
        <w:t xml:space="preserve"> circumstances where a treatment ceases to meet the definition of HST under the NHRA</w:t>
      </w:r>
      <w:r w:rsidR="00B457CB">
        <w:t>,</w:t>
      </w:r>
      <w:r>
        <w:t xml:space="preserve"> such as change from the inpatient to the outpatient setting or decrease in cost. The National Health Reform Agreement does not state how or if funding arrangements would change in these circumstances</w:t>
      </w:r>
      <w:r w:rsidR="00B457CB">
        <w:t>,</w:t>
      </w:r>
      <w:r>
        <w:t xml:space="preserve"> or whether a new health technology assessment would be required to deliver funding through alternative arrangements. Inconsistency could also arise if a class of treatments or treatments for the same indication are assessed and funded through different pathways.</w:t>
      </w:r>
    </w:p>
    <w:p w14:paraId="1DAB2BF4" w14:textId="476F46E3" w:rsidR="00CF75EF" w:rsidRDefault="00CF75EF" w:rsidP="00CF75EF">
      <w:r>
        <w:t>An example of a HST that has potential to move from the inpatient setting to the outpatient setting is CAR</w:t>
      </w:r>
      <w:r w:rsidR="00B457CB">
        <w:t xml:space="preserve"> </w:t>
      </w:r>
      <w:r>
        <w:t>T cell therapies. Although currently administered in the inpatient setting, delivering CAR</w:t>
      </w:r>
      <w:r w:rsidR="00B457CB">
        <w:t xml:space="preserve"> </w:t>
      </w:r>
      <w:r>
        <w:t>T cell therapy in the outpatient setting is being contemplated. To date this has not been adopted as standard clinical practice for multiple reasons, including logistic and reimbursement issues and patient safety concerns.</w:t>
      </w:r>
      <w:r>
        <w:rPr>
          <w:rStyle w:val="FootnoteReference"/>
        </w:rPr>
        <w:footnoteReference w:id="26"/>
      </w:r>
      <w:r>
        <w:t xml:space="preserve"> </w:t>
      </w:r>
    </w:p>
    <w:p w14:paraId="08BBAECA" w14:textId="6272672C" w:rsidR="00877206" w:rsidRDefault="00CC0BD1" w:rsidP="00E346A4">
      <w:pPr>
        <w:pStyle w:val="Heading3"/>
        <w:ind w:left="709"/>
      </w:pPr>
      <w:r>
        <w:t>Evaluation</w:t>
      </w:r>
    </w:p>
    <w:p w14:paraId="6A58A9FD" w14:textId="751BDDC6" w:rsidR="006A0EC6" w:rsidRPr="006A0EC6" w:rsidRDefault="006A0EC6" w:rsidP="006A0EC6">
      <w:pPr>
        <w:pStyle w:val="Heading4"/>
      </w:pPr>
      <w:r>
        <w:t>Evidence</w:t>
      </w:r>
    </w:p>
    <w:p w14:paraId="2D60A423" w14:textId="7DE645C7" w:rsidR="006D0184" w:rsidRDefault="008638D6" w:rsidP="00550938">
      <w:r>
        <w:t>A study involving 22 European HTA organisations found that advanced therapies were</w:t>
      </w:r>
      <w:r w:rsidR="00CC0BD1">
        <w:t xml:space="preserve"> </w:t>
      </w:r>
      <w:r>
        <w:t>considered the most challenging to evaluate</w:t>
      </w:r>
      <w:r w:rsidR="00CC0BD1">
        <w:t>.</w:t>
      </w:r>
      <w:r w:rsidR="00CC0BD1" w:rsidRPr="00805149">
        <w:rPr>
          <w:vertAlign w:val="superscript"/>
        </w:rPr>
        <w:footnoteReference w:id="27"/>
      </w:r>
      <w:r w:rsidR="00CC0BD1">
        <w:t xml:space="preserve"> The main challenge identified for evaluating these therapies is the lack of high-quality data and high uncertainty associated with the design of clinical trials used to determine the safety and effectiveness of these therapies.</w:t>
      </w:r>
      <w:r w:rsidR="00CC0BD1" w:rsidRPr="00805149">
        <w:rPr>
          <w:vertAlign w:val="superscript"/>
        </w:rPr>
        <w:footnoteReference w:id="28"/>
      </w:r>
      <w:r w:rsidR="00221ABA">
        <w:t xml:space="preserve"> </w:t>
      </w:r>
      <w:r w:rsidR="00550938">
        <w:t>The lack of high-quality data and clinical uncertainty leads to challenges</w:t>
      </w:r>
      <w:r w:rsidR="00913465">
        <w:t xml:space="preserve"> in</w:t>
      </w:r>
      <w:r w:rsidR="006D0184">
        <w:t xml:space="preserve">: </w:t>
      </w:r>
    </w:p>
    <w:p w14:paraId="42BFAA31" w14:textId="6518F36B" w:rsidR="006D0184" w:rsidRDefault="00CF75EF" w:rsidP="00E346A4">
      <w:pPr>
        <w:pStyle w:val="ListBullet"/>
        <w:tabs>
          <w:tab w:val="clear" w:pos="360"/>
          <w:tab w:val="num" w:pos="720"/>
        </w:tabs>
        <w:ind w:left="720"/>
      </w:pPr>
      <w:r>
        <w:t>d</w:t>
      </w:r>
      <w:r w:rsidR="006D0184">
        <w:t xml:space="preserve">etermining whether new therapies offer an improvement over available alternatives, </w:t>
      </w:r>
    </w:p>
    <w:p w14:paraId="2A52E372" w14:textId="58CB0A4B" w:rsidR="006D0184" w:rsidRDefault="00CF75EF" w:rsidP="00E346A4">
      <w:pPr>
        <w:pStyle w:val="ListBullet"/>
        <w:tabs>
          <w:tab w:val="clear" w:pos="360"/>
          <w:tab w:val="num" w:pos="720"/>
        </w:tabs>
        <w:ind w:left="720"/>
      </w:pPr>
      <w:r>
        <w:t>d</w:t>
      </w:r>
      <w:r w:rsidR="006D0184">
        <w:t xml:space="preserve">etermining </w:t>
      </w:r>
      <w:r w:rsidR="00550938">
        <w:t xml:space="preserve">cost effectiveness and </w:t>
      </w:r>
    </w:p>
    <w:p w14:paraId="1469C5D9" w14:textId="5E52D219" w:rsidR="00550938" w:rsidRDefault="00550938" w:rsidP="00E346A4">
      <w:pPr>
        <w:pStyle w:val="ListBullet"/>
        <w:tabs>
          <w:tab w:val="clear" w:pos="360"/>
          <w:tab w:val="num" w:pos="720"/>
        </w:tabs>
        <w:ind w:left="720"/>
      </w:pPr>
      <w:r>
        <w:t xml:space="preserve">decision making.  </w:t>
      </w:r>
    </w:p>
    <w:p w14:paraId="5BD242EC" w14:textId="7A7206BE" w:rsidR="006A0EC6" w:rsidRDefault="006A0EC6" w:rsidP="006A0EC6">
      <w:r>
        <w:t xml:space="preserve">The </w:t>
      </w:r>
      <w:r w:rsidR="006D0184">
        <w:t>genetic</w:t>
      </w:r>
      <w:r>
        <w:t xml:space="preserve"> conditions that are treated by advanced therapies are often rare to ultra-rare</w:t>
      </w:r>
      <w:r w:rsidR="00B457CB">
        <w:t>,</w:t>
      </w:r>
      <w:r>
        <w:t xml:space="preserve"> resulting in small numbers of participants in trials. The trials relied on by the PBAC for nusinersen for example contained 121 participants (for infantile-onset SMA) and 126 participants (for childhood onset SMA). </w:t>
      </w:r>
    </w:p>
    <w:p w14:paraId="2C5E46DB" w14:textId="1E7DD666" w:rsidR="006A0EC6" w:rsidRDefault="006A0EC6" w:rsidP="006A0EC6">
      <w:r>
        <w:t>The duration of the clinical trials is</w:t>
      </w:r>
      <w:r w:rsidR="00550938">
        <w:t xml:space="preserve"> also</w:t>
      </w:r>
      <w:r>
        <w:t xml:space="preserve"> much shorter than the claimed duration of effect. The clinical trials relied on for nusinersen ran for 13 months and 15 months respectively</w:t>
      </w:r>
      <w:r w:rsidR="009A7E09">
        <w:t>,</w:t>
      </w:r>
      <w:r w:rsidR="00B457CB">
        <w:t xml:space="preserve"> whereas the </w:t>
      </w:r>
      <w:r>
        <w:t xml:space="preserve">duration of treatment </w:t>
      </w:r>
      <w:r w:rsidR="006D0184">
        <w:t>could be</w:t>
      </w:r>
      <w:r>
        <w:t xml:space="preserve"> for a patient’s lifetime. </w:t>
      </w:r>
    </w:p>
    <w:p w14:paraId="2CA03254" w14:textId="7EAEC19B" w:rsidR="00D41B0F" w:rsidRDefault="00550938" w:rsidP="006A0EC6">
      <w:r>
        <w:t>Notwithstanding small numbers in trials</w:t>
      </w:r>
      <w:r w:rsidR="00B457CB">
        <w:t>,</w:t>
      </w:r>
      <w:r>
        <w:t xml:space="preserve"> gene therapies and gene silencing </w:t>
      </w:r>
      <w:r w:rsidR="004B0F50">
        <w:t>oligonucleotides</w:t>
      </w:r>
      <w:r>
        <w:t xml:space="preserve"> have been created to treat the most common genetic alterations in patients with </w:t>
      </w:r>
      <w:r w:rsidR="00A81872">
        <w:t>genetic</w:t>
      </w:r>
      <w:r>
        <w:t xml:space="preserve"> diseases. Methods for producing individualised therapies are being developed to enable treatment of patients with rarer gene alterations that cause the same disease. It is unlikely that for each rare gene alteration there will be </w:t>
      </w:r>
      <w:r w:rsidR="00CD78D3">
        <w:t>enough participants</w:t>
      </w:r>
      <w:r>
        <w:t xml:space="preserve"> to generate sufficiently robust evidence to estimate long term safety and effectiveness. </w:t>
      </w:r>
    </w:p>
    <w:p w14:paraId="11464708" w14:textId="77777777" w:rsidR="00D41B0F" w:rsidRDefault="00D41B0F">
      <w:pPr>
        <w:spacing w:before="0" w:after="160"/>
      </w:pPr>
      <w:r>
        <w:br w:type="page"/>
      </w:r>
    </w:p>
    <w:p w14:paraId="37D10159" w14:textId="77777777" w:rsidR="006A0EC6" w:rsidRDefault="006A0EC6" w:rsidP="00BB1829">
      <w:pPr>
        <w:pStyle w:val="Heading4"/>
        <w:keepNext w:val="0"/>
        <w:keepLines w:val="0"/>
      </w:pPr>
      <w:r>
        <w:t>Cost</w:t>
      </w:r>
    </w:p>
    <w:p w14:paraId="682D793D" w14:textId="284222F3" w:rsidR="006A0EC6" w:rsidRDefault="006D0184" w:rsidP="00BB1829">
      <w:r>
        <w:t>Advanced therapies</w:t>
      </w:r>
      <w:r w:rsidR="006A0EC6">
        <w:t xml:space="preserve"> are the most expensive for a course of treatment. The PBS dispensed price for nusinersen is $110,000 for each dose to be delivered to patients every 4 months. The PBS dispensed price for Zolgensma is over $2.5 million for the single dose.</w:t>
      </w:r>
      <w:r>
        <w:rPr>
          <w:rStyle w:val="FootnoteReference"/>
        </w:rPr>
        <w:footnoteReference w:id="29"/>
      </w:r>
    </w:p>
    <w:p w14:paraId="7D050C4B" w14:textId="16A6909A" w:rsidR="000B2A6F" w:rsidRDefault="00CC0BD1" w:rsidP="007B6ADD">
      <w:pPr>
        <w:pStyle w:val="Heading3"/>
        <w:keepNext w:val="0"/>
        <w:keepLines w:val="0"/>
        <w:ind w:left="709"/>
      </w:pPr>
      <w:r>
        <w:t>Implementation</w:t>
      </w:r>
    </w:p>
    <w:p w14:paraId="7A06E800" w14:textId="38061EE8" w:rsidR="00FB11B1" w:rsidRDefault="00494EE4" w:rsidP="00BB1829">
      <w:pPr>
        <w:rPr>
          <w:lang w:val="en-AU" w:eastAsia="en-AU"/>
        </w:rPr>
      </w:pPr>
      <w:r>
        <w:rPr>
          <w:lang w:val="en-AU" w:eastAsia="en-AU"/>
        </w:rPr>
        <w:t>Recommendations for fun</w:t>
      </w:r>
      <w:r w:rsidR="0042489D">
        <w:rPr>
          <w:lang w:val="en-AU" w:eastAsia="en-AU"/>
        </w:rPr>
        <w:t>d</w:t>
      </w:r>
      <w:r>
        <w:rPr>
          <w:lang w:val="en-AU" w:eastAsia="en-AU"/>
        </w:rPr>
        <w:t>ing of gene</w:t>
      </w:r>
      <w:r w:rsidR="006D0184">
        <w:rPr>
          <w:lang w:val="en-AU" w:eastAsia="en-AU"/>
        </w:rPr>
        <w:t xml:space="preserve"> and gene modified cell therapies </w:t>
      </w:r>
      <w:r>
        <w:rPr>
          <w:lang w:val="en-AU" w:eastAsia="en-AU"/>
        </w:rPr>
        <w:t xml:space="preserve">have </w:t>
      </w:r>
      <w:r w:rsidR="00F3780A">
        <w:rPr>
          <w:lang w:val="en-AU" w:eastAsia="en-AU"/>
        </w:rPr>
        <w:t>included</w:t>
      </w:r>
      <w:r>
        <w:rPr>
          <w:lang w:val="en-AU" w:eastAsia="en-AU"/>
        </w:rPr>
        <w:t xml:space="preserve"> complex implementation requirements</w:t>
      </w:r>
      <w:r w:rsidR="00F3780A">
        <w:rPr>
          <w:lang w:val="en-AU" w:eastAsia="en-AU"/>
        </w:rPr>
        <w:t xml:space="preserve"> due to high cost</w:t>
      </w:r>
      <w:r w:rsidR="00FB11B1">
        <w:rPr>
          <w:lang w:val="en-AU" w:eastAsia="en-AU"/>
        </w:rPr>
        <w:t>,</w:t>
      </w:r>
      <w:r w:rsidR="00F3780A">
        <w:rPr>
          <w:lang w:val="en-AU" w:eastAsia="en-AU"/>
        </w:rPr>
        <w:t xml:space="preserve"> patient safety concerns</w:t>
      </w:r>
      <w:r w:rsidR="00FB11B1">
        <w:rPr>
          <w:lang w:val="en-AU" w:eastAsia="en-AU"/>
        </w:rPr>
        <w:t>, and uncertainty about long term safety and effectiveness</w:t>
      </w:r>
      <w:r w:rsidR="00F3780A">
        <w:rPr>
          <w:lang w:val="en-AU" w:eastAsia="en-AU"/>
        </w:rPr>
        <w:t xml:space="preserve">. </w:t>
      </w:r>
    </w:p>
    <w:p w14:paraId="2D696088" w14:textId="644C5681" w:rsidR="00494EE4" w:rsidRDefault="00F3780A" w:rsidP="00BB1829">
      <w:pPr>
        <w:rPr>
          <w:lang w:val="en-AU" w:eastAsia="en-AU"/>
        </w:rPr>
      </w:pPr>
      <w:r>
        <w:rPr>
          <w:lang w:val="en-AU" w:eastAsia="en-AU"/>
        </w:rPr>
        <w:t xml:space="preserve">Implementation requirements </w:t>
      </w:r>
      <w:r w:rsidR="00FB11B1">
        <w:rPr>
          <w:lang w:val="en-AU" w:eastAsia="en-AU"/>
        </w:rPr>
        <w:t>in recommendations for subsidy of cell and gene therapies have included</w:t>
      </w:r>
      <w:r w:rsidR="00494EE4">
        <w:rPr>
          <w:lang w:val="en-AU" w:eastAsia="en-AU"/>
        </w:rPr>
        <w:t xml:space="preserve">: </w:t>
      </w:r>
    </w:p>
    <w:p w14:paraId="229491B4" w14:textId="68338CBC" w:rsidR="00494EE4" w:rsidRDefault="00494EE4" w:rsidP="007B6ADD">
      <w:pPr>
        <w:pStyle w:val="ListBullet"/>
        <w:tabs>
          <w:tab w:val="clear" w:pos="360"/>
          <w:tab w:val="num" w:pos="720"/>
        </w:tabs>
        <w:ind w:left="720"/>
        <w:rPr>
          <w:lang w:val="en-AU" w:eastAsia="en-AU"/>
        </w:rPr>
      </w:pPr>
      <w:r w:rsidRPr="00494EE4">
        <w:rPr>
          <w:lang w:val="en-AU" w:eastAsia="en-AU"/>
        </w:rPr>
        <w:t xml:space="preserve">treatment delivered </w:t>
      </w:r>
      <w:r w:rsidR="0042489D">
        <w:rPr>
          <w:lang w:val="en-AU" w:eastAsia="en-AU"/>
        </w:rPr>
        <w:t>in specialist settings and appropriately credentialed facilities</w:t>
      </w:r>
    </w:p>
    <w:p w14:paraId="4B85BFE0" w14:textId="29A6BF6E" w:rsidR="0042489D" w:rsidRDefault="0042489D" w:rsidP="007B6ADD">
      <w:pPr>
        <w:pStyle w:val="ListBullet"/>
        <w:tabs>
          <w:tab w:val="clear" w:pos="360"/>
          <w:tab w:val="num" w:pos="720"/>
        </w:tabs>
        <w:ind w:left="720"/>
        <w:rPr>
          <w:lang w:val="en-AU" w:eastAsia="en-AU"/>
        </w:rPr>
      </w:pPr>
      <w:r>
        <w:rPr>
          <w:lang w:val="en-AU" w:eastAsia="en-AU"/>
        </w:rPr>
        <w:t>data on use and outcomes to be recorded and reported back to Commonwealth and state and territory governments</w:t>
      </w:r>
    </w:p>
    <w:p w14:paraId="7D0AAE15" w14:textId="5BD36397" w:rsidR="0042489D" w:rsidRDefault="0042489D" w:rsidP="007B6ADD">
      <w:pPr>
        <w:pStyle w:val="ListBullet"/>
        <w:tabs>
          <w:tab w:val="clear" w:pos="360"/>
          <w:tab w:val="num" w:pos="720"/>
        </w:tabs>
        <w:ind w:left="720"/>
        <w:rPr>
          <w:lang w:val="en-AU" w:eastAsia="en-AU"/>
        </w:rPr>
      </w:pPr>
      <w:r>
        <w:rPr>
          <w:lang w:val="en-AU" w:eastAsia="en-AU"/>
        </w:rPr>
        <w:t>outcomes based risk sharing arrangements</w:t>
      </w:r>
    </w:p>
    <w:p w14:paraId="33AD7F27" w14:textId="16186938" w:rsidR="0042489D" w:rsidRDefault="0042489D" w:rsidP="007B6ADD">
      <w:pPr>
        <w:pStyle w:val="ListBullet"/>
        <w:tabs>
          <w:tab w:val="clear" w:pos="360"/>
          <w:tab w:val="num" w:pos="720"/>
        </w:tabs>
        <w:ind w:left="720"/>
        <w:rPr>
          <w:lang w:val="en-AU" w:eastAsia="en-AU"/>
        </w:rPr>
      </w:pPr>
      <w:r>
        <w:rPr>
          <w:lang w:val="en-AU" w:eastAsia="en-AU"/>
        </w:rPr>
        <w:t xml:space="preserve">full review of clinical effectiveness, </w:t>
      </w:r>
      <w:r w:rsidR="00A81872">
        <w:rPr>
          <w:lang w:val="en-AU" w:eastAsia="en-AU"/>
        </w:rPr>
        <w:t>cost-effectiveness,</w:t>
      </w:r>
      <w:r>
        <w:rPr>
          <w:lang w:val="en-AU" w:eastAsia="en-AU"/>
        </w:rPr>
        <w:t xml:space="preserve"> and budget impact at a certain time after commencement.</w:t>
      </w:r>
    </w:p>
    <w:p w14:paraId="797E9062" w14:textId="556312E8" w:rsidR="000E68A5" w:rsidRDefault="000E68A5" w:rsidP="007B6ADD">
      <w:pPr>
        <w:pStyle w:val="ListBullet"/>
        <w:tabs>
          <w:tab w:val="clear" w:pos="360"/>
          <w:tab w:val="num" w:pos="720"/>
        </w:tabs>
        <w:ind w:left="720"/>
        <w:rPr>
          <w:lang w:val="en-AU" w:eastAsia="en-AU"/>
        </w:rPr>
      </w:pPr>
      <w:r>
        <w:rPr>
          <w:lang w:val="en-AU" w:eastAsia="en-AU"/>
        </w:rPr>
        <w:t>registries for collecting long-term safety and effectiveness data (whether disease-based or therapy-based registries are optimal is to be determined)</w:t>
      </w:r>
    </w:p>
    <w:p w14:paraId="418958FE" w14:textId="004C5836" w:rsidR="000E68A5" w:rsidRPr="000E68A5" w:rsidRDefault="000E68A5" w:rsidP="007B6ADD">
      <w:pPr>
        <w:pStyle w:val="ListBullet"/>
        <w:tabs>
          <w:tab w:val="clear" w:pos="360"/>
          <w:tab w:val="num" w:pos="720"/>
        </w:tabs>
        <w:ind w:left="720"/>
        <w:rPr>
          <w:lang w:val="en-AU" w:eastAsia="en-AU"/>
        </w:rPr>
      </w:pPr>
      <w:r>
        <w:rPr>
          <w:lang w:val="en-AU" w:eastAsia="en-AU"/>
        </w:rPr>
        <w:t>need to consider the retention of patient genetic data to inform the long-term analysis of safety and/or effectiveness (noting the period of mandated genetic data storage may be shorter than that for monitoring therapy outcomes).</w:t>
      </w:r>
    </w:p>
    <w:p w14:paraId="25704DB6" w14:textId="77777777" w:rsidR="00D52F69" w:rsidRPr="00D52F69" w:rsidRDefault="00D52F69" w:rsidP="00BB1829">
      <w:pPr>
        <w:rPr>
          <w:lang w:val="en-AU" w:eastAsia="en-AU"/>
        </w:rPr>
      </w:pPr>
      <w:r w:rsidRPr="00D52F69">
        <w:rPr>
          <w:lang w:val="en-AU" w:eastAsia="en-AU"/>
        </w:rPr>
        <w:t>For highly specialised therapies funded under the NHRA, states and territories decide when and where the therapy will be provided.</w:t>
      </w:r>
    </w:p>
    <w:p w14:paraId="7212501F" w14:textId="4A7761A3" w:rsidR="00F50E2C" w:rsidRDefault="00221ABA" w:rsidP="00BB1829">
      <w:pPr>
        <w:spacing w:line="240" w:lineRule="auto"/>
      </w:pPr>
      <w:r w:rsidRPr="00577AEC">
        <w:t xml:space="preserve">The anticipated increase in number and diversity of </w:t>
      </w:r>
      <w:r w:rsidR="00550938">
        <w:t>advanced therapies</w:t>
      </w:r>
      <w:r w:rsidRPr="00577AEC">
        <w:t xml:space="preserve"> </w:t>
      </w:r>
      <w:r w:rsidR="00F3780A">
        <w:t>to be marketed</w:t>
      </w:r>
      <w:r w:rsidRPr="00577AEC">
        <w:t xml:space="preserve"> in the future will present </w:t>
      </w:r>
      <w:r w:rsidR="004A6C6C">
        <w:t>significant resourcing challenges, particularly if</w:t>
      </w:r>
      <w:r w:rsidR="00326282">
        <w:t xml:space="preserve"> new data collections</w:t>
      </w:r>
      <w:r w:rsidRPr="00577AEC">
        <w:t xml:space="preserve"> are required for these products</w:t>
      </w:r>
      <w:r w:rsidR="004A6C6C">
        <w:t>.</w:t>
      </w:r>
      <w:r w:rsidRPr="00577AEC">
        <w:t xml:space="preserve"> </w:t>
      </w:r>
      <w:r w:rsidR="004A6C6C">
        <w:t>The formation of registries and</w:t>
      </w:r>
      <w:r w:rsidRPr="00577AEC">
        <w:t xml:space="preserve"> who is best placed to manage the</w:t>
      </w:r>
      <w:r w:rsidR="004A6C6C">
        <w:t>m</w:t>
      </w:r>
      <w:r w:rsidRPr="00577AEC">
        <w:t xml:space="preserve"> will require policy consideration. </w:t>
      </w:r>
      <w:r w:rsidR="00326282">
        <w:t>R</w:t>
      </w:r>
      <w:r>
        <w:t xml:space="preserve">egistry considerations for </w:t>
      </w:r>
      <w:r w:rsidR="00326282">
        <w:t>health technologies</w:t>
      </w:r>
      <w:r>
        <w:t xml:space="preserve"> will be discussed further in future</w:t>
      </w:r>
      <w:r w:rsidR="00326282">
        <w:t xml:space="preserve"> HTA Review</w:t>
      </w:r>
      <w:r>
        <w:t xml:space="preserve"> papers.</w:t>
      </w:r>
      <w:bookmarkStart w:id="125" w:name="_Toc128663698"/>
      <w:bookmarkStart w:id="126" w:name="_Toc128663699"/>
      <w:bookmarkStart w:id="127" w:name="_Toc128475740"/>
      <w:bookmarkStart w:id="128" w:name="_Toc128478629"/>
      <w:bookmarkStart w:id="129" w:name="_Toc128487410"/>
      <w:bookmarkStart w:id="130" w:name="_Toc128487497"/>
      <w:bookmarkStart w:id="131" w:name="_Toc128492238"/>
      <w:bookmarkEnd w:id="125"/>
      <w:bookmarkEnd w:id="126"/>
      <w:bookmarkEnd w:id="127"/>
      <w:bookmarkEnd w:id="128"/>
      <w:bookmarkEnd w:id="129"/>
      <w:bookmarkEnd w:id="130"/>
      <w:bookmarkEnd w:id="131"/>
    </w:p>
    <w:p w14:paraId="7B65DAAF" w14:textId="5DCA999B" w:rsidR="00550938" w:rsidRDefault="008348CB" w:rsidP="007B6ADD">
      <w:pPr>
        <w:pStyle w:val="Heading2"/>
      </w:pPr>
      <w:bookmarkStart w:id="132" w:name="_Toc158900426"/>
      <w:r>
        <w:t>Tumour</w:t>
      </w:r>
      <w:r w:rsidR="00550938">
        <w:t>-agnostic cancer therapies</w:t>
      </w:r>
      <w:bookmarkEnd w:id="132"/>
    </w:p>
    <w:p w14:paraId="0D837752" w14:textId="30E3D335" w:rsidR="00550938" w:rsidRDefault="00550938" w:rsidP="00550938">
      <w:pPr>
        <w:widowControl w:val="0"/>
        <w:rPr>
          <w:vertAlign w:val="superscript"/>
        </w:rPr>
      </w:pPr>
      <w:r>
        <w:t>Historically, cancers have been classified and treated based on features observed in cancer tissue and</w:t>
      </w:r>
      <w:r w:rsidR="00B457CB">
        <w:t>/</w:t>
      </w:r>
      <w:r w:rsidR="00326282">
        <w:t>or</w:t>
      </w:r>
      <w:r>
        <w:t xml:space="preserve"> the organ the cancer cells have come from.</w:t>
      </w:r>
      <w:bookmarkStart w:id="133" w:name="_Ref125548187"/>
      <w:r>
        <w:rPr>
          <w:rStyle w:val="FootnoteReference"/>
        </w:rPr>
        <w:footnoteReference w:id="30"/>
      </w:r>
      <w:bookmarkEnd w:id="133"/>
      <w:r>
        <w:t xml:space="preserve"> These features of a cancer are often referred to as the cancer’s histology. New </w:t>
      </w:r>
      <w:r w:rsidR="00326282">
        <w:t xml:space="preserve">gene </w:t>
      </w:r>
      <w:r>
        <w:t xml:space="preserve">sequencing technologies have progressively led to grouping of different cancers </w:t>
      </w:r>
      <w:r w:rsidR="00A81872">
        <w:t>according to</w:t>
      </w:r>
      <w:r w:rsidR="00326282">
        <w:t xml:space="preserve"> </w:t>
      </w:r>
      <w:r w:rsidR="003709F0">
        <w:t xml:space="preserve">the presence of </w:t>
      </w:r>
      <w:r w:rsidR="00326282">
        <w:t>particular ‘biomarkers’ such as</w:t>
      </w:r>
      <w:r>
        <w:t xml:space="preserve"> </w:t>
      </w:r>
      <w:r w:rsidR="00326282">
        <w:t xml:space="preserve">specific </w:t>
      </w:r>
      <w:r>
        <w:t>gene alterations</w:t>
      </w:r>
      <w:r w:rsidR="00326282">
        <w:t>, expression of particular genes, or other proteins or molecules</w:t>
      </w:r>
      <w:r w:rsidR="003709F0">
        <w:t xml:space="preserve"> in the cancer or in other tissues</w:t>
      </w:r>
      <w:r>
        <w:t>.</w:t>
      </w:r>
      <w:r w:rsidRPr="00E240FB">
        <w:rPr>
          <w:vertAlign w:val="superscript"/>
        </w:rPr>
        <w:fldChar w:fldCharType="begin"/>
      </w:r>
      <w:r w:rsidRPr="00E240FB">
        <w:rPr>
          <w:vertAlign w:val="superscript"/>
        </w:rPr>
        <w:instrText xml:space="preserve"> NOTEREF _Ref125548187 \h </w:instrText>
      </w:r>
      <w:r>
        <w:rPr>
          <w:vertAlign w:val="superscript"/>
        </w:rPr>
        <w:instrText xml:space="preserve"> \* MERGEFORMAT </w:instrText>
      </w:r>
      <w:r w:rsidRPr="00E240FB">
        <w:rPr>
          <w:vertAlign w:val="superscript"/>
        </w:rPr>
      </w:r>
      <w:r w:rsidRPr="00E240FB">
        <w:rPr>
          <w:vertAlign w:val="superscript"/>
        </w:rPr>
        <w:fldChar w:fldCharType="separate"/>
      </w:r>
      <w:r w:rsidR="00395B47">
        <w:rPr>
          <w:vertAlign w:val="superscript"/>
        </w:rPr>
        <w:t>29</w:t>
      </w:r>
      <w:r w:rsidRPr="00E240FB">
        <w:rPr>
          <w:vertAlign w:val="superscript"/>
        </w:rPr>
        <w:fldChar w:fldCharType="end"/>
      </w:r>
      <w:r w:rsidRPr="00E240FB">
        <w:rPr>
          <w:vertAlign w:val="superscript"/>
        </w:rPr>
        <w:t xml:space="preserve"> </w:t>
      </w:r>
    </w:p>
    <w:p w14:paraId="07852F21" w14:textId="4CDFC171" w:rsidR="00550938" w:rsidRDefault="001C10C6" w:rsidP="00550938">
      <w:pPr>
        <w:widowControl w:val="0"/>
      </w:pPr>
      <w:r>
        <w:t>Tumour</w:t>
      </w:r>
      <w:r w:rsidR="00550938">
        <w:t>-agnostic therapies are cancer treatments that are authorised for use based</w:t>
      </w:r>
      <w:r w:rsidR="00B457CB">
        <w:t xml:space="preserve"> on</w:t>
      </w:r>
      <w:r w:rsidR="00550938">
        <w:t xml:space="preserve"> </w:t>
      </w:r>
      <w:r w:rsidR="00326282">
        <w:t>particular biomarkers in the</w:t>
      </w:r>
      <w:r w:rsidR="00550938">
        <w:t xml:space="preserve"> cancer</w:t>
      </w:r>
      <w:r w:rsidR="00326282">
        <w:t xml:space="preserve"> or other tissues</w:t>
      </w:r>
      <w:r w:rsidR="00B457CB">
        <w:t>,</w:t>
      </w:r>
      <w:r w:rsidR="00550938">
        <w:t xml:space="preserve"> rather than the cancer’s histology.</w:t>
      </w:r>
      <w:bookmarkStart w:id="134" w:name="_Ref125548240"/>
      <w:r w:rsidR="00550938">
        <w:rPr>
          <w:rStyle w:val="FootnoteReference"/>
        </w:rPr>
        <w:footnoteReference w:id="31"/>
      </w:r>
      <w:bookmarkEnd w:id="134"/>
      <w:r w:rsidR="00550938">
        <w:t xml:space="preserve"> A </w:t>
      </w:r>
      <w:r w:rsidR="00695D06" w:rsidRPr="001018CB">
        <w:rPr>
          <w:rStyle w:val="null1"/>
          <w:rFonts w:eastAsia="Times New Roman"/>
        </w:rPr>
        <w:t>tumour agnostic</w:t>
      </w:r>
      <w:r w:rsidR="00550938">
        <w:t xml:space="preserve"> therapy may be used to treat cancers from multiple different organs of origin if they carry the same </w:t>
      </w:r>
      <w:r w:rsidR="00326282">
        <w:t>biomarker</w:t>
      </w:r>
      <w:r w:rsidR="00550938">
        <w:t>.</w:t>
      </w:r>
      <w:bookmarkStart w:id="135" w:name="_Ref126935006"/>
      <w:r w:rsidR="00550938">
        <w:rPr>
          <w:rStyle w:val="FootnoteReference"/>
        </w:rPr>
        <w:footnoteReference w:id="32"/>
      </w:r>
      <w:bookmarkEnd w:id="135"/>
    </w:p>
    <w:p w14:paraId="1B6DAA28" w14:textId="77777777" w:rsidR="00550938" w:rsidRDefault="00550938" w:rsidP="007B6ADD">
      <w:pPr>
        <w:pStyle w:val="Heading3"/>
        <w:ind w:left="709"/>
      </w:pPr>
      <w:bookmarkStart w:id="136" w:name="_Toc128726204"/>
      <w:r>
        <w:t>Development, market approval and Australian funding status</w:t>
      </w:r>
      <w:bookmarkEnd w:id="136"/>
    </w:p>
    <w:p w14:paraId="5925779A" w14:textId="578EFA1D" w:rsidR="00550938" w:rsidRPr="00872238" w:rsidRDefault="004D38B3" w:rsidP="00550938">
      <w:r>
        <w:t xml:space="preserve">This analysis identified </w:t>
      </w:r>
      <w:r w:rsidR="002445C1">
        <w:t>six</w:t>
      </w:r>
      <w:r>
        <w:t xml:space="preserve"> therapies that have</w:t>
      </w:r>
      <w:r w:rsidR="003E6A81">
        <w:t xml:space="preserve"> proposed </w:t>
      </w:r>
      <w:r w:rsidR="001C10C6">
        <w:t>tumour</w:t>
      </w:r>
      <w:r w:rsidR="003E6A81">
        <w:t>-agnostic indications that have</w:t>
      </w:r>
      <w:r>
        <w:t xml:space="preserve"> market authorisation across Europe, the US and Australia</w:t>
      </w:r>
      <w:r w:rsidR="00550938">
        <w:t xml:space="preserve">. While </w:t>
      </w:r>
      <w:r w:rsidR="002C161C">
        <w:t>four</w:t>
      </w:r>
      <w:r w:rsidR="00550938">
        <w:t xml:space="preserve"> are approved for subsidy in Australia, only </w:t>
      </w:r>
      <w:r w:rsidR="00B457CB" w:rsidRPr="00AE09D0">
        <w:rPr>
          <w:rFonts w:cstheme="minorHAnsi"/>
          <w:color w:val="222222"/>
          <w:shd w:val="clear" w:color="auto" w:fill="FFFFFF"/>
        </w:rPr>
        <w:t>Vitrakvi</w:t>
      </w:r>
      <w:r w:rsidR="00B457CB">
        <w:t xml:space="preserve"> (</w:t>
      </w:r>
      <w:r w:rsidR="00F70DF8">
        <w:t>l</w:t>
      </w:r>
      <w:r w:rsidR="00550938">
        <w:t>arotrectinib</w:t>
      </w:r>
      <w:r w:rsidR="00B457CB">
        <w:t>)</w:t>
      </w:r>
      <w:r w:rsidR="00550938">
        <w:t xml:space="preserve"> is subsidised </w:t>
      </w:r>
      <w:r w:rsidR="003709F0">
        <w:t>based on the presence of a biomarker as</w:t>
      </w:r>
      <w:r w:rsidR="00550938">
        <w:t xml:space="preserve"> opposed to </w:t>
      </w:r>
      <w:r w:rsidR="003709F0">
        <w:t xml:space="preserve">cancer </w:t>
      </w:r>
      <w:r w:rsidR="00550938">
        <w:t xml:space="preserve">histology. </w:t>
      </w:r>
    </w:p>
    <w:p w14:paraId="0D6A3C32" w14:textId="519C1350" w:rsidR="00550938" w:rsidRPr="00330FBE" w:rsidRDefault="00550938" w:rsidP="00330FBE">
      <w:pPr>
        <w:rPr>
          <w:b/>
          <w:bCs/>
          <w:color w:val="002060"/>
        </w:rPr>
      </w:pPr>
      <w:bookmarkStart w:id="137" w:name="_Ref129102139"/>
      <w:r w:rsidRPr="00330FBE">
        <w:rPr>
          <w:b/>
          <w:bCs/>
          <w:color w:val="002060"/>
        </w:rPr>
        <w:t xml:space="preserve">Table </w:t>
      </w:r>
      <w:bookmarkEnd w:id="137"/>
      <w:r w:rsidR="004D38B3" w:rsidRPr="00330FBE">
        <w:rPr>
          <w:b/>
          <w:bCs/>
          <w:color w:val="002060"/>
        </w:rPr>
        <w:t>5</w:t>
      </w:r>
      <w:r w:rsidRPr="00330FBE">
        <w:rPr>
          <w:b/>
          <w:bCs/>
          <w:color w:val="002060"/>
        </w:rPr>
        <w:t xml:space="preserve"> </w:t>
      </w:r>
      <w:bookmarkStart w:id="138" w:name="_Hlk129695803"/>
      <w:r w:rsidR="001C10C6" w:rsidRPr="00330FBE">
        <w:rPr>
          <w:b/>
          <w:bCs/>
          <w:color w:val="002060"/>
        </w:rPr>
        <w:t>Tumour</w:t>
      </w:r>
      <w:r w:rsidRPr="00330FBE">
        <w:rPr>
          <w:b/>
          <w:bCs/>
          <w:color w:val="002060"/>
        </w:rPr>
        <w:t>-agnostic therapies</w:t>
      </w:r>
      <w:bookmarkEnd w:id="138"/>
    </w:p>
    <w:tbl>
      <w:tblPr>
        <w:tblStyle w:val="DepartmentofHealthtable"/>
        <w:tblW w:w="0" w:type="auto"/>
        <w:tblLook w:val="04A0" w:firstRow="1" w:lastRow="0" w:firstColumn="1" w:lastColumn="0" w:noHBand="0" w:noVBand="1"/>
      </w:tblPr>
      <w:tblGrid>
        <w:gridCol w:w="1496"/>
        <w:gridCol w:w="3921"/>
        <w:gridCol w:w="710"/>
        <w:gridCol w:w="655"/>
        <w:gridCol w:w="664"/>
        <w:gridCol w:w="1580"/>
      </w:tblGrid>
      <w:tr w:rsidR="004D38B3" w14:paraId="3C977FFA" w14:textId="77777777" w:rsidTr="003167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F93F732" w14:textId="1B411D1B" w:rsidR="00550938" w:rsidRPr="00AE09D0" w:rsidRDefault="008B7166" w:rsidP="006055E0">
            <w:pPr>
              <w:keepNext/>
              <w:keepLines/>
              <w:spacing w:before="0"/>
              <w:rPr>
                <w:rFonts w:asciiTheme="minorHAnsi" w:hAnsiTheme="minorHAnsi" w:cstheme="minorHAnsi"/>
                <w:sz w:val="20"/>
              </w:rPr>
            </w:pPr>
            <w:bookmarkStart w:id="139" w:name="_Hlk134101326"/>
            <w:r>
              <w:rPr>
                <w:rFonts w:asciiTheme="minorHAnsi" w:hAnsiTheme="minorHAnsi" w:cstheme="minorHAnsi"/>
                <w:b/>
                <w:bCs/>
                <w:sz w:val="20"/>
                <w:lang w:val="en-GB"/>
              </w:rPr>
              <w:t>Drug name (Brand name)</w:t>
            </w:r>
          </w:p>
        </w:tc>
        <w:tc>
          <w:tcPr>
            <w:tcW w:w="4123" w:type="dxa"/>
          </w:tcPr>
          <w:p w14:paraId="2A7F1960" w14:textId="212E6EB1" w:rsidR="00550938" w:rsidRPr="00AE09D0" w:rsidRDefault="003E6A81" w:rsidP="006055E0">
            <w:pPr>
              <w:keepNext/>
              <w:keepLine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b/>
                <w:bCs/>
                <w:sz w:val="20"/>
                <w:lang w:val="en-GB"/>
              </w:rPr>
              <w:t xml:space="preserve">Potential </w:t>
            </w:r>
            <w:r w:rsidR="001C10C6">
              <w:rPr>
                <w:rFonts w:asciiTheme="minorHAnsi" w:hAnsiTheme="minorHAnsi" w:cstheme="minorHAnsi"/>
                <w:b/>
                <w:bCs/>
                <w:sz w:val="20"/>
                <w:lang w:val="en-GB"/>
              </w:rPr>
              <w:t xml:space="preserve">tumour </w:t>
            </w:r>
            <w:r w:rsidR="00EB0494">
              <w:rPr>
                <w:rFonts w:asciiTheme="minorHAnsi" w:hAnsiTheme="minorHAnsi" w:cstheme="minorHAnsi"/>
                <w:b/>
                <w:bCs/>
                <w:sz w:val="20"/>
                <w:lang w:val="en-GB"/>
              </w:rPr>
              <w:t>agnostic</w:t>
            </w:r>
            <w:r w:rsidR="00D52F69">
              <w:rPr>
                <w:rFonts w:asciiTheme="minorHAnsi" w:hAnsiTheme="minorHAnsi" w:cstheme="minorHAnsi"/>
                <w:b/>
                <w:bCs/>
                <w:sz w:val="20"/>
                <w:lang w:val="en-GB"/>
              </w:rPr>
              <w:t xml:space="preserve"> </w:t>
            </w:r>
            <w:r w:rsidR="00EB0494">
              <w:rPr>
                <w:rFonts w:asciiTheme="minorHAnsi" w:hAnsiTheme="minorHAnsi" w:cstheme="minorHAnsi"/>
                <w:b/>
                <w:bCs/>
                <w:sz w:val="20"/>
                <w:lang w:val="en-GB"/>
              </w:rPr>
              <w:t>i</w:t>
            </w:r>
            <w:r w:rsidR="00550938" w:rsidRPr="00AE09D0">
              <w:rPr>
                <w:rFonts w:asciiTheme="minorHAnsi" w:hAnsiTheme="minorHAnsi" w:cstheme="minorHAnsi"/>
                <w:b/>
                <w:bCs/>
                <w:sz w:val="20"/>
                <w:lang w:val="en-GB"/>
              </w:rPr>
              <w:t>ndication</w:t>
            </w:r>
          </w:p>
        </w:tc>
        <w:tc>
          <w:tcPr>
            <w:tcW w:w="610" w:type="dxa"/>
          </w:tcPr>
          <w:p w14:paraId="68FD340A" w14:textId="0CF951DE" w:rsidR="00550938" w:rsidRPr="00AE09D0" w:rsidRDefault="00550938" w:rsidP="0077320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EMA</w:t>
            </w:r>
            <w:r w:rsidR="00CB7F01">
              <w:rPr>
                <w:rFonts w:asciiTheme="minorHAnsi" w:hAnsiTheme="minorHAnsi" w:cstheme="minorHAnsi"/>
                <w:b/>
                <w:bCs/>
                <w:sz w:val="20"/>
                <w:lang w:val="en-GB"/>
              </w:rPr>
              <w:t>*</w:t>
            </w:r>
          </w:p>
        </w:tc>
        <w:tc>
          <w:tcPr>
            <w:tcW w:w="560" w:type="dxa"/>
          </w:tcPr>
          <w:p w14:paraId="54C25E5D" w14:textId="53C6704A" w:rsidR="00550938" w:rsidRPr="00AE09D0" w:rsidRDefault="00550938" w:rsidP="0077320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FDA</w:t>
            </w:r>
            <w:r w:rsidR="00CB7F01">
              <w:rPr>
                <w:rFonts w:asciiTheme="minorHAnsi" w:hAnsiTheme="minorHAnsi" w:cstheme="minorHAnsi"/>
                <w:b/>
                <w:bCs/>
                <w:sz w:val="20"/>
                <w:lang w:val="en-GB"/>
              </w:rPr>
              <w:t>*</w:t>
            </w:r>
          </w:p>
        </w:tc>
        <w:tc>
          <w:tcPr>
            <w:tcW w:w="622" w:type="dxa"/>
          </w:tcPr>
          <w:p w14:paraId="3FAB03DB" w14:textId="7ECE9B06" w:rsidR="00550938" w:rsidRPr="00AE09D0" w:rsidRDefault="00550938" w:rsidP="0077320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TGA</w:t>
            </w:r>
            <w:r w:rsidR="00CB7F01">
              <w:rPr>
                <w:rFonts w:asciiTheme="minorHAnsi" w:hAnsiTheme="minorHAnsi" w:cstheme="minorHAnsi"/>
                <w:b/>
                <w:bCs/>
                <w:sz w:val="20"/>
                <w:lang w:val="en-GB"/>
              </w:rPr>
              <w:t>*</w:t>
            </w:r>
          </w:p>
        </w:tc>
        <w:tc>
          <w:tcPr>
            <w:tcW w:w="1615" w:type="dxa"/>
          </w:tcPr>
          <w:p w14:paraId="1EBFBBE2" w14:textId="00B9540A" w:rsidR="00550938" w:rsidRPr="00AE09D0" w:rsidRDefault="00550938" w:rsidP="0077320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AE09D0">
              <w:rPr>
                <w:rFonts w:asciiTheme="minorHAnsi" w:hAnsiTheme="minorHAnsi" w:cstheme="minorHAnsi"/>
                <w:b/>
                <w:bCs/>
                <w:sz w:val="20"/>
                <w:lang w:val="en-GB"/>
              </w:rPr>
              <w:t>Australian Subsidy</w:t>
            </w:r>
          </w:p>
        </w:tc>
      </w:tr>
      <w:tr w:rsidR="004D38B3" w14:paraId="388DFE3D" w14:textId="77777777" w:rsidTr="00316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15807A" w14:textId="317C5B68" w:rsidR="00550938" w:rsidRPr="00AE09D0" w:rsidRDefault="00550938" w:rsidP="006055E0">
            <w:pPr>
              <w:keepNext/>
              <w:keepLines/>
              <w:spacing w:before="0"/>
              <w:rPr>
                <w:rFonts w:cstheme="minorHAnsi"/>
              </w:rPr>
            </w:pPr>
            <w:r w:rsidRPr="00AE09D0">
              <w:rPr>
                <w:rFonts w:cstheme="minorHAnsi"/>
              </w:rPr>
              <w:t>Pembrolizumab (</w:t>
            </w:r>
            <w:r w:rsidRPr="00AE09D0">
              <w:rPr>
                <w:rFonts w:cstheme="minorHAnsi"/>
                <w:color w:val="222222"/>
                <w:shd w:val="clear" w:color="auto" w:fill="FFFFFF"/>
              </w:rPr>
              <w:t>Keytruda</w:t>
            </w:r>
            <w:r w:rsidR="001D0E14" w:rsidRPr="00044733">
              <w:rPr>
                <w:rFonts w:cstheme="minorHAnsi"/>
              </w:rPr>
              <w:t>®</w:t>
            </w:r>
            <w:r w:rsidRPr="00AE09D0">
              <w:rPr>
                <w:rFonts w:cstheme="minorHAnsi"/>
                <w:color w:val="222222"/>
                <w:shd w:val="clear" w:color="auto" w:fill="FFFFFF"/>
              </w:rPr>
              <w:t>)</w:t>
            </w:r>
          </w:p>
        </w:tc>
        <w:tc>
          <w:tcPr>
            <w:tcW w:w="4123" w:type="dxa"/>
          </w:tcPr>
          <w:p w14:paraId="22EE75F4" w14:textId="560C2C7B" w:rsidR="00550938" w:rsidRPr="00AE09D0" w:rsidRDefault="00EB0494" w:rsidP="006055E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hd w:val="clear" w:color="auto" w:fill="FFFFFF"/>
              </w:rPr>
              <w:t xml:space="preserve">Tumours that have </w:t>
            </w:r>
            <w:r w:rsidRPr="00EB0494">
              <w:rPr>
                <w:rFonts w:cstheme="minorHAnsi"/>
                <w:shd w:val="clear" w:color="auto" w:fill="FFFFFF"/>
              </w:rPr>
              <w:t>high level of microsatellite instability (MSI-H)</w:t>
            </w:r>
            <w:r>
              <w:rPr>
                <w:rFonts w:cstheme="minorHAnsi"/>
                <w:shd w:val="clear" w:color="auto" w:fill="FFFFFF"/>
              </w:rPr>
              <w:t>;</w:t>
            </w:r>
            <w:r w:rsidRPr="00EB0494">
              <w:rPr>
                <w:rFonts w:cstheme="minorHAnsi"/>
                <w:shd w:val="clear" w:color="auto" w:fill="FFFFFF"/>
              </w:rPr>
              <w:t xml:space="preserve"> a defect in a mismatch repair gene (dMMR)</w:t>
            </w:r>
            <w:r>
              <w:rPr>
                <w:rFonts w:cstheme="minorHAnsi"/>
                <w:shd w:val="clear" w:color="auto" w:fill="FFFFFF"/>
              </w:rPr>
              <w:t>; or high tumour mutational burden (TMB-H)</w:t>
            </w:r>
          </w:p>
        </w:tc>
        <w:tc>
          <w:tcPr>
            <w:tcW w:w="610" w:type="dxa"/>
          </w:tcPr>
          <w:p w14:paraId="312FDCDF" w14:textId="77777777" w:rsidR="00550938" w:rsidRPr="00AE09D0" w:rsidRDefault="00550938" w:rsidP="0077320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560" w:type="dxa"/>
          </w:tcPr>
          <w:p w14:paraId="14391894" w14:textId="77777777" w:rsidR="00550938" w:rsidRPr="00AE09D0" w:rsidRDefault="00550938" w:rsidP="0077320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622" w:type="dxa"/>
          </w:tcPr>
          <w:p w14:paraId="6D7096C4" w14:textId="3F1AEEB4" w:rsidR="00550938" w:rsidRPr="00AE09D0" w:rsidRDefault="004D38B3" w:rsidP="0077320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615" w:type="dxa"/>
          </w:tcPr>
          <w:p w14:paraId="1354D577" w14:textId="0D5936F9" w:rsidR="00550938" w:rsidRPr="00AE09D0" w:rsidRDefault="00DB6D0D" w:rsidP="0077320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DB6D0D">
              <w:rPr>
                <w:rFonts w:cstheme="minorHAnsi"/>
              </w:rPr>
              <w:t xml:space="preserve">No </w:t>
            </w:r>
            <w:r w:rsidR="00BC155D">
              <w:rPr>
                <w:rFonts w:cstheme="minorHAnsi"/>
              </w:rPr>
              <w:t>submission</w:t>
            </w:r>
            <w:r w:rsidRPr="00DB6D0D">
              <w:rPr>
                <w:rFonts w:cstheme="minorHAnsi"/>
              </w:rPr>
              <w:t xml:space="preserve"> </w:t>
            </w:r>
            <w:r w:rsidR="00FB5A18">
              <w:rPr>
                <w:rFonts w:cstheme="minorHAnsi"/>
              </w:rPr>
              <w:t xml:space="preserve">for </w:t>
            </w:r>
            <w:r w:rsidR="00695D06" w:rsidRPr="00D348F8">
              <w:rPr>
                <w:rStyle w:val="null1"/>
              </w:rPr>
              <w:t>tumour agnostic</w:t>
            </w:r>
            <w:r w:rsidR="00FB5A18">
              <w:rPr>
                <w:rFonts w:cstheme="minorHAnsi"/>
              </w:rPr>
              <w:t xml:space="preserve"> indication</w:t>
            </w:r>
          </w:p>
        </w:tc>
      </w:tr>
      <w:tr w:rsidR="004D38B3" w14:paraId="26622180" w14:textId="77777777" w:rsidTr="00316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5F32FE" w14:textId="0ACB7E19" w:rsidR="00550938" w:rsidRPr="00AE09D0" w:rsidRDefault="00550938" w:rsidP="006055E0">
            <w:pPr>
              <w:spacing w:before="0"/>
              <w:rPr>
                <w:rFonts w:cstheme="minorHAnsi"/>
              </w:rPr>
            </w:pPr>
            <w:r w:rsidRPr="00AE09D0">
              <w:rPr>
                <w:rFonts w:cstheme="minorHAnsi"/>
              </w:rPr>
              <w:t>Larotrectinib (</w:t>
            </w:r>
            <w:r w:rsidRPr="00AE09D0">
              <w:rPr>
                <w:rFonts w:cstheme="minorHAnsi"/>
                <w:color w:val="222222"/>
                <w:shd w:val="clear" w:color="auto" w:fill="FFFFFF"/>
              </w:rPr>
              <w:t>Vitrakvi</w:t>
            </w:r>
            <w:r w:rsidR="001D0E14" w:rsidRPr="00044733">
              <w:rPr>
                <w:rFonts w:cstheme="minorHAnsi"/>
              </w:rPr>
              <w:t>®</w:t>
            </w:r>
            <w:r w:rsidRPr="00AE09D0">
              <w:rPr>
                <w:rFonts w:cstheme="minorHAnsi"/>
                <w:color w:val="222222"/>
                <w:shd w:val="clear" w:color="auto" w:fill="FFFFFF"/>
              </w:rPr>
              <w:t>)</w:t>
            </w:r>
          </w:p>
        </w:tc>
        <w:tc>
          <w:tcPr>
            <w:tcW w:w="4123" w:type="dxa"/>
          </w:tcPr>
          <w:p w14:paraId="73650BB1" w14:textId="1CD2498C" w:rsidR="00550938" w:rsidRPr="00AE09D0" w:rsidRDefault="00550938"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w:t>
            </w:r>
            <w:r w:rsidRPr="00AE09D0">
              <w:rPr>
                <w:rFonts w:cstheme="minorHAnsi"/>
              </w:rPr>
              <w:t xml:space="preserve">olid tumours </w:t>
            </w:r>
            <w:r w:rsidR="00EB0494">
              <w:rPr>
                <w:rFonts w:cstheme="minorHAnsi"/>
              </w:rPr>
              <w:t>that have</w:t>
            </w:r>
            <w:r w:rsidRPr="00AE09D0">
              <w:rPr>
                <w:rFonts w:cstheme="minorHAnsi"/>
                <w:lang w:val="en-GB"/>
              </w:rPr>
              <w:t xml:space="preserve"> a neurotrophic tyrosine receptor kinase (NTRK) gene fusion</w:t>
            </w:r>
          </w:p>
          <w:p w14:paraId="067E71BA" w14:textId="77777777" w:rsidR="00550938" w:rsidRPr="00AE09D0" w:rsidRDefault="00550938"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p>
        </w:tc>
        <w:tc>
          <w:tcPr>
            <w:tcW w:w="610" w:type="dxa"/>
          </w:tcPr>
          <w:p w14:paraId="3BDD99C1" w14:textId="77777777" w:rsidR="00550938" w:rsidRPr="00AE09D0" w:rsidRDefault="00550938"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560" w:type="dxa"/>
          </w:tcPr>
          <w:p w14:paraId="3F6048E5" w14:textId="77777777" w:rsidR="00550938" w:rsidRPr="00AE09D0" w:rsidRDefault="00550938"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622" w:type="dxa"/>
          </w:tcPr>
          <w:p w14:paraId="6BD9537A" w14:textId="6121D4F5" w:rsidR="00550938" w:rsidRPr="00AE09D0" w:rsidRDefault="004D38B3"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1615" w:type="dxa"/>
          </w:tcPr>
          <w:p w14:paraId="0B646ACE" w14:textId="6762443F" w:rsidR="00550938" w:rsidRPr="00AE09D0" w:rsidRDefault="00550938" w:rsidP="00773206">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2022 (PBS)</w:t>
            </w:r>
            <w:r w:rsidR="00501A77">
              <w:rPr>
                <w:rFonts w:cstheme="minorHAnsi"/>
              </w:rPr>
              <w:t xml:space="preserve"> for paediatric NTRK tumours</w:t>
            </w:r>
          </w:p>
        </w:tc>
      </w:tr>
      <w:tr w:rsidR="004D38B3" w14:paraId="454DD453" w14:textId="77777777" w:rsidTr="00316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ABFBFA" w14:textId="3BB14C57" w:rsidR="00550938" w:rsidRPr="00AE09D0" w:rsidRDefault="00550938" w:rsidP="006055E0">
            <w:pPr>
              <w:spacing w:before="0"/>
              <w:rPr>
                <w:rFonts w:cstheme="minorHAnsi"/>
              </w:rPr>
            </w:pPr>
            <w:r w:rsidRPr="00AE09D0">
              <w:rPr>
                <w:rFonts w:cstheme="minorHAnsi"/>
              </w:rPr>
              <w:t>Entrectinib (Rozlytrek</w:t>
            </w:r>
            <w:r w:rsidR="001D0E14" w:rsidRPr="00044733">
              <w:rPr>
                <w:rFonts w:cstheme="minorHAnsi"/>
              </w:rPr>
              <w:t>®</w:t>
            </w:r>
            <w:r w:rsidRPr="00AE09D0">
              <w:rPr>
                <w:rFonts w:cstheme="minorHAnsi"/>
              </w:rPr>
              <w:t>)</w:t>
            </w:r>
          </w:p>
        </w:tc>
        <w:tc>
          <w:tcPr>
            <w:tcW w:w="4123" w:type="dxa"/>
          </w:tcPr>
          <w:p w14:paraId="69EE5C71" w14:textId="1D4D5225" w:rsidR="00550938" w:rsidRPr="00AE09D0" w:rsidRDefault="00EB0494"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w:t>
            </w:r>
            <w:r w:rsidRPr="00AE09D0">
              <w:rPr>
                <w:rFonts w:cstheme="minorHAnsi"/>
              </w:rPr>
              <w:t xml:space="preserve">olid tumours </w:t>
            </w:r>
            <w:r>
              <w:rPr>
                <w:rFonts w:cstheme="minorHAnsi"/>
              </w:rPr>
              <w:t>that have</w:t>
            </w:r>
            <w:r w:rsidRPr="00AE09D0">
              <w:rPr>
                <w:rFonts w:cstheme="minorHAnsi"/>
                <w:lang w:val="en-GB"/>
              </w:rPr>
              <w:t xml:space="preserve"> a neurotrophic tyrosine receptor kinase (NTRK) gene fusion</w:t>
            </w:r>
            <w:r w:rsidR="00550938" w:rsidRPr="00AE09D0">
              <w:rPr>
                <w:rFonts w:cstheme="minorHAnsi"/>
              </w:rPr>
              <w:t xml:space="preserve"> </w:t>
            </w:r>
          </w:p>
        </w:tc>
        <w:tc>
          <w:tcPr>
            <w:tcW w:w="610" w:type="dxa"/>
          </w:tcPr>
          <w:p w14:paraId="785D44D9" w14:textId="77777777" w:rsidR="00550938" w:rsidRPr="00AE09D0" w:rsidRDefault="00550938" w:rsidP="0011779C">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560" w:type="dxa"/>
          </w:tcPr>
          <w:p w14:paraId="2D2724F4" w14:textId="77777777" w:rsidR="00550938" w:rsidRPr="00AE09D0" w:rsidRDefault="00550938" w:rsidP="0011779C">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622" w:type="dxa"/>
          </w:tcPr>
          <w:p w14:paraId="51C182AD" w14:textId="761E3E4E" w:rsidR="00550938" w:rsidRPr="00AE09D0" w:rsidRDefault="004D38B3" w:rsidP="0011779C">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615" w:type="dxa"/>
          </w:tcPr>
          <w:p w14:paraId="07BEFF1E" w14:textId="0C01B0A1" w:rsidR="00550938" w:rsidRPr="00AE09D0" w:rsidRDefault="00501A77" w:rsidP="00773206">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s</w:t>
            </w:r>
            <w:r w:rsidR="003E6A81">
              <w:rPr>
                <w:rFonts w:cstheme="minorHAnsi"/>
              </w:rPr>
              <w:t xml:space="preserve">ubmission </w:t>
            </w:r>
            <w:r>
              <w:rPr>
                <w:rFonts w:cstheme="minorHAnsi"/>
              </w:rPr>
              <w:t xml:space="preserve">to PBAC for </w:t>
            </w:r>
            <w:r w:rsidR="00695D06" w:rsidRPr="001018CB">
              <w:rPr>
                <w:rStyle w:val="null1"/>
              </w:rPr>
              <w:t>tumour agnostic</w:t>
            </w:r>
            <w:r w:rsidR="00695D06">
              <w:rPr>
                <w:rStyle w:val="null1"/>
              </w:rPr>
              <w:t xml:space="preserve"> </w:t>
            </w:r>
            <w:r w:rsidR="003E6A81">
              <w:rPr>
                <w:rFonts w:cstheme="minorHAnsi"/>
              </w:rPr>
              <w:t>indication</w:t>
            </w:r>
          </w:p>
        </w:tc>
      </w:tr>
      <w:tr w:rsidR="004D38B3" w14:paraId="034FD95D" w14:textId="77777777" w:rsidTr="00316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D7575B" w14:textId="1BCA757B" w:rsidR="00550938" w:rsidRPr="00AE09D0" w:rsidRDefault="00550938" w:rsidP="006055E0">
            <w:pPr>
              <w:spacing w:before="0"/>
              <w:rPr>
                <w:rFonts w:cstheme="minorHAnsi"/>
              </w:rPr>
            </w:pPr>
            <w:r w:rsidRPr="00AE09D0">
              <w:rPr>
                <w:rFonts w:cstheme="minorHAnsi"/>
              </w:rPr>
              <w:t>Dostarlimab (Jemperli</w:t>
            </w:r>
            <w:r w:rsidR="001D0E14" w:rsidRPr="00044733">
              <w:rPr>
                <w:rFonts w:cstheme="minorHAnsi"/>
              </w:rPr>
              <w:t>®</w:t>
            </w:r>
            <w:r w:rsidRPr="00AE09D0">
              <w:rPr>
                <w:rFonts w:cstheme="minorHAnsi"/>
              </w:rPr>
              <w:t>)</w:t>
            </w:r>
          </w:p>
        </w:tc>
        <w:tc>
          <w:tcPr>
            <w:tcW w:w="4123" w:type="dxa"/>
          </w:tcPr>
          <w:p w14:paraId="413F2AC8" w14:textId="1F6BA38C" w:rsidR="00550938" w:rsidRPr="00AE09D0" w:rsidRDefault="00EB0494"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shd w:val="clear" w:color="auto" w:fill="FFFFFF"/>
              </w:rPr>
              <w:t xml:space="preserve">Tumours that have </w:t>
            </w:r>
            <w:r w:rsidRPr="00EB0494">
              <w:rPr>
                <w:rFonts w:cstheme="minorHAnsi"/>
                <w:shd w:val="clear" w:color="auto" w:fill="FFFFFF"/>
              </w:rPr>
              <w:t>a defect in a mismatch repair gene (dMMR)</w:t>
            </w:r>
            <w:r>
              <w:rPr>
                <w:rFonts w:cstheme="minorHAnsi"/>
                <w:shd w:val="clear" w:color="auto" w:fill="FFFFFF"/>
              </w:rPr>
              <w:t>;</w:t>
            </w:r>
          </w:p>
        </w:tc>
        <w:tc>
          <w:tcPr>
            <w:tcW w:w="610" w:type="dxa"/>
          </w:tcPr>
          <w:p w14:paraId="2F5903A3" w14:textId="133FC594" w:rsidR="00550938" w:rsidRPr="00AE09D0" w:rsidRDefault="00550938"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lang w:val="en-GB"/>
              </w:rPr>
              <w:t>Y</w:t>
            </w:r>
          </w:p>
        </w:tc>
        <w:tc>
          <w:tcPr>
            <w:tcW w:w="560" w:type="dxa"/>
          </w:tcPr>
          <w:p w14:paraId="04ED5AE9" w14:textId="1B547CAD" w:rsidR="00550938" w:rsidRPr="00AE09D0" w:rsidRDefault="00550938"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622" w:type="dxa"/>
          </w:tcPr>
          <w:p w14:paraId="4BD806E2" w14:textId="77777777" w:rsidR="00550938" w:rsidRDefault="004D38B3"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p w14:paraId="20C55631" w14:textId="3E80B3DB" w:rsidR="00605E6B" w:rsidRPr="00AE09D0" w:rsidRDefault="00605E6B"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w:t>
            </w:r>
          </w:p>
        </w:tc>
        <w:tc>
          <w:tcPr>
            <w:tcW w:w="1615" w:type="dxa"/>
          </w:tcPr>
          <w:p w14:paraId="4D885C75" w14:textId="37E1B5F4" w:rsidR="00550938" w:rsidRPr="00AE09D0" w:rsidRDefault="003E6A81" w:rsidP="00773206">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No submission to PBAC for </w:t>
            </w:r>
            <w:r w:rsidR="00695D06" w:rsidRPr="001018CB">
              <w:rPr>
                <w:rStyle w:val="null1"/>
              </w:rPr>
              <w:t>tumour agnostic</w:t>
            </w:r>
            <w:r w:rsidR="00695D06">
              <w:rPr>
                <w:rStyle w:val="null1"/>
              </w:rPr>
              <w:t xml:space="preserve"> </w:t>
            </w:r>
            <w:r>
              <w:rPr>
                <w:rFonts w:cstheme="minorHAnsi"/>
              </w:rPr>
              <w:t>indication</w:t>
            </w:r>
          </w:p>
        </w:tc>
      </w:tr>
      <w:tr w:rsidR="004D38B3" w14:paraId="05C198D8" w14:textId="77777777" w:rsidTr="00316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5264A2" w14:textId="2D62C3ED" w:rsidR="00550938" w:rsidRPr="00AE09D0" w:rsidRDefault="00550938" w:rsidP="006055E0">
            <w:pPr>
              <w:spacing w:before="0"/>
              <w:rPr>
                <w:rFonts w:cstheme="minorHAnsi"/>
              </w:rPr>
            </w:pPr>
            <w:r w:rsidRPr="00AE09D0">
              <w:rPr>
                <w:rFonts w:cstheme="minorHAnsi"/>
              </w:rPr>
              <w:t>Dabrafenib (Tafinlar</w:t>
            </w:r>
            <w:r w:rsidR="001D0E14" w:rsidRPr="00044733">
              <w:rPr>
                <w:rFonts w:cstheme="minorHAnsi"/>
              </w:rPr>
              <w:t>®</w:t>
            </w:r>
            <w:r w:rsidRPr="00AE09D0">
              <w:rPr>
                <w:rFonts w:cstheme="minorHAnsi"/>
              </w:rPr>
              <w:t>) and Trametinib (Mekinist</w:t>
            </w:r>
            <w:r w:rsidR="001D0E14" w:rsidRPr="00044733">
              <w:rPr>
                <w:rFonts w:cstheme="minorHAnsi"/>
              </w:rPr>
              <w:t>®</w:t>
            </w:r>
            <w:r w:rsidRPr="00AE09D0">
              <w:rPr>
                <w:rFonts w:cstheme="minorHAnsi"/>
              </w:rPr>
              <w:t>)</w:t>
            </w:r>
          </w:p>
          <w:p w14:paraId="58EB55E5" w14:textId="77777777" w:rsidR="00550938" w:rsidRPr="00AE09D0" w:rsidRDefault="00550938" w:rsidP="006055E0">
            <w:pPr>
              <w:spacing w:before="0"/>
              <w:rPr>
                <w:rFonts w:cstheme="minorHAnsi"/>
              </w:rPr>
            </w:pPr>
          </w:p>
          <w:p w14:paraId="574B2821" w14:textId="77777777" w:rsidR="00550938" w:rsidRPr="00AE09D0" w:rsidRDefault="00550938" w:rsidP="006055E0">
            <w:pPr>
              <w:spacing w:before="0"/>
              <w:rPr>
                <w:rFonts w:cstheme="minorHAnsi"/>
              </w:rPr>
            </w:pPr>
          </w:p>
        </w:tc>
        <w:tc>
          <w:tcPr>
            <w:tcW w:w="4123" w:type="dxa"/>
          </w:tcPr>
          <w:p w14:paraId="794F5014" w14:textId="35F7418B" w:rsidR="00550938" w:rsidRPr="00AE09D0" w:rsidRDefault="00EB0494"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Stage 4 cancers that have a BRAF V600E mutation </w:t>
            </w:r>
          </w:p>
        </w:tc>
        <w:tc>
          <w:tcPr>
            <w:tcW w:w="610" w:type="dxa"/>
          </w:tcPr>
          <w:p w14:paraId="72C00427" w14:textId="77777777" w:rsidR="00550938" w:rsidRPr="00AE09D0" w:rsidRDefault="00550938" w:rsidP="0011779C">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560" w:type="dxa"/>
          </w:tcPr>
          <w:p w14:paraId="4B6C33CB" w14:textId="77777777" w:rsidR="00550938" w:rsidRPr="00AE09D0" w:rsidRDefault="00550938" w:rsidP="0011779C">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622" w:type="dxa"/>
          </w:tcPr>
          <w:p w14:paraId="110BD4AE" w14:textId="1C225539" w:rsidR="00550938" w:rsidRPr="00AE09D0" w:rsidRDefault="00316713" w:rsidP="0011779C">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615" w:type="dxa"/>
          </w:tcPr>
          <w:p w14:paraId="0DEADA33" w14:textId="690E2496" w:rsidR="00550938" w:rsidRPr="00AE09D0" w:rsidRDefault="00550938" w:rsidP="00773206">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xml:space="preserve">2019 (PBS) </w:t>
            </w:r>
            <w:r w:rsidR="003E6A81">
              <w:rPr>
                <w:rFonts w:cstheme="minorHAnsi"/>
              </w:rPr>
              <w:t xml:space="preserve">No submission to PBAC for </w:t>
            </w:r>
            <w:r w:rsidR="00695D06" w:rsidRPr="001018CB">
              <w:rPr>
                <w:rStyle w:val="null1"/>
              </w:rPr>
              <w:t>tumour agnostic</w:t>
            </w:r>
            <w:r w:rsidR="00695D06">
              <w:rPr>
                <w:rFonts w:cstheme="minorHAnsi"/>
              </w:rPr>
              <w:t xml:space="preserve"> </w:t>
            </w:r>
            <w:r w:rsidR="003E6A81">
              <w:rPr>
                <w:rFonts w:cstheme="minorHAnsi"/>
              </w:rPr>
              <w:t>indication</w:t>
            </w:r>
          </w:p>
        </w:tc>
      </w:tr>
      <w:tr w:rsidR="004D38B3" w14:paraId="2734386A" w14:textId="77777777" w:rsidTr="003167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11406D" w14:textId="41031DDC" w:rsidR="00550938" w:rsidRPr="00AE09D0" w:rsidRDefault="00550938" w:rsidP="006055E0">
            <w:pPr>
              <w:spacing w:before="0"/>
              <w:rPr>
                <w:rFonts w:cstheme="minorHAnsi"/>
              </w:rPr>
            </w:pPr>
            <w:r w:rsidRPr="00AE09D0">
              <w:rPr>
                <w:rFonts w:cstheme="minorHAnsi"/>
              </w:rPr>
              <w:t>Selpercatinib (Retevmo</w:t>
            </w:r>
            <w:r w:rsidR="001D0E14" w:rsidRPr="00044733">
              <w:rPr>
                <w:rFonts w:cstheme="minorHAnsi"/>
              </w:rPr>
              <w:t>®</w:t>
            </w:r>
            <w:r w:rsidRPr="00AE09D0">
              <w:rPr>
                <w:rFonts w:cstheme="minorHAnsi"/>
              </w:rPr>
              <w:t>)</w:t>
            </w:r>
          </w:p>
        </w:tc>
        <w:tc>
          <w:tcPr>
            <w:tcW w:w="4123" w:type="dxa"/>
          </w:tcPr>
          <w:p w14:paraId="03E18B04" w14:textId="18E453FD" w:rsidR="00550938" w:rsidRPr="00AE09D0" w:rsidRDefault="00CB7F01"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Cancers with RET gene fusions</w:t>
            </w:r>
          </w:p>
        </w:tc>
        <w:tc>
          <w:tcPr>
            <w:tcW w:w="610" w:type="dxa"/>
          </w:tcPr>
          <w:p w14:paraId="7E9EBDD7" w14:textId="16CB6634" w:rsidR="00550938" w:rsidRPr="00AE09D0" w:rsidRDefault="00550938"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560" w:type="dxa"/>
          </w:tcPr>
          <w:p w14:paraId="2AE5D373" w14:textId="77777777" w:rsidR="00550938" w:rsidRPr="00AE09D0" w:rsidRDefault="00550938"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622" w:type="dxa"/>
          </w:tcPr>
          <w:p w14:paraId="4DED9D72" w14:textId="38272FA4" w:rsidR="00550938" w:rsidRPr="00AE09D0" w:rsidRDefault="007676E9" w:rsidP="0011779C">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lang w:val="en-GB"/>
              </w:rPr>
              <w:t>Y</w:t>
            </w:r>
            <w:r>
              <w:rPr>
                <w:rFonts w:cstheme="minorHAnsi"/>
                <w:lang w:val="en-GB"/>
              </w:rPr>
              <w:br/>
              <w:t>(P)</w:t>
            </w:r>
          </w:p>
        </w:tc>
        <w:tc>
          <w:tcPr>
            <w:tcW w:w="1615" w:type="dxa"/>
          </w:tcPr>
          <w:p w14:paraId="7797D8BD" w14:textId="771CDF8A" w:rsidR="00550938" w:rsidRDefault="004D38B3" w:rsidP="00773206">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2FBE00DF" w14:textId="74606C1E" w:rsidR="0031178E" w:rsidRPr="00AE09D0" w:rsidRDefault="0031178E" w:rsidP="00773206">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p>
        </w:tc>
      </w:tr>
    </w:tbl>
    <w:p w14:paraId="066CCB99" w14:textId="4F3415A1" w:rsidR="00316713" w:rsidRPr="007B6ADD" w:rsidRDefault="00316713" w:rsidP="007B6ADD">
      <w:pPr>
        <w:pStyle w:val="Caption"/>
        <w:rPr>
          <w:i w:val="0"/>
        </w:rPr>
      </w:pPr>
      <w:bookmarkStart w:id="140" w:name="_Hlk134103501"/>
      <w:bookmarkEnd w:id="139"/>
      <w:r w:rsidRPr="007B6ADD">
        <w:rPr>
          <w:color w:val="auto"/>
        </w:rPr>
        <w:t xml:space="preserve">Y= registered or funded. N = not registered or funded. </w:t>
      </w:r>
      <w:r w:rsidR="00CB7F01" w:rsidRPr="007B6ADD">
        <w:rPr>
          <w:color w:val="auto"/>
        </w:rPr>
        <w:t xml:space="preserve">* Registered indication may or may not be </w:t>
      </w:r>
      <w:r w:rsidR="00695D06" w:rsidRPr="007B6ADD">
        <w:rPr>
          <w:color w:val="auto"/>
        </w:rPr>
        <w:t xml:space="preserve">tumour </w:t>
      </w:r>
      <w:r w:rsidR="00CB7F01" w:rsidRPr="007B6ADD">
        <w:rPr>
          <w:color w:val="auto"/>
        </w:rPr>
        <w:t xml:space="preserve">agnostic. </w:t>
      </w:r>
      <w:r w:rsidR="007676E9" w:rsidRPr="007B6ADD">
        <w:rPr>
          <w:color w:val="auto"/>
        </w:rPr>
        <w:br/>
        <w:t>P = Provisional registration (TGA) = Involves early access to vital and life-saving medicines through time-limited registration</w:t>
      </w:r>
      <w:r w:rsidR="008F0B82" w:rsidRPr="007B6ADD">
        <w:rPr>
          <w:rStyle w:val="FootnoteReference"/>
          <w:i w:val="0"/>
          <w:color w:val="auto"/>
        </w:rPr>
        <w:footnoteReference w:id="33"/>
      </w:r>
    </w:p>
    <w:bookmarkEnd w:id="140"/>
    <w:p w14:paraId="53B0E430" w14:textId="4B427E7C" w:rsidR="00550938" w:rsidRDefault="00550938" w:rsidP="00550938">
      <w:r>
        <w:t xml:space="preserve">In June 2021, the NIHR Innovation Observatory undertook a rapid horizon scan for ‘potential’ </w:t>
      </w:r>
      <w:r w:rsidR="00695D06" w:rsidRPr="009F21B9">
        <w:rPr>
          <w:rStyle w:val="null1"/>
          <w:rFonts w:eastAsia="Times New Roman"/>
        </w:rPr>
        <w:t xml:space="preserve">tumour agnostic </w:t>
      </w:r>
      <w:r>
        <w:t xml:space="preserve">therapies that were within </w:t>
      </w:r>
      <w:r w:rsidR="00A81872">
        <w:t>an</w:t>
      </w:r>
      <w:r>
        <w:t xml:space="preserve"> approximate 5-year timeframe to obtaining a product licence in the EU/UK.</w:t>
      </w:r>
      <w:r w:rsidRPr="004D58BB">
        <w:rPr>
          <w:rStyle w:val="FootnoteReference"/>
        </w:rPr>
        <w:t xml:space="preserve"> </w:t>
      </w:r>
      <w:bookmarkStart w:id="141" w:name="_Ref134574679"/>
      <w:r>
        <w:rPr>
          <w:rStyle w:val="FootnoteReference"/>
        </w:rPr>
        <w:footnoteReference w:id="34"/>
      </w:r>
      <w:bookmarkEnd w:id="141"/>
      <w:r>
        <w:t xml:space="preserve"> The horizon scanning results identified:</w:t>
      </w:r>
    </w:p>
    <w:p w14:paraId="442EE233" w14:textId="50FB2932" w:rsidR="00550938" w:rsidRDefault="00550938" w:rsidP="007B6ADD">
      <w:pPr>
        <w:pStyle w:val="ListBullet"/>
        <w:tabs>
          <w:tab w:val="clear" w:pos="360"/>
          <w:tab w:val="num" w:pos="720"/>
        </w:tabs>
        <w:ind w:left="720"/>
      </w:pPr>
      <w:r>
        <w:t xml:space="preserve">194 potential </w:t>
      </w:r>
      <w:r w:rsidR="001C10C6">
        <w:t>tumour</w:t>
      </w:r>
      <w:r>
        <w:t xml:space="preserve">-agnostic therapies identified in the scan, ~6% (n=12) were estimated to be launched in the UK in less than 3 years. </w:t>
      </w:r>
    </w:p>
    <w:p w14:paraId="55A8936C" w14:textId="4E684E50" w:rsidR="00550938" w:rsidRDefault="001C10C6" w:rsidP="007B6ADD">
      <w:pPr>
        <w:pStyle w:val="ListBullet"/>
        <w:tabs>
          <w:tab w:val="clear" w:pos="360"/>
          <w:tab w:val="num" w:pos="720"/>
        </w:tabs>
        <w:ind w:left="720"/>
      </w:pPr>
      <w:r>
        <w:t>Tumour</w:t>
      </w:r>
      <w:r w:rsidR="003709F0">
        <w:t xml:space="preserve">-agnostic therapies </w:t>
      </w:r>
      <w:r w:rsidR="00550938">
        <w:t xml:space="preserve">in the pipeline predominantly target solid </w:t>
      </w:r>
      <w:r w:rsidR="00A81872">
        <w:t>tumours.</w:t>
      </w:r>
    </w:p>
    <w:p w14:paraId="3F2C685B" w14:textId="163DCE20" w:rsidR="00550938" w:rsidRDefault="00A51025" w:rsidP="007B6ADD">
      <w:pPr>
        <w:pStyle w:val="ListBullet"/>
        <w:tabs>
          <w:tab w:val="clear" w:pos="360"/>
          <w:tab w:val="num" w:pos="720"/>
        </w:tabs>
        <w:ind w:left="720"/>
      </w:pPr>
      <w:r>
        <w:t>A</w:t>
      </w:r>
      <w:r w:rsidR="00550938">
        <w:t xml:space="preserve"> growing </w:t>
      </w:r>
      <w:r w:rsidR="00A81872">
        <w:t>number of</w:t>
      </w:r>
      <w:r w:rsidR="00550938">
        <w:t xml:space="preserve"> target haematological cancers. </w:t>
      </w:r>
    </w:p>
    <w:p w14:paraId="25AC47E6" w14:textId="1291232A" w:rsidR="00550938" w:rsidRDefault="00550938" w:rsidP="007B6ADD">
      <w:pPr>
        <w:pStyle w:val="ListBullet"/>
        <w:tabs>
          <w:tab w:val="clear" w:pos="360"/>
          <w:tab w:val="num" w:pos="720"/>
        </w:tabs>
        <w:ind w:left="720"/>
      </w:pPr>
      <w:r>
        <w:t xml:space="preserve">Majority of </w:t>
      </w:r>
      <w:r w:rsidR="001C10C6">
        <w:t>tumour</w:t>
      </w:r>
      <w:r>
        <w:t>-agnostic therapies are in phase I/II and II trials and utilise ‘basket’ trial designs; identification of the basket trial design is not always readily apparent from the clinical trial records.</w:t>
      </w:r>
    </w:p>
    <w:p w14:paraId="5D4EF80D" w14:textId="0699603C" w:rsidR="00550938" w:rsidRDefault="00550938" w:rsidP="00550938">
      <w:pPr>
        <w:rPr>
          <w:vertAlign w:val="superscript"/>
        </w:rPr>
      </w:pPr>
      <w:r>
        <w:t xml:space="preserve">A basket trial is a </w:t>
      </w:r>
      <w:r w:rsidRPr="00CB5A32">
        <w:t>type of clinical trial that tests how well a new drug or other substance works in patients who have different types of cancer that all have the same mutation or biomarker.</w:t>
      </w:r>
      <w:bookmarkStart w:id="142" w:name="_Ref130213788"/>
      <w:r>
        <w:rPr>
          <w:rStyle w:val="FootnoteReference"/>
        </w:rPr>
        <w:footnoteReference w:id="35"/>
      </w:r>
      <w:bookmarkEnd w:id="142"/>
      <w:r w:rsidRPr="00CB5A32">
        <w:t xml:space="preserve"> In basket trials, patients all receive the same treatment that targets the specific mutation or biomarker found in their cancer.</w:t>
      </w:r>
      <w:r w:rsidRPr="00075B3E">
        <w:rPr>
          <w:vertAlign w:val="superscript"/>
        </w:rPr>
        <w:fldChar w:fldCharType="begin"/>
      </w:r>
      <w:r w:rsidRPr="00075B3E">
        <w:rPr>
          <w:vertAlign w:val="superscript"/>
        </w:rPr>
        <w:instrText xml:space="preserve"> NOTEREF _Ref130213788 \h </w:instrText>
      </w:r>
      <w:r>
        <w:rPr>
          <w:vertAlign w:val="superscript"/>
        </w:rPr>
        <w:instrText xml:space="preserve"> \* MERGEFORMAT </w:instrText>
      </w:r>
      <w:r w:rsidRPr="00075B3E">
        <w:rPr>
          <w:vertAlign w:val="superscript"/>
        </w:rPr>
      </w:r>
      <w:r w:rsidRPr="00075B3E">
        <w:rPr>
          <w:vertAlign w:val="superscript"/>
        </w:rPr>
        <w:fldChar w:fldCharType="separate"/>
      </w:r>
      <w:r w:rsidR="00395B47">
        <w:rPr>
          <w:vertAlign w:val="superscript"/>
        </w:rPr>
        <w:t>34</w:t>
      </w:r>
      <w:r w:rsidRPr="00075B3E">
        <w:rPr>
          <w:vertAlign w:val="superscript"/>
        </w:rPr>
        <w:fldChar w:fldCharType="end"/>
      </w:r>
    </w:p>
    <w:p w14:paraId="398EFF16" w14:textId="64FEBC66" w:rsidR="00550938" w:rsidRDefault="00026EDB" w:rsidP="007B6ADD">
      <w:pPr>
        <w:pStyle w:val="Heading3"/>
        <w:ind w:left="709"/>
        <w:rPr>
          <w:rFonts w:cstheme="minorHAnsi"/>
          <w:color w:val="000000" w:themeColor="text1"/>
        </w:rPr>
      </w:pPr>
      <w:r>
        <w:t>Assessment for funding of</w:t>
      </w:r>
      <w:r w:rsidR="00550938">
        <w:t xml:space="preserve"> </w:t>
      </w:r>
      <w:r w:rsidR="008348CB">
        <w:t>tumour</w:t>
      </w:r>
      <w:r w:rsidR="00550938">
        <w:t>-agnostic therapies in Australia</w:t>
      </w:r>
    </w:p>
    <w:p w14:paraId="5641148A" w14:textId="4809FB7C" w:rsidR="005004FB" w:rsidRDefault="008348CB" w:rsidP="00550938">
      <w:r>
        <w:t>Tumour</w:t>
      </w:r>
      <w:r w:rsidR="00550938">
        <w:t xml:space="preserve">-agnostic therapies are assessed through the </w:t>
      </w:r>
      <w:r w:rsidR="003709F0">
        <w:t>‘</w:t>
      </w:r>
      <w:r w:rsidR="00550938">
        <w:t>co-dependent</w:t>
      </w:r>
      <w:r w:rsidR="003709F0">
        <w:t>’</w:t>
      </w:r>
      <w:r w:rsidR="00550938">
        <w:t xml:space="preserve"> pathway where medicines </w:t>
      </w:r>
      <w:r w:rsidR="003709F0">
        <w:t>are</w:t>
      </w:r>
      <w:r w:rsidR="00550938">
        <w:t xml:space="preserve"> assessed by the PBAC and the associated test for molecular alterations or biomarkers is assessed by the MSAC. </w:t>
      </w:r>
      <w:r w:rsidR="00AF602F">
        <w:t>Tumour</w:t>
      </w:r>
      <w:r w:rsidR="00550938">
        <w:t>-agnostic therapies</w:t>
      </w:r>
      <w:r w:rsidR="003709F0">
        <w:t xml:space="preserve"> to date</w:t>
      </w:r>
      <w:r w:rsidR="00550938">
        <w:t xml:space="preserve"> </w:t>
      </w:r>
      <w:r w:rsidR="003709F0">
        <w:t>have been</w:t>
      </w:r>
      <w:r w:rsidR="00550938">
        <w:t xml:space="preserve"> subsidised through the PBS. The necessary tests for detecting molecular alterations or biomarkers are subsidised through the MBS. </w:t>
      </w:r>
    </w:p>
    <w:p w14:paraId="3DDCCC34" w14:textId="387AB366" w:rsidR="00550938" w:rsidRDefault="005004FB" w:rsidP="00550938">
      <w:pPr>
        <w:rPr>
          <w:b/>
          <w:bCs/>
        </w:rPr>
      </w:pPr>
      <w:r>
        <w:rPr>
          <w:noProof/>
        </w:rPr>
        <mc:AlternateContent>
          <mc:Choice Requires="wps">
            <w:drawing>
              <wp:inline distT="0" distB="0" distL="0" distR="0" wp14:anchorId="65159988" wp14:editId="08AFF3EA">
                <wp:extent cx="5667375" cy="1404620"/>
                <wp:effectExtent l="0" t="0" r="28575" b="2413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551543EB" w14:textId="77777777" w:rsidR="005004FB" w:rsidRPr="00EB2F3C" w:rsidRDefault="005004FB" w:rsidP="005004FB">
                            <w:pPr>
                              <w:rPr>
                                <w:b/>
                                <w:bCs/>
                              </w:rPr>
                            </w:pPr>
                            <w:r w:rsidRPr="00A51025">
                              <w:rPr>
                                <w:b/>
                                <w:bCs/>
                              </w:rPr>
                              <w:t xml:space="preserve">Vitrakvi </w:t>
                            </w:r>
                          </w:p>
                          <w:p w14:paraId="2BDB6A29" w14:textId="77777777" w:rsidR="005004FB" w:rsidRDefault="005004FB" w:rsidP="005004FB">
                            <w:pPr>
                              <w:spacing w:before="0"/>
                            </w:pPr>
                            <w:r w:rsidRPr="00A51025">
                              <w:t xml:space="preserve">Vitrakvi (larotrectinib) </w:t>
                            </w:r>
                            <w:r>
                              <w:t xml:space="preserve">is registered in Australia for the treatment of metastatic solid tumours that have a neurotrophic tyrosine receptor kinase gene fusion. The PBAC considered larotrectinib at its November 2020, December 2020, November 2021, and March 2022 meetings for the targeted treatment of </w:t>
                            </w:r>
                            <w:r>
                              <w:rPr>
                                <w:i/>
                                <w:iCs/>
                              </w:rPr>
                              <w:t xml:space="preserve">NTRK </w:t>
                            </w:r>
                            <w:r>
                              <w:t xml:space="preserve">fusion solid tumours that are unresectable locally advanced, metastatic, or locally advanced and would otherwise require disfiguring surgery or limb amputation to achieve a complete surgical resection. </w:t>
                            </w:r>
                          </w:p>
                          <w:p w14:paraId="1B846DEE" w14:textId="77777777" w:rsidR="005004FB" w:rsidRDefault="005004FB" w:rsidP="005004FB">
                            <w:r>
                              <w:t>The main PBAC concerns raised in the November 2020 public summary document were in relation to uncertainty about the effectiveness in the proposed subpopulations with low frequency NTRK fusions.</w:t>
                            </w:r>
                            <w:r>
                              <w:rPr>
                                <w:rStyle w:val="FootnoteReference"/>
                              </w:rPr>
                              <w:footnoteRef/>
                            </w:r>
                            <w:r>
                              <w:t xml:space="preserve">  The PBAC also noted that collectively, the single-arm design of the larotrectinib studies, small patient numbers (due to rarity of </w:t>
                            </w:r>
                            <w:r>
                              <w:rPr>
                                <w:i/>
                                <w:iCs/>
                              </w:rPr>
                              <w:t>NTRK</w:t>
                            </w:r>
                            <w:r>
                              <w:t xml:space="preserve"> fusion cancers), potential heterogeneity in disease characteristics and treatment outcomes by tumour type, the impact of confounding of overall survival from subsequent treatments received post-progression in the larotrectinib studies amongst other factors contributed to a high degree of uncertainty about the magnitude of incremental benefit of larotrectinib.</w:t>
                            </w:r>
                          </w:p>
                          <w:p w14:paraId="4279FE6E" w14:textId="1F67EA23" w:rsidR="005004FB" w:rsidRDefault="005004FB" w:rsidP="005004FB">
                            <w:r>
                              <w:t xml:space="preserve">At its March 2022 meeting, the PBAC recommended larotrectinib for the treatment of paediatric patients with </w:t>
                            </w:r>
                            <w:r>
                              <w:rPr>
                                <w:i/>
                                <w:iCs/>
                              </w:rPr>
                              <w:t xml:space="preserve">NTRK </w:t>
                            </w:r>
                            <w:r>
                              <w:t xml:space="preserve">fusion tumours and adult patients with high frequency </w:t>
                            </w:r>
                            <w:r>
                              <w:rPr>
                                <w:i/>
                                <w:iCs/>
                              </w:rPr>
                              <w:t xml:space="preserve">NTRK </w:t>
                            </w:r>
                            <w:r>
                              <w:t>fusion tumours (specifically mammary analogue secretory carcinoma (MASC) and secretory breast carcinoma)</w:t>
                            </w:r>
                            <w:r w:rsidRPr="0040550E">
                              <w:t xml:space="preserve"> </w:t>
                            </w:r>
                            <w:r>
                              <w:t>noting that MSAC supported funding the co-dependent NTRK testing to determine eligibility for treatment with larotrectinib in all paediatric patients, and adult patients with high frequency NTRK fusion cancer types.</w:t>
                            </w:r>
                            <w:r w:rsidR="006D690B">
                              <w:rPr>
                                <w:vertAlign w:val="superscript"/>
                              </w:rPr>
                              <w:t>34</w:t>
                            </w:r>
                            <w:r>
                              <w:t xml:space="preserve"> </w:t>
                            </w:r>
                          </w:p>
                          <w:p w14:paraId="1377FC61" w14:textId="0D7E4692" w:rsidR="005004FB" w:rsidRDefault="004832F2" w:rsidP="005004FB">
                            <w:r>
                              <w:t>The treatment is expected to address a high and urgent unmet clinical need in patients with NTRK fusion tumours, noting most tumour types in paediatric patients and the tumour types specified for the adult high frequency subgroup are rare cancers with limited treatment options.</w:t>
                            </w:r>
                          </w:p>
                        </w:txbxContent>
                      </wps:txbx>
                      <wps:bodyPr rot="0" vert="horz" wrap="square" lIns="91440" tIns="45720" rIns="91440" bIns="45720" anchor="t" anchorCtr="0">
                        <a:spAutoFit/>
                      </wps:bodyPr>
                    </wps:wsp>
                  </a:graphicData>
                </a:graphic>
              </wp:inline>
            </w:drawing>
          </mc:Choice>
          <mc:Fallback>
            <w:pict>
              <v:shape w14:anchorId="65159988" id="Text Box 27" o:spid="_x0000_s1031" type="#_x0000_t202" style="width:4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WgLwIAAKMEAAAOAAAAZHJzL2Uyb0RvYy54bWy8VNuO0zAQfUfiHyy/06QlbXejpqulSxHS&#10;cpEWPsB1nMbC9hjbbVK+nrGTdgu8IUQeLHvGPnM5c7K667UiR+G8BFPR6SSnRBgOtTT7in79sn11&#10;Q4kPzNRMgREVPQlP79YvX6w6W4oZtKBq4QiCGF92tqJtCLbMMs9boZmfgBUGnQ04zQIe3T6rHesQ&#10;XatslueLrANXWwdceI/Wh8FJ1wm/aQQPn5rGi0BURTG3kFaX1l1cs/WKlXvHbCv5mAb7iyw0kwaD&#10;XqAeWGDk4OQfUFpyBx6aMOGgM2gayUWqAauZ5r9V89QyK1It2BxvL23y/w6Wfzw+2c+OhP4N9Ehg&#10;KsLbR+DfPDGwaZnZi3vnoGsFqzHwNLYs66wvx6ex1b70EWTXfYAaSWaHAAmob5yOXcE6CaIjAadL&#10;00UfCEfjfLFYvl7OKeHomxZ5sZglWjJWnp9b58M7AZrETUUdsprg2fHRh5gOK89XYjQPStZbqVQ6&#10;xEkSG+XIkeEMMM6FCUOZ6qAx38Fe5PgN04BmnJnBvDibMUSayYiUAv4SRBnSVfR2PpsP/fvvCWgZ&#10;UEZK6orexJTHUiJnb02dhjwwqYY91qLMSGLkbWAw9LueyBoJiW2InO6gPiGrDgbVoMpx04L7QUmH&#10;iqmo/35gTlCi3hucjNtpUUSJpUMxXyKNxF17dtceZjhCVTRQMmw3IckycWbvcYK2MnH7nMmYMioh&#10;MTCqNkrt+pxuPf9b1j8BAAD//wMAUEsDBBQABgAIAAAAIQAXxmZi2wAAAAUBAAAPAAAAZHJzL2Rv&#10;d25yZXYueG1sTI9BS8NAEIXvQv/DMgVvdtOF1jbNppSCF4uiVXqeZsckuDsbstsm/ntXL3oZeLzH&#10;e98U29FZcaU+tJ41zGcZCOLKm5ZrDe9vD3crECEiG7SeScMXBdiWk5sCc+MHfqXrMdYilXDIUUMT&#10;Y5dLGaqGHIaZ74iT9+F7hzHJvpamxyGVOytVli2lw5bTQoMd7RuqPo8Xp8EMqIxah4N9PjyGRfei&#10;7p+WJ61vp+NuAyLSGP/C8IOf0KFMTGd/YROE1ZAeib83eau1WoA4a1BqrkCWhfxPX34DAAD//wMA&#10;UEsBAi0AFAAGAAgAAAAhALaDOJL+AAAA4QEAABMAAAAAAAAAAAAAAAAAAAAAAFtDb250ZW50X1R5&#10;cGVzXS54bWxQSwECLQAUAAYACAAAACEAOP0h/9YAAACUAQAACwAAAAAAAAAAAAAAAAAvAQAAX3Jl&#10;bHMvLnJlbHNQSwECLQAUAAYACAAAACEAjbqloC8CAACjBAAADgAAAAAAAAAAAAAAAAAuAgAAZHJz&#10;L2Uyb0RvYy54bWxQSwECLQAUAAYACAAAACEAF8ZmYtsAAAAFAQAADwAAAAAAAAAAAAAAAACJBAAA&#10;ZHJzL2Rvd25yZXYueG1sUEsFBgAAAAAEAAQA8wAAAJEFAAAAAA==&#10;" fillcolor="#b4c6e7 [1300]" strokecolor="#b4c6e7 [1300]">
                <v:textbox style="mso-fit-shape-to-text:t">
                  <w:txbxContent>
                    <w:p w14:paraId="551543EB" w14:textId="77777777" w:rsidR="005004FB" w:rsidRPr="00EB2F3C" w:rsidRDefault="005004FB" w:rsidP="005004FB">
                      <w:pPr>
                        <w:rPr>
                          <w:b/>
                          <w:bCs/>
                        </w:rPr>
                      </w:pPr>
                      <w:r w:rsidRPr="00A51025">
                        <w:rPr>
                          <w:b/>
                          <w:bCs/>
                        </w:rPr>
                        <w:t xml:space="preserve">Vitrakvi </w:t>
                      </w:r>
                    </w:p>
                    <w:p w14:paraId="2BDB6A29" w14:textId="77777777" w:rsidR="005004FB" w:rsidRDefault="005004FB" w:rsidP="005004FB">
                      <w:pPr>
                        <w:spacing w:before="0"/>
                      </w:pPr>
                      <w:r w:rsidRPr="00A51025">
                        <w:t xml:space="preserve">Vitrakvi (larotrectinib) </w:t>
                      </w:r>
                      <w:r>
                        <w:t xml:space="preserve">is registered in Australia for the treatment of metastatic solid tumours that have a neurotrophic tyrosine receptor kinase gene fusion. The PBAC considered larotrectinib at its November 2020, December 2020, November 2021, and March 2022 meetings for the targeted treatment of </w:t>
                      </w:r>
                      <w:r>
                        <w:rPr>
                          <w:i/>
                          <w:iCs/>
                        </w:rPr>
                        <w:t xml:space="preserve">NTRK </w:t>
                      </w:r>
                      <w:r>
                        <w:t xml:space="preserve">fusion solid tumours that are unresectable locally advanced, metastatic, or locally advanced and would otherwise require disfiguring surgery or limb amputation to achieve a complete surgical resection. </w:t>
                      </w:r>
                    </w:p>
                    <w:p w14:paraId="1B846DEE" w14:textId="77777777" w:rsidR="005004FB" w:rsidRDefault="005004FB" w:rsidP="005004FB">
                      <w:r>
                        <w:t>The main PBAC concerns raised in the November 2020 public summary document were in relation to uncertainty about the effectiveness in the proposed subpopulations with low frequency NTRK fusions.</w:t>
                      </w:r>
                      <w:r>
                        <w:rPr>
                          <w:rStyle w:val="FootnoteReference"/>
                        </w:rPr>
                        <w:footnoteRef/>
                      </w:r>
                      <w:r>
                        <w:t xml:space="preserve">  The PBAC also noted that collectively, the single-arm design of the larotrectinib studies, small patient numbers (due to rarity of </w:t>
                      </w:r>
                      <w:r>
                        <w:rPr>
                          <w:i/>
                          <w:iCs/>
                        </w:rPr>
                        <w:t>NTRK</w:t>
                      </w:r>
                      <w:r>
                        <w:t xml:space="preserve"> fusion cancers), potential heterogeneity in disease characteristics and treatment outcomes by tumour type, the impact of confounding of overall survival from subsequent treatments received post-progression in the larotrectinib studies amongst other factors contributed to a high degree of uncertainty about the magnitude of incremental benefit of larotrectinib.</w:t>
                      </w:r>
                    </w:p>
                    <w:p w14:paraId="4279FE6E" w14:textId="1F67EA23" w:rsidR="005004FB" w:rsidRDefault="005004FB" w:rsidP="005004FB">
                      <w:r>
                        <w:t xml:space="preserve">At its March 2022 meeting, the PBAC recommended larotrectinib for the treatment of paediatric patients with </w:t>
                      </w:r>
                      <w:r>
                        <w:rPr>
                          <w:i/>
                          <w:iCs/>
                        </w:rPr>
                        <w:t xml:space="preserve">NTRK </w:t>
                      </w:r>
                      <w:r>
                        <w:t xml:space="preserve">fusion tumours and adult patients with high frequency </w:t>
                      </w:r>
                      <w:r>
                        <w:rPr>
                          <w:i/>
                          <w:iCs/>
                        </w:rPr>
                        <w:t xml:space="preserve">NTRK </w:t>
                      </w:r>
                      <w:r>
                        <w:t>fusion tumours (specifically mammary analogue secretory carcinoma (MASC) and secretory breast carcinoma)</w:t>
                      </w:r>
                      <w:r w:rsidRPr="0040550E">
                        <w:t xml:space="preserve"> </w:t>
                      </w:r>
                      <w:r>
                        <w:t>noting that MSAC supported funding the co-dependent NTRK testing to determine eligibility for treatment with larotrectinib in all paediatric patients, and adult patients with high frequency NTRK fusion cancer types.</w:t>
                      </w:r>
                      <w:r w:rsidR="006D690B">
                        <w:rPr>
                          <w:vertAlign w:val="superscript"/>
                        </w:rPr>
                        <w:t>34</w:t>
                      </w:r>
                      <w:r>
                        <w:t xml:space="preserve"> </w:t>
                      </w:r>
                    </w:p>
                    <w:p w14:paraId="1377FC61" w14:textId="0D7E4692" w:rsidR="005004FB" w:rsidRDefault="004832F2" w:rsidP="005004FB">
                      <w:r>
                        <w:t>The treatment is expected to address a high and urgent unmet clinical need in patients with NTRK fusion tumours, noting most tumour types in paediatric patients and the tumour types specified for the adult high frequency subgroup are rare cancers with limited treatment options.</w:t>
                      </w:r>
                    </w:p>
                  </w:txbxContent>
                </v:textbox>
                <w10:anchorlock/>
              </v:shape>
            </w:pict>
          </mc:Fallback>
        </mc:AlternateContent>
      </w:r>
    </w:p>
    <w:p w14:paraId="76E5D082" w14:textId="0788EB24" w:rsidR="004832F2" w:rsidRPr="004832F2" w:rsidRDefault="004832F2" w:rsidP="004832F2">
      <w:r>
        <w:rPr>
          <w:noProof/>
        </w:rPr>
        <mc:AlternateContent>
          <mc:Choice Requires="wps">
            <w:drawing>
              <wp:inline distT="0" distB="0" distL="0" distR="0" wp14:anchorId="2AB16CB1" wp14:editId="73A38702">
                <wp:extent cx="5667375" cy="1404620"/>
                <wp:effectExtent l="0" t="0" r="28575" b="2413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53914821" w14:textId="08EFCE22" w:rsidR="004832F2" w:rsidRDefault="004832F2" w:rsidP="004832F2">
                            <w:r>
                              <w:t xml:space="preserve">The Pre-Sub-Committee Response (PSCR) indicated that tumour types were not specified for paediatric high and low frequency subgroups due to ethical considerations, as all paediatric patients have access to NTRK fusion testing through the Zero Childhood Cancer Initiative. The Economics and Evaluation Subcommittees (ESCs) considered specifying tumour types for the adult population only was reasonable. Larotrectinib was the first medicine to be subsidised through the PBS for a tumour agnostic indication. </w:t>
                            </w:r>
                          </w:p>
                        </w:txbxContent>
                      </wps:txbx>
                      <wps:bodyPr rot="0" vert="horz" wrap="square" lIns="91440" tIns="45720" rIns="91440" bIns="45720" anchor="t" anchorCtr="0">
                        <a:spAutoFit/>
                      </wps:bodyPr>
                    </wps:wsp>
                  </a:graphicData>
                </a:graphic>
              </wp:inline>
            </w:drawing>
          </mc:Choice>
          <mc:Fallback>
            <w:pict>
              <v:shape w14:anchorId="2AB16CB1" id="Text Box 29" o:spid="_x0000_s1032" type="#_x0000_t202" style="width:446.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dhLwIAAKMEAAAOAAAAZHJzL2Uyb0RvYy54bWy8VNuO0zAQfUfiHyy/06SlTXejpqulSxHS&#10;cpEWPsB1nMbC9hjbbVK+nrGTdgu8IUQeLHvGPnM5c7K667UiR+G8BFPR6SSnRBgOtTT7in79sn11&#10;Q4kPzNRMgREVPQlP79YvX6w6W4oZtKBq4QiCGF92tqJtCLbMMs9boZmfgBUGnQ04zQIe3T6rHesQ&#10;XatsludF1oGrrQMuvEfrw+Ck64TfNIKHT03jRSCqophbSKtL6y6u2XrFyr1jtpV8TIP9RRaaSYNB&#10;L1APLDBycPIPKC25Aw9NmHDQGTSN5CLVgNVM89+qeWqZFakWbI63lzb5fwfLPx6f7GdHQv8GeiQw&#10;FeHtI/BvnhjYtMzsxb1z0LWC1Rh4GluWddaX49PYal/6CLLrPkCNJLNDgATUN07HrmCdBNGRgNOl&#10;6aIPhKNxURTL18sFJRx903k+L2aJloyV5+fW+fBOgCZxU1GHrCZ4dnz0IabDyvOVGM2DkvVWKpUO&#10;cZLERjlyZDgDjHNhwlCmOmjMd7DPc/yGaUAzzsxgLs5mDJFmMiKlgL8EUYZ0Fb1dzBZD//57AloG&#10;lJGSuqI3MeWxlMjZW1OnIQ9MqmGPtSgzkhh5GxgM/a4nsq5oEdsQOd1BfUJWHQyqQZXjpgX3g5IO&#10;FVNR//3AnKBEvTc4GbfT+TxKLB3miyXSSNy1Z3ftYYYjVEUDJcN2E5IsE2f2HidoKxO3z5mMKaMS&#10;EgOjaqPUrs/p1vO/Zf0TAAD//wMAUEsDBBQABgAIAAAAIQAXxmZi2wAAAAUBAAAPAAAAZHJzL2Rv&#10;d25yZXYueG1sTI9BS8NAEIXvQv/DMgVvdtOF1jbNppSCF4uiVXqeZsckuDsbstsm/ntXL3oZeLzH&#10;e98U29FZcaU+tJ41zGcZCOLKm5ZrDe9vD3crECEiG7SeScMXBdiWk5sCc+MHfqXrMdYilXDIUUMT&#10;Y5dLGaqGHIaZ74iT9+F7hzHJvpamxyGVOytVli2lw5bTQoMd7RuqPo8Xp8EMqIxah4N9PjyGRfei&#10;7p+WJ61vp+NuAyLSGP/C8IOf0KFMTGd/YROE1ZAeib83eau1WoA4a1BqrkCWhfxPX34DAAD//wMA&#10;UEsBAi0AFAAGAAgAAAAhALaDOJL+AAAA4QEAABMAAAAAAAAAAAAAAAAAAAAAAFtDb250ZW50X1R5&#10;cGVzXS54bWxQSwECLQAUAAYACAAAACEAOP0h/9YAAACUAQAACwAAAAAAAAAAAAAAAAAvAQAAX3Jl&#10;bHMvLnJlbHNQSwECLQAUAAYACAAAACEAumRnYS8CAACjBAAADgAAAAAAAAAAAAAAAAAuAgAAZHJz&#10;L2Uyb0RvYy54bWxQSwECLQAUAAYACAAAACEAF8ZmYtsAAAAFAQAADwAAAAAAAAAAAAAAAACJBAAA&#10;ZHJzL2Rvd25yZXYueG1sUEsFBgAAAAAEAAQA8wAAAJEFAAAAAA==&#10;" fillcolor="#b4c6e7 [1300]" strokecolor="#b4c6e7 [1300]">
                <v:textbox style="mso-fit-shape-to-text:t">
                  <w:txbxContent>
                    <w:p w14:paraId="53914821" w14:textId="08EFCE22" w:rsidR="004832F2" w:rsidRDefault="004832F2" w:rsidP="004832F2">
                      <w:r>
                        <w:t xml:space="preserve">The Pre-Sub-Committee Response (PSCR) indicated that tumour types were not specified for paediatric high and low frequency subgroups due to ethical considerations, as all paediatric patients have access to NTRK fusion testing through the Zero Childhood Cancer Initiative. The Economics and Evaluation Subcommittees (ESCs) considered specifying tumour types for the adult population only was reasonable. Larotrectinib was the first medicine to be subsidised through the PBS for a tumour agnostic indication. </w:t>
                      </w:r>
                    </w:p>
                  </w:txbxContent>
                </v:textbox>
                <w10:anchorlock/>
              </v:shape>
            </w:pict>
          </mc:Fallback>
        </mc:AlternateContent>
      </w:r>
    </w:p>
    <w:p w14:paraId="04BA2F4A" w14:textId="0C9D8A52" w:rsidR="00550938" w:rsidRDefault="00550938" w:rsidP="00D03CCB">
      <w:pPr>
        <w:pStyle w:val="Heading3"/>
        <w:ind w:left="709"/>
      </w:pPr>
      <w:r>
        <w:t xml:space="preserve">Challenges identified for assessment, </w:t>
      </w:r>
      <w:r w:rsidR="00A81872">
        <w:t>funding,</w:t>
      </w:r>
      <w:r>
        <w:t xml:space="preserve"> and implementation of </w:t>
      </w:r>
      <w:r w:rsidR="00695D06">
        <w:t>tumour</w:t>
      </w:r>
      <w:r w:rsidR="00316713">
        <w:t xml:space="preserve"> agnostic therapie</w:t>
      </w:r>
      <w:r>
        <w:t>s</w:t>
      </w:r>
    </w:p>
    <w:p w14:paraId="4FFE7C57" w14:textId="36DE0155" w:rsidR="007E3807" w:rsidRPr="00CF7E8C" w:rsidRDefault="00A81872" w:rsidP="00550938">
      <w:pPr>
        <w:rPr>
          <w:rFonts w:cstheme="minorHAnsi"/>
          <w:vertAlign w:val="superscript"/>
        </w:rPr>
      </w:pPr>
      <w:r>
        <w:t>Several</w:t>
      </w:r>
      <w:r w:rsidR="00550938">
        <w:t xml:space="preserve"> the main issues for the assessment, funding and implementation of </w:t>
      </w:r>
      <w:r w:rsidR="00695D06">
        <w:t xml:space="preserve">tumour </w:t>
      </w:r>
      <w:r w:rsidR="00316713">
        <w:t>agnostic therapies</w:t>
      </w:r>
      <w:r w:rsidR="00550938">
        <w:t xml:space="preserve"> are identified in the FDA guidelines for Tissue Agnostic Drug Development in Oncology.</w:t>
      </w:r>
      <w:r w:rsidR="00AA6F5A" w:rsidRPr="009132B4">
        <w:rPr>
          <w:rFonts w:cstheme="minorHAnsi"/>
          <w:vertAlign w:val="superscript"/>
        </w:rPr>
        <w:fldChar w:fldCharType="begin"/>
      </w:r>
      <w:r w:rsidR="00AA6F5A" w:rsidRPr="009132B4">
        <w:rPr>
          <w:rFonts w:cstheme="minorHAnsi"/>
          <w:vertAlign w:val="superscript"/>
        </w:rPr>
        <w:instrText xml:space="preserve"> NOTEREF _Ref126935006 \h  \* MERGEFORMAT </w:instrText>
      </w:r>
      <w:r w:rsidR="00AA6F5A" w:rsidRPr="009132B4">
        <w:rPr>
          <w:rFonts w:cstheme="minorHAnsi"/>
          <w:vertAlign w:val="superscript"/>
        </w:rPr>
      </w:r>
      <w:r w:rsidR="00AA6F5A" w:rsidRPr="009132B4">
        <w:rPr>
          <w:rFonts w:cstheme="minorHAnsi"/>
          <w:vertAlign w:val="superscript"/>
        </w:rPr>
        <w:fldChar w:fldCharType="separate"/>
      </w:r>
      <w:r w:rsidR="00395B47">
        <w:rPr>
          <w:rFonts w:cstheme="minorHAnsi"/>
          <w:vertAlign w:val="superscript"/>
        </w:rPr>
        <w:t>31</w:t>
      </w:r>
      <w:r w:rsidR="00AA6F5A" w:rsidRPr="009132B4">
        <w:rPr>
          <w:rFonts w:cstheme="minorHAnsi"/>
          <w:vertAlign w:val="superscript"/>
        </w:rPr>
        <w:fldChar w:fldCharType="end"/>
      </w:r>
    </w:p>
    <w:p w14:paraId="34527E7A" w14:textId="57F586B9" w:rsidR="00550938" w:rsidRPr="00330FBE" w:rsidRDefault="00550938" w:rsidP="00330FBE">
      <w:pPr>
        <w:rPr>
          <w:b/>
          <w:bCs/>
          <w:color w:val="002060"/>
        </w:rPr>
      </w:pPr>
      <w:r w:rsidRPr="00330FBE">
        <w:rPr>
          <w:b/>
          <w:bCs/>
          <w:color w:val="002060"/>
        </w:rPr>
        <w:t xml:space="preserve">Table </w:t>
      </w:r>
      <w:r w:rsidR="00316713" w:rsidRPr="00330FBE">
        <w:rPr>
          <w:b/>
          <w:bCs/>
          <w:color w:val="002060"/>
        </w:rPr>
        <w:t>6</w:t>
      </w:r>
      <w:r w:rsidRPr="00330FBE">
        <w:rPr>
          <w:b/>
          <w:bCs/>
          <w:color w:val="002060"/>
        </w:rPr>
        <w:t xml:space="preserve"> </w:t>
      </w:r>
      <w:r w:rsidR="00316713" w:rsidRPr="00330FBE">
        <w:rPr>
          <w:b/>
          <w:bCs/>
          <w:color w:val="002060"/>
        </w:rPr>
        <w:t xml:space="preserve">key challenges for assessment of </w:t>
      </w:r>
      <w:r w:rsidR="00695D06" w:rsidRPr="00330FBE">
        <w:rPr>
          <w:b/>
          <w:bCs/>
          <w:color w:val="002060"/>
        </w:rPr>
        <w:t xml:space="preserve">tumour </w:t>
      </w:r>
      <w:r w:rsidR="00316713" w:rsidRPr="00330FBE">
        <w:rPr>
          <w:b/>
          <w:bCs/>
          <w:color w:val="002060"/>
        </w:rPr>
        <w:t>agnostic therapies</w:t>
      </w:r>
    </w:p>
    <w:tbl>
      <w:tblPr>
        <w:tblStyle w:val="DepartmentofHealthtable"/>
        <w:tblW w:w="0" w:type="auto"/>
        <w:tblLook w:val="04A0" w:firstRow="1" w:lastRow="0" w:firstColumn="1" w:lastColumn="0" w:noHBand="0" w:noVBand="1"/>
      </w:tblPr>
      <w:tblGrid>
        <w:gridCol w:w="2268"/>
        <w:gridCol w:w="6748"/>
      </w:tblGrid>
      <w:tr w:rsidR="00550938" w14:paraId="0BEE3F51" w14:textId="77777777" w:rsidTr="00A80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BCAE490" w14:textId="77777777" w:rsidR="00550938" w:rsidRPr="009132B4" w:rsidRDefault="00550938" w:rsidP="006055E0">
            <w:pPr>
              <w:keepNext/>
              <w:keepLines/>
              <w:spacing w:before="0"/>
              <w:rPr>
                <w:rFonts w:asciiTheme="minorHAnsi" w:hAnsiTheme="minorHAnsi" w:cstheme="minorHAnsi"/>
                <w:b/>
                <w:bCs/>
                <w:sz w:val="20"/>
              </w:rPr>
            </w:pPr>
            <w:r w:rsidRPr="009132B4">
              <w:rPr>
                <w:rFonts w:asciiTheme="minorHAnsi" w:hAnsiTheme="minorHAnsi" w:cstheme="minorHAnsi"/>
                <w:b/>
                <w:bCs/>
                <w:sz w:val="20"/>
              </w:rPr>
              <w:t>Issue</w:t>
            </w:r>
          </w:p>
        </w:tc>
        <w:tc>
          <w:tcPr>
            <w:tcW w:w="6748" w:type="dxa"/>
          </w:tcPr>
          <w:p w14:paraId="11AF44C7" w14:textId="77777777" w:rsidR="00550938" w:rsidRPr="009132B4" w:rsidRDefault="00550938" w:rsidP="006055E0">
            <w:pPr>
              <w:keepNext/>
              <w:keepLine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9132B4">
              <w:rPr>
                <w:rFonts w:asciiTheme="minorHAnsi" w:hAnsiTheme="minorHAnsi" w:cstheme="minorHAnsi"/>
                <w:b/>
                <w:bCs/>
                <w:sz w:val="20"/>
              </w:rPr>
              <w:t>Description</w:t>
            </w:r>
          </w:p>
        </w:tc>
      </w:tr>
      <w:tr w:rsidR="00550938" w14:paraId="34ADFCD6"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FFC2AB" w14:textId="39B6350F" w:rsidR="00550938" w:rsidRPr="009132B4" w:rsidRDefault="00550938" w:rsidP="006055E0">
            <w:pPr>
              <w:keepNext/>
              <w:keepLines/>
              <w:spacing w:before="0"/>
              <w:rPr>
                <w:rFonts w:cstheme="minorHAnsi"/>
              </w:rPr>
            </w:pPr>
            <w:r w:rsidRPr="009132B4">
              <w:rPr>
                <w:rFonts w:cstheme="minorHAnsi"/>
                <w:b/>
                <w:bCs/>
              </w:rPr>
              <w:t>Generalisation across cancer types</w:t>
            </w:r>
          </w:p>
        </w:tc>
        <w:tc>
          <w:tcPr>
            <w:tcW w:w="6748" w:type="dxa"/>
          </w:tcPr>
          <w:p w14:paraId="67DBF575" w14:textId="18514AD2" w:rsidR="00550938" w:rsidRPr="009132B4" w:rsidRDefault="00550938" w:rsidP="006055E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b/>
                <w:bCs/>
              </w:rPr>
            </w:pPr>
            <w:r w:rsidRPr="009132B4">
              <w:rPr>
                <w:rFonts w:cstheme="minorHAnsi"/>
              </w:rPr>
              <w:t xml:space="preserve">Development of </w:t>
            </w:r>
            <w:r w:rsidR="004B0F50">
              <w:rPr>
                <w:rFonts w:cstheme="minorHAnsi"/>
              </w:rPr>
              <w:t>histology tissue agnostic drugs</w:t>
            </w:r>
            <w:r w:rsidRPr="009132B4">
              <w:rPr>
                <w:rFonts w:cstheme="minorHAnsi"/>
              </w:rPr>
              <w:t xml:space="preserve"> involves generalisation of treatment effects based on data observed in some cancer types to other cancer types with the same molecular alteration where no subjects (or a limited number of subjects) were included in the clinical trial. This creates greater uncertainty about a drug’s effectiveness across all individual cancer types.</w:t>
            </w:r>
          </w:p>
          <w:p w14:paraId="7C647373" w14:textId="77777777" w:rsidR="00550938" w:rsidRPr="009132B4" w:rsidRDefault="00550938" w:rsidP="006055E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p>
        </w:tc>
      </w:tr>
      <w:tr w:rsidR="00550938" w14:paraId="689D1BC4"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1C9738A" w14:textId="77777777" w:rsidR="00550938" w:rsidRPr="009132B4" w:rsidRDefault="00550938" w:rsidP="006055E0">
            <w:pPr>
              <w:keepNext/>
              <w:keepLines/>
              <w:spacing w:before="0"/>
              <w:rPr>
                <w:rFonts w:cstheme="minorHAnsi"/>
              </w:rPr>
            </w:pPr>
            <w:r w:rsidRPr="009132B4">
              <w:rPr>
                <w:rFonts w:cstheme="minorHAnsi"/>
                <w:b/>
                <w:bCs/>
              </w:rPr>
              <w:t>Rarity of mutation types</w:t>
            </w:r>
          </w:p>
        </w:tc>
        <w:tc>
          <w:tcPr>
            <w:tcW w:w="6748" w:type="dxa"/>
          </w:tcPr>
          <w:p w14:paraId="786227C8" w14:textId="64A4EBA0" w:rsidR="00550938" w:rsidRPr="009132B4" w:rsidRDefault="00550938" w:rsidP="006055E0">
            <w:pPr>
              <w:keepNext/>
              <w:keepLines/>
              <w:spacing w:before="0"/>
              <w:cnfStyle w:val="000000010000" w:firstRow="0" w:lastRow="0" w:firstColumn="0" w:lastColumn="0" w:oddVBand="0" w:evenVBand="0" w:oddHBand="0" w:evenHBand="1" w:firstRowFirstColumn="0" w:firstRowLastColumn="0" w:lastRowFirstColumn="0" w:lastRowLastColumn="0"/>
              <w:rPr>
                <w:rFonts w:cstheme="minorHAnsi"/>
              </w:rPr>
            </w:pPr>
            <w:r w:rsidRPr="009132B4">
              <w:rPr>
                <w:rFonts w:cstheme="minorHAnsi"/>
              </w:rPr>
              <w:t xml:space="preserve">If the mutation targeted by the drug is rare across difference cancers (such as NTRK fusions), there will be a high degree of heterogeneity in populations, disease characteristics, </w:t>
            </w:r>
            <w:r w:rsidR="00A81872" w:rsidRPr="009132B4">
              <w:rPr>
                <w:rFonts w:cstheme="minorHAnsi"/>
              </w:rPr>
              <w:t>pharmacokinetics,</w:t>
            </w:r>
            <w:r w:rsidRPr="009132B4">
              <w:rPr>
                <w:rFonts w:cstheme="minorHAnsi"/>
              </w:rPr>
              <w:t xml:space="preserve"> and pharmacodynamics, that will impact overall survival. This increases uncertainty when determining comparative safety and efficacy.</w:t>
            </w:r>
          </w:p>
        </w:tc>
      </w:tr>
      <w:tr w:rsidR="00550938" w14:paraId="0DAB630B"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E3F0EA2" w14:textId="77777777" w:rsidR="00550938" w:rsidRPr="009132B4" w:rsidRDefault="00550938" w:rsidP="006055E0">
            <w:pPr>
              <w:keepNext/>
              <w:keepLines/>
              <w:spacing w:before="0"/>
              <w:rPr>
                <w:rFonts w:cstheme="minorHAnsi"/>
              </w:rPr>
            </w:pPr>
            <w:r w:rsidRPr="009132B4">
              <w:rPr>
                <w:rFonts w:cstheme="minorHAnsi"/>
                <w:b/>
                <w:bCs/>
              </w:rPr>
              <w:t>Availability of satisfactory therapies</w:t>
            </w:r>
          </w:p>
        </w:tc>
        <w:tc>
          <w:tcPr>
            <w:tcW w:w="6748" w:type="dxa"/>
          </w:tcPr>
          <w:p w14:paraId="0421544B" w14:textId="01B01C74" w:rsidR="00550938" w:rsidRPr="009132B4" w:rsidRDefault="00550938" w:rsidP="006055E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r w:rsidRPr="009132B4">
              <w:rPr>
                <w:rFonts w:cstheme="minorHAnsi"/>
              </w:rPr>
              <w:t xml:space="preserve">if satisfactory therapies are already available, uncertainty about effectiveness increases risk that patients will </w:t>
            </w:r>
            <w:r w:rsidR="003D62E9">
              <w:rPr>
                <w:rFonts w:cstheme="minorHAnsi"/>
              </w:rPr>
              <w:t>be provided a treatment that is less effective than what is available.</w:t>
            </w:r>
          </w:p>
        </w:tc>
      </w:tr>
      <w:tr w:rsidR="00550938" w14:paraId="63D81B5C"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034D67" w14:textId="77777777" w:rsidR="00550938" w:rsidRPr="009132B4" w:rsidRDefault="00550938" w:rsidP="006055E0">
            <w:pPr>
              <w:keepNext/>
              <w:keepLines/>
              <w:spacing w:before="0"/>
              <w:rPr>
                <w:rFonts w:cstheme="minorHAnsi"/>
              </w:rPr>
            </w:pPr>
            <w:r w:rsidRPr="009132B4">
              <w:rPr>
                <w:rFonts w:cstheme="minorHAnsi"/>
                <w:b/>
                <w:bCs/>
              </w:rPr>
              <w:t>Diagnostics</w:t>
            </w:r>
          </w:p>
        </w:tc>
        <w:tc>
          <w:tcPr>
            <w:tcW w:w="6748" w:type="dxa"/>
          </w:tcPr>
          <w:p w14:paraId="30BD28EF" w14:textId="013E555B" w:rsidR="00550938" w:rsidRPr="009132B4" w:rsidRDefault="00550938" w:rsidP="006055E0">
            <w:pPr>
              <w:keepNext/>
              <w:keepLines/>
              <w:spacing w:before="0"/>
              <w:cnfStyle w:val="000000010000" w:firstRow="0" w:lastRow="0" w:firstColumn="0" w:lastColumn="0" w:oddVBand="0" w:evenVBand="0" w:oddHBand="0" w:evenHBand="1" w:firstRowFirstColumn="0" w:firstRowLastColumn="0" w:lastRowFirstColumn="0" w:lastRowLastColumn="0"/>
              <w:rPr>
                <w:rFonts w:cstheme="minorHAnsi"/>
              </w:rPr>
            </w:pPr>
            <w:r w:rsidRPr="009132B4">
              <w:rPr>
                <w:rFonts w:cstheme="minorHAnsi"/>
              </w:rPr>
              <w:t xml:space="preserve">The efficacy of </w:t>
            </w:r>
            <w:r w:rsidR="00AF602F">
              <w:rPr>
                <w:rFonts w:cstheme="minorHAnsi"/>
              </w:rPr>
              <w:t>tumour</w:t>
            </w:r>
            <w:r>
              <w:rPr>
                <w:rFonts w:cstheme="minorHAnsi"/>
              </w:rPr>
              <w:t>-agnostic ther</w:t>
            </w:r>
            <w:r w:rsidR="00AA6F5A">
              <w:rPr>
                <w:rFonts w:cstheme="minorHAnsi"/>
              </w:rPr>
              <w:t>a</w:t>
            </w:r>
            <w:r>
              <w:rPr>
                <w:rFonts w:cstheme="minorHAnsi"/>
              </w:rPr>
              <w:t>pies</w:t>
            </w:r>
            <w:r w:rsidRPr="009132B4">
              <w:rPr>
                <w:rFonts w:cstheme="minorHAnsi"/>
              </w:rPr>
              <w:t xml:space="preserve"> is dependent on the availability of accurate and reliable diagnostic tests that can identify patients irrespective of cancer type. Variability in specimen collection and handling across tumour types can reduce the accuracy and reliability of diagnostic tests.</w:t>
            </w:r>
          </w:p>
        </w:tc>
      </w:tr>
    </w:tbl>
    <w:p w14:paraId="42014987" w14:textId="1C77B1A8" w:rsidR="004473E7" w:rsidRDefault="004473E7" w:rsidP="00773206">
      <w:pPr>
        <w:keepNext/>
        <w:keepLines/>
        <w:spacing w:before="0"/>
        <w:rPr>
          <w:rFonts w:cstheme="minorHAnsi"/>
          <w:color w:val="000000" w:themeColor="text1"/>
        </w:rPr>
      </w:pPr>
      <w:bookmarkStart w:id="143" w:name="_Hlk130199234"/>
    </w:p>
    <w:p w14:paraId="6F5D2C19" w14:textId="78569BF0" w:rsidR="00CB7F01" w:rsidRDefault="00CB7F01" w:rsidP="00CB7F01">
      <w:pPr>
        <w:spacing w:before="0" w:line="240" w:lineRule="auto"/>
        <w:rPr>
          <w:rFonts w:ascii="Times New Roman" w:hAnsi="Times New Roman" w:cs="Times New Roman"/>
          <w:sz w:val="24"/>
          <w:szCs w:val="24"/>
          <w:lang w:val="en-AU" w:eastAsia="ja-JP"/>
        </w:rPr>
      </w:pPr>
      <w:r>
        <w:rPr>
          <w:rFonts w:cstheme="minorHAnsi"/>
          <w:color w:val="000000" w:themeColor="text1"/>
        </w:rPr>
        <w:t>Some of these issues were also explored by the PBAC in its August 2018 advice to the then Minister for Health on options for listing PD-(L)1 checkpoint inhibitors for multiple cancer indications on the PBS.</w:t>
      </w:r>
      <w:bookmarkStart w:id="144" w:name="_Ref134188366"/>
      <w:r>
        <w:rPr>
          <w:rStyle w:val="FootnoteReference"/>
          <w:rFonts w:cstheme="minorHAnsi"/>
          <w:color w:val="000000" w:themeColor="text1"/>
        </w:rPr>
        <w:footnoteReference w:id="36"/>
      </w:r>
      <w:bookmarkEnd w:id="144"/>
      <w:r>
        <w:rPr>
          <w:rFonts w:cstheme="minorHAnsi"/>
          <w:color w:val="000000" w:themeColor="text1"/>
        </w:rPr>
        <w:t xml:space="preserve"> In its advice, the PBAC noted several challenges in the assessment, funding, and implementation of pan-tumour listings for PD-(L)1 inhibitors which noted variability in results of trials of tests for biomarkers.</w:t>
      </w:r>
      <w:r w:rsidR="003F49D4" w:rsidRPr="003F49D4">
        <w:rPr>
          <w:vertAlign w:val="superscript"/>
        </w:rPr>
        <w:fldChar w:fldCharType="begin"/>
      </w:r>
      <w:r w:rsidR="003F49D4" w:rsidRPr="003F49D4">
        <w:rPr>
          <w:rFonts w:cstheme="minorHAnsi"/>
          <w:color w:val="000000" w:themeColor="text1"/>
          <w:vertAlign w:val="superscript"/>
        </w:rPr>
        <w:instrText xml:space="preserve"> NOTEREF _Ref134188366 \h </w:instrText>
      </w:r>
      <w:r w:rsidR="003F49D4">
        <w:rPr>
          <w:vertAlign w:val="superscript"/>
        </w:rPr>
        <w:instrText xml:space="preserve"> \* MERGEFORMAT </w:instrText>
      </w:r>
      <w:r w:rsidR="003F49D4" w:rsidRPr="003F49D4">
        <w:rPr>
          <w:vertAlign w:val="superscript"/>
        </w:rPr>
      </w:r>
      <w:r w:rsidR="003F49D4" w:rsidRPr="003F49D4">
        <w:rPr>
          <w:vertAlign w:val="superscript"/>
        </w:rPr>
        <w:fldChar w:fldCharType="separate"/>
      </w:r>
      <w:r w:rsidR="00395B47">
        <w:rPr>
          <w:rFonts w:cstheme="minorHAnsi"/>
          <w:color w:val="000000" w:themeColor="text1"/>
          <w:vertAlign w:val="superscript"/>
        </w:rPr>
        <w:t>35</w:t>
      </w:r>
      <w:r w:rsidR="003F49D4" w:rsidRPr="003F49D4">
        <w:rPr>
          <w:vertAlign w:val="superscript"/>
        </w:rPr>
        <w:fldChar w:fldCharType="end"/>
      </w:r>
    </w:p>
    <w:p w14:paraId="002C04E4" w14:textId="29FF5AA4" w:rsidR="00CB7F01" w:rsidRDefault="00CB7F01" w:rsidP="00CB7F01">
      <w:pPr>
        <w:spacing w:before="0" w:line="240" w:lineRule="auto"/>
        <w:rPr>
          <w:rFonts w:cstheme="minorHAnsi"/>
          <w:color w:val="000000" w:themeColor="text1"/>
        </w:rPr>
      </w:pPr>
      <w:r>
        <w:rPr>
          <w:rFonts w:cstheme="minorHAnsi"/>
          <w:color w:val="000000" w:themeColor="text1"/>
        </w:rPr>
        <w:t xml:space="preserve">  </w:t>
      </w:r>
    </w:p>
    <w:p w14:paraId="0BE43F8A" w14:textId="547474CD" w:rsidR="00CB7F01" w:rsidRPr="00CB7F01" w:rsidRDefault="00CB7F01" w:rsidP="00CB7F01">
      <w:pPr>
        <w:spacing w:before="0" w:line="240" w:lineRule="auto"/>
        <w:rPr>
          <w:rFonts w:cstheme="minorHAnsi"/>
          <w:color w:val="000000" w:themeColor="text1"/>
        </w:rPr>
      </w:pPr>
      <w:r>
        <w:rPr>
          <w:rFonts w:cstheme="minorHAnsi"/>
          <w:color w:val="000000" w:themeColor="text1"/>
        </w:rPr>
        <w:t xml:space="preserve">The </w:t>
      </w:r>
      <w:r>
        <w:t xml:space="preserve">available evidence often does not show a consistent relationship between biomarker status and treatment outcomes across tumour types. Therefore, it becomes difficult to generalise to </w:t>
      </w:r>
      <w:r w:rsidR="008E03B0">
        <w:t>tumour</w:t>
      </w:r>
      <w:r>
        <w:t xml:space="preserve"> types not in the studies when the available evidence already suggests there are inconsistent treatment benefits.</w:t>
      </w:r>
    </w:p>
    <w:p w14:paraId="36E73A2C" w14:textId="77777777" w:rsidR="00CB7F01" w:rsidRPr="00CB7F01" w:rsidRDefault="00CB7F01" w:rsidP="00DB6D0D">
      <w:pPr>
        <w:spacing w:before="0"/>
        <w:rPr>
          <w:rFonts w:cstheme="minorHAnsi"/>
          <w:color w:val="000000" w:themeColor="text1"/>
          <w:lang w:val="en-AU"/>
        </w:rPr>
      </w:pPr>
    </w:p>
    <w:p w14:paraId="3176E4CF" w14:textId="216739FD" w:rsidR="000344DE" w:rsidRDefault="0050093A" w:rsidP="00D03CCB">
      <w:pPr>
        <w:pStyle w:val="Heading1"/>
        <w:spacing w:before="0"/>
        <w:ind w:left="426"/>
      </w:pPr>
      <w:bookmarkStart w:id="145" w:name="_Toc158900427"/>
      <w:bookmarkEnd w:id="143"/>
      <w:r>
        <w:t>Emerging</w:t>
      </w:r>
      <w:r w:rsidR="0021462B">
        <w:t xml:space="preserve"> </w:t>
      </w:r>
      <w:r w:rsidR="00CB7B23">
        <w:t>antibody</w:t>
      </w:r>
      <w:r w:rsidR="004473E7">
        <w:t>-</w:t>
      </w:r>
      <w:r w:rsidR="00CB7B23">
        <w:t xml:space="preserve">based </w:t>
      </w:r>
      <w:r w:rsidR="00430013">
        <w:t>therapies</w:t>
      </w:r>
      <w:bookmarkEnd w:id="145"/>
      <w:r w:rsidR="000344DE">
        <w:t xml:space="preserve"> </w:t>
      </w:r>
    </w:p>
    <w:p w14:paraId="39349644" w14:textId="77777777" w:rsidR="000344DE" w:rsidRPr="00D84513" w:rsidRDefault="000344DE" w:rsidP="00A167C3">
      <w:pPr>
        <w:pStyle w:val="Heading2"/>
      </w:pPr>
      <w:bookmarkStart w:id="146" w:name="_Toc158900428"/>
      <w:r w:rsidRPr="00D84513">
        <w:t>Antibody-drug conjugates</w:t>
      </w:r>
      <w:bookmarkEnd w:id="146"/>
    </w:p>
    <w:p w14:paraId="6D60722A" w14:textId="0BB2F931" w:rsidR="000344DE" w:rsidRPr="00575BE2" w:rsidRDefault="00F73F57" w:rsidP="000344DE">
      <w:pPr>
        <w:rPr>
          <w:vertAlign w:val="superscript"/>
        </w:rPr>
      </w:pPr>
      <w:r>
        <w:t>Antibody</w:t>
      </w:r>
      <w:r w:rsidR="004473E7">
        <w:t>-</w:t>
      </w:r>
      <w:r>
        <w:t xml:space="preserve">drug conjugates are </w:t>
      </w:r>
      <w:r w:rsidR="000344DE" w:rsidRPr="00AF02A7">
        <w:t xml:space="preserve">composed of monoclonal antibodies linked to cytotoxic drugs </w:t>
      </w:r>
      <w:r>
        <w:t>used to treat cancer</w:t>
      </w:r>
      <w:r w:rsidR="004473E7">
        <w:t>. They</w:t>
      </w:r>
      <w:r w:rsidR="000344DE" w:rsidRPr="00AF02A7">
        <w:t xml:space="preserve"> are designed, in principle, to widen the therapeutic window of those drugs by limiting their delivery specifically to cells that express the target antigen of the selected </w:t>
      </w:r>
      <w:r w:rsidR="00A81872">
        <w:t>monoclonal antibody</w:t>
      </w:r>
      <w:r w:rsidR="000344DE">
        <w:t>.</w:t>
      </w:r>
      <w:bookmarkStart w:id="147" w:name="_Ref125994124"/>
      <w:r w:rsidR="000344DE">
        <w:rPr>
          <w:rStyle w:val="FootnoteReference"/>
        </w:rPr>
        <w:footnoteReference w:id="37"/>
      </w:r>
      <w:bookmarkEnd w:id="147"/>
      <w:r w:rsidR="000344DE">
        <w:t xml:space="preserve"> </w:t>
      </w:r>
      <w:r>
        <w:t xml:space="preserve">The </w:t>
      </w:r>
      <w:r w:rsidR="004473E7">
        <w:t xml:space="preserve">claimed </w:t>
      </w:r>
      <w:r>
        <w:t>advantage of these therapies is that they deliver otherwise toxic cancer therapies</w:t>
      </w:r>
      <w:r w:rsidR="00A0203D">
        <w:t xml:space="preserve"> directly</w:t>
      </w:r>
      <w:r>
        <w:t xml:space="preserve"> to cancer cells and enable higher doses to be delivered to the cancer while reducing the toxicity for the rest of the body</w:t>
      </w:r>
      <w:r w:rsidR="000344DE" w:rsidRPr="00241D86">
        <w:t>.</w:t>
      </w:r>
      <w:r w:rsidR="000344DE">
        <w:rPr>
          <w:vertAlign w:val="superscript"/>
        </w:rPr>
        <w:t xml:space="preserve"> </w:t>
      </w:r>
      <w:bookmarkStart w:id="148" w:name="_Ref125994562"/>
      <w:r w:rsidR="000344DE">
        <w:rPr>
          <w:rStyle w:val="FootnoteReference"/>
        </w:rPr>
        <w:footnoteReference w:id="38"/>
      </w:r>
      <w:bookmarkEnd w:id="148"/>
      <w:r w:rsidR="000344DE">
        <w:rPr>
          <w:vertAlign w:val="superscript"/>
        </w:rPr>
        <w:t xml:space="preserve"> </w:t>
      </w:r>
    </w:p>
    <w:p w14:paraId="1877F91E" w14:textId="77777777" w:rsidR="00430013" w:rsidRDefault="00430013" w:rsidP="00D03CCB">
      <w:pPr>
        <w:pStyle w:val="Heading3"/>
        <w:ind w:left="709"/>
      </w:pPr>
      <w:r>
        <w:t>Development, market approval and Australian funding status</w:t>
      </w:r>
    </w:p>
    <w:p w14:paraId="49D384FB" w14:textId="0E8CE128" w:rsidR="0072114E" w:rsidRPr="004B1BF7" w:rsidRDefault="000344DE" w:rsidP="0072114E">
      <w:r w:rsidRPr="00DF66FF">
        <w:t>Mylotarg (gemtuzumab ozogamicin)</w:t>
      </w:r>
      <w:r>
        <w:t xml:space="preserve"> </w:t>
      </w:r>
      <w:r w:rsidR="008B42FC">
        <w:t xml:space="preserve">was </w:t>
      </w:r>
      <w:r>
        <w:t xml:space="preserve">the first </w:t>
      </w:r>
      <w:r w:rsidR="004473E7">
        <w:t>antibody-drug conjugate</w:t>
      </w:r>
      <w:r>
        <w:t xml:space="preserve"> to be approved by the FDA in 2000</w:t>
      </w:r>
      <w:r w:rsidRPr="00DF66FF">
        <w:t>.</w:t>
      </w:r>
      <w:r w:rsidR="000135EB" w:rsidRPr="000135EB">
        <w:rPr>
          <w:vertAlign w:val="superscript"/>
        </w:rPr>
        <w:fldChar w:fldCharType="begin"/>
      </w:r>
      <w:r w:rsidR="000135EB" w:rsidRPr="000135EB">
        <w:rPr>
          <w:vertAlign w:val="superscript"/>
        </w:rPr>
        <w:instrText xml:space="preserve"> NOTEREF _Ref125994562 \h </w:instrText>
      </w:r>
      <w:r w:rsidR="000135EB">
        <w:rPr>
          <w:vertAlign w:val="superscript"/>
        </w:rPr>
        <w:instrText xml:space="preserve"> \* MERGEFORMAT </w:instrText>
      </w:r>
      <w:r w:rsidR="000135EB" w:rsidRPr="000135EB">
        <w:rPr>
          <w:vertAlign w:val="superscript"/>
        </w:rPr>
      </w:r>
      <w:r w:rsidR="000135EB" w:rsidRPr="000135EB">
        <w:rPr>
          <w:vertAlign w:val="superscript"/>
        </w:rPr>
        <w:fldChar w:fldCharType="separate"/>
      </w:r>
      <w:r w:rsidR="00395B47">
        <w:rPr>
          <w:vertAlign w:val="superscript"/>
        </w:rPr>
        <w:t>37</w:t>
      </w:r>
      <w:r w:rsidR="000135EB" w:rsidRPr="000135EB">
        <w:rPr>
          <w:vertAlign w:val="superscript"/>
        </w:rPr>
        <w:fldChar w:fldCharType="end"/>
      </w:r>
      <w:r>
        <w:t xml:space="preserve"> </w:t>
      </w:r>
      <w:r w:rsidR="00316713">
        <w:t>This analysis identified 1</w:t>
      </w:r>
      <w:r w:rsidR="00011E9E">
        <w:t>2</w:t>
      </w:r>
      <w:r w:rsidRPr="00EB31CE">
        <w:t xml:space="preserve"> </w:t>
      </w:r>
      <w:r w:rsidR="00316713">
        <w:t xml:space="preserve">antibody drug conjugates that have market authorisation across the US, </w:t>
      </w:r>
      <w:r w:rsidR="00A81872">
        <w:t>Europe,</w:t>
      </w:r>
      <w:r w:rsidR="00316713">
        <w:t xml:space="preserve"> and Australia. </w:t>
      </w:r>
      <w:r w:rsidR="00A51025">
        <w:t>Five</w:t>
      </w:r>
      <w:r w:rsidRPr="00EB31CE">
        <w:t xml:space="preserve"> are approved for subsidy in Australia.</w:t>
      </w:r>
      <w:r w:rsidR="0072114E">
        <w:t xml:space="preserve"> </w:t>
      </w:r>
    </w:p>
    <w:p w14:paraId="318C1690" w14:textId="7EE0F36F" w:rsidR="008C0A58" w:rsidRPr="00330FBE" w:rsidRDefault="008C0A58" w:rsidP="00330FBE">
      <w:pPr>
        <w:rPr>
          <w:b/>
          <w:bCs/>
          <w:color w:val="002060"/>
        </w:rPr>
      </w:pPr>
      <w:r w:rsidRPr="00330FBE">
        <w:rPr>
          <w:b/>
          <w:bCs/>
          <w:color w:val="002060"/>
        </w:rPr>
        <w:t xml:space="preserve">Table </w:t>
      </w:r>
      <w:r w:rsidR="00316713" w:rsidRPr="00330FBE">
        <w:rPr>
          <w:b/>
          <w:bCs/>
          <w:color w:val="002060"/>
        </w:rPr>
        <w:t>7</w:t>
      </w:r>
      <w:r w:rsidRPr="00330FBE">
        <w:rPr>
          <w:b/>
          <w:bCs/>
          <w:color w:val="002060"/>
        </w:rPr>
        <w:t xml:space="preserve"> </w:t>
      </w:r>
      <w:r w:rsidR="00316713" w:rsidRPr="00330FBE">
        <w:rPr>
          <w:b/>
          <w:bCs/>
          <w:color w:val="002060"/>
        </w:rPr>
        <w:t>A</w:t>
      </w:r>
      <w:r w:rsidRPr="00330FBE">
        <w:rPr>
          <w:b/>
          <w:bCs/>
          <w:color w:val="002060"/>
        </w:rPr>
        <w:t>ntibody drug conjugates</w:t>
      </w:r>
      <w:r w:rsidR="0094757E" w:rsidRPr="00330FBE">
        <w:rPr>
          <w:b/>
          <w:bCs/>
          <w:color w:val="002060"/>
        </w:rPr>
        <w:t xml:space="preserve"> </w:t>
      </w:r>
    </w:p>
    <w:tbl>
      <w:tblPr>
        <w:tblStyle w:val="DepartmentofHealthtable"/>
        <w:tblW w:w="0" w:type="auto"/>
        <w:tblLook w:val="04A0" w:firstRow="1" w:lastRow="0" w:firstColumn="1" w:lastColumn="0" w:noHBand="0" w:noVBand="1"/>
      </w:tblPr>
      <w:tblGrid>
        <w:gridCol w:w="1631"/>
        <w:gridCol w:w="4019"/>
        <w:gridCol w:w="610"/>
        <w:gridCol w:w="556"/>
        <w:gridCol w:w="564"/>
        <w:gridCol w:w="1646"/>
      </w:tblGrid>
      <w:tr w:rsidR="000C5C90" w14:paraId="09ADC624" w14:textId="77777777" w:rsidTr="00E217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6586F5CE" w14:textId="046AD561" w:rsidR="004C2DF6" w:rsidRPr="00AE09D0" w:rsidRDefault="00C70DB9" w:rsidP="006055E0">
            <w:pPr>
              <w:spacing w:before="0"/>
              <w:rPr>
                <w:rFonts w:asciiTheme="minorHAnsi" w:hAnsiTheme="minorHAnsi" w:cstheme="minorHAnsi"/>
                <w:b/>
                <w:bCs/>
                <w:sz w:val="20"/>
                <w:lang w:val="en-GB"/>
              </w:rPr>
            </w:pPr>
            <w:r>
              <w:rPr>
                <w:rFonts w:asciiTheme="minorHAnsi" w:hAnsiTheme="minorHAnsi" w:cstheme="minorHAnsi"/>
                <w:b/>
                <w:bCs/>
                <w:sz w:val="20"/>
                <w:lang w:val="en-GB"/>
              </w:rPr>
              <w:t>Drug name (Brand name)</w:t>
            </w:r>
          </w:p>
        </w:tc>
        <w:tc>
          <w:tcPr>
            <w:tcW w:w="0" w:type="auto"/>
            <w:hideMark/>
          </w:tcPr>
          <w:p w14:paraId="0590BA81" w14:textId="77777777" w:rsidR="004C2DF6" w:rsidRPr="00AE09D0" w:rsidRDefault="004C2DF6" w:rsidP="006055E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lang w:val="en-GB"/>
              </w:rPr>
              <w:t>Indication</w:t>
            </w:r>
          </w:p>
        </w:tc>
        <w:tc>
          <w:tcPr>
            <w:tcW w:w="0" w:type="auto"/>
            <w:hideMark/>
          </w:tcPr>
          <w:p w14:paraId="1C4F9219" w14:textId="77777777" w:rsidR="004C2DF6" w:rsidRPr="00AE09D0" w:rsidRDefault="004C2DF6"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lang w:val="en-GB"/>
              </w:rPr>
              <w:t>EMA</w:t>
            </w:r>
          </w:p>
        </w:tc>
        <w:tc>
          <w:tcPr>
            <w:tcW w:w="0" w:type="auto"/>
            <w:hideMark/>
          </w:tcPr>
          <w:p w14:paraId="33A49B81" w14:textId="77777777" w:rsidR="004C2DF6" w:rsidRPr="00AE09D0" w:rsidRDefault="004C2DF6"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lang w:val="en-GB"/>
              </w:rPr>
              <w:t>FDA</w:t>
            </w:r>
          </w:p>
        </w:tc>
        <w:tc>
          <w:tcPr>
            <w:tcW w:w="0" w:type="auto"/>
            <w:hideMark/>
          </w:tcPr>
          <w:p w14:paraId="4CEE7636" w14:textId="77777777" w:rsidR="004C2DF6" w:rsidRPr="00AE09D0" w:rsidRDefault="004C2DF6"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lang w:val="en-GB"/>
              </w:rPr>
              <w:t>TGA</w:t>
            </w:r>
          </w:p>
        </w:tc>
        <w:tc>
          <w:tcPr>
            <w:tcW w:w="0" w:type="auto"/>
            <w:hideMark/>
          </w:tcPr>
          <w:p w14:paraId="7339C0FE" w14:textId="578A7B5E" w:rsidR="004C2DF6" w:rsidRPr="00AE09D0" w:rsidRDefault="004C2DF6" w:rsidP="00AE09D0">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val="en-GB"/>
              </w:rPr>
            </w:pPr>
            <w:r w:rsidRPr="00AE09D0">
              <w:rPr>
                <w:rFonts w:asciiTheme="minorHAnsi" w:hAnsiTheme="minorHAnsi" w:cstheme="minorHAnsi"/>
                <w:b/>
                <w:bCs/>
                <w:sz w:val="20"/>
                <w:lang w:val="en-GB"/>
              </w:rPr>
              <w:t xml:space="preserve">Australian </w:t>
            </w:r>
            <w:r w:rsidR="0088592A" w:rsidRPr="00AE09D0">
              <w:rPr>
                <w:rFonts w:asciiTheme="minorHAnsi" w:hAnsiTheme="minorHAnsi" w:cstheme="minorHAnsi"/>
                <w:b/>
                <w:bCs/>
                <w:sz w:val="20"/>
                <w:lang w:val="en-GB"/>
              </w:rPr>
              <w:t>s</w:t>
            </w:r>
            <w:r w:rsidRPr="00AE09D0">
              <w:rPr>
                <w:rFonts w:asciiTheme="minorHAnsi" w:hAnsiTheme="minorHAnsi" w:cstheme="minorHAnsi"/>
                <w:b/>
                <w:bCs/>
                <w:sz w:val="20"/>
                <w:lang w:val="en-GB"/>
              </w:rPr>
              <w:t>ubsidy</w:t>
            </w:r>
            <w:r w:rsidR="0088592A" w:rsidRPr="00AE09D0">
              <w:rPr>
                <w:rFonts w:asciiTheme="minorHAnsi" w:hAnsiTheme="minorHAnsi" w:cstheme="minorHAnsi"/>
                <w:b/>
                <w:bCs/>
                <w:sz w:val="20"/>
                <w:lang w:val="en-GB"/>
              </w:rPr>
              <w:t xml:space="preserve"> </w:t>
            </w:r>
          </w:p>
        </w:tc>
      </w:tr>
      <w:tr w:rsidR="000C5C90" w14:paraId="1429762F"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96FBE9" w14:textId="41C6E6FD" w:rsidR="004C2DF6" w:rsidRPr="00AE09D0" w:rsidRDefault="004C2DF6" w:rsidP="006055E0">
            <w:pPr>
              <w:spacing w:before="0"/>
              <w:rPr>
                <w:rFonts w:cstheme="minorHAnsi"/>
                <w:lang w:val="en-GB"/>
              </w:rPr>
            </w:pPr>
            <w:r w:rsidRPr="00AE09D0">
              <w:rPr>
                <w:rFonts w:cstheme="minorHAnsi"/>
                <w:lang w:val="en-GB"/>
              </w:rPr>
              <w:t>Gemtuzumab ozogamicin (Mylotarg</w:t>
            </w:r>
            <w:r w:rsidR="001D0E14" w:rsidRPr="00044733">
              <w:rPr>
                <w:rFonts w:cstheme="minorHAnsi"/>
              </w:rPr>
              <w:t>®</w:t>
            </w:r>
            <w:r w:rsidRPr="00AE09D0">
              <w:rPr>
                <w:rFonts w:cstheme="minorHAnsi"/>
                <w:lang w:val="en-GB"/>
              </w:rPr>
              <w:t>)</w:t>
            </w:r>
          </w:p>
        </w:tc>
        <w:tc>
          <w:tcPr>
            <w:tcW w:w="0" w:type="auto"/>
          </w:tcPr>
          <w:p w14:paraId="3D4B199F" w14:textId="56D7DEE2" w:rsidR="004C2DF6" w:rsidRPr="00AE09D0" w:rsidRDefault="004C2DF6"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 xml:space="preserve">Combination therapy with standard anthracycline and cytarabine for the treatment of patients </w:t>
            </w:r>
            <w:r w:rsidR="00A81872" w:rsidRPr="00AE09D0">
              <w:rPr>
                <w:rFonts w:cstheme="minorHAnsi"/>
                <w:lang w:val="en-GB"/>
              </w:rPr>
              <w:t>aged</w:t>
            </w:r>
            <w:r w:rsidRPr="00AE09D0">
              <w:rPr>
                <w:rFonts w:cstheme="minorHAnsi"/>
                <w:lang w:val="en-GB"/>
              </w:rPr>
              <w:t xml:space="preserve"> 15 years and above with previously untreated, de novo CD33-positive acute myeloid leukaemia, except acute promyelocytic leukaemia</w:t>
            </w:r>
          </w:p>
        </w:tc>
        <w:tc>
          <w:tcPr>
            <w:tcW w:w="0" w:type="auto"/>
            <w:hideMark/>
          </w:tcPr>
          <w:p w14:paraId="0522CBE5" w14:textId="7B2F4BA1"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r w:rsidRPr="00AE09D0">
              <w:rPr>
                <w:rFonts w:cstheme="minorHAnsi"/>
                <w:lang w:val="en-GB"/>
              </w:rPr>
              <w:br/>
              <w:t>(</w:t>
            </w:r>
            <w:r w:rsidR="004473E7">
              <w:rPr>
                <w:rFonts w:cstheme="minorHAnsi"/>
                <w:lang w:val="en-GB"/>
              </w:rPr>
              <w:t>O</w:t>
            </w:r>
            <w:r w:rsidRPr="00AE09D0">
              <w:rPr>
                <w:rFonts w:cstheme="minorHAnsi"/>
                <w:lang w:val="en-GB"/>
              </w:rPr>
              <w:t>)</w:t>
            </w:r>
          </w:p>
        </w:tc>
        <w:tc>
          <w:tcPr>
            <w:tcW w:w="0" w:type="auto"/>
            <w:hideMark/>
          </w:tcPr>
          <w:p w14:paraId="22F4CF95"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p>
        </w:tc>
        <w:tc>
          <w:tcPr>
            <w:tcW w:w="0" w:type="auto"/>
            <w:hideMark/>
          </w:tcPr>
          <w:p w14:paraId="24CC543B" w14:textId="2F86262D"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tc>
        <w:tc>
          <w:tcPr>
            <w:tcW w:w="0" w:type="auto"/>
            <w:hideMark/>
          </w:tcPr>
          <w:p w14:paraId="4DC831C0" w14:textId="0D973773"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r w:rsidR="004C2DF6" w:rsidRPr="00AE09D0">
              <w:rPr>
                <w:rFonts w:cstheme="minorHAnsi"/>
                <w:lang w:val="en-GB"/>
              </w:rPr>
              <w:t xml:space="preserve"> </w:t>
            </w:r>
          </w:p>
        </w:tc>
      </w:tr>
      <w:tr w:rsidR="000C5C90" w14:paraId="4C2F24F3"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A79DFA" w14:textId="1ABBF8FD" w:rsidR="004C2DF6" w:rsidRPr="00AE09D0" w:rsidRDefault="004C2DF6" w:rsidP="006055E0">
            <w:pPr>
              <w:spacing w:before="0"/>
              <w:rPr>
                <w:rFonts w:cstheme="minorHAnsi"/>
                <w:lang w:val="en-GB"/>
              </w:rPr>
            </w:pPr>
            <w:r w:rsidRPr="00AE09D0">
              <w:rPr>
                <w:rFonts w:cstheme="minorHAnsi"/>
                <w:lang w:val="en-GB"/>
              </w:rPr>
              <w:t>Brentuximab vedotin (Adcetris</w:t>
            </w:r>
            <w:r w:rsidR="001D0E14" w:rsidRPr="00044733">
              <w:rPr>
                <w:rFonts w:cstheme="minorHAnsi"/>
              </w:rPr>
              <w:t>®</w:t>
            </w:r>
            <w:r w:rsidRPr="00AE09D0">
              <w:rPr>
                <w:rFonts w:cstheme="minorHAnsi"/>
                <w:lang w:val="en-GB"/>
              </w:rPr>
              <w:t>)</w:t>
            </w:r>
          </w:p>
        </w:tc>
        <w:tc>
          <w:tcPr>
            <w:tcW w:w="0" w:type="auto"/>
          </w:tcPr>
          <w:p w14:paraId="5A643C70" w14:textId="1ECD0926" w:rsidR="004C2DF6" w:rsidRPr="00AE09D0" w:rsidRDefault="00CC425C"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To treat adult patients with previously untreated stage III or IV classical Hodgkin lymphoma in combination with chemotherapy.</w:t>
            </w:r>
          </w:p>
        </w:tc>
        <w:tc>
          <w:tcPr>
            <w:tcW w:w="0" w:type="auto"/>
            <w:hideMark/>
          </w:tcPr>
          <w:p w14:paraId="526F6C81" w14:textId="112FC320"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r w:rsidRPr="00AE09D0">
              <w:rPr>
                <w:rFonts w:cstheme="minorHAnsi"/>
                <w:lang w:val="en-GB"/>
              </w:rPr>
              <w:br/>
              <w:t>(</w:t>
            </w:r>
            <w:r w:rsidR="004473E7">
              <w:rPr>
                <w:rFonts w:cstheme="minorHAnsi"/>
                <w:lang w:val="en-GB"/>
              </w:rPr>
              <w:t>O</w:t>
            </w:r>
            <w:r w:rsidRPr="00AE09D0">
              <w:rPr>
                <w:rFonts w:cstheme="minorHAnsi"/>
                <w:lang w:val="en-GB"/>
              </w:rPr>
              <w:t>)</w:t>
            </w:r>
          </w:p>
        </w:tc>
        <w:tc>
          <w:tcPr>
            <w:tcW w:w="0" w:type="auto"/>
            <w:hideMark/>
          </w:tcPr>
          <w:p w14:paraId="17A26636"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p>
        </w:tc>
        <w:tc>
          <w:tcPr>
            <w:tcW w:w="0" w:type="auto"/>
            <w:hideMark/>
          </w:tcPr>
          <w:p w14:paraId="4C37D4D2" w14:textId="4038609A" w:rsidR="004C2DF6"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p>
        </w:tc>
        <w:tc>
          <w:tcPr>
            <w:tcW w:w="0" w:type="auto"/>
            <w:hideMark/>
          </w:tcPr>
          <w:p w14:paraId="14EC66C4" w14:textId="784CE0E5" w:rsidR="004C2DF6"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r w:rsidR="004C2DF6" w:rsidRPr="00AE09D0">
              <w:rPr>
                <w:rFonts w:cstheme="minorHAnsi"/>
                <w:lang w:val="en-GB"/>
              </w:rPr>
              <w:t xml:space="preserve"> </w:t>
            </w:r>
          </w:p>
        </w:tc>
      </w:tr>
      <w:tr w:rsidR="000C5C90" w14:paraId="1063EE2C"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A95D83" w14:textId="4BDF041C" w:rsidR="004C2DF6" w:rsidRPr="00AE09D0" w:rsidRDefault="004C2DF6" w:rsidP="006055E0">
            <w:pPr>
              <w:spacing w:before="0"/>
              <w:rPr>
                <w:rFonts w:cstheme="minorHAnsi"/>
                <w:lang w:val="en-GB"/>
              </w:rPr>
            </w:pPr>
            <w:r w:rsidRPr="00AE09D0">
              <w:rPr>
                <w:rFonts w:cstheme="minorHAnsi"/>
                <w:lang w:val="en-GB"/>
              </w:rPr>
              <w:t>Inotuzumab ozogamicin (Besponsa</w:t>
            </w:r>
            <w:r w:rsidR="001D0E14" w:rsidRPr="00044733">
              <w:rPr>
                <w:rFonts w:cstheme="minorHAnsi"/>
              </w:rPr>
              <w:t>®</w:t>
            </w:r>
            <w:r w:rsidRPr="00AE09D0">
              <w:rPr>
                <w:rFonts w:cstheme="minorHAnsi"/>
                <w:lang w:val="en-GB"/>
              </w:rPr>
              <w:t>)</w:t>
            </w:r>
          </w:p>
        </w:tc>
        <w:tc>
          <w:tcPr>
            <w:tcW w:w="0" w:type="auto"/>
          </w:tcPr>
          <w:p w14:paraId="47753F42" w14:textId="3AE4CC4C" w:rsidR="004C2DF6" w:rsidRPr="00AE09D0" w:rsidRDefault="004C2DF6"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 xml:space="preserve">Treatment of adults with relapsed or refractory CD22‐positive B-cell precursor acute lymphoblastic leukaemia </w:t>
            </w:r>
          </w:p>
        </w:tc>
        <w:tc>
          <w:tcPr>
            <w:tcW w:w="0" w:type="auto"/>
            <w:hideMark/>
          </w:tcPr>
          <w:p w14:paraId="7808AA8E" w14:textId="4655A548"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r w:rsidRPr="00AE09D0">
              <w:rPr>
                <w:rFonts w:cstheme="minorHAnsi"/>
                <w:lang w:val="en-GB"/>
              </w:rPr>
              <w:br/>
              <w:t>(</w:t>
            </w:r>
            <w:r w:rsidR="004473E7">
              <w:rPr>
                <w:rFonts w:cstheme="minorHAnsi"/>
                <w:lang w:val="en-GB"/>
              </w:rPr>
              <w:t>O</w:t>
            </w:r>
            <w:r w:rsidRPr="00AE09D0">
              <w:rPr>
                <w:rFonts w:cstheme="minorHAnsi"/>
                <w:lang w:val="en-GB"/>
              </w:rPr>
              <w:t>)</w:t>
            </w:r>
          </w:p>
        </w:tc>
        <w:tc>
          <w:tcPr>
            <w:tcW w:w="0" w:type="auto"/>
            <w:hideMark/>
          </w:tcPr>
          <w:p w14:paraId="7F83F2C8"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p>
        </w:tc>
        <w:tc>
          <w:tcPr>
            <w:tcW w:w="0" w:type="auto"/>
            <w:hideMark/>
          </w:tcPr>
          <w:p w14:paraId="0405E3C3" w14:textId="553C9663"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tc>
        <w:tc>
          <w:tcPr>
            <w:tcW w:w="0" w:type="auto"/>
          </w:tcPr>
          <w:p w14:paraId="70FF621D" w14:textId="24CE439E"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tc>
      </w:tr>
      <w:tr w:rsidR="000C5C90" w14:paraId="40F8B5E9"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B4B65E" w14:textId="2D6515A2" w:rsidR="004C2DF6" w:rsidRPr="00AE09D0" w:rsidRDefault="004C2DF6" w:rsidP="006055E0">
            <w:pPr>
              <w:spacing w:before="0"/>
              <w:rPr>
                <w:rFonts w:cstheme="minorHAnsi"/>
                <w:lang w:val="en-GB"/>
              </w:rPr>
            </w:pPr>
            <w:r w:rsidRPr="00AE09D0">
              <w:rPr>
                <w:rFonts w:cstheme="minorHAnsi"/>
                <w:lang w:val="en-GB"/>
              </w:rPr>
              <w:t>Ado-trastuzumab emtansine (Kadcyla</w:t>
            </w:r>
            <w:r w:rsidR="001D0E14" w:rsidRPr="00044733">
              <w:rPr>
                <w:rFonts w:cstheme="minorHAnsi"/>
              </w:rPr>
              <w:t>®</w:t>
            </w:r>
            <w:r w:rsidRPr="00AE09D0">
              <w:rPr>
                <w:rFonts w:cstheme="minorHAnsi"/>
                <w:lang w:val="en-GB"/>
              </w:rPr>
              <w:t>)</w:t>
            </w:r>
          </w:p>
        </w:tc>
        <w:tc>
          <w:tcPr>
            <w:tcW w:w="0" w:type="auto"/>
          </w:tcPr>
          <w:p w14:paraId="03C530AF" w14:textId="77777777" w:rsidR="004C2DF6" w:rsidRPr="00AE09D0" w:rsidRDefault="004C2DF6"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rFonts w:cstheme="minorHAnsi"/>
                <w:lang w:val="en-GB" w:eastAsia="en-US"/>
              </w:rPr>
            </w:pPr>
            <w:r w:rsidRPr="00AE09D0">
              <w:rPr>
                <w:rFonts w:cstheme="minorHAnsi"/>
                <w:lang w:val="en-GB" w:eastAsia="en-US"/>
              </w:rPr>
              <w:t>Adjuvant treatment of patients with HER2- positive early breast cancer who have residual invasive disease after neoadjuvant taxane and trastuzumab-based treatment. Treatment of patients with HER2-positive metastatic (Stage IV) breast cancer who previously received trastuzumab and a taxane, separately or in combination.</w:t>
            </w:r>
          </w:p>
        </w:tc>
        <w:tc>
          <w:tcPr>
            <w:tcW w:w="0" w:type="auto"/>
            <w:hideMark/>
          </w:tcPr>
          <w:p w14:paraId="3EE958B4"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p>
        </w:tc>
        <w:tc>
          <w:tcPr>
            <w:tcW w:w="0" w:type="auto"/>
            <w:hideMark/>
          </w:tcPr>
          <w:p w14:paraId="18FCD4E6"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p>
        </w:tc>
        <w:tc>
          <w:tcPr>
            <w:tcW w:w="0" w:type="auto"/>
            <w:hideMark/>
          </w:tcPr>
          <w:p w14:paraId="3680376C" w14:textId="6EF2384D" w:rsidR="004C2DF6"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p>
        </w:tc>
        <w:tc>
          <w:tcPr>
            <w:tcW w:w="0" w:type="auto"/>
            <w:hideMark/>
          </w:tcPr>
          <w:p w14:paraId="6FDB0917" w14:textId="0B02DC0A" w:rsidR="004C2DF6"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r w:rsidR="004C2DF6" w:rsidRPr="00AE09D0">
              <w:rPr>
                <w:rFonts w:cstheme="minorHAnsi"/>
                <w:lang w:val="en-GB"/>
              </w:rPr>
              <w:t xml:space="preserve"> </w:t>
            </w:r>
            <w:r w:rsidR="004C2DF6" w:rsidRPr="00AE09D0">
              <w:rPr>
                <w:rFonts w:cstheme="minorHAnsi"/>
                <w:lang w:val="en-GB"/>
              </w:rPr>
              <w:br/>
            </w:r>
          </w:p>
        </w:tc>
      </w:tr>
      <w:tr w:rsidR="000C5C90" w14:paraId="253840FC"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677D8B" w14:textId="66ECBB61" w:rsidR="004C2DF6" w:rsidRPr="00AE09D0" w:rsidRDefault="004C2DF6" w:rsidP="006055E0">
            <w:pPr>
              <w:spacing w:before="0"/>
              <w:rPr>
                <w:lang w:val="en-GB"/>
              </w:rPr>
            </w:pPr>
            <w:r w:rsidRPr="00AE09D0">
              <w:rPr>
                <w:lang w:val="en-GB"/>
              </w:rPr>
              <w:t>Sacituzumab govitecan (Trodelvy</w:t>
            </w:r>
            <w:r w:rsidR="001D0E14" w:rsidRPr="00044733">
              <w:rPr>
                <w:rFonts w:cstheme="minorHAnsi"/>
              </w:rPr>
              <w:t>®</w:t>
            </w:r>
            <w:r w:rsidRPr="00AE09D0">
              <w:rPr>
                <w:lang w:val="en-GB"/>
              </w:rPr>
              <w:t>)</w:t>
            </w:r>
          </w:p>
        </w:tc>
        <w:tc>
          <w:tcPr>
            <w:tcW w:w="0" w:type="auto"/>
          </w:tcPr>
          <w:p w14:paraId="3D48056E" w14:textId="767E631C" w:rsidR="004C2DF6" w:rsidRPr="00AE09D0" w:rsidRDefault="004C2DF6"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lang w:val="en-GB" w:eastAsia="en-US"/>
              </w:rPr>
            </w:pPr>
            <w:r w:rsidRPr="00AE09D0">
              <w:rPr>
                <w:lang w:val="en-GB" w:eastAsia="en-US"/>
              </w:rPr>
              <w:t>Treatment of adult patients with unresectable locally advanced or metastatic triple-negative breast cancer who have received at least two prior systemic therapies, including at least one prior therapy for locally advanced or metastatic disease</w:t>
            </w:r>
          </w:p>
        </w:tc>
        <w:tc>
          <w:tcPr>
            <w:tcW w:w="0" w:type="auto"/>
            <w:hideMark/>
          </w:tcPr>
          <w:p w14:paraId="0F050ED4"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50168187"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0A73FFD2" w14:textId="4C116BEC"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Y</w:t>
            </w:r>
          </w:p>
        </w:tc>
        <w:tc>
          <w:tcPr>
            <w:tcW w:w="0" w:type="auto"/>
            <w:hideMark/>
          </w:tcPr>
          <w:p w14:paraId="1F29E4B9" w14:textId="10B8DD57"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Y</w:t>
            </w:r>
            <w:r w:rsidR="004C2DF6" w:rsidRPr="00AE09D0">
              <w:rPr>
                <w:lang w:val="en-GB"/>
              </w:rPr>
              <w:t xml:space="preserve"> </w:t>
            </w:r>
          </w:p>
        </w:tc>
      </w:tr>
      <w:tr w:rsidR="000C5C90" w14:paraId="582F5806"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21CABA" w14:textId="24C43FD6" w:rsidR="004C2DF6" w:rsidRPr="00AE09D0" w:rsidRDefault="004C2DF6" w:rsidP="006055E0">
            <w:pPr>
              <w:spacing w:before="0"/>
              <w:rPr>
                <w:lang w:val="en-GB"/>
              </w:rPr>
            </w:pPr>
            <w:r w:rsidRPr="00AE09D0">
              <w:rPr>
                <w:lang w:val="en-GB"/>
              </w:rPr>
              <w:t>Polatuzumab vedotin (Polivy</w:t>
            </w:r>
            <w:r w:rsidR="001D0E14" w:rsidRPr="00044733">
              <w:rPr>
                <w:rFonts w:cstheme="minorHAnsi"/>
              </w:rPr>
              <w:t>®</w:t>
            </w:r>
            <w:r w:rsidRPr="00AE09D0">
              <w:rPr>
                <w:lang w:val="en-GB"/>
              </w:rPr>
              <w:t>)</w:t>
            </w:r>
          </w:p>
        </w:tc>
        <w:tc>
          <w:tcPr>
            <w:tcW w:w="0" w:type="auto"/>
          </w:tcPr>
          <w:p w14:paraId="7D6B30D6" w14:textId="19E3BAA4" w:rsidR="004C2DF6" w:rsidRPr="00AE09D0" w:rsidRDefault="004C2DF6"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lang w:val="en-GB" w:eastAsia="en-US"/>
              </w:rPr>
            </w:pPr>
            <w:r w:rsidRPr="00AE09D0">
              <w:rPr>
                <w:lang w:val="en-GB" w:eastAsia="en-US"/>
              </w:rPr>
              <w:t>In combination with rituximab, cyclophosphamide, doxorubicin, and prednisone is indicated for the treatment of adult patients with previously untreated diffuse large B-cell lymphoma. In combination with bendamustine and rituximab is indicated for the treatment of previously treated adult patients with diffuse large B-cell lymphoma who are not candidates for hematopoietic stem cell transplant.</w:t>
            </w:r>
          </w:p>
        </w:tc>
        <w:tc>
          <w:tcPr>
            <w:tcW w:w="0" w:type="auto"/>
            <w:hideMark/>
          </w:tcPr>
          <w:p w14:paraId="6BED02BD" w14:textId="77777777" w:rsidR="00316713"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p w14:paraId="143D77E8" w14:textId="3CA4DBBE" w:rsidR="004C2DF6" w:rsidRPr="00AE09D0" w:rsidRDefault="007765F1"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w:t>
            </w:r>
            <w:r w:rsidR="004473E7">
              <w:rPr>
                <w:lang w:val="en-GB"/>
              </w:rPr>
              <w:t>O</w:t>
            </w:r>
            <w:r w:rsidR="004C2DF6" w:rsidRPr="00AE09D0">
              <w:rPr>
                <w:lang w:val="en-GB"/>
              </w:rPr>
              <w:t>)</w:t>
            </w:r>
          </w:p>
        </w:tc>
        <w:tc>
          <w:tcPr>
            <w:tcW w:w="0" w:type="auto"/>
            <w:hideMark/>
          </w:tcPr>
          <w:p w14:paraId="152DC3FE"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tc>
        <w:tc>
          <w:tcPr>
            <w:tcW w:w="0" w:type="auto"/>
            <w:hideMark/>
          </w:tcPr>
          <w:p w14:paraId="17C4B068" w14:textId="4849DCD2" w:rsidR="004C2DF6"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Y</w:t>
            </w:r>
          </w:p>
        </w:tc>
        <w:tc>
          <w:tcPr>
            <w:tcW w:w="0" w:type="auto"/>
            <w:hideMark/>
          </w:tcPr>
          <w:p w14:paraId="6FB0440B"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Not recommended by PBAC Nov 2019 and 2022</w:t>
            </w:r>
          </w:p>
        </w:tc>
      </w:tr>
      <w:tr w:rsidR="000C5C90" w14:paraId="6C8B3A20"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50CC1A" w14:textId="6656A2A7" w:rsidR="004C2DF6" w:rsidRPr="00AE09D0" w:rsidRDefault="004C2DF6" w:rsidP="006055E0">
            <w:pPr>
              <w:spacing w:before="0"/>
              <w:rPr>
                <w:lang w:val="en-GB"/>
              </w:rPr>
            </w:pPr>
            <w:r w:rsidRPr="00AE09D0">
              <w:rPr>
                <w:lang w:val="en-GB"/>
              </w:rPr>
              <w:t>Enfortumab vedotin (Padcev</w:t>
            </w:r>
            <w:r w:rsidR="001D0E14" w:rsidRPr="00044733">
              <w:rPr>
                <w:rFonts w:cstheme="minorHAnsi"/>
              </w:rPr>
              <w:t>®</w:t>
            </w:r>
            <w:r w:rsidRPr="00AE09D0">
              <w:rPr>
                <w:lang w:val="en-GB"/>
              </w:rPr>
              <w:t>)</w:t>
            </w:r>
          </w:p>
        </w:tc>
        <w:tc>
          <w:tcPr>
            <w:tcW w:w="0" w:type="auto"/>
          </w:tcPr>
          <w:p w14:paraId="55B2C6D4" w14:textId="77777777" w:rsidR="004C2DF6" w:rsidRPr="00AE09D0" w:rsidRDefault="004C2DF6"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lang w:val="en-GB" w:eastAsia="en-US"/>
              </w:rPr>
            </w:pPr>
            <w:r w:rsidRPr="00AE09D0">
              <w:rPr>
                <w:lang w:val="en-GB" w:eastAsia="en-US"/>
              </w:rPr>
              <w:t>Treatment of urothelial carcinoma</w:t>
            </w:r>
          </w:p>
        </w:tc>
        <w:tc>
          <w:tcPr>
            <w:tcW w:w="0" w:type="auto"/>
            <w:hideMark/>
          </w:tcPr>
          <w:p w14:paraId="4682947F"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1A87B20B"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62C604AB" w14:textId="526AB9EB" w:rsidR="004C2DF6"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Y</w:t>
            </w:r>
          </w:p>
        </w:tc>
        <w:tc>
          <w:tcPr>
            <w:tcW w:w="0" w:type="auto"/>
            <w:hideMark/>
          </w:tcPr>
          <w:p w14:paraId="61AE088F" w14:textId="29C2A849" w:rsidR="004C2DF6" w:rsidRPr="00AE09D0" w:rsidRDefault="0050093A"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Recommended by PBAC March 2023</w:t>
            </w:r>
          </w:p>
        </w:tc>
      </w:tr>
      <w:tr w:rsidR="000C5C90" w14:paraId="6A8DA65D"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41D835" w14:textId="48AD11C3" w:rsidR="004C2DF6" w:rsidRPr="00AE09D0" w:rsidRDefault="004C2DF6" w:rsidP="006055E0">
            <w:pPr>
              <w:spacing w:before="0"/>
              <w:rPr>
                <w:lang w:val="en-GB"/>
              </w:rPr>
            </w:pPr>
            <w:r w:rsidRPr="00AE09D0">
              <w:rPr>
                <w:lang w:val="en-GB"/>
              </w:rPr>
              <w:t>Fam-trastuzumab deruxtecan (Enhertu</w:t>
            </w:r>
            <w:r w:rsidR="001D0E14" w:rsidRPr="00044733">
              <w:rPr>
                <w:rFonts w:cstheme="minorHAnsi"/>
              </w:rPr>
              <w:t>®</w:t>
            </w:r>
            <w:r w:rsidRPr="00AE09D0">
              <w:rPr>
                <w:lang w:val="en-GB"/>
              </w:rPr>
              <w:t>)</w:t>
            </w:r>
          </w:p>
        </w:tc>
        <w:tc>
          <w:tcPr>
            <w:tcW w:w="0" w:type="auto"/>
          </w:tcPr>
          <w:p w14:paraId="5D104963" w14:textId="7DE25B7D" w:rsidR="004C2DF6" w:rsidRPr="00AE09D0" w:rsidRDefault="00BD6B60" w:rsidP="006055E0">
            <w:pPr>
              <w:spacing w:before="0"/>
              <w:cnfStyle w:val="000000010000" w:firstRow="0" w:lastRow="0" w:firstColumn="0" w:lastColumn="0" w:oddVBand="0" w:evenVBand="0" w:oddHBand="0" w:evenHBand="1" w:firstRowFirstColumn="0" w:firstRowLastColumn="0" w:lastRowFirstColumn="0" w:lastRowLastColumn="0"/>
              <w:rPr>
                <w:lang w:eastAsia="en-US"/>
              </w:rPr>
            </w:pPr>
            <w:r>
              <w:rPr>
                <w:lang w:eastAsia="en-US"/>
              </w:rPr>
              <w:t>Breast cancer</w:t>
            </w:r>
          </w:p>
        </w:tc>
        <w:tc>
          <w:tcPr>
            <w:tcW w:w="0" w:type="auto"/>
            <w:hideMark/>
          </w:tcPr>
          <w:p w14:paraId="54DC3687" w14:textId="6C2C2660"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tc>
        <w:tc>
          <w:tcPr>
            <w:tcW w:w="0" w:type="auto"/>
            <w:hideMark/>
          </w:tcPr>
          <w:p w14:paraId="1F24B189"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tc>
        <w:tc>
          <w:tcPr>
            <w:tcW w:w="0" w:type="auto"/>
            <w:hideMark/>
          </w:tcPr>
          <w:p w14:paraId="5DBB9C1A" w14:textId="244F045A" w:rsidR="004C2DF6"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Y</w:t>
            </w:r>
          </w:p>
        </w:tc>
        <w:tc>
          <w:tcPr>
            <w:tcW w:w="0" w:type="auto"/>
            <w:hideMark/>
          </w:tcPr>
          <w:p w14:paraId="0160684B" w14:textId="427D5A5B" w:rsidR="004C2DF6" w:rsidRPr="00AE09D0" w:rsidRDefault="0050093A"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R</w:t>
            </w:r>
            <w:r w:rsidR="004C2DF6" w:rsidRPr="00AE09D0">
              <w:rPr>
                <w:lang w:val="en-GB"/>
              </w:rPr>
              <w:t xml:space="preserve">ecommended by PBAC </w:t>
            </w:r>
            <w:r>
              <w:rPr>
                <w:lang w:val="en-GB"/>
              </w:rPr>
              <w:t>March 2023</w:t>
            </w:r>
          </w:p>
        </w:tc>
      </w:tr>
      <w:tr w:rsidR="000C5C90" w14:paraId="4034A9D9"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342290" w14:textId="3F67C6E8" w:rsidR="004C2DF6" w:rsidRPr="00AE09D0" w:rsidRDefault="004C2DF6" w:rsidP="006055E0">
            <w:pPr>
              <w:spacing w:before="0"/>
              <w:rPr>
                <w:lang w:val="en-GB"/>
              </w:rPr>
            </w:pPr>
            <w:r w:rsidRPr="00AE09D0">
              <w:rPr>
                <w:lang w:val="en-GB"/>
              </w:rPr>
              <w:t>Moxetumomab pasudotox (Lumoxiti</w:t>
            </w:r>
            <w:r w:rsidR="001D0E14" w:rsidRPr="00044733">
              <w:rPr>
                <w:rFonts w:cstheme="minorHAnsi"/>
              </w:rPr>
              <w:t>®</w:t>
            </w:r>
            <w:r w:rsidRPr="00AE09D0">
              <w:rPr>
                <w:lang w:val="en-GB"/>
              </w:rPr>
              <w:t>)</w:t>
            </w:r>
          </w:p>
        </w:tc>
        <w:tc>
          <w:tcPr>
            <w:tcW w:w="0" w:type="auto"/>
          </w:tcPr>
          <w:p w14:paraId="061EDF62" w14:textId="3907F306" w:rsidR="004C2DF6" w:rsidRPr="00AE09D0" w:rsidRDefault="004C2DF6"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lang w:val="en-GB" w:eastAsia="en-US"/>
              </w:rPr>
            </w:pPr>
            <w:r w:rsidRPr="00AE09D0">
              <w:rPr>
                <w:lang w:val="en-GB" w:eastAsia="en-US"/>
              </w:rPr>
              <w:t xml:space="preserve">Treatment of adults with hairy cell </w:t>
            </w:r>
            <w:r w:rsidR="00264641" w:rsidRPr="00AE09D0">
              <w:rPr>
                <w:lang w:val="en-GB" w:eastAsia="en-US"/>
              </w:rPr>
              <w:t>leukaemia</w:t>
            </w:r>
            <w:r w:rsidRPr="00AE09D0">
              <w:rPr>
                <w:lang w:val="en-GB" w:eastAsia="en-US"/>
              </w:rPr>
              <w:t xml:space="preserve"> (HCL)</w:t>
            </w:r>
          </w:p>
        </w:tc>
        <w:tc>
          <w:tcPr>
            <w:tcW w:w="0" w:type="auto"/>
            <w:hideMark/>
          </w:tcPr>
          <w:p w14:paraId="696C69BF" w14:textId="2D246952" w:rsidR="004C2DF6" w:rsidRPr="00AE09D0" w:rsidRDefault="000C5C90"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N</w:t>
            </w:r>
          </w:p>
        </w:tc>
        <w:tc>
          <w:tcPr>
            <w:tcW w:w="0" w:type="auto"/>
            <w:hideMark/>
          </w:tcPr>
          <w:p w14:paraId="7F21B899"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4BB3BB38"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N</w:t>
            </w:r>
          </w:p>
        </w:tc>
        <w:tc>
          <w:tcPr>
            <w:tcW w:w="0" w:type="auto"/>
            <w:hideMark/>
          </w:tcPr>
          <w:p w14:paraId="6FE1AEDB" w14:textId="77777777" w:rsidR="004C2DF6"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N</w:t>
            </w:r>
          </w:p>
          <w:p w14:paraId="49223413" w14:textId="4D857CB1" w:rsidR="0050093A" w:rsidRPr="00AE09D0" w:rsidRDefault="00264641"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264641">
              <w:rPr>
                <w:lang w:val="en-GB"/>
              </w:rPr>
              <w:t>(Not registered)</w:t>
            </w:r>
          </w:p>
        </w:tc>
      </w:tr>
      <w:tr w:rsidR="000C5C90" w14:paraId="6A626C62"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64C7B8" w14:textId="2A274DB5" w:rsidR="004C2DF6" w:rsidRPr="00AE09D0" w:rsidRDefault="004C2DF6" w:rsidP="006055E0">
            <w:pPr>
              <w:spacing w:before="0"/>
              <w:rPr>
                <w:lang w:val="en-GB"/>
              </w:rPr>
            </w:pPr>
            <w:r w:rsidRPr="00AE09D0">
              <w:rPr>
                <w:lang w:val="en-GB"/>
              </w:rPr>
              <w:t>Belantamab mafodotin (Blenrep</w:t>
            </w:r>
            <w:r w:rsidR="001D0E14" w:rsidRPr="00044733">
              <w:rPr>
                <w:rFonts w:cstheme="minorHAnsi"/>
              </w:rPr>
              <w:t>®</w:t>
            </w:r>
            <w:r w:rsidRPr="00AE09D0">
              <w:rPr>
                <w:lang w:val="en-GB"/>
              </w:rPr>
              <w:t>)</w:t>
            </w:r>
          </w:p>
        </w:tc>
        <w:tc>
          <w:tcPr>
            <w:tcW w:w="0" w:type="auto"/>
          </w:tcPr>
          <w:p w14:paraId="184EA82D" w14:textId="77777777" w:rsidR="004C2DF6" w:rsidRPr="00AE09D0" w:rsidRDefault="004C2DF6"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lang w:val="en-GB" w:eastAsia="en-US"/>
              </w:rPr>
            </w:pPr>
            <w:r w:rsidRPr="00AE09D0">
              <w:rPr>
                <w:lang w:val="en-GB" w:eastAsia="en-US"/>
              </w:rPr>
              <w:t>Treatment of multiple myeloma</w:t>
            </w:r>
          </w:p>
        </w:tc>
        <w:tc>
          <w:tcPr>
            <w:tcW w:w="0" w:type="auto"/>
            <w:hideMark/>
          </w:tcPr>
          <w:p w14:paraId="32BB0449" w14:textId="77777777" w:rsidR="00316713"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p w14:paraId="1C968105" w14:textId="0671F0A3" w:rsidR="004C2DF6" w:rsidRPr="00AE09D0" w:rsidRDefault="000C5C90"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w:t>
            </w:r>
            <w:r w:rsidR="004473E7">
              <w:rPr>
                <w:lang w:val="en-GB"/>
              </w:rPr>
              <w:t>O</w:t>
            </w:r>
            <w:r w:rsidR="004C2DF6" w:rsidRPr="00AE09D0">
              <w:rPr>
                <w:lang w:val="en-GB"/>
              </w:rPr>
              <w:t>)</w:t>
            </w:r>
          </w:p>
        </w:tc>
        <w:tc>
          <w:tcPr>
            <w:tcW w:w="0" w:type="auto"/>
            <w:hideMark/>
          </w:tcPr>
          <w:p w14:paraId="54E058E8"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tc>
        <w:tc>
          <w:tcPr>
            <w:tcW w:w="0" w:type="auto"/>
            <w:hideMark/>
          </w:tcPr>
          <w:p w14:paraId="3DBFB00C"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N</w:t>
            </w:r>
          </w:p>
        </w:tc>
        <w:tc>
          <w:tcPr>
            <w:tcW w:w="0" w:type="auto"/>
            <w:hideMark/>
          </w:tcPr>
          <w:p w14:paraId="34F93136" w14:textId="77777777" w:rsidR="004C2DF6" w:rsidRDefault="00316713"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N</w:t>
            </w:r>
          </w:p>
          <w:p w14:paraId="7DD1882F" w14:textId="5D9034FC" w:rsidR="0050093A" w:rsidRPr="00AE09D0" w:rsidRDefault="00264641"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264641">
              <w:rPr>
                <w:lang w:val="en-GB"/>
              </w:rPr>
              <w:t>(Not registered)</w:t>
            </w:r>
          </w:p>
        </w:tc>
      </w:tr>
      <w:tr w:rsidR="000C5C90" w14:paraId="798C0654"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E4C870" w14:textId="72DE563B" w:rsidR="004C2DF6" w:rsidRPr="00AE09D0" w:rsidRDefault="004C2DF6" w:rsidP="006055E0">
            <w:pPr>
              <w:spacing w:before="0"/>
              <w:rPr>
                <w:lang w:val="en-GB"/>
              </w:rPr>
            </w:pPr>
            <w:r w:rsidRPr="00AE09D0">
              <w:rPr>
                <w:lang w:val="en-GB"/>
              </w:rPr>
              <w:t>Loncastuximab tesirine (Zynlonta</w:t>
            </w:r>
            <w:r w:rsidR="001D0E14" w:rsidRPr="00044733">
              <w:rPr>
                <w:rFonts w:cstheme="minorHAnsi"/>
              </w:rPr>
              <w:t>®</w:t>
            </w:r>
            <w:r w:rsidRPr="00AE09D0">
              <w:rPr>
                <w:lang w:val="en-GB"/>
              </w:rPr>
              <w:t>)</w:t>
            </w:r>
          </w:p>
        </w:tc>
        <w:tc>
          <w:tcPr>
            <w:tcW w:w="0" w:type="auto"/>
          </w:tcPr>
          <w:p w14:paraId="4FEA4C8D" w14:textId="77777777" w:rsidR="004C2DF6" w:rsidRPr="00AE09D0" w:rsidRDefault="004C2DF6" w:rsidP="006055E0">
            <w:pPr>
              <w:shd w:val="clear" w:color="auto" w:fill="FFFFFF"/>
              <w:spacing w:before="0" w:after="100" w:afterAutospacing="1"/>
              <w:cnfStyle w:val="000000100000" w:firstRow="0" w:lastRow="0" w:firstColumn="0" w:lastColumn="0" w:oddVBand="0" w:evenVBand="0" w:oddHBand="1" w:evenHBand="0" w:firstRowFirstColumn="0" w:firstRowLastColumn="0" w:lastRowFirstColumn="0" w:lastRowLastColumn="0"/>
              <w:rPr>
                <w:lang w:val="en-GB" w:eastAsia="en-US"/>
              </w:rPr>
            </w:pPr>
            <w:r w:rsidRPr="00AE09D0">
              <w:rPr>
                <w:lang w:val="en-GB" w:eastAsia="en-US"/>
              </w:rPr>
              <w:t>Treatment of adult patients with relapsed or refractory large B-cell lymphoma</w:t>
            </w:r>
          </w:p>
        </w:tc>
        <w:tc>
          <w:tcPr>
            <w:tcW w:w="0" w:type="auto"/>
            <w:hideMark/>
          </w:tcPr>
          <w:p w14:paraId="6A878B39" w14:textId="07FD1FB4"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6CF4E6EA"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Y</w:t>
            </w:r>
          </w:p>
        </w:tc>
        <w:tc>
          <w:tcPr>
            <w:tcW w:w="0" w:type="auto"/>
            <w:hideMark/>
          </w:tcPr>
          <w:p w14:paraId="0A4B9DB7" w14:textId="77777777" w:rsidR="004C2DF6" w:rsidRPr="00AE09D0" w:rsidRDefault="004C2DF6"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AE09D0">
              <w:rPr>
                <w:lang w:val="en-GB"/>
              </w:rPr>
              <w:t>N</w:t>
            </w:r>
          </w:p>
        </w:tc>
        <w:tc>
          <w:tcPr>
            <w:tcW w:w="0" w:type="auto"/>
            <w:hideMark/>
          </w:tcPr>
          <w:p w14:paraId="7641FA28" w14:textId="77777777" w:rsidR="004C2DF6" w:rsidRDefault="00316713"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N</w:t>
            </w:r>
          </w:p>
          <w:p w14:paraId="11EE2EF4" w14:textId="46C60302" w:rsidR="0050093A" w:rsidRPr="00AE09D0" w:rsidRDefault="00264641" w:rsidP="00AE09D0">
            <w:pPr>
              <w:spacing w:before="0"/>
              <w:jc w:val="center"/>
              <w:cnfStyle w:val="000000100000" w:firstRow="0" w:lastRow="0" w:firstColumn="0" w:lastColumn="0" w:oddVBand="0" w:evenVBand="0" w:oddHBand="1" w:evenHBand="0" w:firstRowFirstColumn="0" w:firstRowLastColumn="0" w:lastRowFirstColumn="0" w:lastRowLastColumn="0"/>
              <w:rPr>
                <w:lang w:val="en-GB"/>
              </w:rPr>
            </w:pPr>
            <w:r w:rsidRPr="00264641">
              <w:rPr>
                <w:lang w:val="en-GB"/>
              </w:rPr>
              <w:t>(Not registered)</w:t>
            </w:r>
          </w:p>
        </w:tc>
      </w:tr>
      <w:tr w:rsidR="000C5C90" w14:paraId="750210FA"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BAD7E" w14:textId="6E08D52A" w:rsidR="004C2DF6" w:rsidRPr="00AE09D0" w:rsidRDefault="004C2DF6" w:rsidP="006055E0">
            <w:pPr>
              <w:spacing w:before="0"/>
              <w:rPr>
                <w:lang w:val="en-GB"/>
              </w:rPr>
            </w:pPr>
            <w:r w:rsidRPr="00AE09D0">
              <w:rPr>
                <w:lang w:val="en-GB"/>
              </w:rPr>
              <w:t xml:space="preserve">Tisotumab vedotin </w:t>
            </w:r>
            <w:r w:rsidR="004E46C0">
              <w:rPr>
                <w:lang w:val="en-GB"/>
              </w:rPr>
              <w:br/>
            </w:r>
            <w:r w:rsidRPr="00AE09D0">
              <w:rPr>
                <w:lang w:val="en-GB"/>
              </w:rPr>
              <w:t>(Tivdak</w:t>
            </w:r>
            <w:r w:rsidR="001D0E14" w:rsidRPr="00044733">
              <w:rPr>
                <w:rFonts w:cstheme="minorHAnsi"/>
              </w:rPr>
              <w:t>®</w:t>
            </w:r>
            <w:r w:rsidRPr="00AE09D0">
              <w:rPr>
                <w:lang w:val="en-GB"/>
              </w:rPr>
              <w:t>)</w:t>
            </w:r>
          </w:p>
        </w:tc>
        <w:tc>
          <w:tcPr>
            <w:tcW w:w="0" w:type="auto"/>
          </w:tcPr>
          <w:p w14:paraId="059B80AF" w14:textId="77777777" w:rsidR="004C2DF6" w:rsidRPr="00AE09D0" w:rsidRDefault="004C2DF6" w:rsidP="006055E0">
            <w:pPr>
              <w:shd w:val="clear" w:color="auto" w:fill="FFFFFF"/>
              <w:spacing w:before="0" w:after="100" w:afterAutospacing="1"/>
              <w:cnfStyle w:val="000000010000" w:firstRow="0" w:lastRow="0" w:firstColumn="0" w:lastColumn="0" w:oddVBand="0" w:evenVBand="0" w:oddHBand="0" w:evenHBand="1" w:firstRowFirstColumn="0" w:firstRowLastColumn="0" w:lastRowFirstColumn="0" w:lastRowLastColumn="0"/>
              <w:rPr>
                <w:lang w:val="en-GB" w:eastAsia="en-US"/>
              </w:rPr>
            </w:pPr>
            <w:r w:rsidRPr="00AE09D0">
              <w:rPr>
                <w:lang w:val="en-GB" w:eastAsia="en-US"/>
              </w:rPr>
              <w:t>Treatment of adult patients with recurrent or metastatic cervical cancer</w:t>
            </w:r>
          </w:p>
        </w:tc>
        <w:tc>
          <w:tcPr>
            <w:tcW w:w="0" w:type="auto"/>
            <w:hideMark/>
          </w:tcPr>
          <w:p w14:paraId="39A47F1C" w14:textId="65DD4873" w:rsidR="004C2DF6" w:rsidRPr="00AE09D0" w:rsidRDefault="00887C07"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N</w:t>
            </w:r>
          </w:p>
        </w:tc>
        <w:tc>
          <w:tcPr>
            <w:tcW w:w="0" w:type="auto"/>
            <w:hideMark/>
          </w:tcPr>
          <w:p w14:paraId="76AD1E39"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Y</w:t>
            </w:r>
          </w:p>
        </w:tc>
        <w:tc>
          <w:tcPr>
            <w:tcW w:w="0" w:type="auto"/>
            <w:hideMark/>
          </w:tcPr>
          <w:p w14:paraId="6A6D74BA" w14:textId="77777777" w:rsidR="004C2DF6" w:rsidRPr="00AE09D0" w:rsidRDefault="004C2DF6"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AE09D0">
              <w:rPr>
                <w:lang w:val="en-GB"/>
              </w:rPr>
              <w:t>N</w:t>
            </w:r>
          </w:p>
        </w:tc>
        <w:tc>
          <w:tcPr>
            <w:tcW w:w="0" w:type="auto"/>
            <w:hideMark/>
          </w:tcPr>
          <w:p w14:paraId="01BFCBA0" w14:textId="77777777" w:rsidR="004C2DF6" w:rsidRDefault="00316713"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N</w:t>
            </w:r>
          </w:p>
          <w:p w14:paraId="042405E0" w14:textId="05E125AA" w:rsidR="0050093A" w:rsidRPr="00AE09D0" w:rsidRDefault="00264641"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sidRPr="00264641">
              <w:rPr>
                <w:lang w:val="en-GB"/>
              </w:rPr>
              <w:t>(Not registered)</w:t>
            </w:r>
          </w:p>
        </w:tc>
      </w:tr>
    </w:tbl>
    <w:p w14:paraId="6286ABF4" w14:textId="4E108C68" w:rsidR="00316713" w:rsidRPr="00D03CCB" w:rsidRDefault="00316713" w:rsidP="00D03CCB">
      <w:pPr>
        <w:pStyle w:val="Caption"/>
        <w:rPr>
          <w:i w:val="0"/>
        </w:rPr>
      </w:pPr>
      <w:bookmarkStart w:id="149" w:name="_Toc128726205"/>
      <w:bookmarkEnd w:id="149"/>
      <w:r w:rsidRPr="00D03CCB">
        <w:rPr>
          <w:color w:val="auto"/>
        </w:rPr>
        <w:t>Y</w:t>
      </w:r>
      <w:r w:rsidR="004473E7" w:rsidRPr="00D03CCB">
        <w:rPr>
          <w:color w:val="auto"/>
        </w:rPr>
        <w:t xml:space="preserve"> </w:t>
      </w:r>
      <w:r w:rsidRPr="00D03CCB">
        <w:rPr>
          <w:color w:val="auto"/>
        </w:rPr>
        <w:t xml:space="preserve">= registered or funded. N = not registered or funded. </w:t>
      </w:r>
      <w:r w:rsidR="004473E7" w:rsidRPr="00D03CCB">
        <w:rPr>
          <w:color w:val="auto"/>
        </w:rPr>
        <w:t xml:space="preserve">O = </w:t>
      </w:r>
      <w:r w:rsidRPr="00D03CCB">
        <w:rPr>
          <w:color w:val="auto"/>
        </w:rPr>
        <w:t xml:space="preserve">Orphan medicine (EMA): A medicine for the diagnosis, </w:t>
      </w:r>
      <w:r w:rsidR="00A81872" w:rsidRPr="00D03CCB">
        <w:rPr>
          <w:color w:val="auto"/>
        </w:rPr>
        <w:t>prevention,</w:t>
      </w:r>
      <w:r w:rsidRPr="00D03CCB">
        <w:rPr>
          <w:color w:val="auto"/>
        </w:rPr>
        <w:t xml:space="preserve"> or treatment of a life-threatening or chronically debilitating condition that is rare (affecting not more than five in 10,000 people in the European Union) or where the medicine is unlikely to generate sufficient profit to justify research and development costs.</w:t>
      </w:r>
    </w:p>
    <w:p w14:paraId="6F85A50C" w14:textId="0761B5DB" w:rsidR="004473E7" w:rsidRPr="004473E7" w:rsidRDefault="00DB6D0D" w:rsidP="00316713">
      <w:pPr>
        <w:rPr>
          <w:sz w:val="18"/>
          <w:szCs w:val="18"/>
        </w:rPr>
      </w:pPr>
      <w:r>
        <w:t xml:space="preserve">While antibody drug conjugates have existed for over 20 years, some are expecting a significant increase in the number brought to market in the near future. </w:t>
      </w:r>
      <w:r w:rsidR="004473E7">
        <w:t>O</w:t>
      </w:r>
      <w:r w:rsidR="004473E7" w:rsidRPr="008A3CB7">
        <w:t xml:space="preserve">ver 100 </w:t>
      </w:r>
      <w:r w:rsidR="004473E7">
        <w:t>further antibody-drug conjugate</w:t>
      </w:r>
      <w:r w:rsidR="004473E7" w:rsidRPr="008A3CB7">
        <w:t>s are currently under clinical development</w:t>
      </w:r>
      <w:r w:rsidR="004473E7">
        <w:t>.</w:t>
      </w:r>
      <w:r w:rsidR="004473E7" w:rsidRPr="009E774D">
        <w:rPr>
          <w:vertAlign w:val="superscript"/>
        </w:rPr>
        <w:fldChar w:fldCharType="begin"/>
      </w:r>
      <w:r w:rsidR="004473E7" w:rsidRPr="009E774D">
        <w:rPr>
          <w:vertAlign w:val="superscript"/>
        </w:rPr>
        <w:instrText xml:space="preserve"> NOTEREF _Ref125994562 \h </w:instrText>
      </w:r>
      <w:r w:rsidR="004473E7">
        <w:rPr>
          <w:vertAlign w:val="superscript"/>
        </w:rPr>
        <w:instrText xml:space="preserve"> \* MERGEFORMAT </w:instrText>
      </w:r>
      <w:r w:rsidR="004473E7" w:rsidRPr="009E774D">
        <w:rPr>
          <w:vertAlign w:val="superscript"/>
        </w:rPr>
      </w:r>
      <w:r w:rsidR="004473E7" w:rsidRPr="009E774D">
        <w:rPr>
          <w:vertAlign w:val="superscript"/>
        </w:rPr>
        <w:fldChar w:fldCharType="separate"/>
      </w:r>
      <w:r w:rsidR="00395B47">
        <w:rPr>
          <w:vertAlign w:val="superscript"/>
        </w:rPr>
        <w:t>37</w:t>
      </w:r>
      <w:r w:rsidR="004473E7" w:rsidRPr="009E774D">
        <w:rPr>
          <w:vertAlign w:val="superscript"/>
        </w:rPr>
        <w:fldChar w:fldCharType="end"/>
      </w:r>
    </w:p>
    <w:p w14:paraId="5B06C635" w14:textId="50EDC12D" w:rsidR="000344DE" w:rsidRDefault="000344DE" w:rsidP="00A167C3">
      <w:pPr>
        <w:pStyle w:val="Heading2"/>
      </w:pPr>
      <w:bookmarkStart w:id="150" w:name="_Toc128726207"/>
      <w:bookmarkStart w:id="151" w:name="_Toc158900429"/>
      <w:bookmarkEnd w:id="150"/>
      <w:r>
        <w:t>Bi-specific antibodies</w:t>
      </w:r>
      <w:bookmarkEnd w:id="151"/>
    </w:p>
    <w:p w14:paraId="0F7860B9" w14:textId="364BB1D4" w:rsidR="00EE0B36" w:rsidRDefault="000344DE" w:rsidP="000344DE">
      <w:r w:rsidRPr="00822C4B">
        <w:t>Antibodies with specificity for one target — called monoclonal antibodies</w:t>
      </w:r>
      <w:r w:rsidR="004473E7">
        <w:t xml:space="preserve"> </w:t>
      </w:r>
      <w:r w:rsidRPr="00822C4B">
        <w:t>— were the first cancer immunotherapy to achieve widespread clinical use.</w:t>
      </w:r>
      <w:bookmarkStart w:id="152" w:name="_Ref126245337"/>
      <w:r>
        <w:rPr>
          <w:rStyle w:val="FootnoteReference"/>
        </w:rPr>
        <w:footnoteReference w:id="39"/>
      </w:r>
      <w:bookmarkEnd w:id="152"/>
      <w:r w:rsidRPr="000A24BC">
        <w:t xml:space="preserve"> </w:t>
      </w:r>
      <w:r w:rsidR="00F846DB">
        <w:t>Bi-specific antibodies</w:t>
      </w:r>
      <w:r w:rsidRPr="00822C4B">
        <w:t xml:space="preserve"> recognize two distinct molecular targets</w:t>
      </w:r>
      <w:r w:rsidRPr="00042B98">
        <w:rPr>
          <w:vertAlign w:val="superscript"/>
        </w:rPr>
        <w:t xml:space="preserve"> </w:t>
      </w:r>
      <w:r w:rsidR="00F846DB">
        <w:t xml:space="preserve"> such as</w:t>
      </w:r>
      <w:r w:rsidRPr="00822C4B">
        <w:t xml:space="preserve"> cancer cells and</w:t>
      </w:r>
      <w:r w:rsidR="00F846DB">
        <w:t xml:space="preserve"> the</w:t>
      </w:r>
      <w:r w:rsidRPr="00822C4B">
        <w:t xml:space="preserve"> </w:t>
      </w:r>
      <w:r>
        <w:t>T</w:t>
      </w:r>
      <w:r w:rsidRPr="00822C4B">
        <w:t xml:space="preserve"> cells</w:t>
      </w:r>
      <w:r w:rsidR="00F846DB">
        <w:t xml:space="preserve"> that eliminate</w:t>
      </w:r>
      <w:r w:rsidRPr="00822C4B">
        <w:t xml:space="preserve"> cancer cell</w:t>
      </w:r>
      <w:r w:rsidR="00F846DB">
        <w:t>s</w:t>
      </w:r>
      <w:r w:rsidRPr="00822C4B">
        <w:t>.</w:t>
      </w:r>
      <w:r w:rsidRPr="00042B98">
        <w:rPr>
          <w:vertAlign w:val="superscript"/>
        </w:rPr>
        <w:fldChar w:fldCharType="begin"/>
      </w:r>
      <w:r w:rsidRPr="00042B98">
        <w:rPr>
          <w:vertAlign w:val="superscript"/>
        </w:rPr>
        <w:instrText xml:space="preserve"> NOTEREF _Ref126245337 \h </w:instrText>
      </w:r>
      <w:r>
        <w:rPr>
          <w:vertAlign w:val="superscript"/>
        </w:rPr>
        <w:instrText xml:space="preserve"> \* MERGEFORMAT </w:instrText>
      </w:r>
      <w:r w:rsidRPr="00042B98">
        <w:rPr>
          <w:vertAlign w:val="superscript"/>
        </w:rPr>
      </w:r>
      <w:r w:rsidRPr="00042B98">
        <w:rPr>
          <w:vertAlign w:val="superscript"/>
        </w:rPr>
        <w:fldChar w:fldCharType="separate"/>
      </w:r>
      <w:r w:rsidR="00395B47">
        <w:rPr>
          <w:vertAlign w:val="superscript"/>
        </w:rPr>
        <w:t>38</w:t>
      </w:r>
      <w:r w:rsidRPr="00042B98">
        <w:rPr>
          <w:vertAlign w:val="superscript"/>
        </w:rPr>
        <w:fldChar w:fldCharType="end"/>
      </w:r>
      <w:r w:rsidR="00F846DB">
        <w:t xml:space="preserve"> </w:t>
      </w:r>
      <w:r w:rsidR="004473E7">
        <w:t>Bi-specific antibodies</w:t>
      </w:r>
      <w:r w:rsidRPr="001A316F">
        <w:t xml:space="preserve"> </w:t>
      </w:r>
      <w:r w:rsidR="00F846DB">
        <w:t>are a new</w:t>
      </w:r>
      <w:r w:rsidRPr="001A316F">
        <w:t xml:space="preserve"> strategy of cancer immunotherapy</w:t>
      </w:r>
      <w:r>
        <w:t>.</w:t>
      </w:r>
      <w:bookmarkStart w:id="153" w:name="_Ref126242328"/>
      <w:r>
        <w:rPr>
          <w:rStyle w:val="FootnoteReference"/>
        </w:rPr>
        <w:footnoteReference w:id="40"/>
      </w:r>
      <w:bookmarkEnd w:id="153"/>
      <w:r>
        <w:t xml:space="preserve"> </w:t>
      </w:r>
    </w:p>
    <w:p w14:paraId="0D752AEA" w14:textId="0BC5B9BC" w:rsidR="000344DE" w:rsidRDefault="004473E7" w:rsidP="000344DE">
      <w:r>
        <w:t>Bi-specific antibodies</w:t>
      </w:r>
      <w:r w:rsidR="00EE0B36" w:rsidRPr="00180536">
        <w:t xml:space="preserve"> are designed to achieve different functions through single or multiple </w:t>
      </w:r>
      <w:r w:rsidR="00EE0B36">
        <w:t>mode of actions</w:t>
      </w:r>
      <w:r w:rsidR="00EE0B36" w:rsidRPr="00180536">
        <w:t xml:space="preserve">: bridging </w:t>
      </w:r>
      <w:r w:rsidR="00A81872" w:rsidRPr="00180536">
        <w:t>tumour</w:t>
      </w:r>
      <w:r w:rsidR="00EE0B36" w:rsidRPr="00180536">
        <w:t xml:space="preserve"> cells and immune cells for redirected cytotoxicity, blocking two targets to inhibit </w:t>
      </w:r>
      <w:r w:rsidR="00A81872" w:rsidRPr="00180536">
        <w:t>tumour</w:t>
      </w:r>
      <w:r w:rsidR="00EE0B36" w:rsidRPr="00180536">
        <w:t xml:space="preserve"> growth, promoting immune cell functions, or facilitating the formation of protein complexes</w:t>
      </w:r>
      <w:r w:rsidR="00757DF3">
        <w:t>.</w:t>
      </w:r>
      <w:bookmarkStart w:id="154" w:name="_Ref129610424"/>
      <w:r w:rsidR="00757DF3">
        <w:rPr>
          <w:rStyle w:val="FootnoteReference"/>
        </w:rPr>
        <w:footnoteReference w:id="41"/>
      </w:r>
      <w:bookmarkEnd w:id="154"/>
      <w:r w:rsidR="00757DF3" w:rsidRPr="00180536">
        <w:t xml:space="preserve"> </w:t>
      </w:r>
      <w:r w:rsidR="000344DE" w:rsidRPr="00DB76EE">
        <w:t xml:space="preserve">Most </w:t>
      </w:r>
      <w:r>
        <w:t>bi-specific antibodies</w:t>
      </w:r>
      <w:r w:rsidR="00343D47">
        <w:t xml:space="preserve"> developed to date</w:t>
      </w:r>
      <w:r w:rsidR="000344DE" w:rsidRPr="00DB76EE">
        <w:t xml:space="preserve"> are bispecific T-cell-engagers, designed to redirect and/or activate CD3-expressing cytotoxic T cells against a specific tumour target on malignant cells. Other </w:t>
      </w:r>
      <w:r>
        <w:t xml:space="preserve">bi-specific antibodies </w:t>
      </w:r>
      <w:r w:rsidR="000344DE" w:rsidRPr="00DB76EE">
        <w:t>classes include therapies that target immune checkpoints, oncogenic signalling pathways and cytokines.</w:t>
      </w:r>
      <w:r w:rsidR="00757DF3">
        <w:rPr>
          <w:rStyle w:val="FootnoteReference"/>
        </w:rPr>
        <w:footnoteReference w:id="42"/>
      </w:r>
      <w:r w:rsidR="000344DE">
        <w:rPr>
          <w:vertAlign w:val="superscript"/>
        </w:rPr>
        <w:t xml:space="preserve"> </w:t>
      </w:r>
    </w:p>
    <w:p w14:paraId="5D58F359" w14:textId="5BE3C731" w:rsidR="00D60770" w:rsidRDefault="004473E7" w:rsidP="00D60770">
      <w:r>
        <w:t>Bi-specific antibodies</w:t>
      </w:r>
      <w:r w:rsidR="00D60770" w:rsidRPr="00067729">
        <w:t xml:space="preserve"> have</w:t>
      </w:r>
      <w:r w:rsidR="00EE0B36">
        <w:t xml:space="preserve"> also</w:t>
      </w:r>
      <w:r w:rsidR="00D60770" w:rsidRPr="00067729">
        <w:t xml:space="preserve"> been </w:t>
      </w:r>
      <w:r w:rsidR="00D60770">
        <w:t>trialled</w:t>
      </w:r>
      <w:r w:rsidR="00D60770" w:rsidRPr="00067729">
        <w:t xml:space="preserve"> in regenerative medicine infectious diseases</w:t>
      </w:r>
      <w:r w:rsidR="00D60770">
        <w:t xml:space="preserve"> treatment</w:t>
      </w:r>
      <w:r w:rsidR="00D60770" w:rsidRPr="00067729">
        <w:t xml:space="preserve"> </w:t>
      </w:r>
      <w:r w:rsidR="00D60770">
        <w:t>(</w:t>
      </w:r>
      <w:r w:rsidR="00D60770" w:rsidRPr="00067729">
        <w:t>such as HIV</w:t>
      </w:r>
      <w:r w:rsidR="00D60770">
        <w:t>)</w:t>
      </w:r>
      <w:r w:rsidR="00D60770" w:rsidRPr="00067729">
        <w:t xml:space="preserve">, </w:t>
      </w:r>
      <w:r w:rsidR="00A81872" w:rsidRPr="00067729">
        <w:t>haematological</w:t>
      </w:r>
      <w:r w:rsidR="00D60770" w:rsidRPr="00067729">
        <w:t xml:space="preserve"> disorders, and cancer depending on their design and </w:t>
      </w:r>
      <w:r w:rsidR="00D60770">
        <w:t>multiple mode of actions.</w:t>
      </w:r>
      <w:r w:rsidR="00EC7EFC" w:rsidRPr="00EC7EFC">
        <w:rPr>
          <w:vertAlign w:val="superscript"/>
        </w:rPr>
        <w:fldChar w:fldCharType="begin"/>
      </w:r>
      <w:r w:rsidR="00EC7EFC" w:rsidRPr="00EC7EFC">
        <w:rPr>
          <w:vertAlign w:val="superscript"/>
        </w:rPr>
        <w:instrText xml:space="preserve"> NOTEREF _Ref129610424 \h </w:instrText>
      </w:r>
      <w:r w:rsidR="00EC7EFC">
        <w:rPr>
          <w:vertAlign w:val="superscript"/>
        </w:rPr>
        <w:instrText xml:space="preserve"> \* MERGEFORMAT </w:instrText>
      </w:r>
      <w:r w:rsidR="00EC7EFC" w:rsidRPr="00EC7EFC">
        <w:rPr>
          <w:vertAlign w:val="superscript"/>
        </w:rPr>
      </w:r>
      <w:r w:rsidR="00EC7EFC" w:rsidRPr="00EC7EFC">
        <w:rPr>
          <w:vertAlign w:val="superscript"/>
        </w:rPr>
        <w:fldChar w:fldCharType="separate"/>
      </w:r>
      <w:r w:rsidR="00395B47">
        <w:rPr>
          <w:vertAlign w:val="superscript"/>
        </w:rPr>
        <w:t>40</w:t>
      </w:r>
      <w:r w:rsidR="00EC7EFC" w:rsidRPr="00EC7EFC">
        <w:rPr>
          <w:vertAlign w:val="superscript"/>
        </w:rPr>
        <w:fldChar w:fldCharType="end"/>
      </w:r>
      <w:r w:rsidR="00EC7EFC">
        <w:rPr>
          <w:vertAlign w:val="superscript"/>
        </w:rPr>
        <w:t xml:space="preserve"> </w:t>
      </w:r>
      <w:r w:rsidR="00D60770" w:rsidRPr="00067729">
        <w:t xml:space="preserve">More than 85% of </w:t>
      </w:r>
      <w:r>
        <w:t>bi-specific antibodies</w:t>
      </w:r>
      <w:r w:rsidR="00D60770" w:rsidRPr="00067729">
        <w:t xml:space="preserve"> in clinical trials are cancer therapeutics</w:t>
      </w:r>
      <w:r w:rsidR="00D60770">
        <w:t>.</w:t>
      </w:r>
      <w:r w:rsidR="00EC7EFC" w:rsidRPr="00EC7EFC">
        <w:rPr>
          <w:vertAlign w:val="superscript"/>
        </w:rPr>
        <w:fldChar w:fldCharType="begin"/>
      </w:r>
      <w:r w:rsidR="00EC7EFC" w:rsidRPr="00EC7EFC">
        <w:rPr>
          <w:vertAlign w:val="superscript"/>
        </w:rPr>
        <w:instrText xml:space="preserve"> NOTEREF _Ref129610424 \h </w:instrText>
      </w:r>
      <w:r w:rsidR="00EC7EFC">
        <w:rPr>
          <w:vertAlign w:val="superscript"/>
        </w:rPr>
        <w:instrText xml:space="preserve"> \* MERGEFORMAT </w:instrText>
      </w:r>
      <w:r w:rsidR="00EC7EFC" w:rsidRPr="00EC7EFC">
        <w:rPr>
          <w:vertAlign w:val="superscript"/>
        </w:rPr>
      </w:r>
      <w:r w:rsidR="00EC7EFC" w:rsidRPr="00EC7EFC">
        <w:rPr>
          <w:vertAlign w:val="superscript"/>
        </w:rPr>
        <w:fldChar w:fldCharType="separate"/>
      </w:r>
      <w:r w:rsidR="00395B47">
        <w:rPr>
          <w:vertAlign w:val="superscript"/>
        </w:rPr>
        <w:t>40</w:t>
      </w:r>
      <w:r w:rsidR="00EC7EFC" w:rsidRPr="00EC7EFC">
        <w:rPr>
          <w:vertAlign w:val="superscript"/>
        </w:rPr>
        <w:fldChar w:fldCharType="end"/>
      </w:r>
    </w:p>
    <w:p w14:paraId="7B0735AE" w14:textId="6B93CD37" w:rsidR="000344DE" w:rsidRDefault="000344DE" w:rsidP="000344DE">
      <w:r w:rsidRPr="00CB72E6">
        <w:t>The first bi</w:t>
      </w:r>
      <w:r w:rsidR="004473E7">
        <w:t>-</w:t>
      </w:r>
      <w:r w:rsidRPr="00CB72E6">
        <w:t>specific antibody to</w:t>
      </w:r>
      <w:r w:rsidR="0000530D">
        <w:t xml:space="preserve"> be used clinically</w:t>
      </w:r>
      <w:r w:rsidRPr="00CB72E6">
        <w:t xml:space="preserve">, </w:t>
      </w:r>
      <w:r w:rsidR="004473E7">
        <w:t>c</w:t>
      </w:r>
      <w:r w:rsidRPr="00CB72E6">
        <w:t>atumaxomab</w:t>
      </w:r>
      <w:r w:rsidR="00A51025">
        <w:t>,</w:t>
      </w:r>
      <w:r w:rsidRPr="00CB72E6">
        <w:t xml:space="preserve"> was approved by</w:t>
      </w:r>
      <w:r w:rsidR="0000530D">
        <w:t xml:space="preserve"> the</w:t>
      </w:r>
      <w:r w:rsidRPr="00CB72E6">
        <w:t xml:space="preserve"> European Union</w:t>
      </w:r>
      <w:r>
        <w:t xml:space="preserve"> (EU)</w:t>
      </w:r>
      <w:r w:rsidRPr="00CB72E6">
        <w:t xml:space="preserve"> for use in malignant ascites in 2009</w:t>
      </w:r>
      <w:r>
        <w:t>.</w:t>
      </w:r>
      <w:bookmarkStart w:id="155" w:name="_Ref126247194"/>
      <w:r>
        <w:rPr>
          <w:rStyle w:val="FootnoteReference"/>
        </w:rPr>
        <w:footnoteReference w:id="43"/>
      </w:r>
      <w:bookmarkEnd w:id="155"/>
      <w:r>
        <w:t xml:space="preserve"> </w:t>
      </w:r>
      <w:r w:rsidR="00026EDB">
        <w:t>It was assessed as</w:t>
      </w:r>
      <w:r w:rsidRPr="00432E49">
        <w:t xml:space="preserve"> safe for use in</w:t>
      </w:r>
      <w:r w:rsidR="0000530D">
        <w:t xml:space="preserve"> the</w:t>
      </w:r>
      <w:r w:rsidRPr="00432E49">
        <w:t xml:space="preserve"> outpatient setting in patients with malignant ascites secondary to </w:t>
      </w:r>
      <w:r w:rsidR="00A81872" w:rsidRPr="00432E49">
        <w:t>gynaecological</w:t>
      </w:r>
      <w:r w:rsidRPr="00432E49">
        <w:t xml:space="preserve"> </w:t>
      </w:r>
      <w:r w:rsidR="00A81872" w:rsidRPr="00432E49">
        <w:t>tumours</w:t>
      </w:r>
      <w:r w:rsidRPr="00432E49">
        <w:t xml:space="preserve"> including epithelial ovarian cancer and metastatic breast cancer</w:t>
      </w:r>
      <w:r>
        <w:t xml:space="preserve">, however was </w:t>
      </w:r>
      <w:r w:rsidRPr="00432E49">
        <w:t>it was taken off the</w:t>
      </w:r>
      <w:r w:rsidRPr="00432E49" w:rsidDel="00A51025">
        <w:t xml:space="preserve"> </w:t>
      </w:r>
      <w:r w:rsidRPr="00432E49">
        <w:t>market in 2014 due to financial reasons.</w:t>
      </w:r>
      <w:r w:rsidRPr="007C24FD">
        <w:rPr>
          <w:vertAlign w:val="superscript"/>
        </w:rPr>
        <w:fldChar w:fldCharType="begin"/>
      </w:r>
      <w:r w:rsidRPr="007C24FD">
        <w:rPr>
          <w:vertAlign w:val="superscript"/>
        </w:rPr>
        <w:instrText xml:space="preserve"> NOTEREF _Ref126247194 \h </w:instrText>
      </w:r>
      <w:r>
        <w:rPr>
          <w:vertAlign w:val="superscript"/>
        </w:rPr>
        <w:instrText xml:space="preserve"> \* MERGEFORMAT </w:instrText>
      </w:r>
      <w:r w:rsidRPr="007C24FD">
        <w:rPr>
          <w:vertAlign w:val="superscript"/>
        </w:rPr>
      </w:r>
      <w:r w:rsidRPr="007C24FD">
        <w:rPr>
          <w:vertAlign w:val="superscript"/>
        </w:rPr>
        <w:fldChar w:fldCharType="separate"/>
      </w:r>
      <w:r w:rsidR="00395B47">
        <w:rPr>
          <w:vertAlign w:val="superscript"/>
        </w:rPr>
        <w:t>42</w:t>
      </w:r>
      <w:r w:rsidRPr="007C24FD">
        <w:rPr>
          <w:vertAlign w:val="superscript"/>
        </w:rPr>
        <w:fldChar w:fldCharType="end"/>
      </w:r>
      <w:r w:rsidRPr="00432E49">
        <w:t xml:space="preserve"> Its </w:t>
      </w:r>
      <w:r w:rsidR="00A51025">
        <w:t>EMA market authorisation</w:t>
      </w:r>
      <w:r w:rsidR="00A51025" w:rsidRPr="00432E49">
        <w:t xml:space="preserve"> </w:t>
      </w:r>
      <w:r w:rsidRPr="00432E49">
        <w:t>was subsequently withdrawn in 2017</w:t>
      </w:r>
      <w:r w:rsidRPr="00172FA6">
        <w:t>.</w:t>
      </w:r>
      <w:r w:rsidRPr="007C24FD">
        <w:rPr>
          <w:vertAlign w:val="superscript"/>
        </w:rPr>
        <w:fldChar w:fldCharType="begin"/>
      </w:r>
      <w:r w:rsidRPr="007C24FD">
        <w:rPr>
          <w:vertAlign w:val="superscript"/>
        </w:rPr>
        <w:instrText xml:space="preserve"> NOTEREF _Ref126247194 \h </w:instrText>
      </w:r>
      <w:r>
        <w:rPr>
          <w:vertAlign w:val="superscript"/>
        </w:rPr>
        <w:instrText xml:space="preserve"> \* MERGEFORMAT </w:instrText>
      </w:r>
      <w:r w:rsidRPr="007C24FD">
        <w:rPr>
          <w:vertAlign w:val="superscript"/>
        </w:rPr>
      </w:r>
      <w:r w:rsidRPr="007C24FD">
        <w:rPr>
          <w:vertAlign w:val="superscript"/>
        </w:rPr>
        <w:fldChar w:fldCharType="separate"/>
      </w:r>
      <w:r w:rsidR="00395B47">
        <w:rPr>
          <w:vertAlign w:val="superscript"/>
        </w:rPr>
        <w:t>42</w:t>
      </w:r>
      <w:r w:rsidRPr="007C24FD">
        <w:rPr>
          <w:vertAlign w:val="superscript"/>
        </w:rPr>
        <w:fldChar w:fldCharType="end"/>
      </w:r>
    </w:p>
    <w:p w14:paraId="6AC57A9B" w14:textId="77777777" w:rsidR="00343D47" w:rsidRDefault="00343D47" w:rsidP="00632DC0">
      <w:pPr>
        <w:pStyle w:val="Heading3"/>
        <w:ind w:left="709"/>
      </w:pPr>
      <w:r>
        <w:t>Development, market approval and Australian funding status</w:t>
      </w:r>
    </w:p>
    <w:p w14:paraId="602F4AAB" w14:textId="25FCEF6D" w:rsidR="007D3440" w:rsidRPr="004A12CF" w:rsidRDefault="00343D47" w:rsidP="007D3440">
      <w:r w:rsidRPr="00DF1B3C">
        <w:t xml:space="preserve">Currently, there are </w:t>
      </w:r>
      <w:r w:rsidR="004473E7">
        <w:t>1</w:t>
      </w:r>
      <w:r w:rsidR="00011E9E">
        <w:t>3</w:t>
      </w:r>
      <w:r w:rsidR="00903109">
        <w:t xml:space="preserve"> </w:t>
      </w:r>
      <w:r w:rsidRPr="00DF1B3C">
        <w:t>bi</w:t>
      </w:r>
      <w:r w:rsidR="004473E7">
        <w:t>-</w:t>
      </w:r>
      <w:r w:rsidRPr="00DF1B3C">
        <w:t xml:space="preserve">specific antibodies </w:t>
      </w:r>
      <w:r w:rsidR="004473E7">
        <w:t>with market authorisation across Europe, the US and Australia.</w:t>
      </w:r>
      <w:r w:rsidR="00447BC8">
        <w:t xml:space="preserve"> </w:t>
      </w:r>
      <w:r w:rsidR="00637110">
        <w:t xml:space="preserve">Seven </w:t>
      </w:r>
      <w:r w:rsidR="00A0203D">
        <w:t xml:space="preserve">are TGA registered, </w:t>
      </w:r>
      <w:r w:rsidR="005A321E">
        <w:t>of which two</w:t>
      </w:r>
      <w:r w:rsidR="00A0203D">
        <w:t xml:space="preserve"> are subsidised through the PBS</w:t>
      </w:r>
      <w:r w:rsidR="0000530D">
        <w:t xml:space="preserve"> and one is subsidised under the National Blood Agreements</w:t>
      </w:r>
      <w:r>
        <w:t>.</w:t>
      </w:r>
      <w:r w:rsidR="007D3440">
        <w:t xml:space="preserve"> </w:t>
      </w:r>
    </w:p>
    <w:p w14:paraId="40AD280F" w14:textId="7C2572F1" w:rsidR="008C0A58" w:rsidRPr="00330FBE" w:rsidRDefault="008C0A58" w:rsidP="00330FBE">
      <w:pPr>
        <w:rPr>
          <w:b/>
          <w:bCs/>
          <w:color w:val="002060"/>
        </w:rPr>
      </w:pPr>
      <w:bookmarkStart w:id="156" w:name="_Ref129610652"/>
      <w:r w:rsidRPr="00330FBE">
        <w:rPr>
          <w:b/>
          <w:bCs/>
          <w:color w:val="002060"/>
        </w:rPr>
        <w:t xml:space="preserve">Table </w:t>
      </w:r>
      <w:bookmarkEnd w:id="156"/>
      <w:r w:rsidR="000C4E3D" w:rsidRPr="00330FBE">
        <w:rPr>
          <w:b/>
          <w:bCs/>
          <w:color w:val="002060"/>
        </w:rPr>
        <w:t>8</w:t>
      </w:r>
      <w:r w:rsidR="002E21FE" w:rsidRPr="00330FBE">
        <w:rPr>
          <w:b/>
          <w:bCs/>
          <w:color w:val="002060"/>
        </w:rPr>
        <w:t xml:space="preserve"> </w:t>
      </w:r>
      <w:r w:rsidR="000C4E3D" w:rsidRPr="00330FBE">
        <w:rPr>
          <w:b/>
          <w:bCs/>
          <w:color w:val="002060"/>
        </w:rPr>
        <w:t>B</w:t>
      </w:r>
      <w:r w:rsidRPr="00330FBE">
        <w:rPr>
          <w:b/>
          <w:bCs/>
          <w:color w:val="002060"/>
        </w:rPr>
        <w:t>i</w:t>
      </w:r>
      <w:r w:rsidR="000C4E3D" w:rsidRPr="00330FBE">
        <w:rPr>
          <w:b/>
          <w:bCs/>
          <w:color w:val="002060"/>
        </w:rPr>
        <w:t>-</w:t>
      </w:r>
      <w:r w:rsidRPr="00330FBE">
        <w:rPr>
          <w:b/>
          <w:bCs/>
          <w:color w:val="002060"/>
        </w:rPr>
        <w:t>specific antibodies</w:t>
      </w:r>
    </w:p>
    <w:tbl>
      <w:tblPr>
        <w:tblStyle w:val="DepartmentofHealthtable"/>
        <w:tblW w:w="0" w:type="auto"/>
        <w:tblLook w:val="04A0" w:firstRow="1" w:lastRow="0" w:firstColumn="1" w:lastColumn="0" w:noHBand="0" w:noVBand="1"/>
      </w:tblPr>
      <w:tblGrid>
        <w:gridCol w:w="1598"/>
        <w:gridCol w:w="3806"/>
        <w:gridCol w:w="866"/>
        <w:gridCol w:w="556"/>
        <w:gridCol w:w="790"/>
        <w:gridCol w:w="1410"/>
      </w:tblGrid>
      <w:tr w:rsidR="00CC2AC3" w14:paraId="7CAC8C7F" w14:textId="77777777" w:rsidTr="00632D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4D8E39C6" w14:textId="2D2EA193" w:rsidR="00531D05" w:rsidRPr="00AE09D0" w:rsidRDefault="00C70DB9" w:rsidP="006055E0">
            <w:pPr>
              <w:spacing w:before="0"/>
              <w:rPr>
                <w:rFonts w:asciiTheme="minorHAnsi" w:hAnsiTheme="minorHAnsi" w:cstheme="minorHAnsi"/>
                <w:sz w:val="20"/>
                <w:lang w:val="en-GB"/>
              </w:rPr>
            </w:pPr>
            <w:r>
              <w:rPr>
                <w:rFonts w:asciiTheme="minorHAnsi" w:hAnsiTheme="minorHAnsi" w:cstheme="minorHAnsi"/>
                <w:b/>
                <w:bCs/>
                <w:sz w:val="20"/>
                <w:lang w:val="en-GB"/>
              </w:rPr>
              <w:t>Drug name (Brand name)</w:t>
            </w:r>
          </w:p>
        </w:tc>
        <w:tc>
          <w:tcPr>
            <w:tcW w:w="4001" w:type="dxa"/>
          </w:tcPr>
          <w:p w14:paraId="644B3931" w14:textId="77777777" w:rsidR="00531D05" w:rsidRPr="00AE09D0" w:rsidRDefault="00531D05" w:rsidP="006055E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r w:rsidRPr="00AE09D0">
              <w:rPr>
                <w:rFonts w:asciiTheme="minorHAnsi" w:hAnsiTheme="minorHAnsi" w:cstheme="minorHAnsi"/>
                <w:b/>
                <w:bCs/>
                <w:sz w:val="20"/>
                <w:lang w:val="en-GB"/>
              </w:rPr>
              <w:t>Indication</w:t>
            </w:r>
          </w:p>
        </w:tc>
        <w:tc>
          <w:tcPr>
            <w:tcW w:w="891" w:type="dxa"/>
          </w:tcPr>
          <w:p w14:paraId="34DE0BF5" w14:textId="77777777" w:rsidR="00531D05" w:rsidRPr="00AE09D0" w:rsidRDefault="00531D05"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r w:rsidRPr="00AE09D0">
              <w:rPr>
                <w:rFonts w:asciiTheme="minorHAnsi" w:hAnsiTheme="minorHAnsi" w:cstheme="minorHAnsi"/>
                <w:b/>
                <w:bCs/>
                <w:sz w:val="20"/>
                <w:lang w:val="en-GB"/>
              </w:rPr>
              <w:t>EMA</w:t>
            </w:r>
          </w:p>
        </w:tc>
        <w:tc>
          <w:tcPr>
            <w:tcW w:w="314" w:type="dxa"/>
          </w:tcPr>
          <w:p w14:paraId="457D72D8" w14:textId="77777777" w:rsidR="00531D05" w:rsidRPr="00AE09D0" w:rsidRDefault="00531D05"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r w:rsidRPr="00AE09D0">
              <w:rPr>
                <w:rFonts w:asciiTheme="minorHAnsi" w:hAnsiTheme="minorHAnsi" w:cstheme="minorHAnsi"/>
                <w:b/>
                <w:bCs/>
                <w:sz w:val="20"/>
                <w:lang w:val="en-GB"/>
              </w:rPr>
              <w:t>FDA</w:t>
            </w:r>
          </w:p>
        </w:tc>
        <w:tc>
          <w:tcPr>
            <w:tcW w:w="812" w:type="dxa"/>
            <w:hideMark/>
          </w:tcPr>
          <w:p w14:paraId="78ABB530" w14:textId="77777777" w:rsidR="00531D05" w:rsidRPr="00AE09D0" w:rsidRDefault="00531D05"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r w:rsidRPr="00AE09D0">
              <w:rPr>
                <w:rFonts w:asciiTheme="minorHAnsi" w:hAnsiTheme="minorHAnsi" w:cstheme="minorHAnsi"/>
                <w:b/>
                <w:bCs/>
                <w:sz w:val="20"/>
                <w:lang w:val="en-GB"/>
              </w:rPr>
              <w:t>TGA</w:t>
            </w:r>
          </w:p>
        </w:tc>
        <w:tc>
          <w:tcPr>
            <w:tcW w:w="0" w:type="auto"/>
            <w:hideMark/>
          </w:tcPr>
          <w:p w14:paraId="6E52E1C7" w14:textId="70F501B9" w:rsidR="00531D05" w:rsidRPr="00AE09D0" w:rsidRDefault="00531D05"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val="en-GB"/>
              </w:rPr>
            </w:pPr>
            <w:r w:rsidRPr="00AE09D0">
              <w:rPr>
                <w:rFonts w:asciiTheme="minorHAnsi" w:hAnsiTheme="minorHAnsi" w:cstheme="minorHAnsi"/>
                <w:b/>
                <w:bCs/>
                <w:sz w:val="20"/>
                <w:lang w:val="en-GB"/>
              </w:rPr>
              <w:t>Australian Subsidy</w:t>
            </w:r>
          </w:p>
        </w:tc>
      </w:tr>
      <w:tr w:rsidR="00CC2AC3" w14:paraId="6BB8A069"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96D210" w14:textId="227F6325" w:rsidR="00531D05" w:rsidRPr="00AE09D0" w:rsidRDefault="00531D05" w:rsidP="006055E0">
            <w:pPr>
              <w:spacing w:before="0"/>
              <w:rPr>
                <w:rFonts w:cstheme="minorHAnsi"/>
                <w:highlight w:val="yellow"/>
              </w:rPr>
            </w:pPr>
            <w:r w:rsidRPr="00AE09D0">
              <w:rPr>
                <w:rFonts w:cstheme="minorHAnsi"/>
              </w:rPr>
              <w:t>Blinatumomab (Blincyto</w:t>
            </w:r>
            <w:r w:rsidR="00835D1D" w:rsidRPr="00044733">
              <w:rPr>
                <w:rFonts w:cstheme="minorHAnsi"/>
              </w:rPr>
              <w:t>®</w:t>
            </w:r>
            <w:r w:rsidRPr="00AE09D0">
              <w:rPr>
                <w:rFonts w:cstheme="minorHAnsi"/>
              </w:rPr>
              <w:t>)</w:t>
            </w:r>
          </w:p>
        </w:tc>
        <w:tc>
          <w:tcPr>
            <w:tcW w:w="4001" w:type="dxa"/>
          </w:tcPr>
          <w:p w14:paraId="6F054EE8" w14:textId="43B77AA4" w:rsidR="00531D05" w:rsidRPr="00AE09D0" w:rsidRDefault="00531D05" w:rsidP="006055E0">
            <w:pPr>
              <w:spacing w:before="0"/>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AE09D0">
              <w:rPr>
                <w:rFonts w:cstheme="minorHAnsi"/>
              </w:rPr>
              <w:t>Treatment of adult and p</w:t>
            </w:r>
            <w:r w:rsidR="000C4E3D">
              <w:rPr>
                <w:rFonts w:cstheme="minorHAnsi"/>
              </w:rPr>
              <w:t>a</w:t>
            </w:r>
            <w:r w:rsidRPr="00AE09D0">
              <w:rPr>
                <w:rFonts w:cstheme="minorHAnsi"/>
              </w:rPr>
              <w:t>ediatric patients with B-cell precursor acute lymphoblastic leukemia (ALL) in first or second complete remission with minimal residual disease (MRD) greater than or equal to 0.1%</w:t>
            </w:r>
          </w:p>
        </w:tc>
        <w:tc>
          <w:tcPr>
            <w:tcW w:w="891" w:type="dxa"/>
          </w:tcPr>
          <w:p w14:paraId="39B102BC" w14:textId="6A7DEAC6"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AE09D0">
              <w:rPr>
                <w:rFonts w:cstheme="minorHAnsi"/>
              </w:rPr>
              <w:t>Y</w:t>
            </w:r>
            <w:r w:rsidR="00C41DEB">
              <w:rPr>
                <w:rFonts w:cstheme="minorHAnsi"/>
              </w:rPr>
              <w:br/>
            </w:r>
            <w:r w:rsidR="00C41DEB" w:rsidRPr="00632DC0">
              <w:rPr>
                <w:rFonts w:cstheme="minorHAnsi"/>
              </w:rPr>
              <w:t>(C, O)</w:t>
            </w:r>
          </w:p>
        </w:tc>
        <w:tc>
          <w:tcPr>
            <w:tcW w:w="314" w:type="dxa"/>
          </w:tcPr>
          <w:p w14:paraId="56C2B8CB" w14:textId="77777777"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tc>
        <w:tc>
          <w:tcPr>
            <w:tcW w:w="812" w:type="dxa"/>
          </w:tcPr>
          <w:p w14:paraId="0CCA503D" w14:textId="77777777" w:rsidR="00531D05"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Y</w:t>
            </w:r>
          </w:p>
          <w:p w14:paraId="07381D10" w14:textId="418F905B" w:rsidR="009127B4" w:rsidRPr="00AE09D0" w:rsidRDefault="009127B4"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0" w:type="auto"/>
          </w:tcPr>
          <w:p w14:paraId="682DFF48" w14:textId="77777777" w:rsidR="00531D05"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r w:rsidR="00531D05" w:rsidRPr="00AE09D0">
              <w:rPr>
                <w:rFonts w:cstheme="minorHAnsi"/>
              </w:rPr>
              <w:t xml:space="preserve"> </w:t>
            </w:r>
          </w:p>
          <w:p w14:paraId="0EBFB613" w14:textId="5F2C4014" w:rsidR="0000530D" w:rsidRPr="00AE09D0" w:rsidRDefault="0000530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PBS</w:t>
            </w:r>
          </w:p>
        </w:tc>
      </w:tr>
      <w:tr w:rsidR="00CC2AC3" w14:paraId="1DB4CC43" w14:textId="77777777" w:rsidTr="0063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EECE1D" w14:textId="77777777" w:rsidR="00531D05" w:rsidRPr="00AE09D0" w:rsidRDefault="00531D05" w:rsidP="006055E0">
            <w:pPr>
              <w:spacing w:before="0"/>
              <w:rPr>
                <w:rFonts w:cstheme="minorHAnsi"/>
                <w:lang w:val="en-GB"/>
              </w:rPr>
            </w:pPr>
            <w:r w:rsidRPr="00AE09D0">
              <w:rPr>
                <w:rFonts w:cstheme="minorHAnsi"/>
                <w:lang w:val="en-GB"/>
              </w:rPr>
              <w:t>Faricimab-svoa (Vabysmo®)</w:t>
            </w:r>
          </w:p>
        </w:tc>
        <w:tc>
          <w:tcPr>
            <w:tcW w:w="4001" w:type="dxa"/>
          </w:tcPr>
          <w:p w14:paraId="7865ECA6" w14:textId="5801B677" w:rsidR="00531D05" w:rsidRPr="00237EE5" w:rsidRDefault="00237EE5"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237EE5">
              <w:rPr>
                <w:rFonts w:cstheme="minorHAnsi"/>
              </w:rPr>
              <w:t>Neovascular wet age-related macular degeneration and diabetic macular oedema</w:t>
            </w:r>
          </w:p>
        </w:tc>
        <w:tc>
          <w:tcPr>
            <w:tcW w:w="891" w:type="dxa"/>
          </w:tcPr>
          <w:p w14:paraId="79348C65" w14:textId="77777777" w:rsidR="00531D05" w:rsidRPr="00AE09D0" w:rsidRDefault="00531D0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Y</w:t>
            </w:r>
          </w:p>
        </w:tc>
        <w:tc>
          <w:tcPr>
            <w:tcW w:w="314" w:type="dxa"/>
          </w:tcPr>
          <w:p w14:paraId="6FFAF4B3" w14:textId="77777777" w:rsidR="00531D05" w:rsidRPr="00AE09D0" w:rsidRDefault="00531D0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Y</w:t>
            </w:r>
          </w:p>
        </w:tc>
        <w:tc>
          <w:tcPr>
            <w:tcW w:w="812" w:type="dxa"/>
            <w:hideMark/>
          </w:tcPr>
          <w:p w14:paraId="098A7A88" w14:textId="1886E851" w:rsidR="00531D05" w:rsidRPr="00AE09D0"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p>
        </w:tc>
        <w:tc>
          <w:tcPr>
            <w:tcW w:w="0" w:type="auto"/>
            <w:hideMark/>
          </w:tcPr>
          <w:p w14:paraId="2B7EF82B" w14:textId="77777777" w:rsidR="00531D05"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r w:rsidR="00531D05" w:rsidRPr="00AE09D0">
              <w:rPr>
                <w:rFonts w:cstheme="minorHAnsi"/>
                <w:lang w:val="en-GB"/>
              </w:rPr>
              <w:t xml:space="preserve"> </w:t>
            </w:r>
          </w:p>
          <w:p w14:paraId="208B5E7E" w14:textId="4BBFB944" w:rsidR="0000530D" w:rsidRPr="00AE09D0" w:rsidRDefault="0000530D"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PBS</w:t>
            </w:r>
          </w:p>
        </w:tc>
      </w:tr>
      <w:tr w:rsidR="00CC2AC3" w14:paraId="7E72AAA9"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0CDA91" w14:textId="77777777" w:rsidR="00531D05" w:rsidRPr="00AE09D0" w:rsidRDefault="00531D05" w:rsidP="006055E0">
            <w:pPr>
              <w:spacing w:before="0"/>
              <w:rPr>
                <w:rFonts w:cstheme="minorHAnsi"/>
                <w:lang w:val="en-GB"/>
              </w:rPr>
            </w:pPr>
            <w:r w:rsidRPr="00AE09D0">
              <w:rPr>
                <w:rFonts w:cstheme="minorHAnsi"/>
                <w:lang w:val="en-GB"/>
              </w:rPr>
              <w:t>Emicizumab (Hemlibra®)</w:t>
            </w:r>
          </w:p>
        </w:tc>
        <w:tc>
          <w:tcPr>
            <w:tcW w:w="4001" w:type="dxa"/>
          </w:tcPr>
          <w:p w14:paraId="5429B74E" w14:textId="56830F07" w:rsidR="00531D05" w:rsidRPr="00237EE5" w:rsidRDefault="00237EE5"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sidRPr="00237EE5">
              <w:rPr>
                <w:rFonts w:cstheme="minorHAnsi"/>
              </w:rPr>
              <w:t>H</w:t>
            </w:r>
            <w:r w:rsidR="00A81872">
              <w:rPr>
                <w:rFonts w:cstheme="minorHAnsi"/>
              </w:rPr>
              <w:t>a</w:t>
            </w:r>
            <w:r w:rsidRPr="00237EE5">
              <w:rPr>
                <w:rFonts w:cstheme="minorHAnsi"/>
              </w:rPr>
              <w:t>emophilia A</w:t>
            </w:r>
          </w:p>
        </w:tc>
        <w:tc>
          <w:tcPr>
            <w:tcW w:w="891" w:type="dxa"/>
          </w:tcPr>
          <w:p w14:paraId="5F6A01E0" w14:textId="77777777"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Y</w:t>
            </w:r>
          </w:p>
        </w:tc>
        <w:tc>
          <w:tcPr>
            <w:tcW w:w="314" w:type="dxa"/>
          </w:tcPr>
          <w:p w14:paraId="00D6E6B7" w14:textId="77777777"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rPr>
              <w:t>Y</w:t>
            </w:r>
          </w:p>
        </w:tc>
        <w:tc>
          <w:tcPr>
            <w:tcW w:w="812" w:type="dxa"/>
            <w:hideMark/>
          </w:tcPr>
          <w:p w14:paraId="4F5DA304" w14:textId="1A0FE8D8" w:rsidR="00531D05"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tc>
        <w:tc>
          <w:tcPr>
            <w:tcW w:w="0" w:type="auto"/>
            <w:hideMark/>
          </w:tcPr>
          <w:p w14:paraId="6CF3AADA" w14:textId="77777777" w:rsidR="0050093A" w:rsidRDefault="0000530D"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p w14:paraId="5643B48F" w14:textId="6ABE4D2B" w:rsidR="0000530D" w:rsidRPr="00AE09D0" w:rsidRDefault="00264641"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w:t>
            </w:r>
            <w:r w:rsidR="0000530D">
              <w:rPr>
                <w:rFonts w:cstheme="minorHAnsi"/>
                <w:lang w:val="en-GB"/>
              </w:rPr>
              <w:t>National Blood Agreement</w:t>
            </w:r>
            <w:r>
              <w:rPr>
                <w:rFonts w:cstheme="minorHAnsi"/>
                <w:lang w:val="en-GB"/>
              </w:rPr>
              <w:t>)</w:t>
            </w:r>
          </w:p>
        </w:tc>
      </w:tr>
      <w:tr w:rsidR="00CC2AC3" w14:paraId="446F5C84" w14:textId="77777777" w:rsidTr="0063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0A17FF" w14:textId="77777777" w:rsidR="00531D05" w:rsidRPr="00AE09D0" w:rsidRDefault="00531D05" w:rsidP="006055E0">
            <w:pPr>
              <w:spacing w:before="0"/>
              <w:rPr>
                <w:rFonts w:cstheme="minorHAnsi"/>
                <w:lang w:val="en-GB"/>
              </w:rPr>
            </w:pPr>
            <w:r w:rsidRPr="00AE09D0">
              <w:rPr>
                <w:rFonts w:cstheme="minorHAnsi"/>
                <w:lang w:val="en-GB"/>
              </w:rPr>
              <w:t>Amivantamab-vmjw (Rybrevant®)</w:t>
            </w:r>
          </w:p>
        </w:tc>
        <w:tc>
          <w:tcPr>
            <w:tcW w:w="4001" w:type="dxa"/>
          </w:tcPr>
          <w:p w14:paraId="6E475C30" w14:textId="5A46F60E" w:rsidR="00531D05" w:rsidRPr="00237EE5" w:rsidRDefault="00237EE5"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237EE5">
              <w:rPr>
                <w:rFonts w:cstheme="minorHAnsi"/>
              </w:rPr>
              <w:t>Non-small cell lung cancer</w:t>
            </w:r>
          </w:p>
        </w:tc>
        <w:tc>
          <w:tcPr>
            <w:tcW w:w="891" w:type="dxa"/>
          </w:tcPr>
          <w:p w14:paraId="59F5B7E9" w14:textId="77777777" w:rsidR="00531D05" w:rsidRDefault="00531D0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p w14:paraId="42A89360" w14:textId="13385D87" w:rsidR="004D232F" w:rsidRPr="00AE09D0" w:rsidRDefault="004D232F"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rPr>
              <w:t>(C)</w:t>
            </w:r>
          </w:p>
        </w:tc>
        <w:tc>
          <w:tcPr>
            <w:tcW w:w="314" w:type="dxa"/>
          </w:tcPr>
          <w:p w14:paraId="582AA01E" w14:textId="77777777" w:rsidR="00531D05" w:rsidRPr="00AE09D0" w:rsidRDefault="00531D0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rPr>
              <w:t>Y</w:t>
            </w:r>
          </w:p>
        </w:tc>
        <w:tc>
          <w:tcPr>
            <w:tcW w:w="812" w:type="dxa"/>
            <w:hideMark/>
          </w:tcPr>
          <w:p w14:paraId="797B3AD0" w14:textId="77777777" w:rsidR="00531D05"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p>
          <w:p w14:paraId="764D7B5B" w14:textId="22B094FE" w:rsidR="001E418C" w:rsidRPr="00AE09D0" w:rsidRDefault="001E418C"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(P)</w:t>
            </w:r>
          </w:p>
        </w:tc>
        <w:tc>
          <w:tcPr>
            <w:tcW w:w="0" w:type="auto"/>
            <w:hideMark/>
          </w:tcPr>
          <w:p w14:paraId="6D977C96" w14:textId="77777777" w:rsidR="00531D05" w:rsidRDefault="00531D0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p w14:paraId="158257CF" w14:textId="1462E802" w:rsidR="0050093A" w:rsidRPr="00AE09D0" w:rsidRDefault="00264641"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w:t>
            </w:r>
            <w:r w:rsidR="0050093A">
              <w:rPr>
                <w:rFonts w:cstheme="minorHAnsi"/>
                <w:lang w:val="en-GB"/>
              </w:rPr>
              <w:t>No submission</w:t>
            </w:r>
            <w:r>
              <w:rPr>
                <w:rFonts w:cstheme="minorHAnsi"/>
                <w:lang w:val="en-GB"/>
              </w:rPr>
              <w:t>)</w:t>
            </w:r>
          </w:p>
        </w:tc>
      </w:tr>
      <w:tr w:rsidR="00CC2AC3" w14:paraId="7D3EF9E4"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3D1641" w14:textId="77777777" w:rsidR="00531D05" w:rsidRPr="00AE09D0" w:rsidRDefault="00531D05" w:rsidP="006055E0">
            <w:pPr>
              <w:spacing w:before="0"/>
              <w:rPr>
                <w:rFonts w:cstheme="minorHAnsi"/>
                <w:lang w:val="en-GB"/>
              </w:rPr>
            </w:pPr>
            <w:r w:rsidRPr="00AE09D0">
              <w:rPr>
                <w:rFonts w:cstheme="minorHAnsi"/>
                <w:lang w:val="en-GB"/>
              </w:rPr>
              <w:t>Tebentafusp-tebn (Kimmtrak®)</w:t>
            </w:r>
          </w:p>
        </w:tc>
        <w:tc>
          <w:tcPr>
            <w:tcW w:w="4001" w:type="dxa"/>
          </w:tcPr>
          <w:p w14:paraId="658BC7CD" w14:textId="0FE6DE22" w:rsidR="00531D05" w:rsidRPr="00237EE5" w:rsidRDefault="00237EE5"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sidRPr="00237EE5">
              <w:rPr>
                <w:rFonts w:cstheme="minorHAnsi"/>
                <w:lang w:val="en-GB"/>
              </w:rPr>
              <w:t>Unresectable or metastatic uveal melanoma</w:t>
            </w:r>
          </w:p>
        </w:tc>
        <w:tc>
          <w:tcPr>
            <w:tcW w:w="891" w:type="dxa"/>
          </w:tcPr>
          <w:p w14:paraId="3E7CFDFB" w14:textId="0F001581"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r w:rsidR="00B31F76">
              <w:rPr>
                <w:rFonts w:cstheme="minorHAnsi"/>
                <w:lang w:val="en-GB"/>
              </w:rPr>
              <w:br/>
              <w:t>(O)</w:t>
            </w:r>
          </w:p>
        </w:tc>
        <w:tc>
          <w:tcPr>
            <w:tcW w:w="314" w:type="dxa"/>
          </w:tcPr>
          <w:p w14:paraId="5C285F59" w14:textId="77777777"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p>
        </w:tc>
        <w:tc>
          <w:tcPr>
            <w:tcW w:w="812" w:type="dxa"/>
            <w:hideMark/>
          </w:tcPr>
          <w:p w14:paraId="13DEB905" w14:textId="0071C10D" w:rsidR="00531D05" w:rsidRPr="00AE09D0" w:rsidRDefault="00B922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Y</w:t>
            </w:r>
          </w:p>
        </w:tc>
        <w:tc>
          <w:tcPr>
            <w:tcW w:w="0" w:type="auto"/>
            <w:hideMark/>
          </w:tcPr>
          <w:p w14:paraId="626CA691" w14:textId="32CEC443" w:rsidR="00531D05" w:rsidRPr="00AE09D0" w:rsidRDefault="0050093A"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Not recommended by PBAC March 2023</w:t>
            </w:r>
          </w:p>
        </w:tc>
      </w:tr>
      <w:tr w:rsidR="00CC2AC3" w14:paraId="00879B6E" w14:textId="77777777" w:rsidTr="0063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058B46" w14:textId="420F6812" w:rsidR="00531D05" w:rsidRPr="00AE09D0" w:rsidRDefault="00531D05" w:rsidP="006055E0">
            <w:pPr>
              <w:spacing w:before="0"/>
              <w:rPr>
                <w:rFonts w:cstheme="minorHAnsi"/>
                <w:lang w:val="en-GB"/>
              </w:rPr>
            </w:pPr>
            <w:r w:rsidRPr="00AE09D0">
              <w:rPr>
                <w:rFonts w:cstheme="minorHAnsi"/>
                <w:lang w:val="en-GB"/>
              </w:rPr>
              <w:t>Cadonilimab</w:t>
            </w:r>
            <w:r w:rsidR="002933E3" w:rsidRPr="00AE09D0">
              <w:rPr>
                <w:rFonts w:cstheme="minorHAnsi"/>
                <w:lang w:val="en-GB"/>
              </w:rPr>
              <w:t>®</w:t>
            </w:r>
            <w:r w:rsidR="004C132D">
              <w:rPr>
                <w:rFonts w:cstheme="minorHAnsi"/>
                <w:lang w:val="en-GB"/>
              </w:rPr>
              <w:t xml:space="preserve"> or</w:t>
            </w:r>
            <w:r w:rsidR="004C132D" w:rsidRPr="004C132D">
              <w:rPr>
                <w:rFonts w:cstheme="minorHAnsi"/>
                <w:lang w:val="en-GB"/>
              </w:rPr>
              <w:t xml:space="preserve"> AK104</w:t>
            </w:r>
          </w:p>
        </w:tc>
        <w:tc>
          <w:tcPr>
            <w:tcW w:w="4001" w:type="dxa"/>
            <w:hideMark/>
          </w:tcPr>
          <w:p w14:paraId="13BCE88E" w14:textId="77777777" w:rsidR="00531D05" w:rsidRPr="00AE09D0" w:rsidRDefault="00531D05"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 xml:space="preserve">Treatment of patients with cervical cancer </w:t>
            </w:r>
          </w:p>
        </w:tc>
        <w:tc>
          <w:tcPr>
            <w:tcW w:w="891" w:type="dxa"/>
            <w:hideMark/>
          </w:tcPr>
          <w:p w14:paraId="51324742" w14:textId="7D8E62A3" w:rsidR="00531D05" w:rsidRPr="00AE09D0" w:rsidRDefault="00887C07"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314" w:type="dxa"/>
            <w:hideMark/>
          </w:tcPr>
          <w:p w14:paraId="10E4873F" w14:textId="1CEF144D" w:rsidR="00531D05" w:rsidRPr="00AE09D0" w:rsidRDefault="00800E5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812" w:type="dxa"/>
            <w:hideMark/>
          </w:tcPr>
          <w:p w14:paraId="2A252E51" w14:textId="77777777" w:rsidR="00531D05" w:rsidRPr="00AE09D0" w:rsidRDefault="00531D0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N</w:t>
            </w:r>
          </w:p>
        </w:tc>
        <w:tc>
          <w:tcPr>
            <w:tcW w:w="0" w:type="auto"/>
            <w:hideMark/>
          </w:tcPr>
          <w:p w14:paraId="7F971173" w14:textId="77777777" w:rsidR="00531D05" w:rsidRDefault="00B92219"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N</w:t>
            </w:r>
          </w:p>
          <w:p w14:paraId="6F6E9644" w14:textId="7D44B2F9" w:rsidR="0050093A" w:rsidRPr="00AE09D0" w:rsidRDefault="00264641"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lang w:val="en-GB"/>
              </w:rPr>
              <w:t>(</w:t>
            </w:r>
            <w:r w:rsidR="0050093A">
              <w:rPr>
                <w:lang w:val="en-GB"/>
              </w:rPr>
              <w:t>Not registered</w:t>
            </w:r>
            <w:r>
              <w:rPr>
                <w:lang w:val="en-GB"/>
              </w:rPr>
              <w:t>)</w:t>
            </w:r>
          </w:p>
        </w:tc>
      </w:tr>
      <w:tr w:rsidR="00CC2AC3" w14:paraId="0D889302"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26DA6" w14:textId="77777777" w:rsidR="00531D05" w:rsidRPr="00AE09D0" w:rsidRDefault="00531D05" w:rsidP="006055E0">
            <w:pPr>
              <w:spacing w:before="0"/>
              <w:rPr>
                <w:rFonts w:cstheme="minorHAnsi"/>
                <w:lang w:val="en-GB"/>
              </w:rPr>
            </w:pPr>
            <w:r w:rsidRPr="00AE09D0">
              <w:rPr>
                <w:rFonts w:cstheme="minorHAnsi"/>
                <w:lang w:val="en-GB"/>
              </w:rPr>
              <w:t>Mosunetuzumab (Lunsumio®)</w:t>
            </w:r>
          </w:p>
        </w:tc>
        <w:tc>
          <w:tcPr>
            <w:tcW w:w="4001" w:type="dxa"/>
            <w:hideMark/>
          </w:tcPr>
          <w:p w14:paraId="74157D54" w14:textId="77777777" w:rsidR="00531D05" w:rsidRPr="00AE09D0" w:rsidRDefault="00531D05"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Treatment of adult patients with relapsed or refractory follicular lymphoma after two or more lines of systemic therapy</w:t>
            </w:r>
          </w:p>
        </w:tc>
        <w:tc>
          <w:tcPr>
            <w:tcW w:w="891" w:type="dxa"/>
            <w:hideMark/>
          </w:tcPr>
          <w:p w14:paraId="7775E6D7" w14:textId="19C01CC3" w:rsidR="00531D05" w:rsidRPr="00AE09D0" w:rsidRDefault="00423F8F"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 xml:space="preserve">Y </w:t>
            </w:r>
            <w:r w:rsidR="00783C83">
              <w:rPr>
                <w:rFonts w:cstheme="minorHAnsi"/>
                <w:lang w:val="en-GB"/>
              </w:rPr>
              <w:br/>
              <w:t>(C, O)</w:t>
            </w:r>
            <w:r w:rsidRPr="00AE09D0">
              <w:rPr>
                <w:rFonts w:cstheme="minorHAnsi"/>
                <w:lang w:val="en-GB"/>
              </w:rPr>
              <w:t xml:space="preserve"> </w:t>
            </w:r>
          </w:p>
        </w:tc>
        <w:tc>
          <w:tcPr>
            <w:tcW w:w="314" w:type="dxa"/>
            <w:hideMark/>
          </w:tcPr>
          <w:p w14:paraId="0125B288" w14:textId="228E4E8A" w:rsidR="00531D05" w:rsidRPr="00AE09D0" w:rsidRDefault="00CE5033"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Y</w:t>
            </w:r>
          </w:p>
        </w:tc>
        <w:tc>
          <w:tcPr>
            <w:tcW w:w="812" w:type="dxa"/>
            <w:hideMark/>
          </w:tcPr>
          <w:p w14:paraId="1E3EB897" w14:textId="77777777"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N</w:t>
            </w:r>
          </w:p>
        </w:tc>
        <w:tc>
          <w:tcPr>
            <w:tcW w:w="0" w:type="auto"/>
            <w:hideMark/>
          </w:tcPr>
          <w:p w14:paraId="73678847" w14:textId="77777777" w:rsidR="00531D05" w:rsidRDefault="002072C3"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N</w:t>
            </w:r>
          </w:p>
          <w:p w14:paraId="673C40A3" w14:textId="61CFCD08" w:rsidR="0050093A" w:rsidRPr="00AE09D0" w:rsidRDefault="00264641"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264641">
              <w:rPr>
                <w:lang w:val="en-GB"/>
              </w:rPr>
              <w:t>(Not registered)</w:t>
            </w:r>
          </w:p>
        </w:tc>
      </w:tr>
      <w:tr w:rsidR="00CC2AC3" w14:paraId="04AE78F9" w14:textId="77777777" w:rsidTr="0063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7C712B" w14:textId="77777777" w:rsidR="00531D05" w:rsidRPr="00AE09D0" w:rsidRDefault="00531D05" w:rsidP="006055E0">
            <w:pPr>
              <w:spacing w:before="0"/>
              <w:rPr>
                <w:rFonts w:cstheme="minorHAnsi"/>
                <w:lang w:val="en-GB"/>
              </w:rPr>
            </w:pPr>
            <w:r w:rsidRPr="00AE09D0">
              <w:rPr>
                <w:rFonts w:cstheme="minorHAnsi"/>
                <w:lang w:val="en-GB"/>
              </w:rPr>
              <w:t>Teclistamab (Tecvayli®)</w:t>
            </w:r>
          </w:p>
        </w:tc>
        <w:tc>
          <w:tcPr>
            <w:tcW w:w="4001" w:type="dxa"/>
            <w:hideMark/>
          </w:tcPr>
          <w:p w14:paraId="000E565E" w14:textId="77777777" w:rsidR="00531D05" w:rsidRPr="00AE09D0" w:rsidRDefault="00531D05"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Treatment of adult patients with relapsed or refractory multiple myeloma who have received at least four prior lines of therapy, including a proteasome inhibitor, an immunomodulatory agent, and an anti-CD38 monoclonal antibody.</w:t>
            </w:r>
          </w:p>
        </w:tc>
        <w:tc>
          <w:tcPr>
            <w:tcW w:w="891" w:type="dxa"/>
            <w:hideMark/>
          </w:tcPr>
          <w:p w14:paraId="4113FC29" w14:textId="0A611FD4" w:rsidR="00531D05" w:rsidRPr="00AE09D0" w:rsidRDefault="00643E6B"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r w:rsidR="00A57F62">
              <w:rPr>
                <w:rFonts w:cstheme="minorHAnsi"/>
                <w:lang w:val="en-GB"/>
              </w:rPr>
              <w:br/>
              <w:t>(C)</w:t>
            </w:r>
          </w:p>
        </w:tc>
        <w:tc>
          <w:tcPr>
            <w:tcW w:w="314" w:type="dxa"/>
            <w:hideMark/>
          </w:tcPr>
          <w:p w14:paraId="36BD8A96" w14:textId="15DC6CDB" w:rsidR="00531D05" w:rsidRPr="00AE09D0" w:rsidRDefault="00BB7575"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sidRPr="00AE09D0">
              <w:rPr>
                <w:rFonts w:cstheme="minorHAnsi"/>
                <w:lang w:val="en-GB"/>
              </w:rPr>
              <w:t>Y</w:t>
            </w:r>
          </w:p>
        </w:tc>
        <w:tc>
          <w:tcPr>
            <w:tcW w:w="812" w:type="dxa"/>
            <w:hideMark/>
          </w:tcPr>
          <w:p w14:paraId="207A6DDE" w14:textId="52D688E3" w:rsidR="00531D05" w:rsidRPr="00AE09D0" w:rsidRDefault="0020558E"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Y</w:t>
            </w:r>
            <w:r w:rsidR="003D1BD4">
              <w:rPr>
                <w:rFonts w:cstheme="minorHAnsi"/>
                <w:lang w:val="en-GB"/>
              </w:rPr>
              <w:br/>
              <w:t>(P)</w:t>
            </w:r>
          </w:p>
        </w:tc>
        <w:tc>
          <w:tcPr>
            <w:tcW w:w="0" w:type="auto"/>
            <w:hideMark/>
          </w:tcPr>
          <w:p w14:paraId="6419AB44" w14:textId="77777777" w:rsidR="00531D05" w:rsidRDefault="002072C3"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r>
              <w:rPr>
                <w:rFonts w:cstheme="minorHAnsi"/>
                <w:lang w:val="en-GB"/>
              </w:rPr>
              <w:t>N</w:t>
            </w:r>
          </w:p>
          <w:p w14:paraId="76F6916E" w14:textId="55DB31AC" w:rsidR="0050093A" w:rsidRDefault="00931E2E" w:rsidP="00AE09D0">
            <w:pPr>
              <w:spacing w:before="0"/>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(No submission</w:t>
            </w:r>
            <w:r w:rsidR="00264641" w:rsidRPr="00264641" w:rsidDel="006028DD">
              <w:rPr>
                <w:lang w:val="en-GB"/>
              </w:rPr>
              <w:t>)</w:t>
            </w:r>
          </w:p>
          <w:p w14:paraId="13D59B2B" w14:textId="517BF593" w:rsidR="00E2322E" w:rsidRPr="00AE09D0" w:rsidRDefault="00E2322E"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val="en-GB"/>
              </w:rPr>
            </w:pPr>
          </w:p>
        </w:tc>
      </w:tr>
      <w:tr w:rsidR="00CC2AC3" w14:paraId="2E8E529C"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638C59" w14:textId="77777777" w:rsidR="00531D05" w:rsidRPr="00AE09D0" w:rsidRDefault="00531D05" w:rsidP="006055E0">
            <w:pPr>
              <w:spacing w:before="0"/>
              <w:rPr>
                <w:rFonts w:cstheme="minorHAnsi"/>
                <w:lang w:val="en-GB"/>
              </w:rPr>
            </w:pPr>
            <w:r w:rsidRPr="00AE09D0">
              <w:rPr>
                <w:rFonts w:cstheme="minorHAnsi"/>
                <w:lang w:val="en-GB"/>
              </w:rPr>
              <w:t>Catumaxomab (Removab®)</w:t>
            </w:r>
          </w:p>
        </w:tc>
        <w:tc>
          <w:tcPr>
            <w:tcW w:w="4001" w:type="dxa"/>
            <w:hideMark/>
          </w:tcPr>
          <w:p w14:paraId="6A0C0C65" w14:textId="77777777" w:rsidR="00531D05" w:rsidRPr="00AE09D0" w:rsidRDefault="00531D05"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Intraperitoneal treatment of malignant ascites in adults with EpCAM-positive carcinomas where standard therapy is not available or no longer feasible</w:t>
            </w:r>
          </w:p>
        </w:tc>
        <w:tc>
          <w:tcPr>
            <w:tcW w:w="891" w:type="dxa"/>
            <w:hideMark/>
          </w:tcPr>
          <w:p w14:paraId="6B446544" w14:textId="5789CF3E"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W</w:t>
            </w:r>
          </w:p>
        </w:tc>
        <w:tc>
          <w:tcPr>
            <w:tcW w:w="314" w:type="dxa"/>
            <w:hideMark/>
          </w:tcPr>
          <w:p w14:paraId="39EDD518" w14:textId="77777777" w:rsidR="00531D05" w:rsidRPr="00AE09D0" w:rsidRDefault="00531D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AE09D0">
              <w:rPr>
                <w:rFonts w:cstheme="minorHAnsi"/>
                <w:lang w:val="en-GB"/>
              </w:rPr>
              <w:t>N</w:t>
            </w:r>
          </w:p>
        </w:tc>
        <w:tc>
          <w:tcPr>
            <w:tcW w:w="812" w:type="dxa"/>
            <w:hideMark/>
          </w:tcPr>
          <w:p w14:paraId="7414C911" w14:textId="5F8FBD84" w:rsidR="00531D05" w:rsidRPr="00AE09D0" w:rsidRDefault="00CA33BC"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R</w:t>
            </w:r>
          </w:p>
        </w:tc>
        <w:tc>
          <w:tcPr>
            <w:tcW w:w="0" w:type="auto"/>
            <w:hideMark/>
          </w:tcPr>
          <w:p w14:paraId="756E2256" w14:textId="77777777" w:rsidR="00531D05" w:rsidRDefault="002072C3"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N</w:t>
            </w:r>
          </w:p>
          <w:p w14:paraId="5C7278BA" w14:textId="4F61BF63" w:rsidR="0050093A" w:rsidRPr="00AE09D0" w:rsidRDefault="00264641"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sidRPr="00264641">
              <w:rPr>
                <w:lang w:val="en-GB"/>
              </w:rPr>
              <w:t>(Not registered)</w:t>
            </w:r>
          </w:p>
        </w:tc>
      </w:tr>
      <w:tr w:rsidR="00CC2AC3" w14:paraId="2D89CB61" w14:textId="77777777" w:rsidTr="0063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8ECC19" w14:textId="255CB5B7" w:rsidR="00531D05" w:rsidRPr="00AE09D0" w:rsidRDefault="00531D05" w:rsidP="006055E0">
            <w:pPr>
              <w:spacing w:before="0"/>
              <w:rPr>
                <w:rFonts w:cstheme="minorHAnsi"/>
              </w:rPr>
            </w:pPr>
            <w:r w:rsidRPr="00AE09D0">
              <w:rPr>
                <w:rFonts w:cstheme="minorHAnsi"/>
              </w:rPr>
              <w:t>Glofitamab (</w:t>
            </w:r>
            <w:r w:rsidR="00AD5948" w:rsidRPr="00AD5948">
              <w:rPr>
                <w:rFonts w:cstheme="minorHAnsi"/>
              </w:rPr>
              <w:t>Columvi</w:t>
            </w:r>
            <w:r w:rsidR="00835D1D" w:rsidRPr="00044733">
              <w:rPr>
                <w:rFonts w:cstheme="minorHAnsi"/>
              </w:rPr>
              <w:t>®</w:t>
            </w:r>
            <w:r w:rsidRPr="00AE09D0">
              <w:rPr>
                <w:rFonts w:cstheme="minorHAnsi"/>
              </w:rPr>
              <w:t>)</w:t>
            </w:r>
          </w:p>
        </w:tc>
        <w:tc>
          <w:tcPr>
            <w:tcW w:w="4001" w:type="dxa"/>
          </w:tcPr>
          <w:p w14:paraId="0538B573" w14:textId="07A40CE0" w:rsidR="00531D05" w:rsidRPr="00AE09D0" w:rsidRDefault="00237EE5"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Diffuse large b-cell lymphoma</w:t>
            </w:r>
          </w:p>
        </w:tc>
        <w:tc>
          <w:tcPr>
            <w:tcW w:w="891" w:type="dxa"/>
          </w:tcPr>
          <w:p w14:paraId="6B95B280" w14:textId="71EF2166" w:rsidR="00531D05" w:rsidRPr="00AE09D0" w:rsidRDefault="00CC2AC3"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 xml:space="preserve">Y </w:t>
            </w:r>
            <w:r w:rsidR="00316713">
              <w:rPr>
                <w:rFonts w:cstheme="minorHAnsi"/>
              </w:rPr>
              <w:br/>
            </w:r>
            <w:r w:rsidRPr="00AE09D0">
              <w:rPr>
                <w:rFonts w:cstheme="minorHAnsi"/>
              </w:rPr>
              <w:t>(</w:t>
            </w:r>
            <w:r w:rsidR="00926444">
              <w:rPr>
                <w:rFonts w:cstheme="minorHAnsi"/>
              </w:rPr>
              <w:t xml:space="preserve">C, </w:t>
            </w:r>
            <w:r w:rsidR="00531D05" w:rsidRPr="00AE09D0">
              <w:rPr>
                <w:rFonts w:cstheme="minorHAnsi"/>
              </w:rPr>
              <w:t>O</w:t>
            </w:r>
            <w:r w:rsidRPr="00AE09D0">
              <w:rPr>
                <w:rFonts w:cstheme="minorHAnsi"/>
              </w:rPr>
              <w:t>)</w:t>
            </w:r>
          </w:p>
        </w:tc>
        <w:tc>
          <w:tcPr>
            <w:tcW w:w="314" w:type="dxa"/>
          </w:tcPr>
          <w:p w14:paraId="68EDBB67" w14:textId="772D8A39" w:rsidR="00531D05" w:rsidRPr="00AE09D0" w:rsidRDefault="006A2FC8"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812" w:type="dxa"/>
          </w:tcPr>
          <w:p w14:paraId="1650DAF5" w14:textId="2E64FDF0" w:rsidR="00531D05" w:rsidRPr="00AE09D0" w:rsidRDefault="00100E90"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r>
              <w:rPr>
                <w:rFonts w:cstheme="minorHAnsi"/>
              </w:rPr>
              <w:br/>
              <w:t>(P, O)</w:t>
            </w:r>
          </w:p>
        </w:tc>
        <w:tc>
          <w:tcPr>
            <w:tcW w:w="0" w:type="auto"/>
          </w:tcPr>
          <w:p w14:paraId="01570017" w14:textId="77777777" w:rsidR="00531D05" w:rsidRDefault="009D3916"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36EC97D6" w14:textId="4D27EF97" w:rsidR="0050093A" w:rsidRPr="00AE09D0" w:rsidRDefault="0050093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5F29B7" w14:paraId="7D7D40B9"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1BC077" w14:textId="10106842" w:rsidR="005F29B7" w:rsidRPr="00AE09D0" w:rsidRDefault="00DD5E6B" w:rsidP="006055E0">
            <w:pPr>
              <w:spacing w:before="0"/>
              <w:rPr>
                <w:rFonts w:cstheme="minorHAnsi"/>
              </w:rPr>
            </w:pPr>
            <w:r>
              <w:rPr>
                <w:rFonts w:cstheme="minorHAnsi"/>
              </w:rPr>
              <w:t>E</w:t>
            </w:r>
            <w:r w:rsidRPr="00DD5E6B">
              <w:rPr>
                <w:rFonts w:cstheme="minorHAnsi"/>
              </w:rPr>
              <w:t>pcoritamab-bysp</w:t>
            </w:r>
            <w:r>
              <w:rPr>
                <w:rFonts w:cstheme="minorHAnsi"/>
              </w:rPr>
              <w:t xml:space="preserve"> </w:t>
            </w:r>
            <w:r w:rsidR="00FD6359">
              <w:rPr>
                <w:rFonts w:cstheme="minorHAnsi"/>
              </w:rPr>
              <w:br/>
            </w:r>
            <w:r>
              <w:rPr>
                <w:rFonts w:cstheme="minorHAnsi"/>
              </w:rPr>
              <w:t>(Ep</w:t>
            </w:r>
            <w:r w:rsidR="002B09AA">
              <w:rPr>
                <w:rFonts w:cstheme="minorHAnsi"/>
              </w:rPr>
              <w:t>kinly)</w:t>
            </w:r>
          </w:p>
        </w:tc>
        <w:tc>
          <w:tcPr>
            <w:tcW w:w="4001" w:type="dxa"/>
          </w:tcPr>
          <w:p w14:paraId="3A70E001" w14:textId="1AF233E8" w:rsidR="00381D19" w:rsidRPr="00381D19" w:rsidRDefault="00381D19" w:rsidP="00381D19">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w:t>
            </w:r>
            <w:r w:rsidRPr="00381D19">
              <w:rPr>
                <w:rFonts w:cstheme="minorHAnsi"/>
              </w:rPr>
              <w:t>elapsed or refractory diffuse large B-celllymphoma (DLBCL), not otherwise specified, including DLBCL arising from</w:t>
            </w:r>
            <w:r w:rsidR="00F9040D">
              <w:rPr>
                <w:rFonts w:cstheme="minorHAnsi"/>
              </w:rPr>
              <w:t xml:space="preserve"> </w:t>
            </w:r>
            <w:r w:rsidRPr="00381D19">
              <w:rPr>
                <w:rFonts w:cstheme="minorHAnsi"/>
              </w:rPr>
              <w:t>indolent lymphoma, and high-grade B-cell lymphoma after two or more lines</w:t>
            </w:r>
          </w:p>
          <w:p w14:paraId="31B36D6C" w14:textId="174E696C" w:rsidR="005F29B7" w:rsidRDefault="00381D19" w:rsidP="00381D19">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381D19">
              <w:rPr>
                <w:rFonts w:cstheme="minorHAnsi"/>
              </w:rPr>
              <w:t>of systemic therapy</w:t>
            </w:r>
          </w:p>
        </w:tc>
        <w:tc>
          <w:tcPr>
            <w:tcW w:w="891" w:type="dxa"/>
          </w:tcPr>
          <w:p w14:paraId="4B799A0E" w14:textId="13F952AA" w:rsidR="005F29B7" w:rsidRPr="00AE09D0" w:rsidRDefault="00535905"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r w:rsidR="00A64992">
              <w:rPr>
                <w:rFonts w:cstheme="minorHAnsi"/>
              </w:rPr>
              <w:br/>
              <w:t>(C</w:t>
            </w:r>
            <w:r w:rsidR="00926444">
              <w:rPr>
                <w:rFonts w:cstheme="minorHAnsi"/>
              </w:rPr>
              <w:t>, O</w:t>
            </w:r>
            <w:r w:rsidR="00A64992">
              <w:rPr>
                <w:rFonts w:cstheme="minorHAnsi"/>
              </w:rPr>
              <w:t>)</w:t>
            </w:r>
          </w:p>
        </w:tc>
        <w:tc>
          <w:tcPr>
            <w:tcW w:w="314" w:type="dxa"/>
          </w:tcPr>
          <w:p w14:paraId="1317F26A" w14:textId="0566EBF6" w:rsidR="005F29B7" w:rsidRPr="00AE09D0" w:rsidRDefault="00381D1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812" w:type="dxa"/>
          </w:tcPr>
          <w:p w14:paraId="18BB927E" w14:textId="4224C6B3" w:rsidR="005F29B7" w:rsidRDefault="00667409"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32237F">
              <w:rPr>
                <w:rFonts w:cstheme="minorHAnsi"/>
              </w:rPr>
              <w:t>*</w:t>
            </w:r>
            <w:r w:rsidR="003B1523">
              <w:rPr>
                <w:rFonts w:cstheme="minorHAnsi"/>
              </w:rPr>
              <w:br/>
            </w:r>
          </w:p>
        </w:tc>
        <w:tc>
          <w:tcPr>
            <w:tcW w:w="0" w:type="auto"/>
          </w:tcPr>
          <w:p w14:paraId="0771D5EB" w14:textId="77777777" w:rsidR="005F29B7" w:rsidRDefault="007958F8"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6EEFB846" w14:textId="59460534" w:rsidR="00B5696C" w:rsidRDefault="00B5696C"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(Not registered)</w:t>
            </w:r>
          </w:p>
        </w:tc>
      </w:tr>
      <w:tr w:rsidR="005F29B7" w14:paraId="5F3EEB39" w14:textId="77777777" w:rsidTr="00632D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FB3D6F" w14:textId="41380B16" w:rsidR="005F29B7" w:rsidRPr="00AE09D0" w:rsidRDefault="00171852" w:rsidP="006055E0">
            <w:pPr>
              <w:spacing w:before="0"/>
              <w:rPr>
                <w:rFonts w:cstheme="minorHAnsi"/>
              </w:rPr>
            </w:pPr>
            <w:r>
              <w:rPr>
                <w:rFonts w:cstheme="minorHAnsi"/>
              </w:rPr>
              <w:t>T</w:t>
            </w:r>
            <w:r w:rsidRPr="00171852">
              <w:rPr>
                <w:rFonts w:cstheme="minorHAnsi"/>
              </w:rPr>
              <w:t>alquetamab-tgvs</w:t>
            </w:r>
            <w:r>
              <w:rPr>
                <w:rFonts w:cstheme="minorHAnsi"/>
              </w:rPr>
              <w:t xml:space="preserve"> </w:t>
            </w:r>
            <w:r w:rsidR="00FD6359">
              <w:rPr>
                <w:rFonts w:cstheme="minorHAnsi"/>
              </w:rPr>
              <w:br/>
            </w:r>
            <w:r>
              <w:rPr>
                <w:rFonts w:cstheme="minorHAnsi"/>
              </w:rPr>
              <w:t>(Talvey)</w:t>
            </w:r>
          </w:p>
        </w:tc>
        <w:tc>
          <w:tcPr>
            <w:tcW w:w="4001" w:type="dxa"/>
          </w:tcPr>
          <w:p w14:paraId="64F59C21" w14:textId="60DF48F6" w:rsidR="00200D72" w:rsidRPr="00200D72" w:rsidRDefault="00200D72" w:rsidP="00200D72">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w:t>
            </w:r>
            <w:r w:rsidRPr="00200D72">
              <w:rPr>
                <w:rFonts w:cstheme="minorHAnsi"/>
              </w:rPr>
              <w:t>elapsed or refractory multiple myeloma</w:t>
            </w:r>
          </w:p>
          <w:p w14:paraId="3D738E28" w14:textId="77777777" w:rsidR="00200D72" w:rsidRPr="00200D72" w:rsidRDefault="00200D72" w:rsidP="00200D72">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200D72">
              <w:rPr>
                <w:rFonts w:cstheme="minorHAnsi"/>
              </w:rPr>
              <w:t>who have received at least four prior lines of therapy, including a proteasome</w:t>
            </w:r>
          </w:p>
          <w:p w14:paraId="78709C3E" w14:textId="15216B27" w:rsidR="005F29B7" w:rsidRDefault="00200D72" w:rsidP="00200D72">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200D72">
              <w:rPr>
                <w:rFonts w:cstheme="minorHAnsi"/>
              </w:rPr>
              <w:t>inhibitor, an immunomodulatory agent and an anti-CD38 monoclonal antibody</w:t>
            </w:r>
          </w:p>
        </w:tc>
        <w:tc>
          <w:tcPr>
            <w:tcW w:w="891" w:type="dxa"/>
          </w:tcPr>
          <w:p w14:paraId="1326FD53" w14:textId="2BE471EA" w:rsidR="005F29B7" w:rsidRPr="00AE09D0" w:rsidRDefault="001E4A21"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r w:rsidR="00F41DE6">
              <w:rPr>
                <w:rFonts w:cstheme="minorHAnsi"/>
              </w:rPr>
              <w:t xml:space="preserve"> </w:t>
            </w:r>
            <w:r w:rsidR="003B1523">
              <w:rPr>
                <w:rFonts w:cstheme="minorHAnsi"/>
              </w:rPr>
              <w:br/>
            </w:r>
            <w:r w:rsidR="00F41DE6">
              <w:rPr>
                <w:rFonts w:cstheme="minorHAnsi"/>
              </w:rPr>
              <w:t>(</w:t>
            </w:r>
            <w:r w:rsidR="000D677E">
              <w:rPr>
                <w:rFonts w:cstheme="minorHAnsi"/>
              </w:rPr>
              <w:t xml:space="preserve">C, </w:t>
            </w:r>
            <w:r w:rsidR="00F41DE6">
              <w:rPr>
                <w:rFonts w:cstheme="minorHAnsi"/>
              </w:rPr>
              <w:t>O)</w:t>
            </w:r>
          </w:p>
        </w:tc>
        <w:tc>
          <w:tcPr>
            <w:tcW w:w="314" w:type="dxa"/>
          </w:tcPr>
          <w:p w14:paraId="59D103EF" w14:textId="254C0F7F" w:rsidR="005F29B7" w:rsidRPr="00AE09D0" w:rsidRDefault="00E072BA"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812" w:type="dxa"/>
          </w:tcPr>
          <w:p w14:paraId="4290DD29" w14:textId="2FAF57C0" w:rsidR="005F29B7" w:rsidRDefault="0055487F"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r w:rsidR="007C0646">
              <w:rPr>
                <w:rFonts w:cstheme="minorHAnsi"/>
              </w:rPr>
              <w:t>*</w:t>
            </w:r>
          </w:p>
        </w:tc>
        <w:tc>
          <w:tcPr>
            <w:tcW w:w="0" w:type="auto"/>
          </w:tcPr>
          <w:p w14:paraId="354E17AB" w14:textId="77777777" w:rsidR="005F29B7" w:rsidRDefault="001E4A21"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4A8158F7" w14:textId="04A399DE" w:rsidR="00B5696C" w:rsidRDefault="00B5696C" w:rsidP="00AE09D0">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(Not registered)</w:t>
            </w:r>
          </w:p>
        </w:tc>
      </w:tr>
      <w:tr w:rsidR="005F29B7" w14:paraId="40846652" w14:textId="77777777" w:rsidTr="00632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52F7D2" w14:textId="2B0A32DC" w:rsidR="005F29B7" w:rsidRPr="00AE09D0" w:rsidRDefault="00E71CF8" w:rsidP="006055E0">
            <w:pPr>
              <w:spacing w:before="0"/>
              <w:rPr>
                <w:rFonts w:cstheme="minorHAnsi"/>
              </w:rPr>
            </w:pPr>
            <w:r>
              <w:t xml:space="preserve">Elranatamab-bcmm </w:t>
            </w:r>
            <w:r w:rsidR="00FD6359">
              <w:br/>
            </w:r>
            <w:r>
              <w:t>(</w:t>
            </w:r>
            <w:r w:rsidR="00D57B0C">
              <w:t>El</w:t>
            </w:r>
            <w:r w:rsidR="00E713F0">
              <w:t>rexfio)</w:t>
            </w:r>
          </w:p>
        </w:tc>
        <w:tc>
          <w:tcPr>
            <w:tcW w:w="4001" w:type="dxa"/>
          </w:tcPr>
          <w:p w14:paraId="312FC189" w14:textId="349E7982" w:rsidR="00E11BB8" w:rsidRPr="00E11BB8" w:rsidRDefault="00E11BB8" w:rsidP="00E11BB8">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w:t>
            </w:r>
            <w:r w:rsidRPr="00E11BB8">
              <w:rPr>
                <w:rFonts w:cstheme="minorHAnsi"/>
              </w:rPr>
              <w:t>elapsed or</w:t>
            </w:r>
          </w:p>
          <w:p w14:paraId="10206716" w14:textId="77777777" w:rsidR="00E11BB8" w:rsidRPr="00E11BB8" w:rsidRDefault="00E11BB8" w:rsidP="00E11BB8">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E11BB8">
              <w:rPr>
                <w:rFonts w:cstheme="minorHAnsi"/>
              </w:rPr>
              <w:t>refractory multiple myeloma who have received at least four prior lines of</w:t>
            </w:r>
          </w:p>
          <w:p w14:paraId="461F77F4" w14:textId="77777777" w:rsidR="00E11BB8" w:rsidRPr="00E11BB8" w:rsidRDefault="00E11BB8" w:rsidP="00E11BB8">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E11BB8">
              <w:rPr>
                <w:rFonts w:cstheme="minorHAnsi"/>
              </w:rPr>
              <w:t>therapy including a proteasome inhibitor, an immunomodulatory agent, and an</w:t>
            </w:r>
          </w:p>
          <w:p w14:paraId="78F9FFDD" w14:textId="4049B7FD" w:rsidR="005F29B7" w:rsidRDefault="00E11BB8" w:rsidP="00E11BB8">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E11BB8">
              <w:rPr>
                <w:rFonts w:cstheme="minorHAnsi"/>
              </w:rPr>
              <w:t>anti-CD38 monoclonal antibody</w:t>
            </w:r>
          </w:p>
        </w:tc>
        <w:tc>
          <w:tcPr>
            <w:tcW w:w="891" w:type="dxa"/>
          </w:tcPr>
          <w:p w14:paraId="00305392" w14:textId="77777777" w:rsidR="005F29B7" w:rsidRDefault="00B87088"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p w14:paraId="29D9B38D" w14:textId="21452C3A" w:rsidR="00B87088" w:rsidRPr="00AE09D0" w:rsidRDefault="00B87088"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w:t>
            </w:r>
          </w:p>
        </w:tc>
        <w:tc>
          <w:tcPr>
            <w:tcW w:w="314" w:type="dxa"/>
          </w:tcPr>
          <w:p w14:paraId="1FCA0237" w14:textId="17E1C9AB" w:rsidR="005F29B7" w:rsidRPr="00AE09D0" w:rsidRDefault="00E11BB8"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812" w:type="dxa"/>
          </w:tcPr>
          <w:p w14:paraId="23C3B13A" w14:textId="15CDC467" w:rsidR="005F29B7" w:rsidRDefault="001F787B"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sidR="007C0646">
              <w:rPr>
                <w:rFonts w:cstheme="minorHAnsi"/>
              </w:rPr>
              <w:t>*</w:t>
            </w:r>
          </w:p>
        </w:tc>
        <w:tc>
          <w:tcPr>
            <w:tcW w:w="0" w:type="auto"/>
          </w:tcPr>
          <w:p w14:paraId="2572CF38" w14:textId="50D19F00" w:rsidR="005F29B7" w:rsidRDefault="001F787B" w:rsidP="00AE09D0">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r>
              <w:rPr>
                <w:rFonts w:cstheme="minorHAnsi"/>
              </w:rPr>
              <w:br/>
              <w:t>(Not registered)</w:t>
            </w:r>
          </w:p>
        </w:tc>
      </w:tr>
    </w:tbl>
    <w:p w14:paraId="0E596496" w14:textId="7F09E608" w:rsidR="00316713" w:rsidRPr="00632DC0" w:rsidRDefault="00316713" w:rsidP="00632DC0">
      <w:pPr>
        <w:pStyle w:val="Caption"/>
        <w:rPr>
          <w:i w:val="0"/>
        </w:rPr>
      </w:pPr>
      <w:r w:rsidRPr="00632DC0">
        <w:rPr>
          <w:color w:val="auto"/>
        </w:rPr>
        <w:t>Y= registered or funded. N = not registered or funded.</w:t>
      </w:r>
      <w:r w:rsidR="00E141F4" w:rsidRPr="00632DC0">
        <w:rPr>
          <w:color w:val="auto"/>
        </w:rPr>
        <w:t xml:space="preserve"> W = withdrawn.</w:t>
      </w:r>
      <w:r w:rsidR="00CA33BC" w:rsidRPr="00632DC0">
        <w:rPr>
          <w:color w:val="auto"/>
        </w:rPr>
        <w:t xml:space="preserve"> R = rejected. </w:t>
      </w:r>
      <w:r w:rsidR="007326F5" w:rsidRPr="00632DC0">
        <w:rPr>
          <w:color w:val="auto"/>
        </w:rPr>
        <w:t xml:space="preserve"> P = Provisional registration (TGA) = Involves early access to vital and life-saving medicines through time-limited registration</w:t>
      </w:r>
      <w:r w:rsidR="00172FA6" w:rsidRPr="00632DC0">
        <w:rPr>
          <w:color w:val="auto"/>
        </w:rPr>
        <w:t xml:space="preserve"> </w:t>
      </w:r>
      <w:r w:rsidR="00DE3F45" w:rsidRPr="00632DC0">
        <w:rPr>
          <w:color w:val="auto"/>
        </w:rPr>
        <w:t xml:space="preserve">. C = Conditional marketing authorisation (EMA): A conditional marketing authorisation is granted to a medicinal product that fulfils an unmet medical need when the benefit to public health of immediate availability outweighs the risk inherent in the fact that additional data are still required. The marketing authorisation holder is expected to provide comprehensive clinical data at a later stage. </w:t>
      </w:r>
      <w:r w:rsidR="00172FA6" w:rsidRPr="00632DC0">
        <w:rPr>
          <w:color w:val="auto"/>
        </w:rPr>
        <w:t>O</w:t>
      </w:r>
      <w:r w:rsidR="008176EE" w:rsidRPr="00632DC0">
        <w:rPr>
          <w:color w:val="auto"/>
        </w:rPr>
        <w:t xml:space="preserve"> </w:t>
      </w:r>
      <w:r w:rsidR="00172FA6" w:rsidRPr="00632DC0">
        <w:rPr>
          <w:color w:val="auto"/>
        </w:rPr>
        <w:t>=</w:t>
      </w:r>
      <w:r w:rsidRPr="00632DC0">
        <w:rPr>
          <w:color w:val="auto"/>
        </w:rPr>
        <w:t xml:space="preserve"> Orphan medicine (EMA): A medicine for the diagnosis, </w:t>
      </w:r>
      <w:r w:rsidR="00A81872" w:rsidRPr="00632DC0">
        <w:rPr>
          <w:color w:val="auto"/>
        </w:rPr>
        <w:t>prevention,</w:t>
      </w:r>
      <w:r w:rsidRPr="00632DC0">
        <w:rPr>
          <w:color w:val="auto"/>
        </w:rPr>
        <w:t xml:space="preserve"> or treatment of a life-threatening or chronically debilitating condition that is rare (affecting not more than five in 10,000 people in the European Union) or where the medicine is unlikely to generate sufficient profit to justify research and development costs.</w:t>
      </w:r>
      <w:r w:rsidR="00C076C7" w:rsidRPr="00632DC0">
        <w:rPr>
          <w:color w:val="auto"/>
        </w:rPr>
        <w:t xml:space="preserve"> </w:t>
      </w:r>
      <w:r w:rsidR="008176EE" w:rsidRPr="00632DC0">
        <w:rPr>
          <w:color w:val="auto"/>
        </w:rPr>
        <w:t xml:space="preserve">O = Orphan medicine (TGA): </w:t>
      </w:r>
      <w:r w:rsidR="00EB7669" w:rsidRPr="00632DC0">
        <w:rPr>
          <w:color w:val="auto"/>
        </w:rPr>
        <w:t>Sponsors receive a fee waiver to help bring medicines for a small population to market.</w:t>
      </w:r>
      <w:r w:rsidR="007C0646" w:rsidRPr="00632DC0">
        <w:rPr>
          <w:color w:val="auto"/>
        </w:rPr>
        <w:t xml:space="preserve"> * = submission currently under evaluation with regulator.</w:t>
      </w:r>
    </w:p>
    <w:p w14:paraId="28B3A198" w14:textId="67F7C102" w:rsidR="00330FBE" w:rsidRDefault="004473E7" w:rsidP="004473E7">
      <w:r>
        <w:t>T</w:t>
      </w:r>
      <w:r w:rsidRPr="00EF0123">
        <w:t xml:space="preserve">he number of new clinical trials evaluating novel </w:t>
      </w:r>
      <w:r w:rsidRPr="00DF1B3C">
        <w:t>bi</w:t>
      </w:r>
      <w:r>
        <w:t>-</w:t>
      </w:r>
      <w:r w:rsidRPr="00DF1B3C">
        <w:t>specific antibodies</w:t>
      </w:r>
      <w:r w:rsidRPr="00EF0123">
        <w:t xml:space="preserve"> has been increasing </w:t>
      </w:r>
      <w:r>
        <w:t>at</w:t>
      </w:r>
      <w:r w:rsidRPr="00EF0123">
        <w:t xml:space="preserve"> an annual rate of 20.44%</w:t>
      </w:r>
      <w:r>
        <w:t>.</w:t>
      </w:r>
      <w:r>
        <w:rPr>
          <w:vertAlign w:val="superscript"/>
        </w:rPr>
        <w:fldChar w:fldCharType="begin"/>
      </w:r>
      <w:r>
        <w:rPr>
          <w:vertAlign w:val="superscript"/>
        </w:rPr>
        <w:instrText xml:space="preserve"> NOTEREF _Ref129610424 \h </w:instrText>
      </w:r>
      <w:r>
        <w:rPr>
          <w:vertAlign w:val="superscript"/>
        </w:rPr>
      </w:r>
      <w:r>
        <w:rPr>
          <w:vertAlign w:val="superscript"/>
        </w:rPr>
        <w:fldChar w:fldCharType="separate"/>
      </w:r>
      <w:r w:rsidR="00395B47">
        <w:rPr>
          <w:vertAlign w:val="superscript"/>
        </w:rPr>
        <w:t>40</w:t>
      </w:r>
      <w:r>
        <w:rPr>
          <w:vertAlign w:val="superscript"/>
        </w:rPr>
        <w:fldChar w:fldCharType="end"/>
      </w:r>
      <w:r>
        <w:rPr>
          <w:vertAlign w:val="superscript"/>
        </w:rPr>
        <w:t xml:space="preserve"> </w:t>
      </w:r>
      <w:r w:rsidRPr="004A12CF">
        <w:t>A similar number of trials targeting solid tumo</w:t>
      </w:r>
      <w:r>
        <w:t>u</w:t>
      </w:r>
      <w:r w:rsidRPr="004A12CF">
        <w:t xml:space="preserve">rs were observed compared with those targeting </w:t>
      </w:r>
      <w:r w:rsidR="00A81872" w:rsidRPr="004A12CF">
        <w:t>haematological</w:t>
      </w:r>
      <w:r w:rsidRPr="004A12CF">
        <w:t xml:space="preserve"> malignancies</w:t>
      </w:r>
      <w:r>
        <w:t>.</w:t>
      </w:r>
      <w:r>
        <w:rPr>
          <w:vertAlign w:val="superscript"/>
        </w:rPr>
        <w:fldChar w:fldCharType="begin"/>
      </w:r>
      <w:r>
        <w:rPr>
          <w:vertAlign w:val="superscript"/>
        </w:rPr>
        <w:instrText xml:space="preserve"> NOTEREF _Ref129610424 \h </w:instrText>
      </w:r>
      <w:r>
        <w:rPr>
          <w:vertAlign w:val="superscript"/>
        </w:rPr>
      </w:r>
      <w:r>
        <w:rPr>
          <w:vertAlign w:val="superscript"/>
        </w:rPr>
        <w:fldChar w:fldCharType="separate"/>
      </w:r>
      <w:r w:rsidR="00395B47">
        <w:rPr>
          <w:vertAlign w:val="superscript"/>
        </w:rPr>
        <w:t>40</w:t>
      </w:r>
      <w:r>
        <w:rPr>
          <w:vertAlign w:val="superscript"/>
        </w:rPr>
        <w:fldChar w:fldCharType="end"/>
      </w:r>
      <w:r>
        <w:t xml:space="preserve"> </w:t>
      </w:r>
    </w:p>
    <w:p w14:paraId="5B392317" w14:textId="77777777" w:rsidR="00330FBE" w:rsidRDefault="00330FBE">
      <w:pPr>
        <w:spacing w:before="0" w:after="160"/>
      </w:pPr>
      <w:r>
        <w:br w:type="page"/>
      </w:r>
    </w:p>
    <w:p w14:paraId="12BCA76B" w14:textId="6A6F7D73" w:rsidR="00677E65" w:rsidRPr="00330FBE" w:rsidRDefault="00677E65" w:rsidP="00330FBE">
      <w:pPr>
        <w:rPr>
          <w:b/>
          <w:bCs/>
          <w:color w:val="002060"/>
        </w:rPr>
      </w:pPr>
      <w:r w:rsidRPr="00330FBE">
        <w:rPr>
          <w:b/>
          <w:bCs/>
          <w:color w:val="002060"/>
        </w:rPr>
        <w:t>Figure 2 Clinical trials using bispecific antibodies reported to ClinicalTrials.gov since 2010</w:t>
      </w:r>
    </w:p>
    <w:p w14:paraId="6586CBFC" w14:textId="34FBEBE0" w:rsidR="00814A7F" w:rsidRDefault="009C130A" w:rsidP="000344DE">
      <w:pPr>
        <w:rPr>
          <w:i/>
          <w:iCs/>
        </w:rPr>
      </w:pPr>
      <w:r>
        <w:rPr>
          <w:noProof/>
        </w:rPr>
        <w:drawing>
          <wp:inline distT="0" distB="0" distL="0" distR="0" wp14:anchorId="64DD0AD5" wp14:editId="17C1C35F">
            <wp:extent cx="5753735" cy="2400300"/>
            <wp:effectExtent l="0" t="0" r="18415" b="0"/>
            <wp:docPr id="4" name="Chart 4" descr="Clinical trials using bispecific antibodies reported to ClinicalTrials.gov since 2010. Trend increases steadily from 2010 to 2023.">
              <a:extLst xmlns:a="http://schemas.openxmlformats.org/drawingml/2006/main">
                <a:ext uri="{FF2B5EF4-FFF2-40B4-BE49-F238E27FC236}">
                  <a16:creationId xmlns:a16="http://schemas.microsoft.com/office/drawing/2014/main" id="{91BF6BF6-1F85-DF63-02B8-0A26ABE5D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Del="009C130A">
        <w:rPr>
          <w:noProof/>
        </w:rPr>
        <w:t xml:space="preserve"> </w:t>
      </w:r>
    </w:p>
    <w:p w14:paraId="333B68B4" w14:textId="1B82C9D3" w:rsidR="00814A7F" w:rsidRPr="00632DC0" w:rsidRDefault="004B3616" w:rsidP="004B3616">
      <w:pPr>
        <w:pStyle w:val="Caption"/>
        <w:rPr>
          <w:i w:val="0"/>
          <w:color w:val="auto"/>
        </w:rPr>
      </w:pPr>
      <w:r w:rsidRPr="00632DC0">
        <w:rPr>
          <w:color w:val="auto"/>
        </w:rPr>
        <w:t xml:space="preserve">The intervention/treatment search term ‘bispecific antibody’ was queried on the registry on </w:t>
      </w:r>
      <w:r w:rsidR="009C130A" w:rsidRPr="00632DC0">
        <w:rPr>
          <w:color w:val="auto"/>
        </w:rPr>
        <w:t>February 7, 2024</w:t>
      </w:r>
      <w:r w:rsidRPr="00632DC0">
        <w:rPr>
          <w:color w:val="auto"/>
        </w:rPr>
        <w:t xml:space="preserve">. Clinical trials are plotted by the date they were first posted in the database.   </w:t>
      </w:r>
    </w:p>
    <w:p w14:paraId="1F53A32F" w14:textId="3BE4999A" w:rsidR="0021462B" w:rsidRDefault="00CC2FB5" w:rsidP="00632DC0">
      <w:pPr>
        <w:pStyle w:val="Heading3"/>
        <w:ind w:left="709"/>
      </w:pPr>
      <w:r>
        <w:t>Challenges identified for</w:t>
      </w:r>
      <w:r w:rsidR="0021462B">
        <w:t xml:space="preserve"> assessment, </w:t>
      </w:r>
      <w:r w:rsidR="00A81872">
        <w:t>funding,</w:t>
      </w:r>
      <w:r w:rsidR="0021462B">
        <w:t xml:space="preserve"> and implementation of </w:t>
      </w:r>
      <w:r w:rsidR="004B0F50">
        <w:t>new antibody-based therapies</w:t>
      </w:r>
    </w:p>
    <w:p w14:paraId="4BE56A82" w14:textId="19CFED4F" w:rsidR="004B0F50" w:rsidRDefault="0050093A" w:rsidP="004B0F50">
      <w:r>
        <w:t xml:space="preserve">While there appears to be a rapid increase in the development of </w:t>
      </w:r>
      <w:r w:rsidR="008E03B0">
        <w:t>antibody-based</w:t>
      </w:r>
      <w:r>
        <w:t xml:space="preserve"> therapies, t</w:t>
      </w:r>
      <w:r w:rsidR="004B0F50">
        <w:t>his analysis did not identify any</w:t>
      </w:r>
      <w:r>
        <w:t xml:space="preserve"> unique</w:t>
      </w:r>
      <w:r w:rsidR="004B0F50">
        <w:t xml:space="preserve"> challenges </w:t>
      </w:r>
      <w:r>
        <w:t xml:space="preserve">posed by these technologies when </w:t>
      </w:r>
      <w:r w:rsidR="008E03B0">
        <w:t>compared</w:t>
      </w:r>
      <w:r>
        <w:t xml:space="preserve"> to other drugs</w:t>
      </w:r>
      <w:r w:rsidR="004B0F50">
        <w:t xml:space="preserve">. It has been several years since the first antibody-drug conjugates and bispecific antibodies were marketed. </w:t>
      </w:r>
      <w:r>
        <w:t>Several</w:t>
      </w:r>
      <w:r w:rsidR="004B0F50">
        <w:t xml:space="preserve"> have</w:t>
      </w:r>
      <w:r>
        <w:t xml:space="preserve"> now</w:t>
      </w:r>
      <w:r w:rsidR="004B0F50">
        <w:t xml:space="preserve"> been assessed and funded in Australia. </w:t>
      </w:r>
    </w:p>
    <w:p w14:paraId="10415152" w14:textId="77777777" w:rsidR="005F39DA" w:rsidRPr="005F39DA" w:rsidRDefault="005F39DA" w:rsidP="005F39DA">
      <w:pPr>
        <w:pStyle w:val="Heading2"/>
      </w:pPr>
      <w:bookmarkStart w:id="157" w:name="_Toc158900430"/>
      <w:r w:rsidRPr="005F39DA">
        <w:t>Monoclonal antibodies as passive immunisation strategy</w:t>
      </w:r>
      <w:bookmarkEnd w:id="157"/>
      <w:r w:rsidRPr="005F39DA">
        <w:t xml:space="preserve"> </w:t>
      </w:r>
    </w:p>
    <w:p w14:paraId="34D9774E" w14:textId="77777777" w:rsidR="005F39DA" w:rsidRPr="005F39DA" w:rsidRDefault="005F39DA" w:rsidP="005F39DA">
      <w:pPr>
        <w:rPr>
          <w:lang w:val="en-AU"/>
        </w:rPr>
      </w:pPr>
      <w:r w:rsidRPr="005F39DA">
        <w:rPr>
          <w:lang w:val="en-AU"/>
        </w:rPr>
        <w:t>Monoclonal antibodies have been developed which offer passive immunisation against an increasing number of viral and bacterial infectious diseases</w:t>
      </w:r>
      <w:r w:rsidRPr="005F39DA">
        <w:rPr>
          <w:rStyle w:val="FootnoteReference"/>
          <w:lang w:val="en-AU"/>
        </w:rPr>
        <w:footnoteReference w:id="44"/>
      </w:r>
      <w:r w:rsidRPr="005F39DA">
        <w:rPr>
          <w:lang w:val="en-AU"/>
        </w:rPr>
        <w:t xml:space="preserve">. Unlike vaccines, they offer immediate protection, and some have an extended duration of action </w:t>
      </w:r>
      <w:r w:rsidRPr="005F39DA">
        <w:rPr>
          <w:rStyle w:val="FootnoteReference"/>
          <w:lang w:val="en-AU"/>
        </w:rPr>
        <w:footnoteReference w:id="45"/>
      </w:r>
      <w:r w:rsidRPr="005F39DA">
        <w:rPr>
          <w:lang w:val="en-AU"/>
        </w:rPr>
        <w:t>. For infectious diseases with defined seasonality, there is potential to use long-acting monoclonal antibodies similarly to vaccines such as influenza vaccines to achieve seasonal protection.</w:t>
      </w:r>
    </w:p>
    <w:p w14:paraId="15C2ADE0" w14:textId="77777777" w:rsidR="005F39DA" w:rsidRPr="005F39DA" w:rsidRDefault="005F39DA" w:rsidP="00632DC0">
      <w:pPr>
        <w:pStyle w:val="Heading3"/>
        <w:ind w:left="709"/>
      </w:pPr>
      <w:r w:rsidRPr="005F39DA">
        <w:t>Development, market approval in Australia</w:t>
      </w:r>
    </w:p>
    <w:p w14:paraId="6895293D" w14:textId="77777777" w:rsidR="005F39DA" w:rsidRPr="005F39DA" w:rsidRDefault="005F39DA" w:rsidP="005F39DA">
      <w:pPr>
        <w:spacing w:before="0" w:after="160"/>
        <w:rPr>
          <w:rFonts w:eastAsia="Calibri" w:cstheme="minorHAnsi"/>
        </w:rPr>
      </w:pPr>
      <w:r w:rsidRPr="005F39DA">
        <w:rPr>
          <w:rFonts w:eastAsia="Calibri" w:cstheme="minorHAnsi"/>
        </w:rPr>
        <w:t xml:space="preserve">Monoclonal antibodies are in development for </w:t>
      </w:r>
      <w:r w:rsidRPr="005F39DA">
        <w:rPr>
          <w:rFonts w:eastAsia="Calibri" w:cstheme="minorHAnsi"/>
          <w:lang w:val="en-AU"/>
        </w:rPr>
        <w:t>HIV, RSV, influenza, hepatitis C virus, malaria, rabies, Human Cytomegalovirus and Ebola. There are long-acting monoclonal antibodies that are approved in Australia for viral prophylaxis by the TGA.</w:t>
      </w:r>
    </w:p>
    <w:p w14:paraId="3D5BF236" w14:textId="77777777" w:rsidR="005F39DA" w:rsidRPr="005F39DA" w:rsidRDefault="005F39DA" w:rsidP="00632DC0">
      <w:pPr>
        <w:pStyle w:val="Heading3"/>
        <w:ind w:left="709"/>
      </w:pPr>
      <w:r w:rsidRPr="005F39DA">
        <w:t>Assessment and funding of long-acting anti-infective monoclonal antibodies in Australia</w:t>
      </w:r>
    </w:p>
    <w:p w14:paraId="49F6498F" w14:textId="7F70CF3A" w:rsidR="00330FBE" w:rsidRDefault="005F39DA" w:rsidP="00330FBE">
      <w:pPr>
        <w:rPr>
          <w:rFonts w:cstheme="minorHAnsi"/>
          <w:lang w:val="en-AU"/>
        </w:rPr>
      </w:pPr>
      <w:r w:rsidRPr="005F39DA">
        <w:rPr>
          <w:rFonts w:cstheme="minorHAnsi"/>
          <w:lang w:val="en-AU"/>
        </w:rPr>
        <w:t xml:space="preserve">Current funding pathway for monoclonal antibodies is through the PBS. However, with the increasing number of monoclonal antibodies being developed as passive immunisation strategy consideration needs to be given </w:t>
      </w:r>
      <w:r>
        <w:rPr>
          <w:rFonts w:cstheme="minorHAnsi"/>
          <w:lang w:val="en-AU"/>
        </w:rPr>
        <w:t xml:space="preserve">about whether the PBS or NIP is the appropriate funding mechanism. </w:t>
      </w:r>
      <w:r w:rsidR="00330FBE">
        <w:rPr>
          <w:rFonts w:cstheme="minorHAnsi"/>
          <w:lang w:val="en-AU"/>
        </w:rPr>
        <w:br w:type="page"/>
      </w:r>
    </w:p>
    <w:p w14:paraId="357580BD" w14:textId="12A0A96A" w:rsidR="000344DE" w:rsidRDefault="00152211" w:rsidP="00632DC0">
      <w:pPr>
        <w:pStyle w:val="Heading1"/>
        <w:ind w:left="426"/>
      </w:pPr>
      <w:bookmarkStart w:id="158" w:name="_Toc128663716"/>
      <w:bookmarkStart w:id="159" w:name="_Toc158900431"/>
      <w:bookmarkEnd w:id="158"/>
      <w:r>
        <w:t>Other emerging therapies</w:t>
      </w:r>
      <w:bookmarkEnd w:id="159"/>
    </w:p>
    <w:p w14:paraId="6955A12D" w14:textId="557EBAF2" w:rsidR="00606AAC" w:rsidRPr="00975C1E" w:rsidRDefault="00606AAC" w:rsidP="00606AAC">
      <w:r w:rsidRPr="00966B19">
        <w:rPr>
          <w:color w:val="000000" w:themeColor="text1"/>
        </w:rPr>
        <w:t xml:space="preserve">In its recent publication, the </w:t>
      </w:r>
      <w:r>
        <w:rPr>
          <w:color w:val="000000" w:themeColor="text1"/>
        </w:rPr>
        <w:t>World Health Organi</w:t>
      </w:r>
      <w:r w:rsidR="00026EDB">
        <w:rPr>
          <w:color w:val="000000" w:themeColor="text1"/>
        </w:rPr>
        <w:t>z</w:t>
      </w:r>
      <w:r>
        <w:rPr>
          <w:color w:val="000000" w:themeColor="text1"/>
        </w:rPr>
        <w:t>ation (</w:t>
      </w:r>
      <w:r w:rsidRPr="00966B19">
        <w:rPr>
          <w:color w:val="000000" w:themeColor="text1"/>
        </w:rPr>
        <w:t>WHO</w:t>
      </w:r>
      <w:r>
        <w:rPr>
          <w:color w:val="000000" w:themeColor="text1"/>
        </w:rPr>
        <w:t>)</w:t>
      </w:r>
      <w:r w:rsidRPr="00966B19">
        <w:rPr>
          <w:color w:val="000000" w:themeColor="text1"/>
        </w:rPr>
        <w:t xml:space="preserve"> presented its findings of a global horizon scan on emerging technologies and trends relevant to global public health conducted in 2020 and 2021.</w:t>
      </w:r>
      <w:r w:rsidRPr="00966B19">
        <w:rPr>
          <w:color w:val="000000" w:themeColor="text1"/>
          <w:vertAlign w:val="superscript"/>
        </w:rPr>
        <w:fldChar w:fldCharType="begin"/>
      </w:r>
      <w:r w:rsidRPr="00966B19">
        <w:rPr>
          <w:color w:val="000000" w:themeColor="text1"/>
          <w:vertAlign w:val="superscript"/>
        </w:rPr>
        <w:instrText xml:space="preserve"> NOTEREF _Ref127357541 \h </w:instrText>
      </w:r>
      <w:r>
        <w:rPr>
          <w:color w:val="000000" w:themeColor="text1"/>
          <w:vertAlign w:val="superscript"/>
        </w:rPr>
        <w:instrText xml:space="preserve"> \* MERGEFORMAT </w:instrText>
      </w:r>
      <w:r w:rsidRPr="00966B19">
        <w:rPr>
          <w:color w:val="000000" w:themeColor="text1"/>
          <w:vertAlign w:val="superscript"/>
        </w:rPr>
      </w:r>
      <w:r w:rsidRPr="00966B19">
        <w:rPr>
          <w:color w:val="000000" w:themeColor="text1"/>
          <w:vertAlign w:val="superscript"/>
        </w:rPr>
        <w:fldChar w:fldCharType="separate"/>
      </w:r>
      <w:r w:rsidR="00395B47">
        <w:rPr>
          <w:color w:val="000000" w:themeColor="text1"/>
          <w:vertAlign w:val="superscript"/>
        </w:rPr>
        <w:t>47</w:t>
      </w:r>
      <w:r w:rsidRPr="00966B19">
        <w:rPr>
          <w:color w:val="000000" w:themeColor="text1"/>
          <w:vertAlign w:val="superscript"/>
        </w:rPr>
        <w:fldChar w:fldCharType="end"/>
      </w:r>
      <w:r w:rsidRPr="00966B19">
        <w:rPr>
          <w:color w:val="000000" w:themeColor="text1"/>
        </w:rPr>
        <w:t xml:space="preserve"> They identified 15 </w:t>
      </w:r>
      <w:r>
        <w:rPr>
          <w:color w:val="000000" w:themeColor="text1"/>
        </w:rPr>
        <w:t>priority topics</w:t>
      </w:r>
      <w:r w:rsidRPr="00966B19">
        <w:rPr>
          <w:color w:val="000000" w:themeColor="text1"/>
        </w:rPr>
        <w:t xml:space="preserve"> that may have a significant impact on global health over the next two decades. Genetically engineered phage</w:t>
      </w:r>
      <w:r>
        <w:rPr>
          <w:color w:val="000000" w:themeColor="text1"/>
        </w:rPr>
        <w:t>s</w:t>
      </w:r>
      <w:r w:rsidRPr="00966B19">
        <w:rPr>
          <w:color w:val="000000" w:themeColor="text1"/>
        </w:rPr>
        <w:t xml:space="preserve"> </w:t>
      </w:r>
      <w:r w:rsidR="000C286C">
        <w:rPr>
          <w:color w:val="000000" w:themeColor="text1"/>
        </w:rPr>
        <w:t>and microbiome therapies were two of the topics identified</w:t>
      </w:r>
      <w:r w:rsidRPr="00966B19">
        <w:rPr>
          <w:color w:val="000000" w:themeColor="text1"/>
        </w:rPr>
        <w:t>.</w:t>
      </w:r>
      <w:r w:rsidRPr="00F2307F">
        <w:rPr>
          <w:color w:val="000000" w:themeColor="text1"/>
          <w:vertAlign w:val="superscript"/>
        </w:rPr>
        <w:fldChar w:fldCharType="begin"/>
      </w:r>
      <w:r w:rsidRPr="00F2307F">
        <w:rPr>
          <w:color w:val="000000" w:themeColor="text1"/>
          <w:vertAlign w:val="superscript"/>
        </w:rPr>
        <w:instrText xml:space="preserve"> NOTEREF _Ref127357541 \h </w:instrText>
      </w:r>
      <w:r>
        <w:rPr>
          <w:color w:val="000000" w:themeColor="text1"/>
          <w:vertAlign w:val="superscript"/>
        </w:rPr>
        <w:instrText xml:space="preserve"> \* MERGEFORMAT </w:instrText>
      </w:r>
      <w:r w:rsidRPr="00F2307F">
        <w:rPr>
          <w:color w:val="000000" w:themeColor="text1"/>
          <w:vertAlign w:val="superscript"/>
        </w:rPr>
      </w:r>
      <w:r w:rsidRPr="00F2307F">
        <w:rPr>
          <w:color w:val="000000" w:themeColor="text1"/>
          <w:vertAlign w:val="superscript"/>
        </w:rPr>
        <w:fldChar w:fldCharType="separate"/>
      </w:r>
      <w:r w:rsidR="00395B47">
        <w:rPr>
          <w:color w:val="000000" w:themeColor="text1"/>
          <w:vertAlign w:val="superscript"/>
        </w:rPr>
        <w:t>47</w:t>
      </w:r>
      <w:r w:rsidRPr="00F2307F">
        <w:rPr>
          <w:color w:val="000000" w:themeColor="text1"/>
          <w:vertAlign w:val="superscript"/>
        </w:rPr>
        <w:fldChar w:fldCharType="end"/>
      </w:r>
      <w:r w:rsidR="004A171F">
        <w:rPr>
          <w:color w:val="000000" w:themeColor="text1"/>
        </w:rPr>
        <w:t xml:space="preserve"> </w:t>
      </w:r>
    </w:p>
    <w:p w14:paraId="3890106A" w14:textId="06987AED" w:rsidR="00152211" w:rsidRPr="00152211" w:rsidRDefault="00152211" w:rsidP="00152211">
      <w:pPr>
        <w:pStyle w:val="Heading2"/>
      </w:pPr>
      <w:bookmarkStart w:id="160" w:name="_Toc158900432"/>
      <w:r>
        <w:t>Phage therapy</w:t>
      </w:r>
      <w:bookmarkEnd w:id="160"/>
    </w:p>
    <w:p w14:paraId="4A36EC06" w14:textId="6B298D85" w:rsidR="000344DE" w:rsidRDefault="00191870" w:rsidP="000344DE">
      <w:pPr>
        <w:rPr>
          <w:rFonts w:cstheme="minorHAnsi"/>
        </w:rPr>
      </w:pPr>
      <w:r>
        <w:rPr>
          <w:rFonts w:cstheme="minorHAnsi"/>
        </w:rPr>
        <w:t>P</w:t>
      </w:r>
      <w:r w:rsidR="000344DE">
        <w:rPr>
          <w:rFonts w:cstheme="minorHAnsi"/>
        </w:rPr>
        <w:t xml:space="preserve">hages are </w:t>
      </w:r>
      <w:r w:rsidR="000344DE" w:rsidRPr="0015111D">
        <w:rPr>
          <w:rFonts w:cstheme="minorHAnsi"/>
        </w:rPr>
        <w:t>viruses that infect bacterial cells</w:t>
      </w:r>
      <w:r w:rsidR="000344DE" w:rsidRPr="00EC0434">
        <w:rPr>
          <w:rStyle w:val="FootnoteReference"/>
        </w:rPr>
        <w:t xml:space="preserve"> </w:t>
      </w:r>
      <w:r w:rsidR="000344DE">
        <w:rPr>
          <w:rStyle w:val="FootnoteReference"/>
        </w:rPr>
        <w:footnoteReference w:id="46"/>
      </w:r>
      <w:r w:rsidR="002B4780">
        <w:rPr>
          <w:rFonts w:cstheme="minorHAnsi"/>
        </w:rPr>
        <w:t>. They</w:t>
      </w:r>
      <w:r w:rsidR="000344DE" w:rsidRPr="006B0835">
        <w:rPr>
          <w:rFonts w:cstheme="minorHAnsi"/>
        </w:rPr>
        <w:t xml:space="preserve"> have been studied and used for just over 100 years</w:t>
      </w:r>
      <w:bookmarkStart w:id="161" w:name="_Ref127359910"/>
      <w:r w:rsidR="000344DE">
        <w:rPr>
          <w:rStyle w:val="FootnoteReference"/>
          <w:rFonts w:cstheme="minorHAnsi"/>
        </w:rPr>
        <w:footnoteReference w:id="47"/>
      </w:r>
      <w:bookmarkEnd w:id="161"/>
      <w:r w:rsidR="000344DE">
        <w:rPr>
          <w:rFonts w:cstheme="minorHAnsi"/>
        </w:rPr>
        <w:t xml:space="preserve">. </w:t>
      </w:r>
      <w:r w:rsidR="000344DE" w:rsidRPr="00181A53">
        <w:rPr>
          <w:rFonts w:cstheme="minorHAnsi"/>
        </w:rPr>
        <w:t>During most of that time, in at least some parts of the world, phages have been used as antibacterial agents.</w:t>
      </w:r>
      <w:r w:rsidR="000344DE" w:rsidRPr="00181A53">
        <w:rPr>
          <w:rFonts w:cstheme="minorHAnsi"/>
          <w:vertAlign w:val="superscript"/>
        </w:rPr>
        <w:fldChar w:fldCharType="begin"/>
      </w:r>
      <w:r w:rsidR="000344DE" w:rsidRPr="00181A53">
        <w:rPr>
          <w:rFonts w:cstheme="minorHAnsi"/>
          <w:vertAlign w:val="superscript"/>
        </w:rPr>
        <w:instrText xml:space="preserve"> NOTEREF _Ref127359910 \h </w:instrText>
      </w:r>
      <w:r w:rsidR="000344DE">
        <w:rPr>
          <w:rFonts w:cstheme="minorHAnsi"/>
          <w:vertAlign w:val="superscript"/>
        </w:rPr>
        <w:instrText xml:space="preserve"> \* MERGEFORMAT </w:instrText>
      </w:r>
      <w:r w:rsidR="000344DE" w:rsidRPr="00181A53">
        <w:rPr>
          <w:rFonts w:cstheme="minorHAnsi"/>
          <w:vertAlign w:val="superscript"/>
        </w:rPr>
      </w:r>
      <w:r w:rsidR="000344DE" w:rsidRPr="00181A53">
        <w:rPr>
          <w:rFonts w:cstheme="minorHAnsi"/>
          <w:vertAlign w:val="superscript"/>
        </w:rPr>
        <w:fldChar w:fldCharType="separate"/>
      </w:r>
      <w:r w:rsidR="00395B47">
        <w:rPr>
          <w:rFonts w:cstheme="minorHAnsi"/>
          <w:vertAlign w:val="superscript"/>
        </w:rPr>
        <w:t>46</w:t>
      </w:r>
      <w:r w:rsidR="000344DE" w:rsidRPr="00181A53">
        <w:rPr>
          <w:rFonts w:cstheme="minorHAnsi"/>
          <w:vertAlign w:val="superscript"/>
        </w:rPr>
        <w:fldChar w:fldCharType="end"/>
      </w:r>
      <w:r w:rsidR="000344DE" w:rsidRPr="00181A53">
        <w:rPr>
          <w:rFonts w:cstheme="minorHAnsi"/>
          <w:vertAlign w:val="superscript"/>
        </w:rPr>
        <w:t xml:space="preserve"> </w:t>
      </w:r>
      <w:r w:rsidR="000344DE" w:rsidRPr="00181A53">
        <w:rPr>
          <w:rFonts w:cstheme="minorHAnsi"/>
        </w:rPr>
        <w:t>This application is commonly called phage therapy.</w:t>
      </w:r>
      <w:r w:rsidR="000344DE" w:rsidRPr="001E640B">
        <w:rPr>
          <w:rFonts w:cstheme="minorHAnsi"/>
          <w:vertAlign w:val="superscript"/>
        </w:rPr>
        <w:fldChar w:fldCharType="begin"/>
      </w:r>
      <w:r w:rsidR="000344DE" w:rsidRPr="001E640B">
        <w:rPr>
          <w:rFonts w:cstheme="minorHAnsi"/>
          <w:vertAlign w:val="superscript"/>
        </w:rPr>
        <w:instrText xml:space="preserve"> NOTEREF _Ref127359910 \h </w:instrText>
      </w:r>
      <w:r w:rsidR="000344DE">
        <w:rPr>
          <w:rFonts w:cstheme="minorHAnsi"/>
          <w:vertAlign w:val="superscript"/>
        </w:rPr>
        <w:instrText xml:space="preserve"> \* MERGEFORMAT </w:instrText>
      </w:r>
      <w:r w:rsidR="000344DE" w:rsidRPr="001E640B">
        <w:rPr>
          <w:rFonts w:cstheme="minorHAnsi"/>
          <w:vertAlign w:val="superscript"/>
        </w:rPr>
      </w:r>
      <w:r w:rsidR="000344DE" w:rsidRPr="001E640B">
        <w:rPr>
          <w:rFonts w:cstheme="minorHAnsi"/>
          <w:vertAlign w:val="superscript"/>
        </w:rPr>
        <w:fldChar w:fldCharType="separate"/>
      </w:r>
      <w:r w:rsidR="00395B47">
        <w:rPr>
          <w:rFonts w:cstheme="minorHAnsi"/>
          <w:vertAlign w:val="superscript"/>
        </w:rPr>
        <w:t>46</w:t>
      </w:r>
      <w:r w:rsidR="000344DE" w:rsidRPr="001E640B">
        <w:rPr>
          <w:rFonts w:cstheme="minorHAnsi"/>
          <w:vertAlign w:val="superscript"/>
        </w:rPr>
        <w:fldChar w:fldCharType="end"/>
      </w:r>
      <w:r w:rsidR="000344DE" w:rsidRPr="001E640B">
        <w:rPr>
          <w:rFonts w:cstheme="minorHAnsi"/>
          <w:vertAlign w:val="superscript"/>
        </w:rPr>
        <w:t xml:space="preserve"> </w:t>
      </w:r>
      <w:r w:rsidR="002B4780">
        <w:rPr>
          <w:rFonts w:cstheme="minorHAnsi"/>
        </w:rPr>
        <w:t>In</w:t>
      </w:r>
      <w:r w:rsidR="000344DE" w:rsidRPr="00181A53">
        <w:rPr>
          <w:rFonts w:cstheme="minorHAnsi"/>
        </w:rPr>
        <w:t xml:space="preserve">terest in phage therapy </w:t>
      </w:r>
      <w:r w:rsidR="002B4780">
        <w:rPr>
          <w:rFonts w:cstheme="minorHAnsi"/>
        </w:rPr>
        <w:t>has been</w:t>
      </w:r>
      <w:r w:rsidR="000344DE" w:rsidRPr="00181A53">
        <w:rPr>
          <w:rFonts w:cstheme="minorHAnsi"/>
        </w:rPr>
        <w:t xml:space="preserve"> increasing</w:t>
      </w:r>
      <w:r w:rsidR="002B4780">
        <w:rPr>
          <w:rFonts w:cstheme="minorHAnsi"/>
        </w:rPr>
        <w:t xml:space="preserve"> – due to potential for it to be a new strategy against antimicrobial resistance and improvements in genetic modification methods</w:t>
      </w:r>
      <w:r w:rsidR="000344DE">
        <w:rPr>
          <w:rFonts w:cstheme="minorHAnsi"/>
        </w:rPr>
        <w:t>.</w:t>
      </w:r>
      <w:r w:rsidR="000344DE" w:rsidRPr="001E640B">
        <w:rPr>
          <w:rFonts w:cstheme="minorHAnsi"/>
          <w:vertAlign w:val="superscript"/>
        </w:rPr>
        <w:fldChar w:fldCharType="begin"/>
      </w:r>
      <w:r w:rsidR="000344DE" w:rsidRPr="001E640B">
        <w:rPr>
          <w:rFonts w:cstheme="minorHAnsi"/>
          <w:vertAlign w:val="superscript"/>
        </w:rPr>
        <w:instrText xml:space="preserve"> NOTEREF _Ref127359910 \h </w:instrText>
      </w:r>
      <w:r w:rsidR="000344DE">
        <w:rPr>
          <w:rFonts w:cstheme="minorHAnsi"/>
          <w:vertAlign w:val="superscript"/>
        </w:rPr>
        <w:instrText xml:space="preserve"> \* MERGEFORMAT </w:instrText>
      </w:r>
      <w:r w:rsidR="000344DE" w:rsidRPr="001E640B">
        <w:rPr>
          <w:rFonts w:cstheme="minorHAnsi"/>
          <w:vertAlign w:val="superscript"/>
        </w:rPr>
      </w:r>
      <w:r w:rsidR="000344DE" w:rsidRPr="001E640B">
        <w:rPr>
          <w:rFonts w:cstheme="minorHAnsi"/>
          <w:vertAlign w:val="superscript"/>
        </w:rPr>
        <w:fldChar w:fldCharType="separate"/>
      </w:r>
      <w:r w:rsidR="00395B47">
        <w:rPr>
          <w:rFonts w:cstheme="minorHAnsi"/>
          <w:vertAlign w:val="superscript"/>
        </w:rPr>
        <w:t>46</w:t>
      </w:r>
      <w:r w:rsidR="000344DE" w:rsidRPr="001E640B">
        <w:rPr>
          <w:rFonts w:cstheme="minorHAnsi"/>
          <w:vertAlign w:val="superscript"/>
        </w:rPr>
        <w:fldChar w:fldCharType="end"/>
      </w:r>
      <w:bookmarkStart w:id="162" w:name="_Ref127357541"/>
      <w:r w:rsidR="002B4780">
        <w:rPr>
          <w:rFonts w:cstheme="minorHAnsi"/>
          <w:vertAlign w:val="superscript"/>
        </w:rPr>
        <w:t>,</w:t>
      </w:r>
      <w:r w:rsidR="0040603D">
        <w:rPr>
          <w:rStyle w:val="FootnoteReference"/>
          <w:rFonts w:cstheme="minorHAnsi"/>
        </w:rPr>
        <w:footnoteReference w:id="48"/>
      </w:r>
      <w:bookmarkEnd w:id="162"/>
    </w:p>
    <w:p w14:paraId="65B248BD" w14:textId="6A32A1DE" w:rsidR="00ED1642" w:rsidRDefault="00ED1642" w:rsidP="00632DC0">
      <w:pPr>
        <w:pStyle w:val="Heading3"/>
        <w:ind w:left="709"/>
      </w:pPr>
      <w:r>
        <w:t>Development, market approval, and Australian funding status</w:t>
      </w:r>
    </w:p>
    <w:p w14:paraId="504A9AF7" w14:textId="79D9B992" w:rsidR="00D435CB" w:rsidRDefault="00647748" w:rsidP="00D435CB">
      <w:pPr>
        <w:rPr>
          <w:vertAlign w:val="superscript"/>
        </w:rPr>
      </w:pPr>
      <w:r>
        <w:t xml:space="preserve">There are currently no phage therapies </w:t>
      </w:r>
      <w:r w:rsidR="0044644C">
        <w:t xml:space="preserve">with FDA and TGA market authorisation. </w:t>
      </w:r>
      <w:r w:rsidR="00D435CB">
        <w:t>Over the past 7</w:t>
      </w:r>
      <w:r w:rsidR="00DE55E0">
        <w:t> </w:t>
      </w:r>
      <w:r w:rsidR="00D435CB">
        <w:t>years, the number of clinical trials registered in ClinicalTrials.gov that use phages has increased</w:t>
      </w:r>
      <w:r w:rsidR="007A7587">
        <w:t xml:space="preserve"> (</w:t>
      </w:r>
      <w:r w:rsidR="00677E65">
        <w:t>Figure 3</w:t>
      </w:r>
      <w:r w:rsidR="007A7587">
        <w:t>)</w:t>
      </w:r>
      <w:r w:rsidR="00D435CB">
        <w:t>.</w:t>
      </w:r>
      <w:bookmarkStart w:id="163" w:name="_Ref129078911"/>
      <w:r w:rsidR="00370427">
        <w:rPr>
          <w:rStyle w:val="FootnoteReference"/>
        </w:rPr>
        <w:footnoteReference w:id="49"/>
      </w:r>
      <w:bookmarkEnd w:id="163"/>
      <w:r w:rsidR="008540F1">
        <w:t xml:space="preserve"> Most of the registered trials </w:t>
      </w:r>
      <w:r w:rsidR="00DE55E0">
        <w:t xml:space="preserve">are exploring the use of </w:t>
      </w:r>
      <w:r w:rsidR="008E03B0">
        <w:t>pages</w:t>
      </w:r>
      <w:r w:rsidR="00DE55E0">
        <w:t xml:space="preserve"> as antimicrobials</w:t>
      </w:r>
      <w:r w:rsidR="009E2FD8">
        <w:t>.</w:t>
      </w:r>
      <w:r w:rsidR="0019685D" w:rsidRPr="0019685D">
        <w:rPr>
          <w:vertAlign w:val="superscript"/>
        </w:rPr>
        <w:fldChar w:fldCharType="begin"/>
      </w:r>
      <w:r w:rsidR="0019685D" w:rsidRPr="0019685D">
        <w:rPr>
          <w:vertAlign w:val="superscript"/>
        </w:rPr>
        <w:instrText xml:space="preserve"> NOTEREF _Ref129078911 \h </w:instrText>
      </w:r>
      <w:r w:rsidR="0019685D">
        <w:rPr>
          <w:vertAlign w:val="superscript"/>
        </w:rPr>
        <w:instrText xml:space="preserve"> \* MERGEFORMAT </w:instrText>
      </w:r>
      <w:r w:rsidR="0019685D" w:rsidRPr="0019685D">
        <w:rPr>
          <w:vertAlign w:val="superscript"/>
        </w:rPr>
      </w:r>
      <w:r w:rsidR="0019685D" w:rsidRPr="0019685D">
        <w:rPr>
          <w:vertAlign w:val="superscript"/>
        </w:rPr>
        <w:fldChar w:fldCharType="separate"/>
      </w:r>
      <w:r w:rsidR="00395B47">
        <w:rPr>
          <w:vertAlign w:val="superscript"/>
        </w:rPr>
        <w:t>48</w:t>
      </w:r>
      <w:r w:rsidR="0019685D" w:rsidRPr="0019685D">
        <w:rPr>
          <w:vertAlign w:val="superscript"/>
        </w:rPr>
        <w:fldChar w:fldCharType="end"/>
      </w:r>
    </w:p>
    <w:p w14:paraId="628B42F7" w14:textId="1394F385" w:rsidR="00677E65" w:rsidRPr="00330FBE" w:rsidRDefault="00677E65" w:rsidP="00330FBE">
      <w:pPr>
        <w:rPr>
          <w:b/>
          <w:bCs/>
          <w:color w:val="002060"/>
        </w:rPr>
      </w:pPr>
      <w:bookmarkStart w:id="164" w:name="_Ref129017651"/>
      <w:r w:rsidRPr="00330FBE">
        <w:rPr>
          <w:b/>
          <w:bCs/>
          <w:color w:val="002060"/>
        </w:rPr>
        <w:t xml:space="preserve">Figure </w:t>
      </w:r>
      <w:bookmarkEnd w:id="164"/>
      <w:r w:rsidRPr="00330FBE">
        <w:rPr>
          <w:b/>
          <w:bCs/>
          <w:color w:val="002060"/>
        </w:rPr>
        <w:t>3 Clinical trials of phage therapy reported to ClinicalTrials.gov since 1999.</w:t>
      </w:r>
    </w:p>
    <w:p w14:paraId="4D75F309" w14:textId="1E9CF636" w:rsidR="007A7587" w:rsidRDefault="00A80BC4" w:rsidP="007A7587">
      <w:pPr>
        <w:pStyle w:val="Caption"/>
      </w:pPr>
      <w:r>
        <w:rPr>
          <w:noProof/>
        </w:rPr>
        <w:drawing>
          <wp:inline distT="0" distB="0" distL="0" distR="0" wp14:anchorId="0D56B3F9" wp14:editId="1B5E74DB">
            <wp:extent cx="5730875" cy="2372264"/>
            <wp:effectExtent l="0" t="0" r="3175" b="9525"/>
            <wp:docPr id="6" name="Chart 6" descr="Clinical trials of phage therapy reported to ClinicalTrials.gov since 1999.  Trend shows increases from 2019, with a peak in 2022.">
              <a:extLst xmlns:a="http://schemas.openxmlformats.org/drawingml/2006/main">
                <a:ext uri="{FF2B5EF4-FFF2-40B4-BE49-F238E27FC236}">
                  <a16:creationId xmlns:a16="http://schemas.microsoft.com/office/drawing/2014/main" id="{6C1F5BF5-9204-63CC-157F-F68EE785D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1F23E8" w14:textId="38283CD9" w:rsidR="00330FBE" w:rsidRDefault="007A7587" w:rsidP="007A7587">
      <w:pPr>
        <w:pStyle w:val="Caption"/>
        <w:rPr>
          <w:i w:val="0"/>
          <w:color w:val="auto"/>
          <w:vertAlign w:val="superscript"/>
        </w:rPr>
      </w:pPr>
      <w:bookmarkStart w:id="165" w:name="_Hlk129864918"/>
      <w:r w:rsidRPr="00632DC0">
        <w:rPr>
          <w:color w:val="auto"/>
        </w:rPr>
        <w:t>The registry was queried using</w:t>
      </w:r>
      <w:r w:rsidR="00A62428" w:rsidRPr="00632DC0">
        <w:rPr>
          <w:color w:val="auto"/>
        </w:rPr>
        <w:t xml:space="preserve"> the method set out in Strathdee, SA et al. The</w:t>
      </w:r>
      <w:r w:rsidRPr="00632DC0">
        <w:rPr>
          <w:color w:val="auto"/>
        </w:rPr>
        <w:t xml:space="preserve"> key word ‘‘phage’’</w:t>
      </w:r>
      <w:r w:rsidR="00A62428" w:rsidRPr="00632DC0">
        <w:rPr>
          <w:color w:val="auto"/>
        </w:rPr>
        <w:t xml:space="preserve"> was queried on the registry</w:t>
      </w:r>
      <w:r w:rsidRPr="00632DC0">
        <w:rPr>
          <w:color w:val="auto"/>
        </w:rPr>
        <w:t xml:space="preserve"> on </w:t>
      </w:r>
      <w:r w:rsidR="009D15D0" w:rsidRPr="00632DC0">
        <w:rPr>
          <w:color w:val="auto"/>
        </w:rPr>
        <w:t>February 7</w:t>
      </w:r>
      <w:r w:rsidR="00FF70EC" w:rsidRPr="00632DC0">
        <w:rPr>
          <w:color w:val="auto"/>
        </w:rPr>
        <w:t>,</w:t>
      </w:r>
      <w:r w:rsidR="009D15D0" w:rsidRPr="00632DC0">
        <w:rPr>
          <w:color w:val="auto"/>
        </w:rPr>
        <w:t xml:space="preserve"> 2024</w:t>
      </w:r>
      <w:r w:rsidR="002B4780" w:rsidRPr="00632DC0">
        <w:rPr>
          <w:i w:val="0"/>
          <w:color w:val="auto"/>
        </w:rPr>
        <w:t>.</w:t>
      </w:r>
      <w:r w:rsidR="002B4780" w:rsidRPr="00632DC0">
        <w:rPr>
          <w:i w:val="0"/>
          <w:color w:val="auto"/>
          <w:vertAlign w:val="superscript"/>
        </w:rPr>
        <w:t>43</w:t>
      </w:r>
    </w:p>
    <w:p w14:paraId="7AB318FC" w14:textId="77777777" w:rsidR="00330FBE" w:rsidRDefault="00330FBE">
      <w:pPr>
        <w:spacing w:before="0" w:after="160"/>
        <w:rPr>
          <w:iCs/>
          <w:sz w:val="18"/>
          <w:szCs w:val="18"/>
          <w:vertAlign w:val="superscript"/>
        </w:rPr>
      </w:pPr>
      <w:r>
        <w:rPr>
          <w:i/>
          <w:vertAlign w:val="superscript"/>
        </w:rPr>
        <w:br w:type="page"/>
      </w:r>
    </w:p>
    <w:bookmarkEnd w:id="165"/>
    <w:p w14:paraId="5681776D" w14:textId="6F273D89" w:rsidR="000344DE" w:rsidRDefault="000344DE" w:rsidP="00677E65">
      <w:pPr>
        <w:pStyle w:val="Heading4"/>
        <w:keepNext w:val="0"/>
        <w:keepLines w:val="0"/>
        <w:widowControl w:val="0"/>
      </w:pPr>
      <w:r w:rsidRPr="006220B2">
        <w:t xml:space="preserve">Expanded access and compassionate use </w:t>
      </w:r>
    </w:p>
    <w:p w14:paraId="14D3E99C" w14:textId="5504A213" w:rsidR="000344DE" w:rsidRDefault="00EE5BDC" w:rsidP="00677E65">
      <w:pPr>
        <w:pStyle w:val="Heading4"/>
        <w:keepNext w:val="0"/>
        <w:keepLines w:val="0"/>
        <w:widowControl w:val="0"/>
        <w:ind w:left="862" w:hanging="862"/>
      </w:pPr>
      <w:r>
        <w:t xml:space="preserve"> - </w:t>
      </w:r>
      <w:r w:rsidR="000344DE">
        <w:t>Internationally</w:t>
      </w:r>
    </w:p>
    <w:p w14:paraId="739740A3" w14:textId="6C746631" w:rsidR="000344DE" w:rsidRDefault="000344DE" w:rsidP="00677E65">
      <w:pPr>
        <w:widowControl w:val="0"/>
      </w:pPr>
      <w:r w:rsidRPr="000A431C">
        <w:t xml:space="preserve">In the United States, phages intended for clinical therapeutic use are regulated as biological products by the </w:t>
      </w:r>
      <w:r w:rsidR="00436418" w:rsidRPr="000A431C">
        <w:t>Centre</w:t>
      </w:r>
      <w:r w:rsidRPr="000A431C">
        <w:t xml:space="preserve"> for Biologics Evaluation and Research (CBER) at the FDA.</w:t>
      </w:r>
      <w:bookmarkStart w:id="166" w:name="_Ref130480154"/>
      <w:r w:rsidR="004915C9">
        <w:rPr>
          <w:rStyle w:val="FootnoteReference"/>
        </w:rPr>
        <w:footnoteReference w:id="50"/>
      </w:r>
      <w:bookmarkEnd w:id="166"/>
      <w:r w:rsidRPr="000A431C">
        <w:t xml:space="preserve"> </w:t>
      </w:r>
      <w:r>
        <w:t>T</w:t>
      </w:r>
      <w:r w:rsidRPr="00D119DF">
        <w:t>he primary route for a patient to access phage therapy is to enrol in a clinical trial.</w:t>
      </w:r>
      <w:r w:rsidR="00A10E34" w:rsidRPr="00A10E34">
        <w:rPr>
          <w:vertAlign w:val="superscript"/>
        </w:rPr>
        <w:fldChar w:fldCharType="begin"/>
      </w:r>
      <w:r w:rsidR="00A10E34" w:rsidRPr="00A10E34">
        <w:rPr>
          <w:vertAlign w:val="superscript"/>
        </w:rPr>
        <w:instrText xml:space="preserve"> NOTEREF _Ref130480154 \h </w:instrText>
      </w:r>
      <w:r w:rsidR="00A10E34">
        <w:rPr>
          <w:vertAlign w:val="superscript"/>
        </w:rPr>
        <w:instrText xml:space="preserve"> \* MERGEFORMAT </w:instrText>
      </w:r>
      <w:r w:rsidR="00A10E34" w:rsidRPr="00A10E34">
        <w:rPr>
          <w:vertAlign w:val="superscript"/>
        </w:rPr>
      </w:r>
      <w:r w:rsidR="00A10E34" w:rsidRPr="00A10E34">
        <w:rPr>
          <w:vertAlign w:val="superscript"/>
        </w:rPr>
        <w:fldChar w:fldCharType="separate"/>
      </w:r>
      <w:r w:rsidR="00395B47">
        <w:rPr>
          <w:vertAlign w:val="superscript"/>
        </w:rPr>
        <w:t>49</w:t>
      </w:r>
      <w:r w:rsidR="00A10E34" w:rsidRPr="00A10E34">
        <w:rPr>
          <w:vertAlign w:val="superscript"/>
        </w:rPr>
        <w:fldChar w:fldCharType="end"/>
      </w:r>
      <w:r w:rsidRPr="00D119DF">
        <w:t xml:space="preserve"> For patients who cannot access or do not qualify for clinical trials, the</w:t>
      </w:r>
      <w:r>
        <w:t>y can access phage therapy through the expanded- access pathway (also referred to as compassionate use).</w:t>
      </w:r>
      <w:r w:rsidR="00EE2788" w:rsidRPr="00EE2788">
        <w:rPr>
          <w:vertAlign w:val="superscript"/>
        </w:rPr>
        <w:fldChar w:fldCharType="begin"/>
      </w:r>
      <w:r w:rsidR="00EE2788" w:rsidRPr="00EE2788">
        <w:rPr>
          <w:vertAlign w:val="superscript"/>
        </w:rPr>
        <w:instrText xml:space="preserve"> NOTEREF _Ref130480154 \h </w:instrText>
      </w:r>
      <w:r w:rsidR="00EE2788">
        <w:rPr>
          <w:vertAlign w:val="superscript"/>
        </w:rPr>
        <w:instrText xml:space="preserve"> \* MERGEFORMAT </w:instrText>
      </w:r>
      <w:r w:rsidR="00EE2788" w:rsidRPr="00EE2788">
        <w:rPr>
          <w:vertAlign w:val="superscript"/>
        </w:rPr>
      </w:r>
      <w:r w:rsidR="00EE2788" w:rsidRPr="00EE2788">
        <w:rPr>
          <w:vertAlign w:val="superscript"/>
        </w:rPr>
        <w:fldChar w:fldCharType="separate"/>
      </w:r>
      <w:r w:rsidR="00395B47">
        <w:rPr>
          <w:vertAlign w:val="superscript"/>
        </w:rPr>
        <w:t>49</w:t>
      </w:r>
      <w:r w:rsidR="00EE2788" w:rsidRPr="00EE2788">
        <w:rPr>
          <w:vertAlign w:val="superscript"/>
        </w:rPr>
        <w:fldChar w:fldCharType="end"/>
      </w:r>
      <w:r w:rsidR="00EE2788" w:rsidRPr="006220B2">
        <w:t xml:space="preserve"> </w:t>
      </w:r>
      <w:r w:rsidRPr="006220B2">
        <w:t>Expanded access and compassionate use cases have risen exponentially but have varied widely in approach, methodology, and clinical situations in which phage therapy might be considered.</w:t>
      </w:r>
      <w:r w:rsidR="00EE2788" w:rsidRPr="00EE2788">
        <w:rPr>
          <w:vertAlign w:val="superscript"/>
        </w:rPr>
        <w:fldChar w:fldCharType="begin"/>
      </w:r>
      <w:r w:rsidR="00EE2788" w:rsidRPr="00EE2788">
        <w:rPr>
          <w:vertAlign w:val="superscript"/>
        </w:rPr>
        <w:instrText xml:space="preserve"> NOTEREF _Ref130480154 \h </w:instrText>
      </w:r>
      <w:r w:rsidR="00EE2788">
        <w:rPr>
          <w:vertAlign w:val="superscript"/>
        </w:rPr>
        <w:instrText xml:space="preserve"> \* MERGEFORMAT </w:instrText>
      </w:r>
      <w:r w:rsidR="00EE2788" w:rsidRPr="00EE2788">
        <w:rPr>
          <w:vertAlign w:val="superscript"/>
        </w:rPr>
      </w:r>
      <w:r w:rsidR="00EE2788" w:rsidRPr="00EE2788">
        <w:rPr>
          <w:vertAlign w:val="superscript"/>
        </w:rPr>
        <w:fldChar w:fldCharType="separate"/>
      </w:r>
      <w:r w:rsidR="00395B47">
        <w:rPr>
          <w:vertAlign w:val="superscript"/>
        </w:rPr>
        <w:t>49</w:t>
      </w:r>
      <w:r w:rsidR="00EE2788" w:rsidRPr="00EE2788">
        <w:rPr>
          <w:vertAlign w:val="superscript"/>
        </w:rPr>
        <w:fldChar w:fldCharType="end"/>
      </w:r>
      <w:r w:rsidRPr="00EE2788">
        <w:rPr>
          <w:vertAlign w:val="superscript"/>
        </w:rPr>
        <w:t xml:space="preserve"> </w:t>
      </w:r>
    </w:p>
    <w:p w14:paraId="0C97A421" w14:textId="12BC2E4B" w:rsidR="000344DE" w:rsidRDefault="00EE5BDC" w:rsidP="00EC339C">
      <w:pPr>
        <w:pStyle w:val="Heading4"/>
        <w:ind w:left="862" w:hanging="862"/>
      </w:pPr>
      <w:r>
        <w:t xml:space="preserve">- </w:t>
      </w:r>
      <w:r w:rsidR="000344DE">
        <w:t>Australia</w:t>
      </w:r>
    </w:p>
    <w:p w14:paraId="43B04A50" w14:textId="77777777" w:rsidR="000344DE" w:rsidRPr="00A63C3E" w:rsidRDefault="000344DE" w:rsidP="000344DE">
      <w:r>
        <w:t>Phage Australia is a national network of phage researchers and clinician scientists who aim to professionalise phage therapy as the third major intervention for infectious diseases.</w:t>
      </w:r>
      <w:bookmarkStart w:id="167" w:name="_Ref127366966"/>
      <w:r>
        <w:rPr>
          <w:rStyle w:val="FootnoteReference"/>
        </w:rPr>
        <w:footnoteReference w:id="51"/>
      </w:r>
      <w:bookmarkEnd w:id="167"/>
    </w:p>
    <w:p w14:paraId="3A4C2A36" w14:textId="48C2E6A2" w:rsidR="00862AE3" w:rsidRDefault="000344DE" w:rsidP="00D13D03">
      <w:r>
        <w:t>Currently, Phage Australia can only provide phage therapy in compassionate cases.</w:t>
      </w:r>
      <w:r w:rsidRPr="00623C27">
        <w:rPr>
          <w:vertAlign w:val="superscript"/>
        </w:rPr>
        <w:fldChar w:fldCharType="begin"/>
      </w:r>
      <w:r w:rsidRPr="00623C27">
        <w:rPr>
          <w:vertAlign w:val="superscript"/>
        </w:rPr>
        <w:instrText xml:space="preserve"> NOTEREF _Ref127366966 \h </w:instrText>
      </w:r>
      <w:r>
        <w:rPr>
          <w:vertAlign w:val="superscript"/>
        </w:rPr>
        <w:instrText xml:space="preserve"> \* MERGEFORMAT </w:instrText>
      </w:r>
      <w:r w:rsidRPr="00623C27">
        <w:rPr>
          <w:vertAlign w:val="superscript"/>
        </w:rPr>
      </w:r>
      <w:r w:rsidRPr="00623C27">
        <w:rPr>
          <w:vertAlign w:val="superscript"/>
        </w:rPr>
        <w:fldChar w:fldCharType="separate"/>
      </w:r>
      <w:r w:rsidR="00395B47">
        <w:rPr>
          <w:vertAlign w:val="superscript"/>
        </w:rPr>
        <w:t>50</w:t>
      </w:r>
      <w:r w:rsidRPr="00623C27">
        <w:rPr>
          <w:vertAlign w:val="superscript"/>
        </w:rPr>
        <w:fldChar w:fldCharType="end"/>
      </w:r>
      <w:r>
        <w:t xml:space="preserve"> Phage Australia aims to make the therapy widely available across the Australian health system by establishing it in the Australian (and international) pharmacopeia through a national industry ecosystem of genomics and informatics, diagnostics, clinical trials, manufacturing and international biobanks.</w:t>
      </w:r>
      <w:r w:rsidRPr="009A2105">
        <w:rPr>
          <w:vertAlign w:val="superscript"/>
        </w:rPr>
        <w:fldChar w:fldCharType="begin"/>
      </w:r>
      <w:r w:rsidRPr="009A2105">
        <w:rPr>
          <w:vertAlign w:val="superscript"/>
        </w:rPr>
        <w:instrText xml:space="preserve"> NOTEREF _Ref127366966 \h </w:instrText>
      </w:r>
      <w:r>
        <w:rPr>
          <w:vertAlign w:val="superscript"/>
        </w:rPr>
        <w:instrText xml:space="preserve"> \* MERGEFORMAT </w:instrText>
      </w:r>
      <w:r w:rsidRPr="009A2105">
        <w:rPr>
          <w:vertAlign w:val="superscript"/>
        </w:rPr>
      </w:r>
      <w:r w:rsidRPr="009A2105">
        <w:rPr>
          <w:vertAlign w:val="superscript"/>
        </w:rPr>
        <w:fldChar w:fldCharType="separate"/>
      </w:r>
      <w:r w:rsidR="00395B47">
        <w:rPr>
          <w:vertAlign w:val="superscript"/>
        </w:rPr>
        <w:t>50</w:t>
      </w:r>
      <w:r w:rsidRPr="009A2105">
        <w:rPr>
          <w:vertAlign w:val="superscript"/>
        </w:rPr>
        <w:fldChar w:fldCharType="end"/>
      </w:r>
      <w:r>
        <w:t xml:space="preserve"> Over the next five years, they aim to deliver precision phage therapy to Australians and define its role for prescribers and patients across the Asia Pacific region.</w:t>
      </w:r>
      <w:r w:rsidRPr="009A2105">
        <w:rPr>
          <w:vertAlign w:val="superscript"/>
        </w:rPr>
        <w:fldChar w:fldCharType="begin"/>
      </w:r>
      <w:r w:rsidRPr="009A2105">
        <w:rPr>
          <w:vertAlign w:val="superscript"/>
        </w:rPr>
        <w:instrText xml:space="preserve"> NOTEREF _Ref127366966 \h </w:instrText>
      </w:r>
      <w:r>
        <w:rPr>
          <w:vertAlign w:val="superscript"/>
        </w:rPr>
        <w:instrText xml:space="preserve"> \* MERGEFORMAT </w:instrText>
      </w:r>
      <w:r w:rsidRPr="009A2105">
        <w:rPr>
          <w:vertAlign w:val="superscript"/>
        </w:rPr>
      </w:r>
      <w:r w:rsidRPr="009A2105">
        <w:rPr>
          <w:vertAlign w:val="superscript"/>
        </w:rPr>
        <w:fldChar w:fldCharType="separate"/>
      </w:r>
      <w:r w:rsidR="00395B47">
        <w:rPr>
          <w:vertAlign w:val="superscript"/>
        </w:rPr>
        <w:t>50</w:t>
      </w:r>
      <w:r w:rsidRPr="009A2105">
        <w:rPr>
          <w:vertAlign w:val="superscript"/>
        </w:rPr>
        <w:fldChar w:fldCharType="end"/>
      </w:r>
      <w:r w:rsidR="00A732A7">
        <w:rPr>
          <w:vertAlign w:val="superscript"/>
        </w:rPr>
        <w:t xml:space="preserve"> </w:t>
      </w:r>
      <w:r>
        <w:t xml:space="preserve">They </w:t>
      </w:r>
      <w:r w:rsidR="002B4780">
        <w:t>also plan to work</w:t>
      </w:r>
      <w:r>
        <w:t xml:space="preserve"> with regulators to find a place for phage therapy in the national pharmacopoeia – established standards for pharmaceutical substances and medicinal products which assist in the quality control of medicines in Australia. </w:t>
      </w:r>
      <w:bookmarkStart w:id="168" w:name="_Toc128663723"/>
      <w:bookmarkEnd w:id="168"/>
    </w:p>
    <w:p w14:paraId="05B790C5" w14:textId="786082BB" w:rsidR="00152211" w:rsidRDefault="00D90E2A" w:rsidP="00632DC0">
      <w:pPr>
        <w:pStyle w:val="Heading3"/>
        <w:ind w:left="709"/>
      </w:pPr>
      <w:r>
        <w:t>Challenges identified for</w:t>
      </w:r>
      <w:r w:rsidR="00F5261B">
        <w:t xml:space="preserve"> assessment, </w:t>
      </w:r>
      <w:r w:rsidR="00436418">
        <w:t>funding,</w:t>
      </w:r>
      <w:r>
        <w:t xml:space="preserve"> and</w:t>
      </w:r>
      <w:r w:rsidR="00152211">
        <w:t xml:space="preserve"> implementation of phage therapy</w:t>
      </w:r>
    </w:p>
    <w:p w14:paraId="5BB54565" w14:textId="1B607525" w:rsidR="0033145C" w:rsidRDefault="000C286C" w:rsidP="0033145C">
      <w:pPr>
        <w:rPr>
          <w:rFonts w:cstheme="minorHAnsi"/>
        </w:rPr>
      </w:pPr>
      <w:r>
        <w:rPr>
          <w:rFonts w:cstheme="minorHAnsi"/>
        </w:rPr>
        <w:t>T</w:t>
      </w:r>
      <w:r w:rsidR="0033145C" w:rsidRPr="00DE5A9E">
        <w:rPr>
          <w:rFonts w:cstheme="minorHAnsi"/>
        </w:rPr>
        <w:t>here are</w:t>
      </w:r>
      <w:r>
        <w:rPr>
          <w:rFonts w:cstheme="minorHAnsi"/>
        </w:rPr>
        <w:t xml:space="preserve"> </w:t>
      </w:r>
      <w:r w:rsidR="00436418">
        <w:rPr>
          <w:rFonts w:cstheme="minorHAnsi"/>
        </w:rPr>
        <w:t>several</w:t>
      </w:r>
      <w:r>
        <w:rPr>
          <w:rFonts w:cstheme="minorHAnsi"/>
        </w:rPr>
        <w:t xml:space="preserve"> challenges </w:t>
      </w:r>
      <w:r w:rsidR="001940BA">
        <w:rPr>
          <w:rFonts w:cstheme="minorHAnsi"/>
        </w:rPr>
        <w:t xml:space="preserve">to widespread use of phages </w:t>
      </w:r>
      <w:r w:rsidR="00677E65">
        <w:rPr>
          <w:rFonts w:cstheme="minorHAnsi"/>
        </w:rPr>
        <w:t xml:space="preserve">were identified by the WHO in its </w:t>
      </w:r>
      <w:r w:rsidR="00677E65" w:rsidRPr="00327DF9">
        <w:t>Emerging trends and technologies: a horizon scan for global public health</w:t>
      </w:r>
      <w:r w:rsidR="00677E65">
        <w:t xml:space="preserve"> report</w:t>
      </w:r>
      <w:r w:rsidR="001940BA">
        <w:rPr>
          <w:rFonts w:cstheme="minorHAnsi"/>
        </w:rPr>
        <w:t>.</w:t>
      </w:r>
      <w:r w:rsidR="0033145C" w:rsidRPr="00A735E3">
        <w:rPr>
          <w:rFonts w:cstheme="minorHAnsi"/>
          <w:vertAlign w:val="superscript"/>
        </w:rPr>
        <w:fldChar w:fldCharType="begin"/>
      </w:r>
      <w:r w:rsidR="0033145C" w:rsidRPr="00A735E3">
        <w:rPr>
          <w:rFonts w:cstheme="minorHAnsi"/>
          <w:vertAlign w:val="superscript"/>
        </w:rPr>
        <w:instrText xml:space="preserve"> NOTEREF _Ref127357541 \h </w:instrText>
      </w:r>
      <w:r w:rsidR="0033145C">
        <w:rPr>
          <w:rFonts w:cstheme="minorHAnsi"/>
          <w:vertAlign w:val="superscript"/>
        </w:rPr>
        <w:instrText xml:space="preserve"> \* MERGEFORMAT </w:instrText>
      </w:r>
      <w:r w:rsidR="0033145C" w:rsidRPr="00A735E3">
        <w:rPr>
          <w:rFonts w:cstheme="minorHAnsi"/>
          <w:vertAlign w:val="superscript"/>
        </w:rPr>
      </w:r>
      <w:r w:rsidR="0033145C" w:rsidRPr="00A735E3">
        <w:rPr>
          <w:rFonts w:cstheme="minorHAnsi"/>
          <w:vertAlign w:val="superscript"/>
        </w:rPr>
        <w:fldChar w:fldCharType="separate"/>
      </w:r>
      <w:r w:rsidR="00395B47">
        <w:rPr>
          <w:rFonts w:cstheme="minorHAnsi"/>
          <w:vertAlign w:val="superscript"/>
        </w:rPr>
        <w:t>47</w:t>
      </w:r>
      <w:r w:rsidR="0033145C" w:rsidRPr="00A735E3">
        <w:rPr>
          <w:rFonts w:cstheme="minorHAnsi"/>
          <w:vertAlign w:val="superscript"/>
        </w:rPr>
        <w:fldChar w:fldCharType="end"/>
      </w:r>
      <w:r w:rsidR="0033145C" w:rsidRPr="00DE5A9E">
        <w:rPr>
          <w:rFonts w:cstheme="minorHAnsi"/>
        </w:rPr>
        <w:t xml:space="preserve"> </w:t>
      </w:r>
      <w:r w:rsidR="001940BA">
        <w:rPr>
          <w:rFonts w:cstheme="minorHAnsi"/>
        </w:rPr>
        <w:t xml:space="preserve">Several of these challenges are not unique to phages and would apply equally to any other new treatment. These include: </w:t>
      </w:r>
    </w:p>
    <w:p w14:paraId="54340A88" w14:textId="77777777" w:rsidR="0033145C" w:rsidRDefault="0033145C" w:rsidP="00632DC0">
      <w:pPr>
        <w:pStyle w:val="ListBullet"/>
        <w:tabs>
          <w:tab w:val="clear" w:pos="360"/>
          <w:tab w:val="num" w:pos="720"/>
        </w:tabs>
        <w:ind w:left="720"/>
      </w:pPr>
      <w:r w:rsidRPr="00ED0D1D">
        <w:t xml:space="preserve">Bacteriophages might add significant short-term health care costs to infection treatment, including costs of treatment and costs related to infrastructure or staffing changes needed to administer the treatment. </w:t>
      </w:r>
    </w:p>
    <w:p w14:paraId="6B84F140" w14:textId="029BFE09" w:rsidR="0033145C" w:rsidRDefault="0033145C" w:rsidP="00632DC0">
      <w:pPr>
        <w:pStyle w:val="ListBullet"/>
        <w:tabs>
          <w:tab w:val="clear" w:pos="360"/>
          <w:tab w:val="num" w:pos="720"/>
        </w:tabs>
        <w:ind w:left="720"/>
      </w:pPr>
      <w:r w:rsidRPr="00ED0D1D">
        <w:t>There might be a significant learning curve for clinicians to use th</w:t>
      </w:r>
      <w:r w:rsidR="00D66B68">
        <w:t>ese</w:t>
      </w:r>
      <w:r w:rsidRPr="00ED0D1D">
        <w:t xml:space="preserve"> </w:t>
      </w:r>
      <w:r w:rsidR="00D66B68">
        <w:t>t</w:t>
      </w:r>
      <w:r w:rsidRPr="00ED0D1D">
        <w:t>reatment</w:t>
      </w:r>
      <w:r w:rsidR="00D66B68">
        <w:t>s</w:t>
      </w:r>
      <w:r w:rsidRPr="00ED0D1D">
        <w:t>.</w:t>
      </w:r>
      <w:r w:rsidRPr="00ED0D1D">
        <w:rPr>
          <w:vertAlign w:val="superscript"/>
        </w:rPr>
        <w:t xml:space="preserve"> </w:t>
      </w:r>
      <w:r w:rsidRPr="00ED0D1D">
        <w:t xml:space="preserve">This might result in additional health care costs related to clinician education or increased burden on the health care system while clinicians take time away from treating patients to undergo such training. </w:t>
      </w:r>
    </w:p>
    <w:p w14:paraId="66280907" w14:textId="77777777" w:rsidR="0033145C" w:rsidRDefault="0033145C" w:rsidP="00632DC0">
      <w:pPr>
        <w:pStyle w:val="ListBullet"/>
        <w:tabs>
          <w:tab w:val="clear" w:pos="360"/>
          <w:tab w:val="num" w:pos="720"/>
        </w:tabs>
        <w:ind w:left="720"/>
      </w:pPr>
      <w:r w:rsidRPr="00ED0D1D">
        <w:t xml:space="preserve">Health disparities might increase if the treatment is available only in certain areas, if the treatment is cost-prohibitive for some patients, or if some clinicians cannot undertake the necessary training because of either financial or time restrictions. </w:t>
      </w:r>
    </w:p>
    <w:p w14:paraId="7C264BD6" w14:textId="77777777" w:rsidR="0033145C" w:rsidRPr="00ED0D1D" w:rsidRDefault="0033145C" w:rsidP="00632DC0">
      <w:pPr>
        <w:pStyle w:val="ListBullet"/>
        <w:tabs>
          <w:tab w:val="clear" w:pos="360"/>
          <w:tab w:val="num" w:pos="720"/>
        </w:tabs>
        <w:ind w:left="720"/>
      </w:pPr>
      <w:r>
        <w:t>Fast-turnaround and precision diagnostics to guide their rational use may be required.</w:t>
      </w:r>
    </w:p>
    <w:p w14:paraId="01F163E5" w14:textId="70996ADF" w:rsidR="00963C65" w:rsidRDefault="00963C65" w:rsidP="00606AAC">
      <w:pPr>
        <w:pStyle w:val="Heading2"/>
      </w:pPr>
      <w:bookmarkStart w:id="169" w:name="_Toc158900433"/>
      <w:r>
        <w:t>Microbiome-based therapies</w:t>
      </w:r>
      <w:bookmarkStart w:id="170" w:name="_Toc128663725"/>
      <w:bookmarkEnd w:id="169"/>
      <w:bookmarkEnd w:id="170"/>
    </w:p>
    <w:p w14:paraId="492539B8" w14:textId="333E7950" w:rsidR="00435321" w:rsidRDefault="00477FE5" w:rsidP="00963C65">
      <w:r>
        <w:t>Microorganisms</w:t>
      </w:r>
      <w:r w:rsidR="00963C65" w:rsidRPr="00AC34CB">
        <w:t xml:space="preserve"> coloni</w:t>
      </w:r>
      <w:r w:rsidR="00AC1B1D">
        <w:t>s</w:t>
      </w:r>
      <w:r w:rsidR="00963C65" w:rsidRPr="00AC34CB">
        <w:t>ing humans (the microbiota)</w:t>
      </w:r>
      <w:r>
        <w:t xml:space="preserve"> </w:t>
      </w:r>
      <w:r w:rsidR="00963C65" w:rsidRPr="00AC34CB">
        <w:t>impact every organ system and influence disease resistance and susceptibility.</w:t>
      </w:r>
      <w:bookmarkStart w:id="171" w:name="_Ref125549080"/>
      <w:r w:rsidR="00963C65">
        <w:rPr>
          <w:rStyle w:val="FootnoteReference"/>
        </w:rPr>
        <w:footnoteReference w:id="52"/>
      </w:r>
      <w:bookmarkEnd w:id="171"/>
      <w:r w:rsidR="00963C65" w:rsidRPr="00AC34CB">
        <w:t xml:space="preserve"> </w:t>
      </w:r>
      <w:r>
        <w:t xml:space="preserve">The collective genomes of microorganisms that live on humans is often referred to as a microbiome. </w:t>
      </w:r>
      <w:r w:rsidR="00963C65" w:rsidRPr="00AC34CB">
        <w:t xml:space="preserve">The </w:t>
      </w:r>
      <w:r>
        <w:t>microorganisms</w:t>
      </w:r>
      <w:r w:rsidR="00963C65" w:rsidRPr="00AC34CB">
        <w:t xml:space="preserve"> that inhabit the intestines of humans vary in composition and are impacted by diet and exposure to antibiotics</w:t>
      </w:r>
      <w:r w:rsidR="00963C65">
        <w:t>.</w:t>
      </w:r>
      <w:r w:rsidR="00963C65" w:rsidRPr="00F93BA3">
        <w:rPr>
          <w:vertAlign w:val="superscript"/>
        </w:rPr>
        <w:fldChar w:fldCharType="begin"/>
      </w:r>
      <w:r w:rsidR="00963C65" w:rsidRPr="00F93BA3">
        <w:rPr>
          <w:vertAlign w:val="superscript"/>
        </w:rPr>
        <w:instrText xml:space="preserve"> NOTEREF _Ref125549080 \h </w:instrText>
      </w:r>
      <w:r w:rsidR="00963C65">
        <w:rPr>
          <w:vertAlign w:val="superscript"/>
        </w:rPr>
        <w:instrText xml:space="preserve"> \* MERGEFORMAT </w:instrText>
      </w:r>
      <w:r w:rsidR="00963C65" w:rsidRPr="00F93BA3">
        <w:rPr>
          <w:vertAlign w:val="superscript"/>
        </w:rPr>
      </w:r>
      <w:r w:rsidR="00963C65" w:rsidRPr="00F93BA3">
        <w:rPr>
          <w:vertAlign w:val="superscript"/>
        </w:rPr>
        <w:fldChar w:fldCharType="separate"/>
      </w:r>
      <w:r w:rsidR="00395B47">
        <w:rPr>
          <w:vertAlign w:val="superscript"/>
        </w:rPr>
        <w:t>51</w:t>
      </w:r>
      <w:r w:rsidR="00963C65" w:rsidRPr="00F93BA3">
        <w:rPr>
          <w:vertAlign w:val="superscript"/>
        </w:rPr>
        <w:fldChar w:fldCharType="end"/>
      </w:r>
      <w:r w:rsidR="00963C65">
        <w:t xml:space="preserve"> </w:t>
      </w:r>
      <w:r w:rsidR="00963C65" w:rsidRPr="00AC34CB">
        <w:t xml:space="preserve">The discovery of associations between </w:t>
      </w:r>
      <w:r>
        <w:t>composition of microorganisms inhabiting intestines</w:t>
      </w:r>
      <w:r w:rsidR="00963C65" w:rsidRPr="00AC34CB">
        <w:t xml:space="preserve"> and disease susceptibility and growing understanding of the mechanisms by which symbiotic microorganisms and their metabolites impact human health </w:t>
      </w:r>
      <w:r w:rsidR="00461EE2">
        <w:t>have led to the</w:t>
      </w:r>
      <w:r w:rsidR="00963C65" w:rsidRPr="00AC34CB">
        <w:t xml:space="preserve"> development </w:t>
      </w:r>
      <w:r w:rsidR="00435321">
        <w:t>a number of therapies that seek to alter</w:t>
      </w:r>
      <w:r>
        <w:t xml:space="preserve"> the composition of microorganisms in the gut</w:t>
      </w:r>
      <w:r w:rsidR="003D3440">
        <w:t>.</w:t>
      </w:r>
      <w:r w:rsidR="002B18C1" w:rsidRPr="002B18C1">
        <w:rPr>
          <w:vertAlign w:val="superscript"/>
        </w:rPr>
        <w:t xml:space="preserve"> </w:t>
      </w:r>
      <w:r w:rsidR="002B18C1" w:rsidRPr="00F93BA3">
        <w:rPr>
          <w:vertAlign w:val="superscript"/>
        </w:rPr>
        <w:fldChar w:fldCharType="begin"/>
      </w:r>
      <w:r w:rsidR="002B18C1" w:rsidRPr="00F93BA3">
        <w:rPr>
          <w:vertAlign w:val="superscript"/>
        </w:rPr>
        <w:instrText xml:space="preserve"> NOTEREF _Ref125549080 \h </w:instrText>
      </w:r>
      <w:r w:rsidR="002B18C1">
        <w:rPr>
          <w:vertAlign w:val="superscript"/>
        </w:rPr>
        <w:instrText xml:space="preserve"> \* MERGEFORMAT </w:instrText>
      </w:r>
      <w:r w:rsidR="002B18C1" w:rsidRPr="00F93BA3">
        <w:rPr>
          <w:vertAlign w:val="superscript"/>
        </w:rPr>
      </w:r>
      <w:r w:rsidR="002B18C1" w:rsidRPr="00F93BA3">
        <w:rPr>
          <w:vertAlign w:val="superscript"/>
        </w:rPr>
        <w:fldChar w:fldCharType="separate"/>
      </w:r>
      <w:r w:rsidR="00395B47">
        <w:rPr>
          <w:vertAlign w:val="superscript"/>
        </w:rPr>
        <w:t>51</w:t>
      </w:r>
      <w:r w:rsidR="002B18C1" w:rsidRPr="00F93BA3">
        <w:rPr>
          <w:vertAlign w:val="superscript"/>
        </w:rPr>
        <w:fldChar w:fldCharType="end"/>
      </w:r>
      <w:r w:rsidR="002B18C1" w:rsidRPr="00AC34CB">
        <w:t xml:space="preserve"> </w:t>
      </w:r>
      <w:r w:rsidR="00435321">
        <w:t xml:space="preserve">There are currently five categories of microbiome therapy: </w:t>
      </w:r>
    </w:p>
    <w:p w14:paraId="4952879D" w14:textId="1C17A035" w:rsidR="00A62428" w:rsidRPr="00A53162" w:rsidRDefault="00435321" w:rsidP="00632DC0">
      <w:pPr>
        <w:pStyle w:val="ListNumber"/>
        <w:numPr>
          <w:ilvl w:val="0"/>
          <w:numId w:val="55"/>
        </w:numPr>
        <w:tabs>
          <w:tab w:val="clear" w:pos="360"/>
          <w:tab w:val="num" w:pos="720"/>
        </w:tabs>
        <w:ind w:left="720"/>
        <w:rPr>
          <w:b/>
          <w:bCs/>
        </w:rPr>
      </w:pPr>
      <w:r w:rsidRPr="00A53162">
        <w:rPr>
          <w:b/>
          <w:bCs/>
        </w:rPr>
        <w:t xml:space="preserve">Faecal microbiota transplantation: </w:t>
      </w:r>
      <w:r>
        <w:t>Involves the transfer of faece</w:t>
      </w:r>
      <w:r w:rsidR="00A62428">
        <w:t>s or complex communities of microbiota developed in vitro</w:t>
      </w:r>
      <w:r>
        <w:t xml:space="preserve"> </w:t>
      </w:r>
      <w:r w:rsidR="00A62428">
        <w:t xml:space="preserve">into the </w:t>
      </w:r>
      <w:r w:rsidR="00E21738">
        <w:t>bowel</w:t>
      </w:r>
      <w:r w:rsidR="00A62428">
        <w:t xml:space="preserve"> of patients. </w:t>
      </w:r>
    </w:p>
    <w:p w14:paraId="596710AB" w14:textId="77777777" w:rsidR="00A62428" w:rsidRPr="00A62428" w:rsidRDefault="00A62428" w:rsidP="00632DC0">
      <w:pPr>
        <w:pStyle w:val="ListNumber"/>
        <w:tabs>
          <w:tab w:val="clear" w:pos="360"/>
          <w:tab w:val="num" w:pos="720"/>
        </w:tabs>
        <w:ind w:left="720"/>
        <w:rPr>
          <w:b/>
          <w:bCs/>
        </w:rPr>
      </w:pPr>
      <w:r>
        <w:rPr>
          <w:b/>
          <w:bCs/>
        </w:rPr>
        <w:t>Diet and prebiotics</w:t>
      </w:r>
      <w:r>
        <w:t>: Involves supplementation of microbiota-targeted substrates to promote a compositional change to microbiota</w:t>
      </w:r>
    </w:p>
    <w:p w14:paraId="1BE9D118" w14:textId="77777777" w:rsidR="00A62428" w:rsidRPr="00A62428" w:rsidRDefault="00A62428" w:rsidP="00632DC0">
      <w:pPr>
        <w:pStyle w:val="ListNumber"/>
        <w:tabs>
          <w:tab w:val="clear" w:pos="360"/>
          <w:tab w:val="num" w:pos="720"/>
        </w:tabs>
        <w:ind w:left="720"/>
        <w:rPr>
          <w:b/>
          <w:bCs/>
        </w:rPr>
      </w:pPr>
      <w:r>
        <w:rPr>
          <w:b/>
          <w:bCs/>
        </w:rPr>
        <w:t xml:space="preserve">Symbiotic microbial consortia: </w:t>
      </w:r>
      <w:r>
        <w:t xml:space="preserve">Involves transfer of a group of isolates selected and designed to promote microbiota functions. </w:t>
      </w:r>
    </w:p>
    <w:p w14:paraId="04E13F04" w14:textId="11EB9708" w:rsidR="00AC1B1D" w:rsidRPr="00A62428" w:rsidRDefault="00A62428" w:rsidP="00632DC0">
      <w:pPr>
        <w:pStyle w:val="ListNumber"/>
        <w:tabs>
          <w:tab w:val="clear" w:pos="360"/>
          <w:tab w:val="num" w:pos="720"/>
        </w:tabs>
        <w:ind w:left="720"/>
        <w:rPr>
          <w:b/>
          <w:bCs/>
        </w:rPr>
      </w:pPr>
      <w:r>
        <w:rPr>
          <w:b/>
          <w:bCs/>
        </w:rPr>
        <w:t xml:space="preserve">Engineered symbiotic bacteria: </w:t>
      </w:r>
      <w:r>
        <w:t xml:space="preserve">Transfer of bacteria that colonise a targeted site and are engineered to have a desired function or deliver a desired product or metabolite. </w:t>
      </w:r>
    </w:p>
    <w:p w14:paraId="160DC668" w14:textId="41C357F9" w:rsidR="00A62428" w:rsidRPr="00435321" w:rsidRDefault="00A62428" w:rsidP="00632DC0">
      <w:pPr>
        <w:pStyle w:val="ListNumber"/>
        <w:tabs>
          <w:tab w:val="clear" w:pos="360"/>
          <w:tab w:val="num" w:pos="720"/>
        </w:tabs>
        <w:ind w:left="720"/>
        <w:rPr>
          <w:b/>
          <w:bCs/>
        </w:rPr>
      </w:pPr>
      <w:r>
        <w:rPr>
          <w:b/>
          <w:bCs/>
        </w:rPr>
        <w:t>Microbiota-derived proteins and metabolites</w:t>
      </w:r>
      <w:r>
        <w:t>: Direct supplementation with proteins and metabolites.</w:t>
      </w:r>
      <w:r w:rsidR="00477FE5" w:rsidRPr="00F93BA3">
        <w:rPr>
          <w:vertAlign w:val="superscript"/>
        </w:rPr>
        <w:fldChar w:fldCharType="begin"/>
      </w:r>
      <w:r w:rsidR="00477FE5" w:rsidRPr="00F93BA3">
        <w:rPr>
          <w:vertAlign w:val="superscript"/>
        </w:rPr>
        <w:instrText xml:space="preserve"> NOTEREF _Ref125549080 \h </w:instrText>
      </w:r>
      <w:r w:rsidR="00477FE5">
        <w:rPr>
          <w:vertAlign w:val="superscript"/>
        </w:rPr>
        <w:instrText xml:space="preserve"> \* MERGEFORMAT </w:instrText>
      </w:r>
      <w:r w:rsidR="00477FE5" w:rsidRPr="00F93BA3">
        <w:rPr>
          <w:vertAlign w:val="superscript"/>
        </w:rPr>
      </w:r>
      <w:r w:rsidR="00477FE5" w:rsidRPr="00F93BA3">
        <w:rPr>
          <w:vertAlign w:val="superscript"/>
        </w:rPr>
        <w:fldChar w:fldCharType="separate"/>
      </w:r>
      <w:r w:rsidR="00395B47">
        <w:rPr>
          <w:vertAlign w:val="superscript"/>
        </w:rPr>
        <w:t>51</w:t>
      </w:r>
      <w:r w:rsidR="00477FE5" w:rsidRPr="00F93BA3">
        <w:rPr>
          <w:vertAlign w:val="superscript"/>
        </w:rPr>
        <w:fldChar w:fldCharType="end"/>
      </w:r>
      <w:r>
        <w:t xml:space="preserve"> </w:t>
      </w:r>
    </w:p>
    <w:p w14:paraId="2EF01A65" w14:textId="77777777" w:rsidR="00724E3E" w:rsidRDefault="00724E3E" w:rsidP="00632DC0">
      <w:pPr>
        <w:pStyle w:val="Heading3"/>
        <w:ind w:left="709"/>
      </w:pPr>
      <w:bookmarkStart w:id="172" w:name="_Toc128726209"/>
      <w:r>
        <w:t>Development, market approval and Australian funding status</w:t>
      </w:r>
      <w:bookmarkEnd w:id="172"/>
    </w:p>
    <w:p w14:paraId="5C8C5381" w14:textId="18A07A96" w:rsidR="00D76E27" w:rsidRDefault="00477FE5" w:rsidP="00DC6D28">
      <w:pPr>
        <w:rPr>
          <w:color w:val="000000" w:themeColor="text1"/>
        </w:rPr>
      </w:pPr>
      <w:r>
        <w:rPr>
          <w:rFonts w:cstheme="minorHAnsi"/>
        </w:rPr>
        <w:t xml:space="preserve">This analysis identified three </w:t>
      </w:r>
      <w:r w:rsidR="00436418">
        <w:rPr>
          <w:rFonts w:cstheme="minorHAnsi"/>
        </w:rPr>
        <w:t>microbiome-based</w:t>
      </w:r>
      <w:r>
        <w:rPr>
          <w:rFonts w:cstheme="minorHAnsi"/>
        </w:rPr>
        <w:t xml:space="preserve"> therapies that have market authorisation across Europe, the United States and Australia. </w:t>
      </w:r>
      <w:r w:rsidR="007A642D">
        <w:rPr>
          <w:rFonts w:cstheme="minorHAnsi"/>
        </w:rPr>
        <w:t>Currently, there</w:t>
      </w:r>
      <w:r w:rsidR="00006B3B">
        <w:rPr>
          <w:rFonts w:cstheme="minorHAnsi"/>
        </w:rPr>
        <w:t xml:space="preserve"> are no </w:t>
      </w:r>
      <w:r w:rsidR="006E4E41">
        <w:rPr>
          <w:rFonts w:cstheme="minorHAnsi"/>
        </w:rPr>
        <w:t>microbiome-based therapies</w:t>
      </w:r>
      <w:r w:rsidR="00006B3B">
        <w:rPr>
          <w:rFonts w:cstheme="minorHAnsi"/>
        </w:rPr>
        <w:t xml:space="preserve"> subsidi</w:t>
      </w:r>
      <w:r w:rsidR="0075630B">
        <w:rPr>
          <w:rFonts w:cstheme="minorHAnsi"/>
        </w:rPr>
        <w:t>sed</w:t>
      </w:r>
      <w:r w:rsidR="00006B3B">
        <w:rPr>
          <w:rFonts w:cstheme="minorHAnsi"/>
        </w:rPr>
        <w:t xml:space="preserve"> in Australia</w:t>
      </w:r>
      <w:r w:rsidR="0075630B">
        <w:rPr>
          <w:rFonts w:cstheme="minorHAnsi"/>
        </w:rPr>
        <w:t xml:space="preserve">. </w:t>
      </w:r>
      <w:r w:rsidR="0075630B">
        <w:rPr>
          <w:rFonts w:cstheme="minorHAnsi"/>
          <w:color w:val="282828"/>
          <w:spacing w:val="3"/>
          <w:shd w:val="clear" w:color="auto" w:fill="FFFFFF"/>
        </w:rPr>
        <w:t xml:space="preserve">Australia was the first country in the world to provide </w:t>
      </w:r>
      <w:r w:rsidR="0075630B" w:rsidRPr="00604F3D">
        <w:rPr>
          <w:rFonts w:cstheme="minorHAnsi"/>
        </w:rPr>
        <w:t>regulatory approval for a donor-derived microbiome drug product.</w:t>
      </w:r>
      <w:r w:rsidR="00DC6D28" w:rsidRPr="00DC6D28">
        <w:rPr>
          <w:color w:val="000000" w:themeColor="text1"/>
        </w:rPr>
        <w:t xml:space="preserve"> </w:t>
      </w:r>
    </w:p>
    <w:p w14:paraId="26FFE73A" w14:textId="6291B578" w:rsidR="001113D1" w:rsidRPr="00330FBE" w:rsidRDefault="001113D1" w:rsidP="00330FBE">
      <w:pPr>
        <w:rPr>
          <w:b/>
          <w:bCs/>
          <w:color w:val="002060"/>
        </w:rPr>
      </w:pPr>
      <w:bookmarkStart w:id="173" w:name="_Ref129089179"/>
      <w:r w:rsidRPr="00330FBE">
        <w:rPr>
          <w:b/>
          <w:bCs/>
          <w:color w:val="002060"/>
        </w:rPr>
        <w:t xml:space="preserve">Table </w:t>
      </w:r>
      <w:bookmarkEnd w:id="173"/>
      <w:r w:rsidR="00B32A45" w:rsidRPr="00330FBE">
        <w:rPr>
          <w:b/>
          <w:bCs/>
          <w:color w:val="002060"/>
        </w:rPr>
        <w:t>9</w:t>
      </w:r>
      <w:r w:rsidRPr="00330FBE">
        <w:rPr>
          <w:b/>
          <w:bCs/>
          <w:color w:val="002060"/>
        </w:rPr>
        <w:t xml:space="preserve"> Faecal microbiota transplant </w:t>
      </w:r>
      <w:r w:rsidR="00E243D5" w:rsidRPr="00330FBE">
        <w:rPr>
          <w:b/>
          <w:bCs/>
          <w:color w:val="002060"/>
        </w:rPr>
        <w:t>products</w:t>
      </w:r>
    </w:p>
    <w:tbl>
      <w:tblPr>
        <w:tblStyle w:val="DepartmentofHealthtable"/>
        <w:tblW w:w="9250" w:type="dxa"/>
        <w:tblLook w:val="04A0" w:firstRow="1" w:lastRow="0" w:firstColumn="1" w:lastColumn="0" w:noHBand="0" w:noVBand="1"/>
      </w:tblPr>
      <w:tblGrid>
        <w:gridCol w:w="1718"/>
        <w:gridCol w:w="2338"/>
        <w:gridCol w:w="1117"/>
        <w:gridCol w:w="1474"/>
        <w:gridCol w:w="1408"/>
        <w:gridCol w:w="1195"/>
      </w:tblGrid>
      <w:tr w:rsidR="001113D1" w:rsidRPr="00CF0765" w14:paraId="767216E6" w14:textId="77777777" w:rsidTr="004C69EF">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18" w:type="dxa"/>
          </w:tcPr>
          <w:p w14:paraId="42567370" w14:textId="77777777" w:rsidR="001113D1" w:rsidRPr="00AE09D0" w:rsidRDefault="001113D1" w:rsidP="006055E0">
            <w:pPr>
              <w:keepNext/>
              <w:keepLines/>
              <w:spacing w:before="0"/>
              <w:rPr>
                <w:rFonts w:asciiTheme="minorHAnsi" w:hAnsiTheme="minorHAnsi" w:cstheme="minorHAnsi"/>
                <w:b/>
                <w:sz w:val="20"/>
              </w:rPr>
            </w:pPr>
            <w:r w:rsidRPr="00AE09D0">
              <w:rPr>
                <w:rFonts w:asciiTheme="minorHAnsi" w:hAnsiTheme="minorHAnsi" w:cstheme="minorHAnsi"/>
                <w:b/>
                <w:sz w:val="20"/>
              </w:rPr>
              <w:t>Therapy</w:t>
            </w:r>
          </w:p>
        </w:tc>
        <w:tc>
          <w:tcPr>
            <w:tcW w:w="2338" w:type="dxa"/>
          </w:tcPr>
          <w:p w14:paraId="09976196" w14:textId="77777777" w:rsidR="001113D1" w:rsidRPr="00AE09D0" w:rsidRDefault="001113D1" w:rsidP="006055E0">
            <w:pPr>
              <w:keepNext/>
              <w:keepLines/>
              <w:spacing w:before="0"/>
              <w:ind w:right="-29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AE09D0">
              <w:rPr>
                <w:rFonts w:asciiTheme="minorHAnsi" w:hAnsiTheme="minorHAnsi" w:cstheme="minorHAnsi"/>
                <w:b/>
                <w:bCs/>
                <w:sz w:val="20"/>
              </w:rPr>
              <w:t>Indication</w:t>
            </w:r>
          </w:p>
        </w:tc>
        <w:tc>
          <w:tcPr>
            <w:tcW w:w="1117" w:type="dxa"/>
          </w:tcPr>
          <w:p w14:paraId="0F877F6D" w14:textId="77777777" w:rsidR="001113D1" w:rsidRPr="00AE09D0" w:rsidRDefault="001113D1" w:rsidP="00172FA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EMA</w:t>
            </w:r>
          </w:p>
        </w:tc>
        <w:tc>
          <w:tcPr>
            <w:tcW w:w="1474" w:type="dxa"/>
          </w:tcPr>
          <w:p w14:paraId="5C303A75" w14:textId="77777777" w:rsidR="001113D1" w:rsidRPr="00AE09D0" w:rsidRDefault="001113D1" w:rsidP="00172FA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FDA</w:t>
            </w:r>
          </w:p>
        </w:tc>
        <w:tc>
          <w:tcPr>
            <w:tcW w:w="1408" w:type="dxa"/>
          </w:tcPr>
          <w:p w14:paraId="413F8DBE" w14:textId="77777777" w:rsidR="001113D1" w:rsidRPr="00AE09D0" w:rsidRDefault="001113D1" w:rsidP="00172FA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TGA</w:t>
            </w:r>
          </w:p>
        </w:tc>
        <w:tc>
          <w:tcPr>
            <w:tcW w:w="1195" w:type="dxa"/>
          </w:tcPr>
          <w:p w14:paraId="3E2D99CD" w14:textId="02501A89" w:rsidR="001113D1" w:rsidRPr="00AE09D0" w:rsidRDefault="001113D1" w:rsidP="00172FA6">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AE09D0">
              <w:rPr>
                <w:rFonts w:asciiTheme="minorHAnsi" w:hAnsiTheme="minorHAnsi" w:cstheme="minorHAnsi"/>
                <w:b/>
                <w:bCs/>
                <w:sz w:val="20"/>
              </w:rPr>
              <w:t>Australian Subsidy</w:t>
            </w:r>
          </w:p>
        </w:tc>
      </w:tr>
      <w:tr w:rsidR="001113D1" w:rsidRPr="00CF0765" w14:paraId="556C6BCA" w14:textId="77777777" w:rsidTr="004C69E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18" w:type="dxa"/>
          </w:tcPr>
          <w:p w14:paraId="11E5760F" w14:textId="5C405087" w:rsidR="001113D1" w:rsidRPr="00AE09D0" w:rsidRDefault="001113D1" w:rsidP="006055E0">
            <w:pPr>
              <w:keepNext/>
              <w:keepLines/>
              <w:spacing w:before="0"/>
              <w:rPr>
                <w:rFonts w:cstheme="minorHAnsi"/>
              </w:rPr>
            </w:pPr>
            <w:r w:rsidRPr="00AE09D0">
              <w:rPr>
                <w:rFonts w:cstheme="minorHAnsi"/>
              </w:rPr>
              <w:t>Biomictra</w:t>
            </w:r>
            <w:r w:rsidR="00FE37D8" w:rsidRPr="00AE09D0">
              <w:rPr>
                <w:rFonts w:cstheme="minorHAnsi"/>
              </w:rPr>
              <w:t>®</w:t>
            </w:r>
          </w:p>
        </w:tc>
        <w:tc>
          <w:tcPr>
            <w:tcW w:w="2338" w:type="dxa"/>
          </w:tcPr>
          <w:p w14:paraId="2AEEE4B5" w14:textId="5F42CC7F" w:rsidR="001113D1" w:rsidRPr="00AE09D0" w:rsidRDefault="0075630B" w:rsidP="006055E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Restoration of gut microbiota in the treatment of recurrent CDI</w:t>
            </w:r>
          </w:p>
        </w:tc>
        <w:tc>
          <w:tcPr>
            <w:tcW w:w="1117" w:type="dxa"/>
          </w:tcPr>
          <w:p w14:paraId="29C8C3A1" w14:textId="6CFD9786" w:rsidR="001113D1" w:rsidRPr="00AE09D0" w:rsidRDefault="00F237C6"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1474" w:type="dxa"/>
          </w:tcPr>
          <w:p w14:paraId="1605C318" w14:textId="5363CD0C" w:rsidR="001113D1" w:rsidRPr="00AE09D0" w:rsidRDefault="00364AAE"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1408" w:type="dxa"/>
          </w:tcPr>
          <w:p w14:paraId="761A2DC2" w14:textId="4DCDD1C7" w:rsidR="001113D1" w:rsidRPr="00AE09D0" w:rsidRDefault="002072C3"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195" w:type="dxa"/>
          </w:tcPr>
          <w:p w14:paraId="73744373" w14:textId="77777777" w:rsidR="001113D1" w:rsidRDefault="004B0F50"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655A5499" w14:textId="67B0C455" w:rsidR="0031178E" w:rsidRPr="00AE09D0" w:rsidRDefault="00417065"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31178E">
              <w:rPr>
                <w:rFonts w:cstheme="minorHAnsi"/>
              </w:rPr>
              <w:t>No submission</w:t>
            </w:r>
            <w:r>
              <w:rPr>
                <w:rFonts w:cstheme="minorHAnsi"/>
              </w:rPr>
              <w:t>)</w:t>
            </w:r>
          </w:p>
        </w:tc>
      </w:tr>
      <w:tr w:rsidR="001113D1" w:rsidRPr="00CF0765" w14:paraId="738C800B" w14:textId="77777777" w:rsidTr="004C69EF">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18" w:type="dxa"/>
          </w:tcPr>
          <w:p w14:paraId="3B70080A" w14:textId="77777777" w:rsidR="001113D1" w:rsidRPr="00AE09D0" w:rsidRDefault="001113D1" w:rsidP="006055E0">
            <w:pPr>
              <w:keepNext/>
              <w:keepLines/>
              <w:spacing w:before="0"/>
              <w:rPr>
                <w:rFonts w:cstheme="minorHAnsi"/>
              </w:rPr>
            </w:pPr>
            <w:r w:rsidRPr="00AE09D0">
              <w:rPr>
                <w:rFonts w:cstheme="minorHAnsi"/>
              </w:rPr>
              <w:t>Rebyota®</w:t>
            </w:r>
          </w:p>
        </w:tc>
        <w:tc>
          <w:tcPr>
            <w:tcW w:w="2338" w:type="dxa"/>
          </w:tcPr>
          <w:p w14:paraId="53F13170" w14:textId="4A97165B" w:rsidR="001113D1" w:rsidRPr="00AE09D0" w:rsidRDefault="0075630B" w:rsidP="006055E0">
            <w:pPr>
              <w:keepNext/>
              <w:keepLines/>
              <w:spacing w:before="0"/>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Prevention of recurrence of CDI in individuals 18 years of age and older</w:t>
            </w:r>
          </w:p>
        </w:tc>
        <w:tc>
          <w:tcPr>
            <w:tcW w:w="1117" w:type="dxa"/>
          </w:tcPr>
          <w:p w14:paraId="67026C4D" w14:textId="1A1B4142" w:rsidR="001113D1" w:rsidRPr="00AE09D0" w:rsidRDefault="00F237C6" w:rsidP="00172FA6">
            <w:pPr>
              <w:keepNext/>
              <w:keepLines/>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1474" w:type="dxa"/>
          </w:tcPr>
          <w:p w14:paraId="6301C546" w14:textId="0B9F33FB" w:rsidR="001113D1" w:rsidRPr="00AE09D0" w:rsidRDefault="00AC75CD" w:rsidP="00172FA6">
            <w:pPr>
              <w:keepNext/>
              <w:keepLines/>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1408" w:type="dxa"/>
          </w:tcPr>
          <w:p w14:paraId="55F9FF92" w14:textId="32C29990" w:rsidR="001113D1" w:rsidRPr="00AE09D0" w:rsidRDefault="00F237C6" w:rsidP="00172FA6">
            <w:pPr>
              <w:keepNext/>
              <w:keepLines/>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N</w:t>
            </w:r>
          </w:p>
        </w:tc>
        <w:tc>
          <w:tcPr>
            <w:tcW w:w="1195" w:type="dxa"/>
          </w:tcPr>
          <w:p w14:paraId="1573AA22" w14:textId="77777777" w:rsidR="001113D1" w:rsidRDefault="009D3916" w:rsidP="00172FA6">
            <w:pPr>
              <w:keepNext/>
              <w:keepLines/>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72CE6884" w14:textId="6874ACA6" w:rsidR="0031178E" w:rsidRPr="00AE09D0" w:rsidRDefault="00417065" w:rsidP="00172FA6">
            <w:pPr>
              <w:keepNext/>
              <w:keepLines/>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31178E">
              <w:rPr>
                <w:rFonts w:cstheme="minorHAnsi"/>
              </w:rPr>
              <w:t>Not registered</w:t>
            </w:r>
            <w:r>
              <w:rPr>
                <w:rFonts w:cstheme="minorHAnsi"/>
              </w:rPr>
              <w:t>)</w:t>
            </w:r>
          </w:p>
        </w:tc>
      </w:tr>
      <w:tr w:rsidR="001113D1" w:rsidRPr="00CF0765" w14:paraId="75D1387E" w14:textId="77777777" w:rsidTr="004C69E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18" w:type="dxa"/>
          </w:tcPr>
          <w:p w14:paraId="70191C01" w14:textId="2A5E2257" w:rsidR="001113D1" w:rsidRPr="00AE09D0" w:rsidRDefault="001113D1" w:rsidP="006055E0">
            <w:pPr>
              <w:keepNext/>
              <w:keepLines/>
              <w:spacing w:before="0"/>
              <w:rPr>
                <w:rFonts w:cstheme="minorHAnsi"/>
              </w:rPr>
            </w:pPr>
            <w:r w:rsidRPr="00AE09D0">
              <w:rPr>
                <w:rFonts w:cstheme="minorHAnsi"/>
              </w:rPr>
              <w:t>SER-109</w:t>
            </w:r>
            <w:r w:rsidR="008E2F90" w:rsidRPr="00AE09D0">
              <w:rPr>
                <w:rFonts w:cstheme="minorHAnsi"/>
              </w:rPr>
              <w:t>®</w:t>
            </w:r>
          </w:p>
        </w:tc>
        <w:tc>
          <w:tcPr>
            <w:tcW w:w="2338" w:type="dxa"/>
          </w:tcPr>
          <w:p w14:paraId="0E5455DE" w14:textId="77777777" w:rsidR="001113D1" w:rsidRPr="00AE09D0" w:rsidRDefault="001113D1" w:rsidP="006055E0">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xml:space="preserve">Treatment of </w:t>
            </w:r>
            <w:r w:rsidRPr="000C4E3D">
              <w:rPr>
                <w:rFonts w:cstheme="minorHAnsi"/>
                <w:i/>
                <w:iCs/>
              </w:rPr>
              <w:t>Clostridioides</w:t>
            </w:r>
            <w:r w:rsidRPr="00AE09D0">
              <w:rPr>
                <w:rFonts w:cstheme="minorHAnsi"/>
                <w:i/>
                <w:iCs/>
              </w:rPr>
              <w:t xml:space="preserve"> difficile </w:t>
            </w:r>
            <w:r w:rsidRPr="00AE09D0">
              <w:rPr>
                <w:rFonts w:cstheme="minorHAnsi"/>
              </w:rPr>
              <w:t>infection</w:t>
            </w:r>
          </w:p>
        </w:tc>
        <w:tc>
          <w:tcPr>
            <w:tcW w:w="1117" w:type="dxa"/>
          </w:tcPr>
          <w:p w14:paraId="546ED0BB" w14:textId="4D909726" w:rsidR="001113D1" w:rsidRPr="00AE09D0" w:rsidRDefault="00D2304A"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1474" w:type="dxa"/>
          </w:tcPr>
          <w:p w14:paraId="3A4A80C8" w14:textId="40ED4283" w:rsidR="001113D1" w:rsidRPr="00AE09D0" w:rsidRDefault="002072C3"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408" w:type="dxa"/>
          </w:tcPr>
          <w:p w14:paraId="573B533E" w14:textId="48B96339" w:rsidR="001113D1" w:rsidRPr="00AE09D0" w:rsidRDefault="00F237C6"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N</w:t>
            </w:r>
          </w:p>
        </w:tc>
        <w:tc>
          <w:tcPr>
            <w:tcW w:w="1195" w:type="dxa"/>
          </w:tcPr>
          <w:p w14:paraId="6D2DE7AB" w14:textId="77777777" w:rsidR="001113D1" w:rsidRDefault="009D3916"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19F56285" w14:textId="0B3306A4" w:rsidR="0031178E" w:rsidRPr="00AE09D0" w:rsidRDefault="00417065" w:rsidP="00172FA6">
            <w:pPr>
              <w:keepNext/>
              <w:keepLines/>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31178E">
              <w:rPr>
                <w:rFonts w:cstheme="minorHAnsi"/>
              </w:rPr>
              <w:t>Not registered</w:t>
            </w:r>
            <w:r>
              <w:rPr>
                <w:rFonts w:cstheme="minorHAnsi"/>
              </w:rPr>
              <w:t>)</w:t>
            </w:r>
          </w:p>
        </w:tc>
      </w:tr>
    </w:tbl>
    <w:p w14:paraId="1E93098F" w14:textId="77777777" w:rsidR="002072C3" w:rsidRPr="00AC07A7" w:rsidRDefault="002072C3" w:rsidP="00632DC0">
      <w:pPr>
        <w:pStyle w:val="Caption"/>
      </w:pPr>
      <w:r w:rsidRPr="00632DC0">
        <w:rPr>
          <w:color w:val="auto"/>
        </w:rPr>
        <w:t xml:space="preserve">Y= registered or funded. N = not registered or funded </w:t>
      </w:r>
    </w:p>
    <w:p w14:paraId="616FE1E9" w14:textId="07822A35" w:rsidR="00A62428" w:rsidRPr="00B70D2B" w:rsidRDefault="00E21738" w:rsidP="001113D1">
      <w:r w:rsidRPr="00AC34CB">
        <w:t>Faecal microbiota transplantation (FMT)</w:t>
      </w:r>
      <w:r>
        <w:t xml:space="preserve"> is currently being investigated for the treatment of </w:t>
      </w:r>
      <w:r w:rsidR="00436418">
        <w:t>several</w:t>
      </w:r>
      <w:r>
        <w:t xml:space="preserve"> different medical conditions, with one of the main uses being in the treatment of patients with recurrent </w:t>
      </w:r>
      <w:r w:rsidRPr="00632DC0">
        <w:rPr>
          <w:i/>
        </w:rPr>
        <w:t>Clostridioides difficile</w:t>
      </w:r>
      <w:r>
        <w:t xml:space="preserve"> infections (CDIs).</w:t>
      </w:r>
      <w:r>
        <w:rPr>
          <w:rStyle w:val="FootnoteReference"/>
        </w:rPr>
        <w:footnoteReference w:id="53"/>
      </w:r>
      <w:r>
        <w:t xml:space="preserve"> There is</w:t>
      </w:r>
      <w:r w:rsidRPr="00F329F7">
        <w:t xml:space="preserve"> also emerging evidence of efficacy for treatment of ulcerative colitis (UC), chronic relapsing-remitting mucosal inflammatory bowel disease (IBD</w:t>
      </w:r>
      <w:r w:rsidR="008A73DC" w:rsidRPr="00F329F7">
        <w:t>) and</w:t>
      </w:r>
      <w:r w:rsidRPr="00F329F7">
        <w:t xml:space="preserve"> increasing interest in the use of FMT products for a range of other conditions.</w:t>
      </w:r>
      <w:r w:rsidR="005E6C34">
        <w:rPr>
          <w:rStyle w:val="FootnoteReference"/>
        </w:rPr>
        <w:footnoteReference w:id="54"/>
      </w:r>
      <w:r w:rsidR="00F20959" w:rsidRPr="00B70D2B">
        <w:t xml:space="preserve"> </w:t>
      </w:r>
    </w:p>
    <w:p w14:paraId="6CCEF880" w14:textId="3026D1A8" w:rsidR="00963C65" w:rsidRPr="00330FBE" w:rsidRDefault="00963C65" w:rsidP="00330FBE">
      <w:pPr>
        <w:rPr>
          <w:b/>
          <w:bCs/>
          <w:color w:val="002060"/>
        </w:rPr>
      </w:pPr>
      <w:bookmarkStart w:id="174" w:name="_Ref127959238"/>
      <w:r w:rsidRPr="00330FBE">
        <w:rPr>
          <w:b/>
          <w:bCs/>
          <w:color w:val="002060"/>
        </w:rPr>
        <w:t xml:space="preserve">Table </w:t>
      </w:r>
      <w:bookmarkEnd w:id="174"/>
      <w:r w:rsidR="000C4E3D" w:rsidRPr="00330FBE">
        <w:rPr>
          <w:b/>
          <w:bCs/>
          <w:color w:val="002060"/>
        </w:rPr>
        <w:t>1</w:t>
      </w:r>
      <w:r w:rsidR="00B32A45" w:rsidRPr="00330FBE">
        <w:rPr>
          <w:b/>
          <w:bCs/>
          <w:color w:val="002060"/>
        </w:rPr>
        <w:t>0</w:t>
      </w:r>
      <w:r w:rsidRPr="00330FBE">
        <w:rPr>
          <w:b/>
          <w:bCs/>
          <w:color w:val="002060"/>
        </w:rPr>
        <w:t xml:space="preserve"> Examples of microbiome-based therap</w:t>
      </w:r>
      <w:r w:rsidR="006E4E41" w:rsidRPr="00330FBE">
        <w:rPr>
          <w:b/>
          <w:bCs/>
          <w:color w:val="002060"/>
        </w:rPr>
        <w:t>ies</w:t>
      </w:r>
      <w:r w:rsidRPr="00330FBE">
        <w:rPr>
          <w:b/>
          <w:bCs/>
          <w:color w:val="002060"/>
        </w:rPr>
        <w:t xml:space="preserve"> in development and clinical trials, as of 2022</w:t>
      </w:r>
    </w:p>
    <w:tbl>
      <w:tblPr>
        <w:tblStyle w:val="DepartmentofHealthtable"/>
        <w:tblW w:w="9214" w:type="dxa"/>
        <w:tblLook w:val="04A0" w:firstRow="1" w:lastRow="0" w:firstColumn="1" w:lastColumn="0" w:noHBand="0" w:noVBand="1"/>
      </w:tblPr>
      <w:tblGrid>
        <w:gridCol w:w="1838"/>
        <w:gridCol w:w="2126"/>
        <w:gridCol w:w="3691"/>
        <w:gridCol w:w="1559"/>
      </w:tblGrid>
      <w:tr w:rsidR="00963C65" w:rsidRPr="00655EF0" w14:paraId="2536574C" w14:textId="77777777" w:rsidTr="00AE09D0">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38" w:type="dxa"/>
            <w:hideMark/>
          </w:tcPr>
          <w:p w14:paraId="5B2039E3" w14:textId="77777777" w:rsidR="00963C65" w:rsidRPr="00AE09D0" w:rsidRDefault="00963C65" w:rsidP="006055E0">
            <w:pPr>
              <w:pStyle w:val="NormalWeb"/>
              <w:spacing w:before="0" w:beforeAutospacing="0" w:after="0" w:afterAutospacing="0"/>
              <w:rPr>
                <w:rFonts w:asciiTheme="minorHAnsi" w:hAnsiTheme="minorHAnsi" w:cstheme="minorHAnsi"/>
                <w:b/>
                <w:bCs/>
                <w:color w:val="FFFFFF" w:themeColor="background1"/>
                <w:sz w:val="20"/>
                <w:szCs w:val="20"/>
              </w:rPr>
            </w:pPr>
            <w:r w:rsidRPr="00AE09D0">
              <w:rPr>
                <w:rFonts w:asciiTheme="minorHAnsi" w:hAnsiTheme="minorHAnsi" w:cstheme="minorHAnsi"/>
                <w:b/>
                <w:bCs/>
                <w:color w:val="FFFFFF" w:themeColor="background1"/>
                <w:sz w:val="20"/>
                <w:szCs w:val="20"/>
              </w:rPr>
              <w:t>Type</w:t>
            </w:r>
          </w:p>
        </w:tc>
        <w:tc>
          <w:tcPr>
            <w:tcW w:w="2126" w:type="dxa"/>
            <w:hideMark/>
          </w:tcPr>
          <w:p w14:paraId="7E59AF2C" w14:textId="77777777" w:rsidR="00963C65" w:rsidRPr="00AE09D0" w:rsidRDefault="00963C65" w:rsidP="006055E0">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AE09D0">
              <w:rPr>
                <w:rFonts w:asciiTheme="minorHAnsi" w:hAnsiTheme="minorHAnsi" w:cstheme="minorHAnsi"/>
                <w:b/>
                <w:bCs/>
                <w:color w:val="FFFFFF" w:themeColor="background1"/>
                <w:sz w:val="20"/>
                <w:szCs w:val="20"/>
              </w:rPr>
              <w:t>Delivery</w:t>
            </w:r>
          </w:p>
        </w:tc>
        <w:tc>
          <w:tcPr>
            <w:tcW w:w="3691" w:type="dxa"/>
            <w:hideMark/>
          </w:tcPr>
          <w:p w14:paraId="51A238E6" w14:textId="77777777" w:rsidR="00963C65" w:rsidRPr="00AE09D0" w:rsidRDefault="00963C65" w:rsidP="00AE09D0">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AE09D0">
              <w:rPr>
                <w:rFonts w:asciiTheme="minorHAnsi" w:hAnsiTheme="minorHAnsi" w:cstheme="minorHAnsi"/>
                <w:b/>
                <w:bCs/>
                <w:color w:val="FFFFFF" w:themeColor="background1"/>
                <w:sz w:val="20"/>
                <w:szCs w:val="20"/>
              </w:rPr>
              <w:t>Product</w:t>
            </w:r>
          </w:p>
        </w:tc>
        <w:tc>
          <w:tcPr>
            <w:tcW w:w="1559" w:type="dxa"/>
            <w:hideMark/>
          </w:tcPr>
          <w:p w14:paraId="576DAA97" w14:textId="77777777" w:rsidR="00963C65" w:rsidRPr="00AE09D0" w:rsidRDefault="00963C65" w:rsidP="00AE09D0">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0"/>
                <w:szCs w:val="20"/>
              </w:rPr>
            </w:pPr>
            <w:r w:rsidRPr="00AE09D0">
              <w:rPr>
                <w:rFonts w:asciiTheme="minorHAnsi" w:hAnsiTheme="minorHAnsi" w:cstheme="minorHAnsi"/>
                <w:b/>
                <w:bCs/>
                <w:color w:val="FFFFFF" w:themeColor="background1"/>
                <w:sz w:val="20"/>
                <w:szCs w:val="20"/>
              </w:rPr>
              <w:t>Current phase</w:t>
            </w:r>
          </w:p>
        </w:tc>
      </w:tr>
      <w:tr w:rsidR="00963C65" w:rsidRPr="00AE09D0" w14:paraId="7DEFA594" w14:textId="77777777" w:rsidTr="00E2173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14:paraId="30BFBC6D" w14:textId="77777777" w:rsidR="00963C65" w:rsidRPr="00AE09D0" w:rsidRDefault="00963C65" w:rsidP="006055E0">
            <w:pPr>
              <w:pStyle w:val="NormalWeb"/>
              <w:spacing w:before="0" w:beforeAutospacing="0" w:after="0" w:afterAutospacing="0"/>
              <w:rPr>
                <w:rFonts w:asciiTheme="minorHAnsi" w:hAnsiTheme="minorHAnsi" w:cstheme="minorHAnsi"/>
                <w:color w:val="222222"/>
                <w:sz w:val="20"/>
                <w:szCs w:val="20"/>
              </w:rPr>
            </w:pPr>
            <w:r w:rsidRPr="00AE09D0">
              <w:rPr>
                <w:rFonts w:asciiTheme="minorHAnsi" w:hAnsiTheme="minorHAnsi" w:cstheme="minorHAnsi"/>
                <w:color w:val="222222"/>
                <w:sz w:val="20"/>
                <w:szCs w:val="20"/>
              </w:rPr>
              <w:t>Faecal microbiota transplantation or fractionated, partially undefined communities</w:t>
            </w:r>
          </w:p>
        </w:tc>
        <w:tc>
          <w:tcPr>
            <w:tcW w:w="2126" w:type="dxa"/>
            <w:hideMark/>
          </w:tcPr>
          <w:p w14:paraId="46AC75D1" w14:textId="77777777" w:rsidR="00963C65" w:rsidRPr="00AE09D0" w:rsidRDefault="00963C65" w:rsidP="006055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Enema</w:t>
            </w:r>
          </w:p>
        </w:tc>
        <w:tc>
          <w:tcPr>
            <w:tcW w:w="3691" w:type="dxa"/>
            <w:hideMark/>
          </w:tcPr>
          <w:p w14:paraId="6130B30F" w14:textId="77777777" w:rsidR="00963C65" w:rsidRPr="00AE09D0" w:rsidRDefault="00963C65" w:rsidP="00AE09D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Rebiotix RBX2660 for recurrent CDI</w:t>
            </w:r>
          </w:p>
        </w:tc>
        <w:tc>
          <w:tcPr>
            <w:tcW w:w="1559" w:type="dxa"/>
            <w:hideMark/>
          </w:tcPr>
          <w:p w14:paraId="24522203" w14:textId="77777777" w:rsidR="00963C65" w:rsidRPr="00AE09D0" w:rsidRDefault="00963C65" w:rsidP="00FF652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III</w:t>
            </w:r>
          </w:p>
        </w:tc>
      </w:tr>
      <w:tr w:rsidR="00963C65" w:rsidRPr="00AE09D0" w14:paraId="2DA9FCEB" w14:textId="77777777" w:rsidTr="00E21738">
        <w:trPr>
          <w:cnfStyle w:val="000000010000" w:firstRow="0" w:lastRow="0" w:firstColumn="0" w:lastColumn="0" w:oddVBand="0" w:evenVBand="0" w:oddHBand="0" w:evenHBand="1"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838" w:type="dxa"/>
            <w:vMerge/>
            <w:hideMark/>
          </w:tcPr>
          <w:p w14:paraId="6DB00C75" w14:textId="77777777" w:rsidR="00963C65" w:rsidRPr="00AE09D0" w:rsidRDefault="00963C65" w:rsidP="006055E0">
            <w:pPr>
              <w:spacing w:before="0"/>
              <w:rPr>
                <w:rFonts w:cstheme="minorHAnsi"/>
                <w:color w:val="222222"/>
              </w:rPr>
            </w:pPr>
          </w:p>
        </w:tc>
        <w:tc>
          <w:tcPr>
            <w:tcW w:w="2126" w:type="dxa"/>
            <w:hideMark/>
          </w:tcPr>
          <w:p w14:paraId="15DAE1B6" w14:textId="77777777" w:rsidR="00963C65" w:rsidRPr="00AE09D0" w:rsidRDefault="00963C65" w:rsidP="006055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Oral capsule</w:t>
            </w:r>
          </w:p>
        </w:tc>
        <w:tc>
          <w:tcPr>
            <w:tcW w:w="3691" w:type="dxa"/>
            <w:hideMark/>
          </w:tcPr>
          <w:p w14:paraId="0911CAAD" w14:textId="77777777" w:rsidR="00963C65" w:rsidRPr="00AE09D0" w:rsidRDefault="00963C65" w:rsidP="00AE09D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Finch Therapeutics CP101 for recurrent CDI</w:t>
            </w:r>
          </w:p>
        </w:tc>
        <w:tc>
          <w:tcPr>
            <w:tcW w:w="1559" w:type="dxa"/>
            <w:hideMark/>
          </w:tcPr>
          <w:p w14:paraId="0A99143C" w14:textId="77777777" w:rsidR="00963C65" w:rsidRPr="00AE09D0" w:rsidRDefault="00963C65" w:rsidP="00FF6529">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II</w:t>
            </w:r>
          </w:p>
        </w:tc>
      </w:tr>
      <w:tr w:rsidR="00963C65" w:rsidRPr="00AE09D0" w14:paraId="366F6107" w14:textId="77777777" w:rsidTr="00E21738">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6D5882E8" w14:textId="77777777" w:rsidR="00963C65" w:rsidRPr="00AE09D0" w:rsidRDefault="00963C65" w:rsidP="006055E0">
            <w:pPr>
              <w:spacing w:before="0"/>
              <w:rPr>
                <w:rFonts w:cstheme="minorHAnsi"/>
                <w:color w:val="222222"/>
              </w:rPr>
            </w:pPr>
          </w:p>
        </w:tc>
        <w:tc>
          <w:tcPr>
            <w:tcW w:w="2126" w:type="dxa"/>
            <w:hideMark/>
          </w:tcPr>
          <w:p w14:paraId="77A2FFAE" w14:textId="77777777" w:rsidR="00963C65" w:rsidRPr="00AE09D0" w:rsidRDefault="00963C65" w:rsidP="006055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Oral capsule (Firmicutes spores)</w:t>
            </w:r>
          </w:p>
        </w:tc>
        <w:tc>
          <w:tcPr>
            <w:tcW w:w="3691" w:type="dxa"/>
            <w:hideMark/>
          </w:tcPr>
          <w:p w14:paraId="4337AAB9" w14:textId="77777777" w:rsidR="00963C65" w:rsidRPr="00AE09D0" w:rsidRDefault="00963C65" w:rsidP="00AE09D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Seres Therapeutics SER-109 for recurrent CDI</w:t>
            </w:r>
          </w:p>
        </w:tc>
        <w:tc>
          <w:tcPr>
            <w:tcW w:w="1559" w:type="dxa"/>
            <w:hideMark/>
          </w:tcPr>
          <w:p w14:paraId="499D666E" w14:textId="77777777" w:rsidR="00963C65" w:rsidRPr="00AE09D0" w:rsidRDefault="00963C65" w:rsidP="00FF652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III</w:t>
            </w:r>
          </w:p>
        </w:tc>
      </w:tr>
      <w:tr w:rsidR="00963C65" w:rsidRPr="00AE09D0" w14:paraId="7B543A40" w14:textId="77777777" w:rsidTr="00AE09D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69EA25ED" w14:textId="77777777" w:rsidR="00963C65" w:rsidRPr="00AE09D0" w:rsidRDefault="00963C65" w:rsidP="006055E0">
            <w:pPr>
              <w:spacing w:before="0"/>
              <w:rPr>
                <w:rFonts w:cstheme="minorHAnsi"/>
                <w:color w:val="222222"/>
              </w:rPr>
            </w:pPr>
          </w:p>
        </w:tc>
        <w:tc>
          <w:tcPr>
            <w:tcW w:w="2126" w:type="dxa"/>
            <w:hideMark/>
          </w:tcPr>
          <w:p w14:paraId="56BDF3E0" w14:textId="77777777" w:rsidR="00963C65" w:rsidRPr="00AE09D0" w:rsidRDefault="00963C65" w:rsidP="006055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Oral capsule (lyophilized stool suspension)</w:t>
            </w:r>
          </w:p>
        </w:tc>
        <w:tc>
          <w:tcPr>
            <w:tcW w:w="3691" w:type="dxa"/>
            <w:hideMark/>
          </w:tcPr>
          <w:p w14:paraId="5041BF1A" w14:textId="77777777" w:rsidR="00963C65" w:rsidRPr="00AE09D0" w:rsidRDefault="00963C65" w:rsidP="00AE09D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Rebiotix RBX7455 for recurrent CDI</w:t>
            </w:r>
          </w:p>
        </w:tc>
        <w:tc>
          <w:tcPr>
            <w:tcW w:w="1559" w:type="dxa"/>
            <w:hideMark/>
          </w:tcPr>
          <w:p w14:paraId="054D236A" w14:textId="77777777" w:rsidR="00963C65" w:rsidRPr="00AE09D0" w:rsidRDefault="00963C65" w:rsidP="00FF6529">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w:t>
            </w:r>
          </w:p>
        </w:tc>
      </w:tr>
      <w:tr w:rsidR="00963C65" w:rsidRPr="00AE09D0" w14:paraId="0E5AF3B2" w14:textId="77777777" w:rsidTr="00AE09D0">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38" w:type="dxa"/>
            <w:hideMark/>
          </w:tcPr>
          <w:p w14:paraId="694B918C" w14:textId="77777777" w:rsidR="00963C65" w:rsidRPr="00AE09D0" w:rsidRDefault="00963C65" w:rsidP="006055E0">
            <w:pPr>
              <w:pStyle w:val="NormalWeb"/>
              <w:spacing w:before="0" w:beforeAutospacing="0" w:after="0" w:afterAutospacing="0"/>
              <w:rPr>
                <w:rFonts w:asciiTheme="minorHAnsi" w:hAnsiTheme="minorHAnsi" w:cstheme="minorHAnsi"/>
                <w:color w:val="222222"/>
                <w:sz w:val="20"/>
                <w:szCs w:val="20"/>
              </w:rPr>
            </w:pPr>
            <w:r w:rsidRPr="00AE09D0">
              <w:rPr>
                <w:rFonts w:asciiTheme="minorHAnsi" w:hAnsiTheme="minorHAnsi" w:cstheme="minorHAnsi"/>
                <w:color w:val="222222"/>
                <w:sz w:val="20"/>
                <w:szCs w:val="20"/>
              </w:rPr>
              <w:t>Prebiotics</w:t>
            </w:r>
          </w:p>
        </w:tc>
        <w:tc>
          <w:tcPr>
            <w:tcW w:w="2126" w:type="dxa"/>
            <w:hideMark/>
          </w:tcPr>
          <w:p w14:paraId="131BA212" w14:textId="77777777" w:rsidR="00963C65" w:rsidRPr="00AE09D0" w:rsidRDefault="00963C65" w:rsidP="006055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Dietary supplement (with chickpea, peanut, soybean flours and green banana)</w:t>
            </w:r>
          </w:p>
        </w:tc>
        <w:tc>
          <w:tcPr>
            <w:tcW w:w="3691" w:type="dxa"/>
            <w:hideMark/>
          </w:tcPr>
          <w:p w14:paraId="262549D5" w14:textId="77777777" w:rsidR="00963C65" w:rsidRPr="00AE09D0" w:rsidRDefault="00963C65" w:rsidP="00AE09D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Microbiota-directed complementary food prototype (MDCF-2) for moderate acute malnutrition</w:t>
            </w:r>
          </w:p>
        </w:tc>
        <w:tc>
          <w:tcPr>
            <w:tcW w:w="1559" w:type="dxa"/>
            <w:hideMark/>
          </w:tcPr>
          <w:p w14:paraId="7F8E3A2E" w14:textId="77777777" w:rsidR="00963C65" w:rsidRPr="00AE09D0" w:rsidRDefault="00963C65" w:rsidP="00FF652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II</w:t>
            </w:r>
          </w:p>
        </w:tc>
      </w:tr>
      <w:tr w:rsidR="00963C65" w:rsidRPr="00AE09D0" w14:paraId="08C526AA" w14:textId="77777777" w:rsidTr="00E21738">
        <w:trPr>
          <w:cnfStyle w:val="000000010000" w:firstRow="0" w:lastRow="0" w:firstColumn="0" w:lastColumn="0" w:oddVBand="0" w:evenVBand="0" w:oddHBand="0" w:evenHBand="1"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14:paraId="5243A63D" w14:textId="77777777" w:rsidR="00963C65" w:rsidRPr="00AE09D0" w:rsidRDefault="00963C65" w:rsidP="006055E0">
            <w:pPr>
              <w:pStyle w:val="NormalWeb"/>
              <w:spacing w:before="0" w:beforeAutospacing="0" w:after="0" w:afterAutospacing="0"/>
              <w:rPr>
                <w:rFonts w:asciiTheme="minorHAnsi" w:hAnsiTheme="minorHAnsi" w:cstheme="minorHAnsi"/>
                <w:color w:val="222222"/>
                <w:sz w:val="20"/>
                <w:szCs w:val="20"/>
              </w:rPr>
            </w:pPr>
            <w:r w:rsidRPr="00AE09D0">
              <w:rPr>
                <w:rFonts w:asciiTheme="minorHAnsi" w:hAnsiTheme="minorHAnsi" w:cstheme="minorHAnsi"/>
                <w:color w:val="222222"/>
                <w:sz w:val="20"/>
                <w:szCs w:val="20"/>
              </w:rPr>
              <w:t>Symbiotic microbial consortia</w:t>
            </w:r>
          </w:p>
        </w:tc>
        <w:tc>
          <w:tcPr>
            <w:tcW w:w="2126" w:type="dxa"/>
            <w:hideMark/>
          </w:tcPr>
          <w:p w14:paraId="084D634E" w14:textId="77777777" w:rsidR="00963C65" w:rsidRPr="00AE09D0" w:rsidRDefault="00963C65" w:rsidP="006055E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Oral capsule (40 lyophilized isolates)</w:t>
            </w:r>
          </w:p>
        </w:tc>
        <w:tc>
          <w:tcPr>
            <w:tcW w:w="3691" w:type="dxa"/>
            <w:hideMark/>
          </w:tcPr>
          <w:p w14:paraId="1BE76574" w14:textId="77777777" w:rsidR="00963C65" w:rsidRPr="00AE09D0" w:rsidRDefault="00963C65" w:rsidP="00AE09D0">
            <w:pPr>
              <w:pStyle w:val="NormalWeb"/>
              <w:spacing w:before="0" w:beforeAutospacing="0" w:after="0" w:afterAutospacing="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NuBiyota MET-2 for CDI</w:t>
            </w:r>
          </w:p>
        </w:tc>
        <w:tc>
          <w:tcPr>
            <w:tcW w:w="1559" w:type="dxa"/>
            <w:hideMark/>
          </w:tcPr>
          <w:p w14:paraId="172BDCDF" w14:textId="77777777" w:rsidR="00963C65" w:rsidRPr="00AE09D0" w:rsidRDefault="00963C65" w:rsidP="00FF6529">
            <w:pPr>
              <w:pStyle w:val="NormalWeb"/>
              <w:spacing w:before="0" w:beforeAutospacing="0" w:after="0" w:afterAutospacing="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w:t>
            </w:r>
          </w:p>
        </w:tc>
      </w:tr>
      <w:tr w:rsidR="00963C65" w:rsidRPr="00AE09D0" w14:paraId="63A2BB8C" w14:textId="77777777" w:rsidTr="00AE09D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38" w:type="dxa"/>
            <w:vMerge/>
            <w:hideMark/>
          </w:tcPr>
          <w:p w14:paraId="0E68FE75" w14:textId="77777777" w:rsidR="00963C65" w:rsidRPr="00AE09D0" w:rsidRDefault="00963C65" w:rsidP="006055E0">
            <w:pPr>
              <w:spacing w:before="0"/>
              <w:rPr>
                <w:rFonts w:cstheme="minorHAnsi"/>
                <w:color w:val="222222"/>
              </w:rPr>
            </w:pPr>
          </w:p>
        </w:tc>
        <w:tc>
          <w:tcPr>
            <w:tcW w:w="2126" w:type="dxa"/>
            <w:hideMark/>
          </w:tcPr>
          <w:p w14:paraId="6CF698E8" w14:textId="77777777" w:rsidR="00963C65" w:rsidRPr="00AE09D0" w:rsidRDefault="00963C65" w:rsidP="006055E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Oral capsule (8 lyophilized isolates)</w:t>
            </w:r>
          </w:p>
        </w:tc>
        <w:tc>
          <w:tcPr>
            <w:tcW w:w="3691" w:type="dxa"/>
            <w:hideMark/>
          </w:tcPr>
          <w:p w14:paraId="4B54E448" w14:textId="77777777" w:rsidR="00963C65" w:rsidRPr="00AE09D0" w:rsidRDefault="00963C65" w:rsidP="00AE09D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Vedanta Biosciences VE303 for CDI</w:t>
            </w:r>
          </w:p>
        </w:tc>
        <w:tc>
          <w:tcPr>
            <w:tcW w:w="1559" w:type="dxa"/>
            <w:hideMark/>
          </w:tcPr>
          <w:p w14:paraId="12C67C7E" w14:textId="77777777" w:rsidR="00963C65" w:rsidRPr="00AE09D0" w:rsidRDefault="00963C65" w:rsidP="00FF652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 w:val="20"/>
                <w:szCs w:val="20"/>
              </w:rPr>
            </w:pPr>
            <w:r w:rsidRPr="00AE09D0">
              <w:rPr>
                <w:rFonts w:asciiTheme="minorHAnsi" w:hAnsiTheme="minorHAnsi" w:cstheme="minorHAnsi"/>
                <w:color w:val="222222"/>
                <w:sz w:val="20"/>
                <w:szCs w:val="20"/>
              </w:rPr>
              <w:t>II</w:t>
            </w:r>
          </w:p>
        </w:tc>
      </w:tr>
    </w:tbl>
    <w:p w14:paraId="397B69E8" w14:textId="77777777" w:rsidR="00AE16DC" w:rsidRPr="00330FBE" w:rsidRDefault="00AE16DC" w:rsidP="00330FBE"/>
    <w:p w14:paraId="7501D887" w14:textId="10631BF3" w:rsidR="00963C65" w:rsidRPr="00330FBE" w:rsidRDefault="00477FE5" w:rsidP="00330FBE">
      <w:pPr>
        <w:rPr>
          <w:b/>
          <w:bCs/>
          <w:color w:val="002060"/>
        </w:rPr>
      </w:pPr>
      <w:r w:rsidRPr="00330FBE">
        <w:rPr>
          <w:b/>
          <w:bCs/>
          <w:color w:val="002060"/>
        </w:rPr>
        <w:t xml:space="preserve">Figure </w:t>
      </w:r>
      <w:r w:rsidR="00B304FA" w:rsidRPr="00330FBE">
        <w:rPr>
          <w:b/>
          <w:bCs/>
          <w:color w:val="002060"/>
        </w:rPr>
        <w:fldChar w:fldCharType="begin"/>
      </w:r>
      <w:r w:rsidR="00B304FA" w:rsidRPr="00330FBE">
        <w:rPr>
          <w:b/>
          <w:bCs/>
          <w:color w:val="002060"/>
        </w:rPr>
        <w:instrText xml:space="preserve"> SEQ Figure \* ARABIC </w:instrText>
      </w:r>
      <w:r w:rsidR="00B304FA" w:rsidRPr="00330FBE">
        <w:rPr>
          <w:b/>
          <w:bCs/>
          <w:color w:val="002060"/>
        </w:rPr>
        <w:fldChar w:fldCharType="separate"/>
      </w:r>
      <w:r w:rsidR="00395B47">
        <w:rPr>
          <w:b/>
          <w:bCs/>
          <w:noProof/>
          <w:color w:val="002060"/>
        </w:rPr>
        <w:t>1</w:t>
      </w:r>
      <w:r w:rsidR="00B304FA" w:rsidRPr="00330FBE">
        <w:rPr>
          <w:b/>
          <w:bCs/>
          <w:color w:val="002060"/>
        </w:rPr>
        <w:fldChar w:fldCharType="end"/>
      </w:r>
      <w:r w:rsidRPr="00330FBE">
        <w:rPr>
          <w:b/>
          <w:bCs/>
          <w:color w:val="002060"/>
        </w:rPr>
        <w:t xml:space="preserve"> Clinical trials using faecal microbiota transplantation reported to ClinicalTrials.gov since 2010.</w:t>
      </w:r>
    </w:p>
    <w:p w14:paraId="4581FE77" w14:textId="0ACE234A" w:rsidR="00963C65" w:rsidRPr="00975C1E" w:rsidRDefault="00AE16DC" w:rsidP="00963C65">
      <w:r>
        <w:rPr>
          <w:noProof/>
        </w:rPr>
        <w:drawing>
          <wp:inline distT="0" distB="0" distL="0" distR="0" wp14:anchorId="11A843AF" wp14:editId="56DD6345">
            <wp:extent cx="5676181" cy="2277373"/>
            <wp:effectExtent l="0" t="0" r="1270" b="8890"/>
            <wp:docPr id="5" name="Chart 5" descr="Clinical trials using faecal microbiota transplantation reported to ClinicalTrials.gov since 2010. Trend increases from 2010 to 2017, then mostly plateaus.">
              <a:extLst xmlns:a="http://schemas.openxmlformats.org/drawingml/2006/main">
                <a:ext uri="{FF2B5EF4-FFF2-40B4-BE49-F238E27FC236}">
                  <a16:creationId xmlns:a16="http://schemas.microsoft.com/office/drawing/2014/main" id="{8C7931A0-308B-D56F-CA28-E15E475985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E20C86" w14:textId="74FA2F2D" w:rsidR="00330FBE" w:rsidRDefault="00135342" w:rsidP="00330FBE">
      <w:pPr>
        <w:pStyle w:val="Caption"/>
        <w:rPr>
          <w:i w:val="0"/>
          <w:iCs w:val="0"/>
          <w:vertAlign w:val="superscript"/>
        </w:rPr>
      </w:pPr>
      <w:r w:rsidRPr="00AE31E1">
        <w:rPr>
          <w:color w:val="auto"/>
        </w:rPr>
        <w:t>The registry was queried using the method set out in Sorbara and Pamer (2022). The intervention/treatment search terms ‘FMT’, ‘fecal microbiota transplantation’, ‘fecal transplant’</w:t>
      </w:r>
      <w:r w:rsidR="0054230C" w:rsidRPr="00AE31E1">
        <w:rPr>
          <w:color w:val="auto"/>
        </w:rPr>
        <w:t>,</w:t>
      </w:r>
      <w:r w:rsidRPr="00AE31E1">
        <w:rPr>
          <w:color w:val="auto"/>
        </w:rPr>
        <w:t xml:space="preserve"> ‘fecal transplantation’ were queried on the registry on </w:t>
      </w:r>
      <w:r w:rsidR="00AE16DC" w:rsidRPr="00AE31E1">
        <w:rPr>
          <w:color w:val="auto"/>
        </w:rPr>
        <w:t>February 7, 2024</w:t>
      </w:r>
      <w:r w:rsidR="00ED3959" w:rsidRPr="00AE31E1">
        <w:rPr>
          <w:color w:val="auto"/>
        </w:rPr>
        <w:t xml:space="preserve">. Clinical trials </w:t>
      </w:r>
      <w:r w:rsidRPr="00AE31E1">
        <w:rPr>
          <w:color w:val="auto"/>
        </w:rPr>
        <w:t>are plotted by the date they were first posted in the database.</w:t>
      </w:r>
      <w:r w:rsidRPr="00AE31E1">
        <w:rPr>
          <w:color w:val="auto"/>
          <w:vertAlign w:val="superscript"/>
        </w:rPr>
        <w:t xml:space="preserve"> </w:t>
      </w:r>
      <w:r w:rsidRPr="00AE31E1">
        <w:rPr>
          <w:color w:val="auto"/>
          <w:vertAlign w:val="superscript"/>
        </w:rPr>
        <w:fldChar w:fldCharType="begin"/>
      </w:r>
      <w:r w:rsidRPr="00AE31E1">
        <w:rPr>
          <w:color w:val="auto"/>
          <w:vertAlign w:val="superscript"/>
        </w:rPr>
        <w:instrText xml:space="preserve"> NOTEREF _Ref125549080 \h  \* MERGEFORMAT </w:instrText>
      </w:r>
      <w:r w:rsidRPr="00AE31E1">
        <w:rPr>
          <w:color w:val="auto"/>
          <w:vertAlign w:val="superscript"/>
        </w:rPr>
      </w:r>
      <w:r w:rsidRPr="00AE31E1">
        <w:rPr>
          <w:color w:val="auto"/>
          <w:vertAlign w:val="superscript"/>
        </w:rPr>
        <w:fldChar w:fldCharType="separate"/>
      </w:r>
      <w:r w:rsidR="00395B47">
        <w:rPr>
          <w:color w:val="auto"/>
          <w:vertAlign w:val="superscript"/>
        </w:rPr>
        <w:t>51</w:t>
      </w:r>
      <w:r w:rsidRPr="00AE31E1">
        <w:rPr>
          <w:color w:val="auto"/>
          <w:vertAlign w:val="superscript"/>
        </w:rPr>
        <w:fldChar w:fldCharType="end"/>
      </w:r>
      <w:r w:rsidR="004C0A26" w:rsidRPr="00AE31E1">
        <w:rPr>
          <w:color w:val="auto"/>
          <w:vertAlign w:val="superscript"/>
        </w:rPr>
        <w:t xml:space="preserve"> </w:t>
      </w:r>
      <w:r w:rsidR="00330FBE">
        <w:rPr>
          <w:color w:val="auto"/>
          <w:vertAlign w:val="superscript"/>
        </w:rPr>
        <w:br w:type="page"/>
      </w:r>
    </w:p>
    <w:p w14:paraId="1EB3DE83" w14:textId="77777777" w:rsidR="00275270" w:rsidRDefault="00275270" w:rsidP="00275270">
      <w:pPr>
        <w:pStyle w:val="Heading2"/>
      </w:pPr>
      <w:bookmarkStart w:id="175" w:name="_Toc158900434"/>
      <w:r>
        <w:t>Therapeutic Vaccines</w:t>
      </w:r>
      <w:bookmarkEnd w:id="175"/>
    </w:p>
    <w:p w14:paraId="756C1B95" w14:textId="6E15446A" w:rsidR="00275270" w:rsidRDefault="00275270" w:rsidP="00275270">
      <w:r>
        <w:t xml:space="preserve">Therapeutic </w:t>
      </w:r>
      <w:r w:rsidR="00597342">
        <w:t>v</w:t>
      </w:r>
      <w:r>
        <w:t>accines use a person’s immune system to treat disease. Therapeutic vaccines stimulate a person’s immune system to destroy cells that are causing disease</w:t>
      </w:r>
      <w:r w:rsidR="00597342">
        <w:t>,</w:t>
      </w:r>
      <w:r>
        <w:t xml:space="preserve"> such as cancer cells. </w:t>
      </w:r>
    </w:p>
    <w:p w14:paraId="4F6B14B8" w14:textId="77777777" w:rsidR="00275270" w:rsidRDefault="00275270" w:rsidP="00AE31E1">
      <w:pPr>
        <w:pStyle w:val="Heading3"/>
        <w:ind w:left="709"/>
      </w:pPr>
      <w:r>
        <w:t>Development, market approval and Australian funding status</w:t>
      </w:r>
    </w:p>
    <w:p w14:paraId="5A06BEC5" w14:textId="77777777" w:rsidR="00275270" w:rsidRDefault="00275270" w:rsidP="00275270">
      <w:r>
        <w:t xml:space="preserve">This analysis identified 3 therapeutic vaccines that have market authorisation across Europe, the United States and Australia. </w:t>
      </w:r>
    </w:p>
    <w:p w14:paraId="4FD162EF" w14:textId="77777777" w:rsidR="00275270" w:rsidRPr="00330FBE" w:rsidRDefault="00275270" w:rsidP="00330FBE">
      <w:pPr>
        <w:rPr>
          <w:b/>
          <w:bCs/>
          <w:color w:val="002060"/>
        </w:rPr>
      </w:pPr>
      <w:r w:rsidRPr="00330FBE">
        <w:rPr>
          <w:b/>
          <w:bCs/>
          <w:color w:val="002060"/>
        </w:rPr>
        <w:t>Table 11 Therapeutic vaccines</w:t>
      </w:r>
    </w:p>
    <w:tbl>
      <w:tblPr>
        <w:tblStyle w:val="DepartmentofHealthtable"/>
        <w:tblW w:w="9250" w:type="dxa"/>
        <w:jc w:val="center"/>
        <w:tblLook w:val="04A0" w:firstRow="1" w:lastRow="0" w:firstColumn="1" w:lastColumn="0" w:noHBand="0" w:noVBand="1"/>
      </w:tblPr>
      <w:tblGrid>
        <w:gridCol w:w="1718"/>
        <w:gridCol w:w="2338"/>
        <w:gridCol w:w="1117"/>
        <w:gridCol w:w="1474"/>
        <w:gridCol w:w="1408"/>
        <w:gridCol w:w="1195"/>
      </w:tblGrid>
      <w:tr w:rsidR="00275270" w:rsidRPr="00CF0765" w14:paraId="33634C7A" w14:textId="77777777" w:rsidTr="0013683F">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718" w:type="dxa"/>
          </w:tcPr>
          <w:p w14:paraId="2ECD3CB9" w14:textId="77777777" w:rsidR="00275270" w:rsidRPr="00AE09D0" w:rsidRDefault="00275270" w:rsidP="006055E0">
            <w:pPr>
              <w:spacing w:before="0"/>
              <w:rPr>
                <w:rFonts w:asciiTheme="minorHAnsi" w:hAnsiTheme="minorHAnsi" w:cstheme="minorHAnsi"/>
                <w:b/>
                <w:sz w:val="20"/>
              </w:rPr>
            </w:pPr>
            <w:r w:rsidRPr="00AE09D0">
              <w:rPr>
                <w:rFonts w:asciiTheme="minorHAnsi" w:hAnsiTheme="minorHAnsi" w:cstheme="minorHAnsi"/>
                <w:b/>
                <w:sz w:val="20"/>
              </w:rPr>
              <w:t>Therapy</w:t>
            </w:r>
          </w:p>
        </w:tc>
        <w:tc>
          <w:tcPr>
            <w:tcW w:w="2338" w:type="dxa"/>
          </w:tcPr>
          <w:p w14:paraId="129F4D24" w14:textId="77777777" w:rsidR="00275270" w:rsidRPr="00AE09D0" w:rsidRDefault="00275270" w:rsidP="006055E0">
            <w:pPr>
              <w:spacing w:before="0"/>
              <w:ind w:right="-29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AE09D0">
              <w:rPr>
                <w:rFonts w:asciiTheme="minorHAnsi" w:hAnsiTheme="minorHAnsi" w:cstheme="minorHAnsi"/>
                <w:b/>
                <w:bCs/>
                <w:sz w:val="20"/>
              </w:rPr>
              <w:t>Indication</w:t>
            </w:r>
          </w:p>
        </w:tc>
        <w:tc>
          <w:tcPr>
            <w:tcW w:w="1117" w:type="dxa"/>
          </w:tcPr>
          <w:p w14:paraId="045F1FF2" w14:textId="77777777" w:rsidR="00275270" w:rsidRPr="00AE09D0" w:rsidRDefault="00275270" w:rsidP="0013683F">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EMA</w:t>
            </w:r>
          </w:p>
        </w:tc>
        <w:tc>
          <w:tcPr>
            <w:tcW w:w="1474" w:type="dxa"/>
          </w:tcPr>
          <w:p w14:paraId="50592D6D" w14:textId="77777777" w:rsidR="00275270" w:rsidRPr="00AE09D0" w:rsidRDefault="00275270" w:rsidP="0013683F">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FDA</w:t>
            </w:r>
          </w:p>
        </w:tc>
        <w:tc>
          <w:tcPr>
            <w:tcW w:w="1408" w:type="dxa"/>
          </w:tcPr>
          <w:p w14:paraId="08309661" w14:textId="77777777" w:rsidR="00275270" w:rsidRPr="00AE09D0" w:rsidRDefault="00275270" w:rsidP="0013683F">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TGA</w:t>
            </w:r>
          </w:p>
        </w:tc>
        <w:tc>
          <w:tcPr>
            <w:tcW w:w="1195" w:type="dxa"/>
          </w:tcPr>
          <w:p w14:paraId="4B05AA4E" w14:textId="53ECB81B" w:rsidR="00275270" w:rsidRPr="00AE09D0" w:rsidRDefault="00275270" w:rsidP="0013683F">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AE09D0">
              <w:rPr>
                <w:rFonts w:asciiTheme="minorHAnsi" w:hAnsiTheme="minorHAnsi" w:cstheme="minorHAnsi"/>
                <w:b/>
                <w:bCs/>
                <w:sz w:val="20"/>
              </w:rPr>
              <w:t>Australian Subsidy</w:t>
            </w:r>
          </w:p>
        </w:tc>
      </w:tr>
      <w:tr w:rsidR="00275270" w:rsidRPr="00CF0765" w14:paraId="3D8C10F5" w14:textId="77777777" w:rsidTr="0013683F">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718" w:type="dxa"/>
          </w:tcPr>
          <w:p w14:paraId="0379AB82" w14:textId="77777777" w:rsidR="00275270" w:rsidRDefault="00275270" w:rsidP="006055E0">
            <w:pPr>
              <w:spacing w:before="0"/>
              <w:rPr>
                <w:rFonts w:cstheme="minorHAnsi"/>
              </w:rPr>
            </w:pPr>
            <w:r>
              <w:rPr>
                <w:rFonts w:cstheme="minorHAnsi"/>
              </w:rPr>
              <w:t>Sipuleucel-T</w:t>
            </w:r>
          </w:p>
          <w:p w14:paraId="6DB53CC4" w14:textId="72C1CE94" w:rsidR="00275270" w:rsidRPr="00AE09D0" w:rsidRDefault="00275270" w:rsidP="006055E0">
            <w:pPr>
              <w:spacing w:before="0"/>
              <w:rPr>
                <w:rFonts w:cstheme="minorHAnsi"/>
              </w:rPr>
            </w:pPr>
            <w:r>
              <w:rPr>
                <w:rFonts w:cstheme="minorHAnsi"/>
              </w:rPr>
              <w:t>(Provenge</w:t>
            </w:r>
            <w:r w:rsidR="00B26942" w:rsidRPr="00044733">
              <w:rPr>
                <w:rFonts w:cstheme="minorHAnsi"/>
              </w:rPr>
              <w:t>®</w:t>
            </w:r>
            <w:r>
              <w:rPr>
                <w:rFonts w:cstheme="minorHAnsi"/>
              </w:rPr>
              <w:t>)</w:t>
            </w:r>
          </w:p>
        </w:tc>
        <w:tc>
          <w:tcPr>
            <w:tcW w:w="2338" w:type="dxa"/>
          </w:tcPr>
          <w:p w14:paraId="5CE9214A" w14:textId="77777777" w:rsidR="00275270" w:rsidRPr="00AE09D0" w:rsidRDefault="00275270"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Prostate Cancer</w:t>
            </w:r>
          </w:p>
        </w:tc>
        <w:tc>
          <w:tcPr>
            <w:tcW w:w="1117" w:type="dxa"/>
          </w:tcPr>
          <w:p w14:paraId="76AEF7E9" w14:textId="13E6CD4A" w:rsidR="00275270" w:rsidRPr="00AE09D0" w:rsidRDefault="0058656C"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w:t>
            </w:r>
          </w:p>
        </w:tc>
        <w:tc>
          <w:tcPr>
            <w:tcW w:w="1474" w:type="dxa"/>
          </w:tcPr>
          <w:p w14:paraId="3169924B" w14:textId="77777777" w:rsidR="00275270" w:rsidRPr="00AE09D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408" w:type="dxa"/>
          </w:tcPr>
          <w:p w14:paraId="3A1E0969" w14:textId="77777777" w:rsidR="00275270" w:rsidRPr="00AE09D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tc>
        <w:tc>
          <w:tcPr>
            <w:tcW w:w="1195" w:type="dxa"/>
          </w:tcPr>
          <w:p w14:paraId="2D5BC388" w14:textId="77777777" w:rsidR="0027527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w:t>
            </w:r>
          </w:p>
          <w:p w14:paraId="34690FB3" w14:textId="2FC4C929" w:rsidR="00275270" w:rsidRPr="00AE09D0" w:rsidRDefault="009C266D"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275270">
              <w:rPr>
                <w:rFonts w:cstheme="minorHAnsi"/>
              </w:rPr>
              <w:t>No submission</w:t>
            </w:r>
            <w:r>
              <w:rPr>
                <w:rFonts w:cstheme="minorHAnsi"/>
              </w:rPr>
              <w:t>)</w:t>
            </w:r>
          </w:p>
        </w:tc>
      </w:tr>
      <w:tr w:rsidR="00275270" w:rsidRPr="00CF0765" w14:paraId="16D21C40" w14:textId="77777777" w:rsidTr="0013683F">
        <w:trPr>
          <w:cnfStyle w:val="000000010000" w:firstRow="0" w:lastRow="0" w:firstColumn="0" w:lastColumn="0" w:oddVBand="0" w:evenVBand="0" w:oddHBand="0" w:evenHBand="1"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718" w:type="dxa"/>
          </w:tcPr>
          <w:p w14:paraId="4173530E" w14:textId="77777777" w:rsidR="00275270" w:rsidRDefault="00275270" w:rsidP="006055E0">
            <w:pPr>
              <w:spacing w:before="0"/>
              <w:rPr>
                <w:rFonts w:cstheme="minorHAnsi"/>
              </w:rPr>
            </w:pPr>
            <w:r>
              <w:rPr>
                <w:rFonts w:cstheme="minorHAnsi"/>
              </w:rPr>
              <w:t>Talimogene laherparepvec</w:t>
            </w:r>
          </w:p>
          <w:p w14:paraId="004627F1" w14:textId="101EFDFA" w:rsidR="00275270" w:rsidRPr="00AE09D0" w:rsidRDefault="00275270" w:rsidP="006055E0">
            <w:pPr>
              <w:spacing w:before="0"/>
              <w:rPr>
                <w:rFonts w:cstheme="minorHAnsi"/>
              </w:rPr>
            </w:pPr>
            <w:r>
              <w:rPr>
                <w:rFonts w:cstheme="minorHAnsi"/>
              </w:rPr>
              <w:t>(Imlygic</w:t>
            </w:r>
            <w:r w:rsidR="00B26942" w:rsidRPr="00044733">
              <w:rPr>
                <w:rFonts w:cstheme="minorHAnsi"/>
              </w:rPr>
              <w:t>®</w:t>
            </w:r>
            <w:r>
              <w:rPr>
                <w:rFonts w:cstheme="minorHAnsi"/>
              </w:rPr>
              <w:t>)</w:t>
            </w:r>
          </w:p>
        </w:tc>
        <w:tc>
          <w:tcPr>
            <w:tcW w:w="2338" w:type="dxa"/>
          </w:tcPr>
          <w:p w14:paraId="1E76F297" w14:textId="77777777" w:rsidR="00275270" w:rsidRPr="00AE09D0" w:rsidRDefault="00275270" w:rsidP="006055E0">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Melanoma</w:t>
            </w:r>
          </w:p>
        </w:tc>
        <w:tc>
          <w:tcPr>
            <w:tcW w:w="1117" w:type="dxa"/>
          </w:tcPr>
          <w:p w14:paraId="54453A83" w14:textId="77777777" w:rsidR="00275270" w:rsidRPr="00AE09D0" w:rsidRDefault="00275270" w:rsidP="009C266D">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1474" w:type="dxa"/>
          </w:tcPr>
          <w:p w14:paraId="7EE28987" w14:textId="77777777" w:rsidR="00275270" w:rsidRPr="00AE09D0" w:rsidRDefault="00275270" w:rsidP="009C266D">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sidRPr="00AE09D0">
              <w:rPr>
                <w:rFonts w:cstheme="minorHAnsi"/>
              </w:rPr>
              <w:t>Y</w:t>
            </w:r>
          </w:p>
        </w:tc>
        <w:tc>
          <w:tcPr>
            <w:tcW w:w="1408" w:type="dxa"/>
          </w:tcPr>
          <w:p w14:paraId="53C30D5B" w14:textId="77777777" w:rsidR="00275270" w:rsidRPr="00AE09D0" w:rsidRDefault="00275270" w:rsidP="009C266D">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 (cancelled in 2021)</w:t>
            </w:r>
          </w:p>
        </w:tc>
        <w:tc>
          <w:tcPr>
            <w:tcW w:w="1195" w:type="dxa"/>
          </w:tcPr>
          <w:p w14:paraId="7CE44C13" w14:textId="77777777" w:rsidR="00275270" w:rsidRDefault="00275270" w:rsidP="009C266D">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p w14:paraId="5D4763F2" w14:textId="0003DF01" w:rsidR="00275270" w:rsidRPr="00AE09D0" w:rsidRDefault="009C266D" w:rsidP="009C266D">
            <w:pPr>
              <w:spacing w:before="0"/>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w:t>
            </w:r>
            <w:r w:rsidR="00275270">
              <w:rPr>
                <w:rFonts w:cstheme="minorHAnsi"/>
              </w:rPr>
              <w:t>Not registered</w:t>
            </w:r>
            <w:r>
              <w:rPr>
                <w:rFonts w:cstheme="minorHAnsi"/>
              </w:rPr>
              <w:t>)</w:t>
            </w:r>
          </w:p>
        </w:tc>
      </w:tr>
      <w:tr w:rsidR="00275270" w:rsidRPr="00CF0765" w14:paraId="009C415F" w14:textId="77777777" w:rsidTr="0013683F">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718" w:type="dxa"/>
          </w:tcPr>
          <w:p w14:paraId="159274DB" w14:textId="77777777" w:rsidR="00275270" w:rsidRDefault="00275270" w:rsidP="006055E0">
            <w:pPr>
              <w:spacing w:before="0"/>
              <w:rPr>
                <w:rFonts w:cstheme="minorHAnsi"/>
              </w:rPr>
            </w:pPr>
            <w:r>
              <w:rPr>
                <w:rFonts w:cstheme="minorHAnsi"/>
              </w:rPr>
              <w:t>Bacillus Calmette-Guerin</w:t>
            </w:r>
          </w:p>
          <w:p w14:paraId="2E99B27A" w14:textId="10021D31" w:rsidR="00275270" w:rsidRPr="00AE09D0" w:rsidRDefault="00275270" w:rsidP="006055E0">
            <w:pPr>
              <w:spacing w:before="0"/>
              <w:rPr>
                <w:rFonts w:cstheme="minorHAnsi"/>
              </w:rPr>
            </w:pPr>
            <w:r>
              <w:rPr>
                <w:rFonts w:cstheme="minorHAnsi"/>
              </w:rPr>
              <w:t>(OncoTICE</w:t>
            </w:r>
            <w:r w:rsidR="00B26942" w:rsidRPr="00044733">
              <w:rPr>
                <w:rFonts w:cstheme="minorHAnsi"/>
              </w:rPr>
              <w:t>®</w:t>
            </w:r>
            <w:r>
              <w:rPr>
                <w:rFonts w:cstheme="minorHAnsi"/>
              </w:rPr>
              <w:t>)</w:t>
            </w:r>
          </w:p>
        </w:tc>
        <w:tc>
          <w:tcPr>
            <w:tcW w:w="2338" w:type="dxa"/>
          </w:tcPr>
          <w:p w14:paraId="5960BFA5" w14:textId="77777777" w:rsidR="00275270" w:rsidRPr="00AE09D0" w:rsidRDefault="00275270" w:rsidP="006055E0">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Invasive bladder cancer</w:t>
            </w:r>
          </w:p>
        </w:tc>
        <w:tc>
          <w:tcPr>
            <w:tcW w:w="1117" w:type="dxa"/>
          </w:tcPr>
          <w:p w14:paraId="6FA50829" w14:textId="77777777" w:rsidR="00275270" w:rsidRPr="00AE09D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474" w:type="dxa"/>
          </w:tcPr>
          <w:p w14:paraId="29370A54" w14:textId="77777777" w:rsidR="00275270" w:rsidRPr="00AE09D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408" w:type="dxa"/>
          </w:tcPr>
          <w:p w14:paraId="3F93EEB0" w14:textId="77777777" w:rsidR="00275270" w:rsidRPr="00AE09D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c>
          <w:tcPr>
            <w:tcW w:w="1195" w:type="dxa"/>
          </w:tcPr>
          <w:p w14:paraId="2938BC4B" w14:textId="77777777" w:rsidR="00275270" w:rsidRPr="00AE09D0" w:rsidRDefault="00275270" w:rsidP="009C266D">
            <w:pPr>
              <w:spacing w:before="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w:t>
            </w:r>
          </w:p>
        </w:tc>
      </w:tr>
    </w:tbl>
    <w:p w14:paraId="05848EDD" w14:textId="53D0A8C9" w:rsidR="00275270" w:rsidRDefault="00597342" w:rsidP="00275270">
      <w:r>
        <w:t xml:space="preserve">To date, therapeutic vaccines have been developed for various </w:t>
      </w:r>
      <w:r w:rsidRPr="00BB681F">
        <w:t>cancers</w:t>
      </w:r>
      <w:r>
        <w:t>,</w:t>
      </w:r>
      <w:r w:rsidRPr="00BB681F">
        <w:t xml:space="preserve"> however </w:t>
      </w:r>
      <w:r>
        <w:t>n</w:t>
      </w:r>
      <w:r w:rsidR="00275270">
        <w:t>umerous additional therapeutic vaccines are being trialled for a range of communicable diseases (such as human papilloma virus, hepatitis b virus, human immunodeficiency virus, hepatitis C virus and COVID) and non-communicable diseases such as cancer, hypertension, Alzheimer’s disease, amyotrophic lateral sclerosis, diabetes and dyslipidaemia.</w:t>
      </w:r>
      <w:r w:rsidR="00275270">
        <w:rPr>
          <w:rStyle w:val="FootnoteReference"/>
        </w:rPr>
        <w:footnoteReference w:id="55"/>
      </w:r>
      <w:r w:rsidR="00275270">
        <w:t xml:space="preserve">  </w:t>
      </w:r>
    </w:p>
    <w:p w14:paraId="4969745A" w14:textId="77777777" w:rsidR="00275270" w:rsidRDefault="00275270" w:rsidP="00AE31E1">
      <w:pPr>
        <w:pStyle w:val="Heading3"/>
        <w:ind w:left="709"/>
      </w:pPr>
      <w:r>
        <w:t>Challenges identified for assessment, funding, and implementation of phage therapy</w:t>
      </w:r>
    </w:p>
    <w:p w14:paraId="34CE0E86" w14:textId="60923098" w:rsidR="00275270" w:rsidRPr="00B32A45" w:rsidRDefault="00275270" w:rsidP="0018499D">
      <w:r>
        <w:t>This analysis did not identify challenges unique to these therapies. However, similar to cell and gene therapies, there are some autologous therapeutic vaccines in development that will present similar challenges to therapies that can be created for very small populations.</w:t>
      </w:r>
      <w:r>
        <w:rPr>
          <w:rStyle w:val="FootnoteReference"/>
        </w:rPr>
        <w:footnoteReference w:id="56"/>
      </w:r>
      <w:r>
        <w:t xml:space="preserve">  </w:t>
      </w:r>
    </w:p>
    <w:p w14:paraId="0C62AB24" w14:textId="50FE36EB" w:rsidR="00B240F1" w:rsidRDefault="00B240F1" w:rsidP="00B240F1">
      <w:pPr>
        <w:pStyle w:val="Heading2"/>
      </w:pPr>
      <w:bookmarkStart w:id="176" w:name="_Toc158900435"/>
      <w:r>
        <w:t xml:space="preserve">Emerging vaccine </w:t>
      </w:r>
      <w:r w:rsidR="00A645A0">
        <w:t xml:space="preserve">manufacturing </w:t>
      </w:r>
      <w:r>
        <w:t>technologies</w:t>
      </w:r>
      <w:bookmarkEnd w:id="176"/>
    </w:p>
    <w:p w14:paraId="2D0858D8" w14:textId="4E6A9382" w:rsidR="00136292" w:rsidRDefault="00B240F1">
      <w:r w:rsidRPr="00B240F1">
        <w:rPr>
          <w:rFonts w:ascii="Calibri" w:hAnsi="Calibri" w:cs="Calibri"/>
        </w:rPr>
        <w:t>There are several emerging vaccine technologies such as m-RNA, recombinant</w:t>
      </w:r>
      <w:r w:rsidRPr="00B240F1">
        <w:rPr>
          <w:rStyle w:val="FootnoteReference"/>
          <w:rFonts w:ascii="Calibri" w:hAnsi="Calibri" w:cs="Calibri"/>
        </w:rPr>
        <w:footnoteReference w:id="57"/>
      </w:r>
      <w:r w:rsidRPr="00B240F1">
        <w:rPr>
          <w:rFonts w:ascii="Calibri" w:hAnsi="Calibri" w:cs="Calibri"/>
        </w:rPr>
        <w:t xml:space="preserve"> and cell-based manufacturing technologies.</w:t>
      </w:r>
      <w:r w:rsidRPr="00B240F1">
        <w:rPr>
          <w:rStyle w:val="FootnoteReference"/>
          <w:rFonts w:ascii="Calibri" w:hAnsi="Calibri" w:cs="Calibri"/>
        </w:rPr>
        <w:footnoteReference w:id="58"/>
      </w:r>
      <w:r w:rsidRPr="00B240F1">
        <w:rPr>
          <w:rFonts w:ascii="Calibri" w:hAnsi="Calibri" w:cs="Calibri"/>
        </w:rPr>
        <w:t xml:space="preserve"> Unlike traditional vaccine manufacturing methods, these do not use eggs. </w:t>
      </w:r>
      <w:r w:rsidR="00CA3F5B">
        <w:rPr>
          <w:rFonts w:ascii="Calibri" w:hAnsi="Calibri" w:cs="Calibri"/>
        </w:rPr>
        <w:t>A</w:t>
      </w:r>
      <w:r>
        <w:rPr>
          <w:rFonts w:cstheme="minorHAnsi"/>
        </w:rPr>
        <w:t>dvantages</w:t>
      </w:r>
      <w:r w:rsidRPr="00B240F1">
        <w:rPr>
          <w:rFonts w:cstheme="minorHAnsi"/>
        </w:rPr>
        <w:t xml:space="preserve"> of cell culture-based technology, in addition to clinical effectiveness</w:t>
      </w:r>
      <w:r w:rsidR="00CA3F5B">
        <w:rPr>
          <w:rFonts w:cstheme="minorHAnsi"/>
        </w:rPr>
        <w:t>, have been identified in academic literature</w:t>
      </w:r>
      <w:r w:rsidRPr="00B240F1">
        <w:rPr>
          <w:rFonts w:cstheme="minorHAnsi"/>
        </w:rPr>
        <w:t>.</w:t>
      </w:r>
      <w:r w:rsidRPr="00B240F1">
        <w:rPr>
          <w:rFonts w:cstheme="minorHAnsi"/>
          <w:vertAlign w:val="superscript"/>
        </w:rPr>
        <w:footnoteReference w:id="59"/>
      </w:r>
      <w:r w:rsidRPr="00B240F1">
        <w:rPr>
          <w:rFonts w:cstheme="minorHAnsi"/>
          <w:vertAlign w:val="superscript"/>
        </w:rPr>
        <w:t>,</w:t>
      </w:r>
      <w:r w:rsidRPr="00B240F1">
        <w:rPr>
          <w:rStyle w:val="FootnoteReference"/>
          <w:rFonts w:cstheme="minorHAnsi"/>
        </w:rPr>
        <w:footnoteReference w:id="60"/>
      </w:r>
      <w:r w:rsidRPr="00B240F1">
        <w:rPr>
          <w:rFonts w:cstheme="minorHAnsi"/>
          <w:vertAlign w:val="superscript"/>
        </w:rPr>
        <w:t xml:space="preserve">  </w:t>
      </w:r>
      <w:r w:rsidRPr="00B240F1">
        <w:rPr>
          <w:rFonts w:cstheme="minorHAnsi"/>
        </w:rPr>
        <w:t xml:space="preserve"> These range from the manufacturing quality, timely production, and ability to scale-up manufacturing, and vaccination program implementation aspects, primarily the use of alternative influenza vaccines for individuals with egg allergy or anaphylaxis</w:t>
      </w:r>
      <w:r w:rsidRPr="00B240F1">
        <w:rPr>
          <w:rStyle w:val="FootnoteReference"/>
          <w:rFonts w:cstheme="minorHAnsi"/>
        </w:rPr>
        <w:footnoteReference w:id="61"/>
      </w:r>
      <w:r w:rsidRPr="00B240F1">
        <w:rPr>
          <w:rFonts w:cstheme="minorHAnsi"/>
          <w:vertAlign w:val="superscript"/>
        </w:rPr>
        <w:t xml:space="preserve">, </w:t>
      </w:r>
      <w:r w:rsidRPr="00B240F1">
        <w:rPr>
          <w:rStyle w:val="FootnoteReference"/>
          <w:rFonts w:cstheme="minorHAnsi"/>
        </w:rPr>
        <w:footnoteReference w:id="62"/>
      </w:r>
      <w:r w:rsidRPr="00B240F1">
        <w:rPr>
          <w:rFonts w:cstheme="minorHAnsi"/>
        </w:rPr>
        <w:t>. Alternative needle free vaccine delivery methods have been developed such as nasal sprays</w:t>
      </w:r>
      <w:r w:rsidRPr="00B240F1">
        <w:rPr>
          <w:rStyle w:val="FootnoteReference"/>
          <w:rFonts w:cstheme="minorHAnsi"/>
        </w:rPr>
        <w:footnoteReference w:id="63"/>
      </w:r>
      <w:r w:rsidRPr="00B240F1">
        <w:rPr>
          <w:rFonts w:cstheme="minorHAnsi"/>
        </w:rPr>
        <w:t xml:space="preserve"> and</w:t>
      </w:r>
      <w:r w:rsidRPr="00B240F1">
        <w:rPr>
          <w:rFonts w:ascii="Calibri" w:hAnsi="Calibri" w:cs="Calibri"/>
        </w:rPr>
        <w:t xml:space="preserve"> dermal patches.</w:t>
      </w:r>
      <w:r w:rsidRPr="00B240F1">
        <w:rPr>
          <w:rStyle w:val="FootnoteReference"/>
          <w:rFonts w:ascii="Calibri" w:hAnsi="Calibri" w:cs="Calibri"/>
        </w:rPr>
        <w:footnoteReference w:id="64"/>
      </w:r>
      <w:r w:rsidRPr="00B240F1">
        <w:rPr>
          <w:rFonts w:ascii="Calibri" w:hAnsi="Calibri" w:cs="Calibri"/>
        </w:rPr>
        <w:t xml:space="preserve"> These </w:t>
      </w:r>
      <w:r>
        <w:rPr>
          <w:rFonts w:ascii="Calibri" w:hAnsi="Calibri" w:cs="Calibri"/>
        </w:rPr>
        <w:t>may provide advantages in addition to clinical effectiveness</w:t>
      </w:r>
      <w:r w:rsidRPr="00B240F1">
        <w:rPr>
          <w:rFonts w:cstheme="minorHAnsi"/>
        </w:rPr>
        <w:t xml:space="preserve"> such as needle free administration, thermostability, and po</w:t>
      </w:r>
      <w:r w:rsidRPr="00B240F1">
        <w:rPr>
          <w:rFonts w:ascii="Calibri" w:hAnsi="Calibri" w:cs="Calibri"/>
        </w:rPr>
        <w:t xml:space="preserve">tential self-administration of vaccines in the future. </w:t>
      </w:r>
    </w:p>
    <w:p w14:paraId="186749D9" w14:textId="0B894AD4" w:rsidR="001A635D" w:rsidRPr="00E21738" w:rsidRDefault="001A635D">
      <w:r>
        <w:br w:type="page"/>
      </w:r>
    </w:p>
    <w:p w14:paraId="34758FC4" w14:textId="06DEAAAF" w:rsidR="00C51C37" w:rsidRDefault="0032703C" w:rsidP="00330FBE">
      <w:pPr>
        <w:rPr>
          <w:rFonts w:asciiTheme="majorHAnsi" w:hAnsiTheme="majorHAnsi" w:cstheme="majorHAnsi"/>
          <w:color w:val="44546A" w:themeColor="text2"/>
          <w:sz w:val="96"/>
          <w:szCs w:val="96"/>
        </w:rPr>
      </w:pPr>
      <w:r w:rsidRPr="00330FBE">
        <w:rPr>
          <w:rFonts w:asciiTheme="majorHAnsi" w:hAnsiTheme="majorHAnsi" w:cstheme="majorHAnsi"/>
          <w:color w:val="44546A" w:themeColor="text2"/>
          <w:sz w:val="96"/>
          <w:szCs w:val="96"/>
        </w:rPr>
        <w:t xml:space="preserve">Emerging </w:t>
      </w:r>
      <w:r w:rsidR="009661C3" w:rsidRPr="00330FBE">
        <w:rPr>
          <w:rFonts w:asciiTheme="majorHAnsi" w:hAnsiTheme="majorHAnsi" w:cstheme="majorHAnsi"/>
          <w:color w:val="44546A" w:themeColor="text2"/>
          <w:sz w:val="96"/>
          <w:szCs w:val="96"/>
        </w:rPr>
        <w:t>linked health technologies</w:t>
      </w:r>
    </w:p>
    <w:p w14:paraId="504C7CFB" w14:textId="77777777" w:rsidR="00330FBE" w:rsidRPr="00330FBE" w:rsidRDefault="00330FBE" w:rsidP="00330FBE">
      <w:pPr>
        <w:spacing w:line="720" w:lineRule="auto"/>
      </w:pPr>
    </w:p>
    <w:p w14:paraId="3041DC04" w14:textId="4E791CC7" w:rsidR="001F7129" w:rsidRDefault="001F7129" w:rsidP="00545702">
      <w:pPr>
        <w:pStyle w:val="Heading1"/>
        <w:ind w:left="426"/>
      </w:pPr>
      <w:bookmarkStart w:id="177" w:name="_Toc158900436"/>
      <w:r>
        <w:t xml:space="preserve">Precision </w:t>
      </w:r>
      <w:r w:rsidR="00E17867">
        <w:t>m</w:t>
      </w:r>
      <w:r>
        <w:t>edicine</w:t>
      </w:r>
      <w:r w:rsidR="00550938">
        <w:t>: medicine linked</w:t>
      </w:r>
      <w:r w:rsidR="005E09FC">
        <w:t xml:space="preserve"> </w:t>
      </w:r>
      <w:r w:rsidR="00E17867">
        <w:t>genetic and genomic testing</w:t>
      </w:r>
      <w:bookmarkEnd w:id="177"/>
      <w:r>
        <w:t xml:space="preserve"> </w:t>
      </w:r>
    </w:p>
    <w:p w14:paraId="4319B064" w14:textId="0F9B9B87" w:rsidR="00DE55E0" w:rsidRDefault="0076430E" w:rsidP="00DE55E0">
      <w:r>
        <w:t xml:space="preserve">The term ‘precision medicine’ is used </w:t>
      </w:r>
      <w:r w:rsidR="00150BC4">
        <w:t>for</w:t>
      </w:r>
      <w:r>
        <w:t xml:space="preserve"> broad range of treatments and methods for diagnosing and treating patients. </w:t>
      </w:r>
      <w:r w:rsidR="00150BC4">
        <w:t>Precision medicine is used to describe the concept of</w:t>
      </w:r>
      <w:r w:rsidR="00EF03BF">
        <w:t xml:space="preserve"> targeting of health interventions to the needs of an individual patient based on their predicted response or risk of disease</w:t>
      </w:r>
      <w:r w:rsidR="003E4D75" w:rsidRPr="003E4D75">
        <w:t>.</w:t>
      </w:r>
      <w:r w:rsidR="00794575">
        <w:t xml:space="preserve"> </w:t>
      </w:r>
      <w:r w:rsidR="00436418">
        <w:t>However,</w:t>
      </w:r>
      <w:r w:rsidR="00150BC4">
        <w:t xml:space="preserve"> definitions vary across regulatory agencies, </w:t>
      </w:r>
      <w:r w:rsidR="00436418">
        <w:t>industry,</w:t>
      </w:r>
      <w:r w:rsidR="00150BC4">
        <w:t xml:space="preserve"> and academia</w:t>
      </w:r>
      <w:r w:rsidR="00DE55E0">
        <w:t xml:space="preserve">. </w:t>
      </w:r>
      <w:r w:rsidR="00DE55E0" w:rsidRPr="00310114">
        <w:t>The terms precision, personalized,</w:t>
      </w:r>
      <w:r w:rsidR="00150BC4">
        <w:t xml:space="preserve"> </w:t>
      </w:r>
      <w:r w:rsidR="00DE55E0" w:rsidRPr="00310114">
        <w:t>individualized</w:t>
      </w:r>
      <w:r w:rsidR="00150BC4">
        <w:t>, and P4</w:t>
      </w:r>
      <w:r w:rsidR="00DE55E0" w:rsidRPr="00310114">
        <w:t xml:space="preserve"> are often used interchangeably</w:t>
      </w:r>
      <w:r w:rsidR="00150BC4">
        <w:t xml:space="preserve"> when describing the concept</w:t>
      </w:r>
      <w:r w:rsidR="00A546AF">
        <w:t xml:space="preserve"> of precision medicine</w:t>
      </w:r>
      <w:r w:rsidR="00DE55E0">
        <w:t>.</w:t>
      </w:r>
      <w:bookmarkStart w:id="178" w:name="_Ref125476497"/>
      <w:r w:rsidR="00DE55E0">
        <w:rPr>
          <w:rStyle w:val="FootnoteReference"/>
        </w:rPr>
        <w:footnoteReference w:id="65"/>
      </w:r>
      <w:bookmarkEnd w:id="178"/>
      <w:r w:rsidR="00DE55E0" w:rsidRPr="00310114">
        <w:t xml:space="preserve"> </w:t>
      </w:r>
    </w:p>
    <w:p w14:paraId="46584466" w14:textId="211E57A6" w:rsidR="009661C3" w:rsidRDefault="00150BC4" w:rsidP="009661C3">
      <w:r>
        <w:t xml:space="preserve">A common feature of precision medicine is the use of molecular methods to predict a person’s </w:t>
      </w:r>
      <w:r w:rsidR="00794575">
        <w:t>response</w:t>
      </w:r>
      <w:r w:rsidR="00DE55E0">
        <w:t xml:space="preserve"> to a health intervention</w:t>
      </w:r>
      <w:r w:rsidR="00794575">
        <w:t xml:space="preserve"> or risk of disease. </w:t>
      </w:r>
      <w:r w:rsidR="009661C3">
        <w:t xml:space="preserve">These molecular methods include: </w:t>
      </w:r>
    </w:p>
    <w:p w14:paraId="6FCA9BCE" w14:textId="62D1F6DC" w:rsidR="00150BC4" w:rsidRDefault="00150BC4" w:rsidP="00990D82">
      <w:pPr>
        <w:pStyle w:val="ListParagraph"/>
        <w:numPr>
          <w:ilvl w:val="0"/>
          <w:numId w:val="7"/>
        </w:numPr>
      </w:pPr>
      <w:r>
        <w:t>genetic testing and testing for other biomarkers</w:t>
      </w:r>
    </w:p>
    <w:p w14:paraId="4344CCDA" w14:textId="119DB497" w:rsidR="009661C3" w:rsidRDefault="009661C3" w:rsidP="00990D82">
      <w:pPr>
        <w:pStyle w:val="ListParagraph"/>
        <w:numPr>
          <w:ilvl w:val="0"/>
          <w:numId w:val="7"/>
        </w:numPr>
      </w:pPr>
      <w:r w:rsidRPr="00155C04">
        <w:t xml:space="preserve">genomics and other </w:t>
      </w:r>
      <w:r w:rsidR="00E17655">
        <w:t>‘</w:t>
      </w:r>
      <w:r w:rsidRPr="00155C04">
        <w:t>omics</w:t>
      </w:r>
      <w:r w:rsidR="00E17655">
        <w:t>’</w:t>
      </w:r>
      <w:r w:rsidRPr="00155C04">
        <w:t xml:space="preserve"> (metabolomics, microbiomics, proteomics and transcriptomics)</w:t>
      </w:r>
    </w:p>
    <w:p w14:paraId="4173B231" w14:textId="4CDB32E2" w:rsidR="009661C3" w:rsidRDefault="009661C3" w:rsidP="00990D82">
      <w:pPr>
        <w:pStyle w:val="ListParagraph"/>
        <w:numPr>
          <w:ilvl w:val="0"/>
          <w:numId w:val="7"/>
        </w:numPr>
      </w:pPr>
      <w:r w:rsidRPr="00155C04">
        <w:t>epigenetics (associated with gene-environment interaction)</w:t>
      </w:r>
    </w:p>
    <w:p w14:paraId="0E87EA54" w14:textId="7EAC5411" w:rsidR="009661C3" w:rsidRDefault="009661C3" w:rsidP="00990D82">
      <w:pPr>
        <w:pStyle w:val="ListParagraph"/>
        <w:numPr>
          <w:ilvl w:val="0"/>
          <w:numId w:val="7"/>
        </w:numPr>
      </w:pPr>
      <w:r w:rsidRPr="00155C04">
        <w:t xml:space="preserve">gene editing technologies </w:t>
      </w:r>
      <w:r w:rsidR="00150BC4">
        <w:t xml:space="preserve">used in gene and gene modified cell therapies </w:t>
      </w:r>
      <w:r>
        <w:t xml:space="preserve">(refer to section </w:t>
      </w:r>
      <w:r>
        <w:fldChar w:fldCharType="begin"/>
      </w:r>
      <w:r>
        <w:instrText xml:space="preserve"> REF _Ref130300808 \r \h </w:instrText>
      </w:r>
      <w:r>
        <w:fldChar w:fldCharType="separate"/>
      </w:r>
      <w:r w:rsidR="00395B47">
        <w:t>2</w:t>
      </w:r>
      <w:r>
        <w:fldChar w:fldCharType="end"/>
      </w:r>
      <w:r>
        <w:t>)</w:t>
      </w:r>
    </w:p>
    <w:p w14:paraId="7C96F595" w14:textId="4CEBCA74" w:rsidR="009661C3" w:rsidRDefault="009661C3" w:rsidP="00990D82">
      <w:pPr>
        <w:pStyle w:val="ListParagraph"/>
        <w:numPr>
          <w:ilvl w:val="0"/>
          <w:numId w:val="7"/>
        </w:numPr>
      </w:pPr>
      <w:r>
        <w:t>the development of targeted therapies specific to an individual’s disease profile.</w:t>
      </w:r>
      <w:bookmarkStart w:id="179" w:name="_Ref130484477"/>
      <w:r w:rsidR="005073E1">
        <w:rPr>
          <w:rStyle w:val="FootnoteReference"/>
        </w:rPr>
        <w:footnoteReference w:id="66"/>
      </w:r>
      <w:bookmarkEnd w:id="179"/>
      <w:r>
        <w:t xml:space="preserve"> </w:t>
      </w:r>
    </w:p>
    <w:p w14:paraId="6B81C972" w14:textId="2EDF1D8B" w:rsidR="00231FC4" w:rsidRPr="006D25F7" w:rsidRDefault="003E4D75" w:rsidP="00155C04">
      <w:r w:rsidRPr="003E4D75">
        <w:t>The goal of precision medicine is to target the right treatments to the right patients at the right time.</w:t>
      </w:r>
      <w:bookmarkStart w:id="180" w:name="_Ref130373376"/>
      <w:r w:rsidR="001A6F99">
        <w:rPr>
          <w:rStyle w:val="FootnoteReference"/>
        </w:rPr>
        <w:footnoteReference w:id="67"/>
      </w:r>
      <w:bookmarkEnd w:id="180"/>
      <w:r w:rsidR="00231FC4">
        <w:t xml:space="preserve"> </w:t>
      </w:r>
      <w:r w:rsidR="00DE55E0">
        <w:t>This</w:t>
      </w:r>
      <w:r w:rsidR="009661C3">
        <w:t xml:space="preserve"> </w:t>
      </w:r>
      <w:r w:rsidR="00231FC4">
        <w:t>is</w:t>
      </w:r>
      <w:r w:rsidR="007B5CE8">
        <w:t xml:space="preserve"> not</w:t>
      </w:r>
      <w:r w:rsidR="00231FC4">
        <w:t xml:space="preserve"> a new concept</w:t>
      </w:r>
      <w:r w:rsidR="00DE55E0">
        <w:t>. However</w:t>
      </w:r>
      <w:r w:rsidR="00231FC4">
        <w:t xml:space="preserve"> recent advances</w:t>
      </w:r>
      <w:r w:rsidR="006A6A16">
        <w:t xml:space="preserve"> </w:t>
      </w:r>
      <w:r w:rsidR="007F395B">
        <w:t xml:space="preserve">in the above molecular methods and the ability to aggregate large datasets </w:t>
      </w:r>
      <w:r w:rsidR="003E4843">
        <w:t>have</w:t>
      </w:r>
      <w:r w:rsidR="006A6A16">
        <w:t xml:space="preserve"> </w:t>
      </w:r>
      <w:r w:rsidR="00436418">
        <w:t>led</w:t>
      </w:r>
      <w:r w:rsidR="006A6A16">
        <w:t xml:space="preserve"> to the development of </w:t>
      </w:r>
      <w:r w:rsidR="003E4843">
        <w:t xml:space="preserve">new </w:t>
      </w:r>
      <w:r w:rsidR="007F395B">
        <w:t>tools</w:t>
      </w:r>
      <w:r w:rsidR="006A6A16">
        <w:t xml:space="preserve"> </w:t>
      </w:r>
      <w:r w:rsidR="003E4843">
        <w:t xml:space="preserve">that promise greater precision in the targeting of health interventions to individual patient needs. </w:t>
      </w:r>
    </w:p>
    <w:p w14:paraId="4D8CC93C" w14:textId="2D4F83A3" w:rsidR="004C6585" w:rsidRDefault="003478F3" w:rsidP="00D266AD">
      <w:pPr>
        <w:pStyle w:val="Heading2"/>
      </w:pPr>
      <w:bookmarkStart w:id="181" w:name="_Toc158900437"/>
      <w:r>
        <w:t>Genetic and genomic testing</w:t>
      </w:r>
      <w:bookmarkEnd w:id="181"/>
    </w:p>
    <w:p w14:paraId="48616503" w14:textId="210B39AB" w:rsidR="00E32851" w:rsidRDefault="00E32851" w:rsidP="00D266AD">
      <w:pPr>
        <w:keepNext/>
        <w:keepLines/>
      </w:pPr>
      <w:r w:rsidRPr="00B65382">
        <w:t>There is no accepted definition of how a genetic test differs from a genomic test</w:t>
      </w:r>
      <w:r w:rsidR="005073E1">
        <w:t>.</w:t>
      </w:r>
      <w:r>
        <w:rPr>
          <w:rStyle w:val="FootnoteReference"/>
        </w:rPr>
        <w:footnoteReference w:id="68"/>
      </w:r>
      <w:r w:rsidRPr="00B65382">
        <w:t xml:space="preserve"> </w:t>
      </w:r>
      <w:r>
        <w:t xml:space="preserve">The following definitions have previously been used: </w:t>
      </w:r>
    </w:p>
    <w:p w14:paraId="5B6D062B" w14:textId="235016FD" w:rsidR="00E32851" w:rsidRPr="00A668C1" w:rsidRDefault="00E32851" w:rsidP="00545702">
      <w:pPr>
        <w:pStyle w:val="ListContinue"/>
      </w:pPr>
      <w:r w:rsidRPr="00A668C1">
        <w:rPr>
          <w:b/>
          <w:bCs/>
        </w:rPr>
        <w:t>Genomic testing</w:t>
      </w:r>
      <w:r w:rsidRPr="00A668C1">
        <w:t>: testing of many genes or the entire genome at once. This can include gene panels, whole exome sequencing and whole genome sequencing.</w:t>
      </w:r>
      <w:bookmarkStart w:id="182" w:name="_Ref130372168"/>
      <w:r w:rsidRPr="00A668C1">
        <w:rPr>
          <w:rStyle w:val="FootnoteReference"/>
          <w:sz w:val="21"/>
          <w:szCs w:val="21"/>
        </w:rPr>
        <w:footnoteReference w:id="69"/>
      </w:r>
      <w:bookmarkEnd w:id="182"/>
      <w:r w:rsidRPr="00A668C1">
        <w:t xml:space="preserve"> </w:t>
      </w:r>
    </w:p>
    <w:p w14:paraId="648C0F3C" w14:textId="0D3E1B1D" w:rsidR="00A25F80" w:rsidRPr="00A668C1" w:rsidRDefault="00E32851" w:rsidP="00545702">
      <w:pPr>
        <w:pStyle w:val="ListContinue"/>
      </w:pPr>
      <w:r w:rsidRPr="00A668C1">
        <w:rPr>
          <w:b/>
          <w:bCs/>
        </w:rPr>
        <w:t>Genetic testing</w:t>
      </w:r>
      <w:r w:rsidRPr="00A668C1">
        <w:t>: testing of single genes or a small number of genes with testing performed in series, one step at a time.</w:t>
      </w:r>
      <w:bookmarkStart w:id="183" w:name="_Ref130371783"/>
      <w:r w:rsidRPr="00A668C1">
        <w:rPr>
          <w:rStyle w:val="FootnoteReference"/>
          <w:sz w:val="21"/>
          <w:szCs w:val="21"/>
        </w:rPr>
        <w:footnoteReference w:id="70"/>
      </w:r>
      <w:bookmarkEnd w:id="183"/>
    </w:p>
    <w:p w14:paraId="7CB19203" w14:textId="24147666" w:rsidR="00A25F80" w:rsidRDefault="00A25F80" w:rsidP="00E32851">
      <w:r>
        <w:t>Examples of types of genetic and genomic tests are pr</w:t>
      </w:r>
      <w:r w:rsidR="002F5368">
        <w:t>ovided</w:t>
      </w:r>
      <w:r>
        <w:t xml:space="preserve"> in </w:t>
      </w:r>
      <w:r w:rsidR="00C91C6E">
        <w:t>Table 12</w:t>
      </w:r>
      <w:r>
        <w:t>. Genetic</w:t>
      </w:r>
      <w:r w:rsidR="002A012E">
        <w:t xml:space="preserve"> and genomic</w:t>
      </w:r>
      <w:r>
        <w:t xml:space="preserve"> testing can be </w:t>
      </w:r>
      <w:r w:rsidR="002A012E">
        <w:t>used for both</w:t>
      </w:r>
      <w:r>
        <w:t xml:space="preserve"> somatic and germline testing (</w:t>
      </w:r>
      <w:r w:rsidR="00C91C6E">
        <w:t>Table 13</w:t>
      </w:r>
      <w:r>
        <w:t>).</w:t>
      </w:r>
    </w:p>
    <w:p w14:paraId="20DB5F4F" w14:textId="77777777" w:rsidR="00330FBE" w:rsidRDefault="00330FBE" w:rsidP="00E32851"/>
    <w:p w14:paraId="790E2B10" w14:textId="0BB0E829" w:rsidR="00E32851" w:rsidRPr="00330FBE" w:rsidRDefault="00E32851" w:rsidP="00330FBE">
      <w:pPr>
        <w:rPr>
          <w:b/>
          <w:bCs/>
          <w:color w:val="002060"/>
        </w:rPr>
      </w:pPr>
      <w:bookmarkStart w:id="184" w:name="_Ref130301340"/>
      <w:r w:rsidRPr="00330FBE">
        <w:rPr>
          <w:b/>
          <w:bCs/>
          <w:color w:val="002060"/>
        </w:rPr>
        <w:t xml:space="preserve">Table </w:t>
      </w:r>
      <w:bookmarkEnd w:id="184"/>
      <w:r w:rsidR="000C4E3D" w:rsidRPr="00330FBE">
        <w:rPr>
          <w:b/>
          <w:bCs/>
          <w:color w:val="002060"/>
        </w:rPr>
        <w:t>12</w:t>
      </w:r>
      <w:r w:rsidRPr="00330FBE">
        <w:rPr>
          <w:b/>
          <w:bCs/>
          <w:color w:val="002060"/>
        </w:rPr>
        <w:t xml:space="preserve"> </w:t>
      </w:r>
      <w:r w:rsidR="000C4E3D" w:rsidRPr="00330FBE">
        <w:rPr>
          <w:b/>
          <w:bCs/>
          <w:color w:val="002060"/>
        </w:rPr>
        <w:t>Categories</w:t>
      </w:r>
      <w:r w:rsidRPr="00330FBE">
        <w:rPr>
          <w:b/>
          <w:bCs/>
          <w:color w:val="002060"/>
        </w:rPr>
        <w:t xml:space="preserve"> of genetic and genomic tests </w:t>
      </w:r>
    </w:p>
    <w:tbl>
      <w:tblPr>
        <w:tblStyle w:val="DepartmentofHealthtable"/>
        <w:tblW w:w="9665" w:type="dxa"/>
        <w:tblLook w:val="04A0" w:firstRow="1" w:lastRow="0" w:firstColumn="1" w:lastColumn="0" w:noHBand="0" w:noVBand="1"/>
      </w:tblPr>
      <w:tblGrid>
        <w:gridCol w:w="2410"/>
        <w:gridCol w:w="2126"/>
        <w:gridCol w:w="2127"/>
        <w:gridCol w:w="3002"/>
      </w:tblGrid>
      <w:tr w:rsidR="00E32851" w:rsidRPr="00CB3A14" w14:paraId="56246C29" w14:textId="77777777" w:rsidTr="00493792">
        <w:trPr>
          <w:cnfStyle w:val="100000000000" w:firstRow="1" w:lastRow="0" w:firstColumn="0" w:lastColumn="0" w:oddVBand="0" w:evenVBand="0" w:oddHBand="0" w:evenHBand="0" w:firstRowFirstColumn="0" w:firstRowLastColumn="0" w:lastRowFirstColumn="0" w:lastRowLastColumn="0"/>
          <w:trHeight w:val="253"/>
          <w:tblHeader/>
        </w:trPr>
        <w:tc>
          <w:tcPr>
            <w:cnfStyle w:val="001000000000" w:firstRow="0" w:lastRow="0" w:firstColumn="1" w:lastColumn="0" w:oddVBand="0" w:evenVBand="0" w:oddHBand="0" w:evenHBand="0" w:firstRowFirstColumn="0" w:firstRowLastColumn="0" w:lastRowFirstColumn="0" w:lastRowLastColumn="0"/>
            <w:tcW w:w="2410" w:type="dxa"/>
          </w:tcPr>
          <w:p w14:paraId="2F970F5B" w14:textId="77777777" w:rsidR="00E32851" w:rsidRPr="00AE09D0" w:rsidRDefault="00E32851" w:rsidP="001752D3">
            <w:pPr>
              <w:spacing w:before="0"/>
              <w:jc w:val="center"/>
              <w:rPr>
                <w:rFonts w:asciiTheme="minorHAnsi" w:hAnsiTheme="minorHAnsi" w:cstheme="minorHAnsi"/>
                <w:b/>
                <w:bCs/>
                <w:sz w:val="20"/>
              </w:rPr>
            </w:pPr>
            <w:r w:rsidRPr="00AE09D0">
              <w:rPr>
                <w:rFonts w:asciiTheme="minorHAnsi" w:hAnsiTheme="minorHAnsi" w:cstheme="minorHAnsi"/>
                <w:b/>
                <w:bCs/>
                <w:sz w:val="20"/>
              </w:rPr>
              <w:t>Test/technology type</w:t>
            </w:r>
          </w:p>
        </w:tc>
        <w:tc>
          <w:tcPr>
            <w:tcW w:w="2126" w:type="dxa"/>
          </w:tcPr>
          <w:p w14:paraId="5134EA5A" w14:textId="77777777" w:rsidR="00E32851" w:rsidRPr="00AE09D0" w:rsidRDefault="00E32851" w:rsidP="001752D3">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What it looks for</w:t>
            </w:r>
          </w:p>
        </w:tc>
        <w:tc>
          <w:tcPr>
            <w:tcW w:w="2127" w:type="dxa"/>
          </w:tcPr>
          <w:p w14:paraId="760F65CB" w14:textId="5616A4DA" w:rsidR="00E32851" w:rsidRPr="00AE09D0" w:rsidRDefault="00E32851" w:rsidP="001752D3">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Example target/s/test</w:t>
            </w:r>
          </w:p>
        </w:tc>
        <w:tc>
          <w:tcPr>
            <w:tcW w:w="3002" w:type="dxa"/>
          </w:tcPr>
          <w:p w14:paraId="47C11A8D" w14:textId="77777777" w:rsidR="00E32851" w:rsidRPr="00AE09D0" w:rsidRDefault="00E32851" w:rsidP="001752D3">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Function</w:t>
            </w:r>
          </w:p>
        </w:tc>
      </w:tr>
      <w:tr w:rsidR="00E32851" w:rsidRPr="00CB3A14" w14:paraId="29418A04" w14:textId="77777777" w:rsidTr="00A668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410" w:type="dxa"/>
          </w:tcPr>
          <w:p w14:paraId="4E565209" w14:textId="137871C1" w:rsidR="00E32851" w:rsidRPr="00AE09D0" w:rsidRDefault="00E17655" w:rsidP="001752D3">
            <w:pPr>
              <w:spacing w:before="0"/>
              <w:jc w:val="center"/>
              <w:rPr>
                <w:rFonts w:cstheme="minorHAnsi"/>
                <w:b/>
                <w:bCs/>
              </w:rPr>
            </w:pPr>
            <w:r w:rsidRPr="00AE09D0">
              <w:rPr>
                <w:rFonts w:cstheme="minorHAnsi"/>
                <w:b/>
                <w:bCs/>
              </w:rPr>
              <w:t>S</w:t>
            </w:r>
            <w:r w:rsidR="00E32851" w:rsidRPr="00AE09D0">
              <w:rPr>
                <w:rFonts w:cstheme="minorHAnsi"/>
                <w:b/>
                <w:bCs/>
              </w:rPr>
              <w:t>ingle variant</w:t>
            </w:r>
            <w:r w:rsidRPr="00AE09D0">
              <w:rPr>
                <w:rFonts w:cstheme="minorHAnsi"/>
                <w:b/>
                <w:bCs/>
              </w:rPr>
              <w:t xml:space="preserve"> test</w:t>
            </w:r>
          </w:p>
        </w:tc>
        <w:tc>
          <w:tcPr>
            <w:tcW w:w="2126" w:type="dxa"/>
          </w:tcPr>
          <w:p w14:paraId="609607BF" w14:textId="77777777" w:rsidR="00E32851" w:rsidRPr="00AE09D0" w:rsidRDefault="00E32851" w:rsidP="001752D3">
            <w:pPr>
              <w:spacing w:before="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E09D0">
              <w:rPr>
                <w:rFonts w:cstheme="minorHAnsi"/>
                <w:color w:val="000000"/>
              </w:rPr>
              <w:t>Single variant in a specific gene</w:t>
            </w:r>
          </w:p>
        </w:tc>
        <w:tc>
          <w:tcPr>
            <w:tcW w:w="2127" w:type="dxa"/>
          </w:tcPr>
          <w:p w14:paraId="76B41A7A" w14:textId="2EF34EEE" w:rsidR="00E32851" w:rsidRPr="00AE09D0" w:rsidRDefault="002A012E" w:rsidP="001752D3">
            <w:pPr>
              <w:spacing w:before="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A</w:t>
            </w:r>
            <w:r w:rsidR="00E07025" w:rsidRPr="00AE09D0">
              <w:rPr>
                <w:rFonts w:cstheme="minorHAnsi"/>
                <w:color w:val="000000"/>
              </w:rPr>
              <w:t xml:space="preserve"> specific variant in the </w:t>
            </w:r>
            <w:r w:rsidR="00436418" w:rsidRPr="00E141F4">
              <w:rPr>
                <w:rFonts w:cstheme="minorHAnsi"/>
                <w:color w:val="000000"/>
              </w:rPr>
              <w:t>haemoglobin</w:t>
            </w:r>
            <w:r w:rsidR="00E141F4" w:rsidRPr="00E141F4">
              <w:rPr>
                <w:rFonts w:cstheme="minorHAnsi"/>
                <w:color w:val="000000"/>
              </w:rPr>
              <w:t xml:space="preserve"> subunit beta</w:t>
            </w:r>
            <w:r w:rsidR="00E07025" w:rsidRPr="00AE09D0">
              <w:rPr>
                <w:rFonts w:cstheme="minorHAnsi"/>
                <w:color w:val="000000"/>
              </w:rPr>
              <w:t xml:space="preserve"> gene</w:t>
            </w:r>
            <w:bookmarkStart w:id="185" w:name="_Ref130297672"/>
            <w:r w:rsidR="0047530C" w:rsidRPr="00AE09D0">
              <w:rPr>
                <w:rStyle w:val="FootnoteReference"/>
                <w:rFonts w:cstheme="minorHAnsi"/>
                <w:color w:val="000000"/>
              </w:rPr>
              <w:footnoteReference w:id="71"/>
            </w:r>
            <w:bookmarkEnd w:id="185"/>
          </w:p>
        </w:tc>
        <w:tc>
          <w:tcPr>
            <w:tcW w:w="3002" w:type="dxa"/>
          </w:tcPr>
          <w:p w14:paraId="7668B054" w14:textId="79AB777C" w:rsidR="00E32851" w:rsidRPr="00AE09D0" w:rsidRDefault="00BF7B19" w:rsidP="001752D3">
            <w:pPr>
              <w:spacing w:before="0"/>
              <w:cnfStyle w:val="000000100000" w:firstRow="0" w:lastRow="0" w:firstColumn="0" w:lastColumn="0" w:oddVBand="0" w:evenVBand="0" w:oddHBand="1" w:evenHBand="0" w:firstRowFirstColumn="0" w:firstRowLastColumn="0" w:lastRowFirstColumn="0" w:lastRowLastColumn="0"/>
              <w:rPr>
                <w:rFonts w:cstheme="minorHAnsi"/>
                <w:color w:val="000000"/>
              </w:rPr>
            </w:pPr>
            <w:r w:rsidRPr="00AE09D0">
              <w:rPr>
                <w:rFonts w:cstheme="minorHAnsi"/>
                <w:color w:val="000000"/>
              </w:rPr>
              <w:t>For individuals with clinical signs and symptoms, suspicion of, or family history of Sickle Cell Disease</w:t>
            </w:r>
            <w:r w:rsidR="0047530C" w:rsidRPr="00AE09D0">
              <w:rPr>
                <w:rFonts w:cstheme="minorHAnsi"/>
                <w:color w:val="000000"/>
              </w:rPr>
              <w:t xml:space="preserve">. </w:t>
            </w:r>
            <w:r w:rsidR="0047530C" w:rsidRPr="00AE09D0">
              <w:rPr>
                <w:rStyle w:val="FootnoteReference"/>
                <w:rFonts w:cstheme="minorHAnsi"/>
                <w:color w:val="000000"/>
              </w:rPr>
              <w:footnoteReference w:id="72"/>
            </w:r>
          </w:p>
        </w:tc>
      </w:tr>
      <w:tr w:rsidR="00E32851" w:rsidRPr="00CB3A14" w14:paraId="6F392499" w14:textId="77777777" w:rsidTr="00A668C1">
        <w:trPr>
          <w:cnfStyle w:val="000000010000" w:firstRow="0" w:lastRow="0" w:firstColumn="0" w:lastColumn="0" w:oddVBand="0" w:evenVBand="0" w:oddHBand="0" w:evenHBand="1"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410" w:type="dxa"/>
          </w:tcPr>
          <w:p w14:paraId="52588CE6" w14:textId="7A4D864A" w:rsidR="00E32851" w:rsidRPr="00AE09D0" w:rsidRDefault="00E32851" w:rsidP="001752D3">
            <w:pPr>
              <w:spacing w:before="0"/>
              <w:jc w:val="center"/>
              <w:rPr>
                <w:rFonts w:cstheme="minorHAnsi"/>
                <w:b/>
                <w:bCs/>
              </w:rPr>
            </w:pPr>
            <w:r w:rsidRPr="00AE09D0">
              <w:rPr>
                <w:rFonts w:cstheme="minorHAnsi"/>
                <w:b/>
                <w:bCs/>
              </w:rPr>
              <w:t>Single gene</w:t>
            </w:r>
            <w:r w:rsidR="00E17655" w:rsidRPr="00AE09D0">
              <w:rPr>
                <w:rFonts w:cstheme="minorHAnsi"/>
                <w:b/>
                <w:bCs/>
              </w:rPr>
              <w:t xml:space="preserve"> test</w:t>
            </w:r>
          </w:p>
        </w:tc>
        <w:tc>
          <w:tcPr>
            <w:tcW w:w="2126" w:type="dxa"/>
          </w:tcPr>
          <w:p w14:paraId="2A223E67" w14:textId="77777777" w:rsidR="00E32851" w:rsidRPr="00AE09D0" w:rsidRDefault="00E32851" w:rsidP="001752D3">
            <w:pPr>
              <w:spacing w:before="0"/>
              <w:cnfStyle w:val="000000010000" w:firstRow="0" w:lastRow="0" w:firstColumn="0" w:lastColumn="0" w:oddVBand="0" w:evenVBand="0" w:oddHBand="0" w:evenHBand="1" w:firstRowFirstColumn="0" w:firstRowLastColumn="0" w:lastRowFirstColumn="0" w:lastRowLastColumn="0"/>
              <w:rPr>
                <w:rFonts w:cstheme="minorHAnsi"/>
                <w:color w:val="000000"/>
              </w:rPr>
            </w:pPr>
            <w:r w:rsidRPr="00AE09D0">
              <w:rPr>
                <w:rFonts w:cstheme="minorHAnsi"/>
                <w:color w:val="000000"/>
              </w:rPr>
              <w:t>Multiple variants in a specific gene</w:t>
            </w:r>
          </w:p>
        </w:tc>
        <w:tc>
          <w:tcPr>
            <w:tcW w:w="2127" w:type="dxa"/>
          </w:tcPr>
          <w:p w14:paraId="7EC0D001" w14:textId="1FDCCCB9" w:rsidR="00E32851" w:rsidRPr="00AE09D0" w:rsidRDefault="00E141F4" w:rsidP="001752D3">
            <w:pPr>
              <w:spacing w:before="0"/>
              <w:cnfStyle w:val="000000010000" w:firstRow="0" w:lastRow="0" w:firstColumn="0" w:lastColumn="0" w:oddVBand="0" w:evenVBand="0" w:oddHBand="0" w:evenHBand="1" w:firstRowFirstColumn="0" w:firstRowLastColumn="0" w:lastRowFirstColumn="0" w:lastRowLastColumn="0"/>
              <w:rPr>
                <w:rFonts w:cstheme="minorHAnsi"/>
              </w:rPr>
            </w:pPr>
            <w:r w:rsidRPr="00E141F4">
              <w:rPr>
                <w:rFonts w:cstheme="minorHAnsi"/>
              </w:rPr>
              <w:t>vitamin K epoxide reductase</w:t>
            </w:r>
            <w:r>
              <w:rPr>
                <w:rFonts w:cstheme="minorHAnsi"/>
              </w:rPr>
              <w:t xml:space="preserve"> gene</w:t>
            </w:r>
          </w:p>
        </w:tc>
        <w:tc>
          <w:tcPr>
            <w:tcW w:w="3002" w:type="dxa"/>
          </w:tcPr>
          <w:p w14:paraId="45F8A75B" w14:textId="77777777" w:rsidR="00E32851" w:rsidRPr="00AE09D0" w:rsidRDefault="00E32851" w:rsidP="001752D3">
            <w:pPr>
              <w:spacing w:before="0"/>
              <w:cnfStyle w:val="000000010000" w:firstRow="0" w:lastRow="0" w:firstColumn="0" w:lastColumn="0" w:oddVBand="0" w:evenVBand="0" w:oddHBand="0" w:evenHBand="1" w:firstRowFirstColumn="0" w:firstRowLastColumn="0" w:lastRowFirstColumn="0" w:lastRowLastColumn="0"/>
              <w:rPr>
                <w:rFonts w:cstheme="minorHAnsi"/>
                <w:b/>
                <w:bCs/>
              </w:rPr>
            </w:pPr>
            <w:r w:rsidRPr="00AE09D0">
              <w:rPr>
                <w:rFonts w:cstheme="minorHAnsi"/>
                <w:color w:val="000000"/>
              </w:rPr>
              <w:t xml:space="preserve">Identify patients who have increased sensitivity to warfarin to guide drug dose. </w:t>
            </w:r>
            <w:r w:rsidRPr="00AE09D0">
              <w:rPr>
                <w:rStyle w:val="FootnoteReference"/>
                <w:rFonts w:cstheme="minorHAnsi"/>
                <w:color w:val="000000"/>
              </w:rPr>
              <w:footnoteReference w:id="73"/>
            </w:r>
          </w:p>
        </w:tc>
      </w:tr>
      <w:tr w:rsidR="00E32851" w:rsidRPr="00CB3A14" w14:paraId="56325759" w14:textId="77777777" w:rsidTr="00A668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410" w:type="dxa"/>
          </w:tcPr>
          <w:p w14:paraId="7E3DF9EA" w14:textId="2FCE4BB3" w:rsidR="00E32851" w:rsidRPr="00AE09D0" w:rsidRDefault="00E32851" w:rsidP="001752D3">
            <w:pPr>
              <w:spacing w:before="0"/>
              <w:jc w:val="center"/>
              <w:rPr>
                <w:rFonts w:cstheme="minorHAnsi"/>
                <w:b/>
                <w:bCs/>
              </w:rPr>
            </w:pPr>
            <w:r w:rsidRPr="00AE09D0">
              <w:rPr>
                <w:rFonts w:cstheme="minorHAnsi"/>
                <w:b/>
                <w:bCs/>
              </w:rPr>
              <w:t>Gene panel</w:t>
            </w:r>
            <w:r w:rsidR="00E17655" w:rsidRPr="00AE09D0">
              <w:rPr>
                <w:rFonts w:cstheme="minorHAnsi"/>
                <w:b/>
                <w:bCs/>
              </w:rPr>
              <w:t xml:space="preserve"> test</w:t>
            </w:r>
          </w:p>
        </w:tc>
        <w:tc>
          <w:tcPr>
            <w:tcW w:w="2126" w:type="dxa"/>
          </w:tcPr>
          <w:p w14:paraId="2AA97B6C" w14:textId="1B81B80D" w:rsidR="00E32851" w:rsidRPr="00AE09D0" w:rsidRDefault="00E32851" w:rsidP="001752D3">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 xml:space="preserve">Variants in </w:t>
            </w:r>
            <w:r w:rsidR="00AD6106" w:rsidRPr="00AE09D0">
              <w:rPr>
                <w:rFonts w:cstheme="minorHAnsi"/>
              </w:rPr>
              <w:t>more than one gene</w:t>
            </w:r>
            <w:r w:rsidR="00AD6106" w:rsidRPr="00AE09D0">
              <w:rPr>
                <w:rFonts w:cstheme="minorHAnsi"/>
                <w:vertAlign w:val="superscript"/>
              </w:rPr>
              <w:fldChar w:fldCharType="begin"/>
            </w:r>
            <w:r w:rsidR="00AD6106" w:rsidRPr="00AE09D0">
              <w:rPr>
                <w:rFonts w:cstheme="minorHAnsi"/>
                <w:vertAlign w:val="superscript"/>
              </w:rPr>
              <w:instrText xml:space="preserve"> NOTEREF _Ref130297672 \h  \* MERGEFORMAT </w:instrText>
            </w:r>
            <w:r w:rsidR="00AD6106" w:rsidRPr="00AE09D0">
              <w:rPr>
                <w:rFonts w:cstheme="minorHAnsi"/>
                <w:vertAlign w:val="superscript"/>
              </w:rPr>
            </w:r>
            <w:r w:rsidR="00AD6106" w:rsidRPr="00AE09D0">
              <w:rPr>
                <w:rFonts w:cstheme="minorHAnsi"/>
                <w:vertAlign w:val="superscript"/>
              </w:rPr>
              <w:fldChar w:fldCharType="separate"/>
            </w:r>
            <w:r w:rsidR="00395B47">
              <w:rPr>
                <w:rFonts w:cstheme="minorHAnsi"/>
                <w:vertAlign w:val="superscript"/>
              </w:rPr>
              <w:t>70</w:t>
            </w:r>
            <w:r w:rsidR="00AD6106" w:rsidRPr="00AE09D0">
              <w:rPr>
                <w:rFonts w:cstheme="minorHAnsi"/>
                <w:vertAlign w:val="superscript"/>
              </w:rPr>
              <w:fldChar w:fldCharType="end"/>
            </w:r>
          </w:p>
        </w:tc>
        <w:tc>
          <w:tcPr>
            <w:tcW w:w="2127" w:type="dxa"/>
          </w:tcPr>
          <w:p w14:paraId="42F0A9FD" w14:textId="4D643A51" w:rsidR="00E32851" w:rsidRPr="00AE09D0" w:rsidRDefault="000A1306" w:rsidP="001752D3">
            <w:pPr>
              <w:spacing w:before="0"/>
              <w:cnfStyle w:val="000000100000" w:firstRow="0" w:lastRow="0" w:firstColumn="0" w:lastColumn="0" w:oddVBand="0" w:evenVBand="0" w:oddHBand="1" w:evenHBand="0" w:firstRowFirstColumn="0" w:firstRowLastColumn="0" w:lastRowFirstColumn="0" w:lastRowLastColumn="0"/>
              <w:rPr>
                <w:rFonts w:cstheme="minorHAnsi"/>
                <w:lang w:val="da-DK"/>
              </w:rPr>
            </w:pPr>
            <w:r w:rsidRPr="00AE09D0">
              <w:rPr>
                <w:rFonts w:cstheme="minorHAnsi"/>
                <w:lang w:val="da-DK"/>
              </w:rPr>
              <w:t>Genes associated with epilepsy</w:t>
            </w:r>
            <w:r w:rsidR="00256439">
              <w:rPr>
                <w:rFonts w:cstheme="minorHAnsi"/>
                <w:lang w:val="da-DK"/>
              </w:rPr>
              <w:t xml:space="preserve"> or n</w:t>
            </w:r>
            <w:r w:rsidR="00FD684B">
              <w:rPr>
                <w:rFonts w:cstheme="minorHAnsi"/>
                <w:lang w:val="da-DK"/>
              </w:rPr>
              <w:t>euromuscular disorders</w:t>
            </w:r>
          </w:p>
        </w:tc>
        <w:tc>
          <w:tcPr>
            <w:tcW w:w="3002" w:type="dxa"/>
          </w:tcPr>
          <w:p w14:paraId="25B61AE4" w14:textId="24A9EB00" w:rsidR="00FE43F8" w:rsidRPr="00AE09D0" w:rsidRDefault="00B168D9" w:rsidP="001752D3">
            <w:pPr>
              <w:spacing w:before="0"/>
              <w:cnfStyle w:val="000000100000" w:firstRow="0" w:lastRow="0" w:firstColumn="0" w:lastColumn="0" w:oddVBand="0" w:evenVBand="0" w:oddHBand="1" w:evenHBand="0" w:firstRowFirstColumn="0" w:firstRowLastColumn="0" w:lastRowFirstColumn="0" w:lastRowLastColumn="0"/>
              <w:rPr>
                <w:rFonts w:cstheme="minorHAnsi"/>
              </w:rPr>
            </w:pPr>
            <w:r w:rsidRPr="00AE09D0">
              <w:rPr>
                <w:rFonts w:cstheme="minorHAnsi"/>
              </w:rPr>
              <w:t>Provide diagnostic information regarding a person’s risk of having a genetic epilepsy disorder.</w:t>
            </w:r>
            <w:r w:rsidR="00FE43F8" w:rsidRPr="00AE09D0">
              <w:rPr>
                <w:rFonts w:cstheme="minorHAnsi"/>
              </w:rPr>
              <w:t xml:space="preserve"> </w:t>
            </w:r>
            <w:r w:rsidR="00091EC8" w:rsidRPr="00AE09D0">
              <w:rPr>
                <w:rStyle w:val="FootnoteReference"/>
                <w:rFonts w:cstheme="minorHAnsi"/>
              </w:rPr>
              <w:footnoteReference w:id="74"/>
            </w:r>
            <w:r w:rsidR="00FE43F8" w:rsidRPr="00AE09D0">
              <w:rPr>
                <w:rFonts w:cstheme="minorHAnsi"/>
              </w:rPr>
              <w:t>This can help guide treatment to manage and prevent additional seizures or other related health problems.</w:t>
            </w:r>
            <w:r w:rsidR="001C7395" w:rsidRPr="00AE09D0">
              <w:rPr>
                <w:rStyle w:val="FootnoteReference"/>
                <w:rFonts w:cstheme="minorHAnsi"/>
              </w:rPr>
              <w:footnoteReference w:id="75"/>
            </w:r>
          </w:p>
        </w:tc>
      </w:tr>
      <w:tr w:rsidR="002A012E" w:rsidRPr="00CB3A14" w14:paraId="0A20CE63" w14:textId="77777777" w:rsidTr="00A668C1">
        <w:trPr>
          <w:cnfStyle w:val="000000010000" w:firstRow="0" w:lastRow="0" w:firstColumn="0" w:lastColumn="0" w:oddVBand="0" w:evenVBand="0" w:oddHBand="0" w:evenHBand="1"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2410" w:type="dxa"/>
          </w:tcPr>
          <w:p w14:paraId="644DC5D9" w14:textId="3DE270E7" w:rsidR="002A012E" w:rsidRPr="00AE09D0" w:rsidRDefault="002A012E" w:rsidP="001752D3">
            <w:pPr>
              <w:spacing w:before="0"/>
              <w:jc w:val="center"/>
              <w:rPr>
                <w:rFonts w:cstheme="minorHAnsi"/>
                <w:b/>
                <w:bCs/>
              </w:rPr>
            </w:pPr>
            <w:r>
              <w:rPr>
                <w:rFonts w:cstheme="minorHAnsi"/>
                <w:b/>
                <w:bCs/>
              </w:rPr>
              <w:t>Whole genome/exome/ transcriptome sequencing</w:t>
            </w:r>
          </w:p>
        </w:tc>
        <w:tc>
          <w:tcPr>
            <w:tcW w:w="2126" w:type="dxa"/>
          </w:tcPr>
          <w:p w14:paraId="16AC11D7" w14:textId="44F53715" w:rsidR="002A012E" w:rsidRPr="00AE09D0" w:rsidRDefault="002A012E" w:rsidP="001752D3">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Assembles the sequence for the bulk of an individual’s DNA or RNA, then usually restricts analysis to a virtual panel of relevant genes</w:t>
            </w:r>
            <w:r>
              <w:rPr>
                <w:rFonts w:cstheme="minorHAnsi"/>
                <w:vertAlign w:val="superscript"/>
              </w:rPr>
              <w:fldChar w:fldCharType="begin"/>
            </w:r>
            <w:r>
              <w:rPr>
                <w:rFonts w:cstheme="minorHAnsi"/>
                <w:vertAlign w:val="superscript"/>
              </w:rPr>
              <w:instrText xml:space="preserve"> NOTEREF _Ref130297672 \h  \* MERGEFORMAT </w:instrText>
            </w:r>
            <w:r>
              <w:rPr>
                <w:rFonts w:cstheme="minorHAnsi"/>
                <w:vertAlign w:val="superscript"/>
              </w:rPr>
            </w:r>
            <w:r>
              <w:rPr>
                <w:rFonts w:cstheme="minorHAnsi"/>
                <w:vertAlign w:val="superscript"/>
              </w:rPr>
              <w:fldChar w:fldCharType="separate"/>
            </w:r>
            <w:r w:rsidR="00395B47">
              <w:rPr>
                <w:rFonts w:cstheme="minorHAnsi"/>
                <w:vertAlign w:val="superscript"/>
              </w:rPr>
              <w:t>70</w:t>
            </w:r>
            <w:r>
              <w:rPr>
                <w:rFonts w:cstheme="minorHAnsi"/>
                <w:vertAlign w:val="superscript"/>
              </w:rPr>
              <w:fldChar w:fldCharType="end"/>
            </w:r>
          </w:p>
        </w:tc>
        <w:tc>
          <w:tcPr>
            <w:tcW w:w="2127" w:type="dxa"/>
          </w:tcPr>
          <w:p w14:paraId="2D865511" w14:textId="4CF4AF23" w:rsidR="002A012E" w:rsidRPr="00AE09D0" w:rsidRDefault="002A012E" w:rsidP="001752D3">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Variations associated with a range of diseases that can cause the signs/symptoms seen in the patient</w:t>
            </w:r>
          </w:p>
        </w:tc>
        <w:tc>
          <w:tcPr>
            <w:tcW w:w="3002" w:type="dxa"/>
          </w:tcPr>
          <w:p w14:paraId="157A266D" w14:textId="07D474CB" w:rsidR="002A012E" w:rsidRPr="00AE09D0" w:rsidRDefault="002A012E" w:rsidP="001752D3">
            <w:p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Used when the suspected condition or genetic cause is uncertain.</w:t>
            </w:r>
            <w:r>
              <w:rPr>
                <w:rFonts w:cstheme="minorHAnsi"/>
                <w:vertAlign w:val="superscript"/>
              </w:rPr>
              <w:fldChar w:fldCharType="begin"/>
            </w:r>
            <w:r>
              <w:rPr>
                <w:rFonts w:cstheme="minorHAnsi"/>
                <w:vertAlign w:val="superscript"/>
              </w:rPr>
              <w:instrText xml:space="preserve"> NOTEREF _Ref130297672 \h  \* MERGEFORMAT </w:instrText>
            </w:r>
            <w:r>
              <w:rPr>
                <w:rFonts w:cstheme="minorHAnsi"/>
                <w:vertAlign w:val="superscript"/>
              </w:rPr>
            </w:r>
            <w:r>
              <w:rPr>
                <w:rFonts w:cstheme="minorHAnsi"/>
                <w:vertAlign w:val="superscript"/>
              </w:rPr>
              <w:fldChar w:fldCharType="separate"/>
            </w:r>
            <w:r w:rsidR="00395B47">
              <w:rPr>
                <w:rFonts w:cstheme="minorHAnsi"/>
                <w:vertAlign w:val="superscript"/>
              </w:rPr>
              <w:t>70</w:t>
            </w:r>
            <w:r>
              <w:rPr>
                <w:rFonts w:cstheme="minorHAnsi"/>
                <w:vertAlign w:val="superscript"/>
              </w:rPr>
              <w:fldChar w:fldCharType="end"/>
            </w:r>
            <w:r>
              <w:rPr>
                <w:rFonts w:cstheme="minorHAnsi"/>
              </w:rPr>
              <w:t xml:space="preserve"> Can be used when single gene testing has not provided a diagnosis. Supports re-analysis of previously unreported genes/</w:t>
            </w:r>
            <w:r w:rsidR="008E03B0">
              <w:rPr>
                <w:rFonts w:cstheme="minorHAnsi"/>
              </w:rPr>
              <w:t>variants because</w:t>
            </w:r>
            <w:r>
              <w:rPr>
                <w:rFonts w:cstheme="minorHAnsi"/>
              </w:rPr>
              <w:t xml:space="preserve"> the sequence assembled is greater than that analysed.</w:t>
            </w:r>
          </w:p>
        </w:tc>
      </w:tr>
      <w:tr w:rsidR="002A012E" w14:paraId="709C2215" w14:textId="77777777" w:rsidTr="002A012E">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2410" w:type="dxa"/>
            <w:hideMark/>
          </w:tcPr>
          <w:p w14:paraId="45ABF96F" w14:textId="77777777" w:rsidR="002A012E" w:rsidRDefault="002A012E" w:rsidP="001752D3">
            <w:pPr>
              <w:spacing w:before="0"/>
              <w:jc w:val="center"/>
              <w:rPr>
                <w:rFonts w:cstheme="minorHAnsi"/>
                <w:b/>
                <w:bCs/>
              </w:rPr>
            </w:pPr>
            <w:bookmarkStart w:id="186" w:name="_Ref130301400"/>
            <w:r>
              <w:rPr>
                <w:rFonts w:cstheme="minorHAnsi"/>
                <w:b/>
                <w:bCs/>
              </w:rPr>
              <w:t>Algorithmic genomic test</w:t>
            </w:r>
          </w:p>
        </w:tc>
        <w:tc>
          <w:tcPr>
            <w:tcW w:w="2126" w:type="dxa"/>
            <w:hideMark/>
          </w:tcPr>
          <w:p w14:paraId="718CEB8A" w14:textId="2C1211F3" w:rsidR="002A012E" w:rsidRDefault="002A012E" w:rsidP="001752D3">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Algorithmic interpretation of information</w:t>
            </w:r>
            <w:r w:rsidR="001A16B8">
              <w:rPr>
                <w:rFonts w:cstheme="minorHAnsi"/>
              </w:rPr>
              <w:t xml:space="preserve"> about genes and/or their expression</w:t>
            </w:r>
            <w:r>
              <w:rPr>
                <w:rFonts w:cstheme="minorHAnsi"/>
              </w:rPr>
              <w:t xml:space="preserve"> (sometimes in conjunction with clinical information)</w:t>
            </w:r>
          </w:p>
        </w:tc>
        <w:tc>
          <w:tcPr>
            <w:tcW w:w="2127" w:type="dxa"/>
            <w:hideMark/>
          </w:tcPr>
          <w:p w14:paraId="463513A1" w14:textId="77777777" w:rsidR="002A012E" w:rsidRDefault="002A012E" w:rsidP="001752D3">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Gene expression profiling tests in breast cancer; homologous recombination deficiency (HRD) testing; polygenic risk scores</w:t>
            </w:r>
          </w:p>
        </w:tc>
        <w:tc>
          <w:tcPr>
            <w:tcW w:w="3002" w:type="dxa"/>
            <w:hideMark/>
          </w:tcPr>
          <w:p w14:paraId="7D3EE31F" w14:textId="77777777" w:rsidR="002A012E" w:rsidRDefault="002A012E" w:rsidP="001752D3">
            <w:p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algorithm result can have prognostic and/or predictive value.</w:t>
            </w:r>
          </w:p>
        </w:tc>
      </w:tr>
    </w:tbl>
    <w:p w14:paraId="2B3B5D32" w14:textId="77777777" w:rsidR="00B95FBB" w:rsidRDefault="00B95FBB" w:rsidP="00B95FBB">
      <w:pPr>
        <w:spacing w:before="0" w:after="160"/>
      </w:pPr>
    </w:p>
    <w:p w14:paraId="4AEB1174" w14:textId="64EB03E3" w:rsidR="00A25F80" w:rsidRPr="00330FBE" w:rsidRDefault="00A25F80" w:rsidP="00330FBE">
      <w:pPr>
        <w:rPr>
          <w:b/>
          <w:bCs/>
          <w:color w:val="002060"/>
        </w:rPr>
      </w:pPr>
      <w:r w:rsidRPr="00330FBE">
        <w:rPr>
          <w:b/>
          <w:bCs/>
          <w:color w:val="002060"/>
        </w:rPr>
        <w:t xml:space="preserve">Table </w:t>
      </w:r>
      <w:bookmarkEnd w:id="186"/>
      <w:r w:rsidR="000C4E3D" w:rsidRPr="00330FBE">
        <w:rPr>
          <w:b/>
          <w:bCs/>
          <w:color w:val="002060"/>
        </w:rPr>
        <w:t xml:space="preserve">13 </w:t>
      </w:r>
      <w:r w:rsidRPr="00330FBE">
        <w:rPr>
          <w:b/>
          <w:bCs/>
          <w:color w:val="002060"/>
        </w:rPr>
        <w:t>Somatic and germline testing</w:t>
      </w:r>
    </w:p>
    <w:tbl>
      <w:tblPr>
        <w:tblStyle w:val="DepartmentofHealthtable"/>
        <w:tblW w:w="9634" w:type="dxa"/>
        <w:tblLook w:val="04A0" w:firstRow="1" w:lastRow="0" w:firstColumn="1" w:lastColumn="0" w:noHBand="0" w:noVBand="1"/>
      </w:tblPr>
      <w:tblGrid>
        <w:gridCol w:w="1355"/>
        <w:gridCol w:w="3921"/>
        <w:gridCol w:w="4358"/>
      </w:tblGrid>
      <w:tr w:rsidR="00C0517C" w14:paraId="7C83F224" w14:textId="77777777" w:rsidTr="00A80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0AD50D01" w14:textId="32A179A7" w:rsidR="00C0517C" w:rsidRPr="00AE09D0" w:rsidRDefault="00D108DF" w:rsidP="00D266AD">
            <w:pPr>
              <w:keepNext/>
              <w:keepLines/>
              <w:spacing w:before="0"/>
              <w:jc w:val="center"/>
              <w:rPr>
                <w:rFonts w:asciiTheme="minorHAnsi" w:hAnsiTheme="minorHAnsi" w:cstheme="minorHAnsi"/>
                <w:b/>
                <w:bCs/>
                <w:sz w:val="20"/>
              </w:rPr>
            </w:pPr>
            <w:r w:rsidRPr="00AE09D0">
              <w:rPr>
                <w:rFonts w:asciiTheme="minorHAnsi" w:hAnsiTheme="minorHAnsi" w:cstheme="minorHAnsi"/>
                <w:b/>
                <w:bCs/>
                <w:sz w:val="20"/>
              </w:rPr>
              <w:t>Test type</w:t>
            </w:r>
          </w:p>
        </w:tc>
        <w:tc>
          <w:tcPr>
            <w:tcW w:w="3921" w:type="dxa"/>
          </w:tcPr>
          <w:p w14:paraId="2A608581" w14:textId="77777777" w:rsidR="00C0517C" w:rsidRPr="00AE09D0" w:rsidRDefault="00C0517C" w:rsidP="00D266AD">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What it looks at</w:t>
            </w:r>
          </w:p>
        </w:tc>
        <w:tc>
          <w:tcPr>
            <w:tcW w:w="4358" w:type="dxa"/>
          </w:tcPr>
          <w:p w14:paraId="53EE6ACC" w14:textId="77777777" w:rsidR="00C0517C" w:rsidRPr="00AE09D0" w:rsidRDefault="00C0517C" w:rsidP="00D266AD">
            <w:pPr>
              <w:keepNext/>
              <w:keepLine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rPr>
            </w:pPr>
            <w:r w:rsidRPr="00AE09D0">
              <w:rPr>
                <w:rFonts w:asciiTheme="minorHAnsi" w:hAnsiTheme="minorHAnsi" w:cstheme="minorHAnsi"/>
                <w:b/>
                <w:bCs/>
                <w:sz w:val="20"/>
              </w:rPr>
              <w:t>Purposes</w:t>
            </w:r>
          </w:p>
        </w:tc>
      </w:tr>
      <w:tr w:rsidR="002A012E" w14:paraId="3FA56007"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CED4DB4" w14:textId="0218760A" w:rsidR="002A012E" w:rsidRPr="00AE09D0" w:rsidRDefault="002A012E" w:rsidP="00D266AD">
            <w:pPr>
              <w:keepNext/>
              <w:keepLines/>
              <w:spacing w:before="0"/>
              <w:jc w:val="center"/>
              <w:rPr>
                <w:rFonts w:cstheme="minorHAnsi"/>
              </w:rPr>
            </w:pPr>
            <w:r>
              <w:rPr>
                <w:rFonts w:cstheme="minorHAnsi"/>
              </w:rPr>
              <w:t>Germline</w:t>
            </w:r>
          </w:p>
        </w:tc>
        <w:tc>
          <w:tcPr>
            <w:tcW w:w="3921" w:type="dxa"/>
          </w:tcPr>
          <w:p w14:paraId="66CAF1B1" w14:textId="61454A90" w:rsidR="002A012E" w:rsidRPr="00AE09D0" w:rsidRDefault="002A012E" w:rsidP="00D266AD">
            <w:pPr>
              <w:keepNext/>
              <w:keepLines/>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Inherited variants that are present throughout the body (including tumour cells) and have been present since birth.</w:t>
            </w:r>
            <w:bookmarkStart w:id="187" w:name="_Ref130306560"/>
            <w:r>
              <w:rPr>
                <w:rStyle w:val="FootnoteReference"/>
                <w:rFonts w:cstheme="minorHAnsi"/>
              </w:rPr>
              <w:footnoteReference w:id="76"/>
            </w:r>
            <w:bookmarkEnd w:id="187"/>
          </w:p>
        </w:tc>
        <w:tc>
          <w:tcPr>
            <w:tcW w:w="4358" w:type="dxa"/>
          </w:tcPr>
          <w:p w14:paraId="4E4DBCCF" w14:textId="77777777" w:rsidR="002A012E" w:rsidRDefault="002A012E" w:rsidP="00D266AD">
            <w:pPr>
              <w:pStyle w:val="ListParagraph"/>
              <w:keepNext/>
              <w:keepLines/>
              <w:numPr>
                <w:ilvl w:val="0"/>
                <w:numId w:val="34"/>
              </w:num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Diagnosing or estimating susceptibility to genetic/hereditary diseases, including cancer predisposition</w:t>
            </w:r>
          </w:p>
          <w:p w14:paraId="17513E86" w14:textId="77777777" w:rsidR="002A012E" w:rsidRDefault="002A012E" w:rsidP="00D266AD">
            <w:pPr>
              <w:pStyle w:val="ListParagraph"/>
              <w:keepNext/>
              <w:keepLines/>
              <w:numPr>
                <w:ilvl w:val="0"/>
                <w:numId w:val="34"/>
              </w:num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Allowing cascade testing of biological relatives</w:t>
            </w:r>
          </w:p>
          <w:p w14:paraId="22D84EAF" w14:textId="35607BB1" w:rsidR="002A012E" w:rsidRDefault="002A012E" w:rsidP="00D266AD">
            <w:pPr>
              <w:pStyle w:val="ListParagraph"/>
              <w:keepNext/>
              <w:keepLines/>
              <w:numPr>
                <w:ilvl w:val="0"/>
                <w:numId w:val="34"/>
              </w:num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Allowing reproductive carrier testing and </w:t>
            </w:r>
            <w:r w:rsidR="008E03B0">
              <w:rPr>
                <w:rFonts w:cstheme="minorHAnsi"/>
              </w:rPr>
              <w:t>foetal</w:t>
            </w:r>
            <w:r>
              <w:rPr>
                <w:rFonts w:cstheme="minorHAnsi"/>
              </w:rPr>
              <w:t xml:space="preserve"> testing to support informed reproductive decision-making</w:t>
            </w:r>
          </w:p>
          <w:p w14:paraId="5F4F454C" w14:textId="77777777" w:rsidR="002A012E" w:rsidRDefault="002A012E" w:rsidP="00D266AD">
            <w:pPr>
              <w:pStyle w:val="ListParagraph"/>
              <w:keepNext/>
              <w:keepLines/>
              <w:numPr>
                <w:ilvl w:val="0"/>
                <w:numId w:val="34"/>
              </w:num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Providing prognostic information</w:t>
            </w:r>
          </w:p>
          <w:p w14:paraId="2C652767" w14:textId="7F225783" w:rsidR="002A012E" w:rsidRPr="00AE09D0" w:rsidRDefault="002A012E" w:rsidP="00D266AD">
            <w:pPr>
              <w:pStyle w:val="ListParagraph"/>
              <w:keepNext/>
              <w:keepLines/>
              <w:numPr>
                <w:ilvl w:val="0"/>
                <w:numId w:val="19"/>
              </w:numPr>
              <w:spacing w:before="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Predicting response to specific therapies to facilitate selection of optimal treatment choice, and/or tailor dosages</w:t>
            </w:r>
          </w:p>
        </w:tc>
      </w:tr>
      <w:tr w:rsidR="002A012E" w14:paraId="29DAB395"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4661BC91" w14:textId="61C41903" w:rsidR="002A012E" w:rsidRPr="00AE09D0" w:rsidRDefault="002A012E" w:rsidP="00D266AD">
            <w:pPr>
              <w:keepNext/>
              <w:keepLines/>
              <w:spacing w:before="0"/>
              <w:jc w:val="center"/>
              <w:rPr>
                <w:rFonts w:cstheme="minorHAnsi"/>
              </w:rPr>
            </w:pPr>
            <w:r>
              <w:rPr>
                <w:rFonts w:cstheme="minorHAnsi"/>
              </w:rPr>
              <w:t>Somatic</w:t>
            </w:r>
          </w:p>
        </w:tc>
        <w:tc>
          <w:tcPr>
            <w:tcW w:w="3921" w:type="dxa"/>
          </w:tcPr>
          <w:p w14:paraId="2E8BE037" w14:textId="5D25331B" w:rsidR="002A012E" w:rsidRPr="00AE09D0" w:rsidRDefault="002A012E" w:rsidP="00D266AD">
            <w:pPr>
              <w:keepNext/>
              <w:keepLines/>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Acquired mutations in a confined set of cells or tissue. This is also known as tumour testing or tumour sequencing.</w:t>
            </w:r>
            <w:r>
              <w:rPr>
                <w:rFonts w:cstheme="minorHAnsi"/>
                <w:vertAlign w:val="superscript"/>
              </w:rPr>
              <w:fldChar w:fldCharType="begin"/>
            </w:r>
            <w:r>
              <w:rPr>
                <w:rFonts w:cstheme="minorHAnsi"/>
                <w:vertAlign w:val="superscript"/>
              </w:rPr>
              <w:instrText xml:space="preserve"> NOTEREF _Ref130306560 \h  \* MERGEFORMAT </w:instrText>
            </w:r>
            <w:r>
              <w:rPr>
                <w:rFonts w:cstheme="minorHAnsi"/>
                <w:vertAlign w:val="superscript"/>
              </w:rPr>
            </w:r>
            <w:r>
              <w:rPr>
                <w:rFonts w:cstheme="minorHAnsi"/>
                <w:vertAlign w:val="superscript"/>
              </w:rPr>
              <w:fldChar w:fldCharType="separate"/>
            </w:r>
            <w:r w:rsidR="00395B47">
              <w:rPr>
                <w:rFonts w:cstheme="minorHAnsi"/>
                <w:vertAlign w:val="superscript"/>
              </w:rPr>
              <w:t>75</w:t>
            </w:r>
            <w:r>
              <w:rPr>
                <w:rFonts w:cstheme="minorHAnsi"/>
                <w:vertAlign w:val="superscript"/>
              </w:rPr>
              <w:fldChar w:fldCharType="end"/>
            </w:r>
            <w:r>
              <w:rPr>
                <w:rFonts w:cstheme="minorHAnsi"/>
              </w:rPr>
              <w:t xml:space="preserve"> Somatic genetic testing will examine a piece of tissue or tumour taken through a biopsy or surgery and look for mutations that have occurred spontaneously.</w:t>
            </w:r>
            <w:r>
              <w:rPr>
                <w:rFonts w:cstheme="minorHAnsi"/>
                <w:vertAlign w:val="superscript"/>
              </w:rPr>
              <w:fldChar w:fldCharType="begin"/>
            </w:r>
            <w:r>
              <w:rPr>
                <w:rFonts w:cstheme="minorHAnsi"/>
                <w:vertAlign w:val="superscript"/>
              </w:rPr>
              <w:instrText xml:space="preserve"> NOTEREF _Ref130306560 \h  \* MERGEFORMAT </w:instrText>
            </w:r>
            <w:r>
              <w:rPr>
                <w:rFonts w:cstheme="minorHAnsi"/>
                <w:vertAlign w:val="superscript"/>
              </w:rPr>
            </w:r>
            <w:r>
              <w:rPr>
                <w:rFonts w:cstheme="minorHAnsi"/>
                <w:vertAlign w:val="superscript"/>
              </w:rPr>
              <w:fldChar w:fldCharType="separate"/>
            </w:r>
            <w:r w:rsidR="00395B47">
              <w:rPr>
                <w:rFonts w:cstheme="minorHAnsi"/>
                <w:vertAlign w:val="superscript"/>
              </w:rPr>
              <w:t>75</w:t>
            </w:r>
            <w:r>
              <w:rPr>
                <w:rFonts w:cstheme="minorHAnsi"/>
                <w:vertAlign w:val="superscript"/>
              </w:rPr>
              <w:fldChar w:fldCharType="end"/>
            </w:r>
            <w:r>
              <w:rPr>
                <w:rFonts w:cstheme="minorHAnsi"/>
              </w:rPr>
              <w:t xml:space="preserve"> These mutations are typically isolated to the tumour or area where cancer exists in the body.</w:t>
            </w:r>
            <w:r>
              <w:rPr>
                <w:rFonts w:cstheme="minorHAnsi"/>
                <w:vertAlign w:val="superscript"/>
              </w:rPr>
              <w:fldChar w:fldCharType="begin"/>
            </w:r>
            <w:r>
              <w:rPr>
                <w:rFonts w:cstheme="minorHAnsi"/>
                <w:vertAlign w:val="superscript"/>
              </w:rPr>
              <w:instrText xml:space="preserve"> NOTEREF _Ref130306560 \h  \* MERGEFORMAT </w:instrText>
            </w:r>
            <w:r>
              <w:rPr>
                <w:rFonts w:cstheme="minorHAnsi"/>
                <w:vertAlign w:val="superscript"/>
              </w:rPr>
            </w:r>
            <w:r>
              <w:rPr>
                <w:rFonts w:cstheme="minorHAnsi"/>
                <w:vertAlign w:val="superscript"/>
              </w:rPr>
              <w:fldChar w:fldCharType="separate"/>
            </w:r>
            <w:r w:rsidR="00395B47">
              <w:rPr>
                <w:rFonts w:cstheme="minorHAnsi"/>
                <w:vertAlign w:val="superscript"/>
              </w:rPr>
              <w:t>75</w:t>
            </w:r>
            <w:r>
              <w:rPr>
                <w:rFonts w:cstheme="minorHAnsi"/>
                <w:vertAlign w:val="superscript"/>
              </w:rPr>
              <w:fldChar w:fldCharType="end"/>
            </w:r>
            <w:r>
              <w:rPr>
                <w:rFonts w:cstheme="minorHAnsi"/>
                <w:vertAlign w:val="superscript"/>
              </w:rPr>
              <w:t xml:space="preserve"> </w:t>
            </w:r>
          </w:p>
        </w:tc>
        <w:tc>
          <w:tcPr>
            <w:tcW w:w="4358" w:type="dxa"/>
          </w:tcPr>
          <w:p w14:paraId="0286F95B" w14:textId="77777777" w:rsidR="002A012E" w:rsidRDefault="002A012E" w:rsidP="00D266AD">
            <w:pPr>
              <w:pStyle w:val="ListParagraph"/>
              <w:keepNext/>
              <w:keepLines/>
              <w:numPr>
                <w:ilvl w:val="0"/>
                <w:numId w:val="35"/>
              </w:num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Facilitating diagnosis of cancer type, and/or refining or refuting the diagnosis</w:t>
            </w:r>
          </w:p>
          <w:p w14:paraId="0F18CB8A" w14:textId="77777777" w:rsidR="002A012E" w:rsidRDefault="002A012E" w:rsidP="00D266AD">
            <w:pPr>
              <w:pStyle w:val="ListParagraph"/>
              <w:keepNext/>
              <w:keepLines/>
              <w:numPr>
                <w:ilvl w:val="0"/>
                <w:numId w:val="35"/>
              </w:num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Providing prognostic information</w:t>
            </w:r>
          </w:p>
          <w:p w14:paraId="45451872" w14:textId="77777777" w:rsidR="002A012E" w:rsidRDefault="002A012E" w:rsidP="00D266AD">
            <w:pPr>
              <w:pStyle w:val="ListParagraph"/>
              <w:keepNext/>
              <w:keepLines/>
              <w:numPr>
                <w:ilvl w:val="0"/>
                <w:numId w:val="35"/>
              </w:numPr>
              <w:spacing w:before="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Determining suitability of therapy by finding predictors that may impact treatment response</w:t>
            </w:r>
          </w:p>
          <w:p w14:paraId="06C79772" w14:textId="77777777" w:rsidR="002A012E" w:rsidRDefault="002A012E" w:rsidP="00D266AD">
            <w:pPr>
              <w:keepNext/>
              <w:keepLines/>
              <w:spacing w:before="0"/>
              <w:cnfStyle w:val="000000010000" w:firstRow="0" w:lastRow="0" w:firstColumn="0" w:lastColumn="0" w:oddVBand="0" w:evenVBand="0" w:oddHBand="0" w:evenHBand="1" w:firstRowFirstColumn="0" w:firstRowLastColumn="0" w:lastRowFirstColumn="0" w:lastRowLastColumn="0"/>
              <w:rPr>
                <w:rFonts w:cstheme="minorHAnsi"/>
              </w:rPr>
            </w:pPr>
          </w:p>
          <w:p w14:paraId="7FD858FC" w14:textId="41EEF08C" w:rsidR="002A012E" w:rsidRPr="00AE09D0" w:rsidRDefault="002A012E" w:rsidP="00D266AD">
            <w:pPr>
              <w:keepNext/>
              <w:keepLines/>
              <w:spacing w:before="0"/>
              <w:cnfStyle w:val="000000010000" w:firstRow="0" w:lastRow="0" w:firstColumn="0" w:lastColumn="0" w:oddVBand="0" w:evenVBand="0" w:oddHBand="0" w:evenHBand="1" w:firstRowFirstColumn="0" w:firstRowLastColumn="0" w:lastRowFirstColumn="0" w:lastRowLastColumn="0"/>
              <w:rPr>
                <w:rFonts w:cstheme="minorHAnsi"/>
              </w:rPr>
            </w:pPr>
          </w:p>
        </w:tc>
      </w:tr>
    </w:tbl>
    <w:p w14:paraId="1D8CF69E" w14:textId="1D44CC0B" w:rsidR="004C6585" w:rsidRDefault="004C6585" w:rsidP="00545702">
      <w:pPr>
        <w:pStyle w:val="Heading3"/>
        <w:ind w:left="709"/>
      </w:pPr>
      <w:r>
        <w:t xml:space="preserve">Applications of genetic and genomic testing in disease management </w:t>
      </w:r>
    </w:p>
    <w:p w14:paraId="242BF55E" w14:textId="4458B97D" w:rsidR="007A5A66" w:rsidRDefault="007A5A66" w:rsidP="007A5A66">
      <w:r>
        <w:t>In hereditary disease, the utility of genetic testing may be used to:</w:t>
      </w:r>
    </w:p>
    <w:p w14:paraId="4570D052" w14:textId="613F0EA3" w:rsidR="007A5A66" w:rsidRDefault="007A5A66" w:rsidP="00545702">
      <w:pPr>
        <w:pStyle w:val="ListNumber"/>
        <w:numPr>
          <w:ilvl w:val="0"/>
          <w:numId w:val="56"/>
        </w:numPr>
      </w:pPr>
      <w:r>
        <w:t>Make</w:t>
      </w:r>
      <w:r w:rsidR="000E68A5">
        <w:t>, refine</w:t>
      </w:r>
      <w:r>
        <w:t xml:space="preserve"> or refute the diagnosis of a heritable disease </w:t>
      </w:r>
    </w:p>
    <w:p w14:paraId="13F4A3F9" w14:textId="77777777" w:rsidR="007A5A66" w:rsidRDefault="007A5A66" w:rsidP="00545702">
      <w:pPr>
        <w:pStyle w:val="ListNumber"/>
        <w:numPr>
          <w:ilvl w:val="0"/>
          <w:numId w:val="56"/>
        </w:numPr>
      </w:pPr>
      <w:r w:rsidRPr="00FF2ED7">
        <w:t xml:space="preserve">Inform the effect of the </w:t>
      </w:r>
      <w:r>
        <w:t xml:space="preserve">genetic </w:t>
      </w:r>
      <w:r w:rsidRPr="00FF2ED7">
        <w:t xml:space="preserve">variant on </w:t>
      </w:r>
      <w:r>
        <w:t xml:space="preserve">disease </w:t>
      </w:r>
      <w:r w:rsidRPr="00FF2ED7">
        <w:t xml:space="preserve">outcome in the absence of treatment change </w:t>
      </w:r>
      <w:r>
        <w:t>(i.e., prognosis)</w:t>
      </w:r>
    </w:p>
    <w:p w14:paraId="2B433431" w14:textId="77777777" w:rsidR="007A5A66" w:rsidRDefault="007A5A66" w:rsidP="00545702">
      <w:pPr>
        <w:pStyle w:val="ListNumber"/>
        <w:numPr>
          <w:ilvl w:val="0"/>
          <w:numId w:val="56"/>
        </w:numPr>
      </w:pPr>
      <w:r>
        <w:t>Predict the patient’s response to a change in management given the genetic variants detected, and so i</w:t>
      </w:r>
      <w:r w:rsidRPr="00FF2ED7">
        <w:t>nform</w:t>
      </w:r>
      <w:r>
        <w:t xml:space="preserve"> </w:t>
      </w:r>
      <w:r w:rsidRPr="00FF2ED7">
        <w:t>therapy selection</w:t>
      </w:r>
    </w:p>
    <w:p w14:paraId="4C360023" w14:textId="3125D9CC" w:rsidR="007A5A66" w:rsidRDefault="007A5A66" w:rsidP="00545702">
      <w:pPr>
        <w:pStyle w:val="ListNumber"/>
        <w:numPr>
          <w:ilvl w:val="0"/>
          <w:numId w:val="56"/>
        </w:numPr>
      </w:pPr>
      <w:r>
        <w:t>Inform risk to other family members</w:t>
      </w:r>
    </w:p>
    <w:p w14:paraId="4EB00B5E" w14:textId="77777777" w:rsidR="007A5A66" w:rsidRDefault="007A5A66" w:rsidP="00545702">
      <w:pPr>
        <w:pStyle w:val="ListNumber"/>
        <w:numPr>
          <w:ilvl w:val="0"/>
          <w:numId w:val="56"/>
        </w:numPr>
      </w:pPr>
      <w:r>
        <w:t>Determine risk of the patient’s genotype (and that of their reproductive partner, and potentially foetus) to support informed reproductive decision-making</w:t>
      </w:r>
    </w:p>
    <w:p w14:paraId="43DDC252" w14:textId="77777777" w:rsidR="004C6585" w:rsidRDefault="004C6585" w:rsidP="004C6585">
      <w:r>
        <w:t>In many cancer types, there are clinical guideline-based recommendations for genetic testing that:</w:t>
      </w:r>
    </w:p>
    <w:p w14:paraId="2D74A319" w14:textId="77777777" w:rsidR="004C6585" w:rsidRDefault="004C6585" w:rsidP="00545702">
      <w:pPr>
        <w:pStyle w:val="ListNumber"/>
        <w:numPr>
          <w:ilvl w:val="0"/>
          <w:numId w:val="57"/>
        </w:numPr>
      </w:pPr>
      <w:r>
        <w:t xml:space="preserve">Informs making, refining, or refuting a diagnosis </w:t>
      </w:r>
    </w:p>
    <w:p w14:paraId="6EA1D1B8" w14:textId="77777777" w:rsidR="004C6585" w:rsidRDefault="004C6585" w:rsidP="00545702">
      <w:pPr>
        <w:pStyle w:val="ListNumber"/>
        <w:numPr>
          <w:ilvl w:val="0"/>
          <w:numId w:val="57"/>
        </w:numPr>
      </w:pPr>
      <w:r>
        <w:t>Informs the effect of the genetic variant on disease outcome in the absence of a change in management (i.e., prognosis)</w:t>
      </w:r>
    </w:p>
    <w:p w14:paraId="50F75F4D" w14:textId="77777777" w:rsidR="004C6585" w:rsidRDefault="004C6585" w:rsidP="00545702">
      <w:pPr>
        <w:pStyle w:val="ListNumber"/>
        <w:numPr>
          <w:ilvl w:val="0"/>
          <w:numId w:val="57"/>
        </w:numPr>
      </w:pPr>
      <w:r>
        <w:t>Predicts the patient’s response to a change in management given the genetic variant(s) detected, and so</w:t>
      </w:r>
      <w:r w:rsidDel="00CD147E">
        <w:t xml:space="preserve"> </w:t>
      </w:r>
      <w:r>
        <w:t xml:space="preserve">informs therapy selection </w:t>
      </w:r>
    </w:p>
    <w:p w14:paraId="3D0FF6B2" w14:textId="677114E0" w:rsidR="004C6585" w:rsidRDefault="004C6585" w:rsidP="00545702">
      <w:pPr>
        <w:pStyle w:val="ListNumber"/>
        <w:numPr>
          <w:ilvl w:val="0"/>
          <w:numId w:val="57"/>
        </w:numPr>
      </w:pPr>
      <w:r>
        <w:t xml:space="preserve">Where the cancer is identified as being </w:t>
      </w:r>
      <w:r w:rsidR="001C2F0F">
        <w:t>caused by a germline variant</w:t>
      </w:r>
      <w:r>
        <w:t xml:space="preserve">, or identifies a cancer predisposition syndrome through cascade testing, informs the risk to other family members </w:t>
      </w:r>
    </w:p>
    <w:p w14:paraId="773DAB56" w14:textId="64FDA3FF" w:rsidR="007D7CC4" w:rsidRDefault="007D7CC4" w:rsidP="00545702">
      <w:pPr>
        <w:pStyle w:val="Heading3"/>
        <w:ind w:left="709"/>
        <w:rPr>
          <w:shd w:val="clear" w:color="auto" w:fill="FFFFFF"/>
        </w:rPr>
      </w:pPr>
      <w:r>
        <w:rPr>
          <w:shd w:val="clear" w:color="auto" w:fill="FFFFFF"/>
        </w:rPr>
        <w:t>Regulation of genetic testing</w:t>
      </w:r>
    </w:p>
    <w:p w14:paraId="5A8E4CC3" w14:textId="0E8D0DF8" w:rsidR="007D7CC4" w:rsidRDefault="00275AE2" w:rsidP="007D7CC4">
      <w:pPr>
        <w:rPr>
          <w:rFonts w:cstheme="minorHAnsi"/>
          <w:color w:val="313131"/>
          <w:shd w:val="clear" w:color="auto" w:fill="FFFFFF"/>
        </w:rPr>
      </w:pPr>
      <w:r w:rsidRPr="00545702">
        <w:rPr>
          <w:rStyle w:val="Emphasis"/>
        </w:rPr>
        <w:t>I</w:t>
      </w:r>
      <w:r w:rsidR="007D7CC4" w:rsidRPr="00545702">
        <w:rPr>
          <w:rStyle w:val="Emphasis"/>
        </w:rPr>
        <w:t>n vitro</w:t>
      </w:r>
      <w:r w:rsidR="007D7CC4">
        <w:rPr>
          <w:rFonts w:cstheme="minorHAnsi"/>
          <w:color w:val="313131"/>
          <w:shd w:val="clear" w:color="auto" w:fill="FFFFFF"/>
        </w:rPr>
        <w:t xml:space="preserve"> diagnostic</w:t>
      </w:r>
      <w:r>
        <w:rPr>
          <w:rFonts w:cstheme="minorHAnsi"/>
          <w:color w:val="313131"/>
          <w:shd w:val="clear" w:color="auto" w:fill="FFFFFF"/>
        </w:rPr>
        <w:t xml:space="preserve"> </w:t>
      </w:r>
      <w:r w:rsidR="00136292">
        <w:rPr>
          <w:rFonts w:cstheme="minorHAnsi"/>
          <w:color w:val="313131"/>
          <w:shd w:val="clear" w:color="auto" w:fill="FFFFFF"/>
        </w:rPr>
        <w:t xml:space="preserve">(IVD) </w:t>
      </w:r>
      <w:r>
        <w:rPr>
          <w:rFonts w:cstheme="minorHAnsi"/>
          <w:color w:val="313131"/>
          <w:shd w:val="clear" w:color="auto" w:fill="FFFFFF"/>
        </w:rPr>
        <w:t xml:space="preserve">products are regulated by the Therapeutic Goods </w:t>
      </w:r>
      <w:r w:rsidR="00CB7F01">
        <w:rPr>
          <w:rFonts w:cstheme="minorHAnsi"/>
          <w:color w:val="313131"/>
          <w:shd w:val="clear" w:color="auto" w:fill="FFFFFF"/>
        </w:rPr>
        <w:t>Administration</w:t>
      </w:r>
      <w:r w:rsidR="007D7CC4">
        <w:rPr>
          <w:rFonts w:cstheme="minorHAnsi"/>
          <w:color w:val="313131"/>
          <w:shd w:val="clear" w:color="auto" w:fill="FFFFFF"/>
        </w:rPr>
        <w:t xml:space="preserve">. </w:t>
      </w:r>
      <w:r w:rsidR="007D7CC4" w:rsidRPr="007D7CC4">
        <w:rPr>
          <w:rFonts w:cstheme="minorHAnsi"/>
          <w:color w:val="313131"/>
          <w:shd w:val="clear" w:color="auto" w:fill="FFFFFF"/>
        </w:rPr>
        <w:t>Unless exempt, all IVDs that were introduced to the Australian market after 1 July 2010 must be included in the ARTG before they can be legally supplied.</w:t>
      </w:r>
      <w:bookmarkStart w:id="188" w:name="_Ref127796979"/>
      <w:r w:rsidR="007D7CC4" w:rsidRPr="005D7D52">
        <w:rPr>
          <w:rStyle w:val="FootnoteReference"/>
          <w:rFonts w:cstheme="minorHAnsi"/>
          <w:color w:val="313131"/>
          <w:shd w:val="clear" w:color="auto" w:fill="FFFFFF"/>
        </w:rPr>
        <w:footnoteReference w:id="77"/>
      </w:r>
      <w:bookmarkEnd w:id="188"/>
      <w:r w:rsidR="005207B4">
        <w:rPr>
          <w:rFonts w:cstheme="minorHAnsi"/>
          <w:color w:val="313131"/>
          <w:shd w:val="clear" w:color="auto" w:fill="FFFFFF"/>
        </w:rPr>
        <w:t xml:space="preserve"> </w:t>
      </w:r>
      <w:r w:rsidR="005207B4" w:rsidRPr="005207B4">
        <w:rPr>
          <w:shd w:val="clear" w:color="auto" w:fill="FFFFFF"/>
        </w:rPr>
        <w:t xml:space="preserve">All commercially supplied IVD medical devices must be included in the ARTG prior to supply in Australia and must have available evidence to support the device safety, performance and manufacture relevant to the risk of the device. </w:t>
      </w:r>
      <w:r w:rsidR="005207B4" w:rsidRPr="005207B4">
        <w:t>Laboratories can develop their own tests or modify commercially supplied tests</w:t>
      </w:r>
      <w:r w:rsidR="00136292">
        <w:t>,</w:t>
      </w:r>
      <w:r w:rsidR="005207B4" w:rsidRPr="005207B4">
        <w:t xml:space="preserve"> known as in-house IVD medical devices, which are subject to different regulatory requirements and do not require inclusion in the ARTG (except class 4 in-house IVDs which are the highest risk devices).</w:t>
      </w:r>
    </w:p>
    <w:p w14:paraId="1DC7CC44" w14:textId="3778FF92" w:rsidR="00275AE2" w:rsidRPr="00FB4723" w:rsidRDefault="00BE4557" w:rsidP="007D7CC4">
      <w:pPr>
        <w:rPr>
          <w:rFonts w:cstheme="minorHAnsi"/>
        </w:rPr>
      </w:pPr>
      <w:r>
        <w:rPr>
          <w:rFonts w:cstheme="minorHAnsi"/>
          <w:color w:val="313131"/>
          <w:shd w:val="clear" w:color="auto" w:fill="FFFFFF"/>
        </w:rPr>
        <w:t>Standards for g</w:t>
      </w:r>
      <w:r w:rsidR="00275AE2">
        <w:rPr>
          <w:rFonts w:cstheme="minorHAnsi"/>
          <w:color w:val="313131"/>
          <w:shd w:val="clear" w:color="auto" w:fill="FFFFFF"/>
        </w:rPr>
        <w:t xml:space="preserve">enetic testing by providers such as </w:t>
      </w:r>
      <w:r w:rsidR="00CB7F01">
        <w:rPr>
          <w:rFonts w:cstheme="minorHAnsi"/>
          <w:color w:val="313131"/>
          <w:shd w:val="clear" w:color="auto" w:fill="FFFFFF"/>
        </w:rPr>
        <w:t xml:space="preserve">in-house laboratories and </w:t>
      </w:r>
      <w:r w:rsidR="00275AE2">
        <w:rPr>
          <w:rFonts w:cstheme="minorHAnsi"/>
          <w:color w:val="313131"/>
          <w:shd w:val="clear" w:color="auto" w:fill="FFFFFF"/>
        </w:rPr>
        <w:t xml:space="preserve">pathology services </w:t>
      </w:r>
      <w:r>
        <w:rPr>
          <w:rFonts w:cstheme="minorHAnsi"/>
          <w:color w:val="313131"/>
          <w:shd w:val="clear" w:color="auto" w:fill="FFFFFF"/>
        </w:rPr>
        <w:t xml:space="preserve">are formulated by the National Pathology Accreditation Advisory Council. These standards provide guidance to laboratory about the expected level of safe and good quality laboratory practice. These standards </w:t>
      </w:r>
      <w:r w:rsidR="00FB4723">
        <w:rPr>
          <w:rFonts w:cstheme="minorHAnsi"/>
          <w:color w:val="313131"/>
          <w:shd w:val="clear" w:color="auto" w:fill="FFFFFF"/>
        </w:rPr>
        <w:t>underpin the accreditation requirements specified in the</w:t>
      </w:r>
      <w:r w:rsidR="007440E5" w:rsidDel="00136292">
        <w:rPr>
          <w:rFonts w:cstheme="minorHAnsi"/>
          <w:color w:val="313131"/>
          <w:shd w:val="clear" w:color="auto" w:fill="FFFFFF"/>
        </w:rPr>
        <w:t xml:space="preserve"> </w:t>
      </w:r>
      <w:r w:rsidR="00FB4723" w:rsidRPr="00545702">
        <w:rPr>
          <w:rStyle w:val="Emphasis"/>
        </w:rPr>
        <w:t>Health Insurance (Accredited Pathology Laboratories—Approval) Principles 2017.</w:t>
      </w:r>
      <w:r w:rsidR="00CB7F01" w:rsidRPr="00545702">
        <w:rPr>
          <w:rStyle w:val="Emphasis"/>
        </w:rPr>
        <w:t xml:space="preserve"> </w:t>
      </w:r>
    </w:p>
    <w:p w14:paraId="102BA381" w14:textId="0C6F6A61" w:rsidR="00DE55E0" w:rsidRPr="00DE55E0" w:rsidRDefault="00EC4DAE" w:rsidP="00DE55E0">
      <w:pPr>
        <w:pStyle w:val="Heading2"/>
      </w:pPr>
      <w:bookmarkStart w:id="189" w:name="_Toc129784467"/>
      <w:bookmarkStart w:id="190" w:name="_Toc129784528"/>
      <w:bookmarkStart w:id="191" w:name="_Toc158900438"/>
      <w:bookmarkEnd w:id="189"/>
      <w:bookmarkEnd w:id="190"/>
      <w:r>
        <w:t>Genetic tests for detection of pathologic gene variants</w:t>
      </w:r>
      <w:bookmarkEnd w:id="191"/>
    </w:p>
    <w:p w14:paraId="535DA05E" w14:textId="72A7C92C" w:rsidR="00387066" w:rsidRDefault="00EC4DAE" w:rsidP="0053071D">
      <w:pPr>
        <w:spacing w:after="160"/>
      </w:pPr>
      <w:r>
        <w:t>Genetic</w:t>
      </w:r>
      <w:r w:rsidR="0076430E">
        <w:t xml:space="preserve"> tests </w:t>
      </w:r>
      <w:r>
        <w:t>for detection of pathologic gene variants</w:t>
      </w:r>
      <w:r w:rsidR="00C96D06">
        <w:t xml:space="preserve"> are used to diagnose inherited diseases and cancers, predict response to </w:t>
      </w:r>
      <w:r w:rsidR="00436418">
        <w:t>treatment</w:t>
      </w:r>
      <w:r w:rsidR="00C96D06">
        <w:t xml:space="preserve">, or estimate the likelihood of a person developing a particular disease. </w:t>
      </w:r>
      <w:r w:rsidR="007B5CE8">
        <w:t>They include single gene tests, gene panel tests and whole genome sequencing with use of a</w:t>
      </w:r>
      <w:r w:rsidR="006055E0">
        <w:t xml:space="preserve"> digital</w:t>
      </w:r>
      <w:r w:rsidR="007B5CE8">
        <w:t xml:space="preserve"> panel </w:t>
      </w:r>
      <w:r w:rsidR="006055E0">
        <w:t>to detect variants in</w:t>
      </w:r>
      <w:r w:rsidR="007B5CE8">
        <w:t xml:space="preserve"> specific genes. </w:t>
      </w:r>
    </w:p>
    <w:p w14:paraId="0E4A3CA9" w14:textId="4FF128E9" w:rsidR="00E32851" w:rsidRDefault="001C2F0F" w:rsidP="0053071D">
      <w:pPr>
        <w:spacing w:after="160"/>
      </w:pPr>
      <w:r>
        <w:t>R</w:t>
      </w:r>
      <w:r w:rsidR="00FE344B">
        <w:t xml:space="preserve">ecently, </w:t>
      </w:r>
      <w:r w:rsidR="00436418">
        <w:t>several</w:t>
      </w:r>
      <w:r w:rsidR="00FE344B">
        <w:t xml:space="preserve"> </w:t>
      </w:r>
      <w:r w:rsidR="00EC4DAE">
        <w:t>genetic tests</w:t>
      </w:r>
      <w:r w:rsidR="00FE344B">
        <w:t xml:space="preserve"> have been developed for the specific purpose of determining</w:t>
      </w:r>
      <w:r w:rsidR="00E32851">
        <w:t xml:space="preserve"> the safe and effective use of</w:t>
      </w:r>
      <w:r w:rsidR="00FE344B">
        <w:t xml:space="preserve"> particular therapies</w:t>
      </w:r>
      <w:r w:rsidR="00136292">
        <w:t>,</w:t>
      </w:r>
      <w:r>
        <w:t xml:space="preserve"> and genomic testing is also emerging for this purpose</w:t>
      </w:r>
      <w:r w:rsidR="00E32851">
        <w:t>.</w:t>
      </w:r>
      <w:r w:rsidR="00FE344B">
        <w:t xml:space="preserve"> These are defined by regulatory bodies as ‘companion diagnostics’</w:t>
      </w:r>
      <w:r w:rsidR="00136292">
        <w:t>,</w:t>
      </w:r>
      <w:r>
        <w:t xml:space="preserve"> and </w:t>
      </w:r>
      <w:r w:rsidR="00136292">
        <w:t xml:space="preserve">as ‘co-dependent tests’ </w:t>
      </w:r>
      <w:r>
        <w:t>when assessed for public funding</w:t>
      </w:r>
      <w:r w:rsidR="006C2FB2">
        <w:t>.</w:t>
      </w:r>
      <w:r w:rsidR="00E32851">
        <w:t xml:space="preserve"> </w:t>
      </w:r>
      <w:r w:rsidR="00FE344B">
        <w:t>Companion diagnostics</w:t>
      </w:r>
      <w:r w:rsidR="00E32851">
        <w:t xml:space="preserve"> include the tests that are used for </w:t>
      </w:r>
      <w:r w:rsidR="00AF602F">
        <w:t>tumour</w:t>
      </w:r>
      <w:r w:rsidR="00FE344B">
        <w:t>-</w:t>
      </w:r>
      <w:r w:rsidR="00E32851">
        <w:t>agnostic therapies</w:t>
      </w:r>
      <w:r w:rsidR="0053071D">
        <w:t xml:space="preserve"> (see section 7.3)</w:t>
      </w:r>
      <w:r w:rsidR="00E32851">
        <w:t xml:space="preserve"> but also</w:t>
      </w:r>
      <w:r w:rsidR="004C6585">
        <w:t xml:space="preserve"> tissue specific therapies where the presence of a particular </w:t>
      </w:r>
      <w:r w:rsidR="002A012E">
        <w:t>variant</w:t>
      </w:r>
      <w:r w:rsidR="004C6585">
        <w:t xml:space="preserve"> or biomarker is necessary to determine access to treatment (for example: patients must carry a </w:t>
      </w:r>
      <w:r w:rsidR="004C6585" w:rsidRPr="00E93CB3">
        <w:rPr>
          <w:rStyle w:val="Emphasis"/>
        </w:rPr>
        <w:t>BRCA1</w:t>
      </w:r>
      <w:r w:rsidR="004C6585">
        <w:t xml:space="preserve"> or </w:t>
      </w:r>
      <w:r w:rsidR="004C6585" w:rsidRPr="00E93CB3">
        <w:rPr>
          <w:rStyle w:val="Emphasis"/>
        </w:rPr>
        <w:t>BRCA2</w:t>
      </w:r>
      <w:r w:rsidR="004C6585" w:rsidRPr="001C2F0F">
        <w:rPr>
          <w:i/>
          <w:iCs/>
        </w:rPr>
        <w:t xml:space="preserve"> </w:t>
      </w:r>
      <w:r w:rsidR="002A012E">
        <w:t>variant</w:t>
      </w:r>
      <w:r w:rsidR="004C6585">
        <w:t xml:space="preserve"> to be eligible to receive niraparib for high gra</w:t>
      </w:r>
      <w:r w:rsidR="00FE344B">
        <w:t>d</w:t>
      </w:r>
      <w:r w:rsidR="004C6585">
        <w:t xml:space="preserve">e stage III/IV epithelial, fallopian tube or primary peritoneal cancer). </w:t>
      </w:r>
    </w:p>
    <w:p w14:paraId="5414C27A" w14:textId="4C1B368C" w:rsidR="00AD7D3D" w:rsidRDefault="00AD7D3D" w:rsidP="00E93CB3">
      <w:pPr>
        <w:pStyle w:val="Heading3"/>
        <w:keepNext w:val="0"/>
        <w:keepLines w:val="0"/>
        <w:widowControl w:val="0"/>
        <w:ind w:left="709"/>
      </w:pPr>
      <w:r>
        <w:t>Development, market approval and Australian funding status</w:t>
      </w:r>
    </w:p>
    <w:p w14:paraId="7355A44E" w14:textId="76901802" w:rsidR="005A4C37" w:rsidRDefault="00EC4DAE" w:rsidP="006627FE">
      <w:pPr>
        <w:widowControl w:val="0"/>
      </w:pPr>
      <w:r>
        <w:t>Genetic tests</w:t>
      </w:r>
      <w:r w:rsidR="005A4C37">
        <w:t xml:space="preserve"> have been used in diagnosis for many years. In Australia</w:t>
      </w:r>
      <w:r w:rsidR="00FE344B">
        <w:t>,</w:t>
      </w:r>
      <w:r w:rsidR="005A4C37">
        <w:t xml:space="preserve"> they are available in a wide range of </w:t>
      </w:r>
      <w:r w:rsidR="00E136C2">
        <w:t>care</w:t>
      </w:r>
      <w:r w:rsidR="005A4C37">
        <w:t xml:space="preserve"> settings and are subsidised through the MBS, funded</w:t>
      </w:r>
      <w:r w:rsidR="00E136C2">
        <w:t xml:space="preserve"> in public hospitals</w:t>
      </w:r>
      <w:r w:rsidR="005A4C37">
        <w:t xml:space="preserve"> through activity</w:t>
      </w:r>
      <w:r w:rsidR="00B10019">
        <w:t>-</w:t>
      </w:r>
      <w:r w:rsidR="005A4C37">
        <w:t>based funding under the National Health Reform Agreement (NHRA)</w:t>
      </w:r>
      <w:r w:rsidR="00FE344B">
        <w:t xml:space="preserve">, funded through other state and territory arrangements, or are available privately. </w:t>
      </w:r>
    </w:p>
    <w:p w14:paraId="4B086DAE" w14:textId="6AA90001" w:rsidR="00003BAF" w:rsidRDefault="00003BAF" w:rsidP="006627FE">
      <w:pPr>
        <w:widowControl w:val="0"/>
      </w:pPr>
      <w:r>
        <w:t xml:space="preserve">The number of companion diagnostics </w:t>
      </w:r>
      <w:r w:rsidR="00FE344B">
        <w:t>with market approval</w:t>
      </w:r>
      <w:r>
        <w:t xml:space="preserve"> have increased significantly from 9</w:t>
      </w:r>
      <w:r w:rsidR="00E136C2">
        <w:t> </w:t>
      </w:r>
      <w:r w:rsidR="00FE344B">
        <w:t>approved by the FDA</w:t>
      </w:r>
      <w:r>
        <w:t xml:space="preserve"> in 2010 to 44 by the end of 2020.</w:t>
      </w:r>
      <w:r>
        <w:rPr>
          <w:rStyle w:val="FootnoteReference"/>
        </w:rPr>
        <w:footnoteReference w:id="78"/>
      </w:r>
      <w:r>
        <w:t xml:space="preserve"> </w:t>
      </w:r>
      <w:r w:rsidR="00BC43F1">
        <w:t>Currently there are FDA approved tests for 3</w:t>
      </w:r>
      <w:r w:rsidR="006835C6">
        <w:t>8</w:t>
      </w:r>
      <w:r w:rsidR="00BC43F1">
        <w:t xml:space="preserve"> biomarkers. Of these, tests for 10 FDA approved biomarkers are currently subsidised through the MBS.</w:t>
      </w:r>
    </w:p>
    <w:p w14:paraId="735538CE" w14:textId="24ACEF2D" w:rsidR="001C2F0F" w:rsidRDefault="001C2F0F" w:rsidP="00EC4DAE">
      <w:pPr>
        <w:widowControl w:val="0"/>
      </w:pPr>
      <w:r>
        <w:t xml:space="preserve">Note that </w:t>
      </w:r>
      <w:r w:rsidR="00EC4DAE">
        <w:t xml:space="preserve">genetic </w:t>
      </w:r>
      <w:r>
        <w:t>tests used to determine access to a therapy will not necessarily always be regulated by the TGA as “companion diagnostics”, because that regulatory term only describes where the applicant to the regulator makes a companion diagnostic claim (requiring the TGA’s simultaneous consideration of either an application for, or approval of, the corresponding medicine or biological) and the TGA accepts the claim</w:t>
      </w:r>
      <w:r w:rsidR="006055E0">
        <w:t>.</w:t>
      </w:r>
      <w:r w:rsidR="00EC4DAE">
        <w:t xml:space="preserve"> </w:t>
      </w:r>
      <w:r w:rsidR="006055E0">
        <w:t xml:space="preserve">It </w:t>
      </w:r>
      <w:r w:rsidR="00EC4DAE">
        <w:t>does not include</w:t>
      </w:r>
      <w:r w:rsidR="006055E0">
        <w:t xml:space="preserve">, </w:t>
      </w:r>
      <w:r w:rsidR="00EC4DAE">
        <w:t>for example</w:t>
      </w:r>
      <w:r w:rsidR="006055E0">
        <w:t>,</w:t>
      </w:r>
      <w:r w:rsidR="00EC4DAE">
        <w:t xml:space="preserve"> </w:t>
      </w:r>
      <w:r>
        <w:t xml:space="preserve">detection of a gene variant leading to a change related to a surgical intervention (such as avoiding a </w:t>
      </w:r>
      <w:r w:rsidR="008E03B0">
        <w:t>biopsy or</w:t>
      </w:r>
      <w:r>
        <w:t xml:space="preserve"> indicating an implantable cardiac device).</w:t>
      </w:r>
    </w:p>
    <w:p w14:paraId="173F018B" w14:textId="43CD04CC" w:rsidR="00BC43F1" w:rsidRPr="00330FBE" w:rsidRDefault="00BC43F1" w:rsidP="00330FBE">
      <w:pPr>
        <w:rPr>
          <w:b/>
          <w:bCs/>
          <w:color w:val="002060"/>
        </w:rPr>
      </w:pPr>
      <w:r w:rsidRPr="00330FBE">
        <w:rPr>
          <w:b/>
          <w:bCs/>
          <w:color w:val="002060"/>
        </w:rPr>
        <w:t>Table 1</w:t>
      </w:r>
      <w:r w:rsidR="000C4E3D" w:rsidRPr="00330FBE">
        <w:rPr>
          <w:b/>
          <w:bCs/>
          <w:color w:val="002060"/>
        </w:rPr>
        <w:t>4</w:t>
      </w:r>
      <w:r w:rsidR="00B95FBB" w:rsidRPr="00330FBE">
        <w:rPr>
          <w:b/>
          <w:bCs/>
          <w:color w:val="002060"/>
        </w:rPr>
        <w:t>.</w:t>
      </w:r>
      <w:r w:rsidRPr="00330FBE">
        <w:rPr>
          <w:b/>
          <w:bCs/>
          <w:color w:val="002060"/>
        </w:rPr>
        <w:t xml:space="preserve"> Biomarkers targeted by FDA approved companion diagnostics and MBS </w:t>
      </w:r>
      <w:r w:rsidR="005E0C4A" w:rsidRPr="00330FBE">
        <w:rPr>
          <w:b/>
          <w:bCs/>
          <w:color w:val="002060"/>
        </w:rPr>
        <w:t xml:space="preserve">funding </w:t>
      </w:r>
      <w:r w:rsidRPr="00330FBE">
        <w:rPr>
          <w:b/>
          <w:bCs/>
          <w:color w:val="002060"/>
        </w:rPr>
        <w:t>status</w:t>
      </w:r>
    </w:p>
    <w:tbl>
      <w:tblPr>
        <w:tblStyle w:val="DepartmentofHealthtable"/>
        <w:tblW w:w="0" w:type="auto"/>
        <w:tblLayout w:type="fixed"/>
        <w:tblLook w:val="04A0" w:firstRow="1" w:lastRow="0" w:firstColumn="1" w:lastColumn="0" w:noHBand="0" w:noVBand="1"/>
      </w:tblPr>
      <w:tblGrid>
        <w:gridCol w:w="1418"/>
        <w:gridCol w:w="2482"/>
        <w:gridCol w:w="3188"/>
        <w:gridCol w:w="1938"/>
      </w:tblGrid>
      <w:tr w:rsidR="00003BAF" w:rsidRPr="005314B3" w14:paraId="6E0FF36E" w14:textId="22D40D91" w:rsidTr="006F188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03838EC" w14:textId="52400B11" w:rsidR="00003BAF" w:rsidRPr="00AE09D0" w:rsidRDefault="00003BAF" w:rsidP="006055E0">
            <w:pPr>
              <w:spacing w:before="0"/>
              <w:rPr>
                <w:rFonts w:asciiTheme="minorHAnsi" w:hAnsiTheme="minorHAnsi" w:cstheme="minorHAnsi"/>
                <w:b/>
                <w:bCs/>
                <w:sz w:val="20"/>
                <w:lang w:eastAsia="ja-JP"/>
              </w:rPr>
            </w:pPr>
            <w:bookmarkStart w:id="192" w:name="_Hlk129788387"/>
            <w:r w:rsidRPr="00AE09D0">
              <w:rPr>
                <w:rFonts w:asciiTheme="minorHAnsi" w:hAnsiTheme="minorHAnsi" w:cstheme="minorHAnsi"/>
                <w:b/>
                <w:bCs/>
                <w:sz w:val="20"/>
                <w:lang w:eastAsia="ja-JP"/>
              </w:rPr>
              <w:t>Biomarker</w:t>
            </w:r>
          </w:p>
        </w:tc>
        <w:tc>
          <w:tcPr>
            <w:tcW w:w="2482" w:type="dxa"/>
            <w:noWrap/>
            <w:hideMark/>
          </w:tcPr>
          <w:p w14:paraId="67ECACF1" w14:textId="77777777" w:rsidR="00003BAF" w:rsidRPr="00AE09D0" w:rsidRDefault="00003BAF" w:rsidP="006055E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eastAsia="ja-JP"/>
              </w:rPr>
            </w:pPr>
            <w:r w:rsidRPr="00AE09D0">
              <w:rPr>
                <w:rFonts w:asciiTheme="minorHAnsi" w:hAnsiTheme="minorHAnsi" w:cstheme="minorHAnsi"/>
                <w:b/>
                <w:bCs/>
                <w:sz w:val="20"/>
                <w:lang w:eastAsia="ja-JP"/>
              </w:rPr>
              <w:t>Drug</w:t>
            </w:r>
          </w:p>
        </w:tc>
        <w:tc>
          <w:tcPr>
            <w:tcW w:w="3188" w:type="dxa"/>
            <w:noWrap/>
            <w:hideMark/>
          </w:tcPr>
          <w:p w14:paraId="7DB39960" w14:textId="77777777" w:rsidR="00003BAF" w:rsidRPr="00AE09D0" w:rsidRDefault="00003BAF" w:rsidP="006055E0">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eastAsia="ja-JP"/>
              </w:rPr>
            </w:pPr>
            <w:r w:rsidRPr="00AE09D0">
              <w:rPr>
                <w:rFonts w:asciiTheme="minorHAnsi" w:hAnsiTheme="minorHAnsi" w:cstheme="minorHAnsi"/>
                <w:b/>
                <w:bCs/>
                <w:sz w:val="20"/>
                <w:lang w:eastAsia="ja-JP"/>
              </w:rPr>
              <w:t>Indication</w:t>
            </w:r>
          </w:p>
        </w:tc>
        <w:tc>
          <w:tcPr>
            <w:tcW w:w="1938" w:type="dxa"/>
          </w:tcPr>
          <w:p w14:paraId="3C1947E5" w14:textId="4791B893" w:rsidR="00003BAF" w:rsidRPr="00AE09D0" w:rsidRDefault="00B95FBB" w:rsidP="007E3807">
            <w:pPr>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lang w:eastAsia="ja-JP"/>
              </w:rPr>
            </w:pPr>
            <w:r>
              <w:rPr>
                <w:rFonts w:asciiTheme="minorHAnsi" w:hAnsiTheme="minorHAnsi" w:cstheme="minorHAnsi"/>
                <w:b/>
                <w:bCs/>
                <w:sz w:val="20"/>
                <w:lang w:eastAsia="ja-JP"/>
              </w:rPr>
              <w:t>PBS listed drug has a corresponding MBS item for biomarker detection</w:t>
            </w:r>
          </w:p>
        </w:tc>
      </w:tr>
      <w:tr w:rsidR="00516F94" w:rsidRPr="005314B3" w14:paraId="2B4F541D" w14:textId="30E7FC53" w:rsidTr="006F1884">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4FAB107" w14:textId="439E00CE" w:rsidR="00516F94" w:rsidRPr="001C2F0F" w:rsidRDefault="00516F94" w:rsidP="006055E0">
            <w:pPr>
              <w:spacing w:before="0"/>
              <w:rPr>
                <w:rFonts w:cstheme="minorHAnsi"/>
                <w:i/>
                <w:iCs/>
                <w:lang w:eastAsia="ja-JP"/>
              </w:rPr>
            </w:pPr>
            <w:r w:rsidRPr="001C2F0F">
              <w:rPr>
                <w:rFonts w:cstheme="minorHAnsi"/>
                <w:lang w:eastAsia="ja-JP"/>
              </w:rPr>
              <w:t>ALK</w:t>
            </w:r>
            <w:r w:rsidR="001C2F0F">
              <w:rPr>
                <w:rFonts w:cstheme="minorHAnsi"/>
                <w:lang w:eastAsia="ja-JP"/>
              </w:rPr>
              <w:t>/</w:t>
            </w:r>
            <w:r w:rsidR="001C2F0F">
              <w:rPr>
                <w:rFonts w:cstheme="minorHAnsi"/>
                <w:i/>
                <w:iCs/>
                <w:lang w:eastAsia="ja-JP"/>
              </w:rPr>
              <w:t>ALK</w:t>
            </w:r>
          </w:p>
        </w:tc>
        <w:tc>
          <w:tcPr>
            <w:tcW w:w="2482" w:type="dxa"/>
            <w:noWrap/>
            <w:hideMark/>
          </w:tcPr>
          <w:p w14:paraId="60A9C23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alectinib</w:t>
            </w:r>
          </w:p>
          <w:p w14:paraId="6B8BD87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brigatinib</w:t>
            </w:r>
          </w:p>
          <w:p w14:paraId="6EFB76E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ceritinib</w:t>
            </w:r>
          </w:p>
          <w:p w14:paraId="400DBF4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crizotinib</w:t>
            </w:r>
          </w:p>
          <w:p w14:paraId="5066534D" w14:textId="6A6F0F21"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lorlatinib</w:t>
            </w:r>
          </w:p>
        </w:tc>
        <w:tc>
          <w:tcPr>
            <w:tcW w:w="3188" w:type="dxa"/>
            <w:noWrap/>
            <w:hideMark/>
          </w:tcPr>
          <w:p w14:paraId="0096914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Non-Small Cell Lung Cancer</w:t>
            </w:r>
          </w:p>
        </w:tc>
        <w:tc>
          <w:tcPr>
            <w:tcW w:w="1938" w:type="dxa"/>
          </w:tcPr>
          <w:p w14:paraId="4EC7D7B7" w14:textId="6DF593CB"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0E767CC7" w14:textId="63AB5FF8" w:rsidTr="006F1884">
        <w:trPr>
          <w:cnfStyle w:val="000000010000" w:firstRow="0" w:lastRow="0" w:firstColumn="0" w:lastColumn="0" w:oddVBand="0" w:evenVBand="0" w:oddHBand="0" w:evenHBand="1" w:firstRowFirstColumn="0" w:firstRowLastColumn="0" w:lastRowFirstColumn="0" w:lastRowLastColumn="0"/>
          <w:trHeight w:val="213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678B62F" w14:textId="77777777" w:rsidR="00516F94" w:rsidRPr="001C2F0F" w:rsidRDefault="00516F94" w:rsidP="006055E0">
            <w:pPr>
              <w:spacing w:before="0"/>
              <w:rPr>
                <w:rFonts w:cstheme="minorHAnsi"/>
                <w:i/>
                <w:iCs/>
                <w:lang w:eastAsia="ja-JP"/>
              </w:rPr>
            </w:pPr>
            <w:r w:rsidRPr="001C2F0F">
              <w:rPr>
                <w:rFonts w:cstheme="minorHAnsi"/>
                <w:i/>
                <w:iCs/>
                <w:lang w:eastAsia="ja-JP"/>
              </w:rPr>
              <w:t>BRAF</w:t>
            </w:r>
          </w:p>
        </w:tc>
        <w:tc>
          <w:tcPr>
            <w:tcW w:w="2482" w:type="dxa"/>
            <w:noWrap/>
            <w:hideMark/>
          </w:tcPr>
          <w:p w14:paraId="018AE434"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atezolizumab with cobimetinib and vemurafenib</w:t>
            </w:r>
          </w:p>
          <w:p w14:paraId="486162A0"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cobimetinib with vemurafenib</w:t>
            </w:r>
          </w:p>
          <w:p w14:paraId="5B1175C2"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dabrafenib</w:t>
            </w:r>
          </w:p>
          <w:p w14:paraId="47DF6C6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dabrafenib with trametinib</w:t>
            </w:r>
          </w:p>
          <w:p w14:paraId="614F0FA6"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encorafenib with binimetinib</w:t>
            </w:r>
          </w:p>
          <w:p w14:paraId="311837C9"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encorafenib with cetuximab</w:t>
            </w:r>
          </w:p>
          <w:p w14:paraId="0920E3C1"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trametinib</w:t>
            </w:r>
          </w:p>
          <w:p w14:paraId="5FF1E4A4" w14:textId="4DCE0C66"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vemurafenib</w:t>
            </w:r>
          </w:p>
        </w:tc>
        <w:tc>
          <w:tcPr>
            <w:tcW w:w="3188" w:type="dxa"/>
            <w:noWrap/>
            <w:hideMark/>
          </w:tcPr>
          <w:p w14:paraId="139FC8B4" w14:textId="304CA42F"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Melanoma</w:t>
            </w:r>
          </w:p>
          <w:p w14:paraId="73E36B31"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Non-Small Cell Lung Cancer</w:t>
            </w:r>
          </w:p>
          <w:p w14:paraId="5DDD50ED" w14:textId="769433C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Colorectal Cancer</w:t>
            </w:r>
          </w:p>
        </w:tc>
        <w:tc>
          <w:tcPr>
            <w:tcW w:w="1938" w:type="dxa"/>
          </w:tcPr>
          <w:p w14:paraId="408D9ACA" w14:textId="373FBEEE" w:rsidR="00516F94" w:rsidRPr="00A72A71"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5ED524CB" w14:textId="13780E3A" w:rsidTr="006F1884">
        <w:trPr>
          <w:cnfStyle w:val="000000100000" w:firstRow="0" w:lastRow="0" w:firstColumn="0" w:lastColumn="0" w:oddVBand="0" w:evenVBand="0" w:oddHBand="1" w:evenHBand="0" w:firstRowFirstColumn="0" w:firstRowLastColumn="0" w:lastRowFirstColumn="0" w:lastRowLastColumn="0"/>
          <w:trHeight w:val="1333"/>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B70E294" w14:textId="2518D7A5" w:rsidR="00516F94" w:rsidRPr="001C2F0F" w:rsidRDefault="00516F94" w:rsidP="006055E0">
            <w:pPr>
              <w:spacing w:before="0"/>
              <w:rPr>
                <w:rFonts w:cstheme="minorHAnsi"/>
                <w:i/>
                <w:iCs/>
                <w:lang w:eastAsia="ja-JP"/>
              </w:rPr>
            </w:pPr>
            <w:r w:rsidRPr="001C2F0F">
              <w:rPr>
                <w:rFonts w:cstheme="minorHAnsi"/>
                <w:i/>
                <w:iCs/>
                <w:lang w:eastAsia="ja-JP"/>
              </w:rPr>
              <w:t>BRCA1</w:t>
            </w:r>
            <w:r w:rsidR="001C2F0F" w:rsidRPr="001C2F0F">
              <w:rPr>
                <w:rFonts w:cstheme="minorHAnsi"/>
                <w:i/>
                <w:iCs/>
                <w:lang w:eastAsia="ja-JP"/>
              </w:rPr>
              <w:t>/</w:t>
            </w:r>
            <w:r w:rsidRPr="001C2F0F">
              <w:rPr>
                <w:rFonts w:cstheme="minorHAnsi"/>
                <w:i/>
                <w:iCs/>
                <w:lang w:eastAsia="ja-JP"/>
              </w:rPr>
              <w:t xml:space="preserve"> BRCA2</w:t>
            </w:r>
          </w:p>
        </w:tc>
        <w:tc>
          <w:tcPr>
            <w:tcW w:w="2482" w:type="dxa"/>
            <w:noWrap/>
            <w:hideMark/>
          </w:tcPr>
          <w:p w14:paraId="49A205E7"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olaparib</w:t>
            </w:r>
          </w:p>
          <w:p w14:paraId="67C946F5"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rucaparib</w:t>
            </w:r>
          </w:p>
          <w:p w14:paraId="34B13071" w14:textId="2FB40F41"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talazoparib</w:t>
            </w:r>
          </w:p>
        </w:tc>
        <w:tc>
          <w:tcPr>
            <w:tcW w:w="3188" w:type="dxa"/>
            <w:noWrap/>
            <w:hideMark/>
          </w:tcPr>
          <w:p w14:paraId="3B6E7D9B"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Breast Cancer</w:t>
            </w:r>
          </w:p>
          <w:p w14:paraId="18D58086"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Metastatic Castration Resistant Prostate Cancer</w:t>
            </w:r>
          </w:p>
          <w:p w14:paraId="51B046A8"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Ovarian Cancer</w:t>
            </w:r>
          </w:p>
          <w:p w14:paraId="0C9C2F74" w14:textId="72937AC9"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Pancreatic cancer</w:t>
            </w:r>
          </w:p>
        </w:tc>
        <w:tc>
          <w:tcPr>
            <w:tcW w:w="1938" w:type="dxa"/>
          </w:tcPr>
          <w:p w14:paraId="7FC68E8C" w14:textId="6830701F"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color w:val="000000"/>
                <w:lang w:eastAsia="ja-JP"/>
              </w:rPr>
              <w:t>Yes</w:t>
            </w:r>
            <w:r w:rsidR="0047345F">
              <w:rPr>
                <w:rFonts w:cstheme="minorHAnsi"/>
                <w:color w:val="000000"/>
                <w:lang w:eastAsia="ja-JP"/>
              </w:rPr>
              <w:t xml:space="preserve"> (for olaparib and niraparib</w:t>
            </w:r>
            <w:r w:rsidR="007440E5">
              <w:rPr>
                <w:rFonts w:cstheme="minorHAnsi"/>
                <w:color w:val="000000"/>
                <w:lang w:eastAsia="ja-JP"/>
              </w:rPr>
              <w:t xml:space="preserve"> and for some indications</w:t>
            </w:r>
            <w:r w:rsidR="0047345F">
              <w:rPr>
                <w:rFonts w:cstheme="minorHAnsi"/>
                <w:color w:val="000000"/>
                <w:lang w:eastAsia="ja-JP"/>
              </w:rPr>
              <w:t>)</w:t>
            </w:r>
          </w:p>
        </w:tc>
      </w:tr>
      <w:tr w:rsidR="00516F94" w:rsidRPr="005314B3" w14:paraId="5223F408" w14:textId="7F579BFF"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AF0FBBF" w14:textId="6D3B4C90" w:rsidR="00516F94" w:rsidRPr="001C2F0F" w:rsidRDefault="00516F94" w:rsidP="006055E0">
            <w:pPr>
              <w:spacing w:before="0"/>
              <w:rPr>
                <w:rFonts w:cstheme="minorHAnsi"/>
                <w:i/>
                <w:iCs/>
                <w:lang w:eastAsia="ja-JP"/>
              </w:rPr>
            </w:pPr>
            <w:r w:rsidRPr="001C2F0F">
              <w:rPr>
                <w:rFonts w:cstheme="minorHAnsi"/>
                <w:i/>
                <w:iCs/>
                <w:lang w:eastAsia="ja-JP"/>
              </w:rPr>
              <w:t>ATM</w:t>
            </w:r>
          </w:p>
        </w:tc>
        <w:tc>
          <w:tcPr>
            <w:tcW w:w="2482" w:type="dxa"/>
            <w:noWrap/>
            <w:hideMark/>
          </w:tcPr>
          <w:p w14:paraId="39F6CD51"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olaparib</w:t>
            </w:r>
          </w:p>
        </w:tc>
        <w:tc>
          <w:tcPr>
            <w:tcW w:w="3188" w:type="dxa"/>
            <w:noWrap/>
            <w:hideMark/>
          </w:tcPr>
          <w:p w14:paraId="4C2F6AE0"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Metastatic Castration Resistant Prostate Cancer</w:t>
            </w:r>
          </w:p>
        </w:tc>
        <w:tc>
          <w:tcPr>
            <w:tcW w:w="1938" w:type="dxa"/>
          </w:tcPr>
          <w:p w14:paraId="43D3D577" w14:textId="77777777" w:rsidR="0096564F" w:rsidRPr="00A72A71" w:rsidRDefault="0096564F"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5F0891AD" w14:textId="6A1AA738"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w:t>
            </w:r>
            <w:r w:rsidR="0096564F" w:rsidRPr="00A72A71">
              <w:rPr>
                <w:rFonts w:cstheme="minorHAnsi"/>
                <w:color w:val="000000"/>
                <w:lang w:eastAsia="ja-JP"/>
              </w:rPr>
              <w:t>Not required for access</w:t>
            </w:r>
            <w:r>
              <w:rPr>
                <w:rFonts w:cstheme="minorHAnsi"/>
                <w:color w:val="000000"/>
                <w:lang w:eastAsia="ja-JP"/>
              </w:rPr>
              <w:t>)</w:t>
            </w:r>
          </w:p>
        </w:tc>
      </w:tr>
      <w:tr w:rsidR="00516F94" w:rsidRPr="005314B3" w14:paraId="69A6A82D" w14:textId="66C9866B"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855BCE2" w14:textId="77777777" w:rsidR="00516F94" w:rsidRPr="001C2F0F" w:rsidRDefault="00516F94" w:rsidP="006055E0">
            <w:pPr>
              <w:spacing w:before="0"/>
              <w:rPr>
                <w:rFonts w:cstheme="minorHAnsi"/>
                <w:lang w:eastAsia="ja-JP"/>
              </w:rPr>
            </w:pPr>
            <w:r w:rsidRPr="001C2F0F">
              <w:rPr>
                <w:rFonts w:cstheme="minorHAnsi"/>
                <w:lang w:eastAsia="ja-JP"/>
              </w:rPr>
              <w:t>C-Kit</w:t>
            </w:r>
          </w:p>
        </w:tc>
        <w:tc>
          <w:tcPr>
            <w:tcW w:w="2482" w:type="dxa"/>
            <w:noWrap/>
            <w:hideMark/>
          </w:tcPr>
          <w:p w14:paraId="1C3C0C1C"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imatinib mesylate</w:t>
            </w:r>
          </w:p>
        </w:tc>
        <w:tc>
          <w:tcPr>
            <w:tcW w:w="3188" w:type="dxa"/>
            <w:noWrap/>
            <w:hideMark/>
          </w:tcPr>
          <w:p w14:paraId="46A95820" w14:textId="6DF23C1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 xml:space="preserve">Gastrointestinal Stromal </w:t>
            </w:r>
            <w:r w:rsidR="00436418" w:rsidRPr="00AE09D0">
              <w:rPr>
                <w:rFonts w:cstheme="minorHAnsi"/>
                <w:lang w:eastAsia="ja-JP"/>
              </w:rPr>
              <w:t>Tumours</w:t>
            </w:r>
            <w:r w:rsidRPr="00AE09D0">
              <w:rPr>
                <w:rFonts w:cstheme="minorHAnsi"/>
                <w:lang w:eastAsia="ja-JP"/>
              </w:rPr>
              <w:t xml:space="preserve"> - Tissue</w:t>
            </w:r>
          </w:p>
        </w:tc>
        <w:tc>
          <w:tcPr>
            <w:tcW w:w="1938" w:type="dxa"/>
          </w:tcPr>
          <w:p w14:paraId="44874F84" w14:textId="77777777"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5C369847" w14:textId="303CEA78" w:rsidR="00B92219"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color w:val="000000"/>
                <w:lang w:eastAsia="ja-JP"/>
              </w:rPr>
              <w:t>(</w:t>
            </w:r>
            <w:r w:rsidR="00B92219" w:rsidRPr="00A72A71">
              <w:rPr>
                <w:rFonts w:cstheme="minorHAnsi"/>
                <w:color w:val="000000"/>
                <w:lang w:eastAsia="ja-JP"/>
              </w:rPr>
              <w:t>Not required for access</w:t>
            </w:r>
            <w:r>
              <w:rPr>
                <w:rFonts w:cstheme="minorHAnsi"/>
                <w:color w:val="000000"/>
                <w:lang w:eastAsia="ja-JP"/>
              </w:rPr>
              <w:t>)</w:t>
            </w:r>
          </w:p>
        </w:tc>
      </w:tr>
      <w:tr w:rsidR="00516F94" w:rsidRPr="005314B3" w14:paraId="30EE0B9E" w14:textId="357CBABA" w:rsidTr="006F1884">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98EBD69" w14:textId="77777777" w:rsidR="00516F94" w:rsidRPr="00AE09D0" w:rsidRDefault="00516F94" w:rsidP="006055E0">
            <w:pPr>
              <w:spacing w:before="0"/>
              <w:rPr>
                <w:rFonts w:cstheme="minorHAnsi"/>
                <w:lang w:eastAsia="ja-JP"/>
              </w:rPr>
            </w:pPr>
            <w:r w:rsidRPr="00AE09D0">
              <w:rPr>
                <w:rFonts w:cstheme="minorHAnsi"/>
                <w:lang w:eastAsia="ja-JP"/>
              </w:rPr>
              <w:t>deficient mismatch repair (</w:t>
            </w:r>
            <w:r w:rsidRPr="001C2F0F">
              <w:rPr>
                <w:rFonts w:cstheme="minorHAnsi"/>
                <w:lang w:eastAsia="ja-JP"/>
              </w:rPr>
              <w:t>dMMR</w:t>
            </w:r>
            <w:r w:rsidRPr="00AE09D0">
              <w:rPr>
                <w:rFonts w:cstheme="minorHAnsi"/>
                <w:lang w:eastAsia="ja-JP"/>
              </w:rPr>
              <w:t>) proteins</w:t>
            </w:r>
          </w:p>
        </w:tc>
        <w:tc>
          <w:tcPr>
            <w:tcW w:w="2482" w:type="dxa"/>
            <w:noWrap/>
            <w:hideMark/>
          </w:tcPr>
          <w:p w14:paraId="1DB54158" w14:textId="605FCFFA"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dostarlima</w:t>
            </w:r>
            <w:r w:rsidR="0047345F">
              <w:rPr>
                <w:rFonts w:cstheme="minorHAnsi"/>
                <w:lang w:eastAsia="ja-JP"/>
              </w:rPr>
              <w:t>b</w:t>
            </w:r>
            <w:r w:rsidRPr="00AE09D0">
              <w:rPr>
                <w:rFonts w:cstheme="minorHAnsi"/>
                <w:lang w:eastAsia="ja-JP"/>
              </w:rPr>
              <w:t>-gxly</w:t>
            </w:r>
          </w:p>
          <w:p w14:paraId="340530AC" w14:textId="4D98908E"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pembrolizumab</w:t>
            </w:r>
          </w:p>
        </w:tc>
        <w:tc>
          <w:tcPr>
            <w:tcW w:w="3188" w:type="dxa"/>
            <w:noWrap/>
            <w:hideMark/>
          </w:tcPr>
          <w:p w14:paraId="59935B0F"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Endometrial Carcinoma (EC) - Tissue</w:t>
            </w:r>
          </w:p>
          <w:p w14:paraId="462913EB" w14:textId="3D4917CA"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 xml:space="preserve">Solid </w:t>
            </w:r>
            <w:r w:rsidR="00436418" w:rsidRPr="00AE09D0">
              <w:rPr>
                <w:rFonts w:cstheme="minorHAnsi"/>
                <w:lang w:eastAsia="ja-JP"/>
              </w:rPr>
              <w:t>Tumours</w:t>
            </w:r>
          </w:p>
        </w:tc>
        <w:tc>
          <w:tcPr>
            <w:tcW w:w="1938" w:type="dxa"/>
          </w:tcPr>
          <w:p w14:paraId="68EE47F8" w14:textId="77777777" w:rsidR="00516F94"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0D1450BC" w14:textId="7584E603" w:rsidR="002C6803"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w:t>
            </w:r>
            <w:r w:rsidR="002C6803">
              <w:rPr>
                <w:rFonts w:cstheme="minorHAnsi"/>
                <w:color w:val="000000"/>
                <w:lang w:eastAsia="ja-JP"/>
              </w:rPr>
              <w:t>Not required for access</w:t>
            </w:r>
            <w:r>
              <w:rPr>
                <w:rFonts w:cstheme="minorHAnsi"/>
                <w:color w:val="000000"/>
                <w:lang w:eastAsia="ja-JP"/>
              </w:rPr>
              <w:t>)</w:t>
            </w:r>
          </w:p>
        </w:tc>
      </w:tr>
      <w:tr w:rsidR="00516F94" w:rsidRPr="005314B3" w14:paraId="77E3EC05" w14:textId="5F69E3A2" w:rsidTr="006F1884">
        <w:trPr>
          <w:cnfStyle w:val="000000100000" w:firstRow="0" w:lastRow="0" w:firstColumn="0" w:lastColumn="0" w:oddVBand="0" w:evenVBand="0" w:oddHBand="1" w:evenHBand="0" w:firstRowFirstColumn="0" w:firstRowLastColumn="0" w:lastRowFirstColumn="0" w:lastRowLastColumn="0"/>
          <w:trHeight w:val="2197"/>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61C17C5" w14:textId="77777777" w:rsidR="00516F94" w:rsidRPr="00AE09D0" w:rsidRDefault="00516F94" w:rsidP="006055E0">
            <w:pPr>
              <w:spacing w:before="0"/>
              <w:rPr>
                <w:rFonts w:cstheme="minorHAnsi"/>
                <w:lang w:eastAsia="ja-JP"/>
              </w:rPr>
            </w:pPr>
            <w:r w:rsidRPr="001C2F0F">
              <w:rPr>
                <w:rFonts w:cstheme="minorHAnsi"/>
                <w:i/>
                <w:iCs/>
                <w:lang w:eastAsia="ja-JP"/>
              </w:rPr>
              <w:t>EGFR (HER1</w:t>
            </w:r>
            <w:r w:rsidRPr="00AE09D0">
              <w:rPr>
                <w:rFonts w:cstheme="minorHAnsi"/>
                <w:lang w:eastAsia="ja-JP"/>
              </w:rPr>
              <w:t>)</w:t>
            </w:r>
          </w:p>
        </w:tc>
        <w:tc>
          <w:tcPr>
            <w:tcW w:w="2482" w:type="dxa"/>
            <w:noWrap/>
            <w:hideMark/>
          </w:tcPr>
          <w:p w14:paraId="38613D4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afatinib</w:t>
            </w:r>
          </w:p>
          <w:p w14:paraId="0577E73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amivantamb</w:t>
            </w:r>
          </w:p>
          <w:p w14:paraId="63ED10F3"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cetuximab</w:t>
            </w:r>
          </w:p>
          <w:p w14:paraId="18B0256D"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dacomitinib</w:t>
            </w:r>
          </w:p>
          <w:p w14:paraId="389896B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erlotinib</w:t>
            </w:r>
          </w:p>
          <w:p w14:paraId="50DA0B2C"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gefitinib</w:t>
            </w:r>
          </w:p>
          <w:p w14:paraId="57EB6F06"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mobocertinib</w:t>
            </w:r>
          </w:p>
          <w:p w14:paraId="7E0F236D"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osimertinib</w:t>
            </w:r>
          </w:p>
          <w:p w14:paraId="4EC88D86" w14:textId="25CEFC2B"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panitumumab</w:t>
            </w:r>
          </w:p>
        </w:tc>
        <w:tc>
          <w:tcPr>
            <w:tcW w:w="3188" w:type="dxa"/>
            <w:noWrap/>
            <w:hideMark/>
          </w:tcPr>
          <w:p w14:paraId="58D42F27"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Non-Small Cell Lung Cancer</w:t>
            </w:r>
          </w:p>
          <w:p w14:paraId="7EEA26EA" w14:textId="5F21E12E"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Colorectal Cancer</w:t>
            </w:r>
          </w:p>
        </w:tc>
        <w:tc>
          <w:tcPr>
            <w:tcW w:w="1938" w:type="dxa"/>
          </w:tcPr>
          <w:p w14:paraId="7C4EA58D" w14:textId="2162A484"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53DE31EF" w14:textId="7031FB0B"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D41101D" w14:textId="77777777" w:rsidR="00516F94" w:rsidRPr="00AE09D0" w:rsidRDefault="00516F94" w:rsidP="006055E0">
            <w:pPr>
              <w:spacing w:before="0"/>
              <w:rPr>
                <w:rFonts w:cstheme="minorHAnsi"/>
                <w:lang w:eastAsia="ja-JP"/>
              </w:rPr>
            </w:pPr>
            <w:r w:rsidRPr="00AE09D0">
              <w:rPr>
                <w:rFonts w:cstheme="minorHAnsi"/>
                <w:lang w:eastAsia="ja-JP"/>
              </w:rPr>
              <w:t>ERBB2</w:t>
            </w:r>
          </w:p>
        </w:tc>
        <w:tc>
          <w:tcPr>
            <w:tcW w:w="2482" w:type="dxa"/>
            <w:noWrap/>
            <w:hideMark/>
          </w:tcPr>
          <w:p w14:paraId="652ED534" w14:textId="59E6635D"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fam-trastuzumab deruxtecan-</w:t>
            </w:r>
          </w:p>
          <w:p w14:paraId="6413DD95" w14:textId="675A6922"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p>
        </w:tc>
        <w:tc>
          <w:tcPr>
            <w:tcW w:w="3188" w:type="dxa"/>
            <w:noWrap/>
            <w:hideMark/>
          </w:tcPr>
          <w:p w14:paraId="53223312"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Non-Small Cell Lung Cancer</w:t>
            </w:r>
          </w:p>
          <w:p w14:paraId="69288E0B" w14:textId="57A86CC8"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p>
        </w:tc>
        <w:tc>
          <w:tcPr>
            <w:tcW w:w="1938" w:type="dxa"/>
          </w:tcPr>
          <w:p w14:paraId="040182FB" w14:textId="77777777" w:rsidR="00516F94"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4878D9B2" w14:textId="6BD464C0" w:rsidR="00E141F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w:t>
            </w:r>
            <w:r w:rsidR="00E141F4">
              <w:rPr>
                <w:rFonts w:cstheme="minorHAnsi"/>
                <w:color w:val="000000"/>
                <w:lang w:eastAsia="ja-JP"/>
              </w:rPr>
              <w:t>Not PBS listed</w:t>
            </w:r>
            <w:r>
              <w:rPr>
                <w:rFonts w:cstheme="minorHAnsi"/>
                <w:color w:val="000000"/>
                <w:lang w:eastAsia="ja-JP"/>
              </w:rPr>
              <w:t>)</w:t>
            </w:r>
          </w:p>
        </w:tc>
      </w:tr>
      <w:tr w:rsidR="00516F94" w:rsidRPr="005314B3" w14:paraId="5EC8B7C8" w14:textId="5F444F83" w:rsidTr="006F1884">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noWrap/>
            <w:hideMark/>
          </w:tcPr>
          <w:p w14:paraId="0E2E73EC" w14:textId="77777777" w:rsidR="00516F94" w:rsidRPr="001C2F0F" w:rsidRDefault="00516F94" w:rsidP="006055E0">
            <w:pPr>
              <w:spacing w:before="0"/>
              <w:rPr>
                <w:rFonts w:cstheme="minorHAnsi"/>
                <w:i/>
                <w:iCs/>
                <w:lang w:eastAsia="ja-JP"/>
              </w:rPr>
            </w:pPr>
            <w:r w:rsidRPr="001C2F0F">
              <w:rPr>
                <w:rFonts w:cstheme="minorHAnsi"/>
                <w:i/>
                <w:iCs/>
                <w:lang w:eastAsia="ja-JP"/>
              </w:rPr>
              <w:t>ERBB2 (HER2)</w:t>
            </w:r>
          </w:p>
        </w:tc>
        <w:tc>
          <w:tcPr>
            <w:tcW w:w="2482" w:type="dxa"/>
            <w:tcBorders>
              <w:bottom w:val="single" w:sz="4" w:space="0" w:color="auto"/>
            </w:tcBorders>
            <w:noWrap/>
            <w:hideMark/>
          </w:tcPr>
          <w:p w14:paraId="7A7F2B76"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ado-trastuzumab emtansine</w:t>
            </w:r>
          </w:p>
          <w:p w14:paraId="7BB3532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fam-trastuzumab deruxtecan-nxki</w:t>
            </w:r>
          </w:p>
          <w:p w14:paraId="298A517E"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pertuzumab</w:t>
            </w:r>
          </w:p>
          <w:p w14:paraId="2721CCE6" w14:textId="3A652385"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trastuzumab</w:t>
            </w:r>
          </w:p>
        </w:tc>
        <w:tc>
          <w:tcPr>
            <w:tcW w:w="3188" w:type="dxa"/>
            <w:tcBorders>
              <w:bottom w:val="single" w:sz="4" w:space="0" w:color="auto"/>
            </w:tcBorders>
            <w:noWrap/>
            <w:hideMark/>
          </w:tcPr>
          <w:p w14:paraId="736214C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Breast Cancer</w:t>
            </w:r>
          </w:p>
          <w:p w14:paraId="56BE54D1" w14:textId="14C464F3"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Gastric and Gastroesophageal Cancer</w:t>
            </w:r>
          </w:p>
        </w:tc>
        <w:tc>
          <w:tcPr>
            <w:tcW w:w="1938" w:type="dxa"/>
            <w:tcBorders>
              <w:bottom w:val="single" w:sz="4" w:space="0" w:color="auto"/>
            </w:tcBorders>
          </w:tcPr>
          <w:p w14:paraId="5AAB4A3A" w14:textId="2EAFB541"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1B96E395" w14:textId="784B73A6"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F2FFA93" w14:textId="77777777" w:rsidR="00516F94" w:rsidRPr="001C2F0F" w:rsidRDefault="00516F94" w:rsidP="006055E0">
            <w:pPr>
              <w:spacing w:before="0"/>
              <w:rPr>
                <w:rFonts w:cstheme="minorHAnsi"/>
                <w:i/>
                <w:iCs/>
                <w:lang w:eastAsia="ja-JP"/>
              </w:rPr>
            </w:pPr>
            <w:r w:rsidRPr="001C2F0F">
              <w:rPr>
                <w:rFonts w:cstheme="minorHAnsi"/>
                <w:i/>
                <w:iCs/>
                <w:lang w:eastAsia="ja-JP"/>
              </w:rPr>
              <w:t>ESR1</w:t>
            </w:r>
          </w:p>
        </w:tc>
        <w:tc>
          <w:tcPr>
            <w:tcW w:w="2482" w:type="dxa"/>
            <w:noWrap/>
            <w:hideMark/>
          </w:tcPr>
          <w:p w14:paraId="7EACB137"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elacestrant</w:t>
            </w:r>
          </w:p>
        </w:tc>
        <w:tc>
          <w:tcPr>
            <w:tcW w:w="3188" w:type="dxa"/>
            <w:noWrap/>
            <w:hideMark/>
          </w:tcPr>
          <w:p w14:paraId="421786B0"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Breast Cancer</w:t>
            </w:r>
          </w:p>
        </w:tc>
        <w:tc>
          <w:tcPr>
            <w:tcW w:w="1938" w:type="dxa"/>
          </w:tcPr>
          <w:p w14:paraId="56D8A922" w14:textId="77777777" w:rsidR="00516F94"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01A0ACAE" w14:textId="6FE7BA11" w:rsidR="00E141F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w:t>
            </w:r>
            <w:r w:rsidR="00E141F4">
              <w:rPr>
                <w:rFonts w:cstheme="minorHAnsi"/>
                <w:color w:val="000000"/>
                <w:lang w:eastAsia="ja-JP"/>
              </w:rPr>
              <w:t>Not PBS listed</w:t>
            </w:r>
            <w:r>
              <w:rPr>
                <w:rFonts w:cstheme="minorHAnsi"/>
                <w:color w:val="000000"/>
                <w:lang w:eastAsia="ja-JP"/>
              </w:rPr>
              <w:t>)</w:t>
            </w:r>
          </w:p>
        </w:tc>
      </w:tr>
      <w:tr w:rsidR="00516F94" w:rsidRPr="005314B3" w14:paraId="6EF97C7F" w14:textId="0C0D4EFA"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6A59636" w14:textId="77777777" w:rsidR="00516F94" w:rsidRPr="001C2F0F" w:rsidRDefault="00516F94" w:rsidP="006055E0">
            <w:pPr>
              <w:spacing w:before="0"/>
              <w:rPr>
                <w:rFonts w:cstheme="minorHAnsi"/>
                <w:i/>
                <w:iCs/>
                <w:lang w:eastAsia="ja-JP"/>
              </w:rPr>
            </w:pPr>
            <w:r w:rsidRPr="001C2F0F">
              <w:rPr>
                <w:rFonts w:cstheme="minorHAnsi"/>
                <w:i/>
                <w:iCs/>
                <w:lang w:eastAsia="ja-JP"/>
              </w:rPr>
              <w:t>EZH2</w:t>
            </w:r>
          </w:p>
        </w:tc>
        <w:tc>
          <w:tcPr>
            <w:tcW w:w="2482" w:type="dxa"/>
            <w:noWrap/>
            <w:hideMark/>
          </w:tcPr>
          <w:p w14:paraId="1980493F"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tazemetostat</w:t>
            </w:r>
          </w:p>
        </w:tc>
        <w:tc>
          <w:tcPr>
            <w:tcW w:w="3188" w:type="dxa"/>
            <w:noWrap/>
            <w:hideMark/>
          </w:tcPr>
          <w:p w14:paraId="6986AF21" w14:textId="38E363F4"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 xml:space="preserve">Follicular Lymphoma </w:t>
            </w:r>
            <w:r w:rsidR="00436418" w:rsidRPr="00AE09D0">
              <w:rPr>
                <w:rFonts w:cstheme="minorHAnsi"/>
                <w:lang w:eastAsia="ja-JP"/>
              </w:rPr>
              <w:t>Tumour</w:t>
            </w:r>
          </w:p>
        </w:tc>
        <w:tc>
          <w:tcPr>
            <w:tcW w:w="1938" w:type="dxa"/>
          </w:tcPr>
          <w:p w14:paraId="102E86B0" w14:textId="77777777" w:rsidR="00E141F4" w:rsidRDefault="00E141F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759B9666" w14:textId="1A40803D"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50EEDF8D" w14:textId="6CE5BAA1" w:rsidTr="006F1884">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42A0979" w14:textId="77777777" w:rsidR="00516F94" w:rsidRPr="001C2F0F" w:rsidRDefault="00516F94" w:rsidP="006055E0">
            <w:pPr>
              <w:spacing w:before="0"/>
              <w:rPr>
                <w:rFonts w:cstheme="minorHAnsi"/>
                <w:i/>
                <w:iCs/>
                <w:lang w:eastAsia="ja-JP"/>
              </w:rPr>
            </w:pPr>
            <w:r w:rsidRPr="001C2F0F">
              <w:rPr>
                <w:rFonts w:cstheme="minorHAnsi"/>
                <w:i/>
                <w:iCs/>
                <w:lang w:eastAsia="ja-JP"/>
              </w:rPr>
              <w:t>FGFR2</w:t>
            </w:r>
          </w:p>
        </w:tc>
        <w:tc>
          <w:tcPr>
            <w:tcW w:w="2482" w:type="dxa"/>
            <w:noWrap/>
            <w:hideMark/>
          </w:tcPr>
          <w:p w14:paraId="0795525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infigratinib</w:t>
            </w:r>
          </w:p>
          <w:p w14:paraId="0BBA522F" w14:textId="068520B0"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pemigatinib</w:t>
            </w:r>
          </w:p>
        </w:tc>
        <w:tc>
          <w:tcPr>
            <w:tcW w:w="3188" w:type="dxa"/>
            <w:noWrap/>
            <w:hideMark/>
          </w:tcPr>
          <w:p w14:paraId="05EF85D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Cholangiocarcinoma</w:t>
            </w:r>
          </w:p>
        </w:tc>
        <w:tc>
          <w:tcPr>
            <w:tcW w:w="1938" w:type="dxa"/>
          </w:tcPr>
          <w:p w14:paraId="3B8970E4" w14:textId="77777777" w:rsidR="00E141F4" w:rsidRDefault="00E141F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4435A68D" w14:textId="0BEFA3FA"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75A698D0" w14:textId="594356FF"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D7FE89A" w14:textId="77777777" w:rsidR="00516F94" w:rsidRPr="001C2F0F" w:rsidRDefault="00516F94" w:rsidP="006055E0">
            <w:pPr>
              <w:spacing w:before="0"/>
              <w:rPr>
                <w:rFonts w:cstheme="minorHAnsi"/>
                <w:i/>
                <w:iCs/>
                <w:lang w:eastAsia="ja-JP"/>
              </w:rPr>
            </w:pPr>
            <w:r w:rsidRPr="001C2F0F">
              <w:rPr>
                <w:rFonts w:cstheme="minorHAnsi"/>
                <w:i/>
                <w:iCs/>
                <w:lang w:eastAsia="ja-JP"/>
              </w:rPr>
              <w:t>FGFR3</w:t>
            </w:r>
          </w:p>
        </w:tc>
        <w:tc>
          <w:tcPr>
            <w:tcW w:w="2482" w:type="dxa"/>
            <w:noWrap/>
            <w:hideMark/>
          </w:tcPr>
          <w:p w14:paraId="0F0B527C"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erdafitinib</w:t>
            </w:r>
          </w:p>
        </w:tc>
        <w:tc>
          <w:tcPr>
            <w:tcW w:w="3188" w:type="dxa"/>
            <w:noWrap/>
            <w:hideMark/>
          </w:tcPr>
          <w:p w14:paraId="4068202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Urothelial cancer</w:t>
            </w:r>
          </w:p>
        </w:tc>
        <w:tc>
          <w:tcPr>
            <w:tcW w:w="1938" w:type="dxa"/>
          </w:tcPr>
          <w:p w14:paraId="214A4B7E" w14:textId="77777777" w:rsidR="00E141F4" w:rsidRDefault="00E141F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076D646F" w14:textId="4E8CF6CA"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6F5D7DEB" w14:textId="0AB2AA1A" w:rsidTr="006F1884">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3414E30" w14:textId="77777777" w:rsidR="00516F94" w:rsidRPr="0047345F" w:rsidRDefault="00516F94" w:rsidP="006055E0">
            <w:pPr>
              <w:spacing w:before="0"/>
              <w:rPr>
                <w:rFonts w:cstheme="minorHAnsi"/>
                <w:color w:val="auto"/>
                <w:lang w:eastAsia="ja-JP"/>
              </w:rPr>
            </w:pPr>
            <w:r w:rsidRPr="001C2F0F">
              <w:rPr>
                <w:rFonts w:cstheme="minorHAnsi"/>
                <w:i/>
                <w:iCs/>
                <w:color w:val="auto"/>
                <w:lang w:eastAsia="ja-JP"/>
              </w:rPr>
              <w:t>FLT3</w:t>
            </w:r>
            <w:r w:rsidRPr="0047345F">
              <w:rPr>
                <w:rFonts w:cstheme="minorHAnsi"/>
                <w:color w:val="auto"/>
                <w:lang w:eastAsia="ja-JP"/>
              </w:rPr>
              <w:t xml:space="preserve"> (ITD/TDK)</w:t>
            </w:r>
          </w:p>
        </w:tc>
        <w:tc>
          <w:tcPr>
            <w:tcW w:w="2482" w:type="dxa"/>
            <w:noWrap/>
            <w:hideMark/>
          </w:tcPr>
          <w:p w14:paraId="1B2569EC" w14:textId="2910B699" w:rsidR="00516F94" w:rsidRPr="0047345F"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color w:val="auto"/>
                <w:lang w:eastAsia="ja-JP"/>
              </w:rPr>
            </w:pPr>
            <w:r w:rsidRPr="0047345F">
              <w:rPr>
                <w:rFonts w:cstheme="minorHAnsi"/>
                <w:color w:val="auto"/>
                <w:lang w:eastAsia="ja-JP"/>
              </w:rPr>
              <w:t>gilteri</w:t>
            </w:r>
            <w:r w:rsidR="00E141F4" w:rsidRPr="0047345F">
              <w:rPr>
                <w:rFonts w:cstheme="minorHAnsi"/>
                <w:color w:val="auto"/>
                <w:lang w:eastAsia="ja-JP"/>
              </w:rPr>
              <w:t>ti</w:t>
            </w:r>
            <w:r w:rsidRPr="0047345F">
              <w:rPr>
                <w:rFonts w:cstheme="minorHAnsi"/>
                <w:color w:val="auto"/>
                <w:lang w:eastAsia="ja-JP"/>
              </w:rPr>
              <w:t>nib</w:t>
            </w:r>
          </w:p>
          <w:p w14:paraId="4B614D32" w14:textId="055D3889" w:rsidR="00516F94" w:rsidRPr="0047345F"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color w:val="auto"/>
                <w:lang w:eastAsia="ja-JP"/>
              </w:rPr>
            </w:pPr>
            <w:r w:rsidRPr="0047345F">
              <w:rPr>
                <w:rFonts w:cstheme="minorHAnsi"/>
                <w:color w:val="auto"/>
                <w:lang w:eastAsia="ja-JP"/>
              </w:rPr>
              <w:t>midostaurin</w:t>
            </w:r>
          </w:p>
        </w:tc>
        <w:tc>
          <w:tcPr>
            <w:tcW w:w="3188" w:type="dxa"/>
            <w:noWrap/>
            <w:hideMark/>
          </w:tcPr>
          <w:p w14:paraId="6EDB551F" w14:textId="5E1F8559" w:rsidR="00516F94" w:rsidRPr="0047345F"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color w:val="auto"/>
                <w:lang w:eastAsia="ja-JP"/>
              </w:rPr>
            </w:pPr>
            <w:r w:rsidRPr="0047345F">
              <w:rPr>
                <w:rFonts w:cstheme="minorHAnsi"/>
                <w:color w:val="auto"/>
                <w:lang w:eastAsia="ja-JP"/>
              </w:rPr>
              <w:t>Acute myel</w:t>
            </w:r>
            <w:r w:rsidR="006835C6">
              <w:rPr>
                <w:rFonts w:cstheme="minorHAnsi"/>
                <w:color w:val="auto"/>
                <w:lang w:eastAsia="ja-JP"/>
              </w:rPr>
              <w:t>oid</w:t>
            </w:r>
            <w:r w:rsidRPr="0047345F">
              <w:rPr>
                <w:rFonts w:cstheme="minorHAnsi"/>
                <w:color w:val="auto"/>
                <w:lang w:eastAsia="ja-JP"/>
              </w:rPr>
              <w:t xml:space="preserve"> Leukemia</w:t>
            </w:r>
          </w:p>
        </w:tc>
        <w:tc>
          <w:tcPr>
            <w:tcW w:w="1938" w:type="dxa"/>
          </w:tcPr>
          <w:p w14:paraId="4F43F9B1" w14:textId="2B1BE67D" w:rsidR="00516F94" w:rsidRPr="0047345F" w:rsidRDefault="006835C6"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auto"/>
                <w:lang w:eastAsia="ja-JP"/>
              </w:rPr>
            </w:pPr>
            <w:r>
              <w:rPr>
                <w:rFonts w:cstheme="minorHAnsi"/>
                <w:color w:val="auto"/>
                <w:lang w:eastAsia="ja-JP"/>
              </w:rPr>
              <w:t>Yes</w:t>
            </w:r>
          </w:p>
          <w:p w14:paraId="03346EA2" w14:textId="68661024" w:rsidR="0047345F" w:rsidRPr="0047345F" w:rsidRDefault="0047345F"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auto"/>
                <w:lang w:eastAsia="ja-JP"/>
              </w:rPr>
            </w:pPr>
          </w:p>
        </w:tc>
      </w:tr>
      <w:tr w:rsidR="00516F94" w:rsidRPr="005314B3" w14:paraId="3EE1D80A" w14:textId="0D84DF66"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C3C9B4C" w14:textId="77777777" w:rsidR="00516F94" w:rsidRPr="00AE09D0" w:rsidRDefault="00516F94" w:rsidP="006055E0">
            <w:pPr>
              <w:spacing w:before="0"/>
              <w:rPr>
                <w:rFonts w:cstheme="minorHAnsi"/>
                <w:lang w:eastAsia="ja-JP"/>
              </w:rPr>
            </w:pPr>
            <w:r w:rsidRPr="00AE09D0">
              <w:rPr>
                <w:rFonts w:cstheme="minorHAnsi"/>
                <w:lang w:eastAsia="ja-JP"/>
              </w:rPr>
              <w:t>FOLR1</w:t>
            </w:r>
          </w:p>
        </w:tc>
        <w:tc>
          <w:tcPr>
            <w:tcW w:w="2482" w:type="dxa"/>
            <w:noWrap/>
            <w:hideMark/>
          </w:tcPr>
          <w:p w14:paraId="3C1EB2BD"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mirvetuximab soravtansine-gynx</w:t>
            </w:r>
          </w:p>
        </w:tc>
        <w:tc>
          <w:tcPr>
            <w:tcW w:w="3188" w:type="dxa"/>
            <w:noWrap/>
            <w:hideMark/>
          </w:tcPr>
          <w:p w14:paraId="00BBC785"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Epithelial Ovarian Cancer</w:t>
            </w:r>
          </w:p>
        </w:tc>
        <w:tc>
          <w:tcPr>
            <w:tcW w:w="1938" w:type="dxa"/>
          </w:tcPr>
          <w:p w14:paraId="451742CF" w14:textId="77777777" w:rsidR="00E141F4" w:rsidRDefault="00E141F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3D7AF56B" w14:textId="551A3C46"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1FFB6D5C" w14:textId="3125DE8B"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29BD3D" w14:textId="77777777" w:rsidR="00516F94" w:rsidRPr="001C2F0F" w:rsidRDefault="00516F94" w:rsidP="006055E0">
            <w:pPr>
              <w:spacing w:before="0"/>
              <w:rPr>
                <w:rFonts w:cstheme="minorHAnsi"/>
                <w:i/>
                <w:iCs/>
                <w:lang w:eastAsia="ja-JP"/>
              </w:rPr>
            </w:pPr>
            <w:r w:rsidRPr="001C2F0F">
              <w:rPr>
                <w:rFonts w:cstheme="minorHAnsi"/>
                <w:i/>
                <w:iCs/>
                <w:lang w:eastAsia="ja-JP"/>
              </w:rPr>
              <w:t>HLA</w:t>
            </w:r>
          </w:p>
        </w:tc>
        <w:tc>
          <w:tcPr>
            <w:tcW w:w="2482" w:type="dxa"/>
            <w:noWrap/>
            <w:hideMark/>
          </w:tcPr>
          <w:p w14:paraId="514DCF03"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tebentafusp-tebn</w:t>
            </w:r>
          </w:p>
        </w:tc>
        <w:tc>
          <w:tcPr>
            <w:tcW w:w="3188" w:type="dxa"/>
            <w:noWrap/>
            <w:hideMark/>
          </w:tcPr>
          <w:p w14:paraId="310B77B0"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Uveal melanoma</w:t>
            </w:r>
          </w:p>
        </w:tc>
        <w:tc>
          <w:tcPr>
            <w:tcW w:w="1938" w:type="dxa"/>
          </w:tcPr>
          <w:p w14:paraId="7B0812BD" w14:textId="77777777" w:rsidR="00E141F4" w:rsidRDefault="00E141F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14D737B7" w14:textId="1CE5098D"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029A16F7" w14:textId="174763D3" w:rsidTr="006F1884">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9A2355F" w14:textId="77777777" w:rsidR="00516F94" w:rsidRPr="001C2F0F" w:rsidRDefault="00516F94" w:rsidP="006055E0">
            <w:pPr>
              <w:spacing w:before="0"/>
              <w:rPr>
                <w:rFonts w:cstheme="minorHAnsi"/>
                <w:i/>
                <w:iCs/>
                <w:lang w:eastAsia="ja-JP"/>
              </w:rPr>
            </w:pPr>
            <w:r w:rsidRPr="001C2F0F">
              <w:rPr>
                <w:rFonts w:cstheme="minorHAnsi"/>
                <w:i/>
                <w:iCs/>
                <w:lang w:eastAsia="ja-JP"/>
              </w:rPr>
              <w:t>IDH1</w:t>
            </w:r>
          </w:p>
        </w:tc>
        <w:tc>
          <w:tcPr>
            <w:tcW w:w="2482" w:type="dxa"/>
            <w:noWrap/>
            <w:hideMark/>
          </w:tcPr>
          <w:p w14:paraId="02CC9092"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ivosidenib</w:t>
            </w:r>
          </w:p>
          <w:p w14:paraId="2EE63A48" w14:textId="7CD2D0F5"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olutasidenib</w:t>
            </w:r>
          </w:p>
        </w:tc>
        <w:tc>
          <w:tcPr>
            <w:tcW w:w="3188" w:type="dxa"/>
            <w:noWrap/>
            <w:hideMark/>
          </w:tcPr>
          <w:p w14:paraId="108C01A1"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Acute myeloid leukemia</w:t>
            </w:r>
          </w:p>
          <w:p w14:paraId="51569B8B" w14:textId="3A6E51D9" w:rsidR="00516F94" w:rsidRPr="00AE09D0" w:rsidRDefault="00436418"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Cholangiocarcinoma</w:t>
            </w:r>
          </w:p>
        </w:tc>
        <w:tc>
          <w:tcPr>
            <w:tcW w:w="1938" w:type="dxa"/>
          </w:tcPr>
          <w:p w14:paraId="7E75DE3C" w14:textId="77777777" w:rsidR="00E141F4" w:rsidRDefault="00E141F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28CD63F4" w14:textId="5E510493"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488D4C89" w14:textId="6A805A5C"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979040F" w14:textId="77777777" w:rsidR="00516F94" w:rsidRPr="001C2F0F" w:rsidRDefault="00516F94" w:rsidP="006055E0">
            <w:pPr>
              <w:spacing w:before="0"/>
              <w:rPr>
                <w:rFonts w:cstheme="minorHAnsi"/>
                <w:i/>
                <w:iCs/>
                <w:lang w:eastAsia="ja-JP"/>
              </w:rPr>
            </w:pPr>
            <w:r w:rsidRPr="001C2F0F">
              <w:rPr>
                <w:rFonts w:cstheme="minorHAnsi"/>
                <w:i/>
                <w:iCs/>
                <w:lang w:eastAsia="ja-JP"/>
              </w:rPr>
              <w:t>IDH2</w:t>
            </w:r>
          </w:p>
        </w:tc>
        <w:tc>
          <w:tcPr>
            <w:tcW w:w="2482" w:type="dxa"/>
            <w:noWrap/>
            <w:hideMark/>
          </w:tcPr>
          <w:p w14:paraId="129D88CC"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enasidenib</w:t>
            </w:r>
          </w:p>
        </w:tc>
        <w:tc>
          <w:tcPr>
            <w:tcW w:w="3188" w:type="dxa"/>
            <w:noWrap/>
            <w:hideMark/>
          </w:tcPr>
          <w:p w14:paraId="4095A951" w14:textId="04D007EE"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Acute myeloid leukemia</w:t>
            </w:r>
          </w:p>
        </w:tc>
        <w:tc>
          <w:tcPr>
            <w:tcW w:w="1938" w:type="dxa"/>
          </w:tcPr>
          <w:p w14:paraId="2F5D8DDE" w14:textId="77777777" w:rsidR="00E141F4" w:rsidRDefault="00E141F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591769A4" w14:textId="5E29D040"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0699CB14" w14:textId="723C99D5"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FBE01E0" w14:textId="77777777" w:rsidR="00516F94" w:rsidRPr="00AE09D0" w:rsidRDefault="00516F94" w:rsidP="006055E0">
            <w:pPr>
              <w:spacing w:before="0"/>
              <w:rPr>
                <w:rFonts w:cstheme="minorHAnsi"/>
                <w:lang w:eastAsia="ja-JP"/>
              </w:rPr>
            </w:pPr>
            <w:r w:rsidRPr="00AE09D0">
              <w:rPr>
                <w:rFonts w:cstheme="minorHAnsi"/>
                <w:lang w:eastAsia="ja-JP"/>
              </w:rPr>
              <w:t>Ki-67</w:t>
            </w:r>
          </w:p>
        </w:tc>
        <w:tc>
          <w:tcPr>
            <w:tcW w:w="2482" w:type="dxa"/>
            <w:noWrap/>
            <w:hideMark/>
          </w:tcPr>
          <w:p w14:paraId="675AF3F8"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abemaciclib</w:t>
            </w:r>
          </w:p>
        </w:tc>
        <w:tc>
          <w:tcPr>
            <w:tcW w:w="3188" w:type="dxa"/>
            <w:noWrap/>
            <w:hideMark/>
          </w:tcPr>
          <w:p w14:paraId="274E6C34"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Breast Cancer</w:t>
            </w:r>
          </w:p>
        </w:tc>
        <w:tc>
          <w:tcPr>
            <w:tcW w:w="1938" w:type="dxa"/>
          </w:tcPr>
          <w:p w14:paraId="7810DDAE" w14:textId="77777777" w:rsidR="00E141F4" w:rsidRPr="00A72A71" w:rsidRDefault="00E141F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19E677BE" w14:textId="456A1521"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color w:val="000000"/>
                <w:lang w:eastAsia="ja-JP"/>
              </w:rPr>
              <w:t>(</w:t>
            </w:r>
            <w:r w:rsidR="00E141F4" w:rsidRPr="00A72A71">
              <w:rPr>
                <w:rFonts w:cstheme="minorHAnsi"/>
                <w:color w:val="000000"/>
                <w:lang w:eastAsia="ja-JP"/>
              </w:rPr>
              <w:t>Not required for access</w:t>
            </w:r>
            <w:r>
              <w:rPr>
                <w:rFonts w:cstheme="minorHAnsi"/>
                <w:color w:val="000000"/>
                <w:lang w:eastAsia="ja-JP"/>
              </w:rPr>
              <w:t>)</w:t>
            </w:r>
          </w:p>
        </w:tc>
      </w:tr>
      <w:tr w:rsidR="00516F94" w:rsidRPr="005314B3" w14:paraId="6EACE2CC" w14:textId="398C7523"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5107CFB" w14:textId="77777777" w:rsidR="00516F94" w:rsidRPr="001C2F0F" w:rsidRDefault="00516F94" w:rsidP="006055E0">
            <w:pPr>
              <w:spacing w:before="0"/>
              <w:rPr>
                <w:rFonts w:cstheme="minorHAnsi"/>
                <w:i/>
                <w:iCs/>
                <w:lang w:eastAsia="ja-JP"/>
              </w:rPr>
            </w:pPr>
            <w:r w:rsidRPr="001C2F0F">
              <w:rPr>
                <w:rFonts w:cstheme="minorHAnsi"/>
                <w:i/>
                <w:iCs/>
                <w:lang w:eastAsia="ja-JP"/>
              </w:rPr>
              <w:t>KIT</w:t>
            </w:r>
          </w:p>
        </w:tc>
        <w:tc>
          <w:tcPr>
            <w:tcW w:w="2482" w:type="dxa"/>
            <w:noWrap/>
            <w:hideMark/>
          </w:tcPr>
          <w:p w14:paraId="7497844B" w14:textId="7D2CBB2F"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imatinib</w:t>
            </w:r>
          </w:p>
        </w:tc>
        <w:tc>
          <w:tcPr>
            <w:tcW w:w="3188" w:type="dxa"/>
            <w:noWrap/>
            <w:hideMark/>
          </w:tcPr>
          <w:p w14:paraId="73BB2CA6" w14:textId="74B61D0C"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 xml:space="preserve">Aggressive </w:t>
            </w:r>
            <w:r w:rsidR="00436418" w:rsidRPr="00AE09D0">
              <w:rPr>
                <w:rFonts w:cstheme="minorHAnsi"/>
                <w:lang w:eastAsia="ja-JP"/>
              </w:rPr>
              <w:t>Systemic</w:t>
            </w:r>
            <w:r w:rsidRPr="00AE09D0">
              <w:rPr>
                <w:rFonts w:cstheme="minorHAnsi"/>
                <w:lang w:eastAsia="ja-JP"/>
              </w:rPr>
              <w:t xml:space="preserve"> Mastocytosis</w:t>
            </w:r>
          </w:p>
        </w:tc>
        <w:tc>
          <w:tcPr>
            <w:tcW w:w="1938" w:type="dxa"/>
          </w:tcPr>
          <w:p w14:paraId="4EC9127D" w14:textId="586837A7" w:rsidR="00E141F4" w:rsidRPr="00A72A71" w:rsidRDefault="00B95FBB"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Pr>
                <w:rFonts w:cstheme="minorHAnsi"/>
                <w:color w:val="000000"/>
                <w:lang w:eastAsia="ja-JP"/>
              </w:rPr>
              <w:t>Yes</w:t>
            </w:r>
          </w:p>
          <w:p w14:paraId="5C7693A2" w14:textId="312BD584" w:rsidR="00516F94" w:rsidRPr="00A72A71"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p>
        </w:tc>
      </w:tr>
      <w:tr w:rsidR="00516F94" w:rsidRPr="005314B3" w14:paraId="27C8E7CB" w14:textId="4C0A9879" w:rsidTr="006F1884">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985AE1B" w14:textId="7F405A2A" w:rsidR="00516F94" w:rsidRPr="006835C6" w:rsidRDefault="00516F94" w:rsidP="006055E0">
            <w:pPr>
              <w:spacing w:before="0"/>
              <w:rPr>
                <w:rFonts w:cstheme="minorHAnsi"/>
                <w:i/>
                <w:iCs/>
                <w:lang w:eastAsia="ja-JP"/>
              </w:rPr>
            </w:pPr>
            <w:r w:rsidRPr="00AE09D0">
              <w:rPr>
                <w:rFonts w:cstheme="minorHAnsi"/>
                <w:lang w:eastAsia="ja-JP"/>
              </w:rPr>
              <w:t>KRAS</w:t>
            </w:r>
            <w:r w:rsidR="006835C6">
              <w:rPr>
                <w:rFonts w:cstheme="minorHAnsi"/>
                <w:lang w:eastAsia="ja-JP"/>
              </w:rPr>
              <w:t>/</w:t>
            </w:r>
            <w:r w:rsidR="006835C6">
              <w:rPr>
                <w:rFonts w:cstheme="minorHAnsi"/>
                <w:i/>
                <w:iCs/>
                <w:lang w:eastAsia="ja-JP"/>
              </w:rPr>
              <w:t>KRAS</w:t>
            </w:r>
          </w:p>
        </w:tc>
        <w:tc>
          <w:tcPr>
            <w:tcW w:w="2482" w:type="dxa"/>
            <w:noWrap/>
            <w:hideMark/>
          </w:tcPr>
          <w:p w14:paraId="74D2CAFD"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adagrasib</w:t>
            </w:r>
          </w:p>
          <w:p w14:paraId="55C234BC"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cetuximab</w:t>
            </w:r>
          </w:p>
          <w:p w14:paraId="166DFA2C"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panitumumab</w:t>
            </w:r>
          </w:p>
          <w:p w14:paraId="187547B5" w14:textId="142336B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sotorasib</w:t>
            </w:r>
          </w:p>
        </w:tc>
        <w:tc>
          <w:tcPr>
            <w:tcW w:w="3188" w:type="dxa"/>
            <w:noWrap/>
            <w:hideMark/>
          </w:tcPr>
          <w:p w14:paraId="534C5D81"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Non-Small Cell Lung Cancer</w:t>
            </w:r>
          </w:p>
          <w:p w14:paraId="664CB501" w14:textId="33ABF382"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Colorectal Cancer</w:t>
            </w:r>
          </w:p>
        </w:tc>
        <w:tc>
          <w:tcPr>
            <w:tcW w:w="1938" w:type="dxa"/>
          </w:tcPr>
          <w:p w14:paraId="4D884601" w14:textId="3997DDDD"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4ADDF3D4" w14:textId="7FF26B5A"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7C5205F" w14:textId="77777777" w:rsidR="00516F94" w:rsidRPr="006835C6" w:rsidRDefault="00516F94" w:rsidP="006055E0">
            <w:pPr>
              <w:spacing w:before="0"/>
              <w:rPr>
                <w:rFonts w:cstheme="minorHAnsi"/>
                <w:i/>
                <w:iCs/>
                <w:lang w:eastAsia="ja-JP"/>
              </w:rPr>
            </w:pPr>
            <w:r w:rsidRPr="006835C6">
              <w:rPr>
                <w:rFonts w:cstheme="minorHAnsi"/>
                <w:i/>
                <w:iCs/>
                <w:lang w:eastAsia="ja-JP"/>
              </w:rPr>
              <w:t xml:space="preserve">KRAS </w:t>
            </w:r>
            <w:r w:rsidRPr="006835C6">
              <w:rPr>
                <w:rFonts w:cstheme="minorHAnsi"/>
                <w:lang w:eastAsia="ja-JP"/>
              </w:rPr>
              <w:t>and</w:t>
            </w:r>
            <w:r w:rsidRPr="006835C6">
              <w:rPr>
                <w:rFonts w:cstheme="minorHAnsi"/>
                <w:i/>
                <w:iCs/>
                <w:lang w:eastAsia="ja-JP"/>
              </w:rPr>
              <w:t xml:space="preserve"> NRAS</w:t>
            </w:r>
          </w:p>
        </w:tc>
        <w:tc>
          <w:tcPr>
            <w:tcW w:w="2482" w:type="dxa"/>
            <w:noWrap/>
            <w:hideMark/>
          </w:tcPr>
          <w:p w14:paraId="30778A4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panitumumab</w:t>
            </w:r>
          </w:p>
        </w:tc>
        <w:tc>
          <w:tcPr>
            <w:tcW w:w="3188" w:type="dxa"/>
            <w:noWrap/>
            <w:hideMark/>
          </w:tcPr>
          <w:p w14:paraId="75013868"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Colorectal Cancer</w:t>
            </w:r>
          </w:p>
        </w:tc>
        <w:tc>
          <w:tcPr>
            <w:tcW w:w="1938" w:type="dxa"/>
          </w:tcPr>
          <w:p w14:paraId="120D577B" w14:textId="1227483F" w:rsidR="00516F94" w:rsidRPr="00A72A71"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7011EC6A" w14:textId="24E1BFDC"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FDFE435" w14:textId="77777777" w:rsidR="00516F94" w:rsidRPr="00AE09D0" w:rsidRDefault="00516F94" w:rsidP="006055E0">
            <w:pPr>
              <w:spacing w:before="0"/>
              <w:rPr>
                <w:rFonts w:cstheme="minorHAnsi"/>
                <w:lang w:eastAsia="ja-JP"/>
              </w:rPr>
            </w:pPr>
            <w:r w:rsidRPr="00AE09D0">
              <w:rPr>
                <w:rFonts w:cstheme="minorHAnsi"/>
                <w:lang w:eastAsia="ja-JP"/>
              </w:rPr>
              <w:t>Liver iron concentration imaging</w:t>
            </w:r>
          </w:p>
        </w:tc>
        <w:tc>
          <w:tcPr>
            <w:tcW w:w="2482" w:type="dxa"/>
            <w:noWrap/>
            <w:hideMark/>
          </w:tcPr>
          <w:p w14:paraId="0B429714"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deferasirox</w:t>
            </w:r>
          </w:p>
        </w:tc>
        <w:tc>
          <w:tcPr>
            <w:tcW w:w="3188" w:type="dxa"/>
            <w:noWrap/>
            <w:hideMark/>
          </w:tcPr>
          <w:p w14:paraId="14AA9B3B"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Non-Transfusion-Dependent Thalassemia</w:t>
            </w:r>
          </w:p>
        </w:tc>
        <w:tc>
          <w:tcPr>
            <w:tcW w:w="1938" w:type="dxa"/>
          </w:tcPr>
          <w:p w14:paraId="278817DF" w14:textId="77777777" w:rsidR="00B92219" w:rsidRPr="00A72A71" w:rsidRDefault="00B92219"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038A1AEA" w14:textId="3EC9D96C"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color w:val="000000"/>
                <w:lang w:eastAsia="ja-JP"/>
              </w:rPr>
              <w:t>(</w:t>
            </w:r>
            <w:r w:rsidR="00516F94" w:rsidRPr="00A72A71">
              <w:rPr>
                <w:rFonts w:cstheme="minorHAnsi"/>
                <w:color w:val="000000"/>
                <w:lang w:eastAsia="ja-JP"/>
              </w:rPr>
              <w:t>No</w:t>
            </w:r>
            <w:r w:rsidR="00C86E88" w:rsidRPr="00A72A71">
              <w:rPr>
                <w:rFonts w:cstheme="minorHAnsi"/>
                <w:color w:val="000000"/>
                <w:lang w:eastAsia="ja-JP"/>
              </w:rPr>
              <w:t>t required</w:t>
            </w:r>
            <w:r w:rsidR="00B92219" w:rsidRPr="00A72A71">
              <w:rPr>
                <w:rFonts w:cstheme="minorHAnsi"/>
                <w:color w:val="000000"/>
                <w:lang w:eastAsia="ja-JP"/>
              </w:rPr>
              <w:t xml:space="preserve"> for</w:t>
            </w:r>
            <w:r w:rsidR="00C86E88" w:rsidRPr="00A72A71">
              <w:rPr>
                <w:rFonts w:cstheme="minorHAnsi"/>
                <w:color w:val="000000"/>
                <w:lang w:eastAsia="ja-JP"/>
              </w:rPr>
              <w:t xml:space="preserve"> access</w:t>
            </w:r>
            <w:r>
              <w:rPr>
                <w:rFonts w:cstheme="minorHAnsi"/>
                <w:color w:val="000000"/>
                <w:lang w:eastAsia="ja-JP"/>
              </w:rPr>
              <w:t>)</w:t>
            </w:r>
          </w:p>
        </w:tc>
      </w:tr>
      <w:tr w:rsidR="00516F94" w:rsidRPr="005314B3" w14:paraId="2AAD0AD3" w14:textId="64373B21"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AA7915F" w14:textId="77777777" w:rsidR="00516F94" w:rsidRPr="006835C6" w:rsidRDefault="00516F94" w:rsidP="006055E0">
            <w:pPr>
              <w:spacing w:before="0"/>
              <w:rPr>
                <w:rFonts w:cstheme="minorHAnsi"/>
                <w:i/>
                <w:iCs/>
                <w:lang w:eastAsia="ja-JP"/>
              </w:rPr>
            </w:pPr>
            <w:r w:rsidRPr="006835C6">
              <w:rPr>
                <w:rFonts w:cstheme="minorHAnsi"/>
                <w:i/>
                <w:iCs/>
                <w:lang w:eastAsia="ja-JP"/>
              </w:rPr>
              <w:t>MET</w:t>
            </w:r>
          </w:p>
        </w:tc>
        <w:tc>
          <w:tcPr>
            <w:tcW w:w="2482" w:type="dxa"/>
            <w:noWrap/>
            <w:hideMark/>
          </w:tcPr>
          <w:p w14:paraId="0980D4E3"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capmatinib</w:t>
            </w:r>
          </w:p>
        </w:tc>
        <w:tc>
          <w:tcPr>
            <w:tcW w:w="3188" w:type="dxa"/>
            <w:noWrap/>
            <w:hideMark/>
          </w:tcPr>
          <w:p w14:paraId="2E73C72E"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Non-Small Cell Lung Cancer</w:t>
            </w:r>
          </w:p>
        </w:tc>
        <w:tc>
          <w:tcPr>
            <w:tcW w:w="1938" w:type="dxa"/>
          </w:tcPr>
          <w:p w14:paraId="293CB01F" w14:textId="77777777" w:rsidR="00516F94" w:rsidRPr="00A72A71" w:rsidRDefault="00516F9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35E43CB4" w14:textId="7DECE1B3" w:rsidR="00B92219"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w:t>
            </w:r>
            <w:r w:rsidR="00B92219" w:rsidRPr="00A72A71">
              <w:rPr>
                <w:rFonts w:cstheme="minorHAnsi"/>
                <w:color w:val="000000"/>
                <w:lang w:eastAsia="ja-JP"/>
              </w:rPr>
              <w:t>Not PBS listed</w:t>
            </w:r>
            <w:r>
              <w:rPr>
                <w:rFonts w:cstheme="minorHAnsi"/>
                <w:color w:val="000000"/>
                <w:lang w:eastAsia="ja-JP"/>
              </w:rPr>
              <w:t>)</w:t>
            </w:r>
          </w:p>
        </w:tc>
      </w:tr>
      <w:tr w:rsidR="00516F94" w:rsidRPr="005314B3" w14:paraId="373F2316" w14:textId="0FF98575"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B8515B2" w14:textId="77777777" w:rsidR="00516F94" w:rsidRPr="00AE09D0" w:rsidRDefault="00516F94" w:rsidP="006055E0">
            <w:pPr>
              <w:spacing w:before="0"/>
              <w:rPr>
                <w:rFonts w:cstheme="minorHAnsi"/>
                <w:lang w:eastAsia="ja-JP"/>
              </w:rPr>
            </w:pPr>
            <w:r w:rsidRPr="00AE09D0">
              <w:rPr>
                <w:rFonts w:cstheme="minorHAnsi"/>
                <w:lang w:eastAsia="ja-JP"/>
              </w:rPr>
              <w:t>MSI-High</w:t>
            </w:r>
          </w:p>
        </w:tc>
        <w:tc>
          <w:tcPr>
            <w:tcW w:w="2482" w:type="dxa"/>
            <w:noWrap/>
            <w:hideMark/>
          </w:tcPr>
          <w:p w14:paraId="4B9E2DB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pembrolizumab</w:t>
            </w:r>
          </w:p>
        </w:tc>
        <w:tc>
          <w:tcPr>
            <w:tcW w:w="3188" w:type="dxa"/>
            <w:noWrap/>
            <w:hideMark/>
          </w:tcPr>
          <w:p w14:paraId="0E4CE6CE" w14:textId="5C46CD0A"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 xml:space="preserve">Solid </w:t>
            </w:r>
            <w:r w:rsidR="00436418" w:rsidRPr="00AE09D0">
              <w:rPr>
                <w:rFonts w:cstheme="minorHAnsi"/>
                <w:lang w:eastAsia="ja-JP"/>
              </w:rPr>
              <w:t>Tumours</w:t>
            </w:r>
          </w:p>
        </w:tc>
        <w:tc>
          <w:tcPr>
            <w:tcW w:w="1938" w:type="dxa"/>
          </w:tcPr>
          <w:p w14:paraId="5E692BB8" w14:textId="77777777" w:rsidR="00B92219" w:rsidRPr="00A72A71" w:rsidRDefault="00B92219"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72819897" w14:textId="7FDF7149"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color w:val="000000"/>
                <w:lang w:eastAsia="ja-JP"/>
              </w:rPr>
              <w:t>(</w:t>
            </w:r>
            <w:r w:rsidR="00B92219" w:rsidRPr="00A72A71">
              <w:rPr>
                <w:rFonts w:cstheme="minorHAnsi"/>
                <w:color w:val="000000"/>
                <w:lang w:eastAsia="ja-JP"/>
              </w:rPr>
              <w:t>Not required for access</w:t>
            </w:r>
            <w:r>
              <w:rPr>
                <w:rFonts w:cstheme="minorHAnsi"/>
                <w:color w:val="000000"/>
                <w:lang w:eastAsia="ja-JP"/>
              </w:rPr>
              <w:t>)</w:t>
            </w:r>
          </w:p>
        </w:tc>
      </w:tr>
      <w:tr w:rsidR="00516F94" w:rsidRPr="005314B3" w14:paraId="481D00BD" w14:textId="70C7D6CF" w:rsidTr="006F1884">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C31C9F4" w14:textId="5950C025" w:rsidR="00516F94" w:rsidRPr="00AE09D0" w:rsidRDefault="00516F94" w:rsidP="006055E0">
            <w:pPr>
              <w:spacing w:before="0"/>
              <w:rPr>
                <w:rFonts w:cstheme="minorHAnsi"/>
                <w:lang w:eastAsia="ja-JP"/>
              </w:rPr>
            </w:pPr>
            <w:r w:rsidRPr="00AE09D0">
              <w:rPr>
                <w:rFonts w:cstheme="minorHAnsi"/>
                <w:lang w:eastAsia="ja-JP"/>
              </w:rPr>
              <w:t>HRD</w:t>
            </w:r>
          </w:p>
        </w:tc>
        <w:tc>
          <w:tcPr>
            <w:tcW w:w="2482" w:type="dxa"/>
            <w:noWrap/>
            <w:hideMark/>
          </w:tcPr>
          <w:p w14:paraId="0F4186E5"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niraparib</w:t>
            </w:r>
          </w:p>
          <w:p w14:paraId="6D1D49A3" w14:textId="5FE0AA20"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olaparib</w:t>
            </w:r>
          </w:p>
        </w:tc>
        <w:tc>
          <w:tcPr>
            <w:tcW w:w="3188" w:type="dxa"/>
            <w:noWrap/>
            <w:hideMark/>
          </w:tcPr>
          <w:p w14:paraId="179EF4A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Ovarian Cancer</w:t>
            </w:r>
          </w:p>
        </w:tc>
        <w:tc>
          <w:tcPr>
            <w:tcW w:w="1938" w:type="dxa"/>
          </w:tcPr>
          <w:p w14:paraId="270DEC5B" w14:textId="77777777" w:rsidR="00B92219" w:rsidRPr="00A72A71" w:rsidRDefault="00B92219"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3D88AA14" w14:textId="2CC78EFD"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w:t>
            </w:r>
            <w:r w:rsidR="00B92219" w:rsidRPr="00A72A71">
              <w:rPr>
                <w:rFonts w:cstheme="minorHAnsi"/>
                <w:color w:val="000000"/>
                <w:lang w:eastAsia="ja-JP"/>
              </w:rPr>
              <w:t>Not required for access</w:t>
            </w:r>
            <w:r>
              <w:rPr>
                <w:rFonts w:cstheme="minorHAnsi"/>
                <w:color w:val="000000"/>
                <w:lang w:eastAsia="ja-JP"/>
              </w:rPr>
              <w:t>)</w:t>
            </w:r>
          </w:p>
        </w:tc>
      </w:tr>
      <w:tr w:rsidR="00516F94" w:rsidRPr="005314B3" w14:paraId="70A21721" w14:textId="3EF183E1" w:rsidTr="006F1884">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E7AFDCA" w14:textId="77777777" w:rsidR="00516F94" w:rsidRDefault="00516F94" w:rsidP="006055E0">
            <w:pPr>
              <w:spacing w:before="0"/>
              <w:rPr>
                <w:rFonts w:cstheme="minorHAnsi"/>
                <w:lang w:eastAsia="ja-JP"/>
              </w:rPr>
            </w:pPr>
            <w:r w:rsidRPr="00AE09D0">
              <w:rPr>
                <w:rFonts w:cstheme="minorHAnsi"/>
                <w:lang w:eastAsia="ja-JP"/>
              </w:rPr>
              <w:t>NTRK1, NTRK2 and NTRK3</w:t>
            </w:r>
          </w:p>
          <w:p w14:paraId="09BB6C3D" w14:textId="6E25C8AC" w:rsidR="006835C6" w:rsidRPr="006835C6" w:rsidRDefault="006835C6" w:rsidP="006055E0">
            <w:pPr>
              <w:spacing w:before="0"/>
              <w:rPr>
                <w:rFonts w:cstheme="minorHAnsi"/>
                <w:i/>
                <w:iCs/>
                <w:lang w:eastAsia="ja-JP"/>
              </w:rPr>
            </w:pPr>
            <w:r w:rsidRPr="006835C6">
              <w:rPr>
                <w:rFonts w:cstheme="minorHAnsi"/>
                <w:i/>
                <w:iCs/>
                <w:lang w:eastAsia="ja-JP"/>
              </w:rPr>
              <w:t>NTRK1, NTRK2 and NTRK3</w:t>
            </w:r>
          </w:p>
        </w:tc>
        <w:tc>
          <w:tcPr>
            <w:tcW w:w="2482" w:type="dxa"/>
            <w:noWrap/>
            <w:hideMark/>
          </w:tcPr>
          <w:p w14:paraId="1B7327F4"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larotrectinib</w:t>
            </w:r>
          </w:p>
          <w:p w14:paraId="76341907" w14:textId="2BD06D05"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entrectinib</w:t>
            </w:r>
          </w:p>
        </w:tc>
        <w:tc>
          <w:tcPr>
            <w:tcW w:w="3188" w:type="dxa"/>
            <w:noWrap/>
            <w:hideMark/>
          </w:tcPr>
          <w:p w14:paraId="02C5A4BA"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Solid Tumours</w:t>
            </w:r>
          </w:p>
          <w:p w14:paraId="47B11C93" w14:textId="5D4A344F"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p>
        </w:tc>
        <w:tc>
          <w:tcPr>
            <w:tcW w:w="1938" w:type="dxa"/>
          </w:tcPr>
          <w:p w14:paraId="525D1492" w14:textId="057226AD" w:rsidR="00516F94" w:rsidRPr="00A72A71" w:rsidRDefault="00A72A71"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lang w:eastAsia="ja-JP"/>
              </w:rPr>
              <w:t>Yes</w:t>
            </w:r>
          </w:p>
        </w:tc>
      </w:tr>
      <w:tr w:rsidR="00516F94" w:rsidRPr="005314B3" w14:paraId="21BF660A" w14:textId="57EB09F7"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E92DF76" w14:textId="77777777" w:rsidR="00516F94" w:rsidRPr="00AE09D0" w:rsidRDefault="00516F94" w:rsidP="006055E0">
            <w:pPr>
              <w:spacing w:before="0"/>
              <w:rPr>
                <w:rFonts w:cstheme="minorHAnsi"/>
                <w:lang w:eastAsia="ja-JP"/>
              </w:rPr>
            </w:pPr>
            <w:r w:rsidRPr="006835C6">
              <w:rPr>
                <w:rFonts w:cstheme="minorHAnsi"/>
                <w:i/>
                <w:iCs/>
                <w:lang w:eastAsia="ja-JP"/>
              </w:rPr>
              <w:t>NTRK1, NTRK2, </w:t>
            </w:r>
            <w:r w:rsidRPr="006835C6">
              <w:rPr>
                <w:rFonts w:cstheme="minorHAnsi"/>
                <w:lang w:eastAsia="ja-JP"/>
              </w:rPr>
              <w:t>and</w:t>
            </w:r>
            <w:r w:rsidRPr="006835C6">
              <w:rPr>
                <w:rFonts w:cstheme="minorHAnsi"/>
                <w:i/>
                <w:iCs/>
                <w:lang w:eastAsia="ja-JP"/>
              </w:rPr>
              <w:t xml:space="preserve"> NTRK3</w:t>
            </w:r>
            <w:r w:rsidRPr="00AE09D0">
              <w:rPr>
                <w:rFonts w:cstheme="minorHAnsi"/>
                <w:lang w:eastAsia="ja-JP"/>
              </w:rPr>
              <w:t xml:space="preserve"> fusions</w:t>
            </w:r>
          </w:p>
        </w:tc>
        <w:tc>
          <w:tcPr>
            <w:tcW w:w="2482" w:type="dxa"/>
            <w:noWrap/>
            <w:hideMark/>
          </w:tcPr>
          <w:p w14:paraId="2393766E"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entrectinib</w:t>
            </w:r>
          </w:p>
        </w:tc>
        <w:tc>
          <w:tcPr>
            <w:tcW w:w="3188" w:type="dxa"/>
            <w:noWrap/>
            <w:hideMark/>
          </w:tcPr>
          <w:p w14:paraId="6B331527" w14:textId="5A27AB20"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Solid Tumours</w:t>
            </w:r>
          </w:p>
        </w:tc>
        <w:tc>
          <w:tcPr>
            <w:tcW w:w="1938" w:type="dxa"/>
          </w:tcPr>
          <w:p w14:paraId="6EEA3C44" w14:textId="6CB9E5B0" w:rsidR="00516F94" w:rsidRPr="00A72A71" w:rsidRDefault="00A72A71"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72A71">
              <w:rPr>
                <w:rFonts w:cstheme="minorHAnsi"/>
                <w:lang w:eastAsia="ja-JP"/>
              </w:rPr>
              <w:t>Yes</w:t>
            </w:r>
          </w:p>
        </w:tc>
      </w:tr>
      <w:tr w:rsidR="00516F94" w:rsidRPr="005314B3" w14:paraId="500EE155" w14:textId="2B17005B"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46BA64A0" w14:textId="77777777" w:rsidR="00516F94" w:rsidRPr="006835C6" w:rsidRDefault="00516F94" w:rsidP="006055E0">
            <w:pPr>
              <w:spacing w:before="0"/>
              <w:rPr>
                <w:rFonts w:cstheme="minorHAnsi"/>
                <w:i/>
                <w:iCs/>
                <w:lang w:eastAsia="ja-JP"/>
              </w:rPr>
            </w:pPr>
            <w:r w:rsidRPr="006835C6">
              <w:rPr>
                <w:rFonts w:cstheme="minorHAnsi"/>
                <w:i/>
                <w:iCs/>
                <w:lang w:eastAsia="ja-JP"/>
              </w:rPr>
              <w:t>PDGFRB</w:t>
            </w:r>
          </w:p>
        </w:tc>
        <w:tc>
          <w:tcPr>
            <w:tcW w:w="2482" w:type="dxa"/>
            <w:noWrap/>
            <w:hideMark/>
          </w:tcPr>
          <w:p w14:paraId="77B3238A" w14:textId="42D2F70F"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imatinib</w:t>
            </w:r>
          </w:p>
        </w:tc>
        <w:tc>
          <w:tcPr>
            <w:tcW w:w="3188" w:type="dxa"/>
            <w:noWrap/>
            <w:hideMark/>
          </w:tcPr>
          <w:p w14:paraId="2E67680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Myelodysplastic Syndrome / Myeloproliferative Disease</w:t>
            </w:r>
          </w:p>
        </w:tc>
        <w:tc>
          <w:tcPr>
            <w:tcW w:w="1938" w:type="dxa"/>
          </w:tcPr>
          <w:p w14:paraId="2C755C15" w14:textId="1AD725BC" w:rsidR="00516F94" w:rsidRPr="00A72A71" w:rsidRDefault="00B95FBB"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Pr>
                <w:rFonts w:cstheme="minorHAnsi"/>
                <w:color w:val="000000"/>
                <w:lang w:eastAsia="ja-JP"/>
              </w:rPr>
              <w:t>Yes</w:t>
            </w:r>
          </w:p>
        </w:tc>
      </w:tr>
      <w:tr w:rsidR="00516F94" w:rsidRPr="005314B3" w14:paraId="2CF62DA0" w14:textId="2D5A4DDF" w:rsidTr="006F1884">
        <w:trPr>
          <w:cnfStyle w:val="000000010000" w:firstRow="0" w:lastRow="0" w:firstColumn="0" w:lastColumn="0" w:oddVBand="0" w:evenVBand="0" w:oddHBand="0" w:evenHBand="1" w:firstRowFirstColumn="0" w:firstRowLastColumn="0" w:lastRowFirstColumn="0" w:lastRowLastColumn="0"/>
          <w:trHeight w:val="2038"/>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5E75F54" w14:textId="77777777" w:rsidR="00516F94" w:rsidRPr="00AE09D0" w:rsidRDefault="00516F94" w:rsidP="006055E0">
            <w:pPr>
              <w:spacing w:before="0"/>
              <w:rPr>
                <w:rFonts w:cstheme="minorHAnsi"/>
                <w:lang w:eastAsia="ja-JP"/>
              </w:rPr>
            </w:pPr>
            <w:r w:rsidRPr="00AE09D0">
              <w:rPr>
                <w:rFonts w:cstheme="minorHAnsi"/>
                <w:lang w:eastAsia="ja-JP"/>
              </w:rPr>
              <w:t>PD-L1</w:t>
            </w:r>
          </w:p>
        </w:tc>
        <w:tc>
          <w:tcPr>
            <w:tcW w:w="2482" w:type="dxa"/>
            <w:noWrap/>
            <w:hideMark/>
          </w:tcPr>
          <w:p w14:paraId="63A13185"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atezolizumab</w:t>
            </w:r>
          </w:p>
          <w:p w14:paraId="39F5AA23"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cemiplimab-rwlc</w:t>
            </w:r>
          </w:p>
          <w:p w14:paraId="208CCCFE"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nivolumab with ipilimumab</w:t>
            </w:r>
          </w:p>
          <w:p w14:paraId="78411778" w14:textId="54A102AA"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pembrolizumab</w:t>
            </w:r>
          </w:p>
        </w:tc>
        <w:tc>
          <w:tcPr>
            <w:tcW w:w="3188" w:type="dxa"/>
            <w:noWrap/>
            <w:hideMark/>
          </w:tcPr>
          <w:p w14:paraId="4490B605"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Non-Small Cell Lung Cancer</w:t>
            </w:r>
          </w:p>
          <w:p w14:paraId="7EA3A6C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Urothelial carcinoma</w:t>
            </w:r>
          </w:p>
          <w:p w14:paraId="6742B6CD"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Cervical Cancer</w:t>
            </w:r>
          </w:p>
          <w:p w14:paraId="056BB676" w14:textId="707C4B00" w:rsidR="00516F94" w:rsidRPr="00AE09D0" w:rsidRDefault="00436418"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Oesophageal</w:t>
            </w:r>
            <w:r w:rsidR="00516F94" w:rsidRPr="00AE09D0">
              <w:rPr>
                <w:rFonts w:cstheme="minorHAnsi"/>
                <w:lang w:eastAsia="ja-JP"/>
              </w:rPr>
              <w:t xml:space="preserve"> Squamous Cell Carcinoma</w:t>
            </w:r>
          </w:p>
          <w:p w14:paraId="10437422"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Head and Neck Squamous Cell Carcinoma</w:t>
            </w:r>
          </w:p>
          <w:p w14:paraId="742E3D64" w14:textId="06CAF6B9"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Triple-Negative Breast Cancer</w:t>
            </w:r>
          </w:p>
        </w:tc>
        <w:tc>
          <w:tcPr>
            <w:tcW w:w="1938" w:type="dxa"/>
          </w:tcPr>
          <w:p w14:paraId="32F05506" w14:textId="77777777" w:rsidR="00516F94" w:rsidRDefault="0096564F"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Pr>
                <w:rFonts w:cstheme="minorHAnsi"/>
                <w:color w:val="000000"/>
                <w:lang w:eastAsia="ja-JP"/>
              </w:rPr>
              <w:t>Yes</w:t>
            </w:r>
          </w:p>
          <w:p w14:paraId="7C6A3F59" w14:textId="0B34D8D8" w:rsidR="0096564F" w:rsidRPr="00A72A71" w:rsidRDefault="0096564F"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(for some indications)</w:t>
            </w:r>
          </w:p>
        </w:tc>
      </w:tr>
      <w:tr w:rsidR="00516F94" w:rsidRPr="005314B3" w14:paraId="3BC15013" w14:textId="130D2349"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E4D2ABB" w14:textId="77777777" w:rsidR="00516F94" w:rsidRPr="006835C6" w:rsidRDefault="00516F94" w:rsidP="006055E0">
            <w:pPr>
              <w:spacing w:before="0"/>
              <w:rPr>
                <w:rFonts w:cstheme="minorHAnsi"/>
                <w:i/>
                <w:iCs/>
                <w:lang w:eastAsia="ja-JP"/>
              </w:rPr>
            </w:pPr>
            <w:r w:rsidRPr="006835C6">
              <w:rPr>
                <w:rFonts w:cstheme="minorHAnsi"/>
                <w:i/>
                <w:iCs/>
                <w:lang w:eastAsia="ja-JP"/>
              </w:rPr>
              <w:t>PIK3CA</w:t>
            </w:r>
          </w:p>
        </w:tc>
        <w:tc>
          <w:tcPr>
            <w:tcW w:w="2482" w:type="dxa"/>
            <w:noWrap/>
            <w:hideMark/>
          </w:tcPr>
          <w:p w14:paraId="716D39E6"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alpelisib</w:t>
            </w:r>
          </w:p>
        </w:tc>
        <w:tc>
          <w:tcPr>
            <w:tcW w:w="3188" w:type="dxa"/>
            <w:noWrap/>
            <w:hideMark/>
          </w:tcPr>
          <w:p w14:paraId="0653110A"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Breast Cancer</w:t>
            </w:r>
          </w:p>
        </w:tc>
        <w:tc>
          <w:tcPr>
            <w:tcW w:w="1938" w:type="dxa"/>
          </w:tcPr>
          <w:p w14:paraId="787EF5E0" w14:textId="77777777"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7A0F54FF" w14:textId="6D6CFAEA" w:rsidR="00A72A71"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5DEB1798" w14:textId="393CC4A8"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0229BF86" w14:textId="77777777" w:rsidR="00516F94" w:rsidRPr="006835C6" w:rsidRDefault="00516F94" w:rsidP="006055E0">
            <w:pPr>
              <w:spacing w:before="0"/>
              <w:rPr>
                <w:rFonts w:cstheme="minorHAnsi"/>
                <w:i/>
                <w:iCs/>
                <w:lang w:eastAsia="ja-JP"/>
              </w:rPr>
            </w:pPr>
            <w:r w:rsidRPr="006835C6">
              <w:rPr>
                <w:rFonts w:cstheme="minorHAnsi"/>
                <w:i/>
                <w:iCs/>
                <w:lang w:eastAsia="ja-JP"/>
              </w:rPr>
              <w:t xml:space="preserve">POMC, PCSK1 </w:t>
            </w:r>
            <w:r w:rsidRPr="006835C6">
              <w:rPr>
                <w:rFonts w:cstheme="minorHAnsi"/>
                <w:lang w:eastAsia="ja-JP"/>
              </w:rPr>
              <w:t xml:space="preserve">and </w:t>
            </w:r>
            <w:r w:rsidRPr="006835C6">
              <w:rPr>
                <w:rFonts w:cstheme="minorHAnsi"/>
                <w:i/>
                <w:iCs/>
                <w:lang w:eastAsia="ja-JP"/>
              </w:rPr>
              <w:t>LEPR</w:t>
            </w:r>
          </w:p>
        </w:tc>
        <w:tc>
          <w:tcPr>
            <w:tcW w:w="2482" w:type="dxa"/>
            <w:noWrap/>
            <w:hideMark/>
          </w:tcPr>
          <w:p w14:paraId="16A52A42"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setmelanotide acetate</w:t>
            </w:r>
          </w:p>
        </w:tc>
        <w:tc>
          <w:tcPr>
            <w:tcW w:w="3188" w:type="dxa"/>
            <w:noWrap/>
            <w:hideMark/>
          </w:tcPr>
          <w:p w14:paraId="5952F0C2"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Obesity</w:t>
            </w:r>
          </w:p>
        </w:tc>
        <w:tc>
          <w:tcPr>
            <w:tcW w:w="1938" w:type="dxa"/>
          </w:tcPr>
          <w:p w14:paraId="00B22E57" w14:textId="77777777" w:rsidR="00A72A71" w:rsidRPr="00A72A71" w:rsidRDefault="00A72A71"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6B512AFC" w14:textId="78C69730"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0EB60395" w14:textId="23EAEA1A"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1EF5093F" w14:textId="325CD38A" w:rsidR="00516F94" w:rsidRPr="00AE09D0" w:rsidRDefault="00516F94" w:rsidP="006055E0">
            <w:pPr>
              <w:spacing w:before="0"/>
              <w:rPr>
                <w:rFonts w:cstheme="minorHAnsi"/>
                <w:lang w:eastAsia="ja-JP"/>
              </w:rPr>
            </w:pPr>
            <w:r w:rsidRPr="00AE09D0">
              <w:rPr>
                <w:rFonts w:cstheme="minorHAnsi"/>
                <w:lang w:eastAsia="ja-JP"/>
              </w:rPr>
              <w:t>proficient mismatch repair (pMMR) proteins</w:t>
            </w:r>
          </w:p>
        </w:tc>
        <w:tc>
          <w:tcPr>
            <w:tcW w:w="2482" w:type="dxa"/>
            <w:noWrap/>
            <w:hideMark/>
          </w:tcPr>
          <w:p w14:paraId="3970865C"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pembrolizumab with lenvatinib</w:t>
            </w:r>
          </w:p>
        </w:tc>
        <w:tc>
          <w:tcPr>
            <w:tcW w:w="3188" w:type="dxa"/>
            <w:noWrap/>
            <w:hideMark/>
          </w:tcPr>
          <w:p w14:paraId="2CDF5469"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Endometrial Carcinoma</w:t>
            </w:r>
          </w:p>
        </w:tc>
        <w:tc>
          <w:tcPr>
            <w:tcW w:w="1938" w:type="dxa"/>
          </w:tcPr>
          <w:p w14:paraId="3091009E" w14:textId="77777777" w:rsidR="00A72A71" w:rsidRPr="00A72A71" w:rsidRDefault="00A72A71"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0623B84C" w14:textId="27BC474F"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071E1DD9" w14:textId="2361EEB6" w:rsidTr="006F1884">
        <w:trPr>
          <w:cnfStyle w:val="000000010000" w:firstRow="0" w:lastRow="0" w:firstColumn="0" w:lastColumn="0" w:oddVBand="0" w:evenVBand="0" w:oddHBand="0" w:evenHBand="1"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7B430E2" w14:textId="77777777" w:rsidR="00516F94" w:rsidRPr="006835C6" w:rsidRDefault="00516F94" w:rsidP="006055E0">
            <w:pPr>
              <w:spacing w:before="0"/>
              <w:rPr>
                <w:rFonts w:cstheme="minorHAnsi"/>
                <w:i/>
                <w:iCs/>
                <w:lang w:eastAsia="ja-JP"/>
              </w:rPr>
            </w:pPr>
            <w:r w:rsidRPr="006835C6">
              <w:rPr>
                <w:rFonts w:cstheme="minorHAnsi"/>
                <w:i/>
                <w:iCs/>
                <w:lang w:eastAsia="ja-JP"/>
              </w:rPr>
              <w:t>RET</w:t>
            </w:r>
          </w:p>
        </w:tc>
        <w:tc>
          <w:tcPr>
            <w:tcW w:w="2482" w:type="dxa"/>
            <w:noWrap/>
            <w:hideMark/>
          </w:tcPr>
          <w:p w14:paraId="18A9E216"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pralsetinib</w:t>
            </w:r>
          </w:p>
          <w:p w14:paraId="56C4526D" w14:textId="48532B13"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selpercatinib</w:t>
            </w:r>
          </w:p>
        </w:tc>
        <w:tc>
          <w:tcPr>
            <w:tcW w:w="3188" w:type="dxa"/>
            <w:noWrap/>
            <w:hideMark/>
          </w:tcPr>
          <w:p w14:paraId="47C9FB62"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Non-Small Cell Lung Cancer</w:t>
            </w:r>
          </w:p>
          <w:p w14:paraId="449AF10B" w14:textId="2ABDB7FE"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Medullary Thyroid Cancer</w:t>
            </w:r>
          </w:p>
        </w:tc>
        <w:tc>
          <w:tcPr>
            <w:tcW w:w="1938" w:type="dxa"/>
          </w:tcPr>
          <w:p w14:paraId="7D875EFD" w14:textId="77777777" w:rsidR="00A72A71" w:rsidRPr="00A72A71" w:rsidRDefault="00A72A71"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7F0F914F" w14:textId="39B4A959" w:rsidR="00516F94" w:rsidRPr="00A72A71" w:rsidRDefault="006F188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541B77F1" w14:textId="134671B2" w:rsidTr="006F1884">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F8FF807" w14:textId="77777777" w:rsidR="00516F94" w:rsidRPr="006835C6" w:rsidRDefault="00516F94" w:rsidP="006055E0">
            <w:pPr>
              <w:spacing w:before="0"/>
              <w:rPr>
                <w:rFonts w:cstheme="minorHAnsi"/>
                <w:i/>
                <w:iCs/>
                <w:lang w:eastAsia="ja-JP"/>
              </w:rPr>
            </w:pPr>
            <w:r w:rsidRPr="006835C6">
              <w:rPr>
                <w:rFonts w:cstheme="minorHAnsi"/>
                <w:i/>
                <w:iCs/>
                <w:lang w:eastAsia="ja-JP"/>
              </w:rPr>
              <w:t>ROS1</w:t>
            </w:r>
          </w:p>
        </w:tc>
        <w:tc>
          <w:tcPr>
            <w:tcW w:w="2482" w:type="dxa"/>
            <w:noWrap/>
            <w:hideMark/>
          </w:tcPr>
          <w:p w14:paraId="1F16B8DB"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crizotinib</w:t>
            </w:r>
          </w:p>
          <w:p w14:paraId="412AFA30" w14:textId="45BE70D1"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entrectinib</w:t>
            </w:r>
          </w:p>
        </w:tc>
        <w:tc>
          <w:tcPr>
            <w:tcW w:w="3188" w:type="dxa"/>
            <w:noWrap/>
            <w:hideMark/>
          </w:tcPr>
          <w:p w14:paraId="28CCCE84"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Non-Small Cell Lung Cancer</w:t>
            </w:r>
          </w:p>
        </w:tc>
        <w:tc>
          <w:tcPr>
            <w:tcW w:w="1938" w:type="dxa"/>
          </w:tcPr>
          <w:p w14:paraId="10848605" w14:textId="6FF05E0B" w:rsidR="00516F94" w:rsidRPr="00A72A71" w:rsidRDefault="00516F9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72A71">
              <w:rPr>
                <w:rFonts w:cstheme="minorHAnsi"/>
                <w:color w:val="000000"/>
                <w:lang w:eastAsia="ja-JP"/>
              </w:rPr>
              <w:t>Yes</w:t>
            </w:r>
          </w:p>
        </w:tc>
      </w:tr>
      <w:tr w:rsidR="00516F94" w:rsidRPr="005314B3" w14:paraId="6BB40E8E" w14:textId="471624D0"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E8975C0" w14:textId="77777777" w:rsidR="00516F94" w:rsidRPr="00AE09D0" w:rsidRDefault="00516F94" w:rsidP="006055E0">
            <w:pPr>
              <w:spacing w:before="0"/>
              <w:rPr>
                <w:rFonts w:cstheme="minorHAnsi"/>
                <w:lang w:eastAsia="ja-JP"/>
              </w:rPr>
            </w:pPr>
            <w:r w:rsidRPr="00AE09D0">
              <w:rPr>
                <w:rFonts w:cstheme="minorHAnsi"/>
                <w:lang w:eastAsia="ja-JP"/>
              </w:rPr>
              <w:t>t(9;21) Philadelphia chromosome</w:t>
            </w:r>
          </w:p>
        </w:tc>
        <w:tc>
          <w:tcPr>
            <w:tcW w:w="2482" w:type="dxa"/>
            <w:noWrap/>
            <w:hideMark/>
          </w:tcPr>
          <w:p w14:paraId="2A772B61"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nilotinib</w:t>
            </w:r>
          </w:p>
        </w:tc>
        <w:tc>
          <w:tcPr>
            <w:tcW w:w="3188" w:type="dxa"/>
            <w:noWrap/>
            <w:hideMark/>
          </w:tcPr>
          <w:p w14:paraId="38C7FFFB"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Chronic Myeloid Leukemia</w:t>
            </w:r>
          </w:p>
        </w:tc>
        <w:tc>
          <w:tcPr>
            <w:tcW w:w="1938" w:type="dxa"/>
          </w:tcPr>
          <w:p w14:paraId="378F25D7" w14:textId="1988CDB0" w:rsidR="00516F94" w:rsidRPr="00A72A71" w:rsidRDefault="00AF1D2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Yes</w:t>
            </w:r>
          </w:p>
        </w:tc>
      </w:tr>
      <w:tr w:rsidR="00516F94" w:rsidRPr="005314B3" w14:paraId="50BE89FA" w14:textId="09AB80A0" w:rsidTr="006F18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759F5DA3" w14:textId="5E3EFA49" w:rsidR="00516F94" w:rsidRPr="00AE09D0" w:rsidRDefault="006835C6" w:rsidP="006055E0">
            <w:pPr>
              <w:spacing w:before="0"/>
              <w:rPr>
                <w:rFonts w:cstheme="minorHAnsi"/>
                <w:lang w:eastAsia="ja-JP"/>
              </w:rPr>
            </w:pPr>
            <w:r>
              <w:rPr>
                <w:rFonts w:cstheme="minorHAnsi"/>
                <w:lang w:eastAsia="ja-JP"/>
              </w:rPr>
              <w:t>Tumour mutational burden High (</w:t>
            </w:r>
            <w:r w:rsidR="00516F94" w:rsidRPr="00AE09D0">
              <w:rPr>
                <w:rFonts w:cstheme="minorHAnsi"/>
                <w:lang w:eastAsia="ja-JP"/>
              </w:rPr>
              <w:t>TMB</w:t>
            </w:r>
            <w:r>
              <w:rPr>
                <w:rFonts w:cstheme="minorHAnsi"/>
                <w:lang w:eastAsia="ja-JP"/>
              </w:rPr>
              <w:t>-H)</w:t>
            </w:r>
          </w:p>
        </w:tc>
        <w:tc>
          <w:tcPr>
            <w:tcW w:w="2482" w:type="dxa"/>
            <w:noWrap/>
            <w:hideMark/>
          </w:tcPr>
          <w:p w14:paraId="7DD82063" w14:textId="77777777"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pembrolizumab</w:t>
            </w:r>
          </w:p>
        </w:tc>
        <w:tc>
          <w:tcPr>
            <w:tcW w:w="3188" w:type="dxa"/>
            <w:noWrap/>
            <w:hideMark/>
          </w:tcPr>
          <w:p w14:paraId="675F5EA3" w14:textId="60837B2E" w:rsidR="00516F94" w:rsidRPr="00AE09D0" w:rsidRDefault="00516F94" w:rsidP="006055E0">
            <w:pPr>
              <w:spacing w:before="0"/>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AE09D0">
              <w:rPr>
                <w:rFonts w:cstheme="minorHAnsi"/>
                <w:lang w:eastAsia="ja-JP"/>
              </w:rPr>
              <w:t>Solid Tumo</w:t>
            </w:r>
            <w:r w:rsidR="00E141F4">
              <w:rPr>
                <w:rFonts w:cstheme="minorHAnsi"/>
                <w:lang w:eastAsia="ja-JP"/>
              </w:rPr>
              <w:t>u</w:t>
            </w:r>
            <w:r w:rsidRPr="00AE09D0">
              <w:rPr>
                <w:rFonts w:cstheme="minorHAnsi"/>
                <w:lang w:eastAsia="ja-JP"/>
              </w:rPr>
              <w:t>rs</w:t>
            </w:r>
          </w:p>
        </w:tc>
        <w:tc>
          <w:tcPr>
            <w:tcW w:w="1938" w:type="dxa"/>
          </w:tcPr>
          <w:p w14:paraId="4CE88EC5" w14:textId="77777777" w:rsidR="00E141F4" w:rsidRPr="00A72A71" w:rsidRDefault="00E141F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color w:val="000000"/>
                <w:lang w:eastAsia="ja-JP"/>
              </w:rPr>
            </w:pPr>
            <w:r w:rsidRPr="00A72A71">
              <w:rPr>
                <w:rFonts w:cstheme="minorHAnsi"/>
                <w:color w:val="000000"/>
                <w:lang w:eastAsia="ja-JP"/>
              </w:rPr>
              <w:t>No</w:t>
            </w:r>
          </w:p>
          <w:p w14:paraId="13723399" w14:textId="0DA3AF3A" w:rsidR="00516F94" w:rsidRPr="00A72A71" w:rsidRDefault="006F1884" w:rsidP="006F1884">
            <w:pPr>
              <w:spacing w:before="0"/>
              <w:jc w:val="center"/>
              <w:cnfStyle w:val="000000100000" w:firstRow="0" w:lastRow="0" w:firstColumn="0" w:lastColumn="0" w:oddVBand="0" w:evenVBand="0" w:oddHBand="1" w:evenHBand="0" w:firstRowFirstColumn="0" w:firstRowLastColumn="0" w:lastRowFirstColumn="0" w:lastRowLastColumn="0"/>
              <w:rPr>
                <w:rFonts w:cstheme="minorHAnsi"/>
                <w:lang w:eastAsia="ja-JP"/>
              </w:rPr>
            </w:pPr>
            <w:r w:rsidRPr="006F1884">
              <w:rPr>
                <w:rFonts w:cstheme="minorHAnsi"/>
                <w:color w:val="000000"/>
                <w:lang w:eastAsia="ja-JP"/>
              </w:rPr>
              <w:t>(Not PBS listed)</w:t>
            </w:r>
          </w:p>
        </w:tc>
      </w:tr>
      <w:tr w:rsidR="00516F94" w:rsidRPr="005314B3" w14:paraId="20F0B590" w14:textId="1F323446" w:rsidTr="006F188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38C011D7" w14:textId="77777777" w:rsidR="00516F94" w:rsidRPr="006835C6" w:rsidRDefault="00516F94" w:rsidP="006055E0">
            <w:pPr>
              <w:spacing w:before="0"/>
              <w:rPr>
                <w:rFonts w:cstheme="minorHAnsi"/>
                <w:i/>
                <w:iCs/>
                <w:lang w:eastAsia="ja-JP"/>
              </w:rPr>
            </w:pPr>
            <w:r w:rsidRPr="006835C6">
              <w:rPr>
                <w:rFonts w:cstheme="minorHAnsi"/>
                <w:i/>
                <w:iCs/>
                <w:lang w:eastAsia="ja-JP"/>
              </w:rPr>
              <w:t>TP53</w:t>
            </w:r>
          </w:p>
        </w:tc>
        <w:tc>
          <w:tcPr>
            <w:tcW w:w="2482" w:type="dxa"/>
            <w:noWrap/>
            <w:hideMark/>
          </w:tcPr>
          <w:p w14:paraId="3B792CAA"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venetoclax</w:t>
            </w:r>
          </w:p>
        </w:tc>
        <w:tc>
          <w:tcPr>
            <w:tcW w:w="3188" w:type="dxa"/>
            <w:noWrap/>
            <w:hideMark/>
          </w:tcPr>
          <w:p w14:paraId="32B33B24" w14:textId="77777777" w:rsidR="00516F94" w:rsidRPr="00AE09D0" w:rsidRDefault="00516F94" w:rsidP="006055E0">
            <w:pPr>
              <w:spacing w:before="0"/>
              <w:cnfStyle w:val="000000010000" w:firstRow="0" w:lastRow="0" w:firstColumn="0" w:lastColumn="0" w:oddVBand="0" w:evenVBand="0" w:oddHBand="0" w:evenHBand="1" w:firstRowFirstColumn="0" w:firstRowLastColumn="0" w:lastRowFirstColumn="0" w:lastRowLastColumn="0"/>
              <w:rPr>
                <w:rFonts w:cstheme="minorHAnsi"/>
                <w:lang w:eastAsia="ja-JP"/>
              </w:rPr>
            </w:pPr>
            <w:r w:rsidRPr="00AE09D0">
              <w:rPr>
                <w:rFonts w:cstheme="minorHAnsi"/>
                <w:lang w:eastAsia="ja-JP"/>
              </w:rPr>
              <w:t>B-cell Chronic Lymphocytic Leukemia</w:t>
            </w:r>
          </w:p>
        </w:tc>
        <w:tc>
          <w:tcPr>
            <w:tcW w:w="1938" w:type="dxa"/>
          </w:tcPr>
          <w:p w14:paraId="640C240A" w14:textId="4B430750" w:rsidR="00516F94" w:rsidRPr="00A72A71" w:rsidRDefault="00AF1D24" w:rsidP="006F1884">
            <w:pPr>
              <w:spacing w:before="0"/>
              <w:jc w:val="center"/>
              <w:cnfStyle w:val="000000010000" w:firstRow="0" w:lastRow="0" w:firstColumn="0" w:lastColumn="0" w:oddVBand="0" w:evenVBand="0" w:oddHBand="0" w:evenHBand="1" w:firstRowFirstColumn="0" w:firstRowLastColumn="0" w:lastRowFirstColumn="0" w:lastRowLastColumn="0"/>
              <w:rPr>
                <w:rFonts w:cstheme="minorHAnsi"/>
                <w:lang w:eastAsia="ja-JP"/>
              </w:rPr>
            </w:pPr>
            <w:r>
              <w:rPr>
                <w:rFonts w:cstheme="minorHAnsi"/>
                <w:color w:val="000000"/>
                <w:lang w:eastAsia="ja-JP"/>
              </w:rPr>
              <w:t>Yes</w:t>
            </w:r>
          </w:p>
        </w:tc>
      </w:tr>
    </w:tbl>
    <w:bookmarkEnd w:id="192"/>
    <w:p w14:paraId="1D61D208" w14:textId="6B4F072E" w:rsidR="00C86E88" w:rsidRDefault="00026EDB" w:rsidP="00E93CB3">
      <w:pPr>
        <w:pStyle w:val="Heading3"/>
        <w:ind w:left="709"/>
      </w:pPr>
      <w:r>
        <w:t>Assessment for funding of</w:t>
      </w:r>
      <w:r w:rsidR="00C86E88">
        <w:t xml:space="preserve"> </w:t>
      </w:r>
      <w:r w:rsidR="00EC4DAE">
        <w:t>genetic tests</w:t>
      </w:r>
    </w:p>
    <w:p w14:paraId="431AC513" w14:textId="5516FBD2" w:rsidR="00C86E88" w:rsidRDefault="00EC4DAE" w:rsidP="00C86E88">
      <w:r>
        <w:t>Genetic tests are</w:t>
      </w:r>
      <w:r w:rsidR="000B47E6">
        <w:t xml:space="preserve"> subsidised through the MBS</w:t>
      </w:r>
      <w:r w:rsidR="00E136C2">
        <w:t xml:space="preserve"> are assessed</w:t>
      </w:r>
      <w:r w:rsidR="000B47E6">
        <w:t xml:space="preserve"> by the MSAC. D</w:t>
      </w:r>
      <w:r w:rsidR="00C86E88">
        <w:t xml:space="preserve">efinable benefit(s) of a </w:t>
      </w:r>
      <w:r w:rsidR="00CF7E8C">
        <w:t xml:space="preserve">genetic test </w:t>
      </w:r>
      <w:r w:rsidR="00C86E88">
        <w:t>is related to both the test setting (</w:t>
      </w:r>
      <w:r w:rsidR="00436418">
        <w:t>for example</w:t>
      </w:r>
      <w:r w:rsidR="00C86E88">
        <w:t xml:space="preserve"> at disease presentation, at screening of asymptomatic individuals, cascade or carrier testing of family members), and to the test utility(ies).</w:t>
      </w:r>
    </w:p>
    <w:p w14:paraId="7507307B" w14:textId="2A56D6B6" w:rsidR="00C86E88" w:rsidRDefault="00C86E88" w:rsidP="00C86E88">
      <w:r>
        <w:t>The MSAC Guidelines identify the hierarchy of evidence and value for each utility of investigative technologies encompassed and quantified in the HTA.</w:t>
      </w:r>
      <w:r>
        <w:rPr>
          <w:rStyle w:val="FootnoteReference"/>
        </w:rPr>
        <w:footnoteReference w:id="79"/>
      </w:r>
      <w:r>
        <w:t xml:space="preserve"> The 2021 update to the MSAC Guidelines describes the relative weight given by MSAC to differing clinical utilities (or types of values) of investigative technologies, which may include an assessment of the ‘value of knowing’ a test result</w:t>
      </w:r>
      <w:r w:rsidR="00232447">
        <w:t>.</w:t>
      </w:r>
    </w:p>
    <w:p w14:paraId="43F085C4" w14:textId="067645D4" w:rsidR="00EA5303" w:rsidRDefault="00EA5303" w:rsidP="00BC43F1">
      <w:pPr>
        <w:pStyle w:val="Heading2"/>
      </w:pPr>
      <w:bookmarkStart w:id="193" w:name="_Toc158900439"/>
      <w:r>
        <w:t xml:space="preserve">Gene expression </w:t>
      </w:r>
      <w:r w:rsidR="00D80CEA">
        <w:t>testing</w:t>
      </w:r>
      <w:bookmarkEnd w:id="193"/>
    </w:p>
    <w:p w14:paraId="6795560F" w14:textId="03ED8460" w:rsidR="00EA5303" w:rsidRDefault="00EA5303" w:rsidP="00EA5303">
      <w:r>
        <w:t>Gene expression tests gather</w:t>
      </w:r>
      <w:r w:rsidR="00D80CEA">
        <w:t xml:space="preserve"> and analyse</w:t>
      </w:r>
      <w:r>
        <w:t xml:space="preserve"> information about the genes that are being expressed in certain tissues (such as cancer cells) to determine risk of disease. </w:t>
      </w:r>
      <w:r w:rsidR="00D80CEA">
        <w:t xml:space="preserve">They include tests that measure the expression of </w:t>
      </w:r>
      <w:r w:rsidR="008E03B0">
        <w:t>many</w:t>
      </w:r>
      <w:r w:rsidR="00D80CEA">
        <w:t xml:space="preserve"> genes</w:t>
      </w:r>
      <w:r w:rsidR="00283F6F">
        <w:t xml:space="preserve"> (gene expression profile tests)</w:t>
      </w:r>
      <w:r w:rsidR="00D80CEA">
        <w:t>, tests for the expression levels of specific genes</w:t>
      </w:r>
      <w:r w:rsidR="00C537FF">
        <w:t xml:space="preserve"> (such as PD-L1)</w:t>
      </w:r>
      <w:r w:rsidR="00136292">
        <w:t>,</w:t>
      </w:r>
      <w:r w:rsidR="00C537FF">
        <w:t xml:space="preserve"> and tests for gene fusions and exon skipping.</w:t>
      </w:r>
    </w:p>
    <w:p w14:paraId="6271CCBC" w14:textId="17C6115B" w:rsidR="00D80CEA" w:rsidRDefault="00D80CEA" w:rsidP="00E93CB3">
      <w:pPr>
        <w:pStyle w:val="Heading3"/>
        <w:ind w:left="709"/>
      </w:pPr>
      <w:r>
        <w:t>Development, market approval and Australian funding status</w:t>
      </w:r>
    </w:p>
    <w:p w14:paraId="52B49F2E" w14:textId="258D50E7" w:rsidR="00283F6F" w:rsidRDefault="00283F6F" w:rsidP="00D80CEA">
      <w:r>
        <w:t xml:space="preserve">There are </w:t>
      </w:r>
      <w:r w:rsidR="00436418">
        <w:t>several</w:t>
      </w:r>
      <w:r>
        <w:t xml:space="preserve"> tests that are in use overseas and Australia. They can include commercial products (such as </w:t>
      </w:r>
      <w:r w:rsidR="00C537FF">
        <w:t>EndoPredict</w:t>
      </w:r>
      <w:r>
        <w:t>) or in house analyses (such as immunohistochemical examination demonstrating loss of express</w:t>
      </w:r>
      <w:r w:rsidR="00CA5569">
        <w:t>ion</w:t>
      </w:r>
      <w:r>
        <w:t xml:space="preserve"> of mismatch repair proteins).</w:t>
      </w:r>
    </w:p>
    <w:p w14:paraId="24949B24" w14:textId="0AB10D2A" w:rsidR="00D80CEA" w:rsidRDefault="00026EDB" w:rsidP="00E93CB3">
      <w:pPr>
        <w:pStyle w:val="Heading3"/>
        <w:ind w:left="709"/>
      </w:pPr>
      <w:r>
        <w:t>Assessment for funding of</w:t>
      </w:r>
      <w:r w:rsidR="00283F6F">
        <w:t xml:space="preserve"> gene expression testing </w:t>
      </w:r>
    </w:p>
    <w:p w14:paraId="1D2DE923" w14:textId="313D8EED" w:rsidR="00283F6F" w:rsidRDefault="00283F6F" w:rsidP="00283F6F">
      <w:pPr>
        <w:rPr>
          <w:color w:val="FFFFFF" w:themeColor="background1"/>
        </w:rPr>
      </w:pPr>
      <w:r>
        <w:t>There have been several applications for gene expression tests to MSAC.</w:t>
      </w:r>
      <w:r w:rsidR="00D20CBE">
        <w:t xml:space="preserve"> </w:t>
      </w:r>
      <w:r w:rsidR="00436418">
        <w:t>Several</w:t>
      </w:r>
      <w:r w:rsidR="00D20CBE">
        <w:t xml:space="preserve"> tests</w:t>
      </w:r>
      <w:r w:rsidR="00CA5569">
        <w:t xml:space="preserve"> that </w:t>
      </w:r>
      <w:r w:rsidR="00D20CBE">
        <w:t xml:space="preserve">determine the </w:t>
      </w:r>
      <w:r w:rsidR="00CA5569">
        <w:t xml:space="preserve">presence or absence of the expression of a particular gene (such as the test for </w:t>
      </w:r>
      <w:r w:rsidR="00CA5569" w:rsidRPr="006835C6">
        <w:rPr>
          <w:i/>
          <w:iCs/>
        </w:rPr>
        <w:t>NTRK</w:t>
      </w:r>
      <w:r w:rsidR="00CA5569">
        <w:t xml:space="preserve"> gene fusions which determines eligibility for subsidised access to larotrectinib) are subsidised. </w:t>
      </w:r>
      <w:r w:rsidR="00C91C6E">
        <w:t>There have been several applications to list tests that measure levels of gene expression on the MBS.</w:t>
      </w:r>
      <w:r w:rsidR="00B82317" w:rsidRPr="00B82317">
        <w:rPr>
          <w:rStyle w:val="FootnoteReference"/>
        </w:rPr>
        <w:t xml:space="preserve"> </w:t>
      </w:r>
      <w:r w:rsidR="00B82317" w:rsidRPr="00E93CB3">
        <w:rPr>
          <w:rStyle w:val="FootnoteReference"/>
          <w:color w:val="FFFFFF" w:themeColor="background1"/>
        </w:rPr>
        <w:footnoteReference w:id="80"/>
      </w:r>
      <w:r w:rsidR="00C91C6E" w:rsidRPr="00E93CB3">
        <w:rPr>
          <w:color w:val="FFFFFF" w:themeColor="background1"/>
        </w:rPr>
        <w:t xml:space="preserve"> </w:t>
      </w:r>
    </w:p>
    <w:p w14:paraId="5B3A7D3D" w14:textId="23EF4DFC" w:rsidR="00671484" w:rsidRDefault="00671484" w:rsidP="00283F6F">
      <w:r>
        <w:rPr>
          <w:noProof/>
        </w:rPr>
        <mc:AlternateContent>
          <mc:Choice Requires="wps">
            <w:drawing>
              <wp:inline distT="0" distB="0" distL="0" distR="0" wp14:anchorId="3456CC60" wp14:editId="723AC001">
                <wp:extent cx="5676900" cy="1404620"/>
                <wp:effectExtent l="0" t="0" r="1905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382"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0C4A7918" w14:textId="77777777" w:rsidR="0046495E" w:rsidRDefault="0046495E" w:rsidP="0046495E">
                            <w:pPr>
                              <w:rPr>
                                <w:b/>
                                <w:bCs/>
                              </w:rPr>
                            </w:pPr>
                            <w:r>
                              <w:rPr>
                                <w:b/>
                                <w:bCs/>
                              </w:rPr>
                              <w:t>Gene expression profiling tests in early breast cancer</w:t>
                            </w:r>
                          </w:p>
                          <w:p w14:paraId="20143522" w14:textId="77777777" w:rsidR="0046495E" w:rsidRDefault="0046495E" w:rsidP="0046495E">
                            <w:pPr>
                              <w:spacing w:before="0"/>
                            </w:pPr>
                            <w:r>
                              <w:t>Over the past decade MSAC has considered multiple applications to fund various brands of gene expression profiling tests for patients with early breast cancer.</w:t>
                            </w:r>
                            <w:r>
                              <w:rPr>
                                <w:rStyle w:val="FootnoteReference"/>
                              </w:rPr>
                              <w:t xml:space="preserve"> </w:t>
                            </w:r>
                            <w:r>
                              <w:t xml:space="preserve">These tests quantify the expression of multiple genes in breast cancer cells in conjunction with clinical information to generate a risk score that may determine the prognosis of breast cancer patients. </w:t>
                            </w:r>
                          </w:p>
                          <w:p w14:paraId="50030AF2" w14:textId="77777777" w:rsidR="0046495E" w:rsidRDefault="0046495E" w:rsidP="0046495E">
                            <w:pPr>
                              <w:spacing w:before="0"/>
                            </w:pPr>
                          </w:p>
                          <w:p w14:paraId="1BDE88B2" w14:textId="424721A8" w:rsidR="0046495E" w:rsidRDefault="0046495E" w:rsidP="0046495E">
                            <w:pPr>
                              <w:spacing w:before="0"/>
                            </w:pPr>
                            <w:r>
                              <w:t>At its November 2022 meeting, MSAC supported the creation of a new MBS item for the gene expression profiling test EndoPredict®.</w:t>
                            </w:r>
                            <w:r w:rsidRPr="00327595">
                              <w:rPr>
                                <w:vertAlign w:val="superscript"/>
                              </w:rPr>
                              <w:t>86</w:t>
                            </w:r>
                            <w:r>
                              <w:t xml:space="preserve"> MSAC advised the test had modest incremental prognostic value in establishing the risk of distant recurrence of breast cancer in patients at intermediate risk of recurrence. MSAC did not accept predictive value had been demonstrated, so advised the test results should not be used to change management.</w:t>
                            </w:r>
                          </w:p>
                          <w:p w14:paraId="38481F59" w14:textId="77777777" w:rsidR="0046495E" w:rsidRDefault="0046495E" w:rsidP="0046495E">
                            <w:pPr>
                              <w:spacing w:before="0"/>
                            </w:pPr>
                          </w:p>
                          <w:p w14:paraId="2DE2A562" w14:textId="033ED0D7" w:rsidR="00671484" w:rsidRPr="00E93CB3" w:rsidRDefault="00672A1D" w:rsidP="00900931">
                            <w:pPr>
                              <w:spacing w:before="0"/>
                              <w:rPr>
                                <w:rFonts w:ascii="Times New Roman" w:hAnsi="Times New Roman" w:cs="Times New Roman"/>
                                <w:sz w:val="24"/>
                                <w:szCs w:val="24"/>
                                <w:lang w:val="en-AU" w:eastAsia="ja-JP"/>
                              </w:rPr>
                            </w:pPr>
                            <w:r>
                              <w:t>Prior to its support for EndoPredict®, MSAC had not supported public funding for any gene expression profiling test in early breast cancer. In its consideration of focussed applications for three brands of gene expression profiling test in July 2021, MSAC accepted that the tests provided some modest prognostic information however no application provided sufficient evidence for additional prognostic value beyond current standard of care.</w:t>
                            </w:r>
                            <w:r>
                              <w:rPr>
                                <w:rFonts w:ascii="Times New Roman" w:hAnsi="Times New Roman" w:cs="Times New Roman"/>
                                <w:sz w:val="24"/>
                                <w:szCs w:val="24"/>
                                <w:lang w:val="en-AU" w:eastAsia="ja-JP"/>
                              </w:rPr>
                              <w:t xml:space="preserve"> </w:t>
                            </w:r>
                          </w:p>
                        </w:txbxContent>
                      </wps:txbx>
                      <wps:bodyPr rot="0" vert="horz" wrap="square" lIns="91440" tIns="45720" rIns="91440" bIns="45720" anchor="t" anchorCtr="0">
                        <a:spAutoFit/>
                      </wps:bodyPr>
                    </wps:wsp>
                  </a:graphicData>
                </a:graphic>
              </wp:inline>
            </w:drawing>
          </mc:Choice>
          <mc:Fallback>
            <w:pict>
              <v:shape w14:anchorId="3456CC60" id="Text Box 19" o:spid="_x0000_s1033" type="#_x0000_t202" style="width:44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eLwIAAKMEAAAOAAAAZHJzL2Uyb0RvYy54bWy8VNuO0zAQfUfiHyy/06QlvWzUdLV0KUJa&#10;LtLCB7iO01jYHmO7TZavZ+yk3QJvCJEHy56xz1zOnKxve63ISTgvwVR0OskpEYZDLc2hol+/7F6t&#10;KPGBmZopMKKiT8LT283LF+vOlmIGLahaOIIgxpedrWgbgi2zzPNWaOYnYIVBZwNOs4BHd8hqxzpE&#10;1yqb5fki68DV1gEX3qP1fnDSTcJvGsHDp6bxIhBVUcwtpNWldR/XbLNm5cEx20o+psH+IgvNpMGg&#10;F6h7Fhg5OvkHlJbcgYcmTDjoDJpGcpFqwGqm+W/VPLbMilQLNsfbS5v8v4PlH0+P9rMjoX8DPRKY&#10;ivD2Afg3TwxsW2YO4s456FrBagw8jS3LOuvL8WlstS99BNl3H6BGktkxQALqG6djV7BOguhIwNOl&#10;6aIPhKNxvlguX69mlHD0TYu8WMwSLRkrz8+t8+GdAE3ipqIOWU3w7PTgQ0yHlecrMZoHJeudVCod&#10;4iSJrXLkxHAGGOfChKFMddSY72AvcvyGaUAzzsxgXpzNGCLNZERKAX8JogzpKnozn82H/v33BLQM&#10;KCMldUVXMeWxlMjZW1OnIQ9MqmGPtSgzkhh5GxgM/b4nsq7oMrYhcrqH+glZdTCoBlWOmxbcD0o6&#10;VExF/fcjc4IS9d7gZNxMiyJKLB2K+RJpJO7as7/2MMMRqqKBkmG7DUmWiTN7hxO0k4nb50zGlFEJ&#10;iYFRtVFq1+d06/nfsvkJAAD//wMAUEsDBBQABgAIAAAAIQDnH2X02gAAAAUBAAAPAAAAZHJzL2Rv&#10;d25yZXYueG1sTI9BS8NAEIXvgv9hGcGb3XTR2qbZFBG8WBSt4nmanSbB7GzIbpv47x296OXB4w3v&#10;fVNsJt+pEw2xDWxhPstAEVfBtVxbeH97uFqCignZYReYLHxRhE15flZg7sLIr3TapVpJCcccLTQp&#10;9bnWsWrIY5yFnliyQxg8JrFDrd2Ao5T7TpssW2iPLctCgz3dN1R97o7eghvROLOK2+55+xhv+hdz&#10;+7T4sPbyYrpbg0o0pb9j+MEXdCiFaR+O7KLqLMgj6VclW66uxe4tGDM3oMtC/6cvvwEAAP//AwBQ&#10;SwECLQAUAAYACAAAACEAtoM4kv4AAADhAQAAEwAAAAAAAAAAAAAAAAAAAAAAW0NvbnRlbnRfVHlw&#10;ZXNdLnhtbFBLAQItABQABgAIAAAAIQA4/SH/1gAAAJQBAAALAAAAAAAAAAAAAAAAAC8BAABfcmVs&#10;cy8ucmVsc1BLAQItABQABgAIAAAAIQCLul/eLwIAAKMEAAAOAAAAAAAAAAAAAAAAAC4CAABkcnMv&#10;ZTJvRG9jLnhtbFBLAQItABQABgAIAAAAIQDnH2X02gAAAAUBAAAPAAAAAAAAAAAAAAAAAIkEAABk&#10;cnMvZG93bnJldi54bWxQSwUGAAAAAAQABADzAAAAkAUAAAAA&#10;" fillcolor="#b4c6e7 [1300]" strokecolor="#b4c6e7 [1300]">
                <v:textbox style="mso-fit-shape-to-text:t">
                  <w:txbxContent>
                    <w:p w14:paraId="0C4A7918" w14:textId="77777777" w:rsidR="0046495E" w:rsidRDefault="0046495E" w:rsidP="0046495E">
                      <w:pPr>
                        <w:rPr>
                          <w:b/>
                          <w:bCs/>
                        </w:rPr>
                      </w:pPr>
                      <w:r>
                        <w:rPr>
                          <w:b/>
                          <w:bCs/>
                        </w:rPr>
                        <w:t>Gene expression profiling tests in early breast cancer</w:t>
                      </w:r>
                    </w:p>
                    <w:p w14:paraId="20143522" w14:textId="77777777" w:rsidR="0046495E" w:rsidRDefault="0046495E" w:rsidP="0046495E">
                      <w:pPr>
                        <w:spacing w:before="0"/>
                      </w:pPr>
                      <w:r>
                        <w:t>Over the past decade MSAC has considered multiple applications to fund various brands of gene expression profiling tests for patients with early breast cancer.</w:t>
                      </w:r>
                      <w:r>
                        <w:rPr>
                          <w:rStyle w:val="FootnoteReference"/>
                        </w:rPr>
                        <w:t xml:space="preserve"> </w:t>
                      </w:r>
                      <w:r>
                        <w:t xml:space="preserve">These tests quantify the expression of multiple genes in breast cancer cells in conjunction with clinical information to generate a risk score that may determine the prognosis of breast cancer patients. </w:t>
                      </w:r>
                    </w:p>
                    <w:p w14:paraId="50030AF2" w14:textId="77777777" w:rsidR="0046495E" w:rsidRDefault="0046495E" w:rsidP="0046495E">
                      <w:pPr>
                        <w:spacing w:before="0"/>
                      </w:pPr>
                    </w:p>
                    <w:p w14:paraId="1BDE88B2" w14:textId="424721A8" w:rsidR="0046495E" w:rsidRDefault="0046495E" w:rsidP="0046495E">
                      <w:pPr>
                        <w:spacing w:before="0"/>
                      </w:pPr>
                      <w:r>
                        <w:t>At its November 2022 meeting, MSAC supported the creation of a new MBS item for the gene expression profiling test EndoPredict®.</w:t>
                      </w:r>
                      <w:r w:rsidRPr="00327595">
                        <w:rPr>
                          <w:vertAlign w:val="superscript"/>
                        </w:rPr>
                        <w:t>86</w:t>
                      </w:r>
                      <w:r>
                        <w:t xml:space="preserve"> MSAC advised the test had modest incremental prognostic value in establishing the risk of distant recurrence of breast cancer in patients at intermediate risk of recurrence. MSAC did not accept predictive value had been demonstrated, so advised the test results should not be used to change management.</w:t>
                      </w:r>
                    </w:p>
                    <w:p w14:paraId="38481F59" w14:textId="77777777" w:rsidR="0046495E" w:rsidRDefault="0046495E" w:rsidP="0046495E">
                      <w:pPr>
                        <w:spacing w:before="0"/>
                      </w:pPr>
                    </w:p>
                    <w:p w14:paraId="2DE2A562" w14:textId="033ED0D7" w:rsidR="00671484" w:rsidRPr="00E93CB3" w:rsidRDefault="00672A1D" w:rsidP="00900931">
                      <w:pPr>
                        <w:spacing w:before="0"/>
                        <w:rPr>
                          <w:rFonts w:ascii="Times New Roman" w:hAnsi="Times New Roman" w:cs="Times New Roman"/>
                          <w:sz w:val="24"/>
                          <w:szCs w:val="24"/>
                          <w:lang w:val="en-AU" w:eastAsia="ja-JP"/>
                        </w:rPr>
                      </w:pPr>
                      <w:r>
                        <w:t>Prior to its support for EndoPredict®, MSAC had not supported public funding for any gene expression profiling test in early breast cancer. In its consideration of focussed applications for three brands of gene expression profiling test in July 2021, MSAC accepted that the tests provided some modest prognostic information however no application provided sufficient evidence for additional prognostic value beyond current standard of care.</w:t>
                      </w:r>
                      <w:r>
                        <w:rPr>
                          <w:rFonts w:ascii="Times New Roman" w:hAnsi="Times New Roman" w:cs="Times New Roman"/>
                          <w:sz w:val="24"/>
                          <w:szCs w:val="24"/>
                          <w:lang w:val="en-AU" w:eastAsia="ja-JP"/>
                        </w:rPr>
                        <w:t xml:space="preserve"> </w:t>
                      </w:r>
                    </w:p>
                  </w:txbxContent>
                </v:textbox>
                <w10:anchorlock/>
              </v:shape>
            </w:pict>
          </mc:Fallback>
        </mc:AlternateContent>
      </w:r>
    </w:p>
    <w:p w14:paraId="74271796" w14:textId="1877B892" w:rsidR="00FB3E2C" w:rsidRPr="00A26E82" w:rsidRDefault="00FB3E2C" w:rsidP="00BC43F1">
      <w:pPr>
        <w:pStyle w:val="Heading2"/>
      </w:pPr>
      <w:bookmarkStart w:id="194" w:name="_Toc158900440"/>
      <w:r w:rsidRPr="00A26E82">
        <w:t>Polygenic risk scor</w:t>
      </w:r>
      <w:r w:rsidR="003C28F1">
        <w:t>e</w:t>
      </w:r>
      <w:r w:rsidR="00E722A2">
        <w:t>s</w:t>
      </w:r>
      <w:bookmarkEnd w:id="194"/>
    </w:p>
    <w:p w14:paraId="2C191BA2" w14:textId="0D870E63" w:rsidR="004275DD" w:rsidRDefault="00FB3E2C" w:rsidP="008E5B61">
      <w:r>
        <w:t>A polygenic score</w:t>
      </w:r>
      <w:r w:rsidR="006045C7" w:rsidRPr="006045C7">
        <w:t xml:space="preserve"> </w:t>
      </w:r>
      <w:r w:rsidR="006045C7">
        <w:t xml:space="preserve">(PGS, also called polygenic risk score or PRS) </w:t>
      </w:r>
      <w:r w:rsidR="00EC32C5">
        <w:t>is a calculation of the risk that a person may develop particular disease</w:t>
      </w:r>
      <w:r w:rsidR="002829ED">
        <w:t xml:space="preserve">s </w:t>
      </w:r>
      <w:r w:rsidR="00034B3E">
        <w:t>using information about the</w:t>
      </w:r>
      <w:r w:rsidR="002829ED">
        <w:t xml:space="preserve"> gene variants they carry</w:t>
      </w:r>
      <w:r w:rsidR="00C537FF">
        <w:t xml:space="preserve"> across multiple genes</w:t>
      </w:r>
      <w:r w:rsidR="004275DD">
        <w:t xml:space="preserve">. An increasing number of </w:t>
      </w:r>
      <w:r w:rsidR="002829ED">
        <w:t xml:space="preserve">gene variants that </w:t>
      </w:r>
      <w:r w:rsidR="00034B3E">
        <w:t>are associated with a higher risk of disease</w:t>
      </w:r>
      <w:r w:rsidR="004275DD">
        <w:t xml:space="preserve"> are being identified through studies known as genome wide association studies</w:t>
      </w:r>
      <w:r w:rsidR="003B7F09">
        <w:t>.</w:t>
      </w:r>
      <w:bookmarkStart w:id="195" w:name="_Ref129619891"/>
      <w:r w:rsidR="003B7F09">
        <w:rPr>
          <w:rStyle w:val="FootnoteReference"/>
        </w:rPr>
        <w:footnoteReference w:id="81"/>
      </w:r>
      <w:bookmarkEnd w:id="195"/>
      <w:r w:rsidR="003B7F09">
        <w:t xml:space="preserve"> </w:t>
      </w:r>
    </w:p>
    <w:p w14:paraId="3B8781C8" w14:textId="1A0B97FE" w:rsidR="00482EFE" w:rsidRPr="00DE471F" w:rsidRDefault="00AF1D24" w:rsidP="008E5B61">
      <w:pPr>
        <w:rPr>
          <w:color w:val="000000" w:themeColor="text1"/>
        </w:rPr>
      </w:pPr>
      <w:r>
        <w:rPr>
          <w:color w:val="000000" w:themeColor="text1"/>
        </w:rPr>
        <w:t xml:space="preserve">The Australian Genomics </w:t>
      </w:r>
      <w:r w:rsidR="00373E5B" w:rsidRPr="00DE471F">
        <w:rPr>
          <w:color w:val="000000" w:themeColor="text1"/>
        </w:rPr>
        <w:t>PGS</w:t>
      </w:r>
      <w:r>
        <w:rPr>
          <w:color w:val="000000" w:themeColor="text1"/>
        </w:rPr>
        <w:t xml:space="preserve"> Incubator Project reports that PGS</w:t>
      </w:r>
      <w:r w:rsidR="00373E5B" w:rsidRPr="00DE471F">
        <w:rPr>
          <w:color w:val="000000" w:themeColor="text1"/>
        </w:rPr>
        <w:t xml:space="preserve"> </w:t>
      </w:r>
      <w:r w:rsidR="007821A0">
        <w:rPr>
          <w:color w:val="000000" w:themeColor="text1"/>
        </w:rPr>
        <w:t xml:space="preserve">has potential to be used </w:t>
      </w:r>
      <w:r w:rsidR="002829ED">
        <w:rPr>
          <w:color w:val="000000" w:themeColor="text1"/>
        </w:rPr>
        <w:t>to</w:t>
      </w:r>
      <w:r w:rsidR="00373E5B" w:rsidRPr="00DE471F">
        <w:rPr>
          <w:color w:val="000000" w:themeColor="text1"/>
        </w:rPr>
        <w:t>:</w:t>
      </w:r>
      <w:r w:rsidR="000472CE" w:rsidRPr="00DE471F">
        <w:rPr>
          <w:color w:val="000000" w:themeColor="text1"/>
          <w:vertAlign w:val="superscript"/>
        </w:rPr>
        <w:t xml:space="preserve"> </w:t>
      </w:r>
      <w:r w:rsidR="000472CE" w:rsidRPr="00DE471F">
        <w:rPr>
          <w:color w:val="000000" w:themeColor="text1"/>
          <w:vertAlign w:val="superscript"/>
        </w:rPr>
        <w:fldChar w:fldCharType="begin"/>
      </w:r>
      <w:r w:rsidR="000472CE" w:rsidRPr="00DE471F">
        <w:rPr>
          <w:color w:val="000000" w:themeColor="text1"/>
          <w:vertAlign w:val="superscript"/>
        </w:rPr>
        <w:instrText xml:space="preserve"> NOTEREF _Ref129619891 \h  \* MERGEFORMAT </w:instrText>
      </w:r>
      <w:r w:rsidR="000472CE" w:rsidRPr="00DE471F">
        <w:rPr>
          <w:color w:val="000000" w:themeColor="text1"/>
          <w:vertAlign w:val="superscript"/>
        </w:rPr>
      </w:r>
      <w:r w:rsidR="000472CE" w:rsidRPr="00DE471F">
        <w:rPr>
          <w:color w:val="000000" w:themeColor="text1"/>
          <w:vertAlign w:val="superscript"/>
        </w:rPr>
        <w:fldChar w:fldCharType="separate"/>
      </w:r>
      <w:r w:rsidR="00395B47">
        <w:rPr>
          <w:color w:val="000000" w:themeColor="text1"/>
          <w:vertAlign w:val="superscript"/>
        </w:rPr>
        <w:t>80</w:t>
      </w:r>
      <w:r w:rsidR="000472CE" w:rsidRPr="00DE471F">
        <w:rPr>
          <w:color w:val="000000" w:themeColor="text1"/>
          <w:vertAlign w:val="superscript"/>
        </w:rPr>
        <w:fldChar w:fldCharType="end"/>
      </w:r>
      <w:r w:rsidR="000472CE" w:rsidRPr="00DE471F">
        <w:rPr>
          <w:color w:val="000000" w:themeColor="text1"/>
        </w:rPr>
        <w:t xml:space="preserve"> </w:t>
      </w:r>
      <w:r w:rsidR="00373E5B" w:rsidRPr="00DE471F">
        <w:rPr>
          <w:color w:val="000000" w:themeColor="text1"/>
        </w:rPr>
        <w:t xml:space="preserve"> </w:t>
      </w:r>
    </w:p>
    <w:p w14:paraId="469827F0" w14:textId="77777777" w:rsidR="00482EFE" w:rsidRPr="00DE471F" w:rsidRDefault="00373E5B" w:rsidP="00E93CB3">
      <w:pPr>
        <w:pStyle w:val="ListBullet"/>
        <w:tabs>
          <w:tab w:val="clear" w:pos="360"/>
          <w:tab w:val="num" w:pos="720"/>
        </w:tabs>
        <w:ind w:left="720"/>
      </w:pPr>
      <w:r w:rsidRPr="00DE471F">
        <w:t xml:space="preserve">inform population screening and provide personalised risk estimation for screening or preventive treatments/interventions (also in combination with environmental and biomarker risk factors) </w:t>
      </w:r>
    </w:p>
    <w:p w14:paraId="2CC78DDC" w14:textId="03B159E8" w:rsidR="00482EFE" w:rsidRPr="00DE471F" w:rsidRDefault="00373E5B" w:rsidP="00E93CB3">
      <w:pPr>
        <w:pStyle w:val="ListBullet"/>
        <w:tabs>
          <w:tab w:val="clear" w:pos="360"/>
          <w:tab w:val="num" w:pos="720"/>
        </w:tabs>
        <w:ind w:left="720"/>
      </w:pPr>
      <w:r w:rsidRPr="00DE471F">
        <w:t>aid in disease diagnosis (e.g., to distinguish between type 2 diabetes and late-onset type 1 diabetes</w:t>
      </w:r>
      <w:r w:rsidR="000472CE" w:rsidRPr="00DE471F">
        <w:t>)</w:t>
      </w:r>
      <w:r w:rsidRPr="00DE471F">
        <w:t xml:space="preserve"> </w:t>
      </w:r>
    </w:p>
    <w:p w14:paraId="7C7AD7F8" w14:textId="59FA5DED" w:rsidR="00482EFE" w:rsidRPr="00DE471F" w:rsidRDefault="00373E5B" w:rsidP="00E93CB3">
      <w:pPr>
        <w:pStyle w:val="ListBullet"/>
        <w:tabs>
          <w:tab w:val="clear" w:pos="360"/>
          <w:tab w:val="num" w:pos="720"/>
        </w:tabs>
        <w:ind w:left="720"/>
      </w:pPr>
      <w:r w:rsidRPr="00DE471F">
        <w:t>provide information that can modify risk for a person carrying a pathogenic genetic variant associated with a high risk of disease</w:t>
      </w:r>
      <w:r w:rsidR="002829ED">
        <w:t xml:space="preserve"> (Mendelian disorders)</w:t>
      </w:r>
      <w:r w:rsidRPr="00DE471F">
        <w:t xml:space="preserve">. </w:t>
      </w:r>
    </w:p>
    <w:p w14:paraId="51B0FC3E" w14:textId="58986FD7" w:rsidR="002829ED" w:rsidRDefault="002829ED" w:rsidP="00E93CB3">
      <w:pPr>
        <w:pStyle w:val="ListBullet"/>
        <w:tabs>
          <w:tab w:val="clear" w:pos="360"/>
          <w:tab w:val="num" w:pos="720"/>
        </w:tabs>
        <w:ind w:left="720"/>
      </w:pPr>
      <w:r>
        <w:t>assess a patient’s prognosis after developing disease</w:t>
      </w:r>
    </w:p>
    <w:p w14:paraId="720CA154" w14:textId="5472D628" w:rsidR="00482EFE" w:rsidRPr="00DE471F" w:rsidRDefault="00373E5B" w:rsidP="00E93CB3">
      <w:pPr>
        <w:pStyle w:val="ListBullet"/>
        <w:tabs>
          <w:tab w:val="clear" w:pos="360"/>
          <w:tab w:val="num" w:pos="720"/>
        </w:tabs>
        <w:ind w:left="720"/>
      </w:pPr>
      <w:r w:rsidRPr="00DE471F">
        <w:t xml:space="preserve">help with treatment decisions/pathways (e.g., to inform use of statin therapy for individuals at high risk of </w:t>
      </w:r>
      <w:r w:rsidR="00544E54">
        <w:t>coronary artery disease (</w:t>
      </w:r>
      <w:r w:rsidRPr="00DE471F">
        <w:t>CAD</w:t>
      </w:r>
      <w:r w:rsidR="00544E54">
        <w:t>)</w:t>
      </w:r>
      <w:r w:rsidRPr="00DE471F">
        <w:t xml:space="preserve"> or hormone treatment in those at high risk of breast cancer) and guide therapeutic interventions (the use of PGS in pharmacogenomics is not yet well developed but is under investigation</w:t>
      </w:r>
      <w:r w:rsidR="00DE471F" w:rsidRPr="00DE471F">
        <w:t xml:space="preserve"> </w:t>
      </w:r>
      <w:r w:rsidRPr="00DE471F">
        <w:t xml:space="preserve">and, in general, much larger </w:t>
      </w:r>
      <w:r w:rsidR="00197297">
        <w:t>genome wide association studies</w:t>
      </w:r>
      <w:r w:rsidRPr="00DE471F">
        <w:t xml:space="preserve"> are needed to generate PGS in this context). </w:t>
      </w:r>
    </w:p>
    <w:p w14:paraId="6E2F6CD7" w14:textId="21577F3B" w:rsidR="00657AE5" w:rsidRDefault="00657AE5" w:rsidP="00E93CB3">
      <w:pPr>
        <w:pStyle w:val="Heading3"/>
        <w:ind w:left="709"/>
      </w:pPr>
      <w:r>
        <w:t>Development, market approval and Australian funding status</w:t>
      </w:r>
    </w:p>
    <w:p w14:paraId="7D3A202E" w14:textId="26A4DC87" w:rsidR="00F5261B" w:rsidRDefault="00E62248" w:rsidP="008E5B61">
      <w:pPr>
        <w:rPr>
          <w:color w:val="000000" w:themeColor="text1"/>
        </w:rPr>
      </w:pPr>
      <w:r>
        <w:rPr>
          <w:color w:val="000000" w:themeColor="text1"/>
        </w:rPr>
        <w:t>Currently PGS is primarily used for research</w:t>
      </w:r>
      <w:r w:rsidR="00106230">
        <w:rPr>
          <w:color w:val="000000" w:themeColor="text1"/>
        </w:rPr>
        <w:t>.</w:t>
      </w:r>
      <w:r>
        <w:rPr>
          <w:color w:val="000000" w:themeColor="text1"/>
        </w:rPr>
        <w:t xml:space="preserve"> </w:t>
      </w:r>
      <w:r w:rsidR="00106230">
        <w:rPr>
          <w:color w:val="000000" w:themeColor="text1"/>
        </w:rPr>
        <w:t>T</w:t>
      </w:r>
      <w:r w:rsidR="00F5261B">
        <w:rPr>
          <w:color w:val="000000" w:themeColor="text1"/>
        </w:rPr>
        <w:t xml:space="preserve">here are few commercial </w:t>
      </w:r>
      <w:r w:rsidR="000750EF">
        <w:rPr>
          <w:color w:val="000000" w:themeColor="text1"/>
        </w:rPr>
        <w:t>products</w:t>
      </w:r>
      <w:r w:rsidR="00106230">
        <w:rPr>
          <w:color w:val="000000" w:themeColor="text1"/>
        </w:rPr>
        <w:t xml:space="preserve"> being marketed</w:t>
      </w:r>
      <w:r w:rsidR="00F5261B">
        <w:rPr>
          <w:color w:val="000000" w:themeColor="text1"/>
        </w:rPr>
        <w:t>.</w:t>
      </w:r>
      <w:r>
        <w:rPr>
          <w:color w:val="000000" w:themeColor="text1"/>
        </w:rPr>
        <w:t xml:space="preserve"> A horizon scan undertaken by the Newcastle University Innovation Observatory in 2021 identified seven companies and products where PGS is used.</w:t>
      </w:r>
      <w:r>
        <w:rPr>
          <w:rStyle w:val="FootnoteReference"/>
          <w:color w:val="000000" w:themeColor="text1"/>
        </w:rPr>
        <w:footnoteReference w:id="82"/>
      </w:r>
      <w:r w:rsidR="00F5261B">
        <w:rPr>
          <w:color w:val="000000" w:themeColor="text1"/>
        </w:rPr>
        <w:t xml:space="preserve"> The horizon scan found that companies with commercial offerings are limited to relatively few disease areas. The horizon scan found that there was significant interest in the application of PGS – due to a high number of academic and commercial publications on the subject. The horizon scan also concluded that most activity revolves around early-stage research and technologies that are not yet commercialised. </w:t>
      </w:r>
    </w:p>
    <w:p w14:paraId="0926263F" w14:textId="107C6330" w:rsidR="00F5261B" w:rsidRPr="00350EFE" w:rsidRDefault="00026EDB" w:rsidP="00710657">
      <w:pPr>
        <w:pStyle w:val="Heading3"/>
        <w:ind w:left="709"/>
      </w:pPr>
      <w:r>
        <w:t>Assessment for funding of</w:t>
      </w:r>
      <w:r w:rsidR="00F5261B" w:rsidRPr="00024A6A">
        <w:t xml:space="preserve"> </w:t>
      </w:r>
      <w:r w:rsidR="00F5261B">
        <w:t xml:space="preserve">PGS in </w:t>
      </w:r>
      <w:r w:rsidR="00F5261B" w:rsidRPr="00024A6A">
        <w:t>Australia</w:t>
      </w:r>
    </w:p>
    <w:p w14:paraId="3BB58596" w14:textId="7674E0C7" w:rsidR="00F5261B" w:rsidRDefault="00F5261B" w:rsidP="00F5261B">
      <w:pPr>
        <w:rPr>
          <w:color w:val="000000" w:themeColor="text1"/>
        </w:rPr>
      </w:pPr>
      <w:r w:rsidRPr="009710F0">
        <w:rPr>
          <w:color w:val="000000" w:themeColor="text1"/>
        </w:rPr>
        <w:t>MSAC</w:t>
      </w:r>
      <w:r w:rsidR="002829ED">
        <w:rPr>
          <w:color w:val="000000" w:themeColor="text1"/>
        </w:rPr>
        <w:t xml:space="preserve"> is</w:t>
      </w:r>
      <w:r w:rsidRPr="009710F0">
        <w:rPr>
          <w:color w:val="000000" w:themeColor="text1"/>
        </w:rPr>
        <w:t xml:space="preserve"> yet to consider any applications for PGS.</w:t>
      </w:r>
      <w:r w:rsidRPr="00341D91">
        <w:rPr>
          <w:vertAlign w:val="superscript"/>
        </w:rPr>
        <w:t xml:space="preserve"> </w:t>
      </w:r>
      <w:r w:rsidRPr="00FA6CF0">
        <w:rPr>
          <w:vertAlign w:val="superscript"/>
        </w:rPr>
        <w:fldChar w:fldCharType="begin"/>
      </w:r>
      <w:r w:rsidRPr="00FA6CF0">
        <w:rPr>
          <w:vertAlign w:val="superscript"/>
        </w:rPr>
        <w:instrText xml:space="preserve"> NOTEREF _Ref129619891 \h </w:instrText>
      </w:r>
      <w:r>
        <w:rPr>
          <w:vertAlign w:val="superscript"/>
        </w:rPr>
        <w:instrText xml:space="preserve"> \* MERGEFORMAT </w:instrText>
      </w:r>
      <w:r w:rsidRPr="00FA6CF0">
        <w:rPr>
          <w:vertAlign w:val="superscript"/>
        </w:rPr>
      </w:r>
      <w:r w:rsidRPr="00FA6CF0">
        <w:rPr>
          <w:vertAlign w:val="superscript"/>
        </w:rPr>
        <w:fldChar w:fldCharType="separate"/>
      </w:r>
      <w:r w:rsidR="00395B47">
        <w:rPr>
          <w:vertAlign w:val="superscript"/>
        </w:rPr>
        <w:t>80</w:t>
      </w:r>
      <w:r w:rsidRPr="00FA6CF0">
        <w:rPr>
          <w:vertAlign w:val="superscript"/>
        </w:rPr>
        <w:fldChar w:fldCharType="end"/>
      </w:r>
      <w:r w:rsidRPr="009710F0">
        <w:rPr>
          <w:color w:val="000000" w:themeColor="text1"/>
        </w:rPr>
        <w:t xml:space="preserve"> It has considered risk scores incorporating genetic information for predicting response to treatment, for example in breast cancer, and there are many similarities with the more general issues that arise for PGS.</w:t>
      </w:r>
      <w:r w:rsidRPr="00FA6CF0">
        <w:rPr>
          <w:vertAlign w:val="superscript"/>
        </w:rPr>
        <w:fldChar w:fldCharType="begin"/>
      </w:r>
      <w:r w:rsidRPr="00FA6CF0">
        <w:rPr>
          <w:vertAlign w:val="superscript"/>
        </w:rPr>
        <w:instrText xml:space="preserve"> NOTEREF _Ref129619891 \h </w:instrText>
      </w:r>
      <w:r>
        <w:rPr>
          <w:vertAlign w:val="superscript"/>
        </w:rPr>
        <w:instrText xml:space="preserve"> \* MERGEFORMAT </w:instrText>
      </w:r>
      <w:r w:rsidRPr="00FA6CF0">
        <w:rPr>
          <w:vertAlign w:val="superscript"/>
        </w:rPr>
      </w:r>
      <w:r w:rsidRPr="00FA6CF0">
        <w:rPr>
          <w:vertAlign w:val="superscript"/>
        </w:rPr>
        <w:fldChar w:fldCharType="separate"/>
      </w:r>
      <w:r w:rsidR="00395B47">
        <w:rPr>
          <w:vertAlign w:val="superscript"/>
        </w:rPr>
        <w:t>80</w:t>
      </w:r>
      <w:r w:rsidRPr="00FA6CF0">
        <w:rPr>
          <w:vertAlign w:val="superscript"/>
        </w:rPr>
        <w:fldChar w:fldCharType="end"/>
      </w:r>
      <w:r>
        <w:t xml:space="preserve"> </w:t>
      </w:r>
      <w:r w:rsidRPr="009710F0">
        <w:rPr>
          <w:color w:val="000000" w:themeColor="text1"/>
        </w:rPr>
        <w:t xml:space="preserve"> </w:t>
      </w:r>
    </w:p>
    <w:p w14:paraId="7CE15BEB" w14:textId="0FCA20DB" w:rsidR="00F5261B" w:rsidRDefault="00F5261B" w:rsidP="00F5261B">
      <w:pPr>
        <w:rPr>
          <w:vertAlign w:val="superscript"/>
        </w:rPr>
      </w:pPr>
      <w:r w:rsidRPr="00792481">
        <w:rPr>
          <w:color w:val="000000" w:themeColor="text1"/>
        </w:rPr>
        <w:t>In Australia, PGS is not part of routine clinical practice, but it is available through commercial companies.</w:t>
      </w:r>
      <w:r w:rsidRPr="00FA6CF0">
        <w:rPr>
          <w:vertAlign w:val="superscript"/>
        </w:rPr>
        <w:fldChar w:fldCharType="begin"/>
      </w:r>
      <w:r w:rsidRPr="00FA6CF0">
        <w:rPr>
          <w:vertAlign w:val="superscript"/>
        </w:rPr>
        <w:instrText xml:space="preserve"> NOTEREF _Ref129619891 \h </w:instrText>
      </w:r>
      <w:r>
        <w:rPr>
          <w:vertAlign w:val="superscript"/>
        </w:rPr>
        <w:instrText xml:space="preserve"> \* MERGEFORMAT </w:instrText>
      </w:r>
      <w:r w:rsidRPr="00FA6CF0">
        <w:rPr>
          <w:vertAlign w:val="superscript"/>
        </w:rPr>
      </w:r>
      <w:r w:rsidRPr="00FA6CF0">
        <w:rPr>
          <w:vertAlign w:val="superscript"/>
        </w:rPr>
        <w:fldChar w:fldCharType="separate"/>
      </w:r>
      <w:r w:rsidR="00395B47">
        <w:rPr>
          <w:vertAlign w:val="superscript"/>
        </w:rPr>
        <w:t>80</w:t>
      </w:r>
      <w:r w:rsidRPr="00FA6CF0">
        <w:rPr>
          <w:vertAlign w:val="superscript"/>
        </w:rPr>
        <w:fldChar w:fldCharType="end"/>
      </w:r>
      <w:r w:rsidRPr="00792481">
        <w:rPr>
          <w:color w:val="000000" w:themeColor="text1"/>
        </w:rPr>
        <w:t xml:space="preserve"> To access testing from these companies, tests must be ordered by a medical practitioner rather than by the consumer directly (https://genetype.com/).</w:t>
      </w:r>
      <w:r w:rsidRPr="00FA6CF0">
        <w:rPr>
          <w:vertAlign w:val="superscript"/>
        </w:rPr>
        <w:fldChar w:fldCharType="begin"/>
      </w:r>
      <w:r w:rsidRPr="00FA6CF0">
        <w:rPr>
          <w:vertAlign w:val="superscript"/>
        </w:rPr>
        <w:instrText xml:space="preserve"> NOTEREF _Ref129619891 \h </w:instrText>
      </w:r>
      <w:r>
        <w:rPr>
          <w:vertAlign w:val="superscript"/>
        </w:rPr>
        <w:instrText xml:space="preserve"> \* MERGEFORMAT </w:instrText>
      </w:r>
      <w:r w:rsidRPr="00FA6CF0">
        <w:rPr>
          <w:vertAlign w:val="superscript"/>
        </w:rPr>
      </w:r>
      <w:r w:rsidRPr="00FA6CF0">
        <w:rPr>
          <w:vertAlign w:val="superscript"/>
        </w:rPr>
        <w:fldChar w:fldCharType="separate"/>
      </w:r>
      <w:r w:rsidR="00395B47">
        <w:rPr>
          <w:vertAlign w:val="superscript"/>
        </w:rPr>
        <w:t>80</w:t>
      </w:r>
      <w:r w:rsidRPr="00FA6CF0">
        <w:rPr>
          <w:vertAlign w:val="superscript"/>
        </w:rPr>
        <w:fldChar w:fldCharType="end"/>
      </w:r>
      <w:r w:rsidRPr="00792481">
        <w:rPr>
          <w:color w:val="000000" w:themeColor="text1"/>
        </w:rPr>
        <w:t xml:space="preserve"> Alternatively, consumers can access testing through overseas private direct-to-consumer (DTC) laboratories.</w:t>
      </w:r>
      <w:r w:rsidRPr="00FA6CF0">
        <w:rPr>
          <w:vertAlign w:val="superscript"/>
        </w:rPr>
        <w:fldChar w:fldCharType="begin"/>
      </w:r>
      <w:r w:rsidRPr="00FA6CF0">
        <w:rPr>
          <w:vertAlign w:val="superscript"/>
        </w:rPr>
        <w:instrText xml:space="preserve"> NOTEREF _Ref129619891 \h </w:instrText>
      </w:r>
      <w:r>
        <w:rPr>
          <w:vertAlign w:val="superscript"/>
        </w:rPr>
        <w:instrText xml:space="preserve"> \* MERGEFORMAT </w:instrText>
      </w:r>
      <w:r w:rsidRPr="00FA6CF0">
        <w:rPr>
          <w:vertAlign w:val="superscript"/>
        </w:rPr>
      </w:r>
      <w:r w:rsidRPr="00FA6CF0">
        <w:rPr>
          <w:vertAlign w:val="superscript"/>
        </w:rPr>
        <w:fldChar w:fldCharType="separate"/>
      </w:r>
      <w:r w:rsidR="00395B47">
        <w:rPr>
          <w:vertAlign w:val="superscript"/>
        </w:rPr>
        <w:t>80</w:t>
      </w:r>
      <w:r w:rsidRPr="00FA6CF0">
        <w:rPr>
          <w:vertAlign w:val="superscript"/>
        </w:rPr>
        <w:fldChar w:fldCharType="end"/>
      </w:r>
    </w:p>
    <w:p w14:paraId="5ADF2187" w14:textId="5B087095" w:rsidR="00106230" w:rsidRPr="00D90E2A" w:rsidRDefault="00D90E2A" w:rsidP="00710657">
      <w:pPr>
        <w:pStyle w:val="Heading3"/>
        <w:ind w:left="709"/>
      </w:pPr>
      <w:r>
        <w:t xml:space="preserve">Challenges identified for assessment, </w:t>
      </w:r>
      <w:r w:rsidR="00436418">
        <w:t>funding,</w:t>
      </w:r>
      <w:r>
        <w:t xml:space="preserve"> and implementation</w:t>
      </w:r>
      <w:r w:rsidR="00106230">
        <w:t xml:space="preserve"> of PGS</w:t>
      </w:r>
    </w:p>
    <w:p w14:paraId="44366ED0" w14:textId="39BA3230" w:rsidR="00106230" w:rsidRDefault="00CB7B23" w:rsidP="00106230">
      <w:pPr>
        <w:rPr>
          <w:color w:val="000000" w:themeColor="text1"/>
        </w:rPr>
      </w:pPr>
      <w:r>
        <w:rPr>
          <w:color w:val="000000" w:themeColor="text1"/>
        </w:rPr>
        <w:t>Several c</w:t>
      </w:r>
      <w:r w:rsidR="007821A0">
        <w:rPr>
          <w:color w:val="000000" w:themeColor="text1"/>
        </w:rPr>
        <w:t>hallenges for moving PGS from research to widespread clinical translation were identified by Australian Genomics in its 2022 PGS Incubator Project Report.</w:t>
      </w:r>
      <w:r w:rsidR="00106230" w:rsidRPr="00FA6CF0">
        <w:rPr>
          <w:vertAlign w:val="superscript"/>
        </w:rPr>
        <w:fldChar w:fldCharType="begin"/>
      </w:r>
      <w:r w:rsidR="00106230" w:rsidRPr="00FA6CF0">
        <w:rPr>
          <w:vertAlign w:val="superscript"/>
        </w:rPr>
        <w:instrText xml:space="preserve"> NOTEREF _Ref129619891 \h </w:instrText>
      </w:r>
      <w:r w:rsidR="00106230">
        <w:rPr>
          <w:vertAlign w:val="superscript"/>
        </w:rPr>
        <w:instrText xml:space="preserve"> \* MERGEFORMAT </w:instrText>
      </w:r>
      <w:r w:rsidR="00106230" w:rsidRPr="00FA6CF0">
        <w:rPr>
          <w:vertAlign w:val="superscript"/>
        </w:rPr>
      </w:r>
      <w:r w:rsidR="00106230" w:rsidRPr="00FA6CF0">
        <w:rPr>
          <w:vertAlign w:val="superscript"/>
        </w:rPr>
        <w:fldChar w:fldCharType="separate"/>
      </w:r>
      <w:r w:rsidR="00395B47">
        <w:rPr>
          <w:vertAlign w:val="superscript"/>
        </w:rPr>
        <w:t>80</w:t>
      </w:r>
      <w:r w:rsidR="00106230" w:rsidRPr="00FA6CF0">
        <w:rPr>
          <w:vertAlign w:val="superscript"/>
        </w:rPr>
        <w:fldChar w:fldCharType="end"/>
      </w:r>
      <w:r w:rsidR="00106230">
        <w:t xml:space="preserve"> </w:t>
      </w:r>
      <w:r w:rsidR="007821A0">
        <w:t xml:space="preserve">These included: </w:t>
      </w:r>
      <w:r w:rsidR="00106230" w:rsidRPr="009710F0">
        <w:rPr>
          <w:color w:val="000000" w:themeColor="text1"/>
        </w:rPr>
        <w:t xml:space="preserve"> </w:t>
      </w:r>
    </w:p>
    <w:p w14:paraId="7745EF1C" w14:textId="77777777" w:rsidR="00106230" w:rsidRPr="00A631E1" w:rsidRDefault="00106230" w:rsidP="00710657">
      <w:pPr>
        <w:pStyle w:val="ListBullet"/>
        <w:tabs>
          <w:tab w:val="clear" w:pos="360"/>
          <w:tab w:val="num" w:pos="720"/>
        </w:tabs>
        <w:ind w:left="720"/>
      </w:pPr>
      <w:r w:rsidRPr="00A631E1">
        <w:t xml:space="preserve">Test methodology: Developing test evaluation frameworks for PGS to provide evaluators with a consistent methodology for evaluation of PGS, from the laboratory test to clinical use </w:t>
      </w:r>
    </w:p>
    <w:p w14:paraId="50F3054C" w14:textId="77777777" w:rsidR="00106230" w:rsidRPr="00A631E1" w:rsidRDefault="00106230" w:rsidP="00710657">
      <w:pPr>
        <w:pStyle w:val="ListBullet"/>
        <w:tabs>
          <w:tab w:val="clear" w:pos="360"/>
          <w:tab w:val="num" w:pos="720"/>
        </w:tabs>
        <w:ind w:left="720"/>
      </w:pPr>
      <w:r w:rsidRPr="00A631E1">
        <w:t xml:space="preserve">Regulation: Determining the appropriate regulatory oversight to ensure the PGS is safe and effective in the clinical contexts in which it will be used and to prevent non-ethical use </w:t>
      </w:r>
    </w:p>
    <w:p w14:paraId="161F25D4" w14:textId="30E36AC7" w:rsidR="00106230" w:rsidRPr="00A631E1" w:rsidRDefault="00106230" w:rsidP="00710657">
      <w:pPr>
        <w:pStyle w:val="ListBullet"/>
        <w:tabs>
          <w:tab w:val="clear" w:pos="360"/>
          <w:tab w:val="num" w:pos="720"/>
        </w:tabs>
        <w:ind w:left="720"/>
      </w:pPr>
      <w:r w:rsidRPr="00A631E1">
        <w:t>Demonstrating the clinical utility of PGS</w:t>
      </w:r>
      <w:r>
        <w:t xml:space="preserve">, </w:t>
      </w:r>
    </w:p>
    <w:p w14:paraId="43FAFB19" w14:textId="77777777" w:rsidR="00106230" w:rsidRPr="00A631E1" w:rsidRDefault="00106230" w:rsidP="00710657">
      <w:pPr>
        <w:pStyle w:val="ListBullet"/>
        <w:tabs>
          <w:tab w:val="clear" w:pos="360"/>
          <w:tab w:val="num" w:pos="720"/>
        </w:tabs>
        <w:ind w:left="720"/>
      </w:pPr>
      <w:r w:rsidRPr="00A631E1">
        <w:t xml:space="preserve">Developing best practice guidelines </w:t>
      </w:r>
    </w:p>
    <w:p w14:paraId="0E7FDA0F" w14:textId="77777777" w:rsidR="00106230" w:rsidRPr="00A631E1" w:rsidRDefault="00106230" w:rsidP="00710657">
      <w:pPr>
        <w:pStyle w:val="ListBullet"/>
        <w:tabs>
          <w:tab w:val="clear" w:pos="360"/>
          <w:tab w:val="num" w:pos="720"/>
        </w:tabs>
        <w:ind w:left="720"/>
      </w:pPr>
      <w:r w:rsidRPr="00A631E1">
        <w:t xml:space="preserve">Developing appropriate evidence-based education for health professionals and the public </w:t>
      </w:r>
    </w:p>
    <w:p w14:paraId="59F27288" w14:textId="77777777" w:rsidR="00AF1D24" w:rsidRDefault="00106230" w:rsidP="00710657">
      <w:pPr>
        <w:pStyle w:val="ListBullet"/>
        <w:tabs>
          <w:tab w:val="clear" w:pos="360"/>
          <w:tab w:val="num" w:pos="720"/>
        </w:tabs>
        <w:ind w:left="720"/>
      </w:pPr>
      <w:r w:rsidRPr="00A631E1">
        <w:t>Ensuring that health disparities are not exacerbated by inequitable access to PGS tests</w:t>
      </w:r>
    </w:p>
    <w:p w14:paraId="0B4EC7E3" w14:textId="77777777" w:rsidR="00AF1D24" w:rsidRDefault="00AF1D24" w:rsidP="00710657">
      <w:pPr>
        <w:pStyle w:val="ListBullet"/>
        <w:tabs>
          <w:tab w:val="clear" w:pos="360"/>
          <w:tab w:val="num" w:pos="720"/>
        </w:tabs>
        <w:ind w:left="720"/>
      </w:pPr>
      <w:r>
        <w:t>Need for large-scale testing of subpopulations to establish the ‘control’ group for risk scoring development</w:t>
      </w:r>
    </w:p>
    <w:p w14:paraId="59DD1B1C" w14:textId="1D410C79" w:rsidR="00106230" w:rsidRPr="00AF1D24" w:rsidRDefault="00AF1D24" w:rsidP="00710657">
      <w:pPr>
        <w:pStyle w:val="ListBullet"/>
        <w:tabs>
          <w:tab w:val="clear" w:pos="360"/>
          <w:tab w:val="num" w:pos="720"/>
        </w:tabs>
        <w:ind w:left="720"/>
      </w:pPr>
      <w:r>
        <w:t>Ongoing refinement of risk scoring over time as more data and knowledge is accrued, and subpopulations encompassed</w:t>
      </w:r>
      <w:r w:rsidR="00106230" w:rsidRPr="00AF1D24">
        <w:t xml:space="preserve"> </w:t>
      </w:r>
    </w:p>
    <w:p w14:paraId="4218674D" w14:textId="000919E8" w:rsidR="00A543DA" w:rsidRDefault="00A543DA" w:rsidP="007821A0">
      <w:r>
        <w:rPr>
          <w:color w:val="000000" w:themeColor="text1"/>
        </w:rPr>
        <w:t>Through its national consultation Australian Genomics also identified the following research gaps relating to:</w:t>
      </w:r>
      <w:r w:rsidR="007821A0" w:rsidRPr="007821A0">
        <w:rPr>
          <w:vertAlign w:val="superscript"/>
        </w:rPr>
        <w:fldChar w:fldCharType="begin"/>
      </w:r>
      <w:r w:rsidR="007821A0" w:rsidRPr="007821A0">
        <w:rPr>
          <w:vertAlign w:val="superscript"/>
        </w:rPr>
        <w:instrText xml:space="preserve"> NOTEREF _Ref129619891 \h  \* MERGEFORMAT </w:instrText>
      </w:r>
      <w:r w:rsidR="007821A0" w:rsidRPr="007821A0">
        <w:rPr>
          <w:vertAlign w:val="superscript"/>
        </w:rPr>
      </w:r>
      <w:r w:rsidR="007821A0" w:rsidRPr="007821A0">
        <w:rPr>
          <w:vertAlign w:val="superscript"/>
        </w:rPr>
        <w:fldChar w:fldCharType="separate"/>
      </w:r>
      <w:r w:rsidR="00395B47">
        <w:rPr>
          <w:vertAlign w:val="superscript"/>
        </w:rPr>
        <w:t>80</w:t>
      </w:r>
      <w:r w:rsidR="007821A0" w:rsidRPr="007821A0">
        <w:rPr>
          <w:vertAlign w:val="superscript"/>
        </w:rPr>
        <w:fldChar w:fldCharType="end"/>
      </w:r>
      <w:r w:rsidR="007821A0">
        <w:t xml:space="preserve"> </w:t>
      </w:r>
    </w:p>
    <w:p w14:paraId="56FC188E" w14:textId="03AC4A08" w:rsidR="00A543DA" w:rsidRDefault="00A543DA" w:rsidP="00A543DA">
      <w:pPr>
        <w:pStyle w:val="ListParagraph"/>
        <w:numPr>
          <w:ilvl w:val="0"/>
          <w:numId w:val="2"/>
        </w:numPr>
        <w:rPr>
          <w:color w:val="000000" w:themeColor="text1"/>
        </w:rPr>
      </w:pPr>
      <w:r>
        <w:rPr>
          <w:color w:val="000000" w:themeColor="text1"/>
        </w:rPr>
        <w:t xml:space="preserve">Demonstrating the value of PGS </w:t>
      </w:r>
    </w:p>
    <w:p w14:paraId="1B6DF065" w14:textId="77777777" w:rsidR="00A543DA" w:rsidRDefault="00A543DA" w:rsidP="00A543DA">
      <w:pPr>
        <w:pStyle w:val="ListParagraph"/>
        <w:numPr>
          <w:ilvl w:val="0"/>
          <w:numId w:val="2"/>
        </w:numPr>
        <w:rPr>
          <w:color w:val="000000" w:themeColor="text1"/>
        </w:rPr>
      </w:pPr>
      <w:r>
        <w:rPr>
          <w:color w:val="000000" w:themeColor="text1"/>
        </w:rPr>
        <w:t>The utility for PGS in specific clinical contexts needs to be demonstrated</w:t>
      </w:r>
    </w:p>
    <w:p w14:paraId="3D2B8375" w14:textId="6BEE13E8" w:rsidR="007821A0" w:rsidRDefault="00A543DA" w:rsidP="00A543DA">
      <w:pPr>
        <w:pStyle w:val="ListParagraph"/>
        <w:numPr>
          <w:ilvl w:val="0"/>
          <w:numId w:val="2"/>
        </w:numPr>
        <w:rPr>
          <w:color w:val="000000" w:themeColor="text1"/>
        </w:rPr>
      </w:pPr>
      <w:r>
        <w:rPr>
          <w:color w:val="000000" w:themeColor="text1"/>
        </w:rPr>
        <w:t>Infrastructure requirements</w:t>
      </w:r>
    </w:p>
    <w:p w14:paraId="4E3E7E9C" w14:textId="03A0C6BD" w:rsidR="00A543DA" w:rsidRDefault="00A543DA" w:rsidP="00A543DA">
      <w:pPr>
        <w:pStyle w:val="ListParagraph"/>
        <w:numPr>
          <w:ilvl w:val="0"/>
          <w:numId w:val="2"/>
        </w:numPr>
        <w:rPr>
          <w:color w:val="000000" w:themeColor="text1"/>
        </w:rPr>
      </w:pPr>
      <w:r>
        <w:rPr>
          <w:color w:val="000000" w:themeColor="text1"/>
        </w:rPr>
        <w:t>Ethical and legal implications</w:t>
      </w:r>
    </w:p>
    <w:p w14:paraId="5DCC7596" w14:textId="5BD2869B" w:rsidR="007821A0" w:rsidRDefault="00A543DA" w:rsidP="00A80BC4">
      <w:pPr>
        <w:pStyle w:val="ListParagraph"/>
        <w:numPr>
          <w:ilvl w:val="0"/>
          <w:numId w:val="2"/>
        </w:numPr>
        <w:rPr>
          <w:color w:val="000000" w:themeColor="text1"/>
        </w:rPr>
      </w:pPr>
      <w:r w:rsidRPr="00A543DA">
        <w:rPr>
          <w:color w:val="000000" w:themeColor="text1"/>
        </w:rPr>
        <w:t xml:space="preserve">Understanding and education. </w:t>
      </w:r>
    </w:p>
    <w:p w14:paraId="3682E1B1" w14:textId="37D0D75C" w:rsidR="00C537FF" w:rsidRPr="00C537FF" w:rsidRDefault="00C537FF" w:rsidP="00C537FF">
      <w:pPr>
        <w:rPr>
          <w:color w:val="000000" w:themeColor="text1"/>
        </w:rPr>
      </w:pPr>
      <w:r w:rsidRPr="00C537FF">
        <w:rPr>
          <w:color w:val="000000" w:themeColor="text1"/>
        </w:rPr>
        <w:t>A further challenge with PGS (and other algorithmic genomic tests) is to ensure they are not inequitably effective across different ethnicities. Because Aboriginal and Torres Strait Islanders and other ethnicities are underrepresented in genomic databases, if those databases were used to develop the PGS/algorithm, then they may be less effective for determining risk in individuals from ethnicities where different genetic variants are more common.</w:t>
      </w:r>
    </w:p>
    <w:p w14:paraId="6A482127" w14:textId="0BBCF242" w:rsidR="001D0EA0" w:rsidRDefault="00CB7B23" w:rsidP="001D0EA0">
      <w:pPr>
        <w:pStyle w:val="Heading2"/>
      </w:pPr>
      <w:bookmarkStart w:id="196" w:name="_Toc158900441"/>
      <w:r>
        <w:t>Challenges</w:t>
      </w:r>
      <w:r w:rsidR="001D0EA0" w:rsidRPr="00D90E2A">
        <w:t xml:space="preserve"> identified for </w:t>
      </w:r>
      <w:r w:rsidR="00026EDB">
        <w:t>Assessment for funding of</w:t>
      </w:r>
      <w:r w:rsidR="001D0EA0">
        <w:t xml:space="preserve"> </w:t>
      </w:r>
      <w:r w:rsidR="00252BFC">
        <w:t xml:space="preserve">medicine linked </w:t>
      </w:r>
      <w:r w:rsidR="001D0EA0">
        <w:t>genetic and genomic tests</w:t>
      </w:r>
      <w:bookmarkEnd w:id="196"/>
    </w:p>
    <w:p w14:paraId="76EDF274" w14:textId="1528776A" w:rsidR="00795297" w:rsidRDefault="00795297" w:rsidP="00710657">
      <w:pPr>
        <w:pStyle w:val="Heading3"/>
        <w:ind w:left="709"/>
      </w:pPr>
      <w:r>
        <w:t>Variation in testing platforms</w:t>
      </w:r>
      <w:r w:rsidR="00E1710A">
        <w:t xml:space="preserve"> and</w:t>
      </w:r>
      <w:r>
        <w:t xml:space="preserve"> across care settings</w:t>
      </w:r>
    </w:p>
    <w:p w14:paraId="6C6D20CD" w14:textId="61992246" w:rsidR="00BA6F96" w:rsidRPr="00C537FF" w:rsidRDefault="00746FB1" w:rsidP="001D0EA0">
      <w:pPr>
        <w:rPr>
          <w:vertAlign w:val="superscript"/>
        </w:rPr>
      </w:pPr>
      <w:r>
        <w:t xml:space="preserve">A variety of platforms can be used </w:t>
      </w:r>
      <w:r w:rsidR="00EA5303">
        <w:t xml:space="preserve">for genetic and genomic </w:t>
      </w:r>
      <w:r w:rsidR="00436418">
        <w:t>testing,</w:t>
      </w:r>
      <w:r w:rsidR="00962D84">
        <w:t xml:space="preserve"> and several are used in different settings across Australia</w:t>
      </w:r>
      <w:r>
        <w:t>.</w:t>
      </w:r>
      <w:r w:rsidR="00EA5303">
        <w:t xml:space="preserve"> They include commercial products or in house tests and include </w:t>
      </w:r>
      <w:r w:rsidR="00436418">
        <w:t>all</w:t>
      </w:r>
      <w:r w:rsidR="00EA5303">
        <w:t xml:space="preserve"> the types set out in </w:t>
      </w:r>
      <w:r w:rsidR="00252BFC">
        <w:t>T</w:t>
      </w:r>
      <w:r w:rsidR="00EA5303">
        <w:t xml:space="preserve">able </w:t>
      </w:r>
      <w:r w:rsidR="005C6751">
        <w:t>12</w:t>
      </w:r>
      <w:r w:rsidR="00EA5303">
        <w:t>.</w:t>
      </w:r>
      <w:r w:rsidR="005E2950">
        <w:t xml:space="preserve"> They can determine the presence of absence of a path</w:t>
      </w:r>
      <w:r w:rsidR="00C537FF">
        <w:t>ogenic</w:t>
      </w:r>
      <w:r w:rsidR="005E2950">
        <w:t xml:space="preserve"> variant </w:t>
      </w:r>
      <w:r w:rsidR="00C537FF">
        <w:t>in a genome and their expression in different tissues</w:t>
      </w:r>
      <w:r w:rsidR="005E2950">
        <w:t>.</w:t>
      </w:r>
      <w:r w:rsidR="00EA5303">
        <w:t xml:space="preserve"> </w:t>
      </w:r>
      <w:r w:rsidR="00B53DEA">
        <w:t xml:space="preserve">New tests, particularly panel tests and gene sequencing have the potential to supersede existing single gene tests. </w:t>
      </w:r>
      <w:r w:rsidR="00EA5303">
        <w:t>There is currently no register of genetic or genomic testing in Australia.</w:t>
      </w:r>
    </w:p>
    <w:p w14:paraId="4E35C84C" w14:textId="6A3328C7" w:rsidR="001D0EA0" w:rsidRDefault="00BA6F96" w:rsidP="001D0EA0">
      <w:r>
        <w:t xml:space="preserve">Algorithms for analysing genetic information collected in tests are likely to evolve with continued research findings on association between particular genetic variants and disease or response to treatment. </w:t>
      </w:r>
      <w:r w:rsidR="00B746B5">
        <w:t>Because of this, g</w:t>
      </w:r>
      <w:r w:rsidR="00962D84">
        <w:t>enetic and g</w:t>
      </w:r>
      <w:r w:rsidR="001D0EA0">
        <w:t>enomic</w:t>
      </w:r>
      <w:r w:rsidR="00962D84">
        <w:t xml:space="preserve"> tests have the potential to</w:t>
      </w:r>
      <w:r w:rsidR="00CB7B23">
        <w:t xml:space="preserve"> </w:t>
      </w:r>
      <w:r w:rsidR="001D0EA0">
        <w:t xml:space="preserve">change the treatment algorithm at different points, </w:t>
      </w:r>
      <w:r w:rsidR="00CB7B23">
        <w:t>and this can have flow on</w:t>
      </w:r>
      <w:r w:rsidR="001D0EA0">
        <w:t xml:space="preserve"> implications for treatment</w:t>
      </w:r>
      <w:r w:rsidR="00B746B5">
        <w:t xml:space="preserve"> and the criteria used to determine whether access should be subsidised</w:t>
      </w:r>
      <w:r w:rsidR="001D0EA0">
        <w:t>.</w:t>
      </w:r>
      <w:r w:rsidR="00364727">
        <w:t> </w:t>
      </w:r>
    </w:p>
    <w:p w14:paraId="5ED6D5BA" w14:textId="5545A5F4" w:rsidR="001D0EA0" w:rsidRDefault="00D978A4" w:rsidP="00710657">
      <w:pPr>
        <w:pStyle w:val="Heading3"/>
        <w:ind w:left="709"/>
      </w:pPr>
      <w:r>
        <w:t>Lack of</w:t>
      </w:r>
      <w:r w:rsidR="00070655">
        <w:t xml:space="preserve"> e</w:t>
      </w:r>
      <w:r w:rsidR="001D0EA0">
        <w:t xml:space="preserve">vidence </w:t>
      </w:r>
      <w:r w:rsidR="00070655">
        <w:t>of clinical effectiveness</w:t>
      </w:r>
    </w:p>
    <w:p w14:paraId="3BF5FE89" w14:textId="038B2C85" w:rsidR="00252BFC" w:rsidRDefault="00070655" w:rsidP="00E1710A">
      <w:r>
        <w:t xml:space="preserve">Evidence of clinical effectiveness for diagnostic technologies is often under-developed and undermines the credibility of evaluation. This is exacerbated by </w:t>
      </w:r>
      <w:r w:rsidR="00364727">
        <w:t>an increasing number of sub-categories of diseases</w:t>
      </w:r>
      <w:r w:rsidR="00BA6F96">
        <w:t xml:space="preserve"> identified </w:t>
      </w:r>
      <w:r w:rsidR="00364727">
        <w:t xml:space="preserve">as more genetic determinants of disease have been </w:t>
      </w:r>
      <w:r w:rsidR="00BA6F96">
        <w:t>discovered</w:t>
      </w:r>
      <w:r w:rsidR="00252BFC">
        <w:t>.</w:t>
      </w:r>
      <w:r w:rsidR="004377BE">
        <w:rPr>
          <w:vertAlign w:val="superscript"/>
        </w:rPr>
        <w:t>86</w:t>
      </w:r>
      <w:r w:rsidR="00364727">
        <w:t xml:space="preserve"> </w:t>
      </w:r>
      <w:r>
        <w:t xml:space="preserve">This issue is sometimes referred to as increasing stratification. </w:t>
      </w:r>
    </w:p>
    <w:p w14:paraId="40BDC87C" w14:textId="2FEEAF10" w:rsidR="00876CD3" w:rsidRDefault="00070655" w:rsidP="00E1710A">
      <w:r>
        <w:t>I</w:t>
      </w:r>
      <w:r w:rsidR="00364727">
        <w:t>dentification of disease</w:t>
      </w:r>
      <w:r w:rsidR="0023467D">
        <w:t>-</w:t>
      </w:r>
      <w:r w:rsidR="00364727">
        <w:t>causing variants</w:t>
      </w:r>
      <w:r>
        <w:t xml:space="preserve"> is good for patients as it</w:t>
      </w:r>
      <w:r w:rsidR="00364727">
        <w:t xml:space="preserve"> </w:t>
      </w:r>
      <w:r w:rsidR="00BA6F96">
        <w:t>allows causes of illness</w:t>
      </w:r>
      <w:r w:rsidR="003E5AE2">
        <w:t xml:space="preserve"> and plausibly effective treatments</w:t>
      </w:r>
      <w:r w:rsidR="00BA6F96">
        <w:t xml:space="preserve"> to be identified</w:t>
      </w:r>
      <w:r w:rsidR="001D0EA0">
        <w:t>.</w:t>
      </w:r>
      <w:r w:rsidR="006D690B">
        <w:rPr>
          <w:vertAlign w:val="superscript"/>
        </w:rPr>
        <w:t xml:space="preserve"> 83</w:t>
      </w:r>
      <w:r w:rsidR="00364727">
        <w:t xml:space="preserve"> However this presents a challenge for HTA and subsequent decision making which </w:t>
      </w:r>
      <w:r w:rsidR="0023467D">
        <w:t>relies</w:t>
      </w:r>
      <w:r w:rsidR="00364727">
        <w:t xml:space="preserve"> upon statistically robust evidence of safety and efficacy of health technologies</w:t>
      </w:r>
      <w:r w:rsidR="003E5AE2">
        <w:t xml:space="preserve"> in a population</w:t>
      </w:r>
      <w:r w:rsidR="00364727">
        <w:t xml:space="preserve">. </w:t>
      </w:r>
      <w:r w:rsidR="003E5AE2">
        <w:t>Where there are</w:t>
      </w:r>
      <w:r w:rsidR="00364727">
        <w:t xml:space="preserve"> variant</w:t>
      </w:r>
      <w:r w:rsidR="0023467D">
        <w:t>s</w:t>
      </w:r>
      <w:r w:rsidR="00364727">
        <w:t xml:space="preserve"> unique to </w:t>
      </w:r>
      <w:r w:rsidR="003E5AE2">
        <w:t>one or a few</w:t>
      </w:r>
      <w:r w:rsidR="00364727">
        <w:t xml:space="preserve"> patient</w:t>
      </w:r>
      <w:r w:rsidR="0023467D">
        <w:t>s,</w:t>
      </w:r>
      <w:r w:rsidR="00364727">
        <w:t xml:space="preserve"> there is unlikely</w:t>
      </w:r>
      <w:r w:rsidR="0023467D">
        <w:t xml:space="preserve"> ever</w:t>
      </w:r>
      <w:r w:rsidR="00364727">
        <w:t xml:space="preserve"> to be an adequate evidence base to prove</w:t>
      </w:r>
      <w:r w:rsidR="0023467D">
        <w:t xml:space="preserve"> a health technology would be effective</w:t>
      </w:r>
      <w:r w:rsidR="00B53DEA">
        <w:t xml:space="preserve"> for that variant</w:t>
      </w:r>
      <w:r w:rsidR="0023467D">
        <w:t xml:space="preserve"> – even where the effectiveness of a health technology is plausible</w:t>
      </w:r>
      <w:r w:rsidR="00364727">
        <w:t>.</w:t>
      </w:r>
      <w:r w:rsidR="00B53DEA">
        <w:t xml:space="preserve"> </w:t>
      </w:r>
      <w:r w:rsidR="00876CD3">
        <w:t>One method for addressing this that has been utilised by the MSAC is to support funding of a treatment for patients with a broader range of variants to a particular gene than was explored in trials where it is plausible that the treatment would be effective in those patients.</w:t>
      </w:r>
      <w:r w:rsidR="00A849C9" w:rsidRPr="00A849C9">
        <w:rPr>
          <w:rStyle w:val="FootnoteReference"/>
        </w:rPr>
        <w:t xml:space="preserve"> </w:t>
      </w:r>
      <w:r w:rsidR="00A849C9">
        <w:rPr>
          <w:rStyle w:val="FootnoteReference"/>
        </w:rPr>
        <w:footnoteReference w:id="83"/>
      </w:r>
      <w:r w:rsidR="00141945" w:rsidRPr="00141945">
        <w:rPr>
          <w:rStyle w:val="FootnoteReference"/>
        </w:rPr>
        <w:t xml:space="preserve"> </w:t>
      </w:r>
      <w:r w:rsidR="00141945" w:rsidRPr="00710657">
        <w:rPr>
          <w:rStyle w:val="FootnoteReference"/>
          <w:color w:val="FFFFFF" w:themeColor="background1"/>
        </w:rPr>
        <w:footnoteReference w:id="84"/>
      </w:r>
    </w:p>
    <w:p w14:paraId="59982C00" w14:textId="35FF2CEC" w:rsidR="00DA3558" w:rsidRDefault="00DA3558" w:rsidP="00E1710A"/>
    <w:p w14:paraId="2CC1ECF4" w14:textId="769ECD89" w:rsidR="00DA3558" w:rsidRDefault="00A849C9" w:rsidP="00E1710A">
      <w:r>
        <w:rPr>
          <w:noProof/>
        </w:rPr>
        <mc:AlternateContent>
          <mc:Choice Requires="wps">
            <w:drawing>
              <wp:inline distT="0" distB="0" distL="0" distR="0" wp14:anchorId="0318AF41" wp14:editId="59EB2DD0">
                <wp:extent cx="5648325" cy="1404620"/>
                <wp:effectExtent l="0" t="0" r="28575" b="158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16093AAA" w14:textId="25AA7795" w:rsidR="00A849C9" w:rsidRDefault="00A849C9" w:rsidP="00A849C9">
                            <w:pPr>
                              <w:rPr>
                                <w:b/>
                                <w:bCs/>
                              </w:rPr>
                            </w:pPr>
                            <w:r w:rsidRPr="00876CD3">
                              <w:rPr>
                                <w:b/>
                                <w:bCs/>
                                <w:i/>
                                <w:iCs/>
                              </w:rPr>
                              <w:t xml:space="preserve">BRAF V600 </w:t>
                            </w:r>
                            <w:r w:rsidRPr="00876CD3">
                              <w:rPr>
                                <w:b/>
                                <w:bCs/>
                              </w:rPr>
                              <w:t xml:space="preserve">testing </w:t>
                            </w:r>
                          </w:p>
                          <w:p w14:paraId="7B1C5137" w14:textId="77777777" w:rsidR="00A849C9" w:rsidRDefault="00A849C9" w:rsidP="00A849C9">
                            <w:pPr>
                              <w:spacing w:before="0"/>
                            </w:pPr>
                            <w:r>
                              <w:t xml:space="preserve">At its April 2021 meeting, the MSAC considered </w:t>
                            </w:r>
                            <w:r w:rsidRPr="00035438">
                              <w:t>testing to help determine PBS access to</w:t>
                            </w:r>
                            <w:r>
                              <w:t xml:space="preserve"> </w:t>
                            </w:r>
                            <w:r w:rsidRPr="00035438">
                              <w:t>encorafenib in patients with metastatic colorectal cancer (Stage IV)</w:t>
                            </w:r>
                            <w:r>
                              <w:t xml:space="preserve">. The MSAC noted that the clinical trial only enrolled patients with the V600E variant and so could not assess the effect for patients who are V600 negative or had another V600 variant. The MSAC also noted that the literature states that </w:t>
                            </w:r>
                            <w:r w:rsidRPr="00BF1410">
                              <w:t>BRAF</w:t>
                            </w:r>
                            <w:r>
                              <w:t xml:space="preserve"> V600E accounts for &gt;90% of the </w:t>
                            </w:r>
                            <w:r w:rsidRPr="00BF1410">
                              <w:rPr>
                                <w:i/>
                                <w:iCs/>
                              </w:rPr>
                              <w:t>BRAF</w:t>
                            </w:r>
                            <w:r>
                              <w:rPr>
                                <w:i/>
                                <w:iCs/>
                              </w:rPr>
                              <w:t xml:space="preserve"> </w:t>
                            </w:r>
                            <w:r>
                              <w:t xml:space="preserve">variants found in colorectal cancer and suggest that other rarer variations might behave similarly. MSAC considered it was biologically plausible for other </w:t>
                            </w:r>
                            <w:r w:rsidRPr="00035438">
                              <w:rPr>
                                <w:i/>
                                <w:iCs/>
                              </w:rPr>
                              <w:t>BRAF</w:t>
                            </w:r>
                            <w:r>
                              <w:t xml:space="preserve"> V600 variants respond similarly to encorafenib. The MSAC considered that patients with rarer variants would not be eligible for treatment if the proposed MBS and PBS listings were restricted to </w:t>
                            </w:r>
                            <w:r>
                              <w:rPr>
                                <w:i/>
                                <w:iCs/>
                              </w:rPr>
                              <w:t>BRAF</w:t>
                            </w:r>
                            <w:r>
                              <w:t xml:space="preserve"> V600E. The MSAC therefore supported testing for all V600 variants and considered that testing should not be limited to V600E.</w:t>
                            </w:r>
                            <w:r w:rsidRPr="00327595">
                              <w:rPr>
                                <w:vertAlign w:val="superscript"/>
                              </w:rPr>
                              <w:t>9</w:t>
                            </w:r>
                            <w:r>
                              <w:rPr>
                                <w:vertAlign w:val="superscript"/>
                              </w:rPr>
                              <w:t>2</w:t>
                            </w:r>
                            <w:r>
                              <w:t xml:space="preserve"> </w:t>
                            </w:r>
                          </w:p>
                          <w:p w14:paraId="0864936F" w14:textId="77777777" w:rsidR="00A849C9" w:rsidRDefault="00A849C9" w:rsidP="00A849C9">
                            <w:r>
                              <w:t>At its May 2021 intracycle meeting, the PBAC agreed that the PBS restriction for encorafenib for the treatment of adults with metastatic colorectal cancer should refer broadly to V600 status (without reference to V600E specifically).</w:t>
                            </w:r>
                            <w:r w:rsidRPr="00327595">
                              <w:rPr>
                                <w:vertAlign w:val="superscript"/>
                              </w:rPr>
                              <w:t>92</w:t>
                            </w:r>
                          </w:p>
                          <w:p w14:paraId="75CCDCD1" w14:textId="0FF784B3" w:rsidR="00DA3558" w:rsidRDefault="00DA3558"/>
                        </w:txbxContent>
                      </wps:txbx>
                      <wps:bodyPr rot="0" vert="horz" wrap="square" lIns="91440" tIns="45720" rIns="91440" bIns="45720" anchor="t" anchorCtr="0">
                        <a:spAutoFit/>
                      </wps:bodyPr>
                    </wps:wsp>
                  </a:graphicData>
                </a:graphic>
              </wp:inline>
            </w:drawing>
          </mc:Choice>
          <mc:Fallback>
            <w:pict>
              <v:shape w14:anchorId="0318AF41" id="Text Box 20" o:spid="_x0000_s1034" type="#_x0000_t202" style="width:44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OELQIAAKMEAAAOAAAAZHJzL2Uyb0RvYy54bWzEVNuO0zAQfUfiHyy/06QlLd2o6WrpUoS0&#10;XKSFD3Adp7GwPcZ2m5Sv37GTdgu8ISTyYNkz9pk5c2ayuu21IkfhvART0ekkp0QYDrU0+4p++7p9&#10;taTEB2ZqpsCIip6Ep7frly9WnS3FDFpQtXAEQYwvO1vRNgRbZpnnrdDMT8AKg84GnGYBj26f1Y51&#10;iK5VNsvzRdaBq60DLrxH6/3gpOuE3zSCh89N40UgqqKYW0irS+surtl6xcq9Y7aVfEyD/UUWmkmD&#10;QS9Q9ywwcnDyDygtuQMPTZhw0Bk0jeQicUA20/w3No8tsyJxweJ4eymT/3ew/NPx0X5xJPRvoUcB&#10;EwlvH4B/98TApmVmL+6cg64VrMbA01iyrLO+HJ/GUvvSR5Bd9xFqFJkdAiSgvnE6VgV5EkRHAU6X&#10;oos+EI7G+aJYvp7NKeHomxZ5sZglWTJWnp9b58N7AZrETUUdqprg2fHBh5gOK89XYjQPStZbqVQ6&#10;xE4SG+XIkWEPMM6FCQNNddCY72AvcvyGbkAz9sxgXpzNGCL1ZERKAX8JogzpKnozRxr/JwEtA46R&#10;krqiy5jySCVq9s7UqckDk2rYIxdlRhGjboOCod/1RNYIEMsQNd1BfUJVHQxTg1OOmxbcT0o6nJiK&#10;+h8H5gQl6oPBzriZFkUcsXQo5m9QRuKuPbtrDzMcoSoaKBm2m5DGMtXP3mEHbWXS9jmTMWWchKTA&#10;OLVx1K7P6dbzv2X9BAAA//8DAFBLAwQUAAYACAAAACEA0YvSVdsAAAAFAQAADwAAAGRycy9kb3du&#10;cmV2LnhtbEyPQUvDQBCF70L/wzKF3uymC61pzKaI4MWiaBXP0+yYBHdnQ3bbpP/e1YteBh7v8d43&#10;5W5yVpxpCJ1nDatlBoK49qbjRsP728N1DiJEZIPWM2m4UIBdNbsqsTB+5Fc6H2IjUgmHAjW0MfaF&#10;lKFuyWFY+p44eZ9+cBiTHBppBhxTubNSZdlGOuw4LbTY031L9dfh5DSYEZVR27C3z/vHsO5f1M3T&#10;5kPrxXy6uwURaYp/YfjBT+hQJaajP7EJwmpIj8Tfm7w8365BHDUotVIgq1L+p6++AQAA//8DAFBL&#10;AQItABQABgAIAAAAIQC2gziS/gAAAOEBAAATAAAAAAAAAAAAAAAAAAAAAABbQ29udGVudF9UeXBl&#10;c10ueG1sUEsBAi0AFAAGAAgAAAAhADj9If/WAAAAlAEAAAsAAAAAAAAAAAAAAAAALwEAAF9yZWxz&#10;Ly5yZWxzUEsBAi0AFAAGAAgAAAAhAFoRo4QtAgAAowQAAA4AAAAAAAAAAAAAAAAALgIAAGRycy9l&#10;Mm9Eb2MueG1sUEsBAi0AFAAGAAgAAAAhANGL0lXbAAAABQEAAA8AAAAAAAAAAAAAAAAAhwQAAGRy&#10;cy9kb3ducmV2LnhtbFBLBQYAAAAABAAEAPMAAACPBQAAAAA=&#10;" fillcolor="#b4c6e7 [1300]" strokecolor="#b4c6e7 [1300]">
                <v:textbox style="mso-fit-shape-to-text:t">
                  <w:txbxContent>
                    <w:p w14:paraId="16093AAA" w14:textId="25AA7795" w:rsidR="00A849C9" w:rsidRDefault="00A849C9" w:rsidP="00A849C9">
                      <w:pPr>
                        <w:rPr>
                          <w:b/>
                          <w:bCs/>
                        </w:rPr>
                      </w:pPr>
                      <w:r w:rsidRPr="00876CD3">
                        <w:rPr>
                          <w:b/>
                          <w:bCs/>
                          <w:i/>
                          <w:iCs/>
                        </w:rPr>
                        <w:t xml:space="preserve">BRAF V600 </w:t>
                      </w:r>
                      <w:r w:rsidRPr="00876CD3">
                        <w:rPr>
                          <w:b/>
                          <w:bCs/>
                        </w:rPr>
                        <w:t xml:space="preserve">testing </w:t>
                      </w:r>
                    </w:p>
                    <w:p w14:paraId="7B1C5137" w14:textId="77777777" w:rsidR="00A849C9" w:rsidRDefault="00A849C9" w:rsidP="00A849C9">
                      <w:pPr>
                        <w:spacing w:before="0"/>
                      </w:pPr>
                      <w:r>
                        <w:t xml:space="preserve">At its April 2021 meeting, the MSAC considered </w:t>
                      </w:r>
                      <w:r w:rsidRPr="00035438">
                        <w:t>testing to help determine PBS access to</w:t>
                      </w:r>
                      <w:r>
                        <w:t xml:space="preserve"> </w:t>
                      </w:r>
                      <w:r w:rsidRPr="00035438">
                        <w:t>encorafenib in patients with metastatic colorectal cancer (Stage IV)</w:t>
                      </w:r>
                      <w:r>
                        <w:t xml:space="preserve">. The MSAC noted that the clinical trial only enrolled patients with the V600E variant and so could not assess the effect for patients who are V600 negative or had another V600 variant. The MSAC also noted that the literature states that </w:t>
                      </w:r>
                      <w:r w:rsidRPr="00BF1410">
                        <w:t>BRAF</w:t>
                      </w:r>
                      <w:r>
                        <w:t xml:space="preserve"> V600E accounts for &gt;90% of the </w:t>
                      </w:r>
                      <w:r w:rsidRPr="00BF1410">
                        <w:rPr>
                          <w:i/>
                          <w:iCs/>
                        </w:rPr>
                        <w:t>BRAF</w:t>
                      </w:r>
                      <w:r>
                        <w:rPr>
                          <w:i/>
                          <w:iCs/>
                        </w:rPr>
                        <w:t xml:space="preserve"> </w:t>
                      </w:r>
                      <w:r>
                        <w:t xml:space="preserve">variants found in colorectal cancer and suggest that other rarer variations might behave similarly. MSAC considered it was biologically plausible for other </w:t>
                      </w:r>
                      <w:r w:rsidRPr="00035438">
                        <w:rPr>
                          <w:i/>
                          <w:iCs/>
                        </w:rPr>
                        <w:t>BRAF</w:t>
                      </w:r>
                      <w:r>
                        <w:t xml:space="preserve"> V600 variants respond similarly to encorafenib. The MSAC considered that patients with rarer variants would not be eligible for treatment if the proposed MBS and PBS listings were restricted to </w:t>
                      </w:r>
                      <w:r>
                        <w:rPr>
                          <w:i/>
                          <w:iCs/>
                        </w:rPr>
                        <w:t>BRAF</w:t>
                      </w:r>
                      <w:r>
                        <w:t xml:space="preserve"> V600E. The MSAC therefore supported testing for all V600 variants and considered that testing should not be limited to V600E.</w:t>
                      </w:r>
                      <w:r w:rsidRPr="00327595">
                        <w:rPr>
                          <w:vertAlign w:val="superscript"/>
                        </w:rPr>
                        <w:t>9</w:t>
                      </w:r>
                      <w:r>
                        <w:rPr>
                          <w:vertAlign w:val="superscript"/>
                        </w:rPr>
                        <w:t>2</w:t>
                      </w:r>
                      <w:r>
                        <w:t xml:space="preserve"> </w:t>
                      </w:r>
                    </w:p>
                    <w:p w14:paraId="0864936F" w14:textId="77777777" w:rsidR="00A849C9" w:rsidRDefault="00A849C9" w:rsidP="00A849C9">
                      <w:r>
                        <w:t>At its May 2021 intracycle meeting, the PBAC agreed that the PBS restriction for encorafenib for the treatment of adults with metastatic colorectal cancer should refer broadly to V600 status (without reference to V600E specifically).</w:t>
                      </w:r>
                      <w:r w:rsidRPr="00327595">
                        <w:rPr>
                          <w:vertAlign w:val="superscript"/>
                        </w:rPr>
                        <w:t>92</w:t>
                      </w:r>
                    </w:p>
                    <w:p w14:paraId="75CCDCD1" w14:textId="0FF784B3" w:rsidR="00DA3558" w:rsidRDefault="00DA3558"/>
                  </w:txbxContent>
                </v:textbox>
                <w10:anchorlock/>
              </v:shape>
            </w:pict>
          </mc:Fallback>
        </mc:AlternateContent>
      </w:r>
    </w:p>
    <w:p w14:paraId="39EE9949" w14:textId="29CA974D" w:rsidR="00E1710A" w:rsidRPr="00E8778C" w:rsidRDefault="00962D84" w:rsidP="00710657">
      <w:pPr>
        <w:pStyle w:val="Heading3"/>
        <w:ind w:left="709"/>
      </w:pPr>
      <w:r>
        <w:t>Potential v</w:t>
      </w:r>
      <w:r w:rsidR="00D53462">
        <w:t>alue in multiple areas</w:t>
      </w:r>
    </w:p>
    <w:p w14:paraId="467DDB33" w14:textId="37D4A50A" w:rsidR="00D53462" w:rsidRDefault="00D53462" w:rsidP="00E1710A">
      <w:r>
        <w:t xml:space="preserve">Genetic and genomic </w:t>
      </w:r>
      <w:r w:rsidR="00C138FE">
        <w:t>testing</w:t>
      </w:r>
      <w:r>
        <w:t xml:space="preserve"> can have value in multiple areas</w:t>
      </w:r>
      <w:r w:rsidR="00BA6F96">
        <w:t>, particularly where a large amount of genetic information is collected. These areas</w:t>
      </w:r>
      <w:r>
        <w:t xml:space="preserve"> includ</w:t>
      </w:r>
      <w:r w:rsidR="00BA6F96">
        <w:t>e</w:t>
      </w:r>
      <w:r>
        <w:t xml:space="preserve">: </w:t>
      </w:r>
    </w:p>
    <w:p w14:paraId="7E8D413B" w14:textId="7F266542" w:rsidR="00D53462" w:rsidRDefault="00BA6F96" w:rsidP="00710657">
      <w:pPr>
        <w:pStyle w:val="ListBullet"/>
        <w:tabs>
          <w:tab w:val="clear" w:pos="360"/>
          <w:tab w:val="num" w:pos="720"/>
        </w:tabs>
        <w:ind w:left="720"/>
      </w:pPr>
      <w:r>
        <w:t>d</w:t>
      </w:r>
      <w:r w:rsidR="00C138FE">
        <w:t>etermining whether a</w:t>
      </w:r>
      <w:r w:rsidR="00600BA7">
        <w:t xml:space="preserve"> particular</w:t>
      </w:r>
      <w:r w:rsidR="00C138FE">
        <w:t xml:space="preserve"> treatme</w:t>
      </w:r>
      <w:r>
        <w:t>nt</w:t>
      </w:r>
      <w:r w:rsidR="00C138FE">
        <w:t xml:space="preserve"> will be effective</w:t>
      </w:r>
    </w:p>
    <w:p w14:paraId="74CCB1EF" w14:textId="5F85C7CE" w:rsidR="00D53462" w:rsidRDefault="00BA6F96" w:rsidP="00710657">
      <w:pPr>
        <w:pStyle w:val="ListBullet"/>
        <w:tabs>
          <w:tab w:val="clear" w:pos="360"/>
          <w:tab w:val="num" w:pos="720"/>
        </w:tabs>
        <w:ind w:left="720"/>
      </w:pPr>
      <w:r>
        <w:t>b</w:t>
      </w:r>
      <w:r w:rsidR="00C138FE">
        <w:t>roader c</w:t>
      </w:r>
      <w:r w:rsidR="00D53462">
        <w:t>linical utility (</w:t>
      </w:r>
      <w:r w:rsidR="00600BA7">
        <w:t>l</w:t>
      </w:r>
      <w:r w:rsidR="00C138FE">
        <w:t>ikelihood the test will improve health outcomes by prompting an intervention</w:t>
      </w:r>
      <w:r w:rsidR="00D53462">
        <w:t xml:space="preserve">) </w:t>
      </w:r>
    </w:p>
    <w:p w14:paraId="522B1CA2" w14:textId="380AB3A1" w:rsidR="00D53462" w:rsidRDefault="00BA6F96" w:rsidP="00710657">
      <w:pPr>
        <w:pStyle w:val="ListBullet"/>
        <w:tabs>
          <w:tab w:val="clear" w:pos="360"/>
          <w:tab w:val="num" w:pos="720"/>
        </w:tabs>
        <w:ind w:left="720"/>
      </w:pPr>
      <w:r>
        <w:t>p</w:t>
      </w:r>
      <w:r w:rsidR="00D53462">
        <w:t>rognostic value</w:t>
      </w:r>
      <w:r w:rsidR="00C138FE">
        <w:t xml:space="preserve"> (</w:t>
      </w:r>
      <w:r w:rsidR="00AF1D24">
        <w:t>determination</w:t>
      </w:r>
      <w:r w:rsidR="00C138FE">
        <w:t xml:space="preserve"> of risk of disease</w:t>
      </w:r>
      <w:r w:rsidR="00AF1D24">
        <w:t xml:space="preserve"> or expected course of disease</w:t>
      </w:r>
      <w:r w:rsidR="00C138FE">
        <w:t xml:space="preserve">) </w:t>
      </w:r>
    </w:p>
    <w:p w14:paraId="7033794C" w14:textId="58CF6C77" w:rsidR="00D53462" w:rsidRDefault="00BA6F96" w:rsidP="00710657">
      <w:pPr>
        <w:pStyle w:val="ListBullet"/>
        <w:tabs>
          <w:tab w:val="clear" w:pos="360"/>
          <w:tab w:val="num" w:pos="720"/>
        </w:tabs>
        <w:ind w:left="720"/>
      </w:pPr>
      <w:r>
        <w:t>p</w:t>
      </w:r>
      <w:r w:rsidR="00D53462">
        <w:t>ersonal utility</w:t>
      </w:r>
      <w:r w:rsidR="00C138FE">
        <w:t xml:space="preserve"> (</w:t>
      </w:r>
      <w:r w:rsidR="00600BA7">
        <w:t>value for the patient in knowing diagnosis)</w:t>
      </w:r>
      <w:r>
        <w:t>.</w:t>
      </w:r>
      <w:r w:rsidR="006D690B">
        <w:rPr>
          <w:vertAlign w:val="superscript"/>
        </w:rPr>
        <w:t xml:space="preserve"> 83</w:t>
      </w:r>
    </w:p>
    <w:p w14:paraId="67393790" w14:textId="55BFD2A9" w:rsidR="00B10019" w:rsidRDefault="00600BA7" w:rsidP="00E1710A">
      <w:r>
        <w:t xml:space="preserve">Applications to list a new single gene on the MBS test to determine access to a PBS medicine may seek narrower use than the potential purposes for which the test </w:t>
      </w:r>
      <w:r w:rsidR="00930EE6">
        <w:t>could be used</w:t>
      </w:r>
      <w:r>
        <w:t xml:space="preserve">. </w:t>
      </w:r>
    </w:p>
    <w:p w14:paraId="05A4029D" w14:textId="0EF1952F" w:rsidR="001D0EA0" w:rsidRDefault="001D0EA0" w:rsidP="00710657">
      <w:pPr>
        <w:pStyle w:val="Heading3"/>
        <w:ind w:left="709"/>
      </w:pPr>
      <w:r>
        <w:t xml:space="preserve">Uncertainty of </w:t>
      </w:r>
      <w:r w:rsidR="00070655">
        <w:t>cost-effectiveness estimates</w:t>
      </w:r>
    </w:p>
    <w:p w14:paraId="0004E5D4" w14:textId="00335895" w:rsidR="001D0EA0" w:rsidRDefault="001D0EA0" w:rsidP="001D0EA0">
      <w:r w:rsidRPr="00E24805">
        <w:t xml:space="preserve">The economic benefits of </w:t>
      </w:r>
      <w:r w:rsidR="00E1710A">
        <w:t>genetic and genomic testing</w:t>
      </w:r>
      <w:r w:rsidRPr="00E24805">
        <w:t xml:space="preserve"> are difficult to assess because they </w:t>
      </w:r>
      <w:r w:rsidR="00436418" w:rsidRPr="00E24805">
        <w:t>depend on</w:t>
      </w:r>
      <w:r w:rsidRPr="00E24805">
        <w:t xml:space="preserve"> </w:t>
      </w:r>
      <w:r>
        <w:t>a multitude of factors that can be challenging to clearly determine, including</w:t>
      </w:r>
      <w:r w:rsidR="000E2B95">
        <w:t xml:space="preserve"> the</w:t>
      </w:r>
      <w:r>
        <w:t>:</w:t>
      </w:r>
      <w:r w:rsidRPr="00E70BA4">
        <w:rPr>
          <w:vertAlign w:val="superscript"/>
        </w:rPr>
        <w:t xml:space="preserve"> </w:t>
      </w:r>
    </w:p>
    <w:p w14:paraId="2A29A9C9" w14:textId="55B3CB0B" w:rsidR="00070655" w:rsidRDefault="00070655" w:rsidP="000E2B95">
      <w:pPr>
        <w:pStyle w:val="ListParagraph"/>
        <w:numPr>
          <w:ilvl w:val="0"/>
          <w:numId w:val="9"/>
        </w:numPr>
      </w:pPr>
      <w:r>
        <w:t>full range of upstream and downstream costs</w:t>
      </w:r>
    </w:p>
    <w:p w14:paraId="56F1B09C" w14:textId="478E7C71" w:rsidR="001D0EA0" w:rsidRDefault="001D0EA0" w:rsidP="000E2B95">
      <w:pPr>
        <w:pStyle w:val="ListParagraph"/>
        <w:numPr>
          <w:ilvl w:val="0"/>
          <w:numId w:val="9"/>
        </w:numPr>
      </w:pPr>
      <w:r w:rsidRPr="00E24805">
        <w:t>rate at which the cost of test</w:t>
      </w:r>
      <w:r w:rsidR="00070655">
        <w:t>s is reducing</w:t>
      </w:r>
    </w:p>
    <w:p w14:paraId="11112C2A" w14:textId="73E0E618" w:rsidR="001D0EA0" w:rsidRDefault="001D0EA0" w:rsidP="000E2B95">
      <w:pPr>
        <w:pStyle w:val="ListParagraph"/>
        <w:numPr>
          <w:ilvl w:val="0"/>
          <w:numId w:val="9"/>
        </w:numPr>
      </w:pPr>
      <w:r w:rsidRPr="00E24805">
        <w:t xml:space="preserve">extent to which the new precision testing can be implemented in practice to </w:t>
      </w:r>
      <w:r>
        <w:t>achieve the proposed benefits (</w:t>
      </w:r>
      <w:r w:rsidR="00436418">
        <w:t xml:space="preserve">for example: </w:t>
      </w:r>
      <w:r w:rsidRPr="00E24805">
        <w:t>reduc</w:t>
      </w:r>
      <w:r>
        <w:t>ing</w:t>
      </w:r>
      <w:r w:rsidRPr="00E24805">
        <w:t xml:space="preserve"> the amount of preventable </w:t>
      </w:r>
      <w:r w:rsidR="008E03B0" w:rsidRPr="00E24805">
        <w:t>illness</w:t>
      </w:r>
      <w:r w:rsidR="008E03B0">
        <w:t xml:space="preserve"> and</w:t>
      </w:r>
      <w:r>
        <w:t xml:space="preserve"> increasing successful treatment outcomes and reducing associated harm).</w:t>
      </w:r>
      <w:r w:rsidR="006D690B">
        <w:rPr>
          <w:vertAlign w:val="superscript"/>
        </w:rPr>
        <w:t>83</w:t>
      </w:r>
      <w:r w:rsidR="002609CD" w:rsidRPr="002609CD">
        <w:rPr>
          <w:vertAlign w:val="superscript"/>
        </w:rPr>
        <w:t xml:space="preserve"> </w:t>
      </w:r>
    </w:p>
    <w:p w14:paraId="6894C1A1" w14:textId="77777777" w:rsidR="00CB7B23" w:rsidRDefault="00CB7B23" w:rsidP="0013263B">
      <w:pPr>
        <w:pStyle w:val="Heading3"/>
        <w:ind w:left="709"/>
      </w:pPr>
      <w:r>
        <w:t xml:space="preserve">Timing of MSAC and PBAC consideration for co-dependent technologies </w:t>
      </w:r>
    </w:p>
    <w:p w14:paraId="2DD52E1B" w14:textId="507E2FA2" w:rsidR="00CB7B23" w:rsidRDefault="00CB7B23" w:rsidP="00CB7B23">
      <w:r>
        <w:t xml:space="preserve">Through the Inquiry, industry stakeholders raised concern about separate consideration of drugs and tests by the MSAC and PBAC and associated timing. Industry stakeholders stated that they found it challenging to navigate making submissions for the two committees. </w:t>
      </w:r>
    </w:p>
    <w:p w14:paraId="4CE2EEFF" w14:textId="550B054D" w:rsidR="008E5B61" w:rsidRDefault="008E5B61" w:rsidP="000E2B95">
      <w:pPr>
        <w:pStyle w:val="Heading1"/>
        <w:ind w:left="426"/>
      </w:pPr>
      <w:bookmarkStart w:id="197" w:name="_Toc158900442"/>
      <w:r>
        <w:t>Theranostics</w:t>
      </w:r>
      <w:bookmarkEnd w:id="197"/>
    </w:p>
    <w:p w14:paraId="0D4D4CB5" w14:textId="65BD8D84" w:rsidR="008E5B61" w:rsidRDefault="008E5B61" w:rsidP="008E5B61">
      <w:pPr>
        <w:spacing w:line="240" w:lineRule="auto"/>
      </w:pPr>
      <w:r w:rsidRPr="00686F94">
        <w:t xml:space="preserve">Theranostics </w:t>
      </w:r>
      <w:bookmarkStart w:id="198" w:name="_Ref127894668"/>
      <w:r w:rsidR="00C85F3C">
        <w:t xml:space="preserve">refers to the pairing of diagnostic biomarkers with therapeutic agents </w:t>
      </w:r>
      <w:r w:rsidR="00960173">
        <w:t>that share a specific target in diseased cells or tissues.</w:t>
      </w:r>
      <w:bookmarkStart w:id="199" w:name="_Ref134443393"/>
      <w:r w:rsidR="00960173">
        <w:rPr>
          <w:rStyle w:val="FootnoteReference"/>
        </w:rPr>
        <w:footnoteReference w:id="85"/>
      </w:r>
      <w:bookmarkEnd w:id="198"/>
      <w:bookmarkEnd w:id="199"/>
      <w:r w:rsidR="00960173">
        <w:t xml:space="preserve"> The pairing of biomarkers with therapeutic agents is said to </w:t>
      </w:r>
      <w:r w:rsidR="00473789">
        <w:t>facilitate more accurate patient selection, prediction of treatment response and tissue toxicity, and response evaluation, with the goal of better</w:t>
      </w:r>
      <w:r w:rsidR="00960173">
        <w:t xml:space="preserve"> health</w:t>
      </w:r>
      <w:r w:rsidR="00473789">
        <w:t xml:space="preserve"> outcomes. </w:t>
      </w:r>
      <w:r w:rsidRPr="00686F94">
        <w:t xml:space="preserve">Theranostics can be defined as </w:t>
      </w:r>
      <w:r>
        <w:t>any combination of diagnostic and therapeutic modalities, where:</w:t>
      </w:r>
    </w:p>
    <w:p w14:paraId="69847B97" w14:textId="48EF5D50" w:rsidR="008E5B61" w:rsidRDefault="00C95305" w:rsidP="00990D82">
      <w:pPr>
        <w:pStyle w:val="ListParagraph"/>
        <w:numPr>
          <w:ilvl w:val="0"/>
          <w:numId w:val="17"/>
        </w:numPr>
        <w:spacing w:line="240" w:lineRule="auto"/>
      </w:pPr>
      <w:r>
        <w:t>D</w:t>
      </w:r>
      <w:r w:rsidR="008E5B61" w:rsidRPr="00686F94">
        <w:t>iagnostic procedures</w:t>
      </w:r>
      <w:r w:rsidR="008E5B61">
        <w:t xml:space="preserve"> </w:t>
      </w:r>
    </w:p>
    <w:p w14:paraId="1A8646C5" w14:textId="77777777" w:rsidR="008E5B61" w:rsidRDefault="008E5B61" w:rsidP="00990D82">
      <w:pPr>
        <w:pStyle w:val="ListParagraph"/>
        <w:numPr>
          <w:ilvl w:val="1"/>
          <w:numId w:val="17"/>
        </w:numPr>
        <w:spacing w:line="240" w:lineRule="auto"/>
      </w:pPr>
      <w:r>
        <w:t>can</w:t>
      </w:r>
      <w:r w:rsidRPr="00686F94">
        <w:t xml:space="preserve"> identif</w:t>
      </w:r>
      <w:r>
        <w:t>y</w:t>
      </w:r>
      <w:r w:rsidRPr="00686F94">
        <w:t xml:space="preserve"> patients who are candidates for a specific treatment</w:t>
      </w:r>
      <w:r>
        <w:t>, and/or monitor progress.</w:t>
      </w:r>
    </w:p>
    <w:p w14:paraId="2C55B129" w14:textId="1031CD90" w:rsidR="008E5B61" w:rsidRDefault="00594988" w:rsidP="00990D82">
      <w:pPr>
        <w:pStyle w:val="ListParagraph"/>
        <w:numPr>
          <w:ilvl w:val="1"/>
          <w:numId w:val="17"/>
        </w:numPr>
        <w:spacing w:line="240" w:lineRule="auto"/>
      </w:pPr>
      <w:r>
        <w:t>u</w:t>
      </w:r>
      <w:r w:rsidR="008E5B61">
        <w:t>sually involves the use of imaging</w:t>
      </w:r>
      <w:r w:rsidR="008E5B61" w:rsidRPr="000D3F80">
        <w:t xml:space="preserve"> methods </w:t>
      </w:r>
      <w:r w:rsidR="008E5B61">
        <w:t>(</w:t>
      </w:r>
      <w:r w:rsidR="00A67936">
        <w:t>e.g.</w:t>
      </w:r>
      <w:r w:rsidR="008E5B61">
        <w:t xml:space="preserve"> nuclear medicine) </w:t>
      </w:r>
      <w:r w:rsidR="008E5B61" w:rsidRPr="000D3F80">
        <w:t>for the visualization and quantification of the expression of a target</w:t>
      </w:r>
      <w:r w:rsidR="00405559">
        <w:t>.</w:t>
      </w:r>
      <w:r w:rsidR="008E5B61">
        <w:t xml:space="preserve"> </w:t>
      </w:r>
    </w:p>
    <w:p w14:paraId="6E7A3135" w14:textId="047B1927" w:rsidR="008E5B61" w:rsidRDefault="00C95305" w:rsidP="00990D82">
      <w:pPr>
        <w:pStyle w:val="ListParagraph"/>
        <w:numPr>
          <w:ilvl w:val="0"/>
          <w:numId w:val="17"/>
        </w:numPr>
        <w:spacing w:line="240" w:lineRule="auto"/>
      </w:pPr>
      <w:r>
        <w:t>A</w:t>
      </w:r>
      <w:r w:rsidR="008E5B61">
        <w:t xml:space="preserve"> therapeutic component </w:t>
      </w:r>
    </w:p>
    <w:p w14:paraId="60BEAAC0" w14:textId="066D820F" w:rsidR="008E5B61" w:rsidRDefault="008E5B61" w:rsidP="00990D82">
      <w:pPr>
        <w:pStyle w:val="ListParagraph"/>
        <w:numPr>
          <w:ilvl w:val="1"/>
          <w:numId w:val="17"/>
        </w:numPr>
        <w:spacing w:line="240" w:lineRule="auto"/>
      </w:pPr>
      <w:r>
        <w:t>treats the condition in a targeted manner, based on the diagnostic information.</w:t>
      </w:r>
      <w:r w:rsidRPr="000D3F80">
        <w:t xml:space="preserve"> </w:t>
      </w:r>
    </w:p>
    <w:p w14:paraId="0DA96231" w14:textId="6958E66E" w:rsidR="008E5B61" w:rsidRPr="00B01079" w:rsidRDefault="00A67936" w:rsidP="00990D82">
      <w:pPr>
        <w:pStyle w:val="ListParagraph"/>
        <w:numPr>
          <w:ilvl w:val="1"/>
          <w:numId w:val="17"/>
        </w:numPr>
        <w:spacing w:line="240" w:lineRule="auto"/>
      </w:pPr>
      <w:r>
        <w:t>i</w:t>
      </w:r>
      <w:r w:rsidR="008E5B61">
        <w:t xml:space="preserve">nvolves the use of therapeutic </w:t>
      </w:r>
      <w:r w:rsidR="008E5B61" w:rsidRPr="000D3F80">
        <w:t>compounds, including nonradioactive</w:t>
      </w:r>
      <w:r w:rsidR="008E5B61" w:rsidRPr="004665E9">
        <w:rPr>
          <w:vertAlign w:val="superscript"/>
        </w:rPr>
        <w:fldChar w:fldCharType="begin"/>
      </w:r>
      <w:r w:rsidR="008E5B61" w:rsidRPr="00B01079">
        <w:rPr>
          <w:vertAlign w:val="superscript"/>
        </w:rPr>
        <w:instrText xml:space="preserve"> NOTEREF _Ref127894668 \h  \* MERGEFORMAT </w:instrText>
      </w:r>
      <w:r w:rsidR="008E5B61" w:rsidRPr="004665E9">
        <w:rPr>
          <w:vertAlign w:val="superscript"/>
        </w:rPr>
      </w:r>
      <w:r w:rsidR="008E5B61" w:rsidRPr="004665E9">
        <w:rPr>
          <w:vertAlign w:val="superscript"/>
        </w:rPr>
        <w:fldChar w:fldCharType="separate"/>
      </w:r>
      <w:r w:rsidR="00395B47">
        <w:rPr>
          <w:vertAlign w:val="superscript"/>
        </w:rPr>
        <w:t>84</w:t>
      </w:r>
      <w:r w:rsidR="008E5B61" w:rsidRPr="004665E9">
        <w:rPr>
          <w:vertAlign w:val="superscript"/>
        </w:rPr>
        <w:fldChar w:fldCharType="end"/>
      </w:r>
      <w:r w:rsidR="008E5B61" w:rsidRPr="000D3F80">
        <w:t xml:space="preserve"> </w:t>
      </w:r>
      <w:r w:rsidR="008E5B61">
        <w:t>or radioactive</w:t>
      </w:r>
      <w:r w:rsidR="008E5B61" w:rsidRPr="000D3F80">
        <w:t xml:space="preserve"> molecules binding to this target</w:t>
      </w:r>
      <w:r w:rsidR="008E5B61">
        <w:t xml:space="preserve"> (the same target as for imaging)</w:t>
      </w:r>
      <w:r w:rsidR="008E5B61" w:rsidRPr="000D3F80">
        <w:t>.</w:t>
      </w:r>
      <w:r w:rsidR="008E5B61" w:rsidRPr="004665E9">
        <w:rPr>
          <w:vertAlign w:val="superscript"/>
        </w:rPr>
        <w:t xml:space="preserve"> </w:t>
      </w:r>
    </w:p>
    <w:p w14:paraId="480010FC" w14:textId="1847F696" w:rsidR="008A2468" w:rsidRPr="00053AB9" w:rsidRDefault="008A2468" w:rsidP="008A2468">
      <w:pPr>
        <w:rPr>
          <w:rFonts w:cstheme="minorHAnsi"/>
        </w:rPr>
      </w:pPr>
      <w:r w:rsidRPr="007C7240">
        <w:rPr>
          <w:rFonts w:cstheme="minorHAnsi"/>
        </w:rPr>
        <w:t>Theranostics c</w:t>
      </w:r>
      <w:r>
        <w:rPr>
          <w:rFonts w:cstheme="minorHAnsi"/>
        </w:rPr>
        <w:t>an be</w:t>
      </w:r>
      <w:r w:rsidRPr="007C7240">
        <w:rPr>
          <w:rFonts w:cstheme="minorHAnsi"/>
        </w:rPr>
        <w:t xml:space="preserve"> categorized as: radiotheranostic, nanotheranostic, magnetotheranostic and optotheranostic, by using radionuclides, nanoparticles, magnetic particles and optical probes, respectively</w:t>
      </w:r>
      <w:r>
        <w:rPr>
          <w:rFonts w:cstheme="minorHAnsi"/>
        </w:rPr>
        <w:t>.</w:t>
      </w:r>
      <w:bookmarkStart w:id="200" w:name="_Ref130482447"/>
      <w:r>
        <w:rPr>
          <w:rStyle w:val="FootnoteReference"/>
          <w:rFonts w:cstheme="minorHAnsi"/>
        </w:rPr>
        <w:footnoteReference w:id="86"/>
      </w:r>
      <w:bookmarkEnd w:id="200"/>
      <w:r>
        <w:rPr>
          <w:rFonts w:cstheme="minorHAnsi"/>
        </w:rPr>
        <w:t xml:space="preserve"> </w:t>
      </w:r>
      <w:r w:rsidRPr="007C7240">
        <w:rPr>
          <w:color w:val="000000"/>
          <w:shd w:val="clear" w:color="auto" w:fill="FFFFFF"/>
        </w:rPr>
        <w:t xml:space="preserve">Radiotheranostics (also known as nuclear </w:t>
      </w:r>
      <w:r w:rsidR="00960173">
        <w:rPr>
          <w:color w:val="000000"/>
          <w:shd w:val="clear" w:color="auto" w:fill="FFFFFF"/>
        </w:rPr>
        <w:t>t</w:t>
      </w:r>
      <w:r w:rsidR="00960173" w:rsidRPr="007C7240">
        <w:rPr>
          <w:color w:val="000000"/>
          <w:shd w:val="clear" w:color="auto" w:fill="FFFFFF"/>
        </w:rPr>
        <w:t>heranostics</w:t>
      </w:r>
      <w:r w:rsidRPr="007C7240">
        <w:rPr>
          <w:color w:val="000000"/>
          <w:shd w:val="clear" w:color="auto" w:fill="FFFFFF"/>
        </w:rPr>
        <w:t>)</w:t>
      </w:r>
      <w:r w:rsidRPr="007C7240">
        <w:t xml:space="preserve"> are the main type of theranostic that have been marketed to date.</w:t>
      </w:r>
      <w:r>
        <w:t xml:space="preserve"> </w:t>
      </w:r>
    </w:p>
    <w:p w14:paraId="614ADE43" w14:textId="16F6D275" w:rsidR="008E5B61" w:rsidRDefault="008E5B61" w:rsidP="008F492A">
      <w:pPr>
        <w:pStyle w:val="Heading2"/>
      </w:pPr>
      <w:bookmarkStart w:id="201" w:name="_Toc158900443"/>
      <w:r>
        <w:t>Radiotheranostics</w:t>
      </w:r>
      <w:bookmarkEnd w:id="201"/>
      <w:r>
        <w:t xml:space="preserve"> </w:t>
      </w:r>
    </w:p>
    <w:p w14:paraId="521A0D4E" w14:textId="50FABCDE" w:rsidR="00A668C1" w:rsidRPr="00A668C1" w:rsidRDefault="0073443A" w:rsidP="001B051E">
      <w:pPr>
        <w:widowControl w:val="0"/>
      </w:pPr>
      <w:r>
        <w:t xml:space="preserve">Radiotheranostics </w:t>
      </w:r>
      <w:r w:rsidR="009C3280">
        <w:t>combines</w:t>
      </w:r>
      <w:r w:rsidR="009C3280" w:rsidRPr="00A668C1">
        <w:t xml:space="preserve"> molecular imaging (primarily PET and </w:t>
      </w:r>
      <w:r w:rsidR="009C3280">
        <w:t>single-photon emission computed tomography (</w:t>
      </w:r>
      <w:r w:rsidR="009C3280" w:rsidRPr="00A668C1">
        <w:t>SPECT)) with targeted radionuclide therapy</w:t>
      </w:r>
      <w:r w:rsidRPr="00960173">
        <w:rPr>
          <w:vertAlign w:val="superscript"/>
        </w:rPr>
        <w:fldChar w:fldCharType="begin"/>
      </w:r>
      <w:r w:rsidRPr="00960173">
        <w:rPr>
          <w:vertAlign w:val="superscript"/>
        </w:rPr>
        <w:instrText xml:space="preserve"> NOTEREF _Ref130216009 \h  \* MERGEFORMAT </w:instrText>
      </w:r>
      <w:r w:rsidRPr="00960173">
        <w:rPr>
          <w:vertAlign w:val="superscript"/>
        </w:rPr>
      </w:r>
      <w:r w:rsidRPr="00960173">
        <w:rPr>
          <w:vertAlign w:val="superscript"/>
        </w:rPr>
        <w:fldChar w:fldCharType="separate"/>
      </w:r>
      <w:r w:rsidR="00395B47">
        <w:rPr>
          <w:vertAlign w:val="superscript"/>
        </w:rPr>
        <w:t>86</w:t>
      </w:r>
      <w:r w:rsidRPr="00960173">
        <w:rPr>
          <w:vertAlign w:val="superscript"/>
        </w:rPr>
        <w:fldChar w:fldCharType="end"/>
      </w:r>
      <w:r w:rsidR="009C3280" w:rsidRPr="00A668C1">
        <w:t xml:space="preserve"> (also called radioligand or radiopharmaceutical therapy)</w:t>
      </w:r>
      <w:r w:rsidR="00492502" w:rsidRPr="00A668C1">
        <w:t xml:space="preserve">. </w:t>
      </w:r>
      <w:r w:rsidR="008E68C4" w:rsidRPr="00A668C1">
        <w:t xml:space="preserve">This involves using </w:t>
      </w:r>
      <w:r w:rsidR="004C1D11" w:rsidRPr="00A668C1">
        <w:t>r</w:t>
      </w:r>
      <w:r w:rsidR="007C1705" w:rsidRPr="00A668C1">
        <w:t>adioactive compounds to image biologic phenomena by means</w:t>
      </w:r>
      <w:r w:rsidR="007C1705">
        <w:t xml:space="preserve"> of expression of specific </w:t>
      </w:r>
      <w:r w:rsidR="00C449DA">
        <w:t xml:space="preserve">molecular </w:t>
      </w:r>
      <w:r w:rsidR="007C1705">
        <w:t>targets such as cell surface receptors or membrane transporters, whi</w:t>
      </w:r>
      <w:r w:rsidR="007C1705" w:rsidRPr="001E715E">
        <w:t xml:space="preserve">ch is then followed by the use of </w:t>
      </w:r>
      <w:r w:rsidR="00632D40">
        <w:t>the radioligand therapy</w:t>
      </w:r>
      <w:r w:rsidR="00B00390" w:rsidRPr="00B00390">
        <w:rPr>
          <w:vertAlign w:val="superscript"/>
        </w:rPr>
        <w:fldChar w:fldCharType="begin"/>
      </w:r>
      <w:r w:rsidR="00B00390" w:rsidRPr="00B00390">
        <w:rPr>
          <w:vertAlign w:val="superscript"/>
        </w:rPr>
        <w:instrText xml:space="preserve"> NOTEREF _Ref134443393 \h </w:instrText>
      </w:r>
      <w:r w:rsidR="00B00390">
        <w:rPr>
          <w:vertAlign w:val="superscript"/>
        </w:rPr>
        <w:instrText xml:space="preserve"> \* MERGEFORMAT </w:instrText>
      </w:r>
      <w:r w:rsidR="00B00390" w:rsidRPr="00B00390">
        <w:rPr>
          <w:vertAlign w:val="superscript"/>
        </w:rPr>
      </w:r>
      <w:r w:rsidR="00B00390" w:rsidRPr="00B00390">
        <w:rPr>
          <w:vertAlign w:val="superscript"/>
        </w:rPr>
        <w:fldChar w:fldCharType="separate"/>
      </w:r>
      <w:r w:rsidR="00395B47">
        <w:rPr>
          <w:vertAlign w:val="superscript"/>
        </w:rPr>
        <w:t>84</w:t>
      </w:r>
      <w:r w:rsidR="00B00390" w:rsidRPr="00B00390">
        <w:rPr>
          <w:vertAlign w:val="superscript"/>
        </w:rPr>
        <w:fldChar w:fldCharType="end"/>
      </w:r>
      <w:r w:rsidR="00997E12" w:rsidRPr="00A668C1">
        <w:t xml:space="preserve"> </w:t>
      </w:r>
      <w:r w:rsidR="00997E12">
        <w:t xml:space="preserve">that </w:t>
      </w:r>
      <w:r w:rsidR="007C1705" w:rsidRPr="001E715E">
        <w:t>deliver</w:t>
      </w:r>
      <w:r w:rsidR="00997E12">
        <w:t>s</w:t>
      </w:r>
      <w:r w:rsidR="007C1705" w:rsidRPr="001E715E">
        <w:t xml:space="preserve"> ionizing radiation to the tissues that express these targets</w:t>
      </w:r>
      <w:r w:rsidR="001E715E" w:rsidRPr="001E715E">
        <w:t>,</w:t>
      </w:r>
      <w:r w:rsidR="001E715E" w:rsidRPr="00A668C1">
        <w:t xml:space="preserve"> </w:t>
      </w:r>
      <w:r w:rsidR="007433AF">
        <w:t>activating programmed</w:t>
      </w:r>
      <w:r w:rsidR="001E715E" w:rsidRPr="001E715E">
        <w:t xml:space="preserve"> </w:t>
      </w:r>
      <w:r w:rsidR="001E715E" w:rsidRPr="00A668C1">
        <w:t>cell death.</w:t>
      </w:r>
      <w:r w:rsidR="0097780B" w:rsidRPr="001B051E">
        <w:rPr>
          <w:vertAlign w:val="superscript"/>
        </w:rPr>
        <w:fldChar w:fldCharType="begin"/>
      </w:r>
      <w:r w:rsidR="0097780B" w:rsidRPr="001B051E">
        <w:rPr>
          <w:vertAlign w:val="superscript"/>
        </w:rPr>
        <w:instrText xml:space="preserve"> NOTEREF _Ref130482447 \h  \* MERGEFORMAT </w:instrText>
      </w:r>
      <w:r w:rsidR="0097780B" w:rsidRPr="001B051E">
        <w:rPr>
          <w:vertAlign w:val="superscript"/>
        </w:rPr>
      </w:r>
      <w:r w:rsidR="0097780B" w:rsidRPr="001B051E">
        <w:rPr>
          <w:vertAlign w:val="superscript"/>
        </w:rPr>
        <w:fldChar w:fldCharType="separate"/>
      </w:r>
      <w:r w:rsidR="00395B47">
        <w:rPr>
          <w:vertAlign w:val="superscript"/>
        </w:rPr>
        <w:t>85</w:t>
      </w:r>
      <w:r w:rsidR="0097780B" w:rsidRPr="001B051E">
        <w:rPr>
          <w:vertAlign w:val="superscript"/>
        </w:rPr>
        <w:fldChar w:fldCharType="end"/>
      </w:r>
    </w:p>
    <w:p w14:paraId="74CB096D" w14:textId="65975CC2" w:rsidR="008E5B61" w:rsidRDefault="009D0712" w:rsidP="001B051E">
      <w:pPr>
        <w:widowControl w:val="0"/>
        <w:spacing w:after="160"/>
      </w:pPr>
      <w:r w:rsidRPr="00A668C1">
        <w:t>In r</w:t>
      </w:r>
      <w:r w:rsidR="00DF53C9" w:rsidRPr="00A668C1">
        <w:t>adioligand therapy</w:t>
      </w:r>
      <w:r w:rsidRPr="00A668C1">
        <w:t xml:space="preserve">, </w:t>
      </w:r>
      <w:r w:rsidR="00492502" w:rsidRPr="00D00E79">
        <w:t xml:space="preserve">small molecules, peptides and/or antibodies </w:t>
      </w:r>
      <w:r>
        <w:t xml:space="preserve">are used </w:t>
      </w:r>
      <w:r w:rsidR="00492502" w:rsidRPr="00D00E79">
        <w:t>as carriers for therapeutic radionuclides, typically those emitting α-, β- or auger-radiation.</w:t>
      </w:r>
      <w:bookmarkStart w:id="202" w:name="_Ref127900411"/>
      <w:bookmarkStart w:id="203" w:name="_Ref130216009"/>
      <w:r w:rsidR="00492502" w:rsidRPr="002A15BF">
        <w:rPr>
          <w:vertAlign w:val="superscript"/>
        </w:rPr>
        <w:footnoteReference w:id="87"/>
      </w:r>
      <w:bookmarkEnd w:id="202"/>
      <w:bookmarkEnd w:id="203"/>
    </w:p>
    <w:p w14:paraId="3022152C" w14:textId="7DEC1966" w:rsidR="000D13B1" w:rsidRPr="000D13B1" w:rsidRDefault="00635C88" w:rsidP="000E2B95">
      <w:pPr>
        <w:pStyle w:val="Heading3"/>
        <w:keepNext w:val="0"/>
        <w:keepLines w:val="0"/>
        <w:widowControl w:val="0"/>
        <w:ind w:left="709"/>
      </w:pPr>
      <w:r>
        <w:t>Development, market approval and Australian funding status</w:t>
      </w:r>
      <w:r w:rsidR="0024556E">
        <w:t xml:space="preserve"> of radio</w:t>
      </w:r>
      <w:r w:rsidR="002A15BF">
        <w:t>theranostics</w:t>
      </w:r>
    </w:p>
    <w:p w14:paraId="3B5E795D" w14:textId="26E7C6AC" w:rsidR="0036768A" w:rsidRDefault="00E56929" w:rsidP="00DA2CB0">
      <w:pPr>
        <w:widowControl w:val="0"/>
        <w:spacing w:line="240" w:lineRule="auto"/>
      </w:pPr>
      <w:r>
        <w:t xml:space="preserve">The radiopharmaceutical precursor, </w:t>
      </w:r>
      <w:r w:rsidRPr="00E56929">
        <w:t>Lutetium (177Lu) chlori</w:t>
      </w:r>
      <w:r>
        <w:t xml:space="preserve">de was listed on the ARTG on 11 January 2022 </w:t>
      </w:r>
      <w:r w:rsidR="0051744B">
        <w:t xml:space="preserve">and included in </w:t>
      </w:r>
      <w:r>
        <w:t xml:space="preserve">the </w:t>
      </w:r>
      <w:r w:rsidR="00221776">
        <w:t>B</w:t>
      </w:r>
      <w:r>
        <w:t xml:space="preserve">lack </w:t>
      </w:r>
      <w:r w:rsidR="00221776">
        <w:t>T</w:t>
      </w:r>
      <w:r>
        <w:t xml:space="preserve">riangle </w:t>
      </w:r>
      <w:r w:rsidR="00221776">
        <w:t>S</w:t>
      </w:r>
      <w:r>
        <w:t>cheme</w:t>
      </w:r>
      <w:r w:rsidR="0006340B">
        <w:t>*</w:t>
      </w:r>
      <w:r w:rsidR="00976CAD">
        <w:t xml:space="preserve"> for the f</w:t>
      </w:r>
      <w:r w:rsidR="00976CAD" w:rsidRPr="00976CAD">
        <w:t>or the treatment of non</w:t>
      </w:r>
      <w:r w:rsidR="007D7CC4">
        <w:t>-</w:t>
      </w:r>
      <w:r w:rsidR="00976CAD" w:rsidRPr="00976CAD">
        <w:t>resectable or metastatic neuroendocrine tumours (NETS) expressing somatostatin subtype 2 receptors when coupled with a suitable carrier molecule.</w:t>
      </w:r>
      <w:r w:rsidR="0006340B">
        <w:rPr>
          <w:rStyle w:val="FootnoteReference"/>
        </w:rPr>
        <w:footnoteReference w:id="88"/>
      </w:r>
      <w:r>
        <w:t xml:space="preserve"> </w:t>
      </w:r>
      <w:r w:rsidR="00B42C63">
        <w:t xml:space="preserve"> </w:t>
      </w:r>
      <w:r w:rsidR="00B42C63" w:rsidRPr="008B51DF">
        <w:t xml:space="preserve">In clinical practice it is combined with </w:t>
      </w:r>
      <w:r w:rsidR="002B20E1">
        <w:t xml:space="preserve">ligands </w:t>
      </w:r>
      <w:r w:rsidR="00B42C63" w:rsidRPr="008B51DF">
        <w:t xml:space="preserve">DOTATATE </w:t>
      </w:r>
      <w:r w:rsidR="002B20E1">
        <w:t>(</w:t>
      </w:r>
      <w:r w:rsidR="002B20E1" w:rsidRPr="008B51DF">
        <w:t>also known as DOTA-octreotate</w:t>
      </w:r>
      <w:r w:rsidR="00103B8D">
        <w:t xml:space="preserve">; forming </w:t>
      </w:r>
      <w:r w:rsidR="00103B8D" w:rsidRPr="00B76B61">
        <w:rPr>
          <w:rFonts w:cstheme="minorHAnsi"/>
        </w:rPr>
        <w:t>177Lu-DOTATATE</w:t>
      </w:r>
      <w:r w:rsidR="00103B8D">
        <w:rPr>
          <w:rFonts w:cstheme="minorHAnsi"/>
        </w:rPr>
        <w:t>)</w:t>
      </w:r>
      <w:r w:rsidR="002B20E1" w:rsidRPr="008B51DF">
        <w:t xml:space="preserve"> </w:t>
      </w:r>
      <w:r w:rsidR="00B42C63" w:rsidRPr="008B51DF">
        <w:t>or PSMA</w:t>
      </w:r>
      <w:r w:rsidR="00B42C63" w:rsidRPr="008B51DF">
        <w:noBreakHyphen/>
        <w:t>617</w:t>
      </w:r>
      <w:r w:rsidR="00103B8D">
        <w:t xml:space="preserve"> (forming </w:t>
      </w:r>
      <w:r w:rsidR="00103B8D" w:rsidRPr="009B3E50">
        <w:t>(177Lu)–PSMA-617</w:t>
      </w:r>
      <w:r w:rsidR="00103B8D">
        <w:t>)</w:t>
      </w:r>
      <w:r w:rsidR="00C9742E">
        <w:t xml:space="preserve"> (Table 1</w:t>
      </w:r>
      <w:r w:rsidR="00663540">
        <w:t>5</w:t>
      </w:r>
      <w:r w:rsidR="00C9742E">
        <w:t>)</w:t>
      </w:r>
      <w:r w:rsidR="002B20E1">
        <w:t>.</w:t>
      </w:r>
      <w:r w:rsidR="00B42C63" w:rsidRPr="008B51DF">
        <w:t xml:space="preserve"> </w:t>
      </w:r>
      <w:r w:rsidR="00516995">
        <w:t>Currently there are no</w:t>
      </w:r>
      <w:r w:rsidR="00FF24A8">
        <w:t xml:space="preserve"> radioligand</w:t>
      </w:r>
      <w:r w:rsidR="00EF7460">
        <w:t xml:space="preserve"> t</w:t>
      </w:r>
      <w:r w:rsidR="00FF24A8">
        <w:t>herap</w:t>
      </w:r>
      <w:r w:rsidR="00516995">
        <w:t>ies</w:t>
      </w:r>
      <w:r w:rsidR="00FF24A8">
        <w:t xml:space="preserve"> approved for subsidy in Australia</w:t>
      </w:r>
      <w:r w:rsidR="0036768A">
        <w:t xml:space="preserve">. </w:t>
      </w:r>
      <w:r w:rsidR="0036768A" w:rsidRPr="003C2733">
        <w:t>LuTate</w:t>
      </w:r>
      <w:r w:rsidR="0036768A">
        <w:t xml:space="preserve">, </w:t>
      </w:r>
      <w:r w:rsidR="0036768A" w:rsidRPr="003C2733">
        <w:t>Lutetium-177 PSMA</w:t>
      </w:r>
      <w:r w:rsidR="0036768A">
        <w:t xml:space="preserve"> and </w:t>
      </w:r>
      <w:r w:rsidR="0036768A" w:rsidRPr="005E4CBF">
        <w:rPr>
          <w:vertAlign w:val="superscript"/>
        </w:rPr>
        <w:t>177</w:t>
      </w:r>
      <w:r w:rsidR="0036768A" w:rsidRPr="00DE2CD4">
        <w:t>Lutetium PSMA i&amp;t</w:t>
      </w:r>
      <w:r w:rsidR="00D602E8">
        <w:t xml:space="preserve"> (177Lutetium PSMA imaging and therapy)</w:t>
      </w:r>
      <w:r w:rsidR="0036768A" w:rsidRPr="003C2733">
        <w:t xml:space="preserve"> are currently</w:t>
      </w:r>
      <w:r w:rsidR="005F009E">
        <w:t xml:space="preserve"> clinically used in Australia under the TGA’s </w:t>
      </w:r>
      <w:r w:rsidR="0036768A" w:rsidRPr="003C2733">
        <w:t>Special Access Scheme.</w:t>
      </w:r>
    </w:p>
    <w:p w14:paraId="55602613" w14:textId="463FEB9C" w:rsidR="007C597D" w:rsidRPr="00330FBE" w:rsidRDefault="007C597D" w:rsidP="00330FBE">
      <w:pPr>
        <w:rPr>
          <w:b/>
          <w:bCs/>
          <w:color w:val="002060"/>
        </w:rPr>
      </w:pPr>
      <w:r w:rsidRPr="00330FBE">
        <w:rPr>
          <w:b/>
          <w:bCs/>
          <w:color w:val="002060"/>
        </w:rPr>
        <w:t xml:space="preserve">Table </w:t>
      </w:r>
      <w:r w:rsidR="003326C0" w:rsidRPr="00330FBE">
        <w:rPr>
          <w:b/>
          <w:bCs/>
          <w:color w:val="002060"/>
        </w:rPr>
        <w:t>1</w:t>
      </w:r>
      <w:r w:rsidR="00B32A45" w:rsidRPr="00330FBE">
        <w:rPr>
          <w:b/>
          <w:bCs/>
          <w:color w:val="002060"/>
        </w:rPr>
        <w:t>5</w:t>
      </w:r>
      <w:r w:rsidRPr="00330FBE">
        <w:rPr>
          <w:b/>
          <w:bCs/>
          <w:color w:val="002060"/>
        </w:rPr>
        <w:t xml:space="preserve"> Examples of Radioligand therapies and companion diagnostic agents with regulatory approval</w:t>
      </w:r>
    </w:p>
    <w:tbl>
      <w:tblPr>
        <w:tblStyle w:val="DepartmentofHealthtable"/>
        <w:tblW w:w="9498" w:type="dxa"/>
        <w:tblLayout w:type="fixed"/>
        <w:tblLook w:val="04A0" w:firstRow="1" w:lastRow="0" w:firstColumn="1" w:lastColumn="0" w:noHBand="0" w:noVBand="1"/>
      </w:tblPr>
      <w:tblGrid>
        <w:gridCol w:w="2552"/>
        <w:gridCol w:w="3118"/>
        <w:gridCol w:w="709"/>
        <w:gridCol w:w="851"/>
        <w:gridCol w:w="708"/>
        <w:gridCol w:w="1560"/>
      </w:tblGrid>
      <w:tr w:rsidR="0030299E" w14:paraId="6DBF3803" w14:textId="77777777" w:rsidTr="00A80B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0E29A9E4" w14:textId="0BD6420C" w:rsidR="0030299E" w:rsidRDefault="0029563B" w:rsidP="006055E0">
            <w:r>
              <w:rPr>
                <w:rFonts w:asciiTheme="minorHAnsi" w:hAnsiTheme="minorHAnsi" w:cstheme="minorHAnsi"/>
                <w:b/>
                <w:bCs/>
                <w:sz w:val="20"/>
                <w:lang w:val="en-GB"/>
              </w:rPr>
              <w:t>Drug name (Brand name)</w:t>
            </w:r>
          </w:p>
        </w:tc>
        <w:tc>
          <w:tcPr>
            <w:tcW w:w="3118" w:type="dxa"/>
          </w:tcPr>
          <w:p w14:paraId="6F674A32" w14:textId="77777777" w:rsidR="0030299E" w:rsidRDefault="0030299E" w:rsidP="006055E0">
            <w:pPr>
              <w:cnfStyle w:val="100000000000" w:firstRow="1" w:lastRow="0" w:firstColumn="0" w:lastColumn="0" w:oddVBand="0" w:evenVBand="0" w:oddHBand="0" w:evenHBand="0" w:firstRowFirstColumn="0" w:firstRowLastColumn="0" w:lastRowFirstColumn="0" w:lastRowLastColumn="0"/>
            </w:pPr>
            <w:r w:rsidRPr="00AE09D0">
              <w:rPr>
                <w:rFonts w:asciiTheme="minorHAnsi" w:hAnsiTheme="minorHAnsi" w:cstheme="minorHAnsi"/>
                <w:b/>
                <w:bCs/>
                <w:sz w:val="20"/>
                <w:lang w:val="en-GB"/>
              </w:rPr>
              <w:t>Indication</w:t>
            </w:r>
          </w:p>
        </w:tc>
        <w:tc>
          <w:tcPr>
            <w:tcW w:w="709" w:type="dxa"/>
          </w:tcPr>
          <w:p w14:paraId="68964D1C" w14:textId="77777777" w:rsidR="0030299E" w:rsidRDefault="0030299E" w:rsidP="007E3807">
            <w:pPr>
              <w:jc w:val="center"/>
              <w:cnfStyle w:val="100000000000" w:firstRow="1" w:lastRow="0" w:firstColumn="0" w:lastColumn="0" w:oddVBand="0" w:evenVBand="0" w:oddHBand="0" w:evenHBand="0" w:firstRowFirstColumn="0" w:firstRowLastColumn="0" w:lastRowFirstColumn="0" w:lastRowLastColumn="0"/>
            </w:pPr>
            <w:r w:rsidRPr="00AE09D0">
              <w:rPr>
                <w:rFonts w:asciiTheme="minorHAnsi" w:hAnsiTheme="minorHAnsi" w:cstheme="minorHAnsi"/>
                <w:b/>
                <w:bCs/>
                <w:sz w:val="20"/>
                <w:lang w:val="en-GB"/>
              </w:rPr>
              <w:t>EMA</w:t>
            </w:r>
          </w:p>
        </w:tc>
        <w:tc>
          <w:tcPr>
            <w:tcW w:w="851" w:type="dxa"/>
          </w:tcPr>
          <w:p w14:paraId="69190934" w14:textId="77777777" w:rsidR="0030299E" w:rsidRDefault="0030299E" w:rsidP="007E3807">
            <w:pPr>
              <w:jc w:val="center"/>
              <w:cnfStyle w:val="100000000000" w:firstRow="1" w:lastRow="0" w:firstColumn="0" w:lastColumn="0" w:oddVBand="0" w:evenVBand="0" w:oddHBand="0" w:evenHBand="0" w:firstRowFirstColumn="0" w:firstRowLastColumn="0" w:lastRowFirstColumn="0" w:lastRowLastColumn="0"/>
            </w:pPr>
            <w:r w:rsidRPr="00AE09D0">
              <w:rPr>
                <w:rFonts w:asciiTheme="minorHAnsi" w:hAnsiTheme="minorHAnsi" w:cstheme="minorHAnsi"/>
                <w:b/>
                <w:bCs/>
                <w:sz w:val="20"/>
                <w:lang w:val="en-GB"/>
              </w:rPr>
              <w:t>FDA</w:t>
            </w:r>
          </w:p>
        </w:tc>
        <w:tc>
          <w:tcPr>
            <w:tcW w:w="708" w:type="dxa"/>
          </w:tcPr>
          <w:p w14:paraId="00830E86" w14:textId="77777777" w:rsidR="0030299E" w:rsidRDefault="0030299E" w:rsidP="007E3807">
            <w:pPr>
              <w:jc w:val="center"/>
              <w:cnfStyle w:val="100000000000" w:firstRow="1" w:lastRow="0" w:firstColumn="0" w:lastColumn="0" w:oddVBand="0" w:evenVBand="0" w:oddHBand="0" w:evenHBand="0" w:firstRowFirstColumn="0" w:firstRowLastColumn="0" w:lastRowFirstColumn="0" w:lastRowLastColumn="0"/>
            </w:pPr>
            <w:r w:rsidRPr="00AE09D0">
              <w:rPr>
                <w:rFonts w:asciiTheme="minorHAnsi" w:hAnsiTheme="minorHAnsi" w:cstheme="minorHAnsi"/>
                <w:b/>
                <w:bCs/>
                <w:sz w:val="20"/>
                <w:lang w:val="en-GB"/>
              </w:rPr>
              <w:t>TGA</w:t>
            </w:r>
          </w:p>
        </w:tc>
        <w:tc>
          <w:tcPr>
            <w:tcW w:w="1560" w:type="dxa"/>
          </w:tcPr>
          <w:p w14:paraId="3ED0DD1B" w14:textId="77777777" w:rsidR="0030299E" w:rsidRDefault="0030299E" w:rsidP="007E3807">
            <w:pPr>
              <w:jc w:val="center"/>
              <w:cnfStyle w:val="100000000000" w:firstRow="1" w:lastRow="0" w:firstColumn="0" w:lastColumn="0" w:oddVBand="0" w:evenVBand="0" w:oddHBand="0" w:evenHBand="0" w:firstRowFirstColumn="0" w:firstRowLastColumn="0" w:lastRowFirstColumn="0" w:lastRowLastColumn="0"/>
            </w:pPr>
            <w:r w:rsidRPr="00AE09D0">
              <w:rPr>
                <w:rFonts w:asciiTheme="minorHAnsi" w:hAnsiTheme="minorHAnsi" w:cstheme="minorHAnsi"/>
                <w:b/>
                <w:bCs/>
                <w:sz w:val="20"/>
                <w:lang w:val="en-GB"/>
              </w:rPr>
              <w:t>Australian Subsidy</w:t>
            </w:r>
          </w:p>
        </w:tc>
      </w:tr>
      <w:tr w:rsidR="0030299E" w14:paraId="7912820A"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BD4C346" w14:textId="25D1C1C5" w:rsidR="0030299E" w:rsidRDefault="00900170" w:rsidP="006055E0">
            <w:r>
              <w:rPr>
                <w:rFonts w:cstheme="minorHAnsi"/>
              </w:rPr>
              <w:t>L</w:t>
            </w:r>
            <w:r w:rsidR="0030299E" w:rsidRPr="00AE09D0">
              <w:rPr>
                <w:rFonts w:cstheme="minorHAnsi"/>
              </w:rPr>
              <w:t>utetium Lu 177 vipivotide tetraxetan</w:t>
            </w:r>
            <w:r>
              <w:rPr>
                <w:rFonts w:cstheme="minorHAnsi"/>
              </w:rPr>
              <w:t xml:space="preserve"> (</w:t>
            </w:r>
            <w:r w:rsidRPr="00AE09D0">
              <w:rPr>
                <w:rFonts w:cstheme="minorHAnsi"/>
              </w:rPr>
              <w:t>Pluvicto®</w:t>
            </w:r>
            <w:r>
              <w:rPr>
                <w:rFonts w:cstheme="minorHAnsi"/>
              </w:rPr>
              <w:t>)</w:t>
            </w:r>
            <w:r w:rsidR="0030299E" w:rsidRPr="00AE09D0">
              <w:rPr>
                <w:rFonts w:cstheme="minorHAnsi"/>
              </w:rPr>
              <w:t>, formerly Lutetium-177 (177Lu)–PSMA-617</w:t>
            </w:r>
            <w:r w:rsidRPr="00AE09D0">
              <w:rPr>
                <w:rFonts w:cstheme="minorHAnsi"/>
              </w:rPr>
              <w:t xml:space="preserve"> </w:t>
            </w:r>
          </w:p>
        </w:tc>
        <w:tc>
          <w:tcPr>
            <w:tcW w:w="3118" w:type="dxa"/>
          </w:tcPr>
          <w:p w14:paraId="0C543BC2" w14:textId="77777777" w:rsidR="0030299E" w:rsidRDefault="0030299E" w:rsidP="006055E0">
            <w:pPr>
              <w:cnfStyle w:val="000000100000" w:firstRow="0" w:lastRow="0" w:firstColumn="0" w:lastColumn="0" w:oddVBand="0" w:evenVBand="0" w:oddHBand="1" w:evenHBand="0" w:firstRowFirstColumn="0" w:firstRowLastColumn="0" w:lastRowFirstColumn="0" w:lastRowLastColumn="0"/>
            </w:pPr>
            <w:r>
              <w:rPr>
                <w:rFonts w:cstheme="minorHAnsi"/>
              </w:rPr>
              <w:t>Adult</w:t>
            </w:r>
            <w:r w:rsidRPr="00AE09D0">
              <w:rPr>
                <w:rFonts w:cstheme="minorHAnsi"/>
              </w:rPr>
              <w:t xml:space="preserve"> patients with PSMA-positive metastatic castration-resistant prostate cancer (mCRPC)</w:t>
            </w:r>
          </w:p>
        </w:tc>
        <w:tc>
          <w:tcPr>
            <w:tcW w:w="709" w:type="dxa"/>
          </w:tcPr>
          <w:p w14:paraId="16854776"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Y</w:t>
            </w:r>
          </w:p>
        </w:tc>
        <w:tc>
          <w:tcPr>
            <w:tcW w:w="851" w:type="dxa"/>
          </w:tcPr>
          <w:p w14:paraId="1213465F"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Y</w:t>
            </w:r>
          </w:p>
        </w:tc>
        <w:tc>
          <w:tcPr>
            <w:tcW w:w="708" w:type="dxa"/>
          </w:tcPr>
          <w:p w14:paraId="087F6F73"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N</w:t>
            </w:r>
          </w:p>
        </w:tc>
        <w:tc>
          <w:tcPr>
            <w:tcW w:w="1560" w:type="dxa"/>
          </w:tcPr>
          <w:p w14:paraId="1BE34674" w14:textId="7AD17AD7" w:rsidR="0030299E" w:rsidRDefault="00990D82" w:rsidP="006F1884">
            <w:pPr>
              <w:jc w:val="center"/>
              <w:cnfStyle w:val="000000100000" w:firstRow="0" w:lastRow="0" w:firstColumn="0" w:lastColumn="0" w:oddVBand="0" w:evenVBand="0" w:oddHBand="1" w:evenHBand="0" w:firstRowFirstColumn="0" w:firstRowLastColumn="0" w:lastRowFirstColumn="0" w:lastRowLastColumn="0"/>
            </w:pPr>
            <w:r>
              <w:rPr>
                <w:rFonts w:cstheme="minorHAnsi"/>
              </w:rPr>
              <w:t>N</w:t>
            </w:r>
          </w:p>
        </w:tc>
      </w:tr>
      <w:tr w:rsidR="0030299E" w14:paraId="3C2FCEE3"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613B8C9" w14:textId="16485DE4" w:rsidR="0030299E" w:rsidRDefault="0030299E" w:rsidP="006055E0">
            <w:r w:rsidRPr="00AE09D0">
              <w:rPr>
                <w:rFonts w:cstheme="minorHAnsi"/>
                <w:color w:val="202124"/>
                <w:shd w:val="clear" w:color="auto" w:fill="FFFFFF"/>
              </w:rPr>
              <w:t>Gallium (68Ga) gozetotide</w:t>
            </w:r>
            <w:r w:rsidR="00BB0FD1">
              <w:rPr>
                <w:rFonts w:cstheme="minorHAnsi"/>
                <w:color w:val="202124"/>
                <w:shd w:val="clear" w:color="auto" w:fill="FFFFFF"/>
              </w:rPr>
              <w:t xml:space="preserve"> (</w:t>
            </w:r>
            <w:r w:rsidR="00BB0FD1" w:rsidRPr="00AE09D0">
              <w:rPr>
                <w:rFonts w:cstheme="minorHAnsi"/>
              </w:rPr>
              <w:t>Locametz®</w:t>
            </w:r>
            <w:r w:rsidRPr="00AE09D0">
              <w:rPr>
                <w:rFonts w:cstheme="minorHAnsi"/>
              </w:rPr>
              <w:t>) (companion diagnostic agent for Pluvicto)</w:t>
            </w:r>
          </w:p>
        </w:tc>
        <w:tc>
          <w:tcPr>
            <w:tcW w:w="3118" w:type="dxa"/>
          </w:tcPr>
          <w:p w14:paraId="4DA4DA4D" w14:textId="77777777" w:rsidR="0030299E" w:rsidRDefault="0030299E" w:rsidP="006055E0">
            <w:pPr>
              <w:cnfStyle w:val="000000010000" w:firstRow="0" w:lastRow="0" w:firstColumn="0" w:lastColumn="0" w:oddVBand="0" w:evenVBand="0" w:oddHBand="0" w:evenHBand="1" w:firstRowFirstColumn="0" w:firstRowLastColumn="0" w:lastRowFirstColumn="0" w:lastRowLastColumn="0"/>
            </w:pPr>
            <w:r w:rsidRPr="00AE09D0">
              <w:rPr>
                <w:rFonts w:cstheme="minorHAnsi"/>
              </w:rPr>
              <w:t xml:space="preserve">Detection of PSMA-positive lesions, including selection of patients with metastatic prostate cancer for whom </w:t>
            </w:r>
            <w:r w:rsidRPr="00AE09D0">
              <w:rPr>
                <w:rFonts w:cstheme="minorHAnsi"/>
                <w:b/>
                <w:bCs/>
              </w:rPr>
              <w:t>Pluvicto</w:t>
            </w:r>
            <w:r w:rsidRPr="00AE09D0">
              <w:rPr>
                <w:rFonts w:cstheme="minorHAnsi"/>
              </w:rPr>
              <w:t xml:space="preserve"> is indicated</w:t>
            </w:r>
          </w:p>
        </w:tc>
        <w:tc>
          <w:tcPr>
            <w:tcW w:w="709" w:type="dxa"/>
          </w:tcPr>
          <w:p w14:paraId="4857894C"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rPr>
              <w:t>Y</w:t>
            </w:r>
          </w:p>
        </w:tc>
        <w:tc>
          <w:tcPr>
            <w:tcW w:w="851" w:type="dxa"/>
          </w:tcPr>
          <w:p w14:paraId="613B13D4"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rPr>
              <w:t>Y</w:t>
            </w:r>
          </w:p>
        </w:tc>
        <w:tc>
          <w:tcPr>
            <w:tcW w:w="708" w:type="dxa"/>
          </w:tcPr>
          <w:p w14:paraId="3274A972"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rPr>
              <w:t>N</w:t>
            </w:r>
          </w:p>
        </w:tc>
        <w:tc>
          <w:tcPr>
            <w:tcW w:w="1560" w:type="dxa"/>
          </w:tcPr>
          <w:p w14:paraId="409556CD"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Pr>
                <w:rFonts w:cstheme="minorHAnsi"/>
                <w:lang w:val="en-GB"/>
              </w:rPr>
              <w:t>N</w:t>
            </w:r>
          </w:p>
        </w:tc>
      </w:tr>
      <w:tr w:rsidR="0030299E" w14:paraId="70FB1E6D" w14:textId="77777777" w:rsidTr="00A80B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120C132" w14:textId="62B05998" w:rsidR="0030299E" w:rsidRDefault="00C41CB8" w:rsidP="006055E0">
            <w:r>
              <w:rPr>
                <w:rFonts w:cstheme="minorHAnsi"/>
              </w:rPr>
              <w:t>L</w:t>
            </w:r>
            <w:r w:rsidR="0030299E" w:rsidRPr="00AE09D0">
              <w:rPr>
                <w:rFonts w:cstheme="minorHAnsi"/>
              </w:rPr>
              <w:t>utetium Lu 177 dotatate or</w:t>
            </w:r>
            <w:r w:rsidR="0030299E" w:rsidRPr="00AE09D0" w:rsidDel="00EE73EE">
              <w:rPr>
                <w:rFonts w:cstheme="minorHAnsi"/>
              </w:rPr>
              <w:t xml:space="preserve"> </w:t>
            </w:r>
            <w:r w:rsidR="0030299E" w:rsidRPr="00AE09D0">
              <w:rPr>
                <w:rFonts w:cstheme="minorHAnsi"/>
              </w:rPr>
              <w:t>LuTate or 177Lu-DOTATATE)</w:t>
            </w:r>
            <w:r>
              <w:rPr>
                <w:rFonts w:cstheme="minorHAnsi"/>
              </w:rPr>
              <w:t xml:space="preserve"> (</w:t>
            </w:r>
            <w:r w:rsidRPr="00AE09D0">
              <w:rPr>
                <w:rFonts w:cstheme="minorHAnsi"/>
              </w:rPr>
              <w:t>Lutathera®</w:t>
            </w:r>
            <w:r>
              <w:rPr>
                <w:rFonts w:cstheme="minorHAnsi"/>
              </w:rPr>
              <w:t>)</w:t>
            </w:r>
          </w:p>
        </w:tc>
        <w:tc>
          <w:tcPr>
            <w:tcW w:w="3118" w:type="dxa"/>
          </w:tcPr>
          <w:p w14:paraId="30A04FC4" w14:textId="77777777" w:rsidR="0030299E" w:rsidRDefault="0030299E" w:rsidP="006055E0">
            <w:pPr>
              <w:cnfStyle w:val="000000100000" w:firstRow="0" w:lastRow="0" w:firstColumn="0" w:lastColumn="0" w:oddVBand="0" w:evenVBand="0" w:oddHBand="1" w:evenHBand="0" w:firstRowFirstColumn="0" w:firstRowLastColumn="0" w:lastRowFirstColumn="0" w:lastRowLastColumn="0"/>
            </w:pPr>
            <w:r>
              <w:rPr>
                <w:rFonts w:cstheme="minorHAnsi"/>
                <w:lang w:val="en-GB"/>
              </w:rPr>
              <w:t>S</w:t>
            </w:r>
            <w:r w:rsidRPr="00AE09D0">
              <w:rPr>
                <w:rFonts w:cstheme="minorHAnsi"/>
                <w:lang w:val="en-GB"/>
              </w:rPr>
              <w:t>omatostatin receptor</w:t>
            </w:r>
            <w:r w:rsidRPr="00AE09D0">
              <w:rPr>
                <w:rFonts w:ascii="Cambria Math" w:hAnsi="Cambria Math" w:cs="Cambria Math"/>
                <w:lang w:val="en-GB"/>
              </w:rPr>
              <w:t>‑</w:t>
            </w:r>
            <w:r w:rsidRPr="00AE09D0">
              <w:rPr>
                <w:rFonts w:cstheme="minorHAnsi"/>
                <w:lang w:val="en-GB"/>
              </w:rPr>
              <w:t xml:space="preserve">positive gastroenteropancreatic (GEP)- NETs </w:t>
            </w:r>
          </w:p>
        </w:tc>
        <w:tc>
          <w:tcPr>
            <w:tcW w:w="709" w:type="dxa"/>
          </w:tcPr>
          <w:p w14:paraId="1120D950"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Y</w:t>
            </w:r>
          </w:p>
        </w:tc>
        <w:tc>
          <w:tcPr>
            <w:tcW w:w="851" w:type="dxa"/>
          </w:tcPr>
          <w:p w14:paraId="343D9400"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Y</w:t>
            </w:r>
          </w:p>
        </w:tc>
        <w:tc>
          <w:tcPr>
            <w:tcW w:w="708" w:type="dxa"/>
          </w:tcPr>
          <w:p w14:paraId="396397D8" w14:textId="6987A1DF" w:rsidR="0030299E" w:rsidRDefault="003326C0" w:rsidP="006F1884">
            <w:pPr>
              <w:jc w:val="center"/>
              <w:cnfStyle w:val="000000100000" w:firstRow="0" w:lastRow="0" w:firstColumn="0" w:lastColumn="0" w:oddVBand="0" w:evenVBand="0" w:oddHBand="1" w:evenHBand="0" w:firstRowFirstColumn="0" w:firstRowLastColumn="0" w:lastRowFirstColumn="0" w:lastRowLastColumn="0"/>
            </w:pPr>
            <w:r>
              <w:rPr>
                <w:rFonts w:cstheme="minorHAnsi"/>
                <w:lang w:val="en-GB"/>
              </w:rPr>
              <w:t>N,</w:t>
            </w:r>
            <w:r w:rsidR="00D53646">
              <w:rPr>
                <w:rFonts w:cstheme="minorHAnsi"/>
                <w:lang w:val="en-GB"/>
              </w:rPr>
              <w:t xml:space="preserve"> </w:t>
            </w:r>
            <w:r w:rsidR="0030299E">
              <w:rPr>
                <w:rFonts w:cstheme="minorHAnsi"/>
                <w:lang w:val="en-GB"/>
              </w:rPr>
              <w:t>SAS</w:t>
            </w:r>
          </w:p>
        </w:tc>
        <w:tc>
          <w:tcPr>
            <w:tcW w:w="1560" w:type="dxa"/>
          </w:tcPr>
          <w:p w14:paraId="3CC51D20" w14:textId="5162885C"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rPr>
              <w:t>N</w:t>
            </w:r>
          </w:p>
        </w:tc>
      </w:tr>
      <w:tr w:rsidR="0030299E" w14:paraId="33E7FFFE" w14:textId="77777777" w:rsidTr="00A80B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CCB3893" w14:textId="3B6CBBFD" w:rsidR="0030299E" w:rsidRDefault="0030299E" w:rsidP="006055E0">
            <w:r w:rsidRPr="00AE09D0">
              <w:rPr>
                <w:rFonts w:cstheme="minorHAnsi"/>
              </w:rPr>
              <w:t xml:space="preserve">Gallium G68 DOTATATE​​ </w:t>
            </w:r>
            <w:r w:rsidR="002723C4">
              <w:rPr>
                <w:rFonts w:cstheme="minorHAnsi"/>
              </w:rPr>
              <w:t>preparation kit (</w:t>
            </w:r>
            <w:r w:rsidR="002723C4" w:rsidRPr="00AE09D0">
              <w:rPr>
                <w:rFonts w:cstheme="minorHAnsi"/>
              </w:rPr>
              <w:t>NETSPOT</w:t>
            </w:r>
            <w:r w:rsidR="002723C4">
              <w:rPr>
                <w:rFonts w:cstheme="minorHAnsi"/>
              </w:rPr>
              <w:t xml:space="preserve">) </w:t>
            </w:r>
            <w:r w:rsidRPr="00AE09D0">
              <w:rPr>
                <w:rFonts w:cstheme="minorHAnsi"/>
              </w:rPr>
              <w:t xml:space="preserve">(companion diagnostic agent for Lutathera/LuTate)  </w:t>
            </w:r>
          </w:p>
        </w:tc>
        <w:tc>
          <w:tcPr>
            <w:tcW w:w="3118" w:type="dxa"/>
          </w:tcPr>
          <w:p w14:paraId="4B465EB5" w14:textId="7C2CC244" w:rsidR="0030299E" w:rsidRDefault="0030299E" w:rsidP="006055E0">
            <w:pP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eastAsia="en-US"/>
              </w:rPr>
              <w:t>Radioactive probe will help locate tumo</w:t>
            </w:r>
            <w:r w:rsidR="00436418">
              <w:rPr>
                <w:rFonts w:cstheme="minorHAnsi"/>
                <w:lang w:val="en-GB" w:eastAsia="en-US"/>
              </w:rPr>
              <w:t>u</w:t>
            </w:r>
            <w:r w:rsidRPr="00AE09D0">
              <w:rPr>
                <w:rFonts w:cstheme="minorHAnsi"/>
                <w:lang w:val="en-GB" w:eastAsia="en-US"/>
              </w:rPr>
              <w:t>rs in adult and pediatric patients with somatostatin receptor positive NETs.</w:t>
            </w:r>
          </w:p>
        </w:tc>
        <w:tc>
          <w:tcPr>
            <w:tcW w:w="709" w:type="dxa"/>
          </w:tcPr>
          <w:p w14:paraId="65AC109B"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rPr>
              <w:t>N</w:t>
            </w:r>
          </w:p>
        </w:tc>
        <w:tc>
          <w:tcPr>
            <w:tcW w:w="851" w:type="dxa"/>
          </w:tcPr>
          <w:p w14:paraId="1505F5C2"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rPr>
              <w:t>Y</w:t>
            </w:r>
          </w:p>
        </w:tc>
        <w:tc>
          <w:tcPr>
            <w:tcW w:w="708" w:type="dxa"/>
          </w:tcPr>
          <w:p w14:paraId="20B1D916"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sidRPr="00AE09D0">
              <w:rPr>
                <w:rFonts w:cstheme="minorHAnsi"/>
                <w:lang w:val="en-GB"/>
              </w:rPr>
              <w:t>N</w:t>
            </w:r>
          </w:p>
        </w:tc>
        <w:tc>
          <w:tcPr>
            <w:tcW w:w="1560" w:type="dxa"/>
          </w:tcPr>
          <w:p w14:paraId="61E1F104" w14:textId="77777777" w:rsidR="0030299E" w:rsidRDefault="0030299E" w:rsidP="006F1884">
            <w:pPr>
              <w:jc w:val="center"/>
              <w:cnfStyle w:val="000000010000" w:firstRow="0" w:lastRow="0" w:firstColumn="0" w:lastColumn="0" w:oddVBand="0" w:evenVBand="0" w:oddHBand="0" w:evenHBand="1" w:firstRowFirstColumn="0" w:firstRowLastColumn="0" w:lastRowFirstColumn="0" w:lastRowLastColumn="0"/>
            </w:pPr>
            <w:r>
              <w:rPr>
                <w:rFonts w:cstheme="minorHAnsi"/>
                <w:lang w:val="en-GB"/>
              </w:rPr>
              <w:t>N</w:t>
            </w:r>
          </w:p>
        </w:tc>
      </w:tr>
      <w:tr w:rsidR="0030299E" w14:paraId="3056649C" w14:textId="77777777" w:rsidTr="00A80BC4">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552" w:type="dxa"/>
          </w:tcPr>
          <w:p w14:paraId="66548F6F" w14:textId="77777777" w:rsidR="0030299E" w:rsidRDefault="0030299E" w:rsidP="006055E0">
            <w:r w:rsidRPr="00AE09D0">
              <w:rPr>
                <w:rFonts w:cstheme="minorHAnsi"/>
                <w:vertAlign w:val="superscript"/>
              </w:rPr>
              <w:t>177</w:t>
            </w:r>
            <w:r w:rsidRPr="00AE09D0">
              <w:rPr>
                <w:rFonts w:cstheme="minorHAnsi"/>
              </w:rPr>
              <w:t>Lutetium (177Lu)- PSMA i&amp;t</w:t>
            </w:r>
          </w:p>
        </w:tc>
        <w:tc>
          <w:tcPr>
            <w:tcW w:w="3118" w:type="dxa"/>
          </w:tcPr>
          <w:p w14:paraId="550F7F32" w14:textId="77777777" w:rsidR="0030299E" w:rsidRDefault="0030299E" w:rsidP="006055E0">
            <w:pPr>
              <w:cnfStyle w:val="000000100000" w:firstRow="0" w:lastRow="0" w:firstColumn="0" w:lastColumn="0" w:oddVBand="0" w:evenVBand="0" w:oddHBand="1" w:evenHBand="0" w:firstRowFirstColumn="0" w:firstRowLastColumn="0" w:lastRowFirstColumn="0" w:lastRowLastColumn="0"/>
            </w:pPr>
            <w:r>
              <w:rPr>
                <w:rFonts w:cstheme="minorHAnsi"/>
                <w:lang w:val="en-GB" w:eastAsia="en-US"/>
              </w:rPr>
              <w:t>M</w:t>
            </w:r>
            <w:r w:rsidRPr="00C53CA0">
              <w:rPr>
                <w:rFonts w:cstheme="minorHAnsi"/>
                <w:lang w:val="en-GB" w:eastAsia="en-US"/>
              </w:rPr>
              <w:t>etastatic castrat</w:t>
            </w:r>
            <w:r>
              <w:rPr>
                <w:rFonts w:cstheme="minorHAnsi"/>
                <w:lang w:val="en-GB" w:eastAsia="en-US"/>
              </w:rPr>
              <w:t>ion-</w:t>
            </w:r>
            <w:r w:rsidRPr="00C53CA0">
              <w:rPr>
                <w:rFonts w:cstheme="minorHAnsi"/>
                <w:lang w:val="en-GB" w:eastAsia="en-US"/>
              </w:rPr>
              <w:t>resistant prostate cancer</w:t>
            </w:r>
          </w:p>
        </w:tc>
        <w:tc>
          <w:tcPr>
            <w:tcW w:w="709" w:type="dxa"/>
          </w:tcPr>
          <w:p w14:paraId="4E8F9441"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N</w:t>
            </w:r>
          </w:p>
        </w:tc>
        <w:tc>
          <w:tcPr>
            <w:tcW w:w="851" w:type="dxa"/>
          </w:tcPr>
          <w:p w14:paraId="75375B73"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lang w:val="en-GB"/>
              </w:rPr>
              <w:t>N</w:t>
            </w:r>
          </w:p>
        </w:tc>
        <w:tc>
          <w:tcPr>
            <w:tcW w:w="708" w:type="dxa"/>
          </w:tcPr>
          <w:p w14:paraId="67BC42CF" w14:textId="7890C3DC" w:rsidR="0030299E" w:rsidRDefault="003326C0" w:rsidP="006F1884">
            <w:pPr>
              <w:jc w:val="center"/>
              <w:cnfStyle w:val="000000100000" w:firstRow="0" w:lastRow="0" w:firstColumn="0" w:lastColumn="0" w:oddVBand="0" w:evenVBand="0" w:oddHBand="1" w:evenHBand="0" w:firstRowFirstColumn="0" w:firstRowLastColumn="0" w:lastRowFirstColumn="0" w:lastRowLastColumn="0"/>
            </w:pPr>
            <w:r>
              <w:rPr>
                <w:rFonts w:cstheme="minorHAnsi"/>
                <w:lang w:val="en-GB"/>
              </w:rPr>
              <w:t>N,</w:t>
            </w:r>
            <w:r w:rsidR="00F16BF5">
              <w:rPr>
                <w:rFonts w:cstheme="minorHAnsi"/>
                <w:lang w:val="en-GB"/>
              </w:rPr>
              <w:t xml:space="preserve"> </w:t>
            </w:r>
            <w:r w:rsidR="0030299E">
              <w:rPr>
                <w:rFonts w:cstheme="minorHAnsi"/>
                <w:lang w:val="en-GB"/>
              </w:rPr>
              <w:t>SAS</w:t>
            </w:r>
          </w:p>
        </w:tc>
        <w:tc>
          <w:tcPr>
            <w:tcW w:w="1560" w:type="dxa"/>
          </w:tcPr>
          <w:p w14:paraId="3C5BFF1A" w14:textId="77777777" w:rsidR="0030299E" w:rsidRDefault="0030299E" w:rsidP="006F1884">
            <w:pPr>
              <w:jc w:val="center"/>
              <w:cnfStyle w:val="000000100000" w:firstRow="0" w:lastRow="0" w:firstColumn="0" w:lastColumn="0" w:oddVBand="0" w:evenVBand="0" w:oddHBand="1" w:evenHBand="0" w:firstRowFirstColumn="0" w:firstRowLastColumn="0" w:lastRowFirstColumn="0" w:lastRowLastColumn="0"/>
            </w:pPr>
            <w:r w:rsidRPr="00AE09D0">
              <w:rPr>
                <w:rFonts w:cstheme="minorHAnsi"/>
              </w:rPr>
              <w:t>Not recommended in Jul 2022 (MSAC)</w:t>
            </w:r>
          </w:p>
        </w:tc>
      </w:tr>
      <w:tr w:rsidR="00AA1E0A" w14:paraId="07F9F042" w14:textId="77777777" w:rsidTr="00A80BC4">
        <w:trPr>
          <w:cnfStyle w:val="000000010000" w:firstRow="0" w:lastRow="0" w:firstColumn="0" w:lastColumn="0" w:oddVBand="0" w:evenVBand="0" w:oddHBand="0" w:evenHBand="1"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552" w:type="dxa"/>
          </w:tcPr>
          <w:p w14:paraId="2B8FEFEA" w14:textId="2465FFB1" w:rsidR="00AA1E0A" w:rsidRPr="000E2B95" w:rsidRDefault="008562B9" w:rsidP="006055E0">
            <w:pPr>
              <w:rPr>
                <w:rFonts w:cstheme="minorHAnsi"/>
              </w:rPr>
            </w:pPr>
            <w:r>
              <w:rPr>
                <w:rFonts w:cstheme="minorHAnsi"/>
              </w:rPr>
              <w:t>F</w:t>
            </w:r>
            <w:r w:rsidRPr="000E2B95">
              <w:rPr>
                <w:rFonts w:cstheme="minorHAnsi"/>
              </w:rPr>
              <w:t>lotufolastat F 18</w:t>
            </w:r>
            <w:r>
              <w:rPr>
                <w:rFonts w:cstheme="minorHAnsi"/>
              </w:rPr>
              <w:t xml:space="preserve"> </w:t>
            </w:r>
            <w:r w:rsidR="00F6777D">
              <w:rPr>
                <w:rFonts w:cstheme="minorHAnsi"/>
              </w:rPr>
              <w:br/>
            </w:r>
            <w:r>
              <w:rPr>
                <w:rFonts w:cstheme="minorHAnsi"/>
              </w:rPr>
              <w:t>(</w:t>
            </w:r>
            <w:r w:rsidR="00884834">
              <w:rPr>
                <w:rFonts w:cstheme="minorHAnsi"/>
              </w:rPr>
              <w:t>Posulma)</w:t>
            </w:r>
          </w:p>
        </w:tc>
        <w:tc>
          <w:tcPr>
            <w:tcW w:w="3118" w:type="dxa"/>
          </w:tcPr>
          <w:p w14:paraId="4BF3B65B" w14:textId="02C8A83D" w:rsidR="00AA1E0A" w:rsidRDefault="00011099" w:rsidP="00011099">
            <w:p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w:t>
            </w:r>
            <w:r w:rsidRPr="00011099">
              <w:rPr>
                <w:rFonts w:cstheme="minorHAnsi"/>
              </w:rPr>
              <w:t>adioactive diagnostic agent indicated for positron emission</w:t>
            </w:r>
            <w:r>
              <w:rPr>
                <w:rFonts w:cstheme="minorHAnsi"/>
              </w:rPr>
              <w:t xml:space="preserve"> </w:t>
            </w:r>
            <w:r w:rsidRPr="00011099">
              <w:rPr>
                <w:rFonts w:cstheme="minorHAnsi"/>
              </w:rPr>
              <w:t>tomography (PET) of prostate-specific membrane antigen (PSMA) positive</w:t>
            </w:r>
            <w:r>
              <w:rPr>
                <w:rFonts w:cstheme="minorHAnsi"/>
              </w:rPr>
              <w:t xml:space="preserve"> </w:t>
            </w:r>
            <w:r w:rsidRPr="00011099">
              <w:rPr>
                <w:rFonts w:cstheme="minorHAnsi"/>
              </w:rPr>
              <w:t>lesions</w:t>
            </w:r>
          </w:p>
        </w:tc>
        <w:tc>
          <w:tcPr>
            <w:tcW w:w="709" w:type="dxa"/>
          </w:tcPr>
          <w:p w14:paraId="5FA78C6F" w14:textId="3C9E4C4D" w:rsidR="00AA1E0A" w:rsidRPr="00AE09D0" w:rsidRDefault="001D030A" w:rsidP="006F188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851" w:type="dxa"/>
          </w:tcPr>
          <w:p w14:paraId="39C37430" w14:textId="3E2E4652" w:rsidR="00AA1E0A" w:rsidRPr="00AE09D0" w:rsidRDefault="00011099" w:rsidP="006F188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Y</w:t>
            </w:r>
          </w:p>
        </w:tc>
        <w:tc>
          <w:tcPr>
            <w:tcW w:w="708" w:type="dxa"/>
          </w:tcPr>
          <w:p w14:paraId="1A4D2490" w14:textId="779BCB53" w:rsidR="00AA1E0A" w:rsidRDefault="00F6777D" w:rsidP="006F188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c>
          <w:tcPr>
            <w:tcW w:w="1560" w:type="dxa"/>
          </w:tcPr>
          <w:p w14:paraId="1C807AF6" w14:textId="1692B306" w:rsidR="00AA1E0A" w:rsidRPr="00AE09D0" w:rsidRDefault="00F6777D" w:rsidP="006F188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w:t>
            </w:r>
          </w:p>
        </w:tc>
      </w:tr>
    </w:tbl>
    <w:p w14:paraId="190EE550" w14:textId="50D06DFE" w:rsidR="0030299E" w:rsidRPr="00AC07A7" w:rsidRDefault="0030299E" w:rsidP="00C50D44">
      <w:pPr>
        <w:pStyle w:val="Caption"/>
      </w:pPr>
      <w:r w:rsidRPr="00C50D44">
        <w:rPr>
          <w:color w:val="auto"/>
        </w:rPr>
        <w:t>Y = registered or funded. N = not registered or funded. SAS =</w:t>
      </w:r>
      <w:r w:rsidR="002A15BF" w:rsidRPr="00C50D44">
        <w:rPr>
          <w:color w:val="auto"/>
        </w:rPr>
        <w:t xml:space="preserve"> TGA</w:t>
      </w:r>
      <w:r w:rsidRPr="00C50D44">
        <w:rPr>
          <w:color w:val="auto"/>
        </w:rPr>
        <w:t xml:space="preserve"> special access scheme.</w:t>
      </w:r>
    </w:p>
    <w:p w14:paraId="17D1AC3B" w14:textId="0A4362F5" w:rsidR="00990D82" w:rsidRDefault="00990D82" w:rsidP="00990D82">
      <w:pPr>
        <w:widowControl w:val="0"/>
        <w:spacing w:line="240" w:lineRule="auto"/>
      </w:pPr>
      <w:bookmarkStart w:id="204" w:name="_Toc128726206"/>
      <w:r>
        <w:t>There are a large number of radiotheranostics in late-stage clinical development (phase 3).</w:t>
      </w:r>
      <w:bookmarkStart w:id="205" w:name="_Ref125716294"/>
      <w:r>
        <w:rPr>
          <w:rStyle w:val="FootnoteReference"/>
        </w:rPr>
        <w:footnoteReference w:id="89"/>
      </w:r>
      <w:bookmarkEnd w:id="205"/>
      <w:r>
        <w:t xml:space="preserve">  Radiotheranostics in development are anticipated to target a larger range of cancers, as well as other diseases.</w:t>
      </w:r>
      <w:r w:rsidRPr="00D16A90">
        <w:rPr>
          <w:vertAlign w:val="superscript"/>
        </w:rPr>
        <w:fldChar w:fldCharType="begin"/>
      </w:r>
      <w:r w:rsidRPr="00D16A90">
        <w:rPr>
          <w:vertAlign w:val="superscript"/>
        </w:rPr>
        <w:instrText xml:space="preserve"> NOTEREF _Ref125716294 \h </w:instrText>
      </w:r>
      <w:r>
        <w:rPr>
          <w:vertAlign w:val="superscript"/>
        </w:rPr>
        <w:instrText xml:space="preserve"> \* MERGEFORMAT </w:instrText>
      </w:r>
      <w:r w:rsidRPr="00D16A90">
        <w:rPr>
          <w:vertAlign w:val="superscript"/>
        </w:rPr>
      </w:r>
      <w:r w:rsidRPr="00D16A90">
        <w:rPr>
          <w:vertAlign w:val="superscript"/>
        </w:rPr>
        <w:fldChar w:fldCharType="separate"/>
      </w:r>
      <w:r w:rsidR="00395B47">
        <w:rPr>
          <w:vertAlign w:val="superscript"/>
        </w:rPr>
        <w:t>88</w:t>
      </w:r>
      <w:r w:rsidRPr="00D16A90">
        <w:rPr>
          <w:vertAlign w:val="superscript"/>
        </w:rPr>
        <w:fldChar w:fldCharType="end"/>
      </w:r>
      <w:r>
        <w:t xml:space="preserve"> Accordingly, the radioligand market is expected to experience significant growth in 2021-2027 driven by increase in cancer prevalence and expansion of the scope of radioligand therapy.</w:t>
      </w:r>
      <w:r w:rsidRPr="00D16A90">
        <w:rPr>
          <w:vertAlign w:val="superscript"/>
        </w:rPr>
        <w:fldChar w:fldCharType="begin"/>
      </w:r>
      <w:r w:rsidRPr="00D16A90">
        <w:rPr>
          <w:vertAlign w:val="superscript"/>
        </w:rPr>
        <w:instrText xml:space="preserve"> NOTEREF _Ref125716294 \h </w:instrText>
      </w:r>
      <w:r>
        <w:rPr>
          <w:vertAlign w:val="superscript"/>
        </w:rPr>
        <w:instrText xml:space="preserve"> \* MERGEFORMAT </w:instrText>
      </w:r>
      <w:r w:rsidRPr="00D16A90">
        <w:rPr>
          <w:vertAlign w:val="superscript"/>
        </w:rPr>
      </w:r>
      <w:r w:rsidRPr="00D16A90">
        <w:rPr>
          <w:vertAlign w:val="superscript"/>
        </w:rPr>
        <w:fldChar w:fldCharType="separate"/>
      </w:r>
      <w:r w:rsidR="00395B47">
        <w:rPr>
          <w:vertAlign w:val="superscript"/>
        </w:rPr>
        <w:t>88</w:t>
      </w:r>
      <w:r w:rsidRPr="00D16A90">
        <w:rPr>
          <w:vertAlign w:val="superscript"/>
        </w:rPr>
        <w:fldChar w:fldCharType="end"/>
      </w:r>
      <w:r>
        <w:t xml:space="preserve">  </w:t>
      </w:r>
    </w:p>
    <w:p w14:paraId="418FFA4F" w14:textId="2CEE5719" w:rsidR="00B22093" w:rsidRDefault="00026EDB" w:rsidP="00C50D44">
      <w:pPr>
        <w:pStyle w:val="Heading3"/>
        <w:ind w:left="709"/>
      </w:pPr>
      <w:r>
        <w:t>Assessment for funding of</w:t>
      </w:r>
      <w:r w:rsidR="00B22093">
        <w:t xml:space="preserve"> </w:t>
      </w:r>
      <w:bookmarkEnd w:id="204"/>
      <w:r w:rsidR="00DA2CB0">
        <w:t>radiotheranostics</w:t>
      </w:r>
      <w:r w:rsidR="00053AB9">
        <w:t xml:space="preserve"> and radiopharmaceuticals generally</w:t>
      </w:r>
    </w:p>
    <w:p w14:paraId="1F54397F" w14:textId="53CE5626" w:rsidR="00E62CDE" w:rsidRDefault="006F3CC4" w:rsidP="00E62CDE">
      <w:r>
        <w:t>Radiopharmaceuticals are assessed by MSAC for funding through the MBS</w:t>
      </w:r>
      <w:r w:rsidR="001C3EFD">
        <w:t xml:space="preserve">. </w:t>
      </w:r>
      <w:r w:rsidR="00E62CDE">
        <w:t>Recent examples of MSAC applications for radiopharmaceuticals include:</w:t>
      </w:r>
    </w:p>
    <w:p w14:paraId="7D2E73C2" w14:textId="3CFF7B3E" w:rsidR="00E62CDE" w:rsidRDefault="00E62CDE" w:rsidP="00C50D44">
      <w:pPr>
        <w:pStyle w:val="ListBullet"/>
        <w:tabs>
          <w:tab w:val="clear" w:pos="360"/>
          <w:tab w:val="num" w:pos="720"/>
        </w:tabs>
        <w:ind w:left="720"/>
      </w:pPr>
      <w:r>
        <w:t xml:space="preserve">1686  - </w:t>
      </w:r>
      <w:r w:rsidRPr="005E4CBF">
        <w:rPr>
          <w:vertAlign w:val="superscript"/>
        </w:rPr>
        <w:t>177</w:t>
      </w:r>
      <w:r w:rsidRPr="00DE2CD4">
        <w:t>Lutetium PSMA i&amp;t</w:t>
      </w:r>
      <w:r w:rsidRPr="00FC18FF">
        <w:t xml:space="preserve"> </w:t>
      </w:r>
      <w:r>
        <w:t>(</w:t>
      </w:r>
      <w:r w:rsidR="009341F8">
        <w:t xml:space="preserve">not </w:t>
      </w:r>
      <w:r w:rsidR="00197297">
        <w:t>supported</w:t>
      </w:r>
      <w:r>
        <w:t xml:space="preserve"> in July 2022)</w:t>
      </w:r>
    </w:p>
    <w:p w14:paraId="3FB51B6D" w14:textId="52B80AB6" w:rsidR="005004FB" w:rsidRDefault="00E62CDE" w:rsidP="00321AD6">
      <w:pPr>
        <w:pStyle w:val="ListBullet"/>
        <w:numPr>
          <w:ilvl w:val="0"/>
          <w:numId w:val="0"/>
        </w:numPr>
        <w:ind w:left="720"/>
      </w:pPr>
      <w:r>
        <w:t xml:space="preserve">1268 - Radium 223 – </w:t>
      </w:r>
      <w:r>
        <w:rPr>
          <w:rFonts w:ascii="Calibri" w:eastAsia="Calibri" w:hAnsi="Calibri" w:cs="Arial"/>
        </w:rPr>
        <w:t xml:space="preserve">castration-resistant prostate cancer patients with symptomatic bone metastases (recommended </w:t>
      </w:r>
      <w:r>
        <w:t>in April 2014)</w:t>
      </w:r>
      <w:r w:rsidR="00C841E8">
        <w:t>.</w:t>
      </w:r>
      <w:r w:rsidR="00471425">
        <w:rPr>
          <w:rStyle w:val="FootnoteReference"/>
        </w:rPr>
        <w:footnoteReference w:id="90"/>
      </w:r>
      <w:r w:rsidR="006F7FF7" w:rsidRPr="006F7FF7">
        <w:rPr>
          <w:rStyle w:val="FootnoteReference"/>
        </w:rPr>
        <w:t xml:space="preserve"> </w:t>
      </w:r>
      <w:r w:rsidR="006F7FF7">
        <w:rPr>
          <w:rStyle w:val="FootnoteReference"/>
        </w:rPr>
        <w:footnoteReference w:id="91"/>
      </w:r>
    </w:p>
    <w:p w14:paraId="15EF7774" w14:textId="56A0CE57" w:rsidR="003607BB" w:rsidRDefault="003607BB" w:rsidP="00C50D44">
      <w:pPr>
        <w:pStyle w:val="ListBullet"/>
        <w:numPr>
          <w:ilvl w:val="0"/>
          <w:numId w:val="0"/>
        </w:numPr>
        <w:ind w:left="720"/>
      </w:pPr>
    </w:p>
    <w:p w14:paraId="7E8803CD" w14:textId="6DC51BA9" w:rsidR="006F7FF7" w:rsidRDefault="005004FB" w:rsidP="00C50D44">
      <w:pPr>
        <w:pStyle w:val="ListBullet"/>
        <w:numPr>
          <w:ilvl w:val="0"/>
          <w:numId w:val="0"/>
        </w:numPr>
      </w:pPr>
      <w:r>
        <w:rPr>
          <w:noProof/>
        </w:rPr>
        <mc:AlternateContent>
          <mc:Choice Requires="wps">
            <w:drawing>
              <wp:inline distT="0" distB="0" distL="0" distR="0" wp14:anchorId="3DC307B3" wp14:editId="1AAABEF7">
                <wp:extent cx="5686425" cy="1404620"/>
                <wp:effectExtent l="0" t="0" r="28575" b="2032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7512E3A4" w14:textId="77777777" w:rsidR="005004FB" w:rsidRDefault="005004FB" w:rsidP="005004FB">
                            <w:pPr>
                              <w:rPr>
                                <w:b/>
                                <w:bCs/>
                              </w:rPr>
                            </w:pPr>
                            <w:r>
                              <w:rPr>
                                <w:b/>
                                <w:bCs/>
                              </w:rPr>
                              <w:t>Radium 223</w:t>
                            </w:r>
                          </w:p>
                          <w:p w14:paraId="70B3F293" w14:textId="77777777" w:rsidR="005004FB" w:rsidRPr="009D3916" w:rsidRDefault="005004FB" w:rsidP="005004FB">
                            <w:pPr>
                              <w:spacing w:before="0"/>
                            </w:pPr>
                            <w:r>
                              <w:t>MSAC supported public funding of Radium 223 at its April 2014 meeting. However, MBS fees for these services are listed in the legislative instrument, as is the requirement for all MBS items. Radium 223 was not listed on the MBS because it was not able to accommodate the special pricing arrangement requested by the sponsor.</w:t>
                            </w:r>
                            <w:r w:rsidRPr="00327595">
                              <w:rPr>
                                <w:vertAlign w:val="superscript"/>
                              </w:rPr>
                              <w:t>102</w:t>
                            </w:r>
                          </w:p>
                          <w:p w14:paraId="426DF61A" w14:textId="77777777" w:rsidR="005004FB" w:rsidRDefault="005004FB" w:rsidP="005004FB">
                            <w:r>
                              <w:rPr>
                                <w:b/>
                                <w:bCs/>
                                <w:vertAlign w:val="superscript"/>
                              </w:rPr>
                              <w:t>177</w:t>
                            </w:r>
                            <w:r>
                              <w:rPr>
                                <w:b/>
                                <w:bCs/>
                              </w:rPr>
                              <w:t xml:space="preserve">Lutetium PSMA i&amp;t </w:t>
                            </w:r>
                          </w:p>
                          <w:p w14:paraId="0F87114D" w14:textId="77777777" w:rsidR="005004FB" w:rsidRDefault="005004FB" w:rsidP="005004FB">
                            <w:pPr>
                              <w:spacing w:before="0"/>
                            </w:pPr>
                            <w:r>
                              <w:t xml:space="preserve">At its July 2022 meeting the Medical Services Advisory Committee considered </w:t>
                            </w:r>
                            <w:r w:rsidRPr="00237BDD">
                              <w:rPr>
                                <w:vertAlign w:val="superscript"/>
                              </w:rPr>
                              <w:t>177</w:t>
                            </w:r>
                            <w:r w:rsidRPr="00237BDD">
                              <w:t>Lutetium PSMA i&amp;t for</w:t>
                            </w:r>
                            <w:r>
                              <w:t xml:space="preserve"> the treatment of</w:t>
                            </w:r>
                            <w:r w:rsidRPr="00237BDD">
                              <w:t xml:space="preserve"> metastatic castrate resistant prostate cancer</w:t>
                            </w:r>
                            <w:r>
                              <w:t>. The application requested MBS listing of:</w:t>
                            </w:r>
                          </w:p>
                          <w:p w14:paraId="4BAF5FE2" w14:textId="77777777" w:rsidR="005004FB" w:rsidRPr="00C841E8" w:rsidRDefault="005004FB" w:rsidP="005004FB">
                            <w:pPr>
                              <w:pStyle w:val="ListParagraph"/>
                              <w:numPr>
                                <w:ilvl w:val="0"/>
                                <w:numId w:val="30"/>
                              </w:numPr>
                            </w:pPr>
                            <w:r w:rsidRPr="00C841E8">
                              <w:t>prostate specific membrane antigen positron emission tomography/computerised tomography (PSMA PET/CT) to determine eligibility for</w:t>
                            </w:r>
                          </w:p>
                          <w:p w14:paraId="21FE41B0" w14:textId="77777777" w:rsidR="005004FB" w:rsidRDefault="005004FB" w:rsidP="005004FB">
                            <w:pPr>
                              <w:pStyle w:val="ListParagraph"/>
                              <w:numPr>
                                <w:ilvl w:val="0"/>
                                <w:numId w:val="30"/>
                              </w:numPr>
                            </w:pPr>
                            <w:r w:rsidRPr="00990D82">
                              <w:rPr>
                                <w:vertAlign w:val="superscript"/>
                              </w:rPr>
                              <w:t>177</w:t>
                            </w:r>
                            <w:r w:rsidRPr="00C841E8">
                              <w:t>Lutetium PSMA imaging and therapy (177Lu PSMA i&amp;t) and 24-hour post-therapy single-photon emission/computed tomography/computerised tomography (SPECT/CT).</w:t>
                            </w:r>
                          </w:p>
                          <w:p w14:paraId="2B84FB42" w14:textId="2D09B72D" w:rsidR="005004FB" w:rsidRDefault="005004FB" w:rsidP="004E30C5">
                            <w:r>
                              <w:t xml:space="preserve">MSAC did not support public funding. </w:t>
                            </w:r>
                            <w:r w:rsidRPr="00C841E8">
                              <w:t xml:space="preserve">MSAC acknowledged the clinical need for this therapy, and that patients prefer it over other last-line options. MSAC also considered it to be a safe and effective therapy option for men with metastatic-resistant prostate cancer who have failed most other standard available therapies. However, MSAC was not convinced that, as proposed and on the basis of the available evidence, </w:t>
                            </w:r>
                            <w:r w:rsidRPr="00990D82">
                              <w:rPr>
                                <w:vertAlign w:val="superscript"/>
                              </w:rPr>
                              <w:t>177</w:t>
                            </w:r>
                            <w:r w:rsidRPr="00C841E8">
                              <w:t>Lutetium PSMA was good value for money.</w:t>
                            </w:r>
                            <w:r>
                              <w:t xml:space="preserve"> </w:t>
                            </w:r>
                          </w:p>
                        </w:txbxContent>
                      </wps:txbx>
                      <wps:bodyPr rot="0" vert="horz" wrap="square" lIns="91440" tIns="45720" rIns="91440" bIns="45720" anchor="t" anchorCtr="0">
                        <a:spAutoFit/>
                      </wps:bodyPr>
                    </wps:wsp>
                  </a:graphicData>
                </a:graphic>
              </wp:inline>
            </w:drawing>
          </mc:Choice>
          <mc:Fallback>
            <w:pict>
              <v:shape w14:anchorId="3DC307B3" id="Text Box 28" o:spid="_x0000_s1035" type="#_x0000_t202" style="width:44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HuLQIAAKMEAAAOAAAAZHJzL2Uyb0RvYy54bWzEVNuO2yAQfa/Uf0C8N3YiJ81acVbbbFNV&#10;2l6k7X4AwThGBYYCiZ1+fQfsZNPuW1WpfkAwA2fmzJnx6rbXihyF8xJMRaeTnBJhONTS7Cv69G37&#10;ZkmJD8zUTIERFT0JT2/Xr1+tOluKGbSgauEIghhfdraibQi2zDLPW6GZn4AVBp0NOM0CHt0+qx3r&#10;EF2rbJbni6wDV1sHXHiP1vvBSdcJv2kED1+axotAVEUxt5BWl9ZdXLP1ipV7x2wr+ZgG+4ssNJMG&#10;g16g7llg5ODkCygtuQMPTZhw0Bk0jeQicUA20/wPNo8tsyJxweJ4eymT/3ew/PPx0X51JPTvoEcB&#10;EwlvH4B/98TApmVmL+6cg64VrMbA01iyrLO+HJ/GUvvSR5Bd9wlqFJkdAiSgvnE6VgV5EkRHAU6X&#10;oos+EI7G+WK5KGZzSjj6pkVeLGZJloyV5+fW+fBBgCZxU1GHqiZ4dnzwIabDyvOVGM2DkvVWKpUO&#10;sZPERjlyZNgDjHNhwkBTHTTmO9iLHL+hG9CMPTOYF2czhkg9GZFSwN+CKEO6it7Mkcb/SUDLgGOk&#10;pK7oMqY8UomavTd1avLApBr2yEWZUcSo26Bg6Hc9kTXSiGWImu6gPqGqDoapwSnHTQvuJyUdTkxF&#10;/Y8Dc4IS9dFgZ9xMiyKOWDoU87coI3HXnt21hxmOUBUNlAzbTUhjmepn77CDtjJp+5zJmDJOQlJg&#10;nNo4atfndOv537L+BQAA//8DAFBLAwQUAAYACAAAACEAqs8AkNsAAAAFAQAADwAAAGRycy9kb3du&#10;cmV2LnhtbEyPQUvDQBCF70L/wzKF3uymC6ltzKaI4MWiaBXP0+yYBHdnQ3bbpP/e1YteBh7v8d43&#10;5W5yVpxpCJ1nDatlBoK49qbjRsP728P1BkSIyAatZ9JwoQC7anZVYmH8yK90PsRGpBIOBWpoY+wL&#10;KUPdksOw9D1x8j794DAmOTTSDDimcmelyrK1dNhxWmixp/uW6q/DyWkwIyqjtmFvn/ePIe9f1M3T&#10;+kPrxXy6uwURaYp/YfjBT+hQJaajP7EJwmpIj8Tfm7zNNs9BHDUotVIgq1L+p6++AQAA//8DAFBL&#10;AQItABQABgAIAAAAIQC2gziS/gAAAOEBAAATAAAAAAAAAAAAAAAAAAAAAABbQ29udGVudF9UeXBl&#10;c10ueG1sUEsBAi0AFAAGAAgAAAAhADj9If/WAAAAlAEAAAsAAAAAAAAAAAAAAAAALwEAAF9yZWxz&#10;Ly5yZWxzUEsBAi0AFAAGAAgAAAAhACeh0e4tAgAAowQAAA4AAAAAAAAAAAAAAAAALgIAAGRycy9l&#10;Mm9Eb2MueG1sUEsBAi0AFAAGAAgAAAAhAKrPAJDbAAAABQEAAA8AAAAAAAAAAAAAAAAAhwQAAGRy&#10;cy9kb3ducmV2LnhtbFBLBQYAAAAABAAEAPMAAACPBQAAAAA=&#10;" fillcolor="#b4c6e7 [1300]" strokecolor="#b4c6e7 [1300]">
                <v:textbox style="mso-fit-shape-to-text:t">
                  <w:txbxContent>
                    <w:p w14:paraId="7512E3A4" w14:textId="77777777" w:rsidR="005004FB" w:rsidRDefault="005004FB" w:rsidP="005004FB">
                      <w:pPr>
                        <w:rPr>
                          <w:b/>
                          <w:bCs/>
                        </w:rPr>
                      </w:pPr>
                      <w:r>
                        <w:rPr>
                          <w:b/>
                          <w:bCs/>
                        </w:rPr>
                        <w:t>Radium 223</w:t>
                      </w:r>
                    </w:p>
                    <w:p w14:paraId="70B3F293" w14:textId="77777777" w:rsidR="005004FB" w:rsidRPr="009D3916" w:rsidRDefault="005004FB" w:rsidP="005004FB">
                      <w:pPr>
                        <w:spacing w:before="0"/>
                      </w:pPr>
                      <w:r>
                        <w:t>MSAC supported public funding of Radium 223 at its April 2014 meeting. However, MBS fees for these services are listed in the legislative instrument, as is the requirement for all MBS items. Radium 223 was not listed on the MBS because it was not able to accommodate the special pricing arrangement requested by the sponsor.</w:t>
                      </w:r>
                      <w:r w:rsidRPr="00327595">
                        <w:rPr>
                          <w:vertAlign w:val="superscript"/>
                        </w:rPr>
                        <w:t>102</w:t>
                      </w:r>
                    </w:p>
                    <w:p w14:paraId="426DF61A" w14:textId="77777777" w:rsidR="005004FB" w:rsidRDefault="005004FB" w:rsidP="005004FB">
                      <w:r>
                        <w:rPr>
                          <w:b/>
                          <w:bCs/>
                          <w:vertAlign w:val="superscript"/>
                        </w:rPr>
                        <w:t>177</w:t>
                      </w:r>
                      <w:r>
                        <w:rPr>
                          <w:b/>
                          <w:bCs/>
                        </w:rPr>
                        <w:t xml:space="preserve">Lutetium PSMA i&amp;t </w:t>
                      </w:r>
                    </w:p>
                    <w:p w14:paraId="0F87114D" w14:textId="77777777" w:rsidR="005004FB" w:rsidRDefault="005004FB" w:rsidP="005004FB">
                      <w:pPr>
                        <w:spacing w:before="0"/>
                      </w:pPr>
                      <w:r>
                        <w:t xml:space="preserve">At its July 2022 meeting the Medical Services Advisory Committee considered </w:t>
                      </w:r>
                      <w:r w:rsidRPr="00237BDD">
                        <w:rPr>
                          <w:vertAlign w:val="superscript"/>
                        </w:rPr>
                        <w:t>177</w:t>
                      </w:r>
                      <w:r w:rsidRPr="00237BDD">
                        <w:t>Lutetium PSMA i&amp;t for</w:t>
                      </w:r>
                      <w:r>
                        <w:t xml:space="preserve"> the treatment of</w:t>
                      </w:r>
                      <w:r w:rsidRPr="00237BDD">
                        <w:t xml:space="preserve"> metastatic castrate resistant prostate cancer</w:t>
                      </w:r>
                      <w:r>
                        <w:t>. The application requested MBS listing of:</w:t>
                      </w:r>
                    </w:p>
                    <w:p w14:paraId="4BAF5FE2" w14:textId="77777777" w:rsidR="005004FB" w:rsidRPr="00C841E8" w:rsidRDefault="005004FB" w:rsidP="005004FB">
                      <w:pPr>
                        <w:pStyle w:val="ListParagraph"/>
                        <w:numPr>
                          <w:ilvl w:val="0"/>
                          <w:numId w:val="30"/>
                        </w:numPr>
                      </w:pPr>
                      <w:r w:rsidRPr="00C841E8">
                        <w:t>prostate specific membrane antigen positron emission tomography/computerised tomography (PSMA PET/CT) to determine eligibility for</w:t>
                      </w:r>
                    </w:p>
                    <w:p w14:paraId="21FE41B0" w14:textId="77777777" w:rsidR="005004FB" w:rsidRDefault="005004FB" w:rsidP="005004FB">
                      <w:pPr>
                        <w:pStyle w:val="ListParagraph"/>
                        <w:numPr>
                          <w:ilvl w:val="0"/>
                          <w:numId w:val="30"/>
                        </w:numPr>
                      </w:pPr>
                      <w:r w:rsidRPr="00990D82">
                        <w:rPr>
                          <w:vertAlign w:val="superscript"/>
                        </w:rPr>
                        <w:t>177</w:t>
                      </w:r>
                      <w:r w:rsidRPr="00C841E8">
                        <w:t>Lutetium PSMA imaging and therapy (177Lu PSMA i&amp;t) and 24-hour post-therapy single-photon emission/computed tomography/computerised tomography (SPECT/CT).</w:t>
                      </w:r>
                    </w:p>
                    <w:p w14:paraId="2B84FB42" w14:textId="2D09B72D" w:rsidR="005004FB" w:rsidRDefault="005004FB" w:rsidP="004E30C5">
                      <w:r>
                        <w:t xml:space="preserve">MSAC did not support public funding. </w:t>
                      </w:r>
                      <w:r w:rsidRPr="00C841E8">
                        <w:t xml:space="preserve">MSAC acknowledged the clinical need for this therapy, and that patients prefer it over other last-line options. MSAC also considered it to be a safe and effective therapy option for men with metastatic-resistant prostate cancer who have failed most other standard available therapies. However, MSAC was not convinced that, as proposed and on the basis of the available evidence, </w:t>
                      </w:r>
                      <w:r w:rsidRPr="00990D82">
                        <w:rPr>
                          <w:vertAlign w:val="superscript"/>
                        </w:rPr>
                        <w:t>177</w:t>
                      </w:r>
                      <w:r w:rsidRPr="00C841E8">
                        <w:t>Lutetium PSMA was good value for money.</w:t>
                      </w:r>
                      <w:r>
                        <w:t xml:space="preserve"> </w:t>
                      </w:r>
                    </w:p>
                  </w:txbxContent>
                </v:textbox>
                <w10:anchorlock/>
              </v:shape>
            </w:pict>
          </mc:Fallback>
        </mc:AlternateContent>
      </w:r>
    </w:p>
    <w:p w14:paraId="17B24993" w14:textId="3315F787" w:rsidR="00C71313" w:rsidRPr="00D90E2A" w:rsidRDefault="00C71313" w:rsidP="00C50D44">
      <w:pPr>
        <w:pStyle w:val="Heading3"/>
        <w:ind w:left="709"/>
      </w:pPr>
      <w:r>
        <w:t xml:space="preserve">Challenges identified for assessment, </w:t>
      </w:r>
      <w:r w:rsidR="00436418">
        <w:t>funding,</w:t>
      </w:r>
      <w:r>
        <w:t xml:space="preserve"> and implementation of theranostics</w:t>
      </w:r>
    </w:p>
    <w:p w14:paraId="1456183B" w14:textId="75F24CFB" w:rsidR="00C71313" w:rsidRDefault="00C71313" w:rsidP="00C71313">
      <w:pPr>
        <w:widowControl w:val="0"/>
        <w:spacing w:line="240" w:lineRule="auto"/>
      </w:pPr>
      <w:r>
        <w:t xml:space="preserve">Barriers to </w:t>
      </w:r>
      <w:bookmarkStart w:id="206" w:name="_Hlk130199586"/>
      <w:r>
        <w:t xml:space="preserve">the implementation of </w:t>
      </w:r>
      <w:bookmarkEnd w:id="206"/>
      <w:r>
        <w:t>radioligand therapies include issues with supply of radioactive isotopes, lack of specialist professionals, hospital capacity and infrastructure needed to deliver this therapy, such as PET scanners</w:t>
      </w:r>
      <w:r w:rsidR="006F3CC4">
        <w:t>, and infrastructure for disposal of radioactive material</w:t>
      </w:r>
      <w:r>
        <w:t>.</w:t>
      </w:r>
      <w:r>
        <w:rPr>
          <w:vertAlign w:val="superscript"/>
        </w:rPr>
        <w:fldChar w:fldCharType="begin"/>
      </w:r>
      <w:r>
        <w:rPr>
          <w:vertAlign w:val="superscript"/>
        </w:rPr>
        <w:instrText xml:space="preserve"> NOTEREF _Ref125716294 \h </w:instrText>
      </w:r>
      <w:r>
        <w:rPr>
          <w:vertAlign w:val="superscript"/>
        </w:rPr>
      </w:r>
      <w:r>
        <w:rPr>
          <w:vertAlign w:val="superscript"/>
        </w:rPr>
        <w:fldChar w:fldCharType="separate"/>
      </w:r>
      <w:r w:rsidR="00395B47">
        <w:rPr>
          <w:vertAlign w:val="superscript"/>
        </w:rPr>
        <w:t>88</w:t>
      </w:r>
      <w:r>
        <w:rPr>
          <w:vertAlign w:val="superscript"/>
        </w:rPr>
        <w:fldChar w:fldCharType="end"/>
      </w:r>
    </w:p>
    <w:p w14:paraId="384B26E2" w14:textId="1694CB70" w:rsidR="00161D57" w:rsidRDefault="00161D57" w:rsidP="00161D57">
      <w:pPr>
        <w:pStyle w:val="Heading2"/>
      </w:pPr>
      <w:bookmarkStart w:id="207" w:name="_Toc158900444"/>
      <w:r>
        <w:t>Other theranostics</w:t>
      </w:r>
      <w:bookmarkEnd w:id="207"/>
    </w:p>
    <w:p w14:paraId="718AC446" w14:textId="2FD04C07" w:rsidR="00330FBE" w:rsidRDefault="00161D57" w:rsidP="00161D57">
      <w:pPr>
        <w:spacing w:after="160"/>
      </w:pPr>
      <w:r w:rsidRPr="00523A64">
        <w:t>Feraheme® (ferumoxytol</w:t>
      </w:r>
      <w:r>
        <w:t>), belonging to the other theranostic categories, is a type of s</w:t>
      </w:r>
      <w:r w:rsidRPr="00CA1C04">
        <w:t>uperparamagnetic iron oxide nanoparticle (SPION)</w:t>
      </w:r>
      <w:r>
        <w:t xml:space="preserve"> with FDA approval. It is</w:t>
      </w:r>
      <w:r w:rsidRPr="00CA1C04">
        <w:t xml:space="preserve"> used for the treatment of iron-deficiency an</w:t>
      </w:r>
      <w:r w:rsidR="00436418">
        <w:t>a</w:t>
      </w:r>
      <w:r w:rsidRPr="00CA1C04">
        <w:t>emia in patients with chronic kidney disease.</w:t>
      </w:r>
      <w:bookmarkStart w:id="208" w:name="_Ref130380727"/>
      <w:r>
        <w:rPr>
          <w:rStyle w:val="FootnoteReference"/>
        </w:rPr>
        <w:footnoteReference w:id="92"/>
      </w:r>
      <w:bookmarkEnd w:id="208"/>
      <w:r w:rsidRPr="00CA1C04">
        <w:t xml:space="preserve"> However, ferumoxytol is also being used off-label as an MRI angiography agent in patients with renal failure who cannot be given gadolinium and in clinical trials for the characterization and mapping of metastatic lymph nodes and hepatic masses.</w:t>
      </w:r>
      <w:r w:rsidRPr="009846A4">
        <w:rPr>
          <w:vertAlign w:val="superscript"/>
        </w:rPr>
        <w:fldChar w:fldCharType="begin"/>
      </w:r>
      <w:r w:rsidRPr="009846A4">
        <w:rPr>
          <w:vertAlign w:val="superscript"/>
        </w:rPr>
        <w:instrText xml:space="preserve"> NOTEREF _Ref130380727 \h </w:instrText>
      </w:r>
      <w:r>
        <w:rPr>
          <w:vertAlign w:val="superscript"/>
        </w:rPr>
        <w:instrText xml:space="preserve"> \* MERGEFORMAT </w:instrText>
      </w:r>
      <w:r w:rsidRPr="009846A4">
        <w:rPr>
          <w:vertAlign w:val="superscript"/>
        </w:rPr>
      </w:r>
      <w:r w:rsidRPr="009846A4">
        <w:rPr>
          <w:vertAlign w:val="superscript"/>
        </w:rPr>
        <w:fldChar w:fldCharType="separate"/>
      </w:r>
      <w:r w:rsidR="00395B47">
        <w:rPr>
          <w:vertAlign w:val="superscript"/>
        </w:rPr>
        <w:t>91</w:t>
      </w:r>
      <w:r w:rsidRPr="009846A4">
        <w:rPr>
          <w:vertAlign w:val="superscript"/>
        </w:rPr>
        <w:fldChar w:fldCharType="end"/>
      </w:r>
      <w:r>
        <w:t xml:space="preserve"> FerroTrace</w:t>
      </w:r>
      <w:r w:rsidRPr="00523A64">
        <w:t>®</w:t>
      </w:r>
      <w:r>
        <w:t xml:space="preserve"> is a new type of SPION tracer, currently in clinical trials.</w:t>
      </w:r>
      <w:r>
        <w:rPr>
          <w:rStyle w:val="FootnoteReference"/>
        </w:rPr>
        <w:footnoteReference w:id="93"/>
      </w:r>
    </w:p>
    <w:p w14:paraId="25A90956" w14:textId="77777777" w:rsidR="00330FBE" w:rsidRDefault="00330FBE">
      <w:pPr>
        <w:spacing w:before="0" w:after="160"/>
      </w:pPr>
      <w:r>
        <w:br w:type="page"/>
      </w:r>
    </w:p>
    <w:p w14:paraId="2086C9C5" w14:textId="02B3FC7E" w:rsidR="00D10798" w:rsidRDefault="000B0005" w:rsidP="00321AD6">
      <w:pPr>
        <w:pStyle w:val="Heading1"/>
        <w:ind w:left="426"/>
      </w:pPr>
      <w:bookmarkStart w:id="209" w:name="_Toc158900445"/>
      <w:r>
        <w:t>Medicine linked d</w:t>
      </w:r>
      <w:r w:rsidR="000C6AA5">
        <w:t>igital</w:t>
      </w:r>
      <w:r w:rsidR="003F112D">
        <w:t xml:space="preserve"> health technologies</w:t>
      </w:r>
      <w:bookmarkEnd w:id="209"/>
    </w:p>
    <w:p w14:paraId="23C65F90" w14:textId="1D3B4126" w:rsidR="00667C5F" w:rsidRDefault="00667C5F" w:rsidP="00667C5F">
      <w:r>
        <w:t xml:space="preserve">Digital health is an umbrella term referring to a range of technologies that can be used to treat patients and collect and share a person’s health information. </w:t>
      </w:r>
      <w:r w:rsidR="00455C93">
        <w:t>D</w:t>
      </w:r>
      <w:r>
        <w:t>igital health has a broad scope, and includes:</w:t>
      </w:r>
    </w:p>
    <w:p w14:paraId="0C4CD44F" w14:textId="77777777" w:rsidR="00667C5F" w:rsidRDefault="00667C5F" w:rsidP="00321AD6">
      <w:pPr>
        <w:pStyle w:val="ListBullet"/>
        <w:tabs>
          <w:tab w:val="clear" w:pos="360"/>
          <w:tab w:val="num" w:pos="720"/>
        </w:tabs>
        <w:ind w:left="720"/>
      </w:pPr>
      <w:r>
        <w:t>mobile health and applications (such as SMS reminders via mobile messaging, wellness apps, Medicare Online and COVID check-in apps)</w:t>
      </w:r>
    </w:p>
    <w:p w14:paraId="7A7988A1" w14:textId="77777777" w:rsidR="00667C5F" w:rsidRDefault="00667C5F" w:rsidP="00321AD6">
      <w:pPr>
        <w:pStyle w:val="ListBullet"/>
        <w:ind w:left="720"/>
      </w:pPr>
      <w:r>
        <w:t>electronic prescribing</w:t>
      </w:r>
    </w:p>
    <w:p w14:paraId="237B6F97" w14:textId="77777777" w:rsidR="00667C5F" w:rsidRDefault="00667C5F" w:rsidP="00321AD6">
      <w:pPr>
        <w:pStyle w:val="ListBullet"/>
        <w:ind w:left="720"/>
      </w:pPr>
      <w:r>
        <w:t>electronic health records (including My Health Record)</w:t>
      </w:r>
    </w:p>
    <w:p w14:paraId="5174CB4C" w14:textId="77777777" w:rsidR="00667C5F" w:rsidRDefault="00667C5F" w:rsidP="00321AD6">
      <w:pPr>
        <w:pStyle w:val="ListBullet"/>
        <w:ind w:left="720"/>
      </w:pPr>
      <w:r>
        <w:t>telehealth and telemedicine</w:t>
      </w:r>
    </w:p>
    <w:p w14:paraId="08A7FB7A" w14:textId="77777777" w:rsidR="00667C5F" w:rsidRDefault="00667C5F" w:rsidP="00321AD6">
      <w:pPr>
        <w:pStyle w:val="ListBullet"/>
        <w:ind w:left="720"/>
      </w:pPr>
      <w:r>
        <w:t>wearable devices (such as fitness trackers and monitors)</w:t>
      </w:r>
    </w:p>
    <w:p w14:paraId="5A3DB9AF" w14:textId="618E65A7" w:rsidR="00667C5F" w:rsidRDefault="00667C5F" w:rsidP="00321AD6">
      <w:pPr>
        <w:pStyle w:val="ListBullet"/>
        <w:ind w:left="720"/>
      </w:pPr>
      <w:r>
        <w:t>robotics and artificial intelligence.</w:t>
      </w:r>
      <w:r>
        <w:rPr>
          <w:rStyle w:val="FootnoteReference"/>
        </w:rPr>
        <w:footnoteReference w:id="94"/>
      </w:r>
      <w:r w:rsidRPr="000B0005">
        <w:t xml:space="preserve"> </w:t>
      </w:r>
    </w:p>
    <w:p w14:paraId="327780B4" w14:textId="7900DEBD" w:rsidR="00667C5F" w:rsidRDefault="00455C93" w:rsidP="00667C5F">
      <w:r>
        <w:t>There are a</w:t>
      </w:r>
      <w:r w:rsidR="00593112">
        <w:t xml:space="preserve"> growing</w:t>
      </w:r>
      <w:r>
        <w:t xml:space="preserve"> number of d</w:t>
      </w:r>
      <w:r w:rsidR="00667C5F">
        <w:t>igital</w:t>
      </w:r>
      <w:r w:rsidR="00667C5F" w:rsidRPr="00667C5F">
        <w:t xml:space="preserve"> health technologies that </w:t>
      </w:r>
      <w:r w:rsidR="00593112">
        <w:t xml:space="preserve">can </w:t>
      </w:r>
      <w:r w:rsidR="00006291">
        <w:t>impact the assessed</w:t>
      </w:r>
      <w:r w:rsidR="00667C5F" w:rsidRPr="00667C5F">
        <w:t xml:space="preserve"> safety</w:t>
      </w:r>
      <w:r w:rsidR="00667C5F">
        <w:t xml:space="preserve"> and </w:t>
      </w:r>
      <w:r w:rsidR="00667C5F" w:rsidRPr="00667C5F">
        <w:t>effectiveness</w:t>
      </w:r>
      <w:r>
        <w:t xml:space="preserve"> of the</w:t>
      </w:r>
      <w:r w:rsidR="00667C5F" w:rsidRPr="00667C5F">
        <w:t xml:space="preserve"> therapies</w:t>
      </w:r>
      <w:r>
        <w:t xml:space="preserve"> and </w:t>
      </w:r>
      <w:r w:rsidR="00667C5F" w:rsidRPr="00667C5F">
        <w:t>medicines</w:t>
      </w:r>
      <w:r>
        <w:t xml:space="preserve"> that are in scope for the HTA Review</w:t>
      </w:r>
      <w:r w:rsidR="00667C5F" w:rsidRPr="00667C5F">
        <w:t>.</w:t>
      </w:r>
      <w:r w:rsidR="00667C5F">
        <w:t xml:space="preserve"> </w:t>
      </w:r>
      <w:r w:rsidR="00593112">
        <w:t xml:space="preserve">They can do this </w:t>
      </w:r>
      <w:r w:rsidR="00D75361">
        <w:t>in a number of ways</w:t>
      </w:r>
      <w:r w:rsidR="00A811A7">
        <w:t>,</w:t>
      </w:r>
      <w:r w:rsidR="00D75361">
        <w:t xml:space="preserve"> including </w:t>
      </w:r>
      <w:r w:rsidR="00593112">
        <w:t xml:space="preserve">through improving diagnosis, </w:t>
      </w:r>
      <w:r w:rsidR="00A70B6A">
        <w:t xml:space="preserve">improving </w:t>
      </w:r>
      <w:r w:rsidR="00593112">
        <w:t>selection of therapies</w:t>
      </w:r>
      <w:r w:rsidR="00A70B6A">
        <w:t xml:space="preserve"> to treat conditions</w:t>
      </w:r>
      <w:r w:rsidR="00A71A11">
        <w:t>,</w:t>
      </w:r>
      <w:r w:rsidR="00A70B6A">
        <w:t xml:space="preserve"> improving</w:t>
      </w:r>
      <w:r w:rsidR="00593112">
        <w:t xml:space="preserve"> delivery of therapies</w:t>
      </w:r>
      <w:r w:rsidR="00D75361">
        <w:t xml:space="preserve"> and improving </w:t>
      </w:r>
      <w:r w:rsidR="00D5546D">
        <w:t>adherence</w:t>
      </w:r>
      <w:r w:rsidR="00A71A11">
        <w:t xml:space="preserve"> and providing alternative measures of health outcomes</w:t>
      </w:r>
      <w:r w:rsidR="00593112">
        <w:t xml:space="preserve">. </w:t>
      </w:r>
    </w:p>
    <w:p w14:paraId="7CBE68E5" w14:textId="4F8D3513" w:rsidR="000B0005" w:rsidRDefault="008547B5" w:rsidP="00D10798">
      <w:r>
        <w:t xml:space="preserve">The Therapeutic Goods Administration </w:t>
      </w:r>
      <w:r w:rsidR="00006291">
        <w:t>regulates some</w:t>
      </w:r>
      <w:r>
        <w:t xml:space="preserve"> digital health technologies </w:t>
      </w:r>
      <w:r w:rsidR="000B0005">
        <w:t xml:space="preserve">where they </w:t>
      </w:r>
      <w:r w:rsidR="00A11818">
        <w:t xml:space="preserve">meet </w:t>
      </w:r>
      <w:r w:rsidR="000B0005">
        <w:t xml:space="preserve">the definition of a medical device under section 41BD of the </w:t>
      </w:r>
      <w:r w:rsidR="000B0005">
        <w:rPr>
          <w:i/>
          <w:iCs/>
        </w:rPr>
        <w:t>Therapeutic Goods Act 1989</w:t>
      </w:r>
      <w:r w:rsidR="000B0005">
        <w:t>.</w:t>
      </w:r>
      <w:r w:rsidR="006D690B" w:rsidRPr="006D690B">
        <w:rPr>
          <w:vertAlign w:val="superscript"/>
        </w:rPr>
        <w:t>91</w:t>
      </w:r>
      <w:r w:rsidR="000B0005" w:rsidRPr="006D690B">
        <w:rPr>
          <w:vertAlign w:val="superscript"/>
        </w:rPr>
        <w:t xml:space="preserve"> </w:t>
      </w:r>
    </w:p>
    <w:p w14:paraId="50B887F2" w14:textId="6201EA66" w:rsidR="004239E7" w:rsidRDefault="004239E7" w:rsidP="00321AD6">
      <w:pPr>
        <w:pStyle w:val="Heading3"/>
        <w:ind w:left="709"/>
      </w:pPr>
      <w:r>
        <w:t>Types of digital health technologies</w:t>
      </w:r>
      <w:r w:rsidR="00A11818">
        <w:t xml:space="preserve"> that can </w:t>
      </w:r>
      <w:r w:rsidR="00A811A7">
        <w:t>impact the safety and effectiveness of other therapies</w:t>
      </w:r>
    </w:p>
    <w:p w14:paraId="455717ED" w14:textId="1A409E01" w:rsidR="004239E7" w:rsidRDefault="004239E7" w:rsidP="00D10798">
      <w:r>
        <w:t>The types and varieties of digital health technologies</w:t>
      </w:r>
      <w:r w:rsidR="00A71A11">
        <w:t xml:space="preserve"> that can impact the safety and effectiveness of other therapies</w:t>
      </w:r>
      <w:r>
        <w:t xml:space="preserve"> are broad. Some of the main categories are </w:t>
      </w:r>
      <w:r w:rsidR="00A71A11">
        <w:t>described</w:t>
      </w:r>
      <w:r>
        <w:t xml:space="preserve"> below</w:t>
      </w:r>
      <w:r w:rsidR="002249A8">
        <w:t>.</w:t>
      </w:r>
    </w:p>
    <w:p w14:paraId="2338E21D" w14:textId="757259D5" w:rsidR="00A71A11" w:rsidRDefault="00A71A11" w:rsidP="00A71A11">
      <w:pPr>
        <w:pStyle w:val="Heading4"/>
      </w:pPr>
      <w:r>
        <w:t>Medication adherence applications</w:t>
      </w:r>
    </w:p>
    <w:p w14:paraId="3EED3B30" w14:textId="54A58AD2" w:rsidR="00A71A11" w:rsidRDefault="00A71A11" w:rsidP="00A71A11">
      <w:r>
        <w:t xml:space="preserve">The main function of </w:t>
      </w:r>
      <w:r w:rsidR="00F40EBB">
        <w:t>medication adherence</w:t>
      </w:r>
      <w:r>
        <w:t xml:space="preserve"> applications is to remind patients to take their medicines. However, they can also include other supports that have potential to increase adherence, such as educational resources and dosage instructions. This supports quality use of medicines and can improve health outcomes associated with particular medications.</w:t>
      </w:r>
    </w:p>
    <w:p w14:paraId="2CB451D4" w14:textId="73CB2133" w:rsidR="00A71A11" w:rsidRDefault="00A71A11" w:rsidP="00A71A11">
      <w:pPr>
        <w:pStyle w:val="Heading4"/>
      </w:pPr>
      <w:r>
        <w:t>Electronic health records</w:t>
      </w:r>
    </w:p>
    <w:p w14:paraId="52C59CEF" w14:textId="5C5F7F7F" w:rsidR="00A71A11" w:rsidRDefault="00A71A11" w:rsidP="00A71A11">
      <w:r>
        <w:t>When maintained, electronic health records provide prescribers information about patients’ history of diagnoses, medications and allergies. This can improve the safety of medi</w:t>
      </w:r>
      <w:r w:rsidR="00E05BA5">
        <w:t>cines</w:t>
      </w:r>
      <w:r w:rsidR="006F362E">
        <w:t xml:space="preserve"> by identifying contraindications</w:t>
      </w:r>
      <w:r>
        <w:t xml:space="preserve"> and </w:t>
      </w:r>
      <w:r w:rsidR="00F40EBB">
        <w:t>preventing</w:t>
      </w:r>
      <w:r>
        <w:t xml:space="preserve"> drug interactions.</w:t>
      </w:r>
    </w:p>
    <w:p w14:paraId="7D07B1EA" w14:textId="19BA31BE" w:rsidR="00A71A11" w:rsidRDefault="00F40EBB" w:rsidP="00A71A11">
      <w:pPr>
        <w:pStyle w:val="Heading4"/>
      </w:pPr>
      <w:r>
        <w:t xml:space="preserve">Computerised </w:t>
      </w:r>
      <w:r w:rsidR="00507144">
        <w:t>clinical</w:t>
      </w:r>
      <w:r w:rsidR="00A71A11">
        <w:t xml:space="preserve"> decision support systems</w:t>
      </w:r>
    </w:p>
    <w:p w14:paraId="5A6181C7" w14:textId="47861817" w:rsidR="00A71A11" w:rsidRPr="00A71A11" w:rsidRDefault="00F40EBB" w:rsidP="00A71A11">
      <w:r>
        <w:t xml:space="preserve">Clinical decision support systems comprise software that is designed to support clinical decision-making. </w:t>
      </w:r>
      <w:r w:rsidR="00D86FF1">
        <w:t>Their functions are broad and can include diagnosis, prognosis, prescription, and determination treatment suitability.</w:t>
      </w:r>
      <w:r>
        <w:t xml:space="preserve"> </w:t>
      </w:r>
      <w:r w:rsidR="00D86FF1">
        <w:t>These systems are increasingly using artificial intelligence and large datasets</w:t>
      </w:r>
      <w:r w:rsidR="00D93B1D">
        <w:t xml:space="preserve"> (particularly in imaging fields)</w:t>
      </w:r>
      <w:r w:rsidR="00D86FF1">
        <w:t xml:space="preserve"> </w:t>
      </w:r>
      <w:r w:rsidR="00D93B1D">
        <w:t>to improve diagnoses and determine the most appropriate treatments.</w:t>
      </w:r>
      <w:r w:rsidR="00D93B1D" w:rsidRPr="006F362E">
        <w:rPr>
          <w:vertAlign w:val="superscript"/>
        </w:rPr>
        <w:footnoteReference w:id="95"/>
      </w:r>
      <w:r w:rsidR="00D93B1D">
        <w:t xml:space="preserve">  </w:t>
      </w:r>
    </w:p>
    <w:p w14:paraId="628EF386" w14:textId="4F6C3920" w:rsidR="00D10798" w:rsidRPr="00B44CB0" w:rsidRDefault="00D93B1D" w:rsidP="00B44CB0">
      <w:pPr>
        <w:pStyle w:val="Heading4"/>
      </w:pPr>
      <w:r>
        <w:t>H</w:t>
      </w:r>
      <w:r w:rsidR="00D10798" w:rsidRPr="00B44CB0">
        <w:t>ealth monitoring devices</w:t>
      </w:r>
    </w:p>
    <w:p w14:paraId="56CE8784" w14:textId="3CF07E7C" w:rsidR="00D93B1D" w:rsidRDefault="00D93B1D" w:rsidP="006F362E">
      <w:pPr>
        <w:pStyle w:val="5Bodytext"/>
        <w:spacing w:before="0" w:after="0" w:line="259" w:lineRule="auto"/>
        <w:rPr>
          <w:rFonts w:asciiTheme="minorHAnsi" w:hAnsiTheme="minorHAnsi"/>
          <w:sz w:val="22"/>
          <w:szCs w:val="22"/>
        </w:rPr>
      </w:pPr>
      <w:r>
        <w:rPr>
          <w:rFonts w:asciiTheme="minorHAnsi" w:hAnsiTheme="minorHAnsi"/>
          <w:sz w:val="22"/>
          <w:szCs w:val="22"/>
        </w:rPr>
        <w:t>A number of devices have been developed that monitor patient</w:t>
      </w:r>
      <w:r w:rsidR="006F362E">
        <w:rPr>
          <w:rFonts w:asciiTheme="minorHAnsi" w:hAnsiTheme="minorHAnsi"/>
          <w:sz w:val="22"/>
          <w:szCs w:val="22"/>
        </w:rPr>
        <w:t>s’</w:t>
      </w:r>
      <w:r>
        <w:rPr>
          <w:rFonts w:asciiTheme="minorHAnsi" w:hAnsiTheme="minorHAnsi"/>
          <w:sz w:val="22"/>
          <w:szCs w:val="22"/>
        </w:rPr>
        <w:t xml:space="preserve"> treatment response. These devices can monitor patients’ vital signs</w:t>
      </w:r>
      <w:r w:rsidR="006F362E">
        <w:rPr>
          <w:rFonts w:asciiTheme="minorHAnsi" w:hAnsiTheme="minorHAnsi"/>
          <w:sz w:val="22"/>
          <w:szCs w:val="22"/>
        </w:rPr>
        <w:t xml:space="preserve"> or particular biomarkers</w:t>
      </w:r>
      <w:r>
        <w:rPr>
          <w:rFonts w:asciiTheme="minorHAnsi" w:hAnsiTheme="minorHAnsi"/>
          <w:sz w:val="22"/>
          <w:szCs w:val="22"/>
        </w:rPr>
        <w:t xml:space="preserve"> and can alert</w:t>
      </w:r>
      <w:r w:rsidR="006F362E">
        <w:rPr>
          <w:rFonts w:asciiTheme="minorHAnsi" w:hAnsiTheme="minorHAnsi"/>
          <w:sz w:val="22"/>
          <w:szCs w:val="22"/>
        </w:rPr>
        <w:t xml:space="preserve"> patients and</w:t>
      </w:r>
      <w:r>
        <w:rPr>
          <w:rFonts w:asciiTheme="minorHAnsi" w:hAnsiTheme="minorHAnsi"/>
          <w:sz w:val="22"/>
          <w:szCs w:val="22"/>
        </w:rPr>
        <w:t xml:space="preserve"> health care professionals about changes to a patient’s health status.</w:t>
      </w:r>
      <w:r w:rsidR="006F362E">
        <w:rPr>
          <w:rFonts w:asciiTheme="minorHAnsi" w:hAnsiTheme="minorHAnsi"/>
          <w:sz w:val="22"/>
          <w:szCs w:val="22"/>
        </w:rPr>
        <w:t xml:space="preserve"> Health monitoring devices can aid decision making about appropriate treatments and dosages, and can be linked to drug delivery devices (such as insulin pumps).</w:t>
      </w:r>
      <w:r>
        <w:rPr>
          <w:rFonts w:asciiTheme="minorHAnsi" w:hAnsiTheme="minorHAnsi"/>
          <w:sz w:val="22"/>
          <w:szCs w:val="22"/>
        </w:rPr>
        <w:t xml:space="preserve"> These include devices</w:t>
      </w:r>
      <w:r w:rsidR="006F362E">
        <w:rPr>
          <w:rFonts w:asciiTheme="minorHAnsi" w:hAnsiTheme="minorHAnsi"/>
          <w:sz w:val="22"/>
          <w:szCs w:val="22"/>
        </w:rPr>
        <w:t xml:space="preserve"> that</w:t>
      </w:r>
      <w:r>
        <w:rPr>
          <w:rFonts w:asciiTheme="minorHAnsi" w:hAnsiTheme="minorHAnsi"/>
          <w:sz w:val="22"/>
          <w:szCs w:val="22"/>
        </w:rPr>
        <w:t>:</w:t>
      </w:r>
    </w:p>
    <w:p w14:paraId="2121524B" w14:textId="003EC313" w:rsidR="00D10798" w:rsidRPr="00B95EAD" w:rsidRDefault="00D10798" w:rsidP="00321AD6">
      <w:pPr>
        <w:pStyle w:val="ListBullet"/>
        <w:tabs>
          <w:tab w:val="clear" w:pos="360"/>
          <w:tab w:val="num" w:pos="720"/>
        </w:tabs>
        <w:ind w:left="720"/>
      </w:pPr>
      <w:r w:rsidRPr="00B95EAD">
        <w:t xml:space="preserve">predict cardiovascular events and health outcomes - which could be used in association with a therapy to assess treatment response and identify any safety issues. </w:t>
      </w:r>
    </w:p>
    <w:p w14:paraId="165ECF54" w14:textId="036AC146" w:rsidR="00D10798" w:rsidRPr="00E7003F" w:rsidRDefault="006F362E" w:rsidP="00321AD6">
      <w:pPr>
        <w:pStyle w:val="ListBullet"/>
        <w:tabs>
          <w:tab w:val="clear" w:pos="360"/>
          <w:tab w:val="num" w:pos="720"/>
        </w:tabs>
        <w:ind w:left="720"/>
      </w:pPr>
      <w:r>
        <w:t xml:space="preserve">assist </w:t>
      </w:r>
      <w:r w:rsidR="00D10798" w:rsidRPr="00E7003F">
        <w:t>evaluation of therapeutic effect of anti-parkinsonian drugs</w:t>
      </w:r>
    </w:p>
    <w:p w14:paraId="4E449950" w14:textId="6E7C659A" w:rsidR="00D10798" w:rsidRDefault="00D10798" w:rsidP="00321AD6">
      <w:pPr>
        <w:pStyle w:val="ListBullet"/>
        <w:tabs>
          <w:tab w:val="clear" w:pos="360"/>
          <w:tab w:val="num" w:pos="720"/>
        </w:tabs>
        <w:ind w:left="720"/>
      </w:pPr>
      <w:r w:rsidRPr="00E7003F">
        <w:t>monitor inhaler utilisation in asthma</w:t>
      </w:r>
      <w:r w:rsidR="006F362E">
        <w:t>.</w:t>
      </w:r>
    </w:p>
    <w:p w14:paraId="3552BBDC" w14:textId="406DE664" w:rsidR="006F362E" w:rsidRPr="00E7003F" w:rsidRDefault="00FD73ED" w:rsidP="00321AD6">
      <w:pPr>
        <w:pStyle w:val="ListBullet"/>
        <w:tabs>
          <w:tab w:val="clear" w:pos="360"/>
          <w:tab w:val="num" w:pos="720"/>
        </w:tabs>
        <w:ind w:left="720"/>
      </w:pPr>
      <w:r>
        <w:t>c</w:t>
      </w:r>
      <w:r w:rsidR="006F362E">
        <w:t>ontinuous glucose monitoring</w:t>
      </w:r>
      <w:r>
        <w:t xml:space="preserve">. </w:t>
      </w:r>
    </w:p>
    <w:p w14:paraId="1E80081F" w14:textId="7D051BE7" w:rsidR="00B95EAD" w:rsidRDefault="006F362E" w:rsidP="005873E2">
      <w:pPr>
        <w:pStyle w:val="Heading4"/>
      </w:pPr>
      <w:r>
        <w:t>A</w:t>
      </w:r>
      <w:r w:rsidR="00D10798" w:rsidRPr="00E7003F">
        <w:t>lgorithms</w:t>
      </w:r>
      <w:r w:rsidR="00D10798">
        <w:t xml:space="preserve"> f</w:t>
      </w:r>
      <w:r w:rsidR="00D10798" w:rsidRPr="00040968">
        <w:t xml:space="preserve">or assessing cancer recurrence risk </w:t>
      </w:r>
      <w:r w:rsidR="00D10798">
        <w:t xml:space="preserve">and treatment response </w:t>
      </w:r>
      <w:r w:rsidR="00D10798" w:rsidRPr="00040968">
        <w:t xml:space="preserve">based on genomic profiling </w:t>
      </w:r>
      <w:r w:rsidR="00D10798">
        <w:t>(</w:t>
      </w:r>
      <w:r w:rsidR="00D10798" w:rsidRPr="00040968">
        <w:t xml:space="preserve">e.g. </w:t>
      </w:r>
      <w:r w:rsidR="00D10798" w:rsidRPr="004652A3">
        <w:t>EndoPredict®</w:t>
      </w:r>
      <w:r w:rsidR="00D10798">
        <w:t xml:space="preserve">, </w:t>
      </w:r>
      <w:r w:rsidR="00D10798" w:rsidRPr="002E34CB">
        <w:t>Oncotype DX®</w:t>
      </w:r>
      <w:r w:rsidR="00D10798">
        <w:t xml:space="preserve"> and </w:t>
      </w:r>
      <w:r w:rsidR="00D10798" w:rsidRPr="00E45F0E">
        <w:t>MammaPrint</w:t>
      </w:r>
      <w:r w:rsidR="00D10798">
        <w:t xml:space="preserve">). </w:t>
      </w:r>
    </w:p>
    <w:p w14:paraId="480C6DF2" w14:textId="6D85CEFE" w:rsidR="006F362E" w:rsidRPr="006F362E" w:rsidRDefault="006F362E" w:rsidP="006F362E">
      <w:r>
        <w:t>The software algorithms that support gene expression profiling and polygenic risk scores described in part 7</w:t>
      </w:r>
      <w:r w:rsidR="00B62668">
        <w:t xml:space="preserve"> also fit under the umbrella term of digital health technologies. </w:t>
      </w:r>
    </w:p>
    <w:p w14:paraId="638C8862" w14:textId="3F465DE9" w:rsidR="00D10798" w:rsidRDefault="00026EDB" w:rsidP="00321AD6">
      <w:pPr>
        <w:pStyle w:val="Heading3"/>
        <w:ind w:left="709"/>
      </w:pPr>
      <w:r>
        <w:t>Assessment for funding of</w:t>
      </w:r>
      <w:r w:rsidR="00030340">
        <w:t xml:space="preserve"> digital health technologies in Australia </w:t>
      </w:r>
    </w:p>
    <w:p w14:paraId="24E977FB" w14:textId="610AA75D" w:rsidR="00273C88" w:rsidRDefault="00FA7A9E" w:rsidP="00D10798">
      <w:r>
        <w:t xml:space="preserve">Digital health technologies </w:t>
      </w:r>
      <w:r w:rsidR="00E347F7">
        <w:t>have</w:t>
      </w:r>
      <w:r>
        <w:t xml:space="preserve"> received market authorisation internationally and have</w:t>
      </w:r>
      <w:r w:rsidR="00E347F7">
        <w:t xml:space="preserve"> been funded under Australia’s subsidy schemes. These include continuous glucose monitoring, and gene expression profiling tests that use algorithms to calculate risk of disease. </w:t>
      </w:r>
      <w:r w:rsidR="004737DB">
        <w:t>Digital health technologies</w:t>
      </w:r>
      <w:r w:rsidR="00273C88">
        <w:t xml:space="preserve"> that </w:t>
      </w:r>
      <w:r w:rsidR="004737DB">
        <w:t>assist</w:t>
      </w:r>
      <w:r w:rsidR="00273C88">
        <w:t xml:space="preserve"> </w:t>
      </w:r>
      <w:r w:rsidR="00956C18">
        <w:t>with service delivery</w:t>
      </w:r>
      <w:r w:rsidR="001275C9">
        <w:t xml:space="preserve"> such </w:t>
      </w:r>
      <w:r w:rsidR="00273C88">
        <w:t xml:space="preserve">which is already funded are not </w:t>
      </w:r>
      <w:r w:rsidR="004737DB">
        <w:t>subsidised separately to the service that is subsidised</w:t>
      </w:r>
      <w:r w:rsidR="00273C88">
        <w:t xml:space="preserve">. </w:t>
      </w:r>
    </w:p>
    <w:p w14:paraId="5354EDDF" w14:textId="2315AA4E" w:rsidR="00B32A45" w:rsidRDefault="00B32A45" w:rsidP="00CD46DF">
      <w:pPr>
        <w:pStyle w:val="NormalWeb"/>
        <w:spacing w:before="0" w:beforeAutospacing="0" w:after="0" w:afterAutospacing="0"/>
        <w:rPr>
          <w:rFonts w:asciiTheme="minorHAnsi" w:hAnsiTheme="minorHAnsi" w:cstheme="minorHAnsi"/>
          <w:sz w:val="22"/>
          <w:szCs w:val="22"/>
        </w:rPr>
      </w:pPr>
    </w:p>
    <w:p w14:paraId="113348E2" w14:textId="77777777" w:rsidR="00B32A45" w:rsidRDefault="00B32A45">
      <w:pPr>
        <w:spacing w:before="0" w:after="160"/>
        <w:rPr>
          <w:rFonts w:eastAsia="Times New Roman" w:cstheme="minorHAnsi"/>
          <w:lang w:val="en-AU" w:eastAsia="en-AU"/>
        </w:rPr>
      </w:pPr>
      <w:r>
        <w:rPr>
          <w:rFonts w:cstheme="minorHAnsi"/>
        </w:rPr>
        <w:br w:type="page"/>
      </w:r>
    </w:p>
    <w:p w14:paraId="7FCD6D18" w14:textId="088709C6" w:rsidR="00A356C2" w:rsidRDefault="008B2204" w:rsidP="00321AD6">
      <w:pPr>
        <w:pStyle w:val="Heading1"/>
        <w:ind w:left="426"/>
      </w:pPr>
      <w:bookmarkStart w:id="210" w:name="_Toc158900446"/>
      <w:r>
        <w:t xml:space="preserve">Appendix 1: </w:t>
      </w:r>
      <w:r w:rsidR="00A356C2" w:rsidRPr="00B205D4">
        <w:t xml:space="preserve">Glossary of </w:t>
      </w:r>
      <w:r w:rsidR="00820432">
        <w:t>T</w:t>
      </w:r>
      <w:r w:rsidR="00A356C2" w:rsidRPr="00B205D4">
        <w:t>erms</w:t>
      </w:r>
      <w:bookmarkEnd w:id="210"/>
    </w:p>
    <w:p w14:paraId="1F2A15C7" w14:textId="77777777" w:rsidR="00D5331A" w:rsidRPr="00D5331A" w:rsidRDefault="00D5331A" w:rsidP="00D5331A"/>
    <w:tbl>
      <w:tblPr>
        <w:tblStyle w:val="PlainTable2"/>
        <w:tblW w:w="0" w:type="auto"/>
        <w:jc w:val="center"/>
        <w:tblLook w:val="04A0" w:firstRow="1" w:lastRow="0" w:firstColumn="1" w:lastColumn="0" w:noHBand="0" w:noVBand="1"/>
      </w:tblPr>
      <w:tblGrid>
        <w:gridCol w:w="2410"/>
        <w:gridCol w:w="6606"/>
      </w:tblGrid>
      <w:tr w:rsidR="00820432" w:rsidRPr="00EC2C01" w14:paraId="5F4E400E" w14:textId="77777777" w:rsidTr="00A047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CB8D121" w14:textId="77777777" w:rsidR="00820432" w:rsidRDefault="00820432" w:rsidP="00820432">
            <w:pPr>
              <w:pStyle w:val="5Bodytext"/>
              <w:jc w:val="center"/>
              <w:rPr>
                <w:rFonts w:asciiTheme="minorHAnsi" w:hAnsiTheme="minorHAnsi"/>
                <w:b w:val="0"/>
                <w:bCs w:val="0"/>
                <w:sz w:val="20"/>
                <w:szCs w:val="20"/>
              </w:rPr>
            </w:pPr>
            <w:r w:rsidRPr="00EC2C01">
              <w:rPr>
                <w:rFonts w:asciiTheme="minorHAnsi" w:hAnsiTheme="minorHAnsi"/>
                <w:sz w:val="20"/>
                <w:szCs w:val="20"/>
              </w:rPr>
              <w:t>Term</w:t>
            </w:r>
          </w:p>
          <w:p w14:paraId="4F421273" w14:textId="37D213E3" w:rsidR="00820432" w:rsidRPr="00EC2C01" w:rsidRDefault="0087130D" w:rsidP="00820432">
            <w:pPr>
              <w:pStyle w:val="5Bodytext"/>
              <w:jc w:val="center"/>
              <w:rPr>
                <w:rFonts w:asciiTheme="minorHAnsi" w:hAnsiTheme="minorHAnsi"/>
                <w:sz w:val="20"/>
                <w:szCs w:val="20"/>
              </w:rPr>
            </w:pPr>
            <w:r>
              <w:rPr>
                <w:rFonts w:asciiTheme="minorHAnsi" w:hAnsiTheme="minorHAnsi"/>
                <w:sz w:val="20"/>
                <w:szCs w:val="20"/>
              </w:rPr>
              <w:t>{related terms}</w:t>
            </w:r>
          </w:p>
        </w:tc>
        <w:tc>
          <w:tcPr>
            <w:tcW w:w="6606" w:type="dxa"/>
            <w:vAlign w:val="center"/>
          </w:tcPr>
          <w:p w14:paraId="34CAB353" w14:textId="002E27DB" w:rsidR="00820432" w:rsidRPr="00EC2C01" w:rsidRDefault="00820432" w:rsidP="00820432">
            <w:pPr>
              <w:pStyle w:val="5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C2C01">
              <w:rPr>
                <w:rFonts w:asciiTheme="minorHAnsi" w:hAnsiTheme="minorHAnsi"/>
                <w:sz w:val="20"/>
                <w:szCs w:val="20"/>
              </w:rPr>
              <w:t>Definition</w:t>
            </w:r>
          </w:p>
        </w:tc>
      </w:tr>
      <w:tr w:rsidR="00820432" w:rsidRPr="00EC2C01" w14:paraId="21F672BD"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7501166" w14:textId="1BE19439" w:rsidR="00875E0B" w:rsidRPr="00690AA4" w:rsidRDefault="00875E0B" w:rsidP="005268E0">
            <w:pPr>
              <w:pStyle w:val="5Bodytext"/>
              <w:jc w:val="center"/>
              <w:rPr>
                <w:rFonts w:asciiTheme="minorHAnsi" w:hAnsiTheme="minorHAnsi"/>
                <w:sz w:val="20"/>
                <w:szCs w:val="20"/>
              </w:rPr>
            </w:pPr>
            <w:r w:rsidRPr="00E57C1D">
              <w:rPr>
                <w:rFonts w:asciiTheme="minorHAnsi" w:hAnsiTheme="minorHAnsi"/>
                <w:sz w:val="20"/>
                <w:szCs w:val="20"/>
              </w:rPr>
              <w:t>Advanced therapies</w:t>
            </w:r>
          </w:p>
          <w:p w14:paraId="57FC4F2C" w14:textId="07A6A30C" w:rsidR="00820432" w:rsidRPr="00EC2C01" w:rsidRDefault="0087130D" w:rsidP="005268E0">
            <w:pPr>
              <w:pStyle w:val="5Bodytext"/>
              <w:jc w:val="center"/>
              <w:rPr>
                <w:rFonts w:asciiTheme="minorHAnsi" w:hAnsiTheme="minorHAnsi"/>
                <w:sz w:val="20"/>
                <w:szCs w:val="20"/>
              </w:rPr>
            </w:pPr>
            <w:r>
              <w:rPr>
                <w:rFonts w:asciiTheme="minorHAnsi" w:hAnsiTheme="minorHAnsi"/>
                <w:sz w:val="20"/>
                <w:szCs w:val="20"/>
              </w:rPr>
              <w:t>{</w:t>
            </w:r>
            <w:r w:rsidR="00AA636E" w:rsidRPr="3EC37572">
              <w:rPr>
                <w:rFonts w:asciiTheme="minorHAnsi" w:hAnsiTheme="minorHAnsi"/>
                <w:sz w:val="20"/>
                <w:szCs w:val="20"/>
              </w:rPr>
              <w:t>Advanced therapy medicinal products (ATMPs</w:t>
            </w:r>
            <w:r w:rsidR="00AA636E" w:rsidRPr="00EC2C01">
              <w:rPr>
                <w:rFonts w:asciiTheme="minorHAnsi" w:hAnsiTheme="minorHAnsi"/>
                <w:sz w:val="20"/>
                <w:szCs w:val="20"/>
              </w:rPr>
              <w:t>)</w:t>
            </w:r>
            <w:r>
              <w:rPr>
                <w:rFonts w:asciiTheme="minorHAnsi" w:hAnsiTheme="minorHAnsi"/>
                <w:sz w:val="20"/>
                <w:szCs w:val="20"/>
              </w:rPr>
              <w:t>}</w:t>
            </w:r>
          </w:p>
        </w:tc>
        <w:tc>
          <w:tcPr>
            <w:tcW w:w="6606" w:type="dxa"/>
            <w:vAlign w:val="center"/>
          </w:tcPr>
          <w:p w14:paraId="38979376" w14:textId="68E032CC" w:rsidR="00CD75FD" w:rsidRDefault="00CD75FD" w:rsidP="00F1068C">
            <w:pPr>
              <w:pStyle w:val="5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A</w:t>
            </w:r>
            <w:r w:rsidRPr="00CD75FD">
              <w:rPr>
                <w:rFonts w:asciiTheme="minorHAnsi" w:hAnsiTheme="minorHAnsi"/>
                <w:sz w:val="20"/>
                <w:szCs w:val="20"/>
              </w:rPr>
              <w:t xml:space="preserve"> term used to describe innovative therapies. The TGA uses the following definition for advanced therapies:</w:t>
            </w:r>
            <w:r w:rsidR="009A3218">
              <w:rPr>
                <w:rStyle w:val="FootnoteReference"/>
                <w:rFonts w:asciiTheme="minorHAnsi" w:hAnsiTheme="minorHAnsi"/>
                <w:sz w:val="20"/>
                <w:szCs w:val="20"/>
              </w:rPr>
              <w:footnoteReference w:id="96"/>
            </w:r>
          </w:p>
          <w:p w14:paraId="645D8D2D" w14:textId="7200ED55" w:rsidR="00CD75FD" w:rsidRPr="00CD75FD" w:rsidRDefault="00CD75FD" w:rsidP="00990D82">
            <w:pPr>
              <w:pStyle w:val="5Bodytext"/>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Gene therapies</w:t>
            </w:r>
          </w:p>
          <w:p w14:paraId="695C0BD9" w14:textId="243F53BB" w:rsidR="00CD75FD" w:rsidRPr="00A0473D" w:rsidRDefault="00CD75FD" w:rsidP="00F1068C">
            <w:pPr>
              <w:pStyle w:val="5Bodytext"/>
              <w:numPr>
                <w:ilvl w:val="1"/>
                <w:numId w:val="1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1068C">
              <w:rPr>
                <w:rFonts w:asciiTheme="minorHAnsi" w:hAnsiTheme="minorHAnsi"/>
                <w:sz w:val="20"/>
                <w:szCs w:val="20"/>
              </w:rPr>
              <w:t xml:space="preserve">the substance is used in or administered to human beings to regulate, repair, replace, </w:t>
            </w:r>
            <w:r w:rsidR="00436418" w:rsidRPr="00F1068C">
              <w:rPr>
                <w:rFonts w:asciiTheme="minorHAnsi" w:hAnsiTheme="minorHAnsi"/>
                <w:sz w:val="20"/>
                <w:szCs w:val="20"/>
              </w:rPr>
              <w:t>add,</w:t>
            </w:r>
            <w:r w:rsidRPr="00F1068C">
              <w:rPr>
                <w:rFonts w:asciiTheme="minorHAnsi" w:hAnsiTheme="minorHAnsi"/>
                <w:sz w:val="20"/>
                <w:szCs w:val="20"/>
              </w:rPr>
              <w:t xml:space="preserve"> or delete a genetic sequence</w:t>
            </w:r>
            <w:r w:rsidR="00F1068C">
              <w:rPr>
                <w:rFonts w:asciiTheme="minorHAnsi" w:hAnsiTheme="minorHAnsi"/>
                <w:sz w:val="20"/>
                <w:szCs w:val="20"/>
              </w:rPr>
              <w:t xml:space="preserve"> </w:t>
            </w:r>
            <w:r w:rsidRPr="00F1068C">
              <w:rPr>
                <w:rFonts w:asciiTheme="minorHAnsi" w:hAnsiTheme="minorHAnsi"/>
                <w:sz w:val="20"/>
                <w:szCs w:val="20"/>
              </w:rPr>
              <w:t>AND</w:t>
            </w:r>
          </w:p>
          <w:p w14:paraId="0B3F8024" w14:textId="6BEC4342" w:rsidR="00CD75FD" w:rsidRPr="00CD75FD" w:rsidRDefault="00CD75FD" w:rsidP="00990D82">
            <w:pPr>
              <w:pStyle w:val="5Bodytext"/>
              <w:numPr>
                <w:ilvl w:val="1"/>
                <w:numId w:val="18"/>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the substance is involved in the therapeutic, prophylactic, or diagnostic effect of the product</w:t>
            </w:r>
          </w:p>
          <w:p w14:paraId="1E23A5AB" w14:textId="5B608CE0" w:rsidR="00CD75FD" w:rsidRPr="00CD75FD" w:rsidRDefault="00CD75FD" w:rsidP="00990D82">
            <w:pPr>
              <w:pStyle w:val="5Bodytext"/>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Gene modified cell therapies</w:t>
            </w:r>
          </w:p>
          <w:p w14:paraId="58975AA0" w14:textId="75444034" w:rsidR="00CD75FD" w:rsidRPr="00CD75FD" w:rsidRDefault="00CD75FD" w:rsidP="00990D82">
            <w:pPr>
              <w:pStyle w:val="5Bodytext"/>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Cell and tissue therapies that:</w:t>
            </w:r>
          </w:p>
          <w:p w14:paraId="417C8D3B" w14:textId="715EA846" w:rsidR="00CD75FD" w:rsidRPr="00CD75FD" w:rsidRDefault="00CD75FD" w:rsidP="00990D82">
            <w:pPr>
              <w:pStyle w:val="5Bodytext"/>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are not devices</w:t>
            </w:r>
          </w:p>
          <w:p w14:paraId="6242F9DB" w14:textId="51E4420E" w:rsidR="00CD75FD" w:rsidRPr="00CD75FD" w:rsidRDefault="00CD75FD" w:rsidP="00990D82">
            <w:pPr>
              <w:pStyle w:val="5Bodytext"/>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have been classified as class 3 or 4 biologicals.</w:t>
            </w:r>
          </w:p>
          <w:p w14:paraId="05762F04" w14:textId="675F1C99" w:rsidR="00820432" w:rsidRPr="00EC2C01" w:rsidRDefault="00CD75FD" w:rsidP="00990D82">
            <w:pPr>
              <w:pStyle w:val="5Bodytext"/>
              <w:numPr>
                <w:ilvl w:val="0"/>
                <w:numId w:val="24"/>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D75FD">
              <w:rPr>
                <w:rFonts w:asciiTheme="minorHAnsi" w:hAnsiTheme="minorHAnsi"/>
                <w:sz w:val="20"/>
                <w:szCs w:val="20"/>
              </w:rPr>
              <w:t>Either a or b in combination with a device</w:t>
            </w:r>
          </w:p>
        </w:tc>
      </w:tr>
      <w:tr w:rsidR="00204FC9" w:rsidRPr="00EC2C01" w14:paraId="75813C32"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A2CFB94" w14:textId="1A5B6F8F" w:rsidR="00204FC9" w:rsidRPr="00E57C1D" w:rsidRDefault="00204FC9" w:rsidP="005268E0">
            <w:pPr>
              <w:pStyle w:val="5Bodytext"/>
              <w:jc w:val="center"/>
              <w:rPr>
                <w:rFonts w:asciiTheme="minorHAnsi" w:hAnsiTheme="minorHAnsi"/>
                <w:sz w:val="20"/>
                <w:szCs w:val="20"/>
              </w:rPr>
            </w:pPr>
            <w:r w:rsidRPr="00204FC9">
              <w:rPr>
                <w:rFonts w:asciiTheme="minorHAnsi" w:hAnsiTheme="minorHAnsi"/>
                <w:sz w:val="20"/>
                <w:szCs w:val="20"/>
              </w:rPr>
              <w:t>Australian Register of Therapeutic Goods (ARTG)</w:t>
            </w:r>
          </w:p>
        </w:tc>
        <w:tc>
          <w:tcPr>
            <w:tcW w:w="6606" w:type="dxa"/>
            <w:vAlign w:val="center"/>
          </w:tcPr>
          <w:p w14:paraId="0ABC5122" w14:textId="2A4EBCF9" w:rsidR="00204FC9" w:rsidRPr="00EC2C01" w:rsidRDefault="00204FC9" w:rsidP="0082043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04FC9">
              <w:rPr>
                <w:rFonts w:asciiTheme="minorHAnsi" w:hAnsiTheme="minorHAnsi"/>
                <w:sz w:val="20"/>
                <w:szCs w:val="20"/>
              </w:rPr>
              <w:t xml:space="preserve">The register of therapeutic goods for human use that may be imported to, supplied </w:t>
            </w:r>
            <w:r w:rsidR="00436418" w:rsidRPr="00204FC9">
              <w:rPr>
                <w:rFonts w:asciiTheme="minorHAnsi" w:hAnsiTheme="minorHAnsi"/>
                <w:sz w:val="20"/>
                <w:szCs w:val="20"/>
              </w:rPr>
              <w:t>in,</w:t>
            </w:r>
            <w:r w:rsidRPr="00204FC9">
              <w:rPr>
                <w:rFonts w:asciiTheme="minorHAnsi" w:hAnsiTheme="minorHAnsi"/>
                <w:sz w:val="20"/>
                <w:szCs w:val="20"/>
              </w:rPr>
              <w:t xml:space="preserve"> or exported from Australia.</w:t>
            </w:r>
            <w:bookmarkStart w:id="211" w:name="_Ref129252019"/>
            <w:r>
              <w:rPr>
                <w:rStyle w:val="FootnoteReference"/>
                <w:rFonts w:asciiTheme="minorHAnsi" w:hAnsiTheme="minorHAnsi"/>
                <w:sz w:val="20"/>
                <w:szCs w:val="20"/>
              </w:rPr>
              <w:footnoteReference w:id="97"/>
            </w:r>
            <w:bookmarkEnd w:id="211"/>
          </w:p>
        </w:tc>
      </w:tr>
      <w:tr w:rsidR="00075B3E" w:rsidRPr="00EC2C01" w14:paraId="0E2AC031"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66044CD" w14:textId="77777777" w:rsidR="00075B3E" w:rsidRDefault="00075B3E" w:rsidP="005268E0">
            <w:pPr>
              <w:pStyle w:val="5Bodytext"/>
              <w:jc w:val="center"/>
              <w:rPr>
                <w:rFonts w:asciiTheme="minorHAnsi" w:hAnsiTheme="minorHAnsi"/>
                <w:b w:val="0"/>
                <w:bCs w:val="0"/>
                <w:sz w:val="20"/>
                <w:szCs w:val="20"/>
              </w:rPr>
            </w:pPr>
            <w:r>
              <w:rPr>
                <w:rFonts w:asciiTheme="minorHAnsi" w:hAnsiTheme="minorHAnsi"/>
                <w:sz w:val="20"/>
                <w:szCs w:val="20"/>
              </w:rPr>
              <w:t>Basket Trial</w:t>
            </w:r>
          </w:p>
          <w:p w14:paraId="2218F74D" w14:textId="05B7EF21" w:rsidR="00075B3E" w:rsidRPr="00204FC9" w:rsidRDefault="00075B3E" w:rsidP="005268E0">
            <w:pPr>
              <w:pStyle w:val="5Bodytext"/>
              <w:jc w:val="center"/>
              <w:rPr>
                <w:rFonts w:asciiTheme="minorHAnsi" w:hAnsiTheme="minorHAnsi"/>
                <w:sz w:val="20"/>
                <w:szCs w:val="20"/>
              </w:rPr>
            </w:pPr>
            <w:r>
              <w:rPr>
                <w:rFonts w:asciiTheme="minorHAnsi" w:hAnsiTheme="minorHAnsi"/>
                <w:sz w:val="20"/>
                <w:szCs w:val="20"/>
              </w:rPr>
              <w:t>{B</w:t>
            </w:r>
            <w:r w:rsidRPr="00075B3E">
              <w:rPr>
                <w:rFonts w:asciiTheme="minorHAnsi" w:hAnsiTheme="minorHAnsi"/>
                <w:sz w:val="20"/>
                <w:szCs w:val="20"/>
              </w:rPr>
              <w:t>ucket trial</w:t>
            </w:r>
            <w:r>
              <w:rPr>
                <w:rFonts w:asciiTheme="minorHAnsi" w:hAnsiTheme="minorHAnsi"/>
                <w:sz w:val="20"/>
                <w:szCs w:val="20"/>
              </w:rPr>
              <w:t>}</w:t>
            </w:r>
          </w:p>
        </w:tc>
        <w:tc>
          <w:tcPr>
            <w:tcW w:w="6606" w:type="dxa"/>
            <w:vAlign w:val="center"/>
          </w:tcPr>
          <w:p w14:paraId="32D41B5E" w14:textId="04A64A47" w:rsidR="00075B3E" w:rsidRPr="00204FC9" w:rsidRDefault="00075B3E" w:rsidP="0082043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75B3E">
              <w:rPr>
                <w:rFonts w:asciiTheme="minorHAnsi" w:hAnsiTheme="minorHAnsi"/>
                <w:sz w:val="20"/>
                <w:szCs w:val="20"/>
              </w:rPr>
              <w:t>A type of clinical trial that tests how well a new drug or other substance works in patients who have different types of cancer that all have the same mutation or biomarker.</w:t>
            </w:r>
            <w:r w:rsidR="00E1554F" w:rsidRPr="00E1554F">
              <w:rPr>
                <w:rFonts w:asciiTheme="minorHAnsi" w:hAnsiTheme="minorHAnsi"/>
                <w:sz w:val="20"/>
                <w:szCs w:val="20"/>
                <w:vertAlign w:val="superscript"/>
              </w:rPr>
              <w:fldChar w:fldCharType="begin"/>
            </w:r>
            <w:r w:rsidR="00E1554F" w:rsidRPr="00E1554F">
              <w:rPr>
                <w:rFonts w:asciiTheme="minorHAnsi" w:hAnsiTheme="minorHAnsi"/>
                <w:sz w:val="20"/>
                <w:szCs w:val="20"/>
                <w:vertAlign w:val="superscript"/>
              </w:rPr>
              <w:instrText xml:space="preserve"> NOTEREF _Ref130213788 \h </w:instrText>
            </w:r>
            <w:r w:rsidR="00E1554F">
              <w:rPr>
                <w:rFonts w:asciiTheme="minorHAnsi" w:hAnsiTheme="minorHAnsi"/>
                <w:sz w:val="20"/>
                <w:szCs w:val="20"/>
                <w:vertAlign w:val="superscript"/>
              </w:rPr>
              <w:instrText xml:space="preserve"> \* MERGEFORMAT </w:instrText>
            </w:r>
            <w:r w:rsidR="00E1554F" w:rsidRPr="00E1554F">
              <w:rPr>
                <w:rFonts w:asciiTheme="minorHAnsi" w:hAnsiTheme="minorHAnsi"/>
                <w:sz w:val="20"/>
                <w:szCs w:val="20"/>
                <w:vertAlign w:val="superscript"/>
              </w:rPr>
            </w:r>
            <w:r w:rsidR="00E1554F" w:rsidRPr="00E1554F">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34</w:t>
            </w:r>
            <w:r w:rsidR="00E1554F" w:rsidRPr="00E1554F">
              <w:rPr>
                <w:rFonts w:asciiTheme="minorHAnsi" w:hAnsiTheme="minorHAnsi"/>
                <w:sz w:val="20"/>
                <w:szCs w:val="20"/>
                <w:vertAlign w:val="superscript"/>
              </w:rPr>
              <w:fldChar w:fldCharType="end"/>
            </w:r>
            <w:r w:rsidRPr="00075B3E">
              <w:rPr>
                <w:rFonts w:asciiTheme="minorHAnsi" w:hAnsiTheme="minorHAnsi"/>
                <w:sz w:val="20"/>
                <w:szCs w:val="20"/>
              </w:rPr>
              <w:t xml:space="preserve"> In basket trials, patients all receive the same treatment that targets the specific mutation or biomarker found in their cancer. Basket trials may allow new drugs to be tested and approved more quickly than traditional clinical trials. Basket trials may also be useful for studying rare cancers and cancers with rare genetic changes. </w:t>
            </w:r>
          </w:p>
        </w:tc>
      </w:tr>
      <w:tr w:rsidR="00820432" w:rsidRPr="00EC2C01" w14:paraId="6FEBAE24"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69C7EAD" w14:textId="4626151E" w:rsidR="00820432" w:rsidRPr="00EC2C01" w:rsidRDefault="00EB5D52" w:rsidP="005268E0">
            <w:pPr>
              <w:pStyle w:val="5Bodytext"/>
              <w:jc w:val="center"/>
              <w:rPr>
                <w:rFonts w:asciiTheme="minorHAnsi" w:hAnsiTheme="minorHAnsi"/>
                <w:sz w:val="20"/>
                <w:szCs w:val="20"/>
              </w:rPr>
            </w:pPr>
            <w:r>
              <w:rPr>
                <w:rFonts w:asciiTheme="minorHAnsi" w:hAnsiTheme="minorHAnsi"/>
                <w:sz w:val="20"/>
                <w:szCs w:val="20"/>
              </w:rPr>
              <w:t>Biomarker</w:t>
            </w:r>
          </w:p>
        </w:tc>
        <w:tc>
          <w:tcPr>
            <w:tcW w:w="6606" w:type="dxa"/>
            <w:vAlign w:val="center"/>
          </w:tcPr>
          <w:p w14:paraId="3CB4674C" w14:textId="0D42FFFF" w:rsidR="00820432" w:rsidRPr="00EC2C01" w:rsidRDefault="00EB5D52" w:rsidP="00EB5D5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B5D52">
              <w:rPr>
                <w:rFonts w:asciiTheme="minorHAnsi" w:hAnsiTheme="minorHAnsi"/>
                <w:sz w:val="20"/>
                <w:szCs w:val="20"/>
              </w:rPr>
              <w:t>A characteristic (usually measured by a test) by which a pathological or physiological process (e.g. disease, response to treatment) can be identified. A</w:t>
            </w:r>
            <w:r>
              <w:rPr>
                <w:rFonts w:asciiTheme="minorHAnsi" w:hAnsiTheme="minorHAnsi"/>
                <w:sz w:val="20"/>
                <w:szCs w:val="20"/>
              </w:rPr>
              <w:t xml:space="preserve"> </w:t>
            </w:r>
            <w:r w:rsidRPr="00EB5D52">
              <w:rPr>
                <w:rFonts w:asciiTheme="minorHAnsi" w:hAnsiTheme="minorHAnsi"/>
                <w:sz w:val="20"/>
                <w:szCs w:val="20"/>
              </w:rPr>
              <w:t>biomarker may be defined by the presence or absence of a characteristic, or it may be defined by a quantity of a parameter above or below a specified threshold</w:t>
            </w:r>
            <w:r>
              <w:rPr>
                <w:rFonts w:asciiTheme="minorHAnsi" w:hAnsiTheme="minorHAnsi"/>
                <w:sz w:val="20"/>
                <w:szCs w:val="20"/>
              </w:rPr>
              <w:t>.</w:t>
            </w:r>
            <w:r w:rsidR="002B2CFA" w:rsidRPr="002B2CFA">
              <w:rPr>
                <w:rFonts w:asciiTheme="minorHAnsi" w:hAnsiTheme="minorHAnsi"/>
                <w:sz w:val="20"/>
                <w:szCs w:val="20"/>
                <w:vertAlign w:val="superscript"/>
              </w:rPr>
              <w:fldChar w:fldCharType="begin"/>
            </w:r>
            <w:r w:rsidR="002B2CFA" w:rsidRPr="002B2CFA">
              <w:rPr>
                <w:rFonts w:asciiTheme="minorHAnsi" w:hAnsiTheme="minorHAnsi"/>
                <w:sz w:val="20"/>
                <w:szCs w:val="20"/>
                <w:vertAlign w:val="superscript"/>
              </w:rPr>
              <w:instrText xml:space="preserve"> NOTEREF _Ref129250159 \h </w:instrText>
            </w:r>
            <w:r w:rsidR="002B2CFA">
              <w:rPr>
                <w:rFonts w:asciiTheme="minorHAnsi" w:hAnsiTheme="minorHAnsi"/>
                <w:sz w:val="20"/>
                <w:szCs w:val="20"/>
                <w:vertAlign w:val="superscript"/>
              </w:rPr>
              <w:instrText xml:space="preserve"> \* MERGEFORMAT </w:instrText>
            </w:r>
            <w:r w:rsidR="002B2CFA" w:rsidRPr="002B2CFA">
              <w:rPr>
                <w:rFonts w:asciiTheme="minorHAnsi" w:hAnsiTheme="minorHAnsi"/>
                <w:sz w:val="20"/>
                <w:szCs w:val="20"/>
                <w:vertAlign w:val="superscript"/>
              </w:rPr>
            </w:r>
            <w:r w:rsidR="002B2CFA" w:rsidRPr="002B2CFA">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100</w:t>
            </w:r>
            <w:r w:rsidR="002B2CFA" w:rsidRPr="002B2CFA">
              <w:rPr>
                <w:rFonts w:asciiTheme="minorHAnsi" w:hAnsiTheme="minorHAnsi"/>
                <w:sz w:val="20"/>
                <w:szCs w:val="20"/>
                <w:vertAlign w:val="superscript"/>
              </w:rPr>
              <w:fldChar w:fldCharType="end"/>
            </w:r>
          </w:p>
        </w:tc>
      </w:tr>
      <w:tr w:rsidR="00F061E7" w:rsidRPr="00EC2C01" w14:paraId="5D77D9C3"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D1A2BA4" w14:textId="2DC75096" w:rsidR="00F061E7" w:rsidRDefault="00F061E7" w:rsidP="005268E0">
            <w:pPr>
              <w:pStyle w:val="5Bodytext"/>
              <w:jc w:val="center"/>
              <w:rPr>
                <w:rFonts w:asciiTheme="minorHAnsi" w:hAnsiTheme="minorHAnsi"/>
                <w:b w:val="0"/>
                <w:bCs w:val="0"/>
                <w:sz w:val="20"/>
                <w:szCs w:val="20"/>
              </w:rPr>
            </w:pPr>
            <w:r w:rsidRPr="00F061E7">
              <w:rPr>
                <w:rFonts w:asciiTheme="minorHAnsi" w:hAnsiTheme="minorHAnsi"/>
                <w:sz w:val="20"/>
                <w:szCs w:val="20"/>
              </w:rPr>
              <w:t>Co-dependent</w:t>
            </w:r>
            <w:r w:rsidR="000D73AB" w:rsidRPr="000D73AB">
              <w:rPr>
                <w:rFonts w:asciiTheme="minorHAnsi" w:hAnsiTheme="minorHAnsi"/>
                <w:sz w:val="20"/>
                <w:szCs w:val="20"/>
                <w:vertAlign w:val="superscript"/>
              </w:rPr>
              <w:fldChar w:fldCharType="begin"/>
            </w:r>
            <w:r w:rsidR="000D73AB" w:rsidRPr="000D73AB">
              <w:rPr>
                <w:rFonts w:asciiTheme="minorHAnsi" w:hAnsiTheme="minorHAnsi"/>
                <w:sz w:val="20"/>
                <w:szCs w:val="20"/>
                <w:vertAlign w:val="superscript"/>
              </w:rPr>
              <w:instrText xml:space="preserve"> NOTEREF _Ref130307539 \h </w:instrText>
            </w:r>
            <w:r w:rsidR="000D73AB">
              <w:rPr>
                <w:rFonts w:asciiTheme="minorHAnsi" w:hAnsiTheme="minorHAnsi"/>
                <w:sz w:val="20"/>
                <w:szCs w:val="20"/>
                <w:vertAlign w:val="superscript"/>
              </w:rPr>
              <w:instrText xml:space="preserve"> \* MERGEFORMAT </w:instrText>
            </w:r>
            <w:r w:rsidR="000D73AB" w:rsidRPr="000D73AB">
              <w:rPr>
                <w:rFonts w:asciiTheme="minorHAnsi" w:hAnsiTheme="minorHAnsi"/>
                <w:sz w:val="20"/>
                <w:szCs w:val="20"/>
                <w:vertAlign w:val="superscript"/>
              </w:rPr>
            </w:r>
            <w:r w:rsidR="000D73AB" w:rsidRPr="000D73AB">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97</w:t>
            </w:r>
            <w:r w:rsidR="000D73AB" w:rsidRPr="000D73AB">
              <w:rPr>
                <w:rFonts w:asciiTheme="minorHAnsi" w:hAnsiTheme="minorHAnsi"/>
                <w:sz w:val="20"/>
                <w:szCs w:val="20"/>
                <w:vertAlign w:val="superscript"/>
              </w:rPr>
              <w:fldChar w:fldCharType="end"/>
            </w:r>
          </w:p>
          <w:p w14:paraId="3D5660F4" w14:textId="773338E5" w:rsidR="00F061E7" w:rsidRDefault="00F061E7" w:rsidP="005268E0">
            <w:pPr>
              <w:pStyle w:val="5Bodytext"/>
              <w:jc w:val="center"/>
              <w:rPr>
                <w:rFonts w:asciiTheme="minorHAnsi" w:hAnsiTheme="minorHAnsi"/>
                <w:sz w:val="20"/>
                <w:szCs w:val="20"/>
              </w:rPr>
            </w:pPr>
            <w:r>
              <w:rPr>
                <w:rFonts w:asciiTheme="minorHAnsi" w:hAnsiTheme="minorHAnsi"/>
                <w:sz w:val="20"/>
                <w:szCs w:val="20"/>
              </w:rPr>
              <w:t>{Co-dep}</w:t>
            </w:r>
          </w:p>
        </w:tc>
        <w:tc>
          <w:tcPr>
            <w:tcW w:w="6606" w:type="dxa"/>
            <w:vAlign w:val="center"/>
          </w:tcPr>
          <w:p w14:paraId="35D23CEB" w14:textId="3A732A7C" w:rsidR="00F061E7" w:rsidRPr="00EB5D52" w:rsidRDefault="00F061E7" w:rsidP="00F061E7">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D3C60">
              <w:rPr>
                <w:rFonts w:asciiTheme="minorHAnsi" w:hAnsiTheme="minorHAnsi"/>
                <w:sz w:val="20"/>
                <w:szCs w:val="20"/>
                <w:u w:val="single"/>
              </w:rPr>
              <w:t>Health technologies</w:t>
            </w:r>
            <w:r w:rsidRPr="00F061E7">
              <w:rPr>
                <w:rFonts w:asciiTheme="minorHAnsi" w:hAnsiTheme="minorHAnsi"/>
                <w:sz w:val="20"/>
                <w:szCs w:val="20"/>
              </w:rPr>
              <w:t xml:space="preserve"> that are dependent on each other, such that their use needs to be combined (either sequentially or simultaneously) to achieve or improve the intended effect on </w:t>
            </w:r>
            <w:r w:rsidRPr="007D3C60">
              <w:rPr>
                <w:rFonts w:asciiTheme="minorHAnsi" w:hAnsiTheme="minorHAnsi"/>
                <w:sz w:val="20"/>
                <w:szCs w:val="20"/>
                <w:u w:val="single"/>
              </w:rPr>
              <w:t>health outcomes</w:t>
            </w:r>
            <w:r w:rsidRPr="00F061E7">
              <w:rPr>
                <w:rFonts w:asciiTheme="minorHAnsi" w:hAnsiTheme="minorHAnsi"/>
                <w:sz w:val="20"/>
                <w:szCs w:val="20"/>
              </w:rPr>
              <w:t xml:space="preserve"> of </w:t>
            </w:r>
            <w:r w:rsidRPr="007D3C60">
              <w:rPr>
                <w:rFonts w:asciiTheme="minorHAnsi" w:hAnsiTheme="minorHAnsi"/>
                <w:i/>
                <w:iCs/>
                <w:sz w:val="20"/>
                <w:szCs w:val="20"/>
              </w:rPr>
              <w:t xml:space="preserve">either </w:t>
            </w:r>
            <w:r w:rsidRPr="00F061E7">
              <w:rPr>
                <w:rFonts w:asciiTheme="minorHAnsi" w:hAnsiTheme="minorHAnsi"/>
                <w:sz w:val="20"/>
                <w:szCs w:val="20"/>
              </w:rPr>
              <w:t xml:space="preserve">health technology. </w:t>
            </w:r>
            <w:r w:rsidRPr="007D3C60">
              <w:rPr>
                <w:rFonts w:asciiTheme="minorHAnsi" w:hAnsiTheme="minorHAnsi"/>
                <w:i/>
                <w:iCs/>
                <w:sz w:val="20"/>
                <w:szCs w:val="20"/>
              </w:rPr>
              <w:t>For example: When a specific diagnostic test is needed prior to administration of a pharmaceutical.</w:t>
            </w:r>
          </w:p>
        </w:tc>
      </w:tr>
      <w:tr w:rsidR="00773CC9" w:rsidRPr="00EC2C01" w14:paraId="29D0929F"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AB3F218" w14:textId="7A31C25D" w:rsidR="00773CC9" w:rsidRPr="00A34321" w:rsidRDefault="00B84AA2" w:rsidP="005268E0">
            <w:pPr>
              <w:pStyle w:val="5Bodytext"/>
              <w:jc w:val="center"/>
              <w:rPr>
                <w:rFonts w:asciiTheme="minorHAnsi" w:hAnsiTheme="minorHAnsi"/>
                <w:sz w:val="20"/>
                <w:szCs w:val="20"/>
                <w:vertAlign w:val="superscript"/>
              </w:rPr>
            </w:pPr>
            <w:r>
              <w:rPr>
                <w:rFonts w:asciiTheme="minorHAnsi" w:hAnsiTheme="minorHAnsi"/>
                <w:sz w:val="20"/>
                <w:szCs w:val="20"/>
              </w:rPr>
              <w:t>C</w:t>
            </w:r>
            <w:r w:rsidRPr="00B84AA2">
              <w:rPr>
                <w:rFonts w:asciiTheme="minorHAnsi" w:hAnsiTheme="minorHAnsi"/>
                <w:sz w:val="20"/>
                <w:szCs w:val="20"/>
              </w:rPr>
              <w:t>onditional marketing authorisation</w:t>
            </w:r>
            <w:r w:rsidR="0078518C">
              <w:rPr>
                <w:rFonts w:asciiTheme="minorHAnsi" w:hAnsiTheme="minorHAnsi"/>
                <w:sz w:val="20"/>
                <w:szCs w:val="20"/>
              </w:rPr>
              <w:t>, EMA</w:t>
            </w:r>
            <w:r w:rsidR="00A34321" w:rsidRPr="00A34321">
              <w:rPr>
                <w:rFonts w:asciiTheme="minorHAnsi" w:hAnsiTheme="minorHAnsi"/>
                <w:sz w:val="20"/>
                <w:szCs w:val="20"/>
                <w:vertAlign w:val="superscript"/>
              </w:rPr>
              <w:fldChar w:fldCharType="begin"/>
            </w:r>
            <w:r w:rsidR="00A34321" w:rsidRPr="00A34321">
              <w:rPr>
                <w:rFonts w:asciiTheme="minorHAnsi" w:hAnsiTheme="minorHAnsi"/>
                <w:sz w:val="20"/>
                <w:szCs w:val="20"/>
                <w:vertAlign w:val="superscript"/>
              </w:rPr>
              <w:instrText xml:space="preserve"> NOTEREF _Ref134574679 \h  \* MERGEFORMAT </w:instrText>
            </w:r>
            <w:r w:rsidR="00A34321" w:rsidRPr="00A34321">
              <w:rPr>
                <w:rFonts w:asciiTheme="minorHAnsi" w:hAnsiTheme="minorHAnsi"/>
                <w:sz w:val="20"/>
                <w:szCs w:val="20"/>
                <w:vertAlign w:val="superscript"/>
              </w:rPr>
            </w:r>
            <w:r w:rsidR="00A34321" w:rsidRPr="00A34321">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33</w:t>
            </w:r>
            <w:r w:rsidR="00A34321" w:rsidRPr="00A34321">
              <w:rPr>
                <w:rFonts w:asciiTheme="minorHAnsi" w:hAnsiTheme="minorHAnsi"/>
                <w:sz w:val="20"/>
                <w:szCs w:val="20"/>
                <w:vertAlign w:val="superscript"/>
              </w:rPr>
              <w:fldChar w:fldCharType="end"/>
            </w:r>
          </w:p>
        </w:tc>
        <w:tc>
          <w:tcPr>
            <w:tcW w:w="6606" w:type="dxa"/>
            <w:vAlign w:val="center"/>
          </w:tcPr>
          <w:p w14:paraId="345B336C" w14:textId="7D7185F8" w:rsidR="00773CC9" w:rsidRPr="000A703B" w:rsidRDefault="000A703B" w:rsidP="00F061E7">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0A703B">
              <w:rPr>
                <w:rFonts w:asciiTheme="minorHAnsi" w:hAnsiTheme="minorHAnsi"/>
                <w:sz w:val="20"/>
                <w:szCs w:val="20"/>
              </w:rPr>
              <w:t xml:space="preserve">The approval of a medicine that addresses unmet medical needs of patients on the basis of less comprehensive data than normally required. The available data must indicate that the medicine’s benefits outweigh its </w:t>
            </w:r>
            <w:r w:rsidR="00436418" w:rsidRPr="000A703B">
              <w:rPr>
                <w:rFonts w:asciiTheme="minorHAnsi" w:hAnsiTheme="minorHAnsi"/>
                <w:sz w:val="20"/>
                <w:szCs w:val="20"/>
              </w:rPr>
              <w:t>risks,</w:t>
            </w:r>
            <w:r w:rsidRPr="000A703B">
              <w:rPr>
                <w:rFonts w:asciiTheme="minorHAnsi" w:hAnsiTheme="minorHAnsi"/>
                <w:sz w:val="20"/>
                <w:szCs w:val="20"/>
              </w:rPr>
              <w:t xml:space="preserve"> and the applicant should be in a position to provide the comprehensive clinical data in the future.</w:t>
            </w:r>
          </w:p>
        </w:tc>
      </w:tr>
      <w:tr w:rsidR="007D3C60" w:rsidRPr="00EC2C01" w14:paraId="718472E1"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78C8973" w14:textId="0CBEE502" w:rsidR="007D3C60" w:rsidRPr="00F061E7" w:rsidRDefault="00756988" w:rsidP="005268E0">
            <w:pPr>
              <w:pStyle w:val="5Bodytext"/>
              <w:jc w:val="center"/>
              <w:rPr>
                <w:rFonts w:asciiTheme="minorHAnsi" w:hAnsiTheme="minorHAnsi"/>
                <w:sz w:val="20"/>
                <w:szCs w:val="20"/>
              </w:rPr>
            </w:pPr>
            <w:r w:rsidRPr="00756988">
              <w:rPr>
                <w:rFonts w:asciiTheme="minorHAnsi" w:hAnsiTheme="minorHAnsi"/>
                <w:sz w:val="20"/>
                <w:szCs w:val="20"/>
              </w:rPr>
              <w:t>Evaluation Sub-Committee (ESC)</w:t>
            </w:r>
            <w:r>
              <w:rPr>
                <w:rFonts w:asciiTheme="minorHAnsi" w:hAnsiTheme="minorHAnsi"/>
                <w:sz w:val="20"/>
                <w:szCs w:val="20"/>
              </w:rPr>
              <w:t>, MSAC</w:t>
            </w:r>
            <w:bookmarkStart w:id="212" w:name="_Ref130307539"/>
            <w:r w:rsidR="000D73AB">
              <w:rPr>
                <w:rStyle w:val="FootnoteReference"/>
                <w:rFonts w:asciiTheme="minorHAnsi" w:hAnsiTheme="minorHAnsi"/>
                <w:sz w:val="20"/>
                <w:szCs w:val="20"/>
              </w:rPr>
              <w:footnoteReference w:id="98"/>
            </w:r>
            <w:bookmarkEnd w:id="212"/>
          </w:p>
        </w:tc>
        <w:tc>
          <w:tcPr>
            <w:tcW w:w="6606" w:type="dxa"/>
            <w:vAlign w:val="center"/>
          </w:tcPr>
          <w:p w14:paraId="5581D991" w14:textId="12889BAE" w:rsidR="007D3C60" w:rsidRPr="00756988" w:rsidRDefault="00756988" w:rsidP="00F061E7">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756988">
              <w:rPr>
                <w:rFonts w:asciiTheme="minorHAnsi" w:eastAsia="Arial" w:hAnsiTheme="minorHAnsi" w:cstheme="minorHAnsi"/>
                <w:sz w:val="20"/>
                <w:szCs w:val="20"/>
              </w:rPr>
              <w:t>ESC is one of two sub-committees</w:t>
            </w:r>
            <w:r w:rsidRPr="00756988">
              <w:rPr>
                <w:rFonts w:asciiTheme="minorHAnsi" w:hAnsiTheme="minorHAnsi" w:cstheme="minorHAnsi"/>
                <w:sz w:val="20"/>
                <w:szCs w:val="20"/>
              </w:rPr>
              <w:t xml:space="preserve"> of MSAC (the other sub-committee being PASC). ESC primarily advises MSAC on issues and uncertainties arising from the evidence</w:t>
            </w:r>
            <w:r w:rsidRPr="00756988">
              <w:rPr>
                <w:rStyle w:val="Hyperlink"/>
                <w:rFonts w:asciiTheme="minorHAnsi" w:hAnsiTheme="minorHAnsi" w:cstheme="minorHAnsi"/>
                <w:sz w:val="20"/>
                <w:szCs w:val="20"/>
              </w:rPr>
              <w:t>,</w:t>
            </w:r>
            <w:r w:rsidRPr="00756988">
              <w:rPr>
                <w:rFonts w:asciiTheme="minorHAnsi" w:hAnsiTheme="minorHAnsi" w:cstheme="minorHAnsi"/>
                <w:sz w:val="20"/>
                <w:szCs w:val="20"/>
              </w:rPr>
              <w:t xml:space="preserve"> presented in an assessment </w:t>
            </w:r>
            <w:r w:rsidRPr="00756988">
              <w:rPr>
                <w:rFonts w:asciiTheme="minorHAnsi" w:hAnsiTheme="minorHAnsi" w:cstheme="minorHAnsi"/>
                <w:sz w:val="20"/>
                <w:szCs w:val="20"/>
                <w:u w:val="single"/>
              </w:rPr>
              <w:t>report</w:t>
            </w:r>
            <w:r w:rsidRPr="00756988">
              <w:rPr>
                <w:rFonts w:asciiTheme="minorHAnsi" w:hAnsiTheme="minorHAnsi" w:cstheme="minorHAnsi"/>
                <w:sz w:val="20"/>
                <w:szCs w:val="20"/>
              </w:rPr>
              <w:t xml:space="preserve">. ESC meets three times per year (usually in February, </w:t>
            </w:r>
            <w:r w:rsidR="00436418" w:rsidRPr="00756988">
              <w:rPr>
                <w:rFonts w:asciiTheme="minorHAnsi" w:hAnsiTheme="minorHAnsi" w:cstheme="minorHAnsi"/>
                <w:sz w:val="20"/>
                <w:szCs w:val="20"/>
              </w:rPr>
              <w:t>June,</w:t>
            </w:r>
            <w:r w:rsidRPr="00756988">
              <w:rPr>
                <w:rFonts w:asciiTheme="minorHAnsi" w:hAnsiTheme="minorHAnsi" w:cstheme="minorHAnsi"/>
                <w:sz w:val="20"/>
                <w:szCs w:val="20"/>
              </w:rPr>
              <w:t xml:space="preserve"> and October), and </w:t>
            </w:r>
            <w:r w:rsidRPr="00756988">
              <w:rPr>
                <w:rFonts w:asciiTheme="minorHAnsi" w:hAnsiTheme="minorHAnsi" w:cstheme="minorHAnsi"/>
                <w:i/>
                <w:sz w:val="20"/>
                <w:szCs w:val="20"/>
              </w:rPr>
              <w:t>MSAC’s</w:t>
            </w:r>
            <w:r w:rsidRPr="00756988">
              <w:rPr>
                <w:rFonts w:asciiTheme="minorHAnsi" w:hAnsiTheme="minorHAnsi" w:cstheme="minorHAnsi"/>
                <w:sz w:val="20"/>
                <w:szCs w:val="20"/>
              </w:rPr>
              <w:t xml:space="preserve"> ESC should not be confused with PBAC’s Economics Sub-Committee.</w:t>
            </w:r>
          </w:p>
        </w:tc>
      </w:tr>
      <w:tr w:rsidR="000D73AB" w:rsidRPr="00EC2C01" w14:paraId="0B9C7847"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6904EEF" w14:textId="5B628774" w:rsidR="000D73AB" w:rsidRPr="00756988" w:rsidRDefault="00B43EED" w:rsidP="005268E0">
            <w:pPr>
              <w:pStyle w:val="5Bodytext"/>
              <w:jc w:val="center"/>
              <w:rPr>
                <w:rFonts w:asciiTheme="minorHAnsi" w:hAnsiTheme="minorHAnsi"/>
                <w:sz w:val="20"/>
                <w:szCs w:val="20"/>
              </w:rPr>
            </w:pPr>
            <w:r>
              <w:rPr>
                <w:rFonts w:asciiTheme="minorHAnsi" w:hAnsiTheme="minorHAnsi"/>
                <w:sz w:val="20"/>
                <w:szCs w:val="20"/>
              </w:rPr>
              <w:t>Economics</w:t>
            </w:r>
            <w:r w:rsidR="00916F99" w:rsidRPr="00756988">
              <w:rPr>
                <w:rFonts w:asciiTheme="minorHAnsi" w:hAnsiTheme="minorHAnsi"/>
                <w:sz w:val="20"/>
                <w:szCs w:val="20"/>
              </w:rPr>
              <w:t xml:space="preserve"> Sub-Committee (ESC)</w:t>
            </w:r>
            <w:r w:rsidR="00916F99">
              <w:rPr>
                <w:rFonts w:asciiTheme="minorHAnsi" w:hAnsiTheme="minorHAnsi"/>
                <w:sz w:val="20"/>
                <w:szCs w:val="20"/>
              </w:rPr>
              <w:t xml:space="preserve">, </w:t>
            </w:r>
            <w:r w:rsidR="009D44B7">
              <w:rPr>
                <w:rFonts w:asciiTheme="minorHAnsi" w:hAnsiTheme="minorHAnsi"/>
                <w:sz w:val="20"/>
                <w:szCs w:val="20"/>
              </w:rPr>
              <w:t>PB</w:t>
            </w:r>
            <w:r w:rsidR="00916F99">
              <w:rPr>
                <w:rFonts w:asciiTheme="minorHAnsi" w:hAnsiTheme="minorHAnsi"/>
                <w:sz w:val="20"/>
                <w:szCs w:val="20"/>
              </w:rPr>
              <w:t>AC</w:t>
            </w:r>
            <w:r w:rsidR="00916F99" w:rsidRPr="00916F99">
              <w:rPr>
                <w:rFonts w:asciiTheme="minorHAnsi" w:hAnsiTheme="minorHAnsi"/>
                <w:sz w:val="20"/>
                <w:szCs w:val="20"/>
                <w:vertAlign w:val="superscript"/>
              </w:rPr>
              <w:fldChar w:fldCharType="begin"/>
            </w:r>
            <w:r w:rsidR="00916F99" w:rsidRPr="00916F99">
              <w:rPr>
                <w:rFonts w:asciiTheme="minorHAnsi" w:hAnsiTheme="minorHAnsi"/>
                <w:sz w:val="20"/>
                <w:szCs w:val="20"/>
                <w:vertAlign w:val="superscript"/>
              </w:rPr>
              <w:instrText xml:space="preserve"> NOTEREF _Ref130307539 \h </w:instrText>
            </w:r>
            <w:r w:rsidR="00916F99">
              <w:rPr>
                <w:rFonts w:asciiTheme="minorHAnsi" w:hAnsiTheme="minorHAnsi"/>
                <w:sz w:val="20"/>
                <w:szCs w:val="20"/>
                <w:vertAlign w:val="superscript"/>
              </w:rPr>
              <w:instrText xml:space="preserve"> \* MERGEFORMAT </w:instrText>
            </w:r>
            <w:r w:rsidR="00916F99" w:rsidRPr="00916F99">
              <w:rPr>
                <w:rFonts w:asciiTheme="minorHAnsi" w:hAnsiTheme="minorHAnsi"/>
                <w:sz w:val="20"/>
                <w:szCs w:val="20"/>
                <w:vertAlign w:val="superscript"/>
              </w:rPr>
            </w:r>
            <w:r w:rsidR="00916F99" w:rsidRPr="00916F99">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97</w:t>
            </w:r>
            <w:r w:rsidR="00916F99" w:rsidRPr="00916F99">
              <w:rPr>
                <w:rFonts w:asciiTheme="minorHAnsi" w:hAnsiTheme="minorHAnsi"/>
                <w:sz w:val="20"/>
                <w:szCs w:val="20"/>
                <w:vertAlign w:val="superscript"/>
              </w:rPr>
              <w:fldChar w:fldCharType="end"/>
            </w:r>
          </w:p>
        </w:tc>
        <w:tc>
          <w:tcPr>
            <w:tcW w:w="6606" w:type="dxa"/>
            <w:vAlign w:val="center"/>
          </w:tcPr>
          <w:p w14:paraId="19311918" w14:textId="64605BF1" w:rsidR="000D73AB" w:rsidRPr="00756988" w:rsidRDefault="003D5976" w:rsidP="00F061E7">
            <w:pPr>
              <w:pStyle w:val="5Bodytext"/>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0"/>
                <w:szCs w:val="20"/>
              </w:rPr>
            </w:pPr>
            <w:r w:rsidRPr="003D5976">
              <w:rPr>
                <w:rFonts w:asciiTheme="minorHAnsi" w:eastAsia="Arial" w:hAnsiTheme="minorHAnsi" w:cstheme="minorHAnsi"/>
                <w:sz w:val="20"/>
                <w:szCs w:val="20"/>
              </w:rPr>
              <w:t>ESC is a sub-committee of the PBAC that advises it on the quality, validity and relevance of economic analyses and evaluations submitted in support of listing of medicines on the PBS. ESC also advises PBAC on methodological developments in collecting, analysis and interpreting clinical and economic data, and on the content of PBAC guidelines.</w:t>
            </w:r>
          </w:p>
        </w:tc>
      </w:tr>
      <w:tr w:rsidR="0087130D" w:rsidRPr="00EC2C01" w14:paraId="589799B5"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55073A0" w14:textId="4861989C" w:rsidR="0087130D" w:rsidRPr="00EC2C01" w:rsidRDefault="00FC0F69" w:rsidP="005268E0">
            <w:pPr>
              <w:pStyle w:val="5Bodytext"/>
              <w:jc w:val="center"/>
              <w:rPr>
                <w:rFonts w:asciiTheme="minorHAnsi" w:hAnsiTheme="minorHAnsi"/>
                <w:sz w:val="20"/>
                <w:szCs w:val="20"/>
              </w:rPr>
            </w:pPr>
            <w:r>
              <w:rPr>
                <w:rFonts w:asciiTheme="minorHAnsi" w:hAnsiTheme="minorHAnsi"/>
                <w:sz w:val="20"/>
                <w:szCs w:val="20"/>
              </w:rPr>
              <w:t>Device</w:t>
            </w:r>
          </w:p>
        </w:tc>
        <w:tc>
          <w:tcPr>
            <w:tcW w:w="6606" w:type="dxa"/>
            <w:vAlign w:val="center"/>
          </w:tcPr>
          <w:p w14:paraId="25C20DF1" w14:textId="77777777" w:rsidR="00600594" w:rsidRDefault="00FC0F69" w:rsidP="00FC0F69">
            <w:pPr>
              <w:pStyle w:val="5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C0F69">
              <w:rPr>
                <w:rFonts w:asciiTheme="minorHAnsi" w:hAnsiTheme="minorHAnsi" w:cstheme="minorHAnsi"/>
                <w:sz w:val="20"/>
                <w:szCs w:val="20"/>
              </w:rPr>
              <w:t xml:space="preserve">Used to imply ‘medical device’ </w:t>
            </w:r>
          </w:p>
          <w:p w14:paraId="436130A4" w14:textId="2B3E629B" w:rsidR="00FC0F69" w:rsidRDefault="00FC0F69" w:rsidP="00FC0F69">
            <w:pPr>
              <w:pStyle w:val="5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C0F69">
              <w:rPr>
                <w:rFonts w:asciiTheme="minorHAnsi" w:hAnsiTheme="minorHAnsi" w:cstheme="minorHAnsi"/>
                <w:sz w:val="20"/>
                <w:szCs w:val="20"/>
              </w:rPr>
              <w:t xml:space="preserve">Any instrument, apparatus, appliance, </w:t>
            </w:r>
            <w:r w:rsidR="00436418" w:rsidRPr="00FC0F69">
              <w:rPr>
                <w:rFonts w:asciiTheme="minorHAnsi" w:hAnsiTheme="minorHAnsi" w:cstheme="minorHAnsi"/>
                <w:sz w:val="20"/>
                <w:szCs w:val="20"/>
              </w:rPr>
              <w:t>material,</w:t>
            </w:r>
            <w:r w:rsidRPr="00FC0F69">
              <w:rPr>
                <w:rFonts w:asciiTheme="minorHAnsi" w:hAnsiTheme="minorHAnsi" w:cstheme="minorHAnsi"/>
                <w:sz w:val="20"/>
                <w:szCs w:val="20"/>
              </w:rPr>
              <w:t xml:space="preserve"> or other article that:</w:t>
            </w:r>
            <w:r w:rsidR="00600594" w:rsidRPr="00600594">
              <w:rPr>
                <w:rFonts w:asciiTheme="minorHAnsi" w:hAnsiTheme="minorHAnsi" w:cstheme="minorHAnsi"/>
                <w:sz w:val="20"/>
                <w:szCs w:val="20"/>
                <w:vertAlign w:val="superscript"/>
              </w:rPr>
              <w:fldChar w:fldCharType="begin"/>
            </w:r>
            <w:r w:rsidR="00600594" w:rsidRPr="00600594">
              <w:rPr>
                <w:rFonts w:asciiTheme="minorHAnsi" w:hAnsiTheme="minorHAnsi" w:cstheme="minorHAnsi"/>
                <w:sz w:val="20"/>
                <w:szCs w:val="20"/>
                <w:vertAlign w:val="superscript"/>
              </w:rPr>
              <w:instrText xml:space="preserve"> NOTEREF _Ref129250159 \h </w:instrText>
            </w:r>
            <w:r w:rsidR="00600594">
              <w:rPr>
                <w:rFonts w:asciiTheme="minorHAnsi" w:hAnsiTheme="minorHAnsi" w:cstheme="minorHAnsi"/>
                <w:sz w:val="20"/>
                <w:szCs w:val="20"/>
                <w:vertAlign w:val="superscript"/>
              </w:rPr>
              <w:instrText xml:space="preserve"> \* MERGEFORMAT </w:instrText>
            </w:r>
            <w:r w:rsidR="00600594" w:rsidRPr="00600594">
              <w:rPr>
                <w:rFonts w:asciiTheme="minorHAnsi" w:hAnsiTheme="minorHAnsi" w:cstheme="minorHAnsi"/>
                <w:sz w:val="20"/>
                <w:szCs w:val="20"/>
                <w:vertAlign w:val="superscript"/>
              </w:rPr>
            </w:r>
            <w:r w:rsidR="00600594" w:rsidRPr="00600594">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100</w:t>
            </w:r>
            <w:r w:rsidR="00600594" w:rsidRPr="00600594">
              <w:rPr>
                <w:rFonts w:asciiTheme="minorHAnsi" w:hAnsiTheme="minorHAnsi" w:cstheme="minorHAnsi"/>
                <w:sz w:val="20"/>
                <w:szCs w:val="20"/>
                <w:vertAlign w:val="superscript"/>
              </w:rPr>
              <w:fldChar w:fldCharType="end"/>
            </w:r>
            <w:r w:rsidRPr="00600594">
              <w:rPr>
                <w:rFonts w:asciiTheme="minorHAnsi" w:hAnsiTheme="minorHAnsi" w:cstheme="minorHAnsi"/>
                <w:sz w:val="20"/>
                <w:szCs w:val="20"/>
                <w:vertAlign w:val="superscript"/>
              </w:rPr>
              <w:t xml:space="preserve"> </w:t>
            </w:r>
          </w:p>
          <w:p w14:paraId="2488965F" w14:textId="41F05C78" w:rsidR="00FC0F69" w:rsidRDefault="00FC0F69" w:rsidP="00990D82">
            <w:pPr>
              <w:pStyle w:val="5Bodytext"/>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C0F69">
              <w:rPr>
                <w:rFonts w:asciiTheme="minorHAnsi" w:hAnsiTheme="minorHAnsi" w:cstheme="minorHAnsi"/>
                <w:sz w:val="20"/>
                <w:szCs w:val="20"/>
              </w:rPr>
              <w:t xml:space="preserve">is used for humans </w:t>
            </w:r>
          </w:p>
          <w:p w14:paraId="701AEE39" w14:textId="77777777" w:rsidR="00FC0F69" w:rsidRDefault="00FC0F69" w:rsidP="00990D82">
            <w:pPr>
              <w:pStyle w:val="5Bodytext"/>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C0F69">
              <w:rPr>
                <w:rFonts w:asciiTheme="minorHAnsi" w:hAnsiTheme="minorHAnsi" w:cstheme="minorHAnsi"/>
                <w:sz w:val="20"/>
                <w:szCs w:val="20"/>
              </w:rPr>
              <w:t xml:space="preserve">is intended to diagnose, prevent, monitor, treat or alleviate a disease or injury, or modify or monitor anatomy or physiological functions of the body </w:t>
            </w:r>
          </w:p>
          <w:p w14:paraId="4A707DD1" w14:textId="352B6B5B" w:rsidR="0087130D" w:rsidRPr="00FC0F69" w:rsidRDefault="00FC0F69" w:rsidP="00990D82">
            <w:pPr>
              <w:pStyle w:val="5Bodytext"/>
              <w:numPr>
                <w:ilvl w:val="0"/>
                <w:numId w:val="21"/>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C0F69">
              <w:rPr>
                <w:rFonts w:asciiTheme="minorHAnsi" w:hAnsiTheme="minorHAnsi" w:cstheme="minorHAnsi"/>
                <w:sz w:val="20"/>
                <w:szCs w:val="20"/>
              </w:rPr>
              <w:t xml:space="preserve">generally achieves its purpose by a physical, </w:t>
            </w:r>
            <w:r w:rsidR="00436418" w:rsidRPr="00FC0F69">
              <w:rPr>
                <w:rFonts w:asciiTheme="minorHAnsi" w:hAnsiTheme="minorHAnsi" w:cstheme="minorHAnsi"/>
                <w:sz w:val="20"/>
                <w:szCs w:val="20"/>
              </w:rPr>
              <w:t>mechanical,</w:t>
            </w:r>
            <w:r w:rsidRPr="00FC0F69">
              <w:rPr>
                <w:rFonts w:asciiTheme="minorHAnsi" w:hAnsiTheme="minorHAnsi" w:cstheme="minorHAnsi"/>
                <w:sz w:val="20"/>
                <w:szCs w:val="20"/>
              </w:rPr>
              <w:t xml:space="preserve"> or chemical action</w:t>
            </w:r>
            <w:r>
              <w:rPr>
                <w:rFonts w:asciiTheme="minorHAnsi" w:hAnsiTheme="minorHAnsi" w:cstheme="minorHAnsi"/>
                <w:sz w:val="20"/>
                <w:szCs w:val="20"/>
              </w:rPr>
              <w:t>.</w:t>
            </w:r>
          </w:p>
        </w:tc>
      </w:tr>
      <w:tr w:rsidR="002D30DA" w:rsidRPr="00EC2C01" w14:paraId="3804782D"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D7EFADA" w14:textId="094B6877" w:rsidR="002D30DA" w:rsidRDefault="002D30DA" w:rsidP="005268E0">
            <w:pPr>
              <w:pStyle w:val="5Bodytext"/>
              <w:jc w:val="center"/>
              <w:rPr>
                <w:rFonts w:asciiTheme="minorHAnsi" w:hAnsiTheme="minorHAnsi"/>
                <w:sz w:val="20"/>
                <w:szCs w:val="20"/>
              </w:rPr>
            </w:pPr>
            <w:r>
              <w:rPr>
                <w:rFonts w:asciiTheme="minorHAnsi" w:hAnsiTheme="minorHAnsi"/>
                <w:sz w:val="20"/>
                <w:szCs w:val="20"/>
              </w:rPr>
              <w:t>Diagnosis</w:t>
            </w:r>
          </w:p>
        </w:tc>
        <w:tc>
          <w:tcPr>
            <w:tcW w:w="6606" w:type="dxa"/>
            <w:vAlign w:val="center"/>
          </w:tcPr>
          <w:p w14:paraId="7B6A4C77" w14:textId="6DC92F88" w:rsidR="002D30DA" w:rsidRPr="00FC0F69" w:rsidRDefault="002D30DA" w:rsidP="00FC0F69">
            <w:pPr>
              <w:pStyle w:val="5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D30DA">
              <w:rPr>
                <w:rFonts w:asciiTheme="minorHAnsi" w:hAnsiTheme="minorHAnsi" w:cstheme="minorHAnsi"/>
                <w:sz w:val="20"/>
                <w:szCs w:val="20"/>
              </w:rPr>
              <w:t>The identification of a medical condition by investigation</w:t>
            </w:r>
            <w:r>
              <w:rPr>
                <w:rFonts w:asciiTheme="minorHAnsi" w:hAnsiTheme="minorHAnsi" w:cstheme="minorHAnsi"/>
                <w:sz w:val="20"/>
                <w:szCs w:val="20"/>
              </w:rPr>
              <w:t xml:space="preserve">. </w:t>
            </w:r>
            <w:r w:rsidRPr="002D30DA">
              <w:rPr>
                <w:rFonts w:asciiTheme="minorHAnsi" w:hAnsiTheme="minorHAnsi" w:cstheme="minorHAnsi"/>
                <w:sz w:val="20"/>
                <w:szCs w:val="20"/>
                <w:vertAlign w:val="superscript"/>
              </w:rPr>
              <w:fldChar w:fldCharType="begin"/>
            </w:r>
            <w:r w:rsidRPr="002D30DA">
              <w:rPr>
                <w:rFonts w:asciiTheme="minorHAnsi" w:hAnsiTheme="minorHAnsi" w:cstheme="minorHAnsi"/>
                <w:sz w:val="20"/>
                <w:szCs w:val="20"/>
                <w:vertAlign w:val="superscript"/>
              </w:rPr>
              <w:instrText xml:space="preserve"> NOTEREF _Ref129252019 \h </w:instrText>
            </w:r>
            <w:r>
              <w:rPr>
                <w:rFonts w:asciiTheme="minorHAnsi" w:hAnsiTheme="minorHAnsi" w:cstheme="minorHAnsi"/>
                <w:sz w:val="20"/>
                <w:szCs w:val="20"/>
                <w:vertAlign w:val="superscript"/>
              </w:rPr>
              <w:instrText xml:space="preserve"> \* MERGEFORMAT </w:instrText>
            </w:r>
            <w:r w:rsidRPr="002D30DA">
              <w:rPr>
                <w:rFonts w:asciiTheme="minorHAnsi" w:hAnsiTheme="minorHAnsi" w:cstheme="minorHAnsi"/>
                <w:sz w:val="20"/>
                <w:szCs w:val="20"/>
                <w:vertAlign w:val="superscript"/>
              </w:rPr>
            </w:r>
            <w:r w:rsidRPr="002D30DA">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96</w:t>
            </w:r>
            <w:r w:rsidRPr="002D30DA">
              <w:rPr>
                <w:rFonts w:asciiTheme="minorHAnsi" w:hAnsiTheme="minorHAnsi" w:cstheme="minorHAnsi"/>
                <w:sz w:val="20"/>
                <w:szCs w:val="20"/>
                <w:vertAlign w:val="superscript"/>
              </w:rPr>
              <w:fldChar w:fldCharType="end"/>
            </w:r>
          </w:p>
        </w:tc>
      </w:tr>
      <w:tr w:rsidR="00CF0146" w:rsidRPr="00EC2C01" w14:paraId="4A4ECA73"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32212EC" w14:textId="345A5EFA" w:rsidR="00CF0146" w:rsidRDefault="00CF0146" w:rsidP="005268E0">
            <w:pPr>
              <w:pStyle w:val="5Bodytext"/>
              <w:jc w:val="center"/>
              <w:rPr>
                <w:rFonts w:asciiTheme="minorHAnsi" w:hAnsiTheme="minorHAnsi"/>
                <w:sz w:val="20"/>
                <w:szCs w:val="20"/>
              </w:rPr>
            </w:pPr>
            <w:r w:rsidRPr="00CF0146">
              <w:rPr>
                <w:rFonts w:asciiTheme="minorHAnsi" w:hAnsiTheme="minorHAnsi"/>
                <w:sz w:val="20"/>
                <w:szCs w:val="20"/>
              </w:rPr>
              <w:t>Economic evaluation</w:t>
            </w:r>
          </w:p>
        </w:tc>
        <w:tc>
          <w:tcPr>
            <w:tcW w:w="6606" w:type="dxa"/>
            <w:vAlign w:val="center"/>
          </w:tcPr>
          <w:p w14:paraId="6D3CA33A" w14:textId="35B25DA9" w:rsidR="00CF0146" w:rsidRPr="002D30DA" w:rsidRDefault="00CF0146" w:rsidP="00FC0F69">
            <w:pPr>
              <w:pStyle w:val="5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0146">
              <w:rPr>
                <w:rFonts w:asciiTheme="minorHAnsi" w:hAnsiTheme="minorHAnsi" w:cstheme="minorHAnsi"/>
                <w:sz w:val="20"/>
                <w:szCs w:val="20"/>
              </w:rPr>
              <w:t xml:space="preserve">A comparative analysis of the costs and outcomes of health technologies. An umbrella term covering cost-benefit analysis, cost-effectiveness analysis, cost-consequence analysis, cost minimisation analysis and cost-utility analysis. The analysis involves identification, </w:t>
            </w:r>
            <w:r w:rsidR="00436418" w:rsidRPr="00CF0146">
              <w:rPr>
                <w:rFonts w:asciiTheme="minorHAnsi" w:hAnsiTheme="minorHAnsi" w:cstheme="minorHAnsi"/>
                <w:sz w:val="20"/>
                <w:szCs w:val="20"/>
              </w:rPr>
              <w:t>measurement,</w:t>
            </w:r>
            <w:r w:rsidRPr="00CF0146">
              <w:rPr>
                <w:rFonts w:asciiTheme="minorHAnsi" w:hAnsiTheme="minorHAnsi" w:cstheme="minorHAnsi"/>
                <w:sz w:val="20"/>
                <w:szCs w:val="20"/>
              </w:rPr>
              <w:t xml:space="preserve"> and valuation of the differences in costs and outcomes caused by substituting health technologies.</w:t>
            </w:r>
            <w:r w:rsidRPr="00CF0146">
              <w:rPr>
                <w:rFonts w:asciiTheme="minorHAnsi" w:hAnsiTheme="minorHAnsi" w:cstheme="minorHAnsi"/>
                <w:sz w:val="20"/>
                <w:szCs w:val="20"/>
                <w:vertAlign w:val="superscript"/>
              </w:rPr>
              <w:fldChar w:fldCharType="begin"/>
            </w:r>
            <w:r w:rsidRPr="00CF0146">
              <w:rPr>
                <w:rFonts w:asciiTheme="minorHAnsi" w:hAnsiTheme="minorHAnsi" w:cstheme="minorHAnsi"/>
                <w:sz w:val="20"/>
                <w:szCs w:val="20"/>
                <w:vertAlign w:val="superscript"/>
              </w:rPr>
              <w:instrText xml:space="preserve"> NOTEREF _Ref129252019 \h </w:instrText>
            </w:r>
            <w:r>
              <w:rPr>
                <w:rFonts w:asciiTheme="minorHAnsi" w:hAnsiTheme="minorHAnsi" w:cstheme="minorHAnsi"/>
                <w:sz w:val="20"/>
                <w:szCs w:val="20"/>
                <w:vertAlign w:val="superscript"/>
              </w:rPr>
              <w:instrText xml:space="preserve"> \* MERGEFORMAT </w:instrText>
            </w:r>
            <w:r w:rsidRPr="00CF0146">
              <w:rPr>
                <w:rFonts w:asciiTheme="minorHAnsi" w:hAnsiTheme="minorHAnsi" w:cstheme="minorHAnsi"/>
                <w:sz w:val="20"/>
                <w:szCs w:val="20"/>
                <w:vertAlign w:val="superscript"/>
              </w:rPr>
            </w:r>
            <w:r w:rsidRPr="00CF0146">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96</w:t>
            </w:r>
            <w:r w:rsidRPr="00CF0146">
              <w:rPr>
                <w:rFonts w:asciiTheme="minorHAnsi" w:hAnsiTheme="minorHAnsi" w:cstheme="minorHAnsi"/>
                <w:sz w:val="20"/>
                <w:szCs w:val="20"/>
                <w:vertAlign w:val="superscript"/>
              </w:rPr>
              <w:fldChar w:fldCharType="end"/>
            </w:r>
          </w:p>
        </w:tc>
      </w:tr>
      <w:tr w:rsidR="007667F7" w:rsidRPr="00EC2C01" w14:paraId="0461DD46"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662BC61" w14:textId="67E589E6" w:rsidR="007667F7" w:rsidRPr="00ED76EF" w:rsidRDefault="007667F7" w:rsidP="005268E0">
            <w:pPr>
              <w:pStyle w:val="5Bodytext"/>
              <w:jc w:val="center"/>
              <w:rPr>
                <w:rFonts w:asciiTheme="minorHAnsi" w:hAnsiTheme="minorHAnsi"/>
                <w:sz w:val="20"/>
                <w:szCs w:val="20"/>
                <w:highlight w:val="yellow"/>
              </w:rPr>
            </w:pPr>
            <w:r w:rsidRPr="001A16B8">
              <w:rPr>
                <w:rFonts w:asciiTheme="minorHAnsi" w:hAnsiTheme="minorHAnsi"/>
                <w:sz w:val="20"/>
                <w:szCs w:val="20"/>
              </w:rPr>
              <w:t>European Medicines Agency (EMA)</w:t>
            </w:r>
          </w:p>
        </w:tc>
        <w:tc>
          <w:tcPr>
            <w:tcW w:w="6606" w:type="dxa"/>
            <w:vAlign w:val="center"/>
          </w:tcPr>
          <w:p w14:paraId="24E1C57C" w14:textId="4D235F3F" w:rsidR="007667F7" w:rsidRPr="00CF0146" w:rsidRDefault="001A16B8" w:rsidP="00FC0F69">
            <w:pPr>
              <w:pStyle w:val="5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A16B8">
              <w:rPr>
                <w:rFonts w:asciiTheme="minorHAnsi" w:eastAsia="Arial" w:hAnsiTheme="minorHAnsi" w:cstheme="minorHAnsi"/>
                <w:sz w:val="20"/>
                <w:szCs w:val="20"/>
              </w:rPr>
              <w:t>The European Medicines Agency (EMA) is a decentralised agency of the European Union (EU) responsible for the scientific evaluation, supervision and safety monitoring of medicines in the EU</w:t>
            </w:r>
          </w:p>
        </w:tc>
      </w:tr>
      <w:tr w:rsidR="00536626" w:rsidRPr="00536626" w14:paraId="32B2F6AC"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D275567" w14:textId="38000688" w:rsidR="00536626" w:rsidRPr="00536626" w:rsidRDefault="00536626" w:rsidP="005268E0">
            <w:pPr>
              <w:pStyle w:val="5Bodytext"/>
              <w:jc w:val="center"/>
              <w:rPr>
                <w:rFonts w:asciiTheme="minorHAnsi" w:hAnsiTheme="minorHAnsi" w:cstheme="minorHAnsi"/>
                <w:sz w:val="20"/>
                <w:szCs w:val="20"/>
              </w:rPr>
            </w:pPr>
            <w:r w:rsidRPr="00536626">
              <w:rPr>
                <w:rFonts w:asciiTheme="minorHAnsi" w:hAnsiTheme="minorHAnsi" w:cstheme="minorHAnsi"/>
                <w:sz w:val="20"/>
                <w:szCs w:val="20"/>
              </w:rPr>
              <w:t>Fast track</w:t>
            </w:r>
          </w:p>
        </w:tc>
        <w:tc>
          <w:tcPr>
            <w:tcW w:w="6606" w:type="dxa"/>
            <w:vAlign w:val="center"/>
          </w:tcPr>
          <w:p w14:paraId="79043D5C" w14:textId="5E67412E" w:rsidR="00536626" w:rsidRPr="00536626" w:rsidRDefault="00536626" w:rsidP="00FC0F69">
            <w:pPr>
              <w:pStyle w:val="5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w:t>
            </w:r>
            <w:r w:rsidRPr="00536626">
              <w:rPr>
                <w:rFonts w:asciiTheme="minorHAnsi" w:hAnsiTheme="minorHAnsi" w:cstheme="minorHAnsi"/>
                <w:sz w:val="20"/>
                <w:szCs w:val="20"/>
              </w:rPr>
              <w:t xml:space="preserve"> process designed to facilitate the </w:t>
            </w:r>
            <w:r w:rsidR="00410943" w:rsidRPr="00536626">
              <w:rPr>
                <w:rFonts w:asciiTheme="minorHAnsi" w:hAnsiTheme="minorHAnsi" w:cstheme="minorHAnsi"/>
                <w:sz w:val="20"/>
                <w:szCs w:val="20"/>
              </w:rPr>
              <w:t>development and</w:t>
            </w:r>
            <w:r w:rsidRPr="00536626">
              <w:rPr>
                <w:rFonts w:asciiTheme="minorHAnsi" w:hAnsiTheme="minorHAnsi" w:cstheme="minorHAnsi"/>
                <w:sz w:val="20"/>
                <w:szCs w:val="20"/>
              </w:rPr>
              <w:t xml:space="preserve"> expedite the review of drugs to treat serious conditions and fill an unmet medical need.</w:t>
            </w:r>
            <w:bookmarkStart w:id="213" w:name="_Ref134451988"/>
            <w:r w:rsidR="0010707A">
              <w:rPr>
                <w:rStyle w:val="FootnoteReference"/>
                <w:rFonts w:asciiTheme="minorHAnsi" w:hAnsiTheme="minorHAnsi" w:cstheme="minorHAnsi"/>
                <w:sz w:val="20"/>
                <w:szCs w:val="20"/>
              </w:rPr>
              <w:footnoteReference w:id="99"/>
            </w:r>
            <w:bookmarkEnd w:id="213"/>
            <w:r w:rsidRPr="00536626">
              <w:rPr>
                <w:rFonts w:asciiTheme="minorHAnsi" w:hAnsiTheme="minorHAnsi" w:cstheme="minorHAnsi"/>
                <w:sz w:val="20"/>
                <w:szCs w:val="20"/>
              </w:rPr>
              <w:t xml:space="preserve"> The purpose is to get important new drugs to the patient earlier and addresses a broad range of serious conditions.</w:t>
            </w:r>
            <w:r w:rsidR="0010707A" w:rsidRPr="0010707A">
              <w:rPr>
                <w:rFonts w:asciiTheme="minorHAnsi" w:hAnsiTheme="minorHAnsi" w:cstheme="minorHAnsi"/>
                <w:sz w:val="20"/>
                <w:szCs w:val="20"/>
                <w:vertAlign w:val="superscript"/>
              </w:rPr>
              <w:fldChar w:fldCharType="begin"/>
            </w:r>
            <w:r w:rsidR="0010707A" w:rsidRPr="0010707A">
              <w:rPr>
                <w:rFonts w:asciiTheme="minorHAnsi" w:hAnsiTheme="minorHAnsi" w:cstheme="minorHAnsi"/>
                <w:sz w:val="20"/>
                <w:szCs w:val="20"/>
                <w:vertAlign w:val="superscript"/>
              </w:rPr>
              <w:instrText xml:space="preserve"> NOTEREF _Ref134451988 \h </w:instrText>
            </w:r>
            <w:r w:rsidR="0010707A">
              <w:rPr>
                <w:rFonts w:asciiTheme="minorHAnsi" w:hAnsiTheme="minorHAnsi" w:cstheme="minorHAnsi"/>
                <w:sz w:val="20"/>
                <w:szCs w:val="20"/>
                <w:vertAlign w:val="superscript"/>
              </w:rPr>
              <w:instrText xml:space="preserve"> \* MERGEFORMAT </w:instrText>
            </w:r>
            <w:r w:rsidR="0010707A" w:rsidRPr="0010707A">
              <w:rPr>
                <w:rFonts w:asciiTheme="minorHAnsi" w:hAnsiTheme="minorHAnsi" w:cstheme="minorHAnsi"/>
                <w:sz w:val="20"/>
                <w:szCs w:val="20"/>
                <w:vertAlign w:val="superscript"/>
              </w:rPr>
            </w:r>
            <w:r w:rsidR="0010707A" w:rsidRPr="0010707A">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98</w:t>
            </w:r>
            <w:r w:rsidR="0010707A" w:rsidRPr="0010707A">
              <w:rPr>
                <w:rFonts w:asciiTheme="minorHAnsi" w:hAnsiTheme="minorHAnsi" w:cstheme="minorHAnsi"/>
                <w:sz w:val="20"/>
                <w:szCs w:val="20"/>
                <w:vertAlign w:val="superscript"/>
              </w:rPr>
              <w:fldChar w:fldCharType="end"/>
            </w:r>
            <w:r w:rsidR="0010707A" w:rsidRPr="00536626">
              <w:rPr>
                <w:rFonts w:asciiTheme="minorHAnsi" w:hAnsiTheme="minorHAnsi" w:cstheme="minorHAnsi"/>
                <w:sz w:val="20"/>
                <w:szCs w:val="20"/>
              </w:rPr>
              <w:t xml:space="preserve"> </w:t>
            </w:r>
          </w:p>
        </w:tc>
      </w:tr>
      <w:tr w:rsidR="002A707C" w:rsidRPr="00536626" w14:paraId="33589BE3"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C100C52" w14:textId="0317A466" w:rsidR="002A707C" w:rsidRPr="00536626" w:rsidRDefault="000B1905" w:rsidP="005268E0">
            <w:pPr>
              <w:pStyle w:val="5Bodytext"/>
              <w:jc w:val="center"/>
              <w:rPr>
                <w:rFonts w:asciiTheme="minorHAnsi" w:hAnsiTheme="minorHAnsi" w:cstheme="minorHAnsi"/>
                <w:sz w:val="20"/>
                <w:szCs w:val="20"/>
              </w:rPr>
            </w:pPr>
            <w:r w:rsidRPr="000B1905">
              <w:rPr>
                <w:rFonts w:asciiTheme="minorHAnsi" w:hAnsiTheme="minorHAnsi" w:cstheme="minorHAnsi"/>
                <w:sz w:val="20"/>
                <w:szCs w:val="20"/>
              </w:rPr>
              <w:t>Food and Drug Administratio</w:t>
            </w:r>
            <w:r w:rsidRPr="001A16B8">
              <w:rPr>
                <w:rFonts w:asciiTheme="minorHAnsi" w:hAnsiTheme="minorHAnsi" w:cstheme="minorHAnsi"/>
                <w:sz w:val="20"/>
                <w:szCs w:val="20"/>
              </w:rPr>
              <w:t xml:space="preserve">n </w:t>
            </w:r>
            <w:r w:rsidR="002A707C" w:rsidRPr="001A16B8">
              <w:rPr>
                <w:rFonts w:asciiTheme="minorHAnsi" w:hAnsiTheme="minorHAnsi" w:cstheme="minorHAnsi"/>
                <w:sz w:val="20"/>
                <w:szCs w:val="20"/>
              </w:rPr>
              <w:t>(FDA)</w:t>
            </w:r>
          </w:p>
        </w:tc>
        <w:tc>
          <w:tcPr>
            <w:tcW w:w="6606" w:type="dxa"/>
            <w:vAlign w:val="center"/>
          </w:tcPr>
          <w:p w14:paraId="1EB57BBC" w14:textId="4D3B6CAB" w:rsidR="002A707C" w:rsidRDefault="001A16B8" w:rsidP="00FC0F69">
            <w:pPr>
              <w:pStyle w:val="5Bodytext"/>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FDA is the United States regulatory body that is responsible for </w:t>
            </w:r>
            <w:r w:rsidRPr="001A16B8">
              <w:rPr>
                <w:rFonts w:asciiTheme="minorHAnsi" w:hAnsiTheme="minorHAnsi" w:cstheme="minorHAnsi"/>
                <w:sz w:val="20"/>
                <w:szCs w:val="20"/>
              </w:rPr>
              <w:t>ensuring that human and veterinary drugs, and vaccines and other biological products and medical devices intended for human use are safe and effective</w:t>
            </w:r>
            <w:r>
              <w:rPr>
                <w:rFonts w:asciiTheme="minorHAnsi" w:hAnsiTheme="minorHAnsi" w:cstheme="minorHAnsi"/>
                <w:sz w:val="20"/>
                <w:szCs w:val="20"/>
              </w:rPr>
              <w:t>.</w:t>
            </w:r>
          </w:p>
        </w:tc>
      </w:tr>
      <w:tr w:rsidR="00F81723" w:rsidRPr="00EC2C01" w14:paraId="06BBF378"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DF39758" w14:textId="50B2F2F4" w:rsidR="00F81723" w:rsidRPr="008E3779" w:rsidRDefault="00F81723" w:rsidP="005268E0">
            <w:pPr>
              <w:pStyle w:val="5Bodytext"/>
              <w:jc w:val="center"/>
              <w:rPr>
                <w:rFonts w:asciiTheme="minorHAnsi" w:hAnsiTheme="minorHAnsi"/>
                <w:sz w:val="20"/>
                <w:szCs w:val="20"/>
                <w:highlight w:val="yellow"/>
              </w:rPr>
            </w:pPr>
            <w:r w:rsidRPr="00C4483A">
              <w:rPr>
                <w:rFonts w:asciiTheme="minorHAnsi" w:hAnsiTheme="minorHAnsi"/>
                <w:sz w:val="20"/>
                <w:szCs w:val="20"/>
              </w:rPr>
              <w:t>Genetics</w:t>
            </w:r>
          </w:p>
        </w:tc>
        <w:tc>
          <w:tcPr>
            <w:tcW w:w="6606" w:type="dxa"/>
            <w:vAlign w:val="center"/>
          </w:tcPr>
          <w:p w14:paraId="1501F25F" w14:textId="3D11AE09" w:rsidR="00F81723" w:rsidRPr="00EC2C01" w:rsidRDefault="006D211F" w:rsidP="00F81723">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Th</w:t>
            </w:r>
            <w:r w:rsidRPr="006D211F">
              <w:rPr>
                <w:rFonts w:asciiTheme="minorHAnsi" w:hAnsiTheme="minorHAnsi"/>
                <w:sz w:val="20"/>
                <w:szCs w:val="20"/>
              </w:rPr>
              <w:t>e study of how genes work and transmit information from parents to offspring.</w:t>
            </w:r>
            <w:bookmarkStart w:id="214" w:name="_Ref130371857"/>
            <w:r w:rsidR="001023C0">
              <w:rPr>
                <w:rStyle w:val="FootnoteReference"/>
                <w:rFonts w:asciiTheme="minorHAnsi" w:hAnsiTheme="minorHAnsi"/>
                <w:sz w:val="20"/>
                <w:szCs w:val="20"/>
              </w:rPr>
              <w:footnoteReference w:id="100"/>
            </w:r>
            <w:bookmarkEnd w:id="214"/>
            <w:r w:rsidRPr="006D211F">
              <w:rPr>
                <w:rFonts w:asciiTheme="minorHAnsi" w:hAnsiTheme="minorHAnsi"/>
                <w:sz w:val="20"/>
                <w:szCs w:val="20"/>
              </w:rPr>
              <w:t xml:space="preserve"> It can help us understand the risk of inheriting a genetic disease.</w:t>
            </w:r>
            <w:r w:rsidR="001023C0" w:rsidRPr="001023C0">
              <w:rPr>
                <w:rFonts w:asciiTheme="minorHAnsi" w:hAnsiTheme="minorHAnsi"/>
                <w:sz w:val="20"/>
                <w:szCs w:val="20"/>
                <w:vertAlign w:val="superscript"/>
              </w:rPr>
              <w:fldChar w:fldCharType="begin"/>
            </w:r>
            <w:r w:rsidR="001023C0" w:rsidRPr="001023C0">
              <w:rPr>
                <w:rFonts w:asciiTheme="minorHAnsi" w:hAnsiTheme="minorHAnsi"/>
                <w:sz w:val="20"/>
                <w:szCs w:val="20"/>
                <w:vertAlign w:val="superscript"/>
              </w:rPr>
              <w:instrText xml:space="preserve"> NOTEREF _Ref130371857 \h </w:instrText>
            </w:r>
            <w:r w:rsidR="001023C0">
              <w:rPr>
                <w:rFonts w:asciiTheme="minorHAnsi" w:hAnsiTheme="minorHAnsi"/>
                <w:sz w:val="20"/>
                <w:szCs w:val="20"/>
                <w:vertAlign w:val="superscript"/>
              </w:rPr>
              <w:instrText xml:space="preserve"> \* MERGEFORMAT </w:instrText>
            </w:r>
            <w:r w:rsidR="001023C0" w:rsidRPr="001023C0">
              <w:rPr>
                <w:rFonts w:asciiTheme="minorHAnsi" w:hAnsiTheme="minorHAnsi"/>
                <w:sz w:val="20"/>
                <w:szCs w:val="20"/>
                <w:vertAlign w:val="superscript"/>
              </w:rPr>
            </w:r>
            <w:r w:rsidR="001023C0" w:rsidRPr="001023C0">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99</w:t>
            </w:r>
            <w:r w:rsidR="001023C0" w:rsidRPr="001023C0">
              <w:rPr>
                <w:rFonts w:asciiTheme="minorHAnsi" w:hAnsiTheme="minorHAnsi"/>
                <w:sz w:val="20"/>
                <w:szCs w:val="20"/>
                <w:vertAlign w:val="superscript"/>
              </w:rPr>
              <w:fldChar w:fldCharType="end"/>
            </w:r>
          </w:p>
        </w:tc>
      </w:tr>
      <w:tr w:rsidR="00F81723" w:rsidRPr="00EC2C01" w14:paraId="2307AA8F"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377E49C" w14:textId="53F2FF2E" w:rsidR="00F81723" w:rsidRPr="008E3779" w:rsidRDefault="00F81723" w:rsidP="005268E0">
            <w:pPr>
              <w:pStyle w:val="5Bodytext"/>
              <w:jc w:val="center"/>
              <w:rPr>
                <w:rFonts w:asciiTheme="minorHAnsi" w:hAnsiTheme="minorHAnsi"/>
                <w:sz w:val="20"/>
                <w:szCs w:val="20"/>
                <w:highlight w:val="yellow"/>
              </w:rPr>
            </w:pPr>
            <w:r w:rsidRPr="009260E1">
              <w:rPr>
                <w:rFonts w:asciiTheme="minorHAnsi" w:hAnsiTheme="minorHAnsi"/>
                <w:sz w:val="20"/>
                <w:szCs w:val="20"/>
              </w:rPr>
              <w:t>Genetic testing</w:t>
            </w:r>
          </w:p>
        </w:tc>
        <w:tc>
          <w:tcPr>
            <w:tcW w:w="6606" w:type="dxa"/>
            <w:vAlign w:val="center"/>
          </w:tcPr>
          <w:p w14:paraId="598A2058" w14:textId="5CA1CEA9" w:rsidR="00F81723" w:rsidRPr="00EC2C01" w:rsidRDefault="007E0B1F" w:rsidP="00F81723">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w:t>
            </w:r>
            <w:r w:rsidRPr="007E0B1F">
              <w:rPr>
                <w:rFonts w:asciiTheme="minorHAnsi" w:hAnsiTheme="minorHAnsi"/>
                <w:sz w:val="20"/>
                <w:szCs w:val="20"/>
              </w:rPr>
              <w:t>esting of single genes or a small number of genes with testing performed in series, one step at a time.</w:t>
            </w:r>
            <w:r w:rsidR="006D211F" w:rsidRPr="006D211F">
              <w:rPr>
                <w:rFonts w:asciiTheme="minorHAnsi" w:hAnsiTheme="minorHAnsi"/>
                <w:sz w:val="20"/>
                <w:szCs w:val="20"/>
                <w:vertAlign w:val="superscript"/>
              </w:rPr>
              <w:fldChar w:fldCharType="begin"/>
            </w:r>
            <w:r w:rsidR="006D211F" w:rsidRPr="006D211F">
              <w:rPr>
                <w:rFonts w:asciiTheme="minorHAnsi" w:hAnsiTheme="minorHAnsi"/>
                <w:sz w:val="20"/>
                <w:szCs w:val="20"/>
                <w:vertAlign w:val="superscript"/>
              </w:rPr>
              <w:instrText xml:space="preserve"> NOTEREF _Ref130371783 \h </w:instrText>
            </w:r>
            <w:r w:rsidR="006D211F">
              <w:rPr>
                <w:rFonts w:asciiTheme="minorHAnsi" w:hAnsiTheme="minorHAnsi"/>
                <w:sz w:val="20"/>
                <w:szCs w:val="20"/>
                <w:vertAlign w:val="superscript"/>
              </w:rPr>
              <w:instrText xml:space="preserve"> \* MERGEFORMAT </w:instrText>
            </w:r>
            <w:r w:rsidR="006D211F" w:rsidRPr="006D211F">
              <w:rPr>
                <w:rFonts w:asciiTheme="minorHAnsi" w:hAnsiTheme="minorHAnsi"/>
                <w:sz w:val="20"/>
                <w:szCs w:val="20"/>
                <w:vertAlign w:val="superscript"/>
              </w:rPr>
            </w:r>
            <w:r w:rsidR="006D211F" w:rsidRPr="006D211F">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69</w:t>
            </w:r>
            <w:r w:rsidR="006D211F" w:rsidRPr="006D211F">
              <w:rPr>
                <w:rFonts w:asciiTheme="minorHAnsi" w:hAnsiTheme="minorHAnsi"/>
                <w:sz w:val="20"/>
                <w:szCs w:val="20"/>
                <w:vertAlign w:val="superscript"/>
              </w:rPr>
              <w:fldChar w:fldCharType="end"/>
            </w:r>
            <w:r w:rsidRPr="006D211F">
              <w:rPr>
                <w:rFonts w:asciiTheme="minorHAnsi" w:hAnsiTheme="minorHAnsi"/>
                <w:sz w:val="20"/>
                <w:szCs w:val="20"/>
                <w:vertAlign w:val="superscript"/>
              </w:rPr>
              <w:t xml:space="preserve">  </w:t>
            </w:r>
          </w:p>
        </w:tc>
      </w:tr>
      <w:tr w:rsidR="00C66AF0" w:rsidRPr="00EC2C01" w14:paraId="5F729975"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7D9A41E" w14:textId="77777777" w:rsidR="00C66AF0" w:rsidRDefault="00F81723" w:rsidP="005268E0">
            <w:pPr>
              <w:pStyle w:val="5Bodytext"/>
              <w:jc w:val="center"/>
              <w:rPr>
                <w:rFonts w:asciiTheme="minorHAnsi" w:hAnsiTheme="minorHAnsi"/>
                <w:b w:val="0"/>
                <w:bCs w:val="0"/>
                <w:sz w:val="20"/>
                <w:szCs w:val="20"/>
              </w:rPr>
            </w:pPr>
            <w:r>
              <w:rPr>
                <w:rFonts w:asciiTheme="minorHAnsi" w:hAnsiTheme="minorHAnsi"/>
                <w:sz w:val="20"/>
                <w:szCs w:val="20"/>
              </w:rPr>
              <w:t>Genetic variant – germline</w:t>
            </w:r>
          </w:p>
          <w:p w14:paraId="6EEF5ACB" w14:textId="5331D76E" w:rsidR="00C319CC" w:rsidRDefault="00C319CC" w:rsidP="005268E0">
            <w:pPr>
              <w:pStyle w:val="5Bodytext"/>
              <w:jc w:val="center"/>
              <w:rPr>
                <w:rFonts w:asciiTheme="minorHAnsi" w:hAnsiTheme="minorHAnsi"/>
                <w:sz w:val="20"/>
                <w:szCs w:val="20"/>
              </w:rPr>
            </w:pPr>
            <w:r>
              <w:rPr>
                <w:rFonts w:asciiTheme="minorHAnsi" w:hAnsiTheme="minorHAnsi"/>
                <w:sz w:val="20"/>
                <w:szCs w:val="20"/>
              </w:rPr>
              <w:t>{Germline variant}</w:t>
            </w:r>
          </w:p>
        </w:tc>
        <w:tc>
          <w:tcPr>
            <w:tcW w:w="6606" w:type="dxa"/>
            <w:vAlign w:val="center"/>
          </w:tcPr>
          <w:p w14:paraId="6F7B121B" w14:textId="65C4CC84" w:rsidR="00C66AF0" w:rsidRPr="00EC2C01" w:rsidRDefault="00C319CC" w:rsidP="00C319CC">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19CC">
              <w:rPr>
                <w:rFonts w:asciiTheme="minorHAnsi" w:hAnsiTheme="minorHAnsi"/>
                <w:sz w:val="20"/>
                <w:szCs w:val="20"/>
              </w:rPr>
              <w:t>A gene change in a body’s reproductive cell (egg or sperm) that becomes incorporated into the DNA of every cell in the body of the offspring. Germline variants are passed on from parents to offspring at the time of conception</w:t>
            </w:r>
            <w:r>
              <w:rPr>
                <w:rFonts w:asciiTheme="minorHAnsi" w:hAnsiTheme="minorHAnsi"/>
                <w:sz w:val="20"/>
                <w:szCs w:val="20"/>
              </w:rPr>
              <w:t>.</w:t>
            </w:r>
            <w:bookmarkStart w:id="215" w:name="_Ref129250159"/>
            <w:r w:rsidR="002B2CFA">
              <w:rPr>
                <w:rStyle w:val="FootnoteReference"/>
                <w:rFonts w:asciiTheme="minorHAnsi" w:hAnsiTheme="minorHAnsi"/>
                <w:sz w:val="20"/>
                <w:szCs w:val="20"/>
              </w:rPr>
              <w:footnoteReference w:id="101"/>
            </w:r>
            <w:bookmarkEnd w:id="215"/>
          </w:p>
        </w:tc>
      </w:tr>
      <w:tr w:rsidR="00C66AF0" w:rsidRPr="00EC2C01" w14:paraId="071254E1"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6F35D7C" w14:textId="6AA5C778" w:rsidR="00C66AF0" w:rsidRDefault="00F81723" w:rsidP="005268E0">
            <w:pPr>
              <w:pStyle w:val="5Bodytext"/>
              <w:jc w:val="center"/>
              <w:rPr>
                <w:rFonts w:asciiTheme="minorHAnsi" w:hAnsiTheme="minorHAnsi"/>
                <w:b w:val="0"/>
                <w:bCs w:val="0"/>
                <w:sz w:val="20"/>
                <w:szCs w:val="20"/>
              </w:rPr>
            </w:pPr>
            <w:r>
              <w:rPr>
                <w:rFonts w:asciiTheme="minorHAnsi" w:hAnsiTheme="minorHAnsi"/>
                <w:sz w:val="20"/>
                <w:szCs w:val="20"/>
              </w:rPr>
              <w:t xml:space="preserve">Genetic </w:t>
            </w:r>
            <w:r w:rsidR="00A46B2C">
              <w:rPr>
                <w:rFonts w:asciiTheme="minorHAnsi" w:hAnsiTheme="minorHAnsi"/>
                <w:sz w:val="20"/>
                <w:szCs w:val="20"/>
              </w:rPr>
              <w:t>v</w:t>
            </w:r>
            <w:r>
              <w:rPr>
                <w:rFonts w:asciiTheme="minorHAnsi" w:hAnsiTheme="minorHAnsi"/>
                <w:sz w:val="20"/>
                <w:szCs w:val="20"/>
              </w:rPr>
              <w:t xml:space="preserve">ariant </w:t>
            </w:r>
            <w:r w:rsidR="00810547">
              <w:rPr>
                <w:rFonts w:asciiTheme="minorHAnsi" w:hAnsiTheme="minorHAnsi"/>
                <w:sz w:val="20"/>
                <w:szCs w:val="20"/>
              </w:rPr>
              <w:t>–</w:t>
            </w:r>
            <w:r>
              <w:rPr>
                <w:rFonts w:asciiTheme="minorHAnsi" w:hAnsiTheme="minorHAnsi"/>
                <w:sz w:val="20"/>
                <w:szCs w:val="20"/>
              </w:rPr>
              <w:t xml:space="preserve"> somatic</w:t>
            </w:r>
          </w:p>
          <w:p w14:paraId="4A75FCE3" w14:textId="43AD088C" w:rsidR="00810547" w:rsidRDefault="00810547" w:rsidP="005268E0">
            <w:pPr>
              <w:pStyle w:val="5Bodytext"/>
              <w:jc w:val="center"/>
              <w:rPr>
                <w:rFonts w:asciiTheme="minorHAnsi" w:hAnsiTheme="minorHAnsi"/>
                <w:sz w:val="20"/>
                <w:szCs w:val="20"/>
              </w:rPr>
            </w:pPr>
            <w:r>
              <w:rPr>
                <w:rFonts w:asciiTheme="minorHAnsi" w:hAnsiTheme="minorHAnsi"/>
                <w:sz w:val="20"/>
                <w:szCs w:val="20"/>
              </w:rPr>
              <w:t>{Somatic variant}</w:t>
            </w:r>
          </w:p>
        </w:tc>
        <w:tc>
          <w:tcPr>
            <w:tcW w:w="6606" w:type="dxa"/>
            <w:vAlign w:val="center"/>
          </w:tcPr>
          <w:p w14:paraId="2B737312" w14:textId="097D1007" w:rsidR="00C66AF0" w:rsidRPr="00EC2C01" w:rsidRDefault="00810547" w:rsidP="00810547">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810547">
              <w:rPr>
                <w:rFonts w:asciiTheme="minorHAnsi" w:hAnsiTheme="minorHAnsi"/>
                <w:sz w:val="20"/>
                <w:szCs w:val="20"/>
              </w:rPr>
              <w:t>A gene change that occurs after conception in non-germline cells, which is neither inherited nor passed on to offspring</w:t>
            </w:r>
            <w:r w:rsidRPr="00810547">
              <w:rPr>
                <w:rFonts w:asciiTheme="minorHAnsi" w:hAnsiTheme="minorHAnsi"/>
                <w:sz w:val="20"/>
                <w:szCs w:val="20"/>
                <w:vertAlign w:val="superscript"/>
              </w:rPr>
              <w:t>.</w:t>
            </w:r>
            <w:r w:rsidRPr="00810547">
              <w:rPr>
                <w:rFonts w:asciiTheme="minorHAnsi" w:hAnsiTheme="minorHAnsi"/>
                <w:sz w:val="20"/>
                <w:szCs w:val="20"/>
                <w:vertAlign w:val="superscript"/>
              </w:rPr>
              <w:fldChar w:fldCharType="begin"/>
            </w:r>
            <w:r w:rsidRPr="00810547">
              <w:rPr>
                <w:rFonts w:asciiTheme="minorHAnsi" w:hAnsiTheme="minorHAnsi"/>
                <w:sz w:val="20"/>
                <w:szCs w:val="20"/>
                <w:vertAlign w:val="superscript"/>
              </w:rPr>
              <w:instrText xml:space="preserve"> NOTEREF _Ref129250159 \h </w:instrText>
            </w:r>
            <w:r>
              <w:rPr>
                <w:rFonts w:asciiTheme="minorHAnsi" w:hAnsiTheme="minorHAnsi"/>
                <w:sz w:val="20"/>
                <w:szCs w:val="20"/>
                <w:vertAlign w:val="superscript"/>
              </w:rPr>
              <w:instrText xml:space="preserve"> \* MERGEFORMAT </w:instrText>
            </w:r>
            <w:r w:rsidRPr="00810547">
              <w:rPr>
                <w:rFonts w:asciiTheme="minorHAnsi" w:hAnsiTheme="minorHAnsi"/>
                <w:sz w:val="20"/>
                <w:szCs w:val="20"/>
                <w:vertAlign w:val="superscript"/>
              </w:rPr>
            </w:r>
            <w:r w:rsidRPr="00810547">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100</w:t>
            </w:r>
            <w:r w:rsidRPr="00810547">
              <w:rPr>
                <w:rFonts w:asciiTheme="minorHAnsi" w:hAnsiTheme="minorHAnsi"/>
                <w:sz w:val="20"/>
                <w:szCs w:val="20"/>
                <w:vertAlign w:val="superscript"/>
              </w:rPr>
              <w:fldChar w:fldCharType="end"/>
            </w:r>
          </w:p>
        </w:tc>
      </w:tr>
      <w:tr w:rsidR="00C66AF0" w:rsidRPr="00EC2C01" w14:paraId="5195E88D"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54EFF52" w14:textId="13B9FD97" w:rsidR="00C66AF0" w:rsidRDefault="00F81723" w:rsidP="005268E0">
            <w:pPr>
              <w:pStyle w:val="5Bodytext"/>
              <w:jc w:val="center"/>
              <w:rPr>
                <w:rFonts w:asciiTheme="minorHAnsi" w:hAnsiTheme="minorHAnsi"/>
                <w:sz w:val="20"/>
                <w:szCs w:val="20"/>
              </w:rPr>
            </w:pPr>
            <w:r w:rsidRPr="00C4483A">
              <w:rPr>
                <w:rFonts w:asciiTheme="minorHAnsi" w:hAnsiTheme="minorHAnsi"/>
                <w:sz w:val="20"/>
                <w:szCs w:val="20"/>
              </w:rPr>
              <w:t>Genomics</w:t>
            </w:r>
          </w:p>
        </w:tc>
        <w:tc>
          <w:tcPr>
            <w:tcW w:w="6606" w:type="dxa"/>
            <w:vAlign w:val="center"/>
          </w:tcPr>
          <w:p w14:paraId="22A5E6D9" w14:textId="1D0D0B2A" w:rsidR="00C66AF0" w:rsidRPr="00EC2C01" w:rsidRDefault="004274A9" w:rsidP="0082043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w:t>
            </w:r>
            <w:r w:rsidRPr="004274A9">
              <w:rPr>
                <w:rFonts w:asciiTheme="minorHAnsi" w:hAnsiTheme="minorHAnsi"/>
                <w:sz w:val="20"/>
                <w:szCs w:val="20"/>
              </w:rPr>
              <w:t>he study and mapping of genomes – the full set of genetic instructions for an organism.</w:t>
            </w:r>
            <w:r w:rsidR="00C4483A" w:rsidRPr="00C4483A">
              <w:rPr>
                <w:rFonts w:asciiTheme="minorHAnsi" w:hAnsiTheme="minorHAnsi"/>
                <w:sz w:val="20"/>
                <w:szCs w:val="20"/>
                <w:vertAlign w:val="superscript"/>
              </w:rPr>
              <w:fldChar w:fldCharType="begin"/>
            </w:r>
            <w:r w:rsidR="00C4483A" w:rsidRPr="00C4483A">
              <w:rPr>
                <w:rFonts w:asciiTheme="minorHAnsi" w:hAnsiTheme="minorHAnsi"/>
                <w:sz w:val="20"/>
                <w:szCs w:val="20"/>
                <w:vertAlign w:val="superscript"/>
              </w:rPr>
              <w:instrText xml:space="preserve"> NOTEREF _Ref130371857 \h </w:instrText>
            </w:r>
            <w:r w:rsidR="00C4483A">
              <w:rPr>
                <w:rFonts w:asciiTheme="minorHAnsi" w:hAnsiTheme="minorHAnsi"/>
                <w:sz w:val="20"/>
                <w:szCs w:val="20"/>
                <w:vertAlign w:val="superscript"/>
              </w:rPr>
              <w:instrText xml:space="preserve"> \* MERGEFORMAT </w:instrText>
            </w:r>
            <w:r w:rsidR="00C4483A" w:rsidRPr="00C4483A">
              <w:rPr>
                <w:rFonts w:asciiTheme="minorHAnsi" w:hAnsiTheme="minorHAnsi"/>
                <w:sz w:val="20"/>
                <w:szCs w:val="20"/>
                <w:vertAlign w:val="superscript"/>
              </w:rPr>
            </w:r>
            <w:r w:rsidR="00C4483A" w:rsidRPr="00C4483A">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99</w:t>
            </w:r>
            <w:r w:rsidR="00C4483A" w:rsidRPr="00C4483A">
              <w:rPr>
                <w:rFonts w:asciiTheme="minorHAnsi" w:hAnsiTheme="minorHAnsi"/>
                <w:sz w:val="20"/>
                <w:szCs w:val="20"/>
                <w:vertAlign w:val="superscript"/>
              </w:rPr>
              <w:fldChar w:fldCharType="end"/>
            </w:r>
            <w:r w:rsidRPr="004274A9">
              <w:rPr>
                <w:rFonts w:asciiTheme="minorHAnsi" w:hAnsiTheme="minorHAnsi"/>
                <w:sz w:val="20"/>
                <w:szCs w:val="20"/>
              </w:rPr>
              <w:t xml:space="preserve"> It includes both human and other genomes and how these interact with the environment.</w:t>
            </w:r>
            <w:r w:rsidR="00C4483A" w:rsidRPr="00C4483A">
              <w:rPr>
                <w:rFonts w:asciiTheme="minorHAnsi" w:hAnsiTheme="minorHAnsi"/>
                <w:sz w:val="20"/>
                <w:szCs w:val="20"/>
                <w:vertAlign w:val="superscript"/>
              </w:rPr>
              <w:fldChar w:fldCharType="begin"/>
            </w:r>
            <w:r w:rsidR="00C4483A" w:rsidRPr="00C4483A">
              <w:rPr>
                <w:rFonts w:asciiTheme="minorHAnsi" w:hAnsiTheme="minorHAnsi"/>
                <w:sz w:val="20"/>
                <w:szCs w:val="20"/>
                <w:vertAlign w:val="superscript"/>
              </w:rPr>
              <w:instrText xml:space="preserve"> NOTEREF _Ref130371857 \h </w:instrText>
            </w:r>
            <w:r w:rsidR="00C4483A">
              <w:rPr>
                <w:rFonts w:asciiTheme="minorHAnsi" w:hAnsiTheme="minorHAnsi"/>
                <w:sz w:val="20"/>
                <w:szCs w:val="20"/>
                <w:vertAlign w:val="superscript"/>
              </w:rPr>
              <w:instrText xml:space="preserve"> \* MERGEFORMAT </w:instrText>
            </w:r>
            <w:r w:rsidR="00C4483A" w:rsidRPr="00C4483A">
              <w:rPr>
                <w:rFonts w:asciiTheme="minorHAnsi" w:hAnsiTheme="minorHAnsi"/>
                <w:sz w:val="20"/>
                <w:szCs w:val="20"/>
                <w:vertAlign w:val="superscript"/>
              </w:rPr>
            </w:r>
            <w:r w:rsidR="00C4483A" w:rsidRPr="00C4483A">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99</w:t>
            </w:r>
            <w:r w:rsidR="00C4483A" w:rsidRPr="00C4483A">
              <w:rPr>
                <w:rFonts w:asciiTheme="minorHAnsi" w:hAnsiTheme="minorHAnsi"/>
                <w:sz w:val="20"/>
                <w:szCs w:val="20"/>
                <w:vertAlign w:val="superscript"/>
              </w:rPr>
              <w:fldChar w:fldCharType="end"/>
            </w:r>
          </w:p>
        </w:tc>
      </w:tr>
      <w:tr w:rsidR="00392D8A" w:rsidRPr="00EC2C01" w14:paraId="7F2FFAC9"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723514A" w14:textId="1ED7E950" w:rsidR="00392D8A" w:rsidRPr="008E3779" w:rsidRDefault="00392D8A" w:rsidP="005268E0">
            <w:pPr>
              <w:pStyle w:val="5Bodytext"/>
              <w:jc w:val="center"/>
              <w:rPr>
                <w:rFonts w:asciiTheme="minorHAnsi" w:hAnsiTheme="minorHAnsi"/>
                <w:sz w:val="20"/>
                <w:szCs w:val="20"/>
                <w:highlight w:val="yellow"/>
              </w:rPr>
            </w:pPr>
            <w:r w:rsidRPr="003B1068">
              <w:rPr>
                <w:rFonts w:asciiTheme="minorHAnsi" w:hAnsiTheme="minorHAnsi"/>
                <w:sz w:val="20"/>
                <w:szCs w:val="20"/>
              </w:rPr>
              <w:t>Genomic testing</w:t>
            </w:r>
          </w:p>
        </w:tc>
        <w:tc>
          <w:tcPr>
            <w:tcW w:w="6606" w:type="dxa"/>
            <w:vAlign w:val="center"/>
          </w:tcPr>
          <w:p w14:paraId="50F26C42" w14:textId="6C6155F4" w:rsidR="00392D8A" w:rsidRPr="00EC2C01" w:rsidRDefault="0086059E" w:rsidP="0082043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w:t>
            </w:r>
            <w:r w:rsidRPr="0086059E">
              <w:rPr>
                <w:rFonts w:asciiTheme="minorHAnsi" w:hAnsiTheme="minorHAnsi"/>
                <w:sz w:val="20"/>
                <w:szCs w:val="20"/>
              </w:rPr>
              <w:t>esting of many genes or the entire genome at once. This can include gene panels, whole exome sequencing and whole genome sequencing</w:t>
            </w:r>
            <w:r>
              <w:rPr>
                <w:rFonts w:asciiTheme="minorHAnsi" w:hAnsiTheme="minorHAnsi"/>
                <w:sz w:val="20"/>
                <w:szCs w:val="20"/>
              </w:rPr>
              <w:t>.</w:t>
            </w:r>
            <w:r w:rsidRPr="0086059E">
              <w:rPr>
                <w:rFonts w:asciiTheme="minorHAnsi" w:hAnsiTheme="minorHAnsi"/>
                <w:sz w:val="20"/>
                <w:szCs w:val="20"/>
                <w:vertAlign w:val="superscript"/>
              </w:rPr>
              <w:fldChar w:fldCharType="begin"/>
            </w:r>
            <w:r w:rsidRPr="0086059E">
              <w:rPr>
                <w:rFonts w:asciiTheme="minorHAnsi" w:hAnsiTheme="minorHAnsi"/>
                <w:sz w:val="20"/>
                <w:szCs w:val="20"/>
                <w:vertAlign w:val="superscript"/>
              </w:rPr>
              <w:instrText xml:space="preserve"> NOTEREF _Ref130372168 \h </w:instrText>
            </w:r>
            <w:r>
              <w:rPr>
                <w:rFonts w:asciiTheme="minorHAnsi" w:hAnsiTheme="minorHAnsi"/>
                <w:sz w:val="20"/>
                <w:szCs w:val="20"/>
                <w:vertAlign w:val="superscript"/>
              </w:rPr>
              <w:instrText xml:space="preserve"> \* MERGEFORMAT </w:instrText>
            </w:r>
            <w:r w:rsidRPr="0086059E">
              <w:rPr>
                <w:rFonts w:asciiTheme="minorHAnsi" w:hAnsiTheme="minorHAnsi"/>
                <w:sz w:val="20"/>
                <w:szCs w:val="20"/>
                <w:vertAlign w:val="superscript"/>
              </w:rPr>
            </w:r>
            <w:r w:rsidRPr="0086059E">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68</w:t>
            </w:r>
            <w:r w:rsidRPr="0086059E">
              <w:rPr>
                <w:rFonts w:asciiTheme="minorHAnsi" w:hAnsiTheme="minorHAnsi"/>
                <w:sz w:val="20"/>
                <w:szCs w:val="20"/>
                <w:vertAlign w:val="superscript"/>
              </w:rPr>
              <w:fldChar w:fldCharType="end"/>
            </w:r>
          </w:p>
        </w:tc>
      </w:tr>
      <w:tr w:rsidR="00036528" w:rsidRPr="00EC2C01" w14:paraId="3EEA2856"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0F57A6C" w14:textId="18C1830F" w:rsidR="00036528" w:rsidRDefault="00036528" w:rsidP="005268E0">
            <w:pPr>
              <w:pStyle w:val="5Bodytext"/>
              <w:jc w:val="center"/>
              <w:rPr>
                <w:rFonts w:asciiTheme="minorHAnsi" w:hAnsiTheme="minorHAnsi"/>
                <w:sz w:val="20"/>
                <w:szCs w:val="20"/>
              </w:rPr>
            </w:pPr>
            <w:r>
              <w:rPr>
                <w:rFonts w:asciiTheme="minorHAnsi" w:hAnsiTheme="minorHAnsi"/>
                <w:sz w:val="20"/>
                <w:szCs w:val="20"/>
              </w:rPr>
              <w:t>Health technology</w:t>
            </w:r>
          </w:p>
        </w:tc>
        <w:tc>
          <w:tcPr>
            <w:tcW w:w="6606" w:type="dxa"/>
            <w:vAlign w:val="center"/>
          </w:tcPr>
          <w:p w14:paraId="64662D71" w14:textId="3290CD1F" w:rsidR="00036528" w:rsidRPr="00EC2C01" w:rsidRDefault="00036528" w:rsidP="00036528">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36528">
              <w:rPr>
                <w:rFonts w:asciiTheme="minorHAnsi" w:hAnsiTheme="minorHAnsi"/>
                <w:sz w:val="20"/>
                <w:szCs w:val="20"/>
              </w:rPr>
              <w:t xml:space="preserve">A technology used in a health care system, for example, therapeutic services (such as medicines, procedures, blood products), medical devices, investigative medical services (such as diagnostic tests, imaging services, population screening tests), equipment and supplies, organisational and managerial systems, and programs of health delivery. For the purposes of some definitions in these guidelines, particularly in relation to existing health technologies, this usual definition is extended to include any medical service, </w:t>
            </w:r>
            <w:r w:rsidR="00436418" w:rsidRPr="00036528">
              <w:rPr>
                <w:rFonts w:asciiTheme="minorHAnsi" w:hAnsiTheme="minorHAnsi"/>
                <w:sz w:val="20"/>
                <w:szCs w:val="20"/>
              </w:rPr>
              <w:t>placebo,</w:t>
            </w:r>
            <w:r w:rsidRPr="00036528">
              <w:rPr>
                <w:rFonts w:asciiTheme="minorHAnsi" w:hAnsiTheme="minorHAnsi"/>
                <w:sz w:val="20"/>
                <w:szCs w:val="20"/>
              </w:rPr>
              <w:t xml:space="preserve"> or watchful waiting instead of an active health technology. For ease of reading, the word ‘technology’ is used throughout the </w:t>
            </w:r>
            <w:r w:rsidR="00436418" w:rsidRPr="00036528">
              <w:rPr>
                <w:rFonts w:asciiTheme="minorHAnsi" w:hAnsiTheme="minorHAnsi"/>
                <w:sz w:val="20"/>
                <w:szCs w:val="20"/>
              </w:rPr>
              <w:t>document but</w:t>
            </w:r>
            <w:r w:rsidRPr="00036528">
              <w:rPr>
                <w:rFonts w:asciiTheme="minorHAnsi" w:hAnsiTheme="minorHAnsi"/>
                <w:sz w:val="20"/>
                <w:szCs w:val="20"/>
              </w:rPr>
              <w:t xml:space="preserve"> applies to all types of technology or services.</w:t>
            </w:r>
            <w:r w:rsidRPr="00036528">
              <w:rPr>
                <w:rFonts w:asciiTheme="minorHAnsi" w:hAnsiTheme="minorHAnsi"/>
                <w:sz w:val="20"/>
                <w:szCs w:val="20"/>
                <w:vertAlign w:val="superscript"/>
              </w:rPr>
              <w:fldChar w:fldCharType="begin"/>
            </w:r>
            <w:r w:rsidRPr="00036528">
              <w:rPr>
                <w:rFonts w:asciiTheme="minorHAnsi" w:hAnsiTheme="minorHAnsi"/>
                <w:sz w:val="20"/>
                <w:szCs w:val="20"/>
                <w:vertAlign w:val="superscript"/>
              </w:rPr>
              <w:instrText xml:space="preserve"> NOTEREF _Ref129250159 \h </w:instrText>
            </w:r>
            <w:r>
              <w:rPr>
                <w:rFonts w:asciiTheme="minorHAnsi" w:hAnsiTheme="minorHAnsi"/>
                <w:sz w:val="20"/>
                <w:szCs w:val="20"/>
                <w:vertAlign w:val="superscript"/>
              </w:rPr>
              <w:instrText xml:space="preserve"> \* MERGEFORMAT </w:instrText>
            </w:r>
            <w:r w:rsidRPr="00036528">
              <w:rPr>
                <w:rFonts w:asciiTheme="minorHAnsi" w:hAnsiTheme="minorHAnsi"/>
                <w:sz w:val="20"/>
                <w:szCs w:val="20"/>
                <w:vertAlign w:val="superscript"/>
              </w:rPr>
            </w:r>
            <w:r w:rsidRPr="00036528">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100</w:t>
            </w:r>
            <w:r w:rsidRPr="00036528">
              <w:rPr>
                <w:rFonts w:asciiTheme="minorHAnsi" w:hAnsiTheme="minorHAnsi"/>
                <w:sz w:val="20"/>
                <w:szCs w:val="20"/>
                <w:vertAlign w:val="superscript"/>
              </w:rPr>
              <w:fldChar w:fldCharType="end"/>
            </w:r>
          </w:p>
        </w:tc>
      </w:tr>
      <w:tr w:rsidR="00EA1DD7" w:rsidRPr="00EA1DD7" w14:paraId="16BD405D"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DD18E9B" w14:textId="1DF278C7" w:rsidR="00EA1DD7" w:rsidRPr="00EA1DD7" w:rsidRDefault="00EA1DD7" w:rsidP="005268E0">
            <w:pPr>
              <w:pStyle w:val="5Bodytext"/>
              <w:jc w:val="center"/>
              <w:rPr>
                <w:rFonts w:asciiTheme="minorHAnsi" w:hAnsiTheme="minorHAnsi" w:cstheme="minorHAnsi"/>
                <w:sz w:val="20"/>
                <w:szCs w:val="20"/>
              </w:rPr>
            </w:pPr>
            <w:bookmarkStart w:id="216" w:name="healthtechnologyassessment"/>
            <w:r w:rsidRPr="00EA1DD7">
              <w:rPr>
                <w:rFonts w:asciiTheme="minorHAnsi" w:hAnsiTheme="minorHAnsi" w:cstheme="minorHAnsi"/>
                <w:sz w:val="20"/>
                <w:szCs w:val="20"/>
              </w:rPr>
              <w:t xml:space="preserve">Health </w:t>
            </w:r>
            <w:bookmarkEnd w:id="216"/>
            <w:r w:rsidR="00186787">
              <w:rPr>
                <w:rFonts w:asciiTheme="minorHAnsi" w:hAnsiTheme="minorHAnsi" w:cstheme="minorHAnsi"/>
                <w:sz w:val="20"/>
                <w:szCs w:val="20"/>
              </w:rPr>
              <w:t xml:space="preserve">Technology </w:t>
            </w:r>
            <w:r w:rsidRPr="00EA1DD7">
              <w:rPr>
                <w:rFonts w:asciiTheme="minorHAnsi" w:hAnsiTheme="minorHAnsi" w:cstheme="minorHAnsi"/>
                <w:sz w:val="20"/>
                <w:szCs w:val="20"/>
              </w:rPr>
              <w:t>Assessment (HTA)</w:t>
            </w:r>
          </w:p>
        </w:tc>
        <w:tc>
          <w:tcPr>
            <w:tcW w:w="6606" w:type="dxa"/>
            <w:vAlign w:val="center"/>
          </w:tcPr>
          <w:p w14:paraId="14F68D08" w14:textId="1669D977" w:rsidR="00EA1DD7" w:rsidRDefault="00EA1DD7" w:rsidP="00036528">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vertAlign w:val="superscript"/>
              </w:rPr>
            </w:pPr>
            <w:r w:rsidRPr="00EA1DD7">
              <w:rPr>
                <w:rFonts w:asciiTheme="minorHAnsi" w:hAnsiTheme="minorHAnsi" w:cstheme="minorHAnsi"/>
                <w:sz w:val="20"/>
                <w:szCs w:val="20"/>
              </w:rPr>
              <w:t xml:space="preserve">A range of processes and mechanisms based on scientific evidence to assess the comparative quality, safety, efficacy, </w:t>
            </w:r>
            <w:r w:rsidR="00436418" w:rsidRPr="00EA1DD7">
              <w:rPr>
                <w:rFonts w:asciiTheme="minorHAnsi" w:hAnsiTheme="minorHAnsi" w:cstheme="minorHAnsi"/>
                <w:sz w:val="20"/>
                <w:szCs w:val="20"/>
              </w:rPr>
              <w:t>effectiveness,</w:t>
            </w:r>
            <w:r w:rsidRPr="00EA1DD7">
              <w:rPr>
                <w:rFonts w:asciiTheme="minorHAnsi" w:hAnsiTheme="minorHAnsi" w:cstheme="minorHAnsi"/>
                <w:sz w:val="20"/>
                <w:szCs w:val="20"/>
              </w:rPr>
              <w:t xml:space="preserve"> and cost-effectiveness of health technologies.</w:t>
            </w:r>
            <w:r w:rsidRPr="00EA1DD7">
              <w:rPr>
                <w:rFonts w:asciiTheme="minorHAnsi" w:hAnsiTheme="minorHAnsi" w:cstheme="minorHAnsi"/>
                <w:sz w:val="20"/>
                <w:szCs w:val="20"/>
                <w:vertAlign w:val="superscript"/>
              </w:rPr>
              <w:fldChar w:fldCharType="begin"/>
            </w:r>
            <w:r w:rsidRPr="00EA1DD7">
              <w:rPr>
                <w:rFonts w:asciiTheme="minorHAnsi" w:hAnsiTheme="minorHAnsi" w:cstheme="minorHAnsi"/>
                <w:sz w:val="20"/>
                <w:szCs w:val="20"/>
                <w:vertAlign w:val="superscript"/>
              </w:rPr>
              <w:instrText xml:space="preserve"> NOTEREF _Ref129252019 \h </w:instrText>
            </w:r>
            <w:r>
              <w:rPr>
                <w:rFonts w:asciiTheme="minorHAnsi" w:hAnsiTheme="minorHAnsi" w:cstheme="minorHAnsi"/>
                <w:sz w:val="20"/>
                <w:szCs w:val="20"/>
                <w:vertAlign w:val="superscript"/>
              </w:rPr>
              <w:instrText xml:space="preserve"> \* MERGEFORMAT </w:instrText>
            </w:r>
            <w:r w:rsidRPr="00EA1DD7">
              <w:rPr>
                <w:rFonts w:asciiTheme="minorHAnsi" w:hAnsiTheme="minorHAnsi" w:cstheme="minorHAnsi"/>
                <w:sz w:val="20"/>
                <w:szCs w:val="20"/>
                <w:vertAlign w:val="superscript"/>
              </w:rPr>
            </w:r>
            <w:r w:rsidRPr="00EA1DD7">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96</w:t>
            </w:r>
            <w:r w:rsidRPr="00EA1DD7">
              <w:rPr>
                <w:rFonts w:asciiTheme="minorHAnsi" w:hAnsiTheme="minorHAnsi" w:cstheme="minorHAnsi"/>
                <w:sz w:val="20"/>
                <w:szCs w:val="20"/>
                <w:vertAlign w:val="superscript"/>
              </w:rPr>
              <w:fldChar w:fldCharType="end"/>
            </w:r>
          </w:p>
          <w:p w14:paraId="115488A0" w14:textId="77777777" w:rsidR="00DC507F" w:rsidRDefault="00DC507F" w:rsidP="00036528">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OR</w:t>
            </w:r>
          </w:p>
          <w:p w14:paraId="772D4764" w14:textId="261E13A1" w:rsidR="00D738F1" w:rsidRPr="00D738F1" w:rsidRDefault="00D738F1" w:rsidP="00D738F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38F1">
              <w:rPr>
                <w:rFonts w:asciiTheme="minorHAnsi" w:hAnsiTheme="minorHAnsi" w:cstheme="minorHAnsi"/>
                <w:sz w:val="20"/>
                <w:szCs w:val="20"/>
              </w:rPr>
              <w:t>Health Technology Assessment (HTA) involves a range of processes and mechanisms that use scientific evidence to assess the quality, safety, efficacy, effectiveness and cost effectiveness of health services.</w:t>
            </w:r>
            <w:r w:rsidR="00BD681C" w:rsidRPr="00BD681C">
              <w:rPr>
                <w:rFonts w:asciiTheme="minorHAnsi" w:hAnsiTheme="minorHAnsi" w:cstheme="minorHAnsi"/>
                <w:sz w:val="20"/>
                <w:szCs w:val="20"/>
                <w:vertAlign w:val="superscript"/>
              </w:rPr>
              <w:fldChar w:fldCharType="begin"/>
            </w:r>
            <w:r w:rsidR="00BD681C" w:rsidRPr="00BD681C">
              <w:rPr>
                <w:rFonts w:asciiTheme="minorHAnsi" w:hAnsiTheme="minorHAnsi" w:cstheme="minorHAnsi"/>
                <w:sz w:val="20"/>
                <w:szCs w:val="20"/>
                <w:vertAlign w:val="superscript"/>
              </w:rPr>
              <w:instrText xml:space="preserve"> NOTEREF _Ref130307539 \h </w:instrText>
            </w:r>
            <w:r w:rsidR="00BD681C">
              <w:rPr>
                <w:rFonts w:asciiTheme="minorHAnsi" w:hAnsiTheme="minorHAnsi" w:cstheme="minorHAnsi"/>
                <w:sz w:val="20"/>
                <w:szCs w:val="20"/>
                <w:vertAlign w:val="superscript"/>
              </w:rPr>
              <w:instrText xml:space="preserve"> \* MERGEFORMAT </w:instrText>
            </w:r>
            <w:r w:rsidR="00BD681C" w:rsidRPr="00BD681C">
              <w:rPr>
                <w:rFonts w:asciiTheme="minorHAnsi" w:hAnsiTheme="minorHAnsi" w:cstheme="minorHAnsi"/>
                <w:sz w:val="20"/>
                <w:szCs w:val="20"/>
                <w:vertAlign w:val="superscript"/>
              </w:rPr>
            </w:r>
            <w:r w:rsidR="00BD681C" w:rsidRPr="00BD681C">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97</w:t>
            </w:r>
            <w:r w:rsidR="00BD681C" w:rsidRPr="00BD681C">
              <w:rPr>
                <w:rFonts w:asciiTheme="minorHAnsi" w:hAnsiTheme="minorHAnsi" w:cstheme="minorHAnsi"/>
                <w:sz w:val="20"/>
                <w:szCs w:val="20"/>
                <w:vertAlign w:val="superscript"/>
              </w:rPr>
              <w:fldChar w:fldCharType="end"/>
            </w:r>
            <w:r w:rsidRPr="00BD681C">
              <w:rPr>
                <w:rFonts w:asciiTheme="minorHAnsi" w:hAnsiTheme="minorHAnsi" w:cstheme="minorHAnsi"/>
                <w:sz w:val="20"/>
                <w:szCs w:val="20"/>
                <w:vertAlign w:val="superscript"/>
              </w:rPr>
              <w:t xml:space="preserve"> </w:t>
            </w:r>
            <w:r w:rsidRPr="00D738F1">
              <w:rPr>
                <w:rFonts w:asciiTheme="minorHAnsi" w:hAnsiTheme="minorHAnsi" w:cstheme="minorHAnsi"/>
                <w:sz w:val="20"/>
                <w:szCs w:val="20"/>
              </w:rPr>
              <w:t xml:space="preserve">The purpose of HTA is to provide policy-makers, funders, health professionals and health consumers with the necessary information to understand the benefits and comparative value of health technologies and procedures. This information is then used to inform policy, </w:t>
            </w:r>
            <w:r w:rsidR="00436418" w:rsidRPr="00D738F1">
              <w:rPr>
                <w:rFonts w:asciiTheme="minorHAnsi" w:hAnsiTheme="minorHAnsi" w:cstheme="minorHAnsi"/>
                <w:sz w:val="20"/>
                <w:szCs w:val="20"/>
              </w:rPr>
              <w:t>funding,</w:t>
            </w:r>
            <w:r w:rsidRPr="00D738F1">
              <w:rPr>
                <w:rFonts w:asciiTheme="minorHAnsi" w:hAnsiTheme="minorHAnsi" w:cstheme="minorHAnsi"/>
                <w:sz w:val="20"/>
                <w:szCs w:val="20"/>
              </w:rPr>
              <w:t xml:space="preserve"> and clinical decisions, and assist with consumer decision-making. </w:t>
            </w:r>
          </w:p>
          <w:p w14:paraId="1F18CFC6" w14:textId="77777777" w:rsidR="00D738F1" w:rsidRPr="00D738F1" w:rsidRDefault="00D738F1" w:rsidP="00D738F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38F1">
              <w:rPr>
                <w:rFonts w:asciiTheme="minorHAnsi" w:hAnsiTheme="minorHAnsi" w:cstheme="minorHAnsi"/>
                <w:sz w:val="20"/>
                <w:szCs w:val="20"/>
              </w:rPr>
              <w:t xml:space="preserve">The key questions that a HTA aims to answer for each new health technology, in comparison to alternative interventions, are: </w:t>
            </w:r>
          </w:p>
          <w:p w14:paraId="15E7AFEE" w14:textId="77777777" w:rsidR="00D738F1" w:rsidRPr="00D738F1" w:rsidRDefault="00D738F1" w:rsidP="00D738F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38F1">
              <w:rPr>
                <w:rFonts w:asciiTheme="minorHAnsi" w:hAnsiTheme="minorHAnsi" w:cstheme="minorHAnsi"/>
                <w:sz w:val="20"/>
                <w:szCs w:val="20"/>
              </w:rPr>
              <w:t>•</w:t>
            </w:r>
            <w:r w:rsidRPr="00D738F1">
              <w:rPr>
                <w:rFonts w:asciiTheme="minorHAnsi" w:hAnsiTheme="minorHAnsi" w:cstheme="minorHAnsi"/>
                <w:sz w:val="20"/>
                <w:szCs w:val="20"/>
              </w:rPr>
              <w:tab/>
              <w:t xml:space="preserve">Is it safe? </w:t>
            </w:r>
          </w:p>
          <w:p w14:paraId="7454FE7F" w14:textId="77777777" w:rsidR="00D738F1" w:rsidRPr="00D738F1" w:rsidRDefault="00D738F1" w:rsidP="00D738F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38F1">
              <w:rPr>
                <w:rFonts w:asciiTheme="minorHAnsi" w:hAnsiTheme="minorHAnsi" w:cstheme="minorHAnsi"/>
                <w:sz w:val="20"/>
                <w:szCs w:val="20"/>
              </w:rPr>
              <w:t>•</w:t>
            </w:r>
            <w:r w:rsidRPr="00D738F1">
              <w:rPr>
                <w:rFonts w:asciiTheme="minorHAnsi" w:hAnsiTheme="minorHAnsi" w:cstheme="minorHAnsi"/>
                <w:sz w:val="20"/>
                <w:szCs w:val="20"/>
              </w:rPr>
              <w:tab/>
              <w:t xml:space="preserve">Does it improve health outcomes? </w:t>
            </w:r>
          </w:p>
          <w:p w14:paraId="7B58BFA6" w14:textId="7BB44173" w:rsidR="00D738F1" w:rsidRPr="00EA1DD7" w:rsidRDefault="00D738F1" w:rsidP="00D738F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738F1">
              <w:rPr>
                <w:rFonts w:asciiTheme="minorHAnsi" w:hAnsiTheme="minorHAnsi" w:cstheme="minorHAnsi"/>
                <w:sz w:val="20"/>
                <w:szCs w:val="20"/>
              </w:rPr>
              <w:t>•</w:t>
            </w:r>
            <w:r w:rsidRPr="00D738F1">
              <w:rPr>
                <w:rFonts w:asciiTheme="minorHAnsi" w:hAnsiTheme="minorHAnsi" w:cstheme="minorHAnsi"/>
                <w:sz w:val="20"/>
                <w:szCs w:val="20"/>
              </w:rPr>
              <w:tab/>
              <w:t>Is it cost effective?</w:t>
            </w:r>
          </w:p>
        </w:tc>
      </w:tr>
      <w:tr w:rsidR="0087130D" w:rsidRPr="00EC2C01" w14:paraId="03A9CE14"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2A25907" w14:textId="6FE58FBB" w:rsidR="0087130D" w:rsidRPr="00EC2C01" w:rsidRDefault="005B5951" w:rsidP="005268E0">
            <w:pPr>
              <w:pStyle w:val="5Bodytext"/>
              <w:jc w:val="center"/>
              <w:rPr>
                <w:rFonts w:asciiTheme="minorHAnsi" w:hAnsiTheme="minorHAnsi"/>
                <w:sz w:val="20"/>
                <w:szCs w:val="20"/>
              </w:rPr>
            </w:pPr>
            <w:r>
              <w:rPr>
                <w:rFonts w:asciiTheme="minorHAnsi" w:hAnsiTheme="minorHAnsi"/>
                <w:sz w:val="20"/>
                <w:szCs w:val="20"/>
              </w:rPr>
              <w:t xml:space="preserve">High cost, </w:t>
            </w:r>
            <w:r w:rsidR="009624B8" w:rsidRPr="009624B8">
              <w:rPr>
                <w:rFonts w:asciiTheme="minorHAnsi" w:hAnsiTheme="minorHAnsi"/>
                <w:sz w:val="20"/>
                <w:szCs w:val="20"/>
              </w:rPr>
              <w:t>Highly Specialised Therapies</w:t>
            </w:r>
          </w:p>
        </w:tc>
        <w:tc>
          <w:tcPr>
            <w:tcW w:w="6606" w:type="dxa"/>
            <w:vAlign w:val="center"/>
          </w:tcPr>
          <w:p w14:paraId="193E3CA9" w14:textId="1B04CC88" w:rsidR="0087130D" w:rsidRPr="00EC2C01" w:rsidRDefault="009624B8" w:rsidP="009624B8">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624B8">
              <w:rPr>
                <w:rFonts w:asciiTheme="minorHAnsi" w:hAnsiTheme="minorHAnsi"/>
                <w:sz w:val="20"/>
                <w:szCs w:val="20"/>
              </w:rPr>
              <w:t>TGA approved medicines and biologicals delivered in public hospitals where the therapy and its conditions of use are recommended by MSAC or PBAC; and the average annual treatment cost at the commencement of funding exceeds $200,000 per patient (including ancillary services) as determined by the MSAC or PBAC with input from the Independent Hospital Pricing Authority; and where the therapy is not otherwise funded through a Commonwealth program or the costs of the therapy would be appropriately funded through a component of an existing pricing classification.</w:t>
            </w:r>
            <w:bookmarkStart w:id="217" w:name="_Ref129609618"/>
            <w:r w:rsidR="00266FED">
              <w:rPr>
                <w:rStyle w:val="FootnoteReference"/>
                <w:rFonts w:asciiTheme="minorHAnsi" w:hAnsiTheme="minorHAnsi"/>
                <w:sz w:val="20"/>
                <w:szCs w:val="20"/>
              </w:rPr>
              <w:footnoteReference w:id="102"/>
            </w:r>
            <w:bookmarkEnd w:id="217"/>
          </w:p>
        </w:tc>
      </w:tr>
      <w:tr w:rsidR="00367DC1" w:rsidRPr="00EC2C01" w14:paraId="0407A783"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4FD78E4" w14:textId="5D65761B" w:rsidR="00367DC1" w:rsidRPr="00674B99" w:rsidRDefault="00367DC1" w:rsidP="00367DC1">
            <w:pPr>
              <w:pStyle w:val="5Bodytext"/>
              <w:jc w:val="center"/>
              <w:rPr>
                <w:rFonts w:asciiTheme="minorHAnsi" w:hAnsiTheme="minorHAnsi"/>
                <w:sz w:val="20"/>
                <w:szCs w:val="20"/>
              </w:rPr>
            </w:pPr>
            <w:r w:rsidRPr="003B1042">
              <w:rPr>
                <w:rFonts w:asciiTheme="minorHAnsi" w:hAnsiTheme="minorHAnsi"/>
                <w:sz w:val="20"/>
                <w:szCs w:val="20"/>
              </w:rPr>
              <w:t>Indication</w:t>
            </w:r>
          </w:p>
        </w:tc>
        <w:tc>
          <w:tcPr>
            <w:tcW w:w="6606" w:type="dxa"/>
            <w:vAlign w:val="center"/>
          </w:tcPr>
          <w:p w14:paraId="0B1371F6" w14:textId="41EF34B5" w:rsidR="00367DC1" w:rsidRPr="00674B99" w:rsidRDefault="00367DC1" w:rsidP="00367DC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B1042">
              <w:rPr>
                <w:rFonts w:asciiTheme="minorHAnsi" w:hAnsiTheme="minorHAnsi"/>
                <w:sz w:val="20"/>
                <w:szCs w:val="20"/>
              </w:rPr>
              <w:t>The medical condition, disease or disorder that is the reason for starting clinical management.</w:t>
            </w:r>
            <w:r w:rsidRPr="003A62B3">
              <w:rPr>
                <w:rFonts w:asciiTheme="minorHAnsi" w:hAnsiTheme="minorHAnsi"/>
                <w:sz w:val="20"/>
                <w:szCs w:val="20"/>
                <w:vertAlign w:val="superscript"/>
              </w:rPr>
              <w:fldChar w:fldCharType="begin"/>
            </w:r>
            <w:r w:rsidRPr="003A62B3">
              <w:rPr>
                <w:rFonts w:asciiTheme="minorHAnsi" w:hAnsiTheme="minorHAnsi"/>
                <w:sz w:val="20"/>
                <w:szCs w:val="20"/>
                <w:vertAlign w:val="superscript"/>
              </w:rPr>
              <w:instrText xml:space="preserve"> NOTEREF _Ref129252019 \h </w:instrText>
            </w:r>
            <w:r>
              <w:rPr>
                <w:rFonts w:asciiTheme="minorHAnsi" w:hAnsiTheme="minorHAnsi"/>
                <w:sz w:val="20"/>
                <w:szCs w:val="20"/>
                <w:vertAlign w:val="superscript"/>
              </w:rPr>
              <w:instrText xml:space="preserve"> \* MERGEFORMAT </w:instrText>
            </w:r>
            <w:r w:rsidRPr="003A62B3">
              <w:rPr>
                <w:rFonts w:asciiTheme="minorHAnsi" w:hAnsiTheme="minorHAnsi"/>
                <w:sz w:val="20"/>
                <w:szCs w:val="20"/>
                <w:vertAlign w:val="superscript"/>
              </w:rPr>
            </w:r>
            <w:r w:rsidRPr="003A62B3">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3A62B3">
              <w:rPr>
                <w:rFonts w:asciiTheme="minorHAnsi" w:hAnsiTheme="minorHAnsi"/>
                <w:sz w:val="20"/>
                <w:szCs w:val="20"/>
                <w:vertAlign w:val="superscript"/>
              </w:rPr>
              <w:fldChar w:fldCharType="end"/>
            </w:r>
          </w:p>
        </w:tc>
      </w:tr>
      <w:tr w:rsidR="00674B99" w:rsidRPr="00EC2C01" w14:paraId="62E3DC5D"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2273197" w14:textId="036A8770" w:rsidR="00674B99" w:rsidRPr="009624B8" w:rsidRDefault="00674B99" w:rsidP="005268E0">
            <w:pPr>
              <w:pStyle w:val="5Bodytext"/>
              <w:jc w:val="center"/>
              <w:rPr>
                <w:rFonts w:asciiTheme="minorHAnsi" w:hAnsiTheme="minorHAnsi"/>
                <w:sz w:val="20"/>
                <w:szCs w:val="20"/>
              </w:rPr>
            </w:pPr>
            <w:r w:rsidRPr="00674B99">
              <w:rPr>
                <w:rFonts w:asciiTheme="minorHAnsi" w:hAnsiTheme="minorHAnsi"/>
                <w:sz w:val="20"/>
                <w:szCs w:val="20"/>
              </w:rPr>
              <w:t>Medical Services Advisory Committee (MSAC)</w:t>
            </w:r>
          </w:p>
        </w:tc>
        <w:tc>
          <w:tcPr>
            <w:tcW w:w="6606" w:type="dxa"/>
            <w:vAlign w:val="center"/>
          </w:tcPr>
          <w:p w14:paraId="1F885987" w14:textId="112669A7" w:rsidR="00674B99" w:rsidRDefault="00674B99" w:rsidP="009624B8">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vertAlign w:val="superscript"/>
              </w:rPr>
            </w:pPr>
            <w:r w:rsidRPr="00674B99">
              <w:rPr>
                <w:rFonts w:asciiTheme="minorHAnsi" w:hAnsiTheme="minorHAnsi"/>
                <w:sz w:val="20"/>
                <w:szCs w:val="20"/>
              </w:rPr>
              <w:t>An independent HTA advisory committee of the Australian Government that primarily advises the health minister on whether it supports the public funding of proposed health technologies and other medical services.</w:t>
            </w:r>
            <w:r w:rsidRPr="00674B99">
              <w:rPr>
                <w:rFonts w:asciiTheme="minorHAnsi" w:hAnsiTheme="minorHAnsi"/>
                <w:sz w:val="20"/>
                <w:szCs w:val="20"/>
                <w:vertAlign w:val="superscript"/>
              </w:rPr>
              <w:fldChar w:fldCharType="begin"/>
            </w:r>
            <w:r w:rsidRPr="00674B99">
              <w:rPr>
                <w:rFonts w:asciiTheme="minorHAnsi" w:hAnsiTheme="minorHAnsi"/>
                <w:sz w:val="20"/>
                <w:szCs w:val="20"/>
                <w:vertAlign w:val="superscript"/>
              </w:rPr>
              <w:instrText xml:space="preserve"> NOTEREF _Ref129252019 \h </w:instrText>
            </w:r>
            <w:r>
              <w:rPr>
                <w:rFonts w:asciiTheme="minorHAnsi" w:hAnsiTheme="minorHAnsi"/>
                <w:sz w:val="20"/>
                <w:szCs w:val="20"/>
                <w:vertAlign w:val="superscript"/>
              </w:rPr>
              <w:instrText xml:space="preserve"> \* MERGEFORMAT </w:instrText>
            </w:r>
            <w:r w:rsidRPr="00674B99">
              <w:rPr>
                <w:rFonts w:asciiTheme="minorHAnsi" w:hAnsiTheme="minorHAnsi"/>
                <w:sz w:val="20"/>
                <w:szCs w:val="20"/>
                <w:vertAlign w:val="superscript"/>
              </w:rPr>
            </w:r>
            <w:r w:rsidRPr="00674B99">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674B99">
              <w:rPr>
                <w:rFonts w:asciiTheme="minorHAnsi" w:hAnsiTheme="minorHAnsi"/>
                <w:sz w:val="20"/>
                <w:szCs w:val="20"/>
                <w:vertAlign w:val="superscript"/>
              </w:rPr>
              <w:fldChar w:fldCharType="end"/>
            </w:r>
          </w:p>
          <w:p w14:paraId="5BA25C67" w14:textId="77777777" w:rsidR="00B21E70" w:rsidRDefault="00B21E70" w:rsidP="009624B8">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OR</w:t>
            </w:r>
          </w:p>
          <w:p w14:paraId="34A61797" w14:textId="3D8E8367" w:rsidR="00B21E70" w:rsidRPr="00B21E70" w:rsidRDefault="00B21E70" w:rsidP="009624B8">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cstheme="minorHAnsi"/>
                <w:sz w:val="20"/>
                <w:szCs w:val="20"/>
              </w:rPr>
              <w:t>A</w:t>
            </w:r>
            <w:r w:rsidRPr="00B21E70">
              <w:rPr>
                <w:rFonts w:asciiTheme="minorHAnsi" w:hAnsiTheme="minorHAnsi" w:cstheme="minorHAnsi"/>
                <w:sz w:val="20"/>
                <w:szCs w:val="20"/>
              </w:rPr>
              <w:t xml:space="preserve">n independent, non-statutory committee, and meets three times per year (usually in March, </w:t>
            </w:r>
            <w:r w:rsidR="00436418" w:rsidRPr="00B21E70">
              <w:rPr>
                <w:rFonts w:asciiTheme="minorHAnsi" w:hAnsiTheme="minorHAnsi" w:cstheme="minorHAnsi"/>
                <w:sz w:val="20"/>
                <w:szCs w:val="20"/>
              </w:rPr>
              <w:t>July,</w:t>
            </w:r>
            <w:r w:rsidRPr="00B21E70">
              <w:rPr>
                <w:rFonts w:asciiTheme="minorHAnsi" w:hAnsiTheme="minorHAnsi" w:cstheme="minorHAnsi"/>
                <w:sz w:val="20"/>
                <w:szCs w:val="20"/>
              </w:rPr>
              <w:t xml:space="preserve"> and November).</w:t>
            </w:r>
            <w:r w:rsidR="007F70DC" w:rsidRPr="007F70DC">
              <w:rPr>
                <w:rFonts w:asciiTheme="minorHAnsi" w:hAnsiTheme="minorHAnsi" w:cstheme="minorHAnsi"/>
                <w:sz w:val="20"/>
                <w:szCs w:val="20"/>
                <w:vertAlign w:val="superscript"/>
              </w:rPr>
              <w:fldChar w:fldCharType="begin"/>
            </w:r>
            <w:r w:rsidR="007F70DC" w:rsidRPr="007F70DC">
              <w:rPr>
                <w:rFonts w:asciiTheme="minorHAnsi" w:hAnsiTheme="minorHAnsi" w:cstheme="minorHAnsi"/>
                <w:sz w:val="20"/>
                <w:szCs w:val="20"/>
                <w:vertAlign w:val="superscript"/>
              </w:rPr>
              <w:instrText xml:space="preserve"> NOTEREF _Ref130307539 \h </w:instrText>
            </w:r>
            <w:r w:rsidR="007F70DC">
              <w:rPr>
                <w:rFonts w:asciiTheme="minorHAnsi" w:hAnsiTheme="minorHAnsi" w:cstheme="minorHAnsi"/>
                <w:sz w:val="20"/>
                <w:szCs w:val="20"/>
                <w:vertAlign w:val="superscript"/>
              </w:rPr>
              <w:instrText xml:space="preserve"> \* MERGEFORMAT </w:instrText>
            </w:r>
            <w:r w:rsidR="007F70DC" w:rsidRPr="007F70DC">
              <w:rPr>
                <w:rFonts w:asciiTheme="minorHAnsi" w:hAnsiTheme="minorHAnsi" w:cstheme="minorHAnsi"/>
                <w:sz w:val="20"/>
                <w:szCs w:val="20"/>
                <w:vertAlign w:val="superscript"/>
              </w:rPr>
            </w:r>
            <w:r w:rsidR="007F70DC" w:rsidRPr="007F70DC">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97</w:t>
            </w:r>
            <w:r w:rsidR="007F70DC" w:rsidRPr="007F70DC">
              <w:rPr>
                <w:rFonts w:asciiTheme="minorHAnsi" w:hAnsiTheme="minorHAnsi" w:cstheme="minorHAnsi"/>
                <w:sz w:val="20"/>
                <w:szCs w:val="20"/>
                <w:vertAlign w:val="superscript"/>
              </w:rPr>
              <w:fldChar w:fldCharType="end"/>
            </w:r>
            <w:r w:rsidRPr="00B21E70">
              <w:rPr>
                <w:rFonts w:asciiTheme="minorHAnsi" w:hAnsiTheme="minorHAnsi" w:cstheme="minorHAnsi"/>
                <w:sz w:val="20"/>
                <w:szCs w:val="20"/>
              </w:rPr>
              <w:t xml:space="preserve"> MSAC appraises new medical services/technologies proposed for public </w:t>
            </w:r>
            <w:r w:rsidR="00436418" w:rsidRPr="00B21E70">
              <w:rPr>
                <w:rFonts w:asciiTheme="minorHAnsi" w:hAnsiTheme="minorHAnsi" w:cstheme="minorHAnsi"/>
                <w:sz w:val="20"/>
                <w:szCs w:val="20"/>
              </w:rPr>
              <w:t>funding and</w:t>
            </w:r>
            <w:r w:rsidRPr="00B21E70">
              <w:rPr>
                <w:rFonts w:asciiTheme="minorHAnsi" w:hAnsiTheme="minorHAnsi" w:cstheme="minorHAnsi"/>
                <w:sz w:val="20"/>
                <w:szCs w:val="20"/>
              </w:rPr>
              <w:t xml:space="preserve"> provides advice to Government on whether a new medical service/technology should be publicly funded. Amendments and reviews of existing services funded on the Medicare Benefits Schedule (MBS) or through other programs </w:t>
            </w:r>
            <w:r w:rsidRPr="00B21E70">
              <w:rPr>
                <w:rFonts w:asciiTheme="minorHAnsi" w:hAnsiTheme="minorHAnsi" w:cstheme="minorHAnsi"/>
                <w:i/>
                <w:sz w:val="20"/>
                <w:szCs w:val="20"/>
              </w:rPr>
              <w:t xml:space="preserve">(for example, blood products or screening programs) </w:t>
            </w:r>
            <w:r w:rsidRPr="00B21E70">
              <w:rPr>
                <w:rFonts w:asciiTheme="minorHAnsi" w:hAnsiTheme="minorHAnsi" w:cstheme="minorHAnsi"/>
                <w:sz w:val="20"/>
                <w:szCs w:val="20"/>
              </w:rPr>
              <w:t>are also considered by MSAC.</w:t>
            </w:r>
          </w:p>
        </w:tc>
      </w:tr>
      <w:tr w:rsidR="00D23771" w:rsidRPr="00EC2C01" w14:paraId="129B9DAD"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C9ED1F9" w14:textId="5A1E7571" w:rsidR="00D23771" w:rsidRPr="00EC2C01" w:rsidRDefault="00B31DF6" w:rsidP="005268E0">
            <w:pPr>
              <w:pStyle w:val="5Bodytext"/>
              <w:jc w:val="center"/>
              <w:rPr>
                <w:rFonts w:asciiTheme="minorHAnsi" w:hAnsiTheme="minorHAnsi"/>
                <w:sz w:val="20"/>
                <w:szCs w:val="20"/>
              </w:rPr>
            </w:pPr>
            <w:r w:rsidRPr="00B31DF6">
              <w:rPr>
                <w:rFonts w:asciiTheme="minorHAnsi" w:hAnsiTheme="minorHAnsi"/>
                <w:sz w:val="20"/>
                <w:szCs w:val="20"/>
              </w:rPr>
              <w:t>Medicare Benefits Schedule (MBS)</w:t>
            </w:r>
          </w:p>
        </w:tc>
        <w:tc>
          <w:tcPr>
            <w:tcW w:w="6606" w:type="dxa"/>
            <w:vAlign w:val="center"/>
          </w:tcPr>
          <w:p w14:paraId="2148A1D3" w14:textId="709E0C56" w:rsidR="00D23771" w:rsidRDefault="00B31DF6" w:rsidP="0082043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vertAlign w:val="superscript"/>
              </w:rPr>
            </w:pPr>
            <w:r w:rsidRPr="00B31DF6">
              <w:rPr>
                <w:rFonts w:asciiTheme="minorHAnsi" w:hAnsiTheme="minorHAnsi"/>
                <w:sz w:val="20"/>
                <w:szCs w:val="20"/>
              </w:rPr>
              <w:t xml:space="preserve">Under the authority of the </w:t>
            </w:r>
            <w:r w:rsidRPr="00B54A79">
              <w:rPr>
                <w:rFonts w:asciiTheme="minorHAnsi" w:hAnsiTheme="minorHAnsi"/>
                <w:i/>
                <w:iCs/>
                <w:sz w:val="20"/>
                <w:szCs w:val="20"/>
              </w:rPr>
              <w:t>Health Insurance Act 1973</w:t>
            </w:r>
            <w:r w:rsidRPr="00B31DF6">
              <w:rPr>
                <w:rFonts w:asciiTheme="minorHAnsi" w:hAnsiTheme="minorHAnsi"/>
                <w:sz w:val="20"/>
                <w:szCs w:val="20"/>
              </w:rPr>
              <w:t>, a listing and description of the professional services for which a Medicare benefit is payable by the Australian Government, the amount of a patient’s cost that is met through a government rebate, and any conditions applying to the use of that service.</w:t>
            </w:r>
            <w:r w:rsidRPr="00B31DF6">
              <w:rPr>
                <w:rFonts w:asciiTheme="minorHAnsi" w:hAnsiTheme="minorHAnsi"/>
                <w:sz w:val="20"/>
                <w:szCs w:val="20"/>
                <w:vertAlign w:val="superscript"/>
              </w:rPr>
              <w:fldChar w:fldCharType="begin"/>
            </w:r>
            <w:r w:rsidRPr="00B31DF6">
              <w:rPr>
                <w:rFonts w:asciiTheme="minorHAnsi" w:hAnsiTheme="minorHAnsi"/>
                <w:sz w:val="20"/>
                <w:szCs w:val="20"/>
                <w:vertAlign w:val="superscript"/>
              </w:rPr>
              <w:instrText xml:space="preserve"> NOTEREF _Ref129252019 \h </w:instrText>
            </w:r>
            <w:r>
              <w:rPr>
                <w:rFonts w:asciiTheme="minorHAnsi" w:hAnsiTheme="minorHAnsi"/>
                <w:sz w:val="20"/>
                <w:szCs w:val="20"/>
                <w:vertAlign w:val="superscript"/>
              </w:rPr>
              <w:instrText xml:space="preserve"> \* MERGEFORMAT </w:instrText>
            </w:r>
            <w:r w:rsidRPr="00B31DF6">
              <w:rPr>
                <w:rFonts w:asciiTheme="minorHAnsi" w:hAnsiTheme="minorHAnsi"/>
                <w:sz w:val="20"/>
                <w:szCs w:val="20"/>
                <w:vertAlign w:val="superscript"/>
              </w:rPr>
            </w:r>
            <w:r w:rsidRPr="00B31DF6">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B31DF6">
              <w:rPr>
                <w:rFonts w:asciiTheme="minorHAnsi" w:hAnsiTheme="minorHAnsi"/>
                <w:sz w:val="20"/>
                <w:szCs w:val="20"/>
                <w:vertAlign w:val="superscript"/>
              </w:rPr>
              <w:fldChar w:fldCharType="end"/>
            </w:r>
          </w:p>
          <w:p w14:paraId="496E166F" w14:textId="77777777" w:rsidR="007F70DC" w:rsidRDefault="007F70DC" w:rsidP="0082043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OR</w:t>
            </w:r>
          </w:p>
          <w:p w14:paraId="13E9FD00" w14:textId="55E0BB90" w:rsidR="007F70DC" w:rsidRPr="007F70DC" w:rsidRDefault="007F70DC" w:rsidP="0082043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F70DC">
              <w:rPr>
                <w:rFonts w:asciiTheme="minorHAnsi" w:hAnsiTheme="minorHAnsi" w:cstheme="minorHAnsi"/>
                <w:sz w:val="20"/>
                <w:szCs w:val="20"/>
              </w:rPr>
              <w:t xml:space="preserve">Under the authority of the </w:t>
            </w:r>
            <w:r w:rsidRPr="007F70DC">
              <w:rPr>
                <w:rFonts w:asciiTheme="minorHAnsi" w:hAnsiTheme="minorHAnsi" w:cstheme="minorHAnsi"/>
                <w:i/>
                <w:iCs/>
                <w:sz w:val="20"/>
                <w:szCs w:val="20"/>
              </w:rPr>
              <w:t>Health Insurance Act 1973</w:t>
            </w:r>
            <w:r w:rsidRPr="007F70DC">
              <w:rPr>
                <w:rFonts w:asciiTheme="minorHAnsi" w:hAnsiTheme="minorHAnsi" w:cstheme="minorHAnsi"/>
                <w:sz w:val="20"/>
                <w:szCs w:val="20"/>
              </w:rPr>
              <w:t>, the MBS is a listing and description of private (not publicly provided) professional medical and allied health services, for which a Medicare benefit/rebate is payable by the Australian Government (and any conditions applying to provision of that service).</w:t>
            </w:r>
            <w:r w:rsidRPr="007F70DC">
              <w:rPr>
                <w:rFonts w:asciiTheme="minorHAnsi" w:hAnsiTheme="minorHAnsi" w:cstheme="minorHAnsi"/>
                <w:sz w:val="20"/>
                <w:szCs w:val="20"/>
                <w:vertAlign w:val="superscript"/>
              </w:rPr>
              <w:fldChar w:fldCharType="begin"/>
            </w:r>
            <w:r w:rsidRPr="007F70DC">
              <w:rPr>
                <w:rFonts w:asciiTheme="minorHAnsi" w:hAnsiTheme="minorHAnsi" w:cstheme="minorHAnsi"/>
                <w:sz w:val="20"/>
                <w:szCs w:val="20"/>
                <w:vertAlign w:val="superscript"/>
              </w:rPr>
              <w:instrText xml:space="preserve"> NOTEREF _Ref130307539 \h </w:instrText>
            </w:r>
            <w:r>
              <w:rPr>
                <w:rFonts w:asciiTheme="minorHAnsi" w:hAnsiTheme="minorHAnsi" w:cstheme="minorHAnsi"/>
                <w:sz w:val="20"/>
                <w:szCs w:val="20"/>
                <w:vertAlign w:val="superscript"/>
              </w:rPr>
              <w:instrText xml:space="preserve"> \* MERGEFORMAT </w:instrText>
            </w:r>
            <w:r w:rsidRPr="007F70DC">
              <w:rPr>
                <w:rFonts w:asciiTheme="minorHAnsi" w:hAnsiTheme="minorHAnsi" w:cstheme="minorHAnsi"/>
                <w:sz w:val="20"/>
                <w:szCs w:val="20"/>
                <w:vertAlign w:val="superscript"/>
              </w:rPr>
            </w:r>
            <w:r w:rsidRPr="007F70DC">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97</w:t>
            </w:r>
            <w:r w:rsidRPr="007F70DC">
              <w:rPr>
                <w:rFonts w:asciiTheme="minorHAnsi" w:hAnsiTheme="minorHAnsi" w:cstheme="minorHAnsi"/>
                <w:sz w:val="20"/>
                <w:szCs w:val="20"/>
                <w:vertAlign w:val="superscript"/>
              </w:rPr>
              <w:fldChar w:fldCharType="end"/>
            </w:r>
            <w:r w:rsidRPr="007F70DC">
              <w:rPr>
                <w:rFonts w:asciiTheme="minorHAnsi" w:hAnsiTheme="minorHAnsi" w:cstheme="minorHAnsi"/>
                <w:sz w:val="20"/>
                <w:szCs w:val="20"/>
              </w:rPr>
              <w:t xml:space="preserve"> The benefit/rebate is the amount of a private patient’s cost that is met by the Government, and varies depending on whether the private patient is treated as an admitted/in-hospital patient (75% rebate) or out-of-hospital patient/non-admitted outpatient (85% rebate). The MBS includes information on additional out-of-hospital rebates provided under the Extended Medicare Safety Net and Greatest Permissible Gap. The MBS is available online, as a searchable document.</w:t>
            </w:r>
          </w:p>
        </w:tc>
      </w:tr>
      <w:tr w:rsidR="00ED6042" w:rsidRPr="00EC2C01" w14:paraId="2AC99D4E"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6FCC3EB" w14:textId="61FA5E09" w:rsidR="00ED6042" w:rsidRPr="00EC2C01" w:rsidRDefault="00ED6042" w:rsidP="005268E0">
            <w:pPr>
              <w:pStyle w:val="5Bodytext"/>
              <w:jc w:val="center"/>
              <w:rPr>
                <w:rFonts w:asciiTheme="minorHAnsi" w:hAnsiTheme="minorHAnsi"/>
                <w:sz w:val="20"/>
                <w:szCs w:val="20"/>
              </w:rPr>
            </w:pPr>
            <w:r w:rsidRPr="00ED6042">
              <w:rPr>
                <w:rFonts w:asciiTheme="minorHAnsi" w:hAnsiTheme="minorHAnsi"/>
                <w:sz w:val="20"/>
                <w:szCs w:val="20"/>
              </w:rPr>
              <w:t>Orphan drug</w:t>
            </w:r>
            <w:r w:rsidR="00A94DE7">
              <w:rPr>
                <w:rFonts w:asciiTheme="minorHAnsi" w:hAnsiTheme="minorHAnsi"/>
                <w:sz w:val="20"/>
                <w:szCs w:val="20"/>
              </w:rPr>
              <w:t>, TGA</w:t>
            </w:r>
          </w:p>
        </w:tc>
        <w:tc>
          <w:tcPr>
            <w:tcW w:w="6606" w:type="dxa"/>
            <w:vAlign w:val="center"/>
          </w:tcPr>
          <w:p w14:paraId="59F518EA" w14:textId="01C2F79A" w:rsidR="00ED6042" w:rsidRPr="00EC2C01" w:rsidRDefault="00A536B3" w:rsidP="00A536B3">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bookmarkStart w:id="218" w:name="_Hlk130465224"/>
            <w:r w:rsidRPr="00A536B3">
              <w:rPr>
                <w:rFonts w:asciiTheme="minorHAnsi" w:hAnsiTheme="minorHAnsi"/>
                <w:sz w:val="20"/>
                <w:szCs w:val="20"/>
              </w:rPr>
              <w:t>An orphan drug is a medicine, vaccine or in vivo diagnostic agent that meets the requirements of regulation 16J of the Therapeutic Goods Regulations 1990. Orphan drug designations allow for a waiver of application and evaluation fee for registration in the Australian Register of Therapeutic Goods (ARTG)</w:t>
            </w:r>
            <w:r w:rsidR="007C23DF" w:rsidRPr="00321AD6">
              <w:rPr>
                <w:rFonts w:asciiTheme="minorHAnsi" w:hAnsiTheme="minorHAnsi"/>
                <w:sz w:val="20"/>
                <w:szCs w:val="20"/>
                <w:vertAlign w:val="superscript"/>
              </w:rPr>
              <w:t>15</w:t>
            </w:r>
            <w:r w:rsidRPr="00A536B3">
              <w:rPr>
                <w:rFonts w:asciiTheme="minorHAnsi" w:hAnsiTheme="minorHAnsi"/>
                <w:sz w:val="20"/>
                <w:szCs w:val="20"/>
              </w:rPr>
              <w:t>.</w:t>
            </w:r>
            <w:r w:rsidRPr="00A536B3" w:rsidDel="00A536B3">
              <w:rPr>
                <w:rFonts w:asciiTheme="minorHAnsi" w:hAnsiTheme="minorHAnsi"/>
                <w:sz w:val="20"/>
                <w:szCs w:val="20"/>
              </w:rPr>
              <w:t xml:space="preserve"> </w:t>
            </w:r>
            <w:bookmarkEnd w:id="218"/>
          </w:p>
        </w:tc>
      </w:tr>
      <w:tr w:rsidR="008F4C09" w:rsidRPr="00EC2C01" w14:paraId="6A351A3E"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3B93F16" w14:textId="282F7417" w:rsidR="008F4C09" w:rsidRPr="00ED6042" w:rsidRDefault="008F4C09" w:rsidP="005268E0">
            <w:pPr>
              <w:pStyle w:val="5Bodytext"/>
              <w:jc w:val="center"/>
              <w:rPr>
                <w:rFonts w:asciiTheme="minorHAnsi" w:hAnsiTheme="minorHAnsi"/>
                <w:sz w:val="20"/>
                <w:szCs w:val="20"/>
              </w:rPr>
            </w:pPr>
            <w:r>
              <w:rPr>
                <w:rFonts w:asciiTheme="minorHAnsi" w:hAnsiTheme="minorHAnsi"/>
                <w:sz w:val="20"/>
                <w:szCs w:val="20"/>
              </w:rPr>
              <w:t>Orphan medicine</w:t>
            </w:r>
            <w:r w:rsidR="00A94DE7">
              <w:rPr>
                <w:rFonts w:asciiTheme="minorHAnsi" w:hAnsiTheme="minorHAnsi"/>
                <w:sz w:val="20"/>
                <w:szCs w:val="20"/>
              </w:rPr>
              <w:t>, EMA</w:t>
            </w:r>
          </w:p>
        </w:tc>
        <w:tc>
          <w:tcPr>
            <w:tcW w:w="6606" w:type="dxa"/>
            <w:vAlign w:val="center"/>
          </w:tcPr>
          <w:p w14:paraId="54B621A2" w14:textId="709B2521" w:rsidR="00A94DE7" w:rsidRPr="00ED6042" w:rsidRDefault="00D67127" w:rsidP="00275050">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D67127">
              <w:rPr>
                <w:rFonts w:asciiTheme="minorHAnsi" w:hAnsiTheme="minorHAnsi"/>
                <w:sz w:val="20"/>
                <w:szCs w:val="20"/>
              </w:rPr>
              <w:t xml:space="preserve">A medicine for the diagnosis, </w:t>
            </w:r>
            <w:r w:rsidR="00436418" w:rsidRPr="00D67127">
              <w:rPr>
                <w:rFonts w:asciiTheme="minorHAnsi" w:hAnsiTheme="minorHAnsi"/>
                <w:sz w:val="20"/>
                <w:szCs w:val="20"/>
              </w:rPr>
              <w:t>prevention,</w:t>
            </w:r>
            <w:r w:rsidRPr="00D67127">
              <w:rPr>
                <w:rFonts w:asciiTheme="minorHAnsi" w:hAnsiTheme="minorHAnsi"/>
                <w:sz w:val="20"/>
                <w:szCs w:val="20"/>
              </w:rPr>
              <w:t xml:space="preserve"> or treatment of a life-threatening or chronically debilitating condition that is rare (affecting not more than five in 10,000 people in the European Union) or where the medicine is unlikely to generate sufficient profit to justify research and development costs</w:t>
            </w:r>
            <w:r>
              <w:rPr>
                <w:rFonts w:asciiTheme="minorHAnsi" w:hAnsiTheme="minorHAnsi"/>
                <w:sz w:val="20"/>
                <w:szCs w:val="20"/>
              </w:rPr>
              <w:t xml:space="preserve">. </w:t>
            </w:r>
            <w:r w:rsidRPr="00D67127">
              <w:rPr>
                <w:rFonts w:asciiTheme="minorHAnsi" w:hAnsiTheme="minorHAnsi"/>
                <w:sz w:val="20"/>
                <w:szCs w:val="20"/>
                <w:vertAlign w:val="superscript"/>
              </w:rPr>
              <w:fldChar w:fldCharType="begin"/>
            </w:r>
            <w:r w:rsidRPr="00D67127">
              <w:rPr>
                <w:rFonts w:asciiTheme="minorHAnsi" w:hAnsiTheme="minorHAnsi"/>
                <w:sz w:val="20"/>
                <w:szCs w:val="20"/>
                <w:vertAlign w:val="superscript"/>
              </w:rPr>
              <w:instrText xml:space="preserve"> NOTEREF _Ref130465753 \h </w:instrText>
            </w:r>
            <w:r>
              <w:rPr>
                <w:rFonts w:asciiTheme="minorHAnsi" w:hAnsiTheme="minorHAnsi"/>
                <w:sz w:val="20"/>
                <w:szCs w:val="20"/>
                <w:vertAlign w:val="superscript"/>
              </w:rPr>
              <w:instrText xml:space="preserve"> \* MERGEFORMAT </w:instrText>
            </w:r>
            <w:r w:rsidRPr="00D67127">
              <w:rPr>
                <w:rFonts w:asciiTheme="minorHAnsi" w:hAnsiTheme="minorHAnsi"/>
                <w:sz w:val="20"/>
                <w:szCs w:val="20"/>
                <w:vertAlign w:val="superscript"/>
              </w:rPr>
            </w:r>
            <w:r w:rsidRPr="00D67127">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w:t>
            </w:r>
            <w:r w:rsidRPr="00D67127">
              <w:rPr>
                <w:rFonts w:asciiTheme="minorHAnsi" w:hAnsiTheme="minorHAnsi"/>
                <w:sz w:val="20"/>
                <w:szCs w:val="20"/>
                <w:vertAlign w:val="superscript"/>
              </w:rPr>
              <w:fldChar w:fldCharType="end"/>
            </w:r>
          </w:p>
        </w:tc>
      </w:tr>
      <w:tr w:rsidR="00ED6042" w:rsidRPr="00EC2C01" w14:paraId="2422C2D6"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3A47A14" w14:textId="0D6FF6CE" w:rsidR="00ED6042" w:rsidRPr="00EC2C01" w:rsidRDefault="00ED6042" w:rsidP="005268E0">
            <w:pPr>
              <w:pStyle w:val="5Bodytext"/>
              <w:jc w:val="center"/>
              <w:rPr>
                <w:rFonts w:asciiTheme="minorHAnsi" w:hAnsiTheme="minorHAnsi"/>
                <w:sz w:val="20"/>
                <w:szCs w:val="20"/>
              </w:rPr>
            </w:pPr>
            <w:r w:rsidRPr="00ED6042">
              <w:rPr>
                <w:rFonts w:asciiTheme="minorHAnsi" w:hAnsiTheme="minorHAnsi"/>
                <w:sz w:val="20"/>
                <w:szCs w:val="20"/>
              </w:rPr>
              <w:t>Pharmaceutical Benefits Advisory Committee</w:t>
            </w:r>
            <w:r>
              <w:rPr>
                <w:rFonts w:asciiTheme="minorHAnsi" w:hAnsiTheme="minorHAnsi"/>
                <w:sz w:val="20"/>
                <w:szCs w:val="20"/>
              </w:rPr>
              <w:t xml:space="preserve"> (PBAC)</w:t>
            </w:r>
          </w:p>
        </w:tc>
        <w:tc>
          <w:tcPr>
            <w:tcW w:w="6606" w:type="dxa"/>
            <w:vAlign w:val="center"/>
          </w:tcPr>
          <w:p w14:paraId="089E3A76" w14:textId="275BBAEF" w:rsidR="00857420" w:rsidRPr="00A0473D" w:rsidRDefault="00ED6042" w:rsidP="00ED604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vertAlign w:val="superscript"/>
              </w:rPr>
            </w:pPr>
            <w:r w:rsidRPr="00ED6042">
              <w:rPr>
                <w:rFonts w:asciiTheme="minorHAnsi" w:hAnsiTheme="minorHAnsi"/>
                <w:sz w:val="20"/>
                <w:szCs w:val="20"/>
              </w:rPr>
              <w:t>An independent HTA advisory committee of the Australian Government that primarily makes recommendations to the health minister on the listing of medicines in the PBS.</w:t>
            </w:r>
            <w:r w:rsidRPr="00ED6042">
              <w:rPr>
                <w:rFonts w:asciiTheme="minorHAnsi" w:hAnsiTheme="minorHAnsi"/>
                <w:sz w:val="20"/>
                <w:szCs w:val="20"/>
                <w:vertAlign w:val="superscript"/>
              </w:rPr>
              <w:fldChar w:fldCharType="begin"/>
            </w:r>
            <w:r w:rsidRPr="00ED6042">
              <w:rPr>
                <w:rFonts w:asciiTheme="minorHAnsi" w:hAnsiTheme="minorHAnsi"/>
                <w:sz w:val="20"/>
                <w:szCs w:val="20"/>
                <w:vertAlign w:val="superscript"/>
              </w:rPr>
              <w:instrText xml:space="preserve"> NOTEREF _Ref129252019 \h </w:instrText>
            </w:r>
            <w:r>
              <w:rPr>
                <w:rFonts w:asciiTheme="minorHAnsi" w:hAnsiTheme="minorHAnsi"/>
                <w:sz w:val="20"/>
                <w:szCs w:val="20"/>
                <w:vertAlign w:val="superscript"/>
              </w:rPr>
              <w:instrText xml:space="preserve"> \* MERGEFORMAT </w:instrText>
            </w:r>
            <w:r w:rsidRPr="00ED6042">
              <w:rPr>
                <w:rFonts w:asciiTheme="minorHAnsi" w:hAnsiTheme="minorHAnsi"/>
                <w:sz w:val="20"/>
                <w:szCs w:val="20"/>
                <w:vertAlign w:val="superscript"/>
              </w:rPr>
            </w:r>
            <w:r w:rsidRPr="00ED6042">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ED6042">
              <w:rPr>
                <w:rFonts w:asciiTheme="minorHAnsi" w:hAnsiTheme="minorHAnsi"/>
                <w:sz w:val="20"/>
                <w:szCs w:val="20"/>
                <w:vertAlign w:val="superscript"/>
              </w:rPr>
              <w:fldChar w:fldCharType="end"/>
            </w:r>
          </w:p>
          <w:p w14:paraId="18C97792" w14:textId="77777777" w:rsidR="00857420" w:rsidRDefault="00857420" w:rsidP="00ED604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OR</w:t>
            </w:r>
          </w:p>
          <w:p w14:paraId="27EC0258" w14:textId="1522F416" w:rsidR="00857420" w:rsidRPr="00EC2C01" w:rsidRDefault="004D5161" w:rsidP="00ED604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4D5161">
              <w:rPr>
                <w:rFonts w:asciiTheme="minorHAnsi" w:hAnsiTheme="minorHAnsi" w:cstheme="minorHAnsi"/>
                <w:sz w:val="20"/>
                <w:szCs w:val="20"/>
              </w:rPr>
              <w:t>PBAC is an independent expert body, appointed by the Australian Government.</w:t>
            </w:r>
            <w:r w:rsidRPr="004D5161">
              <w:rPr>
                <w:rFonts w:asciiTheme="minorHAnsi" w:hAnsiTheme="minorHAnsi" w:cstheme="minorHAnsi"/>
                <w:sz w:val="20"/>
                <w:szCs w:val="20"/>
                <w:vertAlign w:val="superscript"/>
              </w:rPr>
              <w:fldChar w:fldCharType="begin"/>
            </w:r>
            <w:r w:rsidRPr="004D5161">
              <w:rPr>
                <w:rFonts w:asciiTheme="minorHAnsi" w:hAnsiTheme="minorHAnsi" w:cstheme="minorHAnsi"/>
                <w:sz w:val="20"/>
                <w:szCs w:val="20"/>
                <w:vertAlign w:val="superscript"/>
              </w:rPr>
              <w:instrText xml:space="preserve"> NOTEREF _Ref130307539 \h </w:instrText>
            </w:r>
            <w:r>
              <w:rPr>
                <w:rFonts w:asciiTheme="minorHAnsi" w:hAnsiTheme="minorHAnsi" w:cstheme="minorHAnsi"/>
                <w:sz w:val="20"/>
                <w:szCs w:val="20"/>
                <w:vertAlign w:val="superscript"/>
              </w:rPr>
              <w:instrText xml:space="preserve"> \* MERGEFORMAT </w:instrText>
            </w:r>
            <w:r w:rsidRPr="004D5161">
              <w:rPr>
                <w:rFonts w:asciiTheme="minorHAnsi" w:hAnsiTheme="minorHAnsi" w:cstheme="minorHAnsi"/>
                <w:sz w:val="20"/>
                <w:szCs w:val="20"/>
                <w:vertAlign w:val="superscript"/>
              </w:rPr>
            </w:r>
            <w:r w:rsidRPr="004D5161">
              <w:rPr>
                <w:rFonts w:asciiTheme="minorHAnsi" w:hAnsiTheme="minorHAnsi" w:cstheme="minorHAnsi"/>
                <w:sz w:val="20"/>
                <w:szCs w:val="20"/>
                <w:vertAlign w:val="superscript"/>
              </w:rPr>
              <w:fldChar w:fldCharType="separate"/>
            </w:r>
            <w:r w:rsidR="00395B47">
              <w:rPr>
                <w:rFonts w:asciiTheme="minorHAnsi" w:hAnsiTheme="minorHAnsi" w:cstheme="minorHAnsi"/>
                <w:sz w:val="20"/>
                <w:szCs w:val="20"/>
                <w:vertAlign w:val="superscript"/>
              </w:rPr>
              <w:t>97</w:t>
            </w:r>
            <w:r w:rsidRPr="004D5161">
              <w:rPr>
                <w:rFonts w:asciiTheme="minorHAnsi" w:hAnsiTheme="minorHAnsi" w:cstheme="minorHAnsi"/>
                <w:sz w:val="20"/>
                <w:szCs w:val="20"/>
                <w:vertAlign w:val="superscript"/>
              </w:rPr>
              <w:fldChar w:fldCharType="end"/>
            </w:r>
            <w:r w:rsidRPr="004D5161">
              <w:rPr>
                <w:rFonts w:asciiTheme="minorHAnsi" w:hAnsiTheme="minorHAnsi" w:cstheme="minorHAnsi"/>
                <w:sz w:val="20"/>
                <w:szCs w:val="20"/>
              </w:rPr>
              <w:t xml:space="preserve"> Members include doctors, health professionals, health economists and consumer representatives. Its primary role is to recommend new medicines for listing on the PBS</w:t>
            </w:r>
            <w:r w:rsidR="007B5CE8">
              <w:rPr>
                <w:rFonts w:asciiTheme="minorHAnsi" w:hAnsiTheme="minorHAnsi" w:cstheme="minorHAnsi"/>
                <w:sz w:val="20"/>
                <w:szCs w:val="20"/>
              </w:rPr>
              <w:t xml:space="preserve"> and vaccines for the National Immunisation Program</w:t>
            </w:r>
            <w:r w:rsidRPr="004D5161">
              <w:rPr>
                <w:rFonts w:asciiTheme="minorHAnsi" w:hAnsiTheme="minorHAnsi" w:cstheme="minorHAnsi"/>
                <w:sz w:val="20"/>
                <w:szCs w:val="20"/>
              </w:rPr>
              <w:t xml:space="preserve">. No new medicine can be listed unless the committee makes a positive recommendation. PBAC meets three times a year, usually in March, </w:t>
            </w:r>
            <w:r w:rsidR="00436418" w:rsidRPr="004D5161">
              <w:rPr>
                <w:rFonts w:asciiTheme="minorHAnsi" w:hAnsiTheme="minorHAnsi" w:cstheme="minorHAnsi"/>
                <w:sz w:val="20"/>
                <w:szCs w:val="20"/>
              </w:rPr>
              <w:t>July,</w:t>
            </w:r>
            <w:r w:rsidRPr="004D5161">
              <w:rPr>
                <w:rFonts w:asciiTheme="minorHAnsi" w:hAnsiTheme="minorHAnsi" w:cstheme="minorHAnsi"/>
                <w:sz w:val="20"/>
                <w:szCs w:val="20"/>
              </w:rPr>
              <w:t xml:space="preserve"> and November. When recommending a medicine for listing, PBAC takes into account the medical conditions for which the medicine was registered for use in Australia, its clinical effectiveness, </w:t>
            </w:r>
            <w:r w:rsidR="00436418" w:rsidRPr="004D5161">
              <w:rPr>
                <w:rFonts w:asciiTheme="minorHAnsi" w:hAnsiTheme="minorHAnsi" w:cstheme="minorHAnsi"/>
                <w:sz w:val="20"/>
                <w:szCs w:val="20"/>
              </w:rPr>
              <w:t>safety,</w:t>
            </w:r>
            <w:r w:rsidRPr="004D5161">
              <w:rPr>
                <w:rFonts w:asciiTheme="minorHAnsi" w:hAnsiTheme="minorHAnsi" w:cstheme="minorHAnsi"/>
                <w:sz w:val="20"/>
                <w:szCs w:val="20"/>
              </w:rPr>
              <w:t xml:space="preserve"> and cost-effectiveness (‘value for money’), compared with other treatments. PBAC has two sub-committees to assist with analysis and advice in these areas: the Drug Utilisation Sub-Committee (DUSC); and Economics Sub-Committee (ESC) </w:t>
            </w:r>
            <w:r w:rsidRPr="004D5161">
              <w:rPr>
                <w:rFonts w:asciiTheme="minorHAnsi" w:hAnsiTheme="minorHAnsi" w:cstheme="minorHAnsi"/>
                <w:i/>
                <w:sz w:val="20"/>
                <w:szCs w:val="20"/>
              </w:rPr>
              <w:t>– not to be confused with MSAC’s ESC.</w:t>
            </w:r>
          </w:p>
        </w:tc>
      </w:tr>
      <w:tr w:rsidR="00ED6042" w:rsidRPr="00EC2C01" w14:paraId="40264216"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A44F597" w14:textId="0E0750EA" w:rsidR="00ED6042" w:rsidRPr="00ED6042" w:rsidRDefault="00ED6042" w:rsidP="005268E0">
            <w:pPr>
              <w:pStyle w:val="5Bodytext"/>
              <w:jc w:val="center"/>
              <w:rPr>
                <w:rFonts w:asciiTheme="minorHAnsi" w:hAnsiTheme="minorHAnsi"/>
                <w:sz w:val="20"/>
                <w:szCs w:val="20"/>
              </w:rPr>
            </w:pPr>
            <w:r w:rsidRPr="00ED6042">
              <w:rPr>
                <w:rFonts w:asciiTheme="minorHAnsi" w:hAnsiTheme="minorHAnsi"/>
                <w:sz w:val="20"/>
                <w:szCs w:val="20"/>
              </w:rPr>
              <w:t>Pharmaceutical Benefits Scheme</w:t>
            </w:r>
            <w:r>
              <w:rPr>
                <w:rFonts w:asciiTheme="minorHAnsi" w:hAnsiTheme="minorHAnsi"/>
                <w:sz w:val="20"/>
                <w:szCs w:val="20"/>
              </w:rPr>
              <w:t xml:space="preserve"> (PBS)</w:t>
            </w:r>
          </w:p>
        </w:tc>
        <w:tc>
          <w:tcPr>
            <w:tcW w:w="6606" w:type="dxa"/>
            <w:vAlign w:val="center"/>
          </w:tcPr>
          <w:p w14:paraId="53EDE787" w14:textId="447D4BD3" w:rsidR="00ED6042" w:rsidRPr="004D5161" w:rsidRDefault="00ED6042" w:rsidP="00ED604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vertAlign w:val="superscript"/>
              </w:rPr>
            </w:pPr>
            <w:r w:rsidRPr="004D5161">
              <w:rPr>
                <w:rFonts w:asciiTheme="minorHAnsi" w:hAnsiTheme="minorHAnsi"/>
                <w:sz w:val="20"/>
                <w:szCs w:val="20"/>
              </w:rPr>
              <w:t>Under the authority of the National Health Act 1953, a listing and description of the medicines that are subsidised by the Australian Government, the amount of that subsidy and any conditions applying to the use of that medicine.</w:t>
            </w:r>
            <w:r w:rsidRPr="004D5161">
              <w:rPr>
                <w:rFonts w:asciiTheme="minorHAnsi" w:hAnsiTheme="minorHAnsi"/>
                <w:sz w:val="20"/>
                <w:szCs w:val="20"/>
                <w:vertAlign w:val="superscript"/>
              </w:rPr>
              <w:fldChar w:fldCharType="begin"/>
            </w:r>
            <w:r w:rsidRPr="004D5161">
              <w:rPr>
                <w:rFonts w:asciiTheme="minorHAnsi" w:hAnsiTheme="minorHAnsi"/>
                <w:sz w:val="20"/>
                <w:szCs w:val="20"/>
                <w:vertAlign w:val="superscript"/>
              </w:rPr>
              <w:instrText xml:space="preserve"> NOTEREF _Ref129252019 \h  \* MERGEFORMAT </w:instrText>
            </w:r>
            <w:r w:rsidRPr="004D5161">
              <w:rPr>
                <w:rFonts w:asciiTheme="minorHAnsi" w:hAnsiTheme="minorHAnsi"/>
                <w:sz w:val="20"/>
                <w:szCs w:val="20"/>
                <w:vertAlign w:val="superscript"/>
              </w:rPr>
            </w:r>
            <w:r w:rsidRPr="004D5161">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4D5161">
              <w:rPr>
                <w:rFonts w:asciiTheme="minorHAnsi" w:hAnsiTheme="minorHAnsi"/>
                <w:sz w:val="20"/>
                <w:szCs w:val="20"/>
                <w:vertAlign w:val="superscript"/>
              </w:rPr>
              <w:fldChar w:fldCharType="end"/>
            </w:r>
          </w:p>
          <w:p w14:paraId="4146D55C" w14:textId="394F50D4" w:rsidR="004D5161" w:rsidRPr="004D5161" w:rsidRDefault="004D5161" w:rsidP="00ED604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4D5161">
              <w:rPr>
                <w:rFonts w:asciiTheme="minorHAnsi" w:hAnsiTheme="minorHAnsi"/>
                <w:sz w:val="20"/>
                <w:szCs w:val="20"/>
              </w:rPr>
              <w:t>OR</w:t>
            </w:r>
          </w:p>
          <w:p w14:paraId="4277F63E" w14:textId="4E0A4323" w:rsidR="004D5161" w:rsidRPr="004D5161" w:rsidRDefault="004D5161" w:rsidP="004D5161">
            <w:pPr>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rPr>
            </w:pPr>
            <w:r w:rsidRPr="004D5161">
              <w:rPr>
                <w:rFonts w:cstheme="minorHAnsi"/>
                <w:sz w:val="20"/>
                <w:szCs w:val="20"/>
              </w:rPr>
              <w:t xml:space="preserve">The PBS has been in existence since </w:t>
            </w:r>
            <w:r w:rsidR="00436418" w:rsidRPr="004D5161">
              <w:rPr>
                <w:rFonts w:cstheme="minorHAnsi"/>
                <w:sz w:val="20"/>
                <w:szCs w:val="20"/>
              </w:rPr>
              <w:t>1948 and</w:t>
            </w:r>
            <w:r w:rsidRPr="004D5161">
              <w:rPr>
                <w:rFonts w:cstheme="minorHAnsi"/>
                <w:sz w:val="20"/>
                <w:szCs w:val="20"/>
              </w:rPr>
              <w:t xml:space="preserve"> is governed by the </w:t>
            </w:r>
            <w:r w:rsidRPr="004D5161">
              <w:rPr>
                <w:rFonts w:cstheme="minorHAnsi"/>
                <w:i/>
                <w:sz w:val="20"/>
                <w:szCs w:val="20"/>
              </w:rPr>
              <w:t>National Health Act 1953</w:t>
            </w:r>
            <w:r w:rsidRPr="004D5161">
              <w:rPr>
                <w:rFonts w:cstheme="minorHAnsi"/>
                <w:sz w:val="20"/>
                <w:szCs w:val="20"/>
              </w:rPr>
              <w:t xml:space="preserve"> (Commonwealth).</w:t>
            </w:r>
            <w:r w:rsidRPr="004D5161">
              <w:rPr>
                <w:rFonts w:cstheme="minorHAnsi"/>
                <w:sz w:val="20"/>
                <w:szCs w:val="20"/>
                <w:vertAlign w:val="superscript"/>
              </w:rPr>
              <w:fldChar w:fldCharType="begin"/>
            </w:r>
            <w:r w:rsidRPr="004D5161">
              <w:rPr>
                <w:rFonts w:cstheme="minorHAnsi"/>
                <w:sz w:val="20"/>
                <w:szCs w:val="20"/>
                <w:vertAlign w:val="superscript"/>
              </w:rPr>
              <w:instrText xml:space="preserve"> NOTEREF _Ref130307539 \h </w:instrText>
            </w:r>
            <w:r>
              <w:rPr>
                <w:rFonts w:cstheme="minorHAnsi"/>
                <w:sz w:val="20"/>
                <w:szCs w:val="20"/>
                <w:vertAlign w:val="superscript"/>
              </w:rPr>
              <w:instrText xml:space="preserve"> \* MERGEFORMAT </w:instrText>
            </w:r>
            <w:r w:rsidRPr="004D5161">
              <w:rPr>
                <w:rFonts w:cstheme="minorHAnsi"/>
                <w:sz w:val="20"/>
                <w:szCs w:val="20"/>
                <w:vertAlign w:val="superscript"/>
              </w:rPr>
            </w:r>
            <w:r w:rsidRPr="004D5161">
              <w:rPr>
                <w:rFonts w:cstheme="minorHAnsi"/>
                <w:sz w:val="20"/>
                <w:szCs w:val="20"/>
                <w:vertAlign w:val="superscript"/>
              </w:rPr>
              <w:fldChar w:fldCharType="separate"/>
            </w:r>
            <w:r w:rsidR="00395B47">
              <w:rPr>
                <w:rFonts w:cstheme="minorHAnsi"/>
                <w:sz w:val="20"/>
                <w:szCs w:val="20"/>
                <w:vertAlign w:val="superscript"/>
              </w:rPr>
              <w:t>97</w:t>
            </w:r>
            <w:r w:rsidRPr="004D5161">
              <w:rPr>
                <w:rFonts w:cstheme="minorHAnsi"/>
                <w:sz w:val="20"/>
                <w:szCs w:val="20"/>
                <w:vertAlign w:val="superscript"/>
              </w:rPr>
              <w:fldChar w:fldCharType="end"/>
            </w:r>
            <w:r w:rsidRPr="004D5161">
              <w:rPr>
                <w:rFonts w:cstheme="minorHAnsi"/>
                <w:sz w:val="20"/>
                <w:szCs w:val="20"/>
              </w:rPr>
              <w:t xml:space="preserve"> The PBS provides a </w:t>
            </w:r>
            <w:r w:rsidRPr="004D5161">
              <w:rPr>
                <w:rFonts w:cstheme="minorHAnsi"/>
                <w:color w:val="222222"/>
                <w:sz w:val="20"/>
                <w:szCs w:val="20"/>
              </w:rPr>
              <w:t xml:space="preserve">list (Schedule) of all medicines that can be dispensed to patients at a </w:t>
            </w:r>
            <w:r w:rsidR="00436418" w:rsidRPr="004D5161">
              <w:rPr>
                <w:rFonts w:cstheme="minorHAnsi"/>
                <w:color w:val="222222"/>
                <w:sz w:val="20"/>
                <w:szCs w:val="20"/>
              </w:rPr>
              <w:t>government</w:t>
            </w:r>
            <w:r w:rsidRPr="004D5161">
              <w:rPr>
                <w:rFonts w:cstheme="minorHAnsi"/>
                <w:color w:val="222222"/>
                <w:sz w:val="20"/>
                <w:szCs w:val="20"/>
              </w:rPr>
              <w:t xml:space="preserve">-subsidised price. This list (Schedule) is part of the wider Pharmaceutical Benefits Scheme, managed by the Department of Health, and administered by Services Australia. </w:t>
            </w:r>
          </w:p>
          <w:p w14:paraId="0F2E8AE8" w14:textId="69A37F4E" w:rsidR="004D5161" w:rsidRPr="004D5161" w:rsidRDefault="004D5161" w:rsidP="004D5161">
            <w:pPr>
              <w:spacing w:line="300" w:lineRule="atLeast"/>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lang w:eastAsia="en-AU"/>
              </w:rPr>
            </w:pPr>
            <w:r w:rsidRPr="004D5161">
              <w:rPr>
                <w:rFonts w:cstheme="minorHAnsi"/>
                <w:color w:val="222222"/>
                <w:sz w:val="20"/>
                <w:szCs w:val="20"/>
                <w:lang w:eastAsia="en-AU"/>
              </w:rPr>
              <w:t xml:space="preserve">This Schedule is available </w:t>
            </w:r>
            <w:r w:rsidR="00436418" w:rsidRPr="004D5161">
              <w:rPr>
                <w:rFonts w:cstheme="minorHAnsi"/>
                <w:color w:val="222222"/>
                <w:sz w:val="20"/>
                <w:szCs w:val="20"/>
                <w:lang w:eastAsia="en-AU"/>
              </w:rPr>
              <w:t>online and</w:t>
            </w:r>
            <w:r w:rsidRPr="004D5161">
              <w:rPr>
                <w:rFonts w:cstheme="minorHAnsi"/>
                <w:color w:val="222222"/>
                <w:sz w:val="20"/>
                <w:szCs w:val="20"/>
                <w:lang w:eastAsia="en-AU"/>
              </w:rPr>
              <w:t xml:space="preserve"> updated </w:t>
            </w:r>
            <w:r w:rsidR="00436418" w:rsidRPr="004D5161">
              <w:rPr>
                <w:rFonts w:cstheme="minorHAnsi"/>
                <w:color w:val="222222"/>
                <w:sz w:val="20"/>
                <w:szCs w:val="20"/>
                <w:lang w:eastAsia="en-AU"/>
              </w:rPr>
              <w:t>monthly</w:t>
            </w:r>
            <w:r w:rsidRPr="004D5161">
              <w:rPr>
                <w:rFonts w:cstheme="minorHAnsi"/>
                <w:color w:val="222222"/>
                <w:sz w:val="20"/>
                <w:szCs w:val="20"/>
                <w:lang w:eastAsia="en-AU"/>
              </w:rPr>
              <w:t xml:space="preserve">. The online (searchable) version contains: </w:t>
            </w:r>
          </w:p>
          <w:p w14:paraId="0793ACB8" w14:textId="00F70DDE" w:rsidR="004D5161" w:rsidRPr="004D5161" w:rsidRDefault="004D5161" w:rsidP="00990D82">
            <w:pPr>
              <w:numPr>
                <w:ilvl w:val="0"/>
                <w:numId w:val="26"/>
              </w:numPr>
              <w:spacing w:after="120" w:line="300" w:lineRule="atLeast"/>
              <w:ind w:left="600" w:right="150"/>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lang w:eastAsia="en-AU"/>
              </w:rPr>
            </w:pPr>
            <w:r w:rsidRPr="004D5161">
              <w:rPr>
                <w:rFonts w:cstheme="minorHAnsi"/>
                <w:color w:val="222222"/>
                <w:sz w:val="20"/>
                <w:szCs w:val="20"/>
                <w:lang w:eastAsia="en-AU"/>
              </w:rPr>
              <w:t xml:space="preserve">All drugs/medicines listed on the </w:t>
            </w:r>
            <w:r w:rsidR="00436418" w:rsidRPr="004D5161">
              <w:rPr>
                <w:rFonts w:cstheme="minorHAnsi"/>
                <w:color w:val="222222"/>
                <w:sz w:val="20"/>
                <w:szCs w:val="20"/>
                <w:lang w:eastAsia="en-AU"/>
              </w:rPr>
              <w:t>PBS.</w:t>
            </w:r>
          </w:p>
          <w:p w14:paraId="4755B86E" w14:textId="23DF9010" w:rsidR="004D5161" w:rsidRPr="004D5161" w:rsidRDefault="004D5161" w:rsidP="00990D82">
            <w:pPr>
              <w:numPr>
                <w:ilvl w:val="0"/>
                <w:numId w:val="26"/>
              </w:numPr>
              <w:spacing w:after="120" w:line="300" w:lineRule="atLeast"/>
              <w:ind w:left="600" w:right="150"/>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lang w:eastAsia="en-AU"/>
              </w:rPr>
            </w:pPr>
            <w:r w:rsidRPr="004D5161">
              <w:rPr>
                <w:rFonts w:cstheme="minorHAnsi"/>
                <w:color w:val="222222"/>
                <w:sz w:val="20"/>
                <w:szCs w:val="20"/>
                <w:lang w:eastAsia="en-AU"/>
              </w:rPr>
              <w:t xml:space="preserve">Information on conditions of use for the prescribing of PBS </w:t>
            </w:r>
            <w:r w:rsidR="00436418" w:rsidRPr="004D5161">
              <w:rPr>
                <w:rFonts w:cstheme="minorHAnsi"/>
                <w:color w:val="222222"/>
                <w:sz w:val="20"/>
                <w:szCs w:val="20"/>
                <w:lang w:eastAsia="en-AU"/>
              </w:rPr>
              <w:t>medicines.</w:t>
            </w:r>
          </w:p>
          <w:p w14:paraId="3E44383F" w14:textId="77777777" w:rsidR="001F17F7" w:rsidRDefault="004D5161" w:rsidP="00990D82">
            <w:pPr>
              <w:numPr>
                <w:ilvl w:val="0"/>
                <w:numId w:val="26"/>
              </w:numPr>
              <w:spacing w:after="120" w:line="300" w:lineRule="atLeast"/>
              <w:ind w:left="600" w:right="150"/>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lang w:eastAsia="en-AU"/>
              </w:rPr>
            </w:pPr>
            <w:r w:rsidRPr="004D5161">
              <w:rPr>
                <w:rFonts w:cstheme="minorHAnsi"/>
                <w:color w:val="222222"/>
                <w:sz w:val="20"/>
                <w:szCs w:val="20"/>
                <w:lang w:eastAsia="en-AU"/>
              </w:rPr>
              <w:t>Detailed consumer information on medicines that have been prescribed by your doctor or dentist; and</w:t>
            </w:r>
          </w:p>
          <w:p w14:paraId="528E8236" w14:textId="05D907A1" w:rsidR="004D5161" w:rsidRPr="00A0473D" w:rsidRDefault="004D5161" w:rsidP="00ED6042">
            <w:pPr>
              <w:numPr>
                <w:ilvl w:val="0"/>
                <w:numId w:val="26"/>
              </w:numPr>
              <w:spacing w:after="120" w:line="300" w:lineRule="atLeast"/>
              <w:ind w:left="600" w:right="150"/>
              <w:cnfStyle w:val="000000000000" w:firstRow="0" w:lastRow="0" w:firstColumn="0" w:lastColumn="0" w:oddVBand="0" w:evenVBand="0" w:oddHBand="0" w:evenHBand="0" w:firstRowFirstColumn="0" w:firstRowLastColumn="0" w:lastRowFirstColumn="0" w:lastRowLastColumn="0"/>
              <w:rPr>
                <w:rFonts w:cstheme="minorHAnsi"/>
                <w:color w:val="222222"/>
                <w:sz w:val="20"/>
                <w:szCs w:val="20"/>
                <w:lang w:eastAsia="en-AU"/>
              </w:rPr>
            </w:pPr>
            <w:r w:rsidRPr="001F17F7">
              <w:rPr>
                <w:rFonts w:cstheme="minorHAnsi"/>
                <w:color w:val="222222"/>
                <w:sz w:val="20"/>
                <w:szCs w:val="20"/>
              </w:rPr>
              <w:t>What you can expect to pay for medicines.</w:t>
            </w:r>
          </w:p>
        </w:tc>
      </w:tr>
      <w:tr w:rsidR="00367DC1" w:rsidRPr="00EC2C01" w14:paraId="2D4CE591"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52CEDB4" w14:textId="4E4572D8" w:rsidR="00367DC1" w:rsidRDefault="00367DC1" w:rsidP="00367DC1">
            <w:pPr>
              <w:pStyle w:val="5Bodytext"/>
              <w:jc w:val="center"/>
              <w:rPr>
                <w:rFonts w:asciiTheme="minorHAnsi" w:hAnsiTheme="minorHAnsi"/>
                <w:sz w:val="20"/>
                <w:szCs w:val="20"/>
              </w:rPr>
            </w:pPr>
            <w:r>
              <w:rPr>
                <w:rFonts w:asciiTheme="minorHAnsi" w:hAnsiTheme="minorHAnsi"/>
                <w:sz w:val="20"/>
                <w:szCs w:val="20"/>
              </w:rPr>
              <w:t>Predictive</w:t>
            </w:r>
          </w:p>
        </w:tc>
        <w:tc>
          <w:tcPr>
            <w:tcW w:w="6606" w:type="dxa"/>
            <w:vAlign w:val="center"/>
          </w:tcPr>
          <w:p w14:paraId="67A7D96C" w14:textId="5953A11C" w:rsidR="00367DC1" w:rsidRDefault="00367DC1" w:rsidP="00367DC1">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w:t>
            </w:r>
            <w:r w:rsidRPr="00F81723">
              <w:rPr>
                <w:rFonts w:asciiTheme="minorHAnsi" w:hAnsiTheme="minorHAnsi"/>
                <w:sz w:val="20"/>
                <w:szCs w:val="20"/>
              </w:rPr>
              <w:t>ypically use to refer to change in management, rather than cascade testing</w:t>
            </w:r>
            <w:r>
              <w:rPr>
                <w:rFonts w:asciiTheme="minorHAnsi" w:hAnsiTheme="minorHAnsi"/>
                <w:sz w:val="20"/>
                <w:szCs w:val="20"/>
              </w:rPr>
              <w:t>.</w:t>
            </w:r>
          </w:p>
        </w:tc>
      </w:tr>
      <w:tr w:rsidR="00367DC1" w:rsidRPr="00EC2C01" w14:paraId="4183ABA6"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706A5A5" w14:textId="78588470" w:rsidR="00367DC1" w:rsidRDefault="00367DC1" w:rsidP="00367DC1">
            <w:pPr>
              <w:pStyle w:val="5Bodytext"/>
              <w:jc w:val="center"/>
              <w:rPr>
                <w:rFonts w:asciiTheme="minorHAnsi" w:hAnsiTheme="minorHAnsi"/>
                <w:sz w:val="20"/>
                <w:szCs w:val="20"/>
              </w:rPr>
            </w:pPr>
            <w:r w:rsidRPr="003B1068">
              <w:rPr>
                <w:rFonts w:asciiTheme="minorHAnsi" w:hAnsiTheme="minorHAnsi"/>
                <w:sz w:val="20"/>
                <w:szCs w:val="20"/>
              </w:rPr>
              <w:t>Precision medicine</w:t>
            </w:r>
          </w:p>
        </w:tc>
        <w:tc>
          <w:tcPr>
            <w:tcW w:w="6606" w:type="dxa"/>
            <w:vAlign w:val="center"/>
          </w:tcPr>
          <w:p w14:paraId="150D7D11" w14:textId="45EA8BB3" w:rsidR="00367DC1" w:rsidRDefault="00367DC1" w:rsidP="00367DC1">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EB1B89">
              <w:rPr>
                <w:rFonts w:asciiTheme="minorHAnsi" w:hAnsiTheme="minorHAnsi"/>
                <w:sz w:val="20"/>
                <w:szCs w:val="20"/>
              </w:rPr>
              <w:t>Precision medicine, sometimes known as "personalized medicine" is an approach to tailoring disease prevention and treatment that takes into account differences in people's genes, environments, and lifestyles.</w:t>
            </w:r>
            <w:r w:rsidRPr="00B90B94">
              <w:rPr>
                <w:rFonts w:asciiTheme="minorHAnsi" w:hAnsiTheme="minorHAnsi"/>
                <w:sz w:val="20"/>
                <w:szCs w:val="20"/>
                <w:vertAlign w:val="superscript"/>
              </w:rPr>
              <w:fldChar w:fldCharType="begin"/>
            </w:r>
            <w:r w:rsidRPr="00B90B94">
              <w:rPr>
                <w:rFonts w:asciiTheme="minorHAnsi" w:hAnsiTheme="minorHAnsi"/>
                <w:sz w:val="20"/>
                <w:szCs w:val="20"/>
                <w:vertAlign w:val="superscript"/>
              </w:rPr>
              <w:instrText xml:space="preserve"> NOTEREF _Ref130373376 \h </w:instrText>
            </w:r>
            <w:r>
              <w:rPr>
                <w:rFonts w:asciiTheme="minorHAnsi" w:hAnsiTheme="minorHAnsi"/>
                <w:sz w:val="20"/>
                <w:szCs w:val="20"/>
                <w:vertAlign w:val="superscript"/>
              </w:rPr>
              <w:instrText xml:space="preserve"> \* MERGEFORMAT </w:instrText>
            </w:r>
            <w:r w:rsidRPr="00B90B94">
              <w:rPr>
                <w:rFonts w:asciiTheme="minorHAnsi" w:hAnsiTheme="minorHAnsi"/>
                <w:sz w:val="20"/>
                <w:szCs w:val="20"/>
                <w:vertAlign w:val="superscript"/>
              </w:rPr>
            </w:r>
            <w:r w:rsidRPr="00B90B94">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66</w:t>
            </w:r>
            <w:r w:rsidRPr="00B90B94">
              <w:rPr>
                <w:rFonts w:asciiTheme="minorHAnsi" w:hAnsiTheme="minorHAnsi"/>
                <w:sz w:val="20"/>
                <w:szCs w:val="20"/>
                <w:vertAlign w:val="superscript"/>
              </w:rPr>
              <w:fldChar w:fldCharType="end"/>
            </w:r>
            <w:r w:rsidRPr="00EB1B89">
              <w:rPr>
                <w:rFonts w:asciiTheme="minorHAnsi" w:hAnsiTheme="minorHAnsi"/>
                <w:sz w:val="20"/>
                <w:szCs w:val="20"/>
              </w:rPr>
              <w:t xml:space="preserve"> The goal of precision medicine is to target the right treatments to the right patients at the right time.</w:t>
            </w:r>
            <w:r w:rsidRPr="00B90B94">
              <w:rPr>
                <w:rFonts w:asciiTheme="minorHAnsi" w:hAnsiTheme="minorHAnsi"/>
                <w:sz w:val="20"/>
                <w:szCs w:val="20"/>
                <w:vertAlign w:val="superscript"/>
              </w:rPr>
              <w:fldChar w:fldCharType="begin"/>
            </w:r>
            <w:r w:rsidRPr="00B90B94">
              <w:rPr>
                <w:rFonts w:asciiTheme="minorHAnsi" w:hAnsiTheme="minorHAnsi"/>
                <w:sz w:val="20"/>
                <w:szCs w:val="20"/>
                <w:vertAlign w:val="superscript"/>
              </w:rPr>
              <w:instrText xml:space="preserve"> NOTEREF _Ref130373376 \h </w:instrText>
            </w:r>
            <w:r>
              <w:rPr>
                <w:rFonts w:asciiTheme="minorHAnsi" w:hAnsiTheme="minorHAnsi"/>
                <w:sz w:val="20"/>
                <w:szCs w:val="20"/>
                <w:vertAlign w:val="superscript"/>
              </w:rPr>
              <w:instrText xml:space="preserve"> \* MERGEFORMAT </w:instrText>
            </w:r>
            <w:r w:rsidRPr="00B90B94">
              <w:rPr>
                <w:rFonts w:asciiTheme="minorHAnsi" w:hAnsiTheme="minorHAnsi"/>
                <w:sz w:val="20"/>
                <w:szCs w:val="20"/>
                <w:vertAlign w:val="superscript"/>
              </w:rPr>
            </w:r>
            <w:r w:rsidRPr="00B90B94">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66</w:t>
            </w:r>
            <w:r w:rsidRPr="00B90B94">
              <w:rPr>
                <w:rFonts w:asciiTheme="minorHAnsi" w:hAnsiTheme="minorHAnsi"/>
                <w:sz w:val="20"/>
                <w:szCs w:val="20"/>
                <w:vertAlign w:val="superscript"/>
              </w:rPr>
              <w:fldChar w:fldCharType="end"/>
            </w:r>
          </w:p>
        </w:tc>
      </w:tr>
      <w:tr w:rsidR="00367DC1" w:rsidRPr="00EC2C01" w14:paraId="6012B840"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156C60A" w14:textId="1C5372F0" w:rsidR="00367DC1" w:rsidRDefault="00367DC1" w:rsidP="00367DC1">
            <w:pPr>
              <w:pStyle w:val="5Bodytext"/>
              <w:jc w:val="center"/>
              <w:rPr>
                <w:rFonts w:asciiTheme="minorHAnsi" w:hAnsiTheme="minorHAnsi"/>
                <w:sz w:val="20"/>
                <w:szCs w:val="20"/>
              </w:rPr>
            </w:pPr>
            <w:r w:rsidRPr="00566CF4">
              <w:rPr>
                <w:rFonts w:asciiTheme="minorHAnsi" w:hAnsiTheme="minorHAnsi" w:cstheme="minorHAnsi"/>
                <w:color w:val="000000" w:themeColor="text1"/>
                <w:sz w:val="20"/>
                <w:szCs w:val="20"/>
              </w:rPr>
              <w:t xml:space="preserve">Priority </w:t>
            </w:r>
            <w:r>
              <w:rPr>
                <w:rFonts w:asciiTheme="minorHAnsi" w:hAnsiTheme="minorHAnsi" w:cstheme="minorHAnsi"/>
                <w:color w:val="000000" w:themeColor="text1"/>
                <w:sz w:val="20"/>
                <w:szCs w:val="20"/>
              </w:rPr>
              <w:t>r</w:t>
            </w:r>
            <w:r w:rsidRPr="00566CF4">
              <w:rPr>
                <w:rFonts w:asciiTheme="minorHAnsi" w:hAnsiTheme="minorHAnsi" w:cstheme="minorHAnsi"/>
                <w:color w:val="000000" w:themeColor="text1"/>
                <w:sz w:val="20"/>
                <w:szCs w:val="20"/>
              </w:rPr>
              <w:t>eview</w:t>
            </w:r>
            <w:r>
              <w:rPr>
                <w:rFonts w:asciiTheme="minorHAnsi" w:hAnsiTheme="minorHAnsi" w:cstheme="minorHAnsi"/>
                <w:color w:val="000000" w:themeColor="text1"/>
                <w:sz w:val="20"/>
                <w:szCs w:val="20"/>
              </w:rPr>
              <w:t>, FDA</w:t>
            </w:r>
            <w:r w:rsidRPr="00A34321">
              <w:rPr>
                <w:rFonts w:asciiTheme="minorHAnsi" w:hAnsiTheme="minorHAnsi" w:cstheme="minorHAnsi"/>
                <w:color w:val="000000" w:themeColor="text1"/>
                <w:sz w:val="20"/>
                <w:szCs w:val="20"/>
                <w:vertAlign w:val="superscript"/>
                <w:lang w:val="en-GB"/>
              </w:rPr>
              <w:fldChar w:fldCharType="begin"/>
            </w:r>
            <w:r w:rsidRPr="00A34321">
              <w:rPr>
                <w:rFonts w:asciiTheme="minorHAnsi" w:hAnsiTheme="minorHAnsi" w:cstheme="minorHAnsi"/>
                <w:color w:val="000000" w:themeColor="text1"/>
                <w:sz w:val="20"/>
                <w:szCs w:val="20"/>
                <w:vertAlign w:val="superscript"/>
                <w:lang w:val="en-GB"/>
              </w:rPr>
              <w:instrText xml:space="preserve"> NOTEREF _Ref127366966 \h  \* MERGEFORMAT </w:instrText>
            </w:r>
            <w:r w:rsidRPr="00A34321">
              <w:rPr>
                <w:rFonts w:asciiTheme="minorHAnsi" w:hAnsiTheme="minorHAnsi" w:cstheme="minorHAnsi"/>
                <w:color w:val="000000" w:themeColor="text1"/>
                <w:sz w:val="20"/>
                <w:szCs w:val="20"/>
                <w:vertAlign w:val="superscript"/>
                <w:lang w:val="en-GB"/>
              </w:rPr>
            </w:r>
            <w:r w:rsidRPr="00A34321">
              <w:rPr>
                <w:rFonts w:asciiTheme="minorHAnsi" w:hAnsiTheme="minorHAnsi" w:cstheme="minorHAnsi"/>
                <w:color w:val="000000" w:themeColor="text1"/>
                <w:sz w:val="20"/>
                <w:szCs w:val="20"/>
                <w:vertAlign w:val="superscript"/>
                <w:lang w:val="en-GB"/>
              </w:rPr>
              <w:fldChar w:fldCharType="separate"/>
            </w:r>
            <w:r w:rsidR="00395B47">
              <w:rPr>
                <w:rFonts w:asciiTheme="minorHAnsi" w:hAnsiTheme="minorHAnsi" w:cstheme="minorHAnsi"/>
                <w:color w:val="000000" w:themeColor="text1"/>
                <w:sz w:val="20"/>
                <w:szCs w:val="20"/>
                <w:vertAlign w:val="superscript"/>
                <w:lang w:val="en-GB"/>
              </w:rPr>
              <w:t>50</w:t>
            </w:r>
            <w:r w:rsidRPr="00A34321">
              <w:rPr>
                <w:rFonts w:asciiTheme="minorHAnsi" w:hAnsiTheme="minorHAnsi" w:cstheme="minorHAnsi"/>
                <w:color w:val="000000" w:themeColor="text1"/>
                <w:sz w:val="20"/>
                <w:szCs w:val="20"/>
              </w:rPr>
              <w:fldChar w:fldCharType="end"/>
            </w:r>
          </w:p>
        </w:tc>
        <w:tc>
          <w:tcPr>
            <w:tcW w:w="6606" w:type="dxa"/>
            <w:vAlign w:val="center"/>
          </w:tcPr>
          <w:p w14:paraId="78F8138B" w14:textId="233F043D" w:rsidR="00367DC1" w:rsidRDefault="00367DC1" w:rsidP="00367DC1">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566CF4">
              <w:rPr>
                <w:rFonts w:asciiTheme="minorHAnsi" w:hAnsiTheme="minorHAnsi" w:cstheme="minorHAnsi"/>
                <w:color w:val="000000" w:themeColor="text1"/>
                <w:sz w:val="20"/>
                <w:szCs w:val="20"/>
              </w:rPr>
              <w:t>A designation that will direct overall attention and resources to the evaluation of applications for drugs that, if approved, would be significant improvements in the safety or effectiveness of the treatment, diagnosis, or prevention of serious conditions when compared to standard applications</w:t>
            </w:r>
          </w:p>
        </w:tc>
      </w:tr>
      <w:tr w:rsidR="00E7405A" w:rsidRPr="00EC2C01" w14:paraId="0FCCAC40"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C02279E" w14:textId="21E3025A" w:rsidR="00E7405A" w:rsidRDefault="00E7405A" w:rsidP="005268E0">
            <w:pPr>
              <w:pStyle w:val="5Bodytext"/>
              <w:jc w:val="center"/>
              <w:rPr>
                <w:rFonts w:asciiTheme="minorHAnsi" w:hAnsiTheme="minorHAnsi"/>
                <w:sz w:val="20"/>
                <w:szCs w:val="20"/>
              </w:rPr>
            </w:pPr>
            <w:r>
              <w:rPr>
                <w:rFonts w:asciiTheme="minorHAnsi" w:hAnsiTheme="minorHAnsi"/>
                <w:sz w:val="20"/>
                <w:szCs w:val="20"/>
              </w:rPr>
              <w:t>Provisional registration, TGA</w:t>
            </w:r>
          </w:p>
        </w:tc>
        <w:tc>
          <w:tcPr>
            <w:tcW w:w="6606" w:type="dxa"/>
            <w:vAlign w:val="center"/>
          </w:tcPr>
          <w:p w14:paraId="19B6AB0C" w14:textId="4D06EE77" w:rsidR="00E7405A" w:rsidRPr="00B85F2D" w:rsidRDefault="006B771E" w:rsidP="00ED604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P</w:t>
            </w:r>
            <w:r w:rsidRPr="006B771E">
              <w:rPr>
                <w:rFonts w:asciiTheme="minorHAnsi" w:hAnsiTheme="minorHAnsi"/>
                <w:sz w:val="20"/>
                <w:szCs w:val="20"/>
              </w:rPr>
              <w:t>rovisional registration allow</w:t>
            </w:r>
            <w:r>
              <w:rPr>
                <w:rFonts w:asciiTheme="minorHAnsi" w:hAnsiTheme="minorHAnsi"/>
                <w:sz w:val="20"/>
                <w:szCs w:val="20"/>
              </w:rPr>
              <w:t>s</w:t>
            </w:r>
            <w:r w:rsidRPr="006B771E">
              <w:rPr>
                <w:rFonts w:asciiTheme="minorHAnsi" w:hAnsiTheme="minorHAnsi"/>
                <w:sz w:val="20"/>
                <w:szCs w:val="20"/>
              </w:rPr>
              <w:t xml:space="preserve"> certain medicines to be provisionally registered in the Australian Register of Therapeutic Goods (ARTG) for a limited duration. These medicines are registered on the basis of preliminary clinical data, where the benefit of early availability of the medicine outweighs the risk inherent in the fact that additional data are still required</w:t>
            </w:r>
            <w:r>
              <w:rPr>
                <w:rFonts w:asciiTheme="minorHAnsi" w:hAnsiTheme="minorHAnsi"/>
                <w:sz w:val="20"/>
                <w:szCs w:val="20"/>
              </w:rPr>
              <w:t>.</w:t>
            </w:r>
            <w:r w:rsidRPr="00321AD6">
              <w:rPr>
                <w:rFonts w:asciiTheme="minorHAnsi" w:hAnsiTheme="minorHAnsi"/>
                <w:sz w:val="20"/>
                <w:szCs w:val="20"/>
                <w:vertAlign w:val="superscript"/>
              </w:rPr>
              <w:t>35</w:t>
            </w:r>
          </w:p>
        </w:tc>
      </w:tr>
      <w:tr w:rsidR="00ED6042" w:rsidRPr="00EC2C01" w14:paraId="2091B402"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4994F8D" w14:textId="54FFB145" w:rsidR="00ED6042" w:rsidRPr="00EC2C01" w:rsidRDefault="00ED6042" w:rsidP="005268E0">
            <w:pPr>
              <w:pStyle w:val="5Bodytext"/>
              <w:jc w:val="center"/>
              <w:rPr>
                <w:rFonts w:asciiTheme="minorHAnsi" w:hAnsiTheme="minorHAnsi"/>
                <w:sz w:val="20"/>
                <w:szCs w:val="20"/>
              </w:rPr>
            </w:pPr>
            <w:r>
              <w:rPr>
                <w:rFonts w:asciiTheme="minorHAnsi" w:hAnsiTheme="minorHAnsi"/>
                <w:sz w:val="20"/>
                <w:szCs w:val="20"/>
              </w:rPr>
              <w:t>Technology</w:t>
            </w:r>
          </w:p>
        </w:tc>
        <w:tc>
          <w:tcPr>
            <w:tcW w:w="6606" w:type="dxa"/>
            <w:vAlign w:val="center"/>
          </w:tcPr>
          <w:p w14:paraId="688DBCD2" w14:textId="1F1FC881" w:rsidR="00ED6042" w:rsidRPr="00EC2C01" w:rsidRDefault="00ED6042" w:rsidP="00ED604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5F2D">
              <w:rPr>
                <w:rFonts w:asciiTheme="minorHAnsi" w:hAnsiTheme="minorHAnsi"/>
                <w:sz w:val="20"/>
                <w:szCs w:val="20"/>
              </w:rPr>
              <w:t>A simplified term for all types of health technology or services.</w:t>
            </w:r>
            <w:r w:rsidRPr="00B85F2D">
              <w:rPr>
                <w:rFonts w:asciiTheme="minorHAnsi" w:hAnsiTheme="minorHAnsi"/>
                <w:sz w:val="20"/>
                <w:szCs w:val="20"/>
                <w:vertAlign w:val="superscript"/>
              </w:rPr>
              <w:fldChar w:fldCharType="begin"/>
            </w:r>
            <w:r w:rsidRPr="00B85F2D">
              <w:rPr>
                <w:rFonts w:asciiTheme="minorHAnsi" w:hAnsiTheme="minorHAnsi"/>
                <w:sz w:val="20"/>
                <w:szCs w:val="20"/>
                <w:vertAlign w:val="superscript"/>
              </w:rPr>
              <w:instrText xml:space="preserve"> NOTEREF _Ref129250159 \h </w:instrText>
            </w:r>
            <w:r>
              <w:rPr>
                <w:rFonts w:asciiTheme="minorHAnsi" w:hAnsiTheme="minorHAnsi"/>
                <w:sz w:val="20"/>
                <w:szCs w:val="20"/>
                <w:vertAlign w:val="superscript"/>
              </w:rPr>
              <w:instrText xml:space="preserve"> \* MERGEFORMAT </w:instrText>
            </w:r>
            <w:r w:rsidRPr="00B85F2D">
              <w:rPr>
                <w:rFonts w:asciiTheme="minorHAnsi" w:hAnsiTheme="minorHAnsi"/>
                <w:sz w:val="20"/>
                <w:szCs w:val="20"/>
                <w:vertAlign w:val="superscript"/>
              </w:rPr>
            </w:r>
            <w:r w:rsidRPr="00B85F2D">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100</w:t>
            </w:r>
            <w:r w:rsidRPr="00B85F2D">
              <w:rPr>
                <w:rFonts w:asciiTheme="minorHAnsi" w:hAnsiTheme="minorHAnsi"/>
                <w:sz w:val="20"/>
                <w:szCs w:val="20"/>
                <w:vertAlign w:val="superscript"/>
              </w:rPr>
              <w:fldChar w:fldCharType="end"/>
            </w:r>
          </w:p>
        </w:tc>
      </w:tr>
      <w:tr w:rsidR="00316D34" w:rsidRPr="00EC2C01" w14:paraId="206916D3" w14:textId="77777777" w:rsidTr="00A0473D">
        <w:trPr>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0015AF9" w14:textId="0DF55CCA" w:rsidR="00316D34" w:rsidRDefault="00316D34" w:rsidP="005268E0">
            <w:pPr>
              <w:pStyle w:val="5Bodytext"/>
              <w:jc w:val="center"/>
              <w:rPr>
                <w:rFonts w:asciiTheme="minorHAnsi" w:hAnsiTheme="minorHAnsi"/>
                <w:sz w:val="20"/>
                <w:szCs w:val="20"/>
              </w:rPr>
            </w:pPr>
            <w:r w:rsidRPr="00316D34">
              <w:rPr>
                <w:rFonts w:asciiTheme="minorHAnsi" w:hAnsiTheme="minorHAnsi"/>
                <w:sz w:val="20"/>
                <w:szCs w:val="20"/>
              </w:rPr>
              <w:t>Therapeutic Goods Administration</w:t>
            </w:r>
            <w:r>
              <w:rPr>
                <w:rFonts w:asciiTheme="minorHAnsi" w:hAnsiTheme="minorHAnsi"/>
                <w:sz w:val="20"/>
                <w:szCs w:val="20"/>
              </w:rPr>
              <w:t xml:space="preserve"> (TGA)</w:t>
            </w:r>
          </w:p>
        </w:tc>
        <w:tc>
          <w:tcPr>
            <w:tcW w:w="6606" w:type="dxa"/>
            <w:vAlign w:val="center"/>
          </w:tcPr>
          <w:p w14:paraId="1F0BBD47" w14:textId="594BBFF4" w:rsidR="00316D34" w:rsidRPr="00B85F2D" w:rsidRDefault="00316D34" w:rsidP="00ED6042">
            <w:pPr>
              <w:pStyle w:val="5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316D34">
              <w:rPr>
                <w:rFonts w:asciiTheme="minorHAnsi" w:hAnsiTheme="minorHAnsi"/>
                <w:sz w:val="20"/>
                <w:szCs w:val="20"/>
              </w:rPr>
              <w:t xml:space="preserve">A division of the Australian Government Department of Health and Ageing that regulates the quality, </w:t>
            </w:r>
            <w:r w:rsidR="00436418" w:rsidRPr="00316D34">
              <w:rPr>
                <w:rFonts w:asciiTheme="minorHAnsi" w:hAnsiTheme="minorHAnsi"/>
                <w:sz w:val="20"/>
                <w:szCs w:val="20"/>
              </w:rPr>
              <w:t>safety,</w:t>
            </w:r>
            <w:r w:rsidRPr="00316D34">
              <w:rPr>
                <w:rFonts w:asciiTheme="minorHAnsi" w:hAnsiTheme="minorHAnsi"/>
                <w:sz w:val="20"/>
                <w:szCs w:val="20"/>
              </w:rPr>
              <w:t xml:space="preserve"> and efficacy of therapeutic goods available within Australia.</w:t>
            </w:r>
            <w:r w:rsidRPr="00316D34">
              <w:rPr>
                <w:rFonts w:asciiTheme="minorHAnsi" w:hAnsiTheme="minorHAnsi"/>
                <w:sz w:val="20"/>
                <w:szCs w:val="20"/>
                <w:vertAlign w:val="superscript"/>
              </w:rPr>
              <w:fldChar w:fldCharType="begin"/>
            </w:r>
            <w:r w:rsidRPr="00316D34">
              <w:rPr>
                <w:rFonts w:asciiTheme="minorHAnsi" w:hAnsiTheme="minorHAnsi"/>
                <w:sz w:val="20"/>
                <w:szCs w:val="20"/>
                <w:vertAlign w:val="superscript"/>
              </w:rPr>
              <w:instrText xml:space="preserve"> NOTEREF _Ref129252019 \h </w:instrText>
            </w:r>
            <w:r>
              <w:rPr>
                <w:rFonts w:asciiTheme="minorHAnsi" w:hAnsiTheme="minorHAnsi"/>
                <w:sz w:val="20"/>
                <w:szCs w:val="20"/>
                <w:vertAlign w:val="superscript"/>
              </w:rPr>
              <w:instrText xml:space="preserve"> \* MERGEFORMAT </w:instrText>
            </w:r>
            <w:r w:rsidRPr="00316D34">
              <w:rPr>
                <w:rFonts w:asciiTheme="minorHAnsi" w:hAnsiTheme="minorHAnsi"/>
                <w:sz w:val="20"/>
                <w:szCs w:val="20"/>
                <w:vertAlign w:val="superscript"/>
              </w:rPr>
            </w:r>
            <w:r w:rsidRPr="00316D34">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316D34">
              <w:rPr>
                <w:rFonts w:asciiTheme="minorHAnsi" w:hAnsiTheme="minorHAnsi"/>
                <w:sz w:val="20"/>
                <w:szCs w:val="20"/>
                <w:vertAlign w:val="superscript"/>
              </w:rPr>
              <w:fldChar w:fldCharType="end"/>
            </w:r>
          </w:p>
        </w:tc>
      </w:tr>
      <w:tr w:rsidR="00316D34" w:rsidRPr="00EC2C01" w14:paraId="13CD2B6A" w14:textId="77777777" w:rsidTr="00A047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14ADE33" w14:textId="5777F46F" w:rsidR="00316D34" w:rsidRPr="00316D34" w:rsidRDefault="00316D34" w:rsidP="005268E0">
            <w:pPr>
              <w:pStyle w:val="5Bodytext"/>
              <w:jc w:val="center"/>
              <w:rPr>
                <w:rFonts w:asciiTheme="minorHAnsi" w:hAnsiTheme="minorHAnsi"/>
                <w:sz w:val="20"/>
                <w:szCs w:val="20"/>
              </w:rPr>
            </w:pPr>
            <w:r>
              <w:rPr>
                <w:rFonts w:asciiTheme="minorHAnsi" w:hAnsiTheme="minorHAnsi"/>
                <w:sz w:val="20"/>
                <w:szCs w:val="20"/>
              </w:rPr>
              <w:t>Vaccine</w:t>
            </w:r>
          </w:p>
        </w:tc>
        <w:tc>
          <w:tcPr>
            <w:tcW w:w="6606" w:type="dxa"/>
            <w:vAlign w:val="center"/>
          </w:tcPr>
          <w:p w14:paraId="203B08CC" w14:textId="5B4D993A" w:rsidR="00316D34" w:rsidRPr="00316D34" w:rsidRDefault="00316D34" w:rsidP="00ED6042">
            <w:pPr>
              <w:pStyle w:val="5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16D34">
              <w:rPr>
                <w:rFonts w:asciiTheme="minorHAnsi" w:hAnsiTheme="minorHAnsi"/>
                <w:sz w:val="20"/>
                <w:szCs w:val="20"/>
              </w:rPr>
              <w:t xml:space="preserve">A suspension of attenuated or killed microorganisms administered for the prevention, </w:t>
            </w:r>
            <w:r w:rsidR="00436418" w:rsidRPr="00316D34">
              <w:rPr>
                <w:rFonts w:asciiTheme="minorHAnsi" w:hAnsiTheme="minorHAnsi"/>
                <w:sz w:val="20"/>
                <w:szCs w:val="20"/>
              </w:rPr>
              <w:t>amelioration,</w:t>
            </w:r>
            <w:r w:rsidRPr="00316D34">
              <w:rPr>
                <w:rFonts w:asciiTheme="minorHAnsi" w:hAnsiTheme="minorHAnsi"/>
                <w:sz w:val="20"/>
                <w:szCs w:val="20"/>
              </w:rPr>
              <w:t xml:space="preserve"> or treatment of infectious diseases.</w:t>
            </w:r>
            <w:r w:rsidRPr="00316D34">
              <w:rPr>
                <w:rFonts w:asciiTheme="minorHAnsi" w:hAnsiTheme="minorHAnsi"/>
                <w:sz w:val="20"/>
                <w:szCs w:val="20"/>
                <w:vertAlign w:val="superscript"/>
              </w:rPr>
              <w:fldChar w:fldCharType="begin"/>
            </w:r>
            <w:r w:rsidRPr="00316D34">
              <w:rPr>
                <w:rFonts w:asciiTheme="minorHAnsi" w:hAnsiTheme="minorHAnsi"/>
                <w:sz w:val="20"/>
                <w:szCs w:val="20"/>
                <w:vertAlign w:val="superscript"/>
              </w:rPr>
              <w:instrText xml:space="preserve"> NOTEREF _Ref129252019 \h </w:instrText>
            </w:r>
            <w:r>
              <w:rPr>
                <w:rFonts w:asciiTheme="minorHAnsi" w:hAnsiTheme="minorHAnsi"/>
                <w:sz w:val="20"/>
                <w:szCs w:val="20"/>
                <w:vertAlign w:val="superscript"/>
              </w:rPr>
              <w:instrText xml:space="preserve"> \* MERGEFORMAT </w:instrText>
            </w:r>
            <w:r w:rsidRPr="00316D34">
              <w:rPr>
                <w:rFonts w:asciiTheme="minorHAnsi" w:hAnsiTheme="minorHAnsi"/>
                <w:sz w:val="20"/>
                <w:szCs w:val="20"/>
                <w:vertAlign w:val="superscript"/>
              </w:rPr>
            </w:r>
            <w:r w:rsidRPr="00316D34">
              <w:rPr>
                <w:rFonts w:asciiTheme="minorHAnsi" w:hAnsiTheme="minorHAnsi"/>
                <w:sz w:val="20"/>
                <w:szCs w:val="20"/>
                <w:vertAlign w:val="superscript"/>
              </w:rPr>
              <w:fldChar w:fldCharType="separate"/>
            </w:r>
            <w:r w:rsidR="00395B47">
              <w:rPr>
                <w:rFonts w:asciiTheme="minorHAnsi" w:hAnsiTheme="minorHAnsi"/>
                <w:sz w:val="20"/>
                <w:szCs w:val="20"/>
                <w:vertAlign w:val="superscript"/>
              </w:rPr>
              <w:t>96</w:t>
            </w:r>
            <w:r w:rsidRPr="00316D34">
              <w:rPr>
                <w:rFonts w:asciiTheme="minorHAnsi" w:hAnsiTheme="minorHAnsi"/>
                <w:sz w:val="20"/>
                <w:szCs w:val="20"/>
                <w:vertAlign w:val="superscript"/>
              </w:rPr>
              <w:fldChar w:fldCharType="end"/>
            </w:r>
          </w:p>
        </w:tc>
      </w:tr>
    </w:tbl>
    <w:p w14:paraId="471E7EAD" w14:textId="77777777" w:rsidR="00FE3C1A" w:rsidRPr="006E2FAC" w:rsidRDefault="00FE3C1A" w:rsidP="00321AD6">
      <w:pPr>
        <w:rPr>
          <w:sz w:val="24"/>
          <w:szCs w:val="24"/>
        </w:rPr>
      </w:pPr>
    </w:p>
    <w:sectPr w:rsidR="00FE3C1A" w:rsidRPr="006E2FAC">
      <w:headerReference w:type="default" r:id="rId22"/>
      <w:foot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5CE7" w14:textId="77777777" w:rsidR="0009645B" w:rsidRDefault="0009645B" w:rsidP="00FC65E5">
      <w:pPr>
        <w:spacing w:line="240" w:lineRule="auto"/>
      </w:pPr>
      <w:r>
        <w:separator/>
      </w:r>
    </w:p>
  </w:endnote>
  <w:endnote w:type="continuationSeparator" w:id="0">
    <w:p w14:paraId="5D49EE7E" w14:textId="77777777" w:rsidR="0009645B" w:rsidRDefault="0009645B" w:rsidP="00FC65E5">
      <w:pPr>
        <w:spacing w:line="240" w:lineRule="auto"/>
      </w:pPr>
      <w:r>
        <w:continuationSeparator/>
      </w:r>
    </w:p>
  </w:endnote>
  <w:endnote w:type="continuationNotice" w:id="1">
    <w:p w14:paraId="154E163F" w14:textId="77777777" w:rsidR="0009645B" w:rsidRDefault="000964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rwin Pro Rd Bold">
    <w:altName w:val="Calibri"/>
    <w:panose1 w:val="00000000000000000000"/>
    <w:charset w:val="00"/>
    <w:family w:val="swiss"/>
    <w:notTrueType/>
    <w:pitch w:val="default"/>
    <w:sig w:usb0="00000003" w:usb1="00000000" w:usb2="00000000" w:usb3="00000000" w:csb0="00000001" w:csb1="00000000"/>
  </w:font>
  <w:font w:name="Darwin Ess Rd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059171"/>
      <w:docPartObj>
        <w:docPartGallery w:val="Page Numbers (Bottom of Page)"/>
        <w:docPartUnique/>
      </w:docPartObj>
    </w:sdtPr>
    <w:sdtEndPr>
      <w:rPr>
        <w:noProof/>
      </w:rPr>
    </w:sdtEndPr>
    <w:sdtContent>
      <w:p w14:paraId="044D849C" w14:textId="6B78F453" w:rsidR="004D38B3" w:rsidRDefault="004D38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1DC87" w14:textId="77777777" w:rsidR="00163DB8" w:rsidRDefault="00163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5742"/>
      <w:docPartObj>
        <w:docPartGallery w:val="Page Numbers (Bottom of Page)"/>
        <w:docPartUnique/>
      </w:docPartObj>
    </w:sdtPr>
    <w:sdtEndPr>
      <w:rPr>
        <w:noProof/>
      </w:rPr>
    </w:sdtEndPr>
    <w:sdtContent>
      <w:p w14:paraId="3EB02B80" w14:textId="10AAAC90" w:rsidR="004D38B3" w:rsidRDefault="004D38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008BE0" w14:textId="77777777" w:rsidR="00FC65E5" w:rsidRDefault="00FC65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D171" w14:textId="77777777" w:rsidR="0009645B" w:rsidRDefault="0009645B" w:rsidP="00801487">
      <w:pPr>
        <w:spacing w:before="0" w:line="240" w:lineRule="auto"/>
      </w:pPr>
      <w:r>
        <w:separator/>
      </w:r>
    </w:p>
  </w:footnote>
  <w:footnote w:type="continuationSeparator" w:id="0">
    <w:p w14:paraId="429802FD" w14:textId="77777777" w:rsidR="0009645B" w:rsidRDefault="0009645B" w:rsidP="00FC65E5">
      <w:pPr>
        <w:spacing w:line="240" w:lineRule="auto"/>
      </w:pPr>
      <w:r>
        <w:continuationSeparator/>
      </w:r>
    </w:p>
  </w:footnote>
  <w:footnote w:type="continuationNotice" w:id="1">
    <w:p w14:paraId="062F22A0" w14:textId="77777777" w:rsidR="0009645B" w:rsidRDefault="0009645B">
      <w:pPr>
        <w:spacing w:line="240" w:lineRule="auto"/>
      </w:pPr>
    </w:p>
  </w:footnote>
  <w:footnote w:id="2">
    <w:p w14:paraId="4A6BE317" w14:textId="24BD85A2" w:rsidR="00D52471" w:rsidRPr="00DB1CCA" w:rsidRDefault="00D52471" w:rsidP="00801487">
      <w:pPr>
        <w:spacing w:before="0" w:line="240" w:lineRule="auto"/>
        <w:rPr>
          <w:sz w:val="20"/>
          <w:szCs w:val="20"/>
        </w:rPr>
      </w:pPr>
      <w:r w:rsidRPr="00DB1CCA">
        <w:rPr>
          <w:sz w:val="20"/>
          <w:szCs w:val="20"/>
          <w:vertAlign w:val="superscript"/>
        </w:rPr>
        <w:footnoteRef/>
      </w:r>
      <w:r w:rsidR="00DB1CCA" w:rsidRPr="00DB1CCA">
        <w:rPr>
          <w:sz w:val="20"/>
          <w:szCs w:val="20"/>
        </w:rPr>
        <w:t xml:space="preserve">Standing Committee on Health, Aged Care and Sport, Inquiry into approval processes for new drugs and novel medical technologies in Australia, Chapter 6, Health Technology </w:t>
      </w:r>
      <w:r w:rsidR="00436418" w:rsidRPr="00DB1CCA">
        <w:rPr>
          <w:sz w:val="20"/>
          <w:szCs w:val="20"/>
        </w:rPr>
        <w:t>Assessment,</w:t>
      </w:r>
      <w:r w:rsidR="00DB1CCA" w:rsidRPr="00DB1CCA">
        <w:rPr>
          <w:sz w:val="20"/>
          <w:szCs w:val="20"/>
        </w:rPr>
        <w:t xml:space="preserve"> and the Pharmaceutical Benefits Advisory Committee -  www.aph.gov.au/Parliamentary_Business/Committees/House/Health_Aged_Care_and_Sport/Newdrugs/Report/section?id=committees%2freportrep%2f024755%2f77593</w:t>
      </w:r>
      <w:r w:rsidR="00663540">
        <w:rPr>
          <w:sz w:val="20"/>
          <w:szCs w:val="20"/>
        </w:rPr>
        <w:t>.</w:t>
      </w:r>
    </w:p>
  </w:footnote>
  <w:footnote w:id="3">
    <w:p w14:paraId="46C6D803" w14:textId="7E074E46" w:rsidR="00161D57" w:rsidRDefault="00161D57" w:rsidP="00801487">
      <w:pPr>
        <w:pStyle w:val="FootnoteText"/>
        <w:spacing w:before="0"/>
      </w:pPr>
      <w:r>
        <w:rPr>
          <w:rStyle w:val="FootnoteReference"/>
        </w:rPr>
        <w:footnoteRef/>
      </w:r>
      <w:r>
        <w:t xml:space="preserve"> </w:t>
      </w:r>
      <w:r w:rsidRPr="00DB1CCA">
        <w:t xml:space="preserve">Standing Committee on Health, Aged Care and Sport, Inquiry into approval processes for new drugs and novel medical technologies in Australia, Chapter </w:t>
      </w:r>
      <w:r>
        <w:t>1</w:t>
      </w:r>
      <w:r w:rsidRPr="00DB1CCA">
        <w:t xml:space="preserve">, </w:t>
      </w:r>
      <w:r>
        <w:t>Introduction</w:t>
      </w:r>
      <w:r w:rsidRPr="00DB1CCA">
        <w:t xml:space="preserve"> -  </w:t>
      </w:r>
      <w:hyperlink r:id="rId1" w:history="1">
        <w:r w:rsidR="0089301A" w:rsidRPr="005A0138">
          <w:rPr>
            <w:rStyle w:val="Hyperlink"/>
          </w:rPr>
          <w:t>www.aph.gov.au/Parliamentary_Business/Committees/House/Health_Aged_Care_and_Sport/Newdrugs/Report/section?id=committees%2freportrep%2f024755%2f77593</w:t>
        </w:r>
      </w:hyperlink>
      <w:r w:rsidR="0089301A">
        <w:t xml:space="preserve">. </w:t>
      </w:r>
    </w:p>
  </w:footnote>
  <w:footnote w:id="4">
    <w:p w14:paraId="57FFA722" w14:textId="41EB3E2A" w:rsidR="00D52471" w:rsidRPr="00805149" w:rsidRDefault="00D52471" w:rsidP="00801487">
      <w:pPr>
        <w:spacing w:before="0" w:line="240" w:lineRule="auto"/>
        <w:rPr>
          <w:sz w:val="20"/>
          <w:szCs w:val="20"/>
        </w:rPr>
      </w:pPr>
      <w:r w:rsidRPr="00805149">
        <w:rPr>
          <w:sz w:val="20"/>
          <w:szCs w:val="20"/>
          <w:vertAlign w:val="superscript"/>
        </w:rPr>
        <w:footnoteRef/>
      </w:r>
      <w:r w:rsidRPr="00805149">
        <w:rPr>
          <w:sz w:val="20"/>
          <w:szCs w:val="20"/>
        </w:rPr>
        <w:t xml:space="preserve"> </w:t>
      </w:r>
      <w:r w:rsidR="00D547EF" w:rsidRPr="00D547EF">
        <w:rPr>
          <w:sz w:val="20"/>
          <w:szCs w:val="20"/>
        </w:rPr>
        <w:t>Milou A. Hogervorst, Rick A. Vreman, Aukje K. Mantel-Teeuwisse, Wim G. Goettsch</w:t>
      </w:r>
      <w:r w:rsidR="00D547EF">
        <w:rPr>
          <w:sz w:val="20"/>
          <w:szCs w:val="20"/>
        </w:rPr>
        <w:t xml:space="preserve">, </w:t>
      </w:r>
      <w:r w:rsidRPr="00805149">
        <w:rPr>
          <w:sz w:val="20"/>
          <w:szCs w:val="20"/>
        </w:rPr>
        <w:t xml:space="preserve">Reported Challenges in Health Technology Assessment of Complex Health Technologies - </w:t>
      </w:r>
      <w:hyperlink r:id="rId2" w:history="1">
        <w:r w:rsidR="0089301A" w:rsidRPr="005A0138">
          <w:rPr>
            <w:rStyle w:val="Hyperlink"/>
            <w:sz w:val="20"/>
            <w:szCs w:val="20"/>
          </w:rPr>
          <w:t>www.sciencedirect.com/science/article/pii/S1098301521031879?via%3Dihub</w:t>
        </w:r>
      </w:hyperlink>
      <w:r w:rsidR="0089301A">
        <w:rPr>
          <w:sz w:val="20"/>
          <w:szCs w:val="20"/>
        </w:rPr>
        <w:t xml:space="preserve">. </w:t>
      </w:r>
    </w:p>
  </w:footnote>
  <w:footnote w:id="5">
    <w:p w14:paraId="05BBA151" w14:textId="4A426AF5" w:rsidR="00D52471" w:rsidRPr="00805149" w:rsidRDefault="00D52471" w:rsidP="00801487">
      <w:pPr>
        <w:spacing w:before="0" w:line="240" w:lineRule="auto"/>
        <w:rPr>
          <w:sz w:val="20"/>
          <w:szCs w:val="20"/>
        </w:rPr>
      </w:pPr>
      <w:r w:rsidRPr="00805149">
        <w:rPr>
          <w:sz w:val="20"/>
          <w:szCs w:val="20"/>
          <w:vertAlign w:val="superscript"/>
        </w:rPr>
        <w:footnoteRef/>
      </w:r>
      <w:r w:rsidRPr="00805149">
        <w:rPr>
          <w:sz w:val="20"/>
          <w:szCs w:val="20"/>
        </w:rPr>
        <w:t xml:space="preserve"> </w:t>
      </w:r>
      <w:r w:rsidR="00D547EF" w:rsidRPr="00D547EF">
        <w:rPr>
          <w:sz w:val="20"/>
          <w:szCs w:val="20"/>
        </w:rPr>
        <w:t xml:space="preserve">Trapani D, Tay-Teo K, Tesch ME, Roitberg F, Sengar M, Altuna SC, Hassett MJ, Genazzani AA, Kesselheim AS, Curigliano G. Implications of Oncology Trial Design and Uncertainties in Efficacy-Safety Data on Health Technology Assessments. </w:t>
      </w:r>
      <w:r w:rsidR="00D547EF" w:rsidRPr="008A120A">
        <w:rPr>
          <w:i/>
          <w:iCs/>
          <w:sz w:val="20"/>
          <w:szCs w:val="20"/>
        </w:rPr>
        <w:t>Curr Oncol</w:t>
      </w:r>
      <w:r w:rsidR="00D547EF" w:rsidRPr="00D547EF">
        <w:rPr>
          <w:sz w:val="20"/>
          <w:szCs w:val="20"/>
        </w:rPr>
        <w:t>. 2022 Aug 16;29(8):5774-5791</w:t>
      </w:r>
      <w:r w:rsidR="00381BD3">
        <w:rPr>
          <w:sz w:val="20"/>
          <w:szCs w:val="20"/>
        </w:rPr>
        <w:t xml:space="preserve"> -</w:t>
      </w:r>
      <w:r w:rsidR="00902E62">
        <w:rPr>
          <w:sz w:val="20"/>
          <w:szCs w:val="20"/>
        </w:rPr>
        <w:t xml:space="preserve"> </w:t>
      </w:r>
      <w:hyperlink r:id="rId3" w:history="1">
        <w:r w:rsidR="00902E62" w:rsidRPr="004A16AB">
          <w:rPr>
            <w:rStyle w:val="Hyperlink"/>
            <w:sz w:val="20"/>
            <w:szCs w:val="20"/>
          </w:rPr>
          <w:t>https://pubmed.ncbi.nlm.nih.gov/36005193/</w:t>
        </w:r>
      </w:hyperlink>
      <w:r w:rsidR="00D547EF" w:rsidRPr="00D547EF">
        <w:rPr>
          <w:sz w:val="20"/>
          <w:szCs w:val="20"/>
        </w:rPr>
        <w:t>.</w:t>
      </w:r>
    </w:p>
  </w:footnote>
  <w:footnote w:id="6">
    <w:p w14:paraId="1DB827FB" w14:textId="20F894CC" w:rsidR="00D547EF" w:rsidRPr="00862C32" w:rsidRDefault="00D547EF" w:rsidP="00801487">
      <w:pPr>
        <w:spacing w:before="0" w:line="240" w:lineRule="auto"/>
        <w:rPr>
          <w:sz w:val="20"/>
          <w:szCs w:val="20"/>
        </w:rPr>
      </w:pPr>
      <w:r w:rsidRPr="00805149">
        <w:rPr>
          <w:sz w:val="20"/>
          <w:szCs w:val="20"/>
          <w:vertAlign w:val="superscript"/>
        </w:rPr>
        <w:footnoteRef/>
      </w:r>
      <w:r>
        <w:rPr>
          <w:sz w:val="20"/>
          <w:szCs w:val="20"/>
        </w:rPr>
        <w:t xml:space="preserve"> </w:t>
      </w:r>
      <w:r w:rsidRPr="00862C32">
        <w:rPr>
          <w:sz w:val="20"/>
          <w:szCs w:val="20"/>
        </w:rPr>
        <w:t xml:space="preserve">PBAC Public Summary, September 2021, Onasemnogene Abeparvovec (Zolgensma) - </w:t>
      </w:r>
      <w:hyperlink r:id="rId4" w:history="1">
        <w:r w:rsidR="003709F0" w:rsidRPr="00862C32">
          <w:rPr>
            <w:rStyle w:val="Hyperlink"/>
            <w:sz w:val="20"/>
            <w:szCs w:val="20"/>
          </w:rPr>
          <w:t>www.pbs.gov.au/info/industry/listing/elements/pbac-meetings/psd/2021-09/onasemnogene-abeparvovec-solution-for-injection-customise</w:t>
        </w:r>
      </w:hyperlink>
      <w:r w:rsidRPr="00862C32">
        <w:rPr>
          <w:sz w:val="20"/>
          <w:szCs w:val="20"/>
        </w:rPr>
        <w:t>;</w:t>
      </w:r>
    </w:p>
    <w:p w14:paraId="7ABE9D20" w14:textId="45E1FF0D" w:rsidR="00D547EF" w:rsidRPr="00862C32" w:rsidRDefault="00D547EF" w:rsidP="00801487">
      <w:pPr>
        <w:spacing w:before="0" w:line="240" w:lineRule="auto"/>
        <w:rPr>
          <w:sz w:val="20"/>
          <w:szCs w:val="20"/>
        </w:rPr>
      </w:pPr>
      <w:r w:rsidRPr="00862C32">
        <w:rPr>
          <w:sz w:val="20"/>
          <w:szCs w:val="20"/>
        </w:rPr>
        <w:t xml:space="preserve">MSAC Public Summary, August and November 2019, Tisagenlecleucel (CTL019) for treatment of relapsed or refractory diffuse large B-cell lymphoma (DLBCL) (Kymriah) - </w:t>
      </w:r>
      <w:hyperlink r:id="rId5" w:history="1">
        <w:r w:rsidRPr="00862C32">
          <w:rPr>
            <w:rStyle w:val="Hyperlink"/>
            <w:sz w:val="20"/>
            <w:szCs w:val="20"/>
          </w:rPr>
          <w:t>www.msac.gov.au/internet/msac/publishing.nsf/Content/1519.1-public</w:t>
        </w:r>
      </w:hyperlink>
    </w:p>
    <w:p w14:paraId="408C0222" w14:textId="69328801" w:rsidR="00D547EF" w:rsidRPr="00862C32" w:rsidRDefault="00D547EF" w:rsidP="00801487">
      <w:pPr>
        <w:spacing w:before="0" w:line="240" w:lineRule="auto"/>
        <w:rPr>
          <w:sz w:val="20"/>
          <w:szCs w:val="20"/>
        </w:rPr>
      </w:pPr>
      <w:r w:rsidRPr="00862C32">
        <w:rPr>
          <w:sz w:val="20"/>
          <w:szCs w:val="20"/>
        </w:rPr>
        <w:t xml:space="preserve">MSAC Public Summary, </w:t>
      </w:r>
      <w:r w:rsidR="0042596A" w:rsidRPr="00862C32">
        <w:rPr>
          <w:sz w:val="20"/>
          <w:szCs w:val="20"/>
        </w:rPr>
        <w:t xml:space="preserve">July and November 2020, Luxturna (voretigene neparvovec) for the treatment of biallelic RPE-65-mediated Inherited Retinal Dystrophies - </w:t>
      </w:r>
      <w:hyperlink r:id="rId6" w:history="1">
        <w:r w:rsidR="0089301A" w:rsidRPr="005A0138">
          <w:rPr>
            <w:rStyle w:val="Hyperlink"/>
            <w:sz w:val="20"/>
            <w:szCs w:val="20"/>
          </w:rPr>
          <w:t>www.msac.gov.au/internet/msac/publishing.nsf/Content/1623-public</w:t>
        </w:r>
      </w:hyperlink>
      <w:r w:rsidR="0089301A">
        <w:rPr>
          <w:sz w:val="20"/>
          <w:szCs w:val="20"/>
        </w:rPr>
        <w:t xml:space="preserve">. </w:t>
      </w:r>
    </w:p>
    <w:p w14:paraId="4B1C774F" w14:textId="77777777" w:rsidR="00D547EF" w:rsidRDefault="00D547EF" w:rsidP="00801487">
      <w:pPr>
        <w:spacing w:before="0" w:line="240" w:lineRule="auto"/>
      </w:pPr>
    </w:p>
  </w:footnote>
  <w:footnote w:id="7">
    <w:p w14:paraId="266072E0" w14:textId="054CB9E5" w:rsidR="000713AF" w:rsidRDefault="000713AF" w:rsidP="00801487">
      <w:pPr>
        <w:pStyle w:val="FootnoteText"/>
        <w:spacing w:before="0"/>
      </w:pPr>
      <w:r>
        <w:rPr>
          <w:rStyle w:val="FootnoteReference"/>
        </w:rPr>
        <w:footnoteRef/>
      </w:r>
      <w:r>
        <w:t xml:space="preserve"> </w:t>
      </w:r>
      <w:r w:rsidR="0042596A">
        <w:t>E</w:t>
      </w:r>
      <w:r w:rsidR="00AD08A0">
        <w:t>MA,</w:t>
      </w:r>
      <w:r w:rsidR="00CD78D3">
        <w:t xml:space="preserve"> </w:t>
      </w:r>
      <w:r w:rsidR="0042596A">
        <w:t xml:space="preserve">Advanced therapy medicinal products - </w:t>
      </w:r>
      <w:hyperlink r:id="rId7" w:history="1">
        <w:r w:rsidR="0089301A" w:rsidRPr="005A0138">
          <w:rPr>
            <w:rStyle w:val="Hyperlink"/>
          </w:rPr>
          <w:t>www.ema.europa.eu/en/human-regulatory/overview/advanced-therapy-medicinal-products-overview</w:t>
        </w:r>
      </w:hyperlink>
      <w:r w:rsidR="0089301A">
        <w:t xml:space="preserve">. </w:t>
      </w:r>
    </w:p>
  </w:footnote>
  <w:footnote w:id="8">
    <w:p w14:paraId="0F9820BA" w14:textId="1CDC1982" w:rsidR="007401F2" w:rsidRDefault="007401F2" w:rsidP="00801487">
      <w:pPr>
        <w:pStyle w:val="FootnoteText"/>
        <w:spacing w:before="0"/>
      </w:pPr>
      <w:r>
        <w:rPr>
          <w:rStyle w:val="FootnoteReference"/>
        </w:rPr>
        <w:footnoteRef/>
      </w:r>
      <w:r>
        <w:t xml:space="preserve"> </w:t>
      </w:r>
      <w:r w:rsidR="00AD08A0">
        <w:t>TGA</w:t>
      </w:r>
      <w:r w:rsidR="0042596A">
        <w:t xml:space="preserve">, Advanced Therapies </w:t>
      </w:r>
      <w:r w:rsidR="003709F0">
        <w:t xml:space="preserve">- </w:t>
      </w:r>
      <w:hyperlink r:id="rId8" w:history="1">
        <w:r w:rsidR="0089301A" w:rsidRPr="005A0138">
          <w:rPr>
            <w:rStyle w:val="Hyperlink"/>
          </w:rPr>
          <w:t>www.tga.gov.au/advanced-therapies</w:t>
        </w:r>
      </w:hyperlink>
      <w:r w:rsidR="0089301A">
        <w:t xml:space="preserve">. </w:t>
      </w:r>
    </w:p>
  </w:footnote>
  <w:footnote w:id="9">
    <w:p w14:paraId="2AE89CB1" w14:textId="71F08117" w:rsidR="00C27C80" w:rsidRDefault="00C27C80" w:rsidP="00801487">
      <w:pPr>
        <w:pStyle w:val="FootnoteText"/>
        <w:spacing w:before="0"/>
      </w:pPr>
      <w:r>
        <w:rPr>
          <w:rStyle w:val="FootnoteReference"/>
        </w:rPr>
        <w:footnoteRef/>
      </w:r>
      <w:r>
        <w:t xml:space="preserve"> FDA, What is Gene Therapy, </w:t>
      </w:r>
      <w:hyperlink r:id="rId9" w:history="1">
        <w:r w:rsidRPr="00FA2D14">
          <w:rPr>
            <w:rStyle w:val="Hyperlink"/>
          </w:rPr>
          <w:t>www.fda.gov/vaccines-blood-biologics/cellular-gene-therapy-products/what-gene-therapy</w:t>
        </w:r>
      </w:hyperlink>
      <w:r>
        <w:t xml:space="preserve">. </w:t>
      </w:r>
    </w:p>
  </w:footnote>
  <w:footnote w:id="10">
    <w:p w14:paraId="0CB33793" w14:textId="68CB5BA0" w:rsidR="00BE3911" w:rsidRDefault="00BE3911" w:rsidP="00801487">
      <w:pPr>
        <w:pStyle w:val="FootnoteText"/>
        <w:spacing w:before="0"/>
      </w:pPr>
      <w:r>
        <w:rPr>
          <w:rStyle w:val="FootnoteReference"/>
        </w:rPr>
        <w:footnoteRef/>
      </w:r>
      <w:r>
        <w:t xml:space="preserve"> </w:t>
      </w:r>
      <w:r w:rsidR="000946A5">
        <w:t xml:space="preserve">European Medicines Association, Orphan medicine - </w:t>
      </w:r>
      <w:hyperlink r:id="rId10" w:history="1">
        <w:r w:rsidR="003530A1" w:rsidRPr="005A0138">
          <w:rPr>
            <w:rStyle w:val="Hyperlink"/>
          </w:rPr>
          <w:t>www.ema.europa.eu/en/glossary/orphan-medicine</w:t>
        </w:r>
      </w:hyperlink>
      <w:r w:rsidR="0089301A">
        <w:t xml:space="preserve">. </w:t>
      </w:r>
    </w:p>
  </w:footnote>
  <w:footnote w:id="11">
    <w:p w14:paraId="3EF0F98F" w14:textId="1ECE5D68" w:rsidR="002B7DA2" w:rsidRDefault="005D4361" w:rsidP="00801487">
      <w:pPr>
        <w:pStyle w:val="FootnoteText"/>
        <w:spacing w:before="0"/>
      </w:pPr>
      <w:r>
        <w:rPr>
          <w:rStyle w:val="FootnoteReference"/>
        </w:rPr>
        <w:footnoteRef/>
      </w:r>
      <w:r>
        <w:t xml:space="preserve"> </w:t>
      </w:r>
      <w:r w:rsidR="00CD78D3">
        <w:t>Timothy Hunt,</w:t>
      </w:r>
      <w:r w:rsidR="00CD78D3" w:rsidRPr="00CD78D3">
        <w:t xml:space="preserve"> The Cell And Gene Therapy Sector In 2023: A Wave Is Coming – Are We Ready?</w:t>
      </w:r>
      <w:r w:rsidR="00CD78D3">
        <w:t xml:space="preserve">, In Vivo Pharma Intelligence </w:t>
      </w:r>
      <w:r w:rsidR="003530A1">
        <w:t>–</w:t>
      </w:r>
      <w:r w:rsidR="00CD78D3">
        <w:t xml:space="preserve"> </w:t>
      </w:r>
      <w:hyperlink r:id="rId11" w:history="1">
        <w:r w:rsidR="003530A1" w:rsidRPr="005A0138">
          <w:rPr>
            <w:rStyle w:val="Hyperlink"/>
          </w:rPr>
          <w:t>invivo.pharmaintelligence.informa.com/IV146781/The-Cell-And-Gene-Therapy-Sector-In-2023-A-Wave-Is-Coming--Are-We-Ready</w:t>
        </w:r>
      </w:hyperlink>
      <w:r w:rsidR="003530A1">
        <w:t xml:space="preserve">. </w:t>
      </w:r>
    </w:p>
  </w:footnote>
  <w:footnote w:id="12">
    <w:p w14:paraId="636ED273" w14:textId="7254D365" w:rsidR="007B7DC3" w:rsidRDefault="00DB3B41" w:rsidP="007B7DC3">
      <w:pPr>
        <w:pStyle w:val="FootnoteText"/>
        <w:spacing w:before="0"/>
      </w:pPr>
      <w:r w:rsidRPr="00900931">
        <w:rPr>
          <w:vertAlign w:val="superscript"/>
        </w:rPr>
        <w:t>11</w:t>
      </w:r>
      <w:r w:rsidR="007B7DC3" w:rsidDel="00DB3B41">
        <w:t xml:space="preserve"> </w:t>
      </w:r>
      <w:r w:rsidR="007B7DC3">
        <w:t xml:space="preserve">PBAC Public Summary, September 2021, Onasemnogene Abeparvovec (Zolgensma) - </w:t>
      </w:r>
      <w:hyperlink r:id="rId12" w:history="1">
        <w:r w:rsidRPr="00DB3B41">
          <w:rPr>
            <w:rStyle w:val="Hyperlink"/>
          </w:rPr>
          <w:t xml:space="preserve">http://www.pbs.gov.au/info/industry/listing/elements/pbac-meetings/psd/2021-09/onasemnogene-abeparvovec-solution-for-injection-customise </w:t>
        </w:r>
        <w:r w:rsidR="007B7DC3" w:rsidRPr="00DB3B41">
          <w:rPr>
            <w:rStyle w:val="Hyperlink"/>
          </w:rPr>
          <w:t>w</w:t>
        </w:r>
      </w:hyperlink>
    </w:p>
    <w:p w14:paraId="2D8C6636" w14:textId="254B3E07" w:rsidR="007B7DC3" w:rsidRDefault="00DB3B41" w:rsidP="007B7DC3">
      <w:pPr>
        <w:pStyle w:val="FootnoteText"/>
        <w:spacing w:before="0"/>
      </w:pPr>
      <w:r w:rsidRPr="00900931">
        <w:rPr>
          <w:vertAlign w:val="superscript"/>
        </w:rPr>
        <w:t>12</w:t>
      </w:r>
      <w:r w:rsidR="007B7DC3">
        <w:t xml:space="preserve"> MSAC Public Summary, July and November 2020, Luxturna (voretigene neparvovec) for the treatment of biallelic RPE-65-mediated Inherited Retinal Dystrophies - </w:t>
      </w:r>
      <w:hyperlink r:id="rId13" w:history="1">
        <w:r w:rsidRPr="00020A61">
          <w:rPr>
            <w:rStyle w:val="Hyperlink"/>
          </w:rPr>
          <w:t>www.msac.gov.au/internet/msac/publishing.nsf/Content/1623-public</w:t>
        </w:r>
      </w:hyperlink>
      <w:r>
        <w:t xml:space="preserve"> </w:t>
      </w:r>
    </w:p>
    <w:p w14:paraId="0B544A04" w14:textId="7815AC08" w:rsidR="00C5639C" w:rsidRDefault="00DB3B41" w:rsidP="007B7DC3">
      <w:pPr>
        <w:pStyle w:val="FootnoteText"/>
        <w:spacing w:before="0"/>
      </w:pPr>
      <w:r w:rsidRPr="00900931">
        <w:rPr>
          <w:vertAlign w:val="superscript"/>
        </w:rPr>
        <w:t>13</w:t>
      </w:r>
      <w:r>
        <w:t xml:space="preserve"> </w:t>
      </w:r>
      <w:r w:rsidR="007B7DC3">
        <w:t xml:space="preserve">MSAC Application page, Etranacogene dezaparvovec for the treatment of Haemophilia B - </w:t>
      </w:r>
      <w:hyperlink r:id="rId14" w:history="1">
        <w:r>
          <w:rPr>
            <w:rStyle w:val="Hyperlink"/>
            <w:rFonts w:ascii="Calibri" w:hAnsi="Calibri" w:cs="Calibri"/>
          </w:rPr>
          <w:t>www.msac.gov.au/internet/msac/publishing.nsf/Content/1728-public</w:t>
        </w:r>
      </w:hyperlink>
    </w:p>
    <w:p w14:paraId="540A3E04" w14:textId="6742DE3A" w:rsidR="00401A7B" w:rsidRDefault="00401A7B" w:rsidP="00801487">
      <w:pPr>
        <w:pStyle w:val="FootnoteText"/>
        <w:spacing w:before="0"/>
      </w:pPr>
      <w:r w:rsidRPr="003530A1">
        <w:rPr>
          <w:rStyle w:val="FootnoteReference"/>
        </w:rPr>
        <w:footnoteRef/>
      </w:r>
      <w:r w:rsidRPr="003530A1">
        <w:t xml:space="preserve"> Moumné L, Marie AC, Crouvezier N. Oligonucleotide Therapeutics: From Discovery and Development to Patentability. </w:t>
      </w:r>
      <w:r w:rsidRPr="001A5EDE">
        <w:rPr>
          <w:i/>
          <w:iCs/>
        </w:rPr>
        <w:t>Pharmaceutics</w:t>
      </w:r>
      <w:r w:rsidRPr="003530A1">
        <w:t>. 2022 Jan 22;14(2):260 -</w:t>
      </w:r>
      <w:r w:rsidR="003709F0" w:rsidRPr="003530A1">
        <w:t xml:space="preserve"> </w:t>
      </w:r>
      <w:hyperlink r:id="rId15" w:history="1">
        <w:r w:rsidR="003530A1" w:rsidRPr="005A0138">
          <w:rPr>
            <w:rStyle w:val="Hyperlink"/>
          </w:rPr>
          <w:t>www.ncbi.nlm.nih.gov/pmc/articles/PMC8876811</w:t>
        </w:r>
      </w:hyperlink>
      <w:r w:rsidR="003530A1">
        <w:t xml:space="preserve">. </w:t>
      </w:r>
    </w:p>
  </w:footnote>
  <w:footnote w:id="13">
    <w:p w14:paraId="374A9751" w14:textId="3A820237" w:rsidR="003543AB" w:rsidRDefault="003543AB">
      <w:pPr>
        <w:pStyle w:val="FootnoteText"/>
      </w:pPr>
      <w:r>
        <w:rPr>
          <w:rStyle w:val="FootnoteReference"/>
        </w:rPr>
        <w:footnoteRef/>
      </w:r>
      <w:r>
        <w:t xml:space="preserve"> Therapeutic Goods Administration, </w:t>
      </w:r>
      <w:r w:rsidR="00445997">
        <w:t xml:space="preserve">Orphan drug designation - </w:t>
      </w:r>
      <w:hyperlink r:id="rId16" w:history="1">
        <w:r w:rsidR="00AE4C9D" w:rsidRPr="008227E4">
          <w:rPr>
            <w:rStyle w:val="Hyperlink"/>
          </w:rPr>
          <w:t>https://www.tga.gov.au/resources/resource/guidance/orphan-drug-designation</w:t>
        </w:r>
      </w:hyperlink>
      <w:r w:rsidR="00AE4C9D">
        <w:t xml:space="preserve"> </w:t>
      </w:r>
    </w:p>
  </w:footnote>
  <w:footnote w:id="14">
    <w:p w14:paraId="192708BC" w14:textId="77777777" w:rsidR="006B2B82" w:rsidRDefault="006B2B82" w:rsidP="00801487">
      <w:pPr>
        <w:pStyle w:val="FootnoteText"/>
        <w:spacing w:before="0"/>
      </w:pPr>
      <w:r>
        <w:rPr>
          <w:rStyle w:val="FootnoteReference"/>
        </w:rPr>
        <w:footnoteRef/>
      </w:r>
      <w:r>
        <w:t xml:space="preserve"> American Society of Gene and Cell Therapy, Gene, Cell and RNA Therapy Landscape Report, 2023, </w:t>
      </w:r>
      <w:hyperlink r:id="rId17" w:history="1">
        <w:r w:rsidRPr="00821F88">
          <w:rPr>
            <w:rStyle w:val="Hyperlink"/>
          </w:rPr>
          <w:t>https://asgct.org/publications/landscape-report</w:t>
        </w:r>
      </w:hyperlink>
      <w:r>
        <w:t xml:space="preserve">. </w:t>
      </w:r>
    </w:p>
  </w:footnote>
  <w:footnote w:id="15">
    <w:p w14:paraId="7B52D390" w14:textId="77777777" w:rsidR="00BC17F4" w:rsidRDefault="00BC17F4" w:rsidP="00BC17F4">
      <w:pPr>
        <w:pStyle w:val="FootnoteText"/>
        <w:spacing w:before="0"/>
      </w:pPr>
      <w:r>
        <w:rPr>
          <w:rStyle w:val="FootnoteReference"/>
        </w:rPr>
        <w:footnoteRef/>
      </w:r>
      <w:r>
        <w:t xml:space="preserve"> PBAC Public Summary, March 2018, Nusinersen (Spinraza) - </w:t>
      </w:r>
      <w:hyperlink r:id="rId18" w:history="1">
        <w:r w:rsidRPr="005A0138">
          <w:rPr>
            <w:rStyle w:val="Hyperlink"/>
          </w:rPr>
          <w:t>www.pbs.gov.au/info/industry/listing/elements/pbac-meetings/psd/2018-03/Nusinersen-psd-march-2018</w:t>
        </w:r>
      </w:hyperlink>
      <w:r>
        <w:t xml:space="preserve">. </w:t>
      </w:r>
    </w:p>
  </w:footnote>
  <w:footnote w:id="16">
    <w:p w14:paraId="2A1F211B" w14:textId="0F189831" w:rsidR="00B13A87" w:rsidRDefault="00B13A87" w:rsidP="00801487">
      <w:pPr>
        <w:pStyle w:val="FootnoteText"/>
        <w:spacing w:before="0"/>
      </w:pPr>
      <w:r>
        <w:rPr>
          <w:rStyle w:val="FootnoteReference"/>
        </w:rPr>
        <w:footnoteRef/>
      </w:r>
      <w:r>
        <w:t xml:space="preserve"> </w:t>
      </w:r>
      <w:r w:rsidR="00AD08A0">
        <w:t xml:space="preserve">FDA, cellular gene therapy products - </w:t>
      </w:r>
      <w:hyperlink r:id="rId19" w:history="1">
        <w:r w:rsidR="003530A1" w:rsidRPr="005A0138">
          <w:rPr>
            <w:rStyle w:val="Hyperlink"/>
          </w:rPr>
          <w:t>www.fda.gov/vaccines-blood-biologics/cellular-gene-therapy-products</w:t>
        </w:r>
      </w:hyperlink>
      <w:r w:rsidR="003530A1">
        <w:t xml:space="preserve">. </w:t>
      </w:r>
    </w:p>
  </w:footnote>
  <w:footnote w:id="17">
    <w:p w14:paraId="087E8B11" w14:textId="021D6629" w:rsidR="00BA5E8B" w:rsidRDefault="00520B03" w:rsidP="00801487">
      <w:pPr>
        <w:pStyle w:val="FootnoteText"/>
        <w:spacing w:before="0"/>
      </w:pPr>
      <w:r>
        <w:rPr>
          <w:rStyle w:val="FootnoteReference"/>
        </w:rPr>
        <w:footnoteRef/>
      </w:r>
      <w:r>
        <w:t xml:space="preserve"> </w:t>
      </w:r>
      <w:r w:rsidR="00AD08A0">
        <w:t xml:space="preserve">Drug Development and Delivery, Genetic modification therapies – clinical applications and technology platforms - </w:t>
      </w:r>
      <w:r w:rsidR="00AD08A0" w:rsidRPr="00AD08A0">
        <w:t>drug-dev.com/genetic-modification-therapies-clinical-applications-technology-platforms</w:t>
      </w:r>
      <w:r w:rsidR="00BA5E8B">
        <w:t>.</w:t>
      </w:r>
    </w:p>
  </w:footnote>
  <w:footnote w:id="18">
    <w:p w14:paraId="29E69916" w14:textId="5FC4BBE9" w:rsidR="006B79B5" w:rsidRDefault="006B79B5" w:rsidP="00801487">
      <w:pPr>
        <w:pStyle w:val="CommentText"/>
        <w:spacing w:before="0"/>
      </w:pPr>
      <w:r>
        <w:rPr>
          <w:rStyle w:val="FootnoteReference"/>
        </w:rPr>
        <w:footnoteRef/>
      </w:r>
      <w:r>
        <w:t xml:space="preserve"> </w:t>
      </w:r>
      <w:r w:rsidR="00AD08A0">
        <w:t xml:space="preserve">Foundation for Cell and Gene Medicine – Healing Genes Program, Gene Modified Cell Therapy </w:t>
      </w:r>
      <w:r w:rsidR="003530A1">
        <w:t>–</w:t>
      </w:r>
      <w:r w:rsidR="00AD08A0">
        <w:t xml:space="preserve"> </w:t>
      </w:r>
      <w:hyperlink r:id="rId20" w:history="1">
        <w:r w:rsidR="003530A1" w:rsidRPr="005A0138">
          <w:rPr>
            <w:rStyle w:val="Hyperlink"/>
          </w:rPr>
          <w:t>healinggenes.org/gene-modified-cell-therapy/</w:t>
        </w:r>
      </w:hyperlink>
      <w:r w:rsidR="003530A1">
        <w:t xml:space="preserve">. </w:t>
      </w:r>
    </w:p>
  </w:footnote>
  <w:footnote w:id="19">
    <w:p w14:paraId="2B3BE5B6" w14:textId="2A5CD2B8" w:rsidR="006B79B5" w:rsidRPr="000E78F0" w:rsidRDefault="006B79B5" w:rsidP="00801487">
      <w:pPr>
        <w:pStyle w:val="FootnoteText"/>
        <w:spacing w:before="0"/>
        <w:rPr>
          <w:rFonts w:cstheme="minorHAnsi"/>
        </w:rPr>
      </w:pPr>
      <w:r w:rsidRPr="00CA4DF0">
        <w:rPr>
          <w:rStyle w:val="FootnoteReference"/>
          <w:rFonts w:cstheme="minorHAnsi"/>
          <w:color w:val="000000" w:themeColor="text1"/>
        </w:rPr>
        <w:footnoteRef/>
      </w:r>
      <w:r w:rsidRPr="00CA4DF0">
        <w:rPr>
          <w:rFonts w:cstheme="minorHAnsi"/>
          <w:color w:val="000000" w:themeColor="text1"/>
        </w:rPr>
        <w:t xml:space="preserve"> </w:t>
      </w:r>
      <w:r w:rsidRPr="00CA4DF0">
        <w:rPr>
          <w:rFonts w:cstheme="minorHAnsi"/>
          <w:color w:val="000000" w:themeColor="text1"/>
          <w:shd w:val="clear" w:color="auto" w:fill="FFFFFF"/>
        </w:rPr>
        <w:t>Feins, S., Kong, W., Williams, E. F., Milone, M. C., &amp; Fraietta, J. A. (2019). An introduction to chimeric antigen receptor (CAR) T‐cell immunotherapy for human cancer. </w:t>
      </w:r>
      <w:r w:rsidRPr="00CA4DF0">
        <w:rPr>
          <w:rFonts w:cstheme="minorHAnsi"/>
          <w:i/>
          <w:iCs/>
          <w:color w:val="000000" w:themeColor="text1"/>
          <w:shd w:val="clear" w:color="auto" w:fill="FFFFFF"/>
        </w:rPr>
        <w:t>American Journal of Hematology</w:t>
      </w:r>
      <w:r w:rsidRPr="00CA4DF0">
        <w:rPr>
          <w:rFonts w:cstheme="minorHAnsi"/>
          <w:color w:val="000000" w:themeColor="text1"/>
          <w:shd w:val="clear" w:color="auto" w:fill="FFFFFF"/>
        </w:rPr>
        <w:t>, </w:t>
      </w:r>
      <w:r w:rsidRPr="00CA4DF0">
        <w:rPr>
          <w:rFonts w:cstheme="minorHAnsi"/>
          <w:i/>
          <w:iCs/>
          <w:color w:val="000000" w:themeColor="text1"/>
          <w:shd w:val="clear" w:color="auto" w:fill="FFFFFF"/>
        </w:rPr>
        <w:t>94</w:t>
      </w:r>
      <w:r w:rsidRPr="00CA4DF0">
        <w:rPr>
          <w:rFonts w:cstheme="minorHAnsi"/>
          <w:color w:val="000000" w:themeColor="text1"/>
          <w:shd w:val="clear" w:color="auto" w:fill="FFFFFF"/>
        </w:rPr>
        <w:t>(S1), S3–S9</w:t>
      </w:r>
      <w:r w:rsidR="00004DF9">
        <w:rPr>
          <w:rFonts w:cstheme="minorHAnsi"/>
          <w:color w:val="000000" w:themeColor="text1"/>
          <w:shd w:val="clear" w:color="auto" w:fill="FFFFFF"/>
        </w:rPr>
        <w:t xml:space="preserve"> - </w:t>
      </w:r>
      <w:hyperlink r:id="rId21" w:history="1">
        <w:r w:rsidRPr="000E78F0">
          <w:rPr>
            <w:rStyle w:val="Hyperlink"/>
            <w:rFonts w:cstheme="minorHAnsi"/>
            <w:shd w:val="clear" w:color="auto" w:fill="FFFFFF"/>
          </w:rPr>
          <w:t>doi.org/10.1002/ajh.25418</w:t>
        </w:r>
      </w:hyperlink>
      <w:r w:rsidR="00004DF9">
        <w:rPr>
          <w:rStyle w:val="Hyperlink"/>
          <w:rFonts w:cstheme="minorHAnsi"/>
          <w:shd w:val="clear" w:color="auto" w:fill="FFFFFF"/>
        </w:rPr>
        <w:t>.</w:t>
      </w:r>
    </w:p>
  </w:footnote>
  <w:footnote w:id="20">
    <w:p w14:paraId="33E84BF0" w14:textId="673A17EA" w:rsidR="006B79B5" w:rsidRDefault="006B79B5" w:rsidP="00801487">
      <w:pPr>
        <w:pStyle w:val="FootnoteText"/>
        <w:spacing w:before="0"/>
      </w:pPr>
      <w:r w:rsidRPr="000E78F0">
        <w:rPr>
          <w:rStyle w:val="FootnoteReference"/>
          <w:rFonts w:cstheme="minorHAnsi"/>
        </w:rPr>
        <w:footnoteRef/>
      </w:r>
      <w:r w:rsidRPr="000E78F0">
        <w:rPr>
          <w:rFonts w:cstheme="minorHAnsi"/>
        </w:rPr>
        <w:t xml:space="preserve"> Vucinic V, Quaiser A, Lückemeier P, Fricke S, Platzbecker U and Koehl U (2021)</w:t>
      </w:r>
      <w:r w:rsidR="000E78F0">
        <w:rPr>
          <w:rFonts w:cstheme="minorHAnsi"/>
        </w:rPr>
        <w:t>.</w:t>
      </w:r>
      <w:r w:rsidRPr="000E78F0">
        <w:rPr>
          <w:rFonts w:cstheme="minorHAnsi"/>
        </w:rPr>
        <w:t xml:space="preserve"> Production and Application of CAR T Cells: Current and Future Role of Europe. </w:t>
      </w:r>
      <w:r w:rsidRPr="000E78F0">
        <w:rPr>
          <w:rFonts w:cstheme="minorHAnsi"/>
          <w:i/>
          <w:iCs/>
        </w:rPr>
        <w:t>Front</w:t>
      </w:r>
      <w:r w:rsidR="000E78F0" w:rsidRPr="000E78F0">
        <w:rPr>
          <w:rFonts w:cstheme="minorHAnsi"/>
          <w:i/>
          <w:iCs/>
        </w:rPr>
        <w:t xml:space="preserve">iers in </w:t>
      </w:r>
      <w:r w:rsidRPr="000E78F0">
        <w:rPr>
          <w:rFonts w:cstheme="minorHAnsi"/>
          <w:i/>
          <w:iCs/>
        </w:rPr>
        <w:t>Med</w:t>
      </w:r>
      <w:r w:rsidR="000E78F0" w:rsidRPr="000E78F0">
        <w:rPr>
          <w:rFonts w:cstheme="minorHAnsi"/>
          <w:i/>
          <w:iCs/>
        </w:rPr>
        <w:t>icine</w:t>
      </w:r>
      <w:r w:rsidRPr="000E78F0">
        <w:rPr>
          <w:rFonts w:cstheme="minorHAnsi"/>
          <w:i/>
          <w:iCs/>
        </w:rPr>
        <w:t>. 8</w:t>
      </w:r>
      <w:r w:rsidRPr="000E78F0">
        <w:rPr>
          <w:rFonts w:cstheme="minorHAnsi"/>
        </w:rPr>
        <w:t>:713401</w:t>
      </w:r>
      <w:r w:rsidR="00C34D94">
        <w:rPr>
          <w:rFonts w:cstheme="minorHAnsi"/>
        </w:rPr>
        <w:t xml:space="preserve"> - </w:t>
      </w:r>
      <w:r w:rsidRPr="000E78F0">
        <w:rPr>
          <w:rFonts w:cstheme="minorHAnsi"/>
        </w:rPr>
        <w:t xml:space="preserve"> </w:t>
      </w:r>
      <w:hyperlink r:id="rId22" w:history="1">
        <w:r w:rsidR="003709F0" w:rsidRPr="005A0138">
          <w:rPr>
            <w:rStyle w:val="Hyperlink"/>
            <w:rFonts w:cstheme="minorHAnsi"/>
          </w:rPr>
          <w:t>www.frontiersin.org/articles/10.3389/fmed.2021.713401/full</w:t>
        </w:r>
      </w:hyperlink>
      <w:r w:rsidR="00C34D94">
        <w:rPr>
          <w:rStyle w:val="Hyperlink"/>
          <w:rFonts w:cstheme="minorHAnsi"/>
        </w:rPr>
        <w:t>.</w:t>
      </w:r>
    </w:p>
  </w:footnote>
  <w:footnote w:id="21">
    <w:p w14:paraId="4E0F39AB" w14:textId="0E61FBE7" w:rsidR="007634F8" w:rsidRDefault="007634F8">
      <w:pPr>
        <w:pStyle w:val="FootnoteText"/>
      </w:pPr>
      <w:r>
        <w:rPr>
          <w:rStyle w:val="FootnoteReference"/>
        </w:rPr>
        <w:footnoteRef/>
      </w:r>
      <w:r>
        <w:t xml:space="preserve"> </w:t>
      </w:r>
      <w:r w:rsidR="00B304FA">
        <w:t xml:space="preserve">European Medicines Agency, Conditional marketing authorisation - </w:t>
      </w:r>
      <w:hyperlink r:id="rId23" w:history="1">
        <w:r w:rsidR="00B304FA" w:rsidRPr="008227E4">
          <w:rPr>
            <w:rStyle w:val="Hyperlink"/>
          </w:rPr>
          <w:t>https://www.ema.europa.eu/en/human-regulatory-overview/marketing-authorisation/conditional-marketing-authorisation</w:t>
        </w:r>
      </w:hyperlink>
      <w:r w:rsidR="00B304FA">
        <w:t xml:space="preserve"> </w:t>
      </w:r>
    </w:p>
  </w:footnote>
  <w:footnote w:id="22">
    <w:p w14:paraId="5EF73204" w14:textId="77777777" w:rsidR="00F065E2" w:rsidRDefault="00F065E2" w:rsidP="00F065E2">
      <w:pPr>
        <w:pStyle w:val="FootnoteText"/>
        <w:spacing w:before="0"/>
      </w:pPr>
      <w:r>
        <w:rPr>
          <w:rStyle w:val="FootnoteReference"/>
        </w:rPr>
        <w:footnoteRef/>
      </w:r>
      <w:r>
        <w:t xml:space="preserve"> MSAC Public Summary, April 2019, Tisagenlecleucel (CTL019) for treatment of refractory CD19-positive leukaemia and lymphoma. </w:t>
      </w:r>
    </w:p>
  </w:footnote>
  <w:footnote w:id="23">
    <w:p w14:paraId="290E67C7" w14:textId="77777777" w:rsidR="00F065E2" w:rsidRDefault="00F065E2" w:rsidP="00F065E2">
      <w:pPr>
        <w:pStyle w:val="FootnoteText"/>
        <w:spacing w:before="0"/>
      </w:pPr>
      <w:r>
        <w:rPr>
          <w:rStyle w:val="FootnoteReference"/>
        </w:rPr>
        <w:footnoteRef/>
      </w:r>
      <w:r>
        <w:t xml:space="preserve"> MSAC Public Summary, November 2019, Tisagenlecleucel (CTL019) for treatment of refractory CD19-positive leukaemia and lymphoma - </w:t>
      </w:r>
      <w:hyperlink r:id="rId24" w:history="1">
        <w:r>
          <w:rPr>
            <w:rStyle w:val="Hyperlink"/>
          </w:rPr>
          <w:t>www.msac.gov.au/internet/msac/publishing.nsf/Content/1519.1-public</w:t>
        </w:r>
      </w:hyperlink>
      <w:r>
        <w:t>.</w:t>
      </w:r>
    </w:p>
  </w:footnote>
  <w:footnote w:id="24">
    <w:p w14:paraId="060AAFD3" w14:textId="7E1E2DC8" w:rsidR="0048715C" w:rsidRPr="00893899" w:rsidRDefault="0048715C" w:rsidP="00801487">
      <w:pPr>
        <w:pStyle w:val="FootnoteText"/>
        <w:spacing w:before="0"/>
        <w:rPr>
          <w:rFonts w:cstheme="minorHAnsi"/>
        </w:rPr>
      </w:pPr>
      <w:r w:rsidRPr="00893899">
        <w:rPr>
          <w:rStyle w:val="FootnoteReference"/>
          <w:rFonts w:cstheme="minorHAnsi"/>
        </w:rPr>
        <w:footnoteRef/>
      </w:r>
      <w:r w:rsidRPr="00893899">
        <w:rPr>
          <w:rFonts w:cstheme="minorHAnsi"/>
        </w:rPr>
        <w:t xml:space="preserve"> </w:t>
      </w:r>
      <w:r w:rsidR="00CD78D3">
        <w:rPr>
          <w:rFonts w:ascii="Calibri" w:eastAsia="Calibri" w:hAnsi="Calibri" w:cs="Calibri"/>
        </w:rPr>
        <w:t xml:space="preserve">Newcastle University (UK) National Institute of Health Research Innovation Observatory – Horizon Scan for ATMPs October 2021 </w:t>
      </w:r>
      <w:r w:rsidR="00CD78D3">
        <w:t xml:space="preserve">- </w:t>
      </w:r>
      <w:hyperlink r:id="rId25" w:history="1">
        <w:r w:rsidR="003530A1" w:rsidRPr="005A0138">
          <w:rPr>
            <w:rStyle w:val="Hyperlink"/>
          </w:rPr>
          <w:t>www.io.nihr.ac.uk/wp-content/uploads/2022/01/Horizon-Scan-for-ATMPs_October2021-v2.0.pdf</w:t>
        </w:r>
      </w:hyperlink>
      <w:r w:rsidR="003530A1">
        <w:t xml:space="preserve">. </w:t>
      </w:r>
    </w:p>
  </w:footnote>
  <w:footnote w:id="25">
    <w:p w14:paraId="29769F16" w14:textId="77777777" w:rsidR="00CF75EF" w:rsidRDefault="00CF75EF" w:rsidP="00801487">
      <w:pPr>
        <w:pStyle w:val="FootnoteText"/>
        <w:spacing w:before="0"/>
      </w:pPr>
      <w:r>
        <w:rPr>
          <w:rStyle w:val="FootnoteReference"/>
        </w:rPr>
        <w:footnoteRef/>
      </w:r>
      <w:r>
        <w:t xml:space="preserve"> Standing Committee on Health, Aged Care and Sport, Inquiry into approval processes for new drugs and novel medical technologies in Australia, Chapter 6, Health Technology Assessment and the Pharmaceutical Benefits Advisory Committee -  </w:t>
      </w:r>
      <w:hyperlink r:id="rId26" w:history="1">
        <w:r>
          <w:rPr>
            <w:rStyle w:val="Hyperlink"/>
          </w:rPr>
          <w:t>www.aph.gov.au/Parliamentary_Business/Committees/House/Health_Aged_Care_and_Sport/Newdrugs/Report/section?id=committees%2freportrep%2f024755%2f77593</w:t>
        </w:r>
      </w:hyperlink>
      <w:r>
        <w:t xml:space="preserve">. </w:t>
      </w:r>
    </w:p>
  </w:footnote>
  <w:footnote w:id="26">
    <w:p w14:paraId="46C1C730" w14:textId="32B54E51" w:rsidR="00CF75EF" w:rsidRDefault="00CF75EF" w:rsidP="00801487">
      <w:pPr>
        <w:pStyle w:val="FootnoteText"/>
        <w:spacing w:before="0"/>
        <w:rPr>
          <w:rFonts w:cstheme="minorHAnsi"/>
        </w:rPr>
      </w:pPr>
      <w:r>
        <w:rPr>
          <w:rStyle w:val="FootnoteReference"/>
          <w:rFonts w:cstheme="minorHAnsi"/>
        </w:rPr>
        <w:footnoteRef/>
      </w:r>
      <w:r>
        <w:rPr>
          <w:rFonts w:cstheme="minorHAnsi"/>
        </w:rPr>
        <w:t xml:space="preserve"> </w:t>
      </w:r>
      <w:r>
        <w:rPr>
          <w:rFonts w:cstheme="minorHAnsi"/>
          <w:shd w:val="clear" w:color="auto" w:fill="FFFFFF"/>
        </w:rPr>
        <w:t>Myers, G. D., Verneris, M. R., Goy, A., &amp; Maziarz, R. T. (2021). Perspectives on outpatient administration of CAR-T cell therapy in aggressive B-cell lymphoma and acute lymphoblastic leukemia. </w:t>
      </w:r>
      <w:r>
        <w:rPr>
          <w:rFonts w:cstheme="minorHAnsi"/>
          <w:i/>
          <w:iCs/>
          <w:shd w:val="clear" w:color="auto" w:fill="FFFFFF"/>
        </w:rPr>
        <w:t>Journal for Immunotherapy of Cancer</w:t>
      </w:r>
      <w:r>
        <w:rPr>
          <w:rFonts w:cstheme="minorHAnsi"/>
          <w:shd w:val="clear" w:color="auto" w:fill="FFFFFF"/>
        </w:rPr>
        <w:t>, </w:t>
      </w:r>
      <w:r>
        <w:rPr>
          <w:rFonts w:cstheme="minorHAnsi"/>
          <w:i/>
          <w:iCs/>
          <w:shd w:val="clear" w:color="auto" w:fill="FFFFFF"/>
        </w:rPr>
        <w:t>9</w:t>
      </w:r>
      <w:r>
        <w:rPr>
          <w:rFonts w:cstheme="minorHAnsi"/>
          <w:shd w:val="clear" w:color="auto" w:fill="FFFFFF"/>
        </w:rPr>
        <w:t>(4), e002056</w:t>
      </w:r>
      <w:r w:rsidR="00F65AD3">
        <w:rPr>
          <w:rFonts w:cstheme="minorHAnsi"/>
          <w:shd w:val="clear" w:color="auto" w:fill="FFFFFF"/>
        </w:rPr>
        <w:t xml:space="preserve"> </w:t>
      </w:r>
      <w:r>
        <w:rPr>
          <w:rFonts w:cstheme="minorHAnsi"/>
          <w:shd w:val="clear" w:color="auto" w:fill="FFFFFF"/>
        </w:rPr>
        <w:t>–</w:t>
      </w:r>
      <w:r w:rsidR="00F65AD3">
        <w:rPr>
          <w:rFonts w:cstheme="minorHAnsi"/>
          <w:shd w:val="clear" w:color="auto" w:fill="FFFFFF"/>
        </w:rPr>
        <w:t xml:space="preserve"> </w:t>
      </w:r>
      <w:hyperlink r:id="rId27" w:history="1">
        <w:r>
          <w:rPr>
            <w:rStyle w:val="Hyperlink"/>
            <w:rFonts w:cstheme="minorHAnsi"/>
            <w:shd w:val="clear" w:color="auto" w:fill="FFFFFF"/>
          </w:rPr>
          <w:t>doi.org/10.1136/jitc-2020-002056</w:t>
        </w:r>
      </w:hyperlink>
      <w:r w:rsidR="00F65AD3">
        <w:rPr>
          <w:rStyle w:val="Hyperlink"/>
          <w:rFonts w:cstheme="minorHAnsi"/>
          <w:shd w:val="clear" w:color="auto" w:fill="FFFFFF"/>
        </w:rPr>
        <w:t>.</w:t>
      </w:r>
    </w:p>
  </w:footnote>
  <w:footnote w:id="27">
    <w:p w14:paraId="6224FCF5" w14:textId="5208E287" w:rsidR="00CC0BD1" w:rsidRPr="00893899" w:rsidRDefault="00CC0BD1" w:rsidP="00801487">
      <w:pPr>
        <w:spacing w:before="0" w:line="240" w:lineRule="auto"/>
        <w:rPr>
          <w:rFonts w:cstheme="minorHAnsi"/>
          <w:sz w:val="20"/>
          <w:szCs w:val="20"/>
        </w:rPr>
      </w:pPr>
      <w:r w:rsidRPr="00893899">
        <w:rPr>
          <w:rFonts w:cstheme="minorHAnsi"/>
          <w:sz w:val="20"/>
          <w:szCs w:val="20"/>
          <w:vertAlign w:val="superscript"/>
        </w:rPr>
        <w:footnoteRef/>
      </w:r>
      <w:r w:rsidRPr="00893899">
        <w:rPr>
          <w:rFonts w:cstheme="minorHAnsi"/>
          <w:sz w:val="20"/>
          <w:szCs w:val="20"/>
        </w:rPr>
        <w:t xml:space="preserve"> </w:t>
      </w:r>
      <w:r w:rsidR="00893899" w:rsidRPr="00893899">
        <w:rPr>
          <w:rFonts w:cstheme="minorHAnsi"/>
          <w:sz w:val="20"/>
          <w:szCs w:val="20"/>
        </w:rPr>
        <w:t xml:space="preserve">Hogervorst MA, Vreman RA, Mantel-Teeuwisse AK, Goettsch WG. Reported Challenges in Health Technology Assessment of Complex Health Technologies. </w:t>
      </w:r>
      <w:r w:rsidR="00893899" w:rsidRPr="00893899">
        <w:rPr>
          <w:rFonts w:cstheme="minorHAnsi"/>
          <w:i/>
          <w:iCs/>
          <w:sz w:val="20"/>
          <w:szCs w:val="20"/>
        </w:rPr>
        <w:t>Value Health</w:t>
      </w:r>
      <w:r w:rsidR="00893899" w:rsidRPr="00893899">
        <w:rPr>
          <w:rFonts w:cstheme="minorHAnsi"/>
          <w:sz w:val="20"/>
          <w:szCs w:val="20"/>
        </w:rPr>
        <w:t>. 2022 Jun;25(6):992-1001</w:t>
      </w:r>
      <w:r w:rsidR="00F65AD3">
        <w:rPr>
          <w:rFonts w:cstheme="minorHAnsi"/>
          <w:sz w:val="20"/>
          <w:szCs w:val="20"/>
        </w:rPr>
        <w:t xml:space="preserve"> -</w:t>
      </w:r>
      <w:r w:rsidR="00893899" w:rsidRPr="00893899">
        <w:t xml:space="preserve"> </w:t>
      </w:r>
      <w:hyperlink r:id="rId28" w:history="1">
        <w:r w:rsidR="00893899" w:rsidRPr="00893899">
          <w:rPr>
            <w:rStyle w:val="Hyperlink"/>
            <w:rFonts w:cstheme="minorHAnsi"/>
            <w:sz w:val="20"/>
            <w:szCs w:val="20"/>
          </w:rPr>
          <w:t>pubmed.ncbi.nlm.nih.gov/35667787/</w:t>
        </w:r>
      </w:hyperlink>
      <w:r w:rsidR="00F65AD3">
        <w:rPr>
          <w:rStyle w:val="Hyperlink"/>
          <w:rFonts w:cstheme="minorHAnsi"/>
          <w:sz w:val="20"/>
          <w:szCs w:val="20"/>
        </w:rPr>
        <w:t>.</w:t>
      </w:r>
    </w:p>
  </w:footnote>
  <w:footnote w:id="28">
    <w:p w14:paraId="40092862" w14:textId="5BA3924A" w:rsidR="00CC0BD1" w:rsidRPr="00805149" w:rsidRDefault="00CC0BD1" w:rsidP="00801487">
      <w:pPr>
        <w:spacing w:before="0" w:line="240" w:lineRule="auto"/>
        <w:rPr>
          <w:sz w:val="20"/>
          <w:szCs w:val="20"/>
        </w:rPr>
      </w:pPr>
      <w:r w:rsidRPr="00893899">
        <w:rPr>
          <w:rFonts w:cstheme="minorHAnsi"/>
          <w:sz w:val="20"/>
          <w:szCs w:val="20"/>
          <w:vertAlign w:val="superscript"/>
        </w:rPr>
        <w:footnoteRef/>
      </w:r>
      <w:r w:rsidRPr="00893899">
        <w:rPr>
          <w:rFonts w:cstheme="minorHAnsi"/>
          <w:sz w:val="20"/>
          <w:szCs w:val="20"/>
        </w:rPr>
        <w:t xml:space="preserve"> </w:t>
      </w:r>
      <w:r w:rsidR="00893899" w:rsidRPr="00893899">
        <w:rPr>
          <w:rFonts w:cstheme="minorHAnsi"/>
          <w:sz w:val="20"/>
          <w:szCs w:val="20"/>
        </w:rPr>
        <w:t xml:space="preserve">Trapani D, Tay-Teo K, Tesch ME, Roitberg F, Sengar M, Altuna SC, Hassett MJ, Genazzani AA, Kesselheim AS, Curigliano G. </w:t>
      </w:r>
      <w:r w:rsidR="00893899">
        <w:rPr>
          <w:rFonts w:cstheme="minorHAnsi"/>
          <w:sz w:val="20"/>
          <w:szCs w:val="20"/>
        </w:rPr>
        <w:t xml:space="preserve">2022. </w:t>
      </w:r>
      <w:r w:rsidR="00893899" w:rsidRPr="00893899">
        <w:rPr>
          <w:rFonts w:cstheme="minorHAnsi"/>
          <w:sz w:val="20"/>
          <w:szCs w:val="20"/>
        </w:rPr>
        <w:t xml:space="preserve">Implications of Oncology Trial Design and Uncertainties in Efficacy-Safety Data on Health Technology Assessments. </w:t>
      </w:r>
      <w:r w:rsidR="00893899" w:rsidRPr="00893899">
        <w:rPr>
          <w:rFonts w:cstheme="minorHAnsi"/>
          <w:i/>
          <w:iCs/>
          <w:sz w:val="20"/>
          <w:szCs w:val="20"/>
        </w:rPr>
        <w:t>Current Oncology. 29(8</w:t>
      </w:r>
      <w:r w:rsidR="00893899" w:rsidRPr="00893899">
        <w:rPr>
          <w:rFonts w:cstheme="minorHAnsi"/>
          <w:sz w:val="20"/>
          <w:szCs w:val="20"/>
        </w:rPr>
        <w:t>):5774-5791</w:t>
      </w:r>
      <w:r w:rsidR="006D1C9B">
        <w:rPr>
          <w:rFonts w:cstheme="minorHAnsi"/>
          <w:sz w:val="20"/>
          <w:szCs w:val="20"/>
        </w:rPr>
        <w:t xml:space="preserve"> - </w:t>
      </w:r>
      <w:hyperlink r:id="rId29" w:history="1">
        <w:r w:rsidR="006D1C9B" w:rsidRPr="004A16AB">
          <w:rPr>
            <w:rStyle w:val="Hyperlink"/>
            <w:rFonts w:cstheme="minorHAnsi"/>
            <w:sz w:val="20"/>
            <w:szCs w:val="20"/>
          </w:rPr>
          <w:t>www.ncbi.nlm.nih.gov/pmc/articles/PMC9406873/</w:t>
        </w:r>
      </w:hyperlink>
      <w:r w:rsidR="006D1C9B">
        <w:rPr>
          <w:rStyle w:val="Hyperlink"/>
          <w:rFonts w:cstheme="minorHAnsi"/>
          <w:sz w:val="20"/>
          <w:szCs w:val="20"/>
        </w:rPr>
        <w:t>.</w:t>
      </w:r>
    </w:p>
  </w:footnote>
  <w:footnote w:id="29">
    <w:p w14:paraId="3A7A5746" w14:textId="3974F10F" w:rsidR="006D0184" w:rsidRDefault="006D0184" w:rsidP="00801487">
      <w:pPr>
        <w:pStyle w:val="FootnoteText"/>
        <w:spacing w:before="0"/>
      </w:pPr>
      <w:r>
        <w:rPr>
          <w:rStyle w:val="FootnoteReference"/>
        </w:rPr>
        <w:footnoteRef/>
      </w:r>
      <w:r>
        <w:t xml:space="preserve"> PBS – </w:t>
      </w:r>
      <w:hyperlink r:id="rId30" w:history="1">
        <w:r w:rsidR="003530A1" w:rsidRPr="005A0138">
          <w:rPr>
            <w:rStyle w:val="Hyperlink"/>
          </w:rPr>
          <w:t>www.pbs.gov.au</w:t>
        </w:r>
      </w:hyperlink>
      <w:r w:rsidR="003530A1">
        <w:t xml:space="preserve">. </w:t>
      </w:r>
    </w:p>
  </w:footnote>
  <w:footnote w:id="30">
    <w:p w14:paraId="183133AA" w14:textId="2FDD6717" w:rsidR="00550938" w:rsidRPr="0053071D" w:rsidRDefault="00550938" w:rsidP="00801487">
      <w:pPr>
        <w:spacing w:before="0" w:line="240" w:lineRule="auto"/>
        <w:rPr>
          <w:sz w:val="20"/>
          <w:szCs w:val="20"/>
        </w:rPr>
      </w:pPr>
      <w:r w:rsidRPr="0053071D">
        <w:rPr>
          <w:rStyle w:val="FootnoteReference"/>
          <w:sz w:val="20"/>
          <w:szCs w:val="20"/>
        </w:rPr>
        <w:footnoteRef/>
      </w:r>
      <w:r w:rsidRPr="0053071D">
        <w:rPr>
          <w:sz w:val="20"/>
          <w:szCs w:val="20"/>
        </w:rPr>
        <w:t xml:space="preserve"> </w:t>
      </w:r>
      <w:r w:rsidRPr="0053071D">
        <w:rPr>
          <w:rFonts w:cstheme="minorHAnsi"/>
          <w:sz w:val="20"/>
          <w:szCs w:val="20"/>
        </w:rPr>
        <w:t xml:space="preserve">C Corti, G Antonarelli, C Valenza, et al. Histology-agnostic approvals for antibody-drug conjugates in solid tumours: is the time ripe? </w:t>
      </w:r>
      <w:r w:rsidRPr="0053071D">
        <w:rPr>
          <w:rFonts w:cstheme="minorHAnsi"/>
          <w:i/>
          <w:iCs/>
          <w:sz w:val="20"/>
          <w:szCs w:val="20"/>
        </w:rPr>
        <w:t>Eur J Cancer</w:t>
      </w:r>
      <w:r w:rsidRPr="0053071D">
        <w:rPr>
          <w:rFonts w:cstheme="minorHAnsi"/>
          <w:sz w:val="20"/>
          <w:szCs w:val="20"/>
        </w:rPr>
        <w:t>, 171 (2022), pp. 25-42</w:t>
      </w:r>
      <w:r w:rsidR="00322C40">
        <w:rPr>
          <w:rFonts w:cstheme="minorHAnsi"/>
          <w:sz w:val="20"/>
          <w:szCs w:val="20"/>
        </w:rPr>
        <w:t xml:space="preserve"> -</w:t>
      </w:r>
      <w:hyperlink r:id="rId31" w:history="1">
        <w:r w:rsidR="00322C40" w:rsidRPr="004A16AB">
          <w:rPr>
            <w:rStyle w:val="Hyperlink"/>
            <w:rFonts w:cstheme="minorHAnsi"/>
            <w:sz w:val="20"/>
            <w:szCs w:val="20"/>
          </w:rPr>
          <w:t>www.sciencedirect.com/science/article/abs/pii/S0959804922002799?via%3Dihub</w:t>
        </w:r>
      </w:hyperlink>
      <w:r w:rsidR="00322C40">
        <w:rPr>
          <w:rStyle w:val="Hyperlink"/>
          <w:rFonts w:cstheme="minorHAnsi"/>
          <w:sz w:val="20"/>
          <w:szCs w:val="20"/>
        </w:rPr>
        <w:t>.</w:t>
      </w:r>
    </w:p>
  </w:footnote>
  <w:footnote w:id="31">
    <w:p w14:paraId="3297AF97" w14:textId="7D7AB329" w:rsidR="00550938" w:rsidRPr="0053071D" w:rsidRDefault="00550938" w:rsidP="00801487">
      <w:pPr>
        <w:spacing w:before="0" w:line="240" w:lineRule="auto"/>
        <w:rPr>
          <w:sz w:val="20"/>
          <w:szCs w:val="20"/>
        </w:rPr>
      </w:pPr>
      <w:r w:rsidRPr="0053071D">
        <w:rPr>
          <w:rStyle w:val="FootnoteReference"/>
          <w:sz w:val="20"/>
          <w:szCs w:val="20"/>
        </w:rPr>
        <w:footnoteRef/>
      </w:r>
      <w:r w:rsidRPr="0053071D">
        <w:rPr>
          <w:sz w:val="20"/>
          <w:szCs w:val="20"/>
        </w:rPr>
        <w:t xml:space="preserve"> NIHR Innovation Observatory: Horizon Scan for Histology Independent Therapies targeted at Cancer</w:t>
      </w:r>
      <w:r w:rsidR="00322C40">
        <w:rPr>
          <w:sz w:val="20"/>
          <w:szCs w:val="20"/>
        </w:rPr>
        <w:t xml:space="preserve"> -</w:t>
      </w:r>
      <w:r w:rsidRPr="0053071D">
        <w:rPr>
          <w:sz w:val="20"/>
          <w:szCs w:val="20"/>
        </w:rPr>
        <w:t xml:space="preserve"> </w:t>
      </w:r>
      <w:hyperlink r:id="rId32" w:history="1">
        <w:r w:rsidRPr="0053071D">
          <w:rPr>
            <w:rStyle w:val="Hyperlink"/>
            <w:sz w:val="20"/>
            <w:szCs w:val="20"/>
          </w:rPr>
          <w:t>www.io.nihr.ac.uk/wp-content/uploads/2021/12/Horizon-Scan-for-Histology-Independent-Technologies_June-2021_AAC_V1.0.pdf</w:t>
        </w:r>
      </w:hyperlink>
      <w:r w:rsidR="00322C40">
        <w:rPr>
          <w:rStyle w:val="Hyperlink"/>
          <w:sz w:val="20"/>
          <w:szCs w:val="20"/>
        </w:rPr>
        <w:t>.</w:t>
      </w:r>
    </w:p>
  </w:footnote>
  <w:footnote w:id="32">
    <w:p w14:paraId="0037FB7E" w14:textId="5A70B91A" w:rsidR="00550938" w:rsidRDefault="00550938" w:rsidP="00801487">
      <w:pPr>
        <w:pStyle w:val="FootnoteText"/>
        <w:spacing w:before="0"/>
      </w:pPr>
      <w:r w:rsidRPr="0053071D">
        <w:rPr>
          <w:rStyle w:val="FootnoteReference"/>
        </w:rPr>
        <w:footnoteRef/>
      </w:r>
      <w:r w:rsidRPr="0053071D">
        <w:t xml:space="preserve"> </w:t>
      </w:r>
      <w:r w:rsidR="003709F0">
        <w:t xml:space="preserve">FDA, Tissue Agnostic Drug Development in Oncology – Guidance for Industry - </w:t>
      </w:r>
      <w:hyperlink r:id="rId33" w:history="1">
        <w:r w:rsidR="003709F0" w:rsidRPr="005A0138">
          <w:rPr>
            <w:rStyle w:val="Hyperlink"/>
          </w:rPr>
          <w:t>www.fda.gov/media/162346/download</w:t>
        </w:r>
      </w:hyperlink>
      <w:r w:rsidR="00322C40">
        <w:rPr>
          <w:rStyle w:val="Hyperlink"/>
        </w:rPr>
        <w:t>.</w:t>
      </w:r>
    </w:p>
  </w:footnote>
  <w:footnote w:id="33">
    <w:p w14:paraId="1C2E95A3" w14:textId="7BCFA16C" w:rsidR="008F0B82" w:rsidRDefault="008F0B82">
      <w:pPr>
        <w:pStyle w:val="FootnoteText"/>
      </w:pPr>
      <w:r>
        <w:rPr>
          <w:rStyle w:val="FootnoteReference"/>
        </w:rPr>
        <w:footnoteRef/>
      </w:r>
      <w:r>
        <w:t xml:space="preserve"> Therapeutic Goods Administration, Provisional</w:t>
      </w:r>
      <w:r w:rsidR="00471F1F">
        <w:t xml:space="preserve"> </w:t>
      </w:r>
      <w:r w:rsidR="00471F1F" w:rsidRPr="00471F1F">
        <w:t>approval pathway: prescription medicines</w:t>
      </w:r>
      <w:r>
        <w:t xml:space="preserve"> </w:t>
      </w:r>
      <w:r w:rsidR="00471F1F">
        <w:t xml:space="preserve">- </w:t>
      </w:r>
      <w:hyperlink r:id="rId34" w:history="1">
        <w:r w:rsidR="00471F1F" w:rsidRPr="006C3C78">
          <w:rPr>
            <w:rStyle w:val="Hyperlink"/>
          </w:rPr>
          <w:t>https://www.tga.gov.au/provisional-approval-pathway-prescription-medicines</w:t>
        </w:r>
      </w:hyperlink>
      <w:r w:rsidR="00471F1F">
        <w:t xml:space="preserve"> </w:t>
      </w:r>
    </w:p>
  </w:footnote>
  <w:footnote w:id="34">
    <w:p w14:paraId="68EB3433" w14:textId="24122641" w:rsidR="00550938" w:rsidRPr="006467BD" w:rsidRDefault="00550938" w:rsidP="00801487">
      <w:pPr>
        <w:spacing w:before="0" w:line="240" w:lineRule="auto"/>
        <w:rPr>
          <w:rFonts w:cstheme="minorHAnsi"/>
        </w:rPr>
      </w:pPr>
      <w:r w:rsidRPr="0053071D">
        <w:rPr>
          <w:rStyle w:val="FootnoteReference"/>
          <w:sz w:val="20"/>
          <w:szCs w:val="20"/>
        </w:rPr>
        <w:footnoteRef/>
      </w:r>
      <w:r w:rsidRPr="0053071D">
        <w:rPr>
          <w:sz w:val="20"/>
          <w:szCs w:val="20"/>
        </w:rPr>
        <w:t xml:space="preserve"> </w:t>
      </w:r>
      <w:r w:rsidR="005C6751">
        <w:rPr>
          <w:sz w:val="20"/>
          <w:szCs w:val="20"/>
        </w:rPr>
        <w:t xml:space="preserve">Newcastle University (UK) </w:t>
      </w:r>
      <w:r w:rsidRPr="0053071D">
        <w:rPr>
          <w:sz w:val="20"/>
          <w:szCs w:val="20"/>
        </w:rPr>
        <w:t>NIHR Innovation Observatory</w:t>
      </w:r>
      <w:r w:rsidR="005C6751">
        <w:rPr>
          <w:sz w:val="20"/>
          <w:szCs w:val="20"/>
        </w:rPr>
        <w:t>,</w:t>
      </w:r>
      <w:r w:rsidRPr="0053071D">
        <w:rPr>
          <w:sz w:val="20"/>
          <w:szCs w:val="20"/>
        </w:rPr>
        <w:t xml:space="preserve"> Horizon Scan for Histology Independent Therapies targeted at Cancer: </w:t>
      </w:r>
      <w:hyperlink r:id="rId35" w:history="1">
        <w:r w:rsidRPr="0053071D">
          <w:rPr>
            <w:rStyle w:val="Hyperlink"/>
            <w:sz w:val="20"/>
            <w:szCs w:val="20"/>
          </w:rPr>
          <w:t>www.io.nihr.ac.uk/wp-content/uploads/2021/12/Horizon-Scan-for-Histology-Independent-Technologies_June-2021_AAC_V1.0.pdf</w:t>
        </w:r>
      </w:hyperlink>
      <w:r w:rsidR="006467BD" w:rsidRPr="006467BD">
        <w:rPr>
          <w:rStyle w:val="Hyperlink"/>
          <w:sz w:val="20"/>
          <w:szCs w:val="20"/>
          <w:u w:val="none"/>
        </w:rPr>
        <w:t>.</w:t>
      </w:r>
    </w:p>
  </w:footnote>
  <w:footnote w:id="35">
    <w:p w14:paraId="223E7D31" w14:textId="473110E4" w:rsidR="00550938" w:rsidRPr="00714431" w:rsidRDefault="00550938" w:rsidP="00801487">
      <w:pPr>
        <w:pStyle w:val="FootnoteText"/>
        <w:spacing w:before="0"/>
      </w:pPr>
      <w:r>
        <w:rPr>
          <w:rStyle w:val="FootnoteReference"/>
        </w:rPr>
        <w:footnoteRef/>
      </w:r>
      <w:r>
        <w:t xml:space="preserve"> </w:t>
      </w:r>
      <w:r w:rsidR="003709F0">
        <w:t xml:space="preserve">US National Cancer Institute, Dictionary of Cancer Terms – Basket Trial - </w:t>
      </w:r>
      <w:hyperlink r:id="rId36" w:history="1">
        <w:r w:rsidR="003709F0" w:rsidRPr="005A0138">
          <w:rPr>
            <w:rStyle w:val="Hyperlink"/>
          </w:rPr>
          <w:t>www.cancer.gov/publications/dictionaries/cancer-terms/def/basket-trial</w:t>
        </w:r>
      </w:hyperlink>
      <w:r w:rsidR="00714431">
        <w:rPr>
          <w:rStyle w:val="Hyperlink"/>
          <w:u w:val="none"/>
        </w:rPr>
        <w:t>.</w:t>
      </w:r>
    </w:p>
  </w:footnote>
  <w:footnote w:id="36">
    <w:p w14:paraId="34E219D8" w14:textId="77777777" w:rsidR="00CB7F01" w:rsidRDefault="00CB7F01" w:rsidP="00801487">
      <w:pPr>
        <w:pStyle w:val="FootnoteText"/>
        <w:spacing w:before="0"/>
      </w:pPr>
      <w:r>
        <w:rPr>
          <w:rStyle w:val="FootnoteReference"/>
        </w:rPr>
        <w:footnoteRef/>
      </w:r>
      <w:r>
        <w:t xml:space="preserve"> PBAC advice, August 2018, PD-1 and  PD</w:t>
      </w:r>
      <w:r>
        <w:rPr>
          <w:rFonts w:ascii="Cambria Math" w:hAnsi="Cambria Math" w:cs="Cambria Math"/>
        </w:rPr>
        <w:noBreakHyphen/>
      </w:r>
      <w:r>
        <w:t xml:space="preserve">L1 checkpoint inhibitor immunotherapies: options for subsidy consideration for multiple cancer types - </w:t>
      </w:r>
      <w:hyperlink r:id="rId37" w:history="1">
        <w:r>
          <w:rPr>
            <w:rStyle w:val="Hyperlink"/>
          </w:rPr>
          <w:t>www.pbs.gov.au/info/industry/listing/elements/pbac-meetings/agenda/august-2018-pbac-special-meeting</w:t>
        </w:r>
      </w:hyperlink>
      <w:r>
        <w:t xml:space="preserve">. </w:t>
      </w:r>
    </w:p>
  </w:footnote>
  <w:footnote w:id="37">
    <w:p w14:paraId="0EF66542" w14:textId="3C2113E0" w:rsidR="000344DE" w:rsidRPr="008445C0" w:rsidRDefault="000344DE" w:rsidP="00801487">
      <w:pPr>
        <w:pStyle w:val="FootnoteText"/>
        <w:spacing w:before="0"/>
        <w:rPr>
          <w:rFonts w:cstheme="minorHAnsi"/>
        </w:rPr>
      </w:pPr>
      <w:r>
        <w:rPr>
          <w:rStyle w:val="FootnoteReference"/>
        </w:rPr>
        <w:footnoteRef/>
      </w:r>
      <w:r>
        <w:t xml:space="preserve"> </w:t>
      </w:r>
      <w:r w:rsidRPr="008445C0">
        <w:rPr>
          <w:rFonts w:cstheme="minorHAnsi"/>
          <w:color w:val="222222"/>
          <w:shd w:val="clear" w:color="auto" w:fill="FFFFFF"/>
        </w:rPr>
        <w:t>Drago, J.Z., Modi, S. &amp; Chandarlapaty, S. Unlocking the potential of antibody–drug conjugates for cancer therapy. </w:t>
      </w:r>
      <w:r w:rsidRPr="008445C0">
        <w:rPr>
          <w:rFonts w:cstheme="minorHAnsi"/>
          <w:i/>
          <w:iCs/>
          <w:color w:val="222222"/>
          <w:shd w:val="clear" w:color="auto" w:fill="FFFFFF"/>
        </w:rPr>
        <w:t>Nat Rev Clin Oncol</w:t>
      </w:r>
      <w:r w:rsidRPr="008445C0">
        <w:rPr>
          <w:rFonts w:cstheme="minorHAnsi"/>
          <w:color w:val="222222"/>
          <w:shd w:val="clear" w:color="auto" w:fill="FFFFFF"/>
        </w:rPr>
        <w:t> </w:t>
      </w:r>
      <w:r w:rsidRPr="008445C0">
        <w:rPr>
          <w:rFonts w:cstheme="minorHAnsi"/>
          <w:b/>
          <w:bCs/>
          <w:color w:val="222222"/>
          <w:shd w:val="clear" w:color="auto" w:fill="FFFFFF"/>
        </w:rPr>
        <w:t>18</w:t>
      </w:r>
      <w:r w:rsidRPr="008445C0">
        <w:rPr>
          <w:rFonts w:cstheme="minorHAnsi"/>
          <w:color w:val="222222"/>
          <w:shd w:val="clear" w:color="auto" w:fill="FFFFFF"/>
        </w:rPr>
        <w:t xml:space="preserve">, 327–344 (2021). </w:t>
      </w:r>
      <w:hyperlink r:id="rId38" w:history="1">
        <w:r w:rsidR="008445C0" w:rsidRPr="008445C0">
          <w:rPr>
            <w:rStyle w:val="Hyperlink"/>
            <w:rFonts w:cstheme="minorHAnsi"/>
            <w:shd w:val="clear" w:color="auto" w:fill="FFFFFF"/>
          </w:rPr>
          <w:t>pubmed.ncbi.nlm.nih.gov/33558752/</w:t>
        </w:r>
      </w:hyperlink>
      <w:r w:rsidR="00172FA6" w:rsidRPr="00172FA6">
        <w:rPr>
          <w:rStyle w:val="Hyperlink"/>
          <w:rFonts w:cstheme="minorHAnsi"/>
          <w:u w:val="none"/>
          <w:shd w:val="clear" w:color="auto" w:fill="FFFFFF"/>
        </w:rPr>
        <w:t>.</w:t>
      </w:r>
    </w:p>
  </w:footnote>
  <w:footnote w:id="38">
    <w:p w14:paraId="1D975A23" w14:textId="5C043B5C" w:rsidR="000344DE" w:rsidRDefault="000344DE" w:rsidP="00801487">
      <w:pPr>
        <w:pStyle w:val="FootnoteText"/>
        <w:spacing w:before="0"/>
      </w:pPr>
      <w:r w:rsidRPr="008445C0">
        <w:rPr>
          <w:rStyle w:val="FootnoteReference"/>
          <w:rFonts w:cstheme="minorHAnsi"/>
        </w:rPr>
        <w:footnoteRef/>
      </w:r>
      <w:r w:rsidRPr="008445C0">
        <w:rPr>
          <w:rFonts w:cstheme="minorHAnsi"/>
        </w:rPr>
        <w:t xml:space="preserve"> </w:t>
      </w:r>
      <w:r w:rsidRPr="008445C0">
        <w:rPr>
          <w:rFonts w:cstheme="minorHAnsi"/>
          <w:color w:val="222222"/>
          <w:shd w:val="clear" w:color="auto" w:fill="FFFFFF"/>
        </w:rPr>
        <w:t>Fu, Z., Li, S., Han, S. </w:t>
      </w:r>
      <w:r w:rsidRPr="008445C0">
        <w:rPr>
          <w:rFonts w:cstheme="minorHAnsi"/>
          <w:i/>
          <w:iCs/>
          <w:color w:val="222222"/>
          <w:shd w:val="clear" w:color="auto" w:fill="FFFFFF"/>
        </w:rPr>
        <w:t>et al.</w:t>
      </w:r>
      <w:r w:rsidRPr="008445C0">
        <w:rPr>
          <w:rFonts w:cstheme="minorHAnsi"/>
          <w:color w:val="222222"/>
          <w:shd w:val="clear" w:color="auto" w:fill="FFFFFF"/>
        </w:rPr>
        <w:t> Antibody drug conjugate: the “biological missile” for targeted cancer therapy. </w:t>
      </w:r>
      <w:r w:rsidRPr="008445C0">
        <w:rPr>
          <w:rFonts w:cstheme="minorHAnsi"/>
          <w:i/>
          <w:iCs/>
          <w:color w:val="222222"/>
          <w:shd w:val="clear" w:color="auto" w:fill="FFFFFF"/>
        </w:rPr>
        <w:t>Sig Transduct Target Ther</w:t>
      </w:r>
      <w:r w:rsidRPr="008445C0">
        <w:rPr>
          <w:rFonts w:cstheme="minorHAnsi"/>
          <w:color w:val="222222"/>
          <w:shd w:val="clear" w:color="auto" w:fill="FFFFFF"/>
        </w:rPr>
        <w:t> </w:t>
      </w:r>
      <w:r w:rsidRPr="008445C0">
        <w:rPr>
          <w:rFonts w:cstheme="minorHAnsi"/>
          <w:b/>
          <w:bCs/>
          <w:color w:val="222222"/>
          <w:shd w:val="clear" w:color="auto" w:fill="FFFFFF"/>
        </w:rPr>
        <w:t>7</w:t>
      </w:r>
      <w:r w:rsidRPr="008445C0">
        <w:rPr>
          <w:rFonts w:cstheme="minorHAnsi"/>
          <w:color w:val="222222"/>
          <w:shd w:val="clear" w:color="auto" w:fill="FFFFFF"/>
        </w:rPr>
        <w:t xml:space="preserve">, 93 (2022). </w:t>
      </w:r>
      <w:hyperlink r:id="rId39" w:history="1">
        <w:r w:rsidR="00D263D6" w:rsidRPr="00D263D6">
          <w:rPr>
            <w:rStyle w:val="Hyperlink"/>
            <w:rFonts w:cstheme="minorHAnsi"/>
            <w:shd w:val="clear" w:color="auto" w:fill="FFFFFF"/>
          </w:rPr>
          <w:t>www.nature.com/articles/s41392-022-00947-7</w:t>
        </w:r>
      </w:hyperlink>
      <w:r w:rsidR="00172FA6" w:rsidRPr="00172FA6">
        <w:rPr>
          <w:rStyle w:val="Hyperlink"/>
          <w:rFonts w:cstheme="minorHAnsi"/>
          <w:u w:val="none"/>
          <w:shd w:val="clear" w:color="auto" w:fill="FFFFFF"/>
        </w:rPr>
        <w:t>.</w:t>
      </w:r>
    </w:p>
  </w:footnote>
  <w:footnote w:id="39">
    <w:p w14:paraId="5269BD4A" w14:textId="54781542" w:rsidR="000344DE" w:rsidRDefault="000344DE" w:rsidP="00801487">
      <w:pPr>
        <w:pStyle w:val="FootnoteText"/>
        <w:spacing w:before="0"/>
      </w:pPr>
      <w:r>
        <w:rPr>
          <w:rStyle w:val="FootnoteReference"/>
        </w:rPr>
        <w:footnoteRef/>
      </w:r>
      <w:r>
        <w:t xml:space="preserve"> </w:t>
      </w:r>
      <w:r w:rsidRPr="00E321D1">
        <w:t xml:space="preserve">Garfall, A. L., &amp; June, C. H. (2019). Trispecific antibodies offer a third way forward for anticancer immunotherapy. Nature (London), 575(7783), 450–451. </w:t>
      </w:r>
      <w:hyperlink r:id="rId40" w:history="1">
        <w:r w:rsidR="003530A1" w:rsidRPr="005A0138">
          <w:rPr>
            <w:rStyle w:val="Hyperlink"/>
          </w:rPr>
          <w:t>www.nature.com/articles/d41586-019-03495-3</w:t>
        </w:r>
      </w:hyperlink>
      <w:r w:rsidR="003530A1">
        <w:t xml:space="preserve">. </w:t>
      </w:r>
    </w:p>
  </w:footnote>
  <w:footnote w:id="40">
    <w:p w14:paraId="3D8FB226" w14:textId="33075F49" w:rsidR="000344DE" w:rsidRDefault="000344DE" w:rsidP="00801487">
      <w:pPr>
        <w:pStyle w:val="FootnoteText"/>
        <w:spacing w:before="0"/>
      </w:pPr>
      <w:r>
        <w:rPr>
          <w:rStyle w:val="FootnoteReference"/>
        </w:rPr>
        <w:footnoteRef/>
      </w:r>
      <w:r>
        <w:t xml:space="preserve"> </w:t>
      </w:r>
      <w:r w:rsidRPr="00B4214F">
        <w:t xml:space="preserve">Wu, Y., Yi, M., Zhu, S. et al. Recent advances and challenges of bispecific antibodies in solid tumors. Exp Hematol Oncol 10, 56 (2021). </w:t>
      </w:r>
      <w:hyperlink r:id="rId41" w:history="1">
        <w:r w:rsidR="00241987" w:rsidRPr="00241987">
          <w:rPr>
            <w:rStyle w:val="Hyperlink"/>
          </w:rPr>
          <w:t>ehoonline.biomedcentral.com/articles/10.1186/s40164-021-00250-1</w:t>
        </w:r>
      </w:hyperlink>
      <w:r w:rsidR="00172FA6" w:rsidRPr="00172FA6">
        <w:rPr>
          <w:rStyle w:val="Hyperlink"/>
          <w:u w:val="none"/>
        </w:rPr>
        <w:t>.</w:t>
      </w:r>
    </w:p>
  </w:footnote>
  <w:footnote w:id="41">
    <w:p w14:paraId="410185C4" w14:textId="3CDF3395" w:rsidR="00757DF3" w:rsidRDefault="00757DF3" w:rsidP="00801487">
      <w:pPr>
        <w:pStyle w:val="FootnoteText"/>
        <w:spacing w:before="0"/>
      </w:pPr>
      <w:r>
        <w:rPr>
          <w:rStyle w:val="FootnoteReference"/>
        </w:rPr>
        <w:footnoteRef/>
      </w:r>
      <w:r>
        <w:t xml:space="preserve"> </w:t>
      </w:r>
      <w:r w:rsidRPr="00C238B3">
        <w:rPr>
          <w:rFonts w:cstheme="minorHAnsi"/>
          <w:color w:val="000000" w:themeColor="text1"/>
        </w:rPr>
        <w:t xml:space="preserve">Wang, S., Chen, K., Lei, Q., Ma, P., Yuan, A. Q., Zhao, Y., … Li, N. (2021). The state of the art of bispecific antibodies for treating human malignancies. EMBO Molecular Medicine, 13(9), e14291–n/a. </w:t>
      </w:r>
      <w:hyperlink r:id="rId42" w:history="1">
        <w:r w:rsidRPr="00757DF3">
          <w:rPr>
            <w:rStyle w:val="Hyperlink"/>
            <w:rFonts w:cstheme="minorHAnsi"/>
          </w:rPr>
          <w:t>doi.org/10.15252/emmm.202114291</w:t>
        </w:r>
      </w:hyperlink>
      <w:r w:rsidR="00172FA6" w:rsidRPr="00172FA6">
        <w:rPr>
          <w:rStyle w:val="Hyperlink"/>
          <w:rFonts w:cstheme="minorHAnsi"/>
          <w:u w:val="none"/>
        </w:rPr>
        <w:t>.</w:t>
      </w:r>
    </w:p>
  </w:footnote>
  <w:footnote w:id="42">
    <w:p w14:paraId="360C4863" w14:textId="1F41D8A6" w:rsidR="00757DF3" w:rsidRDefault="00757DF3" w:rsidP="00801487">
      <w:pPr>
        <w:pStyle w:val="FootnoteText"/>
        <w:spacing w:before="0"/>
      </w:pPr>
      <w:r>
        <w:rPr>
          <w:rStyle w:val="FootnoteReference"/>
        </w:rPr>
        <w:footnoteRef/>
      </w:r>
      <w:r>
        <w:t xml:space="preserve"> </w:t>
      </w:r>
      <w:r w:rsidRPr="00C238B3">
        <w:rPr>
          <w:rFonts w:cstheme="minorHAnsi"/>
          <w:color w:val="000000" w:themeColor="text1"/>
          <w:shd w:val="clear" w:color="auto" w:fill="FFFFFF"/>
        </w:rPr>
        <w:t>Esfandiari, A., Cassidy, S., &amp; Webster, R. M. (2022). Bispecific antibodies in oncology. </w:t>
      </w:r>
      <w:r w:rsidRPr="00C238B3">
        <w:rPr>
          <w:rFonts w:cstheme="minorHAnsi"/>
          <w:i/>
          <w:iCs/>
          <w:color w:val="000000" w:themeColor="text1"/>
          <w:shd w:val="clear" w:color="auto" w:fill="FFFFFF"/>
        </w:rPr>
        <w:t>Nature Reviews. Drug Discovery</w:t>
      </w:r>
      <w:r w:rsidRPr="00C238B3">
        <w:rPr>
          <w:rFonts w:cstheme="minorHAnsi"/>
          <w:color w:val="000000" w:themeColor="text1"/>
          <w:shd w:val="clear" w:color="auto" w:fill="FFFFFF"/>
        </w:rPr>
        <w:t>, </w:t>
      </w:r>
      <w:r w:rsidRPr="00C238B3">
        <w:rPr>
          <w:rFonts w:cstheme="minorHAnsi"/>
          <w:i/>
          <w:iCs/>
          <w:color w:val="000000" w:themeColor="text1"/>
          <w:shd w:val="clear" w:color="auto" w:fill="FFFFFF"/>
        </w:rPr>
        <w:t>21</w:t>
      </w:r>
      <w:r w:rsidRPr="00C238B3">
        <w:rPr>
          <w:rFonts w:cstheme="minorHAnsi"/>
          <w:color w:val="000000" w:themeColor="text1"/>
          <w:shd w:val="clear" w:color="auto" w:fill="FFFFFF"/>
        </w:rPr>
        <w:t xml:space="preserve">(6), 411–412. </w:t>
      </w:r>
      <w:hyperlink r:id="rId43" w:history="1">
        <w:r w:rsidRPr="00757DF3">
          <w:rPr>
            <w:rStyle w:val="Hyperlink"/>
            <w:rFonts w:cstheme="minorHAnsi"/>
            <w:shd w:val="clear" w:color="auto" w:fill="FFFFFF"/>
          </w:rPr>
          <w:t>doi.org/10.1038/d41573-022-00040-2</w:t>
        </w:r>
      </w:hyperlink>
      <w:r w:rsidR="00172FA6" w:rsidRPr="00172FA6">
        <w:rPr>
          <w:rStyle w:val="Hyperlink"/>
          <w:rFonts w:cstheme="minorHAnsi"/>
          <w:u w:val="none"/>
          <w:shd w:val="clear" w:color="auto" w:fill="FFFFFF"/>
        </w:rPr>
        <w:t>.</w:t>
      </w:r>
    </w:p>
  </w:footnote>
  <w:footnote w:id="43">
    <w:p w14:paraId="772E1483" w14:textId="0EC1DEAB" w:rsidR="000344DE" w:rsidRDefault="000344DE" w:rsidP="00801487">
      <w:pPr>
        <w:pStyle w:val="FootnoteText"/>
        <w:spacing w:before="0"/>
      </w:pPr>
      <w:r>
        <w:rPr>
          <w:rStyle w:val="FootnoteReference"/>
        </w:rPr>
        <w:footnoteRef/>
      </w:r>
      <w:r>
        <w:t xml:space="preserve"> </w:t>
      </w:r>
      <w:r w:rsidRPr="00CD58FA">
        <w:t xml:space="preserve">Runcie, K., Budman, D.R., John, V. et al. Bi-specific and tri-specific antibodies- the next big thing in solid tumor therapeutics. Mol Med 24, 50 (2018). </w:t>
      </w:r>
      <w:hyperlink r:id="rId44" w:history="1">
        <w:r w:rsidR="003530A1" w:rsidRPr="005A0138">
          <w:rPr>
            <w:rStyle w:val="Hyperlink"/>
          </w:rPr>
          <w:t>doi.org/10.1186/s10020-018-0051-4</w:t>
        </w:r>
      </w:hyperlink>
      <w:r w:rsidR="003530A1">
        <w:t xml:space="preserve">. </w:t>
      </w:r>
    </w:p>
  </w:footnote>
  <w:footnote w:id="44">
    <w:p w14:paraId="2866BFAE" w14:textId="77777777" w:rsidR="005F39DA" w:rsidRDefault="005F39DA" w:rsidP="00801487">
      <w:pPr>
        <w:pStyle w:val="FootnoteText"/>
        <w:spacing w:before="0"/>
        <w:rPr>
          <w:lang w:val="en-US"/>
        </w:rPr>
      </w:pPr>
      <w:r>
        <w:rPr>
          <w:rStyle w:val="FootnoteReference"/>
        </w:rPr>
        <w:footnoteRef/>
      </w:r>
      <w:r>
        <w:t xml:space="preserve"> </w:t>
      </w:r>
      <w:r>
        <w:rPr>
          <w:lang w:val="en-US"/>
        </w:rPr>
        <w:t xml:space="preserve">Pantaleo, G., et al., </w:t>
      </w:r>
      <w:r>
        <w:rPr>
          <w:i/>
          <w:lang w:val="en-US"/>
        </w:rPr>
        <w:t>Antibodies to combat viral infections: development strategies and progress.</w:t>
      </w:r>
      <w:r>
        <w:rPr>
          <w:lang w:val="en-US"/>
        </w:rPr>
        <w:t xml:space="preserve"> Nature Reviews Drug Discovery, 2022. </w:t>
      </w:r>
      <w:r>
        <w:rPr>
          <w:b/>
          <w:lang w:val="en-US"/>
        </w:rPr>
        <w:t>21</w:t>
      </w:r>
      <w:r>
        <w:rPr>
          <w:lang w:val="en-US"/>
        </w:rPr>
        <w:t>(9): p. 676-696.</w:t>
      </w:r>
    </w:p>
  </w:footnote>
  <w:footnote w:id="45">
    <w:p w14:paraId="08D443C4" w14:textId="77777777" w:rsidR="005F39DA" w:rsidRDefault="005F39DA" w:rsidP="00801487">
      <w:pPr>
        <w:pStyle w:val="FootnoteText"/>
        <w:spacing w:before="0"/>
      </w:pPr>
      <w:r>
        <w:rPr>
          <w:rStyle w:val="FootnoteReference"/>
        </w:rPr>
        <w:footnoteRef/>
      </w:r>
      <w:r>
        <w:t xml:space="preserve"> </w:t>
      </w:r>
      <w:r>
        <w:rPr>
          <w:lang w:val="en-GB"/>
        </w:rPr>
        <w:t xml:space="preserve">WHO, </w:t>
      </w:r>
      <w:r>
        <w:rPr>
          <w:i/>
          <w:lang w:val="en-GB"/>
        </w:rPr>
        <w:t>Product Delivery and Research</w:t>
      </w:r>
      <w:r>
        <w:rPr>
          <w:lang w:val="en-GB"/>
        </w:rPr>
        <w:t xml:space="preserve">, in </w:t>
      </w:r>
      <w:hyperlink r:id="rId45" w:history="1">
        <w:r>
          <w:rPr>
            <w:rStyle w:val="Hyperlink"/>
            <w:i/>
            <w:lang w:val="en-GB"/>
          </w:rPr>
          <w:t>https://www.who.int/teams/immunization-vaccines-and-biologicals/product-and-delivery-research/monoclonal-antibodies-(mabs)-for-infectious-diseases</w:t>
        </w:r>
      </w:hyperlink>
      <w:r>
        <w:rPr>
          <w:lang w:val="en-GB"/>
        </w:rPr>
        <w:t>. 2023.</w:t>
      </w:r>
    </w:p>
  </w:footnote>
  <w:footnote w:id="46">
    <w:p w14:paraId="402E8EB2" w14:textId="1509B328" w:rsidR="000344DE" w:rsidRPr="00172FA6" w:rsidRDefault="000344DE" w:rsidP="00801487">
      <w:pPr>
        <w:pStyle w:val="FootnoteText"/>
        <w:spacing w:before="0"/>
        <w:rPr>
          <w:b/>
          <w:bCs/>
        </w:rPr>
      </w:pPr>
      <w:r>
        <w:rPr>
          <w:rStyle w:val="FootnoteReference"/>
        </w:rPr>
        <w:footnoteRef/>
      </w:r>
      <w:r w:rsidR="00677E65" w:rsidRPr="00677E65">
        <w:t>Patient-centred outcomes research institute</w:t>
      </w:r>
      <w:r w:rsidR="00677E65">
        <w:t>, May 2022,</w:t>
      </w:r>
      <w:r w:rsidR="00677E65" w:rsidRPr="00677E65">
        <w:t xml:space="preserve"> Horizon Scanning High Potential Disruption Report</w:t>
      </w:r>
      <w:r>
        <w:t xml:space="preserve"> </w:t>
      </w:r>
      <w:r w:rsidR="00677E65">
        <w:t xml:space="preserve">- </w:t>
      </w:r>
      <w:hyperlink r:id="rId46" w:history="1">
        <w:r w:rsidR="00677E65" w:rsidRPr="005A0138">
          <w:rPr>
            <w:rStyle w:val="Hyperlink"/>
            <w:rFonts w:cstheme="minorHAnsi"/>
          </w:rPr>
          <w:t>www.pcori.org/sites/default/files/PCORI-Health-Care-Horizon-Scanning-System-High-Potential-Disruption-Report-May-2022.pdf</w:t>
        </w:r>
      </w:hyperlink>
      <w:r w:rsidR="00172FA6">
        <w:rPr>
          <w:rStyle w:val="Hyperlink"/>
          <w:rFonts w:cstheme="minorHAnsi"/>
          <w:u w:val="none"/>
        </w:rPr>
        <w:t>.</w:t>
      </w:r>
    </w:p>
  </w:footnote>
  <w:footnote w:id="47">
    <w:p w14:paraId="55251B3A" w14:textId="302AB915" w:rsidR="000344DE" w:rsidRPr="00172FA6" w:rsidRDefault="000344DE" w:rsidP="00801487">
      <w:pPr>
        <w:pStyle w:val="FootnoteText"/>
        <w:spacing w:before="0"/>
      </w:pPr>
      <w:r>
        <w:rPr>
          <w:rStyle w:val="FootnoteReference"/>
        </w:rPr>
        <w:footnoteRef/>
      </w:r>
      <w:r>
        <w:t xml:space="preserve"> </w:t>
      </w:r>
      <w:r w:rsidRPr="00320DB3">
        <w:t>Gibb B, Hyman P, Schneider CL. The Many Applications of Engineered Bacteriophages-An Overview. Pharmaceuticals (Basel). 2021 Jun 30;14(7):634.</w:t>
      </w:r>
      <w:r w:rsidR="00F26011">
        <w:t xml:space="preserve"> </w:t>
      </w:r>
      <w:hyperlink r:id="rId47" w:history="1">
        <w:r w:rsidR="00677E65" w:rsidRPr="005A0138">
          <w:rPr>
            <w:rStyle w:val="Hyperlink"/>
          </w:rPr>
          <w:t>www.mdpi.com/1424-8247/14/7/634</w:t>
        </w:r>
      </w:hyperlink>
      <w:r w:rsidR="00172FA6">
        <w:rPr>
          <w:rStyle w:val="Hyperlink"/>
          <w:u w:val="none"/>
        </w:rPr>
        <w:t>.</w:t>
      </w:r>
    </w:p>
  </w:footnote>
  <w:footnote w:id="48">
    <w:p w14:paraId="4540E0AC" w14:textId="720B3344" w:rsidR="0040603D" w:rsidRPr="00172FA6" w:rsidRDefault="0040603D" w:rsidP="00801487">
      <w:pPr>
        <w:pStyle w:val="FootnoteText"/>
        <w:spacing w:before="0"/>
      </w:pPr>
      <w:r>
        <w:rPr>
          <w:rStyle w:val="FootnoteReference"/>
        </w:rPr>
        <w:footnoteRef/>
      </w:r>
      <w:r>
        <w:t xml:space="preserve"> </w:t>
      </w:r>
      <w:r w:rsidRPr="00327DF9">
        <w:t>WHO</w:t>
      </w:r>
      <w:r w:rsidR="00677E65">
        <w:t>,</w:t>
      </w:r>
      <w:r w:rsidRPr="00327DF9">
        <w:t xml:space="preserve"> Emerging trends and technologies: a horizon scan for global public health </w:t>
      </w:r>
      <w:hyperlink r:id="rId48" w:history="1">
        <w:r w:rsidRPr="00F26011">
          <w:rPr>
            <w:rStyle w:val="Hyperlink"/>
          </w:rPr>
          <w:t>apps.who.int/iris/rest/bitstreams/1413551/retrieve</w:t>
        </w:r>
      </w:hyperlink>
      <w:r w:rsidR="00172FA6">
        <w:rPr>
          <w:rStyle w:val="Hyperlink"/>
          <w:u w:val="none"/>
        </w:rPr>
        <w:t>.</w:t>
      </w:r>
    </w:p>
  </w:footnote>
  <w:footnote w:id="49">
    <w:p w14:paraId="5028CFAF" w14:textId="32BAB356" w:rsidR="00370427" w:rsidRPr="00172FA6" w:rsidRDefault="00370427" w:rsidP="00801487">
      <w:pPr>
        <w:pStyle w:val="FootnoteText"/>
        <w:spacing w:before="0"/>
      </w:pPr>
      <w:r>
        <w:rPr>
          <w:rStyle w:val="FootnoteReference"/>
        </w:rPr>
        <w:footnoteRef/>
      </w:r>
      <w:r>
        <w:t xml:space="preserve"> </w:t>
      </w:r>
      <w:r w:rsidRPr="00F26011">
        <w:rPr>
          <w:rFonts w:cstheme="minorHAnsi"/>
          <w:color w:val="212121"/>
          <w:shd w:val="clear" w:color="auto" w:fill="FFFFFF"/>
        </w:rPr>
        <w:t>Strathdee SA, Hatfull GF, Mutalik VK, Schooley RT. Phage therapy: From biological mechanisms to future directions. Cell. 2023 Jan 5;186(1):17-31.</w:t>
      </w:r>
      <w:r w:rsidR="00677E65">
        <w:rPr>
          <w:rFonts w:cstheme="minorHAnsi"/>
          <w:color w:val="212121"/>
          <w:shd w:val="clear" w:color="auto" w:fill="FFFFFF"/>
        </w:rPr>
        <w:t xml:space="preserve"> </w:t>
      </w:r>
      <w:hyperlink r:id="rId49" w:history="1">
        <w:r w:rsidR="00677E65" w:rsidRPr="005A0138">
          <w:rPr>
            <w:rStyle w:val="Hyperlink"/>
            <w:rFonts w:cstheme="minorHAnsi"/>
            <w:shd w:val="clear" w:color="auto" w:fill="FFFFFF"/>
          </w:rPr>
          <w:t>www.sciencedirect.com/science/article/pii/S0092867422014611?via%3Dihub</w:t>
        </w:r>
      </w:hyperlink>
      <w:r w:rsidR="00172FA6">
        <w:rPr>
          <w:rStyle w:val="Hyperlink"/>
          <w:rFonts w:cstheme="minorHAnsi"/>
          <w:u w:val="none"/>
          <w:shd w:val="clear" w:color="auto" w:fill="FFFFFF"/>
        </w:rPr>
        <w:t>.</w:t>
      </w:r>
    </w:p>
  </w:footnote>
  <w:footnote w:id="50">
    <w:p w14:paraId="2569D3AA" w14:textId="20F2651B" w:rsidR="004915C9" w:rsidRDefault="00A34321" w:rsidP="00801487">
      <w:pPr>
        <w:pStyle w:val="FootnoteText"/>
        <w:spacing w:before="0"/>
      </w:pPr>
      <w:r>
        <w:rPr>
          <w:rStyle w:val="FootnoteReference"/>
        </w:rPr>
        <w:footnoteRef/>
      </w:r>
      <w:r>
        <w:t xml:space="preserve"> </w:t>
      </w:r>
      <w:r w:rsidRPr="004B0B4C">
        <w:t>Suh GA, Lodise TP, Tamma PD, Knisely JM,</w:t>
      </w:r>
      <w:r>
        <w:t xml:space="preserve"> et al</w:t>
      </w:r>
      <w:r w:rsidRPr="004B0B4C">
        <w:t>; Antibacterial Resistance Leadership Group. Considerations for the Use of Phage Therapy in Clinical Practice. Antimicrob Agents Chemother. 2022 Mar 15;66(3):</w:t>
      </w:r>
      <w:r>
        <w:t xml:space="preserve"> </w:t>
      </w:r>
      <w:hyperlink r:id="rId50" w:history="1">
        <w:r>
          <w:rPr>
            <w:rStyle w:val="Hyperlink"/>
          </w:rPr>
          <w:t>Considerations for the Use of Phage Therapy in Clinical Practice | Antimicrobial Agents and Chemotherapy (asm.org)</w:t>
        </w:r>
      </w:hyperlink>
      <w:r w:rsidRPr="00172FA6">
        <w:rPr>
          <w:rStyle w:val="Hyperlink"/>
          <w:u w:val="none"/>
        </w:rPr>
        <w:t>.</w:t>
      </w:r>
    </w:p>
  </w:footnote>
  <w:footnote w:id="51">
    <w:p w14:paraId="0C952305" w14:textId="3BF1FD73" w:rsidR="000344DE" w:rsidRDefault="000344DE" w:rsidP="00801487">
      <w:pPr>
        <w:pStyle w:val="FootnoteText"/>
        <w:spacing w:before="0"/>
      </w:pPr>
      <w:r>
        <w:rPr>
          <w:rStyle w:val="FootnoteReference"/>
        </w:rPr>
        <w:footnoteRef/>
      </w:r>
      <w:r>
        <w:t xml:space="preserve"> </w:t>
      </w:r>
      <w:r w:rsidR="00477FE5">
        <w:t xml:space="preserve">Page Australia website, </w:t>
      </w:r>
      <w:hyperlink r:id="rId51" w:history="1">
        <w:r w:rsidR="003530A1" w:rsidRPr="005A0138">
          <w:rPr>
            <w:rStyle w:val="Hyperlink"/>
          </w:rPr>
          <w:t>www.phageaustralia.org</w:t>
        </w:r>
      </w:hyperlink>
      <w:r w:rsidR="003530A1">
        <w:t xml:space="preserve">. </w:t>
      </w:r>
    </w:p>
  </w:footnote>
  <w:footnote w:id="52">
    <w:p w14:paraId="773EEDDD" w14:textId="6C24A42E" w:rsidR="00963C65" w:rsidRPr="00172FA6" w:rsidRDefault="00963C65" w:rsidP="00801487">
      <w:pPr>
        <w:spacing w:before="0" w:line="240" w:lineRule="auto"/>
        <w:rPr>
          <w:rFonts w:cstheme="minorHAnsi"/>
          <w:sz w:val="20"/>
          <w:szCs w:val="20"/>
        </w:rPr>
      </w:pPr>
      <w:r w:rsidRPr="006D0BED">
        <w:rPr>
          <w:rStyle w:val="FootnoteReference"/>
          <w:rFonts w:cstheme="minorHAnsi"/>
          <w:sz w:val="20"/>
          <w:szCs w:val="20"/>
        </w:rPr>
        <w:footnoteRef/>
      </w:r>
      <w:r w:rsidRPr="006D0BED">
        <w:rPr>
          <w:rFonts w:cstheme="minorHAnsi"/>
          <w:sz w:val="20"/>
          <w:szCs w:val="20"/>
        </w:rPr>
        <w:t xml:space="preserve"> </w:t>
      </w:r>
      <w:r w:rsidRPr="006D0BED">
        <w:rPr>
          <w:rFonts w:cstheme="minorHAnsi"/>
          <w:color w:val="222222"/>
          <w:sz w:val="20"/>
          <w:szCs w:val="20"/>
          <w:shd w:val="clear" w:color="auto" w:fill="FFFFFF"/>
        </w:rPr>
        <w:t>Sorbara, M.T., Pamer, E.G. Microbiome-based therapeutics. </w:t>
      </w:r>
      <w:r w:rsidRPr="006D0BED">
        <w:rPr>
          <w:rFonts w:cstheme="minorHAnsi"/>
          <w:i/>
          <w:iCs/>
          <w:color w:val="222222"/>
          <w:sz w:val="20"/>
          <w:szCs w:val="20"/>
          <w:shd w:val="clear" w:color="auto" w:fill="FFFFFF"/>
        </w:rPr>
        <w:t>Nat Rev Microbiol</w:t>
      </w:r>
      <w:r w:rsidRPr="006D0BED">
        <w:rPr>
          <w:rFonts w:cstheme="minorHAnsi"/>
          <w:color w:val="222222"/>
          <w:sz w:val="20"/>
          <w:szCs w:val="20"/>
          <w:shd w:val="clear" w:color="auto" w:fill="FFFFFF"/>
        </w:rPr>
        <w:t> </w:t>
      </w:r>
      <w:r w:rsidRPr="006D0BED">
        <w:rPr>
          <w:rFonts w:cstheme="minorHAnsi"/>
          <w:b/>
          <w:bCs/>
          <w:color w:val="222222"/>
          <w:sz w:val="20"/>
          <w:szCs w:val="20"/>
          <w:shd w:val="clear" w:color="auto" w:fill="FFFFFF"/>
        </w:rPr>
        <w:t>20</w:t>
      </w:r>
      <w:r w:rsidRPr="006D0BED">
        <w:rPr>
          <w:rFonts w:cstheme="minorHAnsi"/>
          <w:color w:val="222222"/>
          <w:sz w:val="20"/>
          <w:szCs w:val="20"/>
          <w:shd w:val="clear" w:color="auto" w:fill="FFFFFF"/>
        </w:rPr>
        <w:t xml:space="preserve">, 365–380 (2022). </w:t>
      </w:r>
      <w:hyperlink r:id="rId52" w:history="1">
        <w:r w:rsidR="003530A1" w:rsidRPr="005A0138">
          <w:rPr>
            <w:rStyle w:val="Hyperlink"/>
            <w:rFonts w:cstheme="minorHAnsi"/>
            <w:sz w:val="20"/>
            <w:szCs w:val="20"/>
            <w:shd w:val="clear" w:color="auto" w:fill="FFFFFF"/>
          </w:rPr>
          <w:t>www.nature.com/articles/s41579-021-00667-9</w:t>
        </w:r>
      </w:hyperlink>
      <w:r w:rsidR="00172FA6">
        <w:rPr>
          <w:rStyle w:val="Hyperlink"/>
          <w:rFonts w:cstheme="minorHAnsi"/>
          <w:sz w:val="20"/>
          <w:szCs w:val="20"/>
          <w:u w:val="none"/>
          <w:shd w:val="clear" w:color="auto" w:fill="FFFFFF"/>
        </w:rPr>
        <w:t>.</w:t>
      </w:r>
    </w:p>
  </w:footnote>
  <w:footnote w:id="53">
    <w:p w14:paraId="44520CD8" w14:textId="453D61FC" w:rsidR="00E21738" w:rsidRPr="006D0BED" w:rsidRDefault="00E21738" w:rsidP="00801487">
      <w:pPr>
        <w:pStyle w:val="FootnoteText"/>
        <w:spacing w:before="0"/>
        <w:rPr>
          <w:rFonts w:cstheme="minorHAnsi"/>
        </w:rPr>
      </w:pPr>
      <w:r w:rsidRPr="006D0BED">
        <w:rPr>
          <w:rStyle w:val="FootnoteReference"/>
          <w:rFonts w:cstheme="minorHAnsi"/>
        </w:rPr>
        <w:footnoteRef/>
      </w:r>
      <w:r w:rsidRPr="006D0BED">
        <w:rPr>
          <w:rFonts w:cstheme="minorHAnsi"/>
        </w:rPr>
        <w:t xml:space="preserve"> </w:t>
      </w:r>
      <w:r w:rsidR="00C91C6E">
        <w:rPr>
          <w:rFonts w:cstheme="minorHAnsi"/>
        </w:rPr>
        <w:t xml:space="preserve">EMA, Faecal Microbiota Transplantation EU-IN Horizon Scanning Report - </w:t>
      </w:r>
      <w:hyperlink r:id="rId53" w:history="1">
        <w:r w:rsidR="00C91C6E" w:rsidRPr="005A0138">
          <w:rPr>
            <w:rStyle w:val="Hyperlink"/>
            <w:rFonts w:cstheme="minorHAnsi"/>
          </w:rPr>
          <w:t>www.ema.europa.eu/en/documents/report/faecal-microbiota-transplantation-eu-horizon-scanning-report_en.pdf</w:t>
        </w:r>
      </w:hyperlink>
      <w:r w:rsidR="00C91C6E">
        <w:rPr>
          <w:rFonts w:cstheme="minorHAnsi"/>
        </w:rPr>
        <w:t xml:space="preserve">. </w:t>
      </w:r>
    </w:p>
  </w:footnote>
  <w:footnote w:id="54">
    <w:p w14:paraId="1ECDCB7C" w14:textId="4ECDE228" w:rsidR="005E6C34" w:rsidRPr="004B50F8" w:rsidRDefault="005E6C34" w:rsidP="00801487">
      <w:pPr>
        <w:spacing w:before="0" w:line="240" w:lineRule="auto"/>
        <w:rPr>
          <w:rFonts w:cstheme="minorHAnsi"/>
        </w:rPr>
      </w:pPr>
      <w:r>
        <w:rPr>
          <w:rStyle w:val="FootnoteReference"/>
        </w:rPr>
        <w:footnoteRef/>
      </w:r>
      <w:r>
        <w:t xml:space="preserve"> </w:t>
      </w:r>
      <w:r w:rsidR="00C91C6E" w:rsidRPr="00714431">
        <w:rPr>
          <w:sz w:val="20"/>
          <w:szCs w:val="20"/>
        </w:rPr>
        <w:t xml:space="preserve">TGA, Faecal microbiota transplant products regulation - </w:t>
      </w:r>
      <w:hyperlink r:id="rId54" w:history="1">
        <w:r w:rsidR="00C91C6E" w:rsidRPr="00714431">
          <w:rPr>
            <w:rStyle w:val="Hyperlink"/>
            <w:sz w:val="20"/>
            <w:szCs w:val="20"/>
          </w:rPr>
          <w:t>www.tga.gov.au/products/biologicals-blood-and-tissues-and-advanced-therapies/biologicals/faecal-microbiota-transplant-products-regulation</w:t>
        </w:r>
      </w:hyperlink>
      <w:r w:rsidR="00C91C6E">
        <w:t xml:space="preserve">. </w:t>
      </w:r>
    </w:p>
    <w:p w14:paraId="5B28561A" w14:textId="580403ED" w:rsidR="005E6C34" w:rsidRDefault="005E6C34" w:rsidP="00801487">
      <w:pPr>
        <w:pStyle w:val="FootnoteText"/>
        <w:spacing w:before="0"/>
      </w:pPr>
    </w:p>
  </w:footnote>
  <w:footnote w:id="55">
    <w:p w14:paraId="0A6F3A1C" w14:textId="77777777" w:rsidR="00275270" w:rsidRDefault="00275270" w:rsidP="00801487">
      <w:pPr>
        <w:pStyle w:val="FootnoteText"/>
        <w:spacing w:before="0"/>
      </w:pPr>
      <w:r>
        <w:rPr>
          <w:rStyle w:val="FootnoteReference"/>
        </w:rPr>
        <w:footnoteRef/>
      </w:r>
      <w:r>
        <w:t xml:space="preserve"> </w:t>
      </w:r>
      <w:r w:rsidRPr="00DB7E4D">
        <w:t xml:space="preserve">Tian, Y., Hu, D., Li, Y. et al. Development of therapeutic vaccines for the treatment of diseases. </w:t>
      </w:r>
      <w:r w:rsidRPr="00A568C9">
        <w:rPr>
          <w:i/>
          <w:iCs/>
        </w:rPr>
        <w:t>Mol Biomed</w:t>
      </w:r>
      <w:r w:rsidRPr="00DB7E4D">
        <w:t xml:space="preserve"> 3, 40 (2022)</w:t>
      </w:r>
      <w:r>
        <w:t xml:space="preserve"> - </w:t>
      </w:r>
      <w:hyperlink r:id="rId55" w:history="1">
        <w:r w:rsidRPr="00564DCE">
          <w:rPr>
            <w:rStyle w:val="Hyperlink"/>
          </w:rPr>
          <w:t>https://link.springer.com/article/10.1186/s43556-022-00098-9</w:t>
        </w:r>
      </w:hyperlink>
      <w:r>
        <w:t xml:space="preserve">. </w:t>
      </w:r>
    </w:p>
  </w:footnote>
  <w:footnote w:id="56">
    <w:p w14:paraId="681502F6" w14:textId="77777777" w:rsidR="00275270" w:rsidRDefault="00275270" w:rsidP="00801487">
      <w:pPr>
        <w:pStyle w:val="FootnoteText"/>
        <w:spacing w:before="0"/>
      </w:pPr>
      <w:r>
        <w:rPr>
          <w:rStyle w:val="FootnoteReference"/>
        </w:rPr>
        <w:footnoteRef/>
      </w:r>
      <w:r>
        <w:t xml:space="preserve"> </w:t>
      </w:r>
      <w:r w:rsidRPr="00AF7AF1">
        <w:t>Sondak VK, Sabel MS, Mulé JJ. Allogeneic and autologous melanoma vaccines: where have we been and where are we going? Clin Cancer Res. 2006 Apr 1;12(7 Pt 2):2337s-2341</w:t>
      </w:r>
      <w:r>
        <w:t xml:space="preserve"> </w:t>
      </w:r>
      <w:hyperlink r:id="rId56" w:history="1">
        <w:r w:rsidRPr="00564DCE">
          <w:rPr>
            <w:rStyle w:val="Hyperlink"/>
          </w:rPr>
          <w:t>https://pubmed.ncbi.nlm.nih.gov/16609055/</w:t>
        </w:r>
      </w:hyperlink>
      <w:r>
        <w:t xml:space="preserve">. </w:t>
      </w:r>
    </w:p>
  </w:footnote>
  <w:footnote w:id="57">
    <w:p w14:paraId="2C08348D" w14:textId="4BB1FAF6" w:rsidR="00B240F1" w:rsidRDefault="00B240F1" w:rsidP="00801487">
      <w:pPr>
        <w:pStyle w:val="FootnoteText"/>
        <w:spacing w:before="0"/>
      </w:pPr>
      <w:r>
        <w:rPr>
          <w:rStyle w:val="FootnoteReference"/>
        </w:rPr>
        <w:footnoteRef/>
      </w:r>
      <w:r>
        <w:t xml:space="preserve"> US Centres for Disease Control and Prevention, Recombinant Influenza (Flu) Vaccine </w:t>
      </w:r>
      <w:hyperlink r:id="rId57" w:history="1">
        <w:r w:rsidRPr="00FA2D14">
          <w:rPr>
            <w:rStyle w:val="Hyperlink"/>
          </w:rPr>
          <w:t>https://www.cdc.gov/flu/prevent/qa_flublok-vaccine.htm</w:t>
        </w:r>
      </w:hyperlink>
      <w:r w:rsidR="00D266AD" w:rsidRPr="00D266AD">
        <w:rPr>
          <w:rStyle w:val="Hyperlink"/>
          <w:u w:val="none"/>
        </w:rPr>
        <w:t>.</w:t>
      </w:r>
      <w:r>
        <w:t xml:space="preserve"> </w:t>
      </w:r>
    </w:p>
  </w:footnote>
  <w:footnote w:id="58">
    <w:p w14:paraId="51D4E1E8" w14:textId="05F57D4C" w:rsidR="00B240F1" w:rsidRDefault="00B240F1" w:rsidP="00801487">
      <w:pPr>
        <w:pStyle w:val="FootnoteText"/>
        <w:spacing w:before="0"/>
      </w:pPr>
      <w:r>
        <w:rPr>
          <w:rStyle w:val="FootnoteReference"/>
        </w:rPr>
        <w:footnoteRef/>
      </w:r>
      <w:r>
        <w:t xml:space="preserve"> US Centres for Disease Control and Prevention, Cell-Based Flu Vaccines </w:t>
      </w:r>
      <w:hyperlink r:id="rId58" w:history="1">
        <w:r w:rsidRPr="00FA2D14">
          <w:rPr>
            <w:rStyle w:val="Hyperlink"/>
          </w:rPr>
          <w:t>https://www.cdc.gov/flu/prevent/cell-based.htm</w:t>
        </w:r>
      </w:hyperlink>
      <w:r w:rsidR="00D266AD">
        <w:rPr>
          <w:rStyle w:val="Hyperlink"/>
          <w:u w:val="none"/>
        </w:rPr>
        <w:t>.</w:t>
      </w:r>
      <w:r>
        <w:t xml:space="preserve"> </w:t>
      </w:r>
    </w:p>
  </w:footnote>
  <w:footnote w:id="59">
    <w:p w14:paraId="6EEB7591" w14:textId="71F158F2" w:rsidR="00B240F1" w:rsidRPr="00D266AD" w:rsidRDefault="00B240F1" w:rsidP="00801487">
      <w:pPr>
        <w:pStyle w:val="FootnoteText"/>
        <w:spacing w:before="0"/>
      </w:pPr>
      <w:r>
        <w:rPr>
          <w:rStyle w:val="FootnoteReference"/>
        </w:rPr>
        <w:footnoteRef/>
      </w:r>
      <w:r>
        <w:t xml:space="preserve"> Rankin W., Cell-Based Influenza Vaccines as an Alternative to Egg-Based Vaccines, </w:t>
      </w:r>
      <w:r w:rsidR="00C6131D" w:rsidRPr="00C6131D">
        <w:rPr>
          <w:i/>
          <w:iCs/>
        </w:rPr>
        <w:t>Journal of Science and technology Law</w:t>
      </w:r>
      <w:r>
        <w:t xml:space="preserve"> </w:t>
      </w:r>
      <w:hyperlink r:id="rId59" w:history="1">
        <w:r w:rsidRPr="00FA2D14">
          <w:rPr>
            <w:rStyle w:val="Hyperlink"/>
          </w:rPr>
          <w:t>https://jost.syr.edu/cell-based-influenza-vaccines-as-an-alternative-to-egg-based-vaccines/</w:t>
        </w:r>
      </w:hyperlink>
      <w:r w:rsidR="00D266AD">
        <w:rPr>
          <w:rStyle w:val="Hyperlink"/>
          <w:u w:val="none"/>
        </w:rPr>
        <w:t>.</w:t>
      </w:r>
    </w:p>
  </w:footnote>
  <w:footnote w:id="60">
    <w:p w14:paraId="5A0A3848" w14:textId="35D47C7D" w:rsidR="00B240F1" w:rsidRDefault="00B240F1" w:rsidP="00801487">
      <w:pPr>
        <w:pStyle w:val="FootnoteText"/>
        <w:spacing w:before="0"/>
      </w:pPr>
      <w:r>
        <w:rPr>
          <w:rStyle w:val="FootnoteReference"/>
        </w:rPr>
        <w:footnoteRef/>
      </w:r>
      <w:r>
        <w:t xml:space="preserve"> </w:t>
      </w:r>
      <w:r w:rsidR="00C6131D">
        <w:t>R</w:t>
      </w:r>
      <w:r w:rsidR="00C6131D" w:rsidRPr="00C6131D">
        <w:t xml:space="preserve">ajaram S, Boikos C, Gelone DK, Gandhi A. Influenza vaccines: the potential benefits of cell-culture isolation and manufacturing. </w:t>
      </w:r>
      <w:r w:rsidR="00C6131D" w:rsidRPr="00C6131D">
        <w:rPr>
          <w:i/>
          <w:iCs/>
        </w:rPr>
        <w:t>Ther Adv Vaccines Immunother</w:t>
      </w:r>
      <w:r w:rsidR="00C6131D" w:rsidRPr="00C6131D">
        <w:t xml:space="preserve">. 2020 Feb </w:t>
      </w:r>
      <w:hyperlink r:id="rId60" w:history="1">
        <w:r w:rsidR="00C6131D" w:rsidRPr="00FA2D14">
          <w:rPr>
            <w:rStyle w:val="Hyperlink"/>
          </w:rPr>
          <w:t>https://www.ncbi.nlm.nih.gov/pmc/articles/PMC7036483/</w:t>
        </w:r>
      </w:hyperlink>
      <w:r w:rsidR="00D266AD">
        <w:rPr>
          <w:rStyle w:val="Hyperlink"/>
          <w:u w:val="none"/>
        </w:rPr>
        <w:t>.</w:t>
      </w:r>
      <w:r>
        <w:t xml:space="preserve"> </w:t>
      </w:r>
    </w:p>
  </w:footnote>
  <w:footnote w:id="61">
    <w:p w14:paraId="551DFEB1" w14:textId="33B8A3DF" w:rsidR="00B240F1" w:rsidRPr="00D266AD" w:rsidRDefault="00B240F1" w:rsidP="00801487">
      <w:pPr>
        <w:pStyle w:val="FootnoteText"/>
        <w:spacing w:before="0"/>
      </w:pPr>
      <w:r>
        <w:rPr>
          <w:rStyle w:val="FootnoteReference"/>
        </w:rPr>
        <w:footnoteRef/>
      </w:r>
      <w:r>
        <w:t xml:space="preserve"> </w:t>
      </w:r>
      <w:r w:rsidR="00C6131D">
        <w:t xml:space="preserve">Australasian society of clinical immunology and allergy, ASCIA Guidelines – Vaccination of the egg-allergic individual, </w:t>
      </w:r>
      <w:hyperlink r:id="rId61" w:history="1">
        <w:r w:rsidR="00C6131D" w:rsidRPr="00FA2D14">
          <w:rPr>
            <w:rStyle w:val="Hyperlink"/>
          </w:rPr>
          <w:t>https://www.allergy.org.au/hp//papers/vaccination-of-the-egg-allergic-individual</w:t>
        </w:r>
      </w:hyperlink>
      <w:r w:rsidR="00D266AD">
        <w:rPr>
          <w:rStyle w:val="Hyperlink"/>
          <w:u w:val="none"/>
        </w:rPr>
        <w:t>.</w:t>
      </w:r>
    </w:p>
  </w:footnote>
  <w:footnote w:id="62">
    <w:p w14:paraId="7AC0B2A6" w14:textId="4D738165" w:rsidR="00B240F1" w:rsidRDefault="00B240F1" w:rsidP="00801487">
      <w:pPr>
        <w:pStyle w:val="FootnoteText"/>
        <w:spacing w:before="0"/>
      </w:pPr>
      <w:r>
        <w:rPr>
          <w:rStyle w:val="FootnoteReference"/>
        </w:rPr>
        <w:footnoteRef/>
      </w:r>
      <w:r>
        <w:t xml:space="preserve"> </w:t>
      </w:r>
      <w:r w:rsidR="00C6131D">
        <w:t xml:space="preserve">Australian Immunisation Handbook, Influenza (flu) </w:t>
      </w:r>
      <w:hyperlink r:id="rId62" w:history="1">
        <w:r w:rsidR="00C6131D" w:rsidRPr="00FA2D14">
          <w:rPr>
            <w:rStyle w:val="Hyperlink"/>
          </w:rPr>
          <w:t>https://immunisationhandbook.health.gov.au/vaccine-preventable-diseases/influenza-flu</w:t>
        </w:r>
      </w:hyperlink>
      <w:r w:rsidR="00D266AD">
        <w:rPr>
          <w:rStyle w:val="Hyperlink"/>
          <w:u w:val="none"/>
        </w:rPr>
        <w:t>.</w:t>
      </w:r>
      <w:r>
        <w:t xml:space="preserve"> </w:t>
      </w:r>
    </w:p>
  </w:footnote>
  <w:footnote w:id="63">
    <w:p w14:paraId="4D928F27" w14:textId="6337E24C" w:rsidR="00B240F1" w:rsidRDefault="00B240F1" w:rsidP="00801487">
      <w:pPr>
        <w:pStyle w:val="FootnoteText"/>
        <w:spacing w:before="0"/>
      </w:pPr>
      <w:r>
        <w:rPr>
          <w:rStyle w:val="FootnoteReference"/>
        </w:rPr>
        <w:footnoteRef/>
      </w:r>
      <w:r>
        <w:t xml:space="preserve"> </w:t>
      </w:r>
      <w:r w:rsidR="00C6131D">
        <w:t>US Centres for Disease Control and Prevention,</w:t>
      </w:r>
      <w:r w:rsidR="00C6131D" w:rsidRPr="00C6131D">
        <w:t xml:space="preserve"> Live Attenuated Influenza Vaccine [LAIV] (The Nasal Spray Flu Vaccine)</w:t>
      </w:r>
      <w:r w:rsidR="00C6131D">
        <w:t xml:space="preserve">, </w:t>
      </w:r>
      <w:hyperlink r:id="rId63" w:history="1">
        <w:r w:rsidRPr="00FA2D14">
          <w:rPr>
            <w:rStyle w:val="Hyperlink"/>
          </w:rPr>
          <w:t>https://www.cdc.gov/flu/prevent/nasalspray.htm</w:t>
        </w:r>
      </w:hyperlink>
      <w:r w:rsidR="00C6131D">
        <w:t>.</w:t>
      </w:r>
    </w:p>
  </w:footnote>
  <w:footnote w:id="64">
    <w:p w14:paraId="0A8AA6F5" w14:textId="64E1E27D" w:rsidR="00B240F1" w:rsidRDefault="00B240F1" w:rsidP="00801487">
      <w:pPr>
        <w:pStyle w:val="FootnoteText"/>
        <w:spacing w:before="0"/>
      </w:pPr>
      <w:r>
        <w:rPr>
          <w:rStyle w:val="FootnoteReference"/>
        </w:rPr>
        <w:footnoteRef/>
      </w:r>
      <w:r>
        <w:t xml:space="preserve"> </w:t>
      </w:r>
      <w:r w:rsidR="00C6131D">
        <w:t xml:space="preserve">Vaxxas, Product Applications, </w:t>
      </w:r>
      <w:hyperlink r:id="rId64" w:history="1">
        <w:r w:rsidR="00C6131D" w:rsidRPr="00FA2D14">
          <w:rPr>
            <w:rStyle w:val="Hyperlink"/>
          </w:rPr>
          <w:t>https://www.vaxxas.com/product-applications/</w:t>
        </w:r>
      </w:hyperlink>
      <w:r w:rsidR="00C6131D">
        <w:t>.</w:t>
      </w:r>
    </w:p>
  </w:footnote>
  <w:footnote w:id="65">
    <w:p w14:paraId="0B06BD32" w14:textId="52EE25DD" w:rsidR="00DE55E0" w:rsidRPr="00D266AD" w:rsidRDefault="00DE55E0" w:rsidP="00801487">
      <w:pPr>
        <w:pStyle w:val="FootnoteText"/>
        <w:spacing w:before="0"/>
      </w:pPr>
      <w:r>
        <w:rPr>
          <w:rStyle w:val="FootnoteReference"/>
        </w:rPr>
        <w:footnoteRef/>
      </w:r>
      <w:r>
        <w:t xml:space="preserve"> </w:t>
      </w:r>
      <w:r w:rsidRPr="00A66AD9">
        <w:t>Muin J Khoury</w:t>
      </w:r>
      <w:r>
        <w:t xml:space="preserve">. </w:t>
      </w:r>
      <w:r w:rsidRPr="00A66AD9">
        <w:t>The Shift From Personalized Medicine to Precision Medicine and Precision Public Health: Words Matter!</w:t>
      </w:r>
      <w:r>
        <w:t xml:space="preserve">. 2016. </w:t>
      </w:r>
      <w:hyperlink r:id="rId65" w:history="1">
        <w:r w:rsidRPr="00A66AD9">
          <w:rPr>
            <w:rStyle w:val="Hyperlink"/>
          </w:rPr>
          <w:t>blogs.cdc.gov/genomics/2016/04/21/shift/</w:t>
        </w:r>
      </w:hyperlink>
      <w:r w:rsidR="00D266AD">
        <w:rPr>
          <w:rStyle w:val="Hyperlink"/>
          <w:u w:val="none"/>
        </w:rPr>
        <w:t>.</w:t>
      </w:r>
    </w:p>
  </w:footnote>
  <w:footnote w:id="66">
    <w:p w14:paraId="60ACC6E8" w14:textId="0E6AF487" w:rsidR="005073E1" w:rsidRDefault="005073E1" w:rsidP="00801487">
      <w:pPr>
        <w:pStyle w:val="FootnoteText"/>
        <w:spacing w:before="0"/>
      </w:pPr>
      <w:r>
        <w:rPr>
          <w:rStyle w:val="FootnoteReference"/>
        </w:rPr>
        <w:footnoteRef/>
      </w:r>
      <w:r>
        <w:t xml:space="preserve"> </w:t>
      </w:r>
      <w:r>
        <w:rPr>
          <w:rFonts w:cstheme="minorHAnsi"/>
        </w:rPr>
        <w:t xml:space="preserve">Australian Council of Learned Academies, Horizon Scanning Series, </w:t>
      </w:r>
      <w:r w:rsidRPr="00D5571D">
        <w:rPr>
          <w:rFonts w:cstheme="minorHAnsi"/>
        </w:rPr>
        <w:t xml:space="preserve">The Future of Precision Medicine in Australia </w:t>
      </w:r>
      <w:r>
        <w:t xml:space="preserve">- </w:t>
      </w:r>
      <w:hyperlink r:id="rId66" w:history="1">
        <w:r w:rsidRPr="005A0138">
          <w:rPr>
            <w:rStyle w:val="Hyperlink"/>
          </w:rPr>
          <w:t>acola.org/hs2-precision-medicine-australia/</w:t>
        </w:r>
      </w:hyperlink>
      <w:r>
        <w:t xml:space="preserve">. </w:t>
      </w:r>
    </w:p>
  </w:footnote>
  <w:footnote w:id="67">
    <w:p w14:paraId="6456FD07" w14:textId="6920E0BA" w:rsidR="001A6F99" w:rsidRPr="001A6F99" w:rsidRDefault="001A6F99" w:rsidP="00801487">
      <w:pPr>
        <w:pStyle w:val="FootnoteText"/>
        <w:spacing w:before="0"/>
        <w:rPr>
          <w:color w:val="0000FF"/>
          <w:u w:val="single"/>
        </w:rPr>
      </w:pPr>
      <w:r>
        <w:rPr>
          <w:rStyle w:val="FootnoteReference"/>
        </w:rPr>
        <w:footnoteRef/>
      </w:r>
      <w:r>
        <w:t xml:space="preserve"> </w:t>
      </w:r>
      <w:r w:rsidR="005073E1">
        <w:t xml:space="preserve">FDA, Precision Medicine - </w:t>
      </w:r>
      <w:hyperlink r:id="rId67" w:history="1">
        <w:r w:rsidR="005073E1" w:rsidRPr="005A0138">
          <w:rPr>
            <w:rStyle w:val="Hyperlink"/>
          </w:rPr>
          <w:t>www.fda.gov/medical-devices/in-vitro-diagnostics/precision-medicine</w:t>
        </w:r>
      </w:hyperlink>
      <w:r w:rsidR="005073E1">
        <w:t xml:space="preserve">. </w:t>
      </w:r>
    </w:p>
  </w:footnote>
  <w:footnote w:id="68">
    <w:p w14:paraId="279A5494" w14:textId="7BF47EB9" w:rsidR="00E32851" w:rsidRPr="00714431" w:rsidRDefault="00E32851"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Pr="0076430E">
        <w:rPr>
          <w:rFonts w:cstheme="minorHAnsi"/>
          <w:color w:val="222222"/>
          <w:shd w:val="clear" w:color="auto" w:fill="FFFFFF"/>
        </w:rPr>
        <w:t>Payne, K., Gavan, S., Wright, S. </w:t>
      </w:r>
      <w:r w:rsidRPr="0076430E">
        <w:rPr>
          <w:rFonts w:cstheme="minorHAnsi"/>
          <w:i/>
          <w:iCs/>
          <w:color w:val="222222"/>
          <w:shd w:val="clear" w:color="auto" w:fill="FFFFFF"/>
        </w:rPr>
        <w:t>et al.</w:t>
      </w:r>
      <w:r w:rsidRPr="0076430E">
        <w:rPr>
          <w:rFonts w:cstheme="minorHAnsi"/>
          <w:color w:val="222222"/>
          <w:shd w:val="clear" w:color="auto" w:fill="FFFFFF"/>
        </w:rPr>
        <w:t> Cost-effectiveness analyses of genetic and genomic diagnostic tests. </w:t>
      </w:r>
      <w:r w:rsidRPr="0076430E">
        <w:rPr>
          <w:rFonts w:cstheme="minorHAnsi"/>
          <w:i/>
          <w:iCs/>
          <w:color w:val="222222"/>
          <w:shd w:val="clear" w:color="auto" w:fill="FFFFFF"/>
        </w:rPr>
        <w:t>Nat Rev Genet</w:t>
      </w:r>
      <w:r w:rsidRPr="0076430E">
        <w:rPr>
          <w:rFonts w:cstheme="minorHAnsi"/>
          <w:color w:val="222222"/>
          <w:shd w:val="clear" w:color="auto" w:fill="FFFFFF"/>
        </w:rPr>
        <w:t> </w:t>
      </w:r>
      <w:r w:rsidRPr="0076430E">
        <w:rPr>
          <w:rFonts w:cstheme="minorHAnsi"/>
          <w:b/>
          <w:bCs/>
          <w:color w:val="222222"/>
          <w:shd w:val="clear" w:color="auto" w:fill="FFFFFF"/>
        </w:rPr>
        <w:t>19</w:t>
      </w:r>
      <w:r w:rsidRPr="0076430E">
        <w:rPr>
          <w:rFonts w:cstheme="minorHAnsi"/>
          <w:color w:val="222222"/>
          <w:shd w:val="clear" w:color="auto" w:fill="FFFFFF"/>
        </w:rPr>
        <w:t xml:space="preserve">, 235–246 (2018). </w:t>
      </w:r>
      <w:hyperlink r:id="rId68" w:history="1">
        <w:r w:rsidR="005073E1" w:rsidRPr="005A0138">
          <w:rPr>
            <w:rStyle w:val="Hyperlink"/>
            <w:rFonts w:cstheme="minorHAnsi"/>
            <w:shd w:val="clear" w:color="auto" w:fill="FFFFFF"/>
          </w:rPr>
          <w:t>www.nature.com/articles/nrg.2017.108</w:t>
        </w:r>
      </w:hyperlink>
      <w:r w:rsidR="00714431">
        <w:rPr>
          <w:rStyle w:val="Hyperlink"/>
          <w:rFonts w:cstheme="minorHAnsi"/>
          <w:u w:val="none"/>
          <w:shd w:val="clear" w:color="auto" w:fill="FFFFFF"/>
        </w:rPr>
        <w:t>.</w:t>
      </w:r>
    </w:p>
  </w:footnote>
  <w:footnote w:id="69">
    <w:p w14:paraId="66AB7679" w14:textId="68D1605C" w:rsidR="00E32851" w:rsidRPr="0076430E" w:rsidRDefault="00E32851"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005073E1">
        <w:rPr>
          <w:rFonts w:cstheme="minorHAnsi"/>
        </w:rPr>
        <w:t xml:space="preserve">Australian Genomics, About Genomics - </w:t>
      </w:r>
      <w:hyperlink r:id="rId69" w:history="1">
        <w:r w:rsidR="005073E1" w:rsidRPr="005A0138">
          <w:rPr>
            <w:rStyle w:val="Hyperlink"/>
            <w:rFonts w:cstheme="minorHAnsi"/>
          </w:rPr>
          <w:t>www.australiangenomics.org.au/about-genomics/</w:t>
        </w:r>
      </w:hyperlink>
      <w:r w:rsidR="005073E1">
        <w:rPr>
          <w:rFonts w:cstheme="minorHAnsi"/>
        </w:rPr>
        <w:t xml:space="preserve">. </w:t>
      </w:r>
    </w:p>
  </w:footnote>
  <w:footnote w:id="70">
    <w:p w14:paraId="5AECEF73" w14:textId="3CD212E7" w:rsidR="00E32851" w:rsidRPr="0076430E" w:rsidRDefault="00E32851"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005073E1">
        <w:rPr>
          <w:rFonts w:cstheme="minorHAnsi"/>
        </w:rPr>
        <w:t xml:space="preserve">Garvan Institute of Medical Research, Genomics and Genomic Testing - </w:t>
      </w:r>
      <w:hyperlink r:id="rId70" w:history="1">
        <w:r w:rsidR="005073E1" w:rsidRPr="005A0138">
          <w:rPr>
            <w:rStyle w:val="Hyperlink"/>
            <w:rFonts w:cstheme="minorHAnsi"/>
          </w:rPr>
          <w:t>www.garvan.org.au/research/kinghorn-centre-for-clinical-genomics/learn-about-genomics/for-gp/genetics-refresher-1/genomics-and-genomic-testing</w:t>
        </w:r>
      </w:hyperlink>
      <w:r w:rsidR="005073E1">
        <w:rPr>
          <w:rFonts w:cstheme="minorHAnsi"/>
        </w:rPr>
        <w:t xml:space="preserve">. </w:t>
      </w:r>
    </w:p>
  </w:footnote>
  <w:footnote w:id="71">
    <w:p w14:paraId="04CCB8B4" w14:textId="0A491E9E" w:rsidR="0047530C" w:rsidRPr="0076430E" w:rsidRDefault="0047530C"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005073E1">
        <w:rPr>
          <w:rFonts w:cstheme="minorHAnsi"/>
        </w:rPr>
        <w:t xml:space="preserve">National Library of Medicine (US) – MedlinePlus, What are the different types of genetic tests - </w:t>
      </w:r>
      <w:r w:rsidR="005073E1" w:rsidRPr="005073E1">
        <w:rPr>
          <w:rFonts w:cstheme="minorHAnsi"/>
        </w:rPr>
        <w:t>medlineplus.gov/genetics/understanding/testing/types</w:t>
      </w:r>
      <w:r w:rsidR="005073E1">
        <w:rPr>
          <w:rFonts w:cstheme="minorHAnsi"/>
        </w:rPr>
        <w:t xml:space="preserve">.  </w:t>
      </w:r>
    </w:p>
  </w:footnote>
  <w:footnote w:id="72">
    <w:p w14:paraId="4213D50B" w14:textId="382FA3D5" w:rsidR="0047530C" w:rsidRPr="0076430E" w:rsidRDefault="0047530C"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00C91C6E">
        <w:rPr>
          <w:rFonts w:cstheme="minorHAnsi"/>
        </w:rPr>
        <w:t xml:space="preserve">Fulgent Genetics, Sickle Cell Disease (HBB Single Gene Test) - </w:t>
      </w:r>
      <w:hyperlink r:id="rId71" w:history="1">
        <w:r w:rsidR="00C91C6E" w:rsidRPr="005A0138">
          <w:rPr>
            <w:rStyle w:val="Hyperlink"/>
            <w:rFonts w:cstheme="minorHAnsi"/>
          </w:rPr>
          <w:t>www.fulgentgenetics.com/Sickle-Cell-Disease</w:t>
        </w:r>
      </w:hyperlink>
      <w:r w:rsidR="00C91C6E">
        <w:rPr>
          <w:rFonts w:cstheme="minorHAnsi"/>
        </w:rPr>
        <w:t xml:space="preserve">. </w:t>
      </w:r>
    </w:p>
  </w:footnote>
  <w:footnote w:id="73">
    <w:p w14:paraId="4EAAF368" w14:textId="71572B93" w:rsidR="00E32851" w:rsidRPr="0076430E" w:rsidRDefault="00E32851"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Pr="0076430E">
        <w:rPr>
          <w:rFonts w:cstheme="minorHAnsi"/>
          <w:color w:val="212121"/>
          <w:shd w:val="clear" w:color="auto" w:fill="FFFFFF"/>
        </w:rPr>
        <w:t>Franceschini N, Frick A, Kopp JB. Genetic Testing in Clinical Settings. Am J Kidney Dis. 2018 Oct;72(4):569-581</w:t>
      </w:r>
      <w:r w:rsidR="00C91C6E">
        <w:rPr>
          <w:rFonts w:cstheme="minorHAnsi"/>
          <w:color w:val="212121"/>
          <w:shd w:val="clear" w:color="auto" w:fill="FFFFFF"/>
        </w:rPr>
        <w:t xml:space="preserve"> - </w:t>
      </w:r>
      <w:hyperlink r:id="rId72" w:history="1">
        <w:r w:rsidR="00C91C6E" w:rsidRPr="005A0138">
          <w:rPr>
            <w:rStyle w:val="Hyperlink"/>
            <w:rFonts w:cstheme="minorHAnsi"/>
            <w:shd w:val="clear" w:color="auto" w:fill="FFFFFF"/>
          </w:rPr>
          <w:t>www.ncbi.nlm.nih.gov/pmc/articles/PMC6153053/</w:t>
        </w:r>
      </w:hyperlink>
      <w:r w:rsidR="00C91C6E">
        <w:rPr>
          <w:rStyle w:val="Hyperlink"/>
          <w:rFonts w:cstheme="minorHAnsi"/>
          <w:shd w:val="clear" w:color="auto" w:fill="FFFFFF"/>
        </w:rPr>
        <w:t>.</w:t>
      </w:r>
    </w:p>
  </w:footnote>
  <w:footnote w:id="74">
    <w:p w14:paraId="25A91BEB" w14:textId="3F992618" w:rsidR="00091EC8" w:rsidRPr="0076430E" w:rsidRDefault="00091EC8" w:rsidP="00801487">
      <w:pPr>
        <w:pStyle w:val="FootnoteText"/>
        <w:spacing w:before="0"/>
        <w:rPr>
          <w:rFonts w:cstheme="minorHAnsi"/>
        </w:rPr>
      </w:pPr>
      <w:r w:rsidRPr="0076430E">
        <w:rPr>
          <w:rStyle w:val="FootnoteReference"/>
          <w:rFonts w:cstheme="minorHAnsi"/>
        </w:rPr>
        <w:footnoteRef/>
      </w:r>
      <w:r w:rsidRPr="0076430E">
        <w:rPr>
          <w:rFonts w:cstheme="minorHAnsi"/>
        </w:rPr>
        <w:t xml:space="preserve"> </w:t>
      </w:r>
      <w:r w:rsidR="00C91C6E">
        <w:rPr>
          <w:rFonts w:cstheme="minorHAnsi"/>
        </w:rPr>
        <w:t xml:space="preserve">Epilepsy Foundation, Genetic Testing for Epilepsy - </w:t>
      </w:r>
      <w:hyperlink r:id="rId73" w:history="1">
        <w:r w:rsidR="00C91C6E" w:rsidRPr="005A0138">
          <w:rPr>
            <w:rStyle w:val="Hyperlink"/>
            <w:rFonts w:cstheme="minorHAnsi"/>
          </w:rPr>
          <w:t>www.epilepsy.com/causes/genetic/testing</w:t>
        </w:r>
      </w:hyperlink>
      <w:r w:rsidR="00C91C6E">
        <w:rPr>
          <w:rFonts w:cstheme="minorHAnsi"/>
        </w:rPr>
        <w:t xml:space="preserve">. </w:t>
      </w:r>
    </w:p>
  </w:footnote>
  <w:footnote w:id="75">
    <w:p w14:paraId="0D53CEBE" w14:textId="33362794" w:rsidR="001C7395" w:rsidRDefault="001C7395" w:rsidP="00801487">
      <w:pPr>
        <w:pStyle w:val="FootnoteText"/>
        <w:spacing w:before="0"/>
      </w:pPr>
      <w:r w:rsidRPr="0076430E">
        <w:rPr>
          <w:rStyle w:val="FootnoteReference"/>
          <w:rFonts w:cstheme="minorHAnsi"/>
        </w:rPr>
        <w:footnoteRef/>
      </w:r>
      <w:r w:rsidR="00C91C6E">
        <w:t xml:space="preserve"> Fulgent Genetics, Epilepsy Comprehensive NGS Panel - </w:t>
      </w:r>
      <w:hyperlink r:id="rId74" w:history="1">
        <w:r w:rsidR="00C91C6E" w:rsidRPr="005A0138">
          <w:rPr>
            <w:rStyle w:val="Hyperlink"/>
          </w:rPr>
          <w:t>www.fulgentgenetics.com/epilepsy-comp</w:t>
        </w:r>
      </w:hyperlink>
      <w:r w:rsidR="00C91C6E">
        <w:t xml:space="preserve">. </w:t>
      </w:r>
    </w:p>
  </w:footnote>
  <w:footnote w:id="76">
    <w:p w14:paraId="5A204EA3" w14:textId="77777777" w:rsidR="002A012E" w:rsidRDefault="002A012E" w:rsidP="00801487">
      <w:pPr>
        <w:pStyle w:val="FootnoteText"/>
        <w:spacing w:before="0"/>
      </w:pPr>
      <w:r>
        <w:rPr>
          <w:rStyle w:val="FootnoteReference"/>
        </w:rPr>
        <w:footnoteRef/>
      </w:r>
      <w:r>
        <w:t xml:space="preserve"> Ovarian cancer research alliance, Germline vs Somatic Testing – </w:t>
      </w:r>
      <w:hyperlink r:id="rId75" w:history="1">
        <w:r>
          <w:rPr>
            <w:rStyle w:val="Hyperlink"/>
          </w:rPr>
          <w:t>ocrahope.org/news/germline-vs-somatic-testing-genomic-vs-genetic-testing</w:t>
        </w:r>
      </w:hyperlink>
      <w:r>
        <w:t xml:space="preserve">. </w:t>
      </w:r>
    </w:p>
  </w:footnote>
  <w:footnote w:id="77">
    <w:p w14:paraId="2023BFB1" w14:textId="09AC59A2" w:rsidR="007D7CC4" w:rsidRPr="00D266AD" w:rsidRDefault="007D7CC4" w:rsidP="00801487">
      <w:pPr>
        <w:pStyle w:val="FootnoteText"/>
        <w:spacing w:before="0"/>
      </w:pPr>
      <w:r>
        <w:rPr>
          <w:rStyle w:val="FootnoteReference"/>
        </w:rPr>
        <w:footnoteRef/>
      </w:r>
      <w:r>
        <w:t xml:space="preserve"> </w:t>
      </w:r>
      <w:r w:rsidR="00C91C6E">
        <w:t xml:space="preserve">TGA, Regulation of IVDs - </w:t>
      </w:r>
      <w:hyperlink r:id="rId76" w:history="1">
        <w:r w:rsidR="00C91C6E" w:rsidRPr="005A0138">
          <w:rPr>
            <w:rStyle w:val="Hyperlink"/>
          </w:rPr>
          <w:t>www.tga.gov.au/regulation-ivds-laboratory-specific-information</w:t>
        </w:r>
      </w:hyperlink>
      <w:r w:rsidR="00D266AD">
        <w:rPr>
          <w:rStyle w:val="Hyperlink"/>
          <w:u w:val="none"/>
        </w:rPr>
        <w:t>.</w:t>
      </w:r>
    </w:p>
  </w:footnote>
  <w:footnote w:id="78">
    <w:p w14:paraId="2C355E1D" w14:textId="28A153AD" w:rsidR="00003BAF" w:rsidRPr="00003BAF" w:rsidRDefault="00003BAF" w:rsidP="00801487">
      <w:pPr>
        <w:pStyle w:val="FootnoteText"/>
        <w:spacing w:before="0"/>
        <w:rPr>
          <w:lang w:val="en-GB"/>
        </w:rPr>
      </w:pPr>
      <w:r>
        <w:rPr>
          <w:rStyle w:val="FootnoteReference"/>
        </w:rPr>
        <w:footnoteRef/>
      </w:r>
      <w:r>
        <w:t xml:space="preserve"> </w:t>
      </w:r>
      <w:r w:rsidR="00C91C6E" w:rsidRPr="00C91C6E">
        <w:t>Jørgensen JT. The current landscape of the FDA approved companion diagnostics. Transl Oncol. 2021 Jun;14(6)</w:t>
      </w:r>
      <w:r w:rsidR="00C91C6E">
        <w:t xml:space="preserve"> - </w:t>
      </w:r>
      <w:hyperlink r:id="rId77" w:history="1">
        <w:r w:rsidR="00C91C6E" w:rsidRPr="005A0138">
          <w:rPr>
            <w:rStyle w:val="Hyperlink"/>
          </w:rPr>
          <w:t>pubmed.ncbi.nlm.nih.gov/33714919/</w:t>
        </w:r>
      </w:hyperlink>
      <w:r w:rsidR="00C91C6E">
        <w:t xml:space="preserve">. </w:t>
      </w:r>
    </w:p>
  </w:footnote>
  <w:footnote w:id="79">
    <w:p w14:paraId="219DB53B" w14:textId="3018AD4B" w:rsidR="00C86E88" w:rsidRPr="00D266AD" w:rsidRDefault="00C86E88" w:rsidP="00801487">
      <w:pPr>
        <w:pStyle w:val="FootnoteText"/>
        <w:spacing w:before="0"/>
      </w:pPr>
      <w:r>
        <w:rPr>
          <w:rStyle w:val="FootnoteReference"/>
        </w:rPr>
        <w:footnoteRef/>
      </w:r>
      <w:r>
        <w:t xml:space="preserve"> </w:t>
      </w:r>
      <w:r w:rsidR="00C91C6E">
        <w:t>MSAC,</w:t>
      </w:r>
      <w:r>
        <w:t xml:space="preserve"> Guidelines (version 1.0, May 2021)</w:t>
      </w:r>
      <w:r w:rsidR="00D266AD">
        <w:t>.</w:t>
      </w:r>
      <w:r w:rsidR="00C91C6E">
        <w:t xml:space="preserve"> </w:t>
      </w:r>
      <w:hyperlink r:id="rId78" w:history="1">
        <w:r w:rsidR="00C91C6E" w:rsidRPr="005A0138">
          <w:rPr>
            <w:rStyle w:val="Hyperlink"/>
          </w:rPr>
          <w:t>www.msac.gov.au/internet/msac/publishing.nsf/Content/E0D4E4EDDE91EAC8CA2586E0007AFC75/$File/MSAC%20Guidelines-complete-16-FINAL(18May21).pdf</w:t>
        </w:r>
      </w:hyperlink>
      <w:r w:rsidR="00D266AD">
        <w:rPr>
          <w:rStyle w:val="Hyperlink"/>
          <w:u w:val="none"/>
        </w:rPr>
        <w:t>.</w:t>
      </w:r>
    </w:p>
  </w:footnote>
  <w:footnote w:id="80">
    <w:p w14:paraId="7E4332FF" w14:textId="77777777" w:rsidR="00B82317" w:rsidRDefault="00B82317" w:rsidP="00B82317">
      <w:pPr>
        <w:pStyle w:val="FootnoteText"/>
        <w:spacing w:before="0"/>
      </w:pPr>
      <w:r>
        <w:rPr>
          <w:rStyle w:val="FootnoteReference"/>
        </w:rPr>
        <w:footnoteRef/>
      </w:r>
      <w:r>
        <w:t xml:space="preserve"> MSAC advice, A prognostic RT-qPCR test for prediction of risk of distant recurrence of breast cancer under endocrine treatment - </w:t>
      </w:r>
      <w:hyperlink r:id="rId79" w:history="1">
        <w:r>
          <w:rPr>
            <w:rStyle w:val="Hyperlink"/>
          </w:rPr>
          <w:t>www.msac.gov.au/internet/msac/publishing.nsf/Content/1408.1-public</w:t>
        </w:r>
      </w:hyperlink>
      <w:r>
        <w:t xml:space="preserve">. </w:t>
      </w:r>
    </w:p>
  </w:footnote>
  <w:footnote w:id="81">
    <w:p w14:paraId="1A4D03D3" w14:textId="3DBCF122" w:rsidR="003B7F09" w:rsidRPr="00D266AD" w:rsidRDefault="003B7F09" w:rsidP="00801487">
      <w:pPr>
        <w:pStyle w:val="FootnoteText"/>
        <w:spacing w:before="0"/>
      </w:pPr>
      <w:r>
        <w:rPr>
          <w:rStyle w:val="FootnoteReference"/>
        </w:rPr>
        <w:footnoteRef/>
      </w:r>
      <w:r>
        <w:t xml:space="preserve"> </w:t>
      </w:r>
      <w:r w:rsidR="005C6751">
        <w:t xml:space="preserve">Australian Genomics, Polygenic Score Incubator Project - </w:t>
      </w:r>
      <w:hyperlink r:id="rId80" w:history="1">
        <w:r w:rsidR="005C6751" w:rsidRPr="005A0138">
          <w:rPr>
            <w:rStyle w:val="Hyperlink"/>
          </w:rPr>
          <w:t>www.australiangenomics.org.au/wp-content/uploads/2022/11/Polygenic-Score-Incubator-Project-Report_30Aug2022.pdf</w:t>
        </w:r>
      </w:hyperlink>
      <w:r w:rsidR="00D266AD">
        <w:rPr>
          <w:rStyle w:val="Hyperlink"/>
          <w:u w:val="none"/>
        </w:rPr>
        <w:t>.</w:t>
      </w:r>
    </w:p>
  </w:footnote>
  <w:footnote w:id="82">
    <w:p w14:paraId="2AB0F600" w14:textId="1C0B46FE" w:rsidR="00E62248" w:rsidRDefault="00E62248" w:rsidP="00801487">
      <w:pPr>
        <w:pStyle w:val="FootnoteText"/>
        <w:spacing w:before="0"/>
      </w:pPr>
      <w:r>
        <w:rPr>
          <w:rStyle w:val="FootnoteReference"/>
        </w:rPr>
        <w:footnoteRef/>
      </w:r>
      <w:r>
        <w:t xml:space="preserve"> </w:t>
      </w:r>
      <w:r w:rsidR="005C6751">
        <w:t xml:space="preserve">Newcastle University (UK) </w:t>
      </w:r>
      <w:r w:rsidR="005C6751" w:rsidRPr="0053071D">
        <w:t>NIHR Innovation Observatory</w:t>
      </w:r>
      <w:r w:rsidR="005C6751">
        <w:t>,</w:t>
      </w:r>
      <w:r w:rsidR="005C6751" w:rsidRPr="0053071D">
        <w:t xml:space="preserve"> Horizon Scan for </w:t>
      </w:r>
      <w:r w:rsidR="005C6751">
        <w:t xml:space="preserve">Polygenic Risk Scores - </w:t>
      </w:r>
      <w:hyperlink r:id="rId81" w:history="1">
        <w:r w:rsidR="00053AB9" w:rsidRPr="005A0138">
          <w:rPr>
            <w:rStyle w:val="Hyperlink"/>
          </w:rPr>
          <w:t>www.io.nihr.ac.uk/wp-content/uploads/2022/01/NIHR-IO-Polygenic-Risk-Scores-Rapid-Scan-March-2021.pdf</w:t>
        </w:r>
      </w:hyperlink>
      <w:r w:rsidR="00053AB9">
        <w:t xml:space="preserve">. </w:t>
      </w:r>
    </w:p>
  </w:footnote>
  <w:footnote w:id="83">
    <w:p w14:paraId="5802159B" w14:textId="77777777" w:rsidR="00A849C9" w:rsidRPr="00D978A4" w:rsidRDefault="00A849C9" w:rsidP="00A849C9">
      <w:pPr>
        <w:pStyle w:val="FootnoteText"/>
        <w:spacing w:before="0"/>
      </w:pPr>
      <w:r>
        <w:rPr>
          <w:rStyle w:val="FootnoteReference"/>
        </w:rPr>
        <w:footnoteRef/>
      </w:r>
      <w:r>
        <w:t xml:space="preserve"> PBAC, Public Summary May 2021, Encorafenib, </w:t>
      </w:r>
      <w:hyperlink r:id="rId82" w:history="1">
        <w:r w:rsidRPr="00FA2D14">
          <w:rPr>
            <w:rStyle w:val="Hyperlink"/>
          </w:rPr>
          <w:t>www.pbs.gov.au/industry/listing/elements/pbac-meetings/psd/2021-05/files/encorafenib-psd-may-2021.pdf</w:t>
        </w:r>
      </w:hyperlink>
      <w:r>
        <w:t xml:space="preserve">. </w:t>
      </w:r>
    </w:p>
  </w:footnote>
  <w:footnote w:id="84">
    <w:p w14:paraId="04742216" w14:textId="77777777" w:rsidR="00141945" w:rsidRPr="00BF1410" w:rsidRDefault="00141945" w:rsidP="00141945">
      <w:pPr>
        <w:pStyle w:val="FootnoteText"/>
        <w:spacing w:before="0"/>
      </w:pPr>
      <w:r>
        <w:rPr>
          <w:rStyle w:val="FootnoteReference"/>
        </w:rPr>
        <w:footnoteRef/>
      </w:r>
      <w:r>
        <w:t xml:space="preserve"> MSAC, Public Summary April 2021, </w:t>
      </w:r>
      <w:r>
        <w:rPr>
          <w:i/>
          <w:iCs/>
        </w:rPr>
        <w:t>BRAF</w:t>
      </w:r>
      <w:r>
        <w:t xml:space="preserve"> V600 testing to help determine eligibility for PBS access to Braftovi (encoafenib), in patients with metastatic colorectal cancer (Stage IV), </w:t>
      </w:r>
      <w:hyperlink r:id="rId83" w:history="1">
        <w:r w:rsidRPr="00FA2D14">
          <w:rPr>
            <w:rStyle w:val="Hyperlink"/>
          </w:rPr>
          <w:t>www.msac.gov.au/internet/msac/publishing.nsf/Content/1617-public</w:t>
        </w:r>
      </w:hyperlink>
      <w:r>
        <w:t xml:space="preserve">. </w:t>
      </w:r>
    </w:p>
  </w:footnote>
  <w:footnote w:id="85">
    <w:p w14:paraId="50A3ACCB" w14:textId="7DB5785E" w:rsidR="00960173" w:rsidRPr="00053AB9" w:rsidRDefault="00960173" w:rsidP="00801487">
      <w:pPr>
        <w:pStyle w:val="FootnoteText"/>
        <w:spacing w:before="0"/>
      </w:pPr>
      <w:r w:rsidRPr="00053AB9">
        <w:rPr>
          <w:rStyle w:val="FootnoteReference"/>
        </w:rPr>
        <w:footnoteRef/>
      </w:r>
      <w:r w:rsidRPr="00053AB9">
        <w:t xml:space="preserve"> </w:t>
      </w:r>
      <w:r w:rsidRPr="00053AB9">
        <w:rPr>
          <w:rFonts w:cstheme="minorHAnsi"/>
          <w:color w:val="000000" w:themeColor="text1"/>
          <w:shd w:val="clear" w:color="auto" w:fill="FFFFFF"/>
        </w:rPr>
        <w:t>Gomes Marin, J. F., Nunes, R. F., Coutinho, A. M., Zaniboni, E. C., Costa, L. B., Barbosa, F. G., … Buchpiguel, C. A. (2020). Theranostics in Nuclear Medicine: Emerging and Re-emerging Integrated Imaging and Therapies in the Era of Precision Oncology. </w:t>
      </w:r>
      <w:r w:rsidRPr="00053AB9">
        <w:rPr>
          <w:rFonts w:cstheme="minorHAnsi"/>
          <w:i/>
          <w:color w:val="000000" w:themeColor="text1"/>
          <w:shd w:val="clear" w:color="auto" w:fill="FFFFFF"/>
        </w:rPr>
        <w:t>Radiographics</w:t>
      </w:r>
      <w:r w:rsidRPr="00053AB9">
        <w:rPr>
          <w:rFonts w:cstheme="minorHAnsi"/>
          <w:color w:val="000000" w:themeColor="text1"/>
          <w:shd w:val="clear" w:color="auto" w:fill="FFFFFF"/>
        </w:rPr>
        <w:t>, </w:t>
      </w:r>
      <w:r w:rsidRPr="00053AB9">
        <w:rPr>
          <w:rFonts w:cstheme="minorHAnsi"/>
          <w:i/>
          <w:color w:val="000000" w:themeColor="text1"/>
          <w:shd w:val="clear" w:color="auto" w:fill="FFFFFF"/>
        </w:rPr>
        <w:t>40</w:t>
      </w:r>
      <w:r w:rsidRPr="00053AB9">
        <w:rPr>
          <w:rFonts w:cstheme="minorHAnsi"/>
          <w:color w:val="000000" w:themeColor="text1"/>
          <w:shd w:val="clear" w:color="auto" w:fill="FFFFFF"/>
        </w:rPr>
        <w:t>(6), 1715–1740</w:t>
      </w:r>
      <w:r w:rsidR="003F24C9">
        <w:rPr>
          <w:rFonts w:cstheme="minorHAnsi"/>
          <w:color w:val="000000" w:themeColor="text1"/>
          <w:shd w:val="clear" w:color="auto" w:fill="FFFFFF"/>
        </w:rPr>
        <w:t>.</w:t>
      </w:r>
    </w:p>
  </w:footnote>
  <w:footnote w:id="86">
    <w:p w14:paraId="53E2C0C3" w14:textId="35D7A9DB" w:rsidR="008A2468" w:rsidRPr="003F24C9" w:rsidRDefault="008A2468" w:rsidP="00801487">
      <w:pPr>
        <w:pStyle w:val="FootnoteText"/>
        <w:spacing w:before="0"/>
      </w:pPr>
      <w:r w:rsidRPr="00053AB9">
        <w:rPr>
          <w:rStyle w:val="FootnoteReference"/>
        </w:rPr>
        <w:footnoteRef/>
      </w:r>
      <w:r w:rsidRPr="00053AB9">
        <w:t xml:space="preserve"> </w:t>
      </w:r>
      <w:r w:rsidRPr="00053AB9">
        <w:rPr>
          <w:rFonts w:cstheme="minorHAnsi"/>
          <w:color w:val="000000" w:themeColor="text1"/>
        </w:rPr>
        <w:t xml:space="preserve">Duan H, Iagaru A, Aparici CM. Radiotheranostics - Precision Medicine in Nuclear Medicine and Molecular Imaging. Nanotheranostics. 2022 Jan 1;6(1):103-117. </w:t>
      </w:r>
      <w:hyperlink r:id="rId84" w:history="1">
        <w:r w:rsidR="003530A1" w:rsidRPr="005A0138">
          <w:rPr>
            <w:rStyle w:val="Hyperlink"/>
            <w:rFonts w:cstheme="minorHAnsi"/>
          </w:rPr>
          <w:t>www.ntno.org/v06p0103.htm</w:t>
        </w:r>
      </w:hyperlink>
      <w:r w:rsidR="003F24C9">
        <w:rPr>
          <w:rStyle w:val="Hyperlink"/>
          <w:rFonts w:cstheme="minorHAnsi"/>
          <w:u w:val="none"/>
        </w:rPr>
        <w:t>.</w:t>
      </w:r>
    </w:p>
  </w:footnote>
  <w:footnote w:id="87">
    <w:p w14:paraId="25E83646" w14:textId="7B594DC4" w:rsidR="00492502" w:rsidRPr="00053AB9" w:rsidRDefault="00492502" w:rsidP="00801487">
      <w:pPr>
        <w:spacing w:before="0" w:line="240" w:lineRule="auto"/>
        <w:rPr>
          <w:sz w:val="20"/>
          <w:szCs w:val="20"/>
        </w:rPr>
      </w:pPr>
      <w:r>
        <w:rPr>
          <w:rStyle w:val="FootnoteReference"/>
          <w:rFonts w:cstheme="minorHAnsi"/>
          <w:color w:val="000000" w:themeColor="text1"/>
          <w:sz w:val="18"/>
          <w:szCs w:val="18"/>
        </w:rPr>
        <w:footnoteRef/>
      </w:r>
      <w:r>
        <w:rPr>
          <w:rFonts w:cstheme="minorHAnsi"/>
          <w:color w:val="000000" w:themeColor="text1"/>
          <w:sz w:val="18"/>
          <w:szCs w:val="18"/>
        </w:rPr>
        <w:t xml:space="preserve"> </w:t>
      </w:r>
      <w:r w:rsidRPr="00053AB9">
        <w:rPr>
          <w:rFonts w:cstheme="minorHAnsi"/>
          <w:color w:val="000000" w:themeColor="text1"/>
          <w:sz w:val="20"/>
          <w:szCs w:val="20"/>
          <w:lang w:val="en-AU"/>
        </w:rPr>
        <w:t xml:space="preserve">Bodei, L., Herrmann, K., Schöder, H. et al. Radiotheranostics in oncology: current challenges and emerging opportunities. Nat Rev Clin Oncol 19, 534–550 (2022). </w:t>
      </w:r>
      <w:hyperlink r:id="rId85" w:history="1">
        <w:r w:rsidR="003530A1" w:rsidRPr="005A0138">
          <w:rPr>
            <w:rStyle w:val="Hyperlink"/>
            <w:rFonts w:cstheme="minorHAnsi"/>
            <w:sz w:val="20"/>
            <w:szCs w:val="20"/>
            <w:lang w:val="en-AU"/>
          </w:rPr>
          <w:t>www.nature.com/articles/s41571-022-00652-y</w:t>
        </w:r>
      </w:hyperlink>
    </w:p>
  </w:footnote>
  <w:footnote w:id="88">
    <w:p w14:paraId="25375F00" w14:textId="518567A5" w:rsidR="0006340B" w:rsidRPr="00053AB9" w:rsidRDefault="0006340B" w:rsidP="00801487">
      <w:pPr>
        <w:pStyle w:val="FootnoteText"/>
        <w:spacing w:before="0"/>
      </w:pPr>
      <w:r w:rsidRPr="00053AB9">
        <w:rPr>
          <w:rStyle w:val="FootnoteReference"/>
        </w:rPr>
        <w:footnoteRef/>
      </w:r>
      <w:r w:rsidRPr="00053AB9">
        <w:t xml:space="preserve"> </w:t>
      </w:r>
      <w:r w:rsidR="00237BDD">
        <w:t xml:space="preserve">TGA Australian prescription medicine decision summary, Lutetium chloride - </w:t>
      </w:r>
      <w:hyperlink r:id="rId86" w:history="1">
        <w:r w:rsidR="00237BDD" w:rsidRPr="005A0138">
          <w:rPr>
            <w:rStyle w:val="Hyperlink"/>
          </w:rPr>
          <w:t>www.tga.gov.au/resources/auspmd/lutetium-177lu-chloride</w:t>
        </w:r>
      </w:hyperlink>
      <w:r w:rsidR="00237BDD">
        <w:t xml:space="preserve">. </w:t>
      </w:r>
    </w:p>
  </w:footnote>
  <w:footnote w:id="89">
    <w:p w14:paraId="7C36FAFB" w14:textId="77777777" w:rsidR="00990D82" w:rsidRPr="00053AB9" w:rsidRDefault="00990D82" w:rsidP="00801487">
      <w:pPr>
        <w:spacing w:before="0" w:line="240" w:lineRule="auto"/>
        <w:rPr>
          <w:sz w:val="20"/>
          <w:szCs w:val="20"/>
        </w:rPr>
      </w:pPr>
      <w:r w:rsidRPr="00053AB9">
        <w:rPr>
          <w:rStyle w:val="FootnoteReference"/>
          <w:sz w:val="20"/>
          <w:szCs w:val="20"/>
        </w:rPr>
        <w:footnoteRef/>
      </w:r>
      <w:r w:rsidRPr="00053AB9">
        <w:rPr>
          <w:sz w:val="20"/>
          <w:szCs w:val="20"/>
        </w:rPr>
        <w:t xml:space="preserve"> </w:t>
      </w:r>
      <w:r>
        <w:rPr>
          <w:sz w:val="20"/>
          <w:szCs w:val="20"/>
        </w:rPr>
        <w:t xml:space="preserve">Newcastle University (UK) </w:t>
      </w:r>
      <w:r w:rsidRPr="0053071D">
        <w:rPr>
          <w:sz w:val="20"/>
          <w:szCs w:val="20"/>
        </w:rPr>
        <w:t>NIHR Innovation Observatory</w:t>
      </w:r>
      <w:r>
        <w:rPr>
          <w:sz w:val="20"/>
          <w:szCs w:val="20"/>
        </w:rPr>
        <w:t xml:space="preserve">, May 2021, </w:t>
      </w:r>
      <w:r w:rsidRPr="0053071D">
        <w:rPr>
          <w:sz w:val="20"/>
          <w:szCs w:val="20"/>
        </w:rPr>
        <w:t xml:space="preserve">Horizon </w:t>
      </w:r>
      <w:r>
        <w:rPr>
          <w:sz w:val="20"/>
          <w:szCs w:val="20"/>
        </w:rPr>
        <w:t xml:space="preserve">scan report for </w:t>
      </w:r>
      <w:r w:rsidRPr="00053AB9">
        <w:rPr>
          <w:sz w:val="20"/>
          <w:szCs w:val="20"/>
        </w:rPr>
        <w:t>Radioligand Technologies</w:t>
      </w:r>
      <w:r>
        <w:rPr>
          <w:sz w:val="20"/>
          <w:szCs w:val="20"/>
        </w:rPr>
        <w:t xml:space="preserve"> </w:t>
      </w:r>
      <w:hyperlink r:id="rId87" w:history="1">
        <w:r w:rsidRPr="005A0138">
          <w:rPr>
            <w:rStyle w:val="Hyperlink"/>
            <w:sz w:val="20"/>
            <w:szCs w:val="20"/>
          </w:rPr>
          <w:t>www.io.nihr.ac.uk/wp-content/uploads/2022/01/NIHR-IO-Radioligand-Rapid-Scan-May-2021.pdf</w:t>
        </w:r>
      </w:hyperlink>
      <w:r>
        <w:rPr>
          <w:sz w:val="20"/>
          <w:szCs w:val="20"/>
        </w:rPr>
        <w:t xml:space="preserve">. </w:t>
      </w:r>
    </w:p>
  </w:footnote>
  <w:footnote w:id="90">
    <w:p w14:paraId="0AA01581" w14:textId="22C2879B" w:rsidR="00471425" w:rsidRDefault="00471425" w:rsidP="00801487">
      <w:pPr>
        <w:pStyle w:val="FootnoteText"/>
        <w:spacing w:before="0"/>
      </w:pPr>
      <w:r>
        <w:rPr>
          <w:rStyle w:val="FootnoteReference"/>
        </w:rPr>
        <w:footnoteRef/>
      </w:r>
      <w:r w:rsidR="002A15BF">
        <w:t xml:space="preserve"> MSAC public summary, April 2014, Radium 223 - </w:t>
      </w:r>
      <w:hyperlink r:id="rId88" w:history="1">
        <w:r w:rsidR="002A15BF" w:rsidRPr="005A0138">
          <w:rPr>
            <w:rStyle w:val="Hyperlink"/>
          </w:rPr>
          <w:t>www.msac.gov.au/internet/msac/publishing.nsf/Content/9FDFA4B8321267F0CA25801000123BA1/$File/1268%20-%20MSACPSD%20-%20Radium%20223%20(D14-1275528).PDF</w:t>
        </w:r>
      </w:hyperlink>
      <w:r w:rsidR="002A15BF">
        <w:t xml:space="preserve">. </w:t>
      </w:r>
    </w:p>
  </w:footnote>
  <w:footnote w:id="91">
    <w:p w14:paraId="0524A82B" w14:textId="77777777" w:rsidR="006F7FF7" w:rsidRDefault="006F7FF7" w:rsidP="006F7FF7">
      <w:pPr>
        <w:pStyle w:val="FootnoteText"/>
        <w:spacing w:before="0"/>
      </w:pPr>
      <w:r>
        <w:rPr>
          <w:rStyle w:val="FootnoteReference"/>
        </w:rPr>
        <w:footnoteRef/>
      </w:r>
      <w:r>
        <w:t xml:space="preserve"> PBAC public summary, November 2017, Radium 223 - </w:t>
      </w:r>
      <w:hyperlink r:id="rId89" w:history="1">
        <w:r w:rsidRPr="005A0138">
          <w:rPr>
            <w:rStyle w:val="Hyperlink"/>
          </w:rPr>
          <w:t>www.pbs.gov.au/pbs/industry/listing/elements/pbac-meetings/psd/2017-11/radium-psd-november-2017</w:t>
        </w:r>
      </w:hyperlink>
      <w:r>
        <w:t xml:space="preserve">. </w:t>
      </w:r>
    </w:p>
  </w:footnote>
  <w:footnote w:id="92">
    <w:p w14:paraId="73989B73" w14:textId="2D9C0C34" w:rsidR="00161D57" w:rsidRPr="00053AB9" w:rsidRDefault="00161D57" w:rsidP="00801487">
      <w:pPr>
        <w:spacing w:before="0" w:line="240" w:lineRule="auto"/>
        <w:rPr>
          <w:sz w:val="20"/>
          <w:szCs w:val="20"/>
        </w:rPr>
      </w:pPr>
      <w:r w:rsidRPr="00053AB9">
        <w:rPr>
          <w:rStyle w:val="FootnoteReference"/>
          <w:sz w:val="20"/>
          <w:szCs w:val="20"/>
        </w:rPr>
        <w:footnoteRef/>
      </w:r>
      <w:r w:rsidRPr="00053AB9">
        <w:rPr>
          <w:sz w:val="20"/>
          <w:szCs w:val="20"/>
        </w:rPr>
        <w:t xml:space="preserve"> </w:t>
      </w:r>
      <w:r w:rsidR="00E347F7" w:rsidRPr="00E347F7">
        <w:rPr>
          <w:sz w:val="20"/>
          <w:szCs w:val="20"/>
        </w:rPr>
        <w:t>Thakor AS, Jokerst JV, Ghanouni P, Campbell JL, Mittra E, Gambhir SS. Clinically Approved Nanoparticle Imaging Agents. J Nucl Med. 2016 Dec;57(12):1833-1837</w:t>
      </w:r>
      <w:r w:rsidR="00E347F7">
        <w:rPr>
          <w:sz w:val="20"/>
          <w:szCs w:val="20"/>
        </w:rPr>
        <w:t xml:space="preserve"> - </w:t>
      </w:r>
      <w:hyperlink r:id="rId90" w:history="1">
        <w:r w:rsidR="00E347F7" w:rsidRPr="005A0138">
          <w:rPr>
            <w:rStyle w:val="Hyperlink"/>
            <w:sz w:val="20"/>
            <w:szCs w:val="20"/>
          </w:rPr>
          <w:t>www.ncbi.nlm.nih.gov/pmc/articles/PMC5126695/</w:t>
        </w:r>
      </w:hyperlink>
      <w:r w:rsidR="003F24C9">
        <w:rPr>
          <w:rStyle w:val="Hyperlink"/>
          <w:sz w:val="20"/>
          <w:szCs w:val="20"/>
          <w:u w:val="none"/>
        </w:rPr>
        <w:t>.</w:t>
      </w:r>
      <w:r w:rsidR="00E347F7">
        <w:rPr>
          <w:sz w:val="20"/>
          <w:szCs w:val="20"/>
        </w:rPr>
        <w:t xml:space="preserve"> </w:t>
      </w:r>
    </w:p>
  </w:footnote>
  <w:footnote w:id="93">
    <w:p w14:paraId="40908BE1" w14:textId="3E8B9AF9" w:rsidR="00161D57" w:rsidRPr="00DE36EE" w:rsidRDefault="00161D57" w:rsidP="00801487">
      <w:pPr>
        <w:pStyle w:val="FootnoteText"/>
        <w:spacing w:before="0"/>
      </w:pPr>
      <w:r w:rsidRPr="00DE36EE">
        <w:rPr>
          <w:rStyle w:val="FootnoteReference"/>
        </w:rPr>
        <w:footnoteRef/>
      </w:r>
      <w:r w:rsidRPr="00DE36EE">
        <w:t xml:space="preserve"> </w:t>
      </w:r>
      <w:r w:rsidR="00E347F7" w:rsidRPr="00DE36EE">
        <w:t>Ferronova, Our Technology</w:t>
      </w:r>
      <w:r w:rsidR="00822696">
        <w:t>,</w:t>
      </w:r>
      <w:r w:rsidR="00E347F7" w:rsidRPr="00DE36EE">
        <w:t xml:space="preserve"> </w:t>
      </w:r>
      <w:hyperlink r:id="rId91" w:history="1">
        <w:r w:rsidR="00E347F7" w:rsidRPr="00DE36EE">
          <w:rPr>
            <w:rStyle w:val="Hyperlink"/>
          </w:rPr>
          <w:t>www.ferronova.com.au/our-technology/</w:t>
        </w:r>
      </w:hyperlink>
      <w:r w:rsidR="003F24C9">
        <w:rPr>
          <w:rStyle w:val="Hyperlink"/>
          <w:u w:val="none"/>
        </w:rPr>
        <w:t>.</w:t>
      </w:r>
      <w:r w:rsidR="00E347F7" w:rsidRPr="00DE36EE">
        <w:t xml:space="preserve"> </w:t>
      </w:r>
    </w:p>
  </w:footnote>
  <w:footnote w:id="94">
    <w:p w14:paraId="2EDEB134" w14:textId="4B4DA22F" w:rsidR="00667C5F" w:rsidRDefault="00667C5F" w:rsidP="00801487">
      <w:pPr>
        <w:pStyle w:val="FootnoteText"/>
        <w:spacing w:before="0"/>
      </w:pPr>
      <w:r>
        <w:rPr>
          <w:rStyle w:val="FootnoteReference"/>
        </w:rPr>
        <w:footnoteRef/>
      </w:r>
      <w:r>
        <w:t xml:space="preserve"> AIHW, Digital Health, </w:t>
      </w:r>
      <w:hyperlink r:id="rId92" w:history="1">
        <w:r w:rsidRPr="002F20EB">
          <w:rPr>
            <w:rStyle w:val="Hyperlink"/>
          </w:rPr>
          <w:t>https://www.aihw.gov.au/reports/australias-health/digital-health</w:t>
        </w:r>
      </w:hyperlink>
      <w:r>
        <w:t xml:space="preserve"> </w:t>
      </w:r>
    </w:p>
  </w:footnote>
  <w:footnote w:id="95">
    <w:p w14:paraId="7E571679" w14:textId="452BD348" w:rsidR="00D93B1D" w:rsidRDefault="00D93B1D" w:rsidP="00801487">
      <w:pPr>
        <w:pStyle w:val="FootnoteText"/>
        <w:spacing w:before="0"/>
      </w:pPr>
      <w:r>
        <w:rPr>
          <w:rStyle w:val="FootnoteReference"/>
        </w:rPr>
        <w:footnoteRef/>
      </w:r>
      <w:r>
        <w:t xml:space="preserve"> </w:t>
      </w:r>
      <w:r w:rsidRPr="00D93B1D">
        <w:t>https://www.nature.com/articles/s41746-020-0221-y</w:t>
      </w:r>
    </w:p>
  </w:footnote>
  <w:footnote w:id="96">
    <w:p w14:paraId="5A2D042F" w14:textId="5E5F2C14" w:rsidR="009A3218" w:rsidRDefault="009A3218" w:rsidP="00801487">
      <w:pPr>
        <w:pStyle w:val="FootnoteText"/>
        <w:spacing w:before="0"/>
      </w:pPr>
      <w:r>
        <w:rPr>
          <w:rStyle w:val="FootnoteReference"/>
        </w:rPr>
        <w:footnoteRef/>
      </w:r>
      <w:r>
        <w:t xml:space="preserve"> </w:t>
      </w:r>
      <w:hyperlink r:id="rId93" w:history="1">
        <w:r w:rsidRPr="009A3218">
          <w:rPr>
            <w:rStyle w:val="Hyperlink"/>
          </w:rPr>
          <w:t>https://www.tga.gov.au/advanced-therapies</w:t>
        </w:r>
      </w:hyperlink>
      <w:r w:rsidR="003F24C9" w:rsidRPr="003F24C9">
        <w:rPr>
          <w:rStyle w:val="Hyperlink"/>
          <w:u w:val="none"/>
        </w:rPr>
        <w:t>.</w:t>
      </w:r>
    </w:p>
  </w:footnote>
  <w:footnote w:id="97">
    <w:p w14:paraId="5DBA3069" w14:textId="042ADFE6" w:rsidR="00204FC9" w:rsidRPr="003F24C9" w:rsidRDefault="00204FC9" w:rsidP="00801487">
      <w:pPr>
        <w:pStyle w:val="FootnoteText"/>
        <w:spacing w:before="0"/>
      </w:pPr>
      <w:r>
        <w:rPr>
          <w:rStyle w:val="FootnoteReference"/>
        </w:rPr>
        <w:footnoteRef/>
      </w:r>
      <w:r>
        <w:t xml:space="preserve"> </w:t>
      </w:r>
      <w:hyperlink r:id="rId94" w:history="1">
        <w:r w:rsidRPr="00DD5317">
          <w:rPr>
            <w:rStyle w:val="Hyperlink"/>
          </w:rPr>
          <w:t>https://www.pbs.gov.au/industry/useful-resources/glossary/Glossary-of-Terms_Final-15Apr-13.pdf</w:t>
        </w:r>
      </w:hyperlink>
      <w:r w:rsidR="003F24C9">
        <w:rPr>
          <w:rStyle w:val="Hyperlink"/>
          <w:u w:val="none"/>
        </w:rPr>
        <w:t>.</w:t>
      </w:r>
    </w:p>
    <w:p w14:paraId="7419123D" w14:textId="77777777" w:rsidR="00204FC9" w:rsidRDefault="00204FC9" w:rsidP="00801487">
      <w:pPr>
        <w:pStyle w:val="FootnoteText"/>
        <w:spacing w:before="0"/>
      </w:pPr>
    </w:p>
  </w:footnote>
  <w:footnote w:id="98">
    <w:p w14:paraId="12642D76" w14:textId="7BDC2BDB" w:rsidR="000D73AB" w:rsidRPr="003F24C9" w:rsidRDefault="000D73AB" w:rsidP="00801487">
      <w:pPr>
        <w:pStyle w:val="FootnoteText"/>
        <w:spacing w:before="0"/>
      </w:pPr>
      <w:r>
        <w:rPr>
          <w:rStyle w:val="FootnoteReference"/>
        </w:rPr>
        <w:footnoteRef/>
      </w:r>
      <w:r>
        <w:t xml:space="preserve"> </w:t>
      </w:r>
      <w:hyperlink r:id="rId95" w:history="1">
        <w:r w:rsidR="004D3146">
          <w:rPr>
            <w:rStyle w:val="Hyperlink"/>
          </w:rPr>
          <w:t>Conversations for Change (joyn-us.app)</w:t>
        </w:r>
      </w:hyperlink>
      <w:r w:rsidR="003F24C9">
        <w:rPr>
          <w:rStyle w:val="Hyperlink"/>
          <w:u w:val="none"/>
        </w:rPr>
        <w:t>.</w:t>
      </w:r>
    </w:p>
  </w:footnote>
  <w:footnote w:id="99">
    <w:p w14:paraId="0BDB2684" w14:textId="488B5E54" w:rsidR="0010707A" w:rsidRPr="003F24C9" w:rsidRDefault="0010707A" w:rsidP="00801487">
      <w:pPr>
        <w:pStyle w:val="FootnoteText"/>
        <w:spacing w:before="0"/>
      </w:pPr>
      <w:r>
        <w:rPr>
          <w:rStyle w:val="FootnoteReference"/>
        </w:rPr>
        <w:footnoteRef/>
      </w:r>
      <w:r>
        <w:t xml:space="preserve"> </w:t>
      </w:r>
      <w:hyperlink r:id="rId96" w:history="1">
        <w:r>
          <w:rPr>
            <w:rStyle w:val="Hyperlink"/>
          </w:rPr>
          <w:t>Fast Track | FDA</w:t>
        </w:r>
      </w:hyperlink>
      <w:r w:rsidR="003F24C9">
        <w:rPr>
          <w:rStyle w:val="Hyperlink"/>
          <w:u w:val="none"/>
        </w:rPr>
        <w:t>.</w:t>
      </w:r>
    </w:p>
  </w:footnote>
  <w:footnote w:id="100">
    <w:p w14:paraId="1F761C9A" w14:textId="25AE9A67" w:rsidR="001023C0" w:rsidRPr="003F24C9" w:rsidRDefault="001023C0" w:rsidP="00801487">
      <w:pPr>
        <w:pStyle w:val="FootnoteText"/>
        <w:spacing w:before="0"/>
      </w:pPr>
      <w:r>
        <w:rPr>
          <w:rStyle w:val="FootnoteReference"/>
        </w:rPr>
        <w:footnoteRef/>
      </w:r>
      <w:r>
        <w:t xml:space="preserve"> </w:t>
      </w:r>
      <w:hyperlink r:id="rId97" w:history="1">
        <w:r>
          <w:rPr>
            <w:rStyle w:val="Hyperlink"/>
          </w:rPr>
          <w:t>Genetics and genomics | Australian Government Department of Health and Aged Care</w:t>
        </w:r>
      </w:hyperlink>
      <w:r w:rsidR="003F24C9">
        <w:rPr>
          <w:rStyle w:val="Hyperlink"/>
          <w:u w:val="none"/>
        </w:rPr>
        <w:t>.</w:t>
      </w:r>
    </w:p>
  </w:footnote>
  <w:footnote w:id="101">
    <w:p w14:paraId="49E6D7DE" w14:textId="36662BBF" w:rsidR="002B2CFA" w:rsidRPr="003F24C9" w:rsidRDefault="002B2CFA" w:rsidP="00801487">
      <w:pPr>
        <w:pStyle w:val="FootnoteText"/>
        <w:spacing w:before="0"/>
      </w:pPr>
      <w:r>
        <w:rPr>
          <w:rStyle w:val="FootnoteReference"/>
        </w:rPr>
        <w:footnoteRef/>
      </w:r>
      <w:hyperlink r:id="rId98" w:history="1">
        <w:r w:rsidRPr="001256EE">
          <w:rPr>
            <w:rStyle w:val="Hyperlink"/>
          </w:rPr>
          <w:t>http://www.msac.gov.au/internet/msac/publishing.nsf/Content/E0D4E4EDDE91EAC8CA2586E0007AFC75/$File/MSAC%20Guidelines-complete-16-FINAL(18May21).pdf</w:t>
        </w:r>
      </w:hyperlink>
      <w:r w:rsidR="003F24C9">
        <w:rPr>
          <w:rStyle w:val="Hyperlink"/>
          <w:u w:val="none"/>
        </w:rPr>
        <w:t>.</w:t>
      </w:r>
    </w:p>
  </w:footnote>
  <w:footnote w:id="102">
    <w:p w14:paraId="22273EAC" w14:textId="08A91F6C" w:rsidR="00266FED" w:rsidRPr="003F24C9" w:rsidRDefault="00266FED" w:rsidP="00801487">
      <w:pPr>
        <w:pStyle w:val="FootnoteText"/>
        <w:spacing w:before="0"/>
      </w:pPr>
      <w:r>
        <w:rPr>
          <w:rStyle w:val="FootnoteReference"/>
        </w:rPr>
        <w:footnoteRef/>
      </w:r>
      <w:r>
        <w:t xml:space="preserve"> </w:t>
      </w:r>
      <w:hyperlink r:id="rId99" w:history="1">
        <w:r w:rsidRPr="00DD5317">
          <w:rPr>
            <w:rStyle w:val="Hyperlink"/>
          </w:rPr>
          <w:t>https://federalfinancialrelations.gov.au/sites/federalfinancialrelations.gov.au/files/2021-07/NHRA_2020-25_Addendum_consolidated.pdf</w:t>
        </w:r>
      </w:hyperlink>
      <w:r w:rsidR="003F24C9">
        <w:rPr>
          <w:rStyle w:val="Hyperlink"/>
          <w:u w:val="none"/>
        </w:rPr>
        <w:t>.</w:t>
      </w:r>
    </w:p>
    <w:p w14:paraId="4DB28ABC" w14:textId="77777777" w:rsidR="00266FED" w:rsidRDefault="00266FED" w:rsidP="00801487">
      <w:pPr>
        <w:pStyle w:val="FootnoteText"/>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749" w14:textId="2A4BC466" w:rsidR="36F34620" w:rsidRDefault="36F34620" w:rsidP="36F346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95C26CC"/>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C7602682"/>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CFBC16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multilevel"/>
    <w:tmpl w:val="D268959C"/>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FFFFFF89"/>
    <w:multiLevelType w:val="singleLevel"/>
    <w:tmpl w:val="36BC36B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63481D"/>
    <w:multiLevelType w:val="hybridMultilevel"/>
    <w:tmpl w:val="62B4F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2996457"/>
    <w:multiLevelType w:val="hybridMultilevel"/>
    <w:tmpl w:val="4A726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DE4288"/>
    <w:multiLevelType w:val="hybridMultilevel"/>
    <w:tmpl w:val="4D901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3646E1"/>
    <w:multiLevelType w:val="hybridMultilevel"/>
    <w:tmpl w:val="B00E8EE0"/>
    <w:lvl w:ilvl="0" w:tplc="B858B36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A917A5"/>
    <w:multiLevelType w:val="hybridMultilevel"/>
    <w:tmpl w:val="83ACC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B3653B1"/>
    <w:multiLevelType w:val="hybridMultilevel"/>
    <w:tmpl w:val="CD3ACEC8"/>
    <w:lvl w:ilvl="0" w:tplc="7804CB5A">
      <w:start w:val="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4268B6"/>
    <w:multiLevelType w:val="multilevel"/>
    <w:tmpl w:val="A91880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FA0793"/>
    <w:multiLevelType w:val="hybridMultilevel"/>
    <w:tmpl w:val="1658881A"/>
    <w:lvl w:ilvl="0" w:tplc="5C46784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093B53"/>
    <w:multiLevelType w:val="hybridMultilevel"/>
    <w:tmpl w:val="28CEB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AD4F34"/>
    <w:multiLevelType w:val="hybridMultilevel"/>
    <w:tmpl w:val="67A4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854876"/>
    <w:multiLevelType w:val="hybridMultilevel"/>
    <w:tmpl w:val="FB1E31CE"/>
    <w:lvl w:ilvl="0" w:tplc="1B340E32">
      <w:start w:val="1"/>
      <w:numFmt w:val="lowerRoman"/>
      <w:lvlText w:val="%1)"/>
      <w:lvlJc w:val="left"/>
      <w:pPr>
        <w:ind w:left="1286" w:hanging="72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6" w15:restartNumberingAfterBreak="0">
    <w:nsid w:val="0EDA7A01"/>
    <w:multiLevelType w:val="hybridMultilevel"/>
    <w:tmpl w:val="AD2A9A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3E1E68"/>
    <w:multiLevelType w:val="hybridMultilevel"/>
    <w:tmpl w:val="A124847E"/>
    <w:lvl w:ilvl="0" w:tplc="6128C4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047B36"/>
    <w:multiLevelType w:val="hybridMultilevel"/>
    <w:tmpl w:val="34062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8E094B"/>
    <w:multiLevelType w:val="hybridMultilevel"/>
    <w:tmpl w:val="441EAF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813E62"/>
    <w:multiLevelType w:val="hybridMultilevel"/>
    <w:tmpl w:val="F8821EC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27FA63FB"/>
    <w:multiLevelType w:val="hybridMultilevel"/>
    <w:tmpl w:val="70A4CA98"/>
    <w:lvl w:ilvl="0" w:tplc="531A85B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9D4B46"/>
    <w:multiLevelType w:val="hybridMultilevel"/>
    <w:tmpl w:val="4C7C89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E2139D"/>
    <w:multiLevelType w:val="hybridMultilevel"/>
    <w:tmpl w:val="33B4F922"/>
    <w:lvl w:ilvl="0" w:tplc="0C090001">
      <w:start w:val="1"/>
      <w:numFmt w:val="bullet"/>
      <w:lvlText w:val=""/>
      <w:lvlJc w:val="left"/>
      <w:pPr>
        <w:ind w:left="720" w:hanging="360"/>
      </w:pPr>
      <w:rPr>
        <w:rFonts w:ascii="Symbol" w:hAnsi="Symbol" w:hint="default"/>
      </w:rPr>
    </w:lvl>
    <w:lvl w:ilvl="1" w:tplc="2B086196">
      <w:start w:val="1"/>
      <w:numFmt w:val="bullet"/>
      <w:lvlText w:val="o"/>
      <w:lvlJc w:val="left"/>
      <w:pPr>
        <w:ind w:left="1440" w:hanging="360"/>
      </w:pPr>
      <w:rPr>
        <w:rFonts w:ascii="Courier New" w:hAnsi="Courier New" w:cs="Courier New"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3D2E24"/>
    <w:multiLevelType w:val="hybridMultilevel"/>
    <w:tmpl w:val="D18C6CDA"/>
    <w:lvl w:ilvl="0" w:tplc="952C46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B20948"/>
    <w:multiLevelType w:val="multilevel"/>
    <w:tmpl w:val="AF780736"/>
    <w:lvl w:ilvl="0">
      <w:start w:val="1"/>
      <w:numFmt w:val="decimal"/>
      <w:pStyle w:val="Heading1"/>
      <w:lvlText w:val="%1"/>
      <w:lvlJc w:val="left"/>
      <w:pPr>
        <w:ind w:left="2416" w:hanging="432"/>
      </w:pPr>
      <w:rPr>
        <w:rFonts w:hint="default"/>
      </w:rPr>
    </w:lvl>
    <w:lvl w:ilvl="1">
      <w:start w:val="1"/>
      <w:numFmt w:val="decimal"/>
      <w:pStyle w:val="Heading2"/>
      <w:lvlText w:val="%1.%2"/>
      <w:lvlJc w:val="left"/>
      <w:pPr>
        <w:ind w:left="576" w:hanging="576"/>
      </w:pPr>
      <w:rPr>
        <w:rFonts w:hint="default"/>
        <w:b w:val="0"/>
        <w:bCs w:val="0"/>
        <w:vertAlign w:val="baseline"/>
      </w:rPr>
    </w:lvl>
    <w:lvl w:ilvl="2">
      <w:start w:val="1"/>
      <w:numFmt w:val="decimal"/>
      <w:pStyle w:val="Heading3"/>
      <w:lvlText w:val="%1.%2.%3"/>
      <w:lvlJc w:val="left"/>
      <w:pPr>
        <w:ind w:left="2704" w:hanging="720"/>
      </w:pPr>
      <w:rPr>
        <w:rFonts w:hint="default"/>
        <w:vertAlign w:val="base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2CCD63A6"/>
    <w:multiLevelType w:val="hybridMultilevel"/>
    <w:tmpl w:val="97A2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D944AC"/>
    <w:multiLevelType w:val="hybridMultilevel"/>
    <w:tmpl w:val="B6B249D0"/>
    <w:lvl w:ilvl="0" w:tplc="80BAC652">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9" w15:restartNumberingAfterBreak="0">
    <w:nsid w:val="30EF07EF"/>
    <w:multiLevelType w:val="hybridMultilevel"/>
    <w:tmpl w:val="11985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153577"/>
    <w:multiLevelType w:val="hybridMultilevel"/>
    <w:tmpl w:val="2E2CBEBE"/>
    <w:lvl w:ilvl="0" w:tplc="9BB86C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BCD711C"/>
    <w:multiLevelType w:val="hybridMultilevel"/>
    <w:tmpl w:val="3992F16E"/>
    <w:lvl w:ilvl="0" w:tplc="B11285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F55682"/>
    <w:multiLevelType w:val="hybridMultilevel"/>
    <w:tmpl w:val="0720C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CD41C1"/>
    <w:multiLevelType w:val="hybridMultilevel"/>
    <w:tmpl w:val="B48E1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597E1D"/>
    <w:multiLevelType w:val="multilevel"/>
    <w:tmpl w:val="C58AD2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4FC44E10"/>
    <w:multiLevelType w:val="multilevel"/>
    <w:tmpl w:val="F46A4D7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2E130E"/>
    <w:multiLevelType w:val="hybridMultilevel"/>
    <w:tmpl w:val="8E6077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F01D4B"/>
    <w:multiLevelType w:val="hybridMultilevel"/>
    <w:tmpl w:val="F244C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E439D8"/>
    <w:multiLevelType w:val="hybridMultilevel"/>
    <w:tmpl w:val="B37294EA"/>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0" w15:restartNumberingAfterBreak="0">
    <w:nsid w:val="56F66CFF"/>
    <w:multiLevelType w:val="hybridMultilevel"/>
    <w:tmpl w:val="8C2E609E"/>
    <w:lvl w:ilvl="0" w:tplc="4970BA6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7692C9D"/>
    <w:multiLevelType w:val="hybridMultilevel"/>
    <w:tmpl w:val="9202FE82"/>
    <w:lvl w:ilvl="0" w:tplc="5394C35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9E278E7"/>
    <w:multiLevelType w:val="hybridMultilevel"/>
    <w:tmpl w:val="1CF67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B172CF"/>
    <w:multiLevelType w:val="hybridMultilevel"/>
    <w:tmpl w:val="DE96B364"/>
    <w:lvl w:ilvl="0" w:tplc="174E5164">
      <w:start w:val="1"/>
      <w:numFmt w:val="lowerRoman"/>
      <w:lvlText w:val="%1)"/>
      <w:lvlJc w:val="left"/>
      <w:pPr>
        <w:ind w:left="1286" w:hanging="72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4" w15:restartNumberingAfterBreak="0">
    <w:nsid w:val="61D149E7"/>
    <w:multiLevelType w:val="hybridMultilevel"/>
    <w:tmpl w:val="8E4EA9AA"/>
    <w:lvl w:ilvl="0" w:tplc="50A4082E">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D05896"/>
    <w:multiLevelType w:val="hybridMultilevel"/>
    <w:tmpl w:val="41CC7F04"/>
    <w:lvl w:ilvl="0" w:tplc="D512A214">
      <w:start w:val="4"/>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F847173"/>
    <w:multiLevelType w:val="hybridMultilevel"/>
    <w:tmpl w:val="0E74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98735E"/>
    <w:multiLevelType w:val="hybridMultilevel"/>
    <w:tmpl w:val="7EFC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7B77A01"/>
    <w:multiLevelType w:val="hybridMultilevel"/>
    <w:tmpl w:val="C7C2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08276E"/>
    <w:multiLevelType w:val="hybridMultilevel"/>
    <w:tmpl w:val="AE42CD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8D420BA"/>
    <w:multiLevelType w:val="hybridMultilevel"/>
    <w:tmpl w:val="A124847E"/>
    <w:lvl w:ilvl="0" w:tplc="6128C4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D65DF5"/>
    <w:multiLevelType w:val="hybridMultilevel"/>
    <w:tmpl w:val="95AEC5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B9B45EE"/>
    <w:multiLevelType w:val="hybridMultilevel"/>
    <w:tmpl w:val="FDA2E93A"/>
    <w:lvl w:ilvl="0" w:tplc="F5D46C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897323">
    <w:abstractNumId w:val="44"/>
  </w:num>
  <w:num w:numId="2" w16cid:durableId="962232313">
    <w:abstractNumId w:val="29"/>
  </w:num>
  <w:num w:numId="3" w16cid:durableId="433670351">
    <w:abstractNumId w:val="17"/>
  </w:num>
  <w:num w:numId="4" w16cid:durableId="659116161">
    <w:abstractNumId w:val="45"/>
  </w:num>
  <w:num w:numId="5" w16cid:durableId="206382886">
    <w:abstractNumId w:val="30"/>
  </w:num>
  <w:num w:numId="6" w16cid:durableId="1919166018">
    <w:abstractNumId w:val="50"/>
  </w:num>
  <w:num w:numId="7" w16cid:durableId="270089844">
    <w:abstractNumId w:val="21"/>
  </w:num>
  <w:num w:numId="8" w16cid:durableId="1773282540">
    <w:abstractNumId w:val="37"/>
  </w:num>
  <w:num w:numId="9" w16cid:durableId="1575970761">
    <w:abstractNumId w:val="6"/>
  </w:num>
  <w:num w:numId="10" w16cid:durableId="29232069">
    <w:abstractNumId w:val="27"/>
  </w:num>
  <w:num w:numId="11" w16cid:durableId="1895043736">
    <w:abstractNumId w:val="48"/>
  </w:num>
  <w:num w:numId="12" w16cid:durableId="10960852">
    <w:abstractNumId w:val="7"/>
  </w:num>
  <w:num w:numId="13" w16cid:durableId="2079863062">
    <w:abstractNumId w:val="14"/>
  </w:num>
  <w:num w:numId="14" w16cid:durableId="998770940">
    <w:abstractNumId w:val="47"/>
  </w:num>
  <w:num w:numId="15" w16cid:durableId="35081648">
    <w:abstractNumId w:val="26"/>
  </w:num>
  <w:num w:numId="16" w16cid:durableId="1730612332">
    <w:abstractNumId w:val="42"/>
  </w:num>
  <w:num w:numId="17" w16cid:durableId="1462726719">
    <w:abstractNumId w:val="39"/>
  </w:num>
  <w:num w:numId="18" w16cid:durableId="1459881645">
    <w:abstractNumId w:val="11"/>
  </w:num>
  <w:num w:numId="19" w16cid:durableId="172452193">
    <w:abstractNumId w:val="18"/>
  </w:num>
  <w:num w:numId="20" w16cid:durableId="1914006760">
    <w:abstractNumId w:val="32"/>
  </w:num>
  <w:num w:numId="21" w16cid:durableId="1580821928">
    <w:abstractNumId w:val="51"/>
  </w:num>
  <w:num w:numId="22" w16cid:durableId="1906069736">
    <w:abstractNumId w:val="25"/>
  </w:num>
  <w:num w:numId="23" w16cid:durableId="787626796">
    <w:abstractNumId w:val="40"/>
  </w:num>
  <w:num w:numId="24" w16cid:durableId="1062407569">
    <w:abstractNumId w:val="23"/>
  </w:num>
  <w:num w:numId="25" w16cid:durableId="318731116">
    <w:abstractNumId w:val="41"/>
  </w:num>
  <w:num w:numId="26" w16cid:durableId="465587542">
    <w:abstractNumId w:val="36"/>
  </w:num>
  <w:num w:numId="27" w16cid:durableId="203640703">
    <w:abstractNumId w:val="10"/>
  </w:num>
  <w:num w:numId="28" w16cid:durableId="96483842">
    <w:abstractNumId w:val="46"/>
  </w:num>
  <w:num w:numId="29" w16cid:durableId="916013696">
    <w:abstractNumId w:val="38"/>
  </w:num>
  <w:num w:numId="30" w16cid:durableId="89393284">
    <w:abstractNumId w:val="33"/>
  </w:num>
  <w:num w:numId="31" w16cid:durableId="1579632098">
    <w:abstractNumId w:val="35"/>
  </w:num>
  <w:num w:numId="32" w16cid:durableId="1403135041">
    <w:abstractNumId w:val="47"/>
  </w:num>
  <w:num w:numId="33" w16cid:durableId="1988362265">
    <w:abstractNumId w:val="9"/>
  </w:num>
  <w:num w:numId="34" w16cid:durableId="122622649">
    <w:abstractNumId w:val="18"/>
  </w:num>
  <w:num w:numId="35" w16cid:durableId="1061518790">
    <w:abstractNumId w:val="32"/>
  </w:num>
  <w:num w:numId="36" w16cid:durableId="1337268371">
    <w:abstractNumId w:val="25"/>
  </w:num>
  <w:num w:numId="37" w16cid:durableId="470444619">
    <w:abstractNumId w:val="49"/>
  </w:num>
  <w:num w:numId="38" w16cid:durableId="1597518085">
    <w:abstractNumId w:val="5"/>
  </w:num>
  <w:num w:numId="39" w16cid:durableId="1690065636">
    <w:abstractNumId w:val="24"/>
  </w:num>
  <w:num w:numId="40" w16cid:durableId="112751168">
    <w:abstractNumId w:val="13"/>
  </w:num>
  <w:num w:numId="41" w16cid:durableId="1498961894">
    <w:abstractNumId w:val="8"/>
  </w:num>
  <w:num w:numId="42" w16cid:durableId="15234079">
    <w:abstractNumId w:val="22"/>
  </w:num>
  <w:num w:numId="43" w16cid:durableId="32924080">
    <w:abstractNumId w:val="31"/>
  </w:num>
  <w:num w:numId="44" w16cid:durableId="1413313547">
    <w:abstractNumId w:val="12"/>
  </w:num>
  <w:num w:numId="45" w16cid:durableId="1217862523">
    <w:abstractNumId w:val="52"/>
  </w:num>
  <w:num w:numId="46" w16cid:durableId="15935912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24538230">
    <w:abstractNumId w:val="2"/>
  </w:num>
  <w:num w:numId="48" w16cid:durableId="533151781">
    <w:abstractNumId w:val="4"/>
  </w:num>
  <w:num w:numId="49" w16cid:durableId="651446570">
    <w:abstractNumId w:val="3"/>
  </w:num>
  <w:num w:numId="50" w16cid:durableId="9528425">
    <w:abstractNumId w:val="1"/>
  </w:num>
  <w:num w:numId="51" w16cid:durableId="1916894661">
    <w:abstractNumId w:val="0"/>
  </w:num>
  <w:num w:numId="52" w16cid:durableId="865679291">
    <w:abstractNumId w:val="28"/>
  </w:num>
  <w:num w:numId="53" w16cid:durableId="727532341">
    <w:abstractNumId w:val="43"/>
  </w:num>
  <w:num w:numId="54" w16cid:durableId="1577978249">
    <w:abstractNumId w:val="15"/>
  </w:num>
  <w:num w:numId="55" w16cid:durableId="1154564240">
    <w:abstractNumId w:val="3"/>
    <w:lvlOverride w:ilvl="0">
      <w:startOverride w:val="1"/>
    </w:lvlOverride>
  </w:num>
  <w:num w:numId="56" w16cid:durableId="1644310844">
    <w:abstractNumId w:val="16"/>
  </w:num>
  <w:num w:numId="57" w16cid:durableId="751780081">
    <w:abstractNumId w:val="20"/>
  </w:num>
  <w:num w:numId="58" w16cid:durableId="1433239405">
    <w:abstractNumId w:val="3"/>
    <w:lvlOverride w:ilvl="0">
      <w:startOverride w:val="1"/>
    </w:lvlOverride>
  </w:num>
  <w:num w:numId="59" w16cid:durableId="1386030502">
    <w:abstractNumId w:val="19"/>
  </w:num>
  <w:num w:numId="60" w16cid:durableId="2127119317">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ABFB65"/>
    <w:rsid w:val="0000045A"/>
    <w:rsid w:val="000005C8"/>
    <w:rsid w:val="00000656"/>
    <w:rsid w:val="00000691"/>
    <w:rsid w:val="00000C3C"/>
    <w:rsid w:val="00000CD8"/>
    <w:rsid w:val="00000EB6"/>
    <w:rsid w:val="00000EED"/>
    <w:rsid w:val="000016C9"/>
    <w:rsid w:val="0000236B"/>
    <w:rsid w:val="0000236F"/>
    <w:rsid w:val="00002638"/>
    <w:rsid w:val="00002843"/>
    <w:rsid w:val="00002887"/>
    <w:rsid w:val="00002A23"/>
    <w:rsid w:val="00002B08"/>
    <w:rsid w:val="00002DE1"/>
    <w:rsid w:val="00002FFA"/>
    <w:rsid w:val="000030B2"/>
    <w:rsid w:val="00003744"/>
    <w:rsid w:val="00003B07"/>
    <w:rsid w:val="00003BAF"/>
    <w:rsid w:val="00003EE8"/>
    <w:rsid w:val="000043D0"/>
    <w:rsid w:val="00004545"/>
    <w:rsid w:val="00004873"/>
    <w:rsid w:val="000048F5"/>
    <w:rsid w:val="00004DF0"/>
    <w:rsid w:val="00004DF9"/>
    <w:rsid w:val="00004EC9"/>
    <w:rsid w:val="0000530D"/>
    <w:rsid w:val="000055EB"/>
    <w:rsid w:val="00005A4C"/>
    <w:rsid w:val="00005FCB"/>
    <w:rsid w:val="00006144"/>
    <w:rsid w:val="00006291"/>
    <w:rsid w:val="000063A0"/>
    <w:rsid w:val="0000660A"/>
    <w:rsid w:val="00006654"/>
    <w:rsid w:val="00006B3B"/>
    <w:rsid w:val="00006FB5"/>
    <w:rsid w:val="0000709F"/>
    <w:rsid w:val="00007271"/>
    <w:rsid w:val="00007287"/>
    <w:rsid w:val="0000738A"/>
    <w:rsid w:val="00007888"/>
    <w:rsid w:val="00007949"/>
    <w:rsid w:val="00007A79"/>
    <w:rsid w:val="00007AD5"/>
    <w:rsid w:val="0001002E"/>
    <w:rsid w:val="00010070"/>
    <w:rsid w:val="00010395"/>
    <w:rsid w:val="0001092D"/>
    <w:rsid w:val="00010F30"/>
    <w:rsid w:val="00011099"/>
    <w:rsid w:val="000117A5"/>
    <w:rsid w:val="00011CF6"/>
    <w:rsid w:val="00011E9E"/>
    <w:rsid w:val="00012130"/>
    <w:rsid w:val="00012379"/>
    <w:rsid w:val="000123BC"/>
    <w:rsid w:val="000127CD"/>
    <w:rsid w:val="00012BC1"/>
    <w:rsid w:val="00012F76"/>
    <w:rsid w:val="00013156"/>
    <w:rsid w:val="00013204"/>
    <w:rsid w:val="00013248"/>
    <w:rsid w:val="0001330D"/>
    <w:rsid w:val="000135EB"/>
    <w:rsid w:val="00013940"/>
    <w:rsid w:val="00013BC4"/>
    <w:rsid w:val="00013F22"/>
    <w:rsid w:val="00014219"/>
    <w:rsid w:val="000146FD"/>
    <w:rsid w:val="00014719"/>
    <w:rsid w:val="0001494B"/>
    <w:rsid w:val="000149B9"/>
    <w:rsid w:val="00014B0D"/>
    <w:rsid w:val="00014C7B"/>
    <w:rsid w:val="00014EF3"/>
    <w:rsid w:val="00014F6E"/>
    <w:rsid w:val="00015017"/>
    <w:rsid w:val="000150C3"/>
    <w:rsid w:val="000151AE"/>
    <w:rsid w:val="000157F5"/>
    <w:rsid w:val="000158A5"/>
    <w:rsid w:val="00015AE9"/>
    <w:rsid w:val="00015BDD"/>
    <w:rsid w:val="00015C27"/>
    <w:rsid w:val="00015DA0"/>
    <w:rsid w:val="00016CAD"/>
    <w:rsid w:val="00016D29"/>
    <w:rsid w:val="00016DDC"/>
    <w:rsid w:val="000171BC"/>
    <w:rsid w:val="000179B5"/>
    <w:rsid w:val="00017C5F"/>
    <w:rsid w:val="00017C69"/>
    <w:rsid w:val="00017FBE"/>
    <w:rsid w:val="00020742"/>
    <w:rsid w:val="000207EA"/>
    <w:rsid w:val="00020A3B"/>
    <w:rsid w:val="00021202"/>
    <w:rsid w:val="000214A8"/>
    <w:rsid w:val="00021541"/>
    <w:rsid w:val="00021578"/>
    <w:rsid w:val="00021C28"/>
    <w:rsid w:val="00021D72"/>
    <w:rsid w:val="00022049"/>
    <w:rsid w:val="00022B10"/>
    <w:rsid w:val="0002338E"/>
    <w:rsid w:val="000235EE"/>
    <w:rsid w:val="00023632"/>
    <w:rsid w:val="000238F4"/>
    <w:rsid w:val="00023A11"/>
    <w:rsid w:val="00023B07"/>
    <w:rsid w:val="000241A8"/>
    <w:rsid w:val="00024214"/>
    <w:rsid w:val="00024412"/>
    <w:rsid w:val="0002462F"/>
    <w:rsid w:val="0002468B"/>
    <w:rsid w:val="000248AB"/>
    <w:rsid w:val="00024962"/>
    <w:rsid w:val="000249E5"/>
    <w:rsid w:val="00024A6A"/>
    <w:rsid w:val="00024BE6"/>
    <w:rsid w:val="00024E56"/>
    <w:rsid w:val="000257B6"/>
    <w:rsid w:val="000259A1"/>
    <w:rsid w:val="000259C6"/>
    <w:rsid w:val="000262A4"/>
    <w:rsid w:val="000263FC"/>
    <w:rsid w:val="00026B71"/>
    <w:rsid w:val="00026BC1"/>
    <w:rsid w:val="00026EDB"/>
    <w:rsid w:val="00026FD8"/>
    <w:rsid w:val="00027152"/>
    <w:rsid w:val="0002730D"/>
    <w:rsid w:val="000276A8"/>
    <w:rsid w:val="00027833"/>
    <w:rsid w:val="00027A09"/>
    <w:rsid w:val="00027AAE"/>
    <w:rsid w:val="00027D81"/>
    <w:rsid w:val="00027DF6"/>
    <w:rsid w:val="0003020B"/>
    <w:rsid w:val="00030340"/>
    <w:rsid w:val="000303B0"/>
    <w:rsid w:val="00030431"/>
    <w:rsid w:val="000307DD"/>
    <w:rsid w:val="00030BB4"/>
    <w:rsid w:val="00030BD8"/>
    <w:rsid w:val="00030EBC"/>
    <w:rsid w:val="00030F55"/>
    <w:rsid w:val="000310CD"/>
    <w:rsid w:val="000312FC"/>
    <w:rsid w:val="000313B6"/>
    <w:rsid w:val="00031481"/>
    <w:rsid w:val="00031559"/>
    <w:rsid w:val="00031752"/>
    <w:rsid w:val="00031B3E"/>
    <w:rsid w:val="00031DB1"/>
    <w:rsid w:val="00031E0D"/>
    <w:rsid w:val="00031F36"/>
    <w:rsid w:val="00031FE6"/>
    <w:rsid w:val="000320D2"/>
    <w:rsid w:val="000321B6"/>
    <w:rsid w:val="000324E2"/>
    <w:rsid w:val="00032535"/>
    <w:rsid w:val="000327F5"/>
    <w:rsid w:val="00032855"/>
    <w:rsid w:val="00032883"/>
    <w:rsid w:val="000328A9"/>
    <w:rsid w:val="000329F7"/>
    <w:rsid w:val="00032C89"/>
    <w:rsid w:val="00033002"/>
    <w:rsid w:val="0003318C"/>
    <w:rsid w:val="0003327F"/>
    <w:rsid w:val="000340F2"/>
    <w:rsid w:val="000344DE"/>
    <w:rsid w:val="00034B3E"/>
    <w:rsid w:val="00034BD9"/>
    <w:rsid w:val="00034D41"/>
    <w:rsid w:val="00034EB8"/>
    <w:rsid w:val="00034FE5"/>
    <w:rsid w:val="00035438"/>
    <w:rsid w:val="00035734"/>
    <w:rsid w:val="00035783"/>
    <w:rsid w:val="00035918"/>
    <w:rsid w:val="00035F45"/>
    <w:rsid w:val="0003642E"/>
    <w:rsid w:val="00036528"/>
    <w:rsid w:val="00036831"/>
    <w:rsid w:val="00036981"/>
    <w:rsid w:val="00036AF3"/>
    <w:rsid w:val="000370F6"/>
    <w:rsid w:val="00037223"/>
    <w:rsid w:val="00037AF0"/>
    <w:rsid w:val="00037DF6"/>
    <w:rsid w:val="00037FA5"/>
    <w:rsid w:val="00040265"/>
    <w:rsid w:val="000403AD"/>
    <w:rsid w:val="00040968"/>
    <w:rsid w:val="00040A51"/>
    <w:rsid w:val="00040A87"/>
    <w:rsid w:val="00040C9A"/>
    <w:rsid w:val="00040D31"/>
    <w:rsid w:val="000411EA"/>
    <w:rsid w:val="000415A5"/>
    <w:rsid w:val="000416AE"/>
    <w:rsid w:val="0004184B"/>
    <w:rsid w:val="00041F73"/>
    <w:rsid w:val="000420A8"/>
    <w:rsid w:val="000420B0"/>
    <w:rsid w:val="00042760"/>
    <w:rsid w:val="0004277C"/>
    <w:rsid w:val="000427DE"/>
    <w:rsid w:val="00042952"/>
    <w:rsid w:val="00042A60"/>
    <w:rsid w:val="00042BD8"/>
    <w:rsid w:val="00042C37"/>
    <w:rsid w:val="00042E22"/>
    <w:rsid w:val="0004311D"/>
    <w:rsid w:val="00043155"/>
    <w:rsid w:val="000436FF"/>
    <w:rsid w:val="00043B0E"/>
    <w:rsid w:val="00043F57"/>
    <w:rsid w:val="00043F89"/>
    <w:rsid w:val="00043F90"/>
    <w:rsid w:val="00043F92"/>
    <w:rsid w:val="00043FB9"/>
    <w:rsid w:val="00044056"/>
    <w:rsid w:val="0004433C"/>
    <w:rsid w:val="00044733"/>
    <w:rsid w:val="00044C59"/>
    <w:rsid w:val="00044C94"/>
    <w:rsid w:val="00044EFD"/>
    <w:rsid w:val="000451F2"/>
    <w:rsid w:val="0004564D"/>
    <w:rsid w:val="00045AEF"/>
    <w:rsid w:val="00045BAD"/>
    <w:rsid w:val="00045C4C"/>
    <w:rsid w:val="00045EEF"/>
    <w:rsid w:val="000463E8"/>
    <w:rsid w:val="00046C7A"/>
    <w:rsid w:val="00046E16"/>
    <w:rsid w:val="000470C9"/>
    <w:rsid w:val="000472CE"/>
    <w:rsid w:val="0004733C"/>
    <w:rsid w:val="000473C6"/>
    <w:rsid w:val="000478EA"/>
    <w:rsid w:val="000504E5"/>
    <w:rsid w:val="000507A4"/>
    <w:rsid w:val="00050C92"/>
    <w:rsid w:val="0005195C"/>
    <w:rsid w:val="00051B6B"/>
    <w:rsid w:val="00051E87"/>
    <w:rsid w:val="00051FAA"/>
    <w:rsid w:val="000522DF"/>
    <w:rsid w:val="00052593"/>
    <w:rsid w:val="00052646"/>
    <w:rsid w:val="0005265A"/>
    <w:rsid w:val="000527E9"/>
    <w:rsid w:val="00052933"/>
    <w:rsid w:val="00052964"/>
    <w:rsid w:val="00052ADE"/>
    <w:rsid w:val="00053109"/>
    <w:rsid w:val="000531AB"/>
    <w:rsid w:val="000531F7"/>
    <w:rsid w:val="0005348C"/>
    <w:rsid w:val="00053874"/>
    <w:rsid w:val="00053A68"/>
    <w:rsid w:val="00053AB9"/>
    <w:rsid w:val="00053D71"/>
    <w:rsid w:val="00053FDD"/>
    <w:rsid w:val="00054032"/>
    <w:rsid w:val="000543B9"/>
    <w:rsid w:val="000544B5"/>
    <w:rsid w:val="00054E6F"/>
    <w:rsid w:val="00054F83"/>
    <w:rsid w:val="000551AD"/>
    <w:rsid w:val="00055669"/>
    <w:rsid w:val="0005577E"/>
    <w:rsid w:val="000558B2"/>
    <w:rsid w:val="000569A7"/>
    <w:rsid w:val="00056A05"/>
    <w:rsid w:val="00056AFF"/>
    <w:rsid w:val="00056B23"/>
    <w:rsid w:val="00056B2B"/>
    <w:rsid w:val="00056B7B"/>
    <w:rsid w:val="00056FBB"/>
    <w:rsid w:val="0005709D"/>
    <w:rsid w:val="000570AD"/>
    <w:rsid w:val="0005739F"/>
    <w:rsid w:val="0005753E"/>
    <w:rsid w:val="0005772C"/>
    <w:rsid w:val="0005783E"/>
    <w:rsid w:val="00057AC3"/>
    <w:rsid w:val="00057E6B"/>
    <w:rsid w:val="00060041"/>
    <w:rsid w:val="00060144"/>
    <w:rsid w:val="000605C3"/>
    <w:rsid w:val="00060C8C"/>
    <w:rsid w:val="00060E96"/>
    <w:rsid w:val="000614E8"/>
    <w:rsid w:val="00061608"/>
    <w:rsid w:val="00061BA6"/>
    <w:rsid w:val="00061BFD"/>
    <w:rsid w:val="00061CCD"/>
    <w:rsid w:val="00062380"/>
    <w:rsid w:val="00062382"/>
    <w:rsid w:val="0006272B"/>
    <w:rsid w:val="00062868"/>
    <w:rsid w:val="000629F7"/>
    <w:rsid w:val="0006340B"/>
    <w:rsid w:val="0006366D"/>
    <w:rsid w:val="00063B27"/>
    <w:rsid w:val="00063D04"/>
    <w:rsid w:val="00063D38"/>
    <w:rsid w:val="0006418D"/>
    <w:rsid w:val="00064289"/>
    <w:rsid w:val="000643A8"/>
    <w:rsid w:val="000645FA"/>
    <w:rsid w:val="00064837"/>
    <w:rsid w:val="00064914"/>
    <w:rsid w:val="00064EF7"/>
    <w:rsid w:val="00065CC4"/>
    <w:rsid w:val="00065D19"/>
    <w:rsid w:val="00065E8E"/>
    <w:rsid w:val="000660D0"/>
    <w:rsid w:val="00066247"/>
    <w:rsid w:val="0006630A"/>
    <w:rsid w:val="00066714"/>
    <w:rsid w:val="000667E1"/>
    <w:rsid w:val="000668BA"/>
    <w:rsid w:val="00066F80"/>
    <w:rsid w:val="00066FFD"/>
    <w:rsid w:val="00067179"/>
    <w:rsid w:val="00067686"/>
    <w:rsid w:val="00067A6F"/>
    <w:rsid w:val="00067E44"/>
    <w:rsid w:val="00070034"/>
    <w:rsid w:val="00070067"/>
    <w:rsid w:val="000702DF"/>
    <w:rsid w:val="00070355"/>
    <w:rsid w:val="00070655"/>
    <w:rsid w:val="000706AD"/>
    <w:rsid w:val="000707AB"/>
    <w:rsid w:val="000708CC"/>
    <w:rsid w:val="0007090A"/>
    <w:rsid w:val="00070DA4"/>
    <w:rsid w:val="00071211"/>
    <w:rsid w:val="000713AF"/>
    <w:rsid w:val="00071401"/>
    <w:rsid w:val="00071738"/>
    <w:rsid w:val="00071AF3"/>
    <w:rsid w:val="00071B49"/>
    <w:rsid w:val="00071BD2"/>
    <w:rsid w:val="00071D8F"/>
    <w:rsid w:val="00071E67"/>
    <w:rsid w:val="00072067"/>
    <w:rsid w:val="00072398"/>
    <w:rsid w:val="00072D3B"/>
    <w:rsid w:val="00072D61"/>
    <w:rsid w:val="00072DA2"/>
    <w:rsid w:val="00072F12"/>
    <w:rsid w:val="00072FC4"/>
    <w:rsid w:val="00073085"/>
    <w:rsid w:val="000733EA"/>
    <w:rsid w:val="00073788"/>
    <w:rsid w:val="0007379A"/>
    <w:rsid w:val="00073875"/>
    <w:rsid w:val="000738AB"/>
    <w:rsid w:val="00073B44"/>
    <w:rsid w:val="00073BF0"/>
    <w:rsid w:val="00073CAC"/>
    <w:rsid w:val="00073D72"/>
    <w:rsid w:val="00073F43"/>
    <w:rsid w:val="000745B7"/>
    <w:rsid w:val="000745DC"/>
    <w:rsid w:val="00074D3A"/>
    <w:rsid w:val="00074E63"/>
    <w:rsid w:val="00074F12"/>
    <w:rsid w:val="000750EF"/>
    <w:rsid w:val="000750F4"/>
    <w:rsid w:val="000751E7"/>
    <w:rsid w:val="00075B3E"/>
    <w:rsid w:val="00075B61"/>
    <w:rsid w:val="00075EFB"/>
    <w:rsid w:val="00075F48"/>
    <w:rsid w:val="00075FFB"/>
    <w:rsid w:val="000763D0"/>
    <w:rsid w:val="0007667C"/>
    <w:rsid w:val="00076D25"/>
    <w:rsid w:val="00076DF5"/>
    <w:rsid w:val="00077424"/>
    <w:rsid w:val="00077B77"/>
    <w:rsid w:val="00077B8E"/>
    <w:rsid w:val="00077EC5"/>
    <w:rsid w:val="00080D78"/>
    <w:rsid w:val="00080DF1"/>
    <w:rsid w:val="00080F11"/>
    <w:rsid w:val="0008129D"/>
    <w:rsid w:val="0008137C"/>
    <w:rsid w:val="00081486"/>
    <w:rsid w:val="000816AF"/>
    <w:rsid w:val="000818FF"/>
    <w:rsid w:val="00081A90"/>
    <w:rsid w:val="00081C72"/>
    <w:rsid w:val="000823D0"/>
    <w:rsid w:val="000823E9"/>
    <w:rsid w:val="000826AA"/>
    <w:rsid w:val="00082EDF"/>
    <w:rsid w:val="00083035"/>
    <w:rsid w:val="0008304E"/>
    <w:rsid w:val="00083210"/>
    <w:rsid w:val="000832C2"/>
    <w:rsid w:val="00084098"/>
    <w:rsid w:val="000840F3"/>
    <w:rsid w:val="00084137"/>
    <w:rsid w:val="00084434"/>
    <w:rsid w:val="00084EC4"/>
    <w:rsid w:val="00084F8E"/>
    <w:rsid w:val="0008500B"/>
    <w:rsid w:val="000851C7"/>
    <w:rsid w:val="0008547D"/>
    <w:rsid w:val="00085B8C"/>
    <w:rsid w:val="00085D71"/>
    <w:rsid w:val="00086157"/>
    <w:rsid w:val="00086590"/>
    <w:rsid w:val="00086611"/>
    <w:rsid w:val="00086699"/>
    <w:rsid w:val="000867FF"/>
    <w:rsid w:val="00086C6E"/>
    <w:rsid w:val="00086E81"/>
    <w:rsid w:val="00087497"/>
    <w:rsid w:val="00087C19"/>
    <w:rsid w:val="00090650"/>
    <w:rsid w:val="0009084E"/>
    <w:rsid w:val="0009096A"/>
    <w:rsid w:val="000912DB"/>
    <w:rsid w:val="00091320"/>
    <w:rsid w:val="00091712"/>
    <w:rsid w:val="000919AB"/>
    <w:rsid w:val="00091B75"/>
    <w:rsid w:val="00091B83"/>
    <w:rsid w:val="00091EC8"/>
    <w:rsid w:val="00092283"/>
    <w:rsid w:val="000923E5"/>
    <w:rsid w:val="0009260C"/>
    <w:rsid w:val="000928B7"/>
    <w:rsid w:val="00092BE8"/>
    <w:rsid w:val="00092D76"/>
    <w:rsid w:val="0009321C"/>
    <w:rsid w:val="0009346D"/>
    <w:rsid w:val="000937FF"/>
    <w:rsid w:val="00093AE5"/>
    <w:rsid w:val="00093C83"/>
    <w:rsid w:val="00093D6D"/>
    <w:rsid w:val="000942FE"/>
    <w:rsid w:val="00094566"/>
    <w:rsid w:val="000946A5"/>
    <w:rsid w:val="0009487A"/>
    <w:rsid w:val="000949F2"/>
    <w:rsid w:val="0009522B"/>
    <w:rsid w:val="000954AC"/>
    <w:rsid w:val="0009588B"/>
    <w:rsid w:val="00095D26"/>
    <w:rsid w:val="0009604A"/>
    <w:rsid w:val="0009645B"/>
    <w:rsid w:val="00096848"/>
    <w:rsid w:val="0009719E"/>
    <w:rsid w:val="0009720C"/>
    <w:rsid w:val="00097231"/>
    <w:rsid w:val="00097306"/>
    <w:rsid w:val="0009745C"/>
    <w:rsid w:val="00097814"/>
    <w:rsid w:val="00097DCA"/>
    <w:rsid w:val="00097E90"/>
    <w:rsid w:val="00097E91"/>
    <w:rsid w:val="000A00BE"/>
    <w:rsid w:val="000A0347"/>
    <w:rsid w:val="000A03CF"/>
    <w:rsid w:val="000A05DB"/>
    <w:rsid w:val="000A0688"/>
    <w:rsid w:val="000A06F0"/>
    <w:rsid w:val="000A0BDB"/>
    <w:rsid w:val="000A0EFF"/>
    <w:rsid w:val="000A116C"/>
    <w:rsid w:val="000A1184"/>
    <w:rsid w:val="000A1306"/>
    <w:rsid w:val="000A1496"/>
    <w:rsid w:val="000A1957"/>
    <w:rsid w:val="000A1C0E"/>
    <w:rsid w:val="000A1D20"/>
    <w:rsid w:val="000A1EBA"/>
    <w:rsid w:val="000A2089"/>
    <w:rsid w:val="000A2C0A"/>
    <w:rsid w:val="000A2C9E"/>
    <w:rsid w:val="000A2E77"/>
    <w:rsid w:val="000A2F88"/>
    <w:rsid w:val="000A30B3"/>
    <w:rsid w:val="000A325B"/>
    <w:rsid w:val="000A35F6"/>
    <w:rsid w:val="000A3887"/>
    <w:rsid w:val="000A3B8C"/>
    <w:rsid w:val="000A3BCD"/>
    <w:rsid w:val="000A3CF7"/>
    <w:rsid w:val="000A3E19"/>
    <w:rsid w:val="000A41E6"/>
    <w:rsid w:val="000A431C"/>
    <w:rsid w:val="000A456B"/>
    <w:rsid w:val="000A4783"/>
    <w:rsid w:val="000A48A0"/>
    <w:rsid w:val="000A4A6B"/>
    <w:rsid w:val="000A4DB7"/>
    <w:rsid w:val="000A4DD2"/>
    <w:rsid w:val="000A4EC7"/>
    <w:rsid w:val="000A4F23"/>
    <w:rsid w:val="000A5873"/>
    <w:rsid w:val="000A5FB0"/>
    <w:rsid w:val="000A607E"/>
    <w:rsid w:val="000A6094"/>
    <w:rsid w:val="000A65EB"/>
    <w:rsid w:val="000A6600"/>
    <w:rsid w:val="000A6D40"/>
    <w:rsid w:val="000A703B"/>
    <w:rsid w:val="000A70B4"/>
    <w:rsid w:val="000A7BA5"/>
    <w:rsid w:val="000A7CA2"/>
    <w:rsid w:val="000A7D63"/>
    <w:rsid w:val="000A7E03"/>
    <w:rsid w:val="000A7F4E"/>
    <w:rsid w:val="000B0005"/>
    <w:rsid w:val="000B01F6"/>
    <w:rsid w:val="000B02AD"/>
    <w:rsid w:val="000B039C"/>
    <w:rsid w:val="000B0D0F"/>
    <w:rsid w:val="000B0F09"/>
    <w:rsid w:val="000B1219"/>
    <w:rsid w:val="000B12B4"/>
    <w:rsid w:val="000B13A8"/>
    <w:rsid w:val="000B14D8"/>
    <w:rsid w:val="000B1905"/>
    <w:rsid w:val="000B1AAD"/>
    <w:rsid w:val="000B2033"/>
    <w:rsid w:val="000B220A"/>
    <w:rsid w:val="000B259D"/>
    <w:rsid w:val="000B2A6F"/>
    <w:rsid w:val="000B3157"/>
    <w:rsid w:val="000B3221"/>
    <w:rsid w:val="000B325C"/>
    <w:rsid w:val="000B3390"/>
    <w:rsid w:val="000B38E2"/>
    <w:rsid w:val="000B3951"/>
    <w:rsid w:val="000B39DB"/>
    <w:rsid w:val="000B3B4B"/>
    <w:rsid w:val="000B3E25"/>
    <w:rsid w:val="000B3F89"/>
    <w:rsid w:val="000B4127"/>
    <w:rsid w:val="000B41DE"/>
    <w:rsid w:val="000B435C"/>
    <w:rsid w:val="000B4518"/>
    <w:rsid w:val="000B45DD"/>
    <w:rsid w:val="000B47E6"/>
    <w:rsid w:val="000B4E1F"/>
    <w:rsid w:val="000B529D"/>
    <w:rsid w:val="000B5636"/>
    <w:rsid w:val="000B5DD5"/>
    <w:rsid w:val="000B5E61"/>
    <w:rsid w:val="000B5F70"/>
    <w:rsid w:val="000B5F78"/>
    <w:rsid w:val="000B6233"/>
    <w:rsid w:val="000B632E"/>
    <w:rsid w:val="000B695C"/>
    <w:rsid w:val="000B6A99"/>
    <w:rsid w:val="000B6D9B"/>
    <w:rsid w:val="000B6DC4"/>
    <w:rsid w:val="000B7264"/>
    <w:rsid w:val="000B7430"/>
    <w:rsid w:val="000B77B4"/>
    <w:rsid w:val="000B79A0"/>
    <w:rsid w:val="000B7D96"/>
    <w:rsid w:val="000B7FCD"/>
    <w:rsid w:val="000C0000"/>
    <w:rsid w:val="000C016E"/>
    <w:rsid w:val="000C0845"/>
    <w:rsid w:val="000C0855"/>
    <w:rsid w:val="000C0902"/>
    <w:rsid w:val="000C0ABD"/>
    <w:rsid w:val="000C0C68"/>
    <w:rsid w:val="000C0DF3"/>
    <w:rsid w:val="000C1264"/>
    <w:rsid w:val="000C12E5"/>
    <w:rsid w:val="000C159F"/>
    <w:rsid w:val="000C1621"/>
    <w:rsid w:val="000C17BA"/>
    <w:rsid w:val="000C187C"/>
    <w:rsid w:val="000C1944"/>
    <w:rsid w:val="000C1B28"/>
    <w:rsid w:val="000C1B4A"/>
    <w:rsid w:val="000C1BD2"/>
    <w:rsid w:val="000C1D93"/>
    <w:rsid w:val="000C2029"/>
    <w:rsid w:val="000C211A"/>
    <w:rsid w:val="000C21D8"/>
    <w:rsid w:val="000C241F"/>
    <w:rsid w:val="000C2787"/>
    <w:rsid w:val="000C286C"/>
    <w:rsid w:val="000C2A4A"/>
    <w:rsid w:val="000C2B54"/>
    <w:rsid w:val="000C2DEF"/>
    <w:rsid w:val="000C2F47"/>
    <w:rsid w:val="000C32D1"/>
    <w:rsid w:val="000C3413"/>
    <w:rsid w:val="000C3685"/>
    <w:rsid w:val="000C399D"/>
    <w:rsid w:val="000C399E"/>
    <w:rsid w:val="000C3ADD"/>
    <w:rsid w:val="000C3EDC"/>
    <w:rsid w:val="000C4BCD"/>
    <w:rsid w:val="000C4C3C"/>
    <w:rsid w:val="000C4C95"/>
    <w:rsid w:val="000C4E3D"/>
    <w:rsid w:val="000C4FA3"/>
    <w:rsid w:val="000C51D6"/>
    <w:rsid w:val="000C5210"/>
    <w:rsid w:val="000C5327"/>
    <w:rsid w:val="000C5658"/>
    <w:rsid w:val="000C5758"/>
    <w:rsid w:val="000C5856"/>
    <w:rsid w:val="000C5897"/>
    <w:rsid w:val="000C5909"/>
    <w:rsid w:val="000C5A6E"/>
    <w:rsid w:val="000C5C90"/>
    <w:rsid w:val="000C5E75"/>
    <w:rsid w:val="000C69D3"/>
    <w:rsid w:val="000C6AA5"/>
    <w:rsid w:val="000C6DCC"/>
    <w:rsid w:val="000C6E9E"/>
    <w:rsid w:val="000C7001"/>
    <w:rsid w:val="000C704C"/>
    <w:rsid w:val="000C72C3"/>
    <w:rsid w:val="000C73CD"/>
    <w:rsid w:val="000C76AF"/>
    <w:rsid w:val="000C7971"/>
    <w:rsid w:val="000C7C73"/>
    <w:rsid w:val="000C7E5F"/>
    <w:rsid w:val="000C7E77"/>
    <w:rsid w:val="000D019F"/>
    <w:rsid w:val="000D024F"/>
    <w:rsid w:val="000D042C"/>
    <w:rsid w:val="000D0A61"/>
    <w:rsid w:val="000D0FAB"/>
    <w:rsid w:val="000D122E"/>
    <w:rsid w:val="000D13B1"/>
    <w:rsid w:val="000D14D4"/>
    <w:rsid w:val="000D17F3"/>
    <w:rsid w:val="000D20F0"/>
    <w:rsid w:val="000D224E"/>
    <w:rsid w:val="000D24E3"/>
    <w:rsid w:val="000D253C"/>
    <w:rsid w:val="000D25F9"/>
    <w:rsid w:val="000D2C1B"/>
    <w:rsid w:val="000D2CCE"/>
    <w:rsid w:val="000D2D1D"/>
    <w:rsid w:val="000D2F2A"/>
    <w:rsid w:val="000D30DB"/>
    <w:rsid w:val="000D333B"/>
    <w:rsid w:val="000D3414"/>
    <w:rsid w:val="000D349F"/>
    <w:rsid w:val="000D36F2"/>
    <w:rsid w:val="000D376F"/>
    <w:rsid w:val="000D3929"/>
    <w:rsid w:val="000D3DEE"/>
    <w:rsid w:val="000D4006"/>
    <w:rsid w:val="000D422F"/>
    <w:rsid w:val="000D476D"/>
    <w:rsid w:val="000D48B1"/>
    <w:rsid w:val="000D4DB4"/>
    <w:rsid w:val="000D50FF"/>
    <w:rsid w:val="000D548D"/>
    <w:rsid w:val="000D54BA"/>
    <w:rsid w:val="000D57FF"/>
    <w:rsid w:val="000D5AAE"/>
    <w:rsid w:val="000D5B34"/>
    <w:rsid w:val="000D6043"/>
    <w:rsid w:val="000D6279"/>
    <w:rsid w:val="000D6477"/>
    <w:rsid w:val="000D6478"/>
    <w:rsid w:val="000D677E"/>
    <w:rsid w:val="000D682C"/>
    <w:rsid w:val="000D6F56"/>
    <w:rsid w:val="000D713B"/>
    <w:rsid w:val="000D73AB"/>
    <w:rsid w:val="000D75BB"/>
    <w:rsid w:val="000D76F6"/>
    <w:rsid w:val="000D7C53"/>
    <w:rsid w:val="000D7D35"/>
    <w:rsid w:val="000D7D41"/>
    <w:rsid w:val="000D7DED"/>
    <w:rsid w:val="000E06A5"/>
    <w:rsid w:val="000E0839"/>
    <w:rsid w:val="000E0849"/>
    <w:rsid w:val="000E0904"/>
    <w:rsid w:val="000E118B"/>
    <w:rsid w:val="000E124B"/>
    <w:rsid w:val="000E14A3"/>
    <w:rsid w:val="000E16CB"/>
    <w:rsid w:val="000E179C"/>
    <w:rsid w:val="000E1B2B"/>
    <w:rsid w:val="000E1EAF"/>
    <w:rsid w:val="000E207B"/>
    <w:rsid w:val="000E2187"/>
    <w:rsid w:val="000E29D6"/>
    <w:rsid w:val="000E2B92"/>
    <w:rsid w:val="000E2B95"/>
    <w:rsid w:val="000E2E81"/>
    <w:rsid w:val="000E2F58"/>
    <w:rsid w:val="000E384F"/>
    <w:rsid w:val="000E3BB7"/>
    <w:rsid w:val="000E3DA3"/>
    <w:rsid w:val="000E423A"/>
    <w:rsid w:val="000E4694"/>
    <w:rsid w:val="000E46A1"/>
    <w:rsid w:val="000E4B0E"/>
    <w:rsid w:val="000E4B55"/>
    <w:rsid w:val="000E4BB1"/>
    <w:rsid w:val="000E4C58"/>
    <w:rsid w:val="000E4C5D"/>
    <w:rsid w:val="000E4D7F"/>
    <w:rsid w:val="000E4E0A"/>
    <w:rsid w:val="000E4E30"/>
    <w:rsid w:val="000E4F11"/>
    <w:rsid w:val="000E4FA4"/>
    <w:rsid w:val="000E501F"/>
    <w:rsid w:val="000E508C"/>
    <w:rsid w:val="000E5C97"/>
    <w:rsid w:val="000E60A8"/>
    <w:rsid w:val="000E60D0"/>
    <w:rsid w:val="000E60F6"/>
    <w:rsid w:val="000E634E"/>
    <w:rsid w:val="000E6358"/>
    <w:rsid w:val="000E671B"/>
    <w:rsid w:val="000E6799"/>
    <w:rsid w:val="000E68A5"/>
    <w:rsid w:val="000E69CB"/>
    <w:rsid w:val="000E6E4E"/>
    <w:rsid w:val="000E71E0"/>
    <w:rsid w:val="000E72BC"/>
    <w:rsid w:val="000E72E1"/>
    <w:rsid w:val="000E78F0"/>
    <w:rsid w:val="000E7A3E"/>
    <w:rsid w:val="000E7BA5"/>
    <w:rsid w:val="000E7E11"/>
    <w:rsid w:val="000E7FD7"/>
    <w:rsid w:val="000E7FF5"/>
    <w:rsid w:val="000F00BF"/>
    <w:rsid w:val="000F0459"/>
    <w:rsid w:val="000F0616"/>
    <w:rsid w:val="000F0997"/>
    <w:rsid w:val="000F0A62"/>
    <w:rsid w:val="000F0F9F"/>
    <w:rsid w:val="000F1125"/>
    <w:rsid w:val="000F113D"/>
    <w:rsid w:val="000F1A31"/>
    <w:rsid w:val="000F1AAA"/>
    <w:rsid w:val="000F1B94"/>
    <w:rsid w:val="000F1F41"/>
    <w:rsid w:val="000F23CA"/>
    <w:rsid w:val="000F24ED"/>
    <w:rsid w:val="000F252A"/>
    <w:rsid w:val="000F262E"/>
    <w:rsid w:val="000F291A"/>
    <w:rsid w:val="000F2ABB"/>
    <w:rsid w:val="000F2B24"/>
    <w:rsid w:val="000F2D8C"/>
    <w:rsid w:val="000F2E3A"/>
    <w:rsid w:val="000F32DC"/>
    <w:rsid w:val="000F35E1"/>
    <w:rsid w:val="000F364D"/>
    <w:rsid w:val="000F37E1"/>
    <w:rsid w:val="000F3B92"/>
    <w:rsid w:val="000F3E47"/>
    <w:rsid w:val="000F4435"/>
    <w:rsid w:val="000F4443"/>
    <w:rsid w:val="000F451F"/>
    <w:rsid w:val="000F463E"/>
    <w:rsid w:val="000F4E6F"/>
    <w:rsid w:val="000F51CC"/>
    <w:rsid w:val="000F5256"/>
    <w:rsid w:val="000F55D2"/>
    <w:rsid w:val="000F5779"/>
    <w:rsid w:val="000F5904"/>
    <w:rsid w:val="000F5928"/>
    <w:rsid w:val="000F5A84"/>
    <w:rsid w:val="000F5B1F"/>
    <w:rsid w:val="000F5C0B"/>
    <w:rsid w:val="000F609E"/>
    <w:rsid w:val="000F6278"/>
    <w:rsid w:val="000F631A"/>
    <w:rsid w:val="000F63D1"/>
    <w:rsid w:val="000F6819"/>
    <w:rsid w:val="000F683A"/>
    <w:rsid w:val="000F6C40"/>
    <w:rsid w:val="000F771D"/>
    <w:rsid w:val="000F7A15"/>
    <w:rsid w:val="000F7DB3"/>
    <w:rsid w:val="000F7FB5"/>
    <w:rsid w:val="00100027"/>
    <w:rsid w:val="0010028A"/>
    <w:rsid w:val="001005F6"/>
    <w:rsid w:val="00100782"/>
    <w:rsid w:val="00100B7F"/>
    <w:rsid w:val="00100C3E"/>
    <w:rsid w:val="00100E90"/>
    <w:rsid w:val="001010A3"/>
    <w:rsid w:val="00101717"/>
    <w:rsid w:val="001017E8"/>
    <w:rsid w:val="00101A4D"/>
    <w:rsid w:val="00101B1D"/>
    <w:rsid w:val="00101F43"/>
    <w:rsid w:val="00102174"/>
    <w:rsid w:val="001021B9"/>
    <w:rsid w:val="001022E5"/>
    <w:rsid w:val="001023C0"/>
    <w:rsid w:val="00102604"/>
    <w:rsid w:val="00102805"/>
    <w:rsid w:val="00102839"/>
    <w:rsid w:val="00102AC3"/>
    <w:rsid w:val="00102AFE"/>
    <w:rsid w:val="00102F1E"/>
    <w:rsid w:val="00103203"/>
    <w:rsid w:val="001033AE"/>
    <w:rsid w:val="001034DD"/>
    <w:rsid w:val="001036EE"/>
    <w:rsid w:val="00103793"/>
    <w:rsid w:val="00103B8D"/>
    <w:rsid w:val="00103BA1"/>
    <w:rsid w:val="00103C4E"/>
    <w:rsid w:val="00103CBB"/>
    <w:rsid w:val="00103E78"/>
    <w:rsid w:val="00104081"/>
    <w:rsid w:val="001047C8"/>
    <w:rsid w:val="00104C37"/>
    <w:rsid w:val="00104EA5"/>
    <w:rsid w:val="00104EC1"/>
    <w:rsid w:val="00104F90"/>
    <w:rsid w:val="00104FA0"/>
    <w:rsid w:val="00105051"/>
    <w:rsid w:val="00105134"/>
    <w:rsid w:val="001051AB"/>
    <w:rsid w:val="001051E0"/>
    <w:rsid w:val="001053FA"/>
    <w:rsid w:val="00105839"/>
    <w:rsid w:val="00105897"/>
    <w:rsid w:val="00105FA6"/>
    <w:rsid w:val="00106230"/>
    <w:rsid w:val="00106293"/>
    <w:rsid w:val="001066DE"/>
    <w:rsid w:val="00106B3D"/>
    <w:rsid w:val="00106E06"/>
    <w:rsid w:val="0010707A"/>
    <w:rsid w:val="00107146"/>
    <w:rsid w:val="0010720B"/>
    <w:rsid w:val="001072AD"/>
    <w:rsid w:val="00107317"/>
    <w:rsid w:val="00107458"/>
    <w:rsid w:val="00107537"/>
    <w:rsid w:val="001078BE"/>
    <w:rsid w:val="001079CF"/>
    <w:rsid w:val="001103C4"/>
    <w:rsid w:val="00110798"/>
    <w:rsid w:val="00110835"/>
    <w:rsid w:val="001109D8"/>
    <w:rsid w:val="00110A25"/>
    <w:rsid w:val="00110A53"/>
    <w:rsid w:val="00110FF9"/>
    <w:rsid w:val="0011123F"/>
    <w:rsid w:val="00111371"/>
    <w:rsid w:val="001113D1"/>
    <w:rsid w:val="0011169A"/>
    <w:rsid w:val="00111769"/>
    <w:rsid w:val="00111AF7"/>
    <w:rsid w:val="00111AF8"/>
    <w:rsid w:val="00111B17"/>
    <w:rsid w:val="00111DE9"/>
    <w:rsid w:val="00111FED"/>
    <w:rsid w:val="00112114"/>
    <w:rsid w:val="00112211"/>
    <w:rsid w:val="00112978"/>
    <w:rsid w:val="00112C53"/>
    <w:rsid w:val="00112CD7"/>
    <w:rsid w:val="00112F4A"/>
    <w:rsid w:val="00112FF5"/>
    <w:rsid w:val="0011307F"/>
    <w:rsid w:val="00113284"/>
    <w:rsid w:val="001132EF"/>
    <w:rsid w:val="0011341F"/>
    <w:rsid w:val="001134EE"/>
    <w:rsid w:val="00113813"/>
    <w:rsid w:val="001138E3"/>
    <w:rsid w:val="0011427D"/>
    <w:rsid w:val="00114533"/>
    <w:rsid w:val="0011456A"/>
    <w:rsid w:val="00114627"/>
    <w:rsid w:val="00114777"/>
    <w:rsid w:val="00114C0F"/>
    <w:rsid w:val="00114C59"/>
    <w:rsid w:val="00114C62"/>
    <w:rsid w:val="00114D95"/>
    <w:rsid w:val="00114E9D"/>
    <w:rsid w:val="00114EDA"/>
    <w:rsid w:val="00114FBE"/>
    <w:rsid w:val="001154BD"/>
    <w:rsid w:val="001158AE"/>
    <w:rsid w:val="00115923"/>
    <w:rsid w:val="00115B0D"/>
    <w:rsid w:val="0011626E"/>
    <w:rsid w:val="001162B1"/>
    <w:rsid w:val="00116CBF"/>
    <w:rsid w:val="00117351"/>
    <w:rsid w:val="0011764B"/>
    <w:rsid w:val="0011779C"/>
    <w:rsid w:val="001179EA"/>
    <w:rsid w:val="001200AE"/>
    <w:rsid w:val="001202D5"/>
    <w:rsid w:val="001202E5"/>
    <w:rsid w:val="001202EB"/>
    <w:rsid w:val="0012030F"/>
    <w:rsid w:val="00120558"/>
    <w:rsid w:val="00120798"/>
    <w:rsid w:val="001208A0"/>
    <w:rsid w:val="00120905"/>
    <w:rsid w:val="0012094F"/>
    <w:rsid w:val="00120B32"/>
    <w:rsid w:val="00120CAA"/>
    <w:rsid w:val="00120DF0"/>
    <w:rsid w:val="001210D6"/>
    <w:rsid w:val="00121483"/>
    <w:rsid w:val="001214CD"/>
    <w:rsid w:val="00121BBE"/>
    <w:rsid w:val="00121E37"/>
    <w:rsid w:val="00122784"/>
    <w:rsid w:val="00122B33"/>
    <w:rsid w:val="00122C03"/>
    <w:rsid w:val="001237B0"/>
    <w:rsid w:val="00123B42"/>
    <w:rsid w:val="00123CF1"/>
    <w:rsid w:val="00123D75"/>
    <w:rsid w:val="00123F68"/>
    <w:rsid w:val="00123FD4"/>
    <w:rsid w:val="00124011"/>
    <w:rsid w:val="00124136"/>
    <w:rsid w:val="00124277"/>
    <w:rsid w:val="001245B3"/>
    <w:rsid w:val="001248C2"/>
    <w:rsid w:val="00124A76"/>
    <w:rsid w:val="00124FFD"/>
    <w:rsid w:val="00125AEB"/>
    <w:rsid w:val="00125DC4"/>
    <w:rsid w:val="001262F8"/>
    <w:rsid w:val="00126354"/>
    <w:rsid w:val="0012638E"/>
    <w:rsid w:val="0012667A"/>
    <w:rsid w:val="00126698"/>
    <w:rsid w:val="001268C2"/>
    <w:rsid w:val="00126A00"/>
    <w:rsid w:val="00126EB7"/>
    <w:rsid w:val="0012753B"/>
    <w:rsid w:val="001275C9"/>
    <w:rsid w:val="001279E4"/>
    <w:rsid w:val="00127FCD"/>
    <w:rsid w:val="00129DB6"/>
    <w:rsid w:val="0013008A"/>
    <w:rsid w:val="00130197"/>
    <w:rsid w:val="0013025F"/>
    <w:rsid w:val="00130362"/>
    <w:rsid w:val="00130A6B"/>
    <w:rsid w:val="00130C5B"/>
    <w:rsid w:val="00130CB9"/>
    <w:rsid w:val="00130EB5"/>
    <w:rsid w:val="00130F0F"/>
    <w:rsid w:val="00130FA3"/>
    <w:rsid w:val="00131009"/>
    <w:rsid w:val="001312CD"/>
    <w:rsid w:val="00131364"/>
    <w:rsid w:val="001316C4"/>
    <w:rsid w:val="00131A80"/>
    <w:rsid w:val="00131FD4"/>
    <w:rsid w:val="00132045"/>
    <w:rsid w:val="001324DC"/>
    <w:rsid w:val="001325DD"/>
    <w:rsid w:val="0013263B"/>
    <w:rsid w:val="00132C1C"/>
    <w:rsid w:val="00132DE4"/>
    <w:rsid w:val="001335D7"/>
    <w:rsid w:val="0013365B"/>
    <w:rsid w:val="001336FD"/>
    <w:rsid w:val="00133E14"/>
    <w:rsid w:val="00133F08"/>
    <w:rsid w:val="00133F31"/>
    <w:rsid w:val="0013430D"/>
    <w:rsid w:val="001345EA"/>
    <w:rsid w:val="0013472B"/>
    <w:rsid w:val="00134C06"/>
    <w:rsid w:val="00134D09"/>
    <w:rsid w:val="00134E05"/>
    <w:rsid w:val="00134E0A"/>
    <w:rsid w:val="00134ED2"/>
    <w:rsid w:val="00135058"/>
    <w:rsid w:val="0013525C"/>
    <w:rsid w:val="001352E3"/>
    <w:rsid w:val="00135342"/>
    <w:rsid w:val="001353C9"/>
    <w:rsid w:val="0013589D"/>
    <w:rsid w:val="00135AB5"/>
    <w:rsid w:val="00135BB3"/>
    <w:rsid w:val="00135EFE"/>
    <w:rsid w:val="00135FF8"/>
    <w:rsid w:val="0013607C"/>
    <w:rsid w:val="00136292"/>
    <w:rsid w:val="0013683F"/>
    <w:rsid w:val="0013693E"/>
    <w:rsid w:val="00136A34"/>
    <w:rsid w:val="00136AC2"/>
    <w:rsid w:val="00136B21"/>
    <w:rsid w:val="00136C05"/>
    <w:rsid w:val="00136C39"/>
    <w:rsid w:val="00136CC6"/>
    <w:rsid w:val="00136EFD"/>
    <w:rsid w:val="00137358"/>
    <w:rsid w:val="0013760D"/>
    <w:rsid w:val="001377B0"/>
    <w:rsid w:val="001378A4"/>
    <w:rsid w:val="00137C1C"/>
    <w:rsid w:val="00137E8E"/>
    <w:rsid w:val="00137EE9"/>
    <w:rsid w:val="00140212"/>
    <w:rsid w:val="00140467"/>
    <w:rsid w:val="001406D5"/>
    <w:rsid w:val="00140737"/>
    <w:rsid w:val="00140DF8"/>
    <w:rsid w:val="001410FB"/>
    <w:rsid w:val="001411AC"/>
    <w:rsid w:val="001417C1"/>
    <w:rsid w:val="001417D2"/>
    <w:rsid w:val="00141857"/>
    <w:rsid w:val="001418E5"/>
    <w:rsid w:val="00141945"/>
    <w:rsid w:val="00141A73"/>
    <w:rsid w:val="00141CDE"/>
    <w:rsid w:val="00141E5B"/>
    <w:rsid w:val="00141F98"/>
    <w:rsid w:val="001421F4"/>
    <w:rsid w:val="001426BF"/>
    <w:rsid w:val="00142833"/>
    <w:rsid w:val="00142951"/>
    <w:rsid w:val="00142FFC"/>
    <w:rsid w:val="0014304D"/>
    <w:rsid w:val="00143343"/>
    <w:rsid w:val="00143488"/>
    <w:rsid w:val="0014371E"/>
    <w:rsid w:val="001437E8"/>
    <w:rsid w:val="00143BE1"/>
    <w:rsid w:val="00143CFB"/>
    <w:rsid w:val="00143EA2"/>
    <w:rsid w:val="00143EF6"/>
    <w:rsid w:val="001446BF"/>
    <w:rsid w:val="0014490A"/>
    <w:rsid w:val="00145469"/>
    <w:rsid w:val="001457F8"/>
    <w:rsid w:val="00145931"/>
    <w:rsid w:val="00145EE9"/>
    <w:rsid w:val="00145F93"/>
    <w:rsid w:val="0014607D"/>
    <w:rsid w:val="00146418"/>
    <w:rsid w:val="001466E3"/>
    <w:rsid w:val="001466FD"/>
    <w:rsid w:val="00146B05"/>
    <w:rsid w:val="00146DF2"/>
    <w:rsid w:val="0014712C"/>
    <w:rsid w:val="0014732C"/>
    <w:rsid w:val="00147497"/>
    <w:rsid w:val="00147638"/>
    <w:rsid w:val="00147680"/>
    <w:rsid w:val="00147BA0"/>
    <w:rsid w:val="00147BAB"/>
    <w:rsid w:val="00147E62"/>
    <w:rsid w:val="00147F33"/>
    <w:rsid w:val="0015014A"/>
    <w:rsid w:val="001505D8"/>
    <w:rsid w:val="00150BC4"/>
    <w:rsid w:val="00150FC9"/>
    <w:rsid w:val="0015117C"/>
    <w:rsid w:val="001511A9"/>
    <w:rsid w:val="0015120C"/>
    <w:rsid w:val="001513C7"/>
    <w:rsid w:val="0015147F"/>
    <w:rsid w:val="001515FD"/>
    <w:rsid w:val="00151D97"/>
    <w:rsid w:val="00151F91"/>
    <w:rsid w:val="00151FE2"/>
    <w:rsid w:val="001521BF"/>
    <w:rsid w:val="00152211"/>
    <w:rsid w:val="001529A2"/>
    <w:rsid w:val="00153224"/>
    <w:rsid w:val="00153285"/>
    <w:rsid w:val="001532C6"/>
    <w:rsid w:val="00153603"/>
    <w:rsid w:val="001537C2"/>
    <w:rsid w:val="00153C0A"/>
    <w:rsid w:val="00153CAD"/>
    <w:rsid w:val="00153EBE"/>
    <w:rsid w:val="00154445"/>
    <w:rsid w:val="001548C1"/>
    <w:rsid w:val="00154CA6"/>
    <w:rsid w:val="001550FC"/>
    <w:rsid w:val="001554B1"/>
    <w:rsid w:val="001554D0"/>
    <w:rsid w:val="00155925"/>
    <w:rsid w:val="00155C04"/>
    <w:rsid w:val="00155FD4"/>
    <w:rsid w:val="001561A7"/>
    <w:rsid w:val="001568B8"/>
    <w:rsid w:val="00156D17"/>
    <w:rsid w:val="00156F3C"/>
    <w:rsid w:val="001571A4"/>
    <w:rsid w:val="00157233"/>
    <w:rsid w:val="001575D1"/>
    <w:rsid w:val="00157875"/>
    <w:rsid w:val="001578A1"/>
    <w:rsid w:val="001578D0"/>
    <w:rsid w:val="00157C48"/>
    <w:rsid w:val="001605FB"/>
    <w:rsid w:val="0016061C"/>
    <w:rsid w:val="001608A6"/>
    <w:rsid w:val="00160A5D"/>
    <w:rsid w:val="001612CF"/>
    <w:rsid w:val="001613B7"/>
    <w:rsid w:val="00161448"/>
    <w:rsid w:val="001616E9"/>
    <w:rsid w:val="001618CC"/>
    <w:rsid w:val="00161B1C"/>
    <w:rsid w:val="00161CD8"/>
    <w:rsid w:val="00161D57"/>
    <w:rsid w:val="00161D85"/>
    <w:rsid w:val="00162290"/>
    <w:rsid w:val="00162473"/>
    <w:rsid w:val="001625DB"/>
    <w:rsid w:val="00162A0A"/>
    <w:rsid w:val="00162AC9"/>
    <w:rsid w:val="00162EAD"/>
    <w:rsid w:val="001630DC"/>
    <w:rsid w:val="001635EA"/>
    <w:rsid w:val="001638EB"/>
    <w:rsid w:val="00163A1F"/>
    <w:rsid w:val="00163DB8"/>
    <w:rsid w:val="00163F4E"/>
    <w:rsid w:val="0016407F"/>
    <w:rsid w:val="001641BF"/>
    <w:rsid w:val="0016446F"/>
    <w:rsid w:val="00164B8A"/>
    <w:rsid w:val="00164BC2"/>
    <w:rsid w:val="00164D87"/>
    <w:rsid w:val="001651C0"/>
    <w:rsid w:val="001654A5"/>
    <w:rsid w:val="001654BE"/>
    <w:rsid w:val="00165AF8"/>
    <w:rsid w:val="00165DCE"/>
    <w:rsid w:val="0016611A"/>
    <w:rsid w:val="00166304"/>
    <w:rsid w:val="001666E5"/>
    <w:rsid w:val="001667F4"/>
    <w:rsid w:val="001668B3"/>
    <w:rsid w:val="00166C4D"/>
    <w:rsid w:val="00166E0E"/>
    <w:rsid w:val="00166F3B"/>
    <w:rsid w:val="00166F98"/>
    <w:rsid w:val="0016725F"/>
    <w:rsid w:val="001673C5"/>
    <w:rsid w:val="00167865"/>
    <w:rsid w:val="00167908"/>
    <w:rsid w:val="0016793A"/>
    <w:rsid w:val="00167B6C"/>
    <w:rsid w:val="00167CB4"/>
    <w:rsid w:val="00167CFA"/>
    <w:rsid w:val="00167FD8"/>
    <w:rsid w:val="00170336"/>
    <w:rsid w:val="00170350"/>
    <w:rsid w:val="00170C79"/>
    <w:rsid w:val="001711E4"/>
    <w:rsid w:val="00171763"/>
    <w:rsid w:val="00171852"/>
    <w:rsid w:val="00171A19"/>
    <w:rsid w:val="00171AC1"/>
    <w:rsid w:val="001720DE"/>
    <w:rsid w:val="00172310"/>
    <w:rsid w:val="0017242B"/>
    <w:rsid w:val="00172541"/>
    <w:rsid w:val="00172747"/>
    <w:rsid w:val="0017277F"/>
    <w:rsid w:val="00172B49"/>
    <w:rsid w:val="00172BFA"/>
    <w:rsid w:val="00172F3A"/>
    <w:rsid w:val="00172F52"/>
    <w:rsid w:val="00172FA6"/>
    <w:rsid w:val="001732E9"/>
    <w:rsid w:val="00173532"/>
    <w:rsid w:val="00173547"/>
    <w:rsid w:val="001736A6"/>
    <w:rsid w:val="00173821"/>
    <w:rsid w:val="00173983"/>
    <w:rsid w:val="00173DD6"/>
    <w:rsid w:val="00173F1A"/>
    <w:rsid w:val="00174128"/>
    <w:rsid w:val="00174E06"/>
    <w:rsid w:val="00174E59"/>
    <w:rsid w:val="0017528A"/>
    <w:rsid w:val="001752D3"/>
    <w:rsid w:val="00175454"/>
    <w:rsid w:val="00175909"/>
    <w:rsid w:val="001759BF"/>
    <w:rsid w:val="00175A74"/>
    <w:rsid w:val="00175C10"/>
    <w:rsid w:val="00175E86"/>
    <w:rsid w:val="00175EA3"/>
    <w:rsid w:val="00175EDF"/>
    <w:rsid w:val="001763B6"/>
    <w:rsid w:val="001767EE"/>
    <w:rsid w:val="00176F4C"/>
    <w:rsid w:val="00177098"/>
    <w:rsid w:val="0017785C"/>
    <w:rsid w:val="00177BC2"/>
    <w:rsid w:val="00177F40"/>
    <w:rsid w:val="0018008F"/>
    <w:rsid w:val="00180128"/>
    <w:rsid w:val="00180238"/>
    <w:rsid w:val="001802DA"/>
    <w:rsid w:val="001807EA"/>
    <w:rsid w:val="00180837"/>
    <w:rsid w:val="0018088E"/>
    <w:rsid w:val="00180A46"/>
    <w:rsid w:val="0018109F"/>
    <w:rsid w:val="001819A5"/>
    <w:rsid w:val="00181A53"/>
    <w:rsid w:val="00181BFD"/>
    <w:rsid w:val="00181D8E"/>
    <w:rsid w:val="001821B8"/>
    <w:rsid w:val="001825A2"/>
    <w:rsid w:val="001825D5"/>
    <w:rsid w:val="00182698"/>
    <w:rsid w:val="001827D8"/>
    <w:rsid w:val="00182810"/>
    <w:rsid w:val="001829C9"/>
    <w:rsid w:val="00182C8D"/>
    <w:rsid w:val="00183014"/>
    <w:rsid w:val="001831A3"/>
    <w:rsid w:val="00183645"/>
    <w:rsid w:val="001836AF"/>
    <w:rsid w:val="00183821"/>
    <w:rsid w:val="00183874"/>
    <w:rsid w:val="001838A3"/>
    <w:rsid w:val="00183A46"/>
    <w:rsid w:val="001841BC"/>
    <w:rsid w:val="00184304"/>
    <w:rsid w:val="001843B0"/>
    <w:rsid w:val="0018463C"/>
    <w:rsid w:val="00184897"/>
    <w:rsid w:val="0018499D"/>
    <w:rsid w:val="00184EA2"/>
    <w:rsid w:val="001852A9"/>
    <w:rsid w:val="001856C3"/>
    <w:rsid w:val="0018595F"/>
    <w:rsid w:val="00185C25"/>
    <w:rsid w:val="00185CF6"/>
    <w:rsid w:val="00186018"/>
    <w:rsid w:val="00186787"/>
    <w:rsid w:val="00186B11"/>
    <w:rsid w:val="00186BC5"/>
    <w:rsid w:val="00186D84"/>
    <w:rsid w:val="00186D87"/>
    <w:rsid w:val="00186E05"/>
    <w:rsid w:val="00187174"/>
    <w:rsid w:val="00187431"/>
    <w:rsid w:val="001874BF"/>
    <w:rsid w:val="00187629"/>
    <w:rsid w:val="001877B2"/>
    <w:rsid w:val="00187A0F"/>
    <w:rsid w:val="00187B36"/>
    <w:rsid w:val="00187D25"/>
    <w:rsid w:val="00187D79"/>
    <w:rsid w:val="00187EEB"/>
    <w:rsid w:val="001901F4"/>
    <w:rsid w:val="00190285"/>
    <w:rsid w:val="00190289"/>
    <w:rsid w:val="00190390"/>
    <w:rsid w:val="001907B7"/>
    <w:rsid w:val="0019099F"/>
    <w:rsid w:val="00190A35"/>
    <w:rsid w:val="00190C51"/>
    <w:rsid w:val="00190C9D"/>
    <w:rsid w:val="00190E6D"/>
    <w:rsid w:val="001912FC"/>
    <w:rsid w:val="00191534"/>
    <w:rsid w:val="001916A1"/>
    <w:rsid w:val="0019179A"/>
    <w:rsid w:val="00191870"/>
    <w:rsid w:val="00191BD3"/>
    <w:rsid w:val="00191C41"/>
    <w:rsid w:val="00191F24"/>
    <w:rsid w:val="00191F2B"/>
    <w:rsid w:val="00191F41"/>
    <w:rsid w:val="00191F66"/>
    <w:rsid w:val="00191FB2"/>
    <w:rsid w:val="00192202"/>
    <w:rsid w:val="001924B4"/>
    <w:rsid w:val="001926FE"/>
    <w:rsid w:val="00192E09"/>
    <w:rsid w:val="0019345C"/>
    <w:rsid w:val="001934C2"/>
    <w:rsid w:val="00194001"/>
    <w:rsid w:val="001940BA"/>
    <w:rsid w:val="001942B9"/>
    <w:rsid w:val="0019437C"/>
    <w:rsid w:val="00194547"/>
    <w:rsid w:val="00194A96"/>
    <w:rsid w:val="0019503C"/>
    <w:rsid w:val="00195249"/>
    <w:rsid w:val="001954D5"/>
    <w:rsid w:val="0019567A"/>
    <w:rsid w:val="00195AD3"/>
    <w:rsid w:val="00195D1B"/>
    <w:rsid w:val="00195D29"/>
    <w:rsid w:val="00195F1E"/>
    <w:rsid w:val="00195FC7"/>
    <w:rsid w:val="0019609E"/>
    <w:rsid w:val="0019646C"/>
    <w:rsid w:val="001964CF"/>
    <w:rsid w:val="001965F0"/>
    <w:rsid w:val="00196781"/>
    <w:rsid w:val="0019685D"/>
    <w:rsid w:val="001969DE"/>
    <w:rsid w:val="00196AC8"/>
    <w:rsid w:val="001970E9"/>
    <w:rsid w:val="001971B0"/>
    <w:rsid w:val="001971BE"/>
    <w:rsid w:val="00197297"/>
    <w:rsid w:val="0019739F"/>
    <w:rsid w:val="00197539"/>
    <w:rsid w:val="0019762A"/>
    <w:rsid w:val="00197B01"/>
    <w:rsid w:val="00197F31"/>
    <w:rsid w:val="00197F57"/>
    <w:rsid w:val="001A010E"/>
    <w:rsid w:val="001A023B"/>
    <w:rsid w:val="001A0297"/>
    <w:rsid w:val="001A0471"/>
    <w:rsid w:val="001A0528"/>
    <w:rsid w:val="001A0B38"/>
    <w:rsid w:val="001A0C0E"/>
    <w:rsid w:val="001A0C5A"/>
    <w:rsid w:val="001A0D9A"/>
    <w:rsid w:val="001A0EAA"/>
    <w:rsid w:val="001A0F53"/>
    <w:rsid w:val="001A1005"/>
    <w:rsid w:val="001A1017"/>
    <w:rsid w:val="001A1048"/>
    <w:rsid w:val="001A16B8"/>
    <w:rsid w:val="001A23A4"/>
    <w:rsid w:val="001A24AD"/>
    <w:rsid w:val="001A2535"/>
    <w:rsid w:val="001A283C"/>
    <w:rsid w:val="001A2ADC"/>
    <w:rsid w:val="001A2D3C"/>
    <w:rsid w:val="001A2E8C"/>
    <w:rsid w:val="001A2F6F"/>
    <w:rsid w:val="001A3177"/>
    <w:rsid w:val="001A3252"/>
    <w:rsid w:val="001A37B7"/>
    <w:rsid w:val="001A3A98"/>
    <w:rsid w:val="001A3F22"/>
    <w:rsid w:val="001A457F"/>
    <w:rsid w:val="001A49B4"/>
    <w:rsid w:val="001A4A12"/>
    <w:rsid w:val="001A4B4C"/>
    <w:rsid w:val="001A4C50"/>
    <w:rsid w:val="001A4D8F"/>
    <w:rsid w:val="001A531F"/>
    <w:rsid w:val="001A5547"/>
    <w:rsid w:val="001A5BEE"/>
    <w:rsid w:val="001A5D43"/>
    <w:rsid w:val="001A5E6C"/>
    <w:rsid w:val="001A5EDE"/>
    <w:rsid w:val="001A5FBB"/>
    <w:rsid w:val="001A5FDA"/>
    <w:rsid w:val="001A6056"/>
    <w:rsid w:val="001A60EB"/>
    <w:rsid w:val="001A635D"/>
    <w:rsid w:val="001A63D1"/>
    <w:rsid w:val="001A64D7"/>
    <w:rsid w:val="001A652B"/>
    <w:rsid w:val="001A663E"/>
    <w:rsid w:val="001A679A"/>
    <w:rsid w:val="001A685D"/>
    <w:rsid w:val="001A6866"/>
    <w:rsid w:val="001A6ADE"/>
    <w:rsid w:val="001A6F99"/>
    <w:rsid w:val="001A7265"/>
    <w:rsid w:val="001A7476"/>
    <w:rsid w:val="001A74B6"/>
    <w:rsid w:val="001A7735"/>
    <w:rsid w:val="001A7B5A"/>
    <w:rsid w:val="001A7E96"/>
    <w:rsid w:val="001B0142"/>
    <w:rsid w:val="001B051E"/>
    <w:rsid w:val="001B0849"/>
    <w:rsid w:val="001B0AEF"/>
    <w:rsid w:val="001B0CB7"/>
    <w:rsid w:val="001B111A"/>
    <w:rsid w:val="001B178A"/>
    <w:rsid w:val="001B1B0E"/>
    <w:rsid w:val="001B204D"/>
    <w:rsid w:val="001B20C6"/>
    <w:rsid w:val="001B2124"/>
    <w:rsid w:val="001B2275"/>
    <w:rsid w:val="001B23D9"/>
    <w:rsid w:val="001B2511"/>
    <w:rsid w:val="001B2ABB"/>
    <w:rsid w:val="001B2E27"/>
    <w:rsid w:val="001B2F79"/>
    <w:rsid w:val="001B308B"/>
    <w:rsid w:val="001B3435"/>
    <w:rsid w:val="001B35F0"/>
    <w:rsid w:val="001B3605"/>
    <w:rsid w:val="001B3680"/>
    <w:rsid w:val="001B3729"/>
    <w:rsid w:val="001B37AE"/>
    <w:rsid w:val="001B38C9"/>
    <w:rsid w:val="001B3B69"/>
    <w:rsid w:val="001B3D9F"/>
    <w:rsid w:val="001B3F85"/>
    <w:rsid w:val="001B446F"/>
    <w:rsid w:val="001B4512"/>
    <w:rsid w:val="001B47D2"/>
    <w:rsid w:val="001B4A46"/>
    <w:rsid w:val="001B4A89"/>
    <w:rsid w:val="001B4B73"/>
    <w:rsid w:val="001B4C01"/>
    <w:rsid w:val="001B56EE"/>
    <w:rsid w:val="001B56FA"/>
    <w:rsid w:val="001B5BEE"/>
    <w:rsid w:val="001B5BF3"/>
    <w:rsid w:val="001B5E7A"/>
    <w:rsid w:val="001B5F8F"/>
    <w:rsid w:val="001B6098"/>
    <w:rsid w:val="001B6190"/>
    <w:rsid w:val="001B61F0"/>
    <w:rsid w:val="001B661A"/>
    <w:rsid w:val="001B66D7"/>
    <w:rsid w:val="001B6B39"/>
    <w:rsid w:val="001B6B8B"/>
    <w:rsid w:val="001B6CCC"/>
    <w:rsid w:val="001B7449"/>
    <w:rsid w:val="001B7935"/>
    <w:rsid w:val="001B7E37"/>
    <w:rsid w:val="001C04E0"/>
    <w:rsid w:val="001C0593"/>
    <w:rsid w:val="001C06B3"/>
    <w:rsid w:val="001C073F"/>
    <w:rsid w:val="001C0B77"/>
    <w:rsid w:val="001C0BEF"/>
    <w:rsid w:val="001C0D6F"/>
    <w:rsid w:val="001C0DC3"/>
    <w:rsid w:val="001C0E7E"/>
    <w:rsid w:val="001C1008"/>
    <w:rsid w:val="001C10C6"/>
    <w:rsid w:val="001C13CD"/>
    <w:rsid w:val="001C17A8"/>
    <w:rsid w:val="001C1842"/>
    <w:rsid w:val="001C1AC6"/>
    <w:rsid w:val="001C2296"/>
    <w:rsid w:val="001C25A2"/>
    <w:rsid w:val="001C25BF"/>
    <w:rsid w:val="001C27D1"/>
    <w:rsid w:val="001C2D3F"/>
    <w:rsid w:val="001C2EB1"/>
    <w:rsid w:val="001C2F0F"/>
    <w:rsid w:val="001C311F"/>
    <w:rsid w:val="001C3498"/>
    <w:rsid w:val="001C356D"/>
    <w:rsid w:val="001C3935"/>
    <w:rsid w:val="001C393A"/>
    <w:rsid w:val="001C3C45"/>
    <w:rsid w:val="001C3E39"/>
    <w:rsid w:val="001C3EFD"/>
    <w:rsid w:val="001C3F2E"/>
    <w:rsid w:val="001C404E"/>
    <w:rsid w:val="001C415C"/>
    <w:rsid w:val="001C41F5"/>
    <w:rsid w:val="001C425D"/>
    <w:rsid w:val="001C483D"/>
    <w:rsid w:val="001C4A04"/>
    <w:rsid w:val="001C4B03"/>
    <w:rsid w:val="001C5AB3"/>
    <w:rsid w:val="001C5C48"/>
    <w:rsid w:val="001C5E41"/>
    <w:rsid w:val="001C5EA0"/>
    <w:rsid w:val="001C63AA"/>
    <w:rsid w:val="001C681E"/>
    <w:rsid w:val="001C68AC"/>
    <w:rsid w:val="001C69AB"/>
    <w:rsid w:val="001C6C33"/>
    <w:rsid w:val="001C6DDF"/>
    <w:rsid w:val="001C723E"/>
    <w:rsid w:val="001C7395"/>
    <w:rsid w:val="001C73C8"/>
    <w:rsid w:val="001C76DB"/>
    <w:rsid w:val="001C7DB3"/>
    <w:rsid w:val="001C7F22"/>
    <w:rsid w:val="001D030A"/>
    <w:rsid w:val="001D036F"/>
    <w:rsid w:val="001D039F"/>
    <w:rsid w:val="001D0664"/>
    <w:rsid w:val="001D082E"/>
    <w:rsid w:val="001D0BB9"/>
    <w:rsid w:val="001D0C10"/>
    <w:rsid w:val="001D0E14"/>
    <w:rsid w:val="001D0E60"/>
    <w:rsid w:val="001D0EA0"/>
    <w:rsid w:val="001D10ED"/>
    <w:rsid w:val="001D119B"/>
    <w:rsid w:val="001D142E"/>
    <w:rsid w:val="001D173C"/>
    <w:rsid w:val="001D1B3C"/>
    <w:rsid w:val="001D1E48"/>
    <w:rsid w:val="001D21BD"/>
    <w:rsid w:val="001D2246"/>
    <w:rsid w:val="001D227B"/>
    <w:rsid w:val="001D267B"/>
    <w:rsid w:val="001D2853"/>
    <w:rsid w:val="001D2A06"/>
    <w:rsid w:val="001D2D88"/>
    <w:rsid w:val="001D2FFD"/>
    <w:rsid w:val="001D3C57"/>
    <w:rsid w:val="001D3D0E"/>
    <w:rsid w:val="001D3DDF"/>
    <w:rsid w:val="001D40C1"/>
    <w:rsid w:val="001D4A28"/>
    <w:rsid w:val="001D4CEC"/>
    <w:rsid w:val="001D4FBB"/>
    <w:rsid w:val="001D530C"/>
    <w:rsid w:val="001D531E"/>
    <w:rsid w:val="001D53B1"/>
    <w:rsid w:val="001D5549"/>
    <w:rsid w:val="001D5B06"/>
    <w:rsid w:val="001D6383"/>
    <w:rsid w:val="001D66BB"/>
    <w:rsid w:val="001D682D"/>
    <w:rsid w:val="001D6B38"/>
    <w:rsid w:val="001D6C8A"/>
    <w:rsid w:val="001D7015"/>
    <w:rsid w:val="001D711D"/>
    <w:rsid w:val="001D7141"/>
    <w:rsid w:val="001D7169"/>
    <w:rsid w:val="001D7262"/>
    <w:rsid w:val="001D782A"/>
    <w:rsid w:val="001E0051"/>
    <w:rsid w:val="001E011F"/>
    <w:rsid w:val="001E034E"/>
    <w:rsid w:val="001E0A6A"/>
    <w:rsid w:val="001E0D4D"/>
    <w:rsid w:val="001E1272"/>
    <w:rsid w:val="001E12B8"/>
    <w:rsid w:val="001E1A4A"/>
    <w:rsid w:val="001E1B9B"/>
    <w:rsid w:val="001E21C0"/>
    <w:rsid w:val="001E22C7"/>
    <w:rsid w:val="001E2540"/>
    <w:rsid w:val="001E26B6"/>
    <w:rsid w:val="001E27C2"/>
    <w:rsid w:val="001E29F8"/>
    <w:rsid w:val="001E2C3C"/>
    <w:rsid w:val="001E2DD7"/>
    <w:rsid w:val="001E3A50"/>
    <w:rsid w:val="001E3A7A"/>
    <w:rsid w:val="001E3ADE"/>
    <w:rsid w:val="001E418C"/>
    <w:rsid w:val="001E423E"/>
    <w:rsid w:val="001E43E0"/>
    <w:rsid w:val="001E4424"/>
    <w:rsid w:val="001E4739"/>
    <w:rsid w:val="001E47CB"/>
    <w:rsid w:val="001E4891"/>
    <w:rsid w:val="001E4A21"/>
    <w:rsid w:val="001E4C0C"/>
    <w:rsid w:val="001E501F"/>
    <w:rsid w:val="001E51BF"/>
    <w:rsid w:val="001E5452"/>
    <w:rsid w:val="001E5496"/>
    <w:rsid w:val="001E5BCE"/>
    <w:rsid w:val="001E5E12"/>
    <w:rsid w:val="001E5E9F"/>
    <w:rsid w:val="001E640B"/>
    <w:rsid w:val="001E6884"/>
    <w:rsid w:val="001E6AFE"/>
    <w:rsid w:val="001E715E"/>
    <w:rsid w:val="001E7274"/>
    <w:rsid w:val="001E72CE"/>
    <w:rsid w:val="001E7349"/>
    <w:rsid w:val="001E74C8"/>
    <w:rsid w:val="001E7551"/>
    <w:rsid w:val="001E77C7"/>
    <w:rsid w:val="001E7A14"/>
    <w:rsid w:val="001E7ADD"/>
    <w:rsid w:val="001E7CEF"/>
    <w:rsid w:val="001E7F1C"/>
    <w:rsid w:val="001F022E"/>
    <w:rsid w:val="001F032D"/>
    <w:rsid w:val="001F050E"/>
    <w:rsid w:val="001F058B"/>
    <w:rsid w:val="001F05D8"/>
    <w:rsid w:val="001F06D4"/>
    <w:rsid w:val="001F07D1"/>
    <w:rsid w:val="001F0C2C"/>
    <w:rsid w:val="001F1394"/>
    <w:rsid w:val="001F148A"/>
    <w:rsid w:val="001F1540"/>
    <w:rsid w:val="001F17F7"/>
    <w:rsid w:val="001F1A8D"/>
    <w:rsid w:val="001F1DAA"/>
    <w:rsid w:val="001F1E70"/>
    <w:rsid w:val="001F2024"/>
    <w:rsid w:val="001F2318"/>
    <w:rsid w:val="001F24EC"/>
    <w:rsid w:val="001F2883"/>
    <w:rsid w:val="001F2DE5"/>
    <w:rsid w:val="001F329A"/>
    <w:rsid w:val="001F39C7"/>
    <w:rsid w:val="001F3CE5"/>
    <w:rsid w:val="001F3D74"/>
    <w:rsid w:val="001F40EB"/>
    <w:rsid w:val="001F4345"/>
    <w:rsid w:val="001F4353"/>
    <w:rsid w:val="001F43AA"/>
    <w:rsid w:val="001F43E8"/>
    <w:rsid w:val="001F44CE"/>
    <w:rsid w:val="001F45F3"/>
    <w:rsid w:val="001F4CF8"/>
    <w:rsid w:val="001F4D93"/>
    <w:rsid w:val="001F4EB2"/>
    <w:rsid w:val="001F4FC7"/>
    <w:rsid w:val="001F5643"/>
    <w:rsid w:val="001F59EE"/>
    <w:rsid w:val="001F59F3"/>
    <w:rsid w:val="001F5C13"/>
    <w:rsid w:val="001F61C1"/>
    <w:rsid w:val="001F632A"/>
    <w:rsid w:val="001F687A"/>
    <w:rsid w:val="001F702C"/>
    <w:rsid w:val="001F7129"/>
    <w:rsid w:val="001F71E8"/>
    <w:rsid w:val="001F7825"/>
    <w:rsid w:val="001F787B"/>
    <w:rsid w:val="001F7A4B"/>
    <w:rsid w:val="001F7AAD"/>
    <w:rsid w:val="001F7B04"/>
    <w:rsid w:val="001F7D09"/>
    <w:rsid w:val="00200291"/>
    <w:rsid w:val="002002F0"/>
    <w:rsid w:val="00200968"/>
    <w:rsid w:val="00200D72"/>
    <w:rsid w:val="00200E69"/>
    <w:rsid w:val="002014EF"/>
    <w:rsid w:val="002015A9"/>
    <w:rsid w:val="00201625"/>
    <w:rsid w:val="00201B81"/>
    <w:rsid w:val="002020F6"/>
    <w:rsid w:val="00202229"/>
    <w:rsid w:val="0020246F"/>
    <w:rsid w:val="00202546"/>
    <w:rsid w:val="00202588"/>
    <w:rsid w:val="002025F0"/>
    <w:rsid w:val="002026AE"/>
    <w:rsid w:val="00202724"/>
    <w:rsid w:val="00202727"/>
    <w:rsid w:val="00202D2B"/>
    <w:rsid w:val="00203377"/>
    <w:rsid w:val="0020342E"/>
    <w:rsid w:val="002036CE"/>
    <w:rsid w:val="002037C6"/>
    <w:rsid w:val="002039D3"/>
    <w:rsid w:val="00203A08"/>
    <w:rsid w:val="00203BFB"/>
    <w:rsid w:val="0020402D"/>
    <w:rsid w:val="002042D9"/>
    <w:rsid w:val="0020458C"/>
    <w:rsid w:val="00204CBB"/>
    <w:rsid w:val="00204D29"/>
    <w:rsid w:val="00204FC9"/>
    <w:rsid w:val="0020511A"/>
    <w:rsid w:val="002051F3"/>
    <w:rsid w:val="0020533B"/>
    <w:rsid w:val="0020558E"/>
    <w:rsid w:val="00205FC2"/>
    <w:rsid w:val="002060D7"/>
    <w:rsid w:val="002063C0"/>
    <w:rsid w:val="002069B1"/>
    <w:rsid w:val="00206F85"/>
    <w:rsid w:val="00206FE8"/>
    <w:rsid w:val="00207251"/>
    <w:rsid w:val="002072C3"/>
    <w:rsid w:val="00207361"/>
    <w:rsid w:val="0020767E"/>
    <w:rsid w:val="002076B9"/>
    <w:rsid w:val="00207DDC"/>
    <w:rsid w:val="00210340"/>
    <w:rsid w:val="0021047D"/>
    <w:rsid w:val="0021051B"/>
    <w:rsid w:val="00210520"/>
    <w:rsid w:val="0021055D"/>
    <w:rsid w:val="00210AC5"/>
    <w:rsid w:val="00210AD2"/>
    <w:rsid w:val="00210B97"/>
    <w:rsid w:val="00210DDF"/>
    <w:rsid w:val="002110AE"/>
    <w:rsid w:val="00211450"/>
    <w:rsid w:val="002115EB"/>
    <w:rsid w:val="002118C0"/>
    <w:rsid w:val="002118F9"/>
    <w:rsid w:val="00211941"/>
    <w:rsid w:val="00211C87"/>
    <w:rsid w:val="00212239"/>
    <w:rsid w:val="00212291"/>
    <w:rsid w:val="0021235D"/>
    <w:rsid w:val="00212487"/>
    <w:rsid w:val="00212914"/>
    <w:rsid w:val="00212AAE"/>
    <w:rsid w:val="002132D0"/>
    <w:rsid w:val="0021347E"/>
    <w:rsid w:val="0021354D"/>
    <w:rsid w:val="0021359C"/>
    <w:rsid w:val="00213A29"/>
    <w:rsid w:val="00213B64"/>
    <w:rsid w:val="00213D03"/>
    <w:rsid w:val="00214165"/>
    <w:rsid w:val="002142E9"/>
    <w:rsid w:val="00214425"/>
    <w:rsid w:val="00214536"/>
    <w:rsid w:val="0021462B"/>
    <w:rsid w:val="002146B2"/>
    <w:rsid w:val="00214719"/>
    <w:rsid w:val="00214812"/>
    <w:rsid w:val="002148D5"/>
    <w:rsid w:val="0021498A"/>
    <w:rsid w:val="00214C3F"/>
    <w:rsid w:val="00215195"/>
    <w:rsid w:val="00215361"/>
    <w:rsid w:val="00215434"/>
    <w:rsid w:val="00215658"/>
    <w:rsid w:val="00215DF9"/>
    <w:rsid w:val="00215E23"/>
    <w:rsid w:val="00215EDF"/>
    <w:rsid w:val="0021640C"/>
    <w:rsid w:val="00216820"/>
    <w:rsid w:val="0021688E"/>
    <w:rsid w:val="00216B07"/>
    <w:rsid w:val="00216D6D"/>
    <w:rsid w:val="00216F24"/>
    <w:rsid w:val="002172B7"/>
    <w:rsid w:val="002174B6"/>
    <w:rsid w:val="00217532"/>
    <w:rsid w:val="0021793C"/>
    <w:rsid w:val="00217C1E"/>
    <w:rsid w:val="00217CD5"/>
    <w:rsid w:val="00217D61"/>
    <w:rsid w:val="00217E3F"/>
    <w:rsid w:val="00217F19"/>
    <w:rsid w:val="002202A8"/>
    <w:rsid w:val="002203D0"/>
    <w:rsid w:val="002204A2"/>
    <w:rsid w:val="002208BE"/>
    <w:rsid w:val="002208C0"/>
    <w:rsid w:val="00220F8B"/>
    <w:rsid w:val="00221036"/>
    <w:rsid w:val="002213B7"/>
    <w:rsid w:val="0022153A"/>
    <w:rsid w:val="00221606"/>
    <w:rsid w:val="00221776"/>
    <w:rsid w:val="00221ABA"/>
    <w:rsid w:val="00221C50"/>
    <w:rsid w:val="00221D26"/>
    <w:rsid w:val="00221F41"/>
    <w:rsid w:val="00222303"/>
    <w:rsid w:val="00222341"/>
    <w:rsid w:val="002223F8"/>
    <w:rsid w:val="00222793"/>
    <w:rsid w:val="002228E8"/>
    <w:rsid w:val="00222AAD"/>
    <w:rsid w:val="00222FAD"/>
    <w:rsid w:val="002230ED"/>
    <w:rsid w:val="00223819"/>
    <w:rsid w:val="00223B15"/>
    <w:rsid w:val="00223B20"/>
    <w:rsid w:val="00223FC2"/>
    <w:rsid w:val="00223FF7"/>
    <w:rsid w:val="00224038"/>
    <w:rsid w:val="002247A3"/>
    <w:rsid w:val="0022483D"/>
    <w:rsid w:val="002248AB"/>
    <w:rsid w:val="002249A8"/>
    <w:rsid w:val="002249E0"/>
    <w:rsid w:val="00224A70"/>
    <w:rsid w:val="00224E13"/>
    <w:rsid w:val="00224F95"/>
    <w:rsid w:val="00224FA8"/>
    <w:rsid w:val="00225081"/>
    <w:rsid w:val="0022511E"/>
    <w:rsid w:val="002251DF"/>
    <w:rsid w:val="0022540C"/>
    <w:rsid w:val="00225883"/>
    <w:rsid w:val="00226007"/>
    <w:rsid w:val="00226792"/>
    <w:rsid w:val="00226817"/>
    <w:rsid w:val="00226848"/>
    <w:rsid w:val="0022706D"/>
    <w:rsid w:val="0022777F"/>
    <w:rsid w:val="0023042D"/>
    <w:rsid w:val="002307A5"/>
    <w:rsid w:val="0023081F"/>
    <w:rsid w:val="00230974"/>
    <w:rsid w:val="00230A24"/>
    <w:rsid w:val="00230C68"/>
    <w:rsid w:val="00230D56"/>
    <w:rsid w:val="00230E28"/>
    <w:rsid w:val="00231084"/>
    <w:rsid w:val="00231306"/>
    <w:rsid w:val="00231387"/>
    <w:rsid w:val="00231447"/>
    <w:rsid w:val="00231913"/>
    <w:rsid w:val="00231B62"/>
    <w:rsid w:val="00231CCC"/>
    <w:rsid w:val="00231D58"/>
    <w:rsid w:val="00231D75"/>
    <w:rsid w:val="00231D7D"/>
    <w:rsid w:val="00231FC4"/>
    <w:rsid w:val="002320E3"/>
    <w:rsid w:val="002322EE"/>
    <w:rsid w:val="00232447"/>
    <w:rsid w:val="0023252B"/>
    <w:rsid w:val="0023256A"/>
    <w:rsid w:val="0023289E"/>
    <w:rsid w:val="0023293F"/>
    <w:rsid w:val="0023299F"/>
    <w:rsid w:val="00232FC4"/>
    <w:rsid w:val="0023378F"/>
    <w:rsid w:val="00233DFD"/>
    <w:rsid w:val="00233E1B"/>
    <w:rsid w:val="0023403B"/>
    <w:rsid w:val="0023454E"/>
    <w:rsid w:val="0023467D"/>
    <w:rsid w:val="00234911"/>
    <w:rsid w:val="00234EA8"/>
    <w:rsid w:val="002351E8"/>
    <w:rsid w:val="00235DED"/>
    <w:rsid w:val="00235F96"/>
    <w:rsid w:val="002360CC"/>
    <w:rsid w:val="0023642D"/>
    <w:rsid w:val="00236549"/>
    <w:rsid w:val="002365A6"/>
    <w:rsid w:val="0023666E"/>
    <w:rsid w:val="00236756"/>
    <w:rsid w:val="00236A11"/>
    <w:rsid w:val="00236D92"/>
    <w:rsid w:val="00236F36"/>
    <w:rsid w:val="0023724D"/>
    <w:rsid w:val="00237368"/>
    <w:rsid w:val="002373FF"/>
    <w:rsid w:val="002375D1"/>
    <w:rsid w:val="002376FA"/>
    <w:rsid w:val="00237A40"/>
    <w:rsid w:val="00237B85"/>
    <w:rsid w:val="00237BDD"/>
    <w:rsid w:val="00237D24"/>
    <w:rsid w:val="00237D6B"/>
    <w:rsid w:val="00237EE5"/>
    <w:rsid w:val="002403F3"/>
    <w:rsid w:val="00240421"/>
    <w:rsid w:val="00240A93"/>
    <w:rsid w:val="00240AB3"/>
    <w:rsid w:val="00240CFD"/>
    <w:rsid w:val="0024122C"/>
    <w:rsid w:val="002415A1"/>
    <w:rsid w:val="00241987"/>
    <w:rsid w:val="00242043"/>
    <w:rsid w:val="002424F1"/>
    <w:rsid w:val="002427F9"/>
    <w:rsid w:val="00242833"/>
    <w:rsid w:val="00242E41"/>
    <w:rsid w:val="00242E6F"/>
    <w:rsid w:val="0024329D"/>
    <w:rsid w:val="002433B9"/>
    <w:rsid w:val="00243711"/>
    <w:rsid w:val="002437FF"/>
    <w:rsid w:val="00243D86"/>
    <w:rsid w:val="00244180"/>
    <w:rsid w:val="00244441"/>
    <w:rsid w:val="00244467"/>
    <w:rsid w:val="002445C1"/>
    <w:rsid w:val="00244C6C"/>
    <w:rsid w:val="00244D65"/>
    <w:rsid w:val="00244F22"/>
    <w:rsid w:val="00244F92"/>
    <w:rsid w:val="002450A7"/>
    <w:rsid w:val="0024556E"/>
    <w:rsid w:val="00245609"/>
    <w:rsid w:val="002456D9"/>
    <w:rsid w:val="0024589A"/>
    <w:rsid w:val="00245B11"/>
    <w:rsid w:val="00245BDE"/>
    <w:rsid w:val="002460FE"/>
    <w:rsid w:val="0024658B"/>
    <w:rsid w:val="0024688C"/>
    <w:rsid w:val="00246CF7"/>
    <w:rsid w:val="00246E36"/>
    <w:rsid w:val="00246F25"/>
    <w:rsid w:val="00246F56"/>
    <w:rsid w:val="00247617"/>
    <w:rsid w:val="0024776A"/>
    <w:rsid w:val="00247A81"/>
    <w:rsid w:val="00247BB2"/>
    <w:rsid w:val="00247E62"/>
    <w:rsid w:val="00247FDD"/>
    <w:rsid w:val="00250109"/>
    <w:rsid w:val="0025011C"/>
    <w:rsid w:val="002501D3"/>
    <w:rsid w:val="0025042B"/>
    <w:rsid w:val="00250B16"/>
    <w:rsid w:val="00250F8C"/>
    <w:rsid w:val="002511BD"/>
    <w:rsid w:val="0025168F"/>
    <w:rsid w:val="00251A97"/>
    <w:rsid w:val="00251CB2"/>
    <w:rsid w:val="0025296E"/>
    <w:rsid w:val="00252B5D"/>
    <w:rsid w:val="00252BFC"/>
    <w:rsid w:val="00252F3D"/>
    <w:rsid w:val="00252FD5"/>
    <w:rsid w:val="00253304"/>
    <w:rsid w:val="00253320"/>
    <w:rsid w:val="00253730"/>
    <w:rsid w:val="002539CC"/>
    <w:rsid w:val="00253FA2"/>
    <w:rsid w:val="002541C5"/>
    <w:rsid w:val="00254433"/>
    <w:rsid w:val="002549A3"/>
    <w:rsid w:val="00254D47"/>
    <w:rsid w:val="00254F64"/>
    <w:rsid w:val="00255211"/>
    <w:rsid w:val="0025588D"/>
    <w:rsid w:val="00255B01"/>
    <w:rsid w:val="00255CE8"/>
    <w:rsid w:val="0025606E"/>
    <w:rsid w:val="00256123"/>
    <w:rsid w:val="0025614E"/>
    <w:rsid w:val="00256439"/>
    <w:rsid w:val="0025654B"/>
    <w:rsid w:val="00256575"/>
    <w:rsid w:val="002566F6"/>
    <w:rsid w:val="00256758"/>
    <w:rsid w:val="00256812"/>
    <w:rsid w:val="002568EC"/>
    <w:rsid w:val="00256933"/>
    <w:rsid w:val="00256B44"/>
    <w:rsid w:val="00256C39"/>
    <w:rsid w:val="00257075"/>
    <w:rsid w:val="002570DD"/>
    <w:rsid w:val="002573FC"/>
    <w:rsid w:val="0025773F"/>
    <w:rsid w:val="00257833"/>
    <w:rsid w:val="00257873"/>
    <w:rsid w:val="00257C6B"/>
    <w:rsid w:val="00257DF9"/>
    <w:rsid w:val="00257FF4"/>
    <w:rsid w:val="00260151"/>
    <w:rsid w:val="00260531"/>
    <w:rsid w:val="002608C2"/>
    <w:rsid w:val="002608C4"/>
    <w:rsid w:val="002609CD"/>
    <w:rsid w:val="00260D43"/>
    <w:rsid w:val="00260ECE"/>
    <w:rsid w:val="002610EB"/>
    <w:rsid w:val="00261185"/>
    <w:rsid w:val="002616F9"/>
    <w:rsid w:val="00261813"/>
    <w:rsid w:val="00261860"/>
    <w:rsid w:val="002618A4"/>
    <w:rsid w:val="00261971"/>
    <w:rsid w:val="00262001"/>
    <w:rsid w:val="00262120"/>
    <w:rsid w:val="002621A0"/>
    <w:rsid w:val="0026245E"/>
    <w:rsid w:val="00262D8F"/>
    <w:rsid w:val="00263006"/>
    <w:rsid w:val="0026321C"/>
    <w:rsid w:val="0026351C"/>
    <w:rsid w:val="00263901"/>
    <w:rsid w:val="00263B22"/>
    <w:rsid w:val="00263B2C"/>
    <w:rsid w:val="00263B32"/>
    <w:rsid w:val="00263EDE"/>
    <w:rsid w:val="00264118"/>
    <w:rsid w:val="002641F6"/>
    <w:rsid w:val="002643AD"/>
    <w:rsid w:val="0026440F"/>
    <w:rsid w:val="002645D1"/>
    <w:rsid w:val="00264641"/>
    <w:rsid w:val="00264844"/>
    <w:rsid w:val="00264ED2"/>
    <w:rsid w:val="0026521D"/>
    <w:rsid w:val="00265277"/>
    <w:rsid w:val="002656AF"/>
    <w:rsid w:val="002658CD"/>
    <w:rsid w:val="002659C7"/>
    <w:rsid w:val="00265F2F"/>
    <w:rsid w:val="002665EA"/>
    <w:rsid w:val="002667B7"/>
    <w:rsid w:val="00266834"/>
    <w:rsid w:val="00266F3B"/>
    <w:rsid w:val="00266FD6"/>
    <w:rsid w:val="00266FED"/>
    <w:rsid w:val="00267011"/>
    <w:rsid w:val="00267596"/>
    <w:rsid w:val="002677F2"/>
    <w:rsid w:val="00267880"/>
    <w:rsid w:val="002679ED"/>
    <w:rsid w:val="00267BCE"/>
    <w:rsid w:val="00270210"/>
    <w:rsid w:val="00270B63"/>
    <w:rsid w:val="002710F0"/>
    <w:rsid w:val="00271604"/>
    <w:rsid w:val="00271809"/>
    <w:rsid w:val="00271CBF"/>
    <w:rsid w:val="00271DE5"/>
    <w:rsid w:val="00271F12"/>
    <w:rsid w:val="00271FBA"/>
    <w:rsid w:val="00272058"/>
    <w:rsid w:val="0027206F"/>
    <w:rsid w:val="0027236C"/>
    <w:rsid w:val="002723C4"/>
    <w:rsid w:val="00272931"/>
    <w:rsid w:val="00272FB5"/>
    <w:rsid w:val="00273027"/>
    <w:rsid w:val="00273076"/>
    <w:rsid w:val="00273108"/>
    <w:rsid w:val="0027363D"/>
    <w:rsid w:val="00273810"/>
    <w:rsid w:val="00273833"/>
    <w:rsid w:val="0027393F"/>
    <w:rsid w:val="00273A8D"/>
    <w:rsid w:val="00273C75"/>
    <w:rsid w:val="00273C88"/>
    <w:rsid w:val="00273FD2"/>
    <w:rsid w:val="002747A5"/>
    <w:rsid w:val="002749CB"/>
    <w:rsid w:val="00274B25"/>
    <w:rsid w:val="00274D81"/>
    <w:rsid w:val="00274FF0"/>
    <w:rsid w:val="00275050"/>
    <w:rsid w:val="0027510D"/>
    <w:rsid w:val="00275270"/>
    <w:rsid w:val="00275674"/>
    <w:rsid w:val="00275705"/>
    <w:rsid w:val="00275731"/>
    <w:rsid w:val="00275AAF"/>
    <w:rsid w:val="00275AE2"/>
    <w:rsid w:val="00275BD4"/>
    <w:rsid w:val="00275D6D"/>
    <w:rsid w:val="00275F05"/>
    <w:rsid w:val="00276124"/>
    <w:rsid w:val="0027645F"/>
    <w:rsid w:val="00276764"/>
    <w:rsid w:val="002768D4"/>
    <w:rsid w:val="00276A07"/>
    <w:rsid w:val="00276B72"/>
    <w:rsid w:val="00276EEC"/>
    <w:rsid w:val="00277082"/>
    <w:rsid w:val="00277239"/>
    <w:rsid w:val="0027769A"/>
    <w:rsid w:val="002778F7"/>
    <w:rsid w:val="00277DC8"/>
    <w:rsid w:val="00277E77"/>
    <w:rsid w:val="00277ED7"/>
    <w:rsid w:val="00277EEF"/>
    <w:rsid w:val="00277F03"/>
    <w:rsid w:val="00280295"/>
    <w:rsid w:val="002802F7"/>
    <w:rsid w:val="002802FF"/>
    <w:rsid w:val="002804A5"/>
    <w:rsid w:val="00280A21"/>
    <w:rsid w:val="00280B3F"/>
    <w:rsid w:val="00280C92"/>
    <w:rsid w:val="00280D8A"/>
    <w:rsid w:val="002811A1"/>
    <w:rsid w:val="002811DE"/>
    <w:rsid w:val="002816BF"/>
    <w:rsid w:val="0028188D"/>
    <w:rsid w:val="00281AFB"/>
    <w:rsid w:val="00281B5E"/>
    <w:rsid w:val="00281B87"/>
    <w:rsid w:val="00281F11"/>
    <w:rsid w:val="00282452"/>
    <w:rsid w:val="00282505"/>
    <w:rsid w:val="00282700"/>
    <w:rsid w:val="00282923"/>
    <w:rsid w:val="002829ED"/>
    <w:rsid w:val="00282E09"/>
    <w:rsid w:val="00282E99"/>
    <w:rsid w:val="002833BC"/>
    <w:rsid w:val="0028343D"/>
    <w:rsid w:val="00283B23"/>
    <w:rsid w:val="00283C0E"/>
    <w:rsid w:val="00283E1B"/>
    <w:rsid w:val="00283F6F"/>
    <w:rsid w:val="00284133"/>
    <w:rsid w:val="00284255"/>
    <w:rsid w:val="00284610"/>
    <w:rsid w:val="002849FD"/>
    <w:rsid w:val="00285265"/>
    <w:rsid w:val="0028546E"/>
    <w:rsid w:val="00285489"/>
    <w:rsid w:val="00285976"/>
    <w:rsid w:val="00285B89"/>
    <w:rsid w:val="00285B9A"/>
    <w:rsid w:val="00285C65"/>
    <w:rsid w:val="00285E1D"/>
    <w:rsid w:val="00285E53"/>
    <w:rsid w:val="00286049"/>
    <w:rsid w:val="002860AF"/>
    <w:rsid w:val="00286438"/>
    <w:rsid w:val="002866ED"/>
    <w:rsid w:val="00286E85"/>
    <w:rsid w:val="002870D1"/>
    <w:rsid w:val="002870D8"/>
    <w:rsid w:val="00287223"/>
    <w:rsid w:val="00287372"/>
    <w:rsid w:val="002873AF"/>
    <w:rsid w:val="002874F6"/>
    <w:rsid w:val="00287511"/>
    <w:rsid w:val="00287663"/>
    <w:rsid w:val="00287697"/>
    <w:rsid w:val="00287717"/>
    <w:rsid w:val="00287D93"/>
    <w:rsid w:val="00287DBB"/>
    <w:rsid w:val="00290109"/>
    <w:rsid w:val="00290488"/>
    <w:rsid w:val="002906F1"/>
    <w:rsid w:val="00290D86"/>
    <w:rsid w:val="00290DFF"/>
    <w:rsid w:val="00290E6D"/>
    <w:rsid w:val="00290EA1"/>
    <w:rsid w:val="00291696"/>
    <w:rsid w:val="002917BC"/>
    <w:rsid w:val="002918DA"/>
    <w:rsid w:val="00291C62"/>
    <w:rsid w:val="00291DAC"/>
    <w:rsid w:val="00291F4A"/>
    <w:rsid w:val="0029216D"/>
    <w:rsid w:val="0029236F"/>
    <w:rsid w:val="00292592"/>
    <w:rsid w:val="00292B08"/>
    <w:rsid w:val="00292B4E"/>
    <w:rsid w:val="00292EAF"/>
    <w:rsid w:val="002930AC"/>
    <w:rsid w:val="002930CC"/>
    <w:rsid w:val="002931E0"/>
    <w:rsid w:val="002931E8"/>
    <w:rsid w:val="00293350"/>
    <w:rsid w:val="002933E3"/>
    <w:rsid w:val="002934E4"/>
    <w:rsid w:val="00293604"/>
    <w:rsid w:val="00293829"/>
    <w:rsid w:val="00293B66"/>
    <w:rsid w:val="00293BD8"/>
    <w:rsid w:val="00294438"/>
    <w:rsid w:val="00294808"/>
    <w:rsid w:val="00294A1C"/>
    <w:rsid w:val="00294BCF"/>
    <w:rsid w:val="00294EAD"/>
    <w:rsid w:val="00294ECD"/>
    <w:rsid w:val="00294EDF"/>
    <w:rsid w:val="0029510E"/>
    <w:rsid w:val="0029544C"/>
    <w:rsid w:val="002955B5"/>
    <w:rsid w:val="0029563B"/>
    <w:rsid w:val="002960AC"/>
    <w:rsid w:val="00296183"/>
    <w:rsid w:val="0029638A"/>
    <w:rsid w:val="0029644C"/>
    <w:rsid w:val="0029669C"/>
    <w:rsid w:val="0029672A"/>
    <w:rsid w:val="002967E9"/>
    <w:rsid w:val="002969E1"/>
    <w:rsid w:val="00296BF7"/>
    <w:rsid w:val="00297099"/>
    <w:rsid w:val="00297100"/>
    <w:rsid w:val="002972D8"/>
    <w:rsid w:val="00297465"/>
    <w:rsid w:val="0029753F"/>
    <w:rsid w:val="00297BFE"/>
    <w:rsid w:val="00297F12"/>
    <w:rsid w:val="002A008C"/>
    <w:rsid w:val="002A00F2"/>
    <w:rsid w:val="002A012E"/>
    <w:rsid w:val="002A053D"/>
    <w:rsid w:val="002A0540"/>
    <w:rsid w:val="002A07CD"/>
    <w:rsid w:val="002A0A4C"/>
    <w:rsid w:val="002A0B9E"/>
    <w:rsid w:val="002A0EF3"/>
    <w:rsid w:val="002A0FBC"/>
    <w:rsid w:val="002A13A9"/>
    <w:rsid w:val="002A13C8"/>
    <w:rsid w:val="002A15BF"/>
    <w:rsid w:val="002A16E1"/>
    <w:rsid w:val="002A1810"/>
    <w:rsid w:val="002A18E9"/>
    <w:rsid w:val="002A1A04"/>
    <w:rsid w:val="002A1E4F"/>
    <w:rsid w:val="002A20F5"/>
    <w:rsid w:val="002A22B7"/>
    <w:rsid w:val="002A26FD"/>
    <w:rsid w:val="002A2962"/>
    <w:rsid w:val="002A2B2E"/>
    <w:rsid w:val="002A2DB7"/>
    <w:rsid w:val="002A2F23"/>
    <w:rsid w:val="002A36CC"/>
    <w:rsid w:val="002A3AD3"/>
    <w:rsid w:val="002A3B2B"/>
    <w:rsid w:val="002A4121"/>
    <w:rsid w:val="002A4A6B"/>
    <w:rsid w:val="002A4C8B"/>
    <w:rsid w:val="002A4F40"/>
    <w:rsid w:val="002A5468"/>
    <w:rsid w:val="002A5539"/>
    <w:rsid w:val="002A587F"/>
    <w:rsid w:val="002A6351"/>
    <w:rsid w:val="002A651C"/>
    <w:rsid w:val="002A66E0"/>
    <w:rsid w:val="002A6AB4"/>
    <w:rsid w:val="002A6D84"/>
    <w:rsid w:val="002A707C"/>
    <w:rsid w:val="002A736C"/>
    <w:rsid w:val="002A7396"/>
    <w:rsid w:val="002A756B"/>
    <w:rsid w:val="002A75E2"/>
    <w:rsid w:val="002A7620"/>
    <w:rsid w:val="002A79F1"/>
    <w:rsid w:val="002A7C7E"/>
    <w:rsid w:val="002A7E29"/>
    <w:rsid w:val="002B02B9"/>
    <w:rsid w:val="002B0490"/>
    <w:rsid w:val="002B09AA"/>
    <w:rsid w:val="002B0C6B"/>
    <w:rsid w:val="002B0CD6"/>
    <w:rsid w:val="002B1135"/>
    <w:rsid w:val="002B12F6"/>
    <w:rsid w:val="002B13DB"/>
    <w:rsid w:val="002B16A6"/>
    <w:rsid w:val="002B18C1"/>
    <w:rsid w:val="002B1C9B"/>
    <w:rsid w:val="002B20E1"/>
    <w:rsid w:val="002B2201"/>
    <w:rsid w:val="002B23F9"/>
    <w:rsid w:val="002B2874"/>
    <w:rsid w:val="002B2A43"/>
    <w:rsid w:val="002B2C07"/>
    <w:rsid w:val="002B2CFA"/>
    <w:rsid w:val="002B2EB0"/>
    <w:rsid w:val="002B3007"/>
    <w:rsid w:val="002B32D9"/>
    <w:rsid w:val="002B33A0"/>
    <w:rsid w:val="002B3460"/>
    <w:rsid w:val="002B346B"/>
    <w:rsid w:val="002B380A"/>
    <w:rsid w:val="002B380C"/>
    <w:rsid w:val="002B384A"/>
    <w:rsid w:val="002B3B3D"/>
    <w:rsid w:val="002B4239"/>
    <w:rsid w:val="002B44C0"/>
    <w:rsid w:val="002B4546"/>
    <w:rsid w:val="002B45A4"/>
    <w:rsid w:val="002B470A"/>
    <w:rsid w:val="002B4780"/>
    <w:rsid w:val="002B4844"/>
    <w:rsid w:val="002B4A20"/>
    <w:rsid w:val="002B4B2F"/>
    <w:rsid w:val="002B4EEF"/>
    <w:rsid w:val="002B4FC9"/>
    <w:rsid w:val="002B5429"/>
    <w:rsid w:val="002B548B"/>
    <w:rsid w:val="002B58FF"/>
    <w:rsid w:val="002B5A1C"/>
    <w:rsid w:val="002B5B4A"/>
    <w:rsid w:val="002B616A"/>
    <w:rsid w:val="002B629F"/>
    <w:rsid w:val="002B6322"/>
    <w:rsid w:val="002B639E"/>
    <w:rsid w:val="002B664B"/>
    <w:rsid w:val="002B684A"/>
    <w:rsid w:val="002B6A95"/>
    <w:rsid w:val="002B6D09"/>
    <w:rsid w:val="002B6DCF"/>
    <w:rsid w:val="002B6E30"/>
    <w:rsid w:val="002B7DA2"/>
    <w:rsid w:val="002C09B4"/>
    <w:rsid w:val="002C1516"/>
    <w:rsid w:val="002C161C"/>
    <w:rsid w:val="002C167E"/>
    <w:rsid w:val="002C1933"/>
    <w:rsid w:val="002C1C9D"/>
    <w:rsid w:val="002C1FB5"/>
    <w:rsid w:val="002C2187"/>
    <w:rsid w:val="002C2309"/>
    <w:rsid w:val="002C2B7E"/>
    <w:rsid w:val="002C2C4F"/>
    <w:rsid w:val="002C2D42"/>
    <w:rsid w:val="002C2E3C"/>
    <w:rsid w:val="002C3A7E"/>
    <w:rsid w:val="002C3C5C"/>
    <w:rsid w:val="002C3DA5"/>
    <w:rsid w:val="002C3F20"/>
    <w:rsid w:val="002C404A"/>
    <w:rsid w:val="002C408F"/>
    <w:rsid w:val="002C467F"/>
    <w:rsid w:val="002C46A0"/>
    <w:rsid w:val="002C4AE2"/>
    <w:rsid w:val="002C5004"/>
    <w:rsid w:val="002C5137"/>
    <w:rsid w:val="002C5389"/>
    <w:rsid w:val="002C53B6"/>
    <w:rsid w:val="002C54A8"/>
    <w:rsid w:val="002C5615"/>
    <w:rsid w:val="002C58D4"/>
    <w:rsid w:val="002C5A7F"/>
    <w:rsid w:val="002C5C82"/>
    <w:rsid w:val="002C5CFA"/>
    <w:rsid w:val="002C629D"/>
    <w:rsid w:val="002C635C"/>
    <w:rsid w:val="002C63C8"/>
    <w:rsid w:val="002C654A"/>
    <w:rsid w:val="002C65D9"/>
    <w:rsid w:val="002C6803"/>
    <w:rsid w:val="002C6895"/>
    <w:rsid w:val="002C697E"/>
    <w:rsid w:val="002C6DE8"/>
    <w:rsid w:val="002C71E9"/>
    <w:rsid w:val="002C7846"/>
    <w:rsid w:val="002C7D69"/>
    <w:rsid w:val="002C7D9B"/>
    <w:rsid w:val="002C7EC6"/>
    <w:rsid w:val="002D01E2"/>
    <w:rsid w:val="002D0228"/>
    <w:rsid w:val="002D0351"/>
    <w:rsid w:val="002D0637"/>
    <w:rsid w:val="002D0703"/>
    <w:rsid w:val="002D072F"/>
    <w:rsid w:val="002D0AB2"/>
    <w:rsid w:val="002D0ECF"/>
    <w:rsid w:val="002D122D"/>
    <w:rsid w:val="002D145A"/>
    <w:rsid w:val="002D1505"/>
    <w:rsid w:val="002D15C1"/>
    <w:rsid w:val="002D1634"/>
    <w:rsid w:val="002D1801"/>
    <w:rsid w:val="002D1E86"/>
    <w:rsid w:val="002D2100"/>
    <w:rsid w:val="002D253E"/>
    <w:rsid w:val="002D25FE"/>
    <w:rsid w:val="002D267F"/>
    <w:rsid w:val="002D27CD"/>
    <w:rsid w:val="002D2CA2"/>
    <w:rsid w:val="002D30DA"/>
    <w:rsid w:val="002D3645"/>
    <w:rsid w:val="002D3CBC"/>
    <w:rsid w:val="002D3D15"/>
    <w:rsid w:val="002D3DD3"/>
    <w:rsid w:val="002D3F9A"/>
    <w:rsid w:val="002D41FE"/>
    <w:rsid w:val="002D45C2"/>
    <w:rsid w:val="002D49BC"/>
    <w:rsid w:val="002D4CC3"/>
    <w:rsid w:val="002D4EC7"/>
    <w:rsid w:val="002D5052"/>
    <w:rsid w:val="002D53A8"/>
    <w:rsid w:val="002D5DC6"/>
    <w:rsid w:val="002D6174"/>
    <w:rsid w:val="002D61D2"/>
    <w:rsid w:val="002D63BB"/>
    <w:rsid w:val="002D69E8"/>
    <w:rsid w:val="002D73E0"/>
    <w:rsid w:val="002D7C82"/>
    <w:rsid w:val="002D7DF6"/>
    <w:rsid w:val="002E00F4"/>
    <w:rsid w:val="002E018A"/>
    <w:rsid w:val="002E03D0"/>
    <w:rsid w:val="002E053B"/>
    <w:rsid w:val="002E06B3"/>
    <w:rsid w:val="002E0E8A"/>
    <w:rsid w:val="002E1320"/>
    <w:rsid w:val="002E136D"/>
    <w:rsid w:val="002E162E"/>
    <w:rsid w:val="002E167C"/>
    <w:rsid w:val="002E1828"/>
    <w:rsid w:val="002E1918"/>
    <w:rsid w:val="002E21FE"/>
    <w:rsid w:val="002E22DD"/>
    <w:rsid w:val="002E2BCA"/>
    <w:rsid w:val="002E2C12"/>
    <w:rsid w:val="002E2F02"/>
    <w:rsid w:val="002E2F3F"/>
    <w:rsid w:val="002E2FAF"/>
    <w:rsid w:val="002E331F"/>
    <w:rsid w:val="002E34CB"/>
    <w:rsid w:val="002E3B29"/>
    <w:rsid w:val="002E3B3B"/>
    <w:rsid w:val="002E3DBD"/>
    <w:rsid w:val="002E455D"/>
    <w:rsid w:val="002E474C"/>
    <w:rsid w:val="002E4914"/>
    <w:rsid w:val="002E4C97"/>
    <w:rsid w:val="002E50B2"/>
    <w:rsid w:val="002E554C"/>
    <w:rsid w:val="002E573C"/>
    <w:rsid w:val="002E5990"/>
    <w:rsid w:val="002E5CE3"/>
    <w:rsid w:val="002E5E30"/>
    <w:rsid w:val="002E6010"/>
    <w:rsid w:val="002E60BB"/>
    <w:rsid w:val="002E6427"/>
    <w:rsid w:val="002E647C"/>
    <w:rsid w:val="002E65A2"/>
    <w:rsid w:val="002E68D3"/>
    <w:rsid w:val="002E69FF"/>
    <w:rsid w:val="002E6B89"/>
    <w:rsid w:val="002E6C2F"/>
    <w:rsid w:val="002E7109"/>
    <w:rsid w:val="002E7189"/>
    <w:rsid w:val="002E75AC"/>
    <w:rsid w:val="002E7B21"/>
    <w:rsid w:val="002E7CC7"/>
    <w:rsid w:val="002E7CCA"/>
    <w:rsid w:val="002E7DDF"/>
    <w:rsid w:val="002E7EBC"/>
    <w:rsid w:val="002E7F80"/>
    <w:rsid w:val="002F0CE1"/>
    <w:rsid w:val="002F0D05"/>
    <w:rsid w:val="002F0E69"/>
    <w:rsid w:val="002F125A"/>
    <w:rsid w:val="002F15D2"/>
    <w:rsid w:val="002F1688"/>
    <w:rsid w:val="002F1874"/>
    <w:rsid w:val="002F1BFC"/>
    <w:rsid w:val="002F1D7B"/>
    <w:rsid w:val="002F2039"/>
    <w:rsid w:val="002F2491"/>
    <w:rsid w:val="002F250F"/>
    <w:rsid w:val="002F2838"/>
    <w:rsid w:val="002F28F4"/>
    <w:rsid w:val="002F2945"/>
    <w:rsid w:val="002F2BCA"/>
    <w:rsid w:val="002F2E55"/>
    <w:rsid w:val="002F2F20"/>
    <w:rsid w:val="002F313D"/>
    <w:rsid w:val="002F31FE"/>
    <w:rsid w:val="002F34A8"/>
    <w:rsid w:val="002F366C"/>
    <w:rsid w:val="002F38D1"/>
    <w:rsid w:val="002F38D5"/>
    <w:rsid w:val="002F4041"/>
    <w:rsid w:val="002F4646"/>
    <w:rsid w:val="002F485F"/>
    <w:rsid w:val="002F4B56"/>
    <w:rsid w:val="002F4BD2"/>
    <w:rsid w:val="002F4D9C"/>
    <w:rsid w:val="002F4E17"/>
    <w:rsid w:val="002F4E40"/>
    <w:rsid w:val="002F4EA9"/>
    <w:rsid w:val="002F4F75"/>
    <w:rsid w:val="002F4FCC"/>
    <w:rsid w:val="002F5368"/>
    <w:rsid w:val="002F5573"/>
    <w:rsid w:val="002F5819"/>
    <w:rsid w:val="002F594E"/>
    <w:rsid w:val="002F5CD9"/>
    <w:rsid w:val="002F615D"/>
    <w:rsid w:val="002F6228"/>
    <w:rsid w:val="002F6691"/>
    <w:rsid w:val="002F710E"/>
    <w:rsid w:val="002F71C0"/>
    <w:rsid w:val="002F74ED"/>
    <w:rsid w:val="002F76C6"/>
    <w:rsid w:val="002F7A99"/>
    <w:rsid w:val="002F7AD6"/>
    <w:rsid w:val="00300012"/>
    <w:rsid w:val="0030029D"/>
    <w:rsid w:val="00300512"/>
    <w:rsid w:val="00300BB6"/>
    <w:rsid w:val="00300C5B"/>
    <w:rsid w:val="003011A2"/>
    <w:rsid w:val="00301408"/>
    <w:rsid w:val="003014CC"/>
    <w:rsid w:val="00301521"/>
    <w:rsid w:val="00301BAF"/>
    <w:rsid w:val="00301C2B"/>
    <w:rsid w:val="00301CB8"/>
    <w:rsid w:val="00301EDC"/>
    <w:rsid w:val="00301EE2"/>
    <w:rsid w:val="00302445"/>
    <w:rsid w:val="003025B2"/>
    <w:rsid w:val="00302745"/>
    <w:rsid w:val="0030288B"/>
    <w:rsid w:val="0030299E"/>
    <w:rsid w:val="00302B1E"/>
    <w:rsid w:val="00302B73"/>
    <w:rsid w:val="00302C62"/>
    <w:rsid w:val="00302C98"/>
    <w:rsid w:val="00302CF1"/>
    <w:rsid w:val="00302D3C"/>
    <w:rsid w:val="00302DD4"/>
    <w:rsid w:val="00303598"/>
    <w:rsid w:val="003036E5"/>
    <w:rsid w:val="0030395D"/>
    <w:rsid w:val="00303982"/>
    <w:rsid w:val="003039C8"/>
    <w:rsid w:val="003039E0"/>
    <w:rsid w:val="00303A8E"/>
    <w:rsid w:val="00303B60"/>
    <w:rsid w:val="00303C85"/>
    <w:rsid w:val="00303CF9"/>
    <w:rsid w:val="00303FC2"/>
    <w:rsid w:val="0030548B"/>
    <w:rsid w:val="0030557E"/>
    <w:rsid w:val="003058E7"/>
    <w:rsid w:val="00305957"/>
    <w:rsid w:val="003063C3"/>
    <w:rsid w:val="00306780"/>
    <w:rsid w:val="003068A4"/>
    <w:rsid w:val="00306E03"/>
    <w:rsid w:val="00306E2C"/>
    <w:rsid w:val="00306EBF"/>
    <w:rsid w:val="003072CB"/>
    <w:rsid w:val="003074E9"/>
    <w:rsid w:val="0030751E"/>
    <w:rsid w:val="003076F2"/>
    <w:rsid w:val="00307B68"/>
    <w:rsid w:val="00307C21"/>
    <w:rsid w:val="00307E0E"/>
    <w:rsid w:val="00307F7E"/>
    <w:rsid w:val="00310114"/>
    <w:rsid w:val="003105CC"/>
    <w:rsid w:val="0031061A"/>
    <w:rsid w:val="00310877"/>
    <w:rsid w:val="00310935"/>
    <w:rsid w:val="00310963"/>
    <w:rsid w:val="00310CE3"/>
    <w:rsid w:val="00310D07"/>
    <w:rsid w:val="00310EAF"/>
    <w:rsid w:val="00310EF8"/>
    <w:rsid w:val="00310EFE"/>
    <w:rsid w:val="00310F1E"/>
    <w:rsid w:val="00310FEA"/>
    <w:rsid w:val="0031143B"/>
    <w:rsid w:val="00311548"/>
    <w:rsid w:val="0031178E"/>
    <w:rsid w:val="00311832"/>
    <w:rsid w:val="00311970"/>
    <w:rsid w:val="003119B8"/>
    <w:rsid w:val="00311A79"/>
    <w:rsid w:val="00311ADD"/>
    <w:rsid w:val="00311C30"/>
    <w:rsid w:val="00311F61"/>
    <w:rsid w:val="00312734"/>
    <w:rsid w:val="00312798"/>
    <w:rsid w:val="00313355"/>
    <w:rsid w:val="0031345C"/>
    <w:rsid w:val="00313676"/>
    <w:rsid w:val="003137D6"/>
    <w:rsid w:val="00313A4D"/>
    <w:rsid w:val="00313DCA"/>
    <w:rsid w:val="00313E2E"/>
    <w:rsid w:val="003140EE"/>
    <w:rsid w:val="0031442A"/>
    <w:rsid w:val="00314777"/>
    <w:rsid w:val="003147B3"/>
    <w:rsid w:val="00314EED"/>
    <w:rsid w:val="00314FD8"/>
    <w:rsid w:val="003151FC"/>
    <w:rsid w:val="0031522C"/>
    <w:rsid w:val="003152E2"/>
    <w:rsid w:val="0031534D"/>
    <w:rsid w:val="003158E4"/>
    <w:rsid w:val="00315A12"/>
    <w:rsid w:val="00315AD3"/>
    <w:rsid w:val="00315BE0"/>
    <w:rsid w:val="00315D31"/>
    <w:rsid w:val="00315E6F"/>
    <w:rsid w:val="00315F01"/>
    <w:rsid w:val="003160F3"/>
    <w:rsid w:val="00316427"/>
    <w:rsid w:val="00316448"/>
    <w:rsid w:val="00316713"/>
    <w:rsid w:val="00316785"/>
    <w:rsid w:val="003168EA"/>
    <w:rsid w:val="00316C75"/>
    <w:rsid w:val="00316D34"/>
    <w:rsid w:val="00316D43"/>
    <w:rsid w:val="00316D49"/>
    <w:rsid w:val="00316E0A"/>
    <w:rsid w:val="003171EF"/>
    <w:rsid w:val="003172DC"/>
    <w:rsid w:val="0031772C"/>
    <w:rsid w:val="00317F4D"/>
    <w:rsid w:val="00317F77"/>
    <w:rsid w:val="00320091"/>
    <w:rsid w:val="00320768"/>
    <w:rsid w:val="00320BC5"/>
    <w:rsid w:val="00320C05"/>
    <w:rsid w:val="00320DB3"/>
    <w:rsid w:val="00320EF5"/>
    <w:rsid w:val="00321199"/>
    <w:rsid w:val="0032143A"/>
    <w:rsid w:val="00321460"/>
    <w:rsid w:val="0032153B"/>
    <w:rsid w:val="003215BC"/>
    <w:rsid w:val="00321613"/>
    <w:rsid w:val="003216EA"/>
    <w:rsid w:val="003216FA"/>
    <w:rsid w:val="003217E3"/>
    <w:rsid w:val="00321AD6"/>
    <w:rsid w:val="00321AFB"/>
    <w:rsid w:val="0032237F"/>
    <w:rsid w:val="003226EE"/>
    <w:rsid w:val="00322968"/>
    <w:rsid w:val="00322A64"/>
    <w:rsid w:val="00322B1B"/>
    <w:rsid w:val="00322BC3"/>
    <w:rsid w:val="00322C40"/>
    <w:rsid w:val="00322E6A"/>
    <w:rsid w:val="0032309C"/>
    <w:rsid w:val="003232C4"/>
    <w:rsid w:val="00323659"/>
    <w:rsid w:val="00323EEE"/>
    <w:rsid w:val="0032426E"/>
    <w:rsid w:val="00324497"/>
    <w:rsid w:val="00324644"/>
    <w:rsid w:val="00324861"/>
    <w:rsid w:val="00324923"/>
    <w:rsid w:val="0032496E"/>
    <w:rsid w:val="00324E03"/>
    <w:rsid w:val="003254FF"/>
    <w:rsid w:val="00325C38"/>
    <w:rsid w:val="00325E17"/>
    <w:rsid w:val="00325FD6"/>
    <w:rsid w:val="00326282"/>
    <w:rsid w:val="00326640"/>
    <w:rsid w:val="003266EA"/>
    <w:rsid w:val="0032675A"/>
    <w:rsid w:val="00326785"/>
    <w:rsid w:val="00326896"/>
    <w:rsid w:val="003269CA"/>
    <w:rsid w:val="00326C49"/>
    <w:rsid w:val="00326DFE"/>
    <w:rsid w:val="00327031"/>
    <w:rsid w:val="0032703C"/>
    <w:rsid w:val="00327130"/>
    <w:rsid w:val="00327180"/>
    <w:rsid w:val="00327449"/>
    <w:rsid w:val="003274D2"/>
    <w:rsid w:val="003277BB"/>
    <w:rsid w:val="0032782B"/>
    <w:rsid w:val="00327DF9"/>
    <w:rsid w:val="003306AF"/>
    <w:rsid w:val="00330A00"/>
    <w:rsid w:val="00330B03"/>
    <w:rsid w:val="00330CBE"/>
    <w:rsid w:val="00330DF5"/>
    <w:rsid w:val="00330FBE"/>
    <w:rsid w:val="00331012"/>
    <w:rsid w:val="0033145C"/>
    <w:rsid w:val="0033197A"/>
    <w:rsid w:val="003319AE"/>
    <w:rsid w:val="00331AA5"/>
    <w:rsid w:val="00331EEC"/>
    <w:rsid w:val="00331FA0"/>
    <w:rsid w:val="0033208E"/>
    <w:rsid w:val="00332318"/>
    <w:rsid w:val="003323DF"/>
    <w:rsid w:val="003325A7"/>
    <w:rsid w:val="003326C0"/>
    <w:rsid w:val="003326DD"/>
    <w:rsid w:val="00332B6B"/>
    <w:rsid w:val="00332CDA"/>
    <w:rsid w:val="00332FC1"/>
    <w:rsid w:val="00333019"/>
    <w:rsid w:val="003330D5"/>
    <w:rsid w:val="00333430"/>
    <w:rsid w:val="003337FA"/>
    <w:rsid w:val="0033392A"/>
    <w:rsid w:val="003339B2"/>
    <w:rsid w:val="00333AD3"/>
    <w:rsid w:val="00333CAE"/>
    <w:rsid w:val="00333CC9"/>
    <w:rsid w:val="00333FE2"/>
    <w:rsid w:val="00334037"/>
    <w:rsid w:val="003340A0"/>
    <w:rsid w:val="0033418B"/>
    <w:rsid w:val="00334269"/>
    <w:rsid w:val="00334777"/>
    <w:rsid w:val="00334945"/>
    <w:rsid w:val="00334CE8"/>
    <w:rsid w:val="00335104"/>
    <w:rsid w:val="003353AD"/>
    <w:rsid w:val="003354FB"/>
    <w:rsid w:val="003357E2"/>
    <w:rsid w:val="00335854"/>
    <w:rsid w:val="0033591F"/>
    <w:rsid w:val="00335ED9"/>
    <w:rsid w:val="003369BE"/>
    <w:rsid w:val="00336AF4"/>
    <w:rsid w:val="00336DE5"/>
    <w:rsid w:val="00336EE6"/>
    <w:rsid w:val="00336FF7"/>
    <w:rsid w:val="00337037"/>
    <w:rsid w:val="003371E4"/>
    <w:rsid w:val="0033729C"/>
    <w:rsid w:val="003374C9"/>
    <w:rsid w:val="0033785B"/>
    <w:rsid w:val="00337B64"/>
    <w:rsid w:val="00337D31"/>
    <w:rsid w:val="00337DD8"/>
    <w:rsid w:val="00337E48"/>
    <w:rsid w:val="00337E5D"/>
    <w:rsid w:val="0034026F"/>
    <w:rsid w:val="003403FD"/>
    <w:rsid w:val="00340507"/>
    <w:rsid w:val="00340577"/>
    <w:rsid w:val="00340721"/>
    <w:rsid w:val="0034089E"/>
    <w:rsid w:val="00340A49"/>
    <w:rsid w:val="00340B65"/>
    <w:rsid w:val="00340DF4"/>
    <w:rsid w:val="00340E8C"/>
    <w:rsid w:val="00340FAB"/>
    <w:rsid w:val="003417DA"/>
    <w:rsid w:val="003418D7"/>
    <w:rsid w:val="00341A2F"/>
    <w:rsid w:val="00341D91"/>
    <w:rsid w:val="00341FFF"/>
    <w:rsid w:val="00342169"/>
    <w:rsid w:val="0034227C"/>
    <w:rsid w:val="003422FD"/>
    <w:rsid w:val="00342495"/>
    <w:rsid w:val="00342577"/>
    <w:rsid w:val="00342612"/>
    <w:rsid w:val="0034309E"/>
    <w:rsid w:val="003435C2"/>
    <w:rsid w:val="00343928"/>
    <w:rsid w:val="0034396A"/>
    <w:rsid w:val="00343B1C"/>
    <w:rsid w:val="00343C29"/>
    <w:rsid w:val="00343D47"/>
    <w:rsid w:val="00344151"/>
    <w:rsid w:val="003442C9"/>
    <w:rsid w:val="0034444E"/>
    <w:rsid w:val="003446F2"/>
    <w:rsid w:val="003447D8"/>
    <w:rsid w:val="00344994"/>
    <w:rsid w:val="003453AF"/>
    <w:rsid w:val="003453D4"/>
    <w:rsid w:val="00345854"/>
    <w:rsid w:val="0034599D"/>
    <w:rsid w:val="00345A7F"/>
    <w:rsid w:val="00345FC2"/>
    <w:rsid w:val="00346022"/>
    <w:rsid w:val="003467D4"/>
    <w:rsid w:val="00346930"/>
    <w:rsid w:val="00346B6A"/>
    <w:rsid w:val="00346EAE"/>
    <w:rsid w:val="00347262"/>
    <w:rsid w:val="003473BD"/>
    <w:rsid w:val="00347422"/>
    <w:rsid w:val="00347597"/>
    <w:rsid w:val="003478F3"/>
    <w:rsid w:val="003503AE"/>
    <w:rsid w:val="003504BF"/>
    <w:rsid w:val="00350547"/>
    <w:rsid w:val="00350753"/>
    <w:rsid w:val="00350B54"/>
    <w:rsid w:val="00350EFE"/>
    <w:rsid w:val="0035101B"/>
    <w:rsid w:val="0035140E"/>
    <w:rsid w:val="00351564"/>
    <w:rsid w:val="0035157B"/>
    <w:rsid w:val="00351817"/>
    <w:rsid w:val="00351CF1"/>
    <w:rsid w:val="00352134"/>
    <w:rsid w:val="003522AB"/>
    <w:rsid w:val="00352532"/>
    <w:rsid w:val="0035267C"/>
    <w:rsid w:val="00352A8B"/>
    <w:rsid w:val="003530A1"/>
    <w:rsid w:val="003530A2"/>
    <w:rsid w:val="0035374A"/>
    <w:rsid w:val="0035395E"/>
    <w:rsid w:val="003539CE"/>
    <w:rsid w:val="003541DB"/>
    <w:rsid w:val="0035421B"/>
    <w:rsid w:val="003543AB"/>
    <w:rsid w:val="003543D8"/>
    <w:rsid w:val="00354F36"/>
    <w:rsid w:val="0035517E"/>
    <w:rsid w:val="00355252"/>
    <w:rsid w:val="00355E6A"/>
    <w:rsid w:val="00355FBC"/>
    <w:rsid w:val="003564A8"/>
    <w:rsid w:val="00356783"/>
    <w:rsid w:val="003567E0"/>
    <w:rsid w:val="00357083"/>
    <w:rsid w:val="00357888"/>
    <w:rsid w:val="00360021"/>
    <w:rsid w:val="00360127"/>
    <w:rsid w:val="0036026A"/>
    <w:rsid w:val="003604A4"/>
    <w:rsid w:val="003605FF"/>
    <w:rsid w:val="003607BB"/>
    <w:rsid w:val="003608CC"/>
    <w:rsid w:val="00360ABC"/>
    <w:rsid w:val="00360AEA"/>
    <w:rsid w:val="00360AEF"/>
    <w:rsid w:val="00360EE5"/>
    <w:rsid w:val="003614A7"/>
    <w:rsid w:val="00361557"/>
    <w:rsid w:val="00361911"/>
    <w:rsid w:val="00361DF5"/>
    <w:rsid w:val="00362348"/>
    <w:rsid w:val="00362453"/>
    <w:rsid w:val="003627B2"/>
    <w:rsid w:val="003629B9"/>
    <w:rsid w:val="00362A72"/>
    <w:rsid w:val="00362C2A"/>
    <w:rsid w:val="00362CD9"/>
    <w:rsid w:val="003631CF"/>
    <w:rsid w:val="003633D9"/>
    <w:rsid w:val="0036378A"/>
    <w:rsid w:val="00363B3F"/>
    <w:rsid w:val="003640B8"/>
    <w:rsid w:val="00364477"/>
    <w:rsid w:val="0036464F"/>
    <w:rsid w:val="00364727"/>
    <w:rsid w:val="00364AAE"/>
    <w:rsid w:val="00364C04"/>
    <w:rsid w:val="00364E35"/>
    <w:rsid w:val="00364FDB"/>
    <w:rsid w:val="00365368"/>
    <w:rsid w:val="00365380"/>
    <w:rsid w:val="0036559B"/>
    <w:rsid w:val="0036567F"/>
    <w:rsid w:val="00365895"/>
    <w:rsid w:val="0036591D"/>
    <w:rsid w:val="00365962"/>
    <w:rsid w:val="00365CB4"/>
    <w:rsid w:val="00365E41"/>
    <w:rsid w:val="00365E51"/>
    <w:rsid w:val="0036655A"/>
    <w:rsid w:val="003666EC"/>
    <w:rsid w:val="00366D4A"/>
    <w:rsid w:val="00366D9F"/>
    <w:rsid w:val="00366F75"/>
    <w:rsid w:val="003673D3"/>
    <w:rsid w:val="00367473"/>
    <w:rsid w:val="003675BD"/>
    <w:rsid w:val="0036768A"/>
    <w:rsid w:val="003677B4"/>
    <w:rsid w:val="00367DA9"/>
    <w:rsid w:val="00367DC1"/>
    <w:rsid w:val="00370270"/>
    <w:rsid w:val="00370337"/>
    <w:rsid w:val="003703EB"/>
    <w:rsid w:val="00370427"/>
    <w:rsid w:val="0037045B"/>
    <w:rsid w:val="00370515"/>
    <w:rsid w:val="00370906"/>
    <w:rsid w:val="003709F0"/>
    <w:rsid w:val="00370F23"/>
    <w:rsid w:val="00370FB8"/>
    <w:rsid w:val="003710CB"/>
    <w:rsid w:val="003713B7"/>
    <w:rsid w:val="00371605"/>
    <w:rsid w:val="003716EE"/>
    <w:rsid w:val="003718F7"/>
    <w:rsid w:val="00371B99"/>
    <w:rsid w:val="00371D35"/>
    <w:rsid w:val="003720EE"/>
    <w:rsid w:val="00372266"/>
    <w:rsid w:val="003722A4"/>
    <w:rsid w:val="00372317"/>
    <w:rsid w:val="003727E4"/>
    <w:rsid w:val="00372A0B"/>
    <w:rsid w:val="00372BF7"/>
    <w:rsid w:val="00372E30"/>
    <w:rsid w:val="00373020"/>
    <w:rsid w:val="003731A2"/>
    <w:rsid w:val="00373209"/>
    <w:rsid w:val="00373891"/>
    <w:rsid w:val="00373BE9"/>
    <w:rsid w:val="00373C34"/>
    <w:rsid w:val="00373CA6"/>
    <w:rsid w:val="00373D84"/>
    <w:rsid w:val="00373E5B"/>
    <w:rsid w:val="0037405F"/>
    <w:rsid w:val="00374560"/>
    <w:rsid w:val="003746C4"/>
    <w:rsid w:val="00374C08"/>
    <w:rsid w:val="00374F53"/>
    <w:rsid w:val="003751AA"/>
    <w:rsid w:val="003751E0"/>
    <w:rsid w:val="003751ED"/>
    <w:rsid w:val="003753A8"/>
    <w:rsid w:val="00375747"/>
    <w:rsid w:val="00375B15"/>
    <w:rsid w:val="00375BBB"/>
    <w:rsid w:val="00375F46"/>
    <w:rsid w:val="003761A0"/>
    <w:rsid w:val="00376794"/>
    <w:rsid w:val="00376A53"/>
    <w:rsid w:val="00376A8C"/>
    <w:rsid w:val="00376D27"/>
    <w:rsid w:val="0037724E"/>
    <w:rsid w:val="003777A1"/>
    <w:rsid w:val="00377C91"/>
    <w:rsid w:val="00377EBA"/>
    <w:rsid w:val="003805C2"/>
    <w:rsid w:val="003806A0"/>
    <w:rsid w:val="003808A4"/>
    <w:rsid w:val="00380BB5"/>
    <w:rsid w:val="0038195F"/>
    <w:rsid w:val="00381BD3"/>
    <w:rsid w:val="00381CF3"/>
    <w:rsid w:val="00381D19"/>
    <w:rsid w:val="0038238A"/>
    <w:rsid w:val="00382536"/>
    <w:rsid w:val="003825B8"/>
    <w:rsid w:val="00382749"/>
    <w:rsid w:val="00382778"/>
    <w:rsid w:val="00382DF0"/>
    <w:rsid w:val="0038374B"/>
    <w:rsid w:val="00383AD2"/>
    <w:rsid w:val="003841DC"/>
    <w:rsid w:val="0038443F"/>
    <w:rsid w:val="003848D6"/>
    <w:rsid w:val="00384B2C"/>
    <w:rsid w:val="00384DBC"/>
    <w:rsid w:val="00384EA7"/>
    <w:rsid w:val="00384FA7"/>
    <w:rsid w:val="00385069"/>
    <w:rsid w:val="0038595D"/>
    <w:rsid w:val="00385DB3"/>
    <w:rsid w:val="00385FD3"/>
    <w:rsid w:val="003860FB"/>
    <w:rsid w:val="0038624C"/>
    <w:rsid w:val="00386376"/>
    <w:rsid w:val="003866B3"/>
    <w:rsid w:val="003868D6"/>
    <w:rsid w:val="00386C0A"/>
    <w:rsid w:val="00386DEF"/>
    <w:rsid w:val="00387066"/>
    <w:rsid w:val="0038711D"/>
    <w:rsid w:val="00387D60"/>
    <w:rsid w:val="00387D69"/>
    <w:rsid w:val="00390431"/>
    <w:rsid w:val="0039081C"/>
    <w:rsid w:val="00390A2D"/>
    <w:rsid w:val="00390B4C"/>
    <w:rsid w:val="00390B9A"/>
    <w:rsid w:val="0039105B"/>
    <w:rsid w:val="0039154C"/>
    <w:rsid w:val="00391561"/>
    <w:rsid w:val="00391767"/>
    <w:rsid w:val="00391894"/>
    <w:rsid w:val="00391B1E"/>
    <w:rsid w:val="00391BFA"/>
    <w:rsid w:val="00391F69"/>
    <w:rsid w:val="00391FD3"/>
    <w:rsid w:val="0039226F"/>
    <w:rsid w:val="00392806"/>
    <w:rsid w:val="00392A7B"/>
    <w:rsid w:val="00392D8A"/>
    <w:rsid w:val="00392FD8"/>
    <w:rsid w:val="00393159"/>
    <w:rsid w:val="003933AE"/>
    <w:rsid w:val="0039361B"/>
    <w:rsid w:val="0039370A"/>
    <w:rsid w:val="003940F4"/>
    <w:rsid w:val="003943CD"/>
    <w:rsid w:val="00395165"/>
    <w:rsid w:val="00395270"/>
    <w:rsid w:val="00395578"/>
    <w:rsid w:val="00395706"/>
    <w:rsid w:val="00395A9A"/>
    <w:rsid w:val="00395B47"/>
    <w:rsid w:val="0039618A"/>
    <w:rsid w:val="00396625"/>
    <w:rsid w:val="003974F7"/>
    <w:rsid w:val="00397E4E"/>
    <w:rsid w:val="00397ED2"/>
    <w:rsid w:val="003A03CD"/>
    <w:rsid w:val="003A04CF"/>
    <w:rsid w:val="003A05C7"/>
    <w:rsid w:val="003A0907"/>
    <w:rsid w:val="003A0963"/>
    <w:rsid w:val="003A121F"/>
    <w:rsid w:val="003A166B"/>
    <w:rsid w:val="003A174B"/>
    <w:rsid w:val="003A1822"/>
    <w:rsid w:val="003A1D59"/>
    <w:rsid w:val="003A2155"/>
    <w:rsid w:val="003A2209"/>
    <w:rsid w:val="003A22C4"/>
    <w:rsid w:val="003A22CE"/>
    <w:rsid w:val="003A24FF"/>
    <w:rsid w:val="003A2571"/>
    <w:rsid w:val="003A26CE"/>
    <w:rsid w:val="003A2BD5"/>
    <w:rsid w:val="003A2F48"/>
    <w:rsid w:val="003A323F"/>
    <w:rsid w:val="003A324C"/>
    <w:rsid w:val="003A32CA"/>
    <w:rsid w:val="003A339E"/>
    <w:rsid w:val="003A370D"/>
    <w:rsid w:val="003A37BA"/>
    <w:rsid w:val="003A3DDA"/>
    <w:rsid w:val="003A3E68"/>
    <w:rsid w:val="003A4372"/>
    <w:rsid w:val="003A468D"/>
    <w:rsid w:val="003A4847"/>
    <w:rsid w:val="003A4880"/>
    <w:rsid w:val="003A4A92"/>
    <w:rsid w:val="003A4AFF"/>
    <w:rsid w:val="003A4CAA"/>
    <w:rsid w:val="003A4CF9"/>
    <w:rsid w:val="003A502C"/>
    <w:rsid w:val="003A50F4"/>
    <w:rsid w:val="003A5823"/>
    <w:rsid w:val="003A58D7"/>
    <w:rsid w:val="003A5D9E"/>
    <w:rsid w:val="003A5DA1"/>
    <w:rsid w:val="003A62B3"/>
    <w:rsid w:val="003A637E"/>
    <w:rsid w:val="003A6553"/>
    <w:rsid w:val="003A66C4"/>
    <w:rsid w:val="003A67B9"/>
    <w:rsid w:val="003A6D67"/>
    <w:rsid w:val="003A6E5C"/>
    <w:rsid w:val="003A711A"/>
    <w:rsid w:val="003A7424"/>
    <w:rsid w:val="003A74D0"/>
    <w:rsid w:val="003A7597"/>
    <w:rsid w:val="003A76E9"/>
    <w:rsid w:val="003A78EA"/>
    <w:rsid w:val="003A7A7F"/>
    <w:rsid w:val="003A7FA2"/>
    <w:rsid w:val="003B049F"/>
    <w:rsid w:val="003B04AD"/>
    <w:rsid w:val="003B05C2"/>
    <w:rsid w:val="003B0D44"/>
    <w:rsid w:val="003B0DA0"/>
    <w:rsid w:val="003B0FEF"/>
    <w:rsid w:val="003B1042"/>
    <w:rsid w:val="003B1068"/>
    <w:rsid w:val="003B1169"/>
    <w:rsid w:val="003B11A4"/>
    <w:rsid w:val="003B1523"/>
    <w:rsid w:val="003B1A7F"/>
    <w:rsid w:val="003B1AE3"/>
    <w:rsid w:val="003B1B1B"/>
    <w:rsid w:val="003B22A9"/>
    <w:rsid w:val="003B2324"/>
    <w:rsid w:val="003B2632"/>
    <w:rsid w:val="003B2CDD"/>
    <w:rsid w:val="003B2F1C"/>
    <w:rsid w:val="003B2F4A"/>
    <w:rsid w:val="003B3009"/>
    <w:rsid w:val="003B339A"/>
    <w:rsid w:val="003B3402"/>
    <w:rsid w:val="003B34B3"/>
    <w:rsid w:val="003B34EE"/>
    <w:rsid w:val="003B3606"/>
    <w:rsid w:val="003B378C"/>
    <w:rsid w:val="003B3926"/>
    <w:rsid w:val="003B3B18"/>
    <w:rsid w:val="003B3C15"/>
    <w:rsid w:val="003B3D56"/>
    <w:rsid w:val="003B3D9F"/>
    <w:rsid w:val="003B3DAB"/>
    <w:rsid w:val="003B3E26"/>
    <w:rsid w:val="003B444E"/>
    <w:rsid w:val="003B4847"/>
    <w:rsid w:val="003B4A7A"/>
    <w:rsid w:val="003B4FEF"/>
    <w:rsid w:val="003B562D"/>
    <w:rsid w:val="003B56AD"/>
    <w:rsid w:val="003B5AB2"/>
    <w:rsid w:val="003B5C1E"/>
    <w:rsid w:val="003B5E14"/>
    <w:rsid w:val="003B6411"/>
    <w:rsid w:val="003B6BA3"/>
    <w:rsid w:val="003B6E62"/>
    <w:rsid w:val="003B749B"/>
    <w:rsid w:val="003B7873"/>
    <w:rsid w:val="003B787C"/>
    <w:rsid w:val="003B7A09"/>
    <w:rsid w:val="003B7B6D"/>
    <w:rsid w:val="003B7F09"/>
    <w:rsid w:val="003B7F7B"/>
    <w:rsid w:val="003C07AE"/>
    <w:rsid w:val="003C07ED"/>
    <w:rsid w:val="003C0947"/>
    <w:rsid w:val="003C09E3"/>
    <w:rsid w:val="003C0A30"/>
    <w:rsid w:val="003C14A8"/>
    <w:rsid w:val="003C1979"/>
    <w:rsid w:val="003C198B"/>
    <w:rsid w:val="003C1F04"/>
    <w:rsid w:val="003C2413"/>
    <w:rsid w:val="003C2733"/>
    <w:rsid w:val="003C27B6"/>
    <w:rsid w:val="003C2800"/>
    <w:rsid w:val="003C28F1"/>
    <w:rsid w:val="003C2F05"/>
    <w:rsid w:val="003C3399"/>
    <w:rsid w:val="003C38C9"/>
    <w:rsid w:val="003C39C4"/>
    <w:rsid w:val="003C3C36"/>
    <w:rsid w:val="003C3D96"/>
    <w:rsid w:val="003C4204"/>
    <w:rsid w:val="003C442B"/>
    <w:rsid w:val="003C4528"/>
    <w:rsid w:val="003C4BED"/>
    <w:rsid w:val="003C4EEC"/>
    <w:rsid w:val="003C5430"/>
    <w:rsid w:val="003C55EA"/>
    <w:rsid w:val="003C5645"/>
    <w:rsid w:val="003C5704"/>
    <w:rsid w:val="003C57D2"/>
    <w:rsid w:val="003C584A"/>
    <w:rsid w:val="003C5CFC"/>
    <w:rsid w:val="003C5DA9"/>
    <w:rsid w:val="003C654E"/>
    <w:rsid w:val="003C6E78"/>
    <w:rsid w:val="003C7158"/>
    <w:rsid w:val="003C7519"/>
    <w:rsid w:val="003C79F3"/>
    <w:rsid w:val="003C7DB6"/>
    <w:rsid w:val="003C7E25"/>
    <w:rsid w:val="003D0251"/>
    <w:rsid w:val="003D0447"/>
    <w:rsid w:val="003D08B3"/>
    <w:rsid w:val="003D0BF4"/>
    <w:rsid w:val="003D0C01"/>
    <w:rsid w:val="003D0CED"/>
    <w:rsid w:val="003D0D37"/>
    <w:rsid w:val="003D0EED"/>
    <w:rsid w:val="003D14D7"/>
    <w:rsid w:val="003D174E"/>
    <w:rsid w:val="003D193C"/>
    <w:rsid w:val="003D1BD4"/>
    <w:rsid w:val="003D1C94"/>
    <w:rsid w:val="003D1D10"/>
    <w:rsid w:val="003D1F2A"/>
    <w:rsid w:val="003D24DD"/>
    <w:rsid w:val="003D2645"/>
    <w:rsid w:val="003D2714"/>
    <w:rsid w:val="003D293A"/>
    <w:rsid w:val="003D2C4D"/>
    <w:rsid w:val="003D2E4C"/>
    <w:rsid w:val="003D2E65"/>
    <w:rsid w:val="003D3294"/>
    <w:rsid w:val="003D32C3"/>
    <w:rsid w:val="003D3417"/>
    <w:rsid w:val="003D3440"/>
    <w:rsid w:val="003D3613"/>
    <w:rsid w:val="003D3C2E"/>
    <w:rsid w:val="003D40A2"/>
    <w:rsid w:val="003D4637"/>
    <w:rsid w:val="003D48F3"/>
    <w:rsid w:val="003D495C"/>
    <w:rsid w:val="003D49B8"/>
    <w:rsid w:val="003D4C56"/>
    <w:rsid w:val="003D4D1D"/>
    <w:rsid w:val="003D4F36"/>
    <w:rsid w:val="003D4F49"/>
    <w:rsid w:val="003D4F5D"/>
    <w:rsid w:val="003D51CC"/>
    <w:rsid w:val="003D5635"/>
    <w:rsid w:val="003D5912"/>
    <w:rsid w:val="003D5976"/>
    <w:rsid w:val="003D5A9C"/>
    <w:rsid w:val="003D5C11"/>
    <w:rsid w:val="003D61D2"/>
    <w:rsid w:val="003D62B3"/>
    <w:rsid w:val="003D62E9"/>
    <w:rsid w:val="003D633F"/>
    <w:rsid w:val="003D636A"/>
    <w:rsid w:val="003D6730"/>
    <w:rsid w:val="003D6942"/>
    <w:rsid w:val="003D6DA3"/>
    <w:rsid w:val="003D6FCF"/>
    <w:rsid w:val="003D7027"/>
    <w:rsid w:val="003D745E"/>
    <w:rsid w:val="003D7463"/>
    <w:rsid w:val="003D7515"/>
    <w:rsid w:val="003D7587"/>
    <w:rsid w:val="003D7646"/>
    <w:rsid w:val="003D78A1"/>
    <w:rsid w:val="003D7930"/>
    <w:rsid w:val="003D7B4A"/>
    <w:rsid w:val="003E0585"/>
    <w:rsid w:val="003E0592"/>
    <w:rsid w:val="003E0D2C"/>
    <w:rsid w:val="003E0F58"/>
    <w:rsid w:val="003E1367"/>
    <w:rsid w:val="003E153D"/>
    <w:rsid w:val="003E16DF"/>
    <w:rsid w:val="003E18E4"/>
    <w:rsid w:val="003E1BB8"/>
    <w:rsid w:val="003E1C40"/>
    <w:rsid w:val="003E1F79"/>
    <w:rsid w:val="003E21EC"/>
    <w:rsid w:val="003E28CA"/>
    <w:rsid w:val="003E2A5B"/>
    <w:rsid w:val="003E2BD7"/>
    <w:rsid w:val="003E2D1E"/>
    <w:rsid w:val="003E3484"/>
    <w:rsid w:val="003E3A75"/>
    <w:rsid w:val="003E3D90"/>
    <w:rsid w:val="003E41D9"/>
    <w:rsid w:val="003E429E"/>
    <w:rsid w:val="003E4450"/>
    <w:rsid w:val="003E4697"/>
    <w:rsid w:val="003E475C"/>
    <w:rsid w:val="003E4843"/>
    <w:rsid w:val="003E4ABF"/>
    <w:rsid w:val="003E4B51"/>
    <w:rsid w:val="003E4BA1"/>
    <w:rsid w:val="003E4D75"/>
    <w:rsid w:val="003E550F"/>
    <w:rsid w:val="003E56D8"/>
    <w:rsid w:val="003E5A86"/>
    <w:rsid w:val="003E5AE2"/>
    <w:rsid w:val="003E5BEE"/>
    <w:rsid w:val="003E5E28"/>
    <w:rsid w:val="003E5F55"/>
    <w:rsid w:val="003E6255"/>
    <w:rsid w:val="003E6300"/>
    <w:rsid w:val="003E65F3"/>
    <w:rsid w:val="003E691A"/>
    <w:rsid w:val="003E6944"/>
    <w:rsid w:val="003E694A"/>
    <w:rsid w:val="003E6973"/>
    <w:rsid w:val="003E6A81"/>
    <w:rsid w:val="003E6CAE"/>
    <w:rsid w:val="003E6DEE"/>
    <w:rsid w:val="003E6E36"/>
    <w:rsid w:val="003E6EF1"/>
    <w:rsid w:val="003E7793"/>
    <w:rsid w:val="003E7F24"/>
    <w:rsid w:val="003F01D0"/>
    <w:rsid w:val="003F023E"/>
    <w:rsid w:val="003F0319"/>
    <w:rsid w:val="003F04A9"/>
    <w:rsid w:val="003F09FF"/>
    <w:rsid w:val="003F0A7E"/>
    <w:rsid w:val="003F0B28"/>
    <w:rsid w:val="003F112D"/>
    <w:rsid w:val="003F16B7"/>
    <w:rsid w:val="003F16E0"/>
    <w:rsid w:val="003F1785"/>
    <w:rsid w:val="003F1E81"/>
    <w:rsid w:val="003F1E8E"/>
    <w:rsid w:val="003F24C9"/>
    <w:rsid w:val="003F2831"/>
    <w:rsid w:val="003F28F2"/>
    <w:rsid w:val="003F2C5D"/>
    <w:rsid w:val="003F2D00"/>
    <w:rsid w:val="003F2E55"/>
    <w:rsid w:val="003F2FA7"/>
    <w:rsid w:val="003F32BA"/>
    <w:rsid w:val="003F3432"/>
    <w:rsid w:val="003F39D9"/>
    <w:rsid w:val="003F3E26"/>
    <w:rsid w:val="003F42CC"/>
    <w:rsid w:val="003F435E"/>
    <w:rsid w:val="003F4653"/>
    <w:rsid w:val="003F4805"/>
    <w:rsid w:val="003F4842"/>
    <w:rsid w:val="003F4967"/>
    <w:rsid w:val="003F49D4"/>
    <w:rsid w:val="003F4A3A"/>
    <w:rsid w:val="003F4D93"/>
    <w:rsid w:val="003F52C9"/>
    <w:rsid w:val="003F57AF"/>
    <w:rsid w:val="003F5A3D"/>
    <w:rsid w:val="003F5FBB"/>
    <w:rsid w:val="003F5FD4"/>
    <w:rsid w:val="003F62A0"/>
    <w:rsid w:val="003F65C2"/>
    <w:rsid w:val="003F675F"/>
    <w:rsid w:val="003F68DF"/>
    <w:rsid w:val="003F6EAA"/>
    <w:rsid w:val="003F6EB1"/>
    <w:rsid w:val="003F6F6D"/>
    <w:rsid w:val="003F72C4"/>
    <w:rsid w:val="003F739A"/>
    <w:rsid w:val="003F73B2"/>
    <w:rsid w:val="003F7426"/>
    <w:rsid w:val="003F77FA"/>
    <w:rsid w:val="00400174"/>
    <w:rsid w:val="004002A3"/>
    <w:rsid w:val="004002F8"/>
    <w:rsid w:val="0040115A"/>
    <w:rsid w:val="00401410"/>
    <w:rsid w:val="0040145F"/>
    <w:rsid w:val="004015EF"/>
    <w:rsid w:val="00401742"/>
    <w:rsid w:val="00401A7B"/>
    <w:rsid w:val="00401B65"/>
    <w:rsid w:val="0040232A"/>
    <w:rsid w:val="00402531"/>
    <w:rsid w:val="004025E2"/>
    <w:rsid w:val="0040261C"/>
    <w:rsid w:val="004026B6"/>
    <w:rsid w:val="004029D1"/>
    <w:rsid w:val="00402D06"/>
    <w:rsid w:val="00402D8B"/>
    <w:rsid w:val="00402EFF"/>
    <w:rsid w:val="0040302B"/>
    <w:rsid w:val="004032D5"/>
    <w:rsid w:val="0040367E"/>
    <w:rsid w:val="00403B69"/>
    <w:rsid w:val="00403BFD"/>
    <w:rsid w:val="00403E24"/>
    <w:rsid w:val="00403F1D"/>
    <w:rsid w:val="00403FC4"/>
    <w:rsid w:val="00404341"/>
    <w:rsid w:val="00404474"/>
    <w:rsid w:val="00404553"/>
    <w:rsid w:val="004048DE"/>
    <w:rsid w:val="00404D2B"/>
    <w:rsid w:val="00404DF9"/>
    <w:rsid w:val="00404ED5"/>
    <w:rsid w:val="004050A2"/>
    <w:rsid w:val="0040550E"/>
    <w:rsid w:val="00405559"/>
    <w:rsid w:val="00405604"/>
    <w:rsid w:val="00405892"/>
    <w:rsid w:val="00405A38"/>
    <w:rsid w:val="0040603D"/>
    <w:rsid w:val="00406702"/>
    <w:rsid w:val="0040709D"/>
    <w:rsid w:val="0040726C"/>
    <w:rsid w:val="00407885"/>
    <w:rsid w:val="00407928"/>
    <w:rsid w:val="00407933"/>
    <w:rsid w:val="004079C8"/>
    <w:rsid w:val="00407F8A"/>
    <w:rsid w:val="00410024"/>
    <w:rsid w:val="00410051"/>
    <w:rsid w:val="004103F2"/>
    <w:rsid w:val="00410576"/>
    <w:rsid w:val="0041066A"/>
    <w:rsid w:val="0041077A"/>
    <w:rsid w:val="00410943"/>
    <w:rsid w:val="00410986"/>
    <w:rsid w:val="00410B0E"/>
    <w:rsid w:val="00410FE5"/>
    <w:rsid w:val="0041105F"/>
    <w:rsid w:val="004114CA"/>
    <w:rsid w:val="004115CD"/>
    <w:rsid w:val="00411862"/>
    <w:rsid w:val="00411864"/>
    <w:rsid w:val="00411DCC"/>
    <w:rsid w:val="00412267"/>
    <w:rsid w:val="004122B3"/>
    <w:rsid w:val="004122FF"/>
    <w:rsid w:val="00412654"/>
    <w:rsid w:val="004127A1"/>
    <w:rsid w:val="004127C8"/>
    <w:rsid w:val="00412807"/>
    <w:rsid w:val="00412837"/>
    <w:rsid w:val="0041294B"/>
    <w:rsid w:val="00412B11"/>
    <w:rsid w:val="00412EE7"/>
    <w:rsid w:val="00413008"/>
    <w:rsid w:val="00413285"/>
    <w:rsid w:val="00413400"/>
    <w:rsid w:val="00413450"/>
    <w:rsid w:val="0041367A"/>
    <w:rsid w:val="00413880"/>
    <w:rsid w:val="0041392F"/>
    <w:rsid w:val="00414442"/>
    <w:rsid w:val="004148AA"/>
    <w:rsid w:val="0041497F"/>
    <w:rsid w:val="00414DB9"/>
    <w:rsid w:val="00414F42"/>
    <w:rsid w:val="00415245"/>
    <w:rsid w:val="00415664"/>
    <w:rsid w:val="00415C0F"/>
    <w:rsid w:val="00416098"/>
    <w:rsid w:val="0041635F"/>
    <w:rsid w:val="00416782"/>
    <w:rsid w:val="0041688B"/>
    <w:rsid w:val="00416E0D"/>
    <w:rsid w:val="0041701E"/>
    <w:rsid w:val="00417065"/>
    <w:rsid w:val="004174D7"/>
    <w:rsid w:val="00417B0F"/>
    <w:rsid w:val="00417B89"/>
    <w:rsid w:val="00417DE7"/>
    <w:rsid w:val="00417E8A"/>
    <w:rsid w:val="00417F79"/>
    <w:rsid w:val="004206A7"/>
    <w:rsid w:val="004207BE"/>
    <w:rsid w:val="00420893"/>
    <w:rsid w:val="00420A69"/>
    <w:rsid w:val="00420BBF"/>
    <w:rsid w:val="00420D44"/>
    <w:rsid w:val="004214E8"/>
    <w:rsid w:val="00421B9E"/>
    <w:rsid w:val="00421C1E"/>
    <w:rsid w:val="00422051"/>
    <w:rsid w:val="004227A0"/>
    <w:rsid w:val="004228F8"/>
    <w:rsid w:val="00422CF5"/>
    <w:rsid w:val="0042353A"/>
    <w:rsid w:val="0042377F"/>
    <w:rsid w:val="004238D9"/>
    <w:rsid w:val="004239A7"/>
    <w:rsid w:val="004239E7"/>
    <w:rsid w:val="00423AA8"/>
    <w:rsid w:val="00423C65"/>
    <w:rsid w:val="00423DEB"/>
    <w:rsid w:val="00423F8F"/>
    <w:rsid w:val="00424054"/>
    <w:rsid w:val="004241A7"/>
    <w:rsid w:val="00424264"/>
    <w:rsid w:val="004243A1"/>
    <w:rsid w:val="00424508"/>
    <w:rsid w:val="00424768"/>
    <w:rsid w:val="004247BA"/>
    <w:rsid w:val="0042489D"/>
    <w:rsid w:val="00424AD3"/>
    <w:rsid w:val="00424EB1"/>
    <w:rsid w:val="00424F25"/>
    <w:rsid w:val="00424FAF"/>
    <w:rsid w:val="004251F7"/>
    <w:rsid w:val="004256A3"/>
    <w:rsid w:val="004257AF"/>
    <w:rsid w:val="00425889"/>
    <w:rsid w:val="0042592C"/>
    <w:rsid w:val="0042595E"/>
    <w:rsid w:val="0042596A"/>
    <w:rsid w:val="00425A7F"/>
    <w:rsid w:val="00425B59"/>
    <w:rsid w:val="00425B7F"/>
    <w:rsid w:val="00425DF0"/>
    <w:rsid w:val="00425FAF"/>
    <w:rsid w:val="00426240"/>
    <w:rsid w:val="00426241"/>
    <w:rsid w:val="00426948"/>
    <w:rsid w:val="00426D46"/>
    <w:rsid w:val="00426E6B"/>
    <w:rsid w:val="00426FC4"/>
    <w:rsid w:val="004272A0"/>
    <w:rsid w:val="004274A9"/>
    <w:rsid w:val="004275DD"/>
    <w:rsid w:val="00427613"/>
    <w:rsid w:val="0042765F"/>
    <w:rsid w:val="004278E3"/>
    <w:rsid w:val="00427B66"/>
    <w:rsid w:val="00427C12"/>
    <w:rsid w:val="00427EDF"/>
    <w:rsid w:val="00430013"/>
    <w:rsid w:val="00430015"/>
    <w:rsid w:val="004303C0"/>
    <w:rsid w:val="004304AD"/>
    <w:rsid w:val="004306A7"/>
    <w:rsid w:val="00430A5C"/>
    <w:rsid w:val="00430A87"/>
    <w:rsid w:val="00431355"/>
    <w:rsid w:val="0043145A"/>
    <w:rsid w:val="0043157E"/>
    <w:rsid w:val="004317AF"/>
    <w:rsid w:val="00431C0C"/>
    <w:rsid w:val="00431DE6"/>
    <w:rsid w:val="00431E0A"/>
    <w:rsid w:val="00432020"/>
    <w:rsid w:val="0043231D"/>
    <w:rsid w:val="00432373"/>
    <w:rsid w:val="00432421"/>
    <w:rsid w:val="004326F1"/>
    <w:rsid w:val="00432CD1"/>
    <w:rsid w:val="00432D73"/>
    <w:rsid w:val="00432F91"/>
    <w:rsid w:val="00433039"/>
    <w:rsid w:val="00433094"/>
    <w:rsid w:val="00433527"/>
    <w:rsid w:val="00433741"/>
    <w:rsid w:val="004337F1"/>
    <w:rsid w:val="004339E8"/>
    <w:rsid w:val="00434286"/>
    <w:rsid w:val="00434491"/>
    <w:rsid w:val="00434A6D"/>
    <w:rsid w:val="00434BFC"/>
    <w:rsid w:val="00434CE1"/>
    <w:rsid w:val="00434DD0"/>
    <w:rsid w:val="00435196"/>
    <w:rsid w:val="00435321"/>
    <w:rsid w:val="00435409"/>
    <w:rsid w:val="004358B9"/>
    <w:rsid w:val="00435995"/>
    <w:rsid w:val="00435A98"/>
    <w:rsid w:val="00435E54"/>
    <w:rsid w:val="0043638C"/>
    <w:rsid w:val="00436418"/>
    <w:rsid w:val="00436623"/>
    <w:rsid w:val="00437187"/>
    <w:rsid w:val="00437207"/>
    <w:rsid w:val="004372FF"/>
    <w:rsid w:val="004377BE"/>
    <w:rsid w:val="00437A69"/>
    <w:rsid w:val="00437D81"/>
    <w:rsid w:val="004401DD"/>
    <w:rsid w:val="004402A1"/>
    <w:rsid w:val="004402A6"/>
    <w:rsid w:val="0044039F"/>
    <w:rsid w:val="00440597"/>
    <w:rsid w:val="00440684"/>
    <w:rsid w:val="004409DB"/>
    <w:rsid w:val="00440B71"/>
    <w:rsid w:val="00440BB9"/>
    <w:rsid w:val="00440C16"/>
    <w:rsid w:val="00440DE5"/>
    <w:rsid w:val="00440E7A"/>
    <w:rsid w:val="00441127"/>
    <w:rsid w:val="004411FA"/>
    <w:rsid w:val="0044124C"/>
    <w:rsid w:val="00441305"/>
    <w:rsid w:val="0044172B"/>
    <w:rsid w:val="0044187C"/>
    <w:rsid w:val="00441A24"/>
    <w:rsid w:val="00441D6A"/>
    <w:rsid w:val="004420F0"/>
    <w:rsid w:val="0044212A"/>
    <w:rsid w:val="004421B0"/>
    <w:rsid w:val="0044278D"/>
    <w:rsid w:val="004427D1"/>
    <w:rsid w:val="004427D2"/>
    <w:rsid w:val="00442A4D"/>
    <w:rsid w:val="00442CFC"/>
    <w:rsid w:val="00443223"/>
    <w:rsid w:val="0044348E"/>
    <w:rsid w:val="0044397F"/>
    <w:rsid w:val="00443A01"/>
    <w:rsid w:val="00443BDC"/>
    <w:rsid w:val="00444022"/>
    <w:rsid w:val="0044418F"/>
    <w:rsid w:val="00444417"/>
    <w:rsid w:val="004445B9"/>
    <w:rsid w:val="0044498C"/>
    <w:rsid w:val="00444A15"/>
    <w:rsid w:val="00444BA1"/>
    <w:rsid w:val="00444D00"/>
    <w:rsid w:val="00444D74"/>
    <w:rsid w:val="00444F6D"/>
    <w:rsid w:val="004450A5"/>
    <w:rsid w:val="0044521A"/>
    <w:rsid w:val="004453DF"/>
    <w:rsid w:val="00445974"/>
    <w:rsid w:val="00445997"/>
    <w:rsid w:val="00445CDD"/>
    <w:rsid w:val="00445EB8"/>
    <w:rsid w:val="0044644C"/>
    <w:rsid w:val="004466A5"/>
    <w:rsid w:val="0044670A"/>
    <w:rsid w:val="0044671D"/>
    <w:rsid w:val="004468D0"/>
    <w:rsid w:val="00446EBB"/>
    <w:rsid w:val="00446FA1"/>
    <w:rsid w:val="00447009"/>
    <w:rsid w:val="00447258"/>
    <w:rsid w:val="00447291"/>
    <w:rsid w:val="004473E7"/>
    <w:rsid w:val="0044786C"/>
    <w:rsid w:val="004478AA"/>
    <w:rsid w:val="00447B83"/>
    <w:rsid w:val="00447BC8"/>
    <w:rsid w:val="00447FB9"/>
    <w:rsid w:val="00450A18"/>
    <w:rsid w:val="00450BAA"/>
    <w:rsid w:val="00450FBA"/>
    <w:rsid w:val="00451022"/>
    <w:rsid w:val="004515BD"/>
    <w:rsid w:val="004518B9"/>
    <w:rsid w:val="00451E72"/>
    <w:rsid w:val="00452F05"/>
    <w:rsid w:val="004532DF"/>
    <w:rsid w:val="004536FD"/>
    <w:rsid w:val="00453A15"/>
    <w:rsid w:val="00453C4C"/>
    <w:rsid w:val="0045411B"/>
    <w:rsid w:val="0045423C"/>
    <w:rsid w:val="00454377"/>
    <w:rsid w:val="0045441A"/>
    <w:rsid w:val="004546FC"/>
    <w:rsid w:val="00454BBC"/>
    <w:rsid w:val="00454F54"/>
    <w:rsid w:val="00455211"/>
    <w:rsid w:val="00455402"/>
    <w:rsid w:val="00455C93"/>
    <w:rsid w:val="004561A7"/>
    <w:rsid w:val="0045673F"/>
    <w:rsid w:val="00456903"/>
    <w:rsid w:val="00456955"/>
    <w:rsid w:val="00456C97"/>
    <w:rsid w:val="004571B4"/>
    <w:rsid w:val="00457227"/>
    <w:rsid w:val="0045738B"/>
    <w:rsid w:val="00457705"/>
    <w:rsid w:val="0045772D"/>
    <w:rsid w:val="00457A2F"/>
    <w:rsid w:val="0046029C"/>
    <w:rsid w:val="00460308"/>
    <w:rsid w:val="00460338"/>
    <w:rsid w:val="00460704"/>
    <w:rsid w:val="0046084E"/>
    <w:rsid w:val="00460964"/>
    <w:rsid w:val="00460C35"/>
    <w:rsid w:val="004616F9"/>
    <w:rsid w:val="0046171E"/>
    <w:rsid w:val="0046189E"/>
    <w:rsid w:val="00461D05"/>
    <w:rsid w:val="00461EAE"/>
    <w:rsid w:val="00461EE2"/>
    <w:rsid w:val="004620DE"/>
    <w:rsid w:val="00462AF7"/>
    <w:rsid w:val="00463355"/>
    <w:rsid w:val="0046337A"/>
    <w:rsid w:val="004634CF"/>
    <w:rsid w:val="0046377A"/>
    <w:rsid w:val="00463D0D"/>
    <w:rsid w:val="00463F0C"/>
    <w:rsid w:val="00464083"/>
    <w:rsid w:val="004640D0"/>
    <w:rsid w:val="00464126"/>
    <w:rsid w:val="004641D3"/>
    <w:rsid w:val="004645E0"/>
    <w:rsid w:val="0046466F"/>
    <w:rsid w:val="0046495E"/>
    <w:rsid w:val="00464E1F"/>
    <w:rsid w:val="004650A9"/>
    <w:rsid w:val="004652A3"/>
    <w:rsid w:val="00465634"/>
    <w:rsid w:val="004657B4"/>
    <w:rsid w:val="0046588C"/>
    <w:rsid w:val="00466398"/>
    <w:rsid w:val="004663E4"/>
    <w:rsid w:val="00466419"/>
    <w:rsid w:val="004665E9"/>
    <w:rsid w:val="00466B8A"/>
    <w:rsid w:val="00466CB5"/>
    <w:rsid w:val="00467432"/>
    <w:rsid w:val="00467893"/>
    <w:rsid w:val="00467B70"/>
    <w:rsid w:val="00467C2F"/>
    <w:rsid w:val="00467E45"/>
    <w:rsid w:val="00470221"/>
    <w:rsid w:val="0047023C"/>
    <w:rsid w:val="00470469"/>
    <w:rsid w:val="0047116E"/>
    <w:rsid w:val="00471425"/>
    <w:rsid w:val="00471650"/>
    <w:rsid w:val="004719D4"/>
    <w:rsid w:val="00471A11"/>
    <w:rsid w:val="00471C73"/>
    <w:rsid w:val="00471C97"/>
    <w:rsid w:val="00471E7F"/>
    <w:rsid w:val="00471F1F"/>
    <w:rsid w:val="004720B5"/>
    <w:rsid w:val="004721A1"/>
    <w:rsid w:val="004724B7"/>
    <w:rsid w:val="0047263D"/>
    <w:rsid w:val="00472653"/>
    <w:rsid w:val="0047270D"/>
    <w:rsid w:val="0047283F"/>
    <w:rsid w:val="00472A4B"/>
    <w:rsid w:val="00472F20"/>
    <w:rsid w:val="00473155"/>
    <w:rsid w:val="004732C6"/>
    <w:rsid w:val="0047345F"/>
    <w:rsid w:val="0047363E"/>
    <w:rsid w:val="0047367E"/>
    <w:rsid w:val="00473789"/>
    <w:rsid w:val="004737DB"/>
    <w:rsid w:val="00473EE5"/>
    <w:rsid w:val="00474696"/>
    <w:rsid w:val="004747D8"/>
    <w:rsid w:val="00474828"/>
    <w:rsid w:val="00474D19"/>
    <w:rsid w:val="00474FEB"/>
    <w:rsid w:val="00474FFA"/>
    <w:rsid w:val="00475044"/>
    <w:rsid w:val="0047519E"/>
    <w:rsid w:val="0047530C"/>
    <w:rsid w:val="00475675"/>
    <w:rsid w:val="004756E2"/>
    <w:rsid w:val="00475A6C"/>
    <w:rsid w:val="00475E2B"/>
    <w:rsid w:val="00475E6C"/>
    <w:rsid w:val="00475FC5"/>
    <w:rsid w:val="00476463"/>
    <w:rsid w:val="004765A0"/>
    <w:rsid w:val="0047662E"/>
    <w:rsid w:val="004766ED"/>
    <w:rsid w:val="00476AA4"/>
    <w:rsid w:val="00476B3E"/>
    <w:rsid w:val="00476C69"/>
    <w:rsid w:val="00476C9C"/>
    <w:rsid w:val="00476F68"/>
    <w:rsid w:val="00477158"/>
    <w:rsid w:val="0047754F"/>
    <w:rsid w:val="00477811"/>
    <w:rsid w:val="004778D9"/>
    <w:rsid w:val="00477FE5"/>
    <w:rsid w:val="00480047"/>
    <w:rsid w:val="00480193"/>
    <w:rsid w:val="004801FE"/>
    <w:rsid w:val="0048070B"/>
    <w:rsid w:val="0048074C"/>
    <w:rsid w:val="00480D80"/>
    <w:rsid w:val="00482186"/>
    <w:rsid w:val="00482393"/>
    <w:rsid w:val="004828CB"/>
    <w:rsid w:val="00482A86"/>
    <w:rsid w:val="00482C11"/>
    <w:rsid w:val="00482EFE"/>
    <w:rsid w:val="0048311F"/>
    <w:rsid w:val="004832F2"/>
    <w:rsid w:val="0048351C"/>
    <w:rsid w:val="004839EE"/>
    <w:rsid w:val="00483B01"/>
    <w:rsid w:val="00483C12"/>
    <w:rsid w:val="00483F6F"/>
    <w:rsid w:val="00484294"/>
    <w:rsid w:val="0048449C"/>
    <w:rsid w:val="0048463A"/>
    <w:rsid w:val="00484A43"/>
    <w:rsid w:val="00484AB2"/>
    <w:rsid w:val="00484BF3"/>
    <w:rsid w:val="00484F71"/>
    <w:rsid w:val="00484F76"/>
    <w:rsid w:val="00484FAB"/>
    <w:rsid w:val="0048592B"/>
    <w:rsid w:val="00485D56"/>
    <w:rsid w:val="00486193"/>
    <w:rsid w:val="004861AD"/>
    <w:rsid w:val="004865D3"/>
    <w:rsid w:val="00486B4B"/>
    <w:rsid w:val="00486C2C"/>
    <w:rsid w:val="00486E1D"/>
    <w:rsid w:val="00486F0F"/>
    <w:rsid w:val="00487024"/>
    <w:rsid w:val="0048715C"/>
    <w:rsid w:val="004871C0"/>
    <w:rsid w:val="004872B3"/>
    <w:rsid w:val="0048730D"/>
    <w:rsid w:val="004876A0"/>
    <w:rsid w:val="00487F41"/>
    <w:rsid w:val="00490068"/>
    <w:rsid w:val="004901A5"/>
    <w:rsid w:val="0049056A"/>
    <w:rsid w:val="00490BC7"/>
    <w:rsid w:val="00490D1C"/>
    <w:rsid w:val="00490D65"/>
    <w:rsid w:val="00491101"/>
    <w:rsid w:val="004912D0"/>
    <w:rsid w:val="004913C1"/>
    <w:rsid w:val="004915C9"/>
    <w:rsid w:val="00491958"/>
    <w:rsid w:val="00491B54"/>
    <w:rsid w:val="00491BAB"/>
    <w:rsid w:val="00491D04"/>
    <w:rsid w:val="00491E54"/>
    <w:rsid w:val="00491FBA"/>
    <w:rsid w:val="0049237A"/>
    <w:rsid w:val="004923F9"/>
    <w:rsid w:val="00492412"/>
    <w:rsid w:val="004924AB"/>
    <w:rsid w:val="00492502"/>
    <w:rsid w:val="00492843"/>
    <w:rsid w:val="00492B21"/>
    <w:rsid w:val="00492C19"/>
    <w:rsid w:val="00492DFA"/>
    <w:rsid w:val="00492E50"/>
    <w:rsid w:val="00492F0F"/>
    <w:rsid w:val="004930D5"/>
    <w:rsid w:val="0049343B"/>
    <w:rsid w:val="00493655"/>
    <w:rsid w:val="00493739"/>
    <w:rsid w:val="00493792"/>
    <w:rsid w:val="00493B1A"/>
    <w:rsid w:val="00493D0F"/>
    <w:rsid w:val="00493D1A"/>
    <w:rsid w:val="00494EE4"/>
    <w:rsid w:val="00494FE8"/>
    <w:rsid w:val="0049522C"/>
    <w:rsid w:val="004953FB"/>
    <w:rsid w:val="00495796"/>
    <w:rsid w:val="00496324"/>
    <w:rsid w:val="0049652B"/>
    <w:rsid w:val="0049663A"/>
    <w:rsid w:val="0049666C"/>
    <w:rsid w:val="00496833"/>
    <w:rsid w:val="00496860"/>
    <w:rsid w:val="00496982"/>
    <w:rsid w:val="00496A55"/>
    <w:rsid w:val="00496CF8"/>
    <w:rsid w:val="00496EBE"/>
    <w:rsid w:val="004971B8"/>
    <w:rsid w:val="00497991"/>
    <w:rsid w:val="004A00C2"/>
    <w:rsid w:val="004A012E"/>
    <w:rsid w:val="004A051B"/>
    <w:rsid w:val="004A0AAD"/>
    <w:rsid w:val="004A0CA1"/>
    <w:rsid w:val="004A127A"/>
    <w:rsid w:val="004A12CF"/>
    <w:rsid w:val="004A143D"/>
    <w:rsid w:val="004A1642"/>
    <w:rsid w:val="004A16AE"/>
    <w:rsid w:val="004A171C"/>
    <w:rsid w:val="004A171F"/>
    <w:rsid w:val="004A1941"/>
    <w:rsid w:val="004A19E4"/>
    <w:rsid w:val="004A231E"/>
    <w:rsid w:val="004A2807"/>
    <w:rsid w:val="004A28CF"/>
    <w:rsid w:val="004A2A36"/>
    <w:rsid w:val="004A2A5F"/>
    <w:rsid w:val="004A2D4C"/>
    <w:rsid w:val="004A2D9B"/>
    <w:rsid w:val="004A34C7"/>
    <w:rsid w:val="004A34E1"/>
    <w:rsid w:val="004A36EE"/>
    <w:rsid w:val="004A383B"/>
    <w:rsid w:val="004A38E6"/>
    <w:rsid w:val="004A3C85"/>
    <w:rsid w:val="004A41B3"/>
    <w:rsid w:val="004A4897"/>
    <w:rsid w:val="004A4B9A"/>
    <w:rsid w:val="004A50B1"/>
    <w:rsid w:val="004A5241"/>
    <w:rsid w:val="004A54AA"/>
    <w:rsid w:val="004A5509"/>
    <w:rsid w:val="004A55A2"/>
    <w:rsid w:val="004A58A6"/>
    <w:rsid w:val="004A5FAA"/>
    <w:rsid w:val="004A61E7"/>
    <w:rsid w:val="004A62EA"/>
    <w:rsid w:val="004A63BE"/>
    <w:rsid w:val="004A6778"/>
    <w:rsid w:val="004A6AC1"/>
    <w:rsid w:val="004A6C27"/>
    <w:rsid w:val="004A6C6C"/>
    <w:rsid w:val="004A70D7"/>
    <w:rsid w:val="004A71CC"/>
    <w:rsid w:val="004A71D5"/>
    <w:rsid w:val="004A7289"/>
    <w:rsid w:val="004A76E4"/>
    <w:rsid w:val="004A7A62"/>
    <w:rsid w:val="004A7AA7"/>
    <w:rsid w:val="004A7D6F"/>
    <w:rsid w:val="004B0154"/>
    <w:rsid w:val="004B023F"/>
    <w:rsid w:val="004B04B3"/>
    <w:rsid w:val="004B0B40"/>
    <w:rsid w:val="004B0B4C"/>
    <w:rsid w:val="004B0B9D"/>
    <w:rsid w:val="004B0D57"/>
    <w:rsid w:val="004B0E1C"/>
    <w:rsid w:val="004B0F50"/>
    <w:rsid w:val="004B1698"/>
    <w:rsid w:val="004B18CC"/>
    <w:rsid w:val="004B1BF7"/>
    <w:rsid w:val="004B1C4E"/>
    <w:rsid w:val="004B1EBA"/>
    <w:rsid w:val="004B23A1"/>
    <w:rsid w:val="004B24E8"/>
    <w:rsid w:val="004B24ED"/>
    <w:rsid w:val="004B2A56"/>
    <w:rsid w:val="004B2DF5"/>
    <w:rsid w:val="004B3616"/>
    <w:rsid w:val="004B36BA"/>
    <w:rsid w:val="004B3954"/>
    <w:rsid w:val="004B3AB3"/>
    <w:rsid w:val="004B3B4E"/>
    <w:rsid w:val="004B4436"/>
    <w:rsid w:val="004B4692"/>
    <w:rsid w:val="004B4950"/>
    <w:rsid w:val="004B4983"/>
    <w:rsid w:val="004B4B43"/>
    <w:rsid w:val="004B4C35"/>
    <w:rsid w:val="004B4EBD"/>
    <w:rsid w:val="004B50F8"/>
    <w:rsid w:val="004B577D"/>
    <w:rsid w:val="004B6076"/>
    <w:rsid w:val="004B636B"/>
    <w:rsid w:val="004B6486"/>
    <w:rsid w:val="004B67EC"/>
    <w:rsid w:val="004B6A97"/>
    <w:rsid w:val="004B6A9E"/>
    <w:rsid w:val="004B6AB5"/>
    <w:rsid w:val="004B6E6E"/>
    <w:rsid w:val="004B7027"/>
    <w:rsid w:val="004B71D6"/>
    <w:rsid w:val="004B72F1"/>
    <w:rsid w:val="004B78E4"/>
    <w:rsid w:val="004B7D4E"/>
    <w:rsid w:val="004B7D9C"/>
    <w:rsid w:val="004B7F4F"/>
    <w:rsid w:val="004B7F73"/>
    <w:rsid w:val="004C0099"/>
    <w:rsid w:val="004C02E8"/>
    <w:rsid w:val="004C02F0"/>
    <w:rsid w:val="004C0A26"/>
    <w:rsid w:val="004C132D"/>
    <w:rsid w:val="004C13DC"/>
    <w:rsid w:val="004C1463"/>
    <w:rsid w:val="004C1D11"/>
    <w:rsid w:val="004C2039"/>
    <w:rsid w:val="004C21B1"/>
    <w:rsid w:val="004C22D2"/>
    <w:rsid w:val="004C28E4"/>
    <w:rsid w:val="004C28F7"/>
    <w:rsid w:val="004C2BA8"/>
    <w:rsid w:val="004C2C87"/>
    <w:rsid w:val="004C2D70"/>
    <w:rsid w:val="004C2DF6"/>
    <w:rsid w:val="004C2E7D"/>
    <w:rsid w:val="004C3261"/>
    <w:rsid w:val="004C3347"/>
    <w:rsid w:val="004C37B5"/>
    <w:rsid w:val="004C3B85"/>
    <w:rsid w:val="004C4185"/>
    <w:rsid w:val="004C4205"/>
    <w:rsid w:val="004C4206"/>
    <w:rsid w:val="004C4243"/>
    <w:rsid w:val="004C463B"/>
    <w:rsid w:val="004C4748"/>
    <w:rsid w:val="004C4819"/>
    <w:rsid w:val="004C48E9"/>
    <w:rsid w:val="004C4C16"/>
    <w:rsid w:val="004C4CE4"/>
    <w:rsid w:val="004C4DF8"/>
    <w:rsid w:val="004C536F"/>
    <w:rsid w:val="004C53AA"/>
    <w:rsid w:val="004C5BB3"/>
    <w:rsid w:val="004C5BEF"/>
    <w:rsid w:val="004C6283"/>
    <w:rsid w:val="004C62B1"/>
    <w:rsid w:val="004C6585"/>
    <w:rsid w:val="004C69EF"/>
    <w:rsid w:val="004C6BC1"/>
    <w:rsid w:val="004C6DBE"/>
    <w:rsid w:val="004C6E59"/>
    <w:rsid w:val="004C6E97"/>
    <w:rsid w:val="004C6F76"/>
    <w:rsid w:val="004C6FEF"/>
    <w:rsid w:val="004C78ED"/>
    <w:rsid w:val="004C7C9D"/>
    <w:rsid w:val="004C7F33"/>
    <w:rsid w:val="004C7F4D"/>
    <w:rsid w:val="004C931A"/>
    <w:rsid w:val="004D0070"/>
    <w:rsid w:val="004D0335"/>
    <w:rsid w:val="004D0360"/>
    <w:rsid w:val="004D05EE"/>
    <w:rsid w:val="004D0AD9"/>
    <w:rsid w:val="004D0B10"/>
    <w:rsid w:val="004D0C1F"/>
    <w:rsid w:val="004D0F2B"/>
    <w:rsid w:val="004D111C"/>
    <w:rsid w:val="004D113C"/>
    <w:rsid w:val="004D15DB"/>
    <w:rsid w:val="004D182B"/>
    <w:rsid w:val="004D1B0D"/>
    <w:rsid w:val="004D232F"/>
    <w:rsid w:val="004D243E"/>
    <w:rsid w:val="004D2590"/>
    <w:rsid w:val="004D2691"/>
    <w:rsid w:val="004D279F"/>
    <w:rsid w:val="004D27F6"/>
    <w:rsid w:val="004D2922"/>
    <w:rsid w:val="004D2F14"/>
    <w:rsid w:val="004D2F80"/>
    <w:rsid w:val="004D3040"/>
    <w:rsid w:val="004D3146"/>
    <w:rsid w:val="004D3264"/>
    <w:rsid w:val="004D33B4"/>
    <w:rsid w:val="004D351D"/>
    <w:rsid w:val="004D361C"/>
    <w:rsid w:val="004D38B3"/>
    <w:rsid w:val="004D3966"/>
    <w:rsid w:val="004D3E52"/>
    <w:rsid w:val="004D483A"/>
    <w:rsid w:val="004D4A0E"/>
    <w:rsid w:val="004D4C3B"/>
    <w:rsid w:val="004D4C3C"/>
    <w:rsid w:val="004D4F6D"/>
    <w:rsid w:val="004D5161"/>
    <w:rsid w:val="004D58A0"/>
    <w:rsid w:val="004D58BB"/>
    <w:rsid w:val="004D597A"/>
    <w:rsid w:val="004D5BC8"/>
    <w:rsid w:val="004D5F3A"/>
    <w:rsid w:val="004D6225"/>
    <w:rsid w:val="004D64CF"/>
    <w:rsid w:val="004D6C88"/>
    <w:rsid w:val="004D6DAE"/>
    <w:rsid w:val="004D6E8A"/>
    <w:rsid w:val="004D6F3E"/>
    <w:rsid w:val="004D7319"/>
    <w:rsid w:val="004D74FB"/>
    <w:rsid w:val="004D770E"/>
    <w:rsid w:val="004D77BA"/>
    <w:rsid w:val="004D7939"/>
    <w:rsid w:val="004D7BB2"/>
    <w:rsid w:val="004D7C1B"/>
    <w:rsid w:val="004D7CA3"/>
    <w:rsid w:val="004D7FB8"/>
    <w:rsid w:val="004E001D"/>
    <w:rsid w:val="004E0105"/>
    <w:rsid w:val="004E015F"/>
    <w:rsid w:val="004E01AE"/>
    <w:rsid w:val="004E09E5"/>
    <w:rsid w:val="004E09EA"/>
    <w:rsid w:val="004E0C4F"/>
    <w:rsid w:val="004E0DB1"/>
    <w:rsid w:val="004E145A"/>
    <w:rsid w:val="004E14A5"/>
    <w:rsid w:val="004E1840"/>
    <w:rsid w:val="004E1B8F"/>
    <w:rsid w:val="004E1BFB"/>
    <w:rsid w:val="004E2006"/>
    <w:rsid w:val="004E2026"/>
    <w:rsid w:val="004E242C"/>
    <w:rsid w:val="004E25D2"/>
    <w:rsid w:val="004E26FF"/>
    <w:rsid w:val="004E29A1"/>
    <w:rsid w:val="004E2BBA"/>
    <w:rsid w:val="004E2C16"/>
    <w:rsid w:val="004E2E35"/>
    <w:rsid w:val="004E3075"/>
    <w:rsid w:val="004E30C5"/>
    <w:rsid w:val="004E399E"/>
    <w:rsid w:val="004E3B24"/>
    <w:rsid w:val="004E3C3C"/>
    <w:rsid w:val="004E3EA8"/>
    <w:rsid w:val="004E3EEB"/>
    <w:rsid w:val="004E3F24"/>
    <w:rsid w:val="004E3F4C"/>
    <w:rsid w:val="004E4282"/>
    <w:rsid w:val="004E42AC"/>
    <w:rsid w:val="004E42EF"/>
    <w:rsid w:val="004E46C0"/>
    <w:rsid w:val="004E47C9"/>
    <w:rsid w:val="004E4CA5"/>
    <w:rsid w:val="004E4D00"/>
    <w:rsid w:val="004E4D75"/>
    <w:rsid w:val="004E4D8E"/>
    <w:rsid w:val="004E4F6F"/>
    <w:rsid w:val="004E517C"/>
    <w:rsid w:val="004E5377"/>
    <w:rsid w:val="004E53E4"/>
    <w:rsid w:val="004E5A7D"/>
    <w:rsid w:val="004E6296"/>
    <w:rsid w:val="004E6435"/>
    <w:rsid w:val="004E651F"/>
    <w:rsid w:val="004E66E2"/>
    <w:rsid w:val="004E680D"/>
    <w:rsid w:val="004E688E"/>
    <w:rsid w:val="004E68E2"/>
    <w:rsid w:val="004E6954"/>
    <w:rsid w:val="004E6A08"/>
    <w:rsid w:val="004E6C26"/>
    <w:rsid w:val="004E70C5"/>
    <w:rsid w:val="004E73BB"/>
    <w:rsid w:val="004E7441"/>
    <w:rsid w:val="004E795B"/>
    <w:rsid w:val="004E7CF4"/>
    <w:rsid w:val="004E7D4C"/>
    <w:rsid w:val="004E7F73"/>
    <w:rsid w:val="004F035B"/>
    <w:rsid w:val="004F069A"/>
    <w:rsid w:val="004F0D18"/>
    <w:rsid w:val="004F0E9E"/>
    <w:rsid w:val="004F11F1"/>
    <w:rsid w:val="004F19A1"/>
    <w:rsid w:val="004F1ABD"/>
    <w:rsid w:val="004F1C7A"/>
    <w:rsid w:val="004F249B"/>
    <w:rsid w:val="004F24CB"/>
    <w:rsid w:val="004F2769"/>
    <w:rsid w:val="004F2871"/>
    <w:rsid w:val="004F2B6A"/>
    <w:rsid w:val="004F2D27"/>
    <w:rsid w:val="004F2DFD"/>
    <w:rsid w:val="004F3021"/>
    <w:rsid w:val="004F3123"/>
    <w:rsid w:val="004F31C8"/>
    <w:rsid w:val="004F321B"/>
    <w:rsid w:val="004F353C"/>
    <w:rsid w:val="004F3628"/>
    <w:rsid w:val="004F39CE"/>
    <w:rsid w:val="004F3D77"/>
    <w:rsid w:val="004F3E6D"/>
    <w:rsid w:val="004F3FC0"/>
    <w:rsid w:val="004F40B9"/>
    <w:rsid w:val="004F48AE"/>
    <w:rsid w:val="004F4DDD"/>
    <w:rsid w:val="004F5651"/>
    <w:rsid w:val="004F583D"/>
    <w:rsid w:val="004F59FE"/>
    <w:rsid w:val="004F5A48"/>
    <w:rsid w:val="004F5E5E"/>
    <w:rsid w:val="004F5E7A"/>
    <w:rsid w:val="004F605F"/>
    <w:rsid w:val="004F636A"/>
    <w:rsid w:val="004F6528"/>
    <w:rsid w:val="004F6AD5"/>
    <w:rsid w:val="004F6C3B"/>
    <w:rsid w:val="004F751F"/>
    <w:rsid w:val="004F7633"/>
    <w:rsid w:val="004F767A"/>
    <w:rsid w:val="004F77D4"/>
    <w:rsid w:val="004F7A39"/>
    <w:rsid w:val="004F7A60"/>
    <w:rsid w:val="004F7A6C"/>
    <w:rsid w:val="004F7D46"/>
    <w:rsid w:val="004F7DE7"/>
    <w:rsid w:val="004F7E99"/>
    <w:rsid w:val="00500087"/>
    <w:rsid w:val="00500101"/>
    <w:rsid w:val="005001E9"/>
    <w:rsid w:val="005004AF"/>
    <w:rsid w:val="005004FB"/>
    <w:rsid w:val="00500583"/>
    <w:rsid w:val="0050093A"/>
    <w:rsid w:val="00500D92"/>
    <w:rsid w:val="00500EA0"/>
    <w:rsid w:val="005014B0"/>
    <w:rsid w:val="005017E7"/>
    <w:rsid w:val="0050185E"/>
    <w:rsid w:val="005018B2"/>
    <w:rsid w:val="00501A34"/>
    <w:rsid w:val="00501A77"/>
    <w:rsid w:val="00501BF6"/>
    <w:rsid w:val="00502053"/>
    <w:rsid w:val="005020F8"/>
    <w:rsid w:val="00502259"/>
    <w:rsid w:val="00502477"/>
    <w:rsid w:val="005028BF"/>
    <w:rsid w:val="00502923"/>
    <w:rsid w:val="00502EC6"/>
    <w:rsid w:val="00502F78"/>
    <w:rsid w:val="0050304F"/>
    <w:rsid w:val="00503247"/>
    <w:rsid w:val="00503269"/>
    <w:rsid w:val="00503856"/>
    <w:rsid w:val="0050390B"/>
    <w:rsid w:val="00503AD3"/>
    <w:rsid w:val="00503BD9"/>
    <w:rsid w:val="00503BFC"/>
    <w:rsid w:val="00504304"/>
    <w:rsid w:val="00504695"/>
    <w:rsid w:val="00504A23"/>
    <w:rsid w:val="00504DA8"/>
    <w:rsid w:val="005055A7"/>
    <w:rsid w:val="0050569B"/>
    <w:rsid w:val="00505A6F"/>
    <w:rsid w:val="00505AAE"/>
    <w:rsid w:val="00505C08"/>
    <w:rsid w:val="00505C5C"/>
    <w:rsid w:val="005061AC"/>
    <w:rsid w:val="005063C8"/>
    <w:rsid w:val="005064BE"/>
    <w:rsid w:val="00506621"/>
    <w:rsid w:val="00506932"/>
    <w:rsid w:val="00506BD8"/>
    <w:rsid w:val="00506CB9"/>
    <w:rsid w:val="00506CFA"/>
    <w:rsid w:val="0050710B"/>
    <w:rsid w:val="00507144"/>
    <w:rsid w:val="005071D4"/>
    <w:rsid w:val="005071F1"/>
    <w:rsid w:val="005073E1"/>
    <w:rsid w:val="005073E2"/>
    <w:rsid w:val="005073E7"/>
    <w:rsid w:val="005073F4"/>
    <w:rsid w:val="0050740D"/>
    <w:rsid w:val="0050748C"/>
    <w:rsid w:val="00507626"/>
    <w:rsid w:val="00507BD7"/>
    <w:rsid w:val="00507DD6"/>
    <w:rsid w:val="00507E32"/>
    <w:rsid w:val="0051025A"/>
    <w:rsid w:val="005104DB"/>
    <w:rsid w:val="00510547"/>
    <w:rsid w:val="00510DF9"/>
    <w:rsid w:val="00510E82"/>
    <w:rsid w:val="00511E10"/>
    <w:rsid w:val="00512074"/>
    <w:rsid w:val="00512486"/>
    <w:rsid w:val="005126AF"/>
    <w:rsid w:val="00512A3B"/>
    <w:rsid w:val="00512A88"/>
    <w:rsid w:val="00512B1A"/>
    <w:rsid w:val="00512C1C"/>
    <w:rsid w:val="00513255"/>
    <w:rsid w:val="00513285"/>
    <w:rsid w:val="005133EE"/>
    <w:rsid w:val="005136EB"/>
    <w:rsid w:val="0051371B"/>
    <w:rsid w:val="005137D3"/>
    <w:rsid w:val="00513835"/>
    <w:rsid w:val="0051394A"/>
    <w:rsid w:val="0051396E"/>
    <w:rsid w:val="0051398F"/>
    <w:rsid w:val="00513D3F"/>
    <w:rsid w:val="00513E3F"/>
    <w:rsid w:val="00514297"/>
    <w:rsid w:val="005148C9"/>
    <w:rsid w:val="00514FA9"/>
    <w:rsid w:val="005150E9"/>
    <w:rsid w:val="005151D9"/>
    <w:rsid w:val="005154D6"/>
    <w:rsid w:val="00515696"/>
    <w:rsid w:val="00515CC1"/>
    <w:rsid w:val="00515F31"/>
    <w:rsid w:val="0051665F"/>
    <w:rsid w:val="00516995"/>
    <w:rsid w:val="00516A20"/>
    <w:rsid w:val="00516F94"/>
    <w:rsid w:val="00516FBE"/>
    <w:rsid w:val="00517056"/>
    <w:rsid w:val="00517088"/>
    <w:rsid w:val="0051744B"/>
    <w:rsid w:val="00517B68"/>
    <w:rsid w:val="00517DDA"/>
    <w:rsid w:val="00517ED7"/>
    <w:rsid w:val="005200D5"/>
    <w:rsid w:val="00520196"/>
    <w:rsid w:val="0052077D"/>
    <w:rsid w:val="005207B4"/>
    <w:rsid w:val="00520933"/>
    <w:rsid w:val="00520B03"/>
    <w:rsid w:val="00520B73"/>
    <w:rsid w:val="00520F0A"/>
    <w:rsid w:val="00521148"/>
    <w:rsid w:val="00521528"/>
    <w:rsid w:val="00521ADC"/>
    <w:rsid w:val="00521CB4"/>
    <w:rsid w:val="005220EC"/>
    <w:rsid w:val="0052235B"/>
    <w:rsid w:val="005224DF"/>
    <w:rsid w:val="00522671"/>
    <w:rsid w:val="00522C44"/>
    <w:rsid w:val="00522FFC"/>
    <w:rsid w:val="0052303A"/>
    <w:rsid w:val="0052318E"/>
    <w:rsid w:val="0052373D"/>
    <w:rsid w:val="0052398D"/>
    <w:rsid w:val="00523A64"/>
    <w:rsid w:val="005241A8"/>
    <w:rsid w:val="00524B4D"/>
    <w:rsid w:val="0052541B"/>
    <w:rsid w:val="005257CF"/>
    <w:rsid w:val="00525895"/>
    <w:rsid w:val="005259F8"/>
    <w:rsid w:val="00525CAF"/>
    <w:rsid w:val="00525D74"/>
    <w:rsid w:val="0052607B"/>
    <w:rsid w:val="00526093"/>
    <w:rsid w:val="00526186"/>
    <w:rsid w:val="005262B8"/>
    <w:rsid w:val="00526358"/>
    <w:rsid w:val="0052636D"/>
    <w:rsid w:val="005268E0"/>
    <w:rsid w:val="00526C9A"/>
    <w:rsid w:val="00526CB6"/>
    <w:rsid w:val="00526F0A"/>
    <w:rsid w:val="00527391"/>
    <w:rsid w:val="005274EA"/>
    <w:rsid w:val="0052782A"/>
    <w:rsid w:val="0052795C"/>
    <w:rsid w:val="00527EEA"/>
    <w:rsid w:val="0053033C"/>
    <w:rsid w:val="0053038F"/>
    <w:rsid w:val="005304C7"/>
    <w:rsid w:val="0053071D"/>
    <w:rsid w:val="00530841"/>
    <w:rsid w:val="005308A9"/>
    <w:rsid w:val="005309AB"/>
    <w:rsid w:val="005310F2"/>
    <w:rsid w:val="005314B3"/>
    <w:rsid w:val="0053198D"/>
    <w:rsid w:val="005319E6"/>
    <w:rsid w:val="00531BC5"/>
    <w:rsid w:val="00531CEA"/>
    <w:rsid w:val="00531D05"/>
    <w:rsid w:val="00531D50"/>
    <w:rsid w:val="00531E40"/>
    <w:rsid w:val="00532112"/>
    <w:rsid w:val="00532148"/>
    <w:rsid w:val="005321BD"/>
    <w:rsid w:val="00532331"/>
    <w:rsid w:val="005326CD"/>
    <w:rsid w:val="005328B5"/>
    <w:rsid w:val="00533182"/>
    <w:rsid w:val="005331EB"/>
    <w:rsid w:val="00533242"/>
    <w:rsid w:val="00533431"/>
    <w:rsid w:val="00533BEB"/>
    <w:rsid w:val="00533C1E"/>
    <w:rsid w:val="00533FC1"/>
    <w:rsid w:val="00534098"/>
    <w:rsid w:val="005341DA"/>
    <w:rsid w:val="00534224"/>
    <w:rsid w:val="005342EB"/>
    <w:rsid w:val="005344F0"/>
    <w:rsid w:val="00534BE8"/>
    <w:rsid w:val="00534EF8"/>
    <w:rsid w:val="005352A1"/>
    <w:rsid w:val="005353CE"/>
    <w:rsid w:val="005354DB"/>
    <w:rsid w:val="00535905"/>
    <w:rsid w:val="00535FC3"/>
    <w:rsid w:val="005361A5"/>
    <w:rsid w:val="005361A7"/>
    <w:rsid w:val="00536626"/>
    <w:rsid w:val="00536689"/>
    <w:rsid w:val="005367BD"/>
    <w:rsid w:val="0053695C"/>
    <w:rsid w:val="00536C15"/>
    <w:rsid w:val="00536E04"/>
    <w:rsid w:val="00536EF7"/>
    <w:rsid w:val="0053717E"/>
    <w:rsid w:val="00537B22"/>
    <w:rsid w:val="00537DDC"/>
    <w:rsid w:val="00537E92"/>
    <w:rsid w:val="00540100"/>
    <w:rsid w:val="005402EE"/>
    <w:rsid w:val="00540358"/>
    <w:rsid w:val="005407D8"/>
    <w:rsid w:val="00540B9E"/>
    <w:rsid w:val="00541249"/>
    <w:rsid w:val="00541320"/>
    <w:rsid w:val="0054139E"/>
    <w:rsid w:val="00541ABE"/>
    <w:rsid w:val="00541E8C"/>
    <w:rsid w:val="00542172"/>
    <w:rsid w:val="0054230C"/>
    <w:rsid w:val="0054265A"/>
    <w:rsid w:val="005426D6"/>
    <w:rsid w:val="00542886"/>
    <w:rsid w:val="00542A23"/>
    <w:rsid w:val="00542EDF"/>
    <w:rsid w:val="00543090"/>
    <w:rsid w:val="005431C8"/>
    <w:rsid w:val="0054323E"/>
    <w:rsid w:val="0054385B"/>
    <w:rsid w:val="005443D6"/>
    <w:rsid w:val="00544B4D"/>
    <w:rsid w:val="00544CEF"/>
    <w:rsid w:val="00544E54"/>
    <w:rsid w:val="0054506A"/>
    <w:rsid w:val="005453DD"/>
    <w:rsid w:val="00545610"/>
    <w:rsid w:val="00545702"/>
    <w:rsid w:val="005458EF"/>
    <w:rsid w:val="005459B5"/>
    <w:rsid w:val="00545B9B"/>
    <w:rsid w:val="00545F5E"/>
    <w:rsid w:val="00545FA5"/>
    <w:rsid w:val="00546214"/>
    <w:rsid w:val="0054646D"/>
    <w:rsid w:val="005465D6"/>
    <w:rsid w:val="00546A74"/>
    <w:rsid w:val="00546BAE"/>
    <w:rsid w:val="00546D83"/>
    <w:rsid w:val="00546F23"/>
    <w:rsid w:val="005470DB"/>
    <w:rsid w:val="00547560"/>
    <w:rsid w:val="005477BC"/>
    <w:rsid w:val="00547A5B"/>
    <w:rsid w:val="00547E28"/>
    <w:rsid w:val="0055007D"/>
    <w:rsid w:val="0055031A"/>
    <w:rsid w:val="0055048A"/>
    <w:rsid w:val="00550938"/>
    <w:rsid w:val="0055096E"/>
    <w:rsid w:val="005509CD"/>
    <w:rsid w:val="00550BD1"/>
    <w:rsid w:val="00551173"/>
    <w:rsid w:val="00551364"/>
    <w:rsid w:val="005515CD"/>
    <w:rsid w:val="005515E7"/>
    <w:rsid w:val="00551738"/>
    <w:rsid w:val="005519C6"/>
    <w:rsid w:val="00551BA7"/>
    <w:rsid w:val="00551BD6"/>
    <w:rsid w:val="00551E10"/>
    <w:rsid w:val="00552339"/>
    <w:rsid w:val="00552534"/>
    <w:rsid w:val="00552C1A"/>
    <w:rsid w:val="00552D17"/>
    <w:rsid w:val="00552E03"/>
    <w:rsid w:val="0055328F"/>
    <w:rsid w:val="005535E3"/>
    <w:rsid w:val="00553A4E"/>
    <w:rsid w:val="005541AF"/>
    <w:rsid w:val="0055486D"/>
    <w:rsid w:val="0055487F"/>
    <w:rsid w:val="00554965"/>
    <w:rsid w:val="00554BC5"/>
    <w:rsid w:val="00554C69"/>
    <w:rsid w:val="00554CA0"/>
    <w:rsid w:val="00554D0F"/>
    <w:rsid w:val="00554E07"/>
    <w:rsid w:val="00555584"/>
    <w:rsid w:val="0055585E"/>
    <w:rsid w:val="00555CF6"/>
    <w:rsid w:val="00555E06"/>
    <w:rsid w:val="005560E8"/>
    <w:rsid w:val="005567D5"/>
    <w:rsid w:val="0055690E"/>
    <w:rsid w:val="00556FBE"/>
    <w:rsid w:val="005570BD"/>
    <w:rsid w:val="005572E4"/>
    <w:rsid w:val="0055756A"/>
    <w:rsid w:val="0055766B"/>
    <w:rsid w:val="005576F5"/>
    <w:rsid w:val="005579A9"/>
    <w:rsid w:val="00557D13"/>
    <w:rsid w:val="00557EEE"/>
    <w:rsid w:val="005600D4"/>
    <w:rsid w:val="0056087B"/>
    <w:rsid w:val="005608B9"/>
    <w:rsid w:val="00560A89"/>
    <w:rsid w:val="00560ACC"/>
    <w:rsid w:val="00560DD6"/>
    <w:rsid w:val="005612C6"/>
    <w:rsid w:val="005614A3"/>
    <w:rsid w:val="00561630"/>
    <w:rsid w:val="00561847"/>
    <w:rsid w:val="005618D8"/>
    <w:rsid w:val="00561D17"/>
    <w:rsid w:val="00562627"/>
    <w:rsid w:val="00562F51"/>
    <w:rsid w:val="00563232"/>
    <w:rsid w:val="0056367E"/>
    <w:rsid w:val="00563E74"/>
    <w:rsid w:val="00564327"/>
    <w:rsid w:val="005645EA"/>
    <w:rsid w:val="00564A19"/>
    <w:rsid w:val="00564EC6"/>
    <w:rsid w:val="00564FF3"/>
    <w:rsid w:val="00565035"/>
    <w:rsid w:val="0056511E"/>
    <w:rsid w:val="00565567"/>
    <w:rsid w:val="005657FD"/>
    <w:rsid w:val="00565EC0"/>
    <w:rsid w:val="0056619F"/>
    <w:rsid w:val="0056623A"/>
    <w:rsid w:val="005666B5"/>
    <w:rsid w:val="00566753"/>
    <w:rsid w:val="0056688C"/>
    <w:rsid w:val="00566CCC"/>
    <w:rsid w:val="00566CF4"/>
    <w:rsid w:val="00566FC7"/>
    <w:rsid w:val="0056709A"/>
    <w:rsid w:val="0056773E"/>
    <w:rsid w:val="00567925"/>
    <w:rsid w:val="0057009A"/>
    <w:rsid w:val="00570354"/>
    <w:rsid w:val="0057035A"/>
    <w:rsid w:val="00570A45"/>
    <w:rsid w:val="005711CA"/>
    <w:rsid w:val="00571262"/>
    <w:rsid w:val="0057159D"/>
    <w:rsid w:val="005715B1"/>
    <w:rsid w:val="0057176B"/>
    <w:rsid w:val="00571896"/>
    <w:rsid w:val="00571ACC"/>
    <w:rsid w:val="00571AFF"/>
    <w:rsid w:val="00571B8D"/>
    <w:rsid w:val="0057205B"/>
    <w:rsid w:val="00572357"/>
    <w:rsid w:val="00572414"/>
    <w:rsid w:val="00572769"/>
    <w:rsid w:val="00572D97"/>
    <w:rsid w:val="00573045"/>
    <w:rsid w:val="00573247"/>
    <w:rsid w:val="0057358A"/>
    <w:rsid w:val="00573778"/>
    <w:rsid w:val="00573E96"/>
    <w:rsid w:val="005743F5"/>
    <w:rsid w:val="00574729"/>
    <w:rsid w:val="005749CC"/>
    <w:rsid w:val="00574B30"/>
    <w:rsid w:val="00574D82"/>
    <w:rsid w:val="00574F3C"/>
    <w:rsid w:val="0057506E"/>
    <w:rsid w:val="005756EE"/>
    <w:rsid w:val="00575701"/>
    <w:rsid w:val="00575EDF"/>
    <w:rsid w:val="00576175"/>
    <w:rsid w:val="00576222"/>
    <w:rsid w:val="005764E7"/>
    <w:rsid w:val="005765FA"/>
    <w:rsid w:val="0057679C"/>
    <w:rsid w:val="00576A21"/>
    <w:rsid w:val="00576C33"/>
    <w:rsid w:val="00576D7D"/>
    <w:rsid w:val="00576E06"/>
    <w:rsid w:val="00576E23"/>
    <w:rsid w:val="005772A4"/>
    <w:rsid w:val="00577317"/>
    <w:rsid w:val="005778E8"/>
    <w:rsid w:val="00577AEC"/>
    <w:rsid w:val="00577B2B"/>
    <w:rsid w:val="00577FFE"/>
    <w:rsid w:val="00580118"/>
    <w:rsid w:val="005801F0"/>
    <w:rsid w:val="00580D8A"/>
    <w:rsid w:val="00580E01"/>
    <w:rsid w:val="00580EBC"/>
    <w:rsid w:val="005813DB"/>
    <w:rsid w:val="005815DB"/>
    <w:rsid w:val="0058180F"/>
    <w:rsid w:val="00581B16"/>
    <w:rsid w:val="00581BBD"/>
    <w:rsid w:val="00582019"/>
    <w:rsid w:val="0058224C"/>
    <w:rsid w:val="00582C60"/>
    <w:rsid w:val="00582C8A"/>
    <w:rsid w:val="00583493"/>
    <w:rsid w:val="005837C6"/>
    <w:rsid w:val="00583C50"/>
    <w:rsid w:val="00584073"/>
    <w:rsid w:val="005842BA"/>
    <w:rsid w:val="0058456A"/>
    <w:rsid w:val="005847CC"/>
    <w:rsid w:val="005849F6"/>
    <w:rsid w:val="00584ADB"/>
    <w:rsid w:val="005850E8"/>
    <w:rsid w:val="00585134"/>
    <w:rsid w:val="00585331"/>
    <w:rsid w:val="00585360"/>
    <w:rsid w:val="00585C7F"/>
    <w:rsid w:val="00585C8F"/>
    <w:rsid w:val="00585C9F"/>
    <w:rsid w:val="005863E6"/>
    <w:rsid w:val="0058649E"/>
    <w:rsid w:val="0058656C"/>
    <w:rsid w:val="005866FD"/>
    <w:rsid w:val="00586956"/>
    <w:rsid w:val="00586977"/>
    <w:rsid w:val="00586A13"/>
    <w:rsid w:val="00586A74"/>
    <w:rsid w:val="00586A7B"/>
    <w:rsid w:val="00586BEA"/>
    <w:rsid w:val="00586D58"/>
    <w:rsid w:val="00586FA6"/>
    <w:rsid w:val="005873E2"/>
    <w:rsid w:val="005876F8"/>
    <w:rsid w:val="00587860"/>
    <w:rsid w:val="0059033F"/>
    <w:rsid w:val="0059066A"/>
    <w:rsid w:val="005906E7"/>
    <w:rsid w:val="0059076C"/>
    <w:rsid w:val="00590888"/>
    <w:rsid w:val="00590A5A"/>
    <w:rsid w:val="00590BE6"/>
    <w:rsid w:val="00590CE9"/>
    <w:rsid w:val="0059110C"/>
    <w:rsid w:val="00591270"/>
    <w:rsid w:val="00591408"/>
    <w:rsid w:val="005915BB"/>
    <w:rsid w:val="00591642"/>
    <w:rsid w:val="00591A9C"/>
    <w:rsid w:val="00591AFD"/>
    <w:rsid w:val="00591D4C"/>
    <w:rsid w:val="00591F49"/>
    <w:rsid w:val="005920C0"/>
    <w:rsid w:val="00592CA7"/>
    <w:rsid w:val="00592DFB"/>
    <w:rsid w:val="00592F30"/>
    <w:rsid w:val="00592F55"/>
    <w:rsid w:val="00593103"/>
    <w:rsid w:val="00593112"/>
    <w:rsid w:val="005943B9"/>
    <w:rsid w:val="0059468B"/>
    <w:rsid w:val="005947A5"/>
    <w:rsid w:val="005947AB"/>
    <w:rsid w:val="005947C2"/>
    <w:rsid w:val="0059488A"/>
    <w:rsid w:val="00594988"/>
    <w:rsid w:val="00594B01"/>
    <w:rsid w:val="00594FDA"/>
    <w:rsid w:val="0059506A"/>
    <w:rsid w:val="00595342"/>
    <w:rsid w:val="00595911"/>
    <w:rsid w:val="00595F82"/>
    <w:rsid w:val="0059605F"/>
    <w:rsid w:val="005965F6"/>
    <w:rsid w:val="0059675A"/>
    <w:rsid w:val="005967F5"/>
    <w:rsid w:val="00596D81"/>
    <w:rsid w:val="00597342"/>
    <w:rsid w:val="00597495"/>
    <w:rsid w:val="005977E9"/>
    <w:rsid w:val="00597AF2"/>
    <w:rsid w:val="00597BA4"/>
    <w:rsid w:val="005A06E3"/>
    <w:rsid w:val="005A08B0"/>
    <w:rsid w:val="005A08F5"/>
    <w:rsid w:val="005A0D55"/>
    <w:rsid w:val="005A0FD4"/>
    <w:rsid w:val="005A10C4"/>
    <w:rsid w:val="005A1146"/>
    <w:rsid w:val="005A1B47"/>
    <w:rsid w:val="005A1B4C"/>
    <w:rsid w:val="005A1C9F"/>
    <w:rsid w:val="005A1D14"/>
    <w:rsid w:val="005A1DE5"/>
    <w:rsid w:val="005A1F00"/>
    <w:rsid w:val="005A218A"/>
    <w:rsid w:val="005A26D3"/>
    <w:rsid w:val="005A2E69"/>
    <w:rsid w:val="005A321E"/>
    <w:rsid w:val="005A323F"/>
    <w:rsid w:val="005A32B7"/>
    <w:rsid w:val="005A3412"/>
    <w:rsid w:val="005A3926"/>
    <w:rsid w:val="005A3AD7"/>
    <w:rsid w:val="005A3BA1"/>
    <w:rsid w:val="005A3E84"/>
    <w:rsid w:val="005A3E8C"/>
    <w:rsid w:val="005A417D"/>
    <w:rsid w:val="005A41F7"/>
    <w:rsid w:val="005A452B"/>
    <w:rsid w:val="005A457D"/>
    <w:rsid w:val="005A45C2"/>
    <w:rsid w:val="005A4801"/>
    <w:rsid w:val="005A4BA0"/>
    <w:rsid w:val="005A4C37"/>
    <w:rsid w:val="005A4C68"/>
    <w:rsid w:val="005A4EE3"/>
    <w:rsid w:val="005A5300"/>
    <w:rsid w:val="005A590D"/>
    <w:rsid w:val="005A590E"/>
    <w:rsid w:val="005A5ABB"/>
    <w:rsid w:val="005A5F0B"/>
    <w:rsid w:val="005A6207"/>
    <w:rsid w:val="005A6249"/>
    <w:rsid w:val="005A649C"/>
    <w:rsid w:val="005A64C7"/>
    <w:rsid w:val="005A6776"/>
    <w:rsid w:val="005A6AC9"/>
    <w:rsid w:val="005A6E42"/>
    <w:rsid w:val="005A7091"/>
    <w:rsid w:val="005A7304"/>
    <w:rsid w:val="005A759A"/>
    <w:rsid w:val="005A7767"/>
    <w:rsid w:val="005A7A74"/>
    <w:rsid w:val="005B0126"/>
    <w:rsid w:val="005B03DB"/>
    <w:rsid w:val="005B0403"/>
    <w:rsid w:val="005B04A4"/>
    <w:rsid w:val="005B06C8"/>
    <w:rsid w:val="005B09A0"/>
    <w:rsid w:val="005B0B9A"/>
    <w:rsid w:val="005B0EF6"/>
    <w:rsid w:val="005B1033"/>
    <w:rsid w:val="005B133D"/>
    <w:rsid w:val="005B1966"/>
    <w:rsid w:val="005B19A7"/>
    <w:rsid w:val="005B1DA0"/>
    <w:rsid w:val="005B257F"/>
    <w:rsid w:val="005B2827"/>
    <w:rsid w:val="005B2BB5"/>
    <w:rsid w:val="005B2C34"/>
    <w:rsid w:val="005B2CAF"/>
    <w:rsid w:val="005B2F6E"/>
    <w:rsid w:val="005B3638"/>
    <w:rsid w:val="005B3861"/>
    <w:rsid w:val="005B3B29"/>
    <w:rsid w:val="005B3DB3"/>
    <w:rsid w:val="005B4481"/>
    <w:rsid w:val="005B4783"/>
    <w:rsid w:val="005B4B04"/>
    <w:rsid w:val="005B4C09"/>
    <w:rsid w:val="005B5042"/>
    <w:rsid w:val="005B50C4"/>
    <w:rsid w:val="005B528B"/>
    <w:rsid w:val="005B52EB"/>
    <w:rsid w:val="005B5333"/>
    <w:rsid w:val="005B5505"/>
    <w:rsid w:val="005B55BC"/>
    <w:rsid w:val="005B5951"/>
    <w:rsid w:val="005B599D"/>
    <w:rsid w:val="005B5A7B"/>
    <w:rsid w:val="005B5BCE"/>
    <w:rsid w:val="005B5D89"/>
    <w:rsid w:val="005B5DAD"/>
    <w:rsid w:val="005B5DE5"/>
    <w:rsid w:val="005B6168"/>
    <w:rsid w:val="005B669B"/>
    <w:rsid w:val="005B6732"/>
    <w:rsid w:val="005B6F51"/>
    <w:rsid w:val="005B7AE1"/>
    <w:rsid w:val="005B7E02"/>
    <w:rsid w:val="005C058C"/>
    <w:rsid w:val="005C079C"/>
    <w:rsid w:val="005C0B36"/>
    <w:rsid w:val="005C0BBF"/>
    <w:rsid w:val="005C12D8"/>
    <w:rsid w:val="005C12DD"/>
    <w:rsid w:val="005C15F2"/>
    <w:rsid w:val="005C172C"/>
    <w:rsid w:val="005C18F7"/>
    <w:rsid w:val="005C1979"/>
    <w:rsid w:val="005C1D52"/>
    <w:rsid w:val="005C1EB9"/>
    <w:rsid w:val="005C2968"/>
    <w:rsid w:val="005C2BA9"/>
    <w:rsid w:val="005C2D89"/>
    <w:rsid w:val="005C2E48"/>
    <w:rsid w:val="005C3247"/>
    <w:rsid w:val="005C33E3"/>
    <w:rsid w:val="005C353F"/>
    <w:rsid w:val="005C3A3D"/>
    <w:rsid w:val="005C3BE5"/>
    <w:rsid w:val="005C3D34"/>
    <w:rsid w:val="005C40F3"/>
    <w:rsid w:val="005C4165"/>
    <w:rsid w:val="005C46C3"/>
    <w:rsid w:val="005C491A"/>
    <w:rsid w:val="005C496E"/>
    <w:rsid w:val="005C51D2"/>
    <w:rsid w:val="005C53EA"/>
    <w:rsid w:val="005C5942"/>
    <w:rsid w:val="005C5B48"/>
    <w:rsid w:val="005C5F45"/>
    <w:rsid w:val="005C601C"/>
    <w:rsid w:val="005C633D"/>
    <w:rsid w:val="005C6751"/>
    <w:rsid w:val="005C6AF1"/>
    <w:rsid w:val="005C6B97"/>
    <w:rsid w:val="005C6BCC"/>
    <w:rsid w:val="005C7CA7"/>
    <w:rsid w:val="005C7FD3"/>
    <w:rsid w:val="005C7FDE"/>
    <w:rsid w:val="005D08F2"/>
    <w:rsid w:val="005D09A7"/>
    <w:rsid w:val="005D09C1"/>
    <w:rsid w:val="005D0CF8"/>
    <w:rsid w:val="005D0EBF"/>
    <w:rsid w:val="005D1092"/>
    <w:rsid w:val="005D10DE"/>
    <w:rsid w:val="005D11E2"/>
    <w:rsid w:val="005D1563"/>
    <w:rsid w:val="005D1704"/>
    <w:rsid w:val="005D1746"/>
    <w:rsid w:val="005D19E0"/>
    <w:rsid w:val="005D1C3B"/>
    <w:rsid w:val="005D22C8"/>
    <w:rsid w:val="005D2D4A"/>
    <w:rsid w:val="005D30A5"/>
    <w:rsid w:val="005D30FC"/>
    <w:rsid w:val="005D32DD"/>
    <w:rsid w:val="005D3774"/>
    <w:rsid w:val="005D37DB"/>
    <w:rsid w:val="005D396A"/>
    <w:rsid w:val="005D3B10"/>
    <w:rsid w:val="005D3ED2"/>
    <w:rsid w:val="005D3EF3"/>
    <w:rsid w:val="005D41AC"/>
    <w:rsid w:val="005D4361"/>
    <w:rsid w:val="005D4A14"/>
    <w:rsid w:val="005D4AD3"/>
    <w:rsid w:val="005D4E9C"/>
    <w:rsid w:val="005D5775"/>
    <w:rsid w:val="005D58B5"/>
    <w:rsid w:val="005D598C"/>
    <w:rsid w:val="005D5B67"/>
    <w:rsid w:val="005D5EB2"/>
    <w:rsid w:val="005D5FEA"/>
    <w:rsid w:val="005D61E5"/>
    <w:rsid w:val="005D640F"/>
    <w:rsid w:val="005D6468"/>
    <w:rsid w:val="005D64FA"/>
    <w:rsid w:val="005D64FF"/>
    <w:rsid w:val="005D6637"/>
    <w:rsid w:val="005D68BE"/>
    <w:rsid w:val="005D6F82"/>
    <w:rsid w:val="005D6F90"/>
    <w:rsid w:val="005D6FA6"/>
    <w:rsid w:val="005D7506"/>
    <w:rsid w:val="005D761A"/>
    <w:rsid w:val="005D76D7"/>
    <w:rsid w:val="005D7A7B"/>
    <w:rsid w:val="005D7CBF"/>
    <w:rsid w:val="005D7D52"/>
    <w:rsid w:val="005E060B"/>
    <w:rsid w:val="005E0962"/>
    <w:rsid w:val="005E09FC"/>
    <w:rsid w:val="005E0A22"/>
    <w:rsid w:val="005E0B56"/>
    <w:rsid w:val="005E0C4A"/>
    <w:rsid w:val="005E10F0"/>
    <w:rsid w:val="005E1304"/>
    <w:rsid w:val="005E13EB"/>
    <w:rsid w:val="005E1450"/>
    <w:rsid w:val="005E15DC"/>
    <w:rsid w:val="005E195C"/>
    <w:rsid w:val="005E1D0D"/>
    <w:rsid w:val="005E258D"/>
    <w:rsid w:val="005E27CF"/>
    <w:rsid w:val="005E28C7"/>
    <w:rsid w:val="005E2950"/>
    <w:rsid w:val="005E29D2"/>
    <w:rsid w:val="005E2C6E"/>
    <w:rsid w:val="005E2DE5"/>
    <w:rsid w:val="005E2FB9"/>
    <w:rsid w:val="005E31FC"/>
    <w:rsid w:val="005E3766"/>
    <w:rsid w:val="005E3B06"/>
    <w:rsid w:val="005E3B0E"/>
    <w:rsid w:val="005E3B10"/>
    <w:rsid w:val="005E3CDD"/>
    <w:rsid w:val="005E3F6B"/>
    <w:rsid w:val="005E417B"/>
    <w:rsid w:val="005E442E"/>
    <w:rsid w:val="005E45A6"/>
    <w:rsid w:val="005E473A"/>
    <w:rsid w:val="005E47A2"/>
    <w:rsid w:val="005E4CBF"/>
    <w:rsid w:val="005E4E0D"/>
    <w:rsid w:val="005E4FB2"/>
    <w:rsid w:val="005E5347"/>
    <w:rsid w:val="005E59CB"/>
    <w:rsid w:val="005E5ABC"/>
    <w:rsid w:val="005E61DF"/>
    <w:rsid w:val="005E6640"/>
    <w:rsid w:val="005E6862"/>
    <w:rsid w:val="005E6A69"/>
    <w:rsid w:val="005E6C34"/>
    <w:rsid w:val="005E6C52"/>
    <w:rsid w:val="005E6E6C"/>
    <w:rsid w:val="005E7202"/>
    <w:rsid w:val="005E7281"/>
    <w:rsid w:val="005E7640"/>
    <w:rsid w:val="005E7891"/>
    <w:rsid w:val="005E7908"/>
    <w:rsid w:val="005E793C"/>
    <w:rsid w:val="005E79CA"/>
    <w:rsid w:val="005E7A2E"/>
    <w:rsid w:val="005F004D"/>
    <w:rsid w:val="005F009E"/>
    <w:rsid w:val="005F00A6"/>
    <w:rsid w:val="005F00B5"/>
    <w:rsid w:val="005F02D3"/>
    <w:rsid w:val="005F03FD"/>
    <w:rsid w:val="005F04C0"/>
    <w:rsid w:val="005F083B"/>
    <w:rsid w:val="005F0904"/>
    <w:rsid w:val="005F098B"/>
    <w:rsid w:val="005F0A0C"/>
    <w:rsid w:val="005F0C72"/>
    <w:rsid w:val="005F0FFC"/>
    <w:rsid w:val="005F146A"/>
    <w:rsid w:val="005F1954"/>
    <w:rsid w:val="005F1AD8"/>
    <w:rsid w:val="005F21EA"/>
    <w:rsid w:val="005F2315"/>
    <w:rsid w:val="005F2565"/>
    <w:rsid w:val="005F282B"/>
    <w:rsid w:val="005F29B7"/>
    <w:rsid w:val="005F2C11"/>
    <w:rsid w:val="005F2C87"/>
    <w:rsid w:val="005F2D05"/>
    <w:rsid w:val="005F2F0A"/>
    <w:rsid w:val="005F2F65"/>
    <w:rsid w:val="005F3048"/>
    <w:rsid w:val="005F3088"/>
    <w:rsid w:val="005F362F"/>
    <w:rsid w:val="005F39DA"/>
    <w:rsid w:val="005F3CB2"/>
    <w:rsid w:val="005F4001"/>
    <w:rsid w:val="005F403F"/>
    <w:rsid w:val="005F4B2D"/>
    <w:rsid w:val="005F4BD3"/>
    <w:rsid w:val="005F4BE0"/>
    <w:rsid w:val="005F50C4"/>
    <w:rsid w:val="005F57E6"/>
    <w:rsid w:val="005F59C5"/>
    <w:rsid w:val="005F5CA5"/>
    <w:rsid w:val="005F6048"/>
    <w:rsid w:val="005F613D"/>
    <w:rsid w:val="005F61A9"/>
    <w:rsid w:val="005F6390"/>
    <w:rsid w:val="005F6828"/>
    <w:rsid w:val="005F6B44"/>
    <w:rsid w:val="005F72E6"/>
    <w:rsid w:val="005F79C1"/>
    <w:rsid w:val="005F7B19"/>
    <w:rsid w:val="005F7CAA"/>
    <w:rsid w:val="00600186"/>
    <w:rsid w:val="00600360"/>
    <w:rsid w:val="00600594"/>
    <w:rsid w:val="0060067F"/>
    <w:rsid w:val="00600BA7"/>
    <w:rsid w:val="00600E06"/>
    <w:rsid w:val="00600E0E"/>
    <w:rsid w:val="00600F20"/>
    <w:rsid w:val="0060105C"/>
    <w:rsid w:val="0060108F"/>
    <w:rsid w:val="006011DE"/>
    <w:rsid w:val="00601299"/>
    <w:rsid w:val="006012F7"/>
    <w:rsid w:val="00601A9B"/>
    <w:rsid w:val="00601B37"/>
    <w:rsid w:val="00601CE3"/>
    <w:rsid w:val="00601EC1"/>
    <w:rsid w:val="006020DC"/>
    <w:rsid w:val="00602559"/>
    <w:rsid w:val="0060258F"/>
    <w:rsid w:val="006028DD"/>
    <w:rsid w:val="0060299B"/>
    <w:rsid w:val="00602A09"/>
    <w:rsid w:val="00602B31"/>
    <w:rsid w:val="00602D52"/>
    <w:rsid w:val="00603724"/>
    <w:rsid w:val="00604209"/>
    <w:rsid w:val="006044C8"/>
    <w:rsid w:val="006045C7"/>
    <w:rsid w:val="006046FC"/>
    <w:rsid w:val="0060470D"/>
    <w:rsid w:val="00604883"/>
    <w:rsid w:val="00604A6D"/>
    <w:rsid w:val="00604B16"/>
    <w:rsid w:val="00604BB8"/>
    <w:rsid w:val="00604E90"/>
    <w:rsid w:val="00604F3D"/>
    <w:rsid w:val="00605128"/>
    <w:rsid w:val="006051B5"/>
    <w:rsid w:val="00605209"/>
    <w:rsid w:val="00605529"/>
    <w:rsid w:val="006055E0"/>
    <w:rsid w:val="00605680"/>
    <w:rsid w:val="0060580C"/>
    <w:rsid w:val="00605968"/>
    <w:rsid w:val="00605A6E"/>
    <w:rsid w:val="00605BA7"/>
    <w:rsid w:val="00605E6B"/>
    <w:rsid w:val="00605F38"/>
    <w:rsid w:val="00606134"/>
    <w:rsid w:val="00606262"/>
    <w:rsid w:val="006065BB"/>
    <w:rsid w:val="00606A04"/>
    <w:rsid w:val="00606AAC"/>
    <w:rsid w:val="00606AC4"/>
    <w:rsid w:val="00606D14"/>
    <w:rsid w:val="006071D5"/>
    <w:rsid w:val="006071DC"/>
    <w:rsid w:val="00607500"/>
    <w:rsid w:val="00607769"/>
    <w:rsid w:val="00607A40"/>
    <w:rsid w:val="00607A51"/>
    <w:rsid w:val="00607AD8"/>
    <w:rsid w:val="00607D05"/>
    <w:rsid w:val="00607E0B"/>
    <w:rsid w:val="00607E47"/>
    <w:rsid w:val="00610216"/>
    <w:rsid w:val="00610236"/>
    <w:rsid w:val="006106B9"/>
    <w:rsid w:val="00610B86"/>
    <w:rsid w:val="00610E33"/>
    <w:rsid w:val="00610FE3"/>
    <w:rsid w:val="006113CE"/>
    <w:rsid w:val="00611674"/>
    <w:rsid w:val="00611708"/>
    <w:rsid w:val="0061188E"/>
    <w:rsid w:val="006118EB"/>
    <w:rsid w:val="00611AA1"/>
    <w:rsid w:val="00611B6C"/>
    <w:rsid w:val="00611FB7"/>
    <w:rsid w:val="00611FF1"/>
    <w:rsid w:val="00612163"/>
    <w:rsid w:val="006121AC"/>
    <w:rsid w:val="00612526"/>
    <w:rsid w:val="00612A45"/>
    <w:rsid w:val="0061301A"/>
    <w:rsid w:val="00613069"/>
    <w:rsid w:val="00613116"/>
    <w:rsid w:val="00613FB2"/>
    <w:rsid w:val="00614059"/>
    <w:rsid w:val="006142A9"/>
    <w:rsid w:val="0061439D"/>
    <w:rsid w:val="00614408"/>
    <w:rsid w:val="00614996"/>
    <w:rsid w:val="00614D0F"/>
    <w:rsid w:val="00614D32"/>
    <w:rsid w:val="00614F70"/>
    <w:rsid w:val="006150E6"/>
    <w:rsid w:val="00615420"/>
    <w:rsid w:val="00615739"/>
    <w:rsid w:val="006157CF"/>
    <w:rsid w:val="00615833"/>
    <w:rsid w:val="0061590E"/>
    <w:rsid w:val="00615940"/>
    <w:rsid w:val="006159AE"/>
    <w:rsid w:val="00615A53"/>
    <w:rsid w:val="00615C41"/>
    <w:rsid w:val="00616345"/>
    <w:rsid w:val="0061667E"/>
    <w:rsid w:val="0061681B"/>
    <w:rsid w:val="00616A55"/>
    <w:rsid w:val="00616F32"/>
    <w:rsid w:val="006172F1"/>
    <w:rsid w:val="006176F2"/>
    <w:rsid w:val="006179E7"/>
    <w:rsid w:val="00617A34"/>
    <w:rsid w:val="00617B0C"/>
    <w:rsid w:val="00617D48"/>
    <w:rsid w:val="00617E2E"/>
    <w:rsid w:val="0062037E"/>
    <w:rsid w:val="006206C8"/>
    <w:rsid w:val="00620AFD"/>
    <w:rsid w:val="00620B17"/>
    <w:rsid w:val="00620C2E"/>
    <w:rsid w:val="00620DB6"/>
    <w:rsid w:val="00620EB2"/>
    <w:rsid w:val="00620EBD"/>
    <w:rsid w:val="00620F02"/>
    <w:rsid w:val="0062150B"/>
    <w:rsid w:val="006215FE"/>
    <w:rsid w:val="00621687"/>
    <w:rsid w:val="00621823"/>
    <w:rsid w:val="006219F7"/>
    <w:rsid w:val="00621BF9"/>
    <w:rsid w:val="00622027"/>
    <w:rsid w:val="00622087"/>
    <w:rsid w:val="006220B2"/>
    <w:rsid w:val="006221B7"/>
    <w:rsid w:val="006222A1"/>
    <w:rsid w:val="0062265C"/>
    <w:rsid w:val="0062293A"/>
    <w:rsid w:val="00622C04"/>
    <w:rsid w:val="00622D24"/>
    <w:rsid w:val="00622D39"/>
    <w:rsid w:val="00622D80"/>
    <w:rsid w:val="00622E0C"/>
    <w:rsid w:val="00622EFB"/>
    <w:rsid w:val="00622F8A"/>
    <w:rsid w:val="00623241"/>
    <w:rsid w:val="006234FA"/>
    <w:rsid w:val="00623621"/>
    <w:rsid w:val="0062367D"/>
    <w:rsid w:val="006236BF"/>
    <w:rsid w:val="00623867"/>
    <w:rsid w:val="00623948"/>
    <w:rsid w:val="00623C27"/>
    <w:rsid w:val="00623C74"/>
    <w:rsid w:val="00623D79"/>
    <w:rsid w:val="0062401B"/>
    <w:rsid w:val="0062405F"/>
    <w:rsid w:val="00624432"/>
    <w:rsid w:val="00624A79"/>
    <w:rsid w:val="00624A84"/>
    <w:rsid w:val="00624BA0"/>
    <w:rsid w:val="00625760"/>
    <w:rsid w:val="00625D5E"/>
    <w:rsid w:val="0062625A"/>
    <w:rsid w:val="006263B1"/>
    <w:rsid w:val="00626464"/>
    <w:rsid w:val="006265D0"/>
    <w:rsid w:val="006267E3"/>
    <w:rsid w:val="0062681F"/>
    <w:rsid w:val="0062692C"/>
    <w:rsid w:val="00627041"/>
    <w:rsid w:val="00627337"/>
    <w:rsid w:val="006277B3"/>
    <w:rsid w:val="00627B2E"/>
    <w:rsid w:val="00627C28"/>
    <w:rsid w:val="00627CB2"/>
    <w:rsid w:val="0063008D"/>
    <w:rsid w:val="00630604"/>
    <w:rsid w:val="006307C7"/>
    <w:rsid w:val="006308F0"/>
    <w:rsid w:val="00630A52"/>
    <w:rsid w:val="00630BB8"/>
    <w:rsid w:val="00630FEC"/>
    <w:rsid w:val="00631025"/>
    <w:rsid w:val="006310AD"/>
    <w:rsid w:val="00631160"/>
    <w:rsid w:val="00632009"/>
    <w:rsid w:val="006322D5"/>
    <w:rsid w:val="006328CF"/>
    <w:rsid w:val="00632994"/>
    <w:rsid w:val="006329C7"/>
    <w:rsid w:val="00632C9D"/>
    <w:rsid w:val="00632D40"/>
    <w:rsid w:val="00632D5C"/>
    <w:rsid w:val="00632DC0"/>
    <w:rsid w:val="00633152"/>
    <w:rsid w:val="00633609"/>
    <w:rsid w:val="00633880"/>
    <w:rsid w:val="00633BD0"/>
    <w:rsid w:val="00633D1B"/>
    <w:rsid w:val="00633D9A"/>
    <w:rsid w:val="00633FBB"/>
    <w:rsid w:val="00633FFC"/>
    <w:rsid w:val="0063463A"/>
    <w:rsid w:val="00634916"/>
    <w:rsid w:val="0063491C"/>
    <w:rsid w:val="00634B1D"/>
    <w:rsid w:val="00634DD0"/>
    <w:rsid w:val="00634F7B"/>
    <w:rsid w:val="00634FEC"/>
    <w:rsid w:val="00635369"/>
    <w:rsid w:val="00635377"/>
    <w:rsid w:val="00635423"/>
    <w:rsid w:val="006358D3"/>
    <w:rsid w:val="00635B11"/>
    <w:rsid w:val="00635C88"/>
    <w:rsid w:val="00635DFF"/>
    <w:rsid w:val="0063646D"/>
    <w:rsid w:val="006365A5"/>
    <w:rsid w:val="006368C6"/>
    <w:rsid w:val="00636D2A"/>
    <w:rsid w:val="00636EF7"/>
    <w:rsid w:val="00637110"/>
    <w:rsid w:val="0063733F"/>
    <w:rsid w:val="00640067"/>
    <w:rsid w:val="0064040C"/>
    <w:rsid w:val="0064043F"/>
    <w:rsid w:val="00640481"/>
    <w:rsid w:val="006406E1"/>
    <w:rsid w:val="006407D2"/>
    <w:rsid w:val="00640A94"/>
    <w:rsid w:val="00640AE1"/>
    <w:rsid w:val="00640D20"/>
    <w:rsid w:val="00640D37"/>
    <w:rsid w:val="00640D88"/>
    <w:rsid w:val="006410A0"/>
    <w:rsid w:val="006412ED"/>
    <w:rsid w:val="00641379"/>
    <w:rsid w:val="00641B4F"/>
    <w:rsid w:val="00641ED6"/>
    <w:rsid w:val="00642082"/>
    <w:rsid w:val="0064211C"/>
    <w:rsid w:val="00642232"/>
    <w:rsid w:val="0064275D"/>
    <w:rsid w:val="00642767"/>
    <w:rsid w:val="006427C9"/>
    <w:rsid w:val="00642DD4"/>
    <w:rsid w:val="00642F26"/>
    <w:rsid w:val="0064314A"/>
    <w:rsid w:val="00643352"/>
    <w:rsid w:val="006433F1"/>
    <w:rsid w:val="0064355A"/>
    <w:rsid w:val="006439BF"/>
    <w:rsid w:val="00643E6B"/>
    <w:rsid w:val="00643FF3"/>
    <w:rsid w:val="0064434B"/>
    <w:rsid w:val="00644590"/>
    <w:rsid w:val="00644B56"/>
    <w:rsid w:val="00644EF8"/>
    <w:rsid w:val="0064507A"/>
    <w:rsid w:val="006451BF"/>
    <w:rsid w:val="006451E5"/>
    <w:rsid w:val="0064534A"/>
    <w:rsid w:val="00645501"/>
    <w:rsid w:val="00645583"/>
    <w:rsid w:val="00645897"/>
    <w:rsid w:val="006458FB"/>
    <w:rsid w:val="00645BFD"/>
    <w:rsid w:val="00645CF7"/>
    <w:rsid w:val="00645E60"/>
    <w:rsid w:val="00646020"/>
    <w:rsid w:val="00646108"/>
    <w:rsid w:val="00646205"/>
    <w:rsid w:val="006462DE"/>
    <w:rsid w:val="006463F1"/>
    <w:rsid w:val="006465CC"/>
    <w:rsid w:val="006467BD"/>
    <w:rsid w:val="00646C7A"/>
    <w:rsid w:val="00646CC5"/>
    <w:rsid w:val="00646D51"/>
    <w:rsid w:val="00647315"/>
    <w:rsid w:val="00647403"/>
    <w:rsid w:val="00647748"/>
    <w:rsid w:val="006477D1"/>
    <w:rsid w:val="006479FB"/>
    <w:rsid w:val="00647B13"/>
    <w:rsid w:val="00647C4A"/>
    <w:rsid w:val="00647CD9"/>
    <w:rsid w:val="006501D1"/>
    <w:rsid w:val="0065073F"/>
    <w:rsid w:val="00650949"/>
    <w:rsid w:val="00650A4C"/>
    <w:rsid w:val="00650CA3"/>
    <w:rsid w:val="00650F52"/>
    <w:rsid w:val="00651005"/>
    <w:rsid w:val="0065145D"/>
    <w:rsid w:val="0065163A"/>
    <w:rsid w:val="0065164B"/>
    <w:rsid w:val="00651B25"/>
    <w:rsid w:val="00651B54"/>
    <w:rsid w:val="00651D41"/>
    <w:rsid w:val="00651E53"/>
    <w:rsid w:val="00651F24"/>
    <w:rsid w:val="00651F3A"/>
    <w:rsid w:val="006523B8"/>
    <w:rsid w:val="006525DA"/>
    <w:rsid w:val="00652807"/>
    <w:rsid w:val="00652AA7"/>
    <w:rsid w:val="00652E6C"/>
    <w:rsid w:val="00652F8F"/>
    <w:rsid w:val="006531DE"/>
    <w:rsid w:val="0065381C"/>
    <w:rsid w:val="00653AD9"/>
    <w:rsid w:val="00654065"/>
    <w:rsid w:val="006541DD"/>
    <w:rsid w:val="0065450F"/>
    <w:rsid w:val="006545C0"/>
    <w:rsid w:val="0065484A"/>
    <w:rsid w:val="00654928"/>
    <w:rsid w:val="006549CD"/>
    <w:rsid w:val="00654AF1"/>
    <w:rsid w:val="00654EEB"/>
    <w:rsid w:val="00654EF3"/>
    <w:rsid w:val="00655369"/>
    <w:rsid w:val="006553CC"/>
    <w:rsid w:val="006553FE"/>
    <w:rsid w:val="00655438"/>
    <w:rsid w:val="00655497"/>
    <w:rsid w:val="006557CF"/>
    <w:rsid w:val="0065599B"/>
    <w:rsid w:val="00655CB3"/>
    <w:rsid w:val="00655EF0"/>
    <w:rsid w:val="00656085"/>
    <w:rsid w:val="006560C0"/>
    <w:rsid w:val="00656978"/>
    <w:rsid w:val="006569CB"/>
    <w:rsid w:val="006569CD"/>
    <w:rsid w:val="006569E3"/>
    <w:rsid w:val="00656A75"/>
    <w:rsid w:val="00656A8B"/>
    <w:rsid w:val="00656D96"/>
    <w:rsid w:val="00657395"/>
    <w:rsid w:val="00657962"/>
    <w:rsid w:val="006579B7"/>
    <w:rsid w:val="00657AE5"/>
    <w:rsid w:val="00657CFD"/>
    <w:rsid w:val="00660061"/>
    <w:rsid w:val="006602DE"/>
    <w:rsid w:val="006603AA"/>
    <w:rsid w:val="006604D6"/>
    <w:rsid w:val="006604EE"/>
    <w:rsid w:val="0066092D"/>
    <w:rsid w:val="00660FB1"/>
    <w:rsid w:val="00661216"/>
    <w:rsid w:val="006617E2"/>
    <w:rsid w:val="00661C33"/>
    <w:rsid w:val="00662613"/>
    <w:rsid w:val="00662615"/>
    <w:rsid w:val="00662742"/>
    <w:rsid w:val="006627FE"/>
    <w:rsid w:val="00662A48"/>
    <w:rsid w:val="00662A93"/>
    <w:rsid w:val="00662AF1"/>
    <w:rsid w:val="00662D8A"/>
    <w:rsid w:val="00662DEA"/>
    <w:rsid w:val="00662E96"/>
    <w:rsid w:val="006630CA"/>
    <w:rsid w:val="006630D5"/>
    <w:rsid w:val="006630DB"/>
    <w:rsid w:val="00663197"/>
    <w:rsid w:val="0066330A"/>
    <w:rsid w:val="006634B2"/>
    <w:rsid w:val="00663540"/>
    <w:rsid w:val="0066390F"/>
    <w:rsid w:val="00663A62"/>
    <w:rsid w:val="00663BF5"/>
    <w:rsid w:val="00663C5C"/>
    <w:rsid w:val="00663D23"/>
    <w:rsid w:val="00664065"/>
    <w:rsid w:val="00664326"/>
    <w:rsid w:val="006645FD"/>
    <w:rsid w:val="0066476D"/>
    <w:rsid w:val="00664A75"/>
    <w:rsid w:val="0066512C"/>
    <w:rsid w:val="00665159"/>
    <w:rsid w:val="00665190"/>
    <w:rsid w:val="00665234"/>
    <w:rsid w:val="006652DB"/>
    <w:rsid w:val="00665409"/>
    <w:rsid w:val="006655D7"/>
    <w:rsid w:val="00665FB5"/>
    <w:rsid w:val="006663DC"/>
    <w:rsid w:val="006664A2"/>
    <w:rsid w:val="00666539"/>
    <w:rsid w:val="006666F8"/>
    <w:rsid w:val="00666863"/>
    <w:rsid w:val="00666C5E"/>
    <w:rsid w:val="00666DFC"/>
    <w:rsid w:val="0066709C"/>
    <w:rsid w:val="00667409"/>
    <w:rsid w:val="006676EF"/>
    <w:rsid w:val="00667719"/>
    <w:rsid w:val="00667759"/>
    <w:rsid w:val="00667948"/>
    <w:rsid w:val="00667C5F"/>
    <w:rsid w:val="006700E7"/>
    <w:rsid w:val="00670213"/>
    <w:rsid w:val="006711B4"/>
    <w:rsid w:val="00671337"/>
    <w:rsid w:val="00671484"/>
    <w:rsid w:val="006714B9"/>
    <w:rsid w:val="006716C3"/>
    <w:rsid w:val="0067182F"/>
    <w:rsid w:val="006719E8"/>
    <w:rsid w:val="00671E43"/>
    <w:rsid w:val="00671EF7"/>
    <w:rsid w:val="006720C3"/>
    <w:rsid w:val="0067235F"/>
    <w:rsid w:val="006723AA"/>
    <w:rsid w:val="00672412"/>
    <w:rsid w:val="006728E1"/>
    <w:rsid w:val="006729D3"/>
    <w:rsid w:val="00672A12"/>
    <w:rsid w:val="00672A1D"/>
    <w:rsid w:val="00672B6B"/>
    <w:rsid w:val="00672D8A"/>
    <w:rsid w:val="00672FCA"/>
    <w:rsid w:val="00673153"/>
    <w:rsid w:val="00673227"/>
    <w:rsid w:val="00673A94"/>
    <w:rsid w:val="00673ABB"/>
    <w:rsid w:val="006741CB"/>
    <w:rsid w:val="0067472E"/>
    <w:rsid w:val="0067482B"/>
    <w:rsid w:val="00674ADA"/>
    <w:rsid w:val="00674B99"/>
    <w:rsid w:val="006750F6"/>
    <w:rsid w:val="006751BD"/>
    <w:rsid w:val="0067546A"/>
    <w:rsid w:val="00675A09"/>
    <w:rsid w:val="00675EE4"/>
    <w:rsid w:val="00675F42"/>
    <w:rsid w:val="00675FBE"/>
    <w:rsid w:val="0067645A"/>
    <w:rsid w:val="00676A4F"/>
    <w:rsid w:val="00676A93"/>
    <w:rsid w:val="0067709A"/>
    <w:rsid w:val="006770E7"/>
    <w:rsid w:val="00677162"/>
    <w:rsid w:val="00677283"/>
    <w:rsid w:val="00677B27"/>
    <w:rsid w:val="00677B5F"/>
    <w:rsid w:val="00677B77"/>
    <w:rsid w:val="00677BD7"/>
    <w:rsid w:val="00677E65"/>
    <w:rsid w:val="00680370"/>
    <w:rsid w:val="00680AF4"/>
    <w:rsid w:val="00680B86"/>
    <w:rsid w:val="00681264"/>
    <w:rsid w:val="00681571"/>
    <w:rsid w:val="00681628"/>
    <w:rsid w:val="0068182A"/>
    <w:rsid w:val="00681CED"/>
    <w:rsid w:val="0068211E"/>
    <w:rsid w:val="00682198"/>
    <w:rsid w:val="0068295F"/>
    <w:rsid w:val="00682ABD"/>
    <w:rsid w:val="00682D42"/>
    <w:rsid w:val="00682F6B"/>
    <w:rsid w:val="00683121"/>
    <w:rsid w:val="00683152"/>
    <w:rsid w:val="006831C1"/>
    <w:rsid w:val="0068320C"/>
    <w:rsid w:val="006835C6"/>
    <w:rsid w:val="00683D09"/>
    <w:rsid w:val="0068438A"/>
    <w:rsid w:val="0068439F"/>
    <w:rsid w:val="00684404"/>
    <w:rsid w:val="006845FE"/>
    <w:rsid w:val="006849C4"/>
    <w:rsid w:val="00684E4A"/>
    <w:rsid w:val="00684F20"/>
    <w:rsid w:val="00685369"/>
    <w:rsid w:val="00685519"/>
    <w:rsid w:val="00685A3D"/>
    <w:rsid w:val="00685BFF"/>
    <w:rsid w:val="00685CC9"/>
    <w:rsid w:val="00685E15"/>
    <w:rsid w:val="00685E85"/>
    <w:rsid w:val="00686247"/>
    <w:rsid w:val="0068635A"/>
    <w:rsid w:val="00686DC3"/>
    <w:rsid w:val="00686E13"/>
    <w:rsid w:val="006874CF"/>
    <w:rsid w:val="00687D2B"/>
    <w:rsid w:val="00690149"/>
    <w:rsid w:val="00690174"/>
    <w:rsid w:val="00690329"/>
    <w:rsid w:val="00690466"/>
    <w:rsid w:val="00690AA4"/>
    <w:rsid w:val="00690C15"/>
    <w:rsid w:val="00690D75"/>
    <w:rsid w:val="00690E9B"/>
    <w:rsid w:val="00690EC9"/>
    <w:rsid w:val="006912C1"/>
    <w:rsid w:val="00691341"/>
    <w:rsid w:val="0069136A"/>
    <w:rsid w:val="0069161A"/>
    <w:rsid w:val="006918BA"/>
    <w:rsid w:val="0069192A"/>
    <w:rsid w:val="00691A7A"/>
    <w:rsid w:val="00691B7B"/>
    <w:rsid w:val="00691EB1"/>
    <w:rsid w:val="00692071"/>
    <w:rsid w:val="00692778"/>
    <w:rsid w:val="0069294A"/>
    <w:rsid w:val="00692A4A"/>
    <w:rsid w:val="006933C9"/>
    <w:rsid w:val="006933F7"/>
    <w:rsid w:val="0069344C"/>
    <w:rsid w:val="006939F1"/>
    <w:rsid w:val="00693FC2"/>
    <w:rsid w:val="00694122"/>
    <w:rsid w:val="006941FE"/>
    <w:rsid w:val="00694292"/>
    <w:rsid w:val="006942CC"/>
    <w:rsid w:val="0069468F"/>
    <w:rsid w:val="0069469B"/>
    <w:rsid w:val="0069480F"/>
    <w:rsid w:val="006948D1"/>
    <w:rsid w:val="00694926"/>
    <w:rsid w:val="00694961"/>
    <w:rsid w:val="00694C1C"/>
    <w:rsid w:val="0069516E"/>
    <w:rsid w:val="00695189"/>
    <w:rsid w:val="006953AE"/>
    <w:rsid w:val="00695CCD"/>
    <w:rsid w:val="00695D06"/>
    <w:rsid w:val="00695D6D"/>
    <w:rsid w:val="00695E41"/>
    <w:rsid w:val="00696264"/>
    <w:rsid w:val="0069655B"/>
    <w:rsid w:val="00696756"/>
    <w:rsid w:val="00696A06"/>
    <w:rsid w:val="00696E29"/>
    <w:rsid w:val="00697418"/>
    <w:rsid w:val="006974B7"/>
    <w:rsid w:val="0069762D"/>
    <w:rsid w:val="006977B0"/>
    <w:rsid w:val="00697885"/>
    <w:rsid w:val="006A004C"/>
    <w:rsid w:val="006A064D"/>
    <w:rsid w:val="006A0920"/>
    <w:rsid w:val="006A0A77"/>
    <w:rsid w:val="006A0AA5"/>
    <w:rsid w:val="006A0E22"/>
    <w:rsid w:val="006A0EC6"/>
    <w:rsid w:val="006A1323"/>
    <w:rsid w:val="006A17E0"/>
    <w:rsid w:val="006A18B6"/>
    <w:rsid w:val="006A1E10"/>
    <w:rsid w:val="006A1F8C"/>
    <w:rsid w:val="006A217C"/>
    <w:rsid w:val="006A21B1"/>
    <w:rsid w:val="006A21B7"/>
    <w:rsid w:val="006A22B3"/>
    <w:rsid w:val="006A25E9"/>
    <w:rsid w:val="006A295C"/>
    <w:rsid w:val="006A2E90"/>
    <w:rsid w:val="006A2F7A"/>
    <w:rsid w:val="006A2FC8"/>
    <w:rsid w:val="006A3543"/>
    <w:rsid w:val="006A36FF"/>
    <w:rsid w:val="006A3935"/>
    <w:rsid w:val="006A3A09"/>
    <w:rsid w:val="006A3ED0"/>
    <w:rsid w:val="006A41E9"/>
    <w:rsid w:val="006A46BC"/>
    <w:rsid w:val="006A48CA"/>
    <w:rsid w:val="006A4B98"/>
    <w:rsid w:val="006A4C68"/>
    <w:rsid w:val="006A4E96"/>
    <w:rsid w:val="006A4FC1"/>
    <w:rsid w:val="006A5029"/>
    <w:rsid w:val="006A5067"/>
    <w:rsid w:val="006A5069"/>
    <w:rsid w:val="006A57BB"/>
    <w:rsid w:val="006A5CF4"/>
    <w:rsid w:val="006A608D"/>
    <w:rsid w:val="006A61AE"/>
    <w:rsid w:val="006A6277"/>
    <w:rsid w:val="006A6598"/>
    <w:rsid w:val="006A6A16"/>
    <w:rsid w:val="006A6A5C"/>
    <w:rsid w:val="006A6B0A"/>
    <w:rsid w:val="006A6D86"/>
    <w:rsid w:val="006A767B"/>
    <w:rsid w:val="006A78C9"/>
    <w:rsid w:val="006A7B29"/>
    <w:rsid w:val="006A7E23"/>
    <w:rsid w:val="006A7E40"/>
    <w:rsid w:val="006B051D"/>
    <w:rsid w:val="006B0835"/>
    <w:rsid w:val="006B088D"/>
    <w:rsid w:val="006B09D7"/>
    <w:rsid w:val="006B0C1B"/>
    <w:rsid w:val="006B0C24"/>
    <w:rsid w:val="006B0C96"/>
    <w:rsid w:val="006B1BCD"/>
    <w:rsid w:val="006B2400"/>
    <w:rsid w:val="006B2663"/>
    <w:rsid w:val="006B2B82"/>
    <w:rsid w:val="006B2E9D"/>
    <w:rsid w:val="006B2FB2"/>
    <w:rsid w:val="006B36FE"/>
    <w:rsid w:val="006B3773"/>
    <w:rsid w:val="006B3B7E"/>
    <w:rsid w:val="006B3F57"/>
    <w:rsid w:val="006B3F77"/>
    <w:rsid w:val="006B3FF7"/>
    <w:rsid w:val="006B4143"/>
    <w:rsid w:val="006B460F"/>
    <w:rsid w:val="006B4903"/>
    <w:rsid w:val="006B4BF6"/>
    <w:rsid w:val="006B5140"/>
    <w:rsid w:val="006B52CB"/>
    <w:rsid w:val="006B56A7"/>
    <w:rsid w:val="006B5840"/>
    <w:rsid w:val="006B5F69"/>
    <w:rsid w:val="006B71DD"/>
    <w:rsid w:val="006B74D0"/>
    <w:rsid w:val="006B75D6"/>
    <w:rsid w:val="006B75EE"/>
    <w:rsid w:val="006B771E"/>
    <w:rsid w:val="006B79B5"/>
    <w:rsid w:val="006B79D7"/>
    <w:rsid w:val="006B7A6F"/>
    <w:rsid w:val="006B7B1D"/>
    <w:rsid w:val="006B7E41"/>
    <w:rsid w:val="006C0A1B"/>
    <w:rsid w:val="006C0B77"/>
    <w:rsid w:val="006C1278"/>
    <w:rsid w:val="006C19FC"/>
    <w:rsid w:val="006C1E6C"/>
    <w:rsid w:val="006C217A"/>
    <w:rsid w:val="006C2368"/>
    <w:rsid w:val="006C24A2"/>
    <w:rsid w:val="006C28E3"/>
    <w:rsid w:val="006C2A64"/>
    <w:rsid w:val="006C2B0F"/>
    <w:rsid w:val="006C2D82"/>
    <w:rsid w:val="006C2DEA"/>
    <w:rsid w:val="006C2FB2"/>
    <w:rsid w:val="006C3001"/>
    <w:rsid w:val="006C310D"/>
    <w:rsid w:val="006C3586"/>
    <w:rsid w:val="006C3694"/>
    <w:rsid w:val="006C3A35"/>
    <w:rsid w:val="006C3E77"/>
    <w:rsid w:val="006C4033"/>
    <w:rsid w:val="006C42D8"/>
    <w:rsid w:val="006C45B1"/>
    <w:rsid w:val="006C46A2"/>
    <w:rsid w:val="006C4D55"/>
    <w:rsid w:val="006C51B7"/>
    <w:rsid w:val="006C5227"/>
    <w:rsid w:val="006C5246"/>
    <w:rsid w:val="006C52A6"/>
    <w:rsid w:val="006C561C"/>
    <w:rsid w:val="006C5652"/>
    <w:rsid w:val="006C57CE"/>
    <w:rsid w:val="006C57F0"/>
    <w:rsid w:val="006C59BA"/>
    <w:rsid w:val="006C5A67"/>
    <w:rsid w:val="006C5EC1"/>
    <w:rsid w:val="006C602A"/>
    <w:rsid w:val="006C615D"/>
    <w:rsid w:val="006C6283"/>
    <w:rsid w:val="006C65E2"/>
    <w:rsid w:val="006C6F97"/>
    <w:rsid w:val="006C70D8"/>
    <w:rsid w:val="006C720F"/>
    <w:rsid w:val="006C795E"/>
    <w:rsid w:val="006C7AA4"/>
    <w:rsid w:val="006C7E2B"/>
    <w:rsid w:val="006D0184"/>
    <w:rsid w:val="006D01C2"/>
    <w:rsid w:val="006D0223"/>
    <w:rsid w:val="006D050F"/>
    <w:rsid w:val="006D09C3"/>
    <w:rsid w:val="006D0BED"/>
    <w:rsid w:val="006D0C0B"/>
    <w:rsid w:val="006D0EAD"/>
    <w:rsid w:val="006D15A6"/>
    <w:rsid w:val="006D182B"/>
    <w:rsid w:val="006D188F"/>
    <w:rsid w:val="006D1955"/>
    <w:rsid w:val="006D1A58"/>
    <w:rsid w:val="006D1C9B"/>
    <w:rsid w:val="006D211F"/>
    <w:rsid w:val="006D23E0"/>
    <w:rsid w:val="006D24C5"/>
    <w:rsid w:val="006D25C1"/>
    <w:rsid w:val="006D25F7"/>
    <w:rsid w:val="006D2AA0"/>
    <w:rsid w:val="006D2C81"/>
    <w:rsid w:val="006D2D89"/>
    <w:rsid w:val="006D2DEB"/>
    <w:rsid w:val="006D2FA5"/>
    <w:rsid w:val="006D2FD3"/>
    <w:rsid w:val="006D3382"/>
    <w:rsid w:val="006D354E"/>
    <w:rsid w:val="006D35B2"/>
    <w:rsid w:val="006D3B0E"/>
    <w:rsid w:val="006D3CA7"/>
    <w:rsid w:val="006D3E19"/>
    <w:rsid w:val="006D42ED"/>
    <w:rsid w:val="006D4583"/>
    <w:rsid w:val="006D45D3"/>
    <w:rsid w:val="006D4625"/>
    <w:rsid w:val="006D48F1"/>
    <w:rsid w:val="006D4B09"/>
    <w:rsid w:val="006D4C8E"/>
    <w:rsid w:val="006D5168"/>
    <w:rsid w:val="006D53B2"/>
    <w:rsid w:val="006D56BD"/>
    <w:rsid w:val="006D584A"/>
    <w:rsid w:val="006D5A46"/>
    <w:rsid w:val="006D5C57"/>
    <w:rsid w:val="006D5E33"/>
    <w:rsid w:val="006D5EEF"/>
    <w:rsid w:val="006D6478"/>
    <w:rsid w:val="006D650C"/>
    <w:rsid w:val="006D6557"/>
    <w:rsid w:val="006D68CB"/>
    <w:rsid w:val="006D690B"/>
    <w:rsid w:val="006D6FF6"/>
    <w:rsid w:val="006D71B3"/>
    <w:rsid w:val="006D71FF"/>
    <w:rsid w:val="006D7EA6"/>
    <w:rsid w:val="006E000F"/>
    <w:rsid w:val="006E00BA"/>
    <w:rsid w:val="006E00E2"/>
    <w:rsid w:val="006E0191"/>
    <w:rsid w:val="006E0315"/>
    <w:rsid w:val="006E039E"/>
    <w:rsid w:val="006E084D"/>
    <w:rsid w:val="006E0A87"/>
    <w:rsid w:val="006E0FEE"/>
    <w:rsid w:val="006E1343"/>
    <w:rsid w:val="006E1A6A"/>
    <w:rsid w:val="006E200F"/>
    <w:rsid w:val="006E2288"/>
    <w:rsid w:val="006E22AA"/>
    <w:rsid w:val="006E2913"/>
    <w:rsid w:val="006E2B46"/>
    <w:rsid w:val="006E2C83"/>
    <w:rsid w:val="006E2FAC"/>
    <w:rsid w:val="006E3078"/>
    <w:rsid w:val="006E3194"/>
    <w:rsid w:val="006E350A"/>
    <w:rsid w:val="006E3732"/>
    <w:rsid w:val="006E3AE0"/>
    <w:rsid w:val="006E3BE8"/>
    <w:rsid w:val="006E4591"/>
    <w:rsid w:val="006E4A4F"/>
    <w:rsid w:val="006E4BCC"/>
    <w:rsid w:val="006E4E41"/>
    <w:rsid w:val="006E4F51"/>
    <w:rsid w:val="006E5319"/>
    <w:rsid w:val="006E56D8"/>
    <w:rsid w:val="006E62FE"/>
    <w:rsid w:val="006E640A"/>
    <w:rsid w:val="006E6599"/>
    <w:rsid w:val="006E6645"/>
    <w:rsid w:val="006E6E59"/>
    <w:rsid w:val="006E6F0B"/>
    <w:rsid w:val="006E7460"/>
    <w:rsid w:val="006E7793"/>
    <w:rsid w:val="006E7C4E"/>
    <w:rsid w:val="006E7D89"/>
    <w:rsid w:val="006F0144"/>
    <w:rsid w:val="006F019C"/>
    <w:rsid w:val="006F03F9"/>
    <w:rsid w:val="006F074D"/>
    <w:rsid w:val="006F08DB"/>
    <w:rsid w:val="006F0944"/>
    <w:rsid w:val="006F096D"/>
    <w:rsid w:val="006F0A18"/>
    <w:rsid w:val="006F0AF9"/>
    <w:rsid w:val="006F0C26"/>
    <w:rsid w:val="006F0E70"/>
    <w:rsid w:val="006F1884"/>
    <w:rsid w:val="006F1A89"/>
    <w:rsid w:val="006F2217"/>
    <w:rsid w:val="006F2268"/>
    <w:rsid w:val="006F2B65"/>
    <w:rsid w:val="006F2D93"/>
    <w:rsid w:val="006F2E73"/>
    <w:rsid w:val="006F3054"/>
    <w:rsid w:val="006F327A"/>
    <w:rsid w:val="006F3380"/>
    <w:rsid w:val="006F346C"/>
    <w:rsid w:val="006F362E"/>
    <w:rsid w:val="006F36E6"/>
    <w:rsid w:val="006F38BD"/>
    <w:rsid w:val="006F3CC4"/>
    <w:rsid w:val="006F43B9"/>
    <w:rsid w:val="006F440E"/>
    <w:rsid w:val="006F48E0"/>
    <w:rsid w:val="006F4CDB"/>
    <w:rsid w:val="006F4CF8"/>
    <w:rsid w:val="006F4D33"/>
    <w:rsid w:val="006F526F"/>
    <w:rsid w:val="006F55E2"/>
    <w:rsid w:val="006F57F6"/>
    <w:rsid w:val="006F583F"/>
    <w:rsid w:val="006F593F"/>
    <w:rsid w:val="006F5E7B"/>
    <w:rsid w:val="006F60F9"/>
    <w:rsid w:val="006F6122"/>
    <w:rsid w:val="006F6177"/>
    <w:rsid w:val="006F63C3"/>
    <w:rsid w:val="006F6446"/>
    <w:rsid w:val="006F654E"/>
    <w:rsid w:val="006F6DBA"/>
    <w:rsid w:val="006F6FCD"/>
    <w:rsid w:val="006F71D6"/>
    <w:rsid w:val="006F74C9"/>
    <w:rsid w:val="006F752C"/>
    <w:rsid w:val="006F7C33"/>
    <w:rsid w:val="006F7C68"/>
    <w:rsid w:val="006F7F95"/>
    <w:rsid w:val="006F7FF7"/>
    <w:rsid w:val="0070004A"/>
    <w:rsid w:val="007000DF"/>
    <w:rsid w:val="00700105"/>
    <w:rsid w:val="007002FA"/>
    <w:rsid w:val="007006F9"/>
    <w:rsid w:val="00700AA3"/>
    <w:rsid w:val="00700F73"/>
    <w:rsid w:val="0070121C"/>
    <w:rsid w:val="00701D30"/>
    <w:rsid w:val="007023E1"/>
    <w:rsid w:val="007026FB"/>
    <w:rsid w:val="007027D8"/>
    <w:rsid w:val="00702A2A"/>
    <w:rsid w:val="00702B4C"/>
    <w:rsid w:val="00702CD9"/>
    <w:rsid w:val="007033C9"/>
    <w:rsid w:val="0070345A"/>
    <w:rsid w:val="00703531"/>
    <w:rsid w:val="00703E15"/>
    <w:rsid w:val="00703F46"/>
    <w:rsid w:val="0070403C"/>
    <w:rsid w:val="00704355"/>
    <w:rsid w:val="007044BD"/>
    <w:rsid w:val="00704AFD"/>
    <w:rsid w:val="00704FDA"/>
    <w:rsid w:val="007053A2"/>
    <w:rsid w:val="00705694"/>
    <w:rsid w:val="00705CC1"/>
    <w:rsid w:val="00705D00"/>
    <w:rsid w:val="00705D37"/>
    <w:rsid w:val="00706064"/>
    <w:rsid w:val="007064FA"/>
    <w:rsid w:val="007068C5"/>
    <w:rsid w:val="00706D81"/>
    <w:rsid w:val="00706EEB"/>
    <w:rsid w:val="00706F44"/>
    <w:rsid w:val="00707491"/>
    <w:rsid w:val="007074D4"/>
    <w:rsid w:val="00707679"/>
    <w:rsid w:val="00707810"/>
    <w:rsid w:val="007078C8"/>
    <w:rsid w:val="00707B31"/>
    <w:rsid w:val="00707B63"/>
    <w:rsid w:val="00707E1A"/>
    <w:rsid w:val="00707F67"/>
    <w:rsid w:val="0071005A"/>
    <w:rsid w:val="00710455"/>
    <w:rsid w:val="00710657"/>
    <w:rsid w:val="007106ED"/>
    <w:rsid w:val="00710896"/>
    <w:rsid w:val="007108AB"/>
    <w:rsid w:val="00710B0C"/>
    <w:rsid w:val="00710D9C"/>
    <w:rsid w:val="00710EF6"/>
    <w:rsid w:val="00711236"/>
    <w:rsid w:val="0071139D"/>
    <w:rsid w:val="00711510"/>
    <w:rsid w:val="0071158D"/>
    <w:rsid w:val="007115B8"/>
    <w:rsid w:val="007115EC"/>
    <w:rsid w:val="0071195E"/>
    <w:rsid w:val="007119DF"/>
    <w:rsid w:val="00711D63"/>
    <w:rsid w:val="00711EFA"/>
    <w:rsid w:val="00711F4A"/>
    <w:rsid w:val="00711F80"/>
    <w:rsid w:val="007120A7"/>
    <w:rsid w:val="007120FB"/>
    <w:rsid w:val="007121CB"/>
    <w:rsid w:val="00712487"/>
    <w:rsid w:val="0071290E"/>
    <w:rsid w:val="00712AE3"/>
    <w:rsid w:val="00712B18"/>
    <w:rsid w:val="00712BA4"/>
    <w:rsid w:val="00712F03"/>
    <w:rsid w:val="0071315D"/>
    <w:rsid w:val="00713CED"/>
    <w:rsid w:val="00713D60"/>
    <w:rsid w:val="00714070"/>
    <w:rsid w:val="00714227"/>
    <w:rsid w:val="00714431"/>
    <w:rsid w:val="00714599"/>
    <w:rsid w:val="00714E3D"/>
    <w:rsid w:val="00714EFB"/>
    <w:rsid w:val="007151DE"/>
    <w:rsid w:val="00715249"/>
    <w:rsid w:val="00715558"/>
    <w:rsid w:val="00715830"/>
    <w:rsid w:val="00715B73"/>
    <w:rsid w:val="00715DC0"/>
    <w:rsid w:val="00715E6D"/>
    <w:rsid w:val="00715E94"/>
    <w:rsid w:val="007164B4"/>
    <w:rsid w:val="0071680E"/>
    <w:rsid w:val="00716FDD"/>
    <w:rsid w:val="0071716E"/>
    <w:rsid w:val="007174FD"/>
    <w:rsid w:val="0071785B"/>
    <w:rsid w:val="007201E2"/>
    <w:rsid w:val="0072096D"/>
    <w:rsid w:val="007209BE"/>
    <w:rsid w:val="00720A0B"/>
    <w:rsid w:val="00720CC3"/>
    <w:rsid w:val="00720D8B"/>
    <w:rsid w:val="00720D95"/>
    <w:rsid w:val="0072114E"/>
    <w:rsid w:val="00721201"/>
    <w:rsid w:val="007213FB"/>
    <w:rsid w:val="007217D0"/>
    <w:rsid w:val="0072193D"/>
    <w:rsid w:val="00721F0E"/>
    <w:rsid w:val="00722265"/>
    <w:rsid w:val="0072292D"/>
    <w:rsid w:val="00723332"/>
    <w:rsid w:val="007237C9"/>
    <w:rsid w:val="00723877"/>
    <w:rsid w:val="007238AB"/>
    <w:rsid w:val="007238D0"/>
    <w:rsid w:val="00723931"/>
    <w:rsid w:val="00723B32"/>
    <w:rsid w:val="00723E81"/>
    <w:rsid w:val="0072477F"/>
    <w:rsid w:val="00724E3E"/>
    <w:rsid w:val="00724F83"/>
    <w:rsid w:val="007251B8"/>
    <w:rsid w:val="00725241"/>
    <w:rsid w:val="007252B9"/>
    <w:rsid w:val="00725553"/>
    <w:rsid w:val="007257EB"/>
    <w:rsid w:val="007259F3"/>
    <w:rsid w:val="00725D23"/>
    <w:rsid w:val="00725DC8"/>
    <w:rsid w:val="00726026"/>
    <w:rsid w:val="00726031"/>
    <w:rsid w:val="00726047"/>
    <w:rsid w:val="007263C4"/>
    <w:rsid w:val="007267FF"/>
    <w:rsid w:val="007268C3"/>
    <w:rsid w:val="00726920"/>
    <w:rsid w:val="00726EC4"/>
    <w:rsid w:val="00726F2F"/>
    <w:rsid w:val="0072773D"/>
    <w:rsid w:val="007277C8"/>
    <w:rsid w:val="0072791C"/>
    <w:rsid w:val="00727B0D"/>
    <w:rsid w:val="00727C05"/>
    <w:rsid w:val="00727C37"/>
    <w:rsid w:val="00727DB7"/>
    <w:rsid w:val="00730278"/>
    <w:rsid w:val="0073054E"/>
    <w:rsid w:val="007305DB"/>
    <w:rsid w:val="00730A5A"/>
    <w:rsid w:val="00730BC8"/>
    <w:rsid w:val="00730FE9"/>
    <w:rsid w:val="007311F7"/>
    <w:rsid w:val="007312E3"/>
    <w:rsid w:val="00731544"/>
    <w:rsid w:val="0073174A"/>
    <w:rsid w:val="00731C15"/>
    <w:rsid w:val="00731D2F"/>
    <w:rsid w:val="00731FE8"/>
    <w:rsid w:val="007321C2"/>
    <w:rsid w:val="00732619"/>
    <w:rsid w:val="00732642"/>
    <w:rsid w:val="007326B5"/>
    <w:rsid w:val="007326F5"/>
    <w:rsid w:val="00732959"/>
    <w:rsid w:val="00732B55"/>
    <w:rsid w:val="00732BF2"/>
    <w:rsid w:val="00732C82"/>
    <w:rsid w:val="00733145"/>
    <w:rsid w:val="0073334B"/>
    <w:rsid w:val="007339B4"/>
    <w:rsid w:val="00733D33"/>
    <w:rsid w:val="00733D9E"/>
    <w:rsid w:val="00733E2A"/>
    <w:rsid w:val="00733E6F"/>
    <w:rsid w:val="00733F37"/>
    <w:rsid w:val="0073400D"/>
    <w:rsid w:val="00734375"/>
    <w:rsid w:val="00734385"/>
    <w:rsid w:val="0073443A"/>
    <w:rsid w:val="00734989"/>
    <w:rsid w:val="00734BA3"/>
    <w:rsid w:val="00734C6C"/>
    <w:rsid w:val="0073545C"/>
    <w:rsid w:val="00735A2C"/>
    <w:rsid w:val="00735AB3"/>
    <w:rsid w:val="00735B12"/>
    <w:rsid w:val="00735B54"/>
    <w:rsid w:val="00735BD9"/>
    <w:rsid w:val="00735D0C"/>
    <w:rsid w:val="00736804"/>
    <w:rsid w:val="007369C6"/>
    <w:rsid w:val="00736E03"/>
    <w:rsid w:val="0073709F"/>
    <w:rsid w:val="007371CE"/>
    <w:rsid w:val="00737440"/>
    <w:rsid w:val="00737C85"/>
    <w:rsid w:val="00737CF3"/>
    <w:rsid w:val="00737EF7"/>
    <w:rsid w:val="007401F2"/>
    <w:rsid w:val="007402CC"/>
    <w:rsid w:val="00740852"/>
    <w:rsid w:val="00740863"/>
    <w:rsid w:val="00740CF1"/>
    <w:rsid w:val="007410CC"/>
    <w:rsid w:val="00741192"/>
    <w:rsid w:val="007415B3"/>
    <w:rsid w:val="00741DED"/>
    <w:rsid w:val="00741ECC"/>
    <w:rsid w:val="00741F76"/>
    <w:rsid w:val="0074248B"/>
    <w:rsid w:val="007428AE"/>
    <w:rsid w:val="00742B39"/>
    <w:rsid w:val="00742E4D"/>
    <w:rsid w:val="00742F4F"/>
    <w:rsid w:val="00742FE8"/>
    <w:rsid w:val="007433AF"/>
    <w:rsid w:val="007433BC"/>
    <w:rsid w:val="00743597"/>
    <w:rsid w:val="00743738"/>
    <w:rsid w:val="007438F3"/>
    <w:rsid w:val="00743DAF"/>
    <w:rsid w:val="00743E5A"/>
    <w:rsid w:val="00743F88"/>
    <w:rsid w:val="007440DA"/>
    <w:rsid w:val="007440E5"/>
    <w:rsid w:val="00744146"/>
    <w:rsid w:val="007441FF"/>
    <w:rsid w:val="00744549"/>
    <w:rsid w:val="0074556F"/>
    <w:rsid w:val="0074586D"/>
    <w:rsid w:val="00746283"/>
    <w:rsid w:val="00746536"/>
    <w:rsid w:val="007468D5"/>
    <w:rsid w:val="00746FB1"/>
    <w:rsid w:val="007471CB"/>
    <w:rsid w:val="007471D8"/>
    <w:rsid w:val="007473ED"/>
    <w:rsid w:val="0074780E"/>
    <w:rsid w:val="00747A55"/>
    <w:rsid w:val="00747AF3"/>
    <w:rsid w:val="007506B5"/>
    <w:rsid w:val="007507CB"/>
    <w:rsid w:val="00750ADB"/>
    <w:rsid w:val="007516C8"/>
    <w:rsid w:val="00751A82"/>
    <w:rsid w:val="00751C2E"/>
    <w:rsid w:val="007520FB"/>
    <w:rsid w:val="00752237"/>
    <w:rsid w:val="0075235E"/>
    <w:rsid w:val="007524A2"/>
    <w:rsid w:val="007524BC"/>
    <w:rsid w:val="0075255B"/>
    <w:rsid w:val="0075282E"/>
    <w:rsid w:val="007529FC"/>
    <w:rsid w:val="00752B17"/>
    <w:rsid w:val="00752F3D"/>
    <w:rsid w:val="00753032"/>
    <w:rsid w:val="00754124"/>
    <w:rsid w:val="0075420C"/>
    <w:rsid w:val="007542D5"/>
    <w:rsid w:val="007544BC"/>
    <w:rsid w:val="007547B0"/>
    <w:rsid w:val="00754E4A"/>
    <w:rsid w:val="0075544D"/>
    <w:rsid w:val="00755576"/>
    <w:rsid w:val="0075611B"/>
    <w:rsid w:val="007561C4"/>
    <w:rsid w:val="007562A1"/>
    <w:rsid w:val="007562EB"/>
    <w:rsid w:val="0075630B"/>
    <w:rsid w:val="00756552"/>
    <w:rsid w:val="00756564"/>
    <w:rsid w:val="00756988"/>
    <w:rsid w:val="00756CAC"/>
    <w:rsid w:val="00756E08"/>
    <w:rsid w:val="007570EC"/>
    <w:rsid w:val="007572BA"/>
    <w:rsid w:val="00757553"/>
    <w:rsid w:val="0075776B"/>
    <w:rsid w:val="00757974"/>
    <w:rsid w:val="00757C74"/>
    <w:rsid w:val="00757DF3"/>
    <w:rsid w:val="00757FAF"/>
    <w:rsid w:val="00760047"/>
    <w:rsid w:val="00760378"/>
    <w:rsid w:val="007605F7"/>
    <w:rsid w:val="007607A8"/>
    <w:rsid w:val="00760ECE"/>
    <w:rsid w:val="00761143"/>
    <w:rsid w:val="00761668"/>
    <w:rsid w:val="0076175E"/>
    <w:rsid w:val="00761EE3"/>
    <w:rsid w:val="007622FE"/>
    <w:rsid w:val="00762440"/>
    <w:rsid w:val="00762686"/>
    <w:rsid w:val="007628BC"/>
    <w:rsid w:val="00762B83"/>
    <w:rsid w:val="00762DE4"/>
    <w:rsid w:val="007634F8"/>
    <w:rsid w:val="00763D8F"/>
    <w:rsid w:val="00763EFD"/>
    <w:rsid w:val="00764075"/>
    <w:rsid w:val="007640AB"/>
    <w:rsid w:val="0076430E"/>
    <w:rsid w:val="007643B9"/>
    <w:rsid w:val="0076490E"/>
    <w:rsid w:val="00764EFB"/>
    <w:rsid w:val="00764FDA"/>
    <w:rsid w:val="007650A9"/>
    <w:rsid w:val="007650D4"/>
    <w:rsid w:val="00765150"/>
    <w:rsid w:val="007653A6"/>
    <w:rsid w:val="0076566B"/>
    <w:rsid w:val="00765887"/>
    <w:rsid w:val="00765959"/>
    <w:rsid w:val="00766304"/>
    <w:rsid w:val="00766509"/>
    <w:rsid w:val="007667F7"/>
    <w:rsid w:val="007668E3"/>
    <w:rsid w:val="007669BD"/>
    <w:rsid w:val="00766DB5"/>
    <w:rsid w:val="00767067"/>
    <w:rsid w:val="0076739C"/>
    <w:rsid w:val="00767648"/>
    <w:rsid w:val="007676E9"/>
    <w:rsid w:val="00767980"/>
    <w:rsid w:val="00767FC5"/>
    <w:rsid w:val="00770328"/>
    <w:rsid w:val="007706F4"/>
    <w:rsid w:val="00770B43"/>
    <w:rsid w:val="00770DFF"/>
    <w:rsid w:val="0077104A"/>
    <w:rsid w:val="007711F2"/>
    <w:rsid w:val="00771346"/>
    <w:rsid w:val="0077141D"/>
    <w:rsid w:val="00771655"/>
    <w:rsid w:val="00771766"/>
    <w:rsid w:val="00771894"/>
    <w:rsid w:val="00771B56"/>
    <w:rsid w:val="00771F50"/>
    <w:rsid w:val="00771FDA"/>
    <w:rsid w:val="00771FF9"/>
    <w:rsid w:val="00772029"/>
    <w:rsid w:val="0077268D"/>
    <w:rsid w:val="007730D1"/>
    <w:rsid w:val="00773206"/>
    <w:rsid w:val="00773684"/>
    <w:rsid w:val="007738B6"/>
    <w:rsid w:val="00773B25"/>
    <w:rsid w:val="00773CC9"/>
    <w:rsid w:val="00774032"/>
    <w:rsid w:val="00774323"/>
    <w:rsid w:val="00774765"/>
    <w:rsid w:val="00774EDC"/>
    <w:rsid w:val="0077502B"/>
    <w:rsid w:val="0077585D"/>
    <w:rsid w:val="00775898"/>
    <w:rsid w:val="00775964"/>
    <w:rsid w:val="0077597C"/>
    <w:rsid w:val="00775CB5"/>
    <w:rsid w:val="00775D96"/>
    <w:rsid w:val="00775E1D"/>
    <w:rsid w:val="00775F75"/>
    <w:rsid w:val="00775F9A"/>
    <w:rsid w:val="00776424"/>
    <w:rsid w:val="0077659E"/>
    <w:rsid w:val="007765F1"/>
    <w:rsid w:val="00777555"/>
    <w:rsid w:val="0077772D"/>
    <w:rsid w:val="007778A8"/>
    <w:rsid w:val="00777CB0"/>
    <w:rsid w:val="00777D0C"/>
    <w:rsid w:val="00780186"/>
    <w:rsid w:val="00780293"/>
    <w:rsid w:val="00780471"/>
    <w:rsid w:val="0078077E"/>
    <w:rsid w:val="0078094A"/>
    <w:rsid w:val="00780ADB"/>
    <w:rsid w:val="00780D0E"/>
    <w:rsid w:val="00780D72"/>
    <w:rsid w:val="00781076"/>
    <w:rsid w:val="007810AA"/>
    <w:rsid w:val="007810ED"/>
    <w:rsid w:val="00781172"/>
    <w:rsid w:val="0078166F"/>
    <w:rsid w:val="007817FF"/>
    <w:rsid w:val="0078191C"/>
    <w:rsid w:val="00781A9C"/>
    <w:rsid w:val="00781B3A"/>
    <w:rsid w:val="00781CFF"/>
    <w:rsid w:val="00781F33"/>
    <w:rsid w:val="00781F6F"/>
    <w:rsid w:val="007821A0"/>
    <w:rsid w:val="00782350"/>
    <w:rsid w:val="007827D6"/>
    <w:rsid w:val="00782963"/>
    <w:rsid w:val="00782AAD"/>
    <w:rsid w:val="00782C69"/>
    <w:rsid w:val="00782EC7"/>
    <w:rsid w:val="0078357E"/>
    <w:rsid w:val="00783631"/>
    <w:rsid w:val="0078372F"/>
    <w:rsid w:val="007838C3"/>
    <w:rsid w:val="00783990"/>
    <w:rsid w:val="00783B05"/>
    <w:rsid w:val="00783C83"/>
    <w:rsid w:val="00783CE2"/>
    <w:rsid w:val="00784190"/>
    <w:rsid w:val="007841C7"/>
    <w:rsid w:val="007848F0"/>
    <w:rsid w:val="00784F40"/>
    <w:rsid w:val="00784F84"/>
    <w:rsid w:val="0078505D"/>
    <w:rsid w:val="0078518C"/>
    <w:rsid w:val="007852D9"/>
    <w:rsid w:val="0078550B"/>
    <w:rsid w:val="007857A3"/>
    <w:rsid w:val="00785879"/>
    <w:rsid w:val="00785D32"/>
    <w:rsid w:val="00785DF7"/>
    <w:rsid w:val="007864D7"/>
    <w:rsid w:val="00786742"/>
    <w:rsid w:val="00786B1A"/>
    <w:rsid w:val="00786F70"/>
    <w:rsid w:val="00786FB6"/>
    <w:rsid w:val="00787447"/>
    <w:rsid w:val="007876E4"/>
    <w:rsid w:val="00787AF5"/>
    <w:rsid w:val="00787C72"/>
    <w:rsid w:val="00787D86"/>
    <w:rsid w:val="00790395"/>
    <w:rsid w:val="007904E2"/>
    <w:rsid w:val="00790500"/>
    <w:rsid w:val="0079083C"/>
    <w:rsid w:val="00790E16"/>
    <w:rsid w:val="00790E92"/>
    <w:rsid w:val="00791030"/>
    <w:rsid w:val="00791228"/>
    <w:rsid w:val="00791446"/>
    <w:rsid w:val="0079152B"/>
    <w:rsid w:val="00791ACF"/>
    <w:rsid w:val="00791D25"/>
    <w:rsid w:val="00791F87"/>
    <w:rsid w:val="00791FE3"/>
    <w:rsid w:val="00792481"/>
    <w:rsid w:val="00792CC2"/>
    <w:rsid w:val="00793113"/>
    <w:rsid w:val="00793198"/>
    <w:rsid w:val="00793466"/>
    <w:rsid w:val="007937EE"/>
    <w:rsid w:val="007939D3"/>
    <w:rsid w:val="007939DA"/>
    <w:rsid w:val="00793C75"/>
    <w:rsid w:val="00793FD3"/>
    <w:rsid w:val="00794178"/>
    <w:rsid w:val="00794291"/>
    <w:rsid w:val="007942D7"/>
    <w:rsid w:val="007944EA"/>
    <w:rsid w:val="00794575"/>
    <w:rsid w:val="00794789"/>
    <w:rsid w:val="007949C3"/>
    <w:rsid w:val="00794AE6"/>
    <w:rsid w:val="00794D72"/>
    <w:rsid w:val="00795297"/>
    <w:rsid w:val="007954D6"/>
    <w:rsid w:val="007954F9"/>
    <w:rsid w:val="00795535"/>
    <w:rsid w:val="007958F2"/>
    <w:rsid w:val="007958F8"/>
    <w:rsid w:val="00795981"/>
    <w:rsid w:val="00795C01"/>
    <w:rsid w:val="00795C7B"/>
    <w:rsid w:val="00795DDE"/>
    <w:rsid w:val="00795E13"/>
    <w:rsid w:val="00795F24"/>
    <w:rsid w:val="00795F58"/>
    <w:rsid w:val="00796204"/>
    <w:rsid w:val="0079627C"/>
    <w:rsid w:val="00796522"/>
    <w:rsid w:val="007966D3"/>
    <w:rsid w:val="00796D29"/>
    <w:rsid w:val="00797338"/>
    <w:rsid w:val="007975AE"/>
    <w:rsid w:val="007975D0"/>
    <w:rsid w:val="007976E0"/>
    <w:rsid w:val="007A04FD"/>
    <w:rsid w:val="007A0571"/>
    <w:rsid w:val="007A07B7"/>
    <w:rsid w:val="007A07F1"/>
    <w:rsid w:val="007A0B06"/>
    <w:rsid w:val="007A0C2C"/>
    <w:rsid w:val="007A0C7C"/>
    <w:rsid w:val="007A0E9C"/>
    <w:rsid w:val="007A0FD8"/>
    <w:rsid w:val="007A1077"/>
    <w:rsid w:val="007A15DD"/>
    <w:rsid w:val="007A169B"/>
    <w:rsid w:val="007A17F9"/>
    <w:rsid w:val="007A1B65"/>
    <w:rsid w:val="007A1E00"/>
    <w:rsid w:val="007A1EF9"/>
    <w:rsid w:val="007A20D2"/>
    <w:rsid w:val="007A227D"/>
    <w:rsid w:val="007A241C"/>
    <w:rsid w:val="007A24CE"/>
    <w:rsid w:val="007A2620"/>
    <w:rsid w:val="007A274F"/>
    <w:rsid w:val="007A2ABE"/>
    <w:rsid w:val="007A2B12"/>
    <w:rsid w:val="007A2BD8"/>
    <w:rsid w:val="007A2C92"/>
    <w:rsid w:val="007A2EE5"/>
    <w:rsid w:val="007A2EFC"/>
    <w:rsid w:val="007A2F2B"/>
    <w:rsid w:val="007A348A"/>
    <w:rsid w:val="007A3951"/>
    <w:rsid w:val="007A3A0E"/>
    <w:rsid w:val="007A3BFF"/>
    <w:rsid w:val="007A3C63"/>
    <w:rsid w:val="007A3D78"/>
    <w:rsid w:val="007A3EE4"/>
    <w:rsid w:val="007A4B66"/>
    <w:rsid w:val="007A4F92"/>
    <w:rsid w:val="007A5424"/>
    <w:rsid w:val="007A5557"/>
    <w:rsid w:val="007A5759"/>
    <w:rsid w:val="007A5A66"/>
    <w:rsid w:val="007A5B5A"/>
    <w:rsid w:val="007A5EA0"/>
    <w:rsid w:val="007A62FD"/>
    <w:rsid w:val="007A642D"/>
    <w:rsid w:val="007A672F"/>
    <w:rsid w:val="007A6E15"/>
    <w:rsid w:val="007A6F09"/>
    <w:rsid w:val="007A7438"/>
    <w:rsid w:val="007A74DE"/>
    <w:rsid w:val="007A7587"/>
    <w:rsid w:val="007A77EC"/>
    <w:rsid w:val="007A78EB"/>
    <w:rsid w:val="007A79B5"/>
    <w:rsid w:val="007A7E51"/>
    <w:rsid w:val="007A7F68"/>
    <w:rsid w:val="007A7F92"/>
    <w:rsid w:val="007B02C2"/>
    <w:rsid w:val="007B02D8"/>
    <w:rsid w:val="007B0679"/>
    <w:rsid w:val="007B0BAB"/>
    <w:rsid w:val="007B0C46"/>
    <w:rsid w:val="007B0CD1"/>
    <w:rsid w:val="007B0D54"/>
    <w:rsid w:val="007B0F70"/>
    <w:rsid w:val="007B1251"/>
    <w:rsid w:val="007B12A5"/>
    <w:rsid w:val="007B16A2"/>
    <w:rsid w:val="007B229E"/>
    <w:rsid w:val="007B2549"/>
    <w:rsid w:val="007B25B0"/>
    <w:rsid w:val="007B28B0"/>
    <w:rsid w:val="007B2C2F"/>
    <w:rsid w:val="007B2D8F"/>
    <w:rsid w:val="007B2F52"/>
    <w:rsid w:val="007B3318"/>
    <w:rsid w:val="007B354C"/>
    <w:rsid w:val="007B3E20"/>
    <w:rsid w:val="007B42A3"/>
    <w:rsid w:val="007B4638"/>
    <w:rsid w:val="007B4B72"/>
    <w:rsid w:val="007B5116"/>
    <w:rsid w:val="007B5272"/>
    <w:rsid w:val="007B5B0F"/>
    <w:rsid w:val="007B5CE8"/>
    <w:rsid w:val="007B5E43"/>
    <w:rsid w:val="007B674D"/>
    <w:rsid w:val="007B6ADD"/>
    <w:rsid w:val="007B6C4E"/>
    <w:rsid w:val="007B72DE"/>
    <w:rsid w:val="007B7754"/>
    <w:rsid w:val="007B7920"/>
    <w:rsid w:val="007B7B36"/>
    <w:rsid w:val="007B7C9A"/>
    <w:rsid w:val="007B7CEF"/>
    <w:rsid w:val="007B7D1D"/>
    <w:rsid w:val="007B7DC3"/>
    <w:rsid w:val="007C0646"/>
    <w:rsid w:val="007C07FE"/>
    <w:rsid w:val="007C0860"/>
    <w:rsid w:val="007C08DC"/>
    <w:rsid w:val="007C0AD3"/>
    <w:rsid w:val="007C0E56"/>
    <w:rsid w:val="007C0F07"/>
    <w:rsid w:val="007C1705"/>
    <w:rsid w:val="007C171C"/>
    <w:rsid w:val="007C17CC"/>
    <w:rsid w:val="007C198D"/>
    <w:rsid w:val="007C1F02"/>
    <w:rsid w:val="007C22A5"/>
    <w:rsid w:val="007C23DF"/>
    <w:rsid w:val="007C26D0"/>
    <w:rsid w:val="007C2802"/>
    <w:rsid w:val="007C2958"/>
    <w:rsid w:val="007C2978"/>
    <w:rsid w:val="007C2B33"/>
    <w:rsid w:val="007C2D0E"/>
    <w:rsid w:val="007C2DAF"/>
    <w:rsid w:val="007C37FC"/>
    <w:rsid w:val="007C386C"/>
    <w:rsid w:val="007C3A54"/>
    <w:rsid w:val="007C3B50"/>
    <w:rsid w:val="007C3BBC"/>
    <w:rsid w:val="007C3C6A"/>
    <w:rsid w:val="007C3ED3"/>
    <w:rsid w:val="007C4183"/>
    <w:rsid w:val="007C42CD"/>
    <w:rsid w:val="007C4AF9"/>
    <w:rsid w:val="007C4CEE"/>
    <w:rsid w:val="007C4D0F"/>
    <w:rsid w:val="007C5271"/>
    <w:rsid w:val="007C5672"/>
    <w:rsid w:val="007C56F6"/>
    <w:rsid w:val="007C58D7"/>
    <w:rsid w:val="007C596B"/>
    <w:rsid w:val="007C597D"/>
    <w:rsid w:val="007C5A44"/>
    <w:rsid w:val="007C60EE"/>
    <w:rsid w:val="007C61F3"/>
    <w:rsid w:val="007C65FC"/>
    <w:rsid w:val="007C6D31"/>
    <w:rsid w:val="007C7240"/>
    <w:rsid w:val="007C76BC"/>
    <w:rsid w:val="007C7822"/>
    <w:rsid w:val="007C79D3"/>
    <w:rsid w:val="007C7A66"/>
    <w:rsid w:val="007C7CD2"/>
    <w:rsid w:val="007C7FE2"/>
    <w:rsid w:val="007D0172"/>
    <w:rsid w:val="007D073F"/>
    <w:rsid w:val="007D0825"/>
    <w:rsid w:val="007D0A3B"/>
    <w:rsid w:val="007D0A3F"/>
    <w:rsid w:val="007D0E1B"/>
    <w:rsid w:val="007D0FBA"/>
    <w:rsid w:val="007D132A"/>
    <w:rsid w:val="007D132B"/>
    <w:rsid w:val="007D1471"/>
    <w:rsid w:val="007D192D"/>
    <w:rsid w:val="007D19BA"/>
    <w:rsid w:val="007D1BDE"/>
    <w:rsid w:val="007D1C58"/>
    <w:rsid w:val="007D1C72"/>
    <w:rsid w:val="007D1E70"/>
    <w:rsid w:val="007D1E85"/>
    <w:rsid w:val="007D1EE9"/>
    <w:rsid w:val="007D1EFE"/>
    <w:rsid w:val="007D1F74"/>
    <w:rsid w:val="007D2006"/>
    <w:rsid w:val="007D2062"/>
    <w:rsid w:val="007D2418"/>
    <w:rsid w:val="007D28A6"/>
    <w:rsid w:val="007D2BA1"/>
    <w:rsid w:val="007D2FBB"/>
    <w:rsid w:val="007D3440"/>
    <w:rsid w:val="007D377B"/>
    <w:rsid w:val="007D3A55"/>
    <w:rsid w:val="007D3BC5"/>
    <w:rsid w:val="007D3C4F"/>
    <w:rsid w:val="007D3C60"/>
    <w:rsid w:val="007D43BE"/>
    <w:rsid w:val="007D468B"/>
    <w:rsid w:val="007D4B6C"/>
    <w:rsid w:val="007D4F8C"/>
    <w:rsid w:val="007D5092"/>
    <w:rsid w:val="007D53E8"/>
    <w:rsid w:val="007D55D2"/>
    <w:rsid w:val="007D5713"/>
    <w:rsid w:val="007D5A64"/>
    <w:rsid w:val="007D5A71"/>
    <w:rsid w:val="007D5B2D"/>
    <w:rsid w:val="007D5BE2"/>
    <w:rsid w:val="007D643A"/>
    <w:rsid w:val="007D6514"/>
    <w:rsid w:val="007D651A"/>
    <w:rsid w:val="007D66F0"/>
    <w:rsid w:val="007D69F9"/>
    <w:rsid w:val="007D6A3F"/>
    <w:rsid w:val="007D6CFC"/>
    <w:rsid w:val="007D6E0D"/>
    <w:rsid w:val="007D70BF"/>
    <w:rsid w:val="007D7119"/>
    <w:rsid w:val="007D76B2"/>
    <w:rsid w:val="007D7B20"/>
    <w:rsid w:val="007D7B67"/>
    <w:rsid w:val="007D7CC4"/>
    <w:rsid w:val="007D7E70"/>
    <w:rsid w:val="007D7F60"/>
    <w:rsid w:val="007D7F7B"/>
    <w:rsid w:val="007E0236"/>
    <w:rsid w:val="007E0353"/>
    <w:rsid w:val="007E037F"/>
    <w:rsid w:val="007E04BB"/>
    <w:rsid w:val="007E090C"/>
    <w:rsid w:val="007E09F4"/>
    <w:rsid w:val="007E0B1F"/>
    <w:rsid w:val="007E0E28"/>
    <w:rsid w:val="007E0EE2"/>
    <w:rsid w:val="007E16ED"/>
    <w:rsid w:val="007E1829"/>
    <w:rsid w:val="007E1A53"/>
    <w:rsid w:val="007E1E5A"/>
    <w:rsid w:val="007E1FB1"/>
    <w:rsid w:val="007E2119"/>
    <w:rsid w:val="007E21AD"/>
    <w:rsid w:val="007E21CE"/>
    <w:rsid w:val="007E255E"/>
    <w:rsid w:val="007E2BEC"/>
    <w:rsid w:val="007E2DF9"/>
    <w:rsid w:val="007E2ED3"/>
    <w:rsid w:val="007E2FB6"/>
    <w:rsid w:val="007E3097"/>
    <w:rsid w:val="007E3372"/>
    <w:rsid w:val="007E35D4"/>
    <w:rsid w:val="007E3807"/>
    <w:rsid w:val="007E384B"/>
    <w:rsid w:val="007E39D9"/>
    <w:rsid w:val="007E3A29"/>
    <w:rsid w:val="007E3A7C"/>
    <w:rsid w:val="007E3A86"/>
    <w:rsid w:val="007E3E36"/>
    <w:rsid w:val="007E3F0F"/>
    <w:rsid w:val="007E4132"/>
    <w:rsid w:val="007E487C"/>
    <w:rsid w:val="007E4ED9"/>
    <w:rsid w:val="007E51ED"/>
    <w:rsid w:val="007E5334"/>
    <w:rsid w:val="007E575E"/>
    <w:rsid w:val="007E5AEC"/>
    <w:rsid w:val="007E6208"/>
    <w:rsid w:val="007E650A"/>
    <w:rsid w:val="007E67F6"/>
    <w:rsid w:val="007E6817"/>
    <w:rsid w:val="007E684B"/>
    <w:rsid w:val="007E69F6"/>
    <w:rsid w:val="007E6B3E"/>
    <w:rsid w:val="007E6C23"/>
    <w:rsid w:val="007E6DFA"/>
    <w:rsid w:val="007E738B"/>
    <w:rsid w:val="007E74A5"/>
    <w:rsid w:val="007E74C9"/>
    <w:rsid w:val="007E76F3"/>
    <w:rsid w:val="007E77DF"/>
    <w:rsid w:val="007E7C47"/>
    <w:rsid w:val="007E7DD4"/>
    <w:rsid w:val="007E7FA1"/>
    <w:rsid w:val="007F008F"/>
    <w:rsid w:val="007F00AD"/>
    <w:rsid w:val="007F0250"/>
    <w:rsid w:val="007F0282"/>
    <w:rsid w:val="007F08A3"/>
    <w:rsid w:val="007F0CE5"/>
    <w:rsid w:val="007F11D4"/>
    <w:rsid w:val="007F1278"/>
    <w:rsid w:val="007F14E7"/>
    <w:rsid w:val="007F1E72"/>
    <w:rsid w:val="007F204D"/>
    <w:rsid w:val="007F2511"/>
    <w:rsid w:val="007F28EF"/>
    <w:rsid w:val="007F2A17"/>
    <w:rsid w:val="007F2C3B"/>
    <w:rsid w:val="007F395B"/>
    <w:rsid w:val="007F3C30"/>
    <w:rsid w:val="007F3F6F"/>
    <w:rsid w:val="007F3FEA"/>
    <w:rsid w:val="007F419B"/>
    <w:rsid w:val="007F41E3"/>
    <w:rsid w:val="007F4549"/>
    <w:rsid w:val="007F47FC"/>
    <w:rsid w:val="007F4808"/>
    <w:rsid w:val="007F481C"/>
    <w:rsid w:val="007F4E36"/>
    <w:rsid w:val="007F512A"/>
    <w:rsid w:val="007F513D"/>
    <w:rsid w:val="007F522F"/>
    <w:rsid w:val="007F526C"/>
    <w:rsid w:val="007F53CD"/>
    <w:rsid w:val="007F5835"/>
    <w:rsid w:val="007F5F79"/>
    <w:rsid w:val="007F63A8"/>
    <w:rsid w:val="007F670C"/>
    <w:rsid w:val="007F67D9"/>
    <w:rsid w:val="007F690B"/>
    <w:rsid w:val="007F6E27"/>
    <w:rsid w:val="007F70DC"/>
    <w:rsid w:val="007F73C5"/>
    <w:rsid w:val="007F7406"/>
    <w:rsid w:val="007F7408"/>
    <w:rsid w:val="007F75FF"/>
    <w:rsid w:val="007F768C"/>
    <w:rsid w:val="007F77BA"/>
    <w:rsid w:val="007F78E9"/>
    <w:rsid w:val="007F79DE"/>
    <w:rsid w:val="007F79E3"/>
    <w:rsid w:val="007F7D11"/>
    <w:rsid w:val="007F7E5E"/>
    <w:rsid w:val="00800279"/>
    <w:rsid w:val="00800771"/>
    <w:rsid w:val="00800A51"/>
    <w:rsid w:val="00800B8E"/>
    <w:rsid w:val="00800E5A"/>
    <w:rsid w:val="00800E89"/>
    <w:rsid w:val="00801360"/>
    <w:rsid w:val="00801432"/>
    <w:rsid w:val="00801487"/>
    <w:rsid w:val="008014D3"/>
    <w:rsid w:val="0080156D"/>
    <w:rsid w:val="0080159F"/>
    <w:rsid w:val="00801CB5"/>
    <w:rsid w:val="00801D68"/>
    <w:rsid w:val="00801F9A"/>
    <w:rsid w:val="00801FDB"/>
    <w:rsid w:val="00802152"/>
    <w:rsid w:val="008028E1"/>
    <w:rsid w:val="008029AB"/>
    <w:rsid w:val="00802D4B"/>
    <w:rsid w:val="00802EF7"/>
    <w:rsid w:val="008034F9"/>
    <w:rsid w:val="008037F0"/>
    <w:rsid w:val="00803B6A"/>
    <w:rsid w:val="00803D2C"/>
    <w:rsid w:val="00803E69"/>
    <w:rsid w:val="00803E79"/>
    <w:rsid w:val="008041C3"/>
    <w:rsid w:val="00804487"/>
    <w:rsid w:val="008044A5"/>
    <w:rsid w:val="008046AB"/>
    <w:rsid w:val="008047A0"/>
    <w:rsid w:val="008048EC"/>
    <w:rsid w:val="00804FF0"/>
    <w:rsid w:val="00805149"/>
    <w:rsid w:val="0080519E"/>
    <w:rsid w:val="00805215"/>
    <w:rsid w:val="00805562"/>
    <w:rsid w:val="00805637"/>
    <w:rsid w:val="008058A5"/>
    <w:rsid w:val="008059AF"/>
    <w:rsid w:val="00805B64"/>
    <w:rsid w:val="00805DAF"/>
    <w:rsid w:val="00805EA5"/>
    <w:rsid w:val="00805F58"/>
    <w:rsid w:val="00805F94"/>
    <w:rsid w:val="00805FBF"/>
    <w:rsid w:val="00805FF7"/>
    <w:rsid w:val="008062E9"/>
    <w:rsid w:val="00806969"/>
    <w:rsid w:val="00806A0B"/>
    <w:rsid w:val="00806F67"/>
    <w:rsid w:val="00807997"/>
    <w:rsid w:val="00807AF9"/>
    <w:rsid w:val="00807DA7"/>
    <w:rsid w:val="00807F24"/>
    <w:rsid w:val="00807F56"/>
    <w:rsid w:val="00810547"/>
    <w:rsid w:val="0081088D"/>
    <w:rsid w:val="00810D00"/>
    <w:rsid w:val="00810DEE"/>
    <w:rsid w:val="00810E4A"/>
    <w:rsid w:val="00810EED"/>
    <w:rsid w:val="0081124B"/>
    <w:rsid w:val="0081124D"/>
    <w:rsid w:val="008113D6"/>
    <w:rsid w:val="00811547"/>
    <w:rsid w:val="00811E20"/>
    <w:rsid w:val="00811F44"/>
    <w:rsid w:val="008120D8"/>
    <w:rsid w:val="00812274"/>
    <w:rsid w:val="00812311"/>
    <w:rsid w:val="00812AEA"/>
    <w:rsid w:val="00812C56"/>
    <w:rsid w:val="00812C93"/>
    <w:rsid w:val="00812CDB"/>
    <w:rsid w:val="00812DE9"/>
    <w:rsid w:val="008132D8"/>
    <w:rsid w:val="0081331F"/>
    <w:rsid w:val="0081339A"/>
    <w:rsid w:val="00813574"/>
    <w:rsid w:val="00813972"/>
    <w:rsid w:val="00813EB2"/>
    <w:rsid w:val="00813F60"/>
    <w:rsid w:val="008140AB"/>
    <w:rsid w:val="00814244"/>
    <w:rsid w:val="008142FC"/>
    <w:rsid w:val="008149ED"/>
    <w:rsid w:val="00814A3D"/>
    <w:rsid w:val="00814A7F"/>
    <w:rsid w:val="00814AB4"/>
    <w:rsid w:val="00814D46"/>
    <w:rsid w:val="00814D68"/>
    <w:rsid w:val="00814D8F"/>
    <w:rsid w:val="008151D8"/>
    <w:rsid w:val="008153CE"/>
    <w:rsid w:val="0081544C"/>
    <w:rsid w:val="008156F2"/>
    <w:rsid w:val="0081575B"/>
    <w:rsid w:val="0081584D"/>
    <w:rsid w:val="0081585D"/>
    <w:rsid w:val="00815876"/>
    <w:rsid w:val="00815B1B"/>
    <w:rsid w:val="00815BE4"/>
    <w:rsid w:val="00815E2E"/>
    <w:rsid w:val="0081604F"/>
    <w:rsid w:val="008164EF"/>
    <w:rsid w:val="00816623"/>
    <w:rsid w:val="0081669A"/>
    <w:rsid w:val="00816968"/>
    <w:rsid w:val="00816AF2"/>
    <w:rsid w:val="008172F4"/>
    <w:rsid w:val="00817430"/>
    <w:rsid w:val="00817575"/>
    <w:rsid w:val="008176EE"/>
    <w:rsid w:val="00817987"/>
    <w:rsid w:val="00817BF6"/>
    <w:rsid w:val="00817CA7"/>
    <w:rsid w:val="00817E20"/>
    <w:rsid w:val="00817F23"/>
    <w:rsid w:val="00817F53"/>
    <w:rsid w:val="008202C8"/>
    <w:rsid w:val="00820432"/>
    <w:rsid w:val="00820B13"/>
    <w:rsid w:val="00820C3F"/>
    <w:rsid w:val="00820D07"/>
    <w:rsid w:val="00820D1C"/>
    <w:rsid w:val="00820DCC"/>
    <w:rsid w:val="00820DF4"/>
    <w:rsid w:val="00820FDB"/>
    <w:rsid w:val="00820FDC"/>
    <w:rsid w:val="00820FE5"/>
    <w:rsid w:val="008212AA"/>
    <w:rsid w:val="008216B5"/>
    <w:rsid w:val="00821709"/>
    <w:rsid w:val="00821829"/>
    <w:rsid w:val="008218D0"/>
    <w:rsid w:val="00821BDC"/>
    <w:rsid w:val="00821C5F"/>
    <w:rsid w:val="00821F6B"/>
    <w:rsid w:val="00822216"/>
    <w:rsid w:val="00822696"/>
    <w:rsid w:val="008228A7"/>
    <w:rsid w:val="00822935"/>
    <w:rsid w:val="00822C07"/>
    <w:rsid w:val="00822E94"/>
    <w:rsid w:val="00823066"/>
    <w:rsid w:val="0082330B"/>
    <w:rsid w:val="008235D7"/>
    <w:rsid w:val="00823EF8"/>
    <w:rsid w:val="0082476D"/>
    <w:rsid w:val="00824DB0"/>
    <w:rsid w:val="00824EC1"/>
    <w:rsid w:val="00825084"/>
    <w:rsid w:val="008251FE"/>
    <w:rsid w:val="008253D6"/>
    <w:rsid w:val="00825854"/>
    <w:rsid w:val="00825A23"/>
    <w:rsid w:val="00825A5D"/>
    <w:rsid w:val="00825FBD"/>
    <w:rsid w:val="008260CF"/>
    <w:rsid w:val="008261EB"/>
    <w:rsid w:val="008263E7"/>
    <w:rsid w:val="00826565"/>
    <w:rsid w:val="0082663A"/>
    <w:rsid w:val="0082671B"/>
    <w:rsid w:val="00826801"/>
    <w:rsid w:val="00827113"/>
    <w:rsid w:val="008271CD"/>
    <w:rsid w:val="008274D0"/>
    <w:rsid w:val="0082755C"/>
    <w:rsid w:val="008277F3"/>
    <w:rsid w:val="008279D0"/>
    <w:rsid w:val="00827AE4"/>
    <w:rsid w:val="00827B73"/>
    <w:rsid w:val="00827CFC"/>
    <w:rsid w:val="00827E60"/>
    <w:rsid w:val="008302FA"/>
    <w:rsid w:val="0083051C"/>
    <w:rsid w:val="0083085E"/>
    <w:rsid w:val="00830B37"/>
    <w:rsid w:val="008311B4"/>
    <w:rsid w:val="008312D3"/>
    <w:rsid w:val="00831309"/>
    <w:rsid w:val="00831429"/>
    <w:rsid w:val="00831740"/>
    <w:rsid w:val="00831758"/>
    <w:rsid w:val="00831BA0"/>
    <w:rsid w:val="00831C75"/>
    <w:rsid w:val="00831C94"/>
    <w:rsid w:val="008326E8"/>
    <w:rsid w:val="00832A4C"/>
    <w:rsid w:val="00832A8F"/>
    <w:rsid w:val="00832E00"/>
    <w:rsid w:val="00832F1E"/>
    <w:rsid w:val="008331AB"/>
    <w:rsid w:val="00833308"/>
    <w:rsid w:val="0083356C"/>
    <w:rsid w:val="0083378F"/>
    <w:rsid w:val="008337C1"/>
    <w:rsid w:val="008339A7"/>
    <w:rsid w:val="00833E20"/>
    <w:rsid w:val="008341A6"/>
    <w:rsid w:val="008342F9"/>
    <w:rsid w:val="008348CB"/>
    <w:rsid w:val="00834A21"/>
    <w:rsid w:val="00835386"/>
    <w:rsid w:val="00835644"/>
    <w:rsid w:val="00835830"/>
    <w:rsid w:val="00835BBB"/>
    <w:rsid w:val="00835D1D"/>
    <w:rsid w:val="00835D44"/>
    <w:rsid w:val="00835FAD"/>
    <w:rsid w:val="00835FC6"/>
    <w:rsid w:val="0083631D"/>
    <w:rsid w:val="0083647E"/>
    <w:rsid w:val="00836808"/>
    <w:rsid w:val="00836AE1"/>
    <w:rsid w:val="00836FC0"/>
    <w:rsid w:val="008374E5"/>
    <w:rsid w:val="00837588"/>
    <w:rsid w:val="0083770E"/>
    <w:rsid w:val="00837895"/>
    <w:rsid w:val="00837A83"/>
    <w:rsid w:val="00840152"/>
    <w:rsid w:val="00840310"/>
    <w:rsid w:val="0084031A"/>
    <w:rsid w:val="00840700"/>
    <w:rsid w:val="00840725"/>
    <w:rsid w:val="008409EA"/>
    <w:rsid w:val="00840A74"/>
    <w:rsid w:val="00840C54"/>
    <w:rsid w:val="008410B2"/>
    <w:rsid w:val="00841329"/>
    <w:rsid w:val="00841AFC"/>
    <w:rsid w:val="00841B87"/>
    <w:rsid w:val="00841EAF"/>
    <w:rsid w:val="00843025"/>
    <w:rsid w:val="0084330F"/>
    <w:rsid w:val="00843495"/>
    <w:rsid w:val="00843797"/>
    <w:rsid w:val="00843A0F"/>
    <w:rsid w:val="00843B89"/>
    <w:rsid w:val="00844149"/>
    <w:rsid w:val="008441B7"/>
    <w:rsid w:val="008442AB"/>
    <w:rsid w:val="008445C0"/>
    <w:rsid w:val="008445DE"/>
    <w:rsid w:val="00844AC7"/>
    <w:rsid w:val="00844CB1"/>
    <w:rsid w:val="00844CFE"/>
    <w:rsid w:val="00845245"/>
    <w:rsid w:val="00845399"/>
    <w:rsid w:val="0084549E"/>
    <w:rsid w:val="0084555C"/>
    <w:rsid w:val="008455DC"/>
    <w:rsid w:val="00845928"/>
    <w:rsid w:val="00845B69"/>
    <w:rsid w:val="00845C4C"/>
    <w:rsid w:val="00846217"/>
    <w:rsid w:val="00846432"/>
    <w:rsid w:val="00846456"/>
    <w:rsid w:val="0084659F"/>
    <w:rsid w:val="0084666A"/>
    <w:rsid w:val="00846735"/>
    <w:rsid w:val="00846A62"/>
    <w:rsid w:val="00846B74"/>
    <w:rsid w:val="00846CAA"/>
    <w:rsid w:val="00846DC0"/>
    <w:rsid w:val="0084712C"/>
    <w:rsid w:val="00847549"/>
    <w:rsid w:val="00847A04"/>
    <w:rsid w:val="00847AC8"/>
    <w:rsid w:val="00847D39"/>
    <w:rsid w:val="00847D75"/>
    <w:rsid w:val="00847E48"/>
    <w:rsid w:val="00850140"/>
    <w:rsid w:val="008503F2"/>
    <w:rsid w:val="00850607"/>
    <w:rsid w:val="0085091C"/>
    <w:rsid w:val="00850F8F"/>
    <w:rsid w:val="00850FB1"/>
    <w:rsid w:val="008513B9"/>
    <w:rsid w:val="00851681"/>
    <w:rsid w:val="008516AC"/>
    <w:rsid w:val="0085177A"/>
    <w:rsid w:val="0085190D"/>
    <w:rsid w:val="00851CBB"/>
    <w:rsid w:val="00851D00"/>
    <w:rsid w:val="00852138"/>
    <w:rsid w:val="00852160"/>
    <w:rsid w:val="0085216A"/>
    <w:rsid w:val="008521CC"/>
    <w:rsid w:val="008522AC"/>
    <w:rsid w:val="00852768"/>
    <w:rsid w:val="008527A2"/>
    <w:rsid w:val="008529A7"/>
    <w:rsid w:val="00852C38"/>
    <w:rsid w:val="00853320"/>
    <w:rsid w:val="008534B8"/>
    <w:rsid w:val="00853526"/>
    <w:rsid w:val="00853631"/>
    <w:rsid w:val="0085380C"/>
    <w:rsid w:val="008539EF"/>
    <w:rsid w:val="00853BD7"/>
    <w:rsid w:val="00853C68"/>
    <w:rsid w:val="00853D64"/>
    <w:rsid w:val="00853E26"/>
    <w:rsid w:val="008540F1"/>
    <w:rsid w:val="008546E1"/>
    <w:rsid w:val="008547B5"/>
    <w:rsid w:val="008556A8"/>
    <w:rsid w:val="00855829"/>
    <w:rsid w:val="0085593F"/>
    <w:rsid w:val="00855AA8"/>
    <w:rsid w:val="008560CA"/>
    <w:rsid w:val="00856157"/>
    <w:rsid w:val="008562B9"/>
    <w:rsid w:val="00856373"/>
    <w:rsid w:val="00856452"/>
    <w:rsid w:val="00856670"/>
    <w:rsid w:val="00856714"/>
    <w:rsid w:val="0085674F"/>
    <w:rsid w:val="008567D0"/>
    <w:rsid w:val="008569FC"/>
    <w:rsid w:val="0085734E"/>
    <w:rsid w:val="00857420"/>
    <w:rsid w:val="00857783"/>
    <w:rsid w:val="00857998"/>
    <w:rsid w:val="00857C62"/>
    <w:rsid w:val="00857D83"/>
    <w:rsid w:val="0086004D"/>
    <w:rsid w:val="0086059E"/>
    <w:rsid w:val="00860CE7"/>
    <w:rsid w:val="00860E2F"/>
    <w:rsid w:val="00860E37"/>
    <w:rsid w:val="00860EFE"/>
    <w:rsid w:val="00860F98"/>
    <w:rsid w:val="0086113E"/>
    <w:rsid w:val="00861233"/>
    <w:rsid w:val="00861274"/>
    <w:rsid w:val="00861370"/>
    <w:rsid w:val="0086137B"/>
    <w:rsid w:val="008613FE"/>
    <w:rsid w:val="00861C65"/>
    <w:rsid w:val="00861DA1"/>
    <w:rsid w:val="00861E1D"/>
    <w:rsid w:val="00861E30"/>
    <w:rsid w:val="00861EAA"/>
    <w:rsid w:val="0086246E"/>
    <w:rsid w:val="008624BF"/>
    <w:rsid w:val="00862883"/>
    <w:rsid w:val="00862A2C"/>
    <w:rsid w:val="00862AE3"/>
    <w:rsid w:val="00862C32"/>
    <w:rsid w:val="00862F66"/>
    <w:rsid w:val="008635B9"/>
    <w:rsid w:val="008636B7"/>
    <w:rsid w:val="0086383C"/>
    <w:rsid w:val="008638D6"/>
    <w:rsid w:val="0086396A"/>
    <w:rsid w:val="00863C09"/>
    <w:rsid w:val="00863D41"/>
    <w:rsid w:val="00863EDE"/>
    <w:rsid w:val="00864036"/>
    <w:rsid w:val="00864137"/>
    <w:rsid w:val="0086417A"/>
    <w:rsid w:val="008641A9"/>
    <w:rsid w:val="00864291"/>
    <w:rsid w:val="00864708"/>
    <w:rsid w:val="00864730"/>
    <w:rsid w:val="00864747"/>
    <w:rsid w:val="00864CF7"/>
    <w:rsid w:val="008651D0"/>
    <w:rsid w:val="008653CE"/>
    <w:rsid w:val="00865490"/>
    <w:rsid w:val="008654E0"/>
    <w:rsid w:val="00865700"/>
    <w:rsid w:val="008658A8"/>
    <w:rsid w:val="00865B0D"/>
    <w:rsid w:val="00865D61"/>
    <w:rsid w:val="0086620F"/>
    <w:rsid w:val="00866228"/>
    <w:rsid w:val="008663F6"/>
    <w:rsid w:val="00866420"/>
    <w:rsid w:val="00866525"/>
    <w:rsid w:val="00866887"/>
    <w:rsid w:val="00866AD1"/>
    <w:rsid w:val="00866BB4"/>
    <w:rsid w:val="00866D47"/>
    <w:rsid w:val="00866F7B"/>
    <w:rsid w:val="008671CD"/>
    <w:rsid w:val="00867296"/>
    <w:rsid w:val="008674C0"/>
    <w:rsid w:val="0086758D"/>
    <w:rsid w:val="00867630"/>
    <w:rsid w:val="00867801"/>
    <w:rsid w:val="008679B2"/>
    <w:rsid w:val="00867AD2"/>
    <w:rsid w:val="00867BB2"/>
    <w:rsid w:val="00867D8B"/>
    <w:rsid w:val="00867DC3"/>
    <w:rsid w:val="00870307"/>
    <w:rsid w:val="008704F4"/>
    <w:rsid w:val="0087130D"/>
    <w:rsid w:val="0087187A"/>
    <w:rsid w:val="00871A3E"/>
    <w:rsid w:val="00871B62"/>
    <w:rsid w:val="00871B7D"/>
    <w:rsid w:val="00871E3D"/>
    <w:rsid w:val="00871ECF"/>
    <w:rsid w:val="00871F93"/>
    <w:rsid w:val="008721C9"/>
    <w:rsid w:val="00872238"/>
    <w:rsid w:val="0087239B"/>
    <w:rsid w:val="00872881"/>
    <w:rsid w:val="008728DC"/>
    <w:rsid w:val="00872D2A"/>
    <w:rsid w:val="00872D31"/>
    <w:rsid w:val="00872F3A"/>
    <w:rsid w:val="008732AD"/>
    <w:rsid w:val="00873339"/>
    <w:rsid w:val="008734AE"/>
    <w:rsid w:val="00873617"/>
    <w:rsid w:val="00873784"/>
    <w:rsid w:val="008738CF"/>
    <w:rsid w:val="008738DC"/>
    <w:rsid w:val="00873A77"/>
    <w:rsid w:val="00873B00"/>
    <w:rsid w:val="00873DEA"/>
    <w:rsid w:val="00873E31"/>
    <w:rsid w:val="0087445E"/>
    <w:rsid w:val="00874600"/>
    <w:rsid w:val="008747BC"/>
    <w:rsid w:val="00874C2C"/>
    <w:rsid w:val="00874F5B"/>
    <w:rsid w:val="00874F8D"/>
    <w:rsid w:val="008752B4"/>
    <w:rsid w:val="00875850"/>
    <w:rsid w:val="00875942"/>
    <w:rsid w:val="00875C51"/>
    <w:rsid w:val="00875E0B"/>
    <w:rsid w:val="00876175"/>
    <w:rsid w:val="00876755"/>
    <w:rsid w:val="0087688C"/>
    <w:rsid w:val="0087690C"/>
    <w:rsid w:val="00876B49"/>
    <w:rsid w:val="00876CD3"/>
    <w:rsid w:val="0087715E"/>
    <w:rsid w:val="00877206"/>
    <w:rsid w:val="00877487"/>
    <w:rsid w:val="00877808"/>
    <w:rsid w:val="008778BF"/>
    <w:rsid w:val="00877A42"/>
    <w:rsid w:val="00877CCA"/>
    <w:rsid w:val="00877DAC"/>
    <w:rsid w:val="008802EF"/>
    <w:rsid w:val="008804C0"/>
    <w:rsid w:val="0088050B"/>
    <w:rsid w:val="00880673"/>
    <w:rsid w:val="00880D38"/>
    <w:rsid w:val="00881063"/>
    <w:rsid w:val="008812E9"/>
    <w:rsid w:val="008813A8"/>
    <w:rsid w:val="008815F4"/>
    <w:rsid w:val="0088178D"/>
    <w:rsid w:val="00881C38"/>
    <w:rsid w:val="008820F3"/>
    <w:rsid w:val="008821C6"/>
    <w:rsid w:val="008821F9"/>
    <w:rsid w:val="0088223A"/>
    <w:rsid w:val="00882300"/>
    <w:rsid w:val="008825D7"/>
    <w:rsid w:val="00882B60"/>
    <w:rsid w:val="00882BDA"/>
    <w:rsid w:val="00882E22"/>
    <w:rsid w:val="0088311D"/>
    <w:rsid w:val="00883228"/>
    <w:rsid w:val="008832D3"/>
    <w:rsid w:val="00883696"/>
    <w:rsid w:val="00883B54"/>
    <w:rsid w:val="00883EFD"/>
    <w:rsid w:val="00883F76"/>
    <w:rsid w:val="008840AC"/>
    <w:rsid w:val="00884576"/>
    <w:rsid w:val="00884834"/>
    <w:rsid w:val="008848CA"/>
    <w:rsid w:val="00884CC5"/>
    <w:rsid w:val="00884E52"/>
    <w:rsid w:val="00884E73"/>
    <w:rsid w:val="00884F5B"/>
    <w:rsid w:val="008853E1"/>
    <w:rsid w:val="0088567F"/>
    <w:rsid w:val="0088592A"/>
    <w:rsid w:val="008859A0"/>
    <w:rsid w:val="00885AAE"/>
    <w:rsid w:val="00885DA4"/>
    <w:rsid w:val="00885F7A"/>
    <w:rsid w:val="0088603F"/>
    <w:rsid w:val="008862AF"/>
    <w:rsid w:val="0088638B"/>
    <w:rsid w:val="008864F7"/>
    <w:rsid w:val="008865AD"/>
    <w:rsid w:val="008868AD"/>
    <w:rsid w:val="00886957"/>
    <w:rsid w:val="008869B5"/>
    <w:rsid w:val="00886B18"/>
    <w:rsid w:val="00886B77"/>
    <w:rsid w:val="00886BBD"/>
    <w:rsid w:val="00886FBD"/>
    <w:rsid w:val="00887097"/>
    <w:rsid w:val="008871BB"/>
    <w:rsid w:val="008874CB"/>
    <w:rsid w:val="00887B79"/>
    <w:rsid w:val="00887C07"/>
    <w:rsid w:val="008900A1"/>
    <w:rsid w:val="0089058E"/>
    <w:rsid w:val="0089062A"/>
    <w:rsid w:val="00890C26"/>
    <w:rsid w:val="008911FB"/>
    <w:rsid w:val="0089131B"/>
    <w:rsid w:val="00891356"/>
    <w:rsid w:val="008914EE"/>
    <w:rsid w:val="008916EB"/>
    <w:rsid w:val="0089196C"/>
    <w:rsid w:val="00891D67"/>
    <w:rsid w:val="00891E12"/>
    <w:rsid w:val="0089208F"/>
    <w:rsid w:val="00892158"/>
    <w:rsid w:val="0089226C"/>
    <w:rsid w:val="00892271"/>
    <w:rsid w:val="00892F62"/>
    <w:rsid w:val="00892F8D"/>
    <w:rsid w:val="0089301A"/>
    <w:rsid w:val="0089310C"/>
    <w:rsid w:val="00893378"/>
    <w:rsid w:val="00893427"/>
    <w:rsid w:val="00893899"/>
    <w:rsid w:val="008939BB"/>
    <w:rsid w:val="00893CCF"/>
    <w:rsid w:val="00893F7F"/>
    <w:rsid w:val="00894099"/>
    <w:rsid w:val="00894119"/>
    <w:rsid w:val="00894329"/>
    <w:rsid w:val="00894516"/>
    <w:rsid w:val="008948A3"/>
    <w:rsid w:val="00894C94"/>
    <w:rsid w:val="00894E0E"/>
    <w:rsid w:val="00895092"/>
    <w:rsid w:val="008951E0"/>
    <w:rsid w:val="00895549"/>
    <w:rsid w:val="0089565C"/>
    <w:rsid w:val="008961C4"/>
    <w:rsid w:val="008969EF"/>
    <w:rsid w:val="00896A48"/>
    <w:rsid w:val="00896F07"/>
    <w:rsid w:val="008973F8"/>
    <w:rsid w:val="008975CA"/>
    <w:rsid w:val="00897824"/>
    <w:rsid w:val="00897876"/>
    <w:rsid w:val="00897BE6"/>
    <w:rsid w:val="008A0356"/>
    <w:rsid w:val="008A0599"/>
    <w:rsid w:val="008A08D3"/>
    <w:rsid w:val="008A0B54"/>
    <w:rsid w:val="008A0DC4"/>
    <w:rsid w:val="008A0F38"/>
    <w:rsid w:val="008A0FA5"/>
    <w:rsid w:val="008A0FEB"/>
    <w:rsid w:val="008A120A"/>
    <w:rsid w:val="008A16F6"/>
    <w:rsid w:val="008A1A3D"/>
    <w:rsid w:val="008A1CF7"/>
    <w:rsid w:val="008A1F57"/>
    <w:rsid w:val="008A2348"/>
    <w:rsid w:val="008A2375"/>
    <w:rsid w:val="008A2468"/>
    <w:rsid w:val="008A27D6"/>
    <w:rsid w:val="008A2ADA"/>
    <w:rsid w:val="008A2F37"/>
    <w:rsid w:val="008A333D"/>
    <w:rsid w:val="008A34B1"/>
    <w:rsid w:val="008A3A52"/>
    <w:rsid w:val="008A3AD4"/>
    <w:rsid w:val="008A3F1B"/>
    <w:rsid w:val="008A3F90"/>
    <w:rsid w:val="008A409A"/>
    <w:rsid w:val="008A42A8"/>
    <w:rsid w:val="008A4364"/>
    <w:rsid w:val="008A4402"/>
    <w:rsid w:val="008A4996"/>
    <w:rsid w:val="008A4D3D"/>
    <w:rsid w:val="008A4D57"/>
    <w:rsid w:val="008A50BF"/>
    <w:rsid w:val="008A50F0"/>
    <w:rsid w:val="008A5104"/>
    <w:rsid w:val="008A5130"/>
    <w:rsid w:val="008A5335"/>
    <w:rsid w:val="008A564F"/>
    <w:rsid w:val="008A56EC"/>
    <w:rsid w:val="008A57C9"/>
    <w:rsid w:val="008A5D1E"/>
    <w:rsid w:val="008A5E08"/>
    <w:rsid w:val="008A6081"/>
    <w:rsid w:val="008A60D2"/>
    <w:rsid w:val="008A6422"/>
    <w:rsid w:val="008A6712"/>
    <w:rsid w:val="008A671A"/>
    <w:rsid w:val="008A6756"/>
    <w:rsid w:val="008A6A21"/>
    <w:rsid w:val="008A6B88"/>
    <w:rsid w:val="008A6B9B"/>
    <w:rsid w:val="008A6DBE"/>
    <w:rsid w:val="008A73DC"/>
    <w:rsid w:val="008A77CC"/>
    <w:rsid w:val="008A788D"/>
    <w:rsid w:val="008A7D45"/>
    <w:rsid w:val="008B081E"/>
    <w:rsid w:val="008B0A84"/>
    <w:rsid w:val="008B0CF5"/>
    <w:rsid w:val="008B0D04"/>
    <w:rsid w:val="008B0E1C"/>
    <w:rsid w:val="008B16AE"/>
    <w:rsid w:val="008B16F4"/>
    <w:rsid w:val="008B1C17"/>
    <w:rsid w:val="008B1CFC"/>
    <w:rsid w:val="008B1D0F"/>
    <w:rsid w:val="008B1F8C"/>
    <w:rsid w:val="008B2046"/>
    <w:rsid w:val="008B2204"/>
    <w:rsid w:val="008B24E7"/>
    <w:rsid w:val="008B268C"/>
    <w:rsid w:val="008B28CB"/>
    <w:rsid w:val="008B2999"/>
    <w:rsid w:val="008B32FE"/>
    <w:rsid w:val="008B335D"/>
    <w:rsid w:val="008B3521"/>
    <w:rsid w:val="008B39EB"/>
    <w:rsid w:val="008B3A59"/>
    <w:rsid w:val="008B3F11"/>
    <w:rsid w:val="008B42FC"/>
    <w:rsid w:val="008B460E"/>
    <w:rsid w:val="008B4C97"/>
    <w:rsid w:val="008B5056"/>
    <w:rsid w:val="008B5071"/>
    <w:rsid w:val="008B510E"/>
    <w:rsid w:val="008B555D"/>
    <w:rsid w:val="008B5702"/>
    <w:rsid w:val="008B5998"/>
    <w:rsid w:val="008B5E03"/>
    <w:rsid w:val="008B65E5"/>
    <w:rsid w:val="008B676C"/>
    <w:rsid w:val="008B6B2C"/>
    <w:rsid w:val="008B6F07"/>
    <w:rsid w:val="008B7166"/>
    <w:rsid w:val="008B7605"/>
    <w:rsid w:val="008B7E15"/>
    <w:rsid w:val="008B7F4A"/>
    <w:rsid w:val="008B7F6E"/>
    <w:rsid w:val="008C023F"/>
    <w:rsid w:val="008C0796"/>
    <w:rsid w:val="008C0A58"/>
    <w:rsid w:val="008C0E82"/>
    <w:rsid w:val="008C1505"/>
    <w:rsid w:val="008C1553"/>
    <w:rsid w:val="008C1841"/>
    <w:rsid w:val="008C1970"/>
    <w:rsid w:val="008C1DAD"/>
    <w:rsid w:val="008C1E0D"/>
    <w:rsid w:val="008C1F8C"/>
    <w:rsid w:val="008C2218"/>
    <w:rsid w:val="008C2778"/>
    <w:rsid w:val="008C290E"/>
    <w:rsid w:val="008C2E2F"/>
    <w:rsid w:val="008C30C8"/>
    <w:rsid w:val="008C3795"/>
    <w:rsid w:val="008C382C"/>
    <w:rsid w:val="008C39D2"/>
    <w:rsid w:val="008C3A5A"/>
    <w:rsid w:val="008C424D"/>
    <w:rsid w:val="008C44B4"/>
    <w:rsid w:val="008C44B5"/>
    <w:rsid w:val="008C460B"/>
    <w:rsid w:val="008C46EB"/>
    <w:rsid w:val="008C4D8B"/>
    <w:rsid w:val="008C506C"/>
    <w:rsid w:val="008C50F9"/>
    <w:rsid w:val="008C5135"/>
    <w:rsid w:val="008C5435"/>
    <w:rsid w:val="008C5706"/>
    <w:rsid w:val="008C62B7"/>
    <w:rsid w:val="008C6793"/>
    <w:rsid w:val="008C6C68"/>
    <w:rsid w:val="008C6D5D"/>
    <w:rsid w:val="008C6E78"/>
    <w:rsid w:val="008C6FF5"/>
    <w:rsid w:val="008C7160"/>
    <w:rsid w:val="008C7219"/>
    <w:rsid w:val="008C763B"/>
    <w:rsid w:val="008C784B"/>
    <w:rsid w:val="008C7937"/>
    <w:rsid w:val="008C7C5A"/>
    <w:rsid w:val="008D0276"/>
    <w:rsid w:val="008D0702"/>
    <w:rsid w:val="008D113F"/>
    <w:rsid w:val="008D11AD"/>
    <w:rsid w:val="008D15AB"/>
    <w:rsid w:val="008D1740"/>
    <w:rsid w:val="008D1874"/>
    <w:rsid w:val="008D1A89"/>
    <w:rsid w:val="008D1DE3"/>
    <w:rsid w:val="008D1E86"/>
    <w:rsid w:val="008D20C8"/>
    <w:rsid w:val="008D24B6"/>
    <w:rsid w:val="008D25B9"/>
    <w:rsid w:val="008D2D0C"/>
    <w:rsid w:val="008D2D12"/>
    <w:rsid w:val="008D2DE9"/>
    <w:rsid w:val="008D31BB"/>
    <w:rsid w:val="008D339E"/>
    <w:rsid w:val="008D39BC"/>
    <w:rsid w:val="008D3E33"/>
    <w:rsid w:val="008D3F05"/>
    <w:rsid w:val="008D418E"/>
    <w:rsid w:val="008D44A9"/>
    <w:rsid w:val="008D4F35"/>
    <w:rsid w:val="008D502A"/>
    <w:rsid w:val="008D51CC"/>
    <w:rsid w:val="008D5237"/>
    <w:rsid w:val="008D54D2"/>
    <w:rsid w:val="008D5573"/>
    <w:rsid w:val="008D59F0"/>
    <w:rsid w:val="008D5BD8"/>
    <w:rsid w:val="008D5CCF"/>
    <w:rsid w:val="008D5CFD"/>
    <w:rsid w:val="008D5D69"/>
    <w:rsid w:val="008D5D77"/>
    <w:rsid w:val="008D60A7"/>
    <w:rsid w:val="008D62DD"/>
    <w:rsid w:val="008D6C1C"/>
    <w:rsid w:val="008D6DA9"/>
    <w:rsid w:val="008D6E43"/>
    <w:rsid w:val="008D6E4D"/>
    <w:rsid w:val="008D6F07"/>
    <w:rsid w:val="008D772A"/>
    <w:rsid w:val="008D777C"/>
    <w:rsid w:val="008D7DB1"/>
    <w:rsid w:val="008D7F3B"/>
    <w:rsid w:val="008E03B0"/>
    <w:rsid w:val="008E03E0"/>
    <w:rsid w:val="008E0636"/>
    <w:rsid w:val="008E0730"/>
    <w:rsid w:val="008E0762"/>
    <w:rsid w:val="008E0B60"/>
    <w:rsid w:val="008E1006"/>
    <w:rsid w:val="008E11D5"/>
    <w:rsid w:val="008E1717"/>
    <w:rsid w:val="008E181F"/>
    <w:rsid w:val="008E1A5D"/>
    <w:rsid w:val="008E1C83"/>
    <w:rsid w:val="008E1DE6"/>
    <w:rsid w:val="008E1FE9"/>
    <w:rsid w:val="008E2187"/>
    <w:rsid w:val="008E24CB"/>
    <w:rsid w:val="008E24F1"/>
    <w:rsid w:val="008E2BF8"/>
    <w:rsid w:val="008E2F90"/>
    <w:rsid w:val="008E3121"/>
    <w:rsid w:val="008E3457"/>
    <w:rsid w:val="008E3779"/>
    <w:rsid w:val="008E3999"/>
    <w:rsid w:val="008E39F8"/>
    <w:rsid w:val="008E3A88"/>
    <w:rsid w:val="008E3DDB"/>
    <w:rsid w:val="008E3DE3"/>
    <w:rsid w:val="008E412A"/>
    <w:rsid w:val="008E4B5F"/>
    <w:rsid w:val="008E4C02"/>
    <w:rsid w:val="008E4E72"/>
    <w:rsid w:val="008E4E80"/>
    <w:rsid w:val="008E4EFC"/>
    <w:rsid w:val="008E517D"/>
    <w:rsid w:val="008E51B8"/>
    <w:rsid w:val="008E54E0"/>
    <w:rsid w:val="008E560C"/>
    <w:rsid w:val="008E5706"/>
    <w:rsid w:val="008E5747"/>
    <w:rsid w:val="008E5774"/>
    <w:rsid w:val="008E5B61"/>
    <w:rsid w:val="008E6083"/>
    <w:rsid w:val="008E6102"/>
    <w:rsid w:val="008E6741"/>
    <w:rsid w:val="008E675A"/>
    <w:rsid w:val="008E6806"/>
    <w:rsid w:val="008E68C4"/>
    <w:rsid w:val="008E6A2D"/>
    <w:rsid w:val="008E6A8A"/>
    <w:rsid w:val="008E6E94"/>
    <w:rsid w:val="008E6EF0"/>
    <w:rsid w:val="008E75FA"/>
    <w:rsid w:val="008E770E"/>
    <w:rsid w:val="008E775E"/>
    <w:rsid w:val="008E7837"/>
    <w:rsid w:val="008E786C"/>
    <w:rsid w:val="008E7CC2"/>
    <w:rsid w:val="008F011B"/>
    <w:rsid w:val="008F0220"/>
    <w:rsid w:val="008F02E5"/>
    <w:rsid w:val="008F0B82"/>
    <w:rsid w:val="008F0CB5"/>
    <w:rsid w:val="008F0E10"/>
    <w:rsid w:val="008F11E3"/>
    <w:rsid w:val="008F120A"/>
    <w:rsid w:val="008F12B8"/>
    <w:rsid w:val="008F16A1"/>
    <w:rsid w:val="008F17B3"/>
    <w:rsid w:val="008F1CF5"/>
    <w:rsid w:val="008F26E8"/>
    <w:rsid w:val="008F27B8"/>
    <w:rsid w:val="008F2836"/>
    <w:rsid w:val="008F29DA"/>
    <w:rsid w:val="008F2A4A"/>
    <w:rsid w:val="008F2EAB"/>
    <w:rsid w:val="008F32D7"/>
    <w:rsid w:val="008F36BF"/>
    <w:rsid w:val="008F3A26"/>
    <w:rsid w:val="008F3AEB"/>
    <w:rsid w:val="008F3E13"/>
    <w:rsid w:val="008F40D1"/>
    <w:rsid w:val="008F472E"/>
    <w:rsid w:val="008F47AC"/>
    <w:rsid w:val="008F4876"/>
    <w:rsid w:val="008F492A"/>
    <w:rsid w:val="008F4B18"/>
    <w:rsid w:val="008F4C09"/>
    <w:rsid w:val="008F5011"/>
    <w:rsid w:val="008F5559"/>
    <w:rsid w:val="008F5B09"/>
    <w:rsid w:val="008F5D6F"/>
    <w:rsid w:val="008F5E01"/>
    <w:rsid w:val="008F5F41"/>
    <w:rsid w:val="008F61C2"/>
    <w:rsid w:val="008F62CC"/>
    <w:rsid w:val="008F6A15"/>
    <w:rsid w:val="008F6A44"/>
    <w:rsid w:val="008F6DC5"/>
    <w:rsid w:val="008F6E4E"/>
    <w:rsid w:val="008F7395"/>
    <w:rsid w:val="008F74E6"/>
    <w:rsid w:val="008F75E8"/>
    <w:rsid w:val="008F7610"/>
    <w:rsid w:val="008F7625"/>
    <w:rsid w:val="008F792C"/>
    <w:rsid w:val="008F798A"/>
    <w:rsid w:val="008F7B09"/>
    <w:rsid w:val="00900170"/>
    <w:rsid w:val="009008C0"/>
    <w:rsid w:val="00900931"/>
    <w:rsid w:val="00900944"/>
    <w:rsid w:val="00900945"/>
    <w:rsid w:val="009009B7"/>
    <w:rsid w:val="00900DDE"/>
    <w:rsid w:val="00900E8D"/>
    <w:rsid w:val="00901190"/>
    <w:rsid w:val="009016BB"/>
    <w:rsid w:val="00901A7B"/>
    <w:rsid w:val="00901B80"/>
    <w:rsid w:val="00901D02"/>
    <w:rsid w:val="00902622"/>
    <w:rsid w:val="009026DC"/>
    <w:rsid w:val="0090287B"/>
    <w:rsid w:val="009028FB"/>
    <w:rsid w:val="0090295C"/>
    <w:rsid w:val="00902E62"/>
    <w:rsid w:val="00903109"/>
    <w:rsid w:val="0090367B"/>
    <w:rsid w:val="00903D68"/>
    <w:rsid w:val="00903D84"/>
    <w:rsid w:val="00904148"/>
    <w:rsid w:val="009041A2"/>
    <w:rsid w:val="00904274"/>
    <w:rsid w:val="009048D6"/>
    <w:rsid w:val="00904AF6"/>
    <w:rsid w:val="00904DA4"/>
    <w:rsid w:val="00904FEF"/>
    <w:rsid w:val="00905433"/>
    <w:rsid w:val="00905759"/>
    <w:rsid w:val="009059DD"/>
    <w:rsid w:val="00905A05"/>
    <w:rsid w:val="00905A98"/>
    <w:rsid w:val="00905B16"/>
    <w:rsid w:val="00905FF7"/>
    <w:rsid w:val="00906317"/>
    <w:rsid w:val="0090643D"/>
    <w:rsid w:val="00906866"/>
    <w:rsid w:val="009068B0"/>
    <w:rsid w:val="00906BE6"/>
    <w:rsid w:val="00907088"/>
    <w:rsid w:val="0090708D"/>
    <w:rsid w:val="00907339"/>
    <w:rsid w:val="009074B5"/>
    <w:rsid w:val="00907B05"/>
    <w:rsid w:val="00907BC6"/>
    <w:rsid w:val="0090ABE8"/>
    <w:rsid w:val="009108CE"/>
    <w:rsid w:val="00910A9A"/>
    <w:rsid w:val="00910BE6"/>
    <w:rsid w:val="009111CA"/>
    <w:rsid w:val="0091150C"/>
    <w:rsid w:val="009115A4"/>
    <w:rsid w:val="0091162A"/>
    <w:rsid w:val="00911A01"/>
    <w:rsid w:val="00911E90"/>
    <w:rsid w:val="009121B3"/>
    <w:rsid w:val="00912595"/>
    <w:rsid w:val="00912798"/>
    <w:rsid w:val="009127B4"/>
    <w:rsid w:val="009129F1"/>
    <w:rsid w:val="00912CC9"/>
    <w:rsid w:val="009130A8"/>
    <w:rsid w:val="0091313D"/>
    <w:rsid w:val="009131D9"/>
    <w:rsid w:val="009132B4"/>
    <w:rsid w:val="00913465"/>
    <w:rsid w:val="00913913"/>
    <w:rsid w:val="00913A9D"/>
    <w:rsid w:val="00913BA6"/>
    <w:rsid w:val="00913E1D"/>
    <w:rsid w:val="00914528"/>
    <w:rsid w:val="00914AB4"/>
    <w:rsid w:val="00914CA2"/>
    <w:rsid w:val="00914CB6"/>
    <w:rsid w:val="00914D79"/>
    <w:rsid w:val="00914DD4"/>
    <w:rsid w:val="00915007"/>
    <w:rsid w:val="0091537C"/>
    <w:rsid w:val="0091579C"/>
    <w:rsid w:val="009157AC"/>
    <w:rsid w:val="009157C4"/>
    <w:rsid w:val="009157D1"/>
    <w:rsid w:val="009158B6"/>
    <w:rsid w:val="00915BB6"/>
    <w:rsid w:val="00915FBD"/>
    <w:rsid w:val="00916246"/>
    <w:rsid w:val="009163AF"/>
    <w:rsid w:val="0091681A"/>
    <w:rsid w:val="00916B30"/>
    <w:rsid w:val="00916B93"/>
    <w:rsid w:val="00916F2D"/>
    <w:rsid w:val="00916F99"/>
    <w:rsid w:val="0091753B"/>
    <w:rsid w:val="009177D3"/>
    <w:rsid w:val="00917A4A"/>
    <w:rsid w:val="00917BE8"/>
    <w:rsid w:val="00917CCC"/>
    <w:rsid w:val="00917E21"/>
    <w:rsid w:val="0092044F"/>
    <w:rsid w:val="00920762"/>
    <w:rsid w:val="0092079C"/>
    <w:rsid w:val="0092086E"/>
    <w:rsid w:val="00920FEC"/>
    <w:rsid w:val="00921046"/>
    <w:rsid w:val="009210ED"/>
    <w:rsid w:val="0092122E"/>
    <w:rsid w:val="009213CB"/>
    <w:rsid w:val="009214CB"/>
    <w:rsid w:val="009215F9"/>
    <w:rsid w:val="00921C3A"/>
    <w:rsid w:val="0092216E"/>
    <w:rsid w:val="00922189"/>
    <w:rsid w:val="009224FC"/>
    <w:rsid w:val="00922EBD"/>
    <w:rsid w:val="00923345"/>
    <w:rsid w:val="0092348D"/>
    <w:rsid w:val="0092352F"/>
    <w:rsid w:val="00923560"/>
    <w:rsid w:val="0092386D"/>
    <w:rsid w:val="00923E3B"/>
    <w:rsid w:val="00923F6D"/>
    <w:rsid w:val="009241ED"/>
    <w:rsid w:val="00924552"/>
    <w:rsid w:val="0092480B"/>
    <w:rsid w:val="00924C5B"/>
    <w:rsid w:val="00924DD0"/>
    <w:rsid w:val="00925081"/>
    <w:rsid w:val="00925A36"/>
    <w:rsid w:val="00925B57"/>
    <w:rsid w:val="00925B75"/>
    <w:rsid w:val="00925D30"/>
    <w:rsid w:val="00925DA5"/>
    <w:rsid w:val="00925FE5"/>
    <w:rsid w:val="009260E1"/>
    <w:rsid w:val="009261B3"/>
    <w:rsid w:val="0092637D"/>
    <w:rsid w:val="00926444"/>
    <w:rsid w:val="00926AFE"/>
    <w:rsid w:val="00926BE0"/>
    <w:rsid w:val="00926C86"/>
    <w:rsid w:val="00926CB5"/>
    <w:rsid w:val="00926EBB"/>
    <w:rsid w:val="0092765F"/>
    <w:rsid w:val="009278AD"/>
    <w:rsid w:val="00927C23"/>
    <w:rsid w:val="00927EFF"/>
    <w:rsid w:val="0093097E"/>
    <w:rsid w:val="00930CBF"/>
    <w:rsid w:val="00930DDB"/>
    <w:rsid w:val="00930EE6"/>
    <w:rsid w:val="00931532"/>
    <w:rsid w:val="009316C2"/>
    <w:rsid w:val="009318B1"/>
    <w:rsid w:val="00931E2E"/>
    <w:rsid w:val="00931EBE"/>
    <w:rsid w:val="00931FB0"/>
    <w:rsid w:val="0093201D"/>
    <w:rsid w:val="009321B1"/>
    <w:rsid w:val="009325F5"/>
    <w:rsid w:val="00932610"/>
    <w:rsid w:val="00932CBF"/>
    <w:rsid w:val="0093327C"/>
    <w:rsid w:val="00933822"/>
    <w:rsid w:val="00933A17"/>
    <w:rsid w:val="00933A98"/>
    <w:rsid w:val="00933C2E"/>
    <w:rsid w:val="00933CD7"/>
    <w:rsid w:val="009341DE"/>
    <w:rsid w:val="009341F8"/>
    <w:rsid w:val="0093421A"/>
    <w:rsid w:val="009342A4"/>
    <w:rsid w:val="00934431"/>
    <w:rsid w:val="0093454F"/>
    <w:rsid w:val="00934803"/>
    <w:rsid w:val="009348FF"/>
    <w:rsid w:val="00934FD9"/>
    <w:rsid w:val="009351DE"/>
    <w:rsid w:val="009359C8"/>
    <w:rsid w:val="00935B4F"/>
    <w:rsid w:val="00935EE8"/>
    <w:rsid w:val="009367B0"/>
    <w:rsid w:val="00936A6E"/>
    <w:rsid w:val="00936CDB"/>
    <w:rsid w:val="00936D41"/>
    <w:rsid w:val="009374AD"/>
    <w:rsid w:val="00937CC8"/>
    <w:rsid w:val="00937D8F"/>
    <w:rsid w:val="00937EDC"/>
    <w:rsid w:val="00940161"/>
    <w:rsid w:val="00940785"/>
    <w:rsid w:val="0094083B"/>
    <w:rsid w:val="00940E0F"/>
    <w:rsid w:val="00940FC0"/>
    <w:rsid w:val="00941495"/>
    <w:rsid w:val="009414F1"/>
    <w:rsid w:val="00941610"/>
    <w:rsid w:val="0094165C"/>
    <w:rsid w:val="00941EDD"/>
    <w:rsid w:val="00941FB6"/>
    <w:rsid w:val="00942503"/>
    <w:rsid w:val="009425BF"/>
    <w:rsid w:val="00942664"/>
    <w:rsid w:val="009427FD"/>
    <w:rsid w:val="00942BC9"/>
    <w:rsid w:val="00942C1A"/>
    <w:rsid w:val="00942CB9"/>
    <w:rsid w:val="00942D6C"/>
    <w:rsid w:val="00942F18"/>
    <w:rsid w:val="00942F25"/>
    <w:rsid w:val="009431A5"/>
    <w:rsid w:val="00943307"/>
    <w:rsid w:val="009434C6"/>
    <w:rsid w:val="00943617"/>
    <w:rsid w:val="0094370D"/>
    <w:rsid w:val="00943A59"/>
    <w:rsid w:val="00943AA2"/>
    <w:rsid w:val="00943C22"/>
    <w:rsid w:val="00943E98"/>
    <w:rsid w:val="00944013"/>
    <w:rsid w:val="0094412B"/>
    <w:rsid w:val="00944162"/>
    <w:rsid w:val="009443AE"/>
    <w:rsid w:val="00944584"/>
    <w:rsid w:val="00944B06"/>
    <w:rsid w:val="00944FF6"/>
    <w:rsid w:val="0094592B"/>
    <w:rsid w:val="00945973"/>
    <w:rsid w:val="00945DF6"/>
    <w:rsid w:val="0094639C"/>
    <w:rsid w:val="0094689A"/>
    <w:rsid w:val="00946964"/>
    <w:rsid w:val="00946C2D"/>
    <w:rsid w:val="00946C67"/>
    <w:rsid w:val="00946F18"/>
    <w:rsid w:val="0094704E"/>
    <w:rsid w:val="009472C8"/>
    <w:rsid w:val="009473CF"/>
    <w:rsid w:val="009474B7"/>
    <w:rsid w:val="0094757E"/>
    <w:rsid w:val="00947617"/>
    <w:rsid w:val="00947715"/>
    <w:rsid w:val="00947F71"/>
    <w:rsid w:val="0095062F"/>
    <w:rsid w:val="0095091B"/>
    <w:rsid w:val="009509E1"/>
    <w:rsid w:val="00950B81"/>
    <w:rsid w:val="00950BA9"/>
    <w:rsid w:val="00950C84"/>
    <w:rsid w:val="00950F02"/>
    <w:rsid w:val="009513E8"/>
    <w:rsid w:val="00951445"/>
    <w:rsid w:val="009514CE"/>
    <w:rsid w:val="00951847"/>
    <w:rsid w:val="00951A3F"/>
    <w:rsid w:val="00951A61"/>
    <w:rsid w:val="00951CC9"/>
    <w:rsid w:val="00952883"/>
    <w:rsid w:val="0095291D"/>
    <w:rsid w:val="00952A65"/>
    <w:rsid w:val="009533A1"/>
    <w:rsid w:val="009539A4"/>
    <w:rsid w:val="00953A50"/>
    <w:rsid w:val="009546A1"/>
    <w:rsid w:val="00954D10"/>
    <w:rsid w:val="00954EDB"/>
    <w:rsid w:val="00955111"/>
    <w:rsid w:val="0095513C"/>
    <w:rsid w:val="009551FF"/>
    <w:rsid w:val="009556EC"/>
    <w:rsid w:val="00955AFC"/>
    <w:rsid w:val="00956300"/>
    <w:rsid w:val="009564E6"/>
    <w:rsid w:val="00956870"/>
    <w:rsid w:val="00956934"/>
    <w:rsid w:val="009569C0"/>
    <w:rsid w:val="00956C18"/>
    <w:rsid w:val="00956E93"/>
    <w:rsid w:val="00956F9D"/>
    <w:rsid w:val="00957140"/>
    <w:rsid w:val="00957425"/>
    <w:rsid w:val="009575D9"/>
    <w:rsid w:val="009575E2"/>
    <w:rsid w:val="0095761A"/>
    <w:rsid w:val="0095770F"/>
    <w:rsid w:val="00957992"/>
    <w:rsid w:val="00957BBA"/>
    <w:rsid w:val="00957C3A"/>
    <w:rsid w:val="009600DD"/>
    <w:rsid w:val="00960144"/>
    <w:rsid w:val="00960173"/>
    <w:rsid w:val="0096038D"/>
    <w:rsid w:val="009603E2"/>
    <w:rsid w:val="00960677"/>
    <w:rsid w:val="00960A72"/>
    <w:rsid w:val="00960AED"/>
    <w:rsid w:val="00960BC3"/>
    <w:rsid w:val="00960CD9"/>
    <w:rsid w:val="00960EEE"/>
    <w:rsid w:val="00960F5F"/>
    <w:rsid w:val="009611DA"/>
    <w:rsid w:val="0096129E"/>
    <w:rsid w:val="00961417"/>
    <w:rsid w:val="0096156B"/>
    <w:rsid w:val="009615C9"/>
    <w:rsid w:val="00961929"/>
    <w:rsid w:val="0096198C"/>
    <w:rsid w:val="00961C76"/>
    <w:rsid w:val="00961E8E"/>
    <w:rsid w:val="009622A0"/>
    <w:rsid w:val="009623A2"/>
    <w:rsid w:val="009624B8"/>
    <w:rsid w:val="00962AD4"/>
    <w:rsid w:val="00962B55"/>
    <w:rsid w:val="00962B94"/>
    <w:rsid w:val="00962D84"/>
    <w:rsid w:val="00962DC1"/>
    <w:rsid w:val="00963010"/>
    <w:rsid w:val="009633BD"/>
    <w:rsid w:val="009636A5"/>
    <w:rsid w:val="009636A9"/>
    <w:rsid w:val="00963C65"/>
    <w:rsid w:val="00963CCF"/>
    <w:rsid w:val="009641E1"/>
    <w:rsid w:val="0096425E"/>
    <w:rsid w:val="0096455A"/>
    <w:rsid w:val="0096461E"/>
    <w:rsid w:val="00965357"/>
    <w:rsid w:val="00965464"/>
    <w:rsid w:val="00965642"/>
    <w:rsid w:val="0096564F"/>
    <w:rsid w:val="0096585D"/>
    <w:rsid w:val="00965C2C"/>
    <w:rsid w:val="00965D97"/>
    <w:rsid w:val="00965E97"/>
    <w:rsid w:val="00965EDA"/>
    <w:rsid w:val="00966068"/>
    <w:rsid w:val="0096609C"/>
    <w:rsid w:val="009660C0"/>
    <w:rsid w:val="009661C3"/>
    <w:rsid w:val="00966368"/>
    <w:rsid w:val="00966575"/>
    <w:rsid w:val="00966885"/>
    <w:rsid w:val="00966B19"/>
    <w:rsid w:val="00966C02"/>
    <w:rsid w:val="00966CB7"/>
    <w:rsid w:val="009672BC"/>
    <w:rsid w:val="00967334"/>
    <w:rsid w:val="00967385"/>
    <w:rsid w:val="00967389"/>
    <w:rsid w:val="00967F7A"/>
    <w:rsid w:val="009702C3"/>
    <w:rsid w:val="0097046D"/>
    <w:rsid w:val="00970572"/>
    <w:rsid w:val="009710F0"/>
    <w:rsid w:val="009712DD"/>
    <w:rsid w:val="009714AD"/>
    <w:rsid w:val="00971536"/>
    <w:rsid w:val="00971702"/>
    <w:rsid w:val="009717C6"/>
    <w:rsid w:val="009718F7"/>
    <w:rsid w:val="00971A23"/>
    <w:rsid w:val="00971B1F"/>
    <w:rsid w:val="00971F68"/>
    <w:rsid w:val="0097216B"/>
    <w:rsid w:val="009723F4"/>
    <w:rsid w:val="00972580"/>
    <w:rsid w:val="00972875"/>
    <w:rsid w:val="009728FF"/>
    <w:rsid w:val="00973394"/>
    <w:rsid w:val="0097342F"/>
    <w:rsid w:val="009735C9"/>
    <w:rsid w:val="0097380A"/>
    <w:rsid w:val="00973A2F"/>
    <w:rsid w:val="00973BAD"/>
    <w:rsid w:val="00973BDD"/>
    <w:rsid w:val="00973EA2"/>
    <w:rsid w:val="00974540"/>
    <w:rsid w:val="009746C3"/>
    <w:rsid w:val="0097471F"/>
    <w:rsid w:val="009747E0"/>
    <w:rsid w:val="00974C11"/>
    <w:rsid w:val="00974E09"/>
    <w:rsid w:val="00975998"/>
    <w:rsid w:val="00975AED"/>
    <w:rsid w:val="00975B34"/>
    <w:rsid w:val="00975BBF"/>
    <w:rsid w:val="00975C1E"/>
    <w:rsid w:val="00975EC6"/>
    <w:rsid w:val="009761A9"/>
    <w:rsid w:val="0097630A"/>
    <w:rsid w:val="00976414"/>
    <w:rsid w:val="00976518"/>
    <w:rsid w:val="00976CAD"/>
    <w:rsid w:val="00976ED6"/>
    <w:rsid w:val="009774CF"/>
    <w:rsid w:val="0097780B"/>
    <w:rsid w:val="00977A16"/>
    <w:rsid w:val="00977A4E"/>
    <w:rsid w:val="00977C9B"/>
    <w:rsid w:val="00977D68"/>
    <w:rsid w:val="009808E2"/>
    <w:rsid w:val="00980CE9"/>
    <w:rsid w:val="009810AA"/>
    <w:rsid w:val="0098127C"/>
    <w:rsid w:val="009812A8"/>
    <w:rsid w:val="009814E0"/>
    <w:rsid w:val="0098166E"/>
    <w:rsid w:val="009817AB"/>
    <w:rsid w:val="00981CB2"/>
    <w:rsid w:val="00981EC8"/>
    <w:rsid w:val="00981F1A"/>
    <w:rsid w:val="0098265D"/>
    <w:rsid w:val="00982951"/>
    <w:rsid w:val="009829B1"/>
    <w:rsid w:val="00982BB9"/>
    <w:rsid w:val="00982DA2"/>
    <w:rsid w:val="00982E58"/>
    <w:rsid w:val="00982F70"/>
    <w:rsid w:val="009830F6"/>
    <w:rsid w:val="00983284"/>
    <w:rsid w:val="009835EE"/>
    <w:rsid w:val="00983F04"/>
    <w:rsid w:val="009840FA"/>
    <w:rsid w:val="009841B9"/>
    <w:rsid w:val="00984222"/>
    <w:rsid w:val="00984433"/>
    <w:rsid w:val="00984463"/>
    <w:rsid w:val="00984551"/>
    <w:rsid w:val="009845F9"/>
    <w:rsid w:val="00984634"/>
    <w:rsid w:val="009846A4"/>
    <w:rsid w:val="009848BD"/>
    <w:rsid w:val="00984A5B"/>
    <w:rsid w:val="00984BCB"/>
    <w:rsid w:val="00984D27"/>
    <w:rsid w:val="00984ED0"/>
    <w:rsid w:val="00984FFA"/>
    <w:rsid w:val="0098509A"/>
    <w:rsid w:val="0098509E"/>
    <w:rsid w:val="00985254"/>
    <w:rsid w:val="00985372"/>
    <w:rsid w:val="009853B0"/>
    <w:rsid w:val="00985723"/>
    <w:rsid w:val="00986200"/>
    <w:rsid w:val="00986212"/>
    <w:rsid w:val="00986233"/>
    <w:rsid w:val="00986387"/>
    <w:rsid w:val="009863FB"/>
    <w:rsid w:val="009864EF"/>
    <w:rsid w:val="00986BAF"/>
    <w:rsid w:val="00986D66"/>
    <w:rsid w:val="00986FD3"/>
    <w:rsid w:val="00987283"/>
    <w:rsid w:val="00987BBF"/>
    <w:rsid w:val="00987FE5"/>
    <w:rsid w:val="009901D1"/>
    <w:rsid w:val="00990532"/>
    <w:rsid w:val="0099080B"/>
    <w:rsid w:val="00990C15"/>
    <w:rsid w:val="00990D82"/>
    <w:rsid w:val="009911B8"/>
    <w:rsid w:val="009911DE"/>
    <w:rsid w:val="009913A2"/>
    <w:rsid w:val="00991688"/>
    <w:rsid w:val="00991726"/>
    <w:rsid w:val="00991B5F"/>
    <w:rsid w:val="00991C8B"/>
    <w:rsid w:val="00991DD9"/>
    <w:rsid w:val="00992600"/>
    <w:rsid w:val="009926B3"/>
    <w:rsid w:val="00992CA0"/>
    <w:rsid w:val="009930BE"/>
    <w:rsid w:val="00993642"/>
    <w:rsid w:val="009936FE"/>
    <w:rsid w:val="00993BB4"/>
    <w:rsid w:val="00993EAA"/>
    <w:rsid w:val="00994135"/>
    <w:rsid w:val="00994588"/>
    <w:rsid w:val="0099484F"/>
    <w:rsid w:val="00994856"/>
    <w:rsid w:val="009949B2"/>
    <w:rsid w:val="00994AE4"/>
    <w:rsid w:val="00994B0F"/>
    <w:rsid w:val="00994D83"/>
    <w:rsid w:val="009953BB"/>
    <w:rsid w:val="00995A58"/>
    <w:rsid w:val="00995D42"/>
    <w:rsid w:val="00996168"/>
    <w:rsid w:val="009961D8"/>
    <w:rsid w:val="009965F2"/>
    <w:rsid w:val="00996830"/>
    <w:rsid w:val="00996852"/>
    <w:rsid w:val="00996E28"/>
    <w:rsid w:val="00996F1D"/>
    <w:rsid w:val="00996F88"/>
    <w:rsid w:val="009970F6"/>
    <w:rsid w:val="0099716E"/>
    <w:rsid w:val="00997183"/>
    <w:rsid w:val="00997441"/>
    <w:rsid w:val="0099756A"/>
    <w:rsid w:val="009975B5"/>
    <w:rsid w:val="009975CC"/>
    <w:rsid w:val="009978BE"/>
    <w:rsid w:val="00997931"/>
    <w:rsid w:val="0099796A"/>
    <w:rsid w:val="00997A79"/>
    <w:rsid w:val="00997BAC"/>
    <w:rsid w:val="00997E12"/>
    <w:rsid w:val="00997E1D"/>
    <w:rsid w:val="00997E96"/>
    <w:rsid w:val="009A00C6"/>
    <w:rsid w:val="009A01CE"/>
    <w:rsid w:val="009A0467"/>
    <w:rsid w:val="009A08A4"/>
    <w:rsid w:val="009A0977"/>
    <w:rsid w:val="009A0B66"/>
    <w:rsid w:val="009A0EE3"/>
    <w:rsid w:val="009A12FD"/>
    <w:rsid w:val="009A13E9"/>
    <w:rsid w:val="009A1C80"/>
    <w:rsid w:val="009A1D9F"/>
    <w:rsid w:val="009A2105"/>
    <w:rsid w:val="009A24EB"/>
    <w:rsid w:val="009A27B2"/>
    <w:rsid w:val="009A2850"/>
    <w:rsid w:val="009A2A5B"/>
    <w:rsid w:val="009A2E30"/>
    <w:rsid w:val="009A2FD2"/>
    <w:rsid w:val="009A3193"/>
    <w:rsid w:val="009A3218"/>
    <w:rsid w:val="009A39D2"/>
    <w:rsid w:val="009A3A12"/>
    <w:rsid w:val="009A3B9E"/>
    <w:rsid w:val="009A3BC9"/>
    <w:rsid w:val="009A3CD5"/>
    <w:rsid w:val="009A4086"/>
    <w:rsid w:val="009A4160"/>
    <w:rsid w:val="009A41A1"/>
    <w:rsid w:val="009A448C"/>
    <w:rsid w:val="009A4AEA"/>
    <w:rsid w:val="009A50D5"/>
    <w:rsid w:val="009A5130"/>
    <w:rsid w:val="009A53D2"/>
    <w:rsid w:val="009A563E"/>
    <w:rsid w:val="009A57CE"/>
    <w:rsid w:val="009A580D"/>
    <w:rsid w:val="009A5838"/>
    <w:rsid w:val="009A58AF"/>
    <w:rsid w:val="009A5DCF"/>
    <w:rsid w:val="009A5EB4"/>
    <w:rsid w:val="009A5F7F"/>
    <w:rsid w:val="009A607E"/>
    <w:rsid w:val="009A611C"/>
    <w:rsid w:val="009A6879"/>
    <w:rsid w:val="009A6A1A"/>
    <w:rsid w:val="009A6E01"/>
    <w:rsid w:val="009A7400"/>
    <w:rsid w:val="009A78C6"/>
    <w:rsid w:val="009A7A20"/>
    <w:rsid w:val="009A7D40"/>
    <w:rsid w:val="009A7E09"/>
    <w:rsid w:val="009B01C0"/>
    <w:rsid w:val="009B01C2"/>
    <w:rsid w:val="009B0749"/>
    <w:rsid w:val="009B0939"/>
    <w:rsid w:val="009B0A79"/>
    <w:rsid w:val="009B0DC6"/>
    <w:rsid w:val="009B11C6"/>
    <w:rsid w:val="009B14A2"/>
    <w:rsid w:val="009B1937"/>
    <w:rsid w:val="009B1A73"/>
    <w:rsid w:val="009B2136"/>
    <w:rsid w:val="009B227E"/>
    <w:rsid w:val="009B2578"/>
    <w:rsid w:val="009B2599"/>
    <w:rsid w:val="009B26F7"/>
    <w:rsid w:val="009B290D"/>
    <w:rsid w:val="009B29D8"/>
    <w:rsid w:val="009B2A99"/>
    <w:rsid w:val="009B2F36"/>
    <w:rsid w:val="009B3094"/>
    <w:rsid w:val="009B317F"/>
    <w:rsid w:val="009B32A4"/>
    <w:rsid w:val="009B3323"/>
    <w:rsid w:val="009B3893"/>
    <w:rsid w:val="009B3B1A"/>
    <w:rsid w:val="009B3B65"/>
    <w:rsid w:val="009B3E50"/>
    <w:rsid w:val="009B40FC"/>
    <w:rsid w:val="009B432B"/>
    <w:rsid w:val="009B47AC"/>
    <w:rsid w:val="009B488F"/>
    <w:rsid w:val="009B4A09"/>
    <w:rsid w:val="009B4DF5"/>
    <w:rsid w:val="009B4E11"/>
    <w:rsid w:val="009B50B4"/>
    <w:rsid w:val="009B5359"/>
    <w:rsid w:val="009B5A44"/>
    <w:rsid w:val="009B61B9"/>
    <w:rsid w:val="009B620F"/>
    <w:rsid w:val="009B642C"/>
    <w:rsid w:val="009B64D9"/>
    <w:rsid w:val="009B6686"/>
    <w:rsid w:val="009B685D"/>
    <w:rsid w:val="009B6A15"/>
    <w:rsid w:val="009B6AB6"/>
    <w:rsid w:val="009B6E35"/>
    <w:rsid w:val="009B71D7"/>
    <w:rsid w:val="009B71D9"/>
    <w:rsid w:val="009B721A"/>
    <w:rsid w:val="009B7252"/>
    <w:rsid w:val="009B75D1"/>
    <w:rsid w:val="009B7705"/>
    <w:rsid w:val="009B77FD"/>
    <w:rsid w:val="009B7B4C"/>
    <w:rsid w:val="009B7D65"/>
    <w:rsid w:val="009B7FD7"/>
    <w:rsid w:val="009C0115"/>
    <w:rsid w:val="009C0728"/>
    <w:rsid w:val="009C0E02"/>
    <w:rsid w:val="009C0F38"/>
    <w:rsid w:val="009C119B"/>
    <w:rsid w:val="009C130A"/>
    <w:rsid w:val="009C13A3"/>
    <w:rsid w:val="009C162A"/>
    <w:rsid w:val="009C18A3"/>
    <w:rsid w:val="009C18ED"/>
    <w:rsid w:val="009C19B9"/>
    <w:rsid w:val="009C1A02"/>
    <w:rsid w:val="009C1A7E"/>
    <w:rsid w:val="009C1B95"/>
    <w:rsid w:val="009C1DDB"/>
    <w:rsid w:val="009C1F02"/>
    <w:rsid w:val="009C1FE6"/>
    <w:rsid w:val="009C2021"/>
    <w:rsid w:val="009C21BF"/>
    <w:rsid w:val="009C25D3"/>
    <w:rsid w:val="009C266D"/>
    <w:rsid w:val="009C2A5C"/>
    <w:rsid w:val="009C2B0A"/>
    <w:rsid w:val="009C2B1A"/>
    <w:rsid w:val="009C2E69"/>
    <w:rsid w:val="009C3280"/>
    <w:rsid w:val="009C32E9"/>
    <w:rsid w:val="009C345A"/>
    <w:rsid w:val="009C381D"/>
    <w:rsid w:val="009C3FE9"/>
    <w:rsid w:val="009C402A"/>
    <w:rsid w:val="009C411C"/>
    <w:rsid w:val="009C41B7"/>
    <w:rsid w:val="009C44B4"/>
    <w:rsid w:val="009C4882"/>
    <w:rsid w:val="009C4900"/>
    <w:rsid w:val="009C4ACD"/>
    <w:rsid w:val="009C4CB8"/>
    <w:rsid w:val="009C4CFD"/>
    <w:rsid w:val="009C4D54"/>
    <w:rsid w:val="009C4E24"/>
    <w:rsid w:val="009C520C"/>
    <w:rsid w:val="009C5800"/>
    <w:rsid w:val="009C5AC0"/>
    <w:rsid w:val="009C6250"/>
    <w:rsid w:val="009C63A5"/>
    <w:rsid w:val="009C6866"/>
    <w:rsid w:val="009C6894"/>
    <w:rsid w:val="009C695A"/>
    <w:rsid w:val="009C6B42"/>
    <w:rsid w:val="009C6B68"/>
    <w:rsid w:val="009C6CC2"/>
    <w:rsid w:val="009C6FE8"/>
    <w:rsid w:val="009C7185"/>
    <w:rsid w:val="009C728A"/>
    <w:rsid w:val="009C7774"/>
    <w:rsid w:val="009C788A"/>
    <w:rsid w:val="009C7993"/>
    <w:rsid w:val="009C7CA5"/>
    <w:rsid w:val="009C7D23"/>
    <w:rsid w:val="009D00E9"/>
    <w:rsid w:val="009D02A5"/>
    <w:rsid w:val="009D0712"/>
    <w:rsid w:val="009D08F6"/>
    <w:rsid w:val="009D0A12"/>
    <w:rsid w:val="009D0A76"/>
    <w:rsid w:val="009D0E58"/>
    <w:rsid w:val="009D0E93"/>
    <w:rsid w:val="009D0EEB"/>
    <w:rsid w:val="009D0EF7"/>
    <w:rsid w:val="009D113C"/>
    <w:rsid w:val="009D1532"/>
    <w:rsid w:val="009D15D0"/>
    <w:rsid w:val="009D1CAB"/>
    <w:rsid w:val="009D1DD0"/>
    <w:rsid w:val="009D1F82"/>
    <w:rsid w:val="009D2488"/>
    <w:rsid w:val="009D264E"/>
    <w:rsid w:val="009D27A0"/>
    <w:rsid w:val="009D2B71"/>
    <w:rsid w:val="009D33C1"/>
    <w:rsid w:val="009D37AA"/>
    <w:rsid w:val="009D3916"/>
    <w:rsid w:val="009D3983"/>
    <w:rsid w:val="009D3AD2"/>
    <w:rsid w:val="009D40C9"/>
    <w:rsid w:val="009D44B2"/>
    <w:rsid w:val="009D44B7"/>
    <w:rsid w:val="009D44F8"/>
    <w:rsid w:val="009D4A23"/>
    <w:rsid w:val="009D4C1C"/>
    <w:rsid w:val="009D5165"/>
    <w:rsid w:val="009D54AD"/>
    <w:rsid w:val="009D566A"/>
    <w:rsid w:val="009D5903"/>
    <w:rsid w:val="009D5E15"/>
    <w:rsid w:val="009D5EB3"/>
    <w:rsid w:val="009D61AA"/>
    <w:rsid w:val="009D6329"/>
    <w:rsid w:val="009D64DE"/>
    <w:rsid w:val="009D65F0"/>
    <w:rsid w:val="009D6677"/>
    <w:rsid w:val="009D66D4"/>
    <w:rsid w:val="009D69A7"/>
    <w:rsid w:val="009D6B4C"/>
    <w:rsid w:val="009D6DC9"/>
    <w:rsid w:val="009D7590"/>
    <w:rsid w:val="009D75FF"/>
    <w:rsid w:val="009D7A09"/>
    <w:rsid w:val="009D7C27"/>
    <w:rsid w:val="009D7DBE"/>
    <w:rsid w:val="009D7FFE"/>
    <w:rsid w:val="009E00C3"/>
    <w:rsid w:val="009E038A"/>
    <w:rsid w:val="009E0521"/>
    <w:rsid w:val="009E0A99"/>
    <w:rsid w:val="009E0D20"/>
    <w:rsid w:val="009E0DA6"/>
    <w:rsid w:val="009E1035"/>
    <w:rsid w:val="009E1128"/>
    <w:rsid w:val="009E1671"/>
    <w:rsid w:val="009E1AA7"/>
    <w:rsid w:val="009E1BD3"/>
    <w:rsid w:val="009E1BE1"/>
    <w:rsid w:val="009E1DD1"/>
    <w:rsid w:val="009E1E03"/>
    <w:rsid w:val="009E1F90"/>
    <w:rsid w:val="009E21DE"/>
    <w:rsid w:val="009E2210"/>
    <w:rsid w:val="009E247A"/>
    <w:rsid w:val="009E2C6B"/>
    <w:rsid w:val="009E2F6D"/>
    <w:rsid w:val="009E2FD8"/>
    <w:rsid w:val="009E363E"/>
    <w:rsid w:val="009E3A39"/>
    <w:rsid w:val="009E3BDD"/>
    <w:rsid w:val="009E3CCD"/>
    <w:rsid w:val="009E3DB9"/>
    <w:rsid w:val="009E408A"/>
    <w:rsid w:val="009E4296"/>
    <w:rsid w:val="009E43D7"/>
    <w:rsid w:val="009E4740"/>
    <w:rsid w:val="009E47CC"/>
    <w:rsid w:val="009E4800"/>
    <w:rsid w:val="009E4A7D"/>
    <w:rsid w:val="009E4AE9"/>
    <w:rsid w:val="009E4B1F"/>
    <w:rsid w:val="009E4CD4"/>
    <w:rsid w:val="009E50C6"/>
    <w:rsid w:val="009E5449"/>
    <w:rsid w:val="009E548B"/>
    <w:rsid w:val="009E579B"/>
    <w:rsid w:val="009E5E3E"/>
    <w:rsid w:val="009E631E"/>
    <w:rsid w:val="009E633D"/>
    <w:rsid w:val="009E63D0"/>
    <w:rsid w:val="009E6C5D"/>
    <w:rsid w:val="009E6CF7"/>
    <w:rsid w:val="009E6DF2"/>
    <w:rsid w:val="009E7232"/>
    <w:rsid w:val="009E726F"/>
    <w:rsid w:val="009E758D"/>
    <w:rsid w:val="009E7682"/>
    <w:rsid w:val="009E7740"/>
    <w:rsid w:val="009F00D1"/>
    <w:rsid w:val="009F00DB"/>
    <w:rsid w:val="009F0365"/>
    <w:rsid w:val="009F0AAE"/>
    <w:rsid w:val="009F0E87"/>
    <w:rsid w:val="009F1336"/>
    <w:rsid w:val="009F137A"/>
    <w:rsid w:val="009F14D1"/>
    <w:rsid w:val="009F152D"/>
    <w:rsid w:val="009F1C70"/>
    <w:rsid w:val="009F1D79"/>
    <w:rsid w:val="009F2079"/>
    <w:rsid w:val="009F218A"/>
    <w:rsid w:val="009F21B9"/>
    <w:rsid w:val="009F220B"/>
    <w:rsid w:val="009F232B"/>
    <w:rsid w:val="009F2360"/>
    <w:rsid w:val="009F25E7"/>
    <w:rsid w:val="009F2D21"/>
    <w:rsid w:val="009F2DE8"/>
    <w:rsid w:val="009F2FE0"/>
    <w:rsid w:val="009F3051"/>
    <w:rsid w:val="009F311C"/>
    <w:rsid w:val="009F3149"/>
    <w:rsid w:val="009F3450"/>
    <w:rsid w:val="009F415F"/>
    <w:rsid w:val="009F41BF"/>
    <w:rsid w:val="009F43D2"/>
    <w:rsid w:val="009F458C"/>
    <w:rsid w:val="009F45B7"/>
    <w:rsid w:val="009F46A4"/>
    <w:rsid w:val="009F4784"/>
    <w:rsid w:val="009F4857"/>
    <w:rsid w:val="009F4C2A"/>
    <w:rsid w:val="009F50BC"/>
    <w:rsid w:val="009F52E8"/>
    <w:rsid w:val="009F533B"/>
    <w:rsid w:val="009F539C"/>
    <w:rsid w:val="009F53D8"/>
    <w:rsid w:val="009F53FC"/>
    <w:rsid w:val="009F587D"/>
    <w:rsid w:val="009F596E"/>
    <w:rsid w:val="009F5D4A"/>
    <w:rsid w:val="009F5D62"/>
    <w:rsid w:val="009F600D"/>
    <w:rsid w:val="009F621A"/>
    <w:rsid w:val="009F659A"/>
    <w:rsid w:val="009F66B7"/>
    <w:rsid w:val="009F6835"/>
    <w:rsid w:val="009F692B"/>
    <w:rsid w:val="009F6A7B"/>
    <w:rsid w:val="009F6EC1"/>
    <w:rsid w:val="009F71B5"/>
    <w:rsid w:val="009F7451"/>
    <w:rsid w:val="009F799D"/>
    <w:rsid w:val="009F7AF3"/>
    <w:rsid w:val="009F7D53"/>
    <w:rsid w:val="00A0037F"/>
    <w:rsid w:val="00A0063D"/>
    <w:rsid w:val="00A006CB"/>
    <w:rsid w:val="00A008EB"/>
    <w:rsid w:val="00A00AE1"/>
    <w:rsid w:val="00A00DCA"/>
    <w:rsid w:val="00A012E1"/>
    <w:rsid w:val="00A01A86"/>
    <w:rsid w:val="00A01AAC"/>
    <w:rsid w:val="00A01AFA"/>
    <w:rsid w:val="00A01D3C"/>
    <w:rsid w:val="00A01F5F"/>
    <w:rsid w:val="00A02019"/>
    <w:rsid w:val="00A0203D"/>
    <w:rsid w:val="00A02156"/>
    <w:rsid w:val="00A02540"/>
    <w:rsid w:val="00A02607"/>
    <w:rsid w:val="00A02897"/>
    <w:rsid w:val="00A02A53"/>
    <w:rsid w:val="00A02B99"/>
    <w:rsid w:val="00A02F77"/>
    <w:rsid w:val="00A0301C"/>
    <w:rsid w:val="00A031F7"/>
    <w:rsid w:val="00A03990"/>
    <w:rsid w:val="00A03E06"/>
    <w:rsid w:val="00A04448"/>
    <w:rsid w:val="00A04539"/>
    <w:rsid w:val="00A0473D"/>
    <w:rsid w:val="00A04768"/>
    <w:rsid w:val="00A04E7C"/>
    <w:rsid w:val="00A0514B"/>
    <w:rsid w:val="00A0527A"/>
    <w:rsid w:val="00A053E8"/>
    <w:rsid w:val="00A05619"/>
    <w:rsid w:val="00A05668"/>
    <w:rsid w:val="00A059A5"/>
    <w:rsid w:val="00A05A49"/>
    <w:rsid w:val="00A05A78"/>
    <w:rsid w:val="00A05B14"/>
    <w:rsid w:val="00A05CC4"/>
    <w:rsid w:val="00A05D2C"/>
    <w:rsid w:val="00A05F66"/>
    <w:rsid w:val="00A06292"/>
    <w:rsid w:val="00A0648F"/>
    <w:rsid w:val="00A065BD"/>
    <w:rsid w:val="00A06E8C"/>
    <w:rsid w:val="00A07225"/>
    <w:rsid w:val="00A07C24"/>
    <w:rsid w:val="00A07C3E"/>
    <w:rsid w:val="00A07DAD"/>
    <w:rsid w:val="00A07DB0"/>
    <w:rsid w:val="00A1006E"/>
    <w:rsid w:val="00A1028C"/>
    <w:rsid w:val="00A105D1"/>
    <w:rsid w:val="00A1075F"/>
    <w:rsid w:val="00A10861"/>
    <w:rsid w:val="00A10931"/>
    <w:rsid w:val="00A10AEE"/>
    <w:rsid w:val="00A10DED"/>
    <w:rsid w:val="00A10E34"/>
    <w:rsid w:val="00A114CC"/>
    <w:rsid w:val="00A1154F"/>
    <w:rsid w:val="00A115CC"/>
    <w:rsid w:val="00A115F0"/>
    <w:rsid w:val="00A117E0"/>
    <w:rsid w:val="00A11818"/>
    <w:rsid w:val="00A119D0"/>
    <w:rsid w:val="00A11A20"/>
    <w:rsid w:val="00A11FD0"/>
    <w:rsid w:val="00A1223F"/>
    <w:rsid w:val="00A12365"/>
    <w:rsid w:val="00A1246E"/>
    <w:rsid w:val="00A124CB"/>
    <w:rsid w:val="00A127A7"/>
    <w:rsid w:val="00A12C2B"/>
    <w:rsid w:val="00A12C6A"/>
    <w:rsid w:val="00A13084"/>
    <w:rsid w:val="00A130B2"/>
    <w:rsid w:val="00A130BF"/>
    <w:rsid w:val="00A131E1"/>
    <w:rsid w:val="00A13274"/>
    <w:rsid w:val="00A132BD"/>
    <w:rsid w:val="00A132FB"/>
    <w:rsid w:val="00A1344C"/>
    <w:rsid w:val="00A13566"/>
    <w:rsid w:val="00A1357D"/>
    <w:rsid w:val="00A137CA"/>
    <w:rsid w:val="00A139CA"/>
    <w:rsid w:val="00A13CFD"/>
    <w:rsid w:val="00A13E22"/>
    <w:rsid w:val="00A14030"/>
    <w:rsid w:val="00A140C6"/>
    <w:rsid w:val="00A14243"/>
    <w:rsid w:val="00A14524"/>
    <w:rsid w:val="00A14749"/>
    <w:rsid w:val="00A14C1F"/>
    <w:rsid w:val="00A14EFF"/>
    <w:rsid w:val="00A154CB"/>
    <w:rsid w:val="00A1596A"/>
    <w:rsid w:val="00A1598F"/>
    <w:rsid w:val="00A15A6B"/>
    <w:rsid w:val="00A15C01"/>
    <w:rsid w:val="00A1660E"/>
    <w:rsid w:val="00A167C3"/>
    <w:rsid w:val="00A16D3C"/>
    <w:rsid w:val="00A16DA6"/>
    <w:rsid w:val="00A17C8E"/>
    <w:rsid w:val="00A207F3"/>
    <w:rsid w:val="00A209E3"/>
    <w:rsid w:val="00A20A85"/>
    <w:rsid w:val="00A20BC8"/>
    <w:rsid w:val="00A211AA"/>
    <w:rsid w:val="00A212F4"/>
    <w:rsid w:val="00A215F2"/>
    <w:rsid w:val="00A2174E"/>
    <w:rsid w:val="00A218DC"/>
    <w:rsid w:val="00A21998"/>
    <w:rsid w:val="00A21D09"/>
    <w:rsid w:val="00A22102"/>
    <w:rsid w:val="00A2255C"/>
    <w:rsid w:val="00A22B79"/>
    <w:rsid w:val="00A22E87"/>
    <w:rsid w:val="00A22F6C"/>
    <w:rsid w:val="00A230C2"/>
    <w:rsid w:val="00A23242"/>
    <w:rsid w:val="00A232DE"/>
    <w:rsid w:val="00A23558"/>
    <w:rsid w:val="00A23671"/>
    <w:rsid w:val="00A23A46"/>
    <w:rsid w:val="00A23B4E"/>
    <w:rsid w:val="00A23C44"/>
    <w:rsid w:val="00A24093"/>
    <w:rsid w:val="00A241F8"/>
    <w:rsid w:val="00A24426"/>
    <w:rsid w:val="00A24522"/>
    <w:rsid w:val="00A24776"/>
    <w:rsid w:val="00A24785"/>
    <w:rsid w:val="00A247B9"/>
    <w:rsid w:val="00A248FE"/>
    <w:rsid w:val="00A24A8B"/>
    <w:rsid w:val="00A24B0E"/>
    <w:rsid w:val="00A24B10"/>
    <w:rsid w:val="00A24ECA"/>
    <w:rsid w:val="00A250B4"/>
    <w:rsid w:val="00A2549E"/>
    <w:rsid w:val="00A257A2"/>
    <w:rsid w:val="00A259A5"/>
    <w:rsid w:val="00A25F40"/>
    <w:rsid w:val="00A25F80"/>
    <w:rsid w:val="00A26095"/>
    <w:rsid w:val="00A2626C"/>
    <w:rsid w:val="00A26686"/>
    <w:rsid w:val="00A26955"/>
    <w:rsid w:val="00A26E82"/>
    <w:rsid w:val="00A27521"/>
    <w:rsid w:val="00A279D3"/>
    <w:rsid w:val="00A27A54"/>
    <w:rsid w:val="00A27D4B"/>
    <w:rsid w:val="00A27E8F"/>
    <w:rsid w:val="00A27F9D"/>
    <w:rsid w:val="00A30076"/>
    <w:rsid w:val="00A30118"/>
    <w:rsid w:val="00A30365"/>
    <w:rsid w:val="00A303E4"/>
    <w:rsid w:val="00A30634"/>
    <w:rsid w:val="00A3128D"/>
    <w:rsid w:val="00A313B1"/>
    <w:rsid w:val="00A315FE"/>
    <w:rsid w:val="00A31796"/>
    <w:rsid w:val="00A31880"/>
    <w:rsid w:val="00A31B1B"/>
    <w:rsid w:val="00A31BB1"/>
    <w:rsid w:val="00A31D0D"/>
    <w:rsid w:val="00A31D3A"/>
    <w:rsid w:val="00A320BF"/>
    <w:rsid w:val="00A32383"/>
    <w:rsid w:val="00A3273A"/>
    <w:rsid w:val="00A330AD"/>
    <w:rsid w:val="00A33118"/>
    <w:rsid w:val="00A332EC"/>
    <w:rsid w:val="00A33585"/>
    <w:rsid w:val="00A33878"/>
    <w:rsid w:val="00A33AF2"/>
    <w:rsid w:val="00A33C3A"/>
    <w:rsid w:val="00A33E5F"/>
    <w:rsid w:val="00A33EDC"/>
    <w:rsid w:val="00A34144"/>
    <w:rsid w:val="00A34275"/>
    <w:rsid w:val="00A34321"/>
    <w:rsid w:val="00A34453"/>
    <w:rsid w:val="00A34582"/>
    <w:rsid w:val="00A345E3"/>
    <w:rsid w:val="00A34BBC"/>
    <w:rsid w:val="00A34BF4"/>
    <w:rsid w:val="00A34DE7"/>
    <w:rsid w:val="00A3509A"/>
    <w:rsid w:val="00A352D1"/>
    <w:rsid w:val="00A356C2"/>
    <w:rsid w:val="00A358B4"/>
    <w:rsid w:val="00A3590B"/>
    <w:rsid w:val="00A35A07"/>
    <w:rsid w:val="00A35B0E"/>
    <w:rsid w:val="00A35E3D"/>
    <w:rsid w:val="00A360C9"/>
    <w:rsid w:val="00A362B4"/>
    <w:rsid w:val="00A362D5"/>
    <w:rsid w:val="00A36BA2"/>
    <w:rsid w:val="00A36F6E"/>
    <w:rsid w:val="00A370DC"/>
    <w:rsid w:val="00A37391"/>
    <w:rsid w:val="00A37752"/>
    <w:rsid w:val="00A37A25"/>
    <w:rsid w:val="00A37F89"/>
    <w:rsid w:val="00A37FB4"/>
    <w:rsid w:val="00A4003E"/>
    <w:rsid w:val="00A400BE"/>
    <w:rsid w:val="00A403B2"/>
    <w:rsid w:val="00A403D4"/>
    <w:rsid w:val="00A40554"/>
    <w:rsid w:val="00A40920"/>
    <w:rsid w:val="00A40A6F"/>
    <w:rsid w:val="00A40C17"/>
    <w:rsid w:val="00A40DB2"/>
    <w:rsid w:val="00A40FC4"/>
    <w:rsid w:val="00A41111"/>
    <w:rsid w:val="00A4141A"/>
    <w:rsid w:val="00A417B7"/>
    <w:rsid w:val="00A417C1"/>
    <w:rsid w:val="00A41824"/>
    <w:rsid w:val="00A4186E"/>
    <w:rsid w:val="00A41A15"/>
    <w:rsid w:val="00A41DEE"/>
    <w:rsid w:val="00A4261E"/>
    <w:rsid w:val="00A42664"/>
    <w:rsid w:val="00A42935"/>
    <w:rsid w:val="00A42A75"/>
    <w:rsid w:val="00A42B91"/>
    <w:rsid w:val="00A42BC5"/>
    <w:rsid w:val="00A42DF9"/>
    <w:rsid w:val="00A42FFF"/>
    <w:rsid w:val="00A435B1"/>
    <w:rsid w:val="00A43D11"/>
    <w:rsid w:val="00A43F71"/>
    <w:rsid w:val="00A44164"/>
    <w:rsid w:val="00A4440C"/>
    <w:rsid w:val="00A44414"/>
    <w:rsid w:val="00A4448A"/>
    <w:rsid w:val="00A44651"/>
    <w:rsid w:val="00A449C0"/>
    <w:rsid w:val="00A450DE"/>
    <w:rsid w:val="00A452F8"/>
    <w:rsid w:val="00A4540F"/>
    <w:rsid w:val="00A45886"/>
    <w:rsid w:val="00A4591B"/>
    <w:rsid w:val="00A46292"/>
    <w:rsid w:val="00A46668"/>
    <w:rsid w:val="00A46723"/>
    <w:rsid w:val="00A468A7"/>
    <w:rsid w:val="00A468AA"/>
    <w:rsid w:val="00A468C1"/>
    <w:rsid w:val="00A469BA"/>
    <w:rsid w:val="00A46A8D"/>
    <w:rsid w:val="00A46B2C"/>
    <w:rsid w:val="00A46C28"/>
    <w:rsid w:val="00A46ED6"/>
    <w:rsid w:val="00A47144"/>
    <w:rsid w:val="00A47156"/>
    <w:rsid w:val="00A47452"/>
    <w:rsid w:val="00A4756F"/>
    <w:rsid w:val="00A47BE6"/>
    <w:rsid w:val="00A47EE7"/>
    <w:rsid w:val="00A506E6"/>
    <w:rsid w:val="00A50DBD"/>
    <w:rsid w:val="00A50EAD"/>
    <w:rsid w:val="00A50ED1"/>
    <w:rsid w:val="00A51025"/>
    <w:rsid w:val="00A515F1"/>
    <w:rsid w:val="00A52011"/>
    <w:rsid w:val="00A5227F"/>
    <w:rsid w:val="00A522E8"/>
    <w:rsid w:val="00A5253B"/>
    <w:rsid w:val="00A52763"/>
    <w:rsid w:val="00A52A71"/>
    <w:rsid w:val="00A52A84"/>
    <w:rsid w:val="00A52AE9"/>
    <w:rsid w:val="00A52BF3"/>
    <w:rsid w:val="00A52C93"/>
    <w:rsid w:val="00A53162"/>
    <w:rsid w:val="00A53361"/>
    <w:rsid w:val="00A5358E"/>
    <w:rsid w:val="00A536B3"/>
    <w:rsid w:val="00A5371E"/>
    <w:rsid w:val="00A538F8"/>
    <w:rsid w:val="00A5392F"/>
    <w:rsid w:val="00A53A24"/>
    <w:rsid w:val="00A53C0D"/>
    <w:rsid w:val="00A53C17"/>
    <w:rsid w:val="00A53C8A"/>
    <w:rsid w:val="00A53FE7"/>
    <w:rsid w:val="00A540A0"/>
    <w:rsid w:val="00A54304"/>
    <w:rsid w:val="00A543DA"/>
    <w:rsid w:val="00A546AF"/>
    <w:rsid w:val="00A548B7"/>
    <w:rsid w:val="00A54969"/>
    <w:rsid w:val="00A54ABD"/>
    <w:rsid w:val="00A54B87"/>
    <w:rsid w:val="00A54CBA"/>
    <w:rsid w:val="00A54EB6"/>
    <w:rsid w:val="00A54F27"/>
    <w:rsid w:val="00A54F66"/>
    <w:rsid w:val="00A54F99"/>
    <w:rsid w:val="00A550BD"/>
    <w:rsid w:val="00A556B6"/>
    <w:rsid w:val="00A55C4D"/>
    <w:rsid w:val="00A55D30"/>
    <w:rsid w:val="00A55DBC"/>
    <w:rsid w:val="00A568E1"/>
    <w:rsid w:val="00A56E50"/>
    <w:rsid w:val="00A570E1"/>
    <w:rsid w:val="00A5741E"/>
    <w:rsid w:val="00A576FE"/>
    <w:rsid w:val="00A57C1A"/>
    <w:rsid w:val="00A57C26"/>
    <w:rsid w:val="00A57D0D"/>
    <w:rsid w:val="00A57D60"/>
    <w:rsid w:val="00A57E62"/>
    <w:rsid w:val="00A57F62"/>
    <w:rsid w:val="00A60BEF"/>
    <w:rsid w:val="00A6149B"/>
    <w:rsid w:val="00A61523"/>
    <w:rsid w:val="00A61952"/>
    <w:rsid w:val="00A62390"/>
    <w:rsid w:val="00A62428"/>
    <w:rsid w:val="00A62902"/>
    <w:rsid w:val="00A63059"/>
    <w:rsid w:val="00A631BA"/>
    <w:rsid w:val="00A631E1"/>
    <w:rsid w:val="00A636DF"/>
    <w:rsid w:val="00A637C5"/>
    <w:rsid w:val="00A63C3E"/>
    <w:rsid w:val="00A63EAD"/>
    <w:rsid w:val="00A64107"/>
    <w:rsid w:val="00A64464"/>
    <w:rsid w:val="00A64473"/>
    <w:rsid w:val="00A645A0"/>
    <w:rsid w:val="00A64748"/>
    <w:rsid w:val="00A64992"/>
    <w:rsid w:val="00A65133"/>
    <w:rsid w:val="00A652C1"/>
    <w:rsid w:val="00A65699"/>
    <w:rsid w:val="00A65714"/>
    <w:rsid w:val="00A6577C"/>
    <w:rsid w:val="00A65BF2"/>
    <w:rsid w:val="00A6619F"/>
    <w:rsid w:val="00A66244"/>
    <w:rsid w:val="00A6627C"/>
    <w:rsid w:val="00A66780"/>
    <w:rsid w:val="00A668C1"/>
    <w:rsid w:val="00A66AD9"/>
    <w:rsid w:val="00A66C96"/>
    <w:rsid w:val="00A66D21"/>
    <w:rsid w:val="00A66E3E"/>
    <w:rsid w:val="00A67009"/>
    <w:rsid w:val="00A672B9"/>
    <w:rsid w:val="00A678A7"/>
    <w:rsid w:val="00A67936"/>
    <w:rsid w:val="00A67980"/>
    <w:rsid w:val="00A67DF5"/>
    <w:rsid w:val="00A67E2B"/>
    <w:rsid w:val="00A7000C"/>
    <w:rsid w:val="00A70777"/>
    <w:rsid w:val="00A707B2"/>
    <w:rsid w:val="00A70841"/>
    <w:rsid w:val="00A70A83"/>
    <w:rsid w:val="00A70B62"/>
    <w:rsid w:val="00A70B6A"/>
    <w:rsid w:val="00A70B95"/>
    <w:rsid w:val="00A70BBE"/>
    <w:rsid w:val="00A70F9F"/>
    <w:rsid w:val="00A71070"/>
    <w:rsid w:val="00A713EC"/>
    <w:rsid w:val="00A71538"/>
    <w:rsid w:val="00A716F9"/>
    <w:rsid w:val="00A718CC"/>
    <w:rsid w:val="00A71A11"/>
    <w:rsid w:val="00A71BAA"/>
    <w:rsid w:val="00A71CE3"/>
    <w:rsid w:val="00A71EFD"/>
    <w:rsid w:val="00A721EC"/>
    <w:rsid w:val="00A724CC"/>
    <w:rsid w:val="00A724E4"/>
    <w:rsid w:val="00A7271D"/>
    <w:rsid w:val="00A728BB"/>
    <w:rsid w:val="00A728ED"/>
    <w:rsid w:val="00A72A71"/>
    <w:rsid w:val="00A72CE8"/>
    <w:rsid w:val="00A72E16"/>
    <w:rsid w:val="00A72F13"/>
    <w:rsid w:val="00A72FE5"/>
    <w:rsid w:val="00A731A6"/>
    <w:rsid w:val="00A73206"/>
    <w:rsid w:val="00A732A7"/>
    <w:rsid w:val="00A73397"/>
    <w:rsid w:val="00A735E3"/>
    <w:rsid w:val="00A73662"/>
    <w:rsid w:val="00A736A7"/>
    <w:rsid w:val="00A737C4"/>
    <w:rsid w:val="00A738D0"/>
    <w:rsid w:val="00A7394B"/>
    <w:rsid w:val="00A73C5A"/>
    <w:rsid w:val="00A74599"/>
    <w:rsid w:val="00A747D3"/>
    <w:rsid w:val="00A7487B"/>
    <w:rsid w:val="00A74BD3"/>
    <w:rsid w:val="00A75A8C"/>
    <w:rsid w:val="00A75C1B"/>
    <w:rsid w:val="00A75F37"/>
    <w:rsid w:val="00A760A6"/>
    <w:rsid w:val="00A76555"/>
    <w:rsid w:val="00A765E1"/>
    <w:rsid w:val="00A76D2B"/>
    <w:rsid w:val="00A76EB2"/>
    <w:rsid w:val="00A76FFB"/>
    <w:rsid w:val="00A772D5"/>
    <w:rsid w:val="00A7785E"/>
    <w:rsid w:val="00A77C3B"/>
    <w:rsid w:val="00A77C94"/>
    <w:rsid w:val="00A77E0F"/>
    <w:rsid w:val="00A77E76"/>
    <w:rsid w:val="00A8012A"/>
    <w:rsid w:val="00A80190"/>
    <w:rsid w:val="00A80198"/>
    <w:rsid w:val="00A802E2"/>
    <w:rsid w:val="00A803D6"/>
    <w:rsid w:val="00A807B8"/>
    <w:rsid w:val="00A80BC4"/>
    <w:rsid w:val="00A80F31"/>
    <w:rsid w:val="00A81013"/>
    <w:rsid w:val="00A811A7"/>
    <w:rsid w:val="00A81437"/>
    <w:rsid w:val="00A8159F"/>
    <w:rsid w:val="00A815A8"/>
    <w:rsid w:val="00A81872"/>
    <w:rsid w:val="00A81B47"/>
    <w:rsid w:val="00A81D79"/>
    <w:rsid w:val="00A81FAC"/>
    <w:rsid w:val="00A8226E"/>
    <w:rsid w:val="00A82524"/>
    <w:rsid w:val="00A825F5"/>
    <w:rsid w:val="00A828EE"/>
    <w:rsid w:val="00A82BA2"/>
    <w:rsid w:val="00A82CAE"/>
    <w:rsid w:val="00A82D99"/>
    <w:rsid w:val="00A82DD4"/>
    <w:rsid w:val="00A83057"/>
    <w:rsid w:val="00A83119"/>
    <w:rsid w:val="00A832E2"/>
    <w:rsid w:val="00A836E4"/>
    <w:rsid w:val="00A83709"/>
    <w:rsid w:val="00A83728"/>
    <w:rsid w:val="00A83854"/>
    <w:rsid w:val="00A839AC"/>
    <w:rsid w:val="00A83C02"/>
    <w:rsid w:val="00A83DD7"/>
    <w:rsid w:val="00A843C4"/>
    <w:rsid w:val="00A849C9"/>
    <w:rsid w:val="00A85257"/>
    <w:rsid w:val="00A8530A"/>
    <w:rsid w:val="00A853D4"/>
    <w:rsid w:val="00A85460"/>
    <w:rsid w:val="00A854DB"/>
    <w:rsid w:val="00A8554F"/>
    <w:rsid w:val="00A85569"/>
    <w:rsid w:val="00A858A4"/>
    <w:rsid w:val="00A85A36"/>
    <w:rsid w:val="00A85F03"/>
    <w:rsid w:val="00A8612D"/>
    <w:rsid w:val="00A865EC"/>
    <w:rsid w:val="00A86922"/>
    <w:rsid w:val="00A8692D"/>
    <w:rsid w:val="00A86C15"/>
    <w:rsid w:val="00A86C33"/>
    <w:rsid w:val="00A86F78"/>
    <w:rsid w:val="00A86F87"/>
    <w:rsid w:val="00A8721E"/>
    <w:rsid w:val="00A87731"/>
    <w:rsid w:val="00A877B6"/>
    <w:rsid w:val="00A87C67"/>
    <w:rsid w:val="00A903FA"/>
    <w:rsid w:val="00A9051A"/>
    <w:rsid w:val="00A90620"/>
    <w:rsid w:val="00A9070A"/>
    <w:rsid w:val="00A90BC7"/>
    <w:rsid w:val="00A90BD3"/>
    <w:rsid w:val="00A90E26"/>
    <w:rsid w:val="00A90E9B"/>
    <w:rsid w:val="00A9106B"/>
    <w:rsid w:val="00A912D0"/>
    <w:rsid w:val="00A912FA"/>
    <w:rsid w:val="00A913EC"/>
    <w:rsid w:val="00A917BC"/>
    <w:rsid w:val="00A917D5"/>
    <w:rsid w:val="00A91841"/>
    <w:rsid w:val="00A91B3B"/>
    <w:rsid w:val="00A91BE4"/>
    <w:rsid w:val="00A91FC0"/>
    <w:rsid w:val="00A920CC"/>
    <w:rsid w:val="00A92175"/>
    <w:rsid w:val="00A92640"/>
    <w:rsid w:val="00A92645"/>
    <w:rsid w:val="00A92A15"/>
    <w:rsid w:val="00A92B00"/>
    <w:rsid w:val="00A92B2D"/>
    <w:rsid w:val="00A92CA6"/>
    <w:rsid w:val="00A93329"/>
    <w:rsid w:val="00A93379"/>
    <w:rsid w:val="00A938D0"/>
    <w:rsid w:val="00A93B60"/>
    <w:rsid w:val="00A941BF"/>
    <w:rsid w:val="00A945BC"/>
    <w:rsid w:val="00A945C9"/>
    <w:rsid w:val="00A948B8"/>
    <w:rsid w:val="00A94AFF"/>
    <w:rsid w:val="00A94DE7"/>
    <w:rsid w:val="00A94F4D"/>
    <w:rsid w:val="00A951F8"/>
    <w:rsid w:val="00A952E4"/>
    <w:rsid w:val="00A9562C"/>
    <w:rsid w:val="00A95693"/>
    <w:rsid w:val="00A95860"/>
    <w:rsid w:val="00A959B8"/>
    <w:rsid w:val="00A960AF"/>
    <w:rsid w:val="00A962A3"/>
    <w:rsid w:val="00A962C2"/>
    <w:rsid w:val="00A9658B"/>
    <w:rsid w:val="00A96917"/>
    <w:rsid w:val="00A96C06"/>
    <w:rsid w:val="00A96DB9"/>
    <w:rsid w:val="00A973B8"/>
    <w:rsid w:val="00A97440"/>
    <w:rsid w:val="00A9749E"/>
    <w:rsid w:val="00A975A0"/>
    <w:rsid w:val="00A97982"/>
    <w:rsid w:val="00A97BA6"/>
    <w:rsid w:val="00A97D66"/>
    <w:rsid w:val="00A97E5E"/>
    <w:rsid w:val="00A97EE2"/>
    <w:rsid w:val="00A97FBA"/>
    <w:rsid w:val="00AA069F"/>
    <w:rsid w:val="00AA0842"/>
    <w:rsid w:val="00AA0ABA"/>
    <w:rsid w:val="00AA0AD8"/>
    <w:rsid w:val="00AA0B67"/>
    <w:rsid w:val="00AA10FC"/>
    <w:rsid w:val="00AA1391"/>
    <w:rsid w:val="00AA16F1"/>
    <w:rsid w:val="00AA16F6"/>
    <w:rsid w:val="00AA1B32"/>
    <w:rsid w:val="00AA1B9C"/>
    <w:rsid w:val="00AA1C0F"/>
    <w:rsid w:val="00AA1E0A"/>
    <w:rsid w:val="00AA2205"/>
    <w:rsid w:val="00AA29FE"/>
    <w:rsid w:val="00AA2EC7"/>
    <w:rsid w:val="00AA36AC"/>
    <w:rsid w:val="00AA38A5"/>
    <w:rsid w:val="00AA3B8F"/>
    <w:rsid w:val="00AA3BA6"/>
    <w:rsid w:val="00AA3E83"/>
    <w:rsid w:val="00AA4AE5"/>
    <w:rsid w:val="00AA4C4E"/>
    <w:rsid w:val="00AA4D7D"/>
    <w:rsid w:val="00AA4E32"/>
    <w:rsid w:val="00AA5100"/>
    <w:rsid w:val="00AA5215"/>
    <w:rsid w:val="00AA52F0"/>
    <w:rsid w:val="00AA539C"/>
    <w:rsid w:val="00AA549B"/>
    <w:rsid w:val="00AA5526"/>
    <w:rsid w:val="00AA560A"/>
    <w:rsid w:val="00AA606E"/>
    <w:rsid w:val="00AA636E"/>
    <w:rsid w:val="00AA63DC"/>
    <w:rsid w:val="00AA648E"/>
    <w:rsid w:val="00AA652C"/>
    <w:rsid w:val="00AA6AA7"/>
    <w:rsid w:val="00AA6F5A"/>
    <w:rsid w:val="00AA7147"/>
    <w:rsid w:val="00AA7354"/>
    <w:rsid w:val="00AA7521"/>
    <w:rsid w:val="00AA76FC"/>
    <w:rsid w:val="00AA771B"/>
    <w:rsid w:val="00AA7AC2"/>
    <w:rsid w:val="00AA7E92"/>
    <w:rsid w:val="00AB0138"/>
    <w:rsid w:val="00AB0229"/>
    <w:rsid w:val="00AB065D"/>
    <w:rsid w:val="00AB0912"/>
    <w:rsid w:val="00AB0AC5"/>
    <w:rsid w:val="00AB0ECD"/>
    <w:rsid w:val="00AB0EE2"/>
    <w:rsid w:val="00AB15AA"/>
    <w:rsid w:val="00AB16F4"/>
    <w:rsid w:val="00AB1A9E"/>
    <w:rsid w:val="00AB1CF2"/>
    <w:rsid w:val="00AB1E40"/>
    <w:rsid w:val="00AB20E7"/>
    <w:rsid w:val="00AB24FD"/>
    <w:rsid w:val="00AB2697"/>
    <w:rsid w:val="00AB2A12"/>
    <w:rsid w:val="00AB301C"/>
    <w:rsid w:val="00AB3623"/>
    <w:rsid w:val="00AB3703"/>
    <w:rsid w:val="00AB3916"/>
    <w:rsid w:val="00AB3A8F"/>
    <w:rsid w:val="00AB3E91"/>
    <w:rsid w:val="00AB4252"/>
    <w:rsid w:val="00AB4618"/>
    <w:rsid w:val="00AB4805"/>
    <w:rsid w:val="00AB4C24"/>
    <w:rsid w:val="00AB4C84"/>
    <w:rsid w:val="00AB4DD1"/>
    <w:rsid w:val="00AB4E83"/>
    <w:rsid w:val="00AB5540"/>
    <w:rsid w:val="00AB57BA"/>
    <w:rsid w:val="00AB5ADE"/>
    <w:rsid w:val="00AB5D4E"/>
    <w:rsid w:val="00AB5DF8"/>
    <w:rsid w:val="00AB6361"/>
    <w:rsid w:val="00AB6367"/>
    <w:rsid w:val="00AB653A"/>
    <w:rsid w:val="00AB65B8"/>
    <w:rsid w:val="00AB6873"/>
    <w:rsid w:val="00AB6E94"/>
    <w:rsid w:val="00AB6EFC"/>
    <w:rsid w:val="00AB7159"/>
    <w:rsid w:val="00AB72F7"/>
    <w:rsid w:val="00AB7454"/>
    <w:rsid w:val="00AB7A40"/>
    <w:rsid w:val="00AB7B35"/>
    <w:rsid w:val="00AB7C0C"/>
    <w:rsid w:val="00AB7D94"/>
    <w:rsid w:val="00AC05B7"/>
    <w:rsid w:val="00AC07A7"/>
    <w:rsid w:val="00AC0819"/>
    <w:rsid w:val="00AC0840"/>
    <w:rsid w:val="00AC0C71"/>
    <w:rsid w:val="00AC0D0A"/>
    <w:rsid w:val="00AC13AD"/>
    <w:rsid w:val="00AC1B1D"/>
    <w:rsid w:val="00AC1C3C"/>
    <w:rsid w:val="00AC1D27"/>
    <w:rsid w:val="00AC1EB6"/>
    <w:rsid w:val="00AC2479"/>
    <w:rsid w:val="00AC282A"/>
    <w:rsid w:val="00AC2921"/>
    <w:rsid w:val="00AC2BE3"/>
    <w:rsid w:val="00AC2DCD"/>
    <w:rsid w:val="00AC34CB"/>
    <w:rsid w:val="00AC3555"/>
    <w:rsid w:val="00AC36D9"/>
    <w:rsid w:val="00AC39D7"/>
    <w:rsid w:val="00AC3C08"/>
    <w:rsid w:val="00AC3D23"/>
    <w:rsid w:val="00AC4052"/>
    <w:rsid w:val="00AC4053"/>
    <w:rsid w:val="00AC407F"/>
    <w:rsid w:val="00AC437E"/>
    <w:rsid w:val="00AC48FC"/>
    <w:rsid w:val="00AC4C2A"/>
    <w:rsid w:val="00AC4EE0"/>
    <w:rsid w:val="00AC548B"/>
    <w:rsid w:val="00AC54BF"/>
    <w:rsid w:val="00AC54E0"/>
    <w:rsid w:val="00AC5509"/>
    <w:rsid w:val="00AC5928"/>
    <w:rsid w:val="00AC59A4"/>
    <w:rsid w:val="00AC634A"/>
    <w:rsid w:val="00AC68C8"/>
    <w:rsid w:val="00AC73A2"/>
    <w:rsid w:val="00AC75CD"/>
    <w:rsid w:val="00AC7605"/>
    <w:rsid w:val="00AC77BE"/>
    <w:rsid w:val="00AC783D"/>
    <w:rsid w:val="00AC7940"/>
    <w:rsid w:val="00AC798B"/>
    <w:rsid w:val="00AC7CBF"/>
    <w:rsid w:val="00AC7DC4"/>
    <w:rsid w:val="00AC7E9F"/>
    <w:rsid w:val="00AD021C"/>
    <w:rsid w:val="00AD0246"/>
    <w:rsid w:val="00AD026F"/>
    <w:rsid w:val="00AD0401"/>
    <w:rsid w:val="00AD08A0"/>
    <w:rsid w:val="00AD08C7"/>
    <w:rsid w:val="00AD0D1D"/>
    <w:rsid w:val="00AD1038"/>
    <w:rsid w:val="00AD10D3"/>
    <w:rsid w:val="00AD135C"/>
    <w:rsid w:val="00AD169F"/>
    <w:rsid w:val="00AD1E64"/>
    <w:rsid w:val="00AD229B"/>
    <w:rsid w:val="00AD23A0"/>
    <w:rsid w:val="00AD23F9"/>
    <w:rsid w:val="00AD24C8"/>
    <w:rsid w:val="00AD2520"/>
    <w:rsid w:val="00AD2671"/>
    <w:rsid w:val="00AD27ED"/>
    <w:rsid w:val="00AD28E7"/>
    <w:rsid w:val="00AD2C14"/>
    <w:rsid w:val="00AD2F17"/>
    <w:rsid w:val="00AD304A"/>
    <w:rsid w:val="00AD337D"/>
    <w:rsid w:val="00AD39E3"/>
    <w:rsid w:val="00AD3BBE"/>
    <w:rsid w:val="00AD3E15"/>
    <w:rsid w:val="00AD441F"/>
    <w:rsid w:val="00AD4565"/>
    <w:rsid w:val="00AD4583"/>
    <w:rsid w:val="00AD4769"/>
    <w:rsid w:val="00AD47D0"/>
    <w:rsid w:val="00AD4865"/>
    <w:rsid w:val="00AD489E"/>
    <w:rsid w:val="00AD501A"/>
    <w:rsid w:val="00AD5062"/>
    <w:rsid w:val="00AD5174"/>
    <w:rsid w:val="00AD545E"/>
    <w:rsid w:val="00AD5518"/>
    <w:rsid w:val="00AD551F"/>
    <w:rsid w:val="00AD5948"/>
    <w:rsid w:val="00AD6106"/>
    <w:rsid w:val="00AD6C14"/>
    <w:rsid w:val="00AD6C30"/>
    <w:rsid w:val="00AD7036"/>
    <w:rsid w:val="00AD727D"/>
    <w:rsid w:val="00AD73D3"/>
    <w:rsid w:val="00AD73E6"/>
    <w:rsid w:val="00AD7573"/>
    <w:rsid w:val="00AD77E8"/>
    <w:rsid w:val="00AD7A32"/>
    <w:rsid w:val="00AD7B86"/>
    <w:rsid w:val="00AD7C47"/>
    <w:rsid w:val="00AD7D3D"/>
    <w:rsid w:val="00AE037C"/>
    <w:rsid w:val="00AE03C4"/>
    <w:rsid w:val="00AE049E"/>
    <w:rsid w:val="00AE09D0"/>
    <w:rsid w:val="00AE0F09"/>
    <w:rsid w:val="00AE0FE0"/>
    <w:rsid w:val="00AE1152"/>
    <w:rsid w:val="00AE117E"/>
    <w:rsid w:val="00AE138B"/>
    <w:rsid w:val="00AE1397"/>
    <w:rsid w:val="00AE1625"/>
    <w:rsid w:val="00AE16DC"/>
    <w:rsid w:val="00AE1BB9"/>
    <w:rsid w:val="00AE1F40"/>
    <w:rsid w:val="00AE1FC8"/>
    <w:rsid w:val="00AE2314"/>
    <w:rsid w:val="00AE262F"/>
    <w:rsid w:val="00AE2DE7"/>
    <w:rsid w:val="00AE2F85"/>
    <w:rsid w:val="00AE31E1"/>
    <w:rsid w:val="00AE3350"/>
    <w:rsid w:val="00AE372E"/>
    <w:rsid w:val="00AE3ABF"/>
    <w:rsid w:val="00AE3D02"/>
    <w:rsid w:val="00AE4292"/>
    <w:rsid w:val="00AE4720"/>
    <w:rsid w:val="00AE4B58"/>
    <w:rsid w:val="00AE4C9D"/>
    <w:rsid w:val="00AE4DA6"/>
    <w:rsid w:val="00AE4E09"/>
    <w:rsid w:val="00AE5367"/>
    <w:rsid w:val="00AE5914"/>
    <w:rsid w:val="00AE595B"/>
    <w:rsid w:val="00AE5A91"/>
    <w:rsid w:val="00AE5BFD"/>
    <w:rsid w:val="00AE6199"/>
    <w:rsid w:val="00AE6505"/>
    <w:rsid w:val="00AE6866"/>
    <w:rsid w:val="00AE69AF"/>
    <w:rsid w:val="00AE6A1E"/>
    <w:rsid w:val="00AE7332"/>
    <w:rsid w:val="00AE76D9"/>
    <w:rsid w:val="00AE7768"/>
    <w:rsid w:val="00AE7E0B"/>
    <w:rsid w:val="00AE7E3A"/>
    <w:rsid w:val="00AF04BB"/>
    <w:rsid w:val="00AF062D"/>
    <w:rsid w:val="00AF0D53"/>
    <w:rsid w:val="00AF0E7D"/>
    <w:rsid w:val="00AF1374"/>
    <w:rsid w:val="00AF1579"/>
    <w:rsid w:val="00AF189A"/>
    <w:rsid w:val="00AF193C"/>
    <w:rsid w:val="00AF1CD6"/>
    <w:rsid w:val="00AF1D24"/>
    <w:rsid w:val="00AF2251"/>
    <w:rsid w:val="00AF2269"/>
    <w:rsid w:val="00AF2434"/>
    <w:rsid w:val="00AF2597"/>
    <w:rsid w:val="00AF25DC"/>
    <w:rsid w:val="00AF276F"/>
    <w:rsid w:val="00AF2B91"/>
    <w:rsid w:val="00AF301E"/>
    <w:rsid w:val="00AF30C5"/>
    <w:rsid w:val="00AF30DF"/>
    <w:rsid w:val="00AF3303"/>
    <w:rsid w:val="00AF35FA"/>
    <w:rsid w:val="00AF3BB7"/>
    <w:rsid w:val="00AF3C30"/>
    <w:rsid w:val="00AF3E56"/>
    <w:rsid w:val="00AF413E"/>
    <w:rsid w:val="00AF4617"/>
    <w:rsid w:val="00AF4699"/>
    <w:rsid w:val="00AF4720"/>
    <w:rsid w:val="00AF4817"/>
    <w:rsid w:val="00AF49AC"/>
    <w:rsid w:val="00AF4A68"/>
    <w:rsid w:val="00AF4E21"/>
    <w:rsid w:val="00AF529B"/>
    <w:rsid w:val="00AF5650"/>
    <w:rsid w:val="00AF56C7"/>
    <w:rsid w:val="00AF573C"/>
    <w:rsid w:val="00AF57FB"/>
    <w:rsid w:val="00AF581B"/>
    <w:rsid w:val="00AF5DED"/>
    <w:rsid w:val="00AF5E95"/>
    <w:rsid w:val="00AF5F87"/>
    <w:rsid w:val="00AF602F"/>
    <w:rsid w:val="00AF6073"/>
    <w:rsid w:val="00AF634C"/>
    <w:rsid w:val="00AF639F"/>
    <w:rsid w:val="00AF66A4"/>
    <w:rsid w:val="00AF6721"/>
    <w:rsid w:val="00AF6815"/>
    <w:rsid w:val="00AF71CF"/>
    <w:rsid w:val="00AF7BBF"/>
    <w:rsid w:val="00AF7C43"/>
    <w:rsid w:val="00AF7D53"/>
    <w:rsid w:val="00AF7D8F"/>
    <w:rsid w:val="00AF7EFD"/>
    <w:rsid w:val="00B00390"/>
    <w:rsid w:val="00B005E1"/>
    <w:rsid w:val="00B0060E"/>
    <w:rsid w:val="00B0064A"/>
    <w:rsid w:val="00B0070E"/>
    <w:rsid w:val="00B00C00"/>
    <w:rsid w:val="00B01079"/>
    <w:rsid w:val="00B01D17"/>
    <w:rsid w:val="00B01EF7"/>
    <w:rsid w:val="00B02A55"/>
    <w:rsid w:val="00B03230"/>
    <w:rsid w:val="00B035E5"/>
    <w:rsid w:val="00B03913"/>
    <w:rsid w:val="00B03ADD"/>
    <w:rsid w:val="00B03BA8"/>
    <w:rsid w:val="00B0407B"/>
    <w:rsid w:val="00B043E3"/>
    <w:rsid w:val="00B04636"/>
    <w:rsid w:val="00B04765"/>
    <w:rsid w:val="00B04CCB"/>
    <w:rsid w:val="00B04F4E"/>
    <w:rsid w:val="00B050D7"/>
    <w:rsid w:val="00B059B7"/>
    <w:rsid w:val="00B05A54"/>
    <w:rsid w:val="00B0605D"/>
    <w:rsid w:val="00B06060"/>
    <w:rsid w:val="00B06445"/>
    <w:rsid w:val="00B06455"/>
    <w:rsid w:val="00B064FC"/>
    <w:rsid w:val="00B067B4"/>
    <w:rsid w:val="00B0720A"/>
    <w:rsid w:val="00B07732"/>
    <w:rsid w:val="00B079A9"/>
    <w:rsid w:val="00B07A49"/>
    <w:rsid w:val="00B07D58"/>
    <w:rsid w:val="00B07D6C"/>
    <w:rsid w:val="00B07EBB"/>
    <w:rsid w:val="00B10019"/>
    <w:rsid w:val="00B1010A"/>
    <w:rsid w:val="00B10131"/>
    <w:rsid w:val="00B10166"/>
    <w:rsid w:val="00B102DB"/>
    <w:rsid w:val="00B10721"/>
    <w:rsid w:val="00B107B4"/>
    <w:rsid w:val="00B10EB7"/>
    <w:rsid w:val="00B11500"/>
    <w:rsid w:val="00B1150B"/>
    <w:rsid w:val="00B115AD"/>
    <w:rsid w:val="00B116B3"/>
    <w:rsid w:val="00B117AE"/>
    <w:rsid w:val="00B11928"/>
    <w:rsid w:val="00B1197B"/>
    <w:rsid w:val="00B11D81"/>
    <w:rsid w:val="00B11FB6"/>
    <w:rsid w:val="00B12609"/>
    <w:rsid w:val="00B132FB"/>
    <w:rsid w:val="00B13456"/>
    <w:rsid w:val="00B137AD"/>
    <w:rsid w:val="00B13A31"/>
    <w:rsid w:val="00B13A87"/>
    <w:rsid w:val="00B13B36"/>
    <w:rsid w:val="00B14055"/>
    <w:rsid w:val="00B14151"/>
    <w:rsid w:val="00B14227"/>
    <w:rsid w:val="00B1431E"/>
    <w:rsid w:val="00B1436E"/>
    <w:rsid w:val="00B14AC1"/>
    <w:rsid w:val="00B150B3"/>
    <w:rsid w:val="00B150BB"/>
    <w:rsid w:val="00B15486"/>
    <w:rsid w:val="00B15CA7"/>
    <w:rsid w:val="00B16269"/>
    <w:rsid w:val="00B162B8"/>
    <w:rsid w:val="00B168D9"/>
    <w:rsid w:val="00B16ACE"/>
    <w:rsid w:val="00B16BAE"/>
    <w:rsid w:val="00B1723A"/>
    <w:rsid w:val="00B173F8"/>
    <w:rsid w:val="00B174E5"/>
    <w:rsid w:val="00B17630"/>
    <w:rsid w:val="00B17654"/>
    <w:rsid w:val="00B17A0E"/>
    <w:rsid w:val="00B17B82"/>
    <w:rsid w:val="00B17D82"/>
    <w:rsid w:val="00B17F45"/>
    <w:rsid w:val="00B2011C"/>
    <w:rsid w:val="00B20222"/>
    <w:rsid w:val="00B202AC"/>
    <w:rsid w:val="00B203D7"/>
    <w:rsid w:val="00B20415"/>
    <w:rsid w:val="00B2051D"/>
    <w:rsid w:val="00B205D4"/>
    <w:rsid w:val="00B205DA"/>
    <w:rsid w:val="00B20C4E"/>
    <w:rsid w:val="00B20EF1"/>
    <w:rsid w:val="00B20FF4"/>
    <w:rsid w:val="00B21501"/>
    <w:rsid w:val="00B21A1B"/>
    <w:rsid w:val="00B21D91"/>
    <w:rsid w:val="00B21E70"/>
    <w:rsid w:val="00B21F94"/>
    <w:rsid w:val="00B22093"/>
    <w:rsid w:val="00B22130"/>
    <w:rsid w:val="00B22831"/>
    <w:rsid w:val="00B22C06"/>
    <w:rsid w:val="00B22D3B"/>
    <w:rsid w:val="00B232EA"/>
    <w:rsid w:val="00B23330"/>
    <w:rsid w:val="00B234C9"/>
    <w:rsid w:val="00B234ED"/>
    <w:rsid w:val="00B237AB"/>
    <w:rsid w:val="00B2384A"/>
    <w:rsid w:val="00B238F4"/>
    <w:rsid w:val="00B2393F"/>
    <w:rsid w:val="00B23CB4"/>
    <w:rsid w:val="00B240F1"/>
    <w:rsid w:val="00B245AA"/>
    <w:rsid w:val="00B24704"/>
    <w:rsid w:val="00B24AAD"/>
    <w:rsid w:val="00B24E14"/>
    <w:rsid w:val="00B24E4B"/>
    <w:rsid w:val="00B2513D"/>
    <w:rsid w:val="00B2521C"/>
    <w:rsid w:val="00B25793"/>
    <w:rsid w:val="00B2592F"/>
    <w:rsid w:val="00B25960"/>
    <w:rsid w:val="00B25BA7"/>
    <w:rsid w:val="00B25C33"/>
    <w:rsid w:val="00B25E1E"/>
    <w:rsid w:val="00B25E74"/>
    <w:rsid w:val="00B262D7"/>
    <w:rsid w:val="00B26938"/>
    <w:rsid w:val="00B26942"/>
    <w:rsid w:val="00B26959"/>
    <w:rsid w:val="00B26A1C"/>
    <w:rsid w:val="00B26A6B"/>
    <w:rsid w:val="00B26BDB"/>
    <w:rsid w:val="00B277E0"/>
    <w:rsid w:val="00B278C5"/>
    <w:rsid w:val="00B27AC8"/>
    <w:rsid w:val="00B27AFB"/>
    <w:rsid w:val="00B27B56"/>
    <w:rsid w:val="00B27EF6"/>
    <w:rsid w:val="00B302F5"/>
    <w:rsid w:val="00B304FA"/>
    <w:rsid w:val="00B30504"/>
    <w:rsid w:val="00B306E8"/>
    <w:rsid w:val="00B30A13"/>
    <w:rsid w:val="00B30B14"/>
    <w:rsid w:val="00B30C08"/>
    <w:rsid w:val="00B30C85"/>
    <w:rsid w:val="00B30E24"/>
    <w:rsid w:val="00B30E9A"/>
    <w:rsid w:val="00B30F5D"/>
    <w:rsid w:val="00B30F77"/>
    <w:rsid w:val="00B31358"/>
    <w:rsid w:val="00B31A96"/>
    <w:rsid w:val="00B31D3A"/>
    <w:rsid w:val="00B31DDD"/>
    <w:rsid w:val="00B31DF6"/>
    <w:rsid w:val="00B31EEC"/>
    <w:rsid w:val="00B31F76"/>
    <w:rsid w:val="00B3221A"/>
    <w:rsid w:val="00B32A45"/>
    <w:rsid w:val="00B32ADE"/>
    <w:rsid w:val="00B33100"/>
    <w:rsid w:val="00B3311F"/>
    <w:rsid w:val="00B335CB"/>
    <w:rsid w:val="00B336C5"/>
    <w:rsid w:val="00B33787"/>
    <w:rsid w:val="00B33908"/>
    <w:rsid w:val="00B33C95"/>
    <w:rsid w:val="00B342F8"/>
    <w:rsid w:val="00B3465B"/>
    <w:rsid w:val="00B34826"/>
    <w:rsid w:val="00B3485A"/>
    <w:rsid w:val="00B34937"/>
    <w:rsid w:val="00B34995"/>
    <w:rsid w:val="00B34A86"/>
    <w:rsid w:val="00B3503B"/>
    <w:rsid w:val="00B35575"/>
    <w:rsid w:val="00B35712"/>
    <w:rsid w:val="00B357E0"/>
    <w:rsid w:val="00B3585D"/>
    <w:rsid w:val="00B35999"/>
    <w:rsid w:val="00B36BF6"/>
    <w:rsid w:val="00B36C0C"/>
    <w:rsid w:val="00B36C65"/>
    <w:rsid w:val="00B374C1"/>
    <w:rsid w:val="00B376C6"/>
    <w:rsid w:val="00B3776F"/>
    <w:rsid w:val="00B37C5D"/>
    <w:rsid w:val="00B37C95"/>
    <w:rsid w:val="00B37E4D"/>
    <w:rsid w:val="00B37EFF"/>
    <w:rsid w:val="00B40750"/>
    <w:rsid w:val="00B40902"/>
    <w:rsid w:val="00B41949"/>
    <w:rsid w:val="00B41FD0"/>
    <w:rsid w:val="00B42118"/>
    <w:rsid w:val="00B422AB"/>
    <w:rsid w:val="00B428BA"/>
    <w:rsid w:val="00B42A7A"/>
    <w:rsid w:val="00B42C63"/>
    <w:rsid w:val="00B42EA1"/>
    <w:rsid w:val="00B42F57"/>
    <w:rsid w:val="00B4302A"/>
    <w:rsid w:val="00B43223"/>
    <w:rsid w:val="00B4391B"/>
    <w:rsid w:val="00B43C31"/>
    <w:rsid w:val="00B43C7E"/>
    <w:rsid w:val="00B43EED"/>
    <w:rsid w:val="00B44134"/>
    <w:rsid w:val="00B444F5"/>
    <w:rsid w:val="00B4458B"/>
    <w:rsid w:val="00B44801"/>
    <w:rsid w:val="00B44CB0"/>
    <w:rsid w:val="00B44DD0"/>
    <w:rsid w:val="00B450A4"/>
    <w:rsid w:val="00B45438"/>
    <w:rsid w:val="00B456A4"/>
    <w:rsid w:val="00B457CB"/>
    <w:rsid w:val="00B45970"/>
    <w:rsid w:val="00B45B2F"/>
    <w:rsid w:val="00B45D21"/>
    <w:rsid w:val="00B46001"/>
    <w:rsid w:val="00B46294"/>
    <w:rsid w:val="00B4637E"/>
    <w:rsid w:val="00B463E1"/>
    <w:rsid w:val="00B467AF"/>
    <w:rsid w:val="00B467DC"/>
    <w:rsid w:val="00B46830"/>
    <w:rsid w:val="00B4753D"/>
    <w:rsid w:val="00B4771D"/>
    <w:rsid w:val="00B478A2"/>
    <w:rsid w:val="00B478B3"/>
    <w:rsid w:val="00B47B85"/>
    <w:rsid w:val="00B5004F"/>
    <w:rsid w:val="00B50466"/>
    <w:rsid w:val="00B50545"/>
    <w:rsid w:val="00B50EB9"/>
    <w:rsid w:val="00B510D1"/>
    <w:rsid w:val="00B5154E"/>
    <w:rsid w:val="00B51858"/>
    <w:rsid w:val="00B51F04"/>
    <w:rsid w:val="00B520FE"/>
    <w:rsid w:val="00B521C6"/>
    <w:rsid w:val="00B522AE"/>
    <w:rsid w:val="00B52718"/>
    <w:rsid w:val="00B52A0C"/>
    <w:rsid w:val="00B52B9F"/>
    <w:rsid w:val="00B52DF2"/>
    <w:rsid w:val="00B52EC4"/>
    <w:rsid w:val="00B52FB9"/>
    <w:rsid w:val="00B53322"/>
    <w:rsid w:val="00B533AF"/>
    <w:rsid w:val="00B534F9"/>
    <w:rsid w:val="00B53534"/>
    <w:rsid w:val="00B536DA"/>
    <w:rsid w:val="00B537D2"/>
    <w:rsid w:val="00B53D75"/>
    <w:rsid w:val="00B53DEA"/>
    <w:rsid w:val="00B53F9E"/>
    <w:rsid w:val="00B541FD"/>
    <w:rsid w:val="00B544D3"/>
    <w:rsid w:val="00B54A79"/>
    <w:rsid w:val="00B54ADA"/>
    <w:rsid w:val="00B54D0F"/>
    <w:rsid w:val="00B54EBC"/>
    <w:rsid w:val="00B55195"/>
    <w:rsid w:val="00B5556E"/>
    <w:rsid w:val="00B555BF"/>
    <w:rsid w:val="00B55D94"/>
    <w:rsid w:val="00B55ECB"/>
    <w:rsid w:val="00B55EE9"/>
    <w:rsid w:val="00B563F2"/>
    <w:rsid w:val="00B564E8"/>
    <w:rsid w:val="00B5696C"/>
    <w:rsid w:val="00B56A7A"/>
    <w:rsid w:val="00B56FE7"/>
    <w:rsid w:val="00B57A92"/>
    <w:rsid w:val="00B57C31"/>
    <w:rsid w:val="00B57E0B"/>
    <w:rsid w:val="00B60200"/>
    <w:rsid w:val="00B60593"/>
    <w:rsid w:val="00B608C6"/>
    <w:rsid w:val="00B60B64"/>
    <w:rsid w:val="00B60B9B"/>
    <w:rsid w:val="00B60BB5"/>
    <w:rsid w:val="00B60BF6"/>
    <w:rsid w:val="00B60D66"/>
    <w:rsid w:val="00B60E6F"/>
    <w:rsid w:val="00B60EAE"/>
    <w:rsid w:val="00B60F22"/>
    <w:rsid w:val="00B60F40"/>
    <w:rsid w:val="00B614A5"/>
    <w:rsid w:val="00B6153F"/>
    <w:rsid w:val="00B619CF"/>
    <w:rsid w:val="00B61DA7"/>
    <w:rsid w:val="00B61E43"/>
    <w:rsid w:val="00B62039"/>
    <w:rsid w:val="00B62064"/>
    <w:rsid w:val="00B62668"/>
    <w:rsid w:val="00B62810"/>
    <w:rsid w:val="00B628F2"/>
    <w:rsid w:val="00B62AAD"/>
    <w:rsid w:val="00B62B9B"/>
    <w:rsid w:val="00B62C50"/>
    <w:rsid w:val="00B62CEA"/>
    <w:rsid w:val="00B62EC8"/>
    <w:rsid w:val="00B62EF1"/>
    <w:rsid w:val="00B63124"/>
    <w:rsid w:val="00B632AB"/>
    <w:rsid w:val="00B6343B"/>
    <w:rsid w:val="00B6361F"/>
    <w:rsid w:val="00B63815"/>
    <w:rsid w:val="00B63835"/>
    <w:rsid w:val="00B640B5"/>
    <w:rsid w:val="00B647E4"/>
    <w:rsid w:val="00B6513F"/>
    <w:rsid w:val="00B6532F"/>
    <w:rsid w:val="00B65382"/>
    <w:rsid w:val="00B654D7"/>
    <w:rsid w:val="00B657D0"/>
    <w:rsid w:val="00B65A19"/>
    <w:rsid w:val="00B65BBF"/>
    <w:rsid w:val="00B65D93"/>
    <w:rsid w:val="00B65DCD"/>
    <w:rsid w:val="00B65DF9"/>
    <w:rsid w:val="00B66459"/>
    <w:rsid w:val="00B66555"/>
    <w:rsid w:val="00B66729"/>
    <w:rsid w:val="00B66B3A"/>
    <w:rsid w:val="00B66B78"/>
    <w:rsid w:val="00B66D39"/>
    <w:rsid w:val="00B66F5B"/>
    <w:rsid w:val="00B671F8"/>
    <w:rsid w:val="00B67544"/>
    <w:rsid w:val="00B6792F"/>
    <w:rsid w:val="00B67A35"/>
    <w:rsid w:val="00B7006D"/>
    <w:rsid w:val="00B7045B"/>
    <w:rsid w:val="00B70A79"/>
    <w:rsid w:val="00B70C13"/>
    <w:rsid w:val="00B70D2B"/>
    <w:rsid w:val="00B70D97"/>
    <w:rsid w:val="00B7118A"/>
    <w:rsid w:val="00B71346"/>
    <w:rsid w:val="00B71433"/>
    <w:rsid w:val="00B717C1"/>
    <w:rsid w:val="00B71B26"/>
    <w:rsid w:val="00B71C68"/>
    <w:rsid w:val="00B71D66"/>
    <w:rsid w:val="00B7212E"/>
    <w:rsid w:val="00B721CC"/>
    <w:rsid w:val="00B72301"/>
    <w:rsid w:val="00B725E5"/>
    <w:rsid w:val="00B7285C"/>
    <w:rsid w:val="00B72939"/>
    <w:rsid w:val="00B729AA"/>
    <w:rsid w:val="00B729D3"/>
    <w:rsid w:val="00B72B94"/>
    <w:rsid w:val="00B72BDF"/>
    <w:rsid w:val="00B72C45"/>
    <w:rsid w:val="00B72CC7"/>
    <w:rsid w:val="00B72E98"/>
    <w:rsid w:val="00B730B0"/>
    <w:rsid w:val="00B730BE"/>
    <w:rsid w:val="00B7319F"/>
    <w:rsid w:val="00B738F2"/>
    <w:rsid w:val="00B73A19"/>
    <w:rsid w:val="00B73E43"/>
    <w:rsid w:val="00B742CC"/>
    <w:rsid w:val="00B746B5"/>
    <w:rsid w:val="00B746CB"/>
    <w:rsid w:val="00B74A76"/>
    <w:rsid w:val="00B74AC4"/>
    <w:rsid w:val="00B74AD9"/>
    <w:rsid w:val="00B74E5A"/>
    <w:rsid w:val="00B75221"/>
    <w:rsid w:val="00B75455"/>
    <w:rsid w:val="00B754B7"/>
    <w:rsid w:val="00B755ED"/>
    <w:rsid w:val="00B75620"/>
    <w:rsid w:val="00B757AA"/>
    <w:rsid w:val="00B75A83"/>
    <w:rsid w:val="00B75C14"/>
    <w:rsid w:val="00B75D19"/>
    <w:rsid w:val="00B75ECE"/>
    <w:rsid w:val="00B7618A"/>
    <w:rsid w:val="00B76436"/>
    <w:rsid w:val="00B76439"/>
    <w:rsid w:val="00B76762"/>
    <w:rsid w:val="00B76937"/>
    <w:rsid w:val="00B76B61"/>
    <w:rsid w:val="00B770DC"/>
    <w:rsid w:val="00B77628"/>
    <w:rsid w:val="00B777BF"/>
    <w:rsid w:val="00B77957"/>
    <w:rsid w:val="00B8027F"/>
    <w:rsid w:val="00B8090F"/>
    <w:rsid w:val="00B80BAF"/>
    <w:rsid w:val="00B80D1D"/>
    <w:rsid w:val="00B80DA0"/>
    <w:rsid w:val="00B80F03"/>
    <w:rsid w:val="00B80FE6"/>
    <w:rsid w:val="00B81000"/>
    <w:rsid w:val="00B81305"/>
    <w:rsid w:val="00B814D7"/>
    <w:rsid w:val="00B816F5"/>
    <w:rsid w:val="00B8182C"/>
    <w:rsid w:val="00B8192D"/>
    <w:rsid w:val="00B81C1F"/>
    <w:rsid w:val="00B8219A"/>
    <w:rsid w:val="00B82317"/>
    <w:rsid w:val="00B828FB"/>
    <w:rsid w:val="00B82D31"/>
    <w:rsid w:val="00B82EF7"/>
    <w:rsid w:val="00B82F36"/>
    <w:rsid w:val="00B8398B"/>
    <w:rsid w:val="00B83999"/>
    <w:rsid w:val="00B83DB7"/>
    <w:rsid w:val="00B83F5E"/>
    <w:rsid w:val="00B84810"/>
    <w:rsid w:val="00B84AA2"/>
    <w:rsid w:val="00B84AE0"/>
    <w:rsid w:val="00B84C48"/>
    <w:rsid w:val="00B85067"/>
    <w:rsid w:val="00B8510C"/>
    <w:rsid w:val="00B85157"/>
    <w:rsid w:val="00B85A8F"/>
    <w:rsid w:val="00B85AA5"/>
    <w:rsid w:val="00B85F2D"/>
    <w:rsid w:val="00B8634E"/>
    <w:rsid w:val="00B86350"/>
    <w:rsid w:val="00B86CED"/>
    <w:rsid w:val="00B86DC2"/>
    <w:rsid w:val="00B86E22"/>
    <w:rsid w:val="00B87088"/>
    <w:rsid w:val="00B870FA"/>
    <w:rsid w:val="00B875CF"/>
    <w:rsid w:val="00B87C54"/>
    <w:rsid w:val="00B87F81"/>
    <w:rsid w:val="00B901B5"/>
    <w:rsid w:val="00B9052B"/>
    <w:rsid w:val="00B90B94"/>
    <w:rsid w:val="00B90C21"/>
    <w:rsid w:val="00B90D1F"/>
    <w:rsid w:val="00B91589"/>
    <w:rsid w:val="00B91979"/>
    <w:rsid w:val="00B91CEC"/>
    <w:rsid w:val="00B91D61"/>
    <w:rsid w:val="00B91F4A"/>
    <w:rsid w:val="00B92021"/>
    <w:rsid w:val="00B92219"/>
    <w:rsid w:val="00B9257D"/>
    <w:rsid w:val="00B927E2"/>
    <w:rsid w:val="00B92CC3"/>
    <w:rsid w:val="00B92DD7"/>
    <w:rsid w:val="00B92ED4"/>
    <w:rsid w:val="00B92FDC"/>
    <w:rsid w:val="00B936C7"/>
    <w:rsid w:val="00B9375C"/>
    <w:rsid w:val="00B93A3E"/>
    <w:rsid w:val="00B93E68"/>
    <w:rsid w:val="00B942C9"/>
    <w:rsid w:val="00B944A1"/>
    <w:rsid w:val="00B9462D"/>
    <w:rsid w:val="00B94A59"/>
    <w:rsid w:val="00B94BAE"/>
    <w:rsid w:val="00B94DAA"/>
    <w:rsid w:val="00B9505E"/>
    <w:rsid w:val="00B95162"/>
    <w:rsid w:val="00B955F5"/>
    <w:rsid w:val="00B95AD8"/>
    <w:rsid w:val="00B95C81"/>
    <w:rsid w:val="00B95D32"/>
    <w:rsid w:val="00B95EAD"/>
    <w:rsid w:val="00B95FBB"/>
    <w:rsid w:val="00B96039"/>
    <w:rsid w:val="00B9620A"/>
    <w:rsid w:val="00B96436"/>
    <w:rsid w:val="00B96577"/>
    <w:rsid w:val="00B9663B"/>
    <w:rsid w:val="00B96A2F"/>
    <w:rsid w:val="00B96A87"/>
    <w:rsid w:val="00B9719A"/>
    <w:rsid w:val="00B9729A"/>
    <w:rsid w:val="00B97318"/>
    <w:rsid w:val="00B974BD"/>
    <w:rsid w:val="00B97995"/>
    <w:rsid w:val="00B97CBE"/>
    <w:rsid w:val="00B97D1E"/>
    <w:rsid w:val="00B97DFF"/>
    <w:rsid w:val="00B97F9B"/>
    <w:rsid w:val="00BA0239"/>
    <w:rsid w:val="00BA067D"/>
    <w:rsid w:val="00BA0D1E"/>
    <w:rsid w:val="00BA12D8"/>
    <w:rsid w:val="00BA137F"/>
    <w:rsid w:val="00BA13C2"/>
    <w:rsid w:val="00BA1436"/>
    <w:rsid w:val="00BA1547"/>
    <w:rsid w:val="00BA1603"/>
    <w:rsid w:val="00BA1808"/>
    <w:rsid w:val="00BA18C8"/>
    <w:rsid w:val="00BA1AC8"/>
    <w:rsid w:val="00BA1E21"/>
    <w:rsid w:val="00BA1E3E"/>
    <w:rsid w:val="00BA1F28"/>
    <w:rsid w:val="00BA2101"/>
    <w:rsid w:val="00BA231C"/>
    <w:rsid w:val="00BA2A5B"/>
    <w:rsid w:val="00BA3006"/>
    <w:rsid w:val="00BA318B"/>
    <w:rsid w:val="00BA3396"/>
    <w:rsid w:val="00BA3662"/>
    <w:rsid w:val="00BA367D"/>
    <w:rsid w:val="00BA3B57"/>
    <w:rsid w:val="00BA3D24"/>
    <w:rsid w:val="00BA3E91"/>
    <w:rsid w:val="00BA4072"/>
    <w:rsid w:val="00BA48AA"/>
    <w:rsid w:val="00BA4A19"/>
    <w:rsid w:val="00BA4BB0"/>
    <w:rsid w:val="00BA501D"/>
    <w:rsid w:val="00BA5264"/>
    <w:rsid w:val="00BA59D5"/>
    <w:rsid w:val="00BA5E8B"/>
    <w:rsid w:val="00BA6170"/>
    <w:rsid w:val="00BA6240"/>
    <w:rsid w:val="00BA641E"/>
    <w:rsid w:val="00BA6983"/>
    <w:rsid w:val="00BA6A74"/>
    <w:rsid w:val="00BA6BD5"/>
    <w:rsid w:val="00BA6F96"/>
    <w:rsid w:val="00BA70B6"/>
    <w:rsid w:val="00BA70FC"/>
    <w:rsid w:val="00BA72D7"/>
    <w:rsid w:val="00BA78AB"/>
    <w:rsid w:val="00BA790F"/>
    <w:rsid w:val="00BA7923"/>
    <w:rsid w:val="00BA7EF0"/>
    <w:rsid w:val="00BA7F07"/>
    <w:rsid w:val="00BA7F47"/>
    <w:rsid w:val="00BB0181"/>
    <w:rsid w:val="00BB068B"/>
    <w:rsid w:val="00BB0B23"/>
    <w:rsid w:val="00BB0C05"/>
    <w:rsid w:val="00BB0CDC"/>
    <w:rsid w:val="00BB0F8B"/>
    <w:rsid w:val="00BB0FD1"/>
    <w:rsid w:val="00BB10E1"/>
    <w:rsid w:val="00BB11D4"/>
    <w:rsid w:val="00BB1780"/>
    <w:rsid w:val="00BB1829"/>
    <w:rsid w:val="00BB1D5A"/>
    <w:rsid w:val="00BB1D81"/>
    <w:rsid w:val="00BB1F3A"/>
    <w:rsid w:val="00BB222F"/>
    <w:rsid w:val="00BB2320"/>
    <w:rsid w:val="00BB2360"/>
    <w:rsid w:val="00BB259B"/>
    <w:rsid w:val="00BB2754"/>
    <w:rsid w:val="00BB284A"/>
    <w:rsid w:val="00BB2917"/>
    <w:rsid w:val="00BB2B95"/>
    <w:rsid w:val="00BB3077"/>
    <w:rsid w:val="00BB310C"/>
    <w:rsid w:val="00BB3266"/>
    <w:rsid w:val="00BB33AC"/>
    <w:rsid w:val="00BB381F"/>
    <w:rsid w:val="00BB3ED1"/>
    <w:rsid w:val="00BB3EF5"/>
    <w:rsid w:val="00BB3FBF"/>
    <w:rsid w:val="00BB408D"/>
    <w:rsid w:val="00BB43F4"/>
    <w:rsid w:val="00BB467C"/>
    <w:rsid w:val="00BB4A0F"/>
    <w:rsid w:val="00BB504D"/>
    <w:rsid w:val="00BB522F"/>
    <w:rsid w:val="00BB54ED"/>
    <w:rsid w:val="00BB576D"/>
    <w:rsid w:val="00BB5950"/>
    <w:rsid w:val="00BB5CDD"/>
    <w:rsid w:val="00BB5DDA"/>
    <w:rsid w:val="00BB5E95"/>
    <w:rsid w:val="00BB5FCE"/>
    <w:rsid w:val="00BB614D"/>
    <w:rsid w:val="00BB64AD"/>
    <w:rsid w:val="00BB65E9"/>
    <w:rsid w:val="00BB681F"/>
    <w:rsid w:val="00BB6EFE"/>
    <w:rsid w:val="00BB7401"/>
    <w:rsid w:val="00BB7575"/>
    <w:rsid w:val="00BB7694"/>
    <w:rsid w:val="00BB7764"/>
    <w:rsid w:val="00BB78D1"/>
    <w:rsid w:val="00BB797E"/>
    <w:rsid w:val="00BB7DF3"/>
    <w:rsid w:val="00BC00C1"/>
    <w:rsid w:val="00BC0108"/>
    <w:rsid w:val="00BC0BD9"/>
    <w:rsid w:val="00BC0F70"/>
    <w:rsid w:val="00BC10C2"/>
    <w:rsid w:val="00BC12BA"/>
    <w:rsid w:val="00BC142C"/>
    <w:rsid w:val="00BC14E7"/>
    <w:rsid w:val="00BC155D"/>
    <w:rsid w:val="00BC17F4"/>
    <w:rsid w:val="00BC1820"/>
    <w:rsid w:val="00BC1E1C"/>
    <w:rsid w:val="00BC1FE9"/>
    <w:rsid w:val="00BC29C7"/>
    <w:rsid w:val="00BC2A8C"/>
    <w:rsid w:val="00BC31D7"/>
    <w:rsid w:val="00BC32D9"/>
    <w:rsid w:val="00BC39F9"/>
    <w:rsid w:val="00BC3D34"/>
    <w:rsid w:val="00BC3FDD"/>
    <w:rsid w:val="00BC4129"/>
    <w:rsid w:val="00BC4239"/>
    <w:rsid w:val="00BC43F1"/>
    <w:rsid w:val="00BC4470"/>
    <w:rsid w:val="00BC4506"/>
    <w:rsid w:val="00BC47A7"/>
    <w:rsid w:val="00BC4EBE"/>
    <w:rsid w:val="00BC4FCF"/>
    <w:rsid w:val="00BC531A"/>
    <w:rsid w:val="00BC5903"/>
    <w:rsid w:val="00BC5A19"/>
    <w:rsid w:val="00BC5B6D"/>
    <w:rsid w:val="00BC5E57"/>
    <w:rsid w:val="00BC5F0E"/>
    <w:rsid w:val="00BC614A"/>
    <w:rsid w:val="00BC6390"/>
    <w:rsid w:val="00BC6BEC"/>
    <w:rsid w:val="00BC6EE9"/>
    <w:rsid w:val="00BC6F66"/>
    <w:rsid w:val="00BC6FA4"/>
    <w:rsid w:val="00BC71EC"/>
    <w:rsid w:val="00BC73DA"/>
    <w:rsid w:val="00BC78C4"/>
    <w:rsid w:val="00BD00E4"/>
    <w:rsid w:val="00BD0170"/>
    <w:rsid w:val="00BD0235"/>
    <w:rsid w:val="00BD023C"/>
    <w:rsid w:val="00BD02B8"/>
    <w:rsid w:val="00BD02DF"/>
    <w:rsid w:val="00BD03F1"/>
    <w:rsid w:val="00BD078A"/>
    <w:rsid w:val="00BD08CA"/>
    <w:rsid w:val="00BD0960"/>
    <w:rsid w:val="00BD0C17"/>
    <w:rsid w:val="00BD1241"/>
    <w:rsid w:val="00BD12FF"/>
    <w:rsid w:val="00BD14D6"/>
    <w:rsid w:val="00BD1972"/>
    <w:rsid w:val="00BD1CF0"/>
    <w:rsid w:val="00BD1D0A"/>
    <w:rsid w:val="00BD1E1A"/>
    <w:rsid w:val="00BD1E5E"/>
    <w:rsid w:val="00BD219C"/>
    <w:rsid w:val="00BD223C"/>
    <w:rsid w:val="00BD23E1"/>
    <w:rsid w:val="00BD25C4"/>
    <w:rsid w:val="00BD2847"/>
    <w:rsid w:val="00BD2B76"/>
    <w:rsid w:val="00BD2DCD"/>
    <w:rsid w:val="00BD2E49"/>
    <w:rsid w:val="00BD2F3F"/>
    <w:rsid w:val="00BD2F42"/>
    <w:rsid w:val="00BD2FCC"/>
    <w:rsid w:val="00BD309B"/>
    <w:rsid w:val="00BD316A"/>
    <w:rsid w:val="00BD34AD"/>
    <w:rsid w:val="00BD3882"/>
    <w:rsid w:val="00BD38C5"/>
    <w:rsid w:val="00BD3AB4"/>
    <w:rsid w:val="00BD3D84"/>
    <w:rsid w:val="00BD402F"/>
    <w:rsid w:val="00BD4524"/>
    <w:rsid w:val="00BD46A1"/>
    <w:rsid w:val="00BD48EB"/>
    <w:rsid w:val="00BD4A1A"/>
    <w:rsid w:val="00BD4A75"/>
    <w:rsid w:val="00BD4A84"/>
    <w:rsid w:val="00BD4F08"/>
    <w:rsid w:val="00BD4FB8"/>
    <w:rsid w:val="00BD4FEF"/>
    <w:rsid w:val="00BD5141"/>
    <w:rsid w:val="00BD51BD"/>
    <w:rsid w:val="00BD5414"/>
    <w:rsid w:val="00BD5606"/>
    <w:rsid w:val="00BD577E"/>
    <w:rsid w:val="00BD5A8A"/>
    <w:rsid w:val="00BD5E23"/>
    <w:rsid w:val="00BD665B"/>
    <w:rsid w:val="00BD66C8"/>
    <w:rsid w:val="00BD6714"/>
    <w:rsid w:val="00BD681C"/>
    <w:rsid w:val="00BD6B60"/>
    <w:rsid w:val="00BD6C91"/>
    <w:rsid w:val="00BD6CF2"/>
    <w:rsid w:val="00BD714B"/>
    <w:rsid w:val="00BD7216"/>
    <w:rsid w:val="00BD7551"/>
    <w:rsid w:val="00BD75A8"/>
    <w:rsid w:val="00BD783E"/>
    <w:rsid w:val="00BD7C4E"/>
    <w:rsid w:val="00BD7DEC"/>
    <w:rsid w:val="00BD7E1C"/>
    <w:rsid w:val="00BD7FB0"/>
    <w:rsid w:val="00BE00D5"/>
    <w:rsid w:val="00BE0162"/>
    <w:rsid w:val="00BE053C"/>
    <w:rsid w:val="00BE059C"/>
    <w:rsid w:val="00BE07B1"/>
    <w:rsid w:val="00BE096D"/>
    <w:rsid w:val="00BE09FD"/>
    <w:rsid w:val="00BE0ABB"/>
    <w:rsid w:val="00BE0D90"/>
    <w:rsid w:val="00BE0DA3"/>
    <w:rsid w:val="00BE0DE5"/>
    <w:rsid w:val="00BE0EA1"/>
    <w:rsid w:val="00BE0F70"/>
    <w:rsid w:val="00BE1410"/>
    <w:rsid w:val="00BE1A2D"/>
    <w:rsid w:val="00BE1A3C"/>
    <w:rsid w:val="00BE1C38"/>
    <w:rsid w:val="00BE1C50"/>
    <w:rsid w:val="00BE2133"/>
    <w:rsid w:val="00BE21CE"/>
    <w:rsid w:val="00BE22D3"/>
    <w:rsid w:val="00BE23D9"/>
    <w:rsid w:val="00BE2E4C"/>
    <w:rsid w:val="00BE3129"/>
    <w:rsid w:val="00BE31C7"/>
    <w:rsid w:val="00BE32A6"/>
    <w:rsid w:val="00BE3911"/>
    <w:rsid w:val="00BE3DAA"/>
    <w:rsid w:val="00BE44D1"/>
    <w:rsid w:val="00BE4557"/>
    <w:rsid w:val="00BE4675"/>
    <w:rsid w:val="00BE48C6"/>
    <w:rsid w:val="00BE48CF"/>
    <w:rsid w:val="00BE4F6B"/>
    <w:rsid w:val="00BE545B"/>
    <w:rsid w:val="00BE5514"/>
    <w:rsid w:val="00BE5B9A"/>
    <w:rsid w:val="00BE5C30"/>
    <w:rsid w:val="00BE5D8D"/>
    <w:rsid w:val="00BE5E45"/>
    <w:rsid w:val="00BE60CE"/>
    <w:rsid w:val="00BE61B3"/>
    <w:rsid w:val="00BE691A"/>
    <w:rsid w:val="00BE69E1"/>
    <w:rsid w:val="00BE6B26"/>
    <w:rsid w:val="00BE6B43"/>
    <w:rsid w:val="00BE6B8A"/>
    <w:rsid w:val="00BE6E7B"/>
    <w:rsid w:val="00BE734C"/>
    <w:rsid w:val="00BE75B4"/>
    <w:rsid w:val="00BE783C"/>
    <w:rsid w:val="00BE78F2"/>
    <w:rsid w:val="00BE7A20"/>
    <w:rsid w:val="00BE7E0D"/>
    <w:rsid w:val="00BF0ACF"/>
    <w:rsid w:val="00BF0E7C"/>
    <w:rsid w:val="00BF1410"/>
    <w:rsid w:val="00BF1992"/>
    <w:rsid w:val="00BF19C8"/>
    <w:rsid w:val="00BF1B21"/>
    <w:rsid w:val="00BF1BD9"/>
    <w:rsid w:val="00BF1EE5"/>
    <w:rsid w:val="00BF21B0"/>
    <w:rsid w:val="00BF2368"/>
    <w:rsid w:val="00BF2543"/>
    <w:rsid w:val="00BF2B4E"/>
    <w:rsid w:val="00BF325D"/>
    <w:rsid w:val="00BF35C7"/>
    <w:rsid w:val="00BF3887"/>
    <w:rsid w:val="00BF3B3E"/>
    <w:rsid w:val="00BF3C31"/>
    <w:rsid w:val="00BF41FB"/>
    <w:rsid w:val="00BF4523"/>
    <w:rsid w:val="00BF4627"/>
    <w:rsid w:val="00BF4912"/>
    <w:rsid w:val="00BF49A6"/>
    <w:rsid w:val="00BF4A40"/>
    <w:rsid w:val="00BF4A8A"/>
    <w:rsid w:val="00BF4E89"/>
    <w:rsid w:val="00BF50DB"/>
    <w:rsid w:val="00BF53D2"/>
    <w:rsid w:val="00BF5747"/>
    <w:rsid w:val="00BF5BC1"/>
    <w:rsid w:val="00BF5E1E"/>
    <w:rsid w:val="00BF6098"/>
    <w:rsid w:val="00BF618D"/>
    <w:rsid w:val="00BF649D"/>
    <w:rsid w:val="00BF652A"/>
    <w:rsid w:val="00BF6561"/>
    <w:rsid w:val="00BF6726"/>
    <w:rsid w:val="00BF6A84"/>
    <w:rsid w:val="00BF6AB4"/>
    <w:rsid w:val="00BF6B00"/>
    <w:rsid w:val="00BF7100"/>
    <w:rsid w:val="00BF7510"/>
    <w:rsid w:val="00BF75D5"/>
    <w:rsid w:val="00BF7877"/>
    <w:rsid w:val="00BF7A1D"/>
    <w:rsid w:val="00BF7B19"/>
    <w:rsid w:val="00BF7F20"/>
    <w:rsid w:val="00C000F5"/>
    <w:rsid w:val="00C000FF"/>
    <w:rsid w:val="00C00143"/>
    <w:rsid w:val="00C00184"/>
    <w:rsid w:val="00C001E4"/>
    <w:rsid w:val="00C00270"/>
    <w:rsid w:val="00C00836"/>
    <w:rsid w:val="00C00869"/>
    <w:rsid w:val="00C00B14"/>
    <w:rsid w:val="00C00F4F"/>
    <w:rsid w:val="00C00FF3"/>
    <w:rsid w:val="00C018CF"/>
    <w:rsid w:val="00C01913"/>
    <w:rsid w:val="00C01CFA"/>
    <w:rsid w:val="00C0260F"/>
    <w:rsid w:val="00C027A8"/>
    <w:rsid w:val="00C02B0B"/>
    <w:rsid w:val="00C02D4A"/>
    <w:rsid w:val="00C02EB9"/>
    <w:rsid w:val="00C03259"/>
    <w:rsid w:val="00C036A1"/>
    <w:rsid w:val="00C037C7"/>
    <w:rsid w:val="00C039CC"/>
    <w:rsid w:val="00C03A68"/>
    <w:rsid w:val="00C03EF1"/>
    <w:rsid w:val="00C041F1"/>
    <w:rsid w:val="00C0476F"/>
    <w:rsid w:val="00C049C3"/>
    <w:rsid w:val="00C04FC1"/>
    <w:rsid w:val="00C04FF8"/>
    <w:rsid w:val="00C0515A"/>
    <w:rsid w:val="00C0517C"/>
    <w:rsid w:val="00C05399"/>
    <w:rsid w:val="00C058C4"/>
    <w:rsid w:val="00C05B4D"/>
    <w:rsid w:val="00C0608E"/>
    <w:rsid w:val="00C062A4"/>
    <w:rsid w:val="00C06743"/>
    <w:rsid w:val="00C0691C"/>
    <w:rsid w:val="00C06A9C"/>
    <w:rsid w:val="00C06B9D"/>
    <w:rsid w:val="00C07122"/>
    <w:rsid w:val="00C072E5"/>
    <w:rsid w:val="00C07652"/>
    <w:rsid w:val="00C076C7"/>
    <w:rsid w:val="00C078DF"/>
    <w:rsid w:val="00C07A1A"/>
    <w:rsid w:val="00C10210"/>
    <w:rsid w:val="00C10320"/>
    <w:rsid w:val="00C1058C"/>
    <w:rsid w:val="00C106CE"/>
    <w:rsid w:val="00C109FF"/>
    <w:rsid w:val="00C10B32"/>
    <w:rsid w:val="00C10CDB"/>
    <w:rsid w:val="00C10F5B"/>
    <w:rsid w:val="00C11575"/>
    <w:rsid w:val="00C11673"/>
    <w:rsid w:val="00C1179A"/>
    <w:rsid w:val="00C11AB4"/>
    <w:rsid w:val="00C120B9"/>
    <w:rsid w:val="00C120FF"/>
    <w:rsid w:val="00C122FF"/>
    <w:rsid w:val="00C126DB"/>
    <w:rsid w:val="00C127F2"/>
    <w:rsid w:val="00C12B85"/>
    <w:rsid w:val="00C12D4A"/>
    <w:rsid w:val="00C12E7C"/>
    <w:rsid w:val="00C12F6A"/>
    <w:rsid w:val="00C1302E"/>
    <w:rsid w:val="00C13350"/>
    <w:rsid w:val="00C1347A"/>
    <w:rsid w:val="00C138FE"/>
    <w:rsid w:val="00C139B6"/>
    <w:rsid w:val="00C13FFD"/>
    <w:rsid w:val="00C14258"/>
    <w:rsid w:val="00C143F6"/>
    <w:rsid w:val="00C146ED"/>
    <w:rsid w:val="00C14767"/>
    <w:rsid w:val="00C148F1"/>
    <w:rsid w:val="00C14B4F"/>
    <w:rsid w:val="00C14E2F"/>
    <w:rsid w:val="00C15314"/>
    <w:rsid w:val="00C15BB8"/>
    <w:rsid w:val="00C15E30"/>
    <w:rsid w:val="00C160E1"/>
    <w:rsid w:val="00C16360"/>
    <w:rsid w:val="00C164A6"/>
    <w:rsid w:val="00C16727"/>
    <w:rsid w:val="00C16808"/>
    <w:rsid w:val="00C16948"/>
    <w:rsid w:val="00C16CD5"/>
    <w:rsid w:val="00C16E9D"/>
    <w:rsid w:val="00C16F0C"/>
    <w:rsid w:val="00C1707A"/>
    <w:rsid w:val="00C173F5"/>
    <w:rsid w:val="00C17AC8"/>
    <w:rsid w:val="00C17BCE"/>
    <w:rsid w:val="00C17D6F"/>
    <w:rsid w:val="00C17F9F"/>
    <w:rsid w:val="00C2022A"/>
    <w:rsid w:val="00C20494"/>
    <w:rsid w:val="00C20626"/>
    <w:rsid w:val="00C20A42"/>
    <w:rsid w:val="00C20ACF"/>
    <w:rsid w:val="00C20B41"/>
    <w:rsid w:val="00C20F98"/>
    <w:rsid w:val="00C21160"/>
    <w:rsid w:val="00C215FA"/>
    <w:rsid w:val="00C2167C"/>
    <w:rsid w:val="00C2189A"/>
    <w:rsid w:val="00C218F0"/>
    <w:rsid w:val="00C21A6B"/>
    <w:rsid w:val="00C21CFE"/>
    <w:rsid w:val="00C22199"/>
    <w:rsid w:val="00C221D4"/>
    <w:rsid w:val="00C2241D"/>
    <w:rsid w:val="00C2297E"/>
    <w:rsid w:val="00C22D2E"/>
    <w:rsid w:val="00C2336D"/>
    <w:rsid w:val="00C23BA5"/>
    <w:rsid w:val="00C23BD4"/>
    <w:rsid w:val="00C23EB8"/>
    <w:rsid w:val="00C24284"/>
    <w:rsid w:val="00C242FF"/>
    <w:rsid w:val="00C24431"/>
    <w:rsid w:val="00C24561"/>
    <w:rsid w:val="00C24CB5"/>
    <w:rsid w:val="00C24CBA"/>
    <w:rsid w:val="00C24DD2"/>
    <w:rsid w:val="00C257D7"/>
    <w:rsid w:val="00C258D3"/>
    <w:rsid w:val="00C25912"/>
    <w:rsid w:val="00C25A0B"/>
    <w:rsid w:val="00C25CC1"/>
    <w:rsid w:val="00C25FDE"/>
    <w:rsid w:val="00C266C1"/>
    <w:rsid w:val="00C2683C"/>
    <w:rsid w:val="00C26A6D"/>
    <w:rsid w:val="00C26C2E"/>
    <w:rsid w:val="00C26D4E"/>
    <w:rsid w:val="00C26F4A"/>
    <w:rsid w:val="00C273EE"/>
    <w:rsid w:val="00C27778"/>
    <w:rsid w:val="00C27787"/>
    <w:rsid w:val="00C27828"/>
    <w:rsid w:val="00C278D4"/>
    <w:rsid w:val="00C27C7C"/>
    <w:rsid w:val="00C27C80"/>
    <w:rsid w:val="00C27CAA"/>
    <w:rsid w:val="00C27CEB"/>
    <w:rsid w:val="00C27F4D"/>
    <w:rsid w:val="00C30126"/>
    <w:rsid w:val="00C30195"/>
    <w:rsid w:val="00C3078B"/>
    <w:rsid w:val="00C307C5"/>
    <w:rsid w:val="00C30A93"/>
    <w:rsid w:val="00C30E9B"/>
    <w:rsid w:val="00C312E7"/>
    <w:rsid w:val="00C319CC"/>
    <w:rsid w:val="00C3200A"/>
    <w:rsid w:val="00C320A2"/>
    <w:rsid w:val="00C32174"/>
    <w:rsid w:val="00C326D6"/>
    <w:rsid w:val="00C32787"/>
    <w:rsid w:val="00C32A99"/>
    <w:rsid w:val="00C32DAA"/>
    <w:rsid w:val="00C32E8C"/>
    <w:rsid w:val="00C32FAF"/>
    <w:rsid w:val="00C33237"/>
    <w:rsid w:val="00C33476"/>
    <w:rsid w:val="00C33761"/>
    <w:rsid w:val="00C3401C"/>
    <w:rsid w:val="00C34097"/>
    <w:rsid w:val="00C342C9"/>
    <w:rsid w:val="00C344A8"/>
    <w:rsid w:val="00C34A5A"/>
    <w:rsid w:val="00C34B9E"/>
    <w:rsid w:val="00C34CD9"/>
    <w:rsid w:val="00C34D94"/>
    <w:rsid w:val="00C34DA5"/>
    <w:rsid w:val="00C3557F"/>
    <w:rsid w:val="00C355D1"/>
    <w:rsid w:val="00C3571B"/>
    <w:rsid w:val="00C35980"/>
    <w:rsid w:val="00C359A2"/>
    <w:rsid w:val="00C35AC4"/>
    <w:rsid w:val="00C35C1A"/>
    <w:rsid w:val="00C361E6"/>
    <w:rsid w:val="00C36474"/>
    <w:rsid w:val="00C36854"/>
    <w:rsid w:val="00C3699D"/>
    <w:rsid w:val="00C36B27"/>
    <w:rsid w:val="00C36CC8"/>
    <w:rsid w:val="00C36E53"/>
    <w:rsid w:val="00C36EBE"/>
    <w:rsid w:val="00C375C5"/>
    <w:rsid w:val="00C37977"/>
    <w:rsid w:val="00C37D7E"/>
    <w:rsid w:val="00C37E9F"/>
    <w:rsid w:val="00C400EB"/>
    <w:rsid w:val="00C40103"/>
    <w:rsid w:val="00C402C6"/>
    <w:rsid w:val="00C4089C"/>
    <w:rsid w:val="00C40926"/>
    <w:rsid w:val="00C40CF3"/>
    <w:rsid w:val="00C4143A"/>
    <w:rsid w:val="00C41C11"/>
    <w:rsid w:val="00C41C8F"/>
    <w:rsid w:val="00C41CB8"/>
    <w:rsid w:val="00C41DEB"/>
    <w:rsid w:val="00C41E3A"/>
    <w:rsid w:val="00C41E9B"/>
    <w:rsid w:val="00C420E5"/>
    <w:rsid w:val="00C427B0"/>
    <w:rsid w:val="00C42A91"/>
    <w:rsid w:val="00C42CCB"/>
    <w:rsid w:val="00C4318A"/>
    <w:rsid w:val="00C43624"/>
    <w:rsid w:val="00C43757"/>
    <w:rsid w:val="00C4386F"/>
    <w:rsid w:val="00C43913"/>
    <w:rsid w:val="00C439C8"/>
    <w:rsid w:val="00C43EA6"/>
    <w:rsid w:val="00C4483A"/>
    <w:rsid w:val="00C449DA"/>
    <w:rsid w:val="00C44CC4"/>
    <w:rsid w:val="00C44DB2"/>
    <w:rsid w:val="00C45093"/>
    <w:rsid w:val="00C45106"/>
    <w:rsid w:val="00C45635"/>
    <w:rsid w:val="00C45B91"/>
    <w:rsid w:val="00C46254"/>
    <w:rsid w:val="00C46467"/>
    <w:rsid w:val="00C464A3"/>
    <w:rsid w:val="00C465FC"/>
    <w:rsid w:val="00C466CC"/>
    <w:rsid w:val="00C469DB"/>
    <w:rsid w:val="00C46BBB"/>
    <w:rsid w:val="00C46C02"/>
    <w:rsid w:val="00C46CE8"/>
    <w:rsid w:val="00C47172"/>
    <w:rsid w:val="00C47261"/>
    <w:rsid w:val="00C473A5"/>
    <w:rsid w:val="00C474C2"/>
    <w:rsid w:val="00C47F6D"/>
    <w:rsid w:val="00C502F0"/>
    <w:rsid w:val="00C50593"/>
    <w:rsid w:val="00C50C2C"/>
    <w:rsid w:val="00C50D44"/>
    <w:rsid w:val="00C50F06"/>
    <w:rsid w:val="00C5103C"/>
    <w:rsid w:val="00C516C0"/>
    <w:rsid w:val="00C5199A"/>
    <w:rsid w:val="00C51A62"/>
    <w:rsid w:val="00C51B50"/>
    <w:rsid w:val="00C51C32"/>
    <w:rsid w:val="00C51C37"/>
    <w:rsid w:val="00C51D0C"/>
    <w:rsid w:val="00C52086"/>
    <w:rsid w:val="00C524EC"/>
    <w:rsid w:val="00C52B3A"/>
    <w:rsid w:val="00C52B49"/>
    <w:rsid w:val="00C52D8E"/>
    <w:rsid w:val="00C52DFA"/>
    <w:rsid w:val="00C52E78"/>
    <w:rsid w:val="00C536B2"/>
    <w:rsid w:val="00C537FF"/>
    <w:rsid w:val="00C5386B"/>
    <w:rsid w:val="00C538D5"/>
    <w:rsid w:val="00C53AA8"/>
    <w:rsid w:val="00C53B9B"/>
    <w:rsid w:val="00C53CA0"/>
    <w:rsid w:val="00C53E89"/>
    <w:rsid w:val="00C541B4"/>
    <w:rsid w:val="00C5420E"/>
    <w:rsid w:val="00C54363"/>
    <w:rsid w:val="00C5483E"/>
    <w:rsid w:val="00C54893"/>
    <w:rsid w:val="00C54991"/>
    <w:rsid w:val="00C549A6"/>
    <w:rsid w:val="00C54D0F"/>
    <w:rsid w:val="00C54DC7"/>
    <w:rsid w:val="00C54EF2"/>
    <w:rsid w:val="00C55185"/>
    <w:rsid w:val="00C55295"/>
    <w:rsid w:val="00C55843"/>
    <w:rsid w:val="00C55CFF"/>
    <w:rsid w:val="00C561D6"/>
    <w:rsid w:val="00C5639C"/>
    <w:rsid w:val="00C56579"/>
    <w:rsid w:val="00C565F4"/>
    <w:rsid w:val="00C568EA"/>
    <w:rsid w:val="00C56A1A"/>
    <w:rsid w:val="00C57289"/>
    <w:rsid w:val="00C57AAA"/>
    <w:rsid w:val="00C57B2B"/>
    <w:rsid w:val="00C57CC6"/>
    <w:rsid w:val="00C57D06"/>
    <w:rsid w:val="00C57DD4"/>
    <w:rsid w:val="00C57E13"/>
    <w:rsid w:val="00C600C4"/>
    <w:rsid w:val="00C605BA"/>
    <w:rsid w:val="00C6097A"/>
    <w:rsid w:val="00C60E9E"/>
    <w:rsid w:val="00C610AE"/>
    <w:rsid w:val="00C6111B"/>
    <w:rsid w:val="00C61288"/>
    <w:rsid w:val="00C6131D"/>
    <w:rsid w:val="00C61353"/>
    <w:rsid w:val="00C61969"/>
    <w:rsid w:val="00C61A9A"/>
    <w:rsid w:val="00C61AA4"/>
    <w:rsid w:val="00C61B1E"/>
    <w:rsid w:val="00C6294D"/>
    <w:rsid w:val="00C62D98"/>
    <w:rsid w:val="00C62E1B"/>
    <w:rsid w:val="00C62F07"/>
    <w:rsid w:val="00C63108"/>
    <w:rsid w:val="00C634C3"/>
    <w:rsid w:val="00C63555"/>
    <w:rsid w:val="00C6379E"/>
    <w:rsid w:val="00C63D19"/>
    <w:rsid w:val="00C63DFA"/>
    <w:rsid w:val="00C63F9D"/>
    <w:rsid w:val="00C63FBB"/>
    <w:rsid w:val="00C64400"/>
    <w:rsid w:val="00C64435"/>
    <w:rsid w:val="00C64835"/>
    <w:rsid w:val="00C64D6C"/>
    <w:rsid w:val="00C64EC4"/>
    <w:rsid w:val="00C64ED4"/>
    <w:rsid w:val="00C65100"/>
    <w:rsid w:val="00C652C5"/>
    <w:rsid w:val="00C654B4"/>
    <w:rsid w:val="00C65B72"/>
    <w:rsid w:val="00C65FB3"/>
    <w:rsid w:val="00C6608E"/>
    <w:rsid w:val="00C660FB"/>
    <w:rsid w:val="00C66219"/>
    <w:rsid w:val="00C66532"/>
    <w:rsid w:val="00C666EA"/>
    <w:rsid w:val="00C6684B"/>
    <w:rsid w:val="00C66AF0"/>
    <w:rsid w:val="00C66D3C"/>
    <w:rsid w:val="00C66EE8"/>
    <w:rsid w:val="00C67B44"/>
    <w:rsid w:val="00C67C81"/>
    <w:rsid w:val="00C67D7E"/>
    <w:rsid w:val="00C67DDC"/>
    <w:rsid w:val="00C67E14"/>
    <w:rsid w:val="00C67EE2"/>
    <w:rsid w:val="00C68079"/>
    <w:rsid w:val="00C701AC"/>
    <w:rsid w:val="00C704FC"/>
    <w:rsid w:val="00C70645"/>
    <w:rsid w:val="00C708A9"/>
    <w:rsid w:val="00C709DC"/>
    <w:rsid w:val="00C70A21"/>
    <w:rsid w:val="00C70CC1"/>
    <w:rsid w:val="00C70DB9"/>
    <w:rsid w:val="00C712F2"/>
    <w:rsid w:val="00C71313"/>
    <w:rsid w:val="00C71448"/>
    <w:rsid w:val="00C715EB"/>
    <w:rsid w:val="00C71735"/>
    <w:rsid w:val="00C71C7F"/>
    <w:rsid w:val="00C71C88"/>
    <w:rsid w:val="00C72230"/>
    <w:rsid w:val="00C7233E"/>
    <w:rsid w:val="00C72344"/>
    <w:rsid w:val="00C72548"/>
    <w:rsid w:val="00C7267C"/>
    <w:rsid w:val="00C72B34"/>
    <w:rsid w:val="00C72CD3"/>
    <w:rsid w:val="00C738F9"/>
    <w:rsid w:val="00C7397C"/>
    <w:rsid w:val="00C73ACD"/>
    <w:rsid w:val="00C73E49"/>
    <w:rsid w:val="00C73F05"/>
    <w:rsid w:val="00C74024"/>
    <w:rsid w:val="00C740B0"/>
    <w:rsid w:val="00C746A9"/>
    <w:rsid w:val="00C74F4E"/>
    <w:rsid w:val="00C75384"/>
    <w:rsid w:val="00C755EB"/>
    <w:rsid w:val="00C75608"/>
    <w:rsid w:val="00C7579C"/>
    <w:rsid w:val="00C758D0"/>
    <w:rsid w:val="00C75A9F"/>
    <w:rsid w:val="00C75ABF"/>
    <w:rsid w:val="00C75B50"/>
    <w:rsid w:val="00C75DCC"/>
    <w:rsid w:val="00C75EE4"/>
    <w:rsid w:val="00C762C0"/>
    <w:rsid w:val="00C763B4"/>
    <w:rsid w:val="00C763E1"/>
    <w:rsid w:val="00C76C9F"/>
    <w:rsid w:val="00C76FF0"/>
    <w:rsid w:val="00C77132"/>
    <w:rsid w:val="00C77163"/>
    <w:rsid w:val="00C77531"/>
    <w:rsid w:val="00C77977"/>
    <w:rsid w:val="00C80AAC"/>
    <w:rsid w:val="00C80CC0"/>
    <w:rsid w:val="00C80E34"/>
    <w:rsid w:val="00C81490"/>
    <w:rsid w:val="00C81619"/>
    <w:rsid w:val="00C81911"/>
    <w:rsid w:val="00C81EDF"/>
    <w:rsid w:val="00C8201B"/>
    <w:rsid w:val="00C822A0"/>
    <w:rsid w:val="00C825DF"/>
    <w:rsid w:val="00C82B49"/>
    <w:rsid w:val="00C82CAF"/>
    <w:rsid w:val="00C82F03"/>
    <w:rsid w:val="00C83538"/>
    <w:rsid w:val="00C83594"/>
    <w:rsid w:val="00C83727"/>
    <w:rsid w:val="00C83BEF"/>
    <w:rsid w:val="00C84051"/>
    <w:rsid w:val="00C841E8"/>
    <w:rsid w:val="00C84503"/>
    <w:rsid w:val="00C845FB"/>
    <w:rsid w:val="00C84606"/>
    <w:rsid w:val="00C84A28"/>
    <w:rsid w:val="00C84FD2"/>
    <w:rsid w:val="00C85039"/>
    <w:rsid w:val="00C85235"/>
    <w:rsid w:val="00C85741"/>
    <w:rsid w:val="00C85820"/>
    <w:rsid w:val="00C85867"/>
    <w:rsid w:val="00C85E45"/>
    <w:rsid w:val="00C85ED7"/>
    <w:rsid w:val="00C85F3C"/>
    <w:rsid w:val="00C8626C"/>
    <w:rsid w:val="00C86337"/>
    <w:rsid w:val="00C864FE"/>
    <w:rsid w:val="00C866D6"/>
    <w:rsid w:val="00C86826"/>
    <w:rsid w:val="00C86DED"/>
    <w:rsid w:val="00C86E88"/>
    <w:rsid w:val="00C87023"/>
    <w:rsid w:val="00C87557"/>
    <w:rsid w:val="00C8765F"/>
    <w:rsid w:val="00C87816"/>
    <w:rsid w:val="00C87917"/>
    <w:rsid w:val="00C87935"/>
    <w:rsid w:val="00C9012D"/>
    <w:rsid w:val="00C90272"/>
    <w:rsid w:val="00C9032C"/>
    <w:rsid w:val="00C905AD"/>
    <w:rsid w:val="00C9068E"/>
    <w:rsid w:val="00C90905"/>
    <w:rsid w:val="00C90958"/>
    <w:rsid w:val="00C90BCB"/>
    <w:rsid w:val="00C90CA9"/>
    <w:rsid w:val="00C90D50"/>
    <w:rsid w:val="00C90EBF"/>
    <w:rsid w:val="00C910B4"/>
    <w:rsid w:val="00C91108"/>
    <w:rsid w:val="00C9133A"/>
    <w:rsid w:val="00C9188A"/>
    <w:rsid w:val="00C91AAA"/>
    <w:rsid w:val="00C91ADE"/>
    <w:rsid w:val="00C91C6E"/>
    <w:rsid w:val="00C91DAC"/>
    <w:rsid w:val="00C91F3C"/>
    <w:rsid w:val="00C9213D"/>
    <w:rsid w:val="00C926D9"/>
    <w:rsid w:val="00C92B1D"/>
    <w:rsid w:val="00C92C36"/>
    <w:rsid w:val="00C92E7F"/>
    <w:rsid w:val="00C93031"/>
    <w:rsid w:val="00C93161"/>
    <w:rsid w:val="00C933AF"/>
    <w:rsid w:val="00C9384C"/>
    <w:rsid w:val="00C9386A"/>
    <w:rsid w:val="00C938A6"/>
    <w:rsid w:val="00C938FB"/>
    <w:rsid w:val="00C93ACE"/>
    <w:rsid w:val="00C93B1F"/>
    <w:rsid w:val="00C93C98"/>
    <w:rsid w:val="00C93F23"/>
    <w:rsid w:val="00C9450B"/>
    <w:rsid w:val="00C94655"/>
    <w:rsid w:val="00C94A67"/>
    <w:rsid w:val="00C94EA2"/>
    <w:rsid w:val="00C95003"/>
    <w:rsid w:val="00C95305"/>
    <w:rsid w:val="00C953D1"/>
    <w:rsid w:val="00C954C2"/>
    <w:rsid w:val="00C9569A"/>
    <w:rsid w:val="00C95827"/>
    <w:rsid w:val="00C95A40"/>
    <w:rsid w:val="00C962ED"/>
    <w:rsid w:val="00C96313"/>
    <w:rsid w:val="00C96742"/>
    <w:rsid w:val="00C96A17"/>
    <w:rsid w:val="00C96B7B"/>
    <w:rsid w:val="00C96C80"/>
    <w:rsid w:val="00C96D06"/>
    <w:rsid w:val="00C9730A"/>
    <w:rsid w:val="00C9742E"/>
    <w:rsid w:val="00C9756B"/>
    <w:rsid w:val="00C9761C"/>
    <w:rsid w:val="00C9783A"/>
    <w:rsid w:val="00C9792B"/>
    <w:rsid w:val="00C97B07"/>
    <w:rsid w:val="00C97C55"/>
    <w:rsid w:val="00CA0253"/>
    <w:rsid w:val="00CA0661"/>
    <w:rsid w:val="00CA0684"/>
    <w:rsid w:val="00CA07FB"/>
    <w:rsid w:val="00CA0863"/>
    <w:rsid w:val="00CA09DF"/>
    <w:rsid w:val="00CA0A3F"/>
    <w:rsid w:val="00CA0A41"/>
    <w:rsid w:val="00CA1024"/>
    <w:rsid w:val="00CA119C"/>
    <w:rsid w:val="00CA1560"/>
    <w:rsid w:val="00CA156A"/>
    <w:rsid w:val="00CA1C04"/>
    <w:rsid w:val="00CA207A"/>
    <w:rsid w:val="00CA2152"/>
    <w:rsid w:val="00CA2508"/>
    <w:rsid w:val="00CA2531"/>
    <w:rsid w:val="00CA27DE"/>
    <w:rsid w:val="00CA287B"/>
    <w:rsid w:val="00CA29DE"/>
    <w:rsid w:val="00CA2B74"/>
    <w:rsid w:val="00CA2FFD"/>
    <w:rsid w:val="00CA30BC"/>
    <w:rsid w:val="00CA335A"/>
    <w:rsid w:val="00CA33BC"/>
    <w:rsid w:val="00CA37A3"/>
    <w:rsid w:val="00CA3935"/>
    <w:rsid w:val="00CA3F5B"/>
    <w:rsid w:val="00CA3FC9"/>
    <w:rsid w:val="00CA4447"/>
    <w:rsid w:val="00CA4631"/>
    <w:rsid w:val="00CA469F"/>
    <w:rsid w:val="00CA477D"/>
    <w:rsid w:val="00CA49ED"/>
    <w:rsid w:val="00CA4DF0"/>
    <w:rsid w:val="00CA4FCC"/>
    <w:rsid w:val="00CA5569"/>
    <w:rsid w:val="00CA55A3"/>
    <w:rsid w:val="00CA5629"/>
    <w:rsid w:val="00CA5757"/>
    <w:rsid w:val="00CA5980"/>
    <w:rsid w:val="00CA5BD0"/>
    <w:rsid w:val="00CA6123"/>
    <w:rsid w:val="00CA6394"/>
    <w:rsid w:val="00CA684E"/>
    <w:rsid w:val="00CA69AC"/>
    <w:rsid w:val="00CA6A86"/>
    <w:rsid w:val="00CA6D88"/>
    <w:rsid w:val="00CA7240"/>
    <w:rsid w:val="00CA728A"/>
    <w:rsid w:val="00CA755C"/>
    <w:rsid w:val="00CA76DC"/>
    <w:rsid w:val="00CA7770"/>
    <w:rsid w:val="00CA7F53"/>
    <w:rsid w:val="00CB0043"/>
    <w:rsid w:val="00CB0406"/>
    <w:rsid w:val="00CB0578"/>
    <w:rsid w:val="00CB07A3"/>
    <w:rsid w:val="00CB07C3"/>
    <w:rsid w:val="00CB087D"/>
    <w:rsid w:val="00CB090D"/>
    <w:rsid w:val="00CB0D99"/>
    <w:rsid w:val="00CB1157"/>
    <w:rsid w:val="00CB182F"/>
    <w:rsid w:val="00CB1B07"/>
    <w:rsid w:val="00CB1CA7"/>
    <w:rsid w:val="00CB1E78"/>
    <w:rsid w:val="00CB2026"/>
    <w:rsid w:val="00CB20B9"/>
    <w:rsid w:val="00CB20CA"/>
    <w:rsid w:val="00CB213F"/>
    <w:rsid w:val="00CB259E"/>
    <w:rsid w:val="00CB2643"/>
    <w:rsid w:val="00CB2A30"/>
    <w:rsid w:val="00CB2C35"/>
    <w:rsid w:val="00CB2CBA"/>
    <w:rsid w:val="00CB2D2D"/>
    <w:rsid w:val="00CB2D46"/>
    <w:rsid w:val="00CB2E5F"/>
    <w:rsid w:val="00CB2E8D"/>
    <w:rsid w:val="00CB2FD3"/>
    <w:rsid w:val="00CB30BC"/>
    <w:rsid w:val="00CB32A3"/>
    <w:rsid w:val="00CB34D8"/>
    <w:rsid w:val="00CB3738"/>
    <w:rsid w:val="00CB38E2"/>
    <w:rsid w:val="00CB3A21"/>
    <w:rsid w:val="00CB3CFF"/>
    <w:rsid w:val="00CB3D89"/>
    <w:rsid w:val="00CB401A"/>
    <w:rsid w:val="00CB437A"/>
    <w:rsid w:val="00CB44C3"/>
    <w:rsid w:val="00CB451F"/>
    <w:rsid w:val="00CB4663"/>
    <w:rsid w:val="00CB472A"/>
    <w:rsid w:val="00CB5202"/>
    <w:rsid w:val="00CB535B"/>
    <w:rsid w:val="00CB55B1"/>
    <w:rsid w:val="00CB5698"/>
    <w:rsid w:val="00CB5888"/>
    <w:rsid w:val="00CB5A32"/>
    <w:rsid w:val="00CB5A3E"/>
    <w:rsid w:val="00CB5ACE"/>
    <w:rsid w:val="00CB5B8B"/>
    <w:rsid w:val="00CB5BC6"/>
    <w:rsid w:val="00CB63FF"/>
    <w:rsid w:val="00CB66F4"/>
    <w:rsid w:val="00CB67CA"/>
    <w:rsid w:val="00CB69FE"/>
    <w:rsid w:val="00CB6A29"/>
    <w:rsid w:val="00CB6DAE"/>
    <w:rsid w:val="00CB6E6F"/>
    <w:rsid w:val="00CB7146"/>
    <w:rsid w:val="00CB733D"/>
    <w:rsid w:val="00CB7955"/>
    <w:rsid w:val="00CB7B23"/>
    <w:rsid w:val="00CB7B7B"/>
    <w:rsid w:val="00CB7F01"/>
    <w:rsid w:val="00CB7F79"/>
    <w:rsid w:val="00CB7FA7"/>
    <w:rsid w:val="00CC01FA"/>
    <w:rsid w:val="00CC04A0"/>
    <w:rsid w:val="00CC0705"/>
    <w:rsid w:val="00CC08B2"/>
    <w:rsid w:val="00CC0BD1"/>
    <w:rsid w:val="00CC0C70"/>
    <w:rsid w:val="00CC10E9"/>
    <w:rsid w:val="00CC1110"/>
    <w:rsid w:val="00CC1156"/>
    <w:rsid w:val="00CC11AA"/>
    <w:rsid w:val="00CC148B"/>
    <w:rsid w:val="00CC14B0"/>
    <w:rsid w:val="00CC162F"/>
    <w:rsid w:val="00CC1756"/>
    <w:rsid w:val="00CC180E"/>
    <w:rsid w:val="00CC1941"/>
    <w:rsid w:val="00CC1C89"/>
    <w:rsid w:val="00CC1CE0"/>
    <w:rsid w:val="00CC21FA"/>
    <w:rsid w:val="00CC2511"/>
    <w:rsid w:val="00CC2608"/>
    <w:rsid w:val="00CC2AC3"/>
    <w:rsid w:val="00CC2CD5"/>
    <w:rsid w:val="00CC2CDE"/>
    <w:rsid w:val="00CC2FB5"/>
    <w:rsid w:val="00CC3084"/>
    <w:rsid w:val="00CC33FA"/>
    <w:rsid w:val="00CC3A7A"/>
    <w:rsid w:val="00CC3AFC"/>
    <w:rsid w:val="00CC3DD9"/>
    <w:rsid w:val="00CC425C"/>
    <w:rsid w:val="00CC4450"/>
    <w:rsid w:val="00CC44F7"/>
    <w:rsid w:val="00CC4502"/>
    <w:rsid w:val="00CC4577"/>
    <w:rsid w:val="00CC484C"/>
    <w:rsid w:val="00CC4B60"/>
    <w:rsid w:val="00CC4C6E"/>
    <w:rsid w:val="00CC4FEA"/>
    <w:rsid w:val="00CC519B"/>
    <w:rsid w:val="00CC530C"/>
    <w:rsid w:val="00CC53C6"/>
    <w:rsid w:val="00CC5681"/>
    <w:rsid w:val="00CC57A9"/>
    <w:rsid w:val="00CC57E9"/>
    <w:rsid w:val="00CC586E"/>
    <w:rsid w:val="00CC63D3"/>
    <w:rsid w:val="00CC6515"/>
    <w:rsid w:val="00CC671B"/>
    <w:rsid w:val="00CC69F8"/>
    <w:rsid w:val="00CC6B29"/>
    <w:rsid w:val="00CC6B39"/>
    <w:rsid w:val="00CC6C15"/>
    <w:rsid w:val="00CC76B1"/>
    <w:rsid w:val="00CC788C"/>
    <w:rsid w:val="00CC7A5E"/>
    <w:rsid w:val="00CC7E86"/>
    <w:rsid w:val="00CC7FED"/>
    <w:rsid w:val="00CCEF5E"/>
    <w:rsid w:val="00CD0192"/>
    <w:rsid w:val="00CD0205"/>
    <w:rsid w:val="00CD04E5"/>
    <w:rsid w:val="00CD0976"/>
    <w:rsid w:val="00CD0A11"/>
    <w:rsid w:val="00CD0E36"/>
    <w:rsid w:val="00CD1529"/>
    <w:rsid w:val="00CD15F1"/>
    <w:rsid w:val="00CD16FC"/>
    <w:rsid w:val="00CD18E4"/>
    <w:rsid w:val="00CD1950"/>
    <w:rsid w:val="00CD1BF7"/>
    <w:rsid w:val="00CD1D6B"/>
    <w:rsid w:val="00CD1F20"/>
    <w:rsid w:val="00CD1FD2"/>
    <w:rsid w:val="00CD225C"/>
    <w:rsid w:val="00CD22A6"/>
    <w:rsid w:val="00CD26C8"/>
    <w:rsid w:val="00CD3257"/>
    <w:rsid w:val="00CD3756"/>
    <w:rsid w:val="00CD3E0D"/>
    <w:rsid w:val="00CD427B"/>
    <w:rsid w:val="00CD42A4"/>
    <w:rsid w:val="00CD45CA"/>
    <w:rsid w:val="00CD46AB"/>
    <w:rsid w:val="00CD46DF"/>
    <w:rsid w:val="00CD4806"/>
    <w:rsid w:val="00CD4F77"/>
    <w:rsid w:val="00CD5072"/>
    <w:rsid w:val="00CD5772"/>
    <w:rsid w:val="00CD5908"/>
    <w:rsid w:val="00CD59B5"/>
    <w:rsid w:val="00CD63C8"/>
    <w:rsid w:val="00CD6677"/>
    <w:rsid w:val="00CD673A"/>
    <w:rsid w:val="00CD6758"/>
    <w:rsid w:val="00CD6C9E"/>
    <w:rsid w:val="00CD6E28"/>
    <w:rsid w:val="00CD6E7A"/>
    <w:rsid w:val="00CD75FD"/>
    <w:rsid w:val="00CD78D3"/>
    <w:rsid w:val="00CD79DF"/>
    <w:rsid w:val="00CD7A83"/>
    <w:rsid w:val="00CD7F29"/>
    <w:rsid w:val="00CD7F50"/>
    <w:rsid w:val="00CE0645"/>
    <w:rsid w:val="00CE0647"/>
    <w:rsid w:val="00CE07CA"/>
    <w:rsid w:val="00CE09A7"/>
    <w:rsid w:val="00CE0A9B"/>
    <w:rsid w:val="00CE0B7D"/>
    <w:rsid w:val="00CE0EDE"/>
    <w:rsid w:val="00CE13D9"/>
    <w:rsid w:val="00CE1B3D"/>
    <w:rsid w:val="00CE1F60"/>
    <w:rsid w:val="00CE2342"/>
    <w:rsid w:val="00CE23E5"/>
    <w:rsid w:val="00CE2619"/>
    <w:rsid w:val="00CE27E7"/>
    <w:rsid w:val="00CE2946"/>
    <w:rsid w:val="00CE2BC9"/>
    <w:rsid w:val="00CE3357"/>
    <w:rsid w:val="00CE33AD"/>
    <w:rsid w:val="00CE3AD9"/>
    <w:rsid w:val="00CE3B24"/>
    <w:rsid w:val="00CE3D0A"/>
    <w:rsid w:val="00CE3F92"/>
    <w:rsid w:val="00CE426F"/>
    <w:rsid w:val="00CE4765"/>
    <w:rsid w:val="00CE47E2"/>
    <w:rsid w:val="00CE49B0"/>
    <w:rsid w:val="00CE4C7E"/>
    <w:rsid w:val="00CE4EC8"/>
    <w:rsid w:val="00CE5033"/>
    <w:rsid w:val="00CE50C7"/>
    <w:rsid w:val="00CE52FB"/>
    <w:rsid w:val="00CE5500"/>
    <w:rsid w:val="00CE5514"/>
    <w:rsid w:val="00CE5663"/>
    <w:rsid w:val="00CE5B0A"/>
    <w:rsid w:val="00CE5E96"/>
    <w:rsid w:val="00CE6295"/>
    <w:rsid w:val="00CE649D"/>
    <w:rsid w:val="00CE6795"/>
    <w:rsid w:val="00CE6A40"/>
    <w:rsid w:val="00CE6B2A"/>
    <w:rsid w:val="00CE6CAF"/>
    <w:rsid w:val="00CE6D59"/>
    <w:rsid w:val="00CE6D66"/>
    <w:rsid w:val="00CE6E45"/>
    <w:rsid w:val="00CE7021"/>
    <w:rsid w:val="00CE72B2"/>
    <w:rsid w:val="00CE7307"/>
    <w:rsid w:val="00CE7500"/>
    <w:rsid w:val="00CE75A2"/>
    <w:rsid w:val="00CE78D5"/>
    <w:rsid w:val="00CE7B3D"/>
    <w:rsid w:val="00CE7CFF"/>
    <w:rsid w:val="00CE7DB0"/>
    <w:rsid w:val="00CF00FD"/>
    <w:rsid w:val="00CF0146"/>
    <w:rsid w:val="00CF01D7"/>
    <w:rsid w:val="00CF03D1"/>
    <w:rsid w:val="00CF0619"/>
    <w:rsid w:val="00CF0765"/>
    <w:rsid w:val="00CF0845"/>
    <w:rsid w:val="00CF0893"/>
    <w:rsid w:val="00CF0929"/>
    <w:rsid w:val="00CF0CBF"/>
    <w:rsid w:val="00CF0D80"/>
    <w:rsid w:val="00CF104E"/>
    <w:rsid w:val="00CF1539"/>
    <w:rsid w:val="00CF189F"/>
    <w:rsid w:val="00CF19BA"/>
    <w:rsid w:val="00CF2116"/>
    <w:rsid w:val="00CF22D5"/>
    <w:rsid w:val="00CF2CD1"/>
    <w:rsid w:val="00CF2DF4"/>
    <w:rsid w:val="00CF2FA9"/>
    <w:rsid w:val="00CF302A"/>
    <w:rsid w:val="00CF311E"/>
    <w:rsid w:val="00CF37F3"/>
    <w:rsid w:val="00CF39CB"/>
    <w:rsid w:val="00CF4656"/>
    <w:rsid w:val="00CF47AE"/>
    <w:rsid w:val="00CF48AF"/>
    <w:rsid w:val="00CF492A"/>
    <w:rsid w:val="00CF4B43"/>
    <w:rsid w:val="00CF4EF7"/>
    <w:rsid w:val="00CF52FF"/>
    <w:rsid w:val="00CF568E"/>
    <w:rsid w:val="00CF56AD"/>
    <w:rsid w:val="00CF5727"/>
    <w:rsid w:val="00CF5B7D"/>
    <w:rsid w:val="00CF609C"/>
    <w:rsid w:val="00CF64A5"/>
    <w:rsid w:val="00CF65B1"/>
    <w:rsid w:val="00CF6C23"/>
    <w:rsid w:val="00CF6DED"/>
    <w:rsid w:val="00CF6ED5"/>
    <w:rsid w:val="00CF704B"/>
    <w:rsid w:val="00CF745B"/>
    <w:rsid w:val="00CF755D"/>
    <w:rsid w:val="00CF75EF"/>
    <w:rsid w:val="00CF7D57"/>
    <w:rsid w:val="00CF7E8C"/>
    <w:rsid w:val="00D0001F"/>
    <w:rsid w:val="00D0016D"/>
    <w:rsid w:val="00D00538"/>
    <w:rsid w:val="00D00711"/>
    <w:rsid w:val="00D00905"/>
    <w:rsid w:val="00D00C86"/>
    <w:rsid w:val="00D00D06"/>
    <w:rsid w:val="00D00E79"/>
    <w:rsid w:val="00D010D2"/>
    <w:rsid w:val="00D0125D"/>
    <w:rsid w:val="00D01371"/>
    <w:rsid w:val="00D01421"/>
    <w:rsid w:val="00D0147D"/>
    <w:rsid w:val="00D01754"/>
    <w:rsid w:val="00D020DC"/>
    <w:rsid w:val="00D029EC"/>
    <w:rsid w:val="00D02C47"/>
    <w:rsid w:val="00D02E07"/>
    <w:rsid w:val="00D02FB9"/>
    <w:rsid w:val="00D03160"/>
    <w:rsid w:val="00D0340A"/>
    <w:rsid w:val="00D034C4"/>
    <w:rsid w:val="00D0396D"/>
    <w:rsid w:val="00D03983"/>
    <w:rsid w:val="00D03A6B"/>
    <w:rsid w:val="00D03C0F"/>
    <w:rsid w:val="00D03CCB"/>
    <w:rsid w:val="00D0434E"/>
    <w:rsid w:val="00D04633"/>
    <w:rsid w:val="00D04C35"/>
    <w:rsid w:val="00D04FDD"/>
    <w:rsid w:val="00D05409"/>
    <w:rsid w:val="00D056F8"/>
    <w:rsid w:val="00D06207"/>
    <w:rsid w:val="00D065A8"/>
    <w:rsid w:val="00D06655"/>
    <w:rsid w:val="00D06DED"/>
    <w:rsid w:val="00D06FCD"/>
    <w:rsid w:val="00D07362"/>
    <w:rsid w:val="00D074D1"/>
    <w:rsid w:val="00D079EE"/>
    <w:rsid w:val="00D079F9"/>
    <w:rsid w:val="00D100A3"/>
    <w:rsid w:val="00D1010D"/>
    <w:rsid w:val="00D101F0"/>
    <w:rsid w:val="00D10795"/>
    <w:rsid w:val="00D10798"/>
    <w:rsid w:val="00D108CE"/>
    <w:rsid w:val="00D108DF"/>
    <w:rsid w:val="00D10A19"/>
    <w:rsid w:val="00D10A68"/>
    <w:rsid w:val="00D10AB7"/>
    <w:rsid w:val="00D10EAA"/>
    <w:rsid w:val="00D110C9"/>
    <w:rsid w:val="00D11998"/>
    <w:rsid w:val="00D119DF"/>
    <w:rsid w:val="00D119EE"/>
    <w:rsid w:val="00D11DBC"/>
    <w:rsid w:val="00D120B3"/>
    <w:rsid w:val="00D12181"/>
    <w:rsid w:val="00D1240F"/>
    <w:rsid w:val="00D12620"/>
    <w:rsid w:val="00D1265F"/>
    <w:rsid w:val="00D12768"/>
    <w:rsid w:val="00D12BE2"/>
    <w:rsid w:val="00D12EE2"/>
    <w:rsid w:val="00D13038"/>
    <w:rsid w:val="00D136D4"/>
    <w:rsid w:val="00D13766"/>
    <w:rsid w:val="00D13A24"/>
    <w:rsid w:val="00D13BAA"/>
    <w:rsid w:val="00D13D03"/>
    <w:rsid w:val="00D14009"/>
    <w:rsid w:val="00D140BB"/>
    <w:rsid w:val="00D1426F"/>
    <w:rsid w:val="00D1494B"/>
    <w:rsid w:val="00D14ADC"/>
    <w:rsid w:val="00D15215"/>
    <w:rsid w:val="00D15330"/>
    <w:rsid w:val="00D153DF"/>
    <w:rsid w:val="00D15682"/>
    <w:rsid w:val="00D156B6"/>
    <w:rsid w:val="00D159C6"/>
    <w:rsid w:val="00D15A75"/>
    <w:rsid w:val="00D15B39"/>
    <w:rsid w:val="00D15E20"/>
    <w:rsid w:val="00D15ED1"/>
    <w:rsid w:val="00D1601C"/>
    <w:rsid w:val="00D16717"/>
    <w:rsid w:val="00D169C0"/>
    <w:rsid w:val="00D16A90"/>
    <w:rsid w:val="00D16AC1"/>
    <w:rsid w:val="00D16E1F"/>
    <w:rsid w:val="00D16F22"/>
    <w:rsid w:val="00D17354"/>
    <w:rsid w:val="00D17459"/>
    <w:rsid w:val="00D17634"/>
    <w:rsid w:val="00D17709"/>
    <w:rsid w:val="00D17A04"/>
    <w:rsid w:val="00D17AEC"/>
    <w:rsid w:val="00D17BA9"/>
    <w:rsid w:val="00D17C70"/>
    <w:rsid w:val="00D17D6A"/>
    <w:rsid w:val="00D17DB1"/>
    <w:rsid w:val="00D17DC4"/>
    <w:rsid w:val="00D17E5A"/>
    <w:rsid w:val="00D17E86"/>
    <w:rsid w:val="00D2005C"/>
    <w:rsid w:val="00D203EC"/>
    <w:rsid w:val="00D2064C"/>
    <w:rsid w:val="00D20710"/>
    <w:rsid w:val="00D20A6A"/>
    <w:rsid w:val="00D20BF4"/>
    <w:rsid w:val="00D20CBE"/>
    <w:rsid w:val="00D20FD4"/>
    <w:rsid w:val="00D21289"/>
    <w:rsid w:val="00D21419"/>
    <w:rsid w:val="00D214A1"/>
    <w:rsid w:val="00D214A4"/>
    <w:rsid w:val="00D21537"/>
    <w:rsid w:val="00D21E32"/>
    <w:rsid w:val="00D228C3"/>
    <w:rsid w:val="00D228D8"/>
    <w:rsid w:val="00D22D5B"/>
    <w:rsid w:val="00D22D79"/>
    <w:rsid w:val="00D22D80"/>
    <w:rsid w:val="00D22E0C"/>
    <w:rsid w:val="00D2304A"/>
    <w:rsid w:val="00D232B1"/>
    <w:rsid w:val="00D236BF"/>
    <w:rsid w:val="00D23771"/>
    <w:rsid w:val="00D237B6"/>
    <w:rsid w:val="00D24009"/>
    <w:rsid w:val="00D241BA"/>
    <w:rsid w:val="00D242F4"/>
    <w:rsid w:val="00D247A7"/>
    <w:rsid w:val="00D247AA"/>
    <w:rsid w:val="00D24AC7"/>
    <w:rsid w:val="00D25342"/>
    <w:rsid w:val="00D253C0"/>
    <w:rsid w:val="00D25464"/>
    <w:rsid w:val="00D2578C"/>
    <w:rsid w:val="00D263D6"/>
    <w:rsid w:val="00D266AD"/>
    <w:rsid w:val="00D26E88"/>
    <w:rsid w:val="00D2705B"/>
    <w:rsid w:val="00D273A0"/>
    <w:rsid w:val="00D27604"/>
    <w:rsid w:val="00D27AAE"/>
    <w:rsid w:val="00D27B03"/>
    <w:rsid w:val="00D27FF3"/>
    <w:rsid w:val="00D30917"/>
    <w:rsid w:val="00D30929"/>
    <w:rsid w:val="00D30AE2"/>
    <w:rsid w:val="00D30AF3"/>
    <w:rsid w:val="00D30D06"/>
    <w:rsid w:val="00D30E4B"/>
    <w:rsid w:val="00D31080"/>
    <w:rsid w:val="00D31440"/>
    <w:rsid w:val="00D31456"/>
    <w:rsid w:val="00D317CC"/>
    <w:rsid w:val="00D31CCA"/>
    <w:rsid w:val="00D31CE8"/>
    <w:rsid w:val="00D32338"/>
    <w:rsid w:val="00D32504"/>
    <w:rsid w:val="00D32682"/>
    <w:rsid w:val="00D32754"/>
    <w:rsid w:val="00D32822"/>
    <w:rsid w:val="00D329CE"/>
    <w:rsid w:val="00D32AC3"/>
    <w:rsid w:val="00D32DB4"/>
    <w:rsid w:val="00D32F0A"/>
    <w:rsid w:val="00D33533"/>
    <w:rsid w:val="00D33640"/>
    <w:rsid w:val="00D33677"/>
    <w:rsid w:val="00D336C1"/>
    <w:rsid w:val="00D336EA"/>
    <w:rsid w:val="00D33864"/>
    <w:rsid w:val="00D33BD8"/>
    <w:rsid w:val="00D33D81"/>
    <w:rsid w:val="00D33D82"/>
    <w:rsid w:val="00D33E46"/>
    <w:rsid w:val="00D345CA"/>
    <w:rsid w:val="00D348F8"/>
    <w:rsid w:val="00D34B14"/>
    <w:rsid w:val="00D34D52"/>
    <w:rsid w:val="00D34FF5"/>
    <w:rsid w:val="00D35033"/>
    <w:rsid w:val="00D35591"/>
    <w:rsid w:val="00D358B2"/>
    <w:rsid w:val="00D35B12"/>
    <w:rsid w:val="00D35D90"/>
    <w:rsid w:val="00D3628A"/>
    <w:rsid w:val="00D3640A"/>
    <w:rsid w:val="00D364E5"/>
    <w:rsid w:val="00D36504"/>
    <w:rsid w:val="00D36581"/>
    <w:rsid w:val="00D36A0E"/>
    <w:rsid w:val="00D37602"/>
    <w:rsid w:val="00D3764B"/>
    <w:rsid w:val="00D377F5"/>
    <w:rsid w:val="00D378D1"/>
    <w:rsid w:val="00D37CAD"/>
    <w:rsid w:val="00D37CDA"/>
    <w:rsid w:val="00D40031"/>
    <w:rsid w:val="00D400EA"/>
    <w:rsid w:val="00D4030B"/>
    <w:rsid w:val="00D4044D"/>
    <w:rsid w:val="00D407C1"/>
    <w:rsid w:val="00D40902"/>
    <w:rsid w:val="00D40ADC"/>
    <w:rsid w:val="00D40C13"/>
    <w:rsid w:val="00D40E6D"/>
    <w:rsid w:val="00D411A3"/>
    <w:rsid w:val="00D413E3"/>
    <w:rsid w:val="00D416A3"/>
    <w:rsid w:val="00D416F1"/>
    <w:rsid w:val="00D41879"/>
    <w:rsid w:val="00D41A48"/>
    <w:rsid w:val="00D41B0F"/>
    <w:rsid w:val="00D41D9B"/>
    <w:rsid w:val="00D41DA1"/>
    <w:rsid w:val="00D425B6"/>
    <w:rsid w:val="00D4269B"/>
    <w:rsid w:val="00D429D4"/>
    <w:rsid w:val="00D42B3A"/>
    <w:rsid w:val="00D42B77"/>
    <w:rsid w:val="00D42B97"/>
    <w:rsid w:val="00D42FBE"/>
    <w:rsid w:val="00D42FC9"/>
    <w:rsid w:val="00D43386"/>
    <w:rsid w:val="00D435CB"/>
    <w:rsid w:val="00D43684"/>
    <w:rsid w:val="00D43B15"/>
    <w:rsid w:val="00D43C75"/>
    <w:rsid w:val="00D43F56"/>
    <w:rsid w:val="00D4409D"/>
    <w:rsid w:val="00D44409"/>
    <w:rsid w:val="00D444F1"/>
    <w:rsid w:val="00D444FD"/>
    <w:rsid w:val="00D44EC7"/>
    <w:rsid w:val="00D453E1"/>
    <w:rsid w:val="00D456F9"/>
    <w:rsid w:val="00D45AE3"/>
    <w:rsid w:val="00D45E33"/>
    <w:rsid w:val="00D4603A"/>
    <w:rsid w:val="00D464B1"/>
    <w:rsid w:val="00D468D9"/>
    <w:rsid w:val="00D46A63"/>
    <w:rsid w:val="00D46DA6"/>
    <w:rsid w:val="00D46E0A"/>
    <w:rsid w:val="00D46F9A"/>
    <w:rsid w:val="00D47254"/>
    <w:rsid w:val="00D4782F"/>
    <w:rsid w:val="00D50138"/>
    <w:rsid w:val="00D5057E"/>
    <w:rsid w:val="00D50712"/>
    <w:rsid w:val="00D5075D"/>
    <w:rsid w:val="00D509CF"/>
    <w:rsid w:val="00D5101F"/>
    <w:rsid w:val="00D5146D"/>
    <w:rsid w:val="00D51555"/>
    <w:rsid w:val="00D5184F"/>
    <w:rsid w:val="00D519F5"/>
    <w:rsid w:val="00D51B2E"/>
    <w:rsid w:val="00D51DFC"/>
    <w:rsid w:val="00D52471"/>
    <w:rsid w:val="00D52569"/>
    <w:rsid w:val="00D526F6"/>
    <w:rsid w:val="00D52776"/>
    <w:rsid w:val="00D52971"/>
    <w:rsid w:val="00D52AA0"/>
    <w:rsid w:val="00D52D0D"/>
    <w:rsid w:val="00D52DDD"/>
    <w:rsid w:val="00D52ECA"/>
    <w:rsid w:val="00D52F69"/>
    <w:rsid w:val="00D5331A"/>
    <w:rsid w:val="00D53344"/>
    <w:rsid w:val="00D533B8"/>
    <w:rsid w:val="00D53462"/>
    <w:rsid w:val="00D53646"/>
    <w:rsid w:val="00D537DA"/>
    <w:rsid w:val="00D53E56"/>
    <w:rsid w:val="00D53FD1"/>
    <w:rsid w:val="00D5461C"/>
    <w:rsid w:val="00D547EF"/>
    <w:rsid w:val="00D54F1C"/>
    <w:rsid w:val="00D5504C"/>
    <w:rsid w:val="00D550DF"/>
    <w:rsid w:val="00D553FD"/>
    <w:rsid w:val="00D5546D"/>
    <w:rsid w:val="00D5571D"/>
    <w:rsid w:val="00D5576B"/>
    <w:rsid w:val="00D55E9B"/>
    <w:rsid w:val="00D56480"/>
    <w:rsid w:val="00D565DC"/>
    <w:rsid w:val="00D567FE"/>
    <w:rsid w:val="00D5681B"/>
    <w:rsid w:val="00D56D4B"/>
    <w:rsid w:val="00D56DE1"/>
    <w:rsid w:val="00D56E1D"/>
    <w:rsid w:val="00D56E7D"/>
    <w:rsid w:val="00D5700A"/>
    <w:rsid w:val="00D570D0"/>
    <w:rsid w:val="00D57394"/>
    <w:rsid w:val="00D57559"/>
    <w:rsid w:val="00D5771D"/>
    <w:rsid w:val="00D578E5"/>
    <w:rsid w:val="00D578F5"/>
    <w:rsid w:val="00D5795B"/>
    <w:rsid w:val="00D57B0C"/>
    <w:rsid w:val="00D57E15"/>
    <w:rsid w:val="00D602E8"/>
    <w:rsid w:val="00D60649"/>
    <w:rsid w:val="00D60770"/>
    <w:rsid w:val="00D60933"/>
    <w:rsid w:val="00D614F4"/>
    <w:rsid w:val="00D61717"/>
    <w:rsid w:val="00D61BE6"/>
    <w:rsid w:val="00D61D75"/>
    <w:rsid w:val="00D61EFB"/>
    <w:rsid w:val="00D623FD"/>
    <w:rsid w:val="00D62938"/>
    <w:rsid w:val="00D62B47"/>
    <w:rsid w:val="00D62DCE"/>
    <w:rsid w:val="00D62FA6"/>
    <w:rsid w:val="00D63118"/>
    <w:rsid w:val="00D631A8"/>
    <w:rsid w:val="00D634FD"/>
    <w:rsid w:val="00D63C96"/>
    <w:rsid w:val="00D6416D"/>
    <w:rsid w:val="00D64238"/>
    <w:rsid w:val="00D645B6"/>
    <w:rsid w:val="00D64D02"/>
    <w:rsid w:val="00D65071"/>
    <w:rsid w:val="00D651F3"/>
    <w:rsid w:val="00D66022"/>
    <w:rsid w:val="00D66341"/>
    <w:rsid w:val="00D6663E"/>
    <w:rsid w:val="00D666D9"/>
    <w:rsid w:val="00D66837"/>
    <w:rsid w:val="00D6686B"/>
    <w:rsid w:val="00D66A0B"/>
    <w:rsid w:val="00D66B68"/>
    <w:rsid w:val="00D66D87"/>
    <w:rsid w:val="00D67127"/>
    <w:rsid w:val="00D672D4"/>
    <w:rsid w:val="00D67535"/>
    <w:rsid w:val="00D675BA"/>
    <w:rsid w:val="00D67938"/>
    <w:rsid w:val="00D701F9"/>
    <w:rsid w:val="00D702D4"/>
    <w:rsid w:val="00D7044A"/>
    <w:rsid w:val="00D707AF"/>
    <w:rsid w:val="00D707E3"/>
    <w:rsid w:val="00D71029"/>
    <w:rsid w:val="00D711C2"/>
    <w:rsid w:val="00D7137E"/>
    <w:rsid w:val="00D7154D"/>
    <w:rsid w:val="00D717EF"/>
    <w:rsid w:val="00D718A8"/>
    <w:rsid w:val="00D71B6E"/>
    <w:rsid w:val="00D72187"/>
    <w:rsid w:val="00D724D3"/>
    <w:rsid w:val="00D7257D"/>
    <w:rsid w:val="00D7274C"/>
    <w:rsid w:val="00D72A8E"/>
    <w:rsid w:val="00D72D59"/>
    <w:rsid w:val="00D72EFE"/>
    <w:rsid w:val="00D73105"/>
    <w:rsid w:val="00D73222"/>
    <w:rsid w:val="00D738F1"/>
    <w:rsid w:val="00D73A8A"/>
    <w:rsid w:val="00D73C1C"/>
    <w:rsid w:val="00D73E32"/>
    <w:rsid w:val="00D73FFD"/>
    <w:rsid w:val="00D7407B"/>
    <w:rsid w:val="00D744F2"/>
    <w:rsid w:val="00D74B3F"/>
    <w:rsid w:val="00D7528D"/>
    <w:rsid w:val="00D75361"/>
    <w:rsid w:val="00D75556"/>
    <w:rsid w:val="00D7573C"/>
    <w:rsid w:val="00D75A6C"/>
    <w:rsid w:val="00D75E7C"/>
    <w:rsid w:val="00D760E3"/>
    <w:rsid w:val="00D76620"/>
    <w:rsid w:val="00D76764"/>
    <w:rsid w:val="00D76A9A"/>
    <w:rsid w:val="00D76E27"/>
    <w:rsid w:val="00D76E8A"/>
    <w:rsid w:val="00D76ECA"/>
    <w:rsid w:val="00D76F26"/>
    <w:rsid w:val="00D76F35"/>
    <w:rsid w:val="00D76F59"/>
    <w:rsid w:val="00D7706C"/>
    <w:rsid w:val="00D77223"/>
    <w:rsid w:val="00D772E6"/>
    <w:rsid w:val="00D773BF"/>
    <w:rsid w:val="00D775C2"/>
    <w:rsid w:val="00D7786D"/>
    <w:rsid w:val="00D77887"/>
    <w:rsid w:val="00D77C8E"/>
    <w:rsid w:val="00D80054"/>
    <w:rsid w:val="00D8015C"/>
    <w:rsid w:val="00D801FC"/>
    <w:rsid w:val="00D8055E"/>
    <w:rsid w:val="00D80646"/>
    <w:rsid w:val="00D80976"/>
    <w:rsid w:val="00D80BE9"/>
    <w:rsid w:val="00D80CEA"/>
    <w:rsid w:val="00D80D5D"/>
    <w:rsid w:val="00D810DD"/>
    <w:rsid w:val="00D812EE"/>
    <w:rsid w:val="00D816DC"/>
    <w:rsid w:val="00D816F7"/>
    <w:rsid w:val="00D817B8"/>
    <w:rsid w:val="00D81E4D"/>
    <w:rsid w:val="00D81F4A"/>
    <w:rsid w:val="00D82016"/>
    <w:rsid w:val="00D82176"/>
    <w:rsid w:val="00D82179"/>
    <w:rsid w:val="00D82285"/>
    <w:rsid w:val="00D82356"/>
    <w:rsid w:val="00D824DF"/>
    <w:rsid w:val="00D827B7"/>
    <w:rsid w:val="00D8289E"/>
    <w:rsid w:val="00D8316F"/>
    <w:rsid w:val="00D83389"/>
    <w:rsid w:val="00D833D8"/>
    <w:rsid w:val="00D834B2"/>
    <w:rsid w:val="00D835CF"/>
    <w:rsid w:val="00D837F2"/>
    <w:rsid w:val="00D83C91"/>
    <w:rsid w:val="00D83CD4"/>
    <w:rsid w:val="00D83E5B"/>
    <w:rsid w:val="00D84513"/>
    <w:rsid w:val="00D846AC"/>
    <w:rsid w:val="00D848BC"/>
    <w:rsid w:val="00D848F3"/>
    <w:rsid w:val="00D85314"/>
    <w:rsid w:val="00D857F7"/>
    <w:rsid w:val="00D85A99"/>
    <w:rsid w:val="00D85F09"/>
    <w:rsid w:val="00D863E6"/>
    <w:rsid w:val="00D8652A"/>
    <w:rsid w:val="00D86613"/>
    <w:rsid w:val="00D86730"/>
    <w:rsid w:val="00D8696E"/>
    <w:rsid w:val="00D86AB9"/>
    <w:rsid w:val="00D86B33"/>
    <w:rsid w:val="00D86FBD"/>
    <w:rsid w:val="00D86FF1"/>
    <w:rsid w:val="00D872E1"/>
    <w:rsid w:val="00D874F8"/>
    <w:rsid w:val="00D878AD"/>
    <w:rsid w:val="00D87982"/>
    <w:rsid w:val="00D87C17"/>
    <w:rsid w:val="00D87CEC"/>
    <w:rsid w:val="00D87EF6"/>
    <w:rsid w:val="00D905B1"/>
    <w:rsid w:val="00D90686"/>
    <w:rsid w:val="00D90751"/>
    <w:rsid w:val="00D907D4"/>
    <w:rsid w:val="00D90CAB"/>
    <w:rsid w:val="00D90E2A"/>
    <w:rsid w:val="00D910A4"/>
    <w:rsid w:val="00D9122D"/>
    <w:rsid w:val="00D914C9"/>
    <w:rsid w:val="00D91849"/>
    <w:rsid w:val="00D923E8"/>
    <w:rsid w:val="00D92461"/>
    <w:rsid w:val="00D929C0"/>
    <w:rsid w:val="00D92A47"/>
    <w:rsid w:val="00D92D1B"/>
    <w:rsid w:val="00D92DD2"/>
    <w:rsid w:val="00D92E5A"/>
    <w:rsid w:val="00D92EB0"/>
    <w:rsid w:val="00D92FCC"/>
    <w:rsid w:val="00D9332B"/>
    <w:rsid w:val="00D93885"/>
    <w:rsid w:val="00D93B04"/>
    <w:rsid w:val="00D93B1D"/>
    <w:rsid w:val="00D93C4C"/>
    <w:rsid w:val="00D93E54"/>
    <w:rsid w:val="00D942F7"/>
    <w:rsid w:val="00D94384"/>
    <w:rsid w:val="00D9472C"/>
    <w:rsid w:val="00D949F5"/>
    <w:rsid w:val="00D94A6A"/>
    <w:rsid w:val="00D94C56"/>
    <w:rsid w:val="00D94FF8"/>
    <w:rsid w:val="00D95413"/>
    <w:rsid w:val="00D95929"/>
    <w:rsid w:val="00D96014"/>
    <w:rsid w:val="00D966CC"/>
    <w:rsid w:val="00D96868"/>
    <w:rsid w:val="00D968C9"/>
    <w:rsid w:val="00D96AAB"/>
    <w:rsid w:val="00D96B60"/>
    <w:rsid w:val="00D971E1"/>
    <w:rsid w:val="00D972CD"/>
    <w:rsid w:val="00D975C6"/>
    <w:rsid w:val="00D978A4"/>
    <w:rsid w:val="00D97A5F"/>
    <w:rsid w:val="00D97C35"/>
    <w:rsid w:val="00D97C36"/>
    <w:rsid w:val="00D97C7D"/>
    <w:rsid w:val="00DA0235"/>
    <w:rsid w:val="00DA05E6"/>
    <w:rsid w:val="00DA0659"/>
    <w:rsid w:val="00DA0692"/>
    <w:rsid w:val="00DA0781"/>
    <w:rsid w:val="00DA0D6A"/>
    <w:rsid w:val="00DA0E09"/>
    <w:rsid w:val="00DA0E77"/>
    <w:rsid w:val="00DA17FA"/>
    <w:rsid w:val="00DA1801"/>
    <w:rsid w:val="00DA184A"/>
    <w:rsid w:val="00DA191A"/>
    <w:rsid w:val="00DA1947"/>
    <w:rsid w:val="00DA1B36"/>
    <w:rsid w:val="00DA1CCF"/>
    <w:rsid w:val="00DA244C"/>
    <w:rsid w:val="00DA2499"/>
    <w:rsid w:val="00DA277B"/>
    <w:rsid w:val="00DA287A"/>
    <w:rsid w:val="00DA2921"/>
    <w:rsid w:val="00DA299A"/>
    <w:rsid w:val="00DA2CB0"/>
    <w:rsid w:val="00DA3249"/>
    <w:rsid w:val="00DA32E2"/>
    <w:rsid w:val="00DA3558"/>
    <w:rsid w:val="00DA3708"/>
    <w:rsid w:val="00DA37A6"/>
    <w:rsid w:val="00DA38CD"/>
    <w:rsid w:val="00DA3D6F"/>
    <w:rsid w:val="00DA41D1"/>
    <w:rsid w:val="00DA42E3"/>
    <w:rsid w:val="00DA47E3"/>
    <w:rsid w:val="00DA48C2"/>
    <w:rsid w:val="00DA4975"/>
    <w:rsid w:val="00DA4B7B"/>
    <w:rsid w:val="00DA4C0D"/>
    <w:rsid w:val="00DA4EF8"/>
    <w:rsid w:val="00DA4FAC"/>
    <w:rsid w:val="00DA5035"/>
    <w:rsid w:val="00DA5120"/>
    <w:rsid w:val="00DA53D4"/>
    <w:rsid w:val="00DA542F"/>
    <w:rsid w:val="00DA5A8F"/>
    <w:rsid w:val="00DA5C5A"/>
    <w:rsid w:val="00DA5FBE"/>
    <w:rsid w:val="00DA61EB"/>
    <w:rsid w:val="00DA62E0"/>
    <w:rsid w:val="00DA6981"/>
    <w:rsid w:val="00DA6CA6"/>
    <w:rsid w:val="00DA6D41"/>
    <w:rsid w:val="00DA6E42"/>
    <w:rsid w:val="00DA6FA9"/>
    <w:rsid w:val="00DA75F4"/>
    <w:rsid w:val="00DA76D4"/>
    <w:rsid w:val="00DA7780"/>
    <w:rsid w:val="00DA7F71"/>
    <w:rsid w:val="00DB0186"/>
    <w:rsid w:val="00DB01FE"/>
    <w:rsid w:val="00DB024B"/>
    <w:rsid w:val="00DB0252"/>
    <w:rsid w:val="00DB04AB"/>
    <w:rsid w:val="00DB073E"/>
    <w:rsid w:val="00DB09A3"/>
    <w:rsid w:val="00DB0BA2"/>
    <w:rsid w:val="00DB0F95"/>
    <w:rsid w:val="00DB0FA7"/>
    <w:rsid w:val="00DB12B8"/>
    <w:rsid w:val="00DB165E"/>
    <w:rsid w:val="00DB1C30"/>
    <w:rsid w:val="00DB1CCA"/>
    <w:rsid w:val="00DB1EB3"/>
    <w:rsid w:val="00DB2024"/>
    <w:rsid w:val="00DB25CC"/>
    <w:rsid w:val="00DB2B64"/>
    <w:rsid w:val="00DB2CE9"/>
    <w:rsid w:val="00DB2E92"/>
    <w:rsid w:val="00DB33E2"/>
    <w:rsid w:val="00DB3443"/>
    <w:rsid w:val="00DB35B4"/>
    <w:rsid w:val="00DB3A86"/>
    <w:rsid w:val="00DB3B0F"/>
    <w:rsid w:val="00DB3B41"/>
    <w:rsid w:val="00DB3B8F"/>
    <w:rsid w:val="00DB3C49"/>
    <w:rsid w:val="00DB3C79"/>
    <w:rsid w:val="00DB3F36"/>
    <w:rsid w:val="00DB3F7C"/>
    <w:rsid w:val="00DB3F90"/>
    <w:rsid w:val="00DB4183"/>
    <w:rsid w:val="00DB42E9"/>
    <w:rsid w:val="00DB4319"/>
    <w:rsid w:val="00DB4A33"/>
    <w:rsid w:val="00DB59F2"/>
    <w:rsid w:val="00DB5B86"/>
    <w:rsid w:val="00DB5BC2"/>
    <w:rsid w:val="00DB5DC1"/>
    <w:rsid w:val="00DB5DC9"/>
    <w:rsid w:val="00DB6335"/>
    <w:rsid w:val="00DB6528"/>
    <w:rsid w:val="00DB666E"/>
    <w:rsid w:val="00DB6701"/>
    <w:rsid w:val="00DB69C0"/>
    <w:rsid w:val="00DB6D0D"/>
    <w:rsid w:val="00DB6E3A"/>
    <w:rsid w:val="00DB70D2"/>
    <w:rsid w:val="00DB76C8"/>
    <w:rsid w:val="00DB7703"/>
    <w:rsid w:val="00DB7A57"/>
    <w:rsid w:val="00DB7B43"/>
    <w:rsid w:val="00DB7DAA"/>
    <w:rsid w:val="00DC0C63"/>
    <w:rsid w:val="00DC0CC4"/>
    <w:rsid w:val="00DC0D8F"/>
    <w:rsid w:val="00DC0DAC"/>
    <w:rsid w:val="00DC0EBE"/>
    <w:rsid w:val="00DC1CA7"/>
    <w:rsid w:val="00DC2062"/>
    <w:rsid w:val="00DC2162"/>
    <w:rsid w:val="00DC23A0"/>
    <w:rsid w:val="00DC2E66"/>
    <w:rsid w:val="00DC33D8"/>
    <w:rsid w:val="00DC3E3A"/>
    <w:rsid w:val="00DC41B5"/>
    <w:rsid w:val="00DC465A"/>
    <w:rsid w:val="00DC48DA"/>
    <w:rsid w:val="00DC4AED"/>
    <w:rsid w:val="00DC4C74"/>
    <w:rsid w:val="00DC4E07"/>
    <w:rsid w:val="00DC507F"/>
    <w:rsid w:val="00DC5100"/>
    <w:rsid w:val="00DC588F"/>
    <w:rsid w:val="00DC59E6"/>
    <w:rsid w:val="00DC5B37"/>
    <w:rsid w:val="00DC5B63"/>
    <w:rsid w:val="00DC5BB5"/>
    <w:rsid w:val="00DC5E3A"/>
    <w:rsid w:val="00DC6011"/>
    <w:rsid w:val="00DC63E6"/>
    <w:rsid w:val="00DC66EB"/>
    <w:rsid w:val="00DC68F9"/>
    <w:rsid w:val="00DC698E"/>
    <w:rsid w:val="00DC69A6"/>
    <w:rsid w:val="00DC6B67"/>
    <w:rsid w:val="00DC6D28"/>
    <w:rsid w:val="00DC72C6"/>
    <w:rsid w:val="00DC7330"/>
    <w:rsid w:val="00DC7371"/>
    <w:rsid w:val="00DC73E3"/>
    <w:rsid w:val="00DC75DA"/>
    <w:rsid w:val="00DC79BC"/>
    <w:rsid w:val="00DC7AFE"/>
    <w:rsid w:val="00DC7D0D"/>
    <w:rsid w:val="00DC7D4E"/>
    <w:rsid w:val="00DC7DB2"/>
    <w:rsid w:val="00DC7DC7"/>
    <w:rsid w:val="00DC7E81"/>
    <w:rsid w:val="00DD0233"/>
    <w:rsid w:val="00DD0359"/>
    <w:rsid w:val="00DD03CC"/>
    <w:rsid w:val="00DD0682"/>
    <w:rsid w:val="00DD0740"/>
    <w:rsid w:val="00DD0860"/>
    <w:rsid w:val="00DD086C"/>
    <w:rsid w:val="00DD08CC"/>
    <w:rsid w:val="00DD0955"/>
    <w:rsid w:val="00DD10F7"/>
    <w:rsid w:val="00DD1322"/>
    <w:rsid w:val="00DD134C"/>
    <w:rsid w:val="00DD143F"/>
    <w:rsid w:val="00DD1598"/>
    <w:rsid w:val="00DD15D3"/>
    <w:rsid w:val="00DD174D"/>
    <w:rsid w:val="00DD1985"/>
    <w:rsid w:val="00DD1BC2"/>
    <w:rsid w:val="00DD1CE5"/>
    <w:rsid w:val="00DD1F15"/>
    <w:rsid w:val="00DD1F82"/>
    <w:rsid w:val="00DD2137"/>
    <w:rsid w:val="00DD21F2"/>
    <w:rsid w:val="00DD22ED"/>
    <w:rsid w:val="00DD25ED"/>
    <w:rsid w:val="00DD2B4E"/>
    <w:rsid w:val="00DD2BBC"/>
    <w:rsid w:val="00DD2DBB"/>
    <w:rsid w:val="00DD30A9"/>
    <w:rsid w:val="00DD34D6"/>
    <w:rsid w:val="00DD36ED"/>
    <w:rsid w:val="00DD397B"/>
    <w:rsid w:val="00DD3D20"/>
    <w:rsid w:val="00DD4065"/>
    <w:rsid w:val="00DD411E"/>
    <w:rsid w:val="00DD463A"/>
    <w:rsid w:val="00DD4830"/>
    <w:rsid w:val="00DD4B17"/>
    <w:rsid w:val="00DD4BD5"/>
    <w:rsid w:val="00DD4DB0"/>
    <w:rsid w:val="00DD4E68"/>
    <w:rsid w:val="00DD5075"/>
    <w:rsid w:val="00DD5286"/>
    <w:rsid w:val="00DD5501"/>
    <w:rsid w:val="00DD584E"/>
    <w:rsid w:val="00DD58F4"/>
    <w:rsid w:val="00DD5B71"/>
    <w:rsid w:val="00DD5BF8"/>
    <w:rsid w:val="00DD5E6B"/>
    <w:rsid w:val="00DD5ED4"/>
    <w:rsid w:val="00DD5ED5"/>
    <w:rsid w:val="00DD65DA"/>
    <w:rsid w:val="00DD66E2"/>
    <w:rsid w:val="00DD67E7"/>
    <w:rsid w:val="00DD6A3F"/>
    <w:rsid w:val="00DD6AD6"/>
    <w:rsid w:val="00DD6B85"/>
    <w:rsid w:val="00DD6CCD"/>
    <w:rsid w:val="00DD6D47"/>
    <w:rsid w:val="00DD7482"/>
    <w:rsid w:val="00DD74E7"/>
    <w:rsid w:val="00DD7516"/>
    <w:rsid w:val="00DD7726"/>
    <w:rsid w:val="00DD79D3"/>
    <w:rsid w:val="00DD7F9F"/>
    <w:rsid w:val="00DD7FF1"/>
    <w:rsid w:val="00DDCB10"/>
    <w:rsid w:val="00DE0250"/>
    <w:rsid w:val="00DE035D"/>
    <w:rsid w:val="00DE063B"/>
    <w:rsid w:val="00DE12EE"/>
    <w:rsid w:val="00DE1305"/>
    <w:rsid w:val="00DE144E"/>
    <w:rsid w:val="00DE18C3"/>
    <w:rsid w:val="00DE19E1"/>
    <w:rsid w:val="00DE1A02"/>
    <w:rsid w:val="00DE1B63"/>
    <w:rsid w:val="00DE1CA5"/>
    <w:rsid w:val="00DE1E63"/>
    <w:rsid w:val="00DE21A1"/>
    <w:rsid w:val="00DE241A"/>
    <w:rsid w:val="00DE2725"/>
    <w:rsid w:val="00DE2937"/>
    <w:rsid w:val="00DE2A5E"/>
    <w:rsid w:val="00DE2CD4"/>
    <w:rsid w:val="00DE2E5C"/>
    <w:rsid w:val="00DE3034"/>
    <w:rsid w:val="00DE3183"/>
    <w:rsid w:val="00DE33AC"/>
    <w:rsid w:val="00DE358F"/>
    <w:rsid w:val="00DE36EE"/>
    <w:rsid w:val="00DE3771"/>
    <w:rsid w:val="00DE37BE"/>
    <w:rsid w:val="00DE385B"/>
    <w:rsid w:val="00DE38CC"/>
    <w:rsid w:val="00DE3A66"/>
    <w:rsid w:val="00DE3ACD"/>
    <w:rsid w:val="00DE3F45"/>
    <w:rsid w:val="00DE4250"/>
    <w:rsid w:val="00DE4256"/>
    <w:rsid w:val="00DE43D1"/>
    <w:rsid w:val="00DE44B5"/>
    <w:rsid w:val="00DE44BB"/>
    <w:rsid w:val="00DE44F9"/>
    <w:rsid w:val="00DE4596"/>
    <w:rsid w:val="00DE471F"/>
    <w:rsid w:val="00DE4DAB"/>
    <w:rsid w:val="00DE51FB"/>
    <w:rsid w:val="00DE54EA"/>
    <w:rsid w:val="00DE55A9"/>
    <w:rsid w:val="00DE55E0"/>
    <w:rsid w:val="00DE56CE"/>
    <w:rsid w:val="00DE5A9E"/>
    <w:rsid w:val="00DE5ABF"/>
    <w:rsid w:val="00DE5BB0"/>
    <w:rsid w:val="00DE5D86"/>
    <w:rsid w:val="00DE684B"/>
    <w:rsid w:val="00DE695A"/>
    <w:rsid w:val="00DE6A76"/>
    <w:rsid w:val="00DE6B97"/>
    <w:rsid w:val="00DE6BDC"/>
    <w:rsid w:val="00DE6BFE"/>
    <w:rsid w:val="00DE6EAF"/>
    <w:rsid w:val="00DE6F62"/>
    <w:rsid w:val="00DE6FC6"/>
    <w:rsid w:val="00DE76F0"/>
    <w:rsid w:val="00DE790D"/>
    <w:rsid w:val="00DF04FB"/>
    <w:rsid w:val="00DF051B"/>
    <w:rsid w:val="00DF0BD3"/>
    <w:rsid w:val="00DF11BF"/>
    <w:rsid w:val="00DF147E"/>
    <w:rsid w:val="00DF18FE"/>
    <w:rsid w:val="00DF1B0B"/>
    <w:rsid w:val="00DF1B16"/>
    <w:rsid w:val="00DF1B3C"/>
    <w:rsid w:val="00DF200C"/>
    <w:rsid w:val="00DF2605"/>
    <w:rsid w:val="00DF27D9"/>
    <w:rsid w:val="00DF28E5"/>
    <w:rsid w:val="00DF2ABE"/>
    <w:rsid w:val="00DF2AC2"/>
    <w:rsid w:val="00DF2BB3"/>
    <w:rsid w:val="00DF2CBE"/>
    <w:rsid w:val="00DF2F75"/>
    <w:rsid w:val="00DF3103"/>
    <w:rsid w:val="00DF3218"/>
    <w:rsid w:val="00DF3DD4"/>
    <w:rsid w:val="00DF40DC"/>
    <w:rsid w:val="00DF4101"/>
    <w:rsid w:val="00DF4409"/>
    <w:rsid w:val="00DF45A0"/>
    <w:rsid w:val="00DF4897"/>
    <w:rsid w:val="00DF4CE3"/>
    <w:rsid w:val="00DF4DB8"/>
    <w:rsid w:val="00DF4FB1"/>
    <w:rsid w:val="00DF53C9"/>
    <w:rsid w:val="00DF55AB"/>
    <w:rsid w:val="00DF5604"/>
    <w:rsid w:val="00DF5B91"/>
    <w:rsid w:val="00DF5D42"/>
    <w:rsid w:val="00DF5ED0"/>
    <w:rsid w:val="00DF6273"/>
    <w:rsid w:val="00DF65C2"/>
    <w:rsid w:val="00DF669D"/>
    <w:rsid w:val="00DF6826"/>
    <w:rsid w:val="00DF68BE"/>
    <w:rsid w:val="00DF6A7B"/>
    <w:rsid w:val="00DF6FE9"/>
    <w:rsid w:val="00DF71FD"/>
    <w:rsid w:val="00DF7507"/>
    <w:rsid w:val="00DF7684"/>
    <w:rsid w:val="00DF78BD"/>
    <w:rsid w:val="00E00436"/>
    <w:rsid w:val="00E007D2"/>
    <w:rsid w:val="00E00BF4"/>
    <w:rsid w:val="00E00E49"/>
    <w:rsid w:val="00E01128"/>
    <w:rsid w:val="00E011EF"/>
    <w:rsid w:val="00E0142F"/>
    <w:rsid w:val="00E015DA"/>
    <w:rsid w:val="00E016FD"/>
    <w:rsid w:val="00E01803"/>
    <w:rsid w:val="00E01BBD"/>
    <w:rsid w:val="00E01C64"/>
    <w:rsid w:val="00E01F0D"/>
    <w:rsid w:val="00E027DC"/>
    <w:rsid w:val="00E02846"/>
    <w:rsid w:val="00E02A55"/>
    <w:rsid w:val="00E02BAD"/>
    <w:rsid w:val="00E02E74"/>
    <w:rsid w:val="00E02F2B"/>
    <w:rsid w:val="00E02FC4"/>
    <w:rsid w:val="00E0301C"/>
    <w:rsid w:val="00E038C7"/>
    <w:rsid w:val="00E03B8B"/>
    <w:rsid w:val="00E03C84"/>
    <w:rsid w:val="00E04680"/>
    <w:rsid w:val="00E0476D"/>
    <w:rsid w:val="00E04887"/>
    <w:rsid w:val="00E04988"/>
    <w:rsid w:val="00E04A36"/>
    <w:rsid w:val="00E04EF2"/>
    <w:rsid w:val="00E04F1F"/>
    <w:rsid w:val="00E05334"/>
    <w:rsid w:val="00E05A13"/>
    <w:rsid w:val="00E05BA5"/>
    <w:rsid w:val="00E05E92"/>
    <w:rsid w:val="00E0607D"/>
    <w:rsid w:val="00E061F0"/>
    <w:rsid w:val="00E06483"/>
    <w:rsid w:val="00E06516"/>
    <w:rsid w:val="00E06643"/>
    <w:rsid w:val="00E067C9"/>
    <w:rsid w:val="00E0685A"/>
    <w:rsid w:val="00E06A57"/>
    <w:rsid w:val="00E07025"/>
    <w:rsid w:val="00E072BA"/>
    <w:rsid w:val="00E07351"/>
    <w:rsid w:val="00E07997"/>
    <w:rsid w:val="00E07D12"/>
    <w:rsid w:val="00E102EB"/>
    <w:rsid w:val="00E10416"/>
    <w:rsid w:val="00E1063D"/>
    <w:rsid w:val="00E108C2"/>
    <w:rsid w:val="00E10AE8"/>
    <w:rsid w:val="00E10B59"/>
    <w:rsid w:val="00E10CFE"/>
    <w:rsid w:val="00E10E81"/>
    <w:rsid w:val="00E10F1D"/>
    <w:rsid w:val="00E11417"/>
    <w:rsid w:val="00E117FF"/>
    <w:rsid w:val="00E11879"/>
    <w:rsid w:val="00E11BB8"/>
    <w:rsid w:val="00E12577"/>
    <w:rsid w:val="00E12E01"/>
    <w:rsid w:val="00E13057"/>
    <w:rsid w:val="00E1356C"/>
    <w:rsid w:val="00E136C2"/>
    <w:rsid w:val="00E13B4A"/>
    <w:rsid w:val="00E141F4"/>
    <w:rsid w:val="00E144E1"/>
    <w:rsid w:val="00E147E7"/>
    <w:rsid w:val="00E14BFD"/>
    <w:rsid w:val="00E14CCC"/>
    <w:rsid w:val="00E14E13"/>
    <w:rsid w:val="00E1513C"/>
    <w:rsid w:val="00E151D0"/>
    <w:rsid w:val="00E151D8"/>
    <w:rsid w:val="00E152E2"/>
    <w:rsid w:val="00E1541F"/>
    <w:rsid w:val="00E154FD"/>
    <w:rsid w:val="00E15524"/>
    <w:rsid w:val="00E1554F"/>
    <w:rsid w:val="00E1599C"/>
    <w:rsid w:val="00E15BC8"/>
    <w:rsid w:val="00E16B0A"/>
    <w:rsid w:val="00E16BDD"/>
    <w:rsid w:val="00E16C53"/>
    <w:rsid w:val="00E16FFD"/>
    <w:rsid w:val="00E1710A"/>
    <w:rsid w:val="00E171C8"/>
    <w:rsid w:val="00E17535"/>
    <w:rsid w:val="00E17655"/>
    <w:rsid w:val="00E1778E"/>
    <w:rsid w:val="00E17824"/>
    <w:rsid w:val="00E17867"/>
    <w:rsid w:val="00E179D9"/>
    <w:rsid w:val="00E17A4F"/>
    <w:rsid w:val="00E17B41"/>
    <w:rsid w:val="00E17B5B"/>
    <w:rsid w:val="00E2029C"/>
    <w:rsid w:val="00E20603"/>
    <w:rsid w:val="00E20935"/>
    <w:rsid w:val="00E20EEB"/>
    <w:rsid w:val="00E2149D"/>
    <w:rsid w:val="00E216C6"/>
    <w:rsid w:val="00E21738"/>
    <w:rsid w:val="00E21764"/>
    <w:rsid w:val="00E21A79"/>
    <w:rsid w:val="00E21E68"/>
    <w:rsid w:val="00E21EB4"/>
    <w:rsid w:val="00E21F37"/>
    <w:rsid w:val="00E221D1"/>
    <w:rsid w:val="00E221FF"/>
    <w:rsid w:val="00E229EF"/>
    <w:rsid w:val="00E2322E"/>
    <w:rsid w:val="00E23F83"/>
    <w:rsid w:val="00E240FB"/>
    <w:rsid w:val="00E241DD"/>
    <w:rsid w:val="00E24257"/>
    <w:rsid w:val="00E243D5"/>
    <w:rsid w:val="00E24780"/>
    <w:rsid w:val="00E24805"/>
    <w:rsid w:val="00E24C83"/>
    <w:rsid w:val="00E24DD6"/>
    <w:rsid w:val="00E24F62"/>
    <w:rsid w:val="00E25592"/>
    <w:rsid w:val="00E256EF"/>
    <w:rsid w:val="00E25F8D"/>
    <w:rsid w:val="00E25FB7"/>
    <w:rsid w:val="00E25FF2"/>
    <w:rsid w:val="00E26140"/>
    <w:rsid w:val="00E263AB"/>
    <w:rsid w:val="00E26BDC"/>
    <w:rsid w:val="00E27002"/>
    <w:rsid w:val="00E2735F"/>
    <w:rsid w:val="00E273A2"/>
    <w:rsid w:val="00E277B4"/>
    <w:rsid w:val="00E27A6F"/>
    <w:rsid w:val="00E27BA8"/>
    <w:rsid w:val="00E27BBE"/>
    <w:rsid w:val="00E27E0B"/>
    <w:rsid w:val="00E3001A"/>
    <w:rsid w:val="00E301ED"/>
    <w:rsid w:val="00E308CA"/>
    <w:rsid w:val="00E30918"/>
    <w:rsid w:val="00E30967"/>
    <w:rsid w:val="00E3108F"/>
    <w:rsid w:val="00E3114A"/>
    <w:rsid w:val="00E312E0"/>
    <w:rsid w:val="00E313E1"/>
    <w:rsid w:val="00E315DD"/>
    <w:rsid w:val="00E31B9A"/>
    <w:rsid w:val="00E32165"/>
    <w:rsid w:val="00E32851"/>
    <w:rsid w:val="00E330F5"/>
    <w:rsid w:val="00E3348B"/>
    <w:rsid w:val="00E33533"/>
    <w:rsid w:val="00E33899"/>
    <w:rsid w:val="00E33ED4"/>
    <w:rsid w:val="00E342A4"/>
    <w:rsid w:val="00E342AE"/>
    <w:rsid w:val="00E34328"/>
    <w:rsid w:val="00E346A4"/>
    <w:rsid w:val="00E347F7"/>
    <w:rsid w:val="00E34826"/>
    <w:rsid w:val="00E34850"/>
    <w:rsid w:val="00E350AC"/>
    <w:rsid w:val="00E354B6"/>
    <w:rsid w:val="00E35EC4"/>
    <w:rsid w:val="00E362B6"/>
    <w:rsid w:val="00E362EE"/>
    <w:rsid w:val="00E366C9"/>
    <w:rsid w:val="00E36ABF"/>
    <w:rsid w:val="00E36DBB"/>
    <w:rsid w:val="00E36DCB"/>
    <w:rsid w:val="00E36F4C"/>
    <w:rsid w:val="00E371DB"/>
    <w:rsid w:val="00E37315"/>
    <w:rsid w:val="00E37320"/>
    <w:rsid w:val="00E373A1"/>
    <w:rsid w:val="00E373D6"/>
    <w:rsid w:val="00E37826"/>
    <w:rsid w:val="00E37950"/>
    <w:rsid w:val="00E3798E"/>
    <w:rsid w:val="00E37C3A"/>
    <w:rsid w:val="00E37E28"/>
    <w:rsid w:val="00E4046A"/>
    <w:rsid w:val="00E404DB"/>
    <w:rsid w:val="00E40DEE"/>
    <w:rsid w:val="00E4115F"/>
    <w:rsid w:val="00E41355"/>
    <w:rsid w:val="00E418D0"/>
    <w:rsid w:val="00E4205C"/>
    <w:rsid w:val="00E422C2"/>
    <w:rsid w:val="00E42481"/>
    <w:rsid w:val="00E42771"/>
    <w:rsid w:val="00E42BA4"/>
    <w:rsid w:val="00E42BC1"/>
    <w:rsid w:val="00E42D44"/>
    <w:rsid w:val="00E42DFA"/>
    <w:rsid w:val="00E42EF2"/>
    <w:rsid w:val="00E4307A"/>
    <w:rsid w:val="00E434A7"/>
    <w:rsid w:val="00E43898"/>
    <w:rsid w:val="00E43A1C"/>
    <w:rsid w:val="00E43DD9"/>
    <w:rsid w:val="00E4428C"/>
    <w:rsid w:val="00E442F0"/>
    <w:rsid w:val="00E44378"/>
    <w:rsid w:val="00E44A1B"/>
    <w:rsid w:val="00E44CA0"/>
    <w:rsid w:val="00E44D5F"/>
    <w:rsid w:val="00E454E3"/>
    <w:rsid w:val="00E45948"/>
    <w:rsid w:val="00E45D57"/>
    <w:rsid w:val="00E45F0E"/>
    <w:rsid w:val="00E45F81"/>
    <w:rsid w:val="00E45FDF"/>
    <w:rsid w:val="00E46083"/>
    <w:rsid w:val="00E463CD"/>
    <w:rsid w:val="00E464EE"/>
    <w:rsid w:val="00E465C2"/>
    <w:rsid w:val="00E4670E"/>
    <w:rsid w:val="00E46828"/>
    <w:rsid w:val="00E46DD8"/>
    <w:rsid w:val="00E46E4F"/>
    <w:rsid w:val="00E4720B"/>
    <w:rsid w:val="00E472BD"/>
    <w:rsid w:val="00E47628"/>
    <w:rsid w:val="00E4771F"/>
    <w:rsid w:val="00E477A0"/>
    <w:rsid w:val="00E479F6"/>
    <w:rsid w:val="00E47BA5"/>
    <w:rsid w:val="00E503D6"/>
    <w:rsid w:val="00E5069A"/>
    <w:rsid w:val="00E50F44"/>
    <w:rsid w:val="00E50FDE"/>
    <w:rsid w:val="00E51310"/>
    <w:rsid w:val="00E51387"/>
    <w:rsid w:val="00E51687"/>
    <w:rsid w:val="00E516A6"/>
    <w:rsid w:val="00E516B3"/>
    <w:rsid w:val="00E517BD"/>
    <w:rsid w:val="00E5190C"/>
    <w:rsid w:val="00E51912"/>
    <w:rsid w:val="00E519C5"/>
    <w:rsid w:val="00E51B71"/>
    <w:rsid w:val="00E523F5"/>
    <w:rsid w:val="00E525FF"/>
    <w:rsid w:val="00E528D0"/>
    <w:rsid w:val="00E5297F"/>
    <w:rsid w:val="00E52C71"/>
    <w:rsid w:val="00E52FCD"/>
    <w:rsid w:val="00E53097"/>
    <w:rsid w:val="00E533C9"/>
    <w:rsid w:val="00E533F9"/>
    <w:rsid w:val="00E535B5"/>
    <w:rsid w:val="00E53618"/>
    <w:rsid w:val="00E5373A"/>
    <w:rsid w:val="00E5384C"/>
    <w:rsid w:val="00E53A5A"/>
    <w:rsid w:val="00E53D80"/>
    <w:rsid w:val="00E5405A"/>
    <w:rsid w:val="00E54095"/>
    <w:rsid w:val="00E5465F"/>
    <w:rsid w:val="00E5484E"/>
    <w:rsid w:val="00E54B20"/>
    <w:rsid w:val="00E54BBC"/>
    <w:rsid w:val="00E54F83"/>
    <w:rsid w:val="00E558B5"/>
    <w:rsid w:val="00E55A1D"/>
    <w:rsid w:val="00E55D07"/>
    <w:rsid w:val="00E55E8C"/>
    <w:rsid w:val="00E55FCE"/>
    <w:rsid w:val="00E560D8"/>
    <w:rsid w:val="00E5618E"/>
    <w:rsid w:val="00E5651B"/>
    <w:rsid w:val="00E568BB"/>
    <w:rsid w:val="00E56929"/>
    <w:rsid w:val="00E56C5D"/>
    <w:rsid w:val="00E56E94"/>
    <w:rsid w:val="00E56F09"/>
    <w:rsid w:val="00E570D5"/>
    <w:rsid w:val="00E5717E"/>
    <w:rsid w:val="00E57840"/>
    <w:rsid w:val="00E57C1D"/>
    <w:rsid w:val="00E60081"/>
    <w:rsid w:val="00E602B4"/>
    <w:rsid w:val="00E60437"/>
    <w:rsid w:val="00E6053F"/>
    <w:rsid w:val="00E60704"/>
    <w:rsid w:val="00E60839"/>
    <w:rsid w:val="00E60901"/>
    <w:rsid w:val="00E6101F"/>
    <w:rsid w:val="00E614E1"/>
    <w:rsid w:val="00E61501"/>
    <w:rsid w:val="00E61889"/>
    <w:rsid w:val="00E61B3E"/>
    <w:rsid w:val="00E61C6D"/>
    <w:rsid w:val="00E62248"/>
    <w:rsid w:val="00E625AB"/>
    <w:rsid w:val="00E62687"/>
    <w:rsid w:val="00E629E9"/>
    <w:rsid w:val="00E62AFA"/>
    <w:rsid w:val="00E62B1F"/>
    <w:rsid w:val="00E62CDE"/>
    <w:rsid w:val="00E62D41"/>
    <w:rsid w:val="00E6341A"/>
    <w:rsid w:val="00E63606"/>
    <w:rsid w:val="00E6372C"/>
    <w:rsid w:val="00E637E8"/>
    <w:rsid w:val="00E638D6"/>
    <w:rsid w:val="00E63958"/>
    <w:rsid w:val="00E63AA9"/>
    <w:rsid w:val="00E6458B"/>
    <w:rsid w:val="00E64706"/>
    <w:rsid w:val="00E64826"/>
    <w:rsid w:val="00E649B1"/>
    <w:rsid w:val="00E64AF1"/>
    <w:rsid w:val="00E64CD0"/>
    <w:rsid w:val="00E64D31"/>
    <w:rsid w:val="00E64DBB"/>
    <w:rsid w:val="00E64E25"/>
    <w:rsid w:val="00E651D6"/>
    <w:rsid w:val="00E654C4"/>
    <w:rsid w:val="00E65997"/>
    <w:rsid w:val="00E66053"/>
    <w:rsid w:val="00E661D5"/>
    <w:rsid w:val="00E66435"/>
    <w:rsid w:val="00E668D6"/>
    <w:rsid w:val="00E669E8"/>
    <w:rsid w:val="00E66AD3"/>
    <w:rsid w:val="00E6705F"/>
    <w:rsid w:val="00E670A5"/>
    <w:rsid w:val="00E67AB7"/>
    <w:rsid w:val="00E67B81"/>
    <w:rsid w:val="00E67BC9"/>
    <w:rsid w:val="00E67C72"/>
    <w:rsid w:val="00E67CF6"/>
    <w:rsid w:val="00E67DD7"/>
    <w:rsid w:val="00E67F1C"/>
    <w:rsid w:val="00E67F59"/>
    <w:rsid w:val="00E7003F"/>
    <w:rsid w:val="00E70524"/>
    <w:rsid w:val="00E7061A"/>
    <w:rsid w:val="00E70658"/>
    <w:rsid w:val="00E70880"/>
    <w:rsid w:val="00E70BA4"/>
    <w:rsid w:val="00E70F54"/>
    <w:rsid w:val="00E71074"/>
    <w:rsid w:val="00E71262"/>
    <w:rsid w:val="00E713F0"/>
    <w:rsid w:val="00E719B8"/>
    <w:rsid w:val="00E71A16"/>
    <w:rsid w:val="00E71CF8"/>
    <w:rsid w:val="00E720E4"/>
    <w:rsid w:val="00E722A2"/>
    <w:rsid w:val="00E72485"/>
    <w:rsid w:val="00E7264E"/>
    <w:rsid w:val="00E727C0"/>
    <w:rsid w:val="00E72AF6"/>
    <w:rsid w:val="00E72B43"/>
    <w:rsid w:val="00E731CD"/>
    <w:rsid w:val="00E735DA"/>
    <w:rsid w:val="00E736B7"/>
    <w:rsid w:val="00E7396D"/>
    <w:rsid w:val="00E739C5"/>
    <w:rsid w:val="00E73CB9"/>
    <w:rsid w:val="00E73DF5"/>
    <w:rsid w:val="00E73FA5"/>
    <w:rsid w:val="00E7405A"/>
    <w:rsid w:val="00E74177"/>
    <w:rsid w:val="00E7418F"/>
    <w:rsid w:val="00E744F6"/>
    <w:rsid w:val="00E745CD"/>
    <w:rsid w:val="00E74B8E"/>
    <w:rsid w:val="00E74DB2"/>
    <w:rsid w:val="00E750C5"/>
    <w:rsid w:val="00E75304"/>
    <w:rsid w:val="00E75311"/>
    <w:rsid w:val="00E75428"/>
    <w:rsid w:val="00E7544F"/>
    <w:rsid w:val="00E75492"/>
    <w:rsid w:val="00E75BDD"/>
    <w:rsid w:val="00E75BFD"/>
    <w:rsid w:val="00E76339"/>
    <w:rsid w:val="00E76C20"/>
    <w:rsid w:val="00E7711B"/>
    <w:rsid w:val="00E771C4"/>
    <w:rsid w:val="00E7755E"/>
    <w:rsid w:val="00E776B4"/>
    <w:rsid w:val="00E776EB"/>
    <w:rsid w:val="00E7791A"/>
    <w:rsid w:val="00E77AAC"/>
    <w:rsid w:val="00E77CF7"/>
    <w:rsid w:val="00E77D2E"/>
    <w:rsid w:val="00E77DDC"/>
    <w:rsid w:val="00E77E18"/>
    <w:rsid w:val="00E77F8C"/>
    <w:rsid w:val="00E80203"/>
    <w:rsid w:val="00E802A3"/>
    <w:rsid w:val="00E804E1"/>
    <w:rsid w:val="00E80517"/>
    <w:rsid w:val="00E806D4"/>
    <w:rsid w:val="00E808E0"/>
    <w:rsid w:val="00E80989"/>
    <w:rsid w:val="00E80C69"/>
    <w:rsid w:val="00E80DEC"/>
    <w:rsid w:val="00E80FE8"/>
    <w:rsid w:val="00E811A0"/>
    <w:rsid w:val="00E817AD"/>
    <w:rsid w:val="00E81B79"/>
    <w:rsid w:val="00E81F3D"/>
    <w:rsid w:val="00E82438"/>
    <w:rsid w:val="00E82505"/>
    <w:rsid w:val="00E82567"/>
    <w:rsid w:val="00E826B2"/>
    <w:rsid w:val="00E828BE"/>
    <w:rsid w:val="00E82AC8"/>
    <w:rsid w:val="00E82B16"/>
    <w:rsid w:val="00E82BBD"/>
    <w:rsid w:val="00E831BB"/>
    <w:rsid w:val="00E83772"/>
    <w:rsid w:val="00E83944"/>
    <w:rsid w:val="00E83B5B"/>
    <w:rsid w:val="00E83F68"/>
    <w:rsid w:val="00E83F91"/>
    <w:rsid w:val="00E846C1"/>
    <w:rsid w:val="00E84726"/>
    <w:rsid w:val="00E84A51"/>
    <w:rsid w:val="00E84A9E"/>
    <w:rsid w:val="00E84C31"/>
    <w:rsid w:val="00E85480"/>
    <w:rsid w:val="00E85484"/>
    <w:rsid w:val="00E85860"/>
    <w:rsid w:val="00E8594B"/>
    <w:rsid w:val="00E85D08"/>
    <w:rsid w:val="00E85DB8"/>
    <w:rsid w:val="00E86196"/>
    <w:rsid w:val="00E861A1"/>
    <w:rsid w:val="00E8624B"/>
    <w:rsid w:val="00E863DE"/>
    <w:rsid w:val="00E866F1"/>
    <w:rsid w:val="00E86991"/>
    <w:rsid w:val="00E86A5C"/>
    <w:rsid w:val="00E86B10"/>
    <w:rsid w:val="00E86C23"/>
    <w:rsid w:val="00E86EB0"/>
    <w:rsid w:val="00E8716C"/>
    <w:rsid w:val="00E87510"/>
    <w:rsid w:val="00E8778C"/>
    <w:rsid w:val="00E879B2"/>
    <w:rsid w:val="00E87A00"/>
    <w:rsid w:val="00E87DF7"/>
    <w:rsid w:val="00E9012D"/>
    <w:rsid w:val="00E901D2"/>
    <w:rsid w:val="00E9021A"/>
    <w:rsid w:val="00E903B3"/>
    <w:rsid w:val="00E905F8"/>
    <w:rsid w:val="00E906D8"/>
    <w:rsid w:val="00E906EA"/>
    <w:rsid w:val="00E909C8"/>
    <w:rsid w:val="00E90A80"/>
    <w:rsid w:val="00E90AD4"/>
    <w:rsid w:val="00E90CA8"/>
    <w:rsid w:val="00E91026"/>
    <w:rsid w:val="00E91401"/>
    <w:rsid w:val="00E91595"/>
    <w:rsid w:val="00E91765"/>
    <w:rsid w:val="00E917EB"/>
    <w:rsid w:val="00E918D8"/>
    <w:rsid w:val="00E91C9D"/>
    <w:rsid w:val="00E92315"/>
    <w:rsid w:val="00E92891"/>
    <w:rsid w:val="00E92A1C"/>
    <w:rsid w:val="00E931D9"/>
    <w:rsid w:val="00E933FB"/>
    <w:rsid w:val="00E9345A"/>
    <w:rsid w:val="00E9367F"/>
    <w:rsid w:val="00E93696"/>
    <w:rsid w:val="00E93903"/>
    <w:rsid w:val="00E93CB3"/>
    <w:rsid w:val="00E93E86"/>
    <w:rsid w:val="00E93E87"/>
    <w:rsid w:val="00E93F4D"/>
    <w:rsid w:val="00E9402C"/>
    <w:rsid w:val="00E940AA"/>
    <w:rsid w:val="00E94381"/>
    <w:rsid w:val="00E94429"/>
    <w:rsid w:val="00E94481"/>
    <w:rsid w:val="00E945BE"/>
    <w:rsid w:val="00E948B7"/>
    <w:rsid w:val="00E94B53"/>
    <w:rsid w:val="00E94BBF"/>
    <w:rsid w:val="00E95096"/>
    <w:rsid w:val="00E95368"/>
    <w:rsid w:val="00E955F0"/>
    <w:rsid w:val="00E958A5"/>
    <w:rsid w:val="00E95D65"/>
    <w:rsid w:val="00E96239"/>
    <w:rsid w:val="00E964CD"/>
    <w:rsid w:val="00E969EC"/>
    <w:rsid w:val="00E96A8E"/>
    <w:rsid w:val="00E96B80"/>
    <w:rsid w:val="00E96CB2"/>
    <w:rsid w:val="00E96CFF"/>
    <w:rsid w:val="00E96DB5"/>
    <w:rsid w:val="00E971C4"/>
    <w:rsid w:val="00E972FE"/>
    <w:rsid w:val="00E97609"/>
    <w:rsid w:val="00E97D38"/>
    <w:rsid w:val="00EA0320"/>
    <w:rsid w:val="00EA0626"/>
    <w:rsid w:val="00EA0954"/>
    <w:rsid w:val="00EA0AB4"/>
    <w:rsid w:val="00EA0C4F"/>
    <w:rsid w:val="00EA0D60"/>
    <w:rsid w:val="00EA0E45"/>
    <w:rsid w:val="00EA0FB9"/>
    <w:rsid w:val="00EA12A7"/>
    <w:rsid w:val="00EA1994"/>
    <w:rsid w:val="00EA1AA2"/>
    <w:rsid w:val="00EA1AA6"/>
    <w:rsid w:val="00EA1BC9"/>
    <w:rsid w:val="00EA1DD7"/>
    <w:rsid w:val="00EA1F2B"/>
    <w:rsid w:val="00EA21B7"/>
    <w:rsid w:val="00EA23B3"/>
    <w:rsid w:val="00EA23EC"/>
    <w:rsid w:val="00EA26FA"/>
    <w:rsid w:val="00EA298E"/>
    <w:rsid w:val="00EA31B0"/>
    <w:rsid w:val="00EA328C"/>
    <w:rsid w:val="00EA33DC"/>
    <w:rsid w:val="00EA36A9"/>
    <w:rsid w:val="00EA3A05"/>
    <w:rsid w:val="00EA3A9B"/>
    <w:rsid w:val="00EA402A"/>
    <w:rsid w:val="00EA40B8"/>
    <w:rsid w:val="00EA41E3"/>
    <w:rsid w:val="00EA44AD"/>
    <w:rsid w:val="00EA44DA"/>
    <w:rsid w:val="00EA4FF1"/>
    <w:rsid w:val="00EA5303"/>
    <w:rsid w:val="00EA548D"/>
    <w:rsid w:val="00EA54D5"/>
    <w:rsid w:val="00EA557E"/>
    <w:rsid w:val="00EA5666"/>
    <w:rsid w:val="00EA58A1"/>
    <w:rsid w:val="00EA58BB"/>
    <w:rsid w:val="00EA5DBE"/>
    <w:rsid w:val="00EA5EDF"/>
    <w:rsid w:val="00EA612C"/>
    <w:rsid w:val="00EA6151"/>
    <w:rsid w:val="00EA658F"/>
    <w:rsid w:val="00EA66CA"/>
    <w:rsid w:val="00EA6731"/>
    <w:rsid w:val="00EA69A8"/>
    <w:rsid w:val="00EA6ACE"/>
    <w:rsid w:val="00EA6F06"/>
    <w:rsid w:val="00EA6F2E"/>
    <w:rsid w:val="00EA79A5"/>
    <w:rsid w:val="00EA7C7A"/>
    <w:rsid w:val="00EAD8D4"/>
    <w:rsid w:val="00EB0039"/>
    <w:rsid w:val="00EB01B7"/>
    <w:rsid w:val="00EB0494"/>
    <w:rsid w:val="00EB0596"/>
    <w:rsid w:val="00EB064C"/>
    <w:rsid w:val="00EB074E"/>
    <w:rsid w:val="00EB08F3"/>
    <w:rsid w:val="00EB0B27"/>
    <w:rsid w:val="00EB0BAA"/>
    <w:rsid w:val="00EB0EE4"/>
    <w:rsid w:val="00EB1578"/>
    <w:rsid w:val="00EB1721"/>
    <w:rsid w:val="00EB1B89"/>
    <w:rsid w:val="00EB1E79"/>
    <w:rsid w:val="00EB2160"/>
    <w:rsid w:val="00EB2231"/>
    <w:rsid w:val="00EB2979"/>
    <w:rsid w:val="00EB2A40"/>
    <w:rsid w:val="00EB2B9C"/>
    <w:rsid w:val="00EB2F3C"/>
    <w:rsid w:val="00EB2F88"/>
    <w:rsid w:val="00EB31AA"/>
    <w:rsid w:val="00EB31CE"/>
    <w:rsid w:val="00EB32D0"/>
    <w:rsid w:val="00EB3619"/>
    <w:rsid w:val="00EB3689"/>
    <w:rsid w:val="00EB3939"/>
    <w:rsid w:val="00EB39D2"/>
    <w:rsid w:val="00EB3A2B"/>
    <w:rsid w:val="00EB3D1B"/>
    <w:rsid w:val="00EB4109"/>
    <w:rsid w:val="00EB4579"/>
    <w:rsid w:val="00EB499C"/>
    <w:rsid w:val="00EB4A14"/>
    <w:rsid w:val="00EB4EF2"/>
    <w:rsid w:val="00EB502B"/>
    <w:rsid w:val="00EB538D"/>
    <w:rsid w:val="00EB53A5"/>
    <w:rsid w:val="00EB54F5"/>
    <w:rsid w:val="00EB5642"/>
    <w:rsid w:val="00EB5AE9"/>
    <w:rsid w:val="00EB5B01"/>
    <w:rsid w:val="00EB5D52"/>
    <w:rsid w:val="00EB5DCF"/>
    <w:rsid w:val="00EB628C"/>
    <w:rsid w:val="00EB6434"/>
    <w:rsid w:val="00EB6679"/>
    <w:rsid w:val="00EB6686"/>
    <w:rsid w:val="00EB721D"/>
    <w:rsid w:val="00EB7662"/>
    <w:rsid w:val="00EB7669"/>
    <w:rsid w:val="00EB76F0"/>
    <w:rsid w:val="00EB7704"/>
    <w:rsid w:val="00EB77ED"/>
    <w:rsid w:val="00EC0005"/>
    <w:rsid w:val="00EC0311"/>
    <w:rsid w:val="00EC0367"/>
    <w:rsid w:val="00EC0434"/>
    <w:rsid w:val="00EC0519"/>
    <w:rsid w:val="00EC054F"/>
    <w:rsid w:val="00EC0777"/>
    <w:rsid w:val="00EC0C20"/>
    <w:rsid w:val="00EC0EDD"/>
    <w:rsid w:val="00EC0FF7"/>
    <w:rsid w:val="00EC136E"/>
    <w:rsid w:val="00EC17B5"/>
    <w:rsid w:val="00EC181A"/>
    <w:rsid w:val="00EC1AAD"/>
    <w:rsid w:val="00EC1B45"/>
    <w:rsid w:val="00EC2935"/>
    <w:rsid w:val="00EC29F4"/>
    <w:rsid w:val="00EC2C01"/>
    <w:rsid w:val="00EC2C3F"/>
    <w:rsid w:val="00EC2C4D"/>
    <w:rsid w:val="00EC2E6C"/>
    <w:rsid w:val="00EC2F22"/>
    <w:rsid w:val="00EC3276"/>
    <w:rsid w:val="00EC32C5"/>
    <w:rsid w:val="00EC339C"/>
    <w:rsid w:val="00EC341A"/>
    <w:rsid w:val="00EC3519"/>
    <w:rsid w:val="00EC394A"/>
    <w:rsid w:val="00EC3A81"/>
    <w:rsid w:val="00EC3BB6"/>
    <w:rsid w:val="00EC40C2"/>
    <w:rsid w:val="00EC41CF"/>
    <w:rsid w:val="00EC4425"/>
    <w:rsid w:val="00EC4538"/>
    <w:rsid w:val="00EC45CC"/>
    <w:rsid w:val="00EC4905"/>
    <w:rsid w:val="00EC4DAE"/>
    <w:rsid w:val="00EC4F8B"/>
    <w:rsid w:val="00EC5081"/>
    <w:rsid w:val="00EC551B"/>
    <w:rsid w:val="00EC5BAF"/>
    <w:rsid w:val="00EC5BD2"/>
    <w:rsid w:val="00EC6082"/>
    <w:rsid w:val="00EC6084"/>
    <w:rsid w:val="00EC712E"/>
    <w:rsid w:val="00EC7240"/>
    <w:rsid w:val="00EC7283"/>
    <w:rsid w:val="00EC76E2"/>
    <w:rsid w:val="00EC7945"/>
    <w:rsid w:val="00EC7AC4"/>
    <w:rsid w:val="00EC7EFC"/>
    <w:rsid w:val="00EC7F2D"/>
    <w:rsid w:val="00ED0414"/>
    <w:rsid w:val="00ED075A"/>
    <w:rsid w:val="00ED09F0"/>
    <w:rsid w:val="00ED0A51"/>
    <w:rsid w:val="00ED0D1D"/>
    <w:rsid w:val="00ED126C"/>
    <w:rsid w:val="00ED13CD"/>
    <w:rsid w:val="00ED1470"/>
    <w:rsid w:val="00ED1620"/>
    <w:rsid w:val="00ED1642"/>
    <w:rsid w:val="00ED17F6"/>
    <w:rsid w:val="00ED1947"/>
    <w:rsid w:val="00ED1A86"/>
    <w:rsid w:val="00ED1C61"/>
    <w:rsid w:val="00ED296F"/>
    <w:rsid w:val="00ED2B9B"/>
    <w:rsid w:val="00ED2DF1"/>
    <w:rsid w:val="00ED2DF5"/>
    <w:rsid w:val="00ED2E02"/>
    <w:rsid w:val="00ED2F7E"/>
    <w:rsid w:val="00ED3121"/>
    <w:rsid w:val="00ED3721"/>
    <w:rsid w:val="00ED383C"/>
    <w:rsid w:val="00ED3959"/>
    <w:rsid w:val="00ED4163"/>
    <w:rsid w:val="00ED42A8"/>
    <w:rsid w:val="00ED4393"/>
    <w:rsid w:val="00ED507A"/>
    <w:rsid w:val="00ED53F3"/>
    <w:rsid w:val="00ED565D"/>
    <w:rsid w:val="00ED6042"/>
    <w:rsid w:val="00ED63C4"/>
    <w:rsid w:val="00ED65B1"/>
    <w:rsid w:val="00ED661C"/>
    <w:rsid w:val="00ED69E7"/>
    <w:rsid w:val="00ED6AE5"/>
    <w:rsid w:val="00ED6B50"/>
    <w:rsid w:val="00ED6EA3"/>
    <w:rsid w:val="00ED7132"/>
    <w:rsid w:val="00ED71F0"/>
    <w:rsid w:val="00ED7307"/>
    <w:rsid w:val="00ED76EF"/>
    <w:rsid w:val="00ED7930"/>
    <w:rsid w:val="00ED79C0"/>
    <w:rsid w:val="00ED7D44"/>
    <w:rsid w:val="00ED7FC8"/>
    <w:rsid w:val="00EE0223"/>
    <w:rsid w:val="00EE0875"/>
    <w:rsid w:val="00EE0B36"/>
    <w:rsid w:val="00EE1639"/>
    <w:rsid w:val="00EE1D0F"/>
    <w:rsid w:val="00EE1D35"/>
    <w:rsid w:val="00EE249E"/>
    <w:rsid w:val="00EE253A"/>
    <w:rsid w:val="00EE26D6"/>
    <w:rsid w:val="00EE2788"/>
    <w:rsid w:val="00EE28D4"/>
    <w:rsid w:val="00EE2E12"/>
    <w:rsid w:val="00EE2E34"/>
    <w:rsid w:val="00EE2E82"/>
    <w:rsid w:val="00EE2F7A"/>
    <w:rsid w:val="00EE30BB"/>
    <w:rsid w:val="00EE3624"/>
    <w:rsid w:val="00EE36BF"/>
    <w:rsid w:val="00EE36C0"/>
    <w:rsid w:val="00EE36C1"/>
    <w:rsid w:val="00EE3761"/>
    <w:rsid w:val="00EE3867"/>
    <w:rsid w:val="00EE3CA4"/>
    <w:rsid w:val="00EE3CE9"/>
    <w:rsid w:val="00EE3D11"/>
    <w:rsid w:val="00EE3D8D"/>
    <w:rsid w:val="00EE3D9A"/>
    <w:rsid w:val="00EE3F38"/>
    <w:rsid w:val="00EE4040"/>
    <w:rsid w:val="00EE41A0"/>
    <w:rsid w:val="00EE42EE"/>
    <w:rsid w:val="00EE464E"/>
    <w:rsid w:val="00EE47E5"/>
    <w:rsid w:val="00EE4B7A"/>
    <w:rsid w:val="00EE4CB7"/>
    <w:rsid w:val="00EE4E48"/>
    <w:rsid w:val="00EE4E5A"/>
    <w:rsid w:val="00EE503E"/>
    <w:rsid w:val="00EE57F0"/>
    <w:rsid w:val="00EE596F"/>
    <w:rsid w:val="00EE5BDC"/>
    <w:rsid w:val="00EE5C5F"/>
    <w:rsid w:val="00EE5CB9"/>
    <w:rsid w:val="00EE5D4C"/>
    <w:rsid w:val="00EE5FBF"/>
    <w:rsid w:val="00EE6506"/>
    <w:rsid w:val="00EE65B2"/>
    <w:rsid w:val="00EE665A"/>
    <w:rsid w:val="00EE66BE"/>
    <w:rsid w:val="00EE6713"/>
    <w:rsid w:val="00EE68BF"/>
    <w:rsid w:val="00EE6BE9"/>
    <w:rsid w:val="00EE709E"/>
    <w:rsid w:val="00EE7553"/>
    <w:rsid w:val="00EE76D4"/>
    <w:rsid w:val="00EE7803"/>
    <w:rsid w:val="00EE7B63"/>
    <w:rsid w:val="00EE7CE8"/>
    <w:rsid w:val="00EE7FDF"/>
    <w:rsid w:val="00EF0000"/>
    <w:rsid w:val="00EF01C2"/>
    <w:rsid w:val="00EF029D"/>
    <w:rsid w:val="00EF02C4"/>
    <w:rsid w:val="00EF0319"/>
    <w:rsid w:val="00EF03BF"/>
    <w:rsid w:val="00EF03E2"/>
    <w:rsid w:val="00EF0621"/>
    <w:rsid w:val="00EF0760"/>
    <w:rsid w:val="00EF079C"/>
    <w:rsid w:val="00EF09E8"/>
    <w:rsid w:val="00EF0A28"/>
    <w:rsid w:val="00EF0E44"/>
    <w:rsid w:val="00EF1174"/>
    <w:rsid w:val="00EF11AB"/>
    <w:rsid w:val="00EF11AE"/>
    <w:rsid w:val="00EF132B"/>
    <w:rsid w:val="00EF13EF"/>
    <w:rsid w:val="00EF15AF"/>
    <w:rsid w:val="00EF167C"/>
    <w:rsid w:val="00EF1A60"/>
    <w:rsid w:val="00EF2029"/>
    <w:rsid w:val="00EF21E3"/>
    <w:rsid w:val="00EF26E8"/>
    <w:rsid w:val="00EF270F"/>
    <w:rsid w:val="00EF2E6A"/>
    <w:rsid w:val="00EF30A6"/>
    <w:rsid w:val="00EF33A3"/>
    <w:rsid w:val="00EF376E"/>
    <w:rsid w:val="00EF378A"/>
    <w:rsid w:val="00EF388E"/>
    <w:rsid w:val="00EF3AFF"/>
    <w:rsid w:val="00EF3B0A"/>
    <w:rsid w:val="00EF3D16"/>
    <w:rsid w:val="00EF3F77"/>
    <w:rsid w:val="00EF4069"/>
    <w:rsid w:val="00EF41B8"/>
    <w:rsid w:val="00EF460E"/>
    <w:rsid w:val="00EF4646"/>
    <w:rsid w:val="00EF4980"/>
    <w:rsid w:val="00EF4F9E"/>
    <w:rsid w:val="00EF502C"/>
    <w:rsid w:val="00EF5042"/>
    <w:rsid w:val="00EF521C"/>
    <w:rsid w:val="00EF527F"/>
    <w:rsid w:val="00EF53B5"/>
    <w:rsid w:val="00EF5AF6"/>
    <w:rsid w:val="00EF5B86"/>
    <w:rsid w:val="00EF5BA6"/>
    <w:rsid w:val="00EF5C43"/>
    <w:rsid w:val="00EF5CB9"/>
    <w:rsid w:val="00EF5DD0"/>
    <w:rsid w:val="00EF5F90"/>
    <w:rsid w:val="00EF66FC"/>
    <w:rsid w:val="00EF674B"/>
    <w:rsid w:val="00EF6A4F"/>
    <w:rsid w:val="00EF6DB4"/>
    <w:rsid w:val="00EF6F22"/>
    <w:rsid w:val="00EF720B"/>
    <w:rsid w:val="00EF7309"/>
    <w:rsid w:val="00EF734B"/>
    <w:rsid w:val="00EF7460"/>
    <w:rsid w:val="00EF76F4"/>
    <w:rsid w:val="00EF778D"/>
    <w:rsid w:val="00EF7969"/>
    <w:rsid w:val="00F0026E"/>
    <w:rsid w:val="00F003A6"/>
    <w:rsid w:val="00F007E3"/>
    <w:rsid w:val="00F00BEE"/>
    <w:rsid w:val="00F010EA"/>
    <w:rsid w:val="00F01365"/>
    <w:rsid w:val="00F0139C"/>
    <w:rsid w:val="00F018B7"/>
    <w:rsid w:val="00F01922"/>
    <w:rsid w:val="00F01F2E"/>
    <w:rsid w:val="00F02093"/>
    <w:rsid w:val="00F0229F"/>
    <w:rsid w:val="00F02E04"/>
    <w:rsid w:val="00F030B5"/>
    <w:rsid w:val="00F0370F"/>
    <w:rsid w:val="00F03BEA"/>
    <w:rsid w:val="00F03D26"/>
    <w:rsid w:val="00F04089"/>
    <w:rsid w:val="00F0461C"/>
    <w:rsid w:val="00F046BD"/>
    <w:rsid w:val="00F04EC6"/>
    <w:rsid w:val="00F0522E"/>
    <w:rsid w:val="00F053BB"/>
    <w:rsid w:val="00F05503"/>
    <w:rsid w:val="00F056B7"/>
    <w:rsid w:val="00F061E7"/>
    <w:rsid w:val="00F0623D"/>
    <w:rsid w:val="00F0638D"/>
    <w:rsid w:val="00F064C9"/>
    <w:rsid w:val="00F065E2"/>
    <w:rsid w:val="00F06721"/>
    <w:rsid w:val="00F06927"/>
    <w:rsid w:val="00F069F9"/>
    <w:rsid w:val="00F06B11"/>
    <w:rsid w:val="00F06D68"/>
    <w:rsid w:val="00F07574"/>
    <w:rsid w:val="00F0786A"/>
    <w:rsid w:val="00F07A53"/>
    <w:rsid w:val="00F07D33"/>
    <w:rsid w:val="00F10100"/>
    <w:rsid w:val="00F102C6"/>
    <w:rsid w:val="00F10684"/>
    <w:rsid w:val="00F1068C"/>
    <w:rsid w:val="00F106C4"/>
    <w:rsid w:val="00F107C1"/>
    <w:rsid w:val="00F109B3"/>
    <w:rsid w:val="00F10A0B"/>
    <w:rsid w:val="00F10C6A"/>
    <w:rsid w:val="00F10C95"/>
    <w:rsid w:val="00F1125A"/>
    <w:rsid w:val="00F112AD"/>
    <w:rsid w:val="00F1149B"/>
    <w:rsid w:val="00F11A76"/>
    <w:rsid w:val="00F11AF4"/>
    <w:rsid w:val="00F11BEA"/>
    <w:rsid w:val="00F11DA3"/>
    <w:rsid w:val="00F11EC0"/>
    <w:rsid w:val="00F129A4"/>
    <w:rsid w:val="00F12D0E"/>
    <w:rsid w:val="00F13463"/>
    <w:rsid w:val="00F1357D"/>
    <w:rsid w:val="00F14339"/>
    <w:rsid w:val="00F14411"/>
    <w:rsid w:val="00F14756"/>
    <w:rsid w:val="00F14994"/>
    <w:rsid w:val="00F14CC7"/>
    <w:rsid w:val="00F14D38"/>
    <w:rsid w:val="00F15054"/>
    <w:rsid w:val="00F152CA"/>
    <w:rsid w:val="00F15680"/>
    <w:rsid w:val="00F15B78"/>
    <w:rsid w:val="00F16774"/>
    <w:rsid w:val="00F16831"/>
    <w:rsid w:val="00F168FC"/>
    <w:rsid w:val="00F16A3E"/>
    <w:rsid w:val="00F16BF5"/>
    <w:rsid w:val="00F1739B"/>
    <w:rsid w:val="00F173C7"/>
    <w:rsid w:val="00F17534"/>
    <w:rsid w:val="00F17608"/>
    <w:rsid w:val="00F17B9E"/>
    <w:rsid w:val="00F17DDB"/>
    <w:rsid w:val="00F17F3B"/>
    <w:rsid w:val="00F20335"/>
    <w:rsid w:val="00F20363"/>
    <w:rsid w:val="00F2038D"/>
    <w:rsid w:val="00F20435"/>
    <w:rsid w:val="00F20749"/>
    <w:rsid w:val="00F20959"/>
    <w:rsid w:val="00F20B3A"/>
    <w:rsid w:val="00F20EB8"/>
    <w:rsid w:val="00F210E2"/>
    <w:rsid w:val="00F211F1"/>
    <w:rsid w:val="00F2187C"/>
    <w:rsid w:val="00F219AF"/>
    <w:rsid w:val="00F22175"/>
    <w:rsid w:val="00F22228"/>
    <w:rsid w:val="00F22542"/>
    <w:rsid w:val="00F22551"/>
    <w:rsid w:val="00F22A66"/>
    <w:rsid w:val="00F22D94"/>
    <w:rsid w:val="00F22F67"/>
    <w:rsid w:val="00F2307F"/>
    <w:rsid w:val="00F235E4"/>
    <w:rsid w:val="00F237C6"/>
    <w:rsid w:val="00F239AE"/>
    <w:rsid w:val="00F23A05"/>
    <w:rsid w:val="00F23B69"/>
    <w:rsid w:val="00F23D71"/>
    <w:rsid w:val="00F24039"/>
    <w:rsid w:val="00F24627"/>
    <w:rsid w:val="00F24639"/>
    <w:rsid w:val="00F24A5A"/>
    <w:rsid w:val="00F24C44"/>
    <w:rsid w:val="00F24C79"/>
    <w:rsid w:val="00F25068"/>
    <w:rsid w:val="00F25441"/>
    <w:rsid w:val="00F25701"/>
    <w:rsid w:val="00F2596F"/>
    <w:rsid w:val="00F25C2D"/>
    <w:rsid w:val="00F25D0D"/>
    <w:rsid w:val="00F25D3F"/>
    <w:rsid w:val="00F26011"/>
    <w:rsid w:val="00F26551"/>
    <w:rsid w:val="00F267F7"/>
    <w:rsid w:val="00F26AD2"/>
    <w:rsid w:val="00F26B2F"/>
    <w:rsid w:val="00F272CC"/>
    <w:rsid w:val="00F2736A"/>
    <w:rsid w:val="00F274CB"/>
    <w:rsid w:val="00F276B9"/>
    <w:rsid w:val="00F27CF0"/>
    <w:rsid w:val="00F27CF5"/>
    <w:rsid w:val="00F27F1A"/>
    <w:rsid w:val="00F30282"/>
    <w:rsid w:val="00F30CB0"/>
    <w:rsid w:val="00F30ED1"/>
    <w:rsid w:val="00F310C5"/>
    <w:rsid w:val="00F31181"/>
    <w:rsid w:val="00F3138B"/>
    <w:rsid w:val="00F318B9"/>
    <w:rsid w:val="00F318FE"/>
    <w:rsid w:val="00F31F5D"/>
    <w:rsid w:val="00F32045"/>
    <w:rsid w:val="00F329F7"/>
    <w:rsid w:val="00F32D21"/>
    <w:rsid w:val="00F3308E"/>
    <w:rsid w:val="00F33147"/>
    <w:rsid w:val="00F33364"/>
    <w:rsid w:val="00F3385A"/>
    <w:rsid w:val="00F33A73"/>
    <w:rsid w:val="00F33ACE"/>
    <w:rsid w:val="00F34307"/>
    <w:rsid w:val="00F34487"/>
    <w:rsid w:val="00F3459F"/>
    <w:rsid w:val="00F347A6"/>
    <w:rsid w:val="00F349AA"/>
    <w:rsid w:val="00F35356"/>
    <w:rsid w:val="00F35557"/>
    <w:rsid w:val="00F355EA"/>
    <w:rsid w:val="00F3565E"/>
    <w:rsid w:val="00F357D9"/>
    <w:rsid w:val="00F35E58"/>
    <w:rsid w:val="00F364D8"/>
    <w:rsid w:val="00F364F3"/>
    <w:rsid w:val="00F367CC"/>
    <w:rsid w:val="00F367EE"/>
    <w:rsid w:val="00F36860"/>
    <w:rsid w:val="00F36A5F"/>
    <w:rsid w:val="00F36AEA"/>
    <w:rsid w:val="00F3732F"/>
    <w:rsid w:val="00F373E0"/>
    <w:rsid w:val="00F37500"/>
    <w:rsid w:val="00F3780A"/>
    <w:rsid w:val="00F40241"/>
    <w:rsid w:val="00F404B7"/>
    <w:rsid w:val="00F4067D"/>
    <w:rsid w:val="00F40AD5"/>
    <w:rsid w:val="00F40D70"/>
    <w:rsid w:val="00F40EBB"/>
    <w:rsid w:val="00F4145F"/>
    <w:rsid w:val="00F416CF"/>
    <w:rsid w:val="00F416E5"/>
    <w:rsid w:val="00F41833"/>
    <w:rsid w:val="00F418C1"/>
    <w:rsid w:val="00F41C8B"/>
    <w:rsid w:val="00F41DE6"/>
    <w:rsid w:val="00F41E2A"/>
    <w:rsid w:val="00F420A1"/>
    <w:rsid w:val="00F4261E"/>
    <w:rsid w:val="00F4271A"/>
    <w:rsid w:val="00F42796"/>
    <w:rsid w:val="00F427D1"/>
    <w:rsid w:val="00F42A36"/>
    <w:rsid w:val="00F42B9F"/>
    <w:rsid w:val="00F42E93"/>
    <w:rsid w:val="00F431C8"/>
    <w:rsid w:val="00F43302"/>
    <w:rsid w:val="00F4344F"/>
    <w:rsid w:val="00F43661"/>
    <w:rsid w:val="00F4368B"/>
    <w:rsid w:val="00F4373A"/>
    <w:rsid w:val="00F4379D"/>
    <w:rsid w:val="00F4385D"/>
    <w:rsid w:val="00F4395A"/>
    <w:rsid w:val="00F43BBC"/>
    <w:rsid w:val="00F43C5F"/>
    <w:rsid w:val="00F43E94"/>
    <w:rsid w:val="00F440D1"/>
    <w:rsid w:val="00F449B8"/>
    <w:rsid w:val="00F44CA5"/>
    <w:rsid w:val="00F44FBC"/>
    <w:rsid w:val="00F45A56"/>
    <w:rsid w:val="00F45BB4"/>
    <w:rsid w:val="00F45C55"/>
    <w:rsid w:val="00F45D9D"/>
    <w:rsid w:val="00F45E45"/>
    <w:rsid w:val="00F4641B"/>
    <w:rsid w:val="00F466A9"/>
    <w:rsid w:val="00F4676A"/>
    <w:rsid w:val="00F46818"/>
    <w:rsid w:val="00F46B28"/>
    <w:rsid w:val="00F46D47"/>
    <w:rsid w:val="00F4726C"/>
    <w:rsid w:val="00F47368"/>
    <w:rsid w:val="00F47531"/>
    <w:rsid w:val="00F479A9"/>
    <w:rsid w:val="00F47B32"/>
    <w:rsid w:val="00F47C15"/>
    <w:rsid w:val="00F47C89"/>
    <w:rsid w:val="00F47F7B"/>
    <w:rsid w:val="00F5037E"/>
    <w:rsid w:val="00F5044D"/>
    <w:rsid w:val="00F50C6F"/>
    <w:rsid w:val="00F50E2C"/>
    <w:rsid w:val="00F5128B"/>
    <w:rsid w:val="00F51367"/>
    <w:rsid w:val="00F513E0"/>
    <w:rsid w:val="00F5147B"/>
    <w:rsid w:val="00F5166D"/>
    <w:rsid w:val="00F51B4A"/>
    <w:rsid w:val="00F51DFB"/>
    <w:rsid w:val="00F521B4"/>
    <w:rsid w:val="00F52216"/>
    <w:rsid w:val="00F522E6"/>
    <w:rsid w:val="00F52486"/>
    <w:rsid w:val="00F5261B"/>
    <w:rsid w:val="00F52AAA"/>
    <w:rsid w:val="00F52CEC"/>
    <w:rsid w:val="00F52E3D"/>
    <w:rsid w:val="00F52E5B"/>
    <w:rsid w:val="00F52F76"/>
    <w:rsid w:val="00F5306B"/>
    <w:rsid w:val="00F53076"/>
    <w:rsid w:val="00F53632"/>
    <w:rsid w:val="00F53643"/>
    <w:rsid w:val="00F53903"/>
    <w:rsid w:val="00F53945"/>
    <w:rsid w:val="00F53AB1"/>
    <w:rsid w:val="00F540CA"/>
    <w:rsid w:val="00F543E3"/>
    <w:rsid w:val="00F54556"/>
    <w:rsid w:val="00F54A59"/>
    <w:rsid w:val="00F54D71"/>
    <w:rsid w:val="00F5531E"/>
    <w:rsid w:val="00F5540C"/>
    <w:rsid w:val="00F5563E"/>
    <w:rsid w:val="00F5578F"/>
    <w:rsid w:val="00F55EA7"/>
    <w:rsid w:val="00F55FD1"/>
    <w:rsid w:val="00F56596"/>
    <w:rsid w:val="00F56804"/>
    <w:rsid w:val="00F568EC"/>
    <w:rsid w:val="00F56B77"/>
    <w:rsid w:val="00F56B8A"/>
    <w:rsid w:val="00F56C29"/>
    <w:rsid w:val="00F56D91"/>
    <w:rsid w:val="00F56FBA"/>
    <w:rsid w:val="00F5711D"/>
    <w:rsid w:val="00F575DA"/>
    <w:rsid w:val="00F575E9"/>
    <w:rsid w:val="00F57767"/>
    <w:rsid w:val="00F5786E"/>
    <w:rsid w:val="00F5790B"/>
    <w:rsid w:val="00F57A69"/>
    <w:rsid w:val="00F57CD0"/>
    <w:rsid w:val="00F60133"/>
    <w:rsid w:val="00F605C5"/>
    <w:rsid w:val="00F60842"/>
    <w:rsid w:val="00F60B4D"/>
    <w:rsid w:val="00F611E8"/>
    <w:rsid w:val="00F6138B"/>
    <w:rsid w:val="00F61538"/>
    <w:rsid w:val="00F61647"/>
    <w:rsid w:val="00F616F1"/>
    <w:rsid w:val="00F6170A"/>
    <w:rsid w:val="00F61AFD"/>
    <w:rsid w:val="00F61BAA"/>
    <w:rsid w:val="00F62081"/>
    <w:rsid w:val="00F62974"/>
    <w:rsid w:val="00F62C26"/>
    <w:rsid w:val="00F62E13"/>
    <w:rsid w:val="00F62EDC"/>
    <w:rsid w:val="00F63130"/>
    <w:rsid w:val="00F632C3"/>
    <w:rsid w:val="00F633A4"/>
    <w:rsid w:val="00F6379D"/>
    <w:rsid w:val="00F63B83"/>
    <w:rsid w:val="00F63CC3"/>
    <w:rsid w:val="00F63DAC"/>
    <w:rsid w:val="00F63FBB"/>
    <w:rsid w:val="00F64364"/>
    <w:rsid w:val="00F64CA6"/>
    <w:rsid w:val="00F64E4E"/>
    <w:rsid w:val="00F6507B"/>
    <w:rsid w:val="00F65161"/>
    <w:rsid w:val="00F652A8"/>
    <w:rsid w:val="00F656CF"/>
    <w:rsid w:val="00F65AD3"/>
    <w:rsid w:val="00F65C47"/>
    <w:rsid w:val="00F65FD0"/>
    <w:rsid w:val="00F6602C"/>
    <w:rsid w:val="00F66A1B"/>
    <w:rsid w:val="00F66BA0"/>
    <w:rsid w:val="00F66DEF"/>
    <w:rsid w:val="00F66E4C"/>
    <w:rsid w:val="00F672C8"/>
    <w:rsid w:val="00F672F8"/>
    <w:rsid w:val="00F6736B"/>
    <w:rsid w:val="00F673E1"/>
    <w:rsid w:val="00F67693"/>
    <w:rsid w:val="00F6777D"/>
    <w:rsid w:val="00F677C4"/>
    <w:rsid w:val="00F67BAE"/>
    <w:rsid w:val="00F67D13"/>
    <w:rsid w:val="00F67EC5"/>
    <w:rsid w:val="00F7043D"/>
    <w:rsid w:val="00F70528"/>
    <w:rsid w:val="00F709E8"/>
    <w:rsid w:val="00F70B1A"/>
    <w:rsid w:val="00F70C5F"/>
    <w:rsid w:val="00F70C6C"/>
    <w:rsid w:val="00F70DF8"/>
    <w:rsid w:val="00F71018"/>
    <w:rsid w:val="00F710E3"/>
    <w:rsid w:val="00F71450"/>
    <w:rsid w:val="00F71555"/>
    <w:rsid w:val="00F716C9"/>
    <w:rsid w:val="00F71AAA"/>
    <w:rsid w:val="00F71D9B"/>
    <w:rsid w:val="00F723AC"/>
    <w:rsid w:val="00F723D6"/>
    <w:rsid w:val="00F728F3"/>
    <w:rsid w:val="00F729F2"/>
    <w:rsid w:val="00F72C3E"/>
    <w:rsid w:val="00F72DCC"/>
    <w:rsid w:val="00F73F57"/>
    <w:rsid w:val="00F73F6D"/>
    <w:rsid w:val="00F74035"/>
    <w:rsid w:val="00F743F5"/>
    <w:rsid w:val="00F74446"/>
    <w:rsid w:val="00F74961"/>
    <w:rsid w:val="00F74B80"/>
    <w:rsid w:val="00F74C2C"/>
    <w:rsid w:val="00F754E4"/>
    <w:rsid w:val="00F756A2"/>
    <w:rsid w:val="00F75964"/>
    <w:rsid w:val="00F75BD9"/>
    <w:rsid w:val="00F75D06"/>
    <w:rsid w:val="00F76209"/>
    <w:rsid w:val="00F7666F"/>
    <w:rsid w:val="00F768B7"/>
    <w:rsid w:val="00F76C7D"/>
    <w:rsid w:val="00F76CA1"/>
    <w:rsid w:val="00F76E21"/>
    <w:rsid w:val="00F77365"/>
    <w:rsid w:val="00F776A8"/>
    <w:rsid w:val="00F7782D"/>
    <w:rsid w:val="00F7784C"/>
    <w:rsid w:val="00F80229"/>
    <w:rsid w:val="00F802C0"/>
    <w:rsid w:val="00F80743"/>
    <w:rsid w:val="00F808D6"/>
    <w:rsid w:val="00F808FF"/>
    <w:rsid w:val="00F80E17"/>
    <w:rsid w:val="00F81302"/>
    <w:rsid w:val="00F81486"/>
    <w:rsid w:val="00F81723"/>
    <w:rsid w:val="00F81B4A"/>
    <w:rsid w:val="00F81B97"/>
    <w:rsid w:val="00F81C4A"/>
    <w:rsid w:val="00F81DC8"/>
    <w:rsid w:val="00F826DE"/>
    <w:rsid w:val="00F82768"/>
    <w:rsid w:val="00F82785"/>
    <w:rsid w:val="00F82B81"/>
    <w:rsid w:val="00F82BC1"/>
    <w:rsid w:val="00F82DA6"/>
    <w:rsid w:val="00F82DCD"/>
    <w:rsid w:val="00F82E58"/>
    <w:rsid w:val="00F831FD"/>
    <w:rsid w:val="00F83570"/>
    <w:rsid w:val="00F835BD"/>
    <w:rsid w:val="00F83D66"/>
    <w:rsid w:val="00F8427F"/>
    <w:rsid w:val="00F845C9"/>
    <w:rsid w:val="00F846DB"/>
    <w:rsid w:val="00F84B79"/>
    <w:rsid w:val="00F84CAC"/>
    <w:rsid w:val="00F85A0D"/>
    <w:rsid w:val="00F85AE7"/>
    <w:rsid w:val="00F85EBB"/>
    <w:rsid w:val="00F860D2"/>
    <w:rsid w:val="00F8627F"/>
    <w:rsid w:val="00F866FD"/>
    <w:rsid w:val="00F8679E"/>
    <w:rsid w:val="00F86849"/>
    <w:rsid w:val="00F86CA2"/>
    <w:rsid w:val="00F86FCD"/>
    <w:rsid w:val="00F8707A"/>
    <w:rsid w:val="00F871FA"/>
    <w:rsid w:val="00F873D9"/>
    <w:rsid w:val="00F8742C"/>
    <w:rsid w:val="00F87570"/>
    <w:rsid w:val="00F87578"/>
    <w:rsid w:val="00F87C6F"/>
    <w:rsid w:val="00F9040D"/>
    <w:rsid w:val="00F90520"/>
    <w:rsid w:val="00F9057B"/>
    <w:rsid w:val="00F906B8"/>
    <w:rsid w:val="00F906DC"/>
    <w:rsid w:val="00F9082A"/>
    <w:rsid w:val="00F909C9"/>
    <w:rsid w:val="00F90BD2"/>
    <w:rsid w:val="00F90D1E"/>
    <w:rsid w:val="00F90F17"/>
    <w:rsid w:val="00F90F59"/>
    <w:rsid w:val="00F91139"/>
    <w:rsid w:val="00F91BAD"/>
    <w:rsid w:val="00F91BDD"/>
    <w:rsid w:val="00F91C2C"/>
    <w:rsid w:val="00F9271C"/>
    <w:rsid w:val="00F9287D"/>
    <w:rsid w:val="00F92DC7"/>
    <w:rsid w:val="00F9305A"/>
    <w:rsid w:val="00F9312D"/>
    <w:rsid w:val="00F933E1"/>
    <w:rsid w:val="00F93754"/>
    <w:rsid w:val="00F93B04"/>
    <w:rsid w:val="00F93BA3"/>
    <w:rsid w:val="00F93D5E"/>
    <w:rsid w:val="00F9408A"/>
    <w:rsid w:val="00F94120"/>
    <w:rsid w:val="00F94883"/>
    <w:rsid w:val="00F9496C"/>
    <w:rsid w:val="00F949D2"/>
    <w:rsid w:val="00F94B7A"/>
    <w:rsid w:val="00F94B8C"/>
    <w:rsid w:val="00F94FE4"/>
    <w:rsid w:val="00F95499"/>
    <w:rsid w:val="00F955F0"/>
    <w:rsid w:val="00F95709"/>
    <w:rsid w:val="00F95B9A"/>
    <w:rsid w:val="00F95D39"/>
    <w:rsid w:val="00F95EB6"/>
    <w:rsid w:val="00F96A89"/>
    <w:rsid w:val="00F96BFA"/>
    <w:rsid w:val="00F971AA"/>
    <w:rsid w:val="00F971BD"/>
    <w:rsid w:val="00F97219"/>
    <w:rsid w:val="00F97278"/>
    <w:rsid w:val="00F973E3"/>
    <w:rsid w:val="00F974B8"/>
    <w:rsid w:val="00F97691"/>
    <w:rsid w:val="00F97BD7"/>
    <w:rsid w:val="00F97D77"/>
    <w:rsid w:val="00FA007E"/>
    <w:rsid w:val="00FA00A0"/>
    <w:rsid w:val="00FA017B"/>
    <w:rsid w:val="00FA03A2"/>
    <w:rsid w:val="00FA03F6"/>
    <w:rsid w:val="00FA08CF"/>
    <w:rsid w:val="00FA0905"/>
    <w:rsid w:val="00FA0998"/>
    <w:rsid w:val="00FA133A"/>
    <w:rsid w:val="00FA13F2"/>
    <w:rsid w:val="00FA1416"/>
    <w:rsid w:val="00FA142B"/>
    <w:rsid w:val="00FA1C0C"/>
    <w:rsid w:val="00FA1ED4"/>
    <w:rsid w:val="00FA1F8C"/>
    <w:rsid w:val="00FA228C"/>
    <w:rsid w:val="00FA22D3"/>
    <w:rsid w:val="00FA2329"/>
    <w:rsid w:val="00FA26F8"/>
    <w:rsid w:val="00FA2863"/>
    <w:rsid w:val="00FA2A48"/>
    <w:rsid w:val="00FA31E9"/>
    <w:rsid w:val="00FA338B"/>
    <w:rsid w:val="00FA373F"/>
    <w:rsid w:val="00FA375B"/>
    <w:rsid w:val="00FA3D65"/>
    <w:rsid w:val="00FA40AC"/>
    <w:rsid w:val="00FA40E0"/>
    <w:rsid w:val="00FA40F9"/>
    <w:rsid w:val="00FA410C"/>
    <w:rsid w:val="00FA41E7"/>
    <w:rsid w:val="00FA436D"/>
    <w:rsid w:val="00FA4C4F"/>
    <w:rsid w:val="00FA4DCA"/>
    <w:rsid w:val="00FA4F0E"/>
    <w:rsid w:val="00FA5356"/>
    <w:rsid w:val="00FA5548"/>
    <w:rsid w:val="00FA56A6"/>
    <w:rsid w:val="00FA5B07"/>
    <w:rsid w:val="00FA5E2F"/>
    <w:rsid w:val="00FA6036"/>
    <w:rsid w:val="00FA630E"/>
    <w:rsid w:val="00FA6824"/>
    <w:rsid w:val="00FA6CF0"/>
    <w:rsid w:val="00FA6F4A"/>
    <w:rsid w:val="00FA702F"/>
    <w:rsid w:val="00FA750E"/>
    <w:rsid w:val="00FA7993"/>
    <w:rsid w:val="00FA7A9E"/>
    <w:rsid w:val="00FA7B94"/>
    <w:rsid w:val="00FA7BF3"/>
    <w:rsid w:val="00FB023C"/>
    <w:rsid w:val="00FB0326"/>
    <w:rsid w:val="00FB07E0"/>
    <w:rsid w:val="00FB090D"/>
    <w:rsid w:val="00FB0C3C"/>
    <w:rsid w:val="00FB0CEA"/>
    <w:rsid w:val="00FB11B1"/>
    <w:rsid w:val="00FB12D7"/>
    <w:rsid w:val="00FB15C1"/>
    <w:rsid w:val="00FB1A6D"/>
    <w:rsid w:val="00FB1D00"/>
    <w:rsid w:val="00FB233F"/>
    <w:rsid w:val="00FB25C8"/>
    <w:rsid w:val="00FB29CA"/>
    <w:rsid w:val="00FB2C63"/>
    <w:rsid w:val="00FB32D6"/>
    <w:rsid w:val="00FB3560"/>
    <w:rsid w:val="00FB385D"/>
    <w:rsid w:val="00FB3C23"/>
    <w:rsid w:val="00FB3D47"/>
    <w:rsid w:val="00FB3D98"/>
    <w:rsid w:val="00FB3E2C"/>
    <w:rsid w:val="00FB3F00"/>
    <w:rsid w:val="00FB3FD4"/>
    <w:rsid w:val="00FB40F2"/>
    <w:rsid w:val="00FB4723"/>
    <w:rsid w:val="00FB4922"/>
    <w:rsid w:val="00FB4A5D"/>
    <w:rsid w:val="00FB4B34"/>
    <w:rsid w:val="00FB4D08"/>
    <w:rsid w:val="00FB4D37"/>
    <w:rsid w:val="00FB5071"/>
    <w:rsid w:val="00FB5277"/>
    <w:rsid w:val="00FB5377"/>
    <w:rsid w:val="00FB5497"/>
    <w:rsid w:val="00FB56D7"/>
    <w:rsid w:val="00FB5985"/>
    <w:rsid w:val="00FB5A18"/>
    <w:rsid w:val="00FB6315"/>
    <w:rsid w:val="00FB64B9"/>
    <w:rsid w:val="00FB6564"/>
    <w:rsid w:val="00FB659A"/>
    <w:rsid w:val="00FB6880"/>
    <w:rsid w:val="00FB68C9"/>
    <w:rsid w:val="00FB7137"/>
    <w:rsid w:val="00FB724C"/>
    <w:rsid w:val="00FB72B3"/>
    <w:rsid w:val="00FB72E6"/>
    <w:rsid w:val="00FB733F"/>
    <w:rsid w:val="00FB77E4"/>
    <w:rsid w:val="00FB7CDC"/>
    <w:rsid w:val="00FB7EC8"/>
    <w:rsid w:val="00FB7EDF"/>
    <w:rsid w:val="00FC0313"/>
    <w:rsid w:val="00FC05AD"/>
    <w:rsid w:val="00FC06E7"/>
    <w:rsid w:val="00FC0A60"/>
    <w:rsid w:val="00FC0EBC"/>
    <w:rsid w:val="00FC0EFA"/>
    <w:rsid w:val="00FC0F69"/>
    <w:rsid w:val="00FC1220"/>
    <w:rsid w:val="00FC148A"/>
    <w:rsid w:val="00FC1728"/>
    <w:rsid w:val="00FC18FF"/>
    <w:rsid w:val="00FC1D81"/>
    <w:rsid w:val="00FC20B4"/>
    <w:rsid w:val="00FC2397"/>
    <w:rsid w:val="00FC2774"/>
    <w:rsid w:val="00FC283F"/>
    <w:rsid w:val="00FC289A"/>
    <w:rsid w:val="00FC2D80"/>
    <w:rsid w:val="00FC3A32"/>
    <w:rsid w:val="00FC3B4D"/>
    <w:rsid w:val="00FC3CB8"/>
    <w:rsid w:val="00FC3EAA"/>
    <w:rsid w:val="00FC454A"/>
    <w:rsid w:val="00FC4B53"/>
    <w:rsid w:val="00FC4DFA"/>
    <w:rsid w:val="00FC4E67"/>
    <w:rsid w:val="00FC58E7"/>
    <w:rsid w:val="00FC5E45"/>
    <w:rsid w:val="00FC60EB"/>
    <w:rsid w:val="00FC6267"/>
    <w:rsid w:val="00FC6401"/>
    <w:rsid w:val="00FC651C"/>
    <w:rsid w:val="00FC65E5"/>
    <w:rsid w:val="00FC6B16"/>
    <w:rsid w:val="00FC6FFF"/>
    <w:rsid w:val="00FC70AB"/>
    <w:rsid w:val="00FC735D"/>
    <w:rsid w:val="00FC75DF"/>
    <w:rsid w:val="00FD049D"/>
    <w:rsid w:val="00FD0517"/>
    <w:rsid w:val="00FD05B9"/>
    <w:rsid w:val="00FD0D02"/>
    <w:rsid w:val="00FD0DD0"/>
    <w:rsid w:val="00FD1B73"/>
    <w:rsid w:val="00FD1E0C"/>
    <w:rsid w:val="00FD1F3B"/>
    <w:rsid w:val="00FD2100"/>
    <w:rsid w:val="00FD21C9"/>
    <w:rsid w:val="00FD22F9"/>
    <w:rsid w:val="00FD23BB"/>
    <w:rsid w:val="00FD244D"/>
    <w:rsid w:val="00FD284A"/>
    <w:rsid w:val="00FD295C"/>
    <w:rsid w:val="00FD2E7B"/>
    <w:rsid w:val="00FD32F4"/>
    <w:rsid w:val="00FD338B"/>
    <w:rsid w:val="00FD3927"/>
    <w:rsid w:val="00FD3FAE"/>
    <w:rsid w:val="00FD4147"/>
    <w:rsid w:val="00FD4369"/>
    <w:rsid w:val="00FD43F2"/>
    <w:rsid w:val="00FD46EE"/>
    <w:rsid w:val="00FD49F7"/>
    <w:rsid w:val="00FD4A01"/>
    <w:rsid w:val="00FD4E76"/>
    <w:rsid w:val="00FD5074"/>
    <w:rsid w:val="00FD5469"/>
    <w:rsid w:val="00FD596A"/>
    <w:rsid w:val="00FD5AB3"/>
    <w:rsid w:val="00FD5D1F"/>
    <w:rsid w:val="00FD5E65"/>
    <w:rsid w:val="00FD5E9A"/>
    <w:rsid w:val="00FD6359"/>
    <w:rsid w:val="00FD63F5"/>
    <w:rsid w:val="00FD684B"/>
    <w:rsid w:val="00FD70D1"/>
    <w:rsid w:val="00FD73ED"/>
    <w:rsid w:val="00FD746C"/>
    <w:rsid w:val="00FD7530"/>
    <w:rsid w:val="00FD781A"/>
    <w:rsid w:val="00FD7CCD"/>
    <w:rsid w:val="00FE01DC"/>
    <w:rsid w:val="00FE029B"/>
    <w:rsid w:val="00FE02C7"/>
    <w:rsid w:val="00FE049D"/>
    <w:rsid w:val="00FE0669"/>
    <w:rsid w:val="00FE07DA"/>
    <w:rsid w:val="00FE0840"/>
    <w:rsid w:val="00FE09A8"/>
    <w:rsid w:val="00FE0F6E"/>
    <w:rsid w:val="00FE1267"/>
    <w:rsid w:val="00FE1313"/>
    <w:rsid w:val="00FE1356"/>
    <w:rsid w:val="00FE141A"/>
    <w:rsid w:val="00FE1602"/>
    <w:rsid w:val="00FE177E"/>
    <w:rsid w:val="00FE1D24"/>
    <w:rsid w:val="00FE1F93"/>
    <w:rsid w:val="00FE2104"/>
    <w:rsid w:val="00FE23E3"/>
    <w:rsid w:val="00FE2601"/>
    <w:rsid w:val="00FE2A35"/>
    <w:rsid w:val="00FE2BB5"/>
    <w:rsid w:val="00FE2F4E"/>
    <w:rsid w:val="00FE30D2"/>
    <w:rsid w:val="00FE31A1"/>
    <w:rsid w:val="00FE33D1"/>
    <w:rsid w:val="00FE344B"/>
    <w:rsid w:val="00FE3455"/>
    <w:rsid w:val="00FE34C0"/>
    <w:rsid w:val="00FE37D8"/>
    <w:rsid w:val="00FE37EB"/>
    <w:rsid w:val="00FE3C1A"/>
    <w:rsid w:val="00FE3F53"/>
    <w:rsid w:val="00FE43F8"/>
    <w:rsid w:val="00FE43F9"/>
    <w:rsid w:val="00FE46B9"/>
    <w:rsid w:val="00FE4DCA"/>
    <w:rsid w:val="00FE4DE2"/>
    <w:rsid w:val="00FE5303"/>
    <w:rsid w:val="00FE53AA"/>
    <w:rsid w:val="00FE5975"/>
    <w:rsid w:val="00FE5ACD"/>
    <w:rsid w:val="00FE5C6C"/>
    <w:rsid w:val="00FE6558"/>
    <w:rsid w:val="00FE6954"/>
    <w:rsid w:val="00FE6AA5"/>
    <w:rsid w:val="00FE6B94"/>
    <w:rsid w:val="00FE6C32"/>
    <w:rsid w:val="00FE6D7E"/>
    <w:rsid w:val="00FE6F2C"/>
    <w:rsid w:val="00FE6F62"/>
    <w:rsid w:val="00FE700A"/>
    <w:rsid w:val="00FE77A4"/>
    <w:rsid w:val="00FE78ED"/>
    <w:rsid w:val="00FE7A8E"/>
    <w:rsid w:val="00FE7C59"/>
    <w:rsid w:val="00FE7F9B"/>
    <w:rsid w:val="00FE7FB7"/>
    <w:rsid w:val="00FF0023"/>
    <w:rsid w:val="00FF030B"/>
    <w:rsid w:val="00FF053C"/>
    <w:rsid w:val="00FF0641"/>
    <w:rsid w:val="00FF0903"/>
    <w:rsid w:val="00FF0912"/>
    <w:rsid w:val="00FF0B14"/>
    <w:rsid w:val="00FF0E51"/>
    <w:rsid w:val="00FF0FE0"/>
    <w:rsid w:val="00FF10FA"/>
    <w:rsid w:val="00FF1537"/>
    <w:rsid w:val="00FF170B"/>
    <w:rsid w:val="00FF1939"/>
    <w:rsid w:val="00FF21BF"/>
    <w:rsid w:val="00FF221E"/>
    <w:rsid w:val="00FF23EA"/>
    <w:rsid w:val="00FF23EC"/>
    <w:rsid w:val="00FF24A8"/>
    <w:rsid w:val="00FF2850"/>
    <w:rsid w:val="00FF28DA"/>
    <w:rsid w:val="00FF2BC4"/>
    <w:rsid w:val="00FF2F05"/>
    <w:rsid w:val="00FF2F29"/>
    <w:rsid w:val="00FF2FC4"/>
    <w:rsid w:val="00FF3096"/>
    <w:rsid w:val="00FF3318"/>
    <w:rsid w:val="00FF337D"/>
    <w:rsid w:val="00FF33B2"/>
    <w:rsid w:val="00FF34E1"/>
    <w:rsid w:val="00FF35A6"/>
    <w:rsid w:val="00FF386B"/>
    <w:rsid w:val="00FF395E"/>
    <w:rsid w:val="00FF41BB"/>
    <w:rsid w:val="00FF4307"/>
    <w:rsid w:val="00FF4358"/>
    <w:rsid w:val="00FF45DE"/>
    <w:rsid w:val="00FF48DD"/>
    <w:rsid w:val="00FF4CB1"/>
    <w:rsid w:val="00FF4D96"/>
    <w:rsid w:val="00FF4E2C"/>
    <w:rsid w:val="00FF5207"/>
    <w:rsid w:val="00FF5243"/>
    <w:rsid w:val="00FF5531"/>
    <w:rsid w:val="00FF580F"/>
    <w:rsid w:val="00FF5A71"/>
    <w:rsid w:val="00FF5BF6"/>
    <w:rsid w:val="00FF5EDE"/>
    <w:rsid w:val="00FF61B6"/>
    <w:rsid w:val="00FF623D"/>
    <w:rsid w:val="00FF6529"/>
    <w:rsid w:val="00FF678A"/>
    <w:rsid w:val="00FF69EC"/>
    <w:rsid w:val="00FF6BD7"/>
    <w:rsid w:val="00FF6C8C"/>
    <w:rsid w:val="00FF70EC"/>
    <w:rsid w:val="00FF723E"/>
    <w:rsid w:val="00FF776D"/>
    <w:rsid w:val="00FF7BC9"/>
    <w:rsid w:val="00FF7C3D"/>
    <w:rsid w:val="00FF7D3B"/>
    <w:rsid w:val="00FF7D65"/>
    <w:rsid w:val="00FF7F42"/>
    <w:rsid w:val="00FF7FEA"/>
    <w:rsid w:val="01279A56"/>
    <w:rsid w:val="013BA553"/>
    <w:rsid w:val="0166E88B"/>
    <w:rsid w:val="01738F42"/>
    <w:rsid w:val="01767AB8"/>
    <w:rsid w:val="01ABE429"/>
    <w:rsid w:val="01B256E1"/>
    <w:rsid w:val="01C89411"/>
    <w:rsid w:val="01CA847A"/>
    <w:rsid w:val="01EABE6E"/>
    <w:rsid w:val="01ED43B0"/>
    <w:rsid w:val="01F4581C"/>
    <w:rsid w:val="02015DB2"/>
    <w:rsid w:val="020F27AE"/>
    <w:rsid w:val="02184DC1"/>
    <w:rsid w:val="021C24C6"/>
    <w:rsid w:val="02431C62"/>
    <w:rsid w:val="024A537D"/>
    <w:rsid w:val="024E3D58"/>
    <w:rsid w:val="025B8E54"/>
    <w:rsid w:val="026200F6"/>
    <w:rsid w:val="027F28B1"/>
    <w:rsid w:val="02814AC2"/>
    <w:rsid w:val="02840B73"/>
    <w:rsid w:val="02ABB6F4"/>
    <w:rsid w:val="02C16B9C"/>
    <w:rsid w:val="02C4B14D"/>
    <w:rsid w:val="02C6CC2E"/>
    <w:rsid w:val="02D02163"/>
    <w:rsid w:val="02D72CF8"/>
    <w:rsid w:val="02DF41BC"/>
    <w:rsid w:val="02FB4334"/>
    <w:rsid w:val="0309F356"/>
    <w:rsid w:val="03194182"/>
    <w:rsid w:val="03362810"/>
    <w:rsid w:val="03404033"/>
    <w:rsid w:val="03531731"/>
    <w:rsid w:val="036DEDAB"/>
    <w:rsid w:val="037D97D4"/>
    <w:rsid w:val="03D1AD2C"/>
    <w:rsid w:val="03D92951"/>
    <w:rsid w:val="03F276BB"/>
    <w:rsid w:val="03F959B1"/>
    <w:rsid w:val="0421310E"/>
    <w:rsid w:val="0421EA79"/>
    <w:rsid w:val="0452A257"/>
    <w:rsid w:val="045B52E1"/>
    <w:rsid w:val="0465CEAA"/>
    <w:rsid w:val="047749D0"/>
    <w:rsid w:val="04B6C558"/>
    <w:rsid w:val="04E4D346"/>
    <w:rsid w:val="04F47AE0"/>
    <w:rsid w:val="04F94F6C"/>
    <w:rsid w:val="05171618"/>
    <w:rsid w:val="05382EED"/>
    <w:rsid w:val="053E5082"/>
    <w:rsid w:val="059CC765"/>
    <w:rsid w:val="05CA1203"/>
    <w:rsid w:val="05EE41B6"/>
    <w:rsid w:val="0616E27E"/>
    <w:rsid w:val="06234F52"/>
    <w:rsid w:val="064679C8"/>
    <w:rsid w:val="066D1E56"/>
    <w:rsid w:val="067537E7"/>
    <w:rsid w:val="069FB662"/>
    <w:rsid w:val="06B2E679"/>
    <w:rsid w:val="06B81805"/>
    <w:rsid w:val="06B92CEF"/>
    <w:rsid w:val="06DAB8CC"/>
    <w:rsid w:val="06DFE55B"/>
    <w:rsid w:val="06E5B6F9"/>
    <w:rsid w:val="06E6D467"/>
    <w:rsid w:val="072EFF77"/>
    <w:rsid w:val="0744C4CF"/>
    <w:rsid w:val="0760C6E1"/>
    <w:rsid w:val="076B7B89"/>
    <w:rsid w:val="078C7177"/>
    <w:rsid w:val="07AD112B"/>
    <w:rsid w:val="07AE239F"/>
    <w:rsid w:val="07CC2728"/>
    <w:rsid w:val="07D8431C"/>
    <w:rsid w:val="07DA4447"/>
    <w:rsid w:val="07DEE88C"/>
    <w:rsid w:val="07DF69B1"/>
    <w:rsid w:val="0823EC07"/>
    <w:rsid w:val="085AC04D"/>
    <w:rsid w:val="086E05EE"/>
    <w:rsid w:val="0872124C"/>
    <w:rsid w:val="0873E8AA"/>
    <w:rsid w:val="08A9DB03"/>
    <w:rsid w:val="08AB0600"/>
    <w:rsid w:val="08BF5FB5"/>
    <w:rsid w:val="08DA3069"/>
    <w:rsid w:val="08DD6A15"/>
    <w:rsid w:val="08E7C11A"/>
    <w:rsid w:val="08EFD908"/>
    <w:rsid w:val="08FC0477"/>
    <w:rsid w:val="0936777F"/>
    <w:rsid w:val="09484C69"/>
    <w:rsid w:val="0948CBD6"/>
    <w:rsid w:val="096DDAC6"/>
    <w:rsid w:val="09809D8A"/>
    <w:rsid w:val="099AFAC7"/>
    <w:rsid w:val="099D407A"/>
    <w:rsid w:val="09C14546"/>
    <w:rsid w:val="09CF603B"/>
    <w:rsid w:val="09E496DB"/>
    <w:rsid w:val="09F021DC"/>
    <w:rsid w:val="0A0FB526"/>
    <w:rsid w:val="0A1D7553"/>
    <w:rsid w:val="0A2720A2"/>
    <w:rsid w:val="0A325360"/>
    <w:rsid w:val="0A450C06"/>
    <w:rsid w:val="0A56218D"/>
    <w:rsid w:val="0A670429"/>
    <w:rsid w:val="0A675BEB"/>
    <w:rsid w:val="0A6F5B6D"/>
    <w:rsid w:val="0A87785D"/>
    <w:rsid w:val="0A8C3DFD"/>
    <w:rsid w:val="0A96FAB0"/>
    <w:rsid w:val="0AAC8EBE"/>
    <w:rsid w:val="0AC5E434"/>
    <w:rsid w:val="0AC6ED05"/>
    <w:rsid w:val="0ACB7FBD"/>
    <w:rsid w:val="0AE87A0B"/>
    <w:rsid w:val="0AED6F2A"/>
    <w:rsid w:val="0B02FF22"/>
    <w:rsid w:val="0B098AE7"/>
    <w:rsid w:val="0B222427"/>
    <w:rsid w:val="0B2DCBD2"/>
    <w:rsid w:val="0B2E22ED"/>
    <w:rsid w:val="0B4683C6"/>
    <w:rsid w:val="0B5E6EBE"/>
    <w:rsid w:val="0B5EAA82"/>
    <w:rsid w:val="0B6508F8"/>
    <w:rsid w:val="0B77E0D9"/>
    <w:rsid w:val="0B84C9F4"/>
    <w:rsid w:val="0B909EEE"/>
    <w:rsid w:val="0BD26417"/>
    <w:rsid w:val="0BECAB74"/>
    <w:rsid w:val="0C0FD34F"/>
    <w:rsid w:val="0C3AACE3"/>
    <w:rsid w:val="0C40EF94"/>
    <w:rsid w:val="0C64DC03"/>
    <w:rsid w:val="0C6CFBA5"/>
    <w:rsid w:val="0C7C1DF1"/>
    <w:rsid w:val="0C8D46B9"/>
    <w:rsid w:val="0CBC8DC0"/>
    <w:rsid w:val="0CC023C8"/>
    <w:rsid w:val="0CC3BDF2"/>
    <w:rsid w:val="0CCC229A"/>
    <w:rsid w:val="0CE0A36D"/>
    <w:rsid w:val="0CF2E8A4"/>
    <w:rsid w:val="0D050F3A"/>
    <w:rsid w:val="0D73102A"/>
    <w:rsid w:val="0DA0EEA9"/>
    <w:rsid w:val="0DC177AC"/>
    <w:rsid w:val="0DD607B5"/>
    <w:rsid w:val="0DFB1C7E"/>
    <w:rsid w:val="0E2039E2"/>
    <w:rsid w:val="0E35D936"/>
    <w:rsid w:val="0E477EDA"/>
    <w:rsid w:val="0E5BF429"/>
    <w:rsid w:val="0E6E8A22"/>
    <w:rsid w:val="0EA63FDB"/>
    <w:rsid w:val="0EA7EAFF"/>
    <w:rsid w:val="0EA9B24D"/>
    <w:rsid w:val="0EC8E6DB"/>
    <w:rsid w:val="0EF43C46"/>
    <w:rsid w:val="0F2B00B2"/>
    <w:rsid w:val="0F304546"/>
    <w:rsid w:val="0F60A151"/>
    <w:rsid w:val="0F6D9D76"/>
    <w:rsid w:val="0F70456F"/>
    <w:rsid w:val="0F8B9AFD"/>
    <w:rsid w:val="0F8DB7E5"/>
    <w:rsid w:val="0F93F4A5"/>
    <w:rsid w:val="0F9AF234"/>
    <w:rsid w:val="0FAE4696"/>
    <w:rsid w:val="0FBFF9E5"/>
    <w:rsid w:val="0FDEC5D6"/>
    <w:rsid w:val="0FE398B8"/>
    <w:rsid w:val="0FF03C77"/>
    <w:rsid w:val="0FF2256D"/>
    <w:rsid w:val="0FF40F11"/>
    <w:rsid w:val="10036DC7"/>
    <w:rsid w:val="100E9D2B"/>
    <w:rsid w:val="10192A3C"/>
    <w:rsid w:val="10508412"/>
    <w:rsid w:val="1051DDC1"/>
    <w:rsid w:val="10551CB4"/>
    <w:rsid w:val="10724BF3"/>
    <w:rsid w:val="107D3E39"/>
    <w:rsid w:val="108472DC"/>
    <w:rsid w:val="10961574"/>
    <w:rsid w:val="10A16A83"/>
    <w:rsid w:val="10C24D95"/>
    <w:rsid w:val="10F68C3A"/>
    <w:rsid w:val="1119CF6A"/>
    <w:rsid w:val="1124C383"/>
    <w:rsid w:val="114693A0"/>
    <w:rsid w:val="11479B13"/>
    <w:rsid w:val="11561737"/>
    <w:rsid w:val="11597AC6"/>
    <w:rsid w:val="11660DEB"/>
    <w:rsid w:val="117EFA71"/>
    <w:rsid w:val="119394EB"/>
    <w:rsid w:val="11CD812F"/>
    <w:rsid w:val="11DF826B"/>
    <w:rsid w:val="11E1EA0E"/>
    <w:rsid w:val="11F66E17"/>
    <w:rsid w:val="11F95B73"/>
    <w:rsid w:val="11FEA6EA"/>
    <w:rsid w:val="1203CDA5"/>
    <w:rsid w:val="1216D024"/>
    <w:rsid w:val="1219842A"/>
    <w:rsid w:val="122C6EB5"/>
    <w:rsid w:val="1237B53F"/>
    <w:rsid w:val="123F7999"/>
    <w:rsid w:val="1254DE7B"/>
    <w:rsid w:val="12563A71"/>
    <w:rsid w:val="125B329F"/>
    <w:rsid w:val="126F8012"/>
    <w:rsid w:val="1272BA9C"/>
    <w:rsid w:val="1284F576"/>
    <w:rsid w:val="12A4CC53"/>
    <w:rsid w:val="12A5C813"/>
    <w:rsid w:val="12BCBB52"/>
    <w:rsid w:val="12D18C96"/>
    <w:rsid w:val="12D9A1C6"/>
    <w:rsid w:val="12DD3F25"/>
    <w:rsid w:val="12E26401"/>
    <w:rsid w:val="12E6216C"/>
    <w:rsid w:val="12F19DF8"/>
    <w:rsid w:val="13090754"/>
    <w:rsid w:val="1315085B"/>
    <w:rsid w:val="1316C55C"/>
    <w:rsid w:val="132B185B"/>
    <w:rsid w:val="13566E4E"/>
    <w:rsid w:val="137EF4F2"/>
    <w:rsid w:val="13854630"/>
    <w:rsid w:val="13939177"/>
    <w:rsid w:val="13C0CAA3"/>
    <w:rsid w:val="13CAEBB5"/>
    <w:rsid w:val="1415ED5F"/>
    <w:rsid w:val="141B6268"/>
    <w:rsid w:val="141F63F5"/>
    <w:rsid w:val="1438EDFC"/>
    <w:rsid w:val="144B407D"/>
    <w:rsid w:val="1453B0B1"/>
    <w:rsid w:val="14793629"/>
    <w:rsid w:val="147F12CF"/>
    <w:rsid w:val="14916EED"/>
    <w:rsid w:val="14994EEA"/>
    <w:rsid w:val="149D81A7"/>
    <w:rsid w:val="14A0AC22"/>
    <w:rsid w:val="14AB637A"/>
    <w:rsid w:val="14AE9E21"/>
    <w:rsid w:val="14AEC246"/>
    <w:rsid w:val="14CB35AD"/>
    <w:rsid w:val="14DC01CE"/>
    <w:rsid w:val="14E6B7E7"/>
    <w:rsid w:val="14F1838E"/>
    <w:rsid w:val="14F449AF"/>
    <w:rsid w:val="1510B988"/>
    <w:rsid w:val="1520AC1F"/>
    <w:rsid w:val="152176EE"/>
    <w:rsid w:val="152E0ED9"/>
    <w:rsid w:val="1530B533"/>
    <w:rsid w:val="153C383B"/>
    <w:rsid w:val="157D0B54"/>
    <w:rsid w:val="1592E599"/>
    <w:rsid w:val="159E00C3"/>
    <w:rsid w:val="15BBB361"/>
    <w:rsid w:val="15C3A7A5"/>
    <w:rsid w:val="15D16C04"/>
    <w:rsid w:val="15EF8112"/>
    <w:rsid w:val="15FF9A8E"/>
    <w:rsid w:val="161DCC9D"/>
    <w:rsid w:val="1626C7F0"/>
    <w:rsid w:val="16281731"/>
    <w:rsid w:val="1632A01B"/>
    <w:rsid w:val="16466CE8"/>
    <w:rsid w:val="164A6E82"/>
    <w:rsid w:val="164C8684"/>
    <w:rsid w:val="164CF652"/>
    <w:rsid w:val="165491B2"/>
    <w:rsid w:val="16601E73"/>
    <w:rsid w:val="1678B846"/>
    <w:rsid w:val="1679083F"/>
    <w:rsid w:val="16CE694B"/>
    <w:rsid w:val="16E9246C"/>
    <w:rsid w:val="16F17F2F"/>
    <w:rsid w:val="170EDA9A"/>
    <w:rsid w:val="17171994"/>
    <w:rsid w:val="17449AF0"/>
    <w:rsid w:val="174B7AD5"/>
    <w:rsid w:val="174FB073"/>
    <w:rsid w:val="17630E33"/>
    <w:rsid w:val="1785DE2D"/>
    <w:rsid w:val="1798E974"/>
    <w:rsid w:val="17DDAD45"/>
    <w:rsid w:val="17E69011"/>
    <w:rsid w:val="17EBF478"/>
    <w:rsid w:val="17FAF8D4"/>
    <w:rsid w:val="180E13A8"/>
    <w:rsid w:val="1814490B"/>
    <w:rsid w:val="1826805D"/>
    <w:rsid w:val="1826FA22"/>
    <w:rsid w:val="182FA4B1"/>
    <w:rsid w:val="1842FE01"/>
    <w:rsid w:val="186600B3"/>
    <w:rsid w:val="186E53DB"/>
    <w:rsid w:val="1870B4CF"/>
    <w:rsid w:val="1876DA1F"/>
    <w:rsid w:val="1888553C"/>
    <w:rsid w:val="189663C7"/>
    <w:rsid w:val="18979833"/>
    <w:rsid w:val="189D1C92"/>
    <w:rsid w:val="18A37193"/>
    <w:rsid w:val="18BA3D90"/>
    <w:rsid w:val="18CC66B9"/>
    <w:rsid w:val="19185AC2"/>
    <w:rsid w:val="1921AE8E"/>
    <w:rsid w:val="193B8499"/>
    <w:rsid w:val="1968A94E"/>
    <w:rsid w:val="19AA5361"/>
    <w:rsid w:val="19B3D145"/>
    <w:rsid w:val="19B69015"/>
    <w:rsid w:val="19D1D96A"/>
    <w:rsid w:val="19E8579F"/>
    <w:rsid w:val="1A108FC4"/>
    <w:rsid w:val="1A16E8B8"/>
    <w:rsid w:val="1A2BD569"/>
    <w:rsid w:val="1A4DAF58"/>
    <w:rsid w:val="1A501205"/>
    <w:rsid w:val="1A60A3F5"/>
    <w:rsid w:val="1A77A0F0"/>
    <w:rsid w:val="1A83C553"/>
    <w:rsid w:val="1AA8461B"/>
    <w:rsid w:val="1AC0D700"/>
    <w:rsid w:val="1AE1967B"/>
    <w:rsid w:val="1B04B748"/>
    <w:rsid w:val="1B118C0E"/>
    <w:rsid w:val="1B18A602"/>
    <w:rsid w:val="1B33168B"/>
    <w:rsid w:val="1B3EC1BC"/>
    <w:rsid w:val="1B723BA5"/>
    <w:rsid w:val="1BA33987"/>
    <w:rsid w:val="1BA8A0DD"/>
    <w:rsid w:val="1BE0FB6B"/>
    <w:rsid w:val="1BEB0870"/>
    <w:rsid w:val="1C364947"/>
    <w:rsid w:val="1C83D03C"/>
    <w:rsid w:val="1C83D183"/>
    <w:rsid w:val="1CA087A9"/>
    <w:rsid w:val="1CAD5C6F"/>
    <w:rsid w:val="1CAEF94E"/>
    <w:rsid w:val="1CC3ECC0"/>
    <w:rsid w:val="1CC70F91"/>
    <w:rsid w:val="1D05BE9F"/>
    <w:rsid w:val="1D0B4B2C"/>
    <w:rsid w:val="1D10D645"/>
    <w:rsid w:val="1D1BDC6C"/>
    <w:rsid w:val="1D1F7AC0"/>
    <w:rsid w:val="1D2272A1"/>
    <w:rsid w:val="1D406DAB"/>
    <w:rsid w:val="1D46C804"/>
    <w:rsid w:val="1D815E1D"/>
    <w:rsid w:val="1D8DCB22"/>
    <w:rsid w:val="1D976419"/>
    <w:rsid w:val="1D9AEFEE"/>
    <w:rsid w:val="1DAC42B5"/>
    <w:rsid w:val="1DD703FE"/>
    <w:rsid w:val="1DFAD145"/>
    <w:rsid w:val="1E016123"/>
    <w:rsid w:val="1E268EFC"/>
    <w:rsid w:val="1E456D74"/>
    <w:rsid w:val="1E4F5163"/>
    <w:rsid w:val="1E87C8F9"/>
    <w:rsid w:val="1E8FC95C"/>
    <w:rsid w:val="1EA4543C"/>
    <w:rsid w:val="1ECFF56D"/>
    <w:rsid w:val="1ED2C75A"/>
    <w:rsid w:val="1EDD8F28"/>
    <w:rsid w:val="1EE46578"/>
    <w:rsid w:val="1EEF7629"/>
    <w:rsid w:val="1F020B01"/>
    <w:rsid w:val="1F03EBD7"/>
    <w:rsid w:val="1F121F92"/>
    <w:rsid w:val="1F463B7F"/>
    <w:rsid w:val="1F5B330A"/>
    <w:rsid w:val="1F5D0F00"/>
    <w:rsid w:val="1F8F242A"/>
    <w:rsid w:val="1F95B39B"/>
    <w:rsid w:val="1FAFFEE1"/>
    <w:rsid w:val="1FB2BF67"/>
    <w:rsid w:val="1FCB3601"/>
    <w:rsid w:val="1FE6F779"/>
    <w:rsid w:val="1FF15D79"/>
    <w:rsid w:val="1FF273B9"/>
    <w:rsid w:val="200759A0"/>
    <w:rsid w:val="20150EAF"/>
    <w:rsid w:val="202B3319"/>
    <w:rsid w:val="20667B32"/>
    <w:rsid w:val="206ADF8A"/>
    <w:rsid w:val="20737078"/>
    <w:rsid w:val="207FD9D6"/>
    <w:rsid w:val="208A14B2"/>
    <w:rsid w:val="208B52AB"/>
    <w:rsid w:val="20B7EC0C"/>
    <w:rsid w:val="20E891DF"/>
    <w:rsid w:val="20F5E205"/>
    <w:rsid w:val="211B9A03"/>
    <w:rsid w:val="214E8FC8"/>
    <w:rsid w:val="216A6481"/>
    <w:rsid w:val="21722BB9"/>
    <w:rsid w:val="217552A7"/>
    <w:rsid w:val="21B3003F"/>
    <w:rsid w:val="21D5D981"/>
    <w:rsid w:val="21E5C271"/>
    <w:rsid w:val="21E5D9C4"/>
    <w:rsid w:val="222C5F10"/>
    <w:rsid w:val="2232444E"/>
    <w:rsid w:val="22365C4E"/>
    <w:rsid w:val="22598B70"/>
    <w:rsid w:val="225D4D78"/>
    <w:rsid w:val="2278128C"/>
    <w:rsid w:val="227B3070"/>
    <w:rsid w:val="227C24D9"/>
    <w:rsid w:val="228B7CE5"/>
    <w:rsid w:val="228D2FAF"/>
    <w:rsid w:val="228FA8CA"/>
    <w:rsid w:val="22AC1350"/>
    <w:rsid w:val="22CC90C0"/>
    <w:rsid w:val="22CDF6AF"/>
    <w:rsid w:val="22DC171A"/>
    <w:rsid w:val="22DD9474"/>
    <w:rsid w:val="22E1C907"/>
    <w:rsid w:val="22E8A99D"/>
    <w:rsid w:val="22F260F3"/>
    <w:rsid w:val="23109BCC"/>
    <w:rsid w:val="231A79DE"/>
    <w:rsid w:val="2328F18A"/>
    <w:rsid w:val="233C5215"/>
    <w:rsid w:val="23698B4F"/>
    <w:rsid w:val="236EC0E2"/>
    <w:rsid w:val="23768D0F"/>
    <w:rsid w:val="238EF0D3"/>
    <w:rsid w:val="23AEBB36"/>
    <w:rsid w:val="23B02DA0"/>
    <w:rsid w:val="23CF099B"/>
    <w:rsid w:val="23DD1B6A"/>
    <w:rsid w:val="23EFF175"/>
    <w:rsid w:val="240F6141"/>
    <w:rsid w:val="241BB056"/>
    <w:rsid w:val="241DCA29"/>
    <w:rsid w:val="2428178E"/>
    <w:rsid w:val="24566606"/>
    <w:rsid w:val="2465AEFB"/>
    <w:rsid w:val="24A72210"/>
    <w:rsid w:val="24FDFA30"/>
    <w:rsid w:val="255F21B7"/>
    <w:rsid w:val="256AD9FC"/>
    <w:rsid w:val="259A56A2"/>
    <w:rsid w:val="25A97A2D"/>
    <w:rsid w:val="25AF5AB7"/>
    <w:rsid w:val="25DC3065"/>
    <w:rsid w:val="25E93825"/>
    <w:rsid w:val="25FDA5A1"/>
    <w:rsid w:val="25FDCCFB"/>
    <w:rsid w:val="2621E794"/>
    <w:rsid w:val="2657952E"/>
    <w:rsid w:val="265B0451"/>
    <w:rsid w:val="26973ADB"/>
    <w:rsid w:val="269BAC1B"/>
    <w:rsid w:val="26AEFBAC"/>
    <w:rsid w:val="26B1AADB"/>
    <w:rsid w:val="26BD3FBE"/>
    <w:rsid w:val="26D04553"/>
    <w:rsid w:val="26E27E2D"/>
    <w:rsid w:val="26E49CC0"/>
    <w:rsid w:val="26E5B742"/>
    <w:rsid w:val="26EA955F"/>
    <w:rsid w:val="26F2A45D"/>
    <w:rsid w:val="26F45D0D"/>
    <w:rsid w:val="2706C109"/>
    <w:rsid w:val="270DF62A"/>
    <w:rsid w:val="2727CDEF"/>
    <w:rsid w:val="274D6F6B"/>
    <w:rsid w:val="276513AC"/>
    <w:rsid w:val="2766FD76"/>
    <w:rsid w:val="276FF1B3"/>
    <w:rsid w:val="277572CB"/>
    <w:rsid w:val="27A6D568"/>
    <w:rsid w:val="27B98F6D"/>
    <w:rsid w:val="27D271D6"/>
    <w:rsid w:val="27F39BF1"/>
    <w:rsid w:val="28062A62"/>
    <w:rsid w:val="280E0C1D"/>
    <w:rsid w:val="280F32A8"/>
    <w:rsid w:val="2812A194"/>
    <w:rsid w:val="28385AAC"/>
    <w:rsid w:val="28389C57"/>
    <w:rsid w:val="28477F66"/>
    <w:rsid w:val="285DA7FC"/>
    <w:rsid w:val="28632A21"/>
    <w:rsid w:val="287B238E"/>
    <w:rsid w:val="2887D576"/>
    <w:rsid w:val="288F4F60"/>
    <w:rsid w:val="2892F574"/>
    <w:rsid w:val="289FDC53"/>
    <w:rsid w:val="28A2C4C1"/>
    <w:rsid w:val="28A89B5B"/>
    <w:rsid w:val="28AC3568"/>
    <w:rsid w:val="28CD12F0"/>
    <w:rsid w:val="28D31217"/>
    <w:rsid w:val="2917BA8A"/>
    <w:rsid w:val="2922A2A8"/>
    <w:rsid w:val="2930671A"/>
    <w:rsid w:val="29350B4F"/>
    <w:rsid w:val="293ABDAD"/>
    <w:rsid w:val="2940EBE5"/>
    <w:rsid w:val="29430B66"/>
    <w:rsid w:val="295A57A4"/>
    <w:rsid w:val="296EF592"/>
    <w:rsid w:val="296F1857"/>
    <w:rsid w:val="29729024"/>
    <w:rsid w:val="29776860"/>
    <w:rsid w:val="29AED35E"/>
    <w:rsid w:val="29BC346D"/>
    <w:rsid w:val="29BD6EF0"/>
    <w:rsid w:val="29D5BD27"/>
    <w:rsid w:val="29EAACD8"/>
    <w:rsid w:val="29F0435E"/>
    <w:rsid w:val="29F16D32"/>
    <w:rsid w:val="29F5B36C"/>
    <w:rsid w:val="2A239642"/>
    <w:rsid w:val="2A2919FC"/>
    <w:rsid w:val="2A297E53"/>
    <w:rsid w:val="2A705D46"/>
    <w:rsid w:val="2A76E340"/>
    <w:rsid w:val="2A944F51"/>
    <w:rsid w:val="2A98859F"/>
    <w:rsid w:val="2AABFB65"/>
    <w:rsid w:val="2AC9B63A"/>
    <w:rsid w:val="2ACA68B2"/>
    <w:rsid w:val="2AF42DF4"/>
    <w:rsid w:val="2B1EDD6C"/>
    <w:rsid w:val="2B74BDCD"/>
    <w:rsid w:val="2B840466"/>
    <w:rsid w:val="2B8EA672"/>
    <w:rsid w:val="2BAA4EF2"/>
    <w:rsid w:val="2BE78CEA"/>
    <w:rsid w:val="2BECCE87"/>
    <w:rsid w:val="2BF0A29A"/>
    <w:rsid w:val="2BFC068F"/>
    <w:rsid w:val="2C02BE0F"/>
    <w:rsid w:val="2C1023EB"/>
    <w:rsid w:val="2C1C2314"/>
    <w:rsid w:val="2C2B3591"/>
    <w:rsid w:val="2C30701B"/>
    <w:rsid w:val="2C4135DB"/>
    <w:rsid w:val="2C424E1F"/>
    <w:rsid w:val="2C5EDD0B"/>
    <w:rsid w:val="2C5F296E"/>
    <w:rsid w:val="2C9F6E9E"/>
    <w:rsid w:val="2CA678C1"/>
    <w:rsid w:val="2CB53F91"/>
    <w:rsid w:val="2CC6DC7A"/>
    <w:rsid w:val="2CFCF1E5"/>
    <w:rsid w:val="2D281506"/>
    <w:rsid w:val="2D37EB21"/>
    <w:rsid w:val="2D54724F"/>
    <w:rsid w:val="2D79A43C"/>
    <w:rsid w:val="2D89730B"/>
    <w:rsid w:val="2D8E742F"/>
    <w:rsid w:val="2D9ADE34"/>
    <w:rsid w:val="2DC7C5AF"/>
    <w:rsid w:val="2DDB786D"/>
    <w:rsid w:val="2E02D3B5"/>
    <w:rsid w:val="2E0BB66D"/>
    <w:rsid w:val="2E10B6C1"/>
    <w:rsid w:val="2E139FE0"/>
    <w:rsid w:val="2E14465C"/>
    <w:rsid w:val="2E41BB0C"/>
    <w:rsid w:val="2E58CA00"/>
    <w:rsid w:val="2E63E196"/>
    <w:rsid w:val="2E6A6465"/>
    <w:rsid w:val="2E9D21C1"/>
    <w:rsid w:val="2EABA7AB"/>
    <w:rsid w:val="2EB14647"/>
    <w:rsid w:val="2EB53819"/>
    <w:rsid w:val="2EB94F85"/>
    <w:rsid w:val="2EC3E567"/>
    <w:rsid w:val="2EC5C455"/>
    <w:rsid w:val="2ECBA40E"/>
    <w:rsid w:val="2EF391AA"/>
    <w:rsid w:val="2F0E3C78"/>
    <w:rsid w:val="2F1CCD1A"/>
    <w:rsid w:val="2F4D728B"/>
    <w:rsid w:val="2F670895"/>
    <w:rsid w:val="2FA2BEB9"/>
    <w:rsid w:val="2FB2CAA0"/>
    <w:rsid w:val="2FC14D4A"/>
    <w:rsid w:val="2FCB1071"/>
    <w:rsid w:val="2FDA5B26"/>
    <w:rsid w:val="2FE1828A"/>
    <w:rsid w:val="2FE28D8B"/>
    <w:rsid w:val="3009B83A"/>
    <w:rsid w:val="3014ABFA"/>
    <w:rsid w:val="30307BEB"/>
    <w:rsid w:val="3032D56D"/>
    <w:rsid w:val="305F0B0B"/>
    <w:rsid w:val="3073CBAC"/>
    <w:rsid w:val="308474D6"/>
    <w:rsid w:val="3090DB69"/>
    <w:rsid w:val="30ACA730"/>
    <w:rsid w:val="30C83539"/>
    <w:rsid w:val="30D10908"/>
    <w:rsid w:val="3102EAB1"/>
    <w:rsid w:val="31204F57"/>
    <w:rsid w:val="3123AD26"/>
    <w:rsid w:val="312706CA"/>
    <w:rsid w:val="314D8F76"/>
    <w:rsid w:val="316CECAF"/>
    <w:rsid w:val="3182D027"/>
    <w:rsid w:val="31886075"/>
    <w:rsid w:val="318F341C"/>
    <w:rsid w:val="31959751"/>
    <w:rsid w:val="319C2F09"/>
    <w:rsid w:val="31A4D0A9"/>
    <w:rsid w:val="31A969D7"/>
    <w:rsid w:val="31C5B749"/>
    <w:rsid w:val="31E579A6"/>
    <w:rsid w:val="31F25A9E"/>
    <w:rsid w:val="31F39E34"/>
    <w:rsid w:val="321A4B1F"/>
    <w:rsid w:val="3230C006"/>
    <w:rsid w:val="3236D718"/>
    <w:rsid w:val="3246524D"/>
    <w:rsid w:val="325E8923"/>
    <w:rsid w:val="3278A347"/>
    <w:rsid w:val="32851C53"/>
    <w:rsid w:val="3293166F"/>
    <w:rsid w:val="32992210"/>
    <w:rsid w:val="329D84FF"/>
    <w:rsid w:val="32C2B42E"/>
    <w:rsid w:val="32D086DA"/>
    <w:rsid w:val="32D7953E"/>
    <w:rsid w:val="32E7079F"/>
    <w:rsid w:val="32FCAF7B"/>
    <w:rsid w:val="3327C442"/>
    <w:rsid w:val="332F67BE"/>
    <w:rsid w:val="335B851F"/>
    <w:rsid w:val="3368E29D"/>
    <w:rsid w:val="33690B00"/>
    <w:rsid w:val="33843068"/>
    <w:rsid w:val="33E80BAD"/>
    <w:rsid w:val="33F92BFB"/>
    <w:rsid w:val="342498A4"/>
    <w:rsid w:val="345E0950"/>
    <w:rsid w:val="3487BC73"/>
    <w:rsid w:val="3488D274"/>
    <w:rsid w:val="3493F1BD"/>
    <w:rsid w:val="34B20867"/>
    <w:rsid w:val="34E2185C"/>
    <w:rsid w:val="34EAF4B6"/>
    <w:rsid w:val="3505E01C"/>
    <w:rsid w:val="350987B1"/>
    <w:rsid w:val="351ABC3D"/>
    <w:rsid w:val="351FDB79"/>
    <w:rsid w:val="355353AD"/>
    <w:rsid w:val="355F1A20"/>
    <w:rsid w:val="357E8AC7"/>
    <w:rsid w:val="357EBDD9"/>
    <w:rsid w:val="35817A49"/>
    <w:rsid w:val="3583D2B2"/>
    <w:rsid w:val="3586DD3A"/>
    <w:rsid w:val="3593B57A"/>
    <w:rsid w:val="35A77546"/>
    <w:rsid w:val="35C41323"/>
    <w:rsid w:val="35C51BC8"/>
    <w:rsid w:val="35DCFD06"/>
    <w:rsid w:val="35DE8D51"/>
    <w:rsid w:val="35F24C4B"/>
    <w:rsid w:val="35FB0440"/>
    <w:rsid w:val="3608B4A9"/>
    <w:rsid w:val="360EB84C"/>
    <w:rsid w:val="3616D40B"/>
    <w:rsid w:val="3618E8F3"/>
    <w:rsid w:val="361FF930"/>
    <w:rsid w:val="362471EF"/>
    <w:rsid w:val="363B963F"/>
    <w:rsid w:val="36578528"/>
    <w:rsid w:val="3669AA1E"/>
    <w:rsid w:val="3672B2A7"/>
    <w:rsid w:val="36772988"/>
    <w:rsid w:val="368BDB04"/>
    <w:rsid w:val="369EAAF2"/>
    <w:rsid w:val="369F061F"/>
    <w:rsid w:val="36A6E371"/>
    <w:rsid w:val="36AB609C"/>
    <w:rsid w:val="36B0BD71"/>
    <w:rsid w:val="36BCCD49"/>
    <w:rsid w:val="36BDE9AA"/>
    <w:rsid w:val="36C157CA"/>
    <w:rsid w:val="36CB5A04"/>
    <w:rsid w:val="36EAE2B7"/>
    <w:rsid w:val="36F34620"/>
    <w:rsid w:val="371E2E4E"/>
    <w:rsid w:val="373683A5"/>
    <w:rsid w:val="3744FD15"/>
    <w:rsid w:val="37686B21"/>
    <w:rsid w:val="377EA524"/>
    <w:rsid w:val="37890A66"/>
    <w:rsid w:val="378FF4BD"/>
    <w:rsid w:val="379A7B04"/>
    <w:rsid w:val="37B5D86D"/>
    <w:rsid w:val="37BE60FD"/>
    <w:rsid w:val="37CFBFD4"/>
    <w:rsid w:val="37D7D112"/>
    <w:rsid w:val="3800D84D"/>
    <w:rsid w:val="380391BD"/>
    <w:rsid w:val="382DCB37"/>
    <w:rsid w:val="383B84D1"/>
    <w:rsid w:val="38664CAC"/>
    <w:rsid w:val="386C095B"/>
    <w:rsid w:val="38718E11"/>
    <w:rsid w:val="38778E9C"/>
    <w:rsid w:val="387B8652"/>
    <w:rsid w:val="387BDD90"/>
    <w:rsid w:val="387FE761"/>
    <w:rsid w:val="38E371A0"/>
    <w:rsid w:val="38E7A6CE"/>
    <w:rsid w:val="397CBE58"/>
    <w:rsid w:val="39801698"/>
    <w:rsid w:val="398546B9"/>
    <w:rsid w:val="398BFAB7"/>
    <w:rsid w:val="399086FA"/>
    <w:rsid w:val="39AEFF33"/>
    <w:rsid w:val="39D7351F"/>
    <w:rsid w:val="39F6F5E4"/>
    <w:rsid w:val="3A06EDFD"/>
    <w:rsid w:val="3A1FDB14"/>
    <w:rsid w:val="3A200916"/>
    <w:rsid w:val="3A2C4AD2"/>
    <w:rsid w:val="3A43B9FD"/>
    <w:rsid w:val="3A5299DD"/>
    <w:rsid w:val="3A59D623"/>
    <w:rsid w:val="3A91B8C9"/>
    <w:rsid w:val="3AACE258"/>
    <w:rsid w:val="3ACA7C20"/>
    <w:rsid w:val="3AD3A0A1"/>
    <w:rsid w:val="3AE40FF1"/>
    <w:rsid w:val="3AE58660"/>
    <w:rsid w:val="3B01F6DE"/>
    <w:rsid w:val="3B09700D"/>
    <w:rsid w:val="3B1E1F5B"/>
    <w:rsid w:val="3B23513A"/>
    <w:rsid w:val="3B35300B"/>
    <w:rsid w:val="3B38877C"/>
    <w:rsid w:val="3B75CE8D"/>
    <w:rsid w:val="3B7C8C28"/>
    <w:rsid w:val="3B95DDCB"/>
    <w:rsid w:val="3BB816BA"/>
    <w:rsid w:val="3BCA12AD"/>
    <w:rsid w:val="3BE5470D"/>
    <w:rsid w:val="3BE61623"/>
    <w:rsid w:val="3BE835B6"/>
    <w:rsid w:val="3BECF48D"/>
    <w:rsid w:val="3C0B92C7"/>
    <w:rsid w:val="3C122315"/>
    <w:rsid w:val="3C1E976E"/>
    <w:rsid w:val="3C305D39"/>
    <w:rsid w:val="3C592994"/>
    <w:rsid w:val="3C61B8BA"/>
    <w:rsid w:val="3C68AA21"/>
    <w:rsid w:val="3C6ABD23"/>
    <w:rsid w:val="3CBBF760"/>
    <w:rsid w:val="3CD33F47"/>
    <w:rsid w:val="3CD7698E"/>
    <w:rsid w:val="3CE4D544"/>
    <w:rsid w:val="3CFDB555"/>
    <w:rsid w:val="3D0917FC"/>
    <w:rsid w:val="3D1BF3F1"/>
    <w:rsid w:val="3D1CC028"/>
    <w:rsid w:val="3D1CF706"/>
    <w:rsid w:val="3D4CBAB1"/>
    <w:rsid w:val="3D65E30E"/>
    <w:rsid w:val="3D6B25EA"/>
    <w:rsid w:val="3D72DC53"/>
    <w:rsid w:val="3DB2DE36"/>
    <w:rsid w:val="3DC041C5"/>
    <w:rsid w:val="3DEC25E1"/>
    <w:rsid w:val="3DF530F5"/>
    <w:rsid w:val="3E009765"/>
    <w:rsid w:val="3E037962"/>
    <w:rsid w:val="3E038843"/>
    <w:rsid w:val="3E260282"/>
    <w:rsid w:val="3E510AA8"/>
    <w:rsid w:val="3E55FA41"/>
    <w:rsid w:val="3E57EE9B"/>
    <w:rsid w:val="3E7E4BB2"/>
    <w:rsid w:val="3E97B167"/>
    <w:rsid w:val="3EA5A21C"/>
    <w:rsid w:val="3EC37572"/>
    <w:rsid w:val="3ED1C4F2"/>
    <w:rsid w:val="3EF1DFA9"/>
    <w:rsid w:val="3EF640F6"/>
    <w:rsid w:val="3F049429"/>
    <w:rsid w:val="3F2B52EE"/>
    <w:rsid w:val="3F3C0560"/>
    <w:rsid w:val="3F3D56C3"/>
    <w:rsid w:val="3F65FD3B"/>
    <w:rsid w:val="3F80FB68"/>
    <w:rsid w:val="3FD95A88"/>
    <w:rsid w:val="3FE4AF27"/>
    <w:rsid w:val="4008EDF1"/>
    <w:rsid w:val="401500E0"/>
    <w:rsid w:val="401D83C9"/>
    <w:rsid w:val="403FC0D3"/>
    <w:rsid w:val="40753B7C"/>
    <w:rsid w:val="40796567"/>
    <w:rsid w:val="407DC718"/>
    <w:rsid w:val="408BC7D3"/>
    <w:rsid w:val="40AAF579"/>
    <w:rsid w:val="40AB91D5"/>
    <w:rsid w:val="40BFE5AE"/>
    <w:rsid w:val="40C99851"/>
    <w:rsid w:val="40DA6046"/>
    <w:rsid w:val="40DED0D9"/>
    <w:rsid w:val="41135E3B"/>
    <w:rsid w:val="4118FE41"/>
    <w:rsid w:val="411FDC43"/>
    <w:rsid w:val="4124B580"/>
    <w:rsid w:val="4132A04A"/>
    <w:rsid w:val="4149F651"/>
    <w:rsid w:val="4151B106"/>
    <w:rsid w:val="416E988F"/>
    <w:rsid w:val="417DF9D3"/>
    <w:rsid w:val="418FA0EE"/>
    <w:rsid w:val="41BF4C8F"/>
    <w:rsid w:val="41D17A86"/>
    <w:rsid w:val="41D6CE5A"/>
    <w:rsid w:val="41EAE085"/>
    <w:rsid w:val="41EF6514"/>
    <w:rsid w:val="4221ABB5"/>
    <w:rsid w:val="423A10F3"/>
    <w:rsid w:val="42469BEA"/>
    <w:rsid w:val="4254B880"/>
    <w:rsid w:val="42D6C182"/>
    <w:rsid w:val="42EC4489"/>
    <w:rsid w:val="43024813"/>
    <w:rsid w:val="439C893E"/>
    <w:rsid w:val="442B0B8F"/>
    <w:rsid w:val="442C0C03"/>
    <w:rsid w:val="44374584"/>
    <w:rsid w:val="4437ADC1"/>
    <w:rsid w:val="443E0C7D"/>
    <w:rsid w:val="444392D9"/>
    <w:rsid w:val="4444E5A7"/>
    <w:rsid w:val="445680E6"/>
    <w:rsid w:val="446BA177"/>
    <w:rsid w:val="447802B4"/>
    <w:rsid w:val="44B09866"/>
    <w:rsid w:val="44CB7197"/>
    <w:rsid w:val="44E28283"/>
    <w:rsid w:val="4503EE9A"/>
    <w:rsid w:val="450C7136"/>
    <w:rsid w:val="45321F7E"/>
    <w:rsid w:val="4533468B"/>
    <w:rsid w:val="4536D8DB"/>
    <w:rsid w:val="454086D1"/>
    <w:rsid w:val="4541E2AC"/>
    <w:rsid w:val="45429FD8"/>
    <w:rsid w:val="455D159B"/>
    <w:rsid w:val="456E3B99"/>
    <w:rsid w:val="4572AFE7"/>
    <w:rsid w:val="45CA8A47"/>
    <w:rsid w:val="45EDDB79"/>
    <w:rsid w:val="46156915"/>
    <w:rsid w:val="4633F897"/>
    <w:rsid w:val="46526482"/>
    <w:rsid w:val="46555837"/>
    <w:rsid w:val="4666441D"/>
    <w:rsid w:val="4666CCCA"/>
    <w:rsid w:val="469EF446"/>
    <w:rsid w:val="46A0811C"/>
    <w:rsid w:val="46A171EE"/>
    <w:rsid w:val="46A32395"/>
    <w:rsid w:val="46BB7591"/>
    <w:rsid w:val="46FEA16F"/>
    <w:rsid w:val="470B40B2"/>
    <w:rsid w:val="470BD972"/>
    <w:rsid w:val="47169EA6"/>
    <w:rsid w:val="471E7A66"/>
    <w:rsid w:val="471FA2B7"/>
    <w:rsid w:val="474987E3"/>
    <w:rsid w:val="4756F06F"/>
    <w:rsid w:val="476BCF98"/>
    <w:rsid w:val="477698E2"/>
    <w:rsid w:val="47D10909"/>
    <w:rsid w:val="47E59C18"/>
    <w:rsid w:val="47EBF0FD"/>
    <w:rsid w:val="4820940B"/>
    <w:rsid w:val="482D6968"/>
    <w:rsid w:val="483B2938"/>
    <w:rsid w:val="483C0276"/>
    <w:rsid w:val="48501037"/>
    <w:rsid w:val="48B3F9C8"/>
    <w:rsid w:val="48C4D348"/>
    <w:rsid w:val="48C6C965"/>
    <w:rsid w:val="48D37155"/>
    <w:rsid w:val="48D652C1"/>
    <w:rsid w:val="48D9D011"/>
    <w:rsid w:val="48E05811"/>
    <w:rsid w:val="48F7DC00"/>
    <w:rsid w:val="48F7F153"/>
    <w:rsid w:val="48FA2C3D"/>
    <w:rsid w:val="490FA1DF"/>
    <w:rsid w:val="4923B496"/>
    <w:rsid w:val="49243A24"/>
    <w:rsid w:val="494FE302"/>
    <w:rsid w:val="495B860D"/>
    <w:rsid w:val="499A969D"/>
    <w:rsid w:val="49B08ED9"/>
    <w:rsid w:val="49B2CC4A"/>
    <w:rsid w:val="49B52A58"/>
    <w:rsid w:val="49C2D95A"/>
    <w:rsid w:val="49FA76F9"/>
    <w:rsid w:val="4A1DA472"/>
    <w:rsid w:val="4A262729"/>
    <w:rsid w:val="4A47FBF8"/>
    <w:rsid w:val="4A604954"/>
    <w:rsid w:val="4A6769AB"/>
    <w:rsid w:val="4A76CF62"/>
    <w:rsid w:val="4AC6C06C"/>
    <w:rsid w:val="4AF62012"/>
    <w:rsid w:val="4B2C04EC"/>
    <w:rsid w:val="4B56D579"/>
    <w:rsid w:val="4B6AA7B4"/>
    <w:rsid w:val="4BB45CF1"/>
    <w:rsid w:val="4BC02CA3"/>
    <w:rsid w:val="4C165135"/>
    <w:rsid w:val="4C18F626"/>
    <w:rsid w:val="4C5EAF57"/>
    <w:rsid w:val="4C826A47"/>
    <w:rsid w:val="4CA3E5AA"/>
    <w:rsid w:val="4CB7F04B"/>
    <w:rsid w:val="4CC860AC"/>
    <w:rsid w:val="4CD72132"/>
    <w:rsid w:val="4CDCF2EF"/>
    <w:rsid w:val="4CFB151E"/>
    <w:rsid w:val="4CFE14A0"/>
    <w:rsid w:val="4D07EBB5"/>
    <w:rsid w:val="4D1E775E"/>
    <w:rsid w:val="4D4D810D"/>
    <w:rsid w:val="4D5D58FD"/>
    <w:rsid w:val="4D670EEC"/>
    <w:rsid w:val="4D951164"/>
    <w:rsid w:val="4DA31F2F"/>
    <w:rsid w:val="4DBEDD2B"/>
    <w:rsid w:val="4DC21819"/>
    <w:rsid w:val="4DD8D963"/>
    <w:rsid w:val="4E02D3D3"/>
    <w:rsid w:val="4E067790"/>
    <w:rsid w:val="4E0F6E73"/>
    <w:rsid w:val="4E553FC3"/>
    <w:rsid w:val="4E56A16E"/>
    <w:rsid w:val="4E6AF85E"/>
    <w:rsid w:val="4E848E83"/>
    <w:rsid w:val="4EB1CFBF"/>
    <w:rsid w:val="4EC4C556"/>
    <w:rsid w:val="4EC6A103"/>
    <w:rsid w:val="4ED0915F"/>
    <w:rsid w:val="4F0A55BE"/>
    <w:rsid w:val="4F0AA19E"/>
    <w:rsid w:val="4F111456"/>
    <w:rsid w:val="4F2DE0F0"/>
    <w:rsid w:val="4F3B8D2F"/>
    <w:rsid w:val="4F919488"/>
    <w:rsid w:val="4FA8B657"/>
    <w:rsid w:val="4FBBDBD5"/>
    <w:rsid w:val="4FC532A0"/>
    <w:rsid w:val="4FD911F8"/>
    <w:rsid w:val="4FDF842B"/>
    <w:rsid w:val="4FE4B107"/>
    <w:rsid w:val="4FF11024"/>
    <w:rsid w:val="50005CCF"/>
    <w:rsid w:val="50136A6F"/>
    <w:rsid w:val="5033E04B"/>
    <w:rsid w:val="503DEEDF"/>
    <w:rsid w:val="5043CBFA"/>
    <w:rsid w:val="505F12A4"/>
    <w:rsid w:val="506CFF00"/>
    <w:rsid w:val="506EDAB1"/>
    <w:rsid w:val="50888070"/>
    <w:rsid w:val="5089C829"/>
    <w:rsid w:val="50CC7F15"/>
    <w:rsid w:val="50EBB3E7"/>
    <w:rsid w:val="5100A91A"/>
    <w:rsid w:val="5146DF80"/>
    <w:rsid w:val="516775F4"/>
    <w:rsid w:val="517E4ADC"/>
    <w:rsid w:val="51810EB3"/>
    <w:rsid w:val="51830003"/>
    <w:rsid w:val="5195D47C"/>
    <w:rsid w:val="51ADD276"/>
    <w:rsid w:val="52264CE4"/>
    <w:rsid w:val="5247FF0C"/>
    <w:rsid w:val="5257D822"/>
    <w:rsid w:val="525DA1A5"/>
    <w:rsid w:val="5265BFC0"/>
    <w:rsid w:val="526B43D3"/>
    <w:rsid w:val="527AED43"/>
    <w:rsid w:val="527FB463"/>
    <w:rsid w:val="52A906A8"/>
    <w:rsid w:val="52BD5CBA"/>
    <w:rsid w:val="52BE1CD5"/>
    <w:rsid w:val="52F0A3F2"/>
    <w:rsid w:val="52F7AEA9"/>
    <w:rsid w:val="52FA4EB2"/>
    <w:rsid w:val="530884D9"/>
    <w:rsid w:val="531DEA14"/>
    <w:rsid w:val="533A7B24"/>
    <w:rsid w:val="5340E16E"/>
    <w:rsid w:val="53592AE6"/>
    <w:rsid w:val="536F46FF"/>
    <w:rsid w:val="538517A6"/>
    <w:rsid w:val="53878D0E"/>
    <w:rsid w:val="5388C40D"/>
    <w:rsid w:val="53901E68"/>
    <w:rsid w:val="53A1416D"/>
    <w:rsid w:val="53A7D2C6"/>
    <w:rsid w:val="53C58117"/>
    <w:rsid w:val="53F674B7"/>
    <w:rsid w:val="53F8C2B0"/>
    <w:rsid w:val="53FB25CF"/>
    <w:rsid w:val="5428CC27"/>
    <w:rsid w:val="5431C765"/>
    <w:rsid w:val="544BD71C"/>
    <w:rsid w:val="54915FF2"/>
    <w:rsid w:val="54A989B9"/>
    <w:rsid w:val="54B6B53C"/>
    <w:rsid w:val="54BFF302"/>
    <w:rsid w:val="54D2A970"/>
    <w:rsid w:val="54E5C346"/>
    <w:rsid w:val="551A9C62"/>
    <w:rsid w:val="55264112"/>
    <w:rsid w:val="552B96FA"/>
    <w:rsid w:val="553336CA"/>
    <w:rsid w:val="553C46AB"/>
    <w:rsid w:val="554FC213"/>
    <w:rsid w:val="5552D42E"/>
    <w:rsid w:val="555E5815"/>
    <w:rsid w:val="55729782"/>
    <w:rsid w:val="55802BB3"/>
    <w:rsid w:val="55859007"/>
    <w:rsid w:val="558C8B4D"/>
    <w:rsid w:val="559EF295"/>
    <w:rsid w:val="55B62438"/>
    <w:rsid w:val="55B78403"/>
    <w:rsid w:val="55CCAC57"/>
    <w:rsid w:val="55DAB9E8"/>
    <w:rsid w:val="55E63139"/>
    <w:rsid w:val="55E7A77D"/>
    <w:rsid w:val="56101B98"/>
    <w:rsid w:val="561BC972"/>
    <w:rsid w:val="562CADD3"/>
    <w:rsid w:val="562DFD19"/>
    <w:rsid w:val="562EC4E6"/>
    <w:rsid w:val="564409AC"/>
    <w:rsid w:val="564A6719"/>
    <w:rsid w:val="56571E4A"/>
    <w:rsid w:val="565F13ED"/>
    <w:rsid w:val="566DF06D"/>
    <w:rsid w:val="5670448F"/>
    <w:rsid w:val="567721FE"/>
    <w:rsid w:val="5683D91A"/>
    <w:rsid w:val="56DB251E"/>
    <w:rsid w:val="56F30539"/>
    <w:rsid w:val="5701AB18"/>
    <w:rsid w:val="57321E06"/>
    <w:rsid w:val="573686C9"/>
    <w:rsid w:val="57414545"/>
    <w:rsid w:val="576BE5B9"/>
    <w:rsid w:val="5779BCF4"/>
    <w:rsid w:val="579853B0"/>
    <w:rsid w:val="57C87003"/>
    <w:rsid w:val="57CCEC3F"/>
    <w:rsid w:val="57D35C7E"/>
    <w:rsid w:val="57F47E34"/>
    <w:rsid w:val="581C2BF7"/>
    <w:rsid w:val="58336622"/>
    <w:rsid w:val="58484C57"/>
    <w:rsid w:val="58558CB4"/>
    <w:rsid w:val="587E63E7"/>
    <w:rsid w:val="58C80D43"/>
    <w:rsid w:val="58CCDC1D"/>
    <w:rsid w:val="58EF51CB"/>
    <w:rsid w:val="59072804"/>
    <w:rsid w:val="592B0278"/>
    <w:rsid w:val="5930F486"/>
    <w:rsid w:val="5941DB33"/>
    <w:rsid w:val="59786961"/>
    <w:rsid w:val="598F6551"/>
    <w:rsid w:val="5999DF01"/>
    <w:rsid w:val="599B0EB9"/>
    <w:rsid w:val="59A1B3A4"/>
    <w:rsid w:val="59B132FB"/>
    <w:rsid w:val="59C0A4DB"/>
    <w:rsid w:val="59C56026"/>
    <w:rsid w:val="59C6FECA"/>
    <w:rsid w:val="59C8FDF3"/>
    <w:rsid w:val="59D7E30F"/>
    <w:rsid w:val="59DBFF96"/>
    <w:rsid w:val="5A032386"/>
    <w:rsid w:val="5A1D69D7"/>
    <w:rsid w:val="5A388D07"/>
    <w:rsid w:val="5A3A800C"/>
    <w:rsid w:val="5A58B8E0"/>
    <w:rsid w:val="5AAB908B"/>
    <w:rsid w:val="5AB62E36"/>
    <w:rsid w:val="5AE10FC3"/>
    <w:rsid w:val="5AE81288"/>
    <w:rsid w:val="5AE951DB"/>
    <w:rsid w:val="5AF9EE9F"/>
    <w:rsid w:val="5B14600C"/>
    <w:rsid w:val="5B2E8C25"/>
    <w:rsid w:val="5B46A6DE"/>
    <w:rsid w:val="5B55F032"/>
    <w:rsid w:val="5B578654"/>
    <w:rsid w:val="5B5CE14F"/>
    <w:rsid w:val="5B7A58E4"/>
    <w:rsid w:val="5B86C0C4"/>
    <w:rsid w:val="5B9B304D"/>
    <w:rsid w:val="5B9E992A"/>
    <w:rsid w:val="5BCA0C54"/>
    <w:rsid w:val="5BF48AA1"/>
    <w:rsid w:val="5C04273E"/>
    <w:rsid w:val="5C0DBBDE"/>
    <w:rsid w:val="5C112BCF"/>
    <w:rsid w:val="5C128D8E"/>
    <w:rsid w:val="5C226652"/>
    <w:rsid w:val="5C367708"/>
    <w:rsid w:val="5C454AB9"/>
    <w:rsid w:val="5C4D971B"/>
    <w:rsid w:val="5C5054AF"/>
    <w:rsid w:val="5C67FC6F"/>
    <w:rsid w:val="5C794D80"/>
    <w:rsid w:val="5C7988D4"/>
    <w:rsid w:val="5C7C5FD5"/>
    <w:rsid w:val="5C9196BB"/>
    <w:rsid w:val="5C9F82FC"/>
    <w:rsid w:val="5CC61751"/>
    <w:rsid w:val="5CDE4248"/>
    <w:rsid w:val="5CF43CD8"/>
    <w:rsid w:val="5D05E4C2"/>
    <w:rsid w:val="5D1260C0"/>
    <w:rsid w:val="5D184A8A"/>
    <w:rsid w:val="5D1F72B4"/>
    <w:rsid w:val="5D3FD93A"/>
    <w:rsid w:val="5D4E4A25"/>
    <w:rsid w:val="5D6349A2"/>
    <w:rsid w:val="5D70F54F"/>
    <w:rsid w:val="5D86B3EC"/>
    <w:rsid w:val="5D8F0BD8"/>
    <w:rsid w:val="5DDB9EED"/>
    <w:rsid w:val="5DE400C9"/>
    <w:rsid w:val="5DFB3B4C"/>
    <w:rsid w:val="5E3AF6DC"/>
    <w:rsid w:val="5E74B2BE"/>
    <w:rsid w:val="5EA08DE6"/>
    <w:rsid w:val="5EB0648E"/>
    <w:rsid w:val="5ED1B7DA"/>
    <w:rsid w:val="5EDA5C49"/>
    <w:rsid w:val="5EFFD98B"/>
    <w:rsid w:val="5F0EA3E2"/>
    <w:rsid w:val="5F1B000F"/>
    <w:rsid w:val="5F1FE9F0"/>
    <w:rsid w:val="5F3099AE"/>
    <w:rsid w:val="5F382C2A"/>
    <w:rsid w:val="5F4E31D2"/>
    <w:rsid w:val="5F70F1A0"/>
    <w:rsid w:val="5F9BAF51"/>
    <w:rsid w:val="5F9BE43E"/>
    <w:rsid w:val="5FA0303F"/>
    <w:rsid w:val="5FB829AC"/>
    <w:rsid w:val="5FC69402"/>
    <w:rsid w:val="5FCC9744"/>
    <w:rsid w:val="5FEFC7CC"/>
    <w:rsid w:val="5FF99892"/>
    <w:rsid w:val="6003DF31"/>
    <w:rsid w:val="601923C8"/>
    <w:rsid w:val="604DCA07"/>
    <w:rsid w:val="608196D4"/>
    <w:rsid w:val="609E187D"/>
    <w:rsid w:val="60A9498A"/>
    <w:rsid w:val="60A9E56C"/>
    <w:rsid w:val="60C4AB13"/>
    <w:rsid w:val="60E42B2D"/>
    <w:rsid w:val="60F0BFCE"/>
    <w:rsid w:val="60F1E6B3"/>
    <w:rsid w:val="6107DFE1"/>
    <w:rsid w:val="6118D236"/>
    <w:rsid w:val="611A2930"/>
    <w:rsid w:val="61204FD9"/>
    <w:rsid w:val="61401AE7"/>
    <w:rsid w:val="615A76DD"/>
    <w:rsid w:val="616C3E94"/>
    <w:rsid w:val="61754127"/>
    <w:rsid w:val="618D4003"/>
    <w:rsid w:val="61B80B4F"/>
    <w:rsid w:val="61C3B17F"/>
    <w:rsid w:val="61C6BAB5"/>
    <w:rsid w:val="61DE7360"/>
    <w:rsid w:val="61E86FBF"/>
    <w:rsid w:val="61F7B716"/>
    <w:rsid w:val="62001CCE"/>
    <w:rsid w:val="6202DE70"/>
    <w:rsid w:val="62371E71"/>
    <w:rsid w:val="6240C6D5"/>
    <w:rsid w:val="62578E0B"/>
    <w:rsid w:val="625A6430"/>
    <w:rsid w:val="6260AD34"/>
    <w:rsid w:val="627BFDB9"/>
    <w:rsid w:val="627D6277"/>
    <w:rsid w:val="62834A22"/>
    <w:rsid w:val="628C902F"/>
    <w:rsid w:val="629857CE"/>
    <w:rsid w:val="629ACDE9"/>
    <w:rsid w:val="62AA3C07"/>
    <w:rsid w:val="62AAF13D"/>
    <w:rsid w:val="62C43945"/>
    <w:rsid w:val="62D2A2B6"/>
    <w:rsid w:val="6310593C"/>
    <w:rsid w:val="632022D2"/>
    <w:rsid w:val="6321EA45"/>
    <w:rsid w:val="63236A38"/>
    <w:rsid w:val="633C6E40"/>
    <w:rsid w:val="636D9114"/>
    <w:rsid w:val="638680FE"/>
    <w:rsid w:val="639D3E11"/>
    <w:rsid w:val="63B4F7A4"/>
    <w:rsid w:val="6417572A"/>
    <w:rsid w:val="6446DD02"/>
    <w:rsid w:val="64521EBC"/>
    <w:rsid w:val="646410D6"/>
    <w:rsid w:val="64982A56"/>
    <w:rsid w:val="64B476C0"/>
    <w:rsid w:val="64C15B5F"/>
    <w:rsid w:val="64E2A83C"/>
    <w:rsid w:val="64E3B364"/>
    <w:rsid w:val="64E886E1"/>
    <w:rsid w:val="65100053"/>
    <w:rsid w:val="6523DBAD"/>
    <w:rsid w:val="65257B07"/>
    <w:rsid w:val="654D90E2"/>
    <w:rsid w:val="65538F30"/>
    <w:rsid w:val="65701F2B"/>
    <w:rsid w:val="65747A7E"/>
    <w:rsid w:val="659EE5B8"/>
    <w:rsid w:val="65E320F8"/>
    <w:rsid w:val="65EACC39"/>
    <w:rsid w:val="660DC187"/>
    <w:rsid w:val="6615343A"/>
    <w:rsid w:val="66395134"/>
    <w:rsid w:val="663AACF1"/>
    <w:rsid w:val="66495B2F"/>
    <w:rsid w:val="6658C051"/>
    <w:rsid w:val="666DCE78"/>
    <w:rsid w:val="666F2F3E"/>
    <w:rsid w:val="6676DF5B"/>
    <w:rsid w:val="669804E6"/>
    <w:rsid w:val="669B907B"/>
    <w:rsid w:val="66A3BBF0"/>
    <w:rsid w:val="66AA35D1"/>
    <w:rsid w:val="66ABD0B4"/>
    <w:rsid w:val="66B8003E"/>
    <w:rsid w:val="66BD3891"/>
    <w:rsid w:val="66E98F85"/>
    <w:rsid w:val="670CC636"/>
    <w:rsid w:val="67179C86"/>
    <w:rsid w:val="671BFE77"/>
    <w:rsid w:val="672CA09B"/>
    <w:rsid w:val="672CD36C"/>
    <w:rsid w:val="672D729A"/>
    <w:rsid w:val="676594EF"/>
    <w:rsid w:val="676B2FC5"/>
    <w:rsid w:val="679E950C"/>
    <w:rsid w:val="67A1E2E7"/>
    <w:rsid w:val="67A2F3B6"/>
    <w:rsid w:val="67C5B462"/>
    <w:rsid w:val="67EE2C34"/>
    <w:rsid w:val="6802AE6D"/>
    <w:rsid w:val="68070A96"/>
    <w:rsid w:val="680CE9E3"/>
    <w:rsid w:val="68111224"/>
    <w:rsid w:val="6826BAE5"/>
    <w:rsid w:val="684C6183"/>
    <w:rsid w:val="687252AF"/>
    <w:rsid w:val="68855FE6"/>
    <w:rsid w:val="68A9218D"/>
    <w:rsid w:val="69029076"/>
    <w:rsid w:val="690B7763"/>
    <w:rsid w:val="691CA4B9"/>
    <w:rsid w:val="69337682"/>
    <w:rsid w:val="694FFC2A"/>
    <w:rsid w:val="696BBE14"/>
    <w:rsid w:val="69715446"/>
    <w:rsid w:val="6977316F"/>
    <w:rsid w:val="69B6F1F0"/>
    <w:rsid w:val="69CB0C16"/>
    <w:rsid w:val="69F8EC2A"/>
    <w:rsid w:val="6A28A1A3"/>
    <w:rsid w:val="6A337002"/>
    <w:rsid w:val="6A445ADF"/>
    <w:rsid w:val="6A4D852D"/>
    <w:rsid w:val="6A6EA687"/>
    <w:rsid w:val="6A786704"/>
    <w:rsid w:val="6AA33793"/>
    <w:rsid w:val="6AB55BA4"/>
    <w:rsid w:val="6ACA5CE8"/>
    <w:rsid w:val="6AF57F2B"/>
    <w:rsid w:val="6AF9AD63"/>
    <w:rsid w:val="6B33B728"/>
    <w:rsid w:val="6B365F8B"/>
    <w:rsid w:val="6B3C25DE"/>
    <w:rsid w:val="6B4C2C5C"/>
    <w:rsid w:val="6B514B82"/>
    <w:rsid w:val="6B5242D4"/>
    <w:rsid w:val="6B80423D"/>
    <w:rsid w:val="6B9C4A17"/>
    <w:rsid w:val="6BA2E9C1"/>
    <w:rsid w:val="6BC15849"/>
    <w:rsid w:val="6BCCB2C8"/>
    <w:rsid w:val="6BE1EC63"/>
    <w:rsid w:val="6C0509C9"/>
    <w:rsid w:val="6C067B91"/>
    <w:rsid w:val="6C1D97EF"/>
    <w:rsid w:val="6C1FC196"/>
    <w:rsid w:val="6C349254"/>
    <w:rsid w:val="6C57DA2E"/>
    <w:rsid w:val="6C99D2B5"/>
    <w:rsid w:val="6CBADF9E"/>
    <w:rsid w:val="6CBF102A"/>
    <w:rsid w:val="6CCB82A2"/>
    <w:rsid w:val="6CD5DDCA"/>
    <w:rsid w:val="6CEFFDAB"/>
    <w:rsid w:val="6CFC26DE"/>
    <w:rsid w:val="6D209F72"/>
    <w:rsid w:val="6D2E67CC"/>
    <w:rsid w:val="6D56F0F8"/>
    <w:rsid w:val="6D8467B0"/>
    <w:rsid w:val="6D85BAAD"/>
    <w:rsid w:val="6D982379"/>
    <w:rsid w:val="6DA011FA"/>
    <w:rsid w:val="6DB013E0"/>
    <w:rsid w:val="6DD82B7F"/>
    <w:rsid w:val="6DDA71A5"/>
    <w:rsid w:val="6DE11ADD"/>
    <w:rsid w:val="6E1CAAB2"/>
    <w:rsid w:val="6E39540A"/>
    <w:rsid w:val="6E3B66BA"/>
    <w:rsid w:val="6E4863D2"/>
    <w:rsid w:val="6E896D57"/>
    <w:rsid w:val="6E8986D5"/>
    <w:rsid w:val="6E957C09"/>
    <w:rsid w:val="6E960AD4"/>
    <w:rsid w:val="6EAF46A9"/>
    <w:rsid w:val="6ECB5EE3"/>
    <w:rsid w:val="6ED6CCD8"/>
    <w:rsid w:val="6EE19433"/>
    <w:rsid w:val="6EE69E51"/>
    <w:rsid w:val="6F02C873"/>
    <w:rsid w:val="6F042FCE"/>
    <w:rsid w:val="6F0EF4C7"/>
    <w:rsid w:val="6F4F1475"/>
    <w:rsid w:val="6F544906"/>
    <w:rsid w:val="6F79A8E3"/>
    <w:rsid w:val="6FA21829"/>
    <w:rsid w:val="6FB6F14C"/>
    <w:rsid w:val="6FC2A810"/>
    <w:rsid w:val="6FE0724D"/>
    <w:rsid w:val="6FFF4707"/>
    <w:rsid w:val="70136B33"/>
    <w:rsid w:val="7029DA16"/>
    <w:rsid w:val="7038B23D"/>
    <w:rsid w:val="7047DBC0"/>
    <w:rsid w:val="7060607B"/>
    <w:rsid w:val="7096ADDD"/>
    <w:rsid w:val="70A8C73C"/>
    <w:rsid w:val="70B19448"/>
    <w:rsid w:val="70D54247"/>
    <w:rsid w:val="70EE47CD"/>
    <w:rsid w:val="71148954"/>
    <w:rsid w:val="71300D3C"/>
    <w:rsid w:val="71381910"/>
    <w:rsid w:val="71451BD5"/>
    <w:rsid w:val="71594D72"/>
    <w:rsid w:val="715F5FD0"/>
    <w:rsid w:val="717378F3"/>
    <w:rsid w:val="7176FA2D"/>
    <w:rsid w:val="7187C135"/>
    <w:rsid w:val="7199A1F3"/>
    <w:rsid w:val="71A94EED"/>
    <w:rsid w:val="71C50CC0"/>
    <w:rsid w:val="71E46475"/>
    <w:rsid w:val="71F1C80E"/>
    <w:rsid w:val="72017BE3"/>
    <w:rsid w:val="720676FD"/>
    <w:rsid w:val="721F2958"/>
    <w:rsid w:val="726671F1"/>
    <w:rsid w:val="7267C714"/>
    <w:rsid w:val="726BDDD8"/>
    <w:rsid w:val="729EDD2B"/>
    <w:rsid w:val="72BA2831"/>
    <w:rsid w:val="72FB3031"/>
    <w:rsid w:val="72FEA3BD"/>
    <w:rsid w:val="73108B2B"/>
    <w:rsid w:val="733B354B"/>
    <w:rsid w:val="736E20D7"/>
    <w:rsid w:val="73877E50"/>
    <w:rsid w:val="7390197F"/>
    <w:rsid w:val="73B4F35E"/>
    <w:rsid w:val="73D42A86"/>
    <w:rsid w:val="73DC4E20"/>
    <w:rsid w:val="73E74791"/>
    <w:rsid w:val="7418365D"/>
    <w:rsid w:val="74194DF5"/>
    <w:rsid w:val="741E951C"/>
    <w:rsid w:val="744462E7"/>
    <w:rsid w:val="7476140B"/>
    <w:rsid w:val="74C56FF3"/>
    <w:rsid w:val="74CFF5A3"/>
    <w:rsid w:val="74D2448E"/>
    <w:rsid w:val="74E737AA"/>
    <w:rsid w:val="7500C91B"/>
    <w:rsid w:val="752186EF"/>
    <w:rsid w:val="7526241D"/>
    <w:rsid w:val="752D5663"/>
    <w:rsid w:val="75355F6A"/>
    <w:rsid w:val="754ECA00"/>
    <w:rsid w:val="75588B01"/>
    <w:rsid w:val="75BC694E"/>
    <w:rsid w:val="75CE9A79"/>
    <w:rsid w:val="75DE2E05"/>
    <w:rsid w:val="75E56EC4"/>
    <w:rsid w:val="75EA55ED"/>
    <w:rsid w:val="7602F49A"/>
    <w:rsid w:val="76080918"/>
    <w:rsid w:val="761DC896"/>
    <w:rsid w:val="761E4B87"/>
    <w:rsid w:val="762D70B7"/>
    <w:rsid w:val="76448765"/>
    <w:rsid w:val="76470DC1"/>
    <w:rsid w:val="76537667"/>
    <w:rsid w:val="76611A71"/>
    <w:rsid w:val="766F090C"/>
    <w:rsid w:val="76767611"/>
    <w:rsid w:val="76B914EB"/>
    <w:rsid w:val="76CE089D"/>
    <w:rsid w:val="76CEC4CC"/>
    <w:rsid w:val="76E98998"/>
    <w:rsid w:val="76EE1B91"/>
    <w:rsid w:val="76FC39DF"/>
    <w:rsid w:val="771A307A"/>
    <w:rsid w:val="771ACBDF"/>
    <w:rsid w:val="771BC0F8"/>
    <w:rsid w:val="774164DA"/>
    <w:rsid w:val="775206FE"/>
    <w:rsid w:val="7759B834"/>
    <w:rsid w:val="775DE9B7"/>
    <w:rsid w:val="77611B82"/>
    <w:rsid w:val="776F2B3C"/>
    <w:rsid w:val="77796CBA"/>
    <w:rsid w:val="7799848C"/>
    <w:rsid w:val="779C8F14"/>
    <w:rsid w:val="77A3D979"/>
    <w:rsid w:val="77C3D52C"/>
    <w:rsid w:val="77C44C51"/>
    <w:rsid w:val="77CF3D74"/>
    <w:rsid w:val="77D085EF"/>
    <w:rsid w:val="77D0FAF7"/>
    <w:rsid w:val="77DA3B36"/>
    <w:rsid w:val="77E3E0C7"/>
    <w:rsid w:val="7809E550"/>
    <w:rsid w:val="78204582"/>
    <w:rsid w:val="7833602A"/>
    <w:rsid w:val="7854A21B"/>
    <w:rsid w:val="785680E8"/>
    <w:rsid w:val="785DC4DF"/>
    <w:rsid w:val="7865CC06"/>
    <w:rsid w:val="7883709A"/>
    <w:rsid w:val="7883C6F0"/>
    <w:rsid w:val="78856BF1"/>
    <w:rsid w:val="7895B92E"/>
    <w:rsid w:val="789C3A8B"/>
    <w:rsid w:val="78ACBE87"/>
    <w:rsid w:val="78BA64E0"/>
    <w:rsid w:val="78C7EE9D"/>
    <w:rsid w:val="78C8C198"/>
    <w:rsid w:val="7903052E"/>
    <w:rsid w:val="790E75D2"/>
    <w:rsid w:val="79233A87"/>
    <w:rsid w:val="79430A24"/>
    <w:rsid w:val="79456FB3"/>
    <w:rsid w:val="794724CB"/>
    <w:rsid w:val="7987E49D"/>
    <w:rsid w:val="7996FE04"/>
    <w:rsid w:val="79CB02A6"/>
    <w:rsid w:val="7A029EAD"/>
    <w:rsid w:val="7A078CE5"/>
    <w:rsid w:val="7A57B7A6"/>
    <w:rsid w:val="7A6297DF"/>
    <w:rsid w:val="7A81EA29"/>
    <w:rsid w:val="7A90638E"/>
    <w:rsid w:val="7A942F94"/>
    <w:rsid w:val="7A9805A0"/>
    <w:rsid w:val="7AFD8F26"/>
    <w:rsid w:val="7B178BE2"/>
    <w:rsid w:val="7B257285"/>
    <w:rsid w:val="7B366B63"/>
    <w:rsid w:val="7B4A96F5"/>
    <w:rsid w:val="7B55D0C7"/>
    <w:rsid w:val="7B60E75F"/>
    <w:rsid w:val="7B7334C8"/>
    <w:rsid w:val="7B9A7403"/>
    <w:rsid w:val="7B9FA8C0"/>
    <w:rsid w:val="7C504B8F"/>
    <w:rsid w:val="7C73979C"/>
    <w:rsid w:val="7C78ED28"/>
    <w:rsid w:val="7C791FF9"/>
    <w:rsid w:val="7C83D641"/>
    <w:rsid w:val="7CD56E20"/>
    <w:rsid w:val="7CE36DED"/>
    <w:rsid w:val="7CEE3D86"/>
    <w:rsid w:val="7D211E72"/>
    <w:rsid w:val="7D2F92A1"/>
    <w:rsid w:val="7D300B59"/>
    <w:rsid w:val="7D4CDE18"/>
    <w:rsid w:val="7D4CFEE2"/>
    <w:rsid w:val="7D61DBFF"/>
    <w:rsid w:val="7D71B6F0"/>
    <w:rsid w:val="7D92EB35"/>
    <w:rsid w:val="7D971E3E"/>
    <w:rsid w:val="7DB81102"/>
    <w:rsid w:val="7DD0C97F"/>
    <w:rsid w:val="7E03E312"/>
    <w:rsid w:val="7E070E87"/>
    <w:rsid w:val="7E11762F"/>
    <w:rsid w:val="7E1391E6"/>
    <w:rsid w:val="7E1494E9"/>
    <w:rsid w:val="7E21A557"/>
    <w:rsid w:val="7E3412CF"/>
    <w:rsid w:val="7E3B62C8"/>
    <w:rsid w:val="7E45D05E"/>
    <w:rsid w:val="7E504D6A"/>
    <w:rsid w:val="7E67EF5F"/>
    <w:rsid w:val="7E68665F"/>
    <w:rsid w:val="7E7384B4"/>
    <w:rsid w:val="7E82018A"/>
    <w:rsid w:val="7E84390E"/>
    <w:rsid w:val="7E86F415"/>
    <w:rsid w:val="7EB66414"/>
    <w:rsid w:val="7EC7C539"/>
    <w:rsid w:val="7EC9B676"/>
    <w:rsid w:val="7ECD31E8"/>
    <w:rsid w:val="7F12B2BA"/>
    <w:rsid w:val="7F26E932"/>
    <w:rsid w:val="7F625AEB"/>
    <w:rsid w:val="7F678147"/>
    <w:rsid w:val="7F7657AB"/>
    <w:rsid w:val="7F94F022"/>
    <w:rsid w:val="7FA03A45"/>
    <w:rsid w:val="7FB334F0"/>
    <w:rsid w:val="7FEB7A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BF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FB"/>
    <w:pPr>
      <w:spacing w:before="120" w:after="0"/>
    </w:pPr>
  </w:style>
  <w:style w:type="paragraph" w:styleId="Heading1">
    <w:name w:val="heading 1"/>
    <w:basedOn w:val="Normal"/>
    <w:next w:val="Normal"/>
    <w:link w:val="Heading1Char"/>
    <w:uiPriority w:val="9"/>
    <w:qFormat/>
    <w:rsid w:val="009132B4"/>
    <w:pPr>
      <w:keepNext/>
      <w:keepLines/>
      <w:numPr>
        <w:numId w:val="15"/>
      </w:numPr>
      <w:spacing w:before="240"/>
      <w:outlineLvl w:val="0"/>
    </w:pPr>
    <w:rPr>
      <w:rFonts w:asciiTheme="majorHAnsi" w:eastAsiaTheme="majorEastAsia" w:hAnsiTheme="majorHAnsi" w:cstheme="majorBidi"/>
      <w:sz w:val="52"/>
      <w:szCs w:val="32"/>
    </w:rPr>
  </w:style>
  <w:style w:type="paragraph" w:styleId="Heading2">
    <w:name w:val="heading 2"/>
    <w:basedOn w:val="Normal"/>
    <w:next w:val="Normal"/>
    <w:link w:val="Heading2Char"/>
    <w:uiPriority w:val="9"/>
    <w:unhideWhenUsed/>
    <w:qFormat/>
    <w:rsid w:val="00E21EB4"/>
    <w:pPr>
      <w:keepNext/>
      <w:keepLines/>
      <w:numPr>
        <w:ilvl w:val="1"/>
        <w:numId w:val="15"/>
      </w:numPr>
      <w:outlineLvl w:val="1"/>
    </w:pPr>
    <w:rPr>
      <w:rFonts w:asciiTheme="majorHAnsi" w:eastAsiaTheme="majorEastAsia" w:hAnsiTheme="majorHAnsi" w:cstheme="majorBidi"/>
      <w:color w:val="008A96"/>
      <w:sz w:val="32"/>
      <w:szCs w:val="26"/>
    </w:rPr>
  </w:style>
  <w:style w:type="paragraph" w:styleId="Heading3">
    <w:name w:val="heading 3"/>
    <w:basedOn w:val="Normal"/>
    <w:next w:val="Normal"/>
    <w:link w:val="Heading3Char"/>
    <w:uiPriority w:val="9"/>
    <w:unhideWhenUsed/>
    <w:qFormat/>
    <w:rsid w:val="009132B4"/>
    <w:pPr>
      <w:keepNext/>
      <w:keepLines/>
      <w:numPr>
        <w:ilvl w:val="2"/>
        <w:numId w:val="15"/>
      </w:numPr>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D78D3"/>
    <w:pPr>
      <w:keepNext/>
      <w:keepLines/>
      <w:outlineLvl w:val="3"/>
    </w:pPr>
    <w:rPr>
      <w:rFonts w:asciiTheme="majorHAnsi" w:eastAsiaTheme="majorEastAsia" w:hAnsiTheme="majorHAnsi" w:cstheme="majorBidi"/>
      <w:iCs/>
      <w:color w:val="1F3864" w:themeColor="accent1" w:themeShade="80"/>
    </w:rPr>
  </w:style>
  <w:style w:type="paragraph" w:styleId="Heading5">
    <w:name w:val="heading 5"/>
    <w:basedOn w:val="Normal"/>
    <w:next w:val="Normal"/>
    <w:link w:val="Heading5Char"/>
    <w:uiPriority w:val="9"/>
    <w:unhideWhenUsed/>
    <w:qFormat/>
    <w:rsid w:val="00F56596"/>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B2A30"/>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2A30"/>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2A30"/>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A30"/>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2B4"/>
    <w:rPr>
      <w:rFonts w:asciiTheme="majorHAnsi" w:eastAsiaTheme="majorEastAsia" w:hAnsiTheme="majorHAnsi" w:cstheme="majorBidi"/>
      <w:sz w:val="52"/>
      <w:szCs w:val="32"/>
    </w:rPr>
  </w:style>
  <w:style w:type="character" w:customStyle="1" w:styleId="Heading2Char">
    <w:name w:val="Heading 2 Char"/>
    <w:basedOn w:val="DefaultParagraphFont"/>
    <w:link w:val="Heading2"/>
    <w:uiPriority w:val="9"/>
    <w:rsid w:val="00E21EB4"/>
    <w:rPr>
      <w:rFonts w:asciiTheme="majorHAnsi" w:eastAsiaTheme="majorEastAsia" w:hAnsiTheme="majorHAnsi" w:cstheme="majorBidi"/>
      <w:color w:val="008A96"/>
      <w:sz w:val="32"/>
      <w:szCs w:val="26"/>
    </w:rPr>
  </w:style>
  <w:style w:type="character" w:customStyle="1" w:styleId="Heading3Char">
    <w:name w:val="Heading 3 Char"/>
    <w:basedOn w:val="DefaultParagraphFont"/>
    <w:link w:val="Heading3"/>
    <w:uiPriority w:val="9"/>
    <w:rsid w:val="009132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D78D3"/>
    <w:rPr>
      <w:rFonts w:asciiTheme="majorHAnsi" w:eastAsiaTheme="majorEastAsia" w:hAnsiTheme="majorHAnsi" w:cstheme="majorBidi"/>
      <w:iCs/>
      <w:color w:val="1F3864" w:themeColor="accent1" w:themeShade="80"/>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
    <w:basedOn w:val="Normal"/>
    <w:link w:val="ListParagraphChar"/>
    <w:uiPriority w:val="34"/>
    <w:qFormat/>
    <w:pPr>
      <w:ind w:left="720"/>
      <w:contextualSpacing/>
    </w:pPr>
  </w:style>
  <w:style w:type="paragraph" w:styleId="Header">
    <w:name w:val="header"/>
    <w:basedOn w:val="Normal"/>
    <w:link w:val="HeaderChar"/>
    <w:uiPriority w:val="99"/>
    <w:unhideWhenUsed/>
    <w:rsid w:val="00FC65E5"/>
    <w:pPr>
      <w:tabs>
        <w:tab w:val="center" w:pos="4513"/>
        <w:tab w:val="right" w:pos="9026"/>
      </w:tabs>
      <w:spacing w:line="240" w:lineRule="auto"/>
    </w:pPr>
  </w:style>
  <w:style w:type="character" w:customStyle="1" w:styleId="HeaderChar">
    <w:name w:val="Header Char"/>
    <w:basedOn w:val="DefaultParagraphFont"/>
    <w:link w:val="Header"/>
    <w:uiPriority w:val="99"/>
    <w:rsid w:val="00FC65E5"/>
  </w:style>
  <w:style w:type="paragraph" w:styleId="Footer">
    <w:name w:val="footer"/>
    <w:basedOn w:val="Normal"/>
    <w:link w:val="FooterChar"/>
    <w:uiPriority w:val="99"/>
    <w:unhideWhenUsed/>
    <w:rsid w:val="00FC65E5"/>
    <w:pPr>
      <w:tabs>
        <w:tab w:val="center" w:pos="4513"/>
        <w:tab w:val="right" w:pos="9026"/>
      </w:tabs>
      <w:spacing w:line="240" w:lineRule="auto"/>
    </w:pPr>
  </w:style>
  <w:style w:type="character" w:customStyle="1" w:styleId="FooterChar">
    <w:name w:val="Footer Char"/>
    <w:basedOn w:val="DefaultParagraphFont"/>
    <w:link w:val="Footer"/>
    <w:uiPriority w:val="99"/>
    <w:rsid w:val="00FC65E5"/>
  </w:style>
  <w:style w:type="paragraph" w:styleId="NormalWeb">
    <w:name w:val="Normal (Web)"/>
    <w:basedOn w:val="Normal"/>
    <w:uiPriority w:val="99"/>
    <w:unhideWhenUsed/>
    <w:rsid w:val="00306E2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D22D80"/>
    <w:rPr>
      <w:color w:val="0000FF"/>
      <w:u w:val="single"/>
    </w:rPr>
  </w:style>
  <w:style w:type="paragraph" w:styleId="TOCHeading">
    <w:name w:val="TOC Heading"/>
    <w:basedOn w:val="Heading1"/>
    <w:next w:val="Normal"/>
    <w:uiPriority w:val="39"/>
    <w:unhideWhenUsed/>
    <w:qFormat/>
    <w:rsid w:val="006933C9"/>
    <w:pPr>
      <w:outlineLvl w:val="9"/>
    </w:pPr>
    <w:rPr>
      <w:sz w:val="32"/>
      <w:lang w:val="en-US"/>
    </w:rPr>
  </w:style>
  <w:style w:type="paragraph" w:styleId="TOC1">
    <w:name w:val="toc 1"/>
    <w:basedOn w:val="Normal"/>
    <w:next w:val="Normal"/>
    <w:autoRedefine/>
    <w:uiPriority w:val="39"/>
    <w:unhideWhenUsed/>
    <w:rsid w:val="00173983"/>
    <w:pPr>
      <w:tabs>
        <w:tab w:val="left" w:pos="440"/>
        <w:tab w:val="right" w:leader="dot" w:pos="9016"/>
      </w:tabs>
      <w:spacing w:after="100"/>
    </w:pPr>
  </w:style>
  <w:style w:type="paragraph" w:styleId="TOC2">
    <w:name w:val="toc 2"/>
    <w:basedOn w:val="Normal"/>
    <w:next w:val="Normal"/>
    <w:autoRedefine/>
    <w:uiPriority w:val="39"/>
    <w:unhideWhenUsed/>
    <w:rsid w:val="003F6F6D"/>
    <w:pPr>
      <w:tabs>
        <w:tab w:val="left" w:pos="1021"/>
        <w:tab w:val="right" w:leader="dot" w:pos="9016"/>
      </w:tabs>
      <w:spacing w:after="100"/>
      <w:ind w:left="454"/>
    </w:pPr>
  </w:style>
  <w:style w:type="paragraph" w:styleId="TOC3">
    <w:name w:val="toc 3"/>
    <w:basedOn w:val="Normal"/>
    <w:next w:val="Normal"/>
    <w:autoRedefine/>
    <w:uiPriority w:val="39"/>
    <w:unhideWhenUsed/>
    <w:rsid w:val="00E21738"/>
    <w:pPr>
      <w:tabs>
        <w:tab w:val="left" w:pos="1320"/>
        <w:tab w:val="right" w:leader="dot" w:pos="9016"/>
      </w:tabs>
      <w:spacing w:after="100"/>
      <w:ind w:left="1021"/>
    </w:pPr>
  </w:style>
  <w:style w:type="character" w:customStyle="1" w:styleId="normaltextrun">
    <w:name w:val="normaltextrun"/>
    <w:basedOn w:val="DefaultParagraphFont"/>
    <w:rsid w:val="00914CB6"/>
  </w:style>
  <w:style w:type="paragraph" w:customStyle="1" w:styleId="paragraph">
    <w:name w:val="paragraph"/>
    <w:basedOn w:val="Normal"/>
    <w:rsid w:val="00FA1C0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FA1C0C"/>
  </w:style>
  <w:style w:type="table" w:styleId="TableGrid">
    <w:name w:val="Table Grid"/>
    <w:basedOn w:val="TableNormal"/>
    <w:uiPriority w:val="39"/>
    <w:rsid w:val="005541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5541AF"/>
    <w:pPr>
      <w:spacing w:line="240" w:lineRule="auto"/>
    </w:pPr>
    <w:rPr>
      <w:sz w:val="20"/>
      <w:szCs w:val="20"/>
    </w:rPr>
  </w:style>
  <w:style w:type="character" w:customStyle="1" w:styleId="CommentTextChar">
    <w:name w:val="Comment Text Char"/>
    <w:basedOn w:val="DefaultParagraphFont"/>
    <w:link w:val="CommentText"/>
    <w:uiPriority w:val="99"/>
    <w:rsid w:val="005541AF"/>
    <w:rPr>
      <w:sz w:val="20"/>
      <w:szCs w:val="20"/>
    </w:rPr>
  </w:style>
  <w:style w:type="character" w:styleId="CommentReference">
    <w:name w:val="annotation reference"/>
    <w:basedOn w:val="DefaultParagraphFont"/>
    <w:uiPriority w:val="99"/>
    <w:semiHidden/>
    <w:unhideWhenUsed/>
    <w:rsid w:val="005541AF"/>
    <w:rPr>
      <w:sz w:val="16"/>
      <w:szCs w:val="16"/>
    </w:rPr>
  </w:style>
  <w:style w:type="character" w:styleId="HTMLCite">
    <w:name w:val="HTML Cite"/>
    <w:basedOn w:val="DefaultParagraphFont"/>
    <w:uiPriority w:val="99"/>
    <w:semiHidden/>
    <w:unhideWhenUsed/>
    <w:rsid w:val="00EE2E34"/>
    <w:rPr>
      <w:i/>
      <w:iCs/>
    </w:rPr>
  </w:style>
  <w:style w:type="paragraph" w:styleId="CommentSubject">
    <w:name w:val="annotation subject"/>
    <w:basedOn w:val="CommentText"/>
    <w:next w:val="CommentText"/>
    <w:link w:val="CommentSubjectChar"/>
    <w:uiPriority w:val="99"/>
    <w:semiHidden/>
    <w:unhideWhenUsed/>
    <w:rsid w:val="00A737C4"/>
    <w:rPr>
      <w:b/>
      <w:bCs/>
    </w:rPr>
  </w:style>
  <w:style w:type="character" w:customStyle="1" w:styleId="CommentSubjectChar">
    <w:name w:val="Comment Subject Char"/>
    <w:basedOn w:val="CommentTextChar"/>
    <w:link w:val="CommentSubject"/>
    <w:uiPriority w:val="99"/>
    <w:semiHidden/>
    <w:rsid w:val="00A737C4"/>
    <w:rPr>
      <w:b/>
      <w:bCs/>
      <w:sz w:val="20"/>
      <w:szCs w:val="20"/>
    </w:rPr>
  </w:style>
  <w:style w:type="character" w:styleId="Mention">
    <w:name w:val="Mention"/>
    <w:basedOn w:val="DefaultParagraphFont"/>
    <w:uiPriority w:val="99"/>
    <w:unhideWhenUsed/>
    <w:rsid w:val="0082671B"/>
    <w:rPr>
      <w:color w:val="2B579A"/>
      <w:shd w:val="clear" w:color="auto" w:fill="E6E6E6"/>
    </w:rPr>
  </w:style>
  <w:style w:type="character" w:styleId="FollowedHyperlink">
    <w:name w:val="FollowedHyperlink"/>
    <w:basedOn w:val="DefaultParagraphFont"/>
    <w:uiPriority w:val="99"/>
    <w:semiHidden/>
    <w:unhideWhenUsed/>
    <w:rsid w:val="00276A07"/>
    <w:rPr>
      <w:color w:val="954F72" w:themeColor="followedHyperlink"/>
      <w:u w:val="single"/>
    </w:rPr>
  </w:style>
  <w:style w:type="character" w:customStyle="1" w:styleId="pubtitle">
    <w:name w:val="pubtitle"/>
    <w:basedOn w:val="DefaultParagraphFont"/>
    <w:rsid w:val="00276A07"/>
  </w:style>
  <w:style w:type="paragraph" w:styleId="Revision">
    <w:name w:val="Revision"/>
    <w:hidden/>
    <w:uiPriority w:val="99"/>
    <w:semiHidden/>
    <w:rsid w:val="00276A07"/>
    <w:pPr>
      <w:spacing w:after="0" w:line="240" w:lineRule="auto"/>
    </w:pPr>
  </w:style>
  <w:style w:type="paragraph" w:customStyle="1" w:styleId="5Bodytext">
    <w:name w:val="5. Body text"/>
    <w:basedOn w:val="ListParagraph"/>
    <w:link w:val="5BodytextChar"/>
    <w:qFormat/>
    <w:rsid w:val="00276A07"/>
    <w:pPr>
      <w:autoSpaceDE w:val="0"/>
      <w:autoSpaceDN w:val="0"/>
      <w:adjustRightInd w:val="0"/>
      <w:spacing w:after="240" w:line="240" w:lineRule="auto"/>
      <w:ind w:left="0"/>
      <w:contextualSpacing w:val="0"/>
    </w:pPr>
    <w:rPr>
      <w:rFonts w:ascii="Tms Rmn" w:eastAsia="Times New Roman" w:hAnsi="Tms Rmn" w:cs="Times New Roman"/>
      <w:sz w:val="24"/>
      <w:szCs w:val="24"/>
      <w:lang w:val="en-AU" w:eastAsia="en-AU"/>
    </w:rPr>
  </w:style>
  <w:style w:type="character" w:customStyle="1" w:styleId="5BodytextChar">
    <w:name w:val="5. Body text Char"/>
    <w:basedOn w:val="DefaultParagraphFont"/>
    <w:link w:val="5Bodytext"/>
    <w:rsid w:val="00276A07"/>
    <w:rPr>
      <w:rFonts w:ascii="Tms Rmn" w:eastAsia="Times New Roman" w:hAnsi="Tms Rmn" w:cs="Times New Roman"/>
      <w:sz w:val="24"/>
      <w:szCs w:val="24"/>
      <w:lang w:val="en-AU" w:eastAsia="en-AU"/>
    </w:rPr>
  </w:style>
  <w:style w:type="table" w:styleId="GridTable1Light-Accent5">
    <w:name w:val="Grid Table 1 Light Accent 5"/>
    <w:basedOn w:val="TableNormal"/>
    <w:uiPriority w:val="46"/>
    <w:rsid w:val="00276A0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76A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nhideWhenUsed/>
    <w:qFormat/>
    <w:rsid w:val="00EE5BDC"/>
    <w:pPr>
      <w:spacing w:line="240" w:lineRule="auto"/>
    </w:pPr>
    <w:rPr>
      <w:i/>
      <w:iCs/>
      <w:color w:val="44546A" w:themeColor="text2"/>
      <w:sz w:val="18"/>
      <w:szCs w:val="18"/>
    </w:rPr>
  </w:style>
  <w:style w:type="paragraph" w:customStyle="1" w:styleId="Char1">
    <w:name w:val="Char1"/>
    <w:basedOn w:val="Normal"/>
    <w:uiPriority w:val="99"/>
    <w:rsid w:val="00276A07"/>
    <w:pPr>
      <w:spacing w:line="240" w:lineRule="auto"/>
    </w:pPr>
    <w:rPr>
      <w:rFonts w:ascii="Arial" w:eastAsia="Times New Roman" w:hAnsi="Arial" w:cs="Arial"/>
      <w:lang w:val="en-AU"/>
    </w:rPr>
  </w:style>
  <w:style w:type="table" w:customStyle="1" w:styleId="TableTGAblue">
    <w:name w:val="Table TGA blue"/>
    <w:basedOn w:val="TableNormal"/>
    <w:uiPriority w:val="99"/>
    <w:qFormat/>
    <w:rsid w:val="00815E2E"/>
    <w:pPr>
      <w:spacing w:after="0" w:line="240" w:lineRule="auto"/>
    </w:pPr>
    <w:rPr>
      <w:rFonts w:ascii="Cambria" w:eastAsia="Cambria" w:hAnsi="Cambria" w:cs="Times New Roman"/>
      <w:color w:val="000000"/>
      <w:szCs w:val="21"/>
      <w:lang w:val="en-AU"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Tahoma" w:hAnsi="Tahom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NoSpacing">
    <w:name w:val="No Spacing"/>
    <w:uiPriority w:val="1"/>
    <w:qFormat/>
    <w:rsid w:val="0006418D"/>
    <w:pPr>
      <w:spacing w:after="0" w:line="240" w:lineRule="auto"/>
    </w:pPr>
  </w:style>
  <w:style w:type="paragraph" w:customStyle="1" w:styleId="Style1">
    <w:name w:val="Style 1"/>
    <w:basedOn w:val="ListParagraph"/>
    <w:rsid w:val="00115923"/>
    <w:pPr>
      <w:numPr>
        <w:numId w:val="1"/>
      </w:numPr>
      <w:spacing w:before="180" w:line="240" w:lineRule="auto"/>
      <w:contextualSpacing w:val="0"/>
    </w:pPr>
    <w:rPr>
      <w:rFonts w:ascii="Arial" w:eastAsia="Calibri" w:hAnsi="Arial" w:cstheme="minorHAnsi"/>
      <w:lang w:val="en-AU"/>
    </w:rPr>
  </w:style>
  <w:style w:type="paragraph" w:styleId="FootnoteText">
    <w:name w:val="footnote text"/>
    <w:basedOn w:val="Normal"/>
    <w:link w:val="FootnoteTextChar"/>
    <w:uiPriority w:val="99"/>
    <w:semiHidden/>
    <w:unhideWhenUsed/>
    <w:rsid w:val="002C167E"/>
    <w:pPr>
      <w:spacing w:line="240" w:lineRule="auto"/>
    </w:pPr>
    <w:rPr>
      <w:sz w:val="20"/>
      <w:szCs w:val="20"/>
      <w:lang w:val="en-AU"/>
    </w:rPr>
  </w:style>
  <w:style w:type="character" w:customStyle="1" w:styleId="FootnoteTextChar">
    <w:name w:val="Footnote Text Char"/>
    <w:basedOn w:val="DefaultParagraphFont"/>
    <w:link w:val="FootnoteText"/>
    <w:uiPriority w:val="99"/>
    <w:semiHidden/>
    <w:rsid w:val="002C167E"/>
    <w:rPr>
      <w:sz w:val="20"/>
      <w:szCs w:val="20"/>
      <w:lang w:val="en-AU"/>
    </w:rPr>
  </w:style>
  <w:style w:type="character" w:styleId="FootnoteReference">
    <w:name w:val="footnote reference"/>
    <w:basedOn w:val="DefaultParagraphFont"/>
    <w:uiPriority w:val="99"/>
    <w:semiHidden/>
    <w:unhideWhenUsed/>
    <w:rsid w:val="002C167E"/>
    <w:rPr>
      <w:vertAlign w:val="superscript"/>
    </w:rPr>
  </w:style>
  <w:style w:type="character" w:styleId="UnresolvedMention">
    <w:name w:val="Unresolved Mention"/>
    <w:basedOn w:val="DefaultParagraphFont"/>
    <w:uiPriority w:val="99"/>
    <w:unhideWhenUsed/>
    <w:rsid w:val="00B81C1F"/>
    <w:rPr>
      <w:color w:val="605E5C"/>
      <w:shd w:val="clear" w:color="auto" w:fill="E1DFDD"/>
    </w:rPr>
  </w:style>
  <w:style w:type="character" w:styleId="Strong">
    <w:name w:val="Strong"/>
    <w:basedOn w:val="DefaultParagraphFont"/>
    <w:uiPriority w:val="22"/>
    <w:qFormat/>
    <w:rsid w:val="001E7CEF"/>
    <w:rPr>
      <w:b/>
      <w:bCs/>
    </w:rPr>
  </w:style>
  <w:style w:type="character" w:customStyle="1" w:styleId="sr-only">
    <w:name w:val="sr-only"/>
    <w:basedOn w:val="DefaultParagraphFont"/>
    <w:rsid w:val="00BB068B"/>
  </w:style>
  <w:style w:type="character" w:customStyle="1" w:styleId="CaptionLabel">
    <w:name w:val="Caption Label"/>
    <w:basedOn w:val="DefaultParagraphFont"/>
    <w:uiPriority w:val="1"/>
    <w:qFormat/>
    <w:rsid w:val="002F4FCC"/>
    <w:rPr>
      <w:b/>
      <w:color w:val="000100"/>
    </w:rPr>
  </w:style>
  <w:style w:type="paragraph" w:styleId="TOC4">
    <w:name w:val="toc 4"/>
    <w:basedOn w:val="Normal"/>
    <w:next w:val="Normal"/>
    <w:autoRedefine/>
    <w:uiPriority w:val="39"/>
    <w:unhideWhenUsed/>
    <w:rsid w:val="002E2BCA"/>
    <w:pPr>
      <w:spacing w:after="100"/>
      <w:ind w:left="660"/>
    </w:pPr>
    <w:rPr>
      <w:rFonts w:eastAsiaTheme="minorEastAsia"/>
      <w:lang w:val="en-AU" w:eastAsia="en-AU"/>
    </w:rPr>
  </w:style>
  <w:style w:type="paragraph" w:styleId="TOC5">
    <w:name w:val="toc 5"/>
    <w:basedOn w:val="Normal"/>
    <w:next w:val="Normal"/>
    <w:autoRedefine/>
    <w:uiPriority w:val="39"/>
    <w:unhideWhenUsed/>
    <w:rsid w:val="002E2BCA"/>
    <w:pPr>
      <w:spacing w:after="100"/>
      <w:ind w:left="880"/>
    </w:pPr>
    <w:rPr>
      <w:rFonts w:eastAsiaTheme="minorEastAsia"/>
      <w:lang w:val="en-AU" w:eastAsia="en-AU"/>
    </w:rPr>
  </w:style>
  <w:style w:type="paragraph" w:styleId="TOC6">
    <w:name w:val="toc 6"/>
    <w:basedOn w:val="Normal"/>
    <w:next w:val="Normal"/>
    <w:autoRedefine/>
    <w:uiPriority w:val="39"/>
    <w:unhideWhenUsed/>
    <w:rsid w:val="002E2BCA"/>
    <w:pPr>
      <w:spacing w:after="100"/>
      <w:ind w:left="1100"/>
    </w:pPr>
    <w:rPr>
      <w:rFonts w:eastAsiaTheme="minorEastAsia"/>
      <w:lang w:val="en-AU" w:eastAsia="en-AU"/>
    </w:rPr>
  </w:style>
  <w:style w:type="paragraph" w:styleId="TOC7">
    <w:name w:val="toc 7"/>
    <w:basedOn w:val="Normal"/>
    <w:next w:val="Normal"/>
    <w:autoRedefine/>
    <w:uiPriority w:val="39"/>
    <w:unhideWhenUsed/>
    <w:rsid w:val="002E2BCA"/>
    <w:pPr>
      <w:spacing w:after="100"/>
      <w:ind w:left="1320"/>
    </w:pPr>
    <w:rPr>
      <w:rFonts w:eastAsiaTheme="minorEastAsia"/>
      <w:lang w:val="en-AU" w:eastAsia="en-AU"/>
    </w:rPr>
  </w:style>
  <w:style w:type="paragraph" w:styleId="TOC8">
    <w:name w:val="toc 8"/>
    <w:basedOn w:val="Normal"/>
    <w:next w:val="Normal"/>
    <w:autoRedefine/>
    <w:uiPriority w:val="39"/>
    <w:unhideWhenUsed/>
    <w:rsid w:val="002E2BCA"/>
    <w:pPr>
      <w:spacing w:after="100"/>
      <w:ind w:left="1540"/>
    </w:pPr>
    <w:rPr>
      <w:rFonts w:eastAsiaTheme="minorEastAsia"/>
      <w:lang w:val="en-AU" w:eastAsia="en-AU"/>
    </w:rPr>
  </w:style>
  <w:style w:type="paragraph" w:styleId="TOC9">
    <w:name w:val="toc 9"/>
    <w:basedOn w:val="Normal"/>
    <w:next w:val="Normal"/>
    <w:autoRedefine/>
    <w:uiPriority w:val="39"/>
    <w:unhideWhenUsed/>
    <w:rsid w:val="002E2BCA"/>
    <w:pPr>
      <w:spacing w:after="100"/>
      <w:ind w:left="1760"/>
    </w:pPr>
    <w:rPr>
      <w:rFonts w:eastAsiaTheme="minorEastAsia"/>
      <w:lang w:val="en-AU" w:eastAsia="en-AU"/>
    </w:rPr>
  </w:style>
  <w:style w:type="paragraph" w:customStyle="1" w:styleId="Default">
    <w:name w:val="Default"/>
    <w:rsid w:val="00A26955"/>
    <w:pPr>
      <w:autoSpaceDE w:val="0"/>
      <w:autoSpaceDN w:val="0"/>
      <w:adjustRightInd w:val="0"/>
      <w:spacing w:after="0" w:line="240" w:lineRule="auto"/>
    </w:pPr>
    <w:rPr>
      <w:rFonts w:ascii="Darwin Pro Rd Bold" w:hAnsi="Darwin Pro Rd Bold" w:cs="Darwin Pro Rd Bold"/>
      <w:color w:val="000000"/>
      <w:sz w:val="24"/>
      <w:szCs w:val="24"/>
      <w:lang w:val="en-AU"/>
    </w:rPr>
  </w:style>
  <w:style w:type="character" w:customStyle="1" w:styleId="findhit">
    <w:name w:val="findhit"/>
    <w:basedOn w:val="DefaultParagraphFont"/>
    <w:rsid w:val="000E207B"/>
  </w:style>
  <w:style w:type="table" w:styleId="PlainTable2">
    <w:name w:val="Plain Table 2"/>
    <w:basedOn w:val="TableNormal"/>
    <w:uiPriority w:val="42"/>
    <w:rsid w:val="008204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uiPriority w:val="9"/>
    <w:rsid w:val="00CB2A3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B2A3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2A3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B2A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2A30"/>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locked/>
    <w:rsid w:val="00E6458B"/>
  </w:style>
  <w:style w:type="character" w:styleId="Emphasis">
    <w:name w:val="Emphasis"/>
    <w:basedOn w:val="DefaultParagraphFont"/>
    <w:uiPriority w:val="20"/>
    <w:qFormat/>
    <w:rsid w:val="00EE4E5A"/>
    <w:rPr>
      <w:i/>
      <w:iCs/>
    </w:rPr>
  </w:style>
  <w:style w:type="table" w:styleId="GridTable1Light">
    <w:name w:val="Grid Table 1 Light"/>
    <w:basedOn w:val="TableNormal"/>
    <w:uiPriority w:val="46"/>
    <w:rsid w:val="001A0D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partmentofHealthtable">
    <w:name w:val="Department of Health table"/>
    <w:basedOn w:val="TableNormal"/>
    <w:uiPriority w:val="99"/>
    <w:rsid w:val="004B1BF7"/>
    <w:pPr>
      <w:spacing w:after="0" w:line="240" w:lineRule="auto"/>
    </w:pPr>
    <w:rPr>
      <w:rFonts w:eastAsia="Times New Roman" w:cs="Times New Roman"/>
      <w:color w:val="000000" w:themeColor="text1"/>
      <w:sz w:val="20"/>
      <w:szCs w:val="20"/>
      <w:lang w:val="en-AU" w:eastAsia="en-AU"/>
    </w:rPr>
    <w:tblPr>
      <w:tblStyleRowBandSize w:val="1"/>
      <w:tblBorders>
        <w:top w:val="single" w:sz="4" w:space="0" w:color="auto"/>
        <w:bottom w:val="single" w:sz="4" w:space="0" w:color="auto"/>
        <w:insideH w:val="single" w:sz="4" w:space="0" w:color="auto"/>
      </w:tblBorders>
    </w:tblPr>
    <w:trPr>
      <w:cantSplit/>
    </w:tr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TableGridLight">
    <w:name w:val="Grid Table Light"/>
    <w:basedOn w:val="TableNormal"/>
    <w:uiPriority w:val="40"/>
    <w:rsid w:val="00FF22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0">
    <w:name w:val="Pa0"/>
    <w:basedOn w:val="Default"/>
    <w:next w:val="Default"/>
    <w:uiPriority w:val="99"/>
    <w:rsid w:val="00F72C3E"/>
    <w:pPr>
      <w:spacing w:line="1001" w:lineRule="atLeast"/>
    </w:pPr>
    <w:rPr>
      <w:rFonts w:ascii="Darwin Ess Rd Light" w:hAnsi="Darwin Ess Rd Light" w:cstheme="minorBidi"/>
      <w:color w:val="auto"/>
    </w:rPr>
  </w:style>
  <w:style w:type="paragraph" w:styleId="Title">
    <w:name w:val="Title"/>
    <w:basedOn w:val="Normal"/>
    <w:next w:val="Normal"/>
    <w:link w:val="TitleChar"/>
    <w:uiPriority w:val="10"/>
    <w:qFormat/>
    <w:rsid w:val="00520B03"/>
    <w:pPr>
      <w:spacing w:after="1200" w:line="240" w:lineRule="auto"/>
      <w:contextualSpacing/>
    </w:pPr>
    <w:rPr>
      <w:rFonts w:asciiTheme="majorHAnsi" w:eastAsiaTheme="majorEastAsia" w:hAnsiTheme="majorHAnsi" w:cstheme="majorBidi"/>
      <w:color w:val="44546A" w:themeColor="text2"/>
      <w:spacing w:val="-10"/>
      <w:kern w:val="28"/>
      <w:sz w:val="96"/>
      <w:szCs w:val="56"/>
    </w:rPr>
  </w:style>
  <w:style w:type="character" w:customStyle="1" w:styleId="TitleChar">
    <w:name w:val="Title Char"/>
    <w:basedOn w:val="DefaultParagraphFont"/>
    <w:link w:val="Title"/>
    <w:uiPriority w:val="10"/>
    <w:rsid w:val="00520B03"/>
    <w:rPr>
      <w:rFonts w:asciiTheme="majorHAnsi" w:eastAsiaTheme="majorEastAsia" w:hAnsiTheme="majorHAnsi" w:cstheme="majorBidi"/>
      <w:color w:val="44546A" w:themeColor="text2"/>
      <w:spacing w:val="-10"/>
      <w:kern w:val="28"/>
      <w:sz w:val="96"/>
      <w:szCs w:val="56"/>
    </w:rPr>
  </w:style>
  <w:style w:type="table" w:styleId="PlainTable1">
    <w:name w:val="Plain Table 1"/>
    <w:basedOn w:val="TableNormal"/>
    <w:uiPriority w:val="41"/>
    <w:rsid w:val="00360A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CB5A32"/>
    <w:pPr>
      <w:spacing w:line="240" w:lineRule="auto"/>
    </w:pPr>
    <w:rPr>
      <w:sz w:val="20"/>
      <w:szCs w:val="20"/>
    </w:rPr>
  </w:style>
  <w:style w:type="character" w:customStyle="1" w:styleId="EndnoteTextChar">
    <w:name w:val="Endnote Text Char"/>
    <w:basedOn w:val="DefaultParagraphFont"/>
    <w:link w:val="EndnoteText"/>
    <w:uiPriority w:val="99"/>
    <w:semiHidden/>
    <w:rsid w:val="00CB5A32"/>
    <w:rPr>
      <w:sz w:val="20"/>
      <w:szCs w:val="20"/>
    </w:rPr>
  </w:style>
  <w:style w:type="character" w:styleId="EndnoteReference">
    <w:name w:val="endnote reference"/>
    <w:basedOn w:val="DefaultParagraphFont"/>
    <w:uiPriority w:val="99"/>
    <w:semiHidden/>
    <w:unhideWhenUsed/>
    <w:rsid w:val="00CB5A32"/>
    <w:rPr>
      <w:vertAlign w:val="superscript"/>
    </w:rPr>
  </w:style>
  <w:style w:type="table" w:styleId="TableClassic4">
    <w:name w:val="Table Classic 4"/>
    <w:basedOn w:val="TableNormal"/>
    <w:rsid w:val="007F70DC"/>
    <w:pPr>
      <w:spacing w:after="0" w:line="240" w:lineRule="auto"/>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IntenseEmphasis">
    <w:name w:val="Intense Emphasis"/>
    <w:basedOn w:val="DefaultParagraphFont"/>
    <w:uiPriority w:val="21"/>
    <w:qFormat/>
    <w:rsid w:val="006627FE"/>
    <w:rPr>
      <w:i/>
      <w:iCs/>
      <w:color w:val="4472C4" w:themeColor="accent1"/>
    </w:rPr>
  </w:style>
  <w:style w:type="character" w:customStyle="1" w:styleId="null1">
    <w:name w:val="null1"/>
    <w:basedOn w:val="DefaultParagraphFont"/>
    <w:rsid w:val="000F63D1"/>
  </w:style>
  <w:style w:type="paragraph" w:customStyle="1" w:styleId="null">
    <w:name w:val="null"/>
    <w:basedOn w:val="Normal"/>
    <w:rsid w:val="007E684B"/>
    <w:pPr>
      <w:spacing w:before="100" w:beforeAutospacing="1" w:after="100" w:afterAutospacing="1" w:line="240" w:lineRule="auto"/>
    </w:pPr>
    <w:rPr>
      <w:rFonts w:ascii="Calibri" w:hAnsi="Calibri" w:cs="Calibri"/>
      <w:lang w:val="en-AU" w:eastAsia="en-AU"/>
    </w:rPr>
  </w:style>
  <w:style w:type="paragraph" w:styleId="List">
    <w:name w:val="List"/>
    <w:basedOn w:val="Normal"/>
    <w:uiPriority w:val="99"/>
    <w:unhideWhenUsed/>
    <w:rsid w:val="00673ABB"/>
    <w:pPr>
      <w:ind w:left="283" w:hanging="283"/>
      <w:contextualSpacing/>
    </w:pPr>
  </w:style>
  <w:style w:type="paragraph" w:styleId="List2">
    <w:name w:val="List 2"/>
    <w:basedOn w:val="Normal"/>
    <w:uiPriority w:val="99"/>
    <w:unhideWhenUsed/>
    <w:rsid w:val="00673ABB"/>
    <w:pPr>
      <w:ind w:left="566" w:hanging="283"/>
      <w:contextualSpacing/>
    </w:pPr>
  </w:style>
  <w:style w:type="paragraph" w:styleId="ListContinue2">
    <w:name w:val="List Continue 2"/>
    <w:basedOn w:val="Normal"/>
    <w:uiPriority w:val="99"/>
    <w:unhideWhenUsed/>
    <w:rsid w:val="00491D04"/>
    <w:pPr>
      <w:spacing w:after="120"/>
      <w:ind w:left="566"/>
      <w:contextualSpacing/>
    </w:pPr>
  </w:style>
  <w:style w:type="paragraph" w:styleId="ListContinue">
    <w:name w:val="List Continue"/>
    <w:basedOn w:val="Normal"/>
    <w:uiPriority w:val="99"/>
    <w:unhideWhenUsed/>
    <w:rsid w:val="00491D04"/>
    <w:pPr>
      <w:spacing w:after="120"/>
      <w:ind w:left="283"/>
      <w:contextualSpacing/>
    </w:pPr>
  </w:style>
  <w:style w:type="paragraph" w:styleId="ListBullet2">
    <w:name w:val="List Bullet 2"/>
    <w:basedOn w:val="Normal"/>
    <w:uiPriority w:val="99"/>
    <w:unhideWhenUsed/>
    <w:rsid w:val="00491D04"/>
    <w:pPr>
      <w:numPr>
        <w:numId w:val="47"/>
      </w:numPr>
      <w:contextualSpacing/>
    </w:pPr>
  </w:style>
  <w:style w:type="paragraph" w:styleId="ListBullet">
    <w:name w:val="List Bullet"/>
    <w:basedOn w:val="Normal"/>
    <w:uiPriority w:val="99"/>
    <w:unhideWhenUsed/>
    <w:rsid w:val="00491D04"/>
    <w:pPr>
      <w:numPr>
        <w:numId w:val="48"/>
      </w:numPr>
      <w:contextualSpacing/>
    </w:pPr>
  </w:style>
  <w:style w:type="paragraph" w:styleId="List5">
    <w:name w:val="List 5"/>
    <w:basedOn w:val="Normal"/>
    <w:uiPriority w:val="99"/>
    <w:unhideWhenUsed/>
    <w:rsid w:val="00491D04"/>
    <w:pPr>
      <w:ind w:left="1415" w:hanging="283"/>
      <w:contextualSpacing/>
    </w:pPr>
  </w:style>
  <w:style w:type="paragraph" w:styleId="List4">
    <w:name w:val="List 4"/>
    <w:basedOn w:val="Normal"/>
    <w:uiPriority w:val="99"/>
    <w:unhideWhenUsed/>
    <w:rsid w:val="00491D04"/>
    <w:pPr>
      <w:ind w:left="1132" w:hanging="283"/>
      <w:contextualSpacing/>
    </w:pPr>
  </w:style>
  <w:style w:type="paragraph" w:styleId="List3">
    <w:name w:val="List 3"/>
    <w:basedOn w:val="Normal"/>
    <w:uiPriority w:val="99"/>
    <w:unhideWhenUsed/>
    <w:rsid w:val="00491D04"/>
    <w:pPr>
      <w:ind w:left="849" w:hanging="283"/>
      <w:contextualSpacing/>
    </w:pPr>
  </w:style>
  <w:style w:type="character" w:styleId="LineNumber">
    <w:name w:val="line number"/>
    <w:basedOn w:val="DefaultParagraphFont"/>
    <w:uiPriority w:val="99"/>
    <w:unhideWhenUsed/>
    <w:rsid w:val="00491D04"/>
  </w:style>
  <w:style w:type="paragraph" w:styleId="ListNumber">
    <w:name w:val="List Number"/>
    <w:basedOn w:val="Normal"/>
    <w:uiPriority w:val="99"/>
    <w:unhideWhenUsed/>
    <w:rsid w:val="00491D04"/>
    <w:pPr>
      <w:numPr>
        <w:numId w:val="49"/>
      </w:numPr>
      <w:contextualSpacing/>
    </w:pPr>
  </w:style>
  <w:style w:type="paragraph" w:styleId="ListNumber2">
    <w:name w:val="List Number 2"/>
    <w:basedOn w:val="Normal"/>
    <w:uiPriority w:val="99"/>
    <w:unhideWhenUsed/>
    <w:rsid w:val="00491D04"/>
    <w:pPr>
      <w:numPr>
        <w:numId w:val="50"/>
      </w:numPr>
      <w:contextualSpacing/>
    </w:pPr>
  </w:style>
  <w:style w:type="paragraph" w:styleId="Subtitle">
    <w:name w:val="Subtitle"/>
    <w:basedOn w:val="Normal"/>
    <w:next w:val="Normal"/>
    <w:link w:val="SubtitleChar"/>
    <w:uiPriority w:val="11"/>
    <w:qFormat/>
    <w:rsid w:val="003A22C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22CE"/>
    <w:rPr>
      <w:rFonts w:eastAsiaTheme="minorEastAsia"/>
      <w:color w:val="5A5A5A" w:themeColor="text1" w:themeTint="A5"/>
      <w:spacing w:val="15"/>
    </w:rPr>
  </w:style>
  <w:style w:type="paragraph" w:styleId="ListNumber4">
    <w:name w:val="List Number 4"/>
    <w:basedOn w:val="Normal"/>
    <w:uiPriority w:val="99"/>
    <w:unhideWhenUsed/>
    <w:rsid w:val="003B0FEF"/>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571">
      <w:bodyDiv w:val="1"/>
      <w:marLeft w:val="0"/>
      <w:marRight w:val="0"/>
      <w:marTop w:val="0"/>
      <w:marBottom w:val="0"/>
      <w:divBdr>
        <w:top w:val="none" w:sz="0" w:space="0" w:color="auto"/>
        <w:left w:val="none" w:sz="0" w:space="0" w:color="auto"/>
        <w:bottom w:val="none" w:sz="0" w:space="0" w:color="auto"/>
        <w:right w:val="none" w:sz="0" w:space="0" w:color="auto"/>
      </w:divBdr>
    </w:div>
    <w:div w:id="34015368">
      <w:bodyDiv w:val="1"/>
      <w:marLeft w:val="0"/>
      <w:marRight w:val="0"/>
      <w:marTop w:val="0"/>
      <w:marBottom w:val="0"/>
      <w:divBdr>
        <w:top w:val="none" w:sz="0" w:space="0" w:color="auto"/>
        <w:left w:val="none" w:sz="0" w:space="0" w:color="auto"/>
        <w:bottom w:val="none" w:sz="0" w:space="0" w:color="auto"/>
        <w:right w:val="none" w:sz="0" w:space="0" w:color="auto"/>
      </w:divBdr>
    </w:div>
    <w:div w:id="34934950">
      <w:bodyDiv w:val="1"/>
      <w:marLeft w:val="0"/>
      <w:marRight w:val="0"/>
      <w:marTop w:val="0"/>
      <w:marBottom w:val="0"/>
      <w:divBdr>
        <w:top w:val="none" w:sz="0" w:space="0" w:color="auto"/>
        <w:left w:val="none" w:sz="0" w:space="0" w:color="auto"/>
        <w:bottom w:val="none" w:sz="0" w:space="0" w:color="auto"/>
        <w:right w:val="none" w:sz="0" w:space="0" w:color="auto"/>
      </w:divBdr>
      <w:divsChild>
        <w:div w:id="1460995129">
          <w:marLeft w:val="360"/>
          <w:marRight w:val="0"/>
          <w:marTop w:val="200"/>
          <w:marBottom w:val="0"/>
          <w:divBdr>
            <w:top w:val="none" w:sz="0" w:space="0" w:color="auto"/>
            <w:left w:val="none" w:sz="0" w:space="0" w:color="auto"/>
            <w:bottom w:val="none" w:sz="0" w:space="0" w:color="auto"/>
            <w:right w:val="none" w:sz="0" w:space="0" w:color="auto"/>
          </w:divBdr>
        </w:div>
        <w:div w:id="1601451670">
          <w:marLeft w:val="360"/>
          <w:marRight w:val="0"/>
          <w:marTop w:val="200"/>
          <w:marBottom w:val="0"/>
          <w:divBdr>
            <w:top w:val="none" w:sz="0" w:space="0" w:color="auto"/>
            <w:left w:val="none" w:sz="0" w:space="0" w:color="auto"/>
            <w:bottom w:val="none" w:sz="0" w:space="0" w:color="auto"/>
            <w:right w:val="none" w:sz="0" w:space="0" w:color="auto"/>
          </w:divBdr>
        </w:div>
      </w:divsChild>
    </w:div>
    <w:div w:id="39129825">
      <w:bodyDiv w:val="1"/>
      <w:marLeft w:val="0"/>
      <w:marRight w:val="0"/>
      <w:marTop w:val="0"/>
      <w:marBottom w:val="0"/>
      <w:divBdr>
        <w:top w:val="none" w:sz="0" w:space="0" w:color="auto"/>
        <w:left w:val="none" w:sz="0" w:space="0" w:color="auto"/>
        <w:bottom w:val="none" w:sz="0" w:space="0" w:color="auto"/>
        <w:right w:val="none" w:sz="0" w:space="0" w:color="auto"/>
      </w:divBdr>
    </w:div>
    <w:div w:id="49958992">
      <w:bodyDiv w:val="1"/>
      <w:marLeft w:val="0"/>
      <w:marRight w:val="0"/>
      <w:marTop w:val="0"/>
      <w:marBottom w:val="0"/>
      <w:divBdr>
        <w:top w:val="none" w:sz="0" w:space="0" w:color="auto"/>
        <w:left w:val="none" w:sz="0" w:space="0" w:color="auto"/>
        <w:bottom w:val="none" w:sz="0" w:space="0" w:color="auto"/>
        <w:right w:val="none" w:sz="0" w:space="0" w:color="auto"/>
      </w:divBdr>
    </w:div>
    <w:div w:id="54016070">
      <w:bodyDiv w:val="1"/>
      <w:marLeft w:val="0"/>
      <w:marRight w:val="0"/>
      <w:marTop w:val="0"/>
      <w:marBottom w:val="0"/>
      <w:divBdr>
        <w:top w:val="none" w:sz="0" w:space="0" w:color="auto"/>
        <w:left w:val="none" w:sz="0" w:space="0" w:color="auto"/>
        <w:bottom w:val="none" w:sz="0" w:space="0" w:color="auto"/>
        <w:right w:val="none" w:sz="0" w:space="0" w:color="auto"/>
      </w:divBdr>
    </w:div>
    <w:div w:id="55782274">
      <w:bodyDiv w:val="1"/>
      <w:marLeft w:val="0"/>
      <w:marRight w:val="0"/>
      <w:marTop w:val="0"/>
      <w:marBottom w:val="0"/>
      <w:divBdr>
        <w:top w:val="none" w:sz="0" w:space="0" w:color="auto"/>
        <w:left w:val="none" w:sz="0" w:space="0" w:color="auto"/>
        <w:bottom w:val="none" w:sz="0" w:space="0" w:color="auto"/>
        <w:right w:val="none" w:sz="0" w:space="0" w:color="auto"/>
      </w:divBdr>
    </w:div>
    <w:div w:id="75981642">
      <w:bodyDiv w:val="1"/>
      <w:marLeft w:val="0"/>
      <w:marRight w:val="0"/>
      <w:marTop w:val="0"/>
      <w:marBottom w:val="0"/>
      <w:divBdr>
        <w:top w:val="none" w:sz="0" w:space="0" w:color="auto"/>
        <w:left w:val="none" w:sz="0" w:space="0" w:color="auto"/>
        <w:bottom w:val="none" w:sz="0" w:space="0" w:color="auto"/>
        <w:right w:val="none" w:sz="0" w:space="0" w:color="auto"/>
      </w:divBdr>
    </w:div>
    <w:div w:id="87048495">
      <w:bodyDiv w:val="1"/>
      <w:marLeft w:val="0"/>
      <w:marRight w:val="0"/>
      <w:marTop w:val="0"/>
      <w:marBottom w:val="0"/>
      <w:divBdr>
        <w:top w:val="none" w:sz="0" w:space="0" w:color="auto"/>
        <w:left w:val="none" w:sz="0" w:space="0" w:color="auto"/>
        <w:bottom w:val="none" w:sz="0" w:space="0" w:color="auto"/>
        <w:right w:val="none" w:sz="0" w:space="0" w:color="auto"/>
      </w:divBdr>
    </w:div>
    <w:div w:id="87622490">
      <w:bodyDiv w:val="1"/>
      <w:marLeft w:val="0"/>
      <w:marRight w:val="0"/>
      <w:marTop w:val="0"/>
      <w:marBottom w:val="0"/>
      <w:divBdr>
        <w:top w:val="none" w:sz="0" w:space="0" w:color="auto"/>
        <w:left w:val="none" w:sz="0" w:space="0" w:color="auto"/>
        <w:bottom w:val="none" w:sz="0" w:space="0" w:color="auto"/>
        <w:right w:val="none" w:sz="0" w:space="0" w:color="auto"/>
      </w:divBdr>
    </w:div>
    <w:div w:id="88162191">
      <w:bodyDiv w:val="1"/>
      <w:marLeft w:val="0"/>
      <w:marRight w:val="0"/>
      <w:marTop w:val="0"/>
      <w:marBottom w:val="0"/>
      <w:divBdr>
        <w:top w:val="none" w:sz="0" w:space="0" w:color="auto"/>
        <w:left w:val="none" w:sz="0" w:space="0" w:color="auto"/>
        <w:bottom w:val="none" w:sz="0" w:space="0" w:color="auto"/>
        <w:right w:val="none" w:sz="0" w:space="0" w:color="auto"/>
      </w:divBdr>
    </w:div>
    <w:div w:id="117072740">
      <w:bodyDiv w:val="1"/>
      <w:marLeft w:val="0"/>
      <w:marRight w:val="0"/>
      <w:marTop w:val="0"/>
      <w:marBottom w:val="0"/>
      <w:divBdr>
        <w:top w:val="none" w:sz="0" w:space="0" w:color="auto"/>
        <w:left w:val="none" w:sz="0" w:space="0" w:color="auto"/>
        <w:bottom w:val="none" w:sz="0" w:space="0" w:color="auto"/>
        <w:right w:val="none" w:sz="0" w:space="0" w:color="auto"/>
      </w:divBdr>
    </w:div>
    <w:div w:id="128481856">
      <w:bodyDiv w:val="1"/>
      <w:marLeft w:val="0"/>
      <w:marRight w:val="0"/>
      <w:marTop w:val="0"/>
      <w:marBottom w:val="0"/>
      <w:divBdr>
        <w:top w:val="none" w:sz="0" w:space="0" w:color="auto"/>
        <w:left w:val="none" w:sz="0" w:space="0" w:color="auto"/>
        <w:bottom w:val="none" w:sz="0" w:space="0" w:color="auto"/>
        <w:right w:val="none" w:sz="0" w:space="0" w:color="auto"/>
      </w:divBdr>
    </w:div>
    <w:div w:id="135992275">
      <w:bodyDiv w:val="1"/>
      <w:marLeft w:val="0"/>
      <w:marRight w:val="0"/>
      <w:marTop w:val="0"/>
      <w:marBottom w:val="0"/>
      <w:divBdr>
        <w:top w:val="none" w:sz="0" w:space="0" w:color="auto"/>
        <w:left w:val="none" w:sz="0" w:space="0" w:color="auto"/>
        <w:bottom w:val="none" w:sz="0" w:space="0" w:color="auto"/>
        <w:right w:val="none" w:sz="0" w:space="0" w:color="auto"/>
      </w:divBdr>
    </w:div>
    <w:div w:id="150486024">
      <w:bodyDiv w:val="1"/>
      <w:marLeft w:val="0"/>
      <w:marRight w:val="0"/>
      <w:marTop w:val="0"/>
      <w:marBottom w:val="0"/>
      <w:divBdr>
        <w:top w:val="none" w:sz="0" w:space="0" w:color="auto"/>
        <w:left w:val="none" w:sz="0" w:space="0" w:color="auto"/>
        <w:bottom w:val="none" w:sz="0" w:space="0" w:color="auto"/>
        <w:right w:val="none" w:sz="0" w:space="0" w:color="auto"/>
      </w:divBdr>
    </w:div>
    <w:div w:id="151020933">
      <w:bodyDiv w:val="1"/>
      <w:marLeft w:val="0"/>
      <w:marRight w:val="0"/>
      <w:marTop w:val="0"/>
      <w:marBottom w:val="0"/>
      <w:divBdr>
        <w:top w:val="none" w:sz="0" w:space="0" w:color="auto"/>
        <w:left w:val="none" w:sz="0" w:space="0" w:color="auto"/>
        <w:bottom w:val="none" w:sz="0" w:space="0" w:color="auto"/>
        <w:right w:val="none" w:sz="0" w:space="0" w:color="auto"/>
      </w:divBdr>
    </w:div>
    <w:div w:id="207766469">
      <w:bodyDiv w:val="1"/>
      <w:marLeft w:val="0"/>
      <w:marRight w:val="0"/>
      <w:marTop w:val="0"/>
      <w:marBottom w:val="0"/>
      <w:divBdr>
        <w:top w:val="none" w:sz="0" w:space="0" w:color="auto"/>
        <w:left w:val="none" w:sz="0" w:space="0" w:color="auto"/>
        <w:bottom w:val="none" w:sz="0" w:space="0" w:color="auto"/>
        <w:right w:val="none" w:sz="0" w:space="0" w:color="auto"/>
      </w:divBdr>
    </w:div>
    <w:div w:id="210001999">
      <w:bodyDiv w:val="1"/>
      <w:marLeft w:val="0"/>
      <w:marRight w:val="0"/>
      <w:marTop w:val="0"/>
      <w:marBottom w:val="0"/>
      <w:divBdr>
        <w:top w:val="none" w:sz="0" w:space="0" w:color="auto"/>
        <w:left w:val="none" w:sz="0" w:space="0" w:color="auto"/>
        <w:bottom w:val="none" w:sz="0" w:space="0" w:color="auto"/>
        <w:right w:val="none" w:sz="0" w:space="0" w:color="auto"/>
      </w:divBdr>
    </w:div>
    <w:div w:id="214969500">
      <w:bodyDiv w:val="1"/>
      <w:marLeft w:val="0"/>
      <w:marRight w:val="0"/>
      <w:marTop w:val="0"/>
      <w:marBottom w:val="0"/>
      <w:divBdr>
        <w:top w:val="none" w:sz="0" w:space="0" w:color="auto"/>
        <w:left w:val="none" w:sz="0" w:space="0" w:color="auto"/>
        <w:bottom w:val="none" w:sz="0" w:space="0" w:color="auto"/>
        <w:right w:val="none" w:sz="0" w:space="0" w:color="auto"/>
      </w:divBdr>
    </w:div>
    <w:div w:id="215895422">
      <w:bodyDiv w:val="1"/>
      <w:marLeft w:val="0"/>
      <w:marRight w:val="0"/>
      <w:marTop w:val="0"/>
      <w:marBottom w:val="0"/>
      <w:divBdr>
        <w:top w:val="none" w:sz="0" w:space="0" w:color="auto"/>
        <w:left w:val="none" w:sz="0" w:space="0" w:color="auto"/>
        <w:bottom w:val="none" w:sz="0" w:space="0" w:color="auto"/>
        <w:right w:val="none" w:sz="0" w:space="0" w:color="auto"/>
      </w:divBdr>
    </w:div>
    <w:div w:id="216166140">
      <w:bodyDiv w:val="1"/>
      <w:marLeft w:val="0"/>
      <w:marRight w:val="0"/>
      <w:marTop w:val="0"/>
      <w:marBottom w:val="0"/>
      <w:divBdr>
        <w:top w:val="none" w:sz="0" w:space="0" w:color="auto"/>
        <w:left w:val="none" w:sz="0" w:space="0" w:color="auto"/>
        <w:bottom w:val="none" w:sz="0" w:space="0" w:color="auto"/>
        <w:right w:val="none" w:sz="0" w:space="0" w:color="auto"/>
      </w:divBdr>
    </w:div>
    <w:div w:id="272129068">
      <w:bodyDiv w:val="1"/>
      <w:marLeft w:val="0"/>
      <w:marRight w:val="0"/>
      <w:marTop w:val="0"/>
      <w:marBottom w:val="0"/>
      <w:divBdr>
        <w:top w:val="none" w:sz="0" w:space="0" w:color="auto"/>
        <w:left w:val="none" w:sz="0" w:space="0" w:color="auto"/>
        <w:bottom w:val="none" w:sz="0" w:space="0" w:color="auto"/>
        <w:right w:val="none" w:sz="0" w:space="0" w:color="auto"/>
      </w:divBdr>
    </w:div>
    <w:div w:id="277686739">
      <w:bodyDiv w:val="1"/>
      <w:marLeft w:val="0"/>
      <w:marRight w:val="0"/>
      <w:marTop w:val="0"/>
      <w:marBottom w:val="0"/>
      <w:divBdr>
        <w:top w:val="none" w:sz="0" w:space="0" w:color="auto"/>
        <w:left w:val="none" w:sz="0" w:space="0" w:color="auto"/>
        <w:bottom w:val="none" w:sz="0" w:space="0" w:color="auto"/>
        <w:right w:val="none" w:sz="0" w:space="0" w:color="auto"/>
      </w:divBdr>
    </w:div>
    <w:div w:id="283849357">
      <w:bodyDiv w:val="1"/>
      <w:marLeft w:val="0"/>
      <w:marRight w:val="0"/>
      <w:marTop w:val="0"/>
      <w:marBottom w:val="0"/>
      <w:divBdr>
        <w:top w:val="none" w:sz="0" w:space="0" w:color="auto"/>
        <w:left w:val="none" w:sz="0" w:space="0" w:color="auto"/>
        <w:bottom w:val="none" w:sz="0" w:space="0" w:color="auto"/>
        <w:right w:val="none" w:sz="0" w:space="0" w:color="auto"/>
      </w:divBdr>
    </w:div>
    <w:div w:id="293339537">
      <w:bodyDiv w:val="1"/>
      <w:marLeft w:val="0"/>
      <w:marRight w:val="0"/>
      <w:marTop w:val="0"/>
      <w:marBottom w:val="0"/>
      <w:divBdr>
        <w:top w:val="none" w:sz="0" w:space="0" w:color="auto"/>
        <w:left w:val="none" w:sz="0" w:space="0" w:color="auto"/>
        <w:bottom w:val="none" w:sz="0" w:space="0" w:color="auto"/>
        <w:right w:val="none" w:sz="0" w:space="0" w:color="auto"/>
      </w:divBdr>
    </w:div>
    <w:div w:id="297340678">
      <w:bodyDiv w:val="1"/>
      <w:marLeft w:val="0"/>
      <w:marRight w:val="0"/>
      <w:marTop w:val="0"/>
      <w:marBottom w:val="0"/>
      <w:divBdr>
        <w:top w:val="none" w:sz="0" w:space="0" w:color="auto"/>
        <w:left w:val="none" w:sz="0" w:space="0" w:color="auto"/>
        <w:bottom w:val="none" w:sz="0" w:space="0" w:color="auto"/>
        <w:right w:val="none" w:sz="0" w:space="0" w:color="auto"/>
      </w:divBdr>
    </w:div>
    <w:div w:id="307442445">
      <w:bodyDiv w:val="1"/>
      <w:marLeft w:val="0"/>
      <w:marRight w:val="0"/>
      <w:marTop w:val="0"/>
      <w:marBottom w:val="0"/>
      <w:divBdr>
        <w:top w:val="none" w:sz="0" w:space="0" w:color="auto"/>
        <w:left w:val="none" w:sz="0" w:space="0" w:color="auto"/>
        <w:bottom w:val="none" w:sz="0" w:space="0" w:color="auto"/>
        <w:right w:val="none" w:sz="0" w:space="0" w:color="auto"/>
      </w:divBdr>
    </w:div>
    <w:div w:id="337079413">
      <w:bodyDiv w:val="1"/>
      <w:marLeft w:val="0"/>
      <w:marRight w:val="0"/>
      <w:marTop w:val="0"/>
      <w:marBottom w:val="0"/>
      <w:divBdr>
        <w:top w:val="none" w:sz="0" w:space="0" w:color="auto"/>
        <w:left w:val="none" w:sz="0" w:space="0" w:color="auto"/>
        <w:bottom w:val="none" w:sz="0" w:space="0" w:color="auto"/>
        <w:right w:val="none" w:sz="0" w:space="0" w:color="auto"/>
      </w:divBdr>
    </w:div>
    <w:div w:id="337856877">
      <w:bodyDiv w:val="1"/>
      <w:marLeft w:val="0"/>
      <w:marRight w:val="0"/>
      <w:marTop w:val="0"/>
      <w:marBottom w:val="0"/>
      <w:divBdr>
        <w:top w:val="none" w:sz="0" w:space="0" w:color="auto"/>
        <w:left w:val="none" w:sz="0" w:space="0" w:color="auto"/>
        <w:bottom w:val="none" w:sz="0" w:space="0" w:color="auto"/>
        <w:right w:val="none" w:sz="0" w:space="0" w:color="auto"/>
      </w:divBdr>
    </w:div>
    <w:div w:id="344748844">
      <w:bodyDiv w:val="1"/>
      <w:marLeft w:val="0"/>
      <w:marRight w:val="0"/>
      <w:marTop w:val="0"/>
      <w:marBottom w:val="0"/>
      <w:divBdr>
        <w:top w:val="none" w:sz="0" w:space="0" w:color="auto"/>
        <w:left w:val="none" w:sz="0" w:space="0" w:color="auto"/>
        <w:bottom w:val="none" w:sz="0" w:space="0" w:color="auto"/>
        <w:right w:val="none" w:sz="0" w:space="0" w:color="auto"/>
      </w:divBdr>
    </w:div>
    <w:div w:id="346756817">
      <w:bodyDiv w:val="1"/>
      <w:marLeft w:val="0"/>
      <w:marRight w:val="0"/>
      <w:marTop w:val="0"/>
      <w:marBottom w:val="0"/>
      <w:divBdr>
        <w:top w:val="none" w:sz="0" w:space="0" w:color="auto"/>
        <w:left w:val="none" w:sz="0" w:space="0" w:color="auto"/>
        <w:bottom w:val="none" w:sz="0" w:space="0" w:color="auto"/>
        <w:right w:val="none" w:sz="0" w:space="0" w:color="auto"/>
      </w:divBdr>
    </w:div>
    <w:div w:id="366565917">
      <w:bodyDiv w:val="1"/>
      <w:marLeft w:val="0"/>
      <w:marRight w:val="0"/>
      <w:marTop w:val="0"/>
      <w:marBottom w:val="0"/>
      <w:divBdr>
        <w:top w:val="none" w:sz="0" w:space="0" w:color="auto"/>
        <w:left w:val="none" w:sz="0" w:space="0" w:color="auto"/>
        <w:bottom w:val="none" w:sz="0" w:space="0" w:color="auto"/>
        <w:right w:val="none" w:sz="0" w:space="0" w:color="auto"/>
      </w:divBdr>
    </w:div>
    <w:div w:id="377243976">
      <w:bodyDiv w:val="1"/>
      <w:marLeft w:val="0"/>
      <w:marRight w:val="0"/>
      <w:marTop w:val="0"/>
      <w:marBottom w:val="0"/>
      <w:divBdr>
        <w:top w:val="none" w:sz="0" w:space="0" w:color="auto"/>
        <w:left w:val="none" w:sz="0" w:space="0" w:color="auto"/>
        <w:bottom w:val="none" w:sz="0" w:space="0" w:color="auto"/>
        <w:right w:val="none" w:sz="0" w:space="0" w:color="auto"/>
      </w:divBdr>
    </w:div>
    <w:div w:id="380444897">
      <w:bodyDiv w:val="1"/>
      <w:marLeft w:val="0"/>
      <w:marRight w:val="0"/>
      <w:marTop w:val="0"/>
      <w:marBottom w:val="0"/>
      <w:divBdr>
        <w:top w:val="none" w:sz="0" w:space="0" w:color="auto"/>
        <w:left w:val="none" w:sz="0" w:space="0" w:color="auto"/>
        <w:bottom w:val="none" w:sz="0" w:space="0" w:color="auto"/>
        <w:right w:val="none" w:sz="0" w:space="0" w:color="auto"/>
      </w:divBdr>
    </w:div>
    <w:div w:id="381290151">
      <w:bodyDiv w:val="1"/>
      <w:marLeft w:val="0"/>
      <w:marRight w:val="0"/>
      <w:marTop w:val="0"/>
      <w:marBottom w:val="0"/>
      <w:divBdr>
        <w:top w:val="none" w:sz="0" w:space="0" w:color="auto"/>
        <w:left w:val="none" w:sz="0" w:space="0" w:color="auto"/>
        <w:bottom w:val="none" w:sz="0" w:space="0" w:color="auto"/>
        <w:right w:val="none" w:sz="0" w:space="0" w:color="auto"/>
      </w:divBdr>
    </w:div>
    <w:div w:id="404765005">
      <w:bodyDiv w:val="1"/>
      <w:marLeft w:val="0"/>
      <w:marRight w:val="0"/>
      <w:marTop w:val="0"/>
      <w:marBottom w:val="0"/>
      <w:divBdr>
        <w:top w:val="none" w:sz="0" w:space="0" w:color="auto"/>
        <w:left w:val="none" w:sz="0" w:space="0" w:color="auto"/>
        <w:bottom w:val="none" w:sz="0" w:space="0" w:color="auto"/>
        <w:right w:val="none" w:sz="0" w:space="0" w:color="auto"/>
      </w:divBdr>
    </w:div>
    <w:div w:id="427580501">
      <w:bodyDiv w:val="1"/>
      <w:marLeft w:val="0"/>
      <w:marRight w:val="0"/>
      <w:marTop w:val="0"/>
      <w:marBottom w:val="0"/>
      <w:divBdr>
        <w:top w:val="none" w:sz="0" w:space="0" w:color="auto"/>
        <w:left w:val="none" w:sz="0" w:space="0" w:color="auto"/>
        <w:bottom w:val="none" w:sz="0" w:space="0" w:color="auto"/>
        <w:right w:val="none" w:sz="0" w:space="0" w:color="auto"/>
      </w:divBdr>
    </w:div>
    <w:div w:id="436485520">
      <w:bodyDiv w:val="1"/>
      <w:marLeft w:val="0"/>
      <w:marRight w:val="0"/>
      <w:marTop w:val="0"/>
      <w:marBottom w:val="0"/>
      <w:divBdr>
        <w:top w:val="none" w:sz="0" w:space="0" w:color="auto"/>
        <w:left w:val="none" w:sz="0" w:space="0" w:color="auto"/>
        <w:bottom w:val="none" w:sz="0" w:space="0" w:color="auto"/>
        <w:right w:val="none" w:sz="0" w:space="0" w:color="auto"/>
      </w:divBdr>
    </w:div>
    <w:div w:id="437918668">
      <w:bodyDiv w:val="1"/>
      <w:marLeft w:val="0"/>
      <w:marRight w:val="0"/>
      <w:marTop w:val="0"/>
      <w:marBottom w:val="0"/>
      <w:divBdr>
        <w:top w:val="none" w:sz="0" w:space="0" w:color="auto"/>
        <w:left w:val="none" w:sz="0" w:space="0" w:color="auto"/>
        <w:bottom w:val="none" w:sz="0" w:space="0" w:color="auto"/>
        <w:right w:val="none" w:sz="0" w:space="0" w:color="auto"/>
      </w:divBdr>
    </w:div>
    <w:div w:id="448472536">
      <w:bodyDiv w:val="1"/>
      <w:marLeft w:val="0"/>
      <w:marRight w:val="0"/>
      <w:marTop w:val="0"/>
      <w:marBottom w:val="0"/>
      <w:divBdr>
        <w:top w:val="none" w:sz="0" w:space="0" w:color="auto"/>
        <w:left w:val="none" w:sz="0" w:space="0" w:color="auto"/>
        <w:bottom w:val="none" w:sz="0" w:space="0" w:color="auto"/>
        <w:right w:val="none" w:sz="0" w:space="0" w:color="auto"/>
      </w:divBdr>
    </w:div>
    <w:div w:id="480542058">
      <w:bodyDiv w:val="1"/>
      <w:marLeft w:val="0"/>
      <w:marRight w:val="0"/>
      <w:marTop w:val="0"/>
      <w:marBottom w:val="0"/>
      <w:divBdr>
        <w:top w:val="none" w:sz="0" w:space="0" w:color="auto"/>
        <w:left w:val="none" w:sz="0" w:space="0" w:color="auto"/>
        <w:bottom w:val="none" w:sz="0" w:space="0" w:color="auto"/>
        <w:right w:val="none" w:sz="0" w:space="0" w:color="auto"/>
      </w:divBdr>
    </w:div>
    <w:div w:id="482046206">
      <w:bodyDiv w:val="1"/>
      <w:marLeft w:val="0"/>
      <w:marRight w:val="0"/>
      <w:marTop w:val="0"/>
      <w:marBottom w:val="0"/>
      <w:divBdr>
        <w:top w:val="none" w:sz="0" w:space="0" w:color="auto"/>
        <w:left w:val="none" w:sz="0" w:space="0" w:color="auto"/>
        <w:bottom w:val="none" w:sz="0" w:space="0" w:color="auto"/>
        <w:right w:val="none" w:sz="0" w:space="0" w:color="auto"/>
      </w:divBdr>
    </w:div>
    <w:div w:id="482896784">
      <w:bodyDiv w:val="1"/>
      <w:marLeft w:val="0"/>
      <w:marRight w:val="0"/>
      <w:marTop w:val="0"/>
      <w:marBottom w:val="0"/>
      <w:divBdr>
        <w:top w:val="none" w:sz="0" w:space="0" w:color="auto"/>
        <w:left w:val="none" w:sz="0" w:space="0" w:color="auto"/>
        <w:bottom w:val="none" w:sz="0" w:space="0" w:color="auto"/>
        <w:right w:val="none" w:sz="0" w:space="0" w:color="auto"/>
      </w:divBdr>
    </w:div>
    <w:div w:id="496770054">
      <w:bodyDiv w:val="1"/>
      <w:marLeft w:val="0"/>
      <w:marRight w:val="0"/>
      <w:marTop w:val="0"/>
      <w:marBottom w:val="0"/>
      <w:divBdr>
        <w:top w:val="none" w:sz="0" w:space="0" w:color="auto"/>
        <w:left w:val="none" w:sz="0" w:space="0" w:color="auto"/>
        <w:bottom w:val="none" w:sz="0" w:space="0" w:color="auto"/>
        <w:right w:val="none" w:sz="0" w:space="0" w:color="auto"/>
      </w:divBdr>
    </w:div>
    <w:div w:id="508445091">
      <w:bodyDiv w:val="1"/>
      <w:marLeft w:val="0"/>
      <w:marRight w:val="0"/>
      <w:marTop w:val="0"/>
      <w:marBottom w:val="0"/>
      <w:divBdr>
        <w:top w:val="none" w:sz="0" w:space="0" w:color="auto"/>
        <w:left w:val="none" w:sz="0" w:space="0" w:color="auto"/>
        <w:bottom w:val="none" w:sz="0" w:space="0" w:color="auto"/>
        <w:right w:val="none" w:sz="0" w:space="0" w:color="auto"/>
      </w:divBdr>
      <w:divsChild>
        <w:div w:id="2140489190">
          <w:marLeft w:val="0"/>
          <w:marRight w:val="0"/>
          <w:marTop w:val="0"/>
          <w:marBottom w:val="360"/>
          <w:divBdr>
            <w:top w:val="none" w:sz="0" w:space="0" w:color="auto"/>
            <w:left w:val="none" w:sz="0" w:space="0" w:color="auto"/>
            <w:bottom w:val="none" w:sz="0" w:space="0" w:color="auto"/>
            <w:right w:val="none" w:sz="0" w:space="0" w:color="auto"/>
          </w:divBdr>
        </w:div>
      </w:divsChild>
    </w:div>
    <w:div w:id="529949198">
      <w:bodyDiv w:val="1"/>
      <w:marLeft w:val="0"/>
      <w:marRight w:val="0"/>
      <w:marTop w:val="0"/>
      <w:marBottom w:val="0"/>
      <w:divBdr>
        <w:top w:val="none" w:sz="0" w:space="0" w:color="auto"/>
        <w:left w:val="none" w:sz="0" w:space="0" w:color="auto"/>
        <w:bottom w:val="none" w:sz="0" w:space="0" w:color="auto"/>
        <w:right w:val="none" w:sz="0" w:space="0" w:color="auto"/>
      </w:divBdr>
    </w:div>
    <w:div w:id="560603346">
      <w:bodyDiv w:val="1"/>
      <w:marLeft w:val="0"/>
      <w:marRight w:val="0"/>
      <w:marTop w:val="0"/>
      <w:marBottom w:val="0"/>
      <w:divBdr>
        <w:top w:val="none" w:sz="0" w:space="0" w:color="auto"/>
        <w:left w:val="none" w:sz="0" w:space="0" w:color="auto"/>
        <w:bottom w:val="none" w:sz="0" w:space="0" w:color="auto"/>
        <w:right w:val="none" w:sz="0" w:space="0" w:color="auto"/>
      </w:divBdr>
    </w:div>
    <w:div w:id="560679357">
      <w:bodyDiv w:val="1"/>
      <w:marLeft w:val="0"/>
      <w:marRight w:val="0"/>
      <w:marTop w:val="0"/>
      <w:marBottom w:val="0"/>
      <w:divBdr>
        <w:top w:val="none" w:sz="0" w:space="0" w:color="auto"/>
        <w:left w:val="none" w:sz="0" w:space="0" w:color="auto"/>
        <w:bottom w:val="none" w:sz="0" w:space="0" w:color="auto"/>
        <w:right w:val="none" w:sz="0" w:space="0" w:color="auto"/>
      </w:divBdr>
    </w:div>
    <w:div w:id="569116449">
      <w:bodyDiv w:val="1"/>
      <w:marLeft w:val="0"/>
      <w:marRight w:val="0"/>
      <w:marTop w:val="0"/>
      <w:marBottom w:val="0"/>
      <w:divBdr>
        <w:top w:val="none" w:sz="0" w:space="0" w:color="auto"/>
        <w:left w:val="none" w:sz="0" w:space="0" w:color="auto"/>
        <w:bottom w:val="none" w:sz="0" w:space="0" w:color="auto"/>
        <w:right w:val="none" w:sz="0" w:space="0" w:color="auto"/>
      </w:divBdr>
    </w:div>
    <w:div w:id="600574725">
      <w:bodyDiv w:val="1"/>
      <w:marLeft w:val="0"/>
      <w:marRight w:val="0"/>
      <w:marTop w:val="0"/>
      <w:marBottom w:val="0"/>
      <w:divBdr>
        <w:top w:val="none" w:sz="0" w:space="0" w:color="auto"/>
        <w:left w:val="none" w:sz="0" w:space="0" w:color="auto"/>
        <w:bottom w:val="none" w:sz="0" w:space="0" w:color="auto"/>
        <w:right w:val="none" w:sz="0" w:space="0" w:color="auto"/>
      </w:divBdr>
    </w:div>
    <w:div w:id="678776933">
      <w:bodyDiv w:val="1"/>
      <w:marLeft w:val="0"/>
      <w:marRight w:val="0"/>
      <w:marTop w:val="0"/>
      <w:marBottom w:val="0"/>
      <w:divBdr>
        <w:top w:val="none" w:sz="0" w:space="0" w:color="auto"/>
        <w:left w:val="none" w:sz="0" w:space="0" w:color="auto"/>
        <w:bottom w:val="none" w:sz="0" w:space="0" w:color="auto"/>
        <w:right w:val="none" w:sz="0" w:space="0" w:color="auto"/>
      </w:divBdr>
    </w:div>
    <w:div w:id="681855570">
      <w:bodyDiv w:val="1"/>
      <w:marLeft w:val="0"/>
      <w:marRight w:val="0"/>
      <w:marTop w:val="0"/>
      <w:marBottom w:val="0"/>
      <w:divBdr>
        <w:top w:val="none" w:sz="0" w:space="0" w:color="auto"/>
        <w:left w:val="none" w:sz="0" w:space="0" w:color="auto"/>
        <w:bottom w:val="none" w:sz="0" w:space="0" w:color="auto"/>
        <w:right w:val="none" w:sz="0" w:space="0" w:color="auto"/>
      </w:divBdr>
    </w:div>
    <w:div w:id="699666075">
      <w:bodyDiv w:val="1"/>
      <w:marLeft w:val="0"/>
      <w:marRight w:val="0"/>
      <w:marTop w:val="0"/>
      <w:marBottom w:val="0"/>
      <w:divBdr>
        <w:top w:val="none" w:sz="0" w:space="0" w:color="auto"/>
        <w:left w:val="none" w:sz="0" w:space="0" w:color="auto"/>
        <w:bottom w:val="none" w:sz="0" w:space="0" w:color="auto"/>
        <w:right w:val="none" w:sz="0" w:space="0" w:color="auto"/>
      </w:divBdr>
    </w:div>
    <w:div w:id="700517882">
      <w:bodyDiv w:val="1"/>
      <w:marLeft w:val="0"/>
      <w:marRight w:val="0"/>
      <w:marTop w:val="0"/>
      <w:marBottom w:val="0"/>
      <w:divBdr>
        <w:top w:val="none" w:sz="0" w:space="0" w:color="auto"/>
        <w:left w:val="none" w:sz="0" w:space="0" w:color="auto"/>
        <w:bottom w:val="none" w:sz="0" w:space="0" w:color="auto"/>
        <w:right w:val="none" w:sz="0" w:space="0" w:color="auto"/>
      </w:divBdr>
      <w:divsChild>
        <w:div w:id="1653751663">
          <w:marLeft w:val="0"/>
          <w:marRight w:val="0"/>
          <w:marTop w:val="0"/>
          <w:marBottom w:val="0"/>
          <w:divBdr>
            <w:top w:val="single" w:sz="2" w:space="0" w:color="E5E7EB"/>
            <w:left w:val="single" w:sz="2" w:space="0" w:color="E5E7EB"/>
            <w:bottom w:val="single" w:sz="2" w:space="0" w:color="E5E7EB"/>
            <w:right w:val="single" w:sz="2" w:space="0" w:color="E5E7EB"/>
          </w:divBdr>
        </w:div>
        <w:div w:id="1901860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592447">
      <w:bodyDiv w:val="1"/>
      <w:marLeft w:val="0"/>
      <w:marRight w:val="0"/>
      <w:marTop w:val="0"/>
      <w:marBottom w:val="0"/>
      <w:divBdr>
        <w:top w:val="none" w:sz="0" w:space="0" w:color="auto"/>
        <w:left w:val="none" w:sz="0" w:space="0" w:color="auto"/>
        <w:bottom w:val="none" w:sz="0" w:space="0" w:color="auto"/>
        <w:right w:val="none" w:sz="0" w:space="0" w:color="auto"/>
      </w:divBdr>
    </w:div>
    <w:div w:id="709257760">
      <w:bodyDiv w:val="1"/>
      <w:marLeft w:val="0"/>
      <w:marRight w:val="0"/>
      <w:marTop w:val="0"/>
      <w:marBottom w:val="0"/>
      <w:divBdr>
        <w:top w:val="none" w:sz="0" w:space="0" w:color="auto"/>
        <w:left w:val="none" w:sz="0" w:space="0" w:color="auto"/>
        <w:bottom w:val="none" w:sz="0" w:space="0" w:color="auto"/>
        <w:right w:val="none" w:sz="0" w:space="0" w:color="auto"/>
      </w:divBdr>
    </w:div>
    <w:div w:id="709304689">
      <w:bodyDiv w:val="1"/>
      <w:marLeft w:val="0"/>
      <w:marRight w:val="0"/>
      <w:marTop w:val="0"/>
      <w:marBottom w:val="0"/>
      <w:divBdr>
        <w:top w:val="none" w:sz="0" w:space="0" w:color="auto"/>
        <w:left w:val="none" w:sz="0" w:space="0" w:color="auto"/>
        <w:bottom w:val="none" w:sz="0" w:space="0" w:color="auto"/>
        <w:right w:val="none" w:sz="0" w:space="0" w:color="auto"/>
      </w:divBdr>
    </w:div>
    <w:div w:id="714083560">
      <w:bodyDiv w:val="1"/>
      <w:marLeft w:val="0"/>
      <w:marRight w:val="0"/>
      <w:marTop w:val="0"/>
      <w:marBottom w:val="0"/>
      <w:divBdr>
        <w:top w:val="none" w:sz="0" w:space="0" w:color="auto"/>
        <w:left w:val="none" w:sz="0" w:space="0" w:color="auto"/>
        <w:bottom w:val="none" w:sz="0" w:space="0" w:color="auto"/>
        <w:right w:val="none" w:sz="0" w:space="0" w:color="auto"/>
      </w:divBdr>
    </w:div>
    <w:div w:id="717239080">
      <w:bodyDiv w:val="1"/>
      <w:marLeft w:val="0"/>
      <w:marRight w:val="0"/>
      <w:marTop w:val="0"/>
      <w:marBottom w:val="0"/>
      <w:divBdr>
        <w:top w:val="none" w:sz="0" w:space="0" w:color="auto"/>
        <w:left w:val="none" w:sz="0" w:space="0" w:color="auto"/>
        <w:bottom w:val="none" w:sz="0" w:space="0" w:color="auto"/>
        <w:right w:val="none" w:sz="0" w:space="0" w:color="auto"/>
      </w:divBdr>
    </w:div>
    <w:div w:id="718285970">
      <w:bodyDiv w:val="1"/>
      <w:marLeft w:val="0"/>
      <w:marRight w:val="0"/>
      <w:marTop w:val="0"/>
      <w:marBottom w:val="0"/>
      <w:divBdr>
        <w:top w:val="none" w:sz="0" w:space="0" w:color="auto"/>
        <w:left w:val="none" w:sz="0" w:space="0" w:color="auto"/>
        <w:bottom w:val="none" w:sz="0" w:space="0" w:color="auto"/>
        <w:right w:val="none" w:sz="0" w:space="0" w:color="auto"/>
      </w:divBdr>
    </w:div>
    <w:div w:id="734200481">
      <w:bodyDiv w:val="1"/>
      <w:marLeft w:val="0"/>
      <w:marRight w:val="0"/>
      <w:marTop w:val="0"/>
      <w:marBottom w:val="0"/>
      <w:divBdr>
        <w:top w:val="none" w:sz="0" w:space="0" w:color="auto"/>
        <w:left w:val="none" w:sz="0" w:space="0" w:color="auto"/>
        <w:bottom w:val="none" w:sz="0" w:space="0" w:color="auto"/>
        <w:right w:val="none" w:sz="0" w:space="0" w:color="auto"/>
      </w:divBdr>
    </w:div>
    <w:div w:id="739137401">
      <w:bodyDiv w:val="1"/>
      <w:marLeft w:val="0"/>
      <w:marRight w:val="0"/>
      <w:marTop w:val="0"/>
      <w:marBottom w:val="0"/>
      <w:divBdr>
        <w:top w:val="none" w:sz="0" w:space="0" w:color="auto"/>
        <w:left w:val="none" w:sz="0" w:space="0" w:color="auto"/>
        <w:bottom w:val="none" w:sz="0" w:space="0" w:color="auto"/>
        <w:right w:val="none" w:sz="0" w:space="0" w:color="auto"/>
      </w:divBdr>
    </w:div>
    <w:div w:id="750004377">
      <w:bodyDiv w:val="1"/>
      <w:marLeft w:val="0"/>
      <w:marRight w:val="0"/>
      <w:marTop w:val="0"/>
      <w:marBottom w:val="0"/>
      <w:divBdr>
        <w:top w:val="none" w:sz="0" w:space="0" w:color="auto"/>
        <w:left w:val="none" w:sz="0" w:space="0" w:color="auto"/>
        <w:bottom w:val="none" w:sz="0" w:space="0" w:color="auto"/>
        <w:right w:val="none" w:sz="0" w:space="0" w:color="auto"/>
      </w:divBdr>
    </w:div>
    <w:div w:id="767392323">
      <w:bodyDiv w:val="1"/>
      <w:marLeft w:val="0"/>
      <w:marRight w:val="0"/>
      <w:marTop w:val="0"/>
      <w:marBottom w:val="0"/>
      <w:divBdr>
        <w:top w:val="none" w:sz="0" w:space="0" w:color="auto"/>
        <w:left w:val="none" w:sz="0" w:space="0" w:color="auto"/>
        <w:bottom w:val="none" w:sz="0" w:space="0" w:color="auto"/>
        <w:right w:val="none" w:sz="0" w:space="0" w:color="auto"/>
      </w:divBdr>
    </w:div>
    <w:div w:id="800540696">
      <w:bodyDiv w:val="1"/>
      <w:marLeft w:val="0"/>
      <w:marRight w:val="0"/>
      <w:marTop w:val="0"/>
      <w:marBottom w:val="0"/>
      <w:divBdr>
        <w:top w:val="none" w:sz="0" w:space="0" w:color="auto"/>
        <w:left w:val="none" w:sz="0" w:space="0" w:color="auto"/>
        <w:bottom w:val="none" w:sz="0" w:space="0" w:color="auto"/>
        <w:right w:val="none" w:sz="0" w:space="0" w:color="auto"/>
      </w:divBdr>
    </w:div>
    <w:div w:id="816337525">
      <w:bodyDiv w:val="1"/>
      <w:marLeft w:val="0"/>
      <w:marRight w:val="0"/>
      <w:marTop w:val="0"/>
      <w:marBottom w:val="0"/>
      <w:divBdr>
        <w:top w:val="none" w:sz="0" w:space="0" w:color="auto"/>
        <w:left w:val="none" w:sz="0" w:space="0" w:color="auto"/>
        <w:bottom w:val="none" w:sz="0" w:space="0" w:color="auto"/>
        <w:right w:val="none" w:sz="0" w:space="0" w:color="auto"/>
      </w:divBdr>
    </w:div>
    <w:div w:id="818881180">
      <w:bodyDiv w:val="1"/>
      <w:marLeft w:val="0"/>
      <w:marRight w:val="0"/>
      <w:marTop w:val="0"/>
      <w:marBottom w:val="0"/>
      <w:divBdr>
        <w:top w:val="none" w:sz="0" w:space="0" w:color="auto"/>
        <w:left w:val="none" w:sz="0" w:space="0" w:color="auto"/>
        <w:bottom w:val="none" w:sz="0" w:space="0" w:color="auto"/>
        <w:right w:val="none" w:sz="0" w:space="0" w:color="auto"/>
      </w:divBdr>
    </w:div>
    <w:div w:id="819615386">
      <w:bodyDiv w:val="1"/>
      <w:marLeft w:val="0"/>
      <w:marRight w:val="0"/>
      <w:marTop w:val="0"/>
      <w:marBottom w:val="0"/>
      <w:divBdr>
        <w:top w:val="none" w:sz="0" w:space="0" w:color="auto"/>
        <w:left w:val="none" w:sz="0" w:space="0" w:color="auto"/>
        <w:bottom w:val="none" w:sz="0" w:space="0" w:color="auto"/>
        <w:right w:val="none" w:sz="0" w:space="0" w:color="auto"/>
      </w:divBdr>
    </w:div>
    <w:div w:id="819999992">
      <w:bodyDiv w:val="1"/>
      <w:marLeft w:val="0"/>
      <w:marRight w:val="0"/>
      <w:marTop w:val="0"/>
      <w:marBottom w:val="0"/>
      <w:divBdr>
        <w:top w:val="none" w:sz="0" w:space="0" w:color="auto"/>
        <w:left w:val="none" w:sz="0" w:space="0" w:color="auto"/>
        <w:bottom w:val="none" w:sz="0" w:space="0" w:color="auto"/>
        <w:right w:val="none" w:sz="0" w:space="0" w:color="auto"/>
      </w:divBdr>
    </w:div>
    <w:div w:id="841286821">
      <w:bodyDiv w:val="1"/>
      <w:marLeft w:val="0"/>
      <w:marRight w:val="0"/>
      <w:marTop w:val="0"/>
      <w:marBottom w:val="0"/>
      <w:divBdr>
        <w:top w:val="none" w:sz="0" w:space="0" w:color="auto"/>
        <w:left w:val="none" w:sz="0" w:space="0" w:color="auto"/>
        <w:bottom w:val="none" w:sz="0" w:space="0" w:color="auto"/>
        <w:right w:val="none" w:sz="0" w:space="0" w:color="auto"/>
      </w:divBdr>
    </w:div>
    <w:div w:id="844707659">
      <w:bodyDiv w:val="1"/>
      <w:marLeft w:val="0"/>
      <w:marRight w:val="0"/>
      <w:marTop w:val="0"/>
      <w:marBottom w:val="0"/>
      <w:divBdr>
        <w:top w:val="none" w:sz="0" w:space="0" w:color="auto"/>
        <w:left w:val="none" w:sz="0" w:space="0" w:color="auto"/>
        <w:bottom w:val="none" w:sz="0" w:space="0" w:color="auto"/>
        <w:right w:val="none" w:sz="0" w:space="0" w:color="auto"/>
      </w:divBdr>
    </w:div>
    <w:div w:id="871923111">
      <w:bodyDiv w:val="1"/>
      <w:marLeft w:val="0"/>
      <w:marRight w:val="0"/>
      <w:marTop w:val="0"/>
      <w:marBottom w:val="0"/>
      <w:divBdr>
        <w:top w:val="none" w:sz="0" w:space="0" w:color="auto"/>
        <w:left w:val="none" w:sz="0" w:space="0" w:color="auto"/>
        <w:bottom w:val="none" w:sz="0" w:space="0" w:color="auto"/>
        <w:right w:val="none" w:sz="0" w:space="0" w:color="auto"/>
      </w:divBdr>
    </w:div>
    <w:div w:id="873615831">
      <w:bodyDiv w:val="1"/>
      <w:marLeft w:val="0"/>
      <w:marRight w:val="0"/>
      <w:marTop w:val="0"/>
      <w:marBottom w:val="0"/>
      <w:divBdr>
        <w:top w:val="none" w:sz="0" w:space="0" w:color="auto"/>
        <w:left w:val="none" w:sz="0" w:space="0" w:color="auto"/>
        <w:bottom w:val="none" w:sz="0" w:space="0" w:color="auto"/>
        <w:right w:val="none" w:sz="0" w:space="0" w:color="auto"/>
      </w:divBdr>
    </w:div>
    <w:div w:id="879128876">
      <w:bodyDiv w:val="1"/>
      <w:marLeft w:val="0"/>
      <w:marRight w:val="0"/>
      <w:marTop w:val="0"/>
      <w:marBottom w:val="0"/>
      <w:divBdr>
        <w:top w:val="none" w:sz="0" w:space="0" w:color="auto"/>
        <w:left w:val="none" w:sz="0" w:space="0" w:color="auto"/>
        <w:bottom w:val="none" w:sz="0" w:space="0" w:color="auto"/>
        <w:right w:val="none" w:sz="0" w:space="0" w:color="auto"/>
      </w:divBdr>
    </w:div>
    <w:div w:id="879249869">
      <w:bodyDiv w:val="1"/>
      <w:marLeft w:val="0"/>
      <w:marRight w:val="0"/>
      <w:marTop w:val="0"/>
      <w:marBottom w:val="0"/>
      <w:divBdr>
        <w:top w:val="none" w:sz="0" w:space="0" w:color="auto"/>
        <w:left w:val="none" w:sz="0" w:space="0" w:color="auto"/>
        <w:bottom w:val="none" w:sz="0" w:space="0" w:color="auto"/>
        <w:right w:val="none" w:sz="0" w:space="0" w:color="auto"/>
      </w:divBdr>
    </w:div>
    <w:div w:id="891424439">
      <w:bodyDiv w:val="1"/>
      <w:marLeft w:val="0"/>
      <w:marRight w:val="0"/>
      <w:marTop w:val="0"/>
      <w:marBottom w:val="0"/>
      <w:divBdr>
        <w:top w:val="none" w:sz="0" w:space="0" w:color="auto"/>
        <w:left w:val="none" w:sz="0" w:space="0" w:color="auto"/>
        <w:bottom w:val="none" w:sz="0" w:space="0" w:color="auto"/>
        <w:right w:val="none" w:sz="0" w:space="0" w:color="auto"/>
      </w:divBdr>
    </w:div>
    <w:div w:id="893465690">
      <w:bodyDiv w:val="1"/>
      <w:marLeft w:val="0"/>
      <w:marRight w:val="0"/>
      <w:marTop w:val="0"/>
      <w:marBottom w:val="0"/>
      <w:divBdr>
        <w:top w:val="none" w:sz="0" w:space="0" w:color="auto"/>
        <w:left w:val="none" w:sz="0" w:space="0" w:color="auto"/>
        <w:bottom w:val="none" w:sz="0" w:space="0" w:color="auto"/>
        <w:right w:val="none" w:sz="0" w:space="0" w:color="auto"/>
      </w:divBdr>
    </w:div>
    <w:div w:id="894313005">
      <w:bodyDiv w:val="1"/>
      <w:marLeft w:val="0"/>
      <w:marRight w:val="0"/>
      <w:marTop w:val="0"/>
      <w:marBottom w:val="0"/>
      <w:divBdr>
        <w:top w:val="none" w:sz="0" w:space="0" w:color="auto"/>
        <w:left w:val="none" w:sz="0" w:space="0" w:color="auto"/>
        <w:bottom w:val="none" w:sz="0" w:space="0" w:color="auto"/>
        <w:right w:val="none" w:sz="0" w:space="0" w:color="auto"/>
      </w:divBdr>
    </w:div>
    <w:div w:id="900872746">
      <w:bodyDiv w:val="1"/>
      <w:marLeft w:val="0"/>
      <w:marRight w:val="0"/>
      <w:marTop w:val="0"/>
      <w:marBottom w:val="0"/>
      <w:divBdr>
        <w:top w:val="none" w:sz="0" w:space="0" w:color="auto"/>
        <w:left w:val="none" w:sz="0" w:space="0" w:color="auto"/>
        <w:bottom w:val="none" w:sz="0" w:space="0" w:color="auto"/>
        <w:right w:val="none" w:sz="0" w:space="0" w:color="auto"/>
      </w:divBdr>
    </w:div>
    <w:div w:id="906574599">
      <w:bodyDiv w:val="1"/>
      <w:marLeft w:val="0"/>
      <w:marRight w:val="0"/>
      <w:marTop w:val="0"/>
      <w:marBottom w:val="0"/>
      <w:divBdr>
        <w:top w:val="none" w:sz="0" w:space="0" w:color="auto"/>
        <w:left w:val="none" w:sz="0" w:space="0" w:color="auto"/>
        <w:bottom w:val="none" w:sz="0" w:space="0" w:color="auto"/>
        <w:right w:val="none" w:sz="0" w:space="0" w:color="auto"/>
      </w:divBdr>
    </w:div>
    <w:div w:id="908854639">
      <w:bodyDiv w:val="1"/>
      <w:marLeft w:val="0"/>
      <w:marRight w:val="0"/>
      <w:marTop w:val="0"/>
      <w:marBottom w:val="0"/>
      <w:divBdr>
        <w:top w:val="none" w:sz="0" w:space="0" w:color="auto"/>
        <w:left w:val="none" w:sz="0" w:space="0" w:color="auto"/>
        <w:bottom w:val="none" w:sz="0" w:space="0" w:color="auto"/>
        <w:right w:val="none" w:sz="0" w:space="0" w:color="auto"/>
      </w:divBdr>
    </w:div>
    <w:div w:id="914319306">
      <w:bodyDiv w:val="1"/>
      <w:marLeft w:val="0"/>
      <w:marRight w:val="0"/>
      <w:marTop w:val="0"/>
      <w:marBottom w:val="0"/>
      <w:divBdr>
        <w:top w:val="none" w:sz="0" w:space="0" w:color="auto"/>
        <w:left w:val="none" w:sz="0" w:space="0" w:color="auto"/>
        <w:bottom w:val="none" w:sz="0" w:space="0" w:color="auto"/>
        <w:right w:val="none" w:sz="0" w:space="0" w:color="auto"/>
      </w:divBdr>
    </w:div>
    <w:div w:id="916474125">
      <w:bodyDiv w:val="1"/>
      <w:marLeft w:val="0"/>
      <w:marRight w:val="0"/>
      <w:marTop w:val="0"/>
      <w:marBottom w:val="0"/>
      <w:divBdr>
        <w:top w:val="none" w:sz="0" w:space="0" w:color="auto"/>
        <w:left w:val="none" w:sz="0" w:space="0" w:color="auto"/>
        <w:bottom w:val="none" w:sz="0" w:space="0" w:color="auto"/>
        <w:right w:val="none" w:sz="0" w:space="0" w:color="auto"/>
      </w:divBdr>
    </w:div>
    <w:div w:id="926160304">
      <w:bodyDiv w:val="1"/>
      <w:marLeft w:val="0"/>
      <w:marRight w:val="0"/>
      <w:marTop w:val="0"/>
      <w:marBottom w:val="0"/>
      <w:divBdr>
        <w:top w:val="none" w:sz="0" w:space="0" w:color="auto"/>
        <w:left w:val="none" w:sz="0" w:space="0" w:color="auto"/>
        <w:bottom w:val="none" w:sz="0" w:space="0" w:color="auto"/>
        <w:right w:val="none" w:sz="0" w:space="0" w:color="auto"/>
      </w:divBdr>
    </w:div>
    <w:div w:id="931203469">
      <w:bodyDiv w:val="1"/>
      <w:marLeft w:val="0"/>
      <w:marRight w:val="0"/>
      <w:marTop w:val="0"/>
      <w:marBottom w:val="0"/>
      <w:divBdr>
        <w:top w:val="none" w:sz="0" w:space="0" w:color="auto"/>
        <w:left w:val="none" w:sz="0" w:space="0" w:color="auto"/>
        <w:bottom w:val="none" w:sz="0" w:space="0" w:color="auto"/>
        <w:right w:val="none" w:sz="0" w:space="0" w:color="auto"/>
      </w:divBdr>
    </w:div>
    <w:div w:id="933441457">
      <w:bodyDiv w:val="1"/>
      <w:marLeft w:val="0"/>
      <w:marRight w:val="0"/>
      <w:marTop w:val="0"/>
      <w:marBottom w:val="0"/>
      <w:divBdr>
        <w:top w:val="none" w:sz="0" w:space="0" w:color="auto"/>
        <w:left w:val="none" w:sz="0" w:space="0" w:color="auto"/>
        <w:bottom w:val="none" w:sz="0" w:space="0" w:color="auto"/>
        <w:right w:val="none" w:sz="0" w:space="0" w:color="auto"/>
      </w:divBdr>
    </w:div>
    <w:div w:id="944074724">
      <w:bodyDiv w:val="1"/>
      <w:marLeft w:val="0"/>
      <w:marRight w:val="0"/>
      <w:marTop w:val="0"/>
      <w:marBottom w:val="0"/>
      <w:divBdr>
        <w:top w:val="none" w:sz="0" w:space="0" w:color="auto"/>
        <w:left w:val="none" w:sz="0" w:space="0" w:color="auto"/>
        <w:bottom w:val="none" w:sz="0" w:space="0" w:color="auto"/>
        <w:right w:val="none" w:sz="0" w:space="0" w:color="auto"/>
      </w:divBdr>
    </w:div>
    <w:div w:id="964504459">
      <w:bodyDiv w:val="1"/>
      <w:marLeft w:val="0"/>
      <w:marRight w:val="0"/>
      <w:marTop w:val="0"/>
      <w:marBottom w:val="0"/>
      <w:divBdr>
        <w:top w:val="none" w:sz="0" w:space="0" w:color="auto"/>
        <w:left w:val="none" w:sz="0" w:space="0" w:color="auto"/>
        <w:bottom w:val="none" w:sz="0" w:space="0" w:color="auto"/>
        <w:right w:val="none" w:sz="0" w:space="0" w:color="auto"/>
      </w:divBdr>
    </w:div>
    <w:div w:id="980306135">
      <w:bodyDiv w:val="1"/>
      <w:marLeft w:val="0"/>
      <w:marRight w:val="0"/>
      <w:marTop w:val="0"/>
      <w:marBottom w:val="0"/>
      <w:divBdr>
        <w:top w:val="none" w:sz="0" w:space="0" w:color="auto"/>
        <w:left w:val="none" w:sz="0" w:space="0" w:color="auto"/>
        <w:bottom w:val="none" w:sz="0" w:space="0" w:color="auto"/>
        <w:right w:val="none" w:sz="0" w:space="0" w:color="auto"/>
      </w:divBdr>
    </w:div>
    <w:div w:id="1000959879">
      <w:bodyDiv w:val="1"/>
      <w:marLeft w:val="0"/>
      <w:marRight w:val="0"/>
      <w:marTop w:val="0"/>
      <w:marBottom w:val="0"/>
      <w:divBdr>
        <w:top w:val="none" w:sz="0" w:space="0" w:color="auto"/>
        <w:left w:val="none" w:sz="0" w:space="0" w:color="auto"/>
        <w:bottom w:val="none" w:sz="0" w:space="0" w:color="auto"/>
        <w:right w:val="none" w:sz="0" w:space="0" w:color="auto"/>
      </w:divBdr>
    </w:div>
    <w:div w:id="1001546887">
      <w:bodyDiv w:val="1"/>
      <w:marLeft w:val="0"/>
      <w:marRight w:val="0"/>
      <w:marTop w:val="0"/>
      <w:marBottom w:val="0"/>
      <w:divBdr>
        <w:top w:val="none" w:sz="0" w:space="0" w:color="auto"/>
        <w:left w:val="none" w:sz="0" w:space="0" w:color="auto"/>
        <w:bottom w:val="none" w:sz="0" w:space="0" w:color="auto"/>
        <w:right w:val="none" w:sz="0" w:space="0" w:color="auto"/>
      </w:divBdr>
    </w:div>
    <w:div w:id="1005671814">
      <w:bodyDiv w:val="1"/>
      <w:marLeft w:val="0"/>
      <w:marRight w:val="0"/>
      <w:marTop w:val="0"/>
      <w:marBottom w:val="0"/>
      <w:divBdr>
        <w:top w:val="none" w:sz="0" w:space="0" w:color="auto"/>
        <w:left w:val="none" w:sz="0" w:space="0" w:color="auto"/>
        <w:bottom w:val="none" w:sz="0" w:space="0" w:color="auto"/>
        <w:right w:val="none" w:sz="0" w:space="0" w:color="auto"/>
      </w:divBdr>
    </w:div>
    <w:div w:id="1016735975">
      <w:bodyDiv w:val="1"/>
      <w:marLeft w:val="0"/>
      <w:marRight w:val="0"/>
      <w:marTop w:val="0"/>
      <w:marBottom w:val="0"/>
      <w:divBdr>
        <w:top w:val="none" w:sz="0" w:space="0" w:color="auto"/>
        <w:left w:val="none" w:sz="0" w:space="0" w:color="auto"/>
        <w:bottom w:val="none" w:sz="0" w:space="0" w:color="auto"/>
        <w:right w:val="none" w:sz="0" w:space="0" w:color="auto"/>
      </w:divBdr>
    </w:div>
    <w:div w:id="1021051382">
      <w:bodyDiv w:val="1"/>
      <w:marLeft w:val="0"/>
      <w:marRight w:val="0"/>
      <w:marTop w:val="0"/>
      <w:marBottom w:val="0"/>
      <w:divBdr>
        <w:top w:val="none" w:sz="0" w:space="0" w:color="auto"/>
        <w:left w:val="none" w:sz="0" w:space="0" w:color="auto"/>
        <w:bottom w:val="none" w:sz="0" w:space="0" w:color="auto"/>
        <w:right w:val="none" w:sz="0" w:space="0" w:color="auto"/>
      </w:divBdr>
    </w:div>
    <w:div w:id="1021516633">
      <w:bodyDiv w:val="1"/>
      <w:marLeft w:val="0"/>
      <w:marRight w:val="0"/>
      <w:marTop w:val="0"/>
      <w:marBottom w:val="0"/>
      <w:divBdr>
        <w:top w:val="none" w:sz="0" w:space="0" w:color="auto"/>
        <w:left w:val="none" w:sz="0" w:space="0" w:color="auto"/>
        <w:bottom w:val="none" w:sz="0" w:space="0" w:color="auto"/>
        <w:right w:val="none" w:sz="0" w:space="0" w:color="auto"/>
      </w:divBdr>
    </w:div>
    <w:div w:id="1036613484">
      <w:bodyDiv w:val="1"/>
      <w:marLeft w:val="0"/>
      <w:marRight w:val="0"/>
      <w:marTop w:val="0"/>
      <w:marBottom w:val="0"/>
      <w:divBdr>
        <w:top w:val="none" w:sz="0" w:space="0" w:color="auto"/>
        <w:left w:val="none" w:sz="0" w:space="0" w:color="auto"/>
        <w:bottom w:val="none" w:sz="0" w:space="0" w:color="auto"/>
        <w:right w:val="none" w:sz="0" w:space="0" w:color="auto"/>
      </w:divBdr>
      <w:divsChild>
        <w:div w:id="340622441">
          <w:marLeft w:val="0"/>
          <w:marRight w:val="0"/>
          <w:marTop w:val="0"/>
          <w:marBottom w:val="0"/>
          <w:divBdr>
            <w:top w:val="none" w:sz="0" w:space="0" w:color="auto"/>
            <w:left w:val="none" w:sz="0" w:space="0" w:color="auto"/>
            <w:bottom w:val="none" w:sz="0" w:space="0" w:color="auto"/>
            <w:right w:val="none" w:sz="0" w:space="0" w:color="auto"/>
          </w:divBdr>
        </w:div>
        <w:div w:id="2044548060">
          <w:marLeft w:val="0"/>
          <w:marRight w:val="0"/>
          <w:marTop w:val="0"/>
          <w:marBottom w:val="0"/>
          <w:divBdr>
            <w:top w:val="none" w:sz="0" w:space="0" w:color="auto"/>
            <w:left w:val="none" w:sz="0" w:space="0" w:color="auto"/>
            <w:bottom w:val="none" w:sz="0" w:space="0" w:color="auto"/>
            <w:right w:val="none" w:sz="0" w:space="0" w:color="auto"/>
          </w:divBdr>
        </w:div>
      </w:divsChild>
    </w:div>
    <w:div w:id="1053887018">
      <w:bodyDiv w:val="1"/>
      <w:marLeft w:val="0"/>
      <w:marRight w:val="0"/>
      <w:marTop w:val="0"/>
      <w:marBottom w:val="0"/>
      <w:divBdr>
        <w:top w:val="none" w:sz="0" w:space="0" w:color="auto"/>
        <w:left w:val="none" w:sz="0" w:space="0" w:color="auto"/>
        <w:bottom w:val="none" w:sz="0" w:space="0" w:color="auto"/>
        <w:right w:val="none" w:sz="0" w:space="0" w:color="auto"/>
      </w:divBdr>
      <w:divsChild>
        <w:div w:id="479463780">
          <w:marLeft w:val="200"/>
          <w:marRight w:val="200"/>
          <w:marTop w:val="200"/>
          <w:marBottom w:val="200"/>
          <w:divBdr>
            <w:top w:val="none" w:sz="0" w:space="0" w:color="auto"/>
            <w:left w:val="none" w:sz="0" w:space="0" w:color="auto"/>
            <w:bottom w:val="none" w:sz="0" w:space="0" w:color="auto"/>
            <w:right w:val="none" w:sz="0" w:space="0" w:color="auto"/>
          </w:divBdr>
        </w:div>
        <w:div w:id="996111302">
          <w:marLeft w:val="0"/>
          <w:marRight w:val="0"/>
          <w:marTop w:val="0"/>
          <w:marBottom w:val="0"/>
          <w:divBdr>
            <w:top w:val="none" w:sz="0" w:space="0" w:color="auto"/>
            <w:left w:val="none" w:sz="0" w:space="0" w:color="auto"/>
            <w:bottom w:val="none" w:sz="0" w:space="0" w:color="auto"/>
            <w:right w:val="none" w:sz="0" w:space="0" w:color="auto"/>
          </w:divBdr>
        </w:div>
        <w:div w:id="1795446865">
          <w:marLeft w:val="0"/>
          <w:marRight w:val="0"/>
          <w:marTop w:val="200"/>
          <w:marBottom w:val="0"/>
          <w:divBdr>
            <w:top w:val="none" w:sz="0" w:space="0" w:color="auto"/>
            <w:left w:val="none" w:sz="0" w:space="0" w:color="auto"/>
            <w:bottom w:val="none" w:sz="0" w:space="0" w:color="auto"/>
            <w:right w:val="none" w:sz="0" w:space="0" w:color="auto"/>
          </w:divBdr>
          <w:divsChild>
            <w:div w:id="12395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6594">
      <w:bodyDiv w:val="1"/>
      <w:marLeft w:val="0"/>
      <w:marRight w:val="0"/>
      <w:marTop w:val="0"/>
      <w:marBottom w:val="0"/>
      <w:divBdr>
        <w:top w:val="none" w:sz="0" w:space="0" w:color="auto"/>
        <w:left w:val="none" w:sz="0" w:space="0" w:color="auto"/>
        <w:bottom w:val="none" w:sz="0" w:space="0" w:color="auto"/>
        <w:right w:val="none" w:sz="0" w:space="0" w:color="auto"/>
      </w:divBdr>
    </w:div>
    <w:div w:id="1101223961">
      <w:bodyDiv w:val="1"/>
      <w:marLeft w:val="0"/>
      <w:marRight w:val="0"/>
      <w:marTop w:val="0"/>
      <w:marBottom w:val="0"/>
      <w:divBdr>
        <w:top w:val="none" w:sz="0" w:space="0" w:color="auto"/>
        <w:left w:val="none" w:sz="0" w:space="0" w:color="auto"/>
        <w:bottom w:val="none" w:sz="0" w:space="0" w:color="auto"/>
        <w:right w:val="none" w:sz="0" w:space="0" w:color="auto"/>
      </w:divBdr>
    </w:div>
    <w:div w:id="1125658619">
      <w:bodyDiv w:val="1"/>
      <w:marLeft w:val="0"/>
      <w:marRight w:val="0"/>
      <w:marTop w:val="0"/>
      <w:marBottom w:val="0"/>
      <w:divBdr>
        <w:top w:val="none" w:sz="0" w:space="0" w:color="auto"/>
        <w:left w:val="none" w:sz="0" w:space="0" w:color="auto"/>
        <w:bottom w:val="none" w:sz="0" w:space="0" w:color="auto"/>
        <w:right w:val="none" w:sz="0" w:space="0" w:color="auto"/>
      </w:divBdr>
    </w:div>
    <w:div w:id="1143429912">
      <w:bodyDiv w:val="1"/>
      <w:marLeft w:val="0"/>
      <w:marRight w:val="0"/>
      <w:marTop w:val="0"/>
      <w:marBottom w:val="0"/>
      <w:divBdr>
        <w:top w:val="none" w:sz="0" w:space="0" w:color="auto"/>
        <w:left w:val="none" w:sz="0" w:space="0" w:color="auto"/>
        <w:bottom w:val="none" w:sz="0" w:space="0" w:color="auto"/>
        <w:right w:val="none" w:sz="0" w:space="0" w:color="auto"/>
      </w:divBdr>
    </w:div>
    <w:div w:id="1152016014">
      <w:bodyDiv w:val="1"/>
      <w:marLeft w:val="0"/>
      <w:marRight w:val="0"/>
      <w:marTop w:val="0"/>
      <w:marBottom w:val="0"/>
      <w:divBdr>
        <w:top w:val="none" w:sz="0" w:space="0" w:color="auto"/>
        <w:left w:val="none" w:sz="0" w:space="0" w:color="auto"/>
        <w:bottom w:val="none" w:sz="0" w:space="0" w:color="auto"/>
        <w:right w:val="none" w:sz="0" w:space="0" w:color="auto"/>
      </w:divBdr>
    </w:div>
    <w:div w:id="1160006009">
      <w:bodyDiv w:val="1"/>
      <w:marLeft w:val="0"/>
      <w:marRight w:val="0"/>
      <w:marTop w:val="0"/>
      <w:marBottom w:val="0"/>
      <w:divBdr>
        <w:top w:val="none" w:sz="0" w:space="0" w:color="auto"/>
        <w:left w:val="none" w:sz="0" w:space="0" w:color="auto"/>
        <w:bottom w:val="none" w:sz="0" w:space="0" w:color="auto"/>
        <w:right w:val="none" w:sz="0" w:space="0" w:color="auto"/>
      </w:divBdr>
    </w:div>
    <w:div w:id="1166626033">
      <w:bodyDiv w:val="1"/>
      <w:marLeft w:val="0"/>
      <w:marRight w:val="0"/>
      <w:marTop w:val="0"/>
      <w:marBottom w:val="0"/>
      <w:divBdr>
        <w:top w:val="none" w:sz="0" w:space="0" w:color="auto"/>
        <w:left w:val="none" w:sz="0" w:space="0" w:color="auto"/>
        <w:bottom w:val="none" w:sz="0" w:space="0" w:color="auto"/>
        <w:right w:val="none" w:sz="0" w:space="0" w:color="auto"/>
      </w:divBdr>
    </w:div>
    <w:div w:id="1169715707">
      <w:bodyDiv w:val="1"/>
      <w:marLeft w:val="0"/>
      <w:marRight w:val="0"/>
      <w:marTop w:val="0"/>
      <w:marBottom w:val="0"/>
      <w:divBdr>
        <w:top w:val="none" w:sz="0" w:space="0" w:color="auto"/>
        <w:left w:val="none" w:sz="0" w:space="0" w:color="auto"/>
        <w:bottom w:val="none" w:sz="0" w:space="0" w:color="auto"/>
        <w:right w:val="none" w:sz="0" w:space="0" w:color="auto"/>
      </w:divBdr>
    </w:div>
    <w:div w:id="1183789019">
      <w:bodyDiv w:val="1"/>
      <w:marLeft w:val="0"/>
      <w:marRight w:val="0"/>
      <w:marTop w:val="0"/>
      <w:marBottom w:val="0"/>
      <w:divBdr>
        <w:top w:val="none" w:sz="0" w:space="0" w:color="auto"/>
        <w:left w:val="none" w:sz="0" w:space="0" w:color="auto"/>
        <w:bottom w:val="none" w:sz="0" w:space="0" w:color="auto"/>
        <w:right w:val="none" w:sz="0" w:space="0" w:color="auto"/>
      </w:divBdr>
    </w:div>
    <w:div w:id="1194807855">
      <w:bodyDiv w:val="1"/>
      <w:marLeft w:val="0"/>
      <w:marRight w:val="0"/>
      <w:marTop w:val="0"/>
      <w:marBottom w:val="0"/>
      <w:divBdr>
        <w:top w:val="none" w:sz="0" w:space="0" w:color="auto"/>
        <w:left w:val="none" w:sz="0" w:space="0" w:color="auto"/>
        <w:bottom w:val="none" w:sz="0" w:space="0" w:color="auto"/>
        <w:right w:val="none" w:sz="0" w:space="0" w:color="auto"/>
      </w:divBdr>
    </w:div>
    <w:div w:id="1211381156">
      <w:bodyDiv w:val="1"/>
      <w:marLeft w:val="0"/>
      <w:marRight w:val="0"/>
      <w:marTop w:val="0"/>
      <w:marBottom w:val="0"/>
      <w:divBdr>
        <w:top w:val="none" w:sz="0" w:space="0" w:color="auto"/>
        <w:left w:val="none" w:sz="0" w:space="0" w:color="auto"/>
        <w:bottom w:val="none" w:sz="0" w:space="0" w:color="auto"/>
        <w:right w:val="none" w:sz="0" w:space="0" w:color="auto"/>
      </w:divBdr>
    </w:div>
    <w:div w:id="1227109103">
      <w:bodyDiv w:val="1"/>
      <w:marLeft w:val="0"/>
      <w:marRight w:val="0"/>
      <w:marTop w:val="0"/>
      <w:marBottom w:val="0"/>
      <w:divBdr>
        <w:top w:val="none" w:sz="0" w:space="0" w:color="auto"/>
        <w:left w:val="none" w:sz="0" w:space="0" w:color="auto"/>
        <w:bottom w:val="none" w:sz="0" w:space="0" w:color="auto"/>
        <w:right w:val="none" w:sz="0" w:space="0" w:color="auto"/>
      </w:divBdr>
    </w:div>
    <w:div w:id="1260794727">
      <w:bodyDiv w:val="1"/>
      <w:marLeft w:val="0"/>
      <w:marRight w:val="0"/>
      <w:marTop w:val="0"/>
      <w:marBottom w:val="0"/>
      <w:divBdr>
        <w:top w:val="none" w:sz="0" w:space="0" w:color="auto"/>
        <w:left w:val="none" w:sz="0" w:space="0" w:color="auto"/>
        <w:bottom w:val="none" w:sz="0" w:space="0" w:color="auto"/>
        <w:right w:val="none" w:sz="0" w:space="0" w:color="auto"/>
      </w:divBdr>
    </w:div>
    <w:div w:id="1266887490">
      <w:bodyDiv w:val="1"/>
      <w:marLeft w:val="0"/>
      <w:marRight w:val="0"/>
      <w:marTop w:val="0"/>
      <w:marBottom w:val="0"/>
      <w:divBdr>
        <w:top w:val="none" w:sz="0" w:space="0" w:color="auto"/>
        <w:left w:val="none" w:sz="0" w:space="0" w:color="auto"/>
        <w:bottom w:val="none" w:sz="0" w:space="0" w:color="auto"/>
        <w:right w:val="none" w:sz="0" w:space="0" w:color="auto"/>
      </w:divBdr>
    </w:div>
    <w:div w:id="1268271165">
      <w:bodyDiv w:val="1"/>
      <w:marLeft w:val="0"/>
      <w:marRight w:val="0"/>
      <w:marTop w:val="0"/>
      <w:marBottom w:val="0"/>
      <w:divBdr>
        <w:top w:val="none" w:sz="0" w:space="0" w:color="auto"/>
        <w:left w:val="none" w:sz="0" w:space="0" w:color="auto"/>
        <w:bottom w:val="none" w:sz="0" w:space="0" w:color="auto"/>
        <w:right w:val="none" w:sz="0" w:space="0" w:color="auto"/>
      </w:divBdr>
    </w:div>
    <w:div w:id="1268847088">
      <w:bodyDiv w:val="1"/>
      <w:marLeft w:val="0"/>
      <w:marRight w:val="0"/>
      <w:marTop w:val="0"/>
      <w:marBottom w:val="0"/>
      <w:divBdr>
        <w:top w:val="none" w:sz="0" w:space="0" w:color="auto"/>
        <w:left w:val="none" w:sz="0" w:space="0" w:color="auto"/>
        <w:bottom w:val="none" w:sz="0" w:space="0" w:color="auto"/>
        <w:right w:val="none" w:sz="0" w:space="0" w:color="auto"/>
      </w:divBdr>
    </w:div>
    <w:div w:id="1269048634">
      <w:bodyDiv w:val="1"/>
      <w:marLeft w:val="0"/>
      <w:marRight w:val="0"/>
      <w:marTop w:val="0"/>
      <w:marBottom w:val="0"/>
      <w:divBdr>
        <w:top w:val="none" w:sz="0" w:space="0" w:color="auto"/>
        <w:left w:val="none" w:sz="0" w:space="0" w:color="auto"/>
        <w:bottom w:val="none" w:sz="0" w:space="0" w:color="auto"/>
        <w:right w:val="none" w:sz="0" w:space="0" w:color="auto"/>
      </w:divBdr>
    </w:div>
    <w:div w:id="1272325110">
      <w:bodyDiv w:val="1"/>
      <w:marLeft w:val="0"/>
      <w:marRight w:val="0"/>
      <w:marTop w:val="0"/>
      <w:marBottom w:val="0"/>
      <w:divBdr>
        <w:top w:val="none" w:sz="0" w:space="0" w:color="auto"/>
        <w:left w:val="none" w:sz="0" w:space="0" w:color="auto"/>
        <w:bottom w:val="none" w:sz="0" w:space="0" w:color="auto"/>
        <w:right w:val="none" w:sz="0" w:space="0" w:color="auto"/>
      </w:divBdr>
    </w:div>
    <w:div w:id="1279028829">
      <w:bodyDiv w:val="1"/>
      <w:marLeft w:val="0"/>
      <w:marRight w:val="0"/>
      <w:marTop w:val="0"/>
      <w:marBottom w:val="0"/>
      <w:divBdr>
        <w:top w:val="none" w:sz="0" w:space="0" w:color="auto"/>
        <w:left w:val="none" w:sz="0" w:space="0" w:color="auto"/>
        <w:bottom w:val="none" w:sz="0" w:space="0" w:color="auto"/>
        <w:right w:val="none" w:sz="0" w:space="0" w:color="auto"/>
      </w:divBdr>
    </w:div>
    <w:div w:id="1281912787">
      <w:bodyDiv w:val="1"/>
      <w:marLeft w:val="0"/>
      <w:marRight w:val="0"/>
      <w:marTop w:val="0"/>
      <w:marBottom w:val="0"/>
      <w:divBdr>
        <w:top w:val="none" w:sz="0" w:space="0" w:color="auto"/>
        <w:left w:val="none" w:sz="0" w:space="0" w:color="auto"/>
        <w:bottom w:val="none" w:sz="0" w:space="0" w:color="auto"/>
        <w:right w:val="none" w:sz="0" w:space="0" w:color="auto"/>
      </w:divBdr>
    </w:div>
    <w:div w:id="1309742555">
      <w:bodyDiv w:val="1"/>
      <w:marLeft w:val="0"/>
      <w:marRight w:val="0"/>
      <w:marTop w:val="0"/>
      <w:marBottom w:val="0"/>
      <w:divBdr>
        <w:top w:val="none" w:sz="0" w:space="0" w:color="auto"/>
        <w:left w:val="none" w:sz="0" w:space="0" w:color="auto"/>
        <w:bottom w:val="none" w:sz="0" w:space="0" w:color="auto"/>
        <w:right w:val="none" w:sz="0" w:space="0" w:color="auto"/>
      </w:divBdr>
    </w:div>
    <w:div w:id="1310327754">
      <w:bodyDiv w:val="1"/>
      <w:marLeft w:val="0"/>
      <w:marRight w:val="0"/>
      <w:marTop w:val="0"/>
      <w:marBottom w:val="0"/>
      <w:divBdr>
        <w:top w:val="none" w:sz="0" w:space="0" w:color="auto"/>
        <w:left w:val="none" w:sz="0" w:space="0" w:color="auto"/>
        <w:bottom w:val="none" w:sz="0" w:space="0" w:color="auto"/>
        <w:right w:val="none" w:sz="0" w:space="0" w:color="auto"/>
      </w:divBdr>
    </w:div>
    <w:div w:id="1327318477">
      <w:bodyDiv w:val="1"/>
      <w:marLeft w:val="0"/>
      <w:marRight w:val="0"/>
      <w:marTop w:val="0"/>
      <w:marBottom w:val="0"/>
      <w:divBdr>
        <w:top w:val="none" w:sz="0" w:space="0" w:color="auto"/>
        <w:left w:val="none" w:sz="0" w:space="0" w:color="auto"/>
        <w:bottom w:val="none" w:sz="0" w:space="0" w:color="auto"/>
        <w:right w:val="none" w:sz="0" w:space="0" w:color="auto"/>
      </w:divBdr>
    </w:div>
    <w:div w:id="1330325254">
      <w:bodyDiv w:val="1"/>
      <w:marLeft w:val="0"/>
      <w:marRight w:val="0"/>
      <w:marTop w:val="0"/>
      <w:marBottom w:val="0"/>
      <w:divBdr>
        <w:top w:val="none" w:sz="0" w:space="0" w:color="auto"/>
        <w:left w:val="none" w:sz="0" w:space="0" w:color="auto"/>
        <w:bottom w:val="none" w:sz="0" w:space="0" w:color="auto"/>
        <w:right w:val="none" w:sz="0" w:space="0" w:color="auto"/>
      </w:divBdr>
    </w:div>
    <w:div w:id="1336373806">
      <w:bodyDiv w:val="1"/>
      <w:marLeft w:val="0"/>
      <w:marRight w:val="0"/>
      <w:marTop w:val="0"/>
      <w:marBottom w:val="0"/>
      <w:divBdr>
        <w:top w:val="none" w:sz="0" w:space="0" w:color="auto"/>
        <w:left w:val="none" w:sz="0" w:space="0" w:color="auto"/>
        <w:bottom w:val="none" w:sz="0" w:space="0" w:color="auto"/>
        <w:right w:val="none" w:sz="0" w:space="0" w:color="auto"/>
      </w:divBdr>
    </w:div>
    <w:div w:id="1348676777">
      <w:bodyDiv w:val="1"/>
      <w:marLeft w:val="0"/>
      <w:marRight w:val="0"/>
      <w:marTop w:val="0"/>
      <w:marBottom w:val="0"/>
      <w:divBdr>
        <w:top w:val="none" w:sz="0" w:space="0" w:color="auto"/>
        <w:left w:val="none" w:sz="0" w:space="0" w:color="auto"/>
        <w:bottom w:val="none" w:sz="0" w:space="0" w:color="auto"/>
        <w:right w:val="none" w:sz="0" w:space="0" w:color="auto"/>
      </w:divBdr>
    </w:div>
    <w:div w:id="1354068663">
      <w:bodyDiv w:val="1"/>
      <w:marLeft w:val="0"/>
      <w:marRight w:val="0"/>
      <w:marTop w:val="0"/>
      <w:marBottom w:val="0"/>
      <w:divBdr>
        <w:top w:val="none" w:sz="0" w:space="0" w:color="auto"/>
        <w:left w:val="none" w:sz="0" w:space="0" w:color="auto"/>
        <w:bottom w:val="none" w:sz="0" w:space="0" w:color="auto"/>
        <w:right w:val="none" w:sz="0" w:space="0" w:color="auto"/>
      </w:divBdr>
    </w:div>
    <w:div w:id="1356082854">
      <w:bodyDiv w:val="1"/>
      <w:marLeft w:val="0"/>
      <w:marRight w:val="0"/>
      <w:marTop w:val="0"/>
      <w:marBottom w:val="0"/>
      <w:divBdr>
        <w:top w:val="none" w:sz="0" w:space="0" w:color="auto"/>
        <w:left w:val="none" w:sz="0" w:space="0" w:color="auto"/>
        <w:bottom w:val="none" w:sz="0" w:space="0" w:color="auto"/>
        <w:right w:val="none" w:sz="0" w:space="0" w:color="auto"/>
      </w:divBdr>
    </w:div>
    <w:div w:id="1365671066">
      <w:bodyDiv w:val="1"/>
      <w:marLeft w:val="0"/>
      <w:marRight w:val="0"/>
      <w:marTop w:val="0"/>
      <w:marBottom w:val="0"/>
      <w:divBdr>
        <w:top w:val="none" w:sz="0" w:space="0" w:color="auto"/>
        <w:left w:val="none" w:sz="0" w:space="0" w:color="auto"/>
        <w:bottom w:val="none" w:sz="0" w:space="0" w:color="auto"/>
        <w:right w:val="none" w:sz="0" w:space="0" w:color="auto"/>
      </w:divBdr>
    </w:div>
    <w:div w:id="1372654515">
      <w:bodyDiv w:val="1"/>
      <w:marLeft w:val="0"/>
      <w:marRight w:val="0"/>
      <w:marTop w:val="0"/>
      <w:marBottom w:val="0"/>
      <w:divBdr>
        <w:top w:val="none" w:sz="0" w:space="0" w:color="auto"/>
        <w:left w:val="none" w:sz="0" w:space="0" w:color="auto"/>
        <w:bottom w:val="none" w:sz="0" w:space="0" w:color="auto"/>
        <w:right w:val="none" w:sz="0" w:space="0" w:color="auto"/>
      </w:divBdr>
    </w:div>
    <w:div w:id="1380784033">
      <w:bodyDiv w:val="1"/>
      <w:marLeft w:val="0"/>
      <w:marRight w:val="0"/>
      <w:marTop w:val="0"/>
      <w:marBottom w:val="0"/>
      <w:divBdr>
        <w:top w:val="none" w:sz="0" w:space="0" w:color="auto"/>
        <w:left w:val="none" w:sz="0" w:space="0" w:color="auto"/>
        <w:bottom w:val="none" w:sz="0" w:space="0" w:color="auto"/>
        <w:right w:val="none" w:sz="0" w:space="0" w:color="auto"/>
      </w:divBdr>
    </w:div>
    <w:div w:id="1407997082">
      <w:bodyDiv w:val="1"/>
      <w:marLeft w:val="0"/>
      <w:marRight w:val="0"/>
      <w:marTop w:val="0"/>
      <w:marBottom w:val="0"/>
      <w:divBdr>
        <w:top w:val="none" w:sz="0" w:space="0" w:color="auto"/>
        <w:left w:val="none" w:sz="0" w:space="0" w:color="auto"/>
        <w:bottom w:val="none" w:sz="0" w:space="0" w:color="auto"/>
        <w:right w:val="none" w:sz="0" w:space="0" w:color="auto"/>
      </w:divBdr>
    </w:div>
    <w:div w:id="1411587067">
      <w:bodyDiv w:val="1"/>
      <w:marLeft w:val="0"/>
      <w:marRight w:val="0"/>
      <w:marTop w:val="0"/>
      <w:marBottom w:val="0"/>
      <w:divBdr>
        <w:top w:val="none" w:sz="0" w:space="0" w:color="auto"/>
        <w:left w:val="none" w:sz="0" w:space="0" w:color="auto"/>
        <w:bottom w:val="none" w:sz="0" w:space="0" w:color="auto"/>
        <w:right w:val="none" w:sz="0" w:space="0" w:color="auto"/>
      </w:divBdr>
    </w:div>
    <w:div w:id="1417246695">
      <w:bodyDiv w:val="1"/>
      <w:marLeft w:val="0"/>
      <w:marRight w:val="0"/>
      <w:marTop w:val="0"/>
      <w:marBottom w:val="0"/>
      <w:divBdr>
        <w:top w:val="none" w:sz="0" w:space="0" w:color="auto"/>
        <w:left w:val="none" w:sz="0" w:space="0" w:color="auto"/>
        <w:bottom w:val="none" w:sz="0" w:space="0" w:color="auto"/>
        <w:right w:val="none" w:sz="0" w:space="0" w:color="auto"/>
      </w:divBdr>
    </w:div>
    <w:div w:id="1423381013">
      <w:bodyDiv w:val="1"/>
      <w:marLeft w:val="0"/>
      <w:marRight w:val="0"/>
      <w:marTop w:val="0"/>
      <w:marBottom w:val="0"/>
      <w:divBdr>
        <w:top w:val="none" w:sz="0" w:space="0" w:color="auto"/>
        <w:left w:val="none" w:sz="0" w:space="0" w:color="auto"/>
        <w:bottom w:val="none" w:sz="0" w:space="0" w:color="auto"/>
        <w:right w:val="none" w:sz="0" w:space="0" w:color="auto"/>
      </w:divBdr>
    </w:div>
    <w:div w:id="1434938105">
      <w:bodyDiv w:val="1"/>
      <w:marLeft w:val="0"/>
      <w:marRight w:val="0"/>
      <w:marTop w:val="0"/>
      <w:marBottom w:val="0"/>
      <w:divBdr>
        <w:top w:val="none" w:sz="0" w:space="0" w:color="auto"/>
        <w:left w:val="none" w:sz="0" w:space="0" w:color="auto"/>
        <w:bottom w:val="none" w:sz="0" w:space="0" w:color="auto"/>
        <w:right w:val="none" w:sz="0" w:space="0" w:color="auto"/>
      </w:divBdr>
    </w:div>
    <w:div w:id="1445005047">
      <w:bodyDiv w:val="1"/>
      <w:marLeft w:val="0"/>
      <w:marRight w:val="0"/>
      <w:marTop w:val="0"/>
      <w:marBottom w:val="0"/>
      <w:divBdr>
        <w:top w:val="none" w:sz="0" w:space="0" w:color="auto"/>
        <w:left w:val="none" w:sz="0" w:space="0" w:color="auto"/>
        <w:bottom w:val="none" w:sz="0" w:space="0" w:color="auto"/>
        <w:right w:val="none" w:sz="0" w:space="0" w:color="auto"/>
      </w:divBdr>
    </w:div>
    <w:div w:id="1457482167">
      <w:bodyDiv w:val="1"/>
      <w:marLeft w:val="0"/>
      <w:marRight w:val="0"/>
      <w:marTop w:val="0"/>
      <w:marBottom w:val="0"/>
      <w:divBdr>
        <w:top w:val="none" w:sz="0" w:space="0" w:color="auto"/>
        <w:left w:val="none" w:sz="0" w:space="0" w:color="auto"/>
        <w:bottom w:val="none" w:sz="0" w:space="0" w:color="auto"/>
        <w:right w:val="none" w:sz="0" w:space="0" w:color="auto"/>
      </w:divBdr>
    </w:div>
    <w:div w:id="1461996465">
      <w:bodyDiv w:val="1"/>
      <w:marLeft w:val="0"/>
      <w:marRight w:val="0"/>
      <w:marTop w:val="0"/>
      <w:marBottom w:val="0"/>
      <w:divBdr>
        <w:top w:val="none" w:sz="0" w:space="0" w:color="auto"/>
        <w:left w:val="none" w:sz="0" w:space="0" w:color="auto"/>
        <w:bottom w:val="none" w:sz="0" w:space="0" w:color="auto"/>
        <w:right w:val="none" w:sz="0" w:space="0" w:color="auto"/>
      </w:divBdr>
    </w:div>
    <w:div w:id="1475021199">
      <w:bodyDiv w:val="1"/>
      <w:marLeft w:val="0"/>
      <w:marRight w:val="0"/>
      <w:marTop w:val="0"/>
      <w:marBottom w:val="0"/>
      <w:divBdr>
        <w:top w:val="none" w:sz="0" w:space="0" w:color="auto"/>
        <w:left w:val="none" w:sz="0" w:space="0" w:color="auto"/>
        <w:bottom w:val="none" w:sz="0" w:space="0" w:color="auto"/>
        <w:right w:val="none" w:sz="0" w:space="0" w:color="auto"/>
      </w:divBdr>
    </w:div>
    <w:div w:id="1483616092">
      <w:bodyDiv w:val="1"/>
      <w:marLeft w:val="0"/>
      <w:marRight w:val="0"/>
      <w:marTop w:val="0"/>
      <w:marBottom w:val="0"/>
      <w:divBdr>
        <w:top w:val="none" w:sz="0" w:space="0" w:color="auto"/>
        <w:left w:val="none" w:sz="0" w:space="0" w:color="auto"/>
        <w:bottom w:val="none" w:sz="0" w:space="0" w:color="auto"/>
        <w:right w:val="none" w:sz="0" w:space="0" w:color="auto"/>
      </w:divBdr>
    </w:div>
    <w:div w:id="1486585144">
      <w:bodyDiv w:val="1"/>
      <w:marLeft w:val="0"/>
      <w:marRight w:val="0"/>
      <w:marTop w:val="0"/>
      <w:marBottom w:val="0"/>
      <w:divBdr>
        <w:top w:val="none" w:sz="0" w:space="0" w:color="auto"/>
        <w:left w:val="none" w:sz="0" w:space="0" w:color="auto"/>
        <w:bottom w:val="none" w:sz="0" w:space="0" w:color="auto"/>
        <w:right w:val="none" w:sz="0" w:space="0" w:color="auto"/>
      </w:divBdr>
    </w:div>
    <w:div w:id="1514419534">
      <w:bodyDiv w:val="1"/>
      <w:marLeft w:val="0"/>
      <w:marRight w:val="0"/>
      <w:marTop w:val="0"/>
      <w:marBottom w:val="0"/>
      <w:divBdr>
        <w:top w:val="none" w:sz="0" w:space="0" w:color="auto"/>
        <w:left w:val="none" w:sz="0" w:space="0" w:color="auto"/>
        <w:bottom w:val="none" w:sz="0" w:space="0" w:color="auto"/>
        <w:right w:val="none" w:sz="0" w:space="0" w:color="auto"/>
      </w:divBdr>
    </w:div>
    <w:div w:id="1520120424">
      <w:bodyDiv w:val="1"/>
      <w:marLeft w:val="0"/>
      <w:marRight w:val="0"/>
      <w:marTop w:val="0"/>
      <w:marBottom w:val="0"/>
      <w:divBdr>
        <w:top w:val="none" w:sz="0" w:space="0" w:color="auto"/>
        <w:left w:val="none" w:sz="0" w:space="0" w:color="auto"/>
        <w:bottom w:val="none" w:sz="0" w:space="0" w:color="auto"/>
        <w:right w:val="none" w:sz="0" w:space="0" w:color="auto"/>
      </w:divBdr>
    </w:div>
    <w:div w:id="1538271325">
      <w:bodyDiv w:val="1"/>
      <w:marLeft w:val="0"/>
      <w:marRight w:val="0"/>
      <w:marTop w:val="0"/>
      <w:marBottom w:val="0"/>
      <w:divBdr>
        <w:top w:val="none" w:sz="0" w:space="0" w:color="auto"/>
        <w:left w:val="none" w:sz="0" w:space="0" w:color="auto"/>
        <w:bottom w:val="none" w:sz="0" w:space="0" w:color="auto"/>
        <w:right w:val="none" w:sz="0" w:space="0" w:color="auto"/>
      </w:divBdr>
      <w:divsChild>
        <w:div w:id="742801718">
          <w:marLeft w:val="0"/>
          <w:marRight w:val="0"/>
          <w:marTop w:val="0"/>
          <w:marBottom w:val="0"/>
          <w:divBdr>
            <w:top w:val="none" w:sz="0" w:space="0" w:color="auto"/>
            <w:left w:val="none" w:sz="0" w:space="0" w:color="auto"/>
            <w:bottom w:val="none" w:sz="0" w:space="0" w:color="auto"/>
            <w:right w:val="none" w:sz="0" w:space="0" w:color="auto"/>
          </w:divBdr>
        </w:div>
        <w:div w:id="1318460670">
          <w:marLeft w:val="0"/>
          <w:marRight w:val="0"/>
          <w:marTop w:val="0"/>
          <w:marBottom w:val="0"/>
          <w:divBdr>
            <w:top w:val="none" w:sz="0" w:space="0" w:color="auto"/>
            <w:left w:val="none" w:sz="0" w:space="0" w:color="auto"/>
            <w:bottom w:val="none" w:sz="0" w:space="0" w:color="auto"/>
            <w:right w:val="none" w:sz="0" w:space="0" w:color="auto"/>
          </w:divBdr>
        </w:div>
      </w:divsChild>
    </w:div>
    <w:div w:id="1541820341">
      <w:bodyDiv w:val="1"/>
      <w:marLeft w:val="0"/>
      <w:marRight w:val="0"/>
      <w:marTop w:val="0"/>
      <w:marBottom w:val="0"/>
      <w:divBdr>
        <w:top w:val="none" w:sz="0" w:space="0" w:color="auto"/>
        <w:left w:val="none" w:sz="0" w:space="0" w:color="auto"/>
        <w:bottom w:val="none" w:sz="0" w:space="0" w:color="auto"/>
        <w:right w:val="none" w:sz="0" w:space="0" w:color="auto"/>
      </w:divBdr>
    </w:div>
    <w:div w:id="1548027866">
      <w:bodyDiv w:val="1"/>
      <w:marLeft w:val="0"/>
      <w:marRight w:val="0"/>
      <w:marTop w:val="0"/>
      <w:marBottom w:val="0"/>
      <w:divBdr>
        <w:top w:val="none" w:sz="0" w:space="0" w:color="auto"/>
        <w:left w:val="none" w:sz="0" w:space="0" w:color="auto"/>
        <w:bottom w:val="none" w:sz="0" w:space="0" w:color="auto"/>
        <w:right w:val="none" w:sz="0" w:space="0" w:color="auto"/>
      </w:divBdr>
    </w:div>
    <w:div w:id="1579634638">
      <w:bodyDiv w:val="1"/>
      <w:marLeft w:val="0"/>
      <w:marRight w:val="0"/>
      <w:marTop w:val="0"/>
      <w:marBottom w:val="0"/>
      <w:divBdr>
        <w:top w:val="none" w:sz="0" w:space="0" w:color="auto"/>
        <w:left w:val="none" w:sz="0" w:space="0" w:color="auto"/>
        <w:bottom w:val="none" w:sz="0" w:space="0" w:color="auto"/>
        <w:right w:val="none" w:sz="0" w:space="0" w:color="auto"/>
      </w:divBdr>
    </w:div>
    <w:div w:id="1586259385">
      <w:bodyDiv w:val="1"/>
      <w:marLeft w:val="0"/>
      <w:marRight w:val="0"/>
      <w:marTop w:val="0"/>
      <w:marBottom w:val="0"/>
      <w:divBdr>
        <w:top w:val="none" w:sz="0" w:space="0" w:color="auto"/>
        <w:left w:val="none" w:sz="0" w:space="0" w:color="auto"/>
        <w:bottom w:val="none" w:sz="0" w:space="0" w:color="auto"/>
        <w:right w:val="none" w:sz="0" w:space="0" w:color="auto"/>
      </w:divBdr>
    </w:div>
    <w:div w:id="1605263380">
      <w:bodyDiv w:val="1"/>
      <w:marLeft w:val="0"/>
      <w:marRight w:val="0"/>
      <w:marTop w:val="0"/>
      <w:marBottom w:val="0"/>
      <w:divBdr>
        <w:top w:val="none" w:sz="0" w:space="0" w:color="auto"/>
        <w:left w:val="none" w:sz="0" w:space="0" w:color="auto"/>
        <w:bottom w:val="none" w:sz="0" w:space="0" w:color="auto"/>
        <w:right w:val="none" w:sz="0" w:space="0" w:color="auto"/>
      </w:divBdr>
    </w:div>
    <w:div w:id="1612787380">
      <w:bodyDiv w:val="1"/>
      <w:marLeft w:val="0"/>
      <w:marRight w:val="0"/>
      <w:marTop w:val="0"/>
      <w:marBottom w:val="0"/>
      <w:divBdr>
        <w:top w:val="none" w:sz="0" w:space="0" w:color="auto"/>
        <w:left w:val="none" w:sz="0" w:space="0" w:color="auto"/>
        <w:bottom w:val="none" w:sz="0" w:space="0" w:color="auto"/>
        <w:right w:val="none" w:sz="0" w:space="0" w:color="auto"/>
      </w:divBdr>
    </w:div>
    <w:div w:id="1616909200">
      <w:bodyDiv w:val="1"/>
      <w:marLeft w:val="0"/>
      <w:marRight w:val="0"/>
      <w:marTop w:val="0"/>
      <w:marBottom w:val="0"/>
      <w:divBdr>
        <w:top w:val="none" w:sz="0" w:space="0" w:color="auto"/>
        <w:left w:val="none" w:sz="0" w:space="0" w:color="auto"/>
        <w:bottom w:val="none" w:sz="0" w:space="0" w:color="auto"/>
        <w:right w:val="none" w:sz="0" w:space="0" w:color="auto"/>
      </w:divBdr>
    </w:div>
    <w:div w:id="1619337039">
      <w:bodyDiv w:val="1"/>
      <w:marLeft w:val="0"/>
      <w:marRight w:val="0"/>
      <w:marTop w:val="0"/>
      <w:marBottom w:val="0"/>
      <w:divBdr>
        <w:top w:val="none" w:sz="0" w:space="0" w:color="auto"/>
        <w:left w:val="none" w:sz="0" w:space="0" w:color="auto"/>
        <w:bottom w:val="none" w:sz="0" w:space="0" w:color="auto"/>
        <w:right w:val="none" w:sz="0" w:space="0" w:color="auto"/>
      </w:divBdr>
    </w:div>
    <w:div w:id="1623271245">
      <w:bodyDiv w:val="1"/>
      <w:marLeft w:val="0"/>
      <w:marRight w:val="0"/>
      <w:marTop w:val="0"/>
      <w:marBottom w:val="0"/>
      <w:divBdr>
        <w:top w:val="none" w:sz="0" w:space="0" w:color="auto"/>
        <w:left w:val="none" w:sz="0" w:space="0" w:color="auto"/>
        <w:bottom w:val="none" w:sz="0" w:space="0" w:color="auto"/>
        <w:right w:val="none" w:sz="0" w:space="0" w:color="auto"/>
      </w:divBdr>
    </w:div>
    <w:div w:id="1631395247">
      <w:bodyDiv w:val="1"/>
      <w:marLeft w:val="0"/>
      <w:marRight w:val="0"/>
      <w:marTop w:val="0"/>
      <w:marBottom w:val="0"/>
      <w:divBdr>
        <w:top w:val="none" w:sz="0" w:space="0" w:color="auto"/>
        <w:left w:val="none" w:sz="0" w:space="0" w:color="auto"/>
        <w:bottom w:val="none" w:sz="0" w:space="0" w:color="auto"/>
        <w:right w:val="none" w:sz="0" w:space="0" w:color="auto"/>
      </w:divBdr>
    </w:div>
    <w:div w:id="1641304646">
      <w:bodyDiv w:val="1"/>
      <w:marLeft w:val="0"/>
      <w:marRight w:val="0"/>
      <w:marTop w:val="0"/>
      <w:marBottom w:val="0"/>
      <w:divBdr>
        <w:top w:val="none" w:sz="0" w:space="0" w:color="auto"/>
        <w:left w:val="none" w:sz="0" w:space="0" w:color="auto"/>
        <w:bottom w:val="none" w:sz="0" w:space="0" w:color="auto"/>
        <w:right w:val="none" w:sz="0" w:space="0" w:color="auto"/>
      </w:divBdr>
    </w:div>
    <w:div w:id="1653370799">
      <w:bodyDiv w:val="1"/>
      <w:marLeft w:val="0"/>
      <w:marRight w:val="0"/>
      <w:marTop w:val="0"/>
      <w:marBottom w:val="0"/>
      <w:divBdr>
        <w:top w:val="none" w:sz="0" w:space="0" w:color="auto"/>
        <w:left w:val="none" w:sz="0" w:space="0" w:color="auto"/>
        <w:bottom w:val="none" w:sz="0" w:space="0" w:color="auto"/>
        <w:right w:val="none" w:sz="0" w:space="0" w:color="auto"/>
      </w:divBdr>
    </w:div>
    <w:div w:id="1658341455">
      <w:bodyDiv w:val="1"/>
      <w:marLeft w:val="0"/>
      <w:marRight w:val="0"/>
      <w:marTop w:val="0"/>
      <w:marBottom w:val="0"/>
      <w:divBdr>
        <w:top w:val="none" w:sz="0" w:space="0" w:color="auto"/>
        <w:left w:val="none" w:sz="0" w:space="0" w:color="auto"/>
        <w:bottom w:val="none" w:sz="0" w:space="0" w:color="auto"/>
        <w:right w:val="none" w:sz="0" w:space="0" w:color="auto"/>
      </w:divBdr>
      <w:divsChild>
        <w:div w:id="126509836">
          <w:marLeft w:val="0"/>
          <w:marRight w:val="0"/>
          <w:marTop w:val="0"/>
          <w:marBottom w:val="0"/>
          <w:divBdr>
            <w:top w:val="none" w:sz="0" w:space="0" w:color="auto"/>
            <w:left w:val="none" w:sz="0" w:space="0" w:color="auto"/>
            <w:bottom w:val="none" w:sz="0" w:space="0" w:color="auto"/>
            <w:right w:val="none" w:sz="0" w:space="0" w:color="auto"/>
          </w:divBdr>
        </w:div>
        <w:div w:id="913587711">
          <w:marLeft w:val="0"/>
          <w:marRight w:val="0"/>
          <w:marTop w:val="0"/>
          <w:marBottom w:val="0"/>
          <w:divBdr>
            <w:top w:val="none" w:sz="0" w:space="0" w:color="auto"/>
            <w:left w:val="none" w:sz="0" w:space="0" w:color="auto"/>
            <w:bottom w:val="none" w:sz="0" w:space="0" w:color="auto"/>
            <w:right w:val="none" w:sz="0" w:space="0" w:color="auto"/>
          </w:divBdr>
        </w:div>
        <w:div w:id="1325428509">
          <w:marLeft w:val="0"/>
          <w:marRight w:val="0"/>
          <w:marTop w:val="0"/>
          <w:marBottom w:val="0"/>
          <w:divBdr>
            <w:top w:val="none" w:sz="0" w:space="0" w:color="auto"/>
            <w:left w:val="none" w:sz="0" w:space="0" w:color="auto"/>
            <w:bottom w:val="none" w:sz="0" w:space="0" w:color="auto"/>
            <w:right w:val="none" w:sz="0" w:space="0" w:color="auto"/>
          </w:divBdr>
        </w:div>
        <w:div w:id="1592658662">
          <w:marLeft w:val="0"/>
          <w:marRight w:val="0"/>
          <w:marTop w:val="0"/>
          <w:marBottom w:val="0"/>
          <w:divBdr>
            <w:top w:val="none" w:sz="0" w:space="0" w:color="auto"/>
            <w:left w:val="none" w:sz="0" w:space="0" w:color="auto"/>
            <w:bottom w:val="none" w:sz="0" w:space="0" w:color="auto"/>
            <w:right w:val="none" w:sz="0" w:space="0" w:color="auto"/>
          </w:divBdr>
        </w:div>
        <w:div w:id="2075156887">
          <w:marLeft w:val="0"/>
          <w:marRight w:val="0"/>
          <w:marTop w:val="0"/>
          <w:marBottom w:val="0"/>
          <w:divBdr>
            <w:top w:val="none" w:sz="0" w:space="0" w:color="auto"/>
            <w:left w:val="none" w:sz="0" w:space="0" w:color="auto"/>
            <w:bottom w:val="none" w:sz="0" w:space="0" w:color="auto"/>
            <w:right w:val="none" w:sz="0" w:space="0" w:color="auto"/>
          </w:divBdr>
        </w:div>
      </w:divsChild>
    </w:div>
    <w:div w:id="1665739992">
      <w:bodyDiv w:val="1"/>
      <w:marLeft w:val="0"/>
      <w:marRight w:val="0"/>
      <w:marTop w:val="0"/>
      <w:marBottom w:val="0"/>
      <w:divBdr>
        <w:top w:val="none" w:sz="0" w:space="0" w:color="auto"/>
        <w:left w:val="none" w:sz="0" w:space="0" w:color="auto"/>
        <w:bottom w:val="none" w:sz="0" w:space="0" w:color="auto"/>
        <w:right w:val="none" w:sz="0" w:space="0" w:color="auto"/>
      </w:divBdr>
    </w:div>
    <w:div w:id="1687364077">
      <w:bodyDiv w:val="1"/>
      <w:marLeft w:val="0"/>
      <w:marRight w:val="0"/>
      <w:marTop w:val="0"/>
      <w:marBottom w:val="0"/>
      <w:divBdr>
        <w:top w:val="none" w:sz="0" w:space="0" w:color="auto"/>
        <w:left w:val="none" w:sz="0" w:space="0" w:color="auto"/>
        <w:bottom w:val="none" w:sz="0" w:space="0" w:color="auto"/>
        <w:right w:val="none" w:sz="0" w:space="0" w:color="auto"/>
      </w:divBdr>
    </w:div>
    <w:div w:id="1719818201">
      <w:bodyDiv w:val="1"/>
      <w:marLeft w:val="0"/>
      <w:marRight w:val="0"/>
      <w:marTop w:val="0"/>
      <w:marBottom w:val="0"/>
      <w:divBdr>
        <w:top w:val="none" w:sz="0" w:space="0" w:color="auto"/>
        <w:left w:val="none" w:sz="0" w:space="0" w:color="auto"/>
        <w:bottom w:val="none" w:sz="0" w:space="0" w:color="auto"/>
        <w:right w:val="none" w:sz="0" w:space="0" w:color="auto"/>
      </w:divBdr>
    </w:div>
    <w:div w:id="1720737365">
      <w:bodyDiv w:val="1"/>
      <w:marLeft w:val="0"/>
      <w:marRight w:val="0"/>
      <w:marTop w:val="0"/>
      <w:marBottom w:val="0"/>
      <w:divBdr>
        <w:top w:val="none" w:sz="0" w:space="0" w:color="auto"/>
        <w:left w:val="none" w:sz="0" w:space="0" w:color="auto"/>
        <w:bottom w:val="none" w:sz="0" w:space="0" w:color="auto"/>
        <w:right w:val="none" w:sz="0" w:space="0" w:color="auto"/>
      </w:divBdr>
    </w:div>
    <w:div w:id="1734816428">
      <w:bodyDiv w:val="1"/>
      <w:marLeft w:val="0"/>
      <w:marRight w:val="0"/>
      <w:marTop w:val="0"/>
      <w:marBottom w:val="0"/>
      <w:divBdr>
        <w:top w:val="none" w:sz="0" w:space="0" w:color="auto"/>
        <w:left w:val="none" w:sz="0" w:space="0" w:color="auto"/>
        <w:bottom w:val="none" w:sz="0" w:space="0" w:color="auto"/>
        <w:right w:val="none" w:sz="0" w:space="0" w:color="auto"/>
      </w:divBdr>
    </w:div>
    <w:div w:id="1736930233">
      <w:bodyDiv w:val="1"/>
      <w:marLeft w:val="0"/>
      <w:marRight w:val="0"/>
      <w:marTop w:val="0"/>
      <w:marBottom w:val="0"/>
      <w:divBdr>
        <w:top w:val="none" w:sz="0" w:space="0" w:color="auto"/>
        <w:left w:val="none" w:sz="0" w:space="0" w:color="auto"/>
        <w:bottom w:val="none" w:sz="0" w:space="0" w:color="auto"/>
        <w:right w:val="none" w:sz="0" w:space="0" w:color="auto"/>
      </w:divBdr>
      <w:divsChild>
        <w:div w:id="781265155">
          <w:marLeft w:val="446"/>
          <w:marRight w:val="0"/>
          <w:marTop w:val="0"/>
          <w:marBottom w:val="0"/>
          <w:divBdr>
            <w:top w:val="none" w:sz="0" w:space="0" w:color="auto"/>
            <w:left w:val="none" w:sz="0" w:space="0" w:color="auto"/>
            <w:bottom w:val="none" w:sz="0" w:space="0" w:color="auto"/>
            <w:right w:val="none" w:sz="0" w:space="0" w:color="auto"/>
          </w:divBdr>
        </w:div>
        <w:div w:id="1475755729">
          <w:marLeft w:val="446"/>
          <w:marRight w:val="0"/>
          <w:marTop w:val="0"/>
          <w:marBottom w:val="0"/>
          <w:divBdr>
            <w:top w:val="none" w:sz="0" w:space="0" w:color="auto"/>
            <w:left w:val="none" w:sz="0" w:space="0" w:color="auto"/>
            <w:bottom w:val="none" w:sz="0" w:space="0" w:color="auto"/>
            <w:right w:val="none" w:sz="0" w:space="0" w:color="auto"/>
          </w:divBdr>
        </w:div>
      </w:divsChild>
    </w:div>
    <w:div w:id="1737433307">
      <w:bodyDiv w:val="1"/>
      <w:marLeft w:val="0"/>
      <w:marRight w:val="0"/>
      <w:marTop w:val="0"/>
      <w:marBottom w:val="0"/>
      <w:divBdr>
        <w:top w:val="none" w:sz="0" w:space="0" w:color="auto"/>
        <w:left w:val="none" w:sz="0" w:space="0" w:color="auto"/>
        <w:bottom w:val="none" w:sz="0" w:space="0" w:color="auto"/>
        <w:right w:val="none" w:sz="0" w:space="0" w:color="auto"/>
      </w:divBdr>
    </w:div>
    <w:div w:id="1756003649">
      <w:bodyDiv w:val="1"/>
      <w:marLeft w:val="0"/>
      <w:marRight w:val="0"/>
      <w:marTop w:val="0"/>
      <w:marBottom w:val="0"/>
      <w:divBdr>
        <w:top w:val="none" w:sz="0" w:space="0" w:color="auto"/>
        <w:left w:val="none" w:sz="0" w:space="0" w:color="auto"/>
        <w:bottom w:val="none" w:sz="0" w:space="0" w:color="auto"/>
        <w:right w:val="none" w:sz="0" w:space="0" w:color="auto"/>
      </w:divBdr>
      <w:divsChild>
        <w:div w:id="1069687909">
          <w:marLeft w:val="0"/>
          <w:marRight w:val="0"/>
          <w:marTop w:val="0"/>
          <w:marBottom w:val="0"/>
          <w:divBdr>
            <w:top w:val="none" w:sz="0" w:space="0" w:color="auto"/>
            <w:left w:val="none" w:sz="0" w:space="0" w:color="auto"/>
            <w:bottom w:val="none" w:sz="0" w:space="0" w:color="auto"/>
            <w:right w:val="none" w:sz="0" w:space="0" w:color="auto"/>
          </w:divBdr>
        </w:div>
        <w:div w:id="1489324270">
          <w:marLeft w:val="0"/>
          <w:marRight w:val="0"/>
          <w:marTop w:val="0"/>
          <w:marBottom w:val="0"/>
          <w:divBdr>
            <w:top w:val="none" w:sz="0" w:space="0" w:color="auto"/>
            <w:left w:val="none" w:sz="0" w:space="0" w:color="auto"/>
            <w:bottom w:val="none" w:sz="0" w:space="0" w:color="auto"/>
            <w:right w:val="none" w:sz="0" w:space="0" w:color="auto"/>
          </w:divBdr>
        </w:div>
      </w:divsChild>
    </w:div>
    <w:div w:id="1764184493">
      <w:bodyDiv w:val="1"/>
      <w:marLeft w:val="0"/>
      <w:marRight w:val="0"/>
      <w:marTop w:val="0"/>
      <w:marBottom w:val="0"/>
      <w:divBdr>
        <w:top w:val="none" w:sz="0" w:space="0" w:color="auto"/>
        <w:left w:val="none" w:sz="0" w:space="0" w:color="auto"/>
        <w:bottom w:val="none" w:sz="0" w:space="0" w:color="auto"/>
        <w:right w:val="none" w:sz="0" w:space="0" w:color="auto"/>
      </w:divBdr>
    </w:div>
    <w:div w:id="1766457673">
      <w:bodyDiv w:val="1"/>
      <w:marLeft w:val="0"/>
      <w:marRight w:val="0"/>
      <w:marTop w:val="0"/>
      <w:marBottom w:val="0"/>
      <w:divBdr>
        <w:top w:val="none" w:sz="0" w:space="0" w:color="auto"/>
        <w:left w:val="none" w:sz="0" w:space="0" w:color="auto"/>
        <w:bottom w:val="none" w:sz="0" w:space="0" w:color="auto"/>
        <w:right w:val="none" w:sz="0" w:space="0" w:color="auto"/>
      </w:divBdr>
    </w:div>
    <w:div w:id="1782916637">
      <w:bodyDiv w:val="1"/>
      <w:marLeft w:val="0"/>
      <w:marRight w:val="0"/>
      <w:marTop w:val="0"/>
      <w:marBottom w:val="0"/>
      <w:divBdr>
        <w:top w:val="none" w:sz="0" w:space="0" w:color="auto"/>
        <w:left w:val="none" w:sz="0" w:space="0" w:color="auto"/>
        <w:bottom w:val="none" w:sz="0" w:space="0" w:color="auto"/>
        <w:right w:val="none" w:sz="0" w:space="0" w:color="auto"/>
      </w:divBdr>
    </w:div>
    <w:div w:id="1796678685">
      <w:bodyDiv w:val="1"/>
      <w:marLeft w:val="0"/>
      <w:marRight w:val="0"/>
      <w:marTop w:val="0"/>
      <w:marBottom w:val="0"/>
      <w:divBdr>
        <w:top w:val="none" w:sz="0" w:space="0" w:color="auto"/>
        <w:left w:val="none" w:sz="0" w:space="0" w:color="auto"/>
        <w:bottom w:val="none" w:sz="0" w:space="0" w:color="auto"/>
        <w:right w:val="none" w:sz="0" w:space="0" w:color="auto"/>
      </w:divBdr>
    </w:div>
    <w:div w:id="1798793070">
      <w:bodyDiv w:val="1"/>
      <w:marLeft w:val="0"/>
      <w:marRight w:val="0"/>
      <w:marTop w:val="0"/>
      <w:marBottom w:val="0"/>
      <w:divBdr>
        <w:top w:val="none" w:sz="0" w:space="0" w:color="auto"/>
        <w:left w:val="none" w:sz="0" w:space="0" w:color="auto"/>
        <w:bottom w:val="none" w:sz="0" w:space="0" w:color="auto"/>
        <w:right w:val="none" w:sz="0" w:space="0" w:color="auto"/>
      </w:divBdr>
    </w:div>
    <w:div w:id="1799446108">
      <w:bodyDiv w:val="1"/>
      <w:marLeft w:val="0"/>
      <w:marRight w:val="0"/>
      <w:marTop w:val="0"/>
      <w:marBottom w:val="0"/>
      <w:divBdr>
        <w:top w:val="none" w:sz="0" w:space="0" w:color="auto"/>
        <w:left w:val="none" w:sz="0" w:space="0" w:color="auto"/>
        <w:bottom w:val="none" w:sz="0" w:space="0" w:color="auto"/>
        <w:right w:val="none" w:sz="0" w:space="0" w:color="auto"/>
      </w:divBdr>
    </w:div>
    <w:div w:id="1804076091">
      <w:bodyDiv w:val="1"/>
      <w:marLeft w:val="0"/>
      <w:marRight w:val="0"/>
      <w:marTop w:val="0"/>
      <w:marBottom w:val="0"/>
      <w:divBdr>
        <w:top w:val="none" w:sz="0" w:space="0" w:color="auto"/>
        <w:left w:val="none" w:sz="0" w:space="0" w:color="auto"/>
        <w:bottom w:val="none" w:sz="0" w:space="0" w:color="auto"/>
        <w:right w:val="none" w:sz="0" w:space="0" w:color="auto"/>
      </w:divBdr>
    </w:div>
    <w:div w:id="1810438926">
      <w:bodyDiv w:val="1"/>
      <w:marLeft w:val="0"/>
      <w:marRight w:val="0"/>
      <w:marTop w:val="0"/>
      <w:marBottom w:val="0"/>
      <w:divBdr>
        <w:top w:val="none" w:sz="0" w:space="0" w:color="auto"/>
        <w:left w:val="none" w:sz="0" w:space="0" w:color="auto"/>
        <w:bottom w:val="none" w:sz="0" w:space="0" w:color="auto"/>
        <w:right w:val="none" w:sz="0" w:space="0" w:color="auto"/>
      </w:divBdr>
    </w:div>
    <w:div w:id="1812402735">
      <w:bodyDiv w:val="1"/>
      <w:marLeft w:val="0"/>
      <w:marRight w:val="0"/>
      <w:marTop w:val="0"/>
      <w:marBottom w:val="0"/>
      <w:divBdr>
        <w:top w:val="none" w:sz="0" w:space="0" w:color="auto"/>
        <w:left w:val="none" w:sz="0" w:space="0" w:color="auto"/>
        <w:bottom w:val="none" w:sz="0" w:space="0" w:color="auto"/>
        <w:right w:val="none" w:sz="0" w:space="0" w:color="auto"/>
      </w:divBdr>
    </w:div>
    <w:div w:id="1817993271">
      <w:bodyDiv w:val="1"/>
      <w:marLeft w:val="0"/>
      <w:marRight w:val="0"/>
      <w:marTop w:val="0"/>
      <w:marBottom w:val="0"/>
      <w:divBdr>
        <w:top w:val="none" w:sz="0" w:space="0" w:color="auto"/>
        <w:left w:val="none" w:sz="0" w:space="0" w:color="auto"/>
        <w:bottom w:val="none" w:sz="0" w:space="0" w:color="auto"/>
        <w:right w:val="none" w:sz="0" w:space="0" w:color="auto"/>
      </w:divBdr>
    </w:div>
    <w:div w:id="1836722359">
      <w:bodyDiv w:val="1"/>
      <w:marLeft w:val="0"/>
      <w:marRight w:val="0"/>
      <w:marTop w:val="0"/>
      <w:marBottom w:val="0"/>
      <w:divBdr>
        <w:top w:val="none" w:sz="0" w:space="0" w:color="auto"/>
        <w:left w:val="none" w:sz="0" w:space="0" w:color="auto"/>
        <w:bottom w:val="none" w:sz="0" w:space="0" w:color="auto"/>
        <w:right w:val="none" w:sz="0" w:space="0" w:color="auto"/>
      </w:divBdr>
    </w:div>
    <w:div w:id="1868329253">
      <w:bodyDiv w:val="1"/>
      <w:marLeft w:val="0"/>
      <w:marRight w:val="0"/>
      <w:marTop w:val="0"/>
      <w:marBottom w:val="0"/>
      <w:divBdr>
        <w:top w:val="none" w:sz="0" w:space="0" w:color="auto"/>
        <w:left w:val="none" w:sz="0" w:space="0" w:color="auto"/>
        <w:bottom w:val="none" w:sz="0" w:space="0" w:color="auto"/>
        <w:right w:val="none" w:sz="0" w:space="0" w:color="auto"/>
      </w:divBdr>
    </w:div>
    <w:div w:id="1870415784">
      <w:bodyDiv w:val="1"/>
      <w:marLeft w:val="0"/>
      <w:marRight w:val="0"/>
      <w:marTop w:val="0"/>
      <w:marBottom w:val="0"/>
      <w:divBdr>
        <w:top w:val="none" w:sz="0" w:space="0" w:color="auto"/>
        <w:left w:val="none" w:sz="0" w:space="0" w:color="auto"/>
        <w:bottom w:val="none" w:sz="0" w:space="0" w:color="auto"/>
        <w:right w:val="none" w:sz="0" w:space="0" w:color="auto"/>
      </w:divBdr>
    </w:div>
    <w:div w:id="1877233662">
      <w:bodyDiv w:val="1"/>
      <w:marLeft w:val="0"/>
      <w:marRight w:val="0"/>
      <w:marTop w:val="0"/>
      <w:marBottom w:val="0"/>
      <w:divBdr>
        <w:top w:val="none" w:sz="0" w:space="0" w:color="auto"/>
        <w:left w:val="none" w:sz="0" w:space="0" w:color="auto"/>
        <w:bottom w:val="none" w:sz="0" w:space="0" w:color="auto"/>
        <w:right w:val="none" w:sz="0" w:space="0" w:color="auto"/>
      </w:divBdr>
      <w:divsChild>
        <w:div w:id="95368318">
          <w:marLeft w:val="446"/>
          <w:marRight w:val="0"/>
          <w:marTop w:val="0"/>
          <w:marBottom w:val="0"/>
          <w:divBdr>
            <w:top w:val="none" w:sz="0" w:space="0" w:color="auto"/>
            <w:left w:val="none" w:sz="0" w:space="0" w:color="auto"/>
            <w:bottom w:val="none" w:sz="0" w:space="0" w:color="auto"/>
            <w:right w:val="none" w:sz="0" w:space="0" w:color="auto"/>
          </w:divBdr>
        </w:div>
        <w:div w:id="706370399">
          <w:marLeft w:val="446"/>
          <w:marRight w:val="0"/>
          <w:marTop w:val="0"/>
          <w:marBottom w:val="0"/>
          <w:divBdr>
            <w:top w:val="none" w:sz="0" w:space="0" w:color="auto"/>
            <w:left w:val="none" w:sz="0" w:space="0" w:color="auto"/>
            <w:bottom w:val="none" w:sz="0" w:space="0" w:color="auto"/>
            <w:right w:val="none" w:sz="0" w:space="0" w:color="auto"/>
          </w:divBdr>
        </w:div>
        <w:div w:id="929045315">
          <w:marLeft w:val="446"/>
          <w:marRight w:val="0"/>
          <w:marTop w:val="0"/>
          <w:marBottom w:val="0"/>
          <w:divBdr>
            <w:top w:val="none" w:sz="0" w:space="0" w:color="auto"/>
            <w:left w:val="none" w:sz="0" w:space="0" w:color="auto"/>
            <w:bottom w:val="none" w:sz="0" w:space="0" w:color="auto"/>
            <w:right w:val="none" w:sz="0" w:space="0" w:color="auto"/>
          </w:divBdr>
        </w:div>
        <w:div w:id="962929547">
          <w:marLeft w:val="1166"/>
          <w:marRight w:val="0"/>
          <w:marTop w:val="0"/>
          <w:marBottom w:val="0"/>
          <w:divBdr>
            <w:top w:val="none" w:sz="0" w:space="0" w:color="auto"/>
            <w:left w:val="none" w:sz="0" w:space="0" w:color="auto"/>
            <w:bottom w:val="none" w:sz="0" w:space="0" w:color="auto"/>
            <w:right w:val="none" w:sz="0" w:space="0" w:color="auto"/>
          </w:divBdr>
        </w:div>
        <w:div w:id="1111123227">
          <w:marLeft w:val="1166"/>
          <w:marRight w:val="0"/>
          <w:marTop w:val="0"/>
          <w:marBottom w:val="0"/>
          <w:divBdr>
            <w:top w:val="none" w:sz="0" w:space="0" w:color="auto"/>
            <w:left w:val="none" w:sz="0" w:space="0" w:color="auto"/>
            <w:bottom w:val="none" w:sz="0" w:space="0" w:color="auto"/>
            <w:right w:val="none" w:sz="0" w:space="0" w:color="auto"/>
          </w:divBdr>
        </w:div>
      </w:divsChild>
    </w:div>
    <w:div w:id="1881552956">
      <w:bodyDiv w:val="1"/>
      <w:marLeft w:val="0"/>
      <w:marRight w:val="0"/>
      <w:marTop w:val="0"/>
      <w:marBottom w:val="0"/>
      <w:divBdr>
        <w:top w:val="none" w:sz="0" w:space="0" w:color="auto"/>
        <w:left w:val="none" w:sz="0" w:space="0" w:color="auto"/>
        <w:bottom w:val="none" w:sz="0" w:space="0" w:color="auto"/>
        <w:right w:val="none" w:sz="0" w:space="0" w:color="auto"/>
      </w:divBdr>
    </w:div>
    <w:div w:id="1886528098">
      <w:bodyDiv w:val="1"/>
      <w:marLeft w:val="0"/>
      <w:marRight w:val="0"/>
      <w:marTop w:val="0"/>
      <w:marBottom w:val="0"/>
      <w:divBdr>
        <w:top w:val="none" w:sz="0" w:space="0" w:color="auto"/>
        <w:left w:val="none" w:sz="0" w:space="0" w:color="auto"/>
        <w:bottom w:val="none" w:sz="0" w:space="0" w:color="auto"/>
        <w:right w:val="none" w:sz="0" w:space="0" w:color="auto"/>
      </w:divBdr>
    </w:div>
    <w:div w:id="1894343637">
      <w:bodyDiv w:val="1"/>
      <w:marLeft w:val="0"/>
      <w:marRight w:val="0"/>
      <w:marTop w:val="0"/>
      <w:marBottom w:val="0"/>
      <w:divBdr>
        <w:top w:val="none" w:sz="0" w:space="0" w:color="auto"/>
        <w:left w:val="none" w:sz="0" w:space="0" w:color="auto"/>
        <w:bottom w:val="none" w:sz="0" w:space="0" w:color="auto"/>
        <w:right w:val="none" w:sz="0" w:space="0" w:color="auto"/>
      </w:divBdr>
    </w:div>
    <w:div w:id="1906988773">
      <w:bodyDiv w:val="1"/>
      <w:marLeft w:val="0"/>
      <w:marRight w:val="0"/>
      <w:marTop w:val="0"/>
      <w:marBottom w:val="0"/>
      <w:divBdr>
        <w:top w:val="none" w:sz="0" w:space="0" w:color="auto"/>
        <w:left w:val="none" w:sz="0" w:space="0" w:color="auto"/>
        <w:bottom w:val="none" w:sz="0" w:space="0" w:color="auto"/>
        <w:right w:val="none" w:sz="0" w:space="0" w:color="auto"/>
      </w:divBdr>
    </w:div>
    <w:div w:id="1932007511">
      <w:bodyDiv w:val="1"/>
      <w:marLeft w:val="0"/>
      <w:marRight w:val="0"/>
      <w:marTop w:val="0"/>
      <w:marBottom w:val="0"/>
      <w:divBdr>
        <w:top w:val="none" w:sz="0" w:space="0" w:color="auto"/>
        <w:left w:val="none" w:sz="0" w:space="0" w:color="auto"/>
        <w:bottom w:val="none" w:sz="0" w:space="0" w:color="auto"/>
        <w:right w:val="none" w:sz="0" w:space="0" w:color="auto"/>
      </w:divBdr>
    </w:div>
    <w:div w:id="1935475414">
      <w:bodyDiv w:val="1"/>
      <w:marLeft w:val="0"/>
      <w:marRight w:val="0"/>
      <w:marTop w:val="0"/>
      <w:marBottom w:val="0"/>
      <w:divBdr>
        <w:top w:val="none" w:sz="0" w:space="0" w:color="auto"/>
        <w:left w:val="none" w:sz="0" w:space="0" w:color="auto"/>
        <w:bottom w:val="none" w:sz="0" w:space="0" w:color="auto"/>
        <w:right w:val="none" w:sz="0" w:space="0" w:color="auto"/>
      </w:divBdr>
    </w:div>
    <w:div w:id="1945724795">
      <w:bodyDiv w:val="1"/>
      <w:marLeft w:val="0"/>
      <w:marRight w:val="0"/>
      <w:marTop w:val="0"/>
      <w:marBottom w:val="0"/>
      <w:divBdr>
        <w:top w:val="none" w:sz="0" w:space="0" w:color="auto"/>
        <w:left w:val="none" w:sz="0" w:space="0" w:color="auto"/>
        <w:bottom w:val="none" w:sz="0" w:space="0" w:color="auto"/>
        <w:right w:val="none" w:sz="0" w:space="0" w:color="auto"/>
      </w:divBdr>
    </w:div>
    <w:div w:id="1958022532">
      <w:bodyDiv w:val="1"/>
      <w:marLeft w:val="0"/>
      <w:marRight w:val="0"/>
      <w:marTop w:val="0"/>
      <w:marBottom w:val="0"/>
      <w:divBdr>
        <w:top w:val="none" w:sz="0" w:space="0" w:color="auto"/>
        <w:left w:val="none" w:sz="0" w:space="0" w:color="auto"/>
        <w:bottom w:val="none" w:sz="0" w:space="0" w:color="auto"/>
        <w:right w:val="none" w:sz="0" w:space="0" w:color="auto"/>
      </w:divBdr>
      <w:divsChild>
        <w:div w:id="1110973205">
          <w:marLeft w:val="0"/>
          <w:marRight w:val="0"/>
          <w:marTop w:val="0"/>
          <w:marBottom w:val="0"/>
          <w:divBdr>
            <w:top w:val="none" w:sz="0" w:space="0" w:color="auto"/>
            <w:left w:val="none" w:sz="0" w:space="0" w:color="auto"/>
            <w:bottom w:val="none" w:sz="0" w:space="0" w:color="auto"/>
            <w:right w:val="none" w:sz="0" w:space="0" w:color="auto"/>
          </w:divBdr>
        </w:div>
        <w:div w:id="1463159724">
          <w:marLeft w:val="0"/>
          <w:marRight w:val="0"/>
          <w:marTop w:val="0"/>
          <w:marBottom w:val="0"/>
          <w:divBdr>
            <w:top w:val="none" w:sz="0" w:space="0" w:color="auto"/>
            <w:left w:val="none" w:sz="0" w:space="0" w:color="auto"/>
            <w:bottom w:val="none" w:sz="0" w:space="0" w:color="auto"/>
            <w:right w:val="none" w:sz="0" w:space="0" w:color="auto"/>
          </w:divBdr>
          <w:divsChild>
            <w:div w:id="1720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478">
      <w:bodyDiv w:val="1"/>
      <w:marLeft w:val="0"/>
      <w:marRight w:val="0"/>
      <w:marTop w:val="0"/>
      <w:marBottom w:val="0"/>
      <w:divBdr>
        <w:top w:val="none" w:sz="0" w:space="0" w:color="auto"/>
        <w:left w:val="none" w:sz="0" w:space="0" w:color="auto"/>
        <w:bottom w:val="none" w:sz="0" w:space="0" w:color="auto"/>
        <w:right w:val="none" w:sz="0" w:space="0" w:color="auto"/>
      </w:divBdr>
    </w:div>
    <w:div w:id="1972590038">
      <w:bodyDiv w:val="1"/>
      <w:marLeft w:val="0"/>
      <w:marRight w:val="0"/>
      <w:marTop w:val="0"/>
      <w:marBottom w:val="0"/>
      <w:divBdr>
        <w:top w:val="none" w:sz="0" w:space="0" w:color="auto"/>
        <w:left w:val="none" w:sz="0" w:space="0" w:color="auto"/>
        <w:bottom w:val="none" w:sz="0" w:space="0" w:color="auto"/>
        <w:right w:val="none" w:sz="0" w:space="0" w:color="auto"/>
      </w:divBdr>
    </w:div>
    <w:div w:id="1979072052">
      <w:bodyDiv w:val="1"/>
      <w:marLeft w:val="0"/>
      <w:marRight w:val="0"/>
      <w:marTop w:val="0"/>
      <w:marBottom w:val="0"/>
      <w:divBdr>
        <w:top w:val="none" w:sz="0" w:space="0" w:color="auto"/>
        <w:left w:val="none" w:sz="0" w:space="0" w:color="auto"/>
        <w:bottom w:val="none" w:sz="0" w:space="0" w:color="auto"/>
        <w:right w:val="none" w:sz="0" w:space="0" w:color="auto"/>
      </w:divBdr>
    </w:div>
    <w:div w:id="1988049001">
      <w:bodyDiv w:val="1"/>
      <w:marLeft w:val="0"/>
      <w:marRight w:val="0"/>
      <w:marTop w:val="0"/>
      <w:marBottom w:val="0"/>
      <w:divBdr>
        <w:top w:val="none" w:sz="0" w:space="0" w:color="auto"/>
        <w:left w:val="none" w:sz="0" w:space="0" w:color="auto"/>
        <w:bottom w:val="none" w:sz="0" w:space="0" w:color="auto"/>
        <w:right w:val="none" w:sz="0" w:space="0" w:color="auto"/>
      </w:divBdr>
    </w:div>
    <w:div w:id="1989280642">
      <w:bodyDiv w:val="1"/>
      <w:marLeft w:val="0"/>
      <w:marRight w:val="0"/>
      <w:marTop w:val="0"/>
      <w:marBottom w:val="0"/>
      <w:divBdr>
        <w:top w:val="none" w:sz="0" w:space="0" w:color="auto"/>
        <w:left w:val="none" w:sz="0" w:space="0" w:color="auto"/>
        <w:bottom w:val="none" w:sz="0" w:space="0" w:color="auto"/>
        <w:right w:val="none" w:sz="0" w:space="0" w:color="auto"/>
      </w:divBdr>
    </w:div>
    <w:div w:id="1995452173">
      <w:bodyDiv w:val="1"/>
      <w:marLeft w:val="0"/>
      <w:marRight w:val="0"/>
      <w:marTop w:val="0"/>
      <w:marBottom w:val="0"/>
      <w:divBdr>
        <w:top w:val="none" w:sz="0" w:space="0" w:color="auto"/>
        <w:left w:val="none" w:sz="0" w:space="0" w:color="auto"/>
        <w:bottom w:val="none" w:sz="0" w:space="0" w:color="auto"/>
        <w:right w:val="none" w:sz="0" w:space="0" w:color="auto"/>
      </w:divBdr>
    </w:div>
    <w:div w:id="2004550796">
      <w:bodyDiv w:val="1"/>
      <w:marLeft w:val="0"/>
      <w:marRight w:val="0"/>
      <w:marTop w:val="0"/>
      <w:marBottom w:val="0"/>
      <w:divBdr>
        <w:top w:val="none" w:sz="0" w:space="0" w:color="auto"/>
        <w:left w:val="none" w:sz="0" w:space="0" w:color="auto"/>
        <w:bottom w:val="none" w:sz="0" w:space="0" w:color="auto"/>
        <w:right w:val="none" w:sz="0" w:space="0" w:color="auto"/>
      </w:divBdr>
    </w:div>
    <w:div w:id="2054960521">
      <w:bodyDiv w:val="1"/>
      <w:marLeft w:val="0"/>
      <w:marRight w:val="0"/>
      <w:marTop w:val="0"/>
      <w:marBottom w:val="0"/>
      <w:divBdr>
        <w:top w:val="none" w:sz="0" w:space="0" w:color="auto"/>
        <w:left w:val="none" w:sz="0" w:space="0" w:color="auto"/>
        <w:bottom w:val="none" w:sz="0" w:space="0" w:color="auto"/>
        <w:right w:val="none" w:sz="0" w:space="0" w:color="auto"/>
      </w:divBdr>
    </w:div>
    <w:div w:id="2069105565">
      <w:bodyDiv w:val="1"/>
      <w:marLeft w:val="0"/>
      <w:marRight w:val="0"/>
      <w:marTop w:val="0"/>
      <w:marBottom w:val="0"/>
      <w:divBdr>
        <w:top w:val="none" w:sz="0" w:space="0" w:color="auto"/>
        <w:left w:val="none" w:sz="0" w:space="0" w:color="auto"/>
        <w:bottom w:val="none" w:sz="0" w:space="0" w:color="auto"/>
        <w:right w:val="none" w:sz="0" w:space="0" w:color="auto"/>
      </w:divBdr>
    </w:div>
    <w:div w:id="2078436300">
      <w:bodyDiv w:val="1"/>
      <w:marLeft w:val="0"/>
      <w:marRight w:val="0"/>
      <w:marTop w:val="0"/>
      <w:marBottom w:val="0"/>
      <w:divBdr>
        <w:top w:val="none" w:sz="0" w:space="0" w:color="auto"/>
        <w:left w:val="none" w:sz="0" w:space="0" w:color="auto"/>
        <w:bottom w:val="none" w:sz="0" w:space="0" w:color="auto"/>
        <w:right w:val="none" w:sz="0" w:space="0" w:color="auto"/>
      </w:divBdr>
    </w:div>
    <w:div w:id="2086223411">
      <w:bodyDiv w:val="1"/>
      <w:marLeft w:val="0"/>
      <w:marRight w:val="0"/>
      <w:marTop w:val="0"/>
      <w:marBottom w:val="0"/>
      <w:divBdr>
        <w:top w:val="none" w:sz="0" w:space="0" w:color="auto"/>
        <w:left w:val="none" w:sz="0" w:space="0" w:color="auto"/>
        <w:bottom w:val="none" w:sz="0" w:space="0" w:color="auto"/>
        <w:right w:val="none" w:sz="0" w:space="0" w:color="auto"/>
      </w:divBdr>
    </w:div>
    <w:div w:id="2089499696">
      <w:bodyDiv w:val="1"/>
      <w:marLeft w:val="0"/>
      <w:marRight w:val="0"/>
      <w:marTop w:val="0"/>
      <w:marBottom w:val="0"/>
      <w:divBdr>
        <w:top w:val="none" w:sz="0" w:space="0" w:color="auto"/>
        <w:left w:val="none" w:sz="0" w:space="0" w:color="auto"/>
        <w:bottom w:val="none" w:sz="0" w:space="0" w:color="auto"/>
        <w:right w:val="none" w:sz="0" w:space="0" w:color="auto"/>
      </w:divBdr>
    </w:div>
    <w:div w:id="2091657595">
      <w:bodyDiv w:val="1"/>
      <w:marLeft w:val="0"/>
      <w:marRight w:val="0"/>
      <w:marTop w:val="0"/>
      <w:marBottom w:val="0"/>
      <w:divBdr>
        <w:top w:val="none" w:sz="0" w:space="0" w:color="auto"/>
        <w:left w:val="none" w:sz="0" w:space="0" w:color="auto"/>
        <w:bottom w:val="none" w:sz="0" w:space="0" w:color="auto"/>
        <w:right w:val="none" w:sz="0" w:space="0" w:color="auto"/>
      </w:divBdr>
    </w:div>
    <w:div w:id="2092655203">
      <w:bodyDiv w:val="1"/>
      <w:marLeft w:val="0"/>
      <w:marRight w:val="0"/>
      <w:marTop w:val="0"/>
      <w:marBottom w:val="0"/>
      <w:divBdr>
        <w:top w:val="none" w:sz="0" w:space="0" w:color="auto"/>
        <w:left w:val="none" w:sz="0" w:space="0" w:color="auto"/>
        <w:bottom w:val="none" w:sz="0" w:space="0" w:color="auto"/>
        <w:right w:val="none" w:sz="0" w:space="0" w:color="auto"/>
      </w:divBdr>
    </w:div>
    <w:div w:id="2101022306">
      <w:bodyDiv w:val="1"/>
      <w:marLeft w:val="0"/>
      <w:marRight w:val="0"/>
      <w:marTop w:val="0"/>
      <w:marBottom w:val="0"/>
      <w:divBdr>
        <w:top w:val="none" w:sz="0" w:space="0" w:color="auto"/>
        <w:left w:val="none" w:sz="0" w:space="0" w:color="auto"/>
        <w:bottom w:val="none" w:sz="0" w:space="0" w:color="auto"/>
        <w:right w:val="none" w:sz="0" w:space="0" w:color="auto"/>
      </w:divBdr>
    </w:div>
    <w:div w:id="2113745315">
      <w:bodyDiv w:val="1"/>
      <w:marLeft w:val="0"/>
      <w:marRight w:val="0"/>
      <w:marTop w:val="0"/>
      <w:marBottom w:val="0"/>
      <w:divBdr>
        <w:top w:val="none" w:sz="0" w:space="0" w:color="auto"/>
        <w:left w:val="none" w:sz="0" w:space="0" w:color="auto"/>
        <w:bottom w:val="none" w:sz="0" w:space="0" w:color="auto"/>
        <w:right w:val="none" w:sz="0" w:space="0" w:color="auto"/>
      </w:divBdr>
    </w:div>
    <w:div w:id="2114202378">
      <w:bodyDiv w:val="1"/>
      <w:marLeft w:val="0"/>
      <w:marRight w:val="0"/>
      <w:marTop w:val="0"/>
      <w:marBottom w:val="0"/>
      <w:divBdr>
        <w:top w:val="none" w:sz="0" w:space="0" w:color="auto"/>
        <w:left w:val="none" w:sz="0" w:space="0" w:color="auto"/>
        <w:bottom w:val="none" w:sz="0" w:space="0" w:color="auto"/>
        <w:right w:val="none" w:sz="0" w:space="0" w:color="auto"/>
      </w:divBdr>
    </w:div>
    <w:div w:id="2127889891">
      <w:bodyDiv w:val="1"/>
      <w:marLeft w:val="0"/>
      <w:marRight w:val="0"/>
      <w:marTop w:val="0"/>
      <w:marBottom w:val="0"/>
      <w:divBdr>
        <w:top w:val="none" w:sz="0" w:space="0" w:color="auto"/>
        <w:left w:val="none" w:sz="0" w:space="0" w:color="auto"/>
        <w:bottom w:val="none" w:sz="0" w:space="0" w:color="auto"/>
        <w:right w:val="none" w:sz="0" w:space="0" w:color="auto"/>
      </w:divBdr>
    </w:div>
    <w:div w:id="2129271085">
      <w:bodyDiv w:val="1"/>
      <w:marLeft w:val="0"/>
      <w:marRight w:val="0"/>
      <w:marTop w:val="0"/>
      <w:marBottom w:val="0"/>
      <w:divBdr>
        <w:top w:val="none" w:sz="0" w:space="0" w:color="auto"/>
        <w:left w:val="none" w:sz="0" w:space="0" w:color="auto"/>
        <w:bottom w:val="none" w:sz="0" w:space="0" w:color="auto"/>
        <w:right w:val="none" w:sz="0" w:space="0" w:color="auto"/>
      </w:divBdr>
    </w:div>
    <w:div w:id="21308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pyright@health.gov.au"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10CF0.2ACF2D4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www.aph.gov.au/Parliamentary_Business/Committees/House/Health_Aged_Care_and_Sport/Newdrugs/Report/section?id=committees%2freportrep%2f024755%2f77593" TargetMode="External"/><Relationship Id="rId21" Type="http://schemas.openxmlformats.org/officeDocument/2006/relationships/hyperlink" Target="https://doi.org/10.1002/ajh.25418" TargetMode="External"/><Relationship Id="rId34" Type="http://schemas.openxmlformats.org/officeDocument/2006/relationships/hyperlink" Target="https://www.tga.gov.au/provisional-approval-pathway-prescription-medicines" TargetMode="External"/><Relationship Id="rId42" Type="http://schemas.openxmlformats.org/officeDocument/2006/relationships/hyperlink" Target="https://doi.org/10.15252/emmm.202114291" TargetMode="External"/><Relationship Id="rId47" Type="http://schemas.openxmlformats.org/officeDocument/2006/relationships/hyperlink" Target="http://www.mdpi.com/1424-8247/14/7/634" TargetMode="External"/><Relationship Id="rId50" Type="http://schemas.openxmlformats.org/officeDocument/2006/relationships/hyperlink" Target="https://journals.asm.org/doi/10.1128/aac.02071-21" TargetMode="External"/><Relationship Id="rId55" Type="http://schemas.openxmlformats.org/officeDocument/2006/relationships/hyperlink" Target="https://link.springer.com/article/10.1186/s43556-022-00098-9" TargetMode="External"/><Relationship Id="rId63" Type="http://schemas.openxmlformats.org/officeDocument/2006/relationships/hyperlink" Target="https://www.cdc.gov/flu/prevent/nasalspray.htm" TargetMode="External"/><Relationship Id="rId68" Type="http://schemas.openxmlformats.org/officeDocument/2006/relationships/hyperlink" Target="http://www.nature.com/articles/nrg.2017.108" TargetMode="External"/><Relationship Id="rId76" Type="http://schemas.openxmlformats.org/officeDocument/2006/relationships/hyperlink" Target="http://www.tga.gov.au/regulation-ivds-laboratory-specific-information" TargetMode="External"/><Relationship Id="rId84" Type="http://schemas.openxmlformats.org/officeDocument/2006/relationships/hyperlink" Target="http://www.ntno.org/v06p0103.htm" TargetMode="External"/><Relationship Id="rId89" Type="http://schemas.openxmlformats.org/officeDocument/2006/relationships/hyperlink" Target="http://www.pbs.gov.au/pbs/industry/listing/elements/pbac-meetings/psd/2017-11/radium-psd-november-2017" TargetMode="External"/><Relationship Id="rId97" Type="http://schemas.openxmlformats.org/officeDocument/2006/relationships/hyperlink" Target="https://www.health.gov.au/topics/genetics-and-genomics" TargetMode="External"/><Relationship Id="rId7" Type="http://schemas.openxmlformats.org/officeDocument/2006/relationships/hyperlink" Target="http://www.ema.europa.eu/en/human-regulatory/overview/advanced-therapy-medicinal-products-overview" TargetMode="External"/><Relationship Id="rId71" Type="http://schemas.openxmlformats.org/officeDocument/2006/relationships/hyperlink" Target="https://www.fulgentgenetics.com/Sickle-Cell-Disease" TargetMode="External"/><Relationship Id="rId92" Type="http://schemas.openxmlformats.org/officeDocument/2006/relationships/hyperlink" Target="https://www.aihw.gov.au/reports/australias-health/digital-health" TargetMode="External"/><Relationship Id="rId2" Type="http://schemas.openxmlformats.org/officeDocument/2006/relationships/hyperlink" Target="http://www.sciencedirect.com/science/article/pii/S1098301521031879?via%3Dihub" TargetMode="External"/><Relationship Id="rId16" Type="http://schemas.openxmlformats.org/officeDocument/2006/relationships/hyperlink" Target="https://www.tga.gov.au/resources/resource/guidance/orphan-drug-designation" TargetMode="External"/><Relationship Id="rId29" Type="http://schemas.openxmlformats.org/officeDocument/2006/relationships/hyperlink" Target="http://www.ncbi.nlm.nih.gov/pmc/articles/PMC9406873/" TargetMode="External"/><Relationship Id="rId11" Type="http://schemas.openxmlformats.org/officeDocument/2006/relationships/hyperlink" Target="http://invivo.pharmaintelligence.informa.com/IV146781/The-Cell-And-Gene-Therapy-Sector-In-2023-A-Wave-Is-Coming--Are-We-Ready" TargetMode="External"/><Relationship Id="rId24" Type="http://schemas.openxmlformats.org/officeDocument/2006/relationships/hyperlink" Target="http://www.msac.gov.au/internet/msac/publishing.nsf/Content/1519.1-public" TargetMode="External"/><Relationship Id="rId32" Type="http://schemas.openxmlformats.org/officeDocument/2006/relationships/hyperlink" Target="https://www.io.nihr.ac.uk/wp-content/uploads/2021/12/Horizon-Scan-for-Histology-Independent-Technologies_June-2021_AAC_V1.0.pdf" TargetMode="External"/><Relationship Id="rId37" Type="http://schemas.openxmlformats.org/officeDocument/2006/relationships/hyperlink" Target="http://www.pbs.gov.au/info/industry/listing/elements/pbac-meetings/agenda/august-2018-pbac-special-meeting" TargetMode="External"/><Relationship Id="rId40" Type="http://schemas.openxmlformats.org/officeDocument/2006/relationships/hyperlink" Target="http://www.nature.com/articles/d41586-019-03495-3" TargetMode="External"/><Relationship Id="rId45" Type="http://schemas.openxmlformats.org/officeDocument/2006/relationships/hyperlink" Target="https://www.who.int/teams/immunization-vaccines-and-biologicals/product-and-delivery-research/monoclonal-antibodies-(mabs)-for-infectious-diseases" TargetMode="External"/><Relationship Id="rId53" Type="http://schemas.openxmlformats.org/officeDocument/2006/relationships/hyperlink" Target="http://www.ema.europa.eu/en/documents/report/faecal-microbiota-transplantation-eu-horizon-scanning-report_en.pdf" TargetMode="External"/><Relationship Id="rId58" Type="http://schemas.openxmlformats.org/officeDocument/2006/relationships/hyperlink" Target="https://www.cdc.gov/flu/prevent/cell-based.htm" TargetMode="External"/><Relationship Id="rId66" Type="http://schemas.openxmlformats.org/officeDocument/2006/relationships/hyperlink" Target="https://acola.org/hs2-precision-medicine-australia/" TargetMode="External"/><Relationship Id="rId74" Type="http://schemas.openxmlformats.org/officeDocument/2006/relationships/hyperlink" Target="https://www.fulgentgenetics.com/epilepsy-comp" TargetMode="External"/><Relationship Id="rId79" Type="http://schemas.openxmlformats.org/officeDocument/2006/relationships/hyperlink" Target="http://www.msac.gov.au/internet/msac/publishing.nsf/Content/1408.1-public" TargetMode="External"/><Relationship Id="rId87" Type="http://schemas.openxmlformats.org/officeDocument/2006/relationships/hyperlink" Target="http://www.io.nihr.ac.uk/wp-content/uploads/2022/01/NIHR-IO-Radioligand-Rapid-Scan-May-2021.pdf" TargetMode="External"/><Relationship Id="rId5" Type="http://schemas.openxmlformats.org/officeDocument/2006/relationships/hyperlink" Target="http://www.msac.gov.au/internet/msac/publishing.nsf/Content/1519.1-public" TargetMode="External"/><Relationship Id="rId61" Type="http://schemas.openxmlformats.org/officeDocument/2006/relationships/hyperlink" Target="https://www.allergy.org.au/hp//papers/vaccination-of-the-egg-allergic-individual" TargetMode="External"/><Relationship Id="rId82" Type="http://schemas.openxmlformats.org/officeDocument/2006/relationships/hyperlink" Target="http://www.pbs.gov.au/industry/listing/elements/pbac-meetings/psd/2021-05/files/encorafenib-psd-may-2021.pdf" TargetMode="External"/><Relationship Id="rId90" Type="http://schemas.openxmlformats.org/officeDocument/2006/relationships/hyperlink" Target="http://www.ncbi.nlm.nih.gov/pmc/articles/PMC5126695/" TargetMode="External"/><Relationship Id="rId95" Type="http://schemas.openxmlformats.org/officeDocument/2006/relationships/hyperlink" Target="https://hta.joyn-us.app/program" TargetMode="External"/><Relationship Id="rId19" Type="http://schemas.openxmlformats.org/officeDocument/2006/relationships/hyperlink" Target="http://www.fda.gov/vaccines-blood-biologics/cellular-gene-therapy-products" TargetMode="External"/><Relationship Id="rId14" Type="http://schemas.openxmlformats.org/officeDocument/2006/relationships/hyperlink" Target="http://www.msac.gov.au/internet/msac/publishing.nsf/Content/1728-public" TargetMode="External"/><Relationship Id="rId22" Type="http://schemas.openxmlformats.org/officeDocument/2006/relationships/hyperlink" Target="http://www.frontiersin.org/articles/10.3389/fmed.2021.713401/full" TargetMode="External"/><Relationship Id="rId27" Type="http://schemas.openxmlformats.org/officeDocument/2006/relationships/hyperlink" Target="https://doi.org/10.1136/jitc-2020-002056" TargetMode="External"/><Relationship Id="rId30" Type="http://schemas.openxmlformats.org/officeDocument/2006/relationships/hyperlink" Target="http://www.pbs.gov.au" TargetMode="External"/><Relationship Id="rId35" Type="http://schemas.openxmlformats.org/officeDocument/2006/relationships/hyperlink" Target="https://www.io.nihr.ac.uk/wp-content/uploads/2021/12/Horizon-Scan-for-Histology-Independent-Technologies_June-2021_AAC_V1.0.pdf" TargetMode="External"/><Relationship Id="rId43" Type="http://schemas.openxmlformats.org/officeDocument/2006/relationships/hyperlink" Target="https://doi.org/10.1038/d41573-022-00040-2" TargetMode="External"/><Relationship Id="rId48" Type="http://schemas.openxmlformats.org/officeDocument/2006/relationships/hyperlink" Target="https://apps.who.int/iris/rest/bitstreams/1413551/retrieve" TargetMode="External"/><Relationship Id="rId56" Type="http://schemas.openxmlformats.org/officeDocument/2006/relationships/hyperlink" Target="https://pubmed.ncbi.nlm.nih.gov/16609055/" TargetMode="External"/><Relationship Id="rId64" Type="http://schemas.openxmlformats.org/officeDocument/2006/relationships/hyperlink" Target="https://www.vaxxas.com/product-applications/" TargetMode="External"/><Relationship Id="rId69" Type="http://schemas.openxmlformats.org/officeDocument/2006/relationships/hyperlink" Target="http://www.australiangenomics.org.au/about-genomics/" TargetMode="External"/><Relationship Id="rId77" Type="http://schemas.openxmlformats.org/officeDocument/2006/relationships/hyperlink" Target="https://pubmed.ncbi.nlm.nih.gov/33714919/" TargetMode="External"/><Relationship Id="rId8" Type="http://schemas.openxmlformats.org/officeDocument/2006/relationships/hyperlink" Target="http://www.tga.gov.au/advanced-therapies" TargetMode="External"/><Relationship Id="rId51" Type="http://schemas.openxmlformats.org/officeDocument/2006/relationships/hyperlink" Target="http://www.phageaustralia.org" TargetMode="External"/><Relationship Id="rId72" Type="http://schemas.openxmlformats.org/officeDocument/2006/relationships/hyperlink" Target="https://www.ncbi.nlm.nih.gov/pmc/articles/PMC6153053/" TargetMode="External"/><Relationship Id="rId80" Type="http://schemas.openxmlformats.org/officeDocument/2006/relationships/hyperlink" Target="http://www.australiangenomics.org.au/wp-content/uploads/2022/11/Polygenic-Score-Incubator-Project-Report_30Aug2022.pdf" TargetMode="External"/><Relationship Id="rId85" Type="http://schemas.openxmlformats.org/officeDocument/2006/relationships/hyperlink" Target="http://www.nature.com/articles/s41571-022-00652-y" TargetMode="External"/><Relationship Id="rId93" Type="http://schemas.openxmlformats.org/officeDocument/2006/relationships/hyperlink" Target="https://www.tga.gov.au/advanced-therapies" TargetMode="External"/><Relationship Id="rId98" Type="http://schemas.openxmlformats.org/officeDocument/2006/relationships/hyperlink" Target="http://www.msac.gov.au/internet/msac/publishing.nsf/Content/E0D4E4EDDE91EAC8CA2586E0007AFC75/$File/MSAC%20Guidelines-complete-16-FINAL(18May21).pdf" TargetMode="External"/><Relationship Id="rId3" Type="http://schemas.openxmlformats.org/officeDocument/2006/relationships/hyperlink" Target="https://pubmed.ncbi.nlm.nih.gov/36005193/" TargetMode="External"/><Relationship Id="rId12" Type="http://schemas.openxmlformats.org/officeDocument/2006/relationships/hyperlink" Target="http://www.pbs.gov.au/info/industry/listing/elements/pbac-meetings/psd/2021-09/onasemnogene-abeparvovec-solution-for-injection-customise" TargetMode="External"/><Relationship Id="rId17" Type="http://schemas.openxmlformats.org/officeDocument/2006/relationships/hyperlink" Target="https://asgct.org/publications/landscape-report" TargetMode="External"/><Relationship Id="rId25" Type="http://schemas.openxmlformats.org/officeDocument/2006/relationships/hyperlink" Target="http://www.io.nihr.ac.uk/wp-content/uploads/2022/01/Horizon-Scan-for-ATMPs_October2021-v2.0.pdf" TargetMode="External"/><Relationship Id="rId33" Type="http://schemas.openxmlformats.org/officeDocument/2006/relationships/hyperlink" Target="http://www.fda.gov/media/162346/download" TargetMode="External"/><Relationship Id="rId38" Type="http://schemas.openxmlformats.org/officeDocument/2006/relationships/hyperlink" Target="https://pubmed.ncbi.nlm.nih.gov/33558752/" TargetMode="External"/><Relationship Id="rId46" Type="http://schemas.openxmlformats.org/officeDocument/2006/relationships/hyperlink" Target="http://www.pcori.org/sites/default/files/PCORI-Health-Care-Horizon-Scanning-System-High-Potential-Disruption-Report-May-2022.pdf" TargetMode="External"/><Relationship Id="rId59" Type="http://schemas.openxmlformats.org/officeDocument/2006/relationships/hyperlink" Target="https://jost.syr.edu/cell-based-influenza-vaccines-as-an-alternative-to-egg-based-vaccines/" TargetMode="External"/><Relationship Id="rId67" Type="http://schemas.openxmlformats.org/officeDocument/2006/relationships/hyperlink" Target="http://www.fda.gov/medical-devices/in-vitro-diagnostics/precision-medicine" TargetMode="External"/><Relationship Id="rId20" Type="http://schemas.openxmlformats.org/officeDocument/2006/relationships/hyperlink" Target="http://healinggenes.org/gene-modified-cell-therapy/" TargetMode="External"/><Relationship Id="rId41" Type="http://schemas.openxmlformats.org/officeDocument/2006/relationships/hyperlink" Target="https://ehoonline.biomedcentral.com/articles/10.1186/s40164-021-00250-1" TargetMode="External"/><Relationship Id="rId54" Type="http://schemas.openxmlformats.org/officeDocument/2006/relationships/hyperlink" Target="http://www.tga.gov.au/products/biologicals-blood-and-tissues-and-advanced-therapies/biologicals/faecal-microbiota-transplant-products-regulation" TargetMode="External"/><Relationship Id="rId62" Type="http://schemas.openxmlformats.org/officeDocument/2006/relationships/hyperlink" Target="https://immunisationhandbook.health.gov.au/vaccine-preventable-diseases/influenza-flu" TargetMode="External"/><Relationship Id="rId70" Type="http://schemas.openxmlformats.org/officeDocument/2006/relationships/hyperlink" Target="http://www.garvan.org.au/research/kinghorn-centre-for-clinical-genomics/learn-about-genomics/for-gp/genetics-refresher-1/genomics-and-genomic-testing" TargetMode="External"/><Relationship Id="rId75" Type="http://schemas.openxmlformats.org/officeDocument/2006/relationships/hyperlink" Target="http://ocrahope.org/news/germline-vs-somatic-testing-genomic-vs-genetic-testing" TargetMode="External"/><Relationship Id="rId83" Type="http://schemas.openxmlformats.org/officeDocument/2006/relationships/hyperlink" Target="http://www.msac.gov.au/internet/msac/publishing.nsf/Content/1617-public" TargetMode="External"/><Relationship Id="rId88" Type="http://schemas.openxmlformats.org/officeDocument/2006/relationships/hyperlink" Target="http://www.msac.gov.au/internet/msac/publishing.nsf/Content/9FDFA4B8321267F0CA25801000123BA1/$File/1268%20-%20MSACPSD%20-%20Radium%20223%20(D14-1275528).PDF" TargetMode="External"/><Relationship Id="rId91" Type="http://schemas.openxmlformats.org/officeDocument/2006/relationships/hyperlink" Target="http://www.ferronova.com.au/our-technology/" TargetMode="External"/><Relationship Id="rId96" Type="http://schemas.openxmlformats.org/officeDocument/2006/relationships/hyperlink" Target="https://www.fda.gov/patients/fast-track-breakthrough-therapy-accelerated-approval-priority-review/fast-track" TargetMode="External"/><Relationship Id="rId1" Type="http://schemas.openxmlformats.org/officeDocument/2006/relationships/hyperlink" Target="http://www.aph.gov.au/Parliamentary_Business/Committees/House/Health_Aged_Care_and_Sport/Newdrugs/Report/section?id=committees%2freportrep%2f024755%2f77593" TargetMode="External"/><Relationship Id="rId6" Type="http://schemas.openxmlformats.org/officeDocument/2006/relationships/hyperlink" Target="http://www.msac.gov.au/internet/msac/publishing.nsf/Content/1623-public" TargetMode="External"/><Relationship Id="rId15" Type="http://schemas.openxmlformats.org/officeDocument/2006/relationships/hyperlink" Target="http://www.ncbi.nlm.nih.gov/pmc/articles/PMC8876811" TargetMode="External"/><Relationship Id="rId23" Type="http://schemas.openxmlformats.org/officeDocument/2006/relationships/hyperlink" Target="https://www.ema.europa.eu/en/human-regulatory-overview/marketing-authorisation/conditional-marketing-authorisation" TargetMode="External"/><Relationship Id="rId28" Type="http://schemas.openxmlformats.org/officeDocument/2006/relationships/hyperlink" Target="https://pubmed.ncbi.nlm.nih.gov/35667787/" TargetMode="External"/><Relationship Id="rId36" Type="http://schemas.openxmlformats.org/officeDocument/2006/relationships/hyperlink" Target="http://www.cancer.gov/publications/dictionaries/cancer-terms/def/basket-trial" TargetMode="External"/><Relationship Id="rId49" Type="http://schemas.openxmlformats.org/officeDocument/2006/relationships/hyperlink" Target="http://www.sciencedirect.com/science/article/pii/S0092867422014611?via%3Dihub" TargetMode="External"/><Relationship Id="rId57" Type="http://schemas.openxmlformats.org/officeDocument/2006/relationships/hyperlink" Target="https://www.cdc.gov/flu/prevent/qa_flublok-vaccine.htm" TargetMode="External"/><Relationship Id="rId10" Type="http://schemas.openxmlformats.org/officeDocument/2006/relationships/hyperlink" Target="http://www.ema.europa.eu/en/glossary/orphan-medicine" TargetMode="External"/><Relationship Id="rId31" Type="http://schemas.openxmlformats.org/officeDocument/2006/relationships/hyperlink" Target="http://www.sciencedirect.com/science/article/abs/pii/S0959804922002799?via%3Dihub" TargetMode="External"/><Relationship Id="rId44" Type="http://schemas.openxmlformats.org/officeDocument/2006/relationships/hyperlink" Target="https://doi.org/10.1186/s10020-018-0051-4" TargetMode="External"/><Relationship Id="rId52" Type="http://schemas.openxmlformats.org/officeDocument/2006/relationships/hyperlink" Target="http://www.nature.com/articles/s41579-021-00667-9" TargetMode="External"/><Relationship Id="rId60" Type="http://schemas.openxmlformats.org/officeDocument/2006/relationships/hyperlink" Target="https://www.ncbi.nlm.nih.gov/pmc/articles/PMC7036483/" TargetMode="External"/><Relationship Id="rId65" Type="http://schemas.openxmlformats.org/officeDocument/2006/relationships/hyperlink" Target="https://blogs.cdc.gov/genomics/2016/04/21/shift/" TargetMode="External"/><Relationship Id="rId73" Type="http://schemas.openxmlformats.org/officeDocument/2006/relationships/hyperlink" Target="https://www.epilepsy.com/causes/genetic/testing" TargetMode="External"/><Relationship Id="rId78" Type="http://schemas.openxmlformats.org/officeDocument/2006/relationships/hyperlink" Target="http://www.msac.gov.au/internet/msac/publishing.nsf/Content/E0D4E4EDDE91EAC8CA2586E0007AFC75/$File/MSAC%20Guidelines-complete-16-FINAL(18May21).pdf" TargetMode="External"/><Relationship Id="rId81" Type="http://schemas.openxmlformats.org/officeDocument/2006/relationships/hyperlink" Target="http://www.io.nihr.ac.uk/wp-content/uploads/2022/01/NIHR-IO-Polygenic-Risk-Scores-Rapid-Scan-March-2021.pdf" TargetMode="External"/><Relationship Id="rId86" Type="http://schemas.openxmlformats.org/officeDocument/2006/relationships/hyperlink" Target="http://www.tga.gov.au/resources/auspmd/lutetium-177lu-chloride" TargetMode="External"/><Relationship Id="rId94" Type="http://schemas.openxmlformats.org/officeDocument/2006/relationships/hyperlink" Target="https://www.pbs.gov.au/industry/useful-resources/glossary/Glossary-of-Terms_Final-15Apr-13.pdf" TargetMode="External"/><Relationship Id="rId99" Type="http://schemas.openxmlformats.org/officeDocument/2006/relationships/hyperlink" Target="https://federalfinancialrelations.gov.au/sites/federalfinancialrelations.gov.au/files/2021-07/NHRA_2020-25_Addendum_consolidated.pdf" TargetMode="External"/><Relationship Id="rId4" Type="http://schemas.openxmlformats.org/officeDocument/2006/relationships/hyperlink" Target="http://www.pbs.gov.au/info/industry/listing/elements/pbac-meetings/psd/2021-09/onasemnogene-abeparvovec-solution-for-injection-customise" TargetMode="External"/><Relationship Id="rId9" Type="http://schemas.openxmlformats.org/officeDocument/2006/relationships/hyperlink" Target="https://www.fda.gov/vaccines-blood-biologics/cellular-gene-therapy-products/what-gene-therapy" TargetMode="External"/><Relationship Id="rId13" Type="http://schemas.openxmlformats.org/officeDocument/2006/relationships/hyperlink" Target="http://www.msac.gov.au/internet/msac/publishing.nsf/Content/1623-public" TargetMode="External"/><Relationship Id="rId18" Type="http://schemas.openxmlformats.org/officeDocument/2006/relationships/hyperlink" Target="http://www.pbs.gov.au/info/industry/listing/elements/pbac-meetings/psd/2018-03/Nusinersen-psd-march-2018" TargetMode="External"/><Relationship Id="rId39" Type="http://schemas.openxmlformats.org/officeDocument/2006/relationships/hyperlink" Target="https://www.nature.com/articles/s41392-022-0094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uckal\Downloads\ctg-studies.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uckal\Downloads\ctg-studies%20(1).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uckal\Downloads\ctg-studies%20(2).csv"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'ctg-studies'!$A$2</c:f>
              <c:strCache>
                <c:ptCount val="1"/>
                <c:pt idx="0">
                  <c:v>Number</c:v>
                </c:pt>
              </c:strCache>
            </c:strRef>
          </c:tx>
          <c:spPr>
            <a:solidFill>
              <a:schemeClr val="accent1"/>
            </a:solidFill>
            <a:ln>
              <a:noFill/>
            </a:ln>
            <a:effectLst/>
          </c:spPr>
          <c:invertIfNegative val="0"/>
          <c:cat>
            <c:numRef>
              <c:f>'ctg-studies'!$B$1:$P$1</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'ctg-studies'!$B$2:$P$2</c:f>
              <c:numCache>
                <c:formatCode>0</c:formatCode>
                <c:ptCount val="15"/>
                <c:pt idx="0">
                  <c:v>6</c:v>
                </c:pt>
                <c:pt idx="1">
                  <c:v>4</c:v>
                </c:pt>
                <c:pt idx="2">
                  <c:v>5</c:v>
                </c:pt>
                <c:pt idx="3">
                  <c:v>2</c:v>
                </c:pt>
                <c:pt idx="4">
                  <c:v>11</c:v>
                </c:pt>
                <c:pt idx="5">
                  <c:v>10</c:v>
                </c:pt>
                <c:pt idx="6">
                  <c:v>12</c:v>
                </c:pt>
                <c:pt idx="7">
                  <c:v>22</c:v>
                </c:pt>
                <c:pt idx="8">
                  <c:v>30</c:v>
                </c:pt>
                <c:pt idx="9">
                  <c:v>40</c:v>
                </c:pt>
                <c:pt idx="10">
                  <c:v>45</c:v>
                </c:pt>
                <c:pt idx="11">
                  <c:v>62</c:v>
                </c:pt>
                <c:pt idx="12">
                  <c:v>71</c:v>
                </c:pt>
                <c:pt idx="13">
                  <c:v>86</c:v>
                </c:pt>
                <c:pt idx="14">
                  <c:v>8</c:v>
                </c:pt>
              </c:numCache>
            </c:numRef>
          </c:val>
          <c:extLst>
            <c:ext xmlns:c16="http://schemas.microsoft.com/office/drawing/2014/chart" uri="{C3380CC4-5D6E-409C-BE32-E72D297353CC}">
              <c16:uniqueId val="{00000000-0875-40F4-B0F1-F3C3A036BF0F}"/>
            </c:ext>
          </c:extLst>
        </c:ser>
        <c:dLbls>
          <c:showLegendKey val="0"/>
          <c:showVal val="0"/>
          <c:showCatName val="0"/>
          <c:showSerName val="0"/>
          <c:showPercent val="0"/>
          <c:showBubbleSize val="0"/>
        </c:dLbls>
        <c:gapWidth val="219"/>
        <c:overlap val="-27"/>
        <c:axId val="870850832"/>
        <c:axId val="870852632"/>
      </c:barChart>
      <c:catAx>
        <c:axId val="8708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52632"/>
        <c:crosses val="autoZero"/>
        <c:auto val="1"/>
        <c:lblAlgn val="ctr"/>
        <c:lblOffset val="100"/>
        <c:noMultiLvlLbl val="0"/>
      </c:catAx>
      <c:valAx>
        <c:axId val="870852632"/>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850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'ctg-studies (1)'!$A$2</c:f>
              <c:strCache>
                <c:ptCount val="1"/>
                <c:pt idx="0">
                  <c:v>Number</c:v>
                </c:pt>
              </c:strCache>
            </c:strRef>
          </c:tx>
          <c:spPr>
            <a:solidFill>
              <a:schemeClr val="accent1"/>
            </a:solidFill>
            <a:ln>
              <a:noFill/>
            </a:ln>
            <a:effectLst/>
          </c:spPr>
          <c:invertIfNegative val="0"/>
          <c:cat>
            <c:numRef>
              <c:f>'ctg-studies (1)'!$B$1:$AA$1</c:f>
              <c:numCache>
                <c:formatCode>General</c:formatCode>
                <c:ptCount val="26"/>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pt idx="25">
                  <c:v>2024</c:v>
                </c:pt>
              </c:numCache>
            </c:numRef>
          </c:cat>
          <c:val>
            <c:numRef>
              <c:f>'ctg-studies (1)'!$B$2:$AA$2</c:f>
              <c:numCache>
                <c:formatCode>General</c:formatCode>
                <c:ptCount val="26"/>
                <c:pt idx="0">
                  <c:v>1</c:v>
                </c:pt>
                <c:pt idx="1">
                  <c:v>0</c:v>
                </c:pt>
                <c:pt idx="2">
                  <c:v>1</c:v>
                </c:pt>
                <c:pt idx="3">
                  <c:v>1</c:v>
                </c:pt>
                <c:pt idx="4">
                  <c:v>0</c:v>
                </c:pt>
                <c:pt idx="5">
                  <c:v>1</c:v>
                </c:pt>
                <c:pt idx="6">
                  <c:v>0</c:v>
                </c:pt>
                <c:pt idx="7">
                  <c:v>0</c:v>
                </c:pt>
                <c:pt idx="8">
                  <c:v>0</c:v>
                </c:pt>
                <c:pt idx="9">
                  <c:v>3</c:v>
                </c:pt>
                <c:pt idx="10">
                  <c:v>2</c:v>
                </c:pt>
                <c:pt idx="11">
                  <c:v>0</c:v>
                </c:pt>
                <c:pt idx="12">
                  <c:v>0</c:v>
                </c:pt>
                <c:pt idx="13">
                  <c:v>1</c:v>
                </c:pt>
                <c:pt idx="14">
                  <c:v>1</c:v>
                </c:pt>
                <c:pt idx="15">
                  <c:v>1</c:v>
                </c:pt>
                <c:pt idx="16">
                  <c:v>0</c:v>
                </c:pt>
                <c:pt idx="17">
                  <c:v>4</c:v>
                </c:pt>
                <c:pt idx="18">
                  <c:v>6</c:v>
                </c:pt>
                <c:pt idx="19">
                  <c:v>2</c:v>
                </c:pt>
                <c:pt idx="20">
                  <c:v>3</c:v>
                </c:pt>
                <c:pt idx="21">
                  <c:v>10</c:v>
                </c:pt>
                <c:pt idx="22">
                  <c:v>9</c:v>
                </c:pt>
                <c:pt idx="23">
                  <c:v>19</c:v>
                </c:pt>
                <c:pt idx="24">
                  <c:v>7</c:v>
                </c:pt>
                <c:pt idx="25">
                  <c:v>0</c:v>
                </c:pt>
              </c:numCache>
            </c:numRef>
          </c:val>
          <c:extLst>
            <c:ext xmlns:c16="http://schemas.microsoft.com/office/drawing/2014/chart" uri="{C3380CC4-5D6E-409C-BE32-E72D297353CC}">
              <c16:uniqueId val="{00000000-7A77-441B-B21F-75ADA689A900}"/>
            </c:ext>
          </c:extLst>
        </c:ser>
        <c:dLbls>
          <c:showLegendKey val="0"/>
          <c:showVal val="0"/>
          <c:showCatName val="0"/>
          <c:showSerName val="0"/>
          <c:showPercent val="0"/>
          <c:showBubbleSize val="0"/>
        </c:dLbls>
        <c:gapWidth val="219"/>
        <c:overlap val="-27"/>
        <c:axId val="870427704"/>
        <c:axId val="870428784"/>
      </c:barChart>
      <c:catAx>
        <c:axId val="87042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428784"/>
        <c:crosses val="autoZero"/>
        <c:auto val="1"/>
        <c:lblAlgn val="ctr"/>
        <c:lblOffset val="100"/>
        <c:noMultiLvlLbl val="0"/>
      </c:catAx>
      <c:valAx>
        <c:axId val="870428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427704"/>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'ctg-studies (2)'!$A$2</c:f>
              <c:strCache>
                <c:ptCount val="1"/>
                <c:pt idx="0">
                  <c:v>Number</c:v>
                </c:pt>
              </c:strCache>
            </c:strRef>
          </c:tx>
          <c:spPr>
            <a:solidFill>
              <a:schemeClr val="accent1"/>
            </a:solidFill>
            <a:ln>
              <a:noFill/>
            </a:ln>
            <a:effectLst/>
          </c:spPr>
          <c:invertIfNegative val="0"/>
          <c:cat>
            <c:numRef>
              <c:f>'ctg-studies (2)'!$B$1:$P$1</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'ctg-studies (2)'!$B$2:$P$2</c:f>
              <c:numCache>
                <c:formatCode>General</c:formatCode>
                <c:ptCount val="15"/>
                <c:pt idx="0">
                  <c:v>1</c:v>
                </c:pt>
                <c:pt idx="1">
                  <c:v>2</c:v>
                </c:pt>
                <c:pt idx="2">
                  <c:v>5</c:v>
                </c:pt>
                <c:pt idx="3">
                  <c:v>17</c:v>
                </c:pt>
                <c:pt idx="4">
                  <c:v>31</c:v>
                </c:pt>
                <c:pt idx="5">
                  <c:v>37</c:v>
                </c:pt>
                <c:pt idx="6">
                  <c:v>34</c:v>
                </c:pt>
                <c:pt idx="7">
                  <c:v>54</c:v>
                </c:pt>
                <c:pt idx="8">
                  <c:v>51</c:v>
                </c:pt>
                <c:pt idx="9">
                  <c:v>59</c:v>
                </c:pt>
                <c:pt idx="10">
                  <c:v>35</c:v>
                </c:pt>
                <c:pt idx="11">
                  <c:v>53</c:v>
                </c:pt>
                <c:pt idx="12">
                  <c:v>43</c:v>
                </c:pt>
                <c:pt idx="13">
                  <c:v>54</c:v>
                </c:pt>
                <c:pt idx="14">
                  <c:v>7</c:v>
                </c:pt>
              </c:numCache>
            </c:numRef>
          </c:val>
          <c:extLst>
            <c:ext xmlns:c16="http://schemas.microsoft.com/office/drawing/2014/chart" uri="{C3380CC4-5D6E-409C-BE32-E72D297353CC}">
              <c16:uniqueId val="{00000000-4ED0-41B6-B2EF-79DB5DD2B699}"/>
            </c:ext>
          </c:extLst>
        </c:ser>
        <c:dLbls>
          <c:showLegendKey val="0"/>
          <c:showVal val="0"/>
          <c:showCatName val="0"/>
          <c:showSerName val="0"/>
          <c:showPercent val="0"/>
          <c:showBubbleSize val="0"/>
        </c:dLbls>
        <c:gapWidth val="219"/>
        <c:overlap val="-27"/>
        <c:axId val="900481696"/>
        <c:axId val="900483136"/>
      </c:barChart>
      <c:catAx>
        <c:axId val="90048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483136"/>
        <c:crosses val="autoZero"/>
        <c:auto val="1"/>
        <c:lblAlgn val="ctr"/>
        <c:lblOffset val="100"/>
        <c:noMultiLvlLbl val="0"/>
      </c:catAx>
      <c:valAx>
        <c:axId val="900483136"/>
        <c:scaling>
          <c:orientation val="minMax"/>
          <c:max val="6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48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3b368dc8a2b8b31f5f834a0327a44a56">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e67780a3b9c0d6ec2d453ca394bc367e"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1</b:Tag>
    <b:SourceType>InternetSite</b:SourceType>
    <b:Guid>{2297BCCF-3382-42DF-AADA-C7BCB48B08BB}</b:Guid>
    <b:RefOrder>2</b:RefOrder>
  </b:Source>
  <b:Source>
    <b:Tag>Placeholder1</b:Tag>
    <b:SourceType>InternetSite</b:SourceType>
    <b:Guid>{155BB75E-86DF-46B4-A73C-AD6DF8194172}</b:Guid>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SharedWithUsers xmlns="c4876c76-5897-4d5d-ac80-954d0599e137">
      <UserInfo>
        <DisplayName>GRIEVE, Jodie</DisplayName>
        <AccountId>40</AccountId>
        <AccountType/>
      </UserInfo>
      <UserInfo>
        <DisplayName>THAMMAVONGSA, Soudalay</DisplayName>
        <AccountId>41</AccountId>
        <AccountType/>
      </UserInfo>
      <UserInfo>
        <DisplayName>RINGWOOD, Leanne</DisplayName>
        <AccountId>42</AccountId>
        <AccountType/>
      </UserInfo>
      <UserInfo>
        <DisplayName>PLATONA, Adriana</DisplayName>
        <AccountId>23</AccountId>
        <AccountType/>
      </UserInfo>
      <UserInfo>
        <DisplayName>WILSON, Andrew</DisplayName>
        <AccountId>21</AccountId>
        <AccountType/>
      </UserInfo>
      <UserInfo>
        <DisplayName>EDWARDS, Sharron</DisplayName>
        <AccountId>92</AccountId>
        <AccountType/>
      </UserInfo>
      <UserInfo>
        <DisplayName>HOUSTON, Benjamin</DisplayName>
        <AccountId>67</AccountId>
        <AccountType/>
      </UserInfo>
      <UserInfo>
        <DisplayName>KUCKA, Lauren</DisplayName>
        <AccountId>139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16500-5C25-4E52-8352-0D494CF6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67973-007A-46EA-A1B7-3A9A37A7B647}">
  <ds:schemaRefs>
    <ds:schemaRef ds:uri="http://schemas.openxmlformats.org/officeDocument/2006/bibliography"/>
  </ds:schemaRefs>
</ds:datastoreItem>
</file>

<file path=customXml/itemProps3.xml><?xml version="1.0" encoding="utf-8"?>
<ds:datastoreItem xmlns:ds="http://schemas.openxmlformats.org/officeDocument/2006/customXml" ds:itemID="{EBB6004E-C2F0-45DC-9EBF-797FDCADFD76}">
  <ds:schemaRefs>
    <ds:schemaRef ds:uri="01920aa1-7832-453e-a147-98c77996387c"/>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c4876c76-5897-4d5d-ac80-954d0599e13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04E9922-ED41-4FF6-BBCC-94036DD35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18834</Words>
  <Characters>107360</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125943</CharactersWithSpaces>
  <SharedDoc>false</SharedDoc>
  <HLinks>
    <vt:vector size="780" baseType="variant">
      <vt:variant>
        <vt:i4>2031673</vt:i4>
      </vt:variant>
      <vt:variant>
        <vt:i4>182</vt:i4>
      </vt:variant>
      <vt:variant>
        <vt:i4>0</vt:i4>
      </vt:variant>
      <vt:variant>
        <vt:i4>5</vt:i4>
      </vt:variant>
      <vt:variant>
        <vt:lpwstr/>
      </vt:variant>
      <vt:variant>
        <vt:lpwstr>_Toc158306083</vt:lpwstr>
      </vt:variant>
      <vt:variant>
        <vt:i4>2031673</vt:i4>
      </vt:variant>
      <vt:variant>
        <vt:i4>176</vt:i4>
      </vt:variant>
      <vt:variant>
        <vt:i4>0</vt:i4>
      </vt:variant>
      <vt:variant>
        <vt:i4>5</vt:i4>
      </vt:variant>
      <vt:variant>
        <vt:lpwstr/>
      </vt:variant>
      <vt:variant>
        <vt:lpwstr>_Toc158306082</vt:lpwstr>
      </vt:variant>
      <vt:variant>
        <vt:i4>2031673</vt:i4>
      </vt:variant>
      <vt:variant>
        <vt:i4>170</vt:i4>
      </vt:variant>
      <vt:variant>
        <vt:i4>0</vt:i4>
      </vt:variant>
      <vt:variant>
        <vt:i4>5</vt:i4>
      </vt:variant>
      <vt:variant>
        <vt:lpwstr/>
      </vt:variant>
      <vt:variant>
        <vt:lpwstr>_Toc158306081</vt:lpwstr>
      </vt:variant>
      <vt:variant>
        <vt:i4>2031673</vt:i4>
      </vt:variant>
      <vt:variant>
        <vt:i4>164</vt:i4>
      </vt:variant>
      <vt:variant>
        <vt:i4>0</vt:i4>
      </vt:variant>
      <vt:variant>
        <vt:i4>5</vt:i4>
      </vt:variant>
      <vt:variant>
        <vt:lpwstr/>
      </vt:variant>
      <vt:variant>
        <vt:lpwstr>_Toc158306080</vt:lpwstr>
      </vt:variant>
      <vt:variant>
        <vt:i4>1048633</vt:i4>
      </vt:variant>
      <vt:variant>
        <vt:i4>158</vt:i4>
      </vt:variant>
      <vt:variant>
        <vt:i4>0</vt:i4>
      </vt:variant>
      <vt:variant>
        <vt:i4>5</vt:i4>
      </vt:variant>
      <vt:variant>
        <vt:lpwstr/>
      </vt:variant>
      <vt:variant>
        <vt:lpwstr>_Toc158306079</vt:lpwstr>
      </vt:variant>
      <vt:variant>
        <vt:i4>1048633</vt:i4>
      </vt:variant>
      <vt:variant>
        <vt:i4>152</vt:i4>
      </vt:variant>
      <vt:variant>
        <vt:i4>0</vt:i4>
      </vt:variant>
      <vt:variant>
        <vt:i4>5</vt:i4>
      </vt:variant>
      <vt:variant>
        <vt:lpwstr/>
      </vt:variant>
      <vt:variant>
        <vt:lpwstr>_Toc158306078</vt:lpwstr>
      </vt:variant>
      <vt:variant>
        <vt:i4>1048633</vt:i4>
      </vt:variant>
      <vt:variant>
        <vt:i4>146</vt:i4>
      </vt:variant>
      <vt:variant>
        <vt:i4>0</vt:i4>
      </vt:variant>
      <vt:variant>
        <vt:i4>5</vt:i4>
      </vt:variant>
      <vt:variant>
        <vt:lpwstr/>
      </vt:variant>
      <vt:variant>
        <vt:lpwstr>_Toc158306077</vt:lpwstr>
      </vt:variant>
      <vt:variant>
        <vt:i4>1114169</vt:i4>
      </vt:variant>
      <vt:variant>
        <vt:i4>140</vt:i4>
      </vt:variant>
      <vt:variant>
        <vt:i4>0</vt:i4>
      </vt:variant>
      <vt:variant>
        <vt:i4>5</vt:i4>
      </vt:variant>
      <vt:variant>
        <vt:lpwstr/>
      </vt:variant>
      <vt:variant>
        <vt:lpwstr>_Toc158306069</vt:lpwstr>
      </vt:variant>
      <vt:variant>
        <vt:i4>1114169</vt:i4>
      </vt:variant>
      <vt:variant>
        <vt:i4>134</vt:i4>
      </vt:variant>
      <vt:variant>
        <vt:i4>0</vt:i4>
      </vt:variant>
      <vt:variant>
        <vt:i4>5</vt:i4>
      </vt:variant>
      <vt:variant>
        <vt:lpwstr/>
      </vt:variant>
      <vt:variant>
        <vt:lpwstr>_Toc158306068</vt:lpwstr>
      </vt:variant>
      <vt:variant>
        <vt:i4>1114169</vt:i4>
      </vt:variant>
      <vt:variant>
        <vt:i4>128</vt:i4>
      </vt:variant>
      <vt:variant>
        <vt:i4>0</vt:i4>
      </vt:variant>
      <vt:variant>
        <vt:i4>5</vt:i4>
      </vt:variant>
      <vt:variant>
        <vt:lpwstr/>
      </vt:variant>
      <vt:variant>
        <vt:lpwstr>_Toc158306067</vt:lpwstr>
      </vt:variant>
      <vt:variant>
        <vt:i4>1114169</vt:i4>
      </vt:variant>
      <vt:variant>
        <vt:i4>122</vt:i4>
      </vt:variant>
      <vt:variant>
        <vt:i4>0</vt:i4>
      </vt:variant>
      <vt:variant>
        <vt:i4>5</vt:i4>
      </vt:variant>
      <vt:variant>
        <vt:lpwstr/>
      </vt:variant>
      <vt:variant>
        <vt:lpwstr>_Toc158306066</vt:lpwstr>
      </vt:variant>
      <vt:variant>
        <vt:i4>1114169</vt:i4>
      </vt:variant>
      <vt:variant>
        <vt:i4>116</vt:i4>
      </vt:variant>
      <vt:variant>
        <vt:i4>0</vt:i4>
      </vt:variant>
      <vt:variant>
        <vt:i4>5</vt:i4>
      </vt:variant>
      <vt:variant>
        <vt:lpwstr/>
      </vt:variant>
      <vt:variant>
        <vt:lpwstr>_Toc158306065</vt:lpwstr>
      </vt:variant>
      <vt:variant>
        <vt:i4>1114169</vt:i4>
      </vt:variant>
      <vt:variant>
        <vt:i4>110</vt:i4>
      </vt:variant>
      <vt:variant>
        <vt:i4>0</vt:i4>
      </vt:variant>
      <vt:variant>
        <vt:i4>5</vt:i4>
      </vt:variant>
      <vt:variant>
        <vt:lpwstr/>
      </vt:variant>
      <vt:variant>
        <vt:lpwstr>_Toc158306064</vt:lpwstr>
      </vt:variant>
      <vt:variant>
        <vt:i4>1114169</vt:i4>
      </vt:variant>
      <vt:variant>
        <vt:i4>104</vt:i4>
      </vt:variant>
      <vt:variant>
        <vt:i4>0</vt:i4>
      </vt:variant>
      <vt:variant>
        <vt:i4>5</vt:i4>
      </vt:variant>
      <vt:variant>
        <vt:lpwstr/>
      </vt:variant>
      <vt:variant>
        <vt:lpwstr>_Toc158306063</vt:lpwstr>
      </vt:variant>
      <vt:variant>
        <vt:i4>1114169</vt:i4>
      </vt:variant>
      <vt:variant>
        <vt:i4>98</vt:i4>
      </vt:variant>
      <vt:variant>
        <vt:i4>0</vt:i4>
      </vt:variant>
      <vt:variant>
        <vt:i4>5</vt:i4>
      </vt:variant>
      <vt:variant>
        <vt:lpwstr/>
      </vt:variant>
      <vt:variant>
        <vt:lpwstr>_Toc158306062</vt:lpwstr>
      </vt:variant>
      <vt:variant>
        <vt:i4>1114169</vt:i4>
      </vt:variant>
      <vt:variant>
        <vt:i4>92</vt:i4>
      </vt:variant>
      <vt:variant>
        <vt:i4>0</vt:i4>
      </vt:variant>
      <vt:variant>
        <vt:i4>5</vt:i4>
      </vt:variant>
      <vt:variant>
        <vt:lpwstr/>
      </vt:variant>
      <vt:variant>
        <vt:lpwstr>_Toc158306061</vt:lpwstr>
      </vt:variant>
      <vt:variant>
        <vt:i4>1114169</vt:i4>
      </vt:variant>
      <vt:variant>
        <vt:i4>86</vt:i4>
      </vt:variant>
      <vt:variant>
        <vt:i4>0</vt:i4>
      </vt:variant>
      <vt:variant>
        <vt:i4>5</vt:i4>
      </vt:variant>
      <vt:variant>
        <vt:lpwstr/>
      </vt:variant>
      <vt:variant>
        <vt:lpwstr>_Toc158306060</vt:lpwstr>
      </vt:variant>
      <vt:variant>
        <vt:i4>1179705</vt:i4>
      </vt:variant>
      <vt:variant>
        <vt:i4>80</vt:i4>
      </vt:variant>
      <vt:variant>
        <vt:i4>0</vt:i4>
      </vt:variant>
      <vt:variant>
        <vt:i4>5</vt:i4>
      </vt:variant>
      <vt:variant>
        <vt:lpwstr/>
      </vt:variant>
      <vt:variant>
        <vt:lpwstr>_Toc158306059</vt:lpwstr>
      </vt:variant>
      <vt:variant>
        <vt:i4>1179705</vt:i4>
      </vt:variant>
      <vt:variant>
        <vt:i4>74</vt:i4>
      </vt:variant>
      <vt:variant>
        <vt:i4>0</vt:i4>
      </vt:variant>
      <vt:variant>
        <vt:i4>5</vt:i4>
      </vt:variant>
      <vt:variant>
        <vt:lpwstr/>
      </vt:variant>
      <vt:variant>
        <vt:lpwstr>_Toc158306058</vt:lpwstr>
      </vt:variant>
      <vt:variant>
        <vt:i4>1179705</vt:i4>
      </vt:variant>
      <vt:variant>
        <vt:i4>68</vt:i4>
      </vt:variant>
      <vt:variant>
        <vt:i4>0</vt:i4>
      </vt:variant>
      <vt:variant>
        <vt:i4>5</vt:i4>
      </vt:variant>
      <vt:variant>
        <vt:lpwstr/>
      </vt:variant>
      <vt:variant>
        <vt:lpwstr>_Toc158306057</vt:lpwstr>
      </vt:variant>
      <vt:variant>
        <vt:i4>1179705</vt:i4>
      </vt:variant>
      <vt:variant>
        <vt:i4>62</vt:i4>
      </vt:variant>
      <vt:variant>
        <vt:i4>0</vt:i4>
      </vt:variant>
      <vt:variant>
        <vt:i4>5</vt:i4>
      </vt:variant>
      <vt:variant>
        <vt:lpwstr/>
      </vt:variant>
      <vt:variant>
        <vt:lpwstr>_Toc158306056</vt:lpwstr>
      </vt:variant>
      <vt:variant>
        <vt:i4>1179705</vt:i4>
      </vt:variant>
      <vt:variant>
        <vt:i4>56</vt:i4>
      </vt:variant>
      <vt:variant>
        <vt:i4>0</vt:i4>
      </vt:variant>
      <vt:variant>
        <vt:i4>5</vt:i4>
      </vt:variant>
      <vt:variant>
        <vt:lpwstr/>
      </vt:variant>
      <vt:variant>
        <vt:lpwstr>_Toc158306055</vt:lpwstr>
      </vt:variant>
      <vt:variant>
        <vt:i4>1310777</vt:i4>
      </vt:variant>
      <vt:variant>
        <vt:i4>50</vt:i4>
      </vt:variant>
      <vt:variant>
        <vt:i4>0</vt:i4>
      </vt:variant>
      <vt:variant>
        <vt:i4>5</vt:i4>
      </vt:variant>
      <vt:variant>
        <vt:lpwstr/>
      </vt:variant>
      <vt:variant>
        <vt:lpwstr>_Toc158306039</vt:lpwstr>
      </vt:variant>
      <vt:variant>
        <vt:i4>1310777</vt:i4>
      </vt:variant>
      <vt:variant>
        <vt:i4>44</vt:i4>
      </vt:variant>
      <vt:variant>
        <vt:i4>0</vt:i4>
      </vt:variant>
      <vt:variant>
        <vt:i4>5</vt:i4>
      </vt:variant>
      <vt:variant>
        <vt:lpwstr/>
      </vt:variant>
      <vt:variant>
        <vt:lpwstr>_Toc158306034</vt:lpwstr>
      </vt:variant>
      <vt:variant>
        <vt:i4>1376313</vt:i4>
      </vt:variant>
      <vt:variant>
        <vt:i4>38</vt:i4>
      </vt:variant>
      <vt:variant>
        <vt:i4>0</vt:i4>
      </vt:variant>
      <vt:variant>
        <vt:i4>5</vt:i4>
      </vt:variant>
      <vt:variant>
        <vt:lpwstr/>
      </vt:variant>
      <vt:variant>
        <vt:lpwstr>_Toc158306025</vt:lpwstr>
      </vt:variant>
      <vt:variant>
        <vt:i4>1376313</vt:i4>
      </vt:variant>
      <vt:variant>
        <vt:i4>32</vt:i4>
      </vt:variant>
      <vt:variant>
        <vt:i4>0</vt:i4>
      </vt:variant>
      <vt:variant>
        <vt:i4>5</vt:i4>
      </vt:variant>
      <vt:variant>
        <vt:lpwstr/>
      </vt:variant>
      <vt:variant>
        <vt:lpwstr>_Toc158306024</vt:lpwstr>
      </vt:variant>
      <vt:variant>
        <vt:i4>1376313</vt:i4>
      </vt:variant>
      <vt:variant>
        <vt:i4>26</vt:i4>
      </vt:variant>
      <vt:variant>
        <vt:i4>0</vt:i4>
      </vt:variant>
      <vt:variant>
        <vt:i4>5</vt:i4>
      </vt:variant>
      <vt:variant>
        <vt:lpwstr/>
      </vt:variant>
      <vt:variant>
        <vt:lpwstr>_Toc158306023</vt:lpwstr>
      </vt:variant>
      <vt:variant>
        <vt:i4>1376313</vt:i4>
      </vt:variant>
      <vt:variant>
        <vt:i4>20</vt:i4>
      </vt:variant>
      <vt:variant>
        <vt:i4>0</vt:i4>
      </vt:variant>
      <vt:variant>
        <vt:i4>5</vt:i4>
      </vt:variant>
      <vt:variant>
        <vt:lpwstr/>
      </vt:variant>
      <vt:variant>
        <vt:lpwstr>_Toc158306022</vt:lpwstr>
      </vt:variant>
      <vt:variant>
        <vt:i4>1376313</vt:i4>
      </vt:variant>
      <vt:variant>
        <vt:i4>14</vt:i4>
      </vt:variant>
      <vt:variant>
        <vt:i4>0</vt:i4>
      </vt:variant>
      <vt:variant>
        <vt:i4>5</vt:i4>
      </vt:variant>
      <vt:variant>
        <vt:lpwstr/>
      </vt:variant>
      <vt:variant>
        <vt:lpwstr>_Toc158306021</vt:lpwstr>
      </vt:variant>
      <vt:variant>
        <vt:i4>1376313</vt:i4>
      </vt:variant>
      <vt:variant>
        <vt:i4>8</vt:i4>
      </vt:variant>
      <vt:variant>
        <vt:i4>0</vt:i4>
      </vt:variant>
      <vt:variant>
        <vt:i4>5</vt:i4>
      </vt:variant>
      <vt:variant>
        <vt:lpwstr/>
      </vt:variant>
      <vt:variant>
        <vt:lpwstr>_Toc158306020</vt:lpwstr>
      </vt:variant>
      <vt:variant>
        <vt:i4>1441849</vt:i4>
      </vt:variant>
      <vt:variant>
        <vt:i4>2</vt:i4>
      </vt:variant>
      <vt:variant>
        <vt:i4>0</vt:i4>
      </vt:variant>
      <vt:variant>
        <vt:i4>5</vt:i4>
      </vt:variant>
      <vt:variant>
        <vt:lpwstr/>
      </vt:variant>
      <vt:variant>
        <vt:lpwstr>_Toc158306019</vt:lpwstr>
      </vt:variant>
      <vt:variant>
        <vt:i4>4063303</vt:i4>
      </vt:variant>
      <vt:variant>
        <vt:i4>294</vt:i4>
      </vt:variant>
      <vt:variant>
        <vt:i4>0</vt:i4>
      </vt:variant>
      <vt:variant>
        <vt:i4>5</vt:i4>
      </vt:variant>
      <vt:variant>
        <vt:lpwstr>https://federalfinancialrelations.gov.au/sites/federalfinancialrelations.gov.au/files/2021-07/NHRA_2020-25_Addendum_consolidated.pdf</vt:lpwstr>
      </vt:variant>
      <vt:variant>
        <vt:lpwstr/>
      </vt:variant>
      <vt:variant>
        <vt:i4>131100</vt:i4>
      </vt:variant>
      <vt:variant>
        <vt:i4>291</vt:i4>
      </vt:variant>
      <vt:variant>
        <vt:i4>0</vt:i4>
      </vt:variant>
      <vt:variant>
        <vt:i4>5</vt:i4>
      </vt:variant>
      <vt:variant>
        <vt:lpwstr>http://www.msac.gov.au/internet/msac/publishing.nsf/Content/E0D4E4EDDE91EAC8CA2586E0007AFC75/$File/MSAC Guidelines-complete-16-FINAL(18May21).pdf</vt:lpwstr>
      </vt:variant>
      <vt:variant>
        <vt:lpwstr/>
      </vt:variant>
      <vt:variant>
        <vt:i4>6488183</vt:i4>
      </vt:variant>
      <vt:variant>
        <vt:i4>288</vt:i4>
      </vt:variant>
      <vt:variant>
        <vt:i4>0</vt:i4>
      </vt:variant>
      <vt:variant>
        <vt:i4>5</vt:i4>
      </vt:variant>
      <vt:variant>
        <vt:lpwstr>https://www.health.gov.au/topics/genetics-and-genomics</vt:lpwstr>
      </vt:variant>
      <vt:variant>
        <vt:lpwstr/>
      </vt:variant>
      <vt:variant>
        <vt:i4>4456531</vt:i4>
      </vt:variant>
      <vt:variant>
        <vt:i4>285</vt:i4>
      </vt:variant>
      <vt:variant>
        <vt:i4>0</vt:i4>
      </vt:variant>
      <vt:variant>
        <vt:i4>5</vt:i4>
      </vt:variant>
      <vt:variant>
        <vt:lpwstr>https://www.fda.gov/patients/fast-track-breakthrough-therapy-accelerated-approval-priority-review/fast-track</vt:lpwstr>
      </vt:variant>
      <vt:variant>
        <vt:lpwstr/>
      </vt:variant>
      <vt:variant>
        <vt:i4>3801208</vt:i4>
      </vt:variant>
      <vt:variant>
        <vt:i4>282</vt:i4>
      </vt:variant>
      <vt:variant>
        <vt:i4>0</vt:i4>
      </vt:variant>
      <vt:variant>
        <vt:i4>5</vt:i4>
      </vt:variant>
      <vt:variant>
        <vt:lpwstr>https://hta.joyn-us.app/program</vt:lpwstr>
      </vt:variant>
      <vt:variant>
        <vt:lpwstr/>
      </vt:variant>
      <vt:variant>
        <vt:i4>5374077</vt:i4>
      </vt:variant>
      <vt:variant>
        <vt:i4>279</vt:i4>
      </vt:variant>
      <vt:variant>
        <vt:i4>0</vt:i4>
      </vt:variant>
      <vt:variant>
        <vt:i4>5</vt:i4>
      </vt:variant>
      <vt:variant>
        <vt:lpwstr>https://www.pbs.gov.au/industry/useful-resources/glossary/Glossary-of-Terms_Final-15Apr-13.pdf</vt:lpwstr>
      </vt:variant>
      <vt:variant>
        <vt:lpwstr/>
      </vt:variant>
      <vt:variant>
        <vt:i4>720913</vt:i4>
      </vt:variant>
      <vt:variant>
        <vt:i4>276</vt:i4>
      </vt:variant>
      <vt:variant>
        <vt:i4>0</vt:i4>
      </vt:variant>
      <vt:variant>
        <vt:i4>5</vt:i4>
      </vt:variant>
      <vt:variant>
        <vt:lpwstr>https://www.tga.gov.au/advanced-therapies</vt:lpwstr>
      </vt:variant>
      <vt:variant>
        <vt:lpwstr/>
      </vt:variant>
      <vt:variant>
        <vt:i4>6094871</vt:i4>
      </vt:variant>
      <vt:variant>
        <vt:i4>273</vt:i4>
      </vt:variant>
      <vt:variant>
        <vt:i4>0</vt:i4>
      </vt:variant>
      <vt:variant>
        <vt:i4>5</vt:i4>
      </vt:variant>
      <vt:variant>
        <vt:lpwstr>https://www.aihw.gov.au/reports/australias-health/digital-health</vt:lpwstr>
      </vt:variant>
      <vt:variant>
        <vt:lpwstr/>
      </vt:variant>
      <vt:variant>
        <vt:i4>3276842</vt:i4>
      </vt:variant>
      <vt:variant>
        <vt:i4>270</vt:i4>
      </vt:variant>
      <vt:variant>
        <vt:i4>0</vt:i4>
      </vt:variant>
      <vt:variant>
        <vt:i4>5</vt:i4>
      </vt:variant>
      <vt:variant>
        <vt:lpwstr>http://www.ferronova.com.au/our-technology/</vt:lpwstr>
      </vt:variant>
      <vt:variant>
        <vt:lpwstr/>
      </vt:variant>
      <vt:variant>
        <vt:i4>524296</vt:i4>
      </vt:variant>
      <vt:variant>
        <vt:i4>267</vt:i4>
      </vt:variant>
      <vt:variant>
        <vt:i4>0</vt:i4>
      </vt:variant>
      <vt:variant>
        <vt:i4>5</vt:i4>
      </vt:variant>
      <vt:variant>
        <vt:lpwstr>http://www.ncbi.nlm.nih.gov/pmc/articles/PMC5126695/</vt:lpwstr>
      </vt:variant>
      <vt:variant>
        <vt:lpwstr/>
      </vt:variant>
      <vt:variant>
        <vt:i4>2424954</vt:i4>
      </vt:variant>
      <vt:variant>
        <vt:i4>264</vt:i4>
      </vt:variant>
      <vt:variant>
        <vt:i4>0</vt:i4>
      </vt:variant>
      <vt:variant>
        <vt:i4>5</vt:i4>
      </vt:variant>
      <vt:variant>
        <vt:lpwstr>http://www.pbs.gov.au/pbs/industry/listing/elements/pbac-meetings/psd/2017-11/radium-psd-november-2017</vt:lpwstr>
      </vt:variant>
      <vt:variant>
        <vt:lpwstr/>
      </vt:variant>
      <vt:variant>
        <vt:i4>4521986</vt:i4>
      </vt:variant>
      <vt:variant>
        <vt:i4>261</vt:i4>
      </vt:variant>
      <vt:variant>
        <vt:i4>0</vt:i4>
      </vt:variant>
      <vt:variant>
        <vt:i4>5</vt:i4>
      </vt:variant>
      <vt:variant>
        <vt:lpwstr>http://www.msac.gov.au/internet/msac/publishing.nsf/Content/9FDFA4B8321267F0CA25801000123BA1/$File/1268 - MSACPSD - Radium 223 (D14-1275528).PDF</vt:lpwstr>
      </vt:variant>
      <vt:variant>
        <vt:lpwstr/>
      </vt:variant>
      <vt:variant>
        <vt:i4>7536738</vt:i4>
      </vt:variant>
      <vt:variant>
        <vt:i4>258</vt:i4>
      </vt:variant>
      <vt:variant>
        <vt:i4>0</vt:i4>
      </vt:variant>
      <vt:variant>
        <vt:i4>5</vt:i4>
      </vt:variant>
      <vt:variant>
        <vt:lpwstr>http://www.io.nihr.ac.uk/wp-content/uploads/2022/01/NIHR-IO-Radioligand-Rapid-Scan-May-2021.pdf</vt:lpwstr>
      </vt:variant>
      <vt:variant>
        <vt:lpwstr/>
      </vt:variant>
      <vt:variant>
        <vt:i4>8061031</vt:i4>
      </vt:variant>
      <vt:variant>
        <vt:i4>255</vt:i4>
      </vt:variant>
      <vt:variant>
        <vt:i4>0</vt:i4>
      </vt:variant>
      <vt:variant>
        <vt:i4>5</vt:i4>
      </vt:variant>
      <vt:variant>
        <vt:lpwstr>http://www.tga.gov.au/resources/auspmd/lutetium-177lu-chloride</vt:lpwstr>
      </vt:variant>
      <vt:variant>
        <vt:lpwstr/>
      </vt:variant>
      <vt:variant>
        <vt:i4>4587541</vt:i4>
      </vt:variant>
      <vt:variant>
        <vt:i4>252</vt:i4>
      </vt:variant>
      <vt:variant>
        <vt:i4>0</vt:i4>
      </vt:variant>
      <vt:variant>
        <vt:i4>5</vt:i4>
      </vt:variant>
      <vt:variant>
        <vt:lpwstr>http://www.nature.com/articles/s41571-022-00652-y</vt:lpwstr>
      </vt:variant>
      <vt:variant>
        <vt:lpwstr/>
      </vt:variant>
      <vt:variant>
        <vt:i4>2031705</vt:i4>
      </vt:variant>
      <vt:variant>
        <vt:i4>249</vt:i4>
      </vt:variant>
      <vt:variant>
        <vt:i4>0</vt:i4>
      </vt:variant>
      <vt:variant>
        <vt:i4>5</vt:i4>
      </vt:variant>
      <vt:variant>
        <vt:lpwstr>http://www.ntno.org/v06p0103.htm</vt:lpwstr>
      </vt:variant>
      <vt:variant>
        <vt:lpwstr/>
      </vt:variant>
      <vt:variant>
        <vt:i4>2556009</vt:i4>
      </vt:variant>
      <vt:variant>
        <vt:i4>246</vt:i4>
      </vt:variant>
      <vt:variant>
        <vt:i4>0</vt:i4>
      </vt:variant>
      <vt:variant>
        <vt:i4>5</vt:i4>
      </vt:variant>
      <vt:variant>
        <vt:lpwstr>http://www.msac.gov.au/internet/msac/publishing.nsf/Content/1617-public</vt:lpwstr>
      </vt:variant>
      <vt:variant>
        <vt:lpwstr/>
      </vt:variant>
      <vt:variant>
        <vt:i4>4391002</vt:i4>
      </vt:variant>
      <vt:variant>
        <vt:i4>243</vt:i4>
      </vt:variant>
      <vt:variant>
        <vt:i4>0</vt:i4>
      </vt:variant>
      <vt:variant>
        <vt:i4>5</vt:i4>
      </vt:variant>
      <vt:variant>
        <vt:lpwstr>http://www.pbs.gov.au/industry/listing/elements/pbac-meetings/psd/2021-05/files/encorafenib-psd-may-2021.pdf</vt:lpwstr>
      </vt:variant>
      <vt:variant>
        <vt:lpwstr/>
      </vt:variant>
      <vt:variant>
        <vt:i4>3211308</vt:i4>
      </vt:variant>
      <vt:variant>
        <vt:i4>240</vt:i4>
      </vt:variant>
      <vt:variant>
        <vt:i4>0</vt:i4>
      </vt:variant>
      <vt:variant>
        <vt:i4>5</vt:i4>
      </vt:variant>
      <vt:variant>
        <vt:lpwstr>http://www.io.nihr.ac.uk/wp-content/uploads/2022/01/NIHR-IO-Polygenic-Risk-Scores-Rapid-Scan-March-2021.pdf</vt:lpwstr>
      </vt:variant>
      <vt:variant>
        <vt:lpwstr/>
      </vt:variant>
      <vt:variant>
        <vt:i4>3407959</vt:i4>
      </vt:variant>
      <vt:variant>
        <vt:i4>237</vt:i4>
      </vt:variant>
      <vt:variant>
        <vt:i4>0</vt:i4>
      </vt:variant>
      <vt:variant>
        <vt:i4>5</vt:i4>
      </vt:variant>
      <vt:variant>
        <vt:lpwstr>http://www.australiangenomics.org.au/wp-content/uploads/2022/11/Polygenic-Score-Incubator-Project-Report_30Aug2022.pdf</vt:lpwstr>
      </vt:variant>
      <vt:variant>
        <vt:lpwstr/>
      </vt:variant>
      <vt:variant>
        <vt:i4>1769542</vt:i4>
      </vt:variant>
      <vt:variant>
        <vt:i4>234</vt:i4>
      </vt:variant>
      <vt:variant>
        <vt:i4>0</vt:i4>
      </vt:variant>
      <vt:variant>
        <vt:i4>5</vt:i4>
      </vt:variant>
      <vt:variant>
        <vt:lpwstr>http://www.msac.gov.au/internet/msac/publishing.nsf/Content/1408.1-public</vt:lpwstr>
      </vt:variant>
      <vt:variant>
        <vt:lpwstr/>
      </vt:variant>
      <vt:variant>
        <vt:i4>131100</vt:i4>
      </vt:variant>
      <vt:variant>
        <vt:i4>231</vt:i4>
      </vt:variant>
      <vt:variant>
        <vt:i4>0</vt:i4>
      </vt:variant>
      <vt:variant>
        <vt:i4>5</vt:i4>
      </vt:variant>
      <vt:variant>
        <vt:lpwstr>http://www.msac.gov.au/internet/msac/publishing.nsf/Content/E0D4E4EDDE91EAC8CA2586E0007AFC75/$File/MSAC Guidelines-complete-16-FINAL(18May21).pdf</vt:lpwstr>
      </vt:variant>
      <vt:variant>
        <vt:lpwstr/>
      </vt:variant>
      <vt:variant>
        <vt:i4>524294</vt:i4>
      </vt:variant>
      <vt:variant>
        <vt:i4>228</vt:i4>
      </vt:variant>
      <vt:variant>
        <vt:i4>0</vt:i4>
      </vt:variant>
      <vt:variant>
        <vt:i4>5</vt:i4>
      </vt:variant>
      <vt:variant>
        <vt:lpwstr>https://pubmed.ncbi.nlm.nih.gov/33714919/</vt:lpwstr>
      </vt:variant>
      <vt:variant>
        <vt:lpwstr/>
      </vt:variant>
      <vt:variant>
        <vt:i4>131155</vt:i4>
      </vt:variant>
      <vt:variant>
        <vt:i4>225</vt:i4>
      </vt:variant>
      <vt:variant>
        <vt:i4>0</vt:i4>
      </vt:variant>
      <vt:variant>
        <vt:i4>5</vt:i4>
      </vt:variant>
      <vt:variant>
        <vt:lpwstr>http://www.tga.gov.au/regulation-ivds-laboratory-specific-information</vt:lpwstr>
      </vt:variant>
      <vt:variant>
        <vt:lpwstr/>
      </vt:variant>
      <vt:variant>
        <vt:i4>6619189</vt:i4>
      </vt:variant>
      <vt:variant>
        <vt:i4>222</vt:i4>
      </vt:variant>
      <vt:variant>
        <vt:i4>0</vt:i4>
      </vt:variant>
      <vt:variant>
        <vt:i4>5</vt:i4>
      </vt:variant>
      <vt:variant>
        <vt:lpwstr>http://ocrahope.org/news/germline-vs-somatic-testing-genomic-vs-genetic-testing</vt:lpwstr>
      </vt:variant>
      <vt:variant>
        <vt:lpwstr/>
      </vt:variant>
      <vt:variant>
        <vt:i4>6225943</vt:i4>
      </vt:variant>
      <vt:variant>
        <vt:i4>219</vt:i4>
      </vt:variant>
      <vt:variant>
        <vt:i4>0</vt:i4>
      </vt:variant>
      <vt:variant>
        <vt:i4>5</vt:i4>
      </vt:variant>
      <vt:variant>
        <vt:lpwstr>https://www.fulgentgenetics.com/epilepsy-comp</vt:lpwstr>
      </vt:variant>
      <vt:variant>
        <vt:lpwstr/>
      </vt:variant>
      <vt:variant>
        <vt:i4>3538981</vt:i4>
      </vt:variant>
      <vt:variant>
        <vt:i4>216</vt:i4>
      </vt:variant>
      <vt:variant>
        <vt:i4>0</vt:i4>
      </vt:variant>
      <vt:variant>
        <vt:i4>5</vt:i4>
      </vt:variant>
      <vt:variant>
        <vt:lpwstr>https://www.epilepsy.com/causes/genetic/testing</vt:lpwstr>
      </vt:variant>
      <vt:variant>
        <vt:lpwstr/>
      </vt:variant>
      <vt:variant>
        <vt:i4>1310789</vt:i4>
      </vt:variant>
      <vt:variant>
        <vt:i4>213</vt:i4>
      </vt:variant>
      <vt:variant>
        <vt:i4>0</vt:i4>
      </vt:variant>
      <vt:variant>
        <vt:i4>5</vt:i4>
      </vt:variant>
      <vt:variant>
        <vt:lpwstr>https://www.ncbi.nlm.nih.gov/pmc/articles/PMC6153053/</vt:lpwstr>
      </vt:variant>
      <vt:variant>
        <vt:lpwstr/>
      </vt:variant>
      <vt:variant>
        <vt:i4>8257633</vt:i4>
      </vt:variant>
      <vt:variant>
        <vt:i4>210</vt:i4>
      </vt:variant>
      <vt:variant>
        <vt:i4>0</vt:i4>
      </vt:variant>
      <vt:variant>
        <vt:i4>5</vt:i4>
      </vt:variant>
      <vt:variant>
        <vt:lpwstr>https://www.fulgentgenetics.com/Sickle-Cell-Disease</vt:lpwstr>
      </vt:variant>
      <vt:variant>
        <vt:lpwstr/>
      </vt:variant>
      <vt:variant>
        <vt:i4>1704023</vt:i4>
      </vt:variant>
      <vt:variant>
        <vt:i4>207</vt:i4>
      </vt:variant>
      <vt:variant>
        <vt:i4>0</vt:i4>
      </vt:variant>
      <vt:variant>
        <vt:i4>5</vt:i4>
      </vt:variant>
      <vt:variant>
        <vt:lpwstr>http://www.garvan.org.au/research/kinghorn-centre-for-clinical-genomics/learn-about-genomics/for-gp/genetics-refresher-1/genomics-and-genomic-testing</vt:lpwstr>
      </vt:variant>
      <vt:variant>
        <vt:lpwstr/>
      </vt:variant>
      <vt:variant>
        <vt:i4>1310795</vt:i4>
      </vt:variant>
      <vt:variant>
        <vt:i4>204</vt:i4>
      </vt:variant>
      <vt:variant>
        <vt:i4>0</vt:i4>
      </vt:variant>
      <vt:variant>
        <vt:i4>5</vt:i4>
      </vt:variant>
      <vt:variant>
        <vt:lpwstr>http://www.australiangenomics.org.au/about-genomics/</vt:lpwstr>
      </vt:variant>
      <vt:variant>
        <vt:lpwstr/>
      </vt:variant>
      <vt:variant>
        <vt:i4>3997817</vt:i4>
      </vt:variant>
      <vt:variant>
        <vt:i4>201</vt:i4>
      </vt:variant>
      <vt:variant>
        <vt:i4>0</vt:i4>
      </vt:variant>
      <vt:variant>
        <vt:i4>5</vt:i4>
      </vt:variant>
      <vt:variant>
        <vt:lpwstr>http://www.nature.com/articles/nrg.2017.108</vt:lpwstr>
      </vt:variant>
      <vt:variant>
        <vt:lpwstr/>
      </vt:variant>
      <vt:variant>
        <vt:i4>3276834</vt:i4>
      </vt:variant>
      <vt:variant>
        <vt:i4>198</vt:i4>
      </vt:variant>
      <vt:variant>
        <vt:i4>0</vt:i4>
      </vt:variant>
      <vt:variant>
        <vt:i4>5</vt:i4>
      </vt:variant>
      <vt:variant>
        <vt:lpwstr>http://www.fda.gov/medical-devices/in-vitro-diagnostics/precision-medicine</vt:lpwstr>
      </vt:variant>
      <vt:variant>
        <vt:lpwstr/>
      </vt:variant>
      <vt:variant>
        <vt:i4>8257574</vt:i4>
      </vt:variant>
      <vt:variant>
        <vt:i4>195</vt:i4>
      </vt:variant>
      <vt:variant>
        <vt:i4>0</vt:i4>
      </vt:variant>
      <vt:variant>
        <vt:i4>5</vt:i4>
      </vt:variant>
      <vt:variant>
        <vt:lpwstr>https://acola.org/hs2-precision-medicine-australia/</vt:lpwstr>
      </vt:variant>
      <vt:variant>
        <vt:lpwstr/>
      </vt:variant>
      <vt:variant>
        <vt:i4>655425</vt:i4>
      </vt:variant>
      <vt:variant>
        <vt:i4>192</vt:i4>
      </vt:variant>
      <vt:variant>
        <vt:i4>0</vt:i4>
      </vt:variant>
      <vt:variant>
        <vt:i4>5</vt:i4>
      </vt:variant>
      <vt:variant>
        <vt:lpwstr>https://blogs.cdc.gov/genomics/2016/04/21/shift/</vt:lpwstr>
      </vt:variant>
      <vt:variant>
        <vt:lpwstr/>
      </vt:variant>
      <vt:variant>
        <vt:i4>196622</vt:i4>
      </vt:variant>
      <vt:variant>
        <vt:i4>189</vt:i4>
      </vt:variant>
      <vt:variant>
        <vt:i4>0</vt:i4>
      </vt:variant>
      <vt:variant>
        <vt:i4>5</vt:i4>
      </vt:variant>
      <vt:variant>
        <vt:lpwstr>https://www.vaxxas.com/product-applications/</vt:lpwstr>
      </vt:variant>
      <vt:variant>
        <vt:lpwstr/>
      </vt:variant>
      <vt:variant>
        <vt:i4>3735676</vt:i4>
      </vt:variant>
      <vt:variant>
        <vt:i4>186</vt:i4>
      </vt:variant>
      <vt:variant>
        <vt:i4>0</vt:i4>
      </vt:variant>
      <vt:variant>
        <vt:i4>5</vt:i4>
      </vt:variant>
      <vt:variant>
        <vt:lpwstr>https://www.cdc.gov/flu/prevent/nasalspray.htm</vt:lpwstr>
      </vt:variant>
      <vt:variant>
        <vt:lpwstr/>
      </vt:variant>
      <vt:variant>
        <vt:i4>1704013</vt:i4>
      </vt:variant>
      <vt:variant>
        <vt:i4>183</vt:i4>
      </vt:variant>
      <vt:variant>
        <vt:i4>0</vt:i4>
      </vt:variant>
      <vt:variant>
        <vt:i4>5</vt:i4>
      </vt:variant>
      <vt:variant>
        <vt:lpwstr>https://immunisationhandbook.health.gov.au/vaccine-preventable-diseases/influenza-flu</vt:lpwstr>
      </vt:variant>
      <vt:variant>
        <vt:lpwstr/>
      </vt:variant>
      <vt:variant>
        <vt:i4>5767180</vt:i4>
      </vt:variant>
      <vt:variant>
        <vt:i4>180</vt:i4>
      </vt:variant>
      <vt:variant>
        <vt:i4>0</vt:i4>
      </vt:variant>
      <vt:variant>
        <vt:i4>5</vt:i4>
      </vt:variant>
      <vt:variant>
        <vt:lpwstr>https://www.allergy.org.au/hp//papers/vaccination-of-the-egg-allergic-individual</vt:lpwstr>
      </vt:variant>
      <vt:variant>
        <vt:lpwstr/>
      </vt:variant>
      <vt:variant>
        <vt:i4>1507404</vt:i4>
      </vt:variant>
      <vt:variant>
        <vt:i4>177</vt:i4>
      </vt:variant>
      <vt:variant>
        <vt:i4>0</vt:i4>
      </vt:variant>
      <vt:variant>
        <vt:i4>5</vt:i4>
      </vt:variant>
      <vt:variant>
        <vt:lpwstr>https://www.ncbi.nlm.nih.gov/pmc/articles/PMC7036483/</vt:lpwstr>
      </vt:variant>
      <vt:variant>
        <vt:lpwstr/>
      </vt:variant>
      <vt:variant>
        <vt:i4>3276832</vt:i4>
      </vt:variant>
      <vt:variant>
        <vt:i4>174</vt:i4>
      </vt:variant>
      <vt:variant>
        <vt:i4>0</vt:i4>
      </vt:variant>
      <vt:variant>
        <vt:i4>5</vt:i4>
      </vt:variant>
      <vt:variant>
        <vt:lpwstr>https://jost.syr.edu/cell-based-influenza-vaccines-as-an-alternative-to-egg-based-vaccines/</vt:lpwstr>
      </vt:variant>
      <vt:variant>
        <vt:lpwstr/>
      </vt:variant>
      <vt:variant>
        <vt:i4>3997754</vt:i4>
      </vt:variant>
      <vt:variant>
        <vt:i4>171</vt:i4>
      </vt:variant>
      <vt:variant>
        <vt:i4>0</vt:i4>
      </vt:variant>
      <vt:variant>
        <vt:i4>5</vt:i4>
      </vt:variant>
      <vt:variant>
        <vt:lpwstr>https://www.cdc.gov/flu/prevent/cell-based.htm</vt:lpwstr>
      </vt:variant>
      <vt:variant>
        <vt:lpwstr/>
      </vt:variant>
      <vt:variant>
        <vt:i4>2949138</vt:i4>
      </vt:variant>
      <vt:variant>
        <vt:i4>168</vt:i4>
      </vt:variant>
      <vt:variant>
        <vt:i4>0</vt:i4>
      </vt:variant>
      <vt:variant>
        <vt:i4>5</vt:i4>
      </vt:variant>
      <vt:variant>
        <vt:lpwstr>https://www.cdc.gov/flu/prevent/qa_flublok-vaccine.htm</vt:lpwstr>
      </vt:variant>
      <vt:variant>
        <vt:lpwstr/>
      </vt:variant>
      <vt:variant>
        <vt:i4>589836</vt:i4>
      </vt:variant>
      <vt:variant>
        <vt:i4>165</vt:i4>
      </vt:variant>
      <vt:variant>
        <vt:i4>0</vt:i4>
      </vt:variant>
      <vt:variant>
        <vt:i4>5</vt:i4>
      </vt:variant>
      <vt:variant>
        <vt:lpwstr>https://pubmed.ncbi.nlm.nih.gov/16609055/</vt:lpwstr>
      </vt:variant>
      <vt:variant>
        <vt:lpwstr/>
      </vt:variant>
      <vt:variant>
        <vt:i4>851974</vt:i4>
      </vt:variant>
      <vt:variant>
        <vt:i4>162</vt:i4>
      </vt:variant>
      <vt:variant>
        <vt:i4>0</vt:i4>
      </vt:variant>
      <vt:variant>
        <vt:i4>5</vt:i4>
      </vt:variant>
      <vt:variant>
        <vt:lpwstr>https://link.springer.com/article/10.1186/s43556-022-00098-9</vt:lpwstr>
      </vt:variant>
      <vt:variant>
        <vt:lpwstr/>
      </vt:variant>
      <vt:variant>
        <vt:i4>4587588</vt:i4>
      </vt:variant>
      <vt:variant>
        <vt:i4>159</vt:i4>
      </vt:variant>
      <vt:variant>
        <vt:i4>0</vt:i4>
      </vt:variant>
      <vt:variant>
        <vt:i4>5</vt:i4>
      </vt:variant>
      <vt:variant>
        <vt:lpwstr>http://www.tga.gov.au/products/biologicals-blood-and-tissues-and-advanced-therapies/biologicals/faecal-microbiota-transplant-products-regulation</vt:lpwstr>
      </vt:variant>
      <vt:variant>
        <vt:lpwstr/>
      </vt:variant>
      <vt:variant>
        <vt:i4>6356993</vt:i4>
      </vt:variant>
      <vt:variant>
        <vt:i4>156</vt:i4>
      </vt:variant>
      <vt:variant>
        <vt:i4>0</vt:i4>
      </vt:variant>
      <vt:variant>
        <vt:i4>5</vt:i4>
      </vt:variant>
      <vt:variant>
        <vt:lpwstr>http://www.ema.europa.eu/en/documents/report/faecal-microbiota-transplantation-eu-horizon-scanning-report_en.pdf</vt:lpwstr>
      </vt:variant>
      <vt:variant>
        <vt:lpwstr/>
      </vt:variant>
      <vt:variant>
        <vt:i4>4522011</vt:i4>
      </vt:variant>
      <vt:variant>
        <vt:i4>153</vt:i4>
      </vt:variant>
      <vt:variant>
        <vt:i4>0</vt:i4>
      </vt:variant>
      <vt:variant>
        <vt:i4>5</vt:i4>
      </vt:variant>
      <vt:variant>
        <vt:lpwstr>http://www.nature.com/articles/s41579-021-00667-9</vt:lpwstr>
      </vt:variant>
      <vt:variant>
        <vt:lpwstr/>
      </vt:variant>
      <vt:variant>
        <vt:i4>2424890</vt:i4>
      </vt:variant>
      <vt:variant>
        <vt:i4>150</vt:i4>
      </vt:variant>
      <vt:variant>
        <vt:i4>0</vt:i4>
      </vt:variant>
      <vt:variant>
        <vt:i4>5</vt:i4>
      </vt:variant>
      <vt:variant>
        <vt:lpwstr>http://www.phageaustralia.org/</vt:lpwstr>
      </vt:variant>
      <vt:variant>
        <vt:lpwstr/>
      </vt:variant>
      <vt:variant>
        <vt:i4>72</vt:i4>
      </vt:variant>
      <vt:variant>
        <vt:i4>147</vt:i4>
      </vt:variant>
      <vt:variant>
        <vt:i4>0</vt:i4>
      </vt:variant>
      <vt:variant>
        <vt:i4>5</vt:i4>
      </vt:variant>
      <vt:variant>
        <vt:lpwstr>https://journals.asm.org/doi/10.1128/aac.02071-21</vt:lpwstr>
      </vt:variant>
      <vt:variant>
        <vt:lpwstr/>
      </vt:variant>
      <vt:variant>
        <vt:i4>1572868</vt:i4>
      </vt:variant>
      <vt:variant>
        <vt:i4>144</vt:i4>
      </vt:variant>
      <vt:variant>
        <vt:i4>0</vt:i4>
      </vt:variant>
      <vt:variant>
        <vt:i4>5</vt:i4>
      </vt:variant>
      <vt:variant>
        <vt:lpwstr>http://www.sciencedirect.com/science/article/pii/S0092867422014611?via%3Dihub</vt:lpwstr>
      </vt:variant>
      <vt:variant>
        <vt:lpwstr/>
      </vt:variant>
      <vt:variant>
        <vt:i4>6684720</vt:i4>
      </vt:variant>
      <vt:variant>
        <vt:i4>141</vt:i4>
      </vt:variant>
      <vt:variant>
        <vt:i4>0</vt:i4>
      </vt:variant>
      <vt:variant>
        <vt:i4>5</vt:i4>
      </vt:variant>
      <vt:variant>
        <vt:lpwstr>https://apps.who.int/iris/rest/bitstreams/1413551/retrieve</vt:lpwstr>
      </vt:variant>
      <vt:variant>
        <vt:lpwstr/>
      </vt:variant>
      <vt:variant>
        <vt:i4>7995514</vt:i4>
      </vt:variant>
      <vt:variant>
        <vt:i4>138</vt:i4>
      </vt:variant>
      <vt:variant>
        <vt:i4>0</vt:i4>
      </vt:variant>
      <vt:variant>
        <vt:i4>5</vt:i4>
      </vt:variant>
      <vt:variant>
        <vt:lpwstr>http://www.mdpi.com/1424-8247/14/7/634</vt:lpwstr>
      </vt:variant>
      <vt:variant>
        <vt:lpwstr/>
      </vt:variant>
      <vt:variant>
        <vt:i4>5308417</vt:i4>
      </vt:variant>
      <vt:variant>
        <vt:i4>135</vt:i4>
      </vt:variant>
      <vt:variant>
        <vt:i4>0</vt:i4>
      </vt:variant>
      <vt:variant>
        <vt:i4>5</vt:i4>
      </vt:variant>
      <vt:variant>
        <vt:lpwstr>http://www.pcori.org/sites/default/files/PCORI-Health-Care-Horizon-Scanning-System-High-Potential-Disruption-Report-May-2022.pdf</vt:lpwstr>
      </vt:variant>
      <vt:variant>
        <vt:lpwstr/>
      </vt:variant>
      <vt:variant>
        <vt:i4>3866674</vt:i4>
      </vt:variant>
      <vt:variant>
        <vt:i4>132</vt:i4>
      </vt:variant>
      <vt:variant>
        <vt:i4>0</vt:i4>
      </vt:variant>
      <vt:variant>
        <vt:i4>5</vt:i4>
      </vt:variant>
      <vt:variant>
        <vt:lpwstr>https://www.who.int/teams/immunization-vaccines-and-biologicals/product-and-delivery-research/monoclonal-antibodies-(mabs)-for-infectious-diseases</vt:lpwstr>
      </vt:variant>
      <vt:variant>
        <vt:lpwstr/>
      </vt:variant>
      <vt:variant>
        <vt:i4>655388</vt:i4>
      </vt:variant>
      <vt:variant>
        <vt:i4>129</vt:i4>
      </vt:variant>
      <vt:variant>
        <vt:i4>0</vt:i4>
      </vt:variant>
      <vt:variant>
        <vt:i4>5</vt:i4>
      </vt:variant>
      <vt:variant>
        <vt:lpwstr>https://doi.org/10.1186/s10020-018-0051-4</vt:lpwstr>
      </vt:variant>
      <vt:variant>
        <vt:lpwstr/>
      </vt:variant>
      <vt:variant>
        <vt:i4>2228267</vt:i4>
      </vt:variant>
      <vt:variant>
        <vt:i4>126</vt:i4>
      </vt:variant>
      <vt:variant>
        <vt:i4>0</vt:i4>
      </vt:variant>
      <vt:variant>
        <vt:i4>5</vt:i4>
      </vt:variant>
      <vt:variant>
        <vt:lpwstr>https://doi.org/10.1038/d41573-022-00040-2</vt:lpwstr>
      </vt:variant>
      <vt:variant>
        <vt:lpwstr/>
      </vt:variant>
      <vt:variant>
        <vt:i4>2490486</vt:i4>
      </vt:variant>
      <vt:variant>
        <vt:i4>123</vt:i4>
      </vt:variant>
      <vt:variant>
        <vt:i4>0</vt:i4>
      </vt:variant>
      <vt:variant>
        <vt:i4>5</vt:i4>
      </vt:variant>
      <vt:variant>
        <vt:lpwstr>https://doi.org/10.15252/emmm.202114291</vt:lpwstr>
      </vt:variant>
      <vt:variant>
        <vt:lpwstr/>
      </vt:variant>
      <vt:variant>
        <vt:i4>3604597</vt:i4>
      </vt:variant>
      <vt:variant>
        <vt:i4>120</vt:i4>
      </vt:variant>
      <vt:variant>
        <vt:i4>0</vt:i4>
      </vt:variant>
      <vt:variant>
        <vt:i4>5</vt:i4>
      </vt:variant>
      <vt:variant>
        <vt:lpwstr>https://ehoonline.biomedcentral.com/articles/10.1186/s40164-021-00250-1</vt:lpwstr>
      </vt:variant>
      <vt:variant>
        <vt:lpwstr/>
      </vt:variant>
      <vt:variant>
        <vt:i4>5373980</vt:i4>
      </vt:variant>
      <vt:variant>
        <vt:i4>117</vt:i4>
      </vt:variant>
      <vt:variant>
        <vt:i4>0</vt:i4>
      </vt:variant>
      <vt:variant>
        <vt:i4>5</vt:i4>
      </vt:variant>
      <vt:variant>
        <vt:lpwstr>http://www.nature.com/articles/d41586-019-03495-3</vt:lpwstr>
      </vt:variant>
      <vt:variant>
        <vt:lpwstr/>
      </vt:variant>
      <vt:variant>
        <vt:i4>3473442</vt:i4>
      </vt:variant>
      <vt:variant>
        <vt:i4>114</vt:i4>
      </vt:variant>
      <vt:variant>
        <vt:i4>0</vt:i4>
      </vt:variant>
      <vt:variant>
        <vt:i4>5</vt:i4>
      </vt:variant>
      <vt:variant>
        <vt:lpwstr>https://www.nature.com/articles/s41392-022-00947-7</vt:lpwstr>
      </vt:variant>
      <vt:variant>
        <vt:lpwstr/>
      </vt:variant>
      <vt:variant>
        <vt:i4>589836</vt:i4>
      </vt:variant>
      <vt:variant>
        <vt:i4>111</vt:i4>
      </vt:variant>
      <vt:variant>
        <vt:i4>0</vt:i4>
      </vt:variant>
      <vt:variant>
        <vt:i4>5</vt:i4>
      </vt:variant>
      <vt:variant>
        <vt:lpwstr>https://pubmed.ncbi.nlm.nih.gov/33558752/</vt:lpwstr>
      </vt:variant>
      <vt:variant>
        <vt:lpwstr/>
      </vt:variant>
      <vt:variant>
        <vt:i4>2359357</vt:i4>
      </vt:variant>
      <vt:variant>
        <vt:i4>108</vt:i4>
      </vt:variant>
      <vt:variant>
        <vt:i4>0</vt:i4>
      </vt:variant>
      <vt:variant>
        <vt:i4>5</vt:i4>
      </vt:variant>
      <vt:variant>
        <vt:lpwstr>http://www.pbs.gov.au/info/industry/listing/elements/pbac-meetings/agenda/august-2018-pbac-special-meeting</vt:lpwstr>
      </vt:variant>
      <vt:variant>
        <vt:lpwstr/>
      </vt:variant>
      <vt:variant>
        <vt:i4>4849729</vt:i4>
      </vt:variant>
      <vt:variant>
        <vt:i4>105</vt:i4>
      </vt:variant>
      <vt:variant>
        <vt:i4>0</vt:i4>
      </vt:variant>
      <vt:variant>
        <vt:i4>5</vt:i4>
      </vt:variant>
      <vt:variant>
        <vt:lpwstr>http://www.cancer.gov/publications/dictionaries/cancer-terms/def/basket-trial</vt:lpwstr>
      </vt:variant>
      <vt:variant>
        <vt:lpwstr/>
      </vt:variant>
      <vt:variant>
        <vt:i4>6422534</vt:i4>
      </vt:variant>
      <vt:variant>
        <vt:i4>102</vt:i4>
      </vt:variant>
      <vt:variant>
        <vt:i4>0</vt:i4>
      </vt:variant>
      <vt:variant>
        <vt:i4>5</vt:i4>
      </vt:variant>
      <vt:variant>
        <vt:lpwstr>https://www.io.nihr.ac.uk/wp-content/uploads/2021/12/Horizon-Scan-for-Histology-Independent-Technologies_June-2021_AAC_V1.0.pdf</vt:lpwstr>
      </vt:variant>
      <vt:variant>
        <vt:lpwstr/>
      </vt:variant>
      <vt:variant>
        <vt:i4>2883685</vt:i4>
      </vt:variant>
      <vt:variant>
        <vt:i4>99</vt:i4>
      </vt:variant>
      <vt:variant>
        <vt:i4>0</vt:i4>
      </vt:variant>
      <vt:variant>
        <vt:i4>5</vt:i4>
      </vt:variant>
      <vt:variant>
        <vt:lpwstr>https://www.tga.gov.au/provisional-approval-pathway-prescription-medicines</vt:lpwstr>
      </vt:variant>
      <vt:variant>
        <vt:lpwstr/>
      </vt:variant>
      <vt:variant>
        <vt:i4>4653140</vt:i4>
      </vt:variant>
      <vt:variant>
        <vt:i4>96</vt:i4>
      </vt:variant>
      <vt:variant>
        <vt:i4>0</vt:i4>
      </vt:variant>
      <vt:variant>
        <vt:i4>5</vt:i4>
      </vt:variant>
      <vt:variant>
        <vt:lpwstr>http://www.fda.gov/media/162346/download</vt:lpwstr>
      </vt:variant>
      <vt:variant>
        <vt:lpwstr/>
      </vt:variant>
      <vt:variant>
        <vt:i4>6422534</vt:i4>
      </vt:variant>
      <vt:variant>
        <vt:i4>93</vt:i4>
      </vt:variant>
      <vt:variant>
        <vt:i4>0</vt:i4>
      </vt:variant>
      <vt:variant>
        <vt:i4>5</vt:i4>
      </vt:variant>
      <vt:variant>
        <vt:lpwstr>https://www.io.nihr.ac.uk/wp-content/uploads/2021/12/Horizon-Scan-for-Histology-Independent-Technologies_June-2021_AAC_V1.0.pdf</vt:lpwstr>
      </vt:variant>
      <vt:variant>
        <vt:lpwstr/>
      </vt:variant>
      <vt:variant>
        <vt:i4>720968</vt:i4>
      </vt:variant>
      <vt:variant>
        <vt:i4>90</vt:i4>
      </vt:variant>
      <vt:variant>
        <vt:i4>0</vt:i4>
      </vt:variant>
      <vt:variant>
        <vt:i4>5</vt:i4>
      </vt:variant>
      <vt:variant>
        <vt:lpwstr>http://www.sciencedirect.com/science/article/abs/pii/S0959804922002799?via%3Dihub</vt:lpwstr>
      </vt:variant>
      <vt:variant>
        <vt:lpwstr/>
      </vt:variant>
      <vt:variant>
        <vt:i4>7798824</vt:i4>
      </vt:variant>
      <vt:variant>
        <vt:i4>87</vt:i4>
      </vt:variant>
      <vt:variant>
        <vt:i4>0</vt:i4>
      </vt:variant>
      <vt:variant>
        <vt:i4>5</vt:i4>
      </vt:variant>
      <vt:variant>
        <vt:lpwstr>http://www.pbs.gov.au/</vt:lpwstr>
      </vt:variant>
      <vt:variant>
        <vt:lpwstr/>
      </vt:variant>
      <vt:variant>
        <vt:i4>196622</vt:i4>
      </vt:variant>
      <vt:variant>
        <vt:i4>84</vt:i4>
      </vt:variant>
      <vt:variant>
        <vt:i4>0</vt:i4>
      </vt:variant>
      <vt:variant>
        <vt:i4>5</vt:i4>
      </vt:variant>
      <vt:variant>
        <vt:lpwstr>http://www.ncbi.nlm.nih.gov/pmc/articles/PMC9406873/</vt:lpwstr>
      </vt:variant>
      <vt:variant>
        <vt:lpwstr/>
      </vt:variant>
      <vt:variant>
        <vt:i4>589837</vt:i4>
      </vt:variant>
      <vt:variant>
        <vt:i4>81</vt:i4>
      </vt:variant>
      <vt:variant>
        <vt:i4>0</vt:i4>
      </vt:variant>
      <vt:variant>
        <vt:i4>5</vt:i4>
      </vt:variant>
      <vt:variant>
        <vt:lpwstr>https://pubmed.ncbi.nlm.nih.gov/35667787/</vt:lpwstr>
      </vt:variant>
      <vt:variant>
        <vt:lpwstr/>
      </vt:variant>
      <vt:variant>
        <vt:i4>65625</vt:i4>
      </vt:variant>
      <vt:variant>
        <vt:i4>78</vt:i4>
      </vt:variant>
      <vt:variant>
        <vt:i4>0</vt:i4>
      </vt:variant>
      <vt:variant>
        <vt:i4>5</vt:i4>
      </vt:variant>
      <vt:variant>
        <vt:lpwstr>https://doi.org/10.1136/jitc-2020-002056</vt:lpwstr>
      </vt:variant>
      <vt:variant>
        <vt:lpwstr/>
      </vt:variant>
      <vt:variant>
        <vt:i4>7208978</vt:i4>
      </vt:variant>
      <vt:variant>
        <vt:i4>75</vt:i4>
      </vt:variant>
      <vt:variant>
        <vt:i4>0</vt:i4>
      </vt:variant>
      <vt:variant>
        <vt:i4>5</vt:i4>
      </vt:variant>
      <vt:variant>
        <vt:lpwstr>http://www.aph.gov.au/Parliamentary_Business/Committees/House/Health_Aged_Care_and_Sport/Newdrugs/Report/section?id=committees%2freportrep%2f024755%2f77593</vt:lpwstr>
      </vt:variant>
      <vt:variant>
        <vt:lpwstr/>
      </vt:variant>
      <vt:variant>
        <vt:i4>2097225</vt:i4>
      </vt:variant>
      <vt:variant>
        <vt:i4>72</vt:i4>
      </vt:variant>
      <vt:variant>
        <vt:i4>0</vt:i4>
      </vt:variant>
      <vt:variant>
        <vt:i4>5</vt:i4>
      </vt:variant>
      <vt:variant>
        <vt:lpwstr>http://www.io.nihr.ac.uk/wp-content/uploads/2022/01/Horizon-Scan-for-ATMPs_October2021-v2.0.pdf</vt:lpwstr>
      </vt:variant>
      <vt:variant>
        <vt:lpwstr/>
      </vt:variant>
      <vt:variant>
        <vt:i4>1769543</vt:i4>
      </vt:variant>
      <vt:variant>
        <vt:i4>69</vt:i4>
      </vt:variant>
      <vt:variant>
        <vt:i4>0</vt:i4>
      </vt:variant>
      <vt:variant>
        <vt:i4>5</vt:i4>
      </vt:variant>
      <vt:variant>
        <vt:lpwstr>http://www.msac.gov.au/internet/msac/publishing.nsf/Content/1519.1-public</vt:lpwstr>
      </vt:variant>
      <vt:variant>
        <vt:lpwstr/>
      </vt:variant>
      <vt:variant>
        <vt:i4>7864361</vt:i4>
      </vt:variant>
      <vt:variant>
        <vt:i4>66</vt:i4>
      </vt:variant>
      <vt:variant>
        <vt:i4>0</vt:i4>
      </vt:variant>
      <vt:variant>
        <vt:i4>5</vt:i4>
      </vt:variant>
      <vt:variant>
        <vt:lpwstr>https://www.ema.europa.eu/en/human-regulatory-overview/marketing-authorisation/conditional-marketing-authorisation</vt:lpwstr>
      </vt:variant>
      <vt:variant>
        <vt:lpwstr/>
      </vt:variant>
      <vt:variant>
        <vt:i4>1507358</vt:i4>
      </vt:variant>
      <vt:variant>
        <vt:i4>63</vt:i4>
      </vt:variant>
      <vt:variant>
        <vt:i4>0</vt:i4>
      </vt:variant>
      <vt:variant>
        <vt:i4>5</vt:i4>
      </vt:variant>
      <vt:variant>
        <vt:lpwstr>http://www.frontiersin.org/articles/10.3389/fmed.2021.713401/full</vt:lpwstr>
      </vt:variant>
      <vt:variant>
        <vt:lpwstr/>
      </vt:variant>
      <vt:variant>
        <vt:i4>5439575</vt:i4>
      </vt:variant>
      <vt:variant>
        <vt:i4>60</vt:i4>
      </vt:variant>
      <vt:variant>
        <vt:i4>0</vt:i4>
      </vt:variant>
      <vt:variant>
        <vt:i4>5</vt:i4>
      </vt:variant>
      <vt:variant>
        <vt:lpwstr>https://doi.org/10.1002/ajh.25418</vt:lpwstr>
      </vt:variant>
      <vt:variant>
        <vt:lpwstr/>
      </vt:variant>
      <vt:variant>
        <vt:i4>7864443</vt:i4>
      </vt:variant>
      <vt:variant>
        <vt:i4>57</vt:i4>
      </vt:variant>
      <vt:variant>
        <vt:i4>0</vt:i4>
      </vt:variant>
      <vt:variant>
        <vt:i4>5</vt:i4>
      </vt:variant>
      <vt:variant>
        <vt:lpwstr>http://healinggenes.org/gene-modified-cell-therapy/</vt:lpwstr>
      </vt:variant>
      <vt:variant>
        <vt:lpwstr/>
      </vt:variant>
      <vt:variant>
        <vt:i4>8061045</vt:i4>
      </vt:variant>
      <vt:variant>
        <vt:i4>54</vt:i4>
      </vt:variant>
      <vt:variant>
        <vt:i4>0</vt:i4>
      </vt:variant>
      <vt:variant>
        <vt:i4>5</vt:i4>
      </vt:variant>
      <vt:variant>
        <vt:lpwstr>http://www.fda.gov/vaccines-blood-biologics/cellular-gene-therapy-products</vt:lpwstr>
      </vt:variant>
      <vt:variant>
        <vt:lpwstr/>
      </vt:variant>
      <vt:variant>
        <vt:i4>1835094</vt:i4>
      </vt:variant>
      <vt:variant>
        <vt:i4>51</vt:i4>
      </vt:variant>
      <vt:variant>
        <vt:i4>0</vt:i4>
      </vt:variant>
      <vt:variant>
        <vt:i4>5</vt:i4>
      </vt:variant>
      <vt:variant>
        <vt:lpwstr>http://www.pbs.gov.au/info/industry/listing/elements/pbac-meetings/psd/2018-03/Nusinersen-psd-march-2018</vt:lpwstr>
      </vt:variant>
      <vt:variant>
        <vt:lpwstr/>
      </vt:variant>
      <vt:variant>
        <vt:i4>6619193</vt:i4>
      </vt:variant>
      <vt:variant>
        <vt:i4>48</vt:i4>
      </vt:variant>
      <vt:variant>
        <vt:i4>0</vt:i4>
      </vt:variant>
      <vt:variant>
        <vt:i4>5</vt:i4>
      </vt:variant>
      <vt:variant>
        <vt:lpwstr>https://asgct.org/publications/landscape-report</vt:lpwstr>
      </vt:variant>
      <vt:variant>
        <vt:lpwstr/>
      </vt:variant>
      <vt:variant>
        <vt:i4>2293815</vt:i4>
      </vt:variant>
      <vt:variant>
        <vt:i4>45</vt:i4>
      </vt:variant>
      <vt:variant>
        <vt:i4>0</vt:i4>
      </vt:variant>
      <vt:variant>
        <vt:i4>5</vt:i4>
      </vt:variant>
      <vt:variant>
        <vt:lpwstr>https://www.tga.gov.au/resources/resource/guidance/orphan-drug-designation</vt:lpwstr>
      </vt:variant>
      <vt:variant>
        <vt:lpwstr/>
      </vt:variant>
      <vt:variant>
        <vt:i4>2490427</vt:i4>
      </vt:variant>
      <vt:variant>
        <vt:i4>42</vt:i4>
      </vt:variant>
      <vt:variant>
        <vt:i4>0</vt:i4>
      </vt:variant>
      <vt:variant>
        <vt:i4>5</vt:i4>
      </vt:variant>
      <vt:variant>
        <vt:lpwstr>http://www.ncbi.nlm.nih.gov/pmc/articles/PMC8876811</vt:lpwstr>
      </vt:variant>
      <vt:variant>
        <vt:lpwstr/>
      </vt:variant>
      <vt:variant>
        <vt:i4>2687082</vt:i4>
      </vt:variant>
      <vt:variant>
        <vt:i4>39</vt:i4>
      </vt:variant>
      <vt:variant>
        <vt:i4>0</vt:i4>
      </vt:variant>
      <vt:variant>
        <vt:i4>5</vt:i4>
      </vt:variant>
      <vt:variant>
        <vt:lpwstr>http://www.msac.gov.au/internet/msac/publishing.nsf/Content/1728-public</vt:lpwstr>
      </vt:variant>
      <vt:variant>
        <vt:lpwstr/>
      </vt:variant>
      <vt:variant>
        <vt:i4>2293866</vt:i4>
      </vt:variant>
      <vt:variant>
        <vt:i4>36</vt:i4>
      </vt:variant>
      <vt:variant>
        <vt:i4>0</vt:i4>
      </vt:variant>
      <vt:variant>
        <vt:i4>5</vt:i4>
      </vt:variant>
      <vt:variant>
        <vt:lpwstr>http://www.msac.gov.au/internet/msac/publishing.nsf/Content/1623-public</vt:lpwstr>
      </vt:variant>
      <vt:variant>
        <vt:lpwstr/>
      </vt:variant>
      <vt:variant>
        <vt:i4>6160395</vt:i4>
      </vt:variant>
      <vt:variant>
        <vt:i4>33</vt:i4>
      </vt:variant>
      <vt:variant>
        <vt:i4>0</vt:i4>
      </vt:variant>
      <vt:variant>
        <vt:i4>5</vt:i4>
      </vt:variant>
      <vt:variant>
        <vt:lpwstr>http://www.pbs.gov.au/info/industry/listing/elements/pbac-meetings/psd/2021-09/onasemnogene-abeparvovec-solution-for-injection-customise</vt:lpwstr>
      </vt:variant>
      <vt:variant>
        <vt:lpwstr/>
      </vt:variant>
      <vt:variant>
        <vt:i4>5570571</vt:i4>
      </vt:variant>
      <vt:variant>
        <vt:i4>30</vt:i4>
      </vt:variant>
      <vt:variant>
        <vt:i4>0</vt:i4>
      </vt:variant>
      <vt:variant>
        <vt:i4>5</vt:i4>
      </vt:variant>
      <vt:variant>
        <vt:lpwstr>http://invivo.pharmaintelligence.informa.com/IV146781/The-Cell-And-Gene-Therapy-Sector-In-2023-A-Wave-Is-Coming--Are-We-Ready</vt:lpwstr>
      </vt:variant>
      <vt:variant>
        <vt:lpwstr/>
      </vt:variant>
      <vt:variant>
        <vt:i4>851994</vt:i4>
      </vt:variant>
      <vt:variant>
        <vt:i4>27</vt:i4>
      </vt:variant>
      <vt:variant>
        <vt:i4>0</vt:i4>
      </vt:variant>
      <vt:variant>
        <vt:i4>5</vt:i4>
      </vt:variant>
      <vt:variant>
        <vt:lpwstr>http://www.ema.europa.eu/en/glossary/orphan-medicine</vt:lpwstr>
      </vt:variant>
      <vt:variant>
        <vt:lpwstr/>
      </vt:variant>
      <vt:variant>
        <vt:i4>1048667</vt:i4>
      </vt:variant>
      <vt:variant>
        <vt:i4>24</vt:i4>
      </vt:variant>
      <vt:variant>
        <vt:i4>0</vt:i4>
      </vt:variant>
      <vt:variant>
        <vt:i4>5</vt:i4>
      </vt:variant>
      <vt:variant>
        <vt:lpwstr>https://www.fda.gov/vaccines-blood-biologics/cellular-gene-therapy-products/what-gene-therapy</vt:lpwstr>
      </vt:variant>
      <vt:variant>
        <vt:lpwstr/>
      </vt:variant>
      <vt:variant>
        <vt:i4>589843</vt:i4>
      </vt:variant>
      <vt:variant>
        <vt:i4>21</vt:i4>
      </vt:variant>
      <vt:variant>
        <vt:i4>0</vt:i4>
      </vt:variant>
      <vt:variant>
        <vt:i4>5</vt:i4>
      </vt:variant>
      <vt:variant>
        <vt:lpwstr>http://www.tga.gov.au/advanced-therapies</vt:lpwstr>
      </vt:variant>
      <vt:variant>
        <vt:lpwstr/>
      </vt:variant>
      <vt:variant>
        <vt:i4>8060973</vt:i4>
      </vt:variant>
      <vt:variant>
        <vt:i4>18</vt:i4>
      </vt:variant>
      <vt:variant>
        <vt:i4>0</vt:i4>
      </vt:variant>
      <vt:variant>
        <vt:i4>5</vt:i4>
      </vt:variant>
      <vt:variant>
        <vt:lpwstr>http://www.ema.europa.eu/en/human-regulatory/overview/advanced-therapy-medicinal-products-overview</vt:lpwstr>
      </vt:variant>
      <vt:variant>
        <vt:lpwstr/>
      </vt:variant>
      <vt:variant>
        <vt:i4>2293866</vt:i4>
      </vt:variant>
      <vt:variant>
        <vt:i4>15</vt:i4>
      </vt:variant>
      <vt:variant>
        <vt:i4>0</vt:i4>
      </vt:variant>
      <vt:variant>
        <vt:i4>5</vt:i4>
      </vt:variant>
      <vt:variant>
        <vt:lpwstr>http://www.msac.gov.au/internet/msac/publishing.nsf/Content/1623-public</vt:lpwstr>
      </vt:variant>
      <vt:variant>
        <vt:lpwstr/>
      </vt:variant>
      <vt:variant>
        <vt:i4>1769543</vt:i4>
      </vt:variant>
      <vt:variant>
        <vt:i4>12</vt:i4>
      </vt:variant>
      <vt:variant>
        <vt:i4>0</vt:i4>
      </vt:variant>
      <vt:variant>
        <vt:i4>5</vt:i4>
      </vt:variant>
      <vt:variant>
        <vt:lpwstr>http://www.msac.gov.au/internet/msac/publishing.nsf/Content/1519.1-public</vt:lpwstr>
      </vt:variant>
      <vt:variant>
        <vt:lpwstr/>
      </vt:variant>
      <vt:variant>
        <vt:i4>6160395</vt:i4>
      </vt:variant>
      <vt:variant>
        <vt:i4>9</vt:i4>
      </vt:variant>
      <vt:variant>
        <vt:i4>0</vt:i4>
      </vt:variant>
      <vt:variant>
        <vt:i4>5</vt:i4>
      </vt:variant>
      <vt:variant>
        <vt:lpwstr>http://www.pbs.gov.au/info/industry/listing/elements/pbac-meetings/psd/2021-09/onasemnogene-abeparvovec-solution-for-injection-customise</vt:lpwstr>
      </vt:variant>
      <vt:variant>
        <vt:lpwstr/>
      </vt:variant>
      <vt:variant>
        <vt:i4>917512</vt:i4>
      </vt:variant>
      <vt:variant>
        <vt:i4>6</vt:i4>
      </vt:variant>
      <vt:variant>
        <vt:i4>0</vt:i4>
      </vt:variant>
      <vt:variant>
        <vt:i4>5</vt:i4>
      </vt:variant>
      <vt:variant>
        <vt:lpwstr>https://pubmed.ncbi.nlm.nih.gov/36005193/</vt:lpwstr>
      </vt:variant>
      <vt:variant>
        <vt:lpwstr/>
      </vt:variant>
      <vt:variant>
        <vt:i4>1179659</vt:i4>
      </vt:variant>
      <vt:variant>
        <vt:i4>3</vt:i4>
      </vt:variant>
      <vt:variant>
        <vt:i4>0</vt:i4>
      </vt:variant>
      <vt:variant>
        <vt:i4>5</vt:i4>
      </vt:variant>
      <vt:variant>
        <vt:lpwstr>http://www.sciencedirect.com/science/article/pii/S1098301521031879?via%3Dihub</vt:lpwstr>
      </vt:variant>
      <vt:variant>
        <vt:lpwstr/>
      </vt:variant>
      <vt:variant>
        <vt:i4>7208978</vt:i4>
      </vt:variant>
      <vt:variant>
        <vt:i4>0</vt:i4>
      </vt:variant>
      <vt:variant>
        <vt:i4>0</vt:i4>
      </vt:variant>
      <vt:variant>
        <vt:i4>5</vt:i4>
      </vt:variant>
      <vt:variant>
        <vt:lpwstr>http://www.aph.gov.au/Parliamentary_Business/Committees/House/Health_Aged_Care_and_Sport/Newdrugs/Report/section?id=committees%2freportrep%2f024755%2f77593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2024-07-10T01:12:00Z</dcterms:created>
  <dcterms:modified xsi:type="dcterms:W3CDTF">2024-07-10T01:12:00Z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0x010100FEE71144B0A72D48BAD5085EFC329F68</vt:lpwstr>
  </property>
</Properties>
</file>